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bCs/>
          <w:color w:val="auto"/>
          <w:sz w:val="30"/>
          <w:szCs w:val="30"/>
        </w:rPr>
      </w:pPr>
      <w:r>
        <w:rPr>
          <w:rFonts w:hint="eastAsia" w:ascii="宋体" w:hAnsi="宋体" w:eastAsia="宋体" w:cs="宋体"/>
          <w:b/>
          <w:bCs/>
          <w:color w:val="auto"/>
          <w:sz w:val="30"/>
          <w:szCs w:val="30"/>
        </w:rPr>
        <w:t>广州市市场监督管理局202</w:t>
      </w:r>
      <w:r>
        <w:rPr>
          <w:rFonts w:hint="eastAsia" w:ascii="宋体" w:hAnsi="宋体" w:eastAsia="宋体" w:cs="宋体"/>
          <w:b/>
          <w:bCs/>
          <w:color w:val="auto"/>
          <w:sz w:val="30"/>
          <w:szCs w:val="30"/>
          <w:lang w:val="en-US" w:eastAsia="zh-CN"/>
        </w:rPr>
        <w:t>6</w:t>
      </w:r>
      <w:r>
        <w:rPr>
          <w:rFonts w:hint="eastAsia" w:ascii="宋体" w:hAnsi="宋体" w:eastAsia="宋体" w:cs="宋体"/>
          <w:b/>
          <w:bCs/>
          <w:color w:val="auto"/>
          <w:sz w:val="30"/>
          <w:szCs w:val="30"/>
        </w:rPr>
        <w:t>年</w:t>
      </w:r>
      <w:r>
        <w:rPr>
          <w:rFonts w:hint="eastAsia" w:ascii="宋体" w:hAnsi="宋体" w:eastAsia="宋体" w:cs="宋体"/>
          <w:b/>
          <w:bCs/>
          <w:color w:val="auto"/>
          <w:sz w:val="30"/>
          <w:szCs w:val="30"/>
          <w:lang w:val="en-US" w:eastAsia="zh-CN"/>
        </w:rPr>
        <w:t>工业产品质量监督抽查</w:t>
      </w:r>
      <w:r>
        <w:rPr>
          <w:rFonts w:hint="eastAsia" w:ascii="宋体" w:hAnsi="宋体" w:eastAsia="宋体" w:cs="宋体"/>
          <w:b/>
          <w:bCs/>
          <w:color w:val="auto"/>
          <w:sz w:val="30"/>
          <w:szCs w:val="30"/>
        </w:rPr>
        <w:t>采购项目</w:t>
      </w:r>
    </w:p>
    <w:p>
      <w:pPr>
        <w:spacing w:line="360" w:lineRule="auto"/>
        <w:jc w:val="center"/>
        <w:rPr>
          <w:rFonts w:hint="eastAsia" w:ascii="宋体" w:hAnsi="宋体" w:eastAsia="宋体" w:cs="宋体"/>
          <w:b/>
          <w:bCs/>
          <w:color w:val="auto"/>
          <w:sz w:val="30"/>
          <w:szCs w:val="30"/>
        </w:rPr>
      </w:pPr>
      <w:r>
        <w:rPr>
          <w:rFonts w:hint="eastAsia" w:ascii="宋体" w:hAnsi="宋体" w:eastAsia="宋体" w:cs="宋体"/>
          <w:b/>
          <w:bCs/>
          <w:color w:val="auto"/>
          <w:sz w:val="30"/>
          <w:szCs w:val="30"/>
        </w:rPr>
        <w:t>初步需求</w:t>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（一）</w:t>
      </w:r>
      <w:r>
        <w:rPr>
          <w:rFonts w:hint="eastAsia" w:ascii="宋体" w:hAnsi="宋体" w:eastAsia="宋体" w:cs="宋体"/>
          <w:b/>
          <w:color w:val="auto"/>
          <w:sz w:val="24"/>
        </w:rPr>
        <w:t>项目基本概况</w:t>
      </w:r>
    </w:p>
    <w:p>
      <w:pPr>
        <w:spacing w:line="360" w:lineRule="auto"/>
        <w:rPr>
          <w:rFonts w:hint="eastAsia" w:ascii="宋体" w:hAnsi="宋体" w:eastAsia="宋体" w:cs="宋体"/>
          <w:color w:val="auto"/>
        </w:rPr>
      </w:pPr>
      <w:r>
        <w:rPr>
          <w:rFonts w:hint="eastAsia" w:ascii="宋体" w:hAnsi="宋体" w:eastAsia="宋体" w:cs="宋体"/>
          <w:b/>
          <w:color w:val="auto"/>
          <w:sz w:val="24"/>
        </w:rPr>
        <w:t>1、服务范围：</w:t>
      </w:r>
      <w:r>
        <w:rPr>
          <w:rFonts w:hint="eastAsia" w:ascii="宋体" w:hAnsi="宋体" w:eastAsia="宋体" w:cs="宋体"/>
          <w:color w:val="auto"/>
          <w:sz w:val="24"/>
        </w:rPr>
        <w:t>广州市内</w:t>
      </w:r>
      <w:r>
        <w:rPr>
          <w:rFonts w:hint="eastAsia" w:ascii="宋体" w:hAnsi="宋体" w:eastAsia="宋体" w:cs="宋体"/>
          <w:color w:val="auto"/>
          <w:sz w:val="24"/>
          <w:lang w:val="en-US" w:eastAsia="zh-CN"/>
        </w:rPr>
        <w:t>工业产品生产销售（经营）</w:t>
      </w:r>
      <w:r>
        <w:rPr>
          <w:rFonts w:hint="eastAsia" w:ascii="宋体" w:hAnsi="宋体" w:eastAsia="宋体" w:cs="宋体"/>
          <w:color w:val="auto"/>
          <w:sz w:val="24"/>
        </w:rPr>
        <w:t>单位。</w:t>
      </w:r>
    </w:p>
    <w:p>
      <w:pPr>
        <w:spacing w:line="360" w:lineRule="auto"/>
        <w:rPr>
          <w:rFonts w:hint="eastAsia" w:ascii="宋体" w:hAnsi="宋体" w:eastAsia="宋体" w:cs="宋体"/>
          <w:color w:val="auto"/>
        </w:rPr>
      </w:pPr>
      <w:r>
        <w:rPr>
          <w:rFonts w:hint="eastAsia" w:ascii="宋体" w:hAnsi="宋体" w:eastAsia="宋体" w:cs="宋体"/>
          <w:b/>
          <w:color w:val="auto"/>
          <w:sz w:val="24"/>
        </w:rPr>
        <w:t>2、服务要求：</w:t>
      </w:r>
      <w:r>
        <w:rPr>
          <w:rFonts w:hint="eastAsia" w:ascii="宋体" w:hAnsi="宋体" w:eastAsia="宋体" w:cs="宋体"/>
          <w:color w:val="auto"/>
          <w:sz w:val="24"/>
        </w:rPr>
        <w:t>根据采购人的工作需求，</w:t>
      </w:r>
      <w:r>
        <w:rPr>
          <w:rFonts w:hint="eastAsia" w:ascii="宋体" w:hAnsi="宋体" w:eastAsia="宋体" w:cs="宋体"/>
          <w:color w:val="auto"/>
          <w:sz w:val="24"/>
          <w:lang w:eastAsia="zh-CN"/>
        </w:rPr>
        <w:t>供应商</w:t>
      </w:r>
      <w:r>
        <w:rPr>
          <w:rFonts w:hint="eastAsia" w:ascii="宋体" w:hAnsi="宋体" w:eastAsia="宋体" w:cs="宋体"/>
          <w:color w:val="auto"/>
          <w:sz w:val="24"/>
        </w:rPr>
        <w:t>集中开展抽检相关工作。</w:t>
      </w:r>
    </w:p>
    <w:p>
      <w:pPr>
        <w:spacing w:line="360" w:lineRule="auto"/>
        <w:rPr>
          <w:rFonts w:hint="eastAsia" w:ascii="宋体" w:hAnsi="宋体" w:eastAsia="宋体" w:cs="宋体"/>
          <w:color w:val="auto"/>
        </w:rPr>
      </w:pPr>
      <w:r>
        <w:rPr>
          <w:rFonts w:hint="eastAsia" w:ascii="宋体" w:hAnsi="宋体" w:eastAsia="宋体" w:cs="宋体"/>
          <w:b/>
          <w:color w:val="auto"/>
          <w:sz w:val="24"/>
        </w:rPr>
        <w:t>3、服务时间（履行期限）：</w:t>
      </w:r>
      <w:r>
        <w:rPr>
          <w:rFonts w:hint="eastAsia" w:ascii="宋体" w:hAnsi="宋体" w:eastAsia="宋体" w:cs="宋体"/>
          <w:color w:val="auto"/>
          <w:sz w:val="24"/>
        </w:rPr>
        <w:t>自合同签订之日起一年。</w:t>
      </w:r>
    </w:p>
    <w:p>
      <w:pPr>
        <w:spacing w:line="360" w:lineRule="auto"/>
        <w:rPr>
          <w:rFonts w:hint="eastAsia" w:ascii="宋体" w:hAnsi="宋体" w:eastAsia="宋体" w:cs="宋体"/>
          <w:color w:val="auto"/>
          <w:sz w:val="24"/>
        </w:rPr>
      </w:pPr>
      <w:r>
        <w:rPr>
          <w:rFonts w:hint="eastAsia" w:ascii="宋体" w:hAnsi="宋体" w:eastAsia="宋体" w:cs="宋体"/>
          <w:b/>
          <w:color w:val="auto"/>
          <w:sz w:val="24"/>
        </w:rPr>
        <w:t>4、服务标准：</w:t>
      </w:r>
      <w:r>
        <w:rPr>
          <w:rFonts w:hint="eastAsia" w:ascii="宋体" w:hAnsi="宋体" w:eastAsia="宋体" w:cs="宋体"/>
          <w:color w:val="auto"/>
          <w:sz w:val="24"/>
        </w:rPr>
        <w:t>一般要求自收到样品之日起</w:t>
      </w:r>
      <w:r>
        <w:rPr>
          <w:rFonts w:hint="eastAsia" w:ascii="宋体" w:hAnsi="宋体" w:eastAsia="宋体" w:cs="宋体"/>
          <w:color w:val="auto"/>
          <w:sz w:val="24"/>
          <w:lang w:val="en-US" w:eastAsia="zh-CN"/>
        </w:rPr>
        <w:t>15</w:t>
      </w:r>
      <w:r>
        <w:rPr>
          <w:rFonts w:hint="eastAsia" w:ascii="宋体" w:hAnsi="宋体" w:eastAsia="宋体" w:cs="宋体"/>
          <w:color w:val="auto"/>
          <w:sz w:val="24"/>
        </w:rPr>
        <w:t>个工作日内出具检验报告，如因特殊情况需延长检验期限的，可另行约定。应节应急抽检、执法抽检等有特殊时限要求的，根据采购人要求加快检验。</w:t>
      </w:r>
    </w:p>
    <w:p>
      <w:pPr>
        <w:spacing w:line="360" w:lineRule="auto"/>
        <w:rPr>
          <w:rFonts w:hint="eastAsia" w:ascii="宋体" w:hAnsi="宋体" w:eastAsia="宋体" w:cs="宋体"/>
          <w:color w:val="auto"/>
          <w:sz w:val="24"/>
          <w:lang w:val="en-US" w:eastAsia="zh-CN"/>
        </w:rPr>
      </w:pPr>
      <w:r>
        <w:rPr>
          <w:rFonts w:hint="eastAsia" w:ascii="宋体" w:hAnsi="宋体" w:eastAsia="宋体" w:cs="宋体"/>
          <w:b/>
          <w:color w:val="auto"/>
          <w:sz w:val="24"/>
          <w:lang w:val="en-US" w:eastAsia="zh-CN"/>
        </w:rPr>
        <w:t>5、预算总金额：</w:t>
      </w:r>
      <w:r>
        <w:rPr>
          <w:rFonts w:hint="eastAsia" w:ascii="宋体" w:hAnsi="宋体" w:eastAsia="宋体" w:cs="宋体"/>
          <w:color w:val="auto"/>
          <w:sz w:val="24"/>
          <w:lang w:val="en-US" w:eastAsia="zh-CN"/>
        </w:rPr>
        <w:t>1200万元（</w:t>
      </w:r>
      <w:r>
        <w:rPr>
          <w:rFonts w:hint="eastAsia" w:ascii="宋体" w:hAnsi="宋体" w:eastAsia="宋体" w:cs="宋体"/>
          <w:bCs/>
          <w:color w:val="auto"/>
          <w:sz w:val="24"/>
        </w:rPr>
        <w:t>注：各采购包采购预算数为采购人202</w:t>
      </w:r>
      <w:r>
        <w:rPr>
          <w:rFonts w:hint="eastAsia" w:ascii="宋体" w:hAnsi="宋体" w:eastAsia="宋体" w:cs="宋体"/>
          <w:bCs/>
          <w:color w:val="auto"/>
          <w:sz w:val="24"/>
          <w:lang w:val="en-US" w:eastAsia="zh-CN"/>
        </w:rPr>
        <w:t>6</w:t>
      </w:r>
      <w:r>
        <w:rPr>
          <w:rFonts w:hint="eastAsia" w:ascii="宋体" w:hAnsi="宋体" w:eastAsia="宋体" w:cs="宋体"/>
          <w:bCs/>
          <w:color w:val="auto"/>
          <w:sz w:val="24"/>
        </w:rPr>
        <w:t>年部门预算控制数，待广州市人大审议通过采购人202</w:t>
      </w:r>
      <w:r>
        <w:rPr>
          <w:rFonts w:hint="eastAsia" w:ascii="宋体" w:hAnsi="宋体" w:eastAsia="宋体" w:cs="宋体"/>
          <w:bCs/>
          <w:color w:val="auto"/>
          <w:sz w:val="24"/>
          <w:lang w:val="en-US" w:eastAsia="zh-CN"/>
        </w:rPr>
        <w:t>6</w:t>
      </w:r>
      <w:r>
        <w:rPr>
          <w:rFonts w:hint="eastAsia" w:ascii="宋体" w:hAnsi="宋体" w:eastAsia="宋体" w:cs="宋体"/>
          <w:bCs/>
          <w:color w:val="auto"/>
          <w:sz w:val="24"/>
        </w:rPr>
        <w:t>年部门预算后，最终以广州市财政局批复数为准，采购人不对此预算作承诺。如出现因本项目部门预算未获批复等重大变故，采购任务取消，按有关法律规定予以终止的，采购人不对此负责，</w:t>
      </w:r>
      <w:r>
        <w:rPr>
          <w:rFonts w:hint="eastAsia" w:ascii="宋体" w:hAnsi="宋体" w:eastAsia="宋体" w:cs="宋体"/>
          <w:bCs/>
          <w:color w:val="auto"/>
          <w:sz w:val="24"/>
          <w:lang w:eastAsia="zh-CN"/>
        </w:rPr>
        <w:t>供应商</w:t>
      </w:r>
      <w:r>
        <w:rPr>
          <w:rFonts w:hint="eastAsia" w:ascii="宋体" w:hAnsi="宋体" w:eastAsia="宋体" w:cs="宋体"/>
          <w:bCs/>
          <w:color w:val="auto"/>
          <w:sz w:val="24"/>
        </w:rPr>
        <w:t>应充分考虑并自行承担此风险</w:t>
      </w:r>
      <w:r>
        <w:rPr>
          <w:rFonts w:hint="eastAsia" w:ascii="宋体" w:hAnsi="宋体" w:eastAsia="宋体" w:cs="宋体"/>
          <w:color w:val="auto"/>
          <w:sz w:val="24"/>
          <w:lang w:val="en-US" w:eastAsia="zh-CN"/>
        </w:rPr>
        <w:t>）。</w:t>
      </w:r>
    </w:p>
    <w:p>
      <w:pPr>
        <w:spacing w:line="360" w:lineRule="auto"/>
        <w:rPr>
          <w:rFonts w:hint="eastAsia" w:ascii="宋体" w:hAnsi="宋体" w:eastAsia="宋体" w:cs="宋体"/>
          <w:b/>
          <w:color w:val="auto"/>
          <w:sz w:val="24"/>
        </w:rPr>
      </w:pPr>
      <w:r>
        <w:rPr>
          <w:rFonts w:hint="eastAsia" w:ascii="宋体" w:hAnsi="宋体" w:eastAsia="宋体" w:cs="宋体"/>
          <w:b/>
          <w:bCs/>
          <w:color w:val="auto"/>
          <w:sz w:val="24"/>
          <w:szCs w:val="24"/>
        </w:rPr>
        <w:t>（二）</w:t>
      </w:r>
      <w:r>
        <w:rPr>
          <w:rFonts w:hint="eastAsia" w:ascii="宋体" w:hAnsi="宋体" w:eastAsia="宋体" w:cs="宋体"/>
          <w:b/>
          <w:color w:val="auto"/>
          <w:sz w:val="24"/>
        </w:rPr>
        <w:t>服务内容</w:t>
      </w:r>
    </w:p>
    <w:p>
      <w:pPr>
        <w:spacing w:line="360" w:lineRule="auto"/>
        <w:jc w:val="left"/>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1、根据采购人实际监管需求对广州市内工业产品生产销售（经营）单位开展日常监督及专项抽检检验工作。</w:t>
      </w:r>
    </w:p>
    <w:p>
      <w:pPr>
        <w:spacing w:line="360" w:lineRule="auto"/>
        <w:jc w:val="left"/>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2、根据采购人实际监管需求对重点工业产品实施抽检，对广州市上年度抽检实物不合格的生产企业实施跟踪抽检。</w:t>
      </w:r>
    </w:p>
    <w:p>
      <w:pPr>
        <w:spacing w:line="360" w:lineRule="auto"/>
        <w:jc w:val="left"/>
        <w:rPr>
          <w:rFonts w:hint="default" w:ascii="宋体" w:hAnsi="宋体" w:eastAsia="宋体" w:cs="宋体"/>
          <w:bCs/>
          <w:color w:val="auto"/>
          <w:sz w:val="24"/>
          <w:lang w:val="en-US" w:eastAsia="zh-CN"/>
        </w:rPr>
      </w:pPr>
      <w:r>
        <w:rPr>
          <w:rFonts w:hint="eastAsia" w:ascii="宋体" w:hAnsi="宋体" w:eastAsia="宋体" w:cs="宋体"/>
          <w:bCs/>
          <w:color w:val="auto"/>
          <w:sz w:val="24"/>
          <w:lang w:val="en-US" w:eastAsia="zh-CN"/>
        </w:rPr>
        <w:t>3、根据采购人工作需要，在广州市内开展“你点我检”专项任务，及时发现工业产品安全隐患。</w:t>
      </w:r>
    </w:p>
    <w:p>
      <w:pPr>
        <w:spacing w:line="360" w:lineRule="auto"/>
        <w:jc w:val="left"/>
        <w:rPr>
          <w:rFonts w:hint="eastAsia" w:ascii="宋体" w:hAnsi="宋体" w:eastAsia="宋体" w:cs="宋体"/>
          <w:b/>
          <w:bCs/>
          <w:color w:val="auto"/>
          <w:sz w:val="24"/>
        </w:rPr>
      </w:pPr>
      <w:r>
        <w:rPr>
          <w:rFonts w:hint="eastAsia" w:ascii="宋体" w:hAnsi="宋体" w:eastAsia="宋体" w:cs="宋体"/>
          <w:bCs/>
          <w:color w:val="auto"/>
          <w:sz w:val="24"/>
          <w:lang w:val="en-US" w:eastAsia="zh-CN"/>
        </w:rPr>
        <w:t>4、</w:t>
      </w:r>
      <w:r>
        <w:rPr>
          <w:rFonts w:hint="eastAsia" w:ascii="宋体" w:hAnsi="宋体" w:eastAsia="宋体" w:cs="宋体"/>
          <w:bCs/>
          <w:color w:val="auto"/>
          <w:sz w:val="24"/>
        </w:rPr>
        <w:t>除上述</w:t>
      </w:r>
      <w:r>
        <w:rPr>
          <w:rFonts w:hint="eastAsia" w:ascii="宋体" w:hAnsi="宋体" w:eastAsia="宋体" w:cs="宋体"/>
          <w:bCs/>
          <w:color w:val="auto"/>
          <w:sz w:val="24"/>
          <w:lang w:eastAsia="zh-CN"/>
        </w:rPr>
        <w:t>服务内容外</w:t>
      </w:r>
      <w:r>
        <w:rPr>
          <w:rFonts w:hint="eastAsia" w:ascii="宋体" w:hAnsi="宋体" w:eastAsia="宋体" w:cs="宋体"/>
          <w:bCs/>
          <w:color w:val="auto"/>
          <w:sz w:val="24"/>
        </w:rPr>
        <w:t>，</w:t>
      </w:r>
      <w:r>
        <w:rPr>
          <w:rFonts w:hint="eastAsia" w:ascii="宋体" w:hAnsi="宋体" w:eastAsia="宋体" w:cs="宋体"/>
          <w:bCs/>
          <w:color w:val="auto"/>
          <w:sz w:val="24"/>
          <w:lang w:eastAsia="zh-CN"/>
        </w:rPr>
        <w:t>供应商</w:t>
      </w:r>
      <w:r>
        <w:rPr>
          <w:rFonts w:hint="eastAsia" w:ascii="宋体" w:hAnsi="宋体" w:eastAsia="宋体" w:cs="宋体"/>
          <w:bCs/>
          <w:color w:val="auto"/>
          <w:sz w:val="24"/>
        </w:rPr>
        <w:t>还应根据采购人实际监管需要，无条件配合采购人开展全市范围内的应急、专项抽样任务。</w:t>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（三）具体技术(参数)要求</w:t>
      </w:r>
    </w:p>
    <w:p>
      <w:pPr>
        <w:spacing w:line="360" w:lineRule="auto"/>
        <w:rPr>
          <w:rFonts w:hint="eastAsia" w:ascii="宋体" w:hAnsi="宋体" w:eastAsia="宋体" w:cs="宋体"/>
          <w:color w:val="auto"/>
        </w:rPr>
      </w:pPr>
      <w:r>
        <w:rPr>
          <w:rFonts w:hint="eastAsia" w:ascii="宋体" w:hAnsi="宋体" w:eastAsia="宋体" w:cs="宋体"/>
          <w:b/>
          <w:color w:val="auto"/>
          <w:sz w:val="24"/>
        </w:rPr>
        <w:t>1、抽检对象：</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广州市内的</w:t>
      </w:r>
      <w:r>
        <w:rPr>
          <w:rFonts w:hint="eastAsia" w:ascii="宋体" w:hAnsi="宋体" w:eastAsia="宋体" w:cs="宋体"/>
          <w:bCs/>
          <w:color w:val="auto"/>
          <w:sz w:val="24"/>
          <w:lang w:val="en-US" w:eastAsia="zh-CN"/>
        </w:rPr>
        <w:t>工业产品生产销售（经营）</w:t>
      </w:r>
      <w:r>
        <w:rPr>
          <w:rFonts w:hint="eastAsia" w:ascii="宋体" w:hAnsi="宋体" w:eastAsia="宋体" w:cs="宋体"/>
          <w:color w:val="auto"/>
          <w:sz w:val="24"/>
        </w:rPr>
        <w:t>单位。</w:t>
      </w:r>
    </w:p>
    <w:p>
      <w:pPr>
        <w:spacing w:line="360" w:lineRule="auto"/>
        <w:rPr>
          <w:rFonts w:hint="eastAsia" w:ascii="宋体" w:hAnsi="宋体" w:eastAsia="宋体" w:cs="宋体"/>
          <w:b/>
          <w:color w:val="auto"/>
          <w:sz w:val="24"/>
          <w:lang w:eastAsia="zh-CN"/>
        </w:rPr>
      </w:pPr>
      <w:r>
        <w:rPr>
          <w:rFonts w:hint="eastAsia" w:ascii="宋体" w:hAnsi="宋体" w:eastAsia="宋体" w:cs="宋体"/>
          <w:b/>
          <w:color w:val="auto"/>
          <w:sz w:val="24"/>
        </w:rPr>
        <w:t>2、</w:t>
      </w:r>
      <w:r>
        <w:rPr>
          <w:rFonts w:hint="eastAsia" w:ascii="宋体" w:hAnsi="宋体" w:eastAsia="宋体" w:cs="宋体"/>
          <w:b/>
          <w:color w:val="auto"/>
          <w:sz w:val="24"/>
          <w:lang w:eastAsia="zh-CN"/>
        </w:rPr>
        <w:t>供应商</w:t>
      </w:r>
      <w:r>
        <w:rPr>
          <w:rFonts w:hint="eastAsia" w:ascii="宋体" w:hAnsi="宋体" w:eastAsia="宋体" w:cs="宋体"/>
          <w:b/>
          <w:color w:val="auto"/>
          <w:sz w:val="24"/>
        </w:rPr>
        <w:t>或其实验室需能够承检</w:t>
      </w:r>
      <w:r>
        <w:rPr>
          <w:rFonts w:hint="eastAsia" w:ascii="宋体" w:hAnsi="宋体" w:eastAsia="宋体" w:cs="宋体"/>
          <w:b/>
          <w:color w:val="auto"/>
          <w:sz w:val="24"/>
          <w:lang w:val="en-US" w:eastAsia="zh-CN"/>
        </w:rPr>
        <w:t>附件2</w:t>
      </w:r>
      <w:r>
        <w:rPr>
          <w:rFonts w:hint="eastAsia" w:ascii="宋体" w:hAnsi="宋体" w:eastAsia="宋体" w:cs="宋体"/>
          <w:b/>
          <w:color w:val="auto"/>
          <w:sz w:val="24"/>
        </w:rPr>
        <w:t>《产品检验项目细化表》中的所有项目【以检验检测机构资质认定证书（CMA）为准，并明确项目所在CMA证书附表的页码与序号】</w:t>
      </w:r>
      <w:r>
        <w:rPr>
          <w:rFonts w:hint="eastAsia" w:ascii="宋体" w:hAnsi="宋体" w:eastAsia="宋体" w:cs="宋体"/>
          <w:b/>
          <w:color w:val="auto"/>
          <w:sz w:val="24"/>
          <w:lang w:eastAsia="zh-CN"/>
        </w:rPr>
        <w:t>。</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3、抽样单位</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采购人依法委托</w:t>
      </w:r>
      <w:r>
        <w:rPr>
          <w:rFonts w:hint="eastAsia" w:ascii="宋体" w:hAnsi="宋体" w:eastAsia="宋体" w:cs="宋体"/>
          <w:color w:val="auto"/>
          <w:sz w:val="24"/>
          <w:lang w:eastAsia="zh-CN"/>
        </w:rPr>
        <w:t>供应商</w:t>
      </w:r>
      <w:r>
        <w:rPr>
          <w:rFonts w:hint="eastAsia" w:ascii="宋体" w:hAnsi="宋体" w:eastAsia="宋体" w:cs="宋体"/>
          <w:color w:val="auto"/>
          <w:sz w:val="24"/>
        </w:rPr>
        <w:t>实施抽样。市内各级</w:t>
      </w:r>
      <w:r>
        <w:rPr>
          <w:rFonts w:hint="eastAsia" w:ascii="宋体" w:hAnsi="宋体" w:eastAsia="宋体" w:cs="宋体"/>
          <w:color w:val="auto"/>
          <w:sz w:val="24"/>
          <w:lang w:eastAsia="zh-CN"/>
        </w:rPr>
        <w:t>工业产品</w:t>
      </w:r>
      <w:r>
        <w:rPr>
          <w:rFonts w:hint="eastAsia" w:ascii="宋体" w:hAnsi="宋体" w:eastAsia="宋体" w:cs="宋体"/>
          <w:color w:val="auto"/>
          <w:sz w:val="24"/>
        </w:rPr>
        <w:t>监督管理部门根据工作需要监督</w:t>
      </w:r>
      <w:r>
        <w:rPr>
          <w:rFonts w:hint="eastAsia" w:ascii="宋体" w:hAnsi="宋体" w:eastAsia="宋体" w:cs="宋体"/>
          <w:color w:val="auto"/>
          <w:sz w:val="24"/>
          <w:lang w:eastAsia="zh-CN"/>
        </w:rPr>
        <w:t>供应商</w:t>
      </w:r>
      <w:r>
        <w:rPr>
          <w:rFonts w:hint="eastAsia" w:ascii="宋体" w:hAnsi="宋体" w:eastAsia="宋体" w:cs="宋体"/>
          <w:color w:val="auto"/>
          <w:sz w:val="24"/>
        </w:rPr>
        <w:t>的抽样工作。</w:t>
      </w:r>
      <w:r>
        <w:rPr>
          <w:rFonts w:hint="eastAsia" w:ascii="宋体" w:hAnsi="宋体" w:eastAsia="宋体" w:cs="宋体"/>
          <w:color w:val="auto"/>
          <w:sz w:val="24"/>
          <w:lang w:eastAsia="zh-CN"/>
        </w:rPr>
        <w:t>供应商</w:t>
      </w:r>
      <w:r>
        <w:rPr>
          <w:rFonts w:hint="eastAsia" w:ascii="宋体" w:hAnsi="宋体" w:eastAsia="宋体" w:cs="宋体"/>
          <w:color w:val="auto"/>
          <w:sz w:val="24"/>
        </w:rPr>
        <w:t>须配合采购人及市内各级</w:t>
      </w:r>
      <w:r>
        <w:rPr>
          <w:rFonts w:hint="eastAsia" w:ascii="宋体" w:hAnsi="宋体" w:eastAsia="宋体" w:cs="宋体"/>
          <w:color w:val="auto"/>
          <w:sz w:val="24"/>
          <w:lang w:eastAsia="zh-CN"/>
        </w:rPr>
        <w:t>工业产品</w:t>
      </w:r>
      <w:r>
        <w:rPr>
          <w:rFonts w:hint="eastAsia" w:ascii="宋体" w:hAnsi="宋体" w:eastAsia="宋体" w:cs="宋体"/>
          <w:color w:val="auto"/>
          <w:sz w:val="24"/>
        </w:rPr>
        <w:t>监督管理部门完成各项工作。</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4、抽检形式</w:t>
      </w:r>
    </w:p>
    <w:p>
      <w:pPr>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须根据采购人实际监管需求开展</w:t>
      </w:r>
      <w:r>
        <w:rPr>
          <w:rFonts w:hint="eastAsia" w:ascii="宋体" w:hAnsi="宋体" w:eastAsia="宋体" w:cs="宋体"/>
          <w:color w:val="auto"/>
          <w:sz w:val="24"/>
          <w:lang w:val="en-US" w:eastAsia="zh-CN"/>
        </w:rPr>
        <w:t>工业产品</w:t>
      </w:r>
      <w:r>
        <w:rPr>
          <w:rFonts w:hint="eastAsia" w:ascii="宋体" w:hAnsi="宋体" w:eastAsia="宋体" w:cs="宋体"/>
          <w:color w:val="auto"/>
          <w:sz w:val="24"/>
        </w:rPr>
        <w:t>抽样检验工作，并按照抽检方案要求在指定时间前报送抽检工作总结、检验结果汇总表和绩效评估报告、分析报告等材料。在服务期限内，采购人可根据上级要求或工作需要对采购文件规定的任务需求、承担范围和批次数进行调整。</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5、抽检人员要求</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应按照招标文件的要求保证有充足的抽样和检验人员，以满足采购人日常抽检和案件稽查、事故调查、应急处置等抽检需求。</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（2）抽样和检验要分离。每次抽样由抽样机构随机安排2名或以上具有相应资质的抽样人员参与（抽样人员必须取得抽样证）。对同一</w:t>
      </w:r>
      <w:r>
        <w:rPr>
          <w:rFonts w:hint="eastAsia" w:ascii="宋体" w:hAnsi="宋体" w:eastAsia="宋体" w:cs="宋体"/>
          <w:color w:val="auto"/>
          <w:sz w:val="24"/>
          <w:lang w:val="en-US" w:eastAsia="zh-CN"/>
        </w:rPr>
        <w:t>产品</w:t>
      </w:r>
      <w:r>
        <w:rPr>
          <w:rFonts w:hint="eastAsia" w:ascii="宋体" w:hAnsi="宋体" w:eastAsia="宋体" w:cs="宋体"/>
          <w:color w:val="auto"/>
          <w:sz w:val="24"/>
        </w:rPr>
        <w:t>的抽检，</w:t>
      </w:r>
      <w:r>
        <w:rPr>
          <w:rFonts w:hint="eastAsia" w:ascii="宋体" w:hAnsi="宋体" w:eastAsia="宋体" w:cs="宋体"/>
          <w:color w:val="auto"/>
          <w:sz w:val="24"/>
          <w:lang w:eastAsia="zh-CN"/>
        </w:rPr>
        <w:t>供应商</w:t>
      </w:r>
      <w:r>
        <w:rPr>
          <w:rFonts w:hint="eastAsia" w:ascii="宋体" w:hAnsi="宋体" w:eastAsia="宋体" w:cs="宋体"/>
          <w:color w:val="auto"/>
          <w:sz w:val="24"/>
        </w:rPr>
        <w:t>派出的抽样人员与检验人员不得为同一人。需要安排执法人员参与抽样的，由采购人视情况安排。</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供应商</w:t>
      </w:r>
      <w:r>
        <w:rPr>
          <w:rFonts w:hint="eastAsia" w:ascii="宋体" w:hAnsi="宋体" w:eastAsia="宋体" w:cs="宋体"/>
          <w:color w:val="auto"/>
          <w:sz w:val="24"/>
        </w:rPr>
        <w:t>应于合同签订后7个工作日内确定抽样人员名单（人数不少于投标文件承诺的数量），并报采购人备案。</w:t>
      </w:r>
    </w:p>
    <w:p>
      <w:pPr>
        <w:spacing w:line="360" w:lineRule="auto"/>
        <w:rPr>
          <w:rFonts w:hint="default" w:ascii="宋体" w:hAnsi="宋体" w:eastAsia="宋体" w:cs="宋体"/>
          <w:b/>
          <w:color w:val="auto"/>
          <w:sz w:val="24"/>
          <w:lang w:val="en-US" w:eastAsia="zh-CN"/>
        </w:rPr>
      </w:pPr>
      <w:r>
        <w:rPr>
          <w:rFonts w:hint="eastAsia" w:ascii="宋体" w:hAnsi="宋体" w:eastAsia="宋体" w:cs="宋体"/>
          <w:b/>
          <w:color w:val="auto"/>
          <w:sz w:val="24"/>
        </w:rPr>
        <w:t>6、</w:t>
      </w:r>
      <w:r>
        <w:rPr>
          <w:rFonts w:hint="eastAsia" w:ascii="宋体" w:hAnsi="宋体" w:eastAsia="宋体" w:cs="宋体"/>
          <w:b/>
          <w:color w:val="auto"/>
          <w:sz w:val="24"/>
          <w:lang w:val="en-US" w:eastAsia="zh-CN"/>
        </w:rPr>
        <w:t>承检能力要求</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（1）交通工具：</w:t>
      </w:r>
      <w:r>
        <w:rPr>
          <w:rFonts w:hint="eastAsia" w:ascii="宋体" w:hAnsi="宋体" w:eastAsia="宋体" w:cs="宋体"/>
          <w:color w:val="auto"/>
          <w:sz w:val="24"/>
          <w:lang w:eastAsia="zh-CN"/>
        </w:rPr>
        <w:t>供应商</w:t>
      </w:r>
      <w:r>
        <w:rPr>
          <w:rFonts w:hint="eastAsia" w:ascii="宋体" w:hAnsi="宋体" w:eastAsia="宋体" w:cs="宋体"/>
          <w:color w:val="auto"/>
          <w:sz w:val="24"/>
        </w:rPr>
        <w:t>负责。</w:t>
      </w:r>
    </w:p>
    <w:p>
      <w:pPr>
        <w:spacing w:line="360" w:lineRule="auto"/>
        <w:rPr>
          <w:rFonts w:hint="eastAsia" w:ascii="宋体" w:hAnsi="宋体" w:eastAsia="宋体" w:cs="宋体"/>
          <w:b/>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应具备与产品抽样检验工作相适应的检验条件和能力，具有相关专业高级职称技术人员，有能独立承担产品质量检验工作的实验室，有符合采购人要求的抽样工作条件，包括可上网的笔记本电脑或平板电脑，移动打印机、相机、摄像设备等，有相应的检验设备、手段、办法以及专业人员，能独立承担产品质量抽样检验工作。</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7、抽检任务</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全年</w:t>
      </w:r>
      <w:r>
        <w:rPr>
          <w:rFonts w:hint="eastAsia" w:ascii="宋体" w:hAnsi="宋体" w:eastAsia="宋体" w:cs="宋体"/>
          <w:color w:val="auto"/>
          <w:sz w:val="24"/>
          <w:lang w:val="en-US" w:eastAsia="zh-CN"/>
        </w:rPr>
        <w:t>工业产品监督抽查</w:t>
      </w:r>
      <w:r>
        <w:rPr>
          <w:rFonts w:hint="eastAsia" w:ascii="宋体" w:hAnsi="宋体" w:eastAsia="宋体" w:cs="宋体"/>
          <w:color w:val="auto"/>
          <w:sz w:val="24"/>
        </w:rPr>
        <w:t>不少于</w:t>
      </w:r>
      <w:r>
        <w:rPr>
          <w:rFonts w:hint="eastAsia" w:ascii="宋体" w:hAnsi="宋体" w:eastAsia="宋体" w:cs="宋体"/>
          <w:b/>
          <w:bCs/>
          <w:color w:val="auto"/>
          <w:sz w:val="24"/>
          <w:lang w:val="en-US" w:eastAsia="zh-CN"/>
        </w:rPr>
        <w:t>40</w:t>
      </w:r>
      <w:r>
        <w:rPr>
          <w:rFonts w:hint="eastAsia" w:ascii="宋体" w:hAnsi="宋体" w:eastAsia="宋体" w:cs="宋体"/>
          <w:b/>
          <w:bCs/>
          <w:color w:val="auto"/>
          <w:sz w:val="24"/>
        </w:rPr>
        <w:t>00</w:t>
      </w:r>
      <w:r>
        <w:rPr>
          <w:rFonts w:hint="eastAsia" w:ascii="宋体" w:hAnsi="宋体" w:eastAsia="宋体" w:cs="宋体"/>
          <w:color w:val="auto"/>
          <w:sz w:val="24"/>
        </w:rPr>
        <w:t>批次，</w:t>
      </w:r>
      <w:r>
        <w:rPr>
          <w:rFonts w:hint="eastAsia" w:ascii="宋体" w:hAnsi="宋体" w:eastAsia="宋体" w:cs="宋体"/>
          <w:color w:val="auto"/>
          <w:sz w:val="24"/>
          <w:lang w:eastAsia="zh-CN"/>
        </w:rPr>
        <w:t>快检筛查不少于</w:t>
      </w:r>
      <w:r>
        <w:rPr>
          <w:rFonts w:hint="eastAsia" w:ascii="宋体" w:hAnsi="宋体" w:eastAsia="宋体" w:cs="宋体"/>
          <w:b/>
          <w:bCs/>
          <w:color w:val="auto"/>
          <w:sz w:val="24"/>
          <w:lang w:val="en-US" w:eastAsia="zh-CN"/>
        </w:rPr>
        <w:t>2000</w:t>
      </w:r>
      <w:r>
        <w:rPr>
          <w:rFonts w:hint="eastAsia" w:ascii="宋体" w:hAnsi="宋体" w:eastAsia="宋体" w:cs="宋体"/>
          <w:color w:val="auto"/>
          <w:sz w:val="24"/>
          <w:lang w:val="en-US" w:eastAsia="zh-CN"/>
        </w:rPr>
        <w:t>批次，</w:t>
      </w:r>
      <w:r>
        <w:rPr>
          <w:rFonts w:hint="eastAsia" w:ascii="宋体" w:hAnsi="宋体" w:eastAsia="宋体" w:cs="宋体"/>
          <w:color w:val="auto"/>
          <w:sz w:val="24"/>
        </w:rPr>
        <w:t>由</w:t>
      </w:r>
      <w:r>
        <w:rPr>
          <w:rFonts w:hint="eastAsia" w:ascii="宋体" w:hAnsi="宋体" w:eastAsia="宋体" w:cs="宋体"/>
          <w:color w:val="auto"/>
          <w:sz w:val="24"/>
          <w:lang w:eastAsia="zh-CN"/>
        </w:rPr>
        <w:t>所有供应商</w:t>
      </w:r>
      <w:r>
        <w:rPr>
          <w:rFonts w:hint="eastAsia" w:ascii="宋体" w:hAnsi="宋体" w:eastAsia="宋体" w:cs="宋体"/>
          <w:color w:val="auto"/>
          <w:sz w:val="24"/>
        </w:rPr>
        <w:t>共同完成（根据各</w:t>
      </w:r>
      <w:r>
        <w:rPr>
          <w:rFonts w:hint="eastAsia" w:ascii="宋体" w:hAnsi="宋体" w:eastAsia="宋体" w:cs="宋体"/>
          <w:color w:val="auto"/>
          <w:sz w:val="24"/>
          <w:lang w:eastAsia="zh-CN"/>
        </w:rPr>
        <w:t>供应商</w:t>
      </w:r>
      <w:r>
        <w:rPr>
          <w:rFonts w:hint="eastAsia" w:ascii="宋体" w:hAnsi="宋体" w:eastAsia="宋体" w:cs="宋体"/>
          <w:color w:val="auto"/>
          <w:sz w:val="24"/>
        </w:rPr>
        <w:t>的实际中标情况具体约定）。具体任务包括但不限于：</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val="en-US" w:eastAsia="zh-CN"/>
        </w:rPr>
        <w:t>供应商在抽检中应完成生产许可获证的产品生产企业全覆盖、3C产品大类全覆盖及对上一年度监督抽查中实物不合格产品的生产企业开展跟踪抽查</w:t>
      </w:r>
      <w:r>
        <w:rPr>
          <w:rFonts w:hint="eastAsia" w:ascii="宋体" w:hAnsi="宋体" w:eastAsia="宋体" w:cs="宋体"/>
          <w:color w:val="auto"/>
          <w:sz w:val="24"/>
        </w:rPr>
        <w:t>；</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szCs w:val="24"/>
          <w:highlight w:val="none"/>
          <w:lang w:val="en-US" w:eastAsia="zh-CN"/>
        </w:rPr>
        <w:t>在抽检中供应商应向采购方提供强制性产品认证一致性检查所需材料</w:t>
      </w:r>
      <w:r>
        <w:rPr>
          <w:rFonts w:hint="eastAsia" w:ascii="宋体" w:hAnsi="宋体" w:eastAsia="宋体" w:cs="宋体"/>
          <w:color w:val="auto"/>
          <w:sz w:val="24"/>
        </w:rPr>
        <w:t>；</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szCs w:val="24"/>
          <w:highlight w:val="none"/>
          <w:lang w:val="en-US" w:eastAsia="zh-CN"/>
        </w:rPr>
        <w:t>根据实际监管需要，供应商应无条件配合甲方开展全市范围内的应急、专项抽样任务。</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8、抽检计划</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由</w:t>
      </w:r>
      <w:r>
        <w:rPr>
          <w:rFonts w:hint="eastAsia" w:ascii="宋体" w:hAnsi="宋体" w:eastAsia="宋体" w:cs="宋体"/>
          <w:color w:val="auto"/>
          <w:sz w:val="24"/>
          <w:lang w:eastAsia="zh-CN"/>
        </w:rPr>
        <w:t>供应商</w:t>
      </w:r>
      <w:r>
        <w:rPr>
          <w:rFonts w:hint="eastAsia" w:ascii="宋体" w:hAnsi="宋体" w:eastAsia="宋体" w:cs="宋体"/>
          <w:color w:val="auto"/>
          <w:sz w:val="24"/>
        </w:rPr>
        <w:t>协助采购人制定具体的项目实施计划。</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9、抽样程序与要求</w:t>
      </w:r>
    </w:p>
    <w:p>
      <w:pPr>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按照《中华人民共和国消费者权益保护法》《中华人民共和国产品质量法》《产品质量监督抽查管理暂行办法》等有关法律法规、政策规定和标准要求具体执行。</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10、样品购买、保存和处理</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（1）监督抽检的样品应一式两份，分为检验样品和复检备份样品，由</w:t>
      </w:r>
      <w:r>
        <w:rPr>
          <w:rFonts w:hint="eastAsia" w:ascii="宋体" w:hAnsi="宋体" w:eastAsia="宋体" w:cs="宋体"/>
          <w:color w:val="auto"/>
          <w:sz w:val="24"/>
          <w:lang w:eastAsia="zh-CN"/>
        </w:rPr>
        <w:t>供应商</w:t>
      </w:r>
      <w:r>
        <w:rPr>
          <w:rFonts w:hint="eastAsia" w:ascii="宋体" w:hAnsi="宋体" w:eastAsia="宋体" w:cs="宋体"/>
          <w:color w:val="auto"/>
          <w:sz w:val="24"/>
        </w:rPr>
        <w:t>根据法律法规要求购买并支付购样费。</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（2）抽样车辆及设备由</w:t>
      </w:r>
      <w:r>
        <w:rPr>
          <w:rFonts w:hint="eastAsia" w:ascii="宋体" w:hAnsi="宋体" w:eastAsia="宋体" w:cs="宋体"/>
          <w:color w:val="auto"/>
          <w:sz w:val="24"/>
          <w:lang w:eastAsia="zh-CN"/>
        </w:rPr>
        <w:t>供应商</w:t>
      </w:r>
      <w:r>
        <w:rPr>
          <w:rFonts w:hint="eastAsia" w:ascii="宋体" w:hAnsi="宋体" w:eastAsia="宋体" w:cs="宋体"/>
          <w:color w:val="auto"/>
          <w:sz w:val="24"/>
        </w:rPr>
        <w:t>负责提供，</w:t>
      </w:r>
      <w:r>
        <w:rPr>
          <w:rFonts w:hint="eastAsia" w:ascii="宋体" w:hAnsi="宋体" w:eastAsia="宋体" w:cs="宋体"/>
          <w:color w:val="auto"/>
          <w:sz w:val="24"/>
          <w:lang w:eastAsia="zh-CN"/>
        </w:rPr>
        <w:t>供应商</w:t>
      </w:r>
      <w:r>
        <w:rPr>
          <w:rFonts w:hint="eastAsia" w:ascii="宋体" w:hAnsi="宋体" w:eastAsia="宋体" w:cs="宋体"/>
          <w:color w:val="auto"/>
          <w:sz w:val="24"/>
        </w:rPr>
        <w:t>应按相关规定及采购人要求采取必要措施保证样品质量稳定与安全。</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供应商</w:t>
      </w:r>
      <w:r>
        <w:rPr>
          <w:rFonts w:hint="eastAsia" w:ascii="宋体" w:hAnsi="宋体" w:eastAsia="宋体" w:cs="宋体"/>
          <w:color w:val="auto"/>
          <w:sz w:val="24"/>
        </w:rPr>
        <w:t>依照法律法规要求对样品进行存放，对监督抽检样品实施专库、专柜或专架保管。</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11、检验工作的实施</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val="en-US" w:eastAsia="zh-CN"/>
        </w:rPr>
        <w:t>产品</w:t>
      </w:r>
      <w:r>
        <w:rPr>
          <w:rFonts w:hint="eastAsia" w:ascii="宋体" w:hAnsi="宋体" w:eastAsia="宋体" w:cs="宋体"/>
          <w:color w:val="auto"/>
          <w:sz w:val="24"/>
        </w:rPr>
        <w:t>检验由</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指定的检验人独立进行。检验人应当依照有关法律、法规的规定，并根据相应的</w:t>
      </w:r>
      <w:r>
        <w:rPr>
          <w:rFonts w:hint="eastAsia" w:ascii="宋体" w:hAnsi="宋体" w:eastAsia="宋体" w:cs="宋体"/>
          <w:color w:val="auto"/>
          <w:sz w:val="24"/>
          <w:lang w:eastAsia="zh-CN"/>
        </w:rPr>
        <w:t>产品</w:t>
      </w:r>
      <w:r>
        <w:rPr>
          <w:rFonts w:hint="eastAsia" w:ascii="宋体" w:hAnsi="宋体" w:eastAsia="宋体" w:cs="宋体"/>
          <w:color w:val="auto"/>
          <w:sz w:val="24"/>
        </w:rPr>
        <w:t>标准和检验规范，尊重科学，恪守职业道德，保证出具的检验数据和结论客观、公正，不得出具虚假的检验报告。</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（1）检验时间：一般要求自收到样品之日起</w:t>
      </w:r>
      <w:r>
        <w:rPr>
          <w:rFonts w:hint="eastAsia" w:ascii="宋体" w:hAnsi="宋体" w:eastAsia="宋体" w:cs="宋体"/>
          <w:color w:val="auto"/>
          <w:sz w:val="24"/>
          <w:lang w:val="en-US" w:eastAsia="zh-CN"/>
        </w:rPr>
        <w:t>15</w:t>
      </w:r>
      <w:r>
        <w:rPr>
          <w:rFonts w:hint="eastAsia" w:ascii="宋体" w:hAnsi="宋体" w:eastAsia="宋体" w:cs="宋体"/>
          <w:color w:val="auto"/>
          <w:sz w:val="24"/>
        </w:rPr>
        <w:t>个工作日内出具检验报告，如因特殊情况需延长检验期限的，可另行约定。应节应急抽检、执法抽检等有特殊时限要求的，根据采购人要求加快检验。</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（3）对目前暂未有判定依据的项目应出具检测数值、检测方法介绍、结果分析和处理建议。</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12、技术服务工作的实施</w:t>
      </w:r>
    </w:p>
    <w:p>
      <w:pPr>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应根据采购人的工作需求，提供以下技术服务：</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（1）提升前沿检测分析、科研能力，积极参与工业产品相关标准或检测方法的制订。参与相关研究课题，为应对产品质量安全事件以及发现各类“潜规则”提供技术支持。</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工业产品</w:t>
      </w:r>
      <w:r>
        <w:rPr>
          <w:rFonts w:hint="eastAsia" w:ascii="宋体" w:hAnsi="宋体" w:eastAsia="宋体" w:cs="宋体"/>
          <w:color w:val="auto"/>
          <w:sz w:val="24"/>
        </w:rPr>
        <w:t>宣传活动中的咨询、检测、宣讲等服务。</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（3）新闻发布、危机应对、应急处置、专项抽检等相关工作中的技术支持。</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（4）安排专家接受咨询、参加研讨、提出建议等。</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（5）派出专家协助完成统计分析报告的编撰等技术服务等。</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（6）根据工作需要提出的其他技术服务。</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13、检验结果的处理</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应根据法律法规、标准规范和方案细则等要求出具检验结论和检验报告、遵循采购人制度和文件要求将检验结论送达采购人、属地区局和被抽检单位等相关各方；按采购人规定时限和要求，及时将抽检信息录入相关抽检系统。</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（2）检验结果的评估：</w:t>
      </w:r>
      <w:r>
        <w:rPr>
          <w:rFonts w:hint="eastAsia" w:ascii="宋体" w:hAnsi="宋体" w:eastAsia="宋体" w:cs="宋体"/>
          <w:color w:val="auto"/>
          <w:sz w:val="24"/>
          <w:lang w:eastAsia="zh-CN"/>
        </w:rPr>
        <w:t>供应商</w:t>
      </w:r>
      <w:r>
        <w:rPr>
          <w:rFonts w:hint="eastAsia" w:ascii="宋体" w:hAnsi="宋体" w:eastAsia="宋体" w:cs="宋体"/>
          <w:color w:val="auto"/>
          <w:sz w:val="24"/>
        </w:rPr>
        <w:t>应指派专人负责整理、分类、汇总抽检数据。</w:t>
      </w:r>
      <w:r>
        <w:rPr>
          <w:rFonts w:hint="eastAsia" w:ascii="宋体" w:hAnsi="宋体" w:eastAsia="宋体" w:cs="宋体"/>
          <w:color w:val="auto"/>
          <w:sz w:val="24"/>
          <w:lang w:eastAsia="zh-CN"/>
        </w:rPr>
        <w:t>供应商</w:t>
      </w:r>
      <w:r>
        <w:rPr>
          <w:rFonts w:hint="eastAsia" w:ascii="宋体" w:hAnsi="宋体" w:eastAsia="宋体" w:cs="宋体"/>
          <w:color w:val="auto"/>
          <w:sz w:val="24"/>
        </w:rPr>
        <w:t>应出具分析评估报告，对不合格项目进行原因及危害性分析评估，提出下一步检测意见和建议。</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供应商</w:t>
      </w:r>
      <w:r>
        <w:rPr>
          <w:rFonts w:hint="eastAsia" w:ascii="宋体" w:hAnsi="宋体" w:eastAsia="宋体" w:cs="宋体"/>
          <w:color w:val="auto"/>
          <w:sz w:val="24"/>
        </w:rPr>
        <w:t>应配合做好对被抽检单位提出的异议处理以及复检：</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（3.1）协助采购人处理被抽检单位提出的异议申请，根据采购人要求提供异议申请书面调查报告或答复。</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（3.2）初检机构配合有关复检工作，做好备用样品购置、确认和交接，复检机构依法开展复检工作。</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（3.3）</w:t>
      </w:r>
      <w:r>
        <w:rPr>
          <w:rFonts w:hint="eastAsia" w:ascii="宋体" w:hAnsi="宋体" w:cs="宋体"/>
          <w:color w:val="auto"/>
          <w:sz w:val="24"/>
          <w:szCs w:val="24"/>
        </w:rPr>
        <w:t>复检机构由</w:t>
      </w:r>
      <w:r>
        <w:rPr>
          <w:rFonts w:hint="eastAsia" w:ascii="宋体" w:hAnsi="宋体" w:cs="宋体"/>
          <w:color w:val="auto"/>
          <w:sz w:val="24"/>
          <w:szCs w:val="24"/>
          <w:lang w:val="en-US" w:eastAsia="zh-CN"/>
        </w:rPr>
        <w:t>采购人</w:t>
      </w:r>
      <w:r>
        <w:rPr>
          <w:rFonts w:hint="eastAsia" w:ascii="宋体" w:hAnsi="宋体" w:cs="宋体"/>
          <w:color w:val="auto"/>
          <w:sz w:val="24"/>
          <w:szCs w:val="24"/>
        </w:rPr>
        <w:t>指定。</w:t>
      </w:r>
      <w:r>
        <w:rPr>
          <w:rFonts w:hint="eastAsia" w:ascii="宋体" w:hAnsi="宋体" w:cs="宋体"/>
          <w:color w:val="auto"/>
          <w:sz w:val="24"/>
          <w:szCs w:val="24"/>
          <w:lang w:val="en-US" w:eastAsia="zh-CN"/>
        </w:rPr>
        <w:t>供应商</w:t>
      </w:r>
      <w:r>
        <w:rPr>
          <w:rFonts w:hint="eastAsia" w:ascii="宋体" w:hAnsi="宋体" w:cs="宋体"/>
          <w:color w:val="auto"/>
          <w:sz w:val="24"/>
          <w:szCs w:val="24"/>
        </w:rPr>
        <w:t>具备复检机构资格或资质时，</w:t>
      </w:r>
      <w:r>
        <w:rPr>
          <w:rFonts w:hint="eastAsia" w:ascii="宋体" w:hAnsi="宋体" w:eastAsia="宋体" w:cs="宋体"/>
          <w:color w:val="auto"/>
          <w:sz w:val="24"/>
        </w:rPr>
        <w:t>在接到采购人指定的复检任务时，无正当理由不得拒绝复检任务，确实无法承担复检任务的，应当在2个工作日内作出书面说明并与采购人协商解决。</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必须对涉及本项目抽检数据和结果等全部情况进行保密，不得向除采购人以及采购人指定的其下属市场监督管理部门以外的任何单位与个人透露情况。</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（5）为保证检验报告及有关公文的顺利送达，邮寄必须选择EMS。邮寄所需费用已包含在合同价格中，由</w:t>
      </w:r>
      <w:r>
        <w:rPr>
          <w:rFonts w:hint="eastAsia" w:ascii="宋体" w:hAnsi="宋体" w:eastAsia="宋体" w:cs="宋体"/>
          <w:color w:val="auto"/>
          <w:sz w:val="24"/>
          <w:lang w:eastAsia="zh-CN"/>
        </w:rPr>
        <w:t>供应商</w:t>
      </w:r>
      <w:r>
        <w:rPr>
          <w:rFonts w:hint="eastAsia" w:ascii="宋体" w:hAnsi="宋体" w:eastAsia="宋体" w:cs="宋体"/>
          <w:color w:val="auto"/>
          <w:sz w:val="24"/>
        </w:rPr>
        <w:t>承担。</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14、应急抽检和售后服务</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（1）采购人需要实施应急、执法等抽检时，</w:t>
      </w:r>
      <w:r>
        <w:rPr>
          <w:rFonts w:hint="eastAsia" w:ascii="宋体" w:hAnsi="宋体" w:eastAsia="宋体" w:cs="宋体"/>
          <w:color w:val="auto"/>
          <w:sz w:val="24"/>
          <w:lang w:eastAsia="zh-CN"/>
        </w:rPr>
        <w:t>供应商</w:t>
      </w:r>
      <w:r>
        <w:rPr>
          <w:rFonts w:hint="eastAsia" w:ascii="宋体" w:hAnsi="宋体" w:eastAsia="宋体" w:cs="宋体"/>
          <w:color w:val="auto"/>
          <w:sz w:val="24"/>
        </w:rPr>
        <w:t>应及时协助采购人制定抽检方案。并且，</w:t>
      </w:r>
      <w:r>
        <w:rPr>
          <w:rFonts w:hint="eastAsia" w:ascii="宋体" w:hAnsi="宋体" w:eastAsia="宋体" w:cs="宋体"/>
          <w:color w:val="auto"/>
          <w:sz w:val="24"/>
          <w:lang w:eastAsia="zh-CN"/>
        </w:rPr>
        <w:t>供应商</w:t>
      </w:r>
      <w:r>
        <w:rPr>
          <w:rFonts w:hint="eastAsia" w:ascii="宋体" w:hAnsi="宋体" w:eastAsia="宋体" w:cs="宋体"/>
          <w:color w:val="auto"/>
          <w:sz w:val="24"/>
        </w:rPr>
        <w:t>能够同时派出不少于5个抽样组（每组2人或以上），快速出动配合采购人进行抽检，从接到采购人指令起，2小时内到达现场。每组相关抽样设施须配备齐全（包括但不限于抽样车辆、抽样工具或符合要求的抽样容器等）。</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2</w:t>
      </w:r>
      <w:r>
        <w:rPr>
          <w:rFonts w:hint="eastAsia" w:ascii="宋体" w:hAnsi="宋体" w:eastAsia="宋体" w:cs="宋体"/>
          <w:color w:val="auto"/>
          <w:sz w:val="24"/>
        </w:rPr>
        <w:t>）</w:t>
      </w:r>
      <w:r>
        <w:rPr>
          <w:rFonts w:hint="eastAsia" w:ascii="宋体" w:hAnsi="宋体" w:eastAsia="宋体" w:cs="宋体"/>
          <w:color w:val="auto"/>
          <w:sz w:val="24"/>
          <w:lang w:val="en-US" w:eastAsia="zh-CN"/>
        </w:rPr>
        <w:t>采购人</w:t>
      </w:r>
      <w:r>
        <w:rPr>
          <w:rFonts w:hint="eastAsia" w:ascii="宋体" w:hAnsi="宋体" w:eastAsia="宋体" w:cs="宋体"/>
          <w:color w:val="auto"/>
          <w:sz w:val="24"/>
        </w:rPr>
        <w:t>对外发布有关产品质量安全信息事宜时，</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应根据</w:t>
      </w:r>
      <w:r>
        <w:rPr>
          <w:rFonts w:hint="eastAsia" w:ascii="宋体" w:hAnsi="宋体" w:eastAsia="宋体" w:cs="宋体"/>
          <w:color w:val="auto"/>
          <w:sz w:val="24"/>
          <w:lang w:val="en-US" w:eastAsia="zh-CN"/>
        </w:rPr>
        <w:t>采购人</w:t>
      </w:r>
      <w:r>
        <w:rPr>
          <w:rFonts w:hint="eastAsia" w:ascii="宋体" w:hAnsi="宋体" w:eastAsia="宋体" w:cs="宋体"/>
          <w:color w:val="auto"/>
          <w:sz w:val="24"/>
        </w:rPr>
        <w:t>要求安排相应产品质量安全专家予以支持。</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）在符合合同检验时限约定的前提下，</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应根据甲方要求及时迅速出具应急抽检结果报告。</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）当发生重大产品质量安全突发事件，或者广州市市场监管系统（含区市场监督管理局及其派出机构）在查办重大产品质量安全案件时，乙方应当及时响应，接到指令后第一时间到达现场。</w:t>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15、服务成果形式</w:t>
      </w:r>
    </w:p>
    <w:p>
      <w:pPr>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应按照专业操守尽职尽责，根据相关</w:t>
      </w:r>
      <w:r>
        <w:rPr>
          <w:rFonts w:hint="eastAsia" w:ascii="宋体" w:hAnsi="宋体" w:eastAsia="宋体" w:cs="宋体"/>
          <w:color w:val="auto"/>
          <w:sz w:val="24"/>
          <w:lang w:eastAsia="zh-CN"/>
        </w:rPr>
        <w:t>产品</w:t>
      </w:r>
      <w:r>
        <w:rPr>
          <w:rFonts w:hint="eastAsia" w:ascii="宋体" w:hAnsi="宋体" w:eastAsia="宋体" w:cs="宋体"/>
          <w:color w:val="auto"/>
          <w:sz w:val="24"/>
        </w:rPr>
        <w:t>标准规范进行样品的抽样、检验及判定工作，并且按约定日期出具检验报告；在采购人与</w:t>
      </w:r>
      <w:r>
        <w:rPr>
          <w:rFonts w:hint="eastAsia" w:ascii="宋体" w:hAnsi="宋体" w:eastAsia="宋体" w:cs="宋体"/>
          <w:color w:val="auto"/>
          <w:sz w:val="24"/>
          <w:lang w:eastAsia="zh-CN"/>
        </w:rPr>
        <w:t>供应商</w:t>
      </w:r>
      <w:r>
        <w:rPr>
          <w:rFonts w:hint="eastAsia" w:ascii="宋体" w:hAnsi="宋体" w:eastAsia="宋体" w:cs="宋体"/>
          <w:color w:val="auto"/>
          <w:sz w:val="24"/>
        </w:rPr>
        <w:t>的第三方客户同等的条件下，</w:t>
      </w:r>
      <w:r>
        <w:rPr>
          <w:rFonts w:hint="eastAsia" w:ascii="宋体" w:hAnsi="宋体" w:eastAsia="宋体" w:cs="宋体"/>
          <w:color w:val="auto"/>
          <w:sz w:val="24"/>
          <w:lang w:eastAsia="zh-CN"/>
        </w:rPr>
        <w:t>供应商</w:t>
      </w:r>
      <w:r>
        <w:rPr>
          <w:rFonts w:hint="eastAsia" w:ascii="宋体" w:hAnsi="宋体" w:eastAsia="宋体" w:cs="宋体"/>
          <w:color w:val="auto"/>
          <w:sz w:val="24"/>
        </w:rPr>
        <w:t>应优先完成对采购人的测试任务。服务成果提交形式及要求：</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应按照采购人抽检文件要求，出具检验报告，将抽样信息、检验信息等，按规定时限及要求录入相关抽检系统。</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供应商</w:t>
      </w:r>
      <w:r>
        <w:rPr>
          <w:rFonts w:hint="eastAsia" w:ascii="宋体" w:hAnsi="宋体" w:eastAsia="宋体" w:cs="宋体"/>
          <w:color w:val="auto"/>
          <w:sz w:val="24"/>
        </w:rPr>
        <w:t>应该按照采购人监督抽检工作相关要求，使用统一的工作文书进行汇总及总结。</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（3）工作总结应通俗易懂，引用数据应准确权威。</w:t>
      </w:r>
    </w:p>
    <w:p>
      <w:pPr>
        <w:spacing w:line="360" w:lineRule="auto"/>
        <w:rPr>
          <w:rFonts w:hint="eastAsia" w:ascii="宋体" w:hAnsi="宋体" w:eastAsia="宋体" w:cs="宋体"/>
          <w:color w:val="auto"/>
          <w:sz w:val="24"/>
        </w:rPr>
      </w:pPr>
      <w:r>
        <w:rPr>
          <w:rFonts w:hint="eastAsia" w:ascii="宋体" w:hAnsi="宋体" w:eastAsia="宋体" w:cs="宋体"/>
          <w:color w:val="auto"/>
          <w:sz w:val="24"/>
        </w:rPr>
        <w:t>上述材料报送的时限和方式按采购人有关要求提交。</w:t>
      </w:r>
    </w:p>
    <w:p>
      <w:pPr>
        <w:numPr>
          <w:ilvl w:val="0"/>
          <w:numId w:val="1"/>
        </w:numPr>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采购需求</w:t>
      </w:r>
      <w:r>
        <w:rPr>
          <w:rFonts w:hint="eastAsia" w:ascii="宋体" w:hAnsi="宋体" w:eastAsia="宋体" w:cs="宋体"/>
          <w:b/>
          <w:bCs/>
          <w:color w:val="auto"/>
          <w:sz w:val="24"/>
          <w:lang w:val="en-US" w:eastAsia="zh-CN"/>
        </w:rPr>
        <w:t>附件2</w:t>
      </w:r>
    </w:p>
    <w:p>
      <w:pPr>
        <w:numPr>
          <w:ilvl w:val="0"/>
          <w:numId w:val="0"/>
        </w:numP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附件2 </w:t>
      </w:r>
      <w:r>
        <w:rPr>
          <w:rFonts w:hint="eastAsia" w:ascii="宋体" w:hAnsi="宋体" w:eastAsia="宋体" w:cs="宋体"/>
          <w:color w:val="auto"/>
          <w:sz w:val="24"/>
        </w:rPr>
        <w:t>《</w:t>
      </w:r>
      <w:r>
        <w:rPr>
          <w:rFonts w:hint="eastAsia" w:ascii="宋体" w:hAnsi="宋体" w:eastAsia="宋体" w:cs="宋体"/>
          <w:b/>
          <w:color w:val="auto"/>
          <w:sz w:val="24"/>
        </w:rPr>
        <w:t>检验项目响应表</w:t>
      </w:r>
      <w:r>
        <w:rPr>
          <w:rFonts w:hint="eastAsia" w:ascii="宋体" w:hAnsi="宋体" w:eastAsia="宋体" w:cs="宋体"/>
          <w:color w:val="auto"/>
          <w:sz w:val="24"/>
        </w:rPr>
        <w:t>》（另附）</w:t>
      </w:r>
    </w:p>
    <w:p>
      <w:pPr>
        <w:spacing w:line="360" w:lineRule="auto"/>
        <w:rPr>
          <w:rFonts w:hint="eastAsia" w:ascii="宋体" w:hAnsi="宋体" w:eastAsia="宋体" w:cs="宋体"/>
          <w:color w:val="auto"/>
          <w:sz w:val="24"/>
        </w:rPr>
      </w:pPr>
    </w:p>
    <w:p>
      <w:pPr>
        <w:spacing w:line="360" w:lineRule="auto"/>
        <w:rPr>
          <w:rFonts w:hint="eastAsia" w:ascii="宋体" w:hAnsi="宋体" w:eastAsia="宋体" w:cs="宋体"/>
          <w:b/>
          <w:bCs/>
          <w:color w:val="auto"/>
          <w:sz w:val="24"/>
          <w:szCs w:val="24"/>
        </w:rPr>
      </w:pPr>
    </w:p>
    <w:p>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本次调查的初步需求是</w:t>
      </w:r>
      <w:r>
        <w:rPr>
          <w:rFonts w:hint="eastAsia" w:ascii="宋体" w:hAnsi="宋体" w:eastAsia="宋体" w:cs="宋体"/>
          <w:b/>
          <w:bCs/>
          <w:color w:val="auto"/>
          <w:sz w:val="24"/>
          <w:szCs w:val="24"/>
          <w:lang w:val="en-US" w:eastAsia="zh-CN"/>
        </w:rPr>
        <w:t>采购人</w:t>
      </w:r>
      <w:r>
        <w:rPr>
          <w:rFonts w:hint="eastAsia" w:ascii="宋体" w:hAnsi="宋体" w:eastAsia="宋体" w:cs="宋体"/>
          <w:b/>
          <w:bCs/>
          <w:color w:val="auto"/>
          <w:sz w:val="24"/>
          <w:szCs w:val="24"/>
        </w:rPr>
        <w:t>根据</w:t>
      </w:r>
      <w:bookmarkStart w:id="0" w:name="_GoBack"/>
      <w:bookmarkEnd w:id="0"/>
      <w:r>
        <w:rPr>
          <w:rFonts w:hint="eastAsia" w:ascii="宋体" w:hAnsi="宋体" w:eastAsia="宋体" w:cs="宋体"/>
          <w:b/>
          <w:bCs/>
          <w:color w:val="auto"/>
          <w:sz w:val="24"/>
          <w:szCs w:val="24"/>
        </w:rPr>
        <w:t>以往年度执行情况及实际需要进行的初步安排，具体采购项目情况以相关采购公告和采购文件为准。</w:t>
      </w:r>
      <w:r>
        <w:rPr>
          <w:rFonts w:hint="eastAsia" w:ascii="宋体" w:hAnsi="宋体" w:eastAsia="宋体" w:cs="宋体"/>
          <w:b/>
          <w:bCs/>
          <w:color w:val="auto"/>
          <w:sz w:val="24"/>
          <w:szCs w:val="24"/>
          <w:lang w:eastAsia="zh-CN"/>
        </w:rPr>
        <w:t>）</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7"/>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9C9FD7"/>
    <w:multiLevelType w:val="singleLevel"/>
    <w:tmpl w:val="779C9FD7"/>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OTA1ZDQzMGEzNWRkNDhlMTE5ZTE1ZmQzYjZjM2EifQ=="/>
    <w:docVar w:name="KGWebUrl" w:val="http://59.37.7.85:11336/seeyon/officeservlet"/>
  </w:docVars>
  <w:rsids>
    <w:rsidRoot w:val="003B592A"/>
    <w:rsid w:val="00010809"/>
    <w:rsid w:val="00042D82"/>
    <w:rsid w:val="0004300C"/>
    <w:rsid w:val="00043C3E"/>
    <w:rsid w:val="000672AC"/>
    <w:rsid w:val="00074A49"/>
    <w:rsid w:val="00084467"/>
    <w:rsid w:val="00084FF6"/>
    <w:rsid w:val="0009278E"/>
    <w:rsid w:val="00093035"/>
    <w:rsid w:val="000D3FE7"/>
    <w:rsid w:val="00100DEB"/>
    <w:rsid w:val="0011583C"/>
    <w:rsid w:val="00123250"/>
    <w:rsid w:val="0013275E"/>
    <w:rsid w:val="00162C49"/>
    <w:rsid w:val="00164C1E"/>
    <w:rsid w:val="00165DB3"/>
    <w:rsid w:val="0016683D"/>
    <w:rsid w:val="0017626A"/>
    <w:rsid w:val="001A7200"/>
    <w:rsid w:val="001B6E67"/>
    <w:rsid w:val="001C4184"/>
    <w:rsid w:val="001C55A0"/>
    <w:rsid w:val="001C571E"/>
    <w:rsid w:val="001E05C6"/>
    <w:rsid w:val="001E418F"/>
    <w:rsid w:val="001E4B91"/>
    <w:rsid w:val="001F6B88"/>
    <w:rsid w:val="002226F8"/>
    <w:rsid w:val="002310F2"/>
    <w:rsid w:val="002424E4"/>
    <w:rsid w:val="00245CB1"/>
    <w:rsid w:val="00261B84"/>
    <w:rsid w:val="00265AB5"/>
    <w:rsid w:val="0027199C"/>
    <w:rsid w:val="00277273"/>
    <w:rsid w:val="002D1EA3"/>
    <w:rsid w:val="002D2DEF"/>
    <w:rsid w:val="002E14C2"/>
    <w:rsid w:val="002E2133"/>
    <w:rsid w:val="003018DD"/>
    <w:rsid w:val="0030766C"/>
    <w:rsid w:val="00314929"/>
    <w:rsid w:val="003378E8"/>
    <w:rsid w:val="00345007"/>
    <w:rsid w:val="00356409"/>
    <w:rsid w:val="00356F91"/>
    <w:rsid w:val="00363AA4"/>
    <w:rsid w:val="00396E36"/>
    <w:rsid w:val="003B2C45"/>
    <w:rsid w:val="003B4450"/>
    <w:rsid w:val="003B592A"/>
    <w:rsid w:val="003C2B2E"/>
    <w:rsid w:val="003D0205"/>
    <w:rsid w:val="003E58C1"/>
    <w:rsid w:val="003F1DC9"/>
    <w:rsid w:val="004503F9"/>
    <w:rsid w:val="004569C4"/>
    <w:rsid w:val="00463003"/>
    <w:rsid w:val="00466B62"/>
    <w:rsid w:val="0047764D"/>
    <w:rsid w:val="00486DC9"/>
    <w:rsid w:val="004A421A"/>
    <w:rsid w:val="004B38FC"/>
    <w:rsid w:val="004C0BEC"/>
    <w:rsid w:val="004C25CE"/>
    <w:rsid w:val="004C58FF"/>
    <w:rsid w:val="004D58E0"/>
    <w:rsid w:val="004D5DBC"/>
    <w:rsid w:val="004D77D5"/>
    <w:rsid w:val="004E2519"/>
    <w:rsid w:val="004E357A"/>
    <w:rsid w:val="004E5A37"/>
    <w:rsid w:val="004F228C"/>
    <w:rsid w:val="00510299"/>
    <w:rsid w:val="00517F0D"/>
    <w:rsid w:val="0052198A"/>
    <w:rsid w:val="00534A80"/>
    <w:rsid w:val="00541862"/>
    <w:rsid w:val="00560F03"/>
    <w:rsid w:val="0057131E"/>
    <w:rsid w:val="00576D8C"/>
    <w:rsid w:val="00586F25"/>
    <w:rsid w:val="00590467"/>
    <w:rsid w:val="005C2A3F"/>
    <w:rsid w:val="005C51B5"/>
    <w:rsid w:val="005F4CA3"/>
    <w:rsid w:val="00602704"/>
    <w:rsid w:val="00610AD8"/>
    <w:rsid w:val="00622396"/>
    <w:rsid w:val="006600BE"/>
    <w:rsid w:val="0066046A"/>
    <w:rsid w:val="0066080A"/>
    <w:rsid w:val="0068290B"/>
    <w:rsid w:val="00682DCC"/>
    <w:rsid w:val="00685CF9"/>
    <w:rsid w:val="006921DD"/>
    <w:rsid w:val="00696E6B"/>
    <w:rsid w:val="00697DB8"/>
    <w:rsid w:val="006A040F"/>
    <w:rsid w:val="006A188C"/>
    <w:rsid w:val="006B769E"/>
    <w:rsid w:val="006C5F07"/>
    <w:rsid w:val="006D32A1"/>
    <w:rsid w:val="006D4ED9"/>
    <w:rsid w:val="006D54C6"/>
    <w:rsid w:val="006F1B1B"/>
    <w:rsid w:val="00702B7D"/>
    <w:rsid w:val="00703B6C"/>
    <w:rsid w:val="00705A64"/>
    <w:rsid w:val="007317DE"/>
    <w:rsid w:val="0075743D"/>
    <w:rsid w:val="007576C9"/>
    <w:rsid w:val="00760E71"/>
    <w:rsid w:val="00762D2D"/>
    <w:rsid w:val="00766015"/>
    <w:rsid w:val="00773AD2"/>
    <w:rsid w:val="00786467"/>
    <w:rsid w:val="007A4D00"/>
    <w:rsid w:val="007A7B1C"/>
    <w:rsid w:val="007B3169"/>
    <w:rsid w:val="007C35DC"/>
    <w:rsid w:val="007C6EE6"/>
    <w:rsid w:val="007D4669"/>
    <w:rsid w:val="007D5919"/>
    <w:rsid w:val="007E7401"/>
    <w:rsid w:val="007F34F0"/>
    <w:rsid w:val="008245EB"/>
    <w:rsid w:val="00833726"/>
    <w:rsid w:val="008415C0"/>
    <w:rsid w:val="008528C9"/>
    <w:rsid w:val="00881402"/>
    <w:rsid w:val="008902C0"/>
    <w:rsid w:val="00893438"/>
    <w:rsid w:val="008968A8"/>
    <w:rsid w:val="00896ED1"/>
    <w:rsid w:val="008B1776"/>
    <w:rsid w:val="008E2E9D"/>
    <w:rsid w:val="008F511D"/>
    <w:rsid w:val="00910420"/>
    <w:rsid w:val="00910736"/>
    <w:rsid w:val="00914A23"/>
    <w:rsid w:val="00921594"/>
    <w:rsid w:val="00922161"/>
    <w:rsid w:val="00923A7D"/>
    <w:rsid w:val="0092736D"/>
    <w:rsid w:val="009415D5"/>
    <w:rsid w:val="009519AD"/>
    <w:rsid w:val="009653D3"/>
    <w:rsid w:val="0097526C"/>
    <w:rsid w:val="00996655"/>
    <w:rsid w:val="009B1C9A"/>
    <w:rsid w:val="009C2774"/>
    <w:rsid w:val="009C324C"/>
    <w:rsid w:val="009D67EB"/>
    <w:rsid w:val="00A13A3B"/>
    <w:rsid w:val="00A14282"/>
    <w:rsid w:val="00A240B3"/>
    <w:rsid w:val="00A5117C"/>
    <w:rsid w:val="00A649D4"/>
    <w:rsid w:val="00A650C6"/>
    <w:rsid w:val="00A8237C"/>
    <w:rsid w:val="00A977BD"/>
    <w:rsid w:val="00AB2B37"/>
    <w:rsid w:val="00AB6879"/>
    <w:rsid w:val="00AB7870"/>
    <w:rsid w:val="00AB7DCA"/>
    <w:rsid w:val="00AD1A5D"/>
    <w:rsid w:val="00AD238E"/>
    <w:rsid w:val="00AD7D0B"/>
    <w:rsid w:val="00B00553"/>
    <w:rsid w:val="00B015F7"/>
    <w:rsid w:val="00B03FA5"/>
    <w:rsid w:val="00B06E00"/>
    <w:rsid w:val="00B17345"/>
    <w:rsid w:val="00B22B1A"/>
    <w:rsid w:val="00B2512F"/>
    <w:rsid w:val="00B35234"/>
    <w:rsid w:val="00B52DAC"/>
    <w:rsid w:val="00B6259E"/>
    <w:rsid w:val="00B67310"/>
    <w:rsid w:val="00B7526C"/>
    <w:rsid w:val="00B87C9B"/>
    <w:rsid w:val="00B918D4"/>
    <w:rsid w:val="00B924F6"/>
    <w:rsid w:val="00BA1600"/>
    <w:rsid w:val="00BC2797"/>
    <w:rsid w:val="00BC778B"/>
    <w:rsid w:val="00BE7C18"/>
    <w:rsid w:val="00BF2D7B"/>
    <w:rsid w:val="00C05D14"/>
    <w:rsid w:val="00C21166"/>
    <w:rsid w:val="00C31E54"/>
    <w:rsid w:val="00C46F1E"/>
    <w:rsid w:val="00C51EF7"/>
    <w:rsid w:val="00C5760A"/>
    <w:rsid w:val="00C86D27"/>
    <w:rsid w:val="00C87994"/>
    <w:rsid w:val="00C93C65"/>
    <w:rsid w:val="00C94177"/>
    <w:rsid w:val="00CB68BF"/>
    <w:rsid w:val="00CC3A83"/>
    <w:rsid w:val="00CD0E46"/>
    <w:rsid w:val="00D01862"/>
    <w:rsid w:val="00D03A62"/>
    <w:rsid w:val="00D1030C"/>
    <w:rsid w:val="00D354A1"/>
    <w:rsid w:val="00D356FA"/>
    <w:rsid w:val="00D6402C"/>
    <w:rsid w:val="00D6486C"/>
    <w:rsid w:val="00D75FD1"/>
    <w:rsid w:val="00D90FFB"/>
    <w:rsid w:val="00DA2298"/>
    <w:rsid w:val="00DB0C56"/>
    <w:rsid w:val="00DB122E"/>
    <w:rsid w:val="00DB65F9"/>
    <w:rsid w:val="00DE27F6"/>
    <w:rsid w:val="00DF1D3B"/>
    <w:rsid w:val="00DF30BA"/>
    <w:rsid w:val="00E23517"/>
    <w:rsid w:val="00E26D4B"/>
    <w:rsid w:val="00E26FDE"/>
    <w:rsid w:val="00E454EA"/>
    <w:rsid w:val="00E60F7A"/>
    <w:rsid w:val="00E665D9"/>
    <w:rsid w:val="00E74915"/>
    <w:rsid w:val="00E771EA"/>
    <w:rsid w:val="00E93284"/>
    <w:rsid w:val="00EA573A"/>
    <w:rsid w:val="00EA6F14"/>
    <w:rsid w:val="00EB2359"/>
    <w:rsid w:val="00EB4BF8"/>
    <w:rsid w:val="00EB62FB"/>
    <w:rsid w:val="00EC317E"/>
    <w:rsid w:val="00EC7744"/>
    <w:rsid w:val="00ED4E80"/>
    <w:rsid w:val="00EE0225"/>
    <w:rsid w:val="00EE6134"/>
    <w:rsid w:val="00EF3593"/>
    <w:rsid w:val="00F06900"/>
    <w:rsid w:val="00F51700"/>
    <w:rsid w:val="00F55449"/>
    <w:rsid w:val="00F55A33"/>
    <w:rsid w:val="00F6625C"/>
    <w:rsid w:val="00F869C8"/>
    <w:rsid w:val="00FA4592"/>
    <w:rsid w:val="00FA7EA1"/>
    <w:rsid w:val="00FB38CA"/>
    <w:rsid w:val="00FC2E28"/>
    <w:rsid w:val="00FC5B98"/>
    <w:rsid w:val="00FD26D9"/>
    <w:rsid w:val="00FF2553"/>
    <w:rsid w:val="03076C69"/>
    <w:rsid w:val="033C6BCA"/>
    <w:rsid w:val="04C86E7C"/>
    <w:rsid w:val="054162A1"/>
    <w:rsid w:val="05B8176F"/>
    <w:rsid w:val="060E4C09"/>
    <w:rsid w:val="08013BA0"/>
    <w:rsid w:val="08BD0334"/>
    <w:rsid w:val="0DA6628E"/>
    <w:rsid w:val="0F3028C3"/>
    <w:rsid w:val="111725D3"/>
    <w:rsid w:val="1259258F"/>
    <w:rsid w:val="13AD7185"/>
    <w:rsid w:val="157D3A21"/>
    <w:rsid w:val="192561AE"/>
    <w:rsid w:val="1A623182"/>
    <w:rsid w:val="1AE24BB1"/>
    <w:rsid w:val="1CFD2F9D"/>
    <w:rsid w:val="1DAE0F41"/>
    <w:rsid w:val="1DE60E9A"/>
    <w:rsid w:val="1F0B19A2"/>
    <w:rsid w:val="1FC50506"/>
    <w:rsid w:val="1FE74FE7"/>
    <w:rsid w:val="208333FB"/>
    <w:rsid w:val="240605A5"/>
    <w:rsid w:val="256A68CC"/>
    <w:rsid w:val="25D23219"/>
    <w:rsid w:val="263109CC"/>
    <w:rsid w:val="26A43EDE"/>
    <w:rsid w:val="27862302"/>
    <w:rsid w:val="27B47031"/>
    <w:rsid w:val="2AE3228B"/>
    <w:rsid w:val="2C404639"/>
    <w:rsid w:val="305F4F6B"/>
    <w:rsid w:val="31C634CD"/>
    <w:rsid w:val="32454C2D"/>
    <w:rsid w:val="36256F0A"/>
    <w:rsid w:val="37835DCB"/>
    <w:rsid w:val="37D93F26"/>
    <w:rsid w:val="3BF32CE6"/>
    <w:rsid w:val="3F002F99"/>
    <w:rsid w:val="3F1257D6"/>
    <w:rsid w:val="3F1E3061"/>
    <w:rsid w:val="3F2B5BC8"/>
    <w:rsid w:val="3FBC7BEE"/>
    <w:rsid w:val="481D3489"/>
    <w:rsid w:val="48352A6A"/>
    <w:rsid w:val="4A315335"/>
    <w:rsid w:val="4BE807F1"/>
    <w:rsid w:val="4E2024B7"/>
    <w:rsid w:val="4E66500D"/>
    <w:rsid w:val="4ED84B4D"/>
    <w:rsid w:val="54A31759"/>
    <w:rsid w:val="55570F0B"/>
    <w:rsid w:val="58BC23F6"/>
    <w:rsid w:val="5BFBD57A"/>
    <w:rsid w:val="5C385FB3"/>
    <w:rsid w:val="5F521927"/>
    <w:rsid w:val="603E1EA1"/>
    <w:rsid w:val="62DE3695"/>
    <w:rsid w:val="68470119"/>
    <w:rsid w:val="6877067E"/>
    <w:rsid w:val="6A4859CC"/>
    <w:rsid w:val="6CB05F52"/>
    <w:rsid w:val="6CF5D1E1"/>
    <w:rsid w:val="6E620924"/>
    <w:rsid w:val="6EBD7AF3"/>
    <w:rsid w:val="6F767078"/>
    <w:rsid w:val="6FDD070D"/>
    <w:rsid w:val="71B7B9EF"/>
    <w:rsid w:val="72B95432"/>
    <w:rsid w:val="73C3551C"/>
    <w:rsid w:val="78265887"/>
    <w:rsid w:val="78AC2ABC"/>
    <w:rsid w:val="7AB92771"/>
    <w:rsid w:val="7CDD98B2"/>
    <w:rsid w:val="7CFE703D"/>
    <w:rsid w:val="7D700AFF"/>
    <w:rsid w:val="7E5E530E"/>
    <w:rsid w:val="7EE80B8C"/>
    <w:rsid w:val="7FB64187"/>
    <w:rsid w:val="BDBD2407"/>
    <w:rsid w:val="C3F2B7E8"/>
    <w:rsid w:val="ED7B396E"/>
    <w:rsid w:val="F3B5BDE1"/>
    <w:rsid w:val="F9B78569"/>
    <w:rsid w:val="FDF672E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nhideWhenUsed="0" w:uiPriority="1" w:semiHidden="0"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3"/>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4"/>
    <w:semiHidden/>
    <w:unhideWhenUsed/>
    <w:qFormat/>
    <w:uiPriority w:val="9"/>
    <w:pPr>
      <w:spacing w:beforeAutospacing="1" w:afterAutospacing="1"/>
      <w:jc w:val="left"/>
      <w:outlineLvl w:val="1"/>
    </w:pPr>
    <w:rPr>
      <w:rFonts w:hint="eastAsia" w:ascii="宋体" w:hAnsi="宋体" w:eastAsia="宋体" w:cs="Times New Roman"/>
      <w:b/>
      <w:bCs/>
      <w:kern w:val="0"/>
      <w:sz w:val="36"/>
      <w:szCs w:val="36"/>
    </w:rPr>
  </w:style>
  <w:style w:type="paragraph" w:styleId="5">
    <w:name w:val="heading 3"/>
    <w:basedOn w:val="1"/>
    <w:next w:val="1"/>
    <w:link w:val="35"/>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paragraph" w:styleId="6">
    <w:name w:val="heading 5"/>
    <w:basedOn w:val="1"/>
    <w:next w:val="1"/>
    <w:qFormat/>
    <w:uiPriority w:val="1"/>
    <w:pPr>
      <w:ind w:left="232"/>
      <w:outlineLvl w:val="4"/>
    </w:pPr>
    <w:rPr>
      <w:b/>
      <w:bCs/>
      <w:sz w:val="24"/>
      <w:szCs w:val="24"/>
    </w:rPr>
  </w:style>
  <w:style w:type="paragraph" w:styleId="7">
    <w:name w:val="heading 7"/>
    <w:basedOn w:val="1"/>
    <w:next w:val="1"/>
    <w:qFormat/>
    <w:uiPriority w:val="1"/>
    <w:pPr>
      <w:ind w:left="660"/>
      <w:outlineLvl w:val="6"/>
    </w:pPr>
    <w:rPr>
      <w:b/>
      <w:bCs/>
      <w:szCs w:val="21"/>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43"/>
    <w:unhideWhenUsed/>
    <w:qFormat/>
    <w:uiPriority w:val="99"/>
    <w:pPr>
      <w:spacing w:after="120"/>
    </w:pPr>
  </w:style>
  <w:style w:type="paragraph" w:styleId="8">
    <w:name w:val="toc 7"/>
    <w:basedOn w:val="1"/>
    <w:next w:val="1"/>
    <w:unhideWhenUsed/>
    <w:qFormat/>
    <w:uiPriority w:val="39"/>
    <w:pPr>
      <w:ind w:left="1260"/>
      <w:jc w:val="left"/>
    </w:pPr>
    <w:rPr>
      <w:rFonts w:cstheme="minorHAnsi"/>
      <w:sz w:val="20"/>
      <w:szCs w:val="20"/>
    </w:rPr>
  </w:style>
  <w:style w:type="paragraph" w:styleId="9">
    <w:name w:val="Document Map"/>
    <w:basedOn w:val="1"/>
    <w:link w:val="40"/>
    <w:unhideWhenUsed/>
    <w:qFormat/>
    <w:uiPriority w:val="99"/>
    <w:rPr>
      <w:rFonts w:ascii="宋体" w:eastAsia="宋体"/>
      <w:sz w:val="18"/>
      <w:szCs w:val="18"/>
    </w:rPr>
  </w:style>
  <w:style w:type="paragraph" w:styleId="10">
    <w:name w:val="annotation text"/>
    <w:basedOn w:val="1"/>
    <w:link w:val="41"/>
    <w:unhideWhenUsed/>
    <w:qFormat/>
    <w:uiPriority w:val="0"/>
    <w:pPr>
      <w:jc w:val="left"/>
    </w:pPr>
  </w:style>
  <w:style w:type="paragraph" w:styleId="11">
    <w:name w:val="Body Text 3"/>
    <w:basedOn w:val="1"/>
    <w:link w:val="42"/>
    <w:qFormat/>
    <w:uiPriority w:val="0"/>
    <w:pPr>
      <w:spacing w:after="120"/>
    </w:pPr>
    <w:rPr>
      <w:rFonts w:ascii="Times New Roman" w:hAnsi="Times New Roman" w:eastAsia="宋体" w:cs="Times New Roman"/>
      <w:sz w:val="16"/>
      <w:szCs w:val="16"/>
    </w:rPr>
  </w:style>
  <w:style w:type="paragraph" w:styleId="12">
    <w:name w:val="toc 5"/>
    <w:basedOn w:val="1"/>
    <w:next w:val="1"/>
    <w:unhideWhenUsed/>
    <w:qFormat/>
    <w:uiPriority w:val="39"/>
    <w:pPr>
      <w:ind w:left="840"/>
      <w:jc w:val="left"/>
    </w:pPr>
    <w:rPr>
      <w:rFonts w:cstheme="minorHAnsi"/>
      <w:sz w:val="20"/>
      <w:szCs w:val="20"/>
    </w:rPr>
  </w:style>
  <w:style w:type="paragraph" w:styleId="13">
    <w:name w:val="toc 3"/>
    <w:basedOn w:val="1"/>
    <w:next w:val="1"/>
    <w:unhideWhenUsed/>
    <w:qFormat/>
    <w:uiPriority w:val="39"/>
    <w:pPr>
      <w:ind w:left="420"/>
      <w:jc w:val="left"/>
    </w:pPr>
    <w:rPr>
      <w:rFonts w:cstheme="minorHAnsi"/>
      <w:sz w:val="20"/>
      <w:szCs w:val="20"/>
    </w:rPr>
  </w:style>
  <w:style w:type="paragraph" w:styleId="14">
    <w:name w:val="Plain Text"/>
    <w:basedOn w:val="1"/>
    <w:qFormat/>
    <w:uiPriority w:val="99"/>
    <w:rPr>
      <w:rFonts w:ascii="宋体" w:hAnsi="Courier New"/>
    </w:rPr>
  </w:style>
  <w:style w:type="paragraph" w:styleId="15">
    <w:name w:val="toc 8"/>
    <w:basedOn w:val="1"/>
    <w:next w:val="1"/>
    <w:unhideWhenUsed/>
    <w:qFormat/>
    <w:uiPriority w:val="39"/>
    <w:pPr>
      <w:ind w:left="1470"/>
      <w:jc w:val="left"/>
    </w:pPr>
    <w:rPr>
      <w:rFonts w:cstheme="minorHAnsi"/>
      <w:sz w:val="20"/>
      <w:szCs w:val="20"/>
    </w:rPr>
  </w:style>
  <w:style w:type="paragraph" w:styleId="16">
    <w:name w:val="Balloon Text"/>
    <w:basedOn w:val="1"/>
    <w:link w:val="44"/>
    <w:unhideWhenUsed/>
    <w:qFormat/>
    <w:uiPriority w:val="99"/>
    <w:rPr>
      <w:sz w:val="18"/>
      <w:szCs w:val="18"/>
    </w:rPr>
  </w:style>
  <w:style w:type="paragraph" w:styleId="17">
    <w:name w:val="footer"/>
    <w:basedOn w:val="1"/>
    <w:link w:val="36"/>
    <w:qFormat/>
    <w:uiPriority w:val="99"/>
    <w:pPr>
      <w:tabs>
        <w:tab w:val="center" w:pos="4153"/>
        <w:tab w:val="right" w:pos="8306"/>
      </w:tabs>
      <w:snapToGrid w:val="0"/>
      <w:jc w:val="left"/>
    </w:pPr>
    <w:rPr>
      <w:sz w:val="18"/>
      <w:szCs w:val="18"/>
    </w:rPr>
  </w:style>
  <w:style w:type="paragraph" w:styleId="18">
    <w:name w:val="header"/>
    <w:basedOn w:val="1"/>
    <w:link w:val="37"/>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spacing w:before="240" w:after="120"/>
      <w:jc w:val="left"/>
    </w:pPr>
    <w:rPr>
      <w:rFonts w:cstheme="minorHAnsi"/>
      <w:b/>
      <w:bCs/>
      <w:sz w:val="20"/>
      <w:szCs w:val="20"/>
    </w:rPr>
  </w:style>
  <w:style w:type="paragraph" w:styleId="20">
    <w:name w:val="toc 4"/>
    <w:basedOn w:val="1"/>
    <w:next w:val="1"/>
    <w:unhideWhenUsed/>
    <w:qFormat/>
    <w:uiPriority w:val="39"/>
    <w:pPr>
      <w:ind w:left="630"/>
      <w:jc w:val="left"/>
    </w:pPr>
    <w:rPr>
      <w:rFonts w:cstheme="minorHAnsi"/>
      <w:sz w:val="20"/>
      <w:szCs w:val="20"/>
    </w:rPr>
  </w:style>
  <w:style w:type="paragraph" w:styleId="21">
    <w:name w:val="toc 6"/>
    <w:basedOn w:val="1"/>
    <w:next w:val="1"/>
    <w:unhideWhenUsed/>
    <w:qFormat/>
    <w:uiPriority w:val="39"/>
    <w:pPr>
      <w:ind w:left="1050"/>
      <w:jc w:val="left"/>
    </w:pPr>
    <w:rPr>
      <w:rFonts w:cstheme="minorHAnsi"/>
      <w:sz w:val="20"/>
      <w:szCs w:val="20"/>
    </w:rPr>
  </w:style>
  <w:style w:type="paragraph" w:styleId="22">
    <w:name w:val="toc 2"/>
    <w:basedOn w:val="1"/>
    <w:next w:val="1"/>
    <w:unhideWhenUsed/>
    <w:qFormat/>
    <w:uiPriority w:val="39"/>
    <w:pPr>
      <w:spacing w:before="120"/>
      <w:ind w:left="210"/>
      <w:jc w:val="left"/>
    </w:pPr>
    <w:rPr>
      <w:rFonts w:cstheme="minorHAnsi"/>
      <w:i/>
      <w:iCs/>
      <w:sz w:val="20"/>
      <w:szCs w:val="20"/>
    </w:rPr>
  </w:style>
  <w:style w:type="paragraph" w:styleId="23">
    <w:name w:val="toc 9"/>
    <w:basedOn w:val="1"/>
    <w:next w:val="1"/>
    <w:unhideWhenUsed/>
    <w:qFormat/>
    <w:uiPriority w:val="39"/>
    <w:pPr>
      <w:ind w:left="1680"/>
      <w:jc w:val="left"/>
    </w:pPr>
    <w:rPr>
      <w:rFonts w:cstheme="minorHAnsi"/>
      <w:sz w:val="20"/>
      <w:szCs w:val="20"/>
    </w:rPr>
  </w:style>
  <w:style w:type="paragraph" w:styleId="2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5">
    <w:name w:val="annotation subject"/>
    <w:basedOn w:val="10"/>
    <w:next w:val="10"/>
    <w:link w:val="45"/>
    <w:unhideWhenUsed/>
    <w:qFormat/>
    <w:uiPriority w:val="99"/>
    <w:rPr>
      <w:b/>
      <w:bCs/>
    </w:rPr>
  </w:style>
  <w:style w:type="table" w:styleId="27">
    <w:name w:val="Table Grid"/>
    <w:basedOn w:val="26"/>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22"/>
    <w:rPr>
      <w:b/>
      <w:bCs/>
    </w:rPr>
  </w:style>
  <w:style w:type="character" w:styleId="30">
    <w:name w:val="Emphasis"/>
    <w:qFormat/>
    <w:uiPriority w:val="0"/>
    <w:rPr>
      <w:rFonts w:ascii="Tahoma" w:hAnsi="Tahoma" w:eastAsia="宋体"/>
      <w:snapToGrid/>
      <w:color w:val="auto"/>
      <w:kern w:val="2"/>
      <w:sz w:val="28"/>
      <w:lang w:val="en-US" w:eastAsia="zh-CN" w:bidi="ar-SA"/>
    </w:rPr>
  </w:style>
  <w:style w:type="character" w:styleId="31">
    <w:name w:val="Hyperlink"/>
    <w:qFormat/>
    <w:uiPriority w:val="99"/>
    <w:rPr>
      <w:color w:val="0000FF"/>
      <w:u w:val="single"/>
    </w:rPr>
  </w:style>
  <w:style w:type="character" w:styleId="32">
    <w:name w:val="annotation reference"/>
    <w:basedOn w:val="28"/>
    <w:unhideWhenUsed/>
    <w:qFormat/>
    <w:uiPriority w:val="0"/>
    <w:rPr>
      <w:sz w:val="21"/>
      <w:szCs w:val="21"/>
    </w:rPr>
  </w:style>
  <w:style w:type="character" w:customStyle="1" w:styleId="33">
    <w:name w:val="标题 1 字符"/>
    <w:basedOn w:val="28"/>
    <w:link w:val="3"/>
    <w:qFormat/>
    <w:uiPriority w:val="9"/>
    <w:rPr>
      <w:b/>
      <w:bCs/>
      <w:kern w:val="44"/>
      <w:sz w:val="44"/>
      <w:szCs w:val="44"/>
    </w:rPr>
  </w:style>
  <w:style w:type="character" w:customStyle="1" w:styleId="34">
    <w:name w:val="标题 2 字符"/>
    <w:basedOn w:val="28"/>
    <w:link w:val="4"/>
    <w:semiHidden/>
    <w:qFormat/>
    <w:uiPriority w:val="9"/>
    <w:rPr>
      <w:rFonts w:ascii="宋体" w:hAnsi="宋体" w:eastAsia="宋体" w:cs="Times New Roman"/>
      <w:b/>
      <w:bCs/>
      <w:kern w:val="0"/>
      <w:sz w:val="36"/>
      <w:szCs w:val="36"/>
    </w:rPr>
  </w:style>
  <w:style w:type="character" w:customStyle="1" w:styleId="35">
    <w:name w:val="标题 3 字符"/>
    <w:basedOn w:val="28"/>
    <w:link w:val="5"/>
    <w:qFormat/>
    <w:uiPriority w:val="9"/>
    <w:rPr>
      <w:rFonts w:ascii="宋体" w:hAnsi="宋体" w:eastAsia="宋体" w:cs="宋体"/>
      <w:b/>
      <w:bCs/>
      <w:kern w:val="0"/>
      <w:sz w:val="27"/>
      <w:szCs w:val="27"/>
    </w:rPr>
  </w:style>
  <w:style w:type="character" w:customStyle="1" w:styleId="36">
    <w:name w:val="页脚 字符"/>
    <w:basedOn w:val="28"/>
    <w:link w:val="17"/>
    <w:qFormat/>
    <w:uiPriority w:val="99"/>
    <w:rPr>
      <w:sz w:val="18"/>
      <w:szCs w:val="18"/>
    </w:rPr>
  </w:style>
  <w:style w:type="character" w:customStyle="1" w:styleId="37">
    <w:name w:val="页眉 字符"/>
    <w:basedOn w:val="28"/>
    <w:link w:val="18"/>
    <w:qFormat/>
    <w:uiPriority w:val="99"/>
    <w:rPr>
      <w:sz w:val="18"/>
      <w:szCs w:val="18"/>
    </w:rPr>
  </w:style>
  <w:style w:type="character" w:customStyle="1" w:styleId="38">
    <w:name w:val="font51"/>
    <w:basedOn w:val="28"/>
    <w:qFormat/>
    <w:uiPriority w:val="0"/>
    <w:rPr>
      <w:rFonts w:ascii="Calibri" w:hAnsi="Calibri" w:cs="Calibri"/>
      <w:b/>
      <w:color w:val="000000"/>
      <w:sz w:val="22"/>
      <w:szCs w:val="22"/>
      <w:u w:val="none"/>
    </w:rPr>
  </w:style>
  <w:style w:type="character" w:customStyle="1" w:styleId="39">
    <w:name w:val="font61"/>
    <w:basedOn w:val="28"/>
    <w:qFormat/>
    <w:uiPriority w:val="0"/>
    <w:rPr>
      <w:rFonts w:hint="eastAsia" w:ascii="宋体" w:hAnsi="宋体" w:eastAsia="宋体" w:cs="宋体"/>
      <w:b/>
      <w:color w:val="000000"/>
      <w:sz w:val="22"/>
      <w:szCs w:val="22"/>
      <w:u w:val="none"/>
    </w:rPr>
  </w:style>
  <w:style w:type="character" w:customStyle="1" w:styleId="40">
    <w:name w:val="文档结构图 字符"/>
    <w:basedOn w:val="28"/>
    <w:link w:val="9"/>
    <w:qFormat/>
    <w:uiPriority w:val="99"/>
    <w:rPr>
      <w:rFonts w:ascii="宋体" w:eastAsia="宋体"/>
      <w:sz w:val="18"/>
      <w:szCs w:val="18"/>
    </w:rPr>
  </w:style>
  <w:style w:type="character" w:customStyle="1" w:styleId="41">
    <w:name w:val="批注文字 字符"/>
    <w:basedOn w:val="28"/>
    <w:link w:val="10"/>
    <w:qFormat/>
    <w:uiPriority w:val="0"/>
  </w:style>
  <w:style w:type="character" w:customStyle="1" w:styleId="42">
    <w:name w:val="正文文本 3 字符"/>
    <w:basedOn w:val="28"/>
    <w:link w:val="11"/>
    <w:qFormat/>
    <w:uiPriority w:val="0"/>
    <w:rPr>
      <w:rFonts w:ascii="Times New Roman" w:hAnsi="Times New Roman" w:eastAsia="宋体" w:cs="Times New Roman"/>
      <w:sz w:val="16"/>
      <w:szCs w:val="16"/>
    </w:rPr>
  </w:style>
  <w:style w:type="character" w:customStyle="1" w:styleId="43">
    <w:name w:val="正文文本 字符"/>
    <w:basedOn w:val="28"/>
    <w:link w:val="2"/>
    <w:qFormat/>
    <w:uiPriority w:val="99"/>
  </w:style>
  <w:style w:type="character" w:customStyle="1" w:styleId="44">
    <w:name w:val="批注框文本 字符"/>
    <w:basedOn w:val="28"/>
    <w:link w:val="16"/>
    <w:qFormat/>
    <w:uiPriority w:val="99"/>
    <w:rPr>
      <w:sz w:val="18"/>
      <w:szCs w:val="18"/>
    </w:rPr>
  </w:style>
  <w:style w:type="character" w:customStyle="1" w:styleId="45">
    <w:name w:val="批注主题 字符"/>
    <w:basedOn w:val="41"/>
    <w:link w:val="25"/>
    <w:qFormat/>
    <w:uiPriority w:val="99"/>
    <w:rPr>
      <w:b/>
      <w:bCs/>
    </w:rPr>
  </w:style>
  <w:style w:type="character" w:customStyle="1" w:styleId="46">
    <w:name w:val="正文缩进2格 Char"/>
    <w:link w:val="47"/>
    <w:qFormat/>
    <w:uiPriority w:val="0"/>
    <w:rPr>
      <w:rFonts w:ascii="仿宋_GB2312" w:hAnsi="宋体" w:eastAsia="仿宋_GB2312"/>
      <w:sz w:val="31"/>
      <w:szCs w:val="28"/>
    </w:rPr>
  </w:style>
  <w:style w:type="paragraph" w:customStyle="1" w:styleId="47">
    <w:name w:val="正文缩进2格"/>
    <w:basedOn w:val="1"/>
    <w:link w:val="46"/>
    <w:qFormat/>
    <w:uiPriority w:val="0"/>
    <w:pPr>
      <w:spacing w:after="120" w:line="600" w:lineRule="exact"/>
      <w:ind w:firstLine="639" w:firstLineChars="206"/>
    </w:pPr>
    <w:rPr>
      <w:rFonts w:ascii="仿宋_GB2312" w:hAnsi="宋体" w:eastAsia="仿宋_GB2312"/>
      <w:sz w:val="31"/>
      <w:szCs w:val="28"/>
    </w:rPr>
  </w:style>
  <w:style w:type="character" w:customStyle="1" w:styleId="48">
    <w:name w:val="fontblue"/>
    <w:basedOn w:val="28"/>
    <w:qFormat/>
    <w:uiPriority w:val="0"/>
  </w:style>
  <w:style w:type="character" w:customStyle="1" w:styleId="49">
    <w:name w:val="表正文 Char"/>
    <w:qFormat/>
    <w:uiPriority w:val="0"/>
    <w:rPr>
      <w:rFonts w:eastAsia="仿宋_GB2312"/>
      <w:kern w:val="2"/>
      <w:sz w:val="30"/>
      <w:lang w:val="en-US" w:eastAsia="zh-CN" w:bidi="ar-SA"/>
    </w:rPr>
  </w:style>
  <w:style w:type="paragraph" w:customStyle="1" w:styleId="50">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51">
    <w:name w:val="无间隔1"/>
    <w:qFormat/>
    <w:uiPriority w:val="0"/>
    <w:rPr>
      <w:rFonts w:ascii="Times New Roman" w:hAnsi="Times New Roman" w:eastAsia="宋体" w:cs="Times New Roman"/>
      <w:sz w:val="22"/>
      <w:szCs w:val="22"/>
      <w:lang w:val="en-GB" w:eastAsia="zh-CN" w:bidi="ar-SA"/>
    </w:rPr>
  </w:style>
  <w:style w:type="paragraph" w:customStyle="1" w:styleId="52">
    <w:name w:val="修订1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53">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styleId="54">
    <w:name w:val="List Paragraph"/>
    <w:basedOn w:val="1"/>
    <w:qFormat/>
    <w:uiPriority w:val="34"/>
    <w:pPr>
      <w:ind w:firstLine="420" w:firstLineChars="200"/>
    </w:pPr>
  </w:style>
  <w:style w:type="paragraph" w:customStyle="1" w:styleId="55">
    <w:name w:val="Table Paragraph"/>
    <w:basedOn w:val="1"/>
    <w:qFormat/>
    <w:uiPriority w:val="0"/>
  </w:style>
  <w:style w:type="table" w:customStyle="1" w:styleId="56">
    <w:name w:val="Table Normal"/>
    <w:semiHidden/>
    <w:unhideWhenUsed/>
    <w:qFormat/>
    <w:uiPriority w:val="2"/>
    <w:tblPr>
      <w:tblCellMar>
        <w:top w:w="0" w:type="dxa"/>
        <w:left w:w="0" w:type="dxa"/>
        <w:bottom w:w="0" w:type="dxa"/>
        <w:right w:w="0" w:type="dxa"/>
      </w:tblCellMar>
    </w:tblPr>
  </w:style>
  <w:style w:type="paragraph" w:customStyle="1" w:styleId="57">
    <w:name w:val="正文 New New New"/>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0"/>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5</Pages>
  <Words>3460</Words>
  <Characters>3499</Characters>
  <Lines>98</Lines>
  <Paragraphs>27</Paragraphs>
  <TotalTime>15</TotalTime>
  <ScaleCrop>false</ScaleCrop>
  <LinksUpToDate>false</LinksUpToDate>
  <CharactersWithSpaces>3500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2022-12-24T23:15:00Z</dcterms:created>
  <dc:creator>lys</dc:creator>
  <cp:lastModifiedBy>志正招标</cp:lastModifiedBy>
  <dcterms:modified xsi:type="dcterms:W3CDTF">2026-01-13T09:16:30Z</dcterms:modified>
  <cp:revision>136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85CDB4CADF7A4DB9869D59B0A10D882A</vt:lpwstr>
  </property>
  <property fmtid="{D5CDD505-2E9C-101B-9397-08002B2CF9AE}" pid="4" name="KSOTemplateDocerSaveRecord">
    <vt:lpwstr>eyJoZGlkIjoiNzI0MDc1NTZkYWE2MDAyMGE0N2M3ZGMwYzJjNTViNDYiLCJ1c2VySWQiOiIyNDQ2ODk3ODIifQ==</vt:lpwstr>
  </property>
</Properties>
</file>