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279EF"/>
    <w:p w14:paraId="3DF633F1"/>
    <w:p w14:paraId="212C3DF0">
      <w:r>
        <w:br w:type="textWrapping"/>
      </w:r>
      <w:r>
        <w:br w:type="textWrapping"/>
      </w:r>
      <w:r>
        <w:br w:type="textWrapping"/>
      </w:r>
      <w:r>
        <w:br w:type="textWrapping"/>
      </w:r>
      <w:r>
        <w:br w:type="textWrapping"/>
      </w:r>
    </w:p>
    <w:p w14:paraId="0BA493DF">
      <w:pPr>
        <w:jc w:val="center"/>
        <w:rPr>
          <w:b/>
          <w:sz w:val="48"/>
        </w:rPr>
      </w:pPr>
    </w:p>
    <w:p w14:paraId="5157BC77">
      <w:pPr>
        <w:jc w:val="center"/>
        <w:rPr>
          <w:b/>
          <w:sz w:val="48"/>
        </w:rPr>
      </w:pPr>
      <w:r>
        <w:rPr>
          <w:rFonts w:hint="eastAsia"/>
          <w:b/>
          <w:sz w:val="48"/>
        </w:rPr>
        <w:t>院内竞争性磋商文件</w:t>
      </w:r>
    </w:p>
    <w:p w14:paraId="66682BD3">
      <w:pPr>
        <w:jc w:val="center"/>
      </w:pP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7460AD1">
      <w:pPr>
        <w:jc w:val="center"/>
        <w:rPr>
          <w:rFonts w:hint="eastAsia" w:eastAsiaTheme="minorEastAsia"/>
          <w:lang w:eastAsia="zh-CN"/>
        </w:rPr>
      </w:pPr>
      <w:r>
        <w:rPr>
          <w:b/>
          <w:sz w:val="24"/>
        </w:rPr>
        <w:t>采购项目编号：</w:t>
      </w:r>
      <w:r>
        <w:rPr>
          <w:rFonts w:hint="eastAsia"/>
          <w:b/>
          <w:sz w:val="24"/>
          <w:lang w:eastAsia="zh-CN"/>
        </w:rPr>
        <w:t>ZZ0250571</w:t>
      </w:r>
    </w:p>
    <w:p w14:paraId="33DD7093">
      <w:pPr>
        <w:jc w:val="center"/>
        <w:rPr>
          <w:rFonts w:hint="eastAsia" w:eastAsiaTheme="minorEastAsia"/>
          <w:lang w:eastAsia="zh-CN"/>
        </w:rPr>
      </w:pPr>
      <w:r>
        <w:rPr>
          <w:b/>
          <w:sz w:val="24"/>
        </w:rPr>
        <w:t>项目名称：</w:t>
      </w:r>
      <w:bookmarkStart w:id="116" w:name="_GoBack"/>
      <w:r>
        <w:rPr>
          <w:rFonts w:hint="eastAsia"/>
          <w:b/>
          <w:sz w:val="24"/>
          <w:lang w:eastAsia="zh-CN"/>
        </w:rPr>
        <w:t>广州市海珠区中医医院2025-2026年医疗责任保险项目</w:t>
      </w:r>
      <w:bookmarkEnd w:id="116"/>
    </w:p>
    <w:p w14:paraId="13C0CF4C">
      <w:pPr>
        <w:jc w:val="center"/>
      </w:pPr>
      <w:r>
        <w:rPr>
          <w:b/>
          <w:sz w:val="24"/>
        </w:rPr>
        <w:t>采购人：广州市海珠区中医医院</w:t>
      </w:r>
    </w:p>
    <w:p w14:paraId="19301BE0">
      <w:pPr>
        <w:jc w:val="center"/>
        <w:rPr>
          <w:rFonts w:hint="eastAsia" w:eastAsiaTheme="minorEastAsia"/>
          <w:lang w:eastAsia="zh-CN"/>
        </w:rPr>
      </w:pPr>
      <w:r>
        <w:rPr>
          <w:b/>
          <w:sz w:val="24"/>
        </w:rPr>
        <w:t>采购代理机构：</w:t>
      </w:r>
      <w:r>
        <w:rPr>
          <w:rFonts w:hint="eastAsia"/>
          <w:b/>
          <w:sz w:val="24"/>
          <w:lang w:eastAsia="zh-CN"/>
        </w:rPr>
        <w:t>广东志正招标有限公司</w:t>
      </w:r>
    </w:p>
    <w:p w14:paraId="2605547D">
      <w:pPr>
        <w:ind w:firstLine="480"/>
      </w:pPr>
    </w:p>
    <w:p w14:paraId="79DE81E4">
      <w:r>
        <w:t xml:space="preserve"> </w:t>
      </w:r>
    </w:p>
    <w:p w14:paraId="015EF824"/>
    <w:p w14:paraId="67EBE90E">
      <w:pPr>
        <w:widowControl/>
        <w:jc w:val="left"/>
        <w:rPr>
          <w:b/>
          <w:sz w:val="36"/>
        </w:rPr>
      </w:pPr>
      <w:r>
        <w:rPr>
          <w:b/>
          <w:sz w:val="36"/>
        </w:rPr>
        <w:br w:type="page"/>
      </w:r>
    </w:p>
    <w:sdt>
      <w:sdtPr>
        <w:rPr>
          <w:rFonts w:asciiTheme="minorHAnsi" w:hAnsiTheme="minorHAnsi" w:eastAsiaTheme="minorEastAsia" w:cstheme="minorBidi"/>
          <w:color w:val="auto"/>
          <w:kern w:val="2"/>
          <w:sz w:val="21"/>
          <w:szCs w:val="24"/>
          <w:lang w:val="zh-CN"/>
        </w:rPr>
        <w:id w:val="-1140952296"/>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14:paraId="7226184D">
          <w:pPr>
            <w:pStyle w:val="35"/>
            <w:jc w:val="center"/>
          </w:pPr>
          <w:r>
            <w:rPr>
              <w:lang w:val="zh-CN"/>
            </w:rPr>
            <w:t>目录</w:t>
          </w:r>
        </w:p>
        <w:p w14:paraId="1265A0E3">
          <w:pPr>
            <w:pStyle w:val="14"/>
            <w:tabs>
              <w:tab w:val="right" w:leader="dot" w:pos="9746"/>
              <w:tab w:val="clear" w:pos="8296"/>
            </w:tabs>
          </w:pPr>
          <w:r>
            <w:fldChar w:fldCharType="begin"/>
          </w:r>
          <w:r>
            <w:instrText xml:space="preserve"> TOC \o "1-3" \h \z \u </w:instrText>
          </w:r>
          <w:r>
            <w:fldChar w:fldCharType="separate"/>
          </w:r>
          <w:r>
            <w:fldChar w:fldCharType="begin"/>
          </w:r>
          <w:r>
            <w:instrText xml:space="preserve"> HYPERLINK \l "_Toc25419" </w:instrText>
          </w:r>
          <w:r>
            <w:fldChar w:fldCharType="separate"/>
          </w:r>
          <w:r>
            <w:t>第一章 磋商邀请</w:t>
          </w:r>
          <w:r>
            <w:tab/>
          </w:r>
          <w:r>
            <w:fldChar w:fldCharType="begin"/>
          </w:r>
          <w:r>
            <w:instrText xml:space="preserve"> PAGEREF _Toc25419 \h </w:instrText>
          </w:r>
          <w:r>
            <w:fldChar w:fldCharType="separate"/>
          </w:r>
          <w:r>
            <w:t>3</w:t>
          </w:r>
          <w:r>
            <w:fldChar w:fldCharType="end"/>
          </w:r>
          <w:r>
            <w:fldChar w:fldCharType="end"/>
          </w:r>
        </w:p>
        <w:p w14:paraId="26AC0EF8">
          <w:pPr>
            <w:pStyle w:val="16"/>
            <w:tabs>
              <w:tab w:val="right" w:leader="dot" w:pos="9746"/>
              <w:tab w:val="clear" w:pos="8296"/>
            </w:tabs>
          </w:pPr>
          <w:r>
            <w:fldChar w:fldCharType="begin"/>
          </w:r>
          <w:r>
            <w:instrText xml:space="preserve"> HYPERLINK \l "_Toc8319" </w:instrText>
          </w:r>
          <w:r>
            <w:fldChar w:fldCharType="separate"/>
          </w:r>
          <w:r>
            <w:t>一.项目概述</w:t>
          </w:r>
          <w:r>
            <w:tab/>
          </w:r>
          <w:r>
            <w:fldChar w:fldCharType="begin"/>
          </w:r>
          <w:r>
            <w:instrText xml:space="preserve"> PAGEREF _Toc8319 \h </w:instrText>
          </w:r>
          <w:r>
            <w:fldChar w:fldCharType="separate"/>
          </w:r>
          <w:r>
            <w:t>3</w:t>
          </w:r>
          <w:r>
            <w:fldChar w:fldCharType="end"/>
          </w:r>
          <w:r>
            <w:fldChar w:fldCharType="end"/>
          </w:r>
        </w:p>
        <w:p w14:paraId="55F6EE1E">
          <w:pPr>
            <w:pStyle w:val="16"/>
            <w:tabs>
              <w:tab w:val="right" w:leader="dot" w:pos="9746"/>
              <w:tab w:val="clear" w:pos="8296"/>
            </w:tabs>
          </w:pPr>
          <w:r>
            <w:fldChar w:fldCharType="begin"/>
          </w:r>
          <w:r>
            <w:instrText xml:space="preserve"> HYPERLINK \l "_Toc16702" </w:instrText>
          </w:r>
          <w:r>
            <w:fldChar w:fldCharType="separate"/>
          </w:r>
          <w:r>
            <w:t>二.供应商的资格要求</w:t>
          </w:r>
          <w:r>
            <w:tab/>
          </w:r>
          <w:r>
            <w:fldChar w:fldCharType="begin"/>
          </w:r>
          <w:r>
            <w:instrText xml:space="preserve"> PAGEREF _Toc16702 \h </w:instrText>
          </w:r>
          <w:r>
            <w:fldChar w:fldCharType="separate"/>
          </w:r>
          <w:r>
            <w:t>3</w:t>
          </w:r>
          <w:r>
            <w:fldChar w:fldCharType="end"/>
          </w:r>
          <w:r>
            <w:fldChar w:fldCharType="end"/>
          </w:r>
        </w:p>
        <w:p w14:paraId="48C3C8DD">
          <w:pPr>
            <w:pStyle w:val="16"/>
            <w:tabs>
              <w:tab w:val="right" w:leader="dot" w:pos="9746"/>
              <w:tab w:val="clear" w:pos="8296"/>
            </w:tabs>
          </w:pPr>
          <w:r>
            <w:fldChar w:fldCharType="begin"/>
          </w:r>
          <w:r>
            <w:instrText xml:space="preserve"> HYPERLINK \l "_Toc29920" </w:instrText>
          </w:r>
          <w:r>
            <w:fldChar w:fldCharType="separate"/>
          </w:r>
          <w:r>
            <w:t>三.获取磋商文件</w:t>
          </w:r>
          <w:r>
            <w:tab/>
          </w:r>
          <w:r>
            <w:fldChar w:fldCharType="begin"/>
          </w:r>
          <w:r>
            <w:instrText xml:space="preserve"> PAGEREF _Toc29920 \h </w:instrText>
          </w:r>
          <w:r>
            <w:fldChar w:fldCharType="separate"/>
          </w:r>
          <w:r>
            <w:t>4</w:t>
          </w:r>
          <w:r>
            <w:fldChar w:fldCharType="end"/>
          </w:r>
          <w:r>
            <w:fldChar w:fldCharType="end"/>
          </w:r>
        </w:p>
        <w:p w14:paraId="6AF82008">
          <w:pPr>
            <w:pStyle w:val="16"/>
            <w:tabs>
              <w:tab w:val="right" w:leader="dot" w:pos="9746"/>
              <w:tab w:val="clear" w:pos="8296"/>
            </w:tabs>
          </w:pPr>
          <w:r>
            <w:fldChar w:fldCharType="begin"/>
          </w:r>
          <w:r>
            <w:instrText xml:space="preserve"> HYPERLINK \l "_Toc31628" </w:instrText>
          </w:r>
          <w:r>
            <w:fldChar w:fldCharType="separate"/>
          </w:r>
          <w:r>
            <w:t>四.提交响应文件截止时间、开启时间和地点：</w:t>
          </w:r>
          <w:r>
            <w:tab/>
          </w:r>
          <w:r>
            <w:fldChar w:fldCharType="begin"/>
          </w:r>
          <w:r>
            <w:instrText xml:space="preserve"> PAGEREF _Toc31628 \h </w:instrText>
          </w:r>
          <w:r>
            <w:fldChar w:fldCharType="separate"/>
          </w:r>
          <w:r>
            <w:t>4</w:t>
          </w:r>
          <w:r>
            <w:fldChar w:fldCharType="end"/>
          </w:r>
          <w:r>
            <w:fldChar w:fldCharType="end"/>
          </w:r>
        </w:p>
        <w:p w14:paraId="434E04A1">
          <w:pPr>
            <w:pStyle w:val="16"/>
            <w:tabs>
              <w:tab w:val="right" w:leader="dot" w:pos="9746"/>
              <w:tab w:val="clear" w:pos="8296"/>
            </w:tabs>
          </w:pPr>
          <w:r>
            <w:fldChar w:fldCharType="begin"/>
          </w:r>
          <w:r>
            <w:instrText xml:space="preserve"> HYPERLINK \l "_Toc6463" </w:instrText>
          </w:r>
          <w:r>
            <w:fldChar w:fldCharType="separate"/>
          </w:r>
          <w:r>
            <w:t>五.公告期限、发布公告的媒介：</w:t>
          </w:r>
          <w:r>
            <w:tab/>
          </w:r>
          <w:r>
            <w:fldChar w:fldCharType="begin"/>
          </w:r>
          <w:r>
            <w:instrText xml:space="preserve"> PAGEREF _Toc6463 \h </w:instrText>
          </w:r>
          <w:r>
            <w:fldChar w:fldCharType="separate"/>
          </w:r>
          <w:r>
            <w:t>4</w:t>
          </w:r>
          <w:r>
            <w:fldChar w:fldCharType="end"/>
          </w:r>
          <w:r>
            <w:fldChar w:fldCharType="end"/>
          </w:r>
        </w:p>
        <w:p w14:paraId="73263C06">
          <w:pPr>
            <w:pStyle w:val="16"/>
            <w:tabs>
              <w:tab w:val="right" w:leader="dot" w:pos="9746"/>
              <w:tab w:val="clear" w:pos="8296"/>
            </w:tabs>
          </w:pPr>
          <w:r>
            <w:fldChar w:fldCharType="begin"/>
          </w:r>
          <w:r>
            <w:instrText xml:space="preserve"> HYPERLINK \l "_Toc10161" </w:instrText>
          </w:r>
          <w:r>
            <w:fldChar w:fldCharType="separate"/>
          </w:r>
          <w:r>
            <w:t>六.本项目联系方式：</w:t>
          </w:r>
          <w:r>
            <w:tab/>
          </w:r>
          <w:r>
            <w:fldChar w:fldCharType="begin"/>
          </w:r>
          <w:r>
            <w:instrText xml:space="preserve"> PAGEREF _Toc10161 \h </w:instrText>
          </w:r>
          <w:r>
            <w:fldChar w:fldCharType="separate"/>
          </w:r>
          <w:r>
            <w:t>5</w:t>
          </w:r>
          <w:r>
            <w:fldChar w:fldCharType="end"/>
          </w:r>
          <w:r>
            <w:fldChar w:fldCharType="end"/>
          </w:r>
        </w:p>
        <w:p w14:paraId="2FA02B37">
          <w:pPr>
            <w:pStyle w:val="14"/>
            <w:tabs>
              <w:tab w:val="right" w:leader="dot" w:pos="9746"/>
              <w:tab w:val="clear" w:pos="8296"/>
            </w:tabs>
          </w:pPr>
          <w:r>
            <w:fldChar w:fldCharType="begin"/>
          </w:r>
          <w:r>
            <w:instrText xml:space="preserve"> HYPERLINK \l "_Toc4013" </w:instrText>
          </w:r>
          <w:r>
            <w:fldChar w:fldCharType="separate"/>
          </w:r>
          <w:r>
            <w:t>第二章 采购需求</w:t>
          </w:r>
          <w:r>
            <w:tab/>
          </w:r>
          <w:r>
            <w:fldChar w:fldCharType="begin"/>
          </w:r>
          <w:r>
            <w:instrText xml:space="preserve"> PAGEREF _Toc4013 \h </w:instrText>
          </w:r>
          <w:r>
            <w:fldChar w:fldCharType="separate"/>
          </w:r>
          <w:r>
            <w:t>6</w:t>
          </w:r>
          <w:r>
            <w:fldChar w:fldCharType="end"/>
          </w:r>
          <w:r>
            <w:fldChar w:fldCharType="end"/>
          </w:r>
        </w:p>
        <w:p w14:paraId="175A285D">
          <w:pPr>
            <w:pStyle w:val="16"/>
            <w:tabs>
              <w:tab w:val="right" w:leader="dot" w:pos="9746"/>
              <w:tab w:val="clear" w:pos="8296"/>
            </w:tabs>
          </w:pPr>
          <w:r>
            <w:fldChar w:fldCharType="begin"/>
          </w:r>
          <w:r>
            <w:instrText xml:space="preserve"> HYPERLINK \l "_Toc32752" </w:instrText>
          </w:r>
          <w:r>
            <w:fldChar w:fldCharType="separate"/>
          </w:r>
          <w:r>
            <w:t>一、项目概况：</w:t>
          </w:r>
          <w:r>
            <w:tab/>
          </w:r>
          <w:r>
            <w:fldChar w:fldCharType="begin"/>
          </w:r>
          <w:r>
            <w:instrText xml:space="preserve"> PAGEREF _Toc32752 \h </w:instrText>
          </w:r>
          <w:r>
            <w:fldChar w:fldCharType="separate"/>
          </w:r>
          <w:r>
            <w:t>6</w:t>
          </w:r>
          <w:r>
            <w:fldChar w:fldCharType="end"/>
          </w:r>
          <w:r>
            <w:fldChar w:fldCharType="end"/>
          </w:r>
        </w:p>
        <w:p w14:paraId="6415A359">
          <w:pPr>
            <w:pStyle w:val="16"/>
            <w:tabs>
              <w:tab w:val="right" w:leader="dot" w:pos="9746"/>
              <w:tab w:val="clear" w:pos="8296"/>
            </w:tabs>
          </w:pPr>
          <w:r>
            <w:fldChar w:fldCharType="begin"/>
          </w:r>
          <w:r>
            <w:instrText xml:space="preserve"> HYPERLINK \l "_Toc20463" </w:instrText>
          </w:r>
          <w:r>
            <w:fldChar w:fldCharType="separate"/>
          </w:r>
          <w:r>
            <w:rPr>
              <w:rFonts w:hint="eastAsia"/>
            </w:rPr>
            <w:t>二、采购需求</w:t>
          </w:r>
          <w:r>
            <w:tab/>
          </w:r>
          <w:r>
            <w:fldChar w:fldCharType="begin"/>
          </w:r>
          <w:r>
            <w:instrText xml:space="preserve"> PAGEREF _Toc20463 \h </w:instrText>
          </w:r>
          <w:r>
            <w:fldChar w:fldCharType="separate"/>
          </w:r>
          <w:r>
            <w:t>7</w:t>
          </w:r>
          <w:r>
            <w:fldChar w:fldCharType="end"/>
          </w:r>
          <w:r>
            <w:fldChar w:fldCharType="end"/>
          </w:r>
        </w:p>
        <w:p w14:paraId="0BCEE23F">
          <w:pPr>
            <w:pStyle w:val="9"/>
            <w:tabs>
              <w:tab w:val="right" w:leader="dot" w:pos="9746"/>
            </w:tabs>
          </w:pPr>
          <w:r>
            <w:fldChar w:fldCharType="begin"/>
          </w:r>
          <w:r>
            <w:instrText xml:space="preserve"> HYPERLINK \l "_Toc28999" </w:instrText>
          </w:r>
          <w:r>
            <w:fldChar w:fldCharType="separate"/>
          </w:r>
          <w:r>
            <w:t>1.主要商务要求</w:t>
          </w:r>
          <w:r>
            <w:tab/>
          </w:r>
          <w:r>
            <w:fldChar w:fldCharType="begin"/>
          </w:r>
          <w:r>
            <w:instrText xml:space="preserve"> PAGEREF _Toc28999 \h </w:instrText>
          </w:r>
          <w:r>
            <w:fldChar w:fldCharType="separate"/>
          </w:r>
          <w:r>
            <w:t>7</w:t>
          </w:r>
          <w:r>
            <w:fldChar w:fldCharType="end"/>
          </w:r>
          <w:r>
            <w:fldChar w:fldCharType="end"/>
          </w:r>
        </w:p>
        <w:p w14:paraId="7BB909D0">
          <w:pPr>
            <w:pStyle w:val="9"/>
            <w:tabs>
              <w:tab w:val="right" w:leader="dot" w:pos="9746"/>
            </w:tabs>
          </w:pPr>
          <w:r>
            <w:fldChar w:fldCharType="begin"/>
          </w:r>
          <w:r>
            <w:instrText xml:space="preserve"> HYPERLINK \l "_Toc15923" </w:instrText>
          </w:r>
          <w:r>
            <w:fldChar w:fldCharType="separate"/>
          </w:r>
          <w:r>
            <w:t>2.技术标准与要求</w:t>
          </w:r>
          <w:r>
            <w:tab/>
          </w:r>
          <w:r>
            <w:fldChar w:fldCharType="begin"/>
          </w:r>
          <w:r>
            <w:instrText xml:space="preserve"> PAGEREF _Toc15923 \h </w:instrText>
          </w:r>
          <w:r>
            <w:fldChar w:fldCharType="separate"/>
          </w:r>
          <w:r>
            <w:t>7</w:t>
          </w:r>
          <w:r>
            <w:fldChar w:fldCharType="end"/>
          </w:r>
          <w:r>
            <w:fldChar w:fldCharType="end"/>
          </w:r>
        </w:p>
        <w:p w14:paraId="323CA930">
          <w:pPr>
            <w:pStyle w:val="14"/>
            <w:tabs>
              <w:tab w:val="right" w:leader="dot" w:pos="9746"/>
              <w:tab w:val="clear" w:pos="8296"/>
            </w:tabs>
          </w:pPr>
          <w:r>
            <w:fldChar w:fldCharType="begin"/>
          </w:r>
          <w:r>
            <w:instrText xml:space="preserve"> HYPERLINK \l "_Toc21960" </w:instrText>
          </w:r>
          <w:r>
            <w:fldChar w:fldCharType="separate"/>
          </w:r>
          <w:r>
            <w:t>第三章 供应商须知</w:t>
          </w:r>
          <w:r>
            <w:tab/>
          </w:r>
          <w:r>
            <w:fldChar w:fldCharType="begin"/>
          </w:r>
          <w:r>
            <w:instrText xml:space="preserve"> PAGEREF _Toc21960 \h </w:instrText>
          </w:r>
          <w:r>
            <w:fldChar w:fldCharType="separate"/>
          </w:r>
          <w:r>
            <w:t>13</w:t>
          </w:r>
          <w:r>
            <w:fldChar w:fldCharType="end"/>
          </w:r>
          <w:r>
            <w:fldChar w:fldCharType="end"/>
          </w:r>
        </w:p>
        <w:p w14:paraId="67925300">
          <w:pPr>
            <w:pStyle w:val="16"/>
            <w:tabs>
              <w:tab w:val="right" w:leader="dot" w:pos="9746"/>
              <w:tab w:val="clear" w:pos="8296"/>
            </w:tabs>
          </w:pPr>
          <w:r>
            <w:fldChar w:fldCharType="begin"/>
          </w:r>
          <w:r>
            <w:instrText xml:space="preserve"> HYPERLINK \l "_Toc8303" </w:instrText>
          </w:r>
          <w:r>
            <w:fldChar w:fldCharType="separate"/>
          </w:r>
          <w:r>
            <w:t>一、名词解释</w:t>
          </w:r>
          <w:r>
            <w:tab/>
          </w:r>
          <w:r>
            <w:fldChar w:fldCharType="begin"/>
          </w:r>
          <w:r>
            <w:instrText xml:space="preserve"> PAGEREF _Toc8303 \h </w:instrText>
          </w:r>
          <w:r>
            <w:fldChar w:fldCharType="separate"/>
          </w:r>
          <w:r>
            <w:t>13</w:t>
          </w:r>
          <w:r>
            <w:fldChar w:fldCharType="end"/>
          </w:r>
          <w:r>
            <w:fldChar w:fldCharType="end"/>
          </w:r>
        </w:p>
        <w:p w14:paraId="6DCE364D">
          <w:pPr>
            <w:pStyle w:val="16"/>
            <w:tabs>
              <w:tab w:val="right" w:leader="dot" w:pos="9746"/>
              <w:tab w:val="clear" w:pos="8296"/>
            </w:tabs>
          </w:pPr>
          <w:r>
            <w:fldChar w:fldCharType="begin"/>
          </w:r>
          <w:r>
            <w:instrText xml:space="preserve"> HYPERLINK \l "_Toc9974" </w:instrText>
          </w:r>
          <w:r>
            <w:fldChar w:fldCharType="separate"/>
          </w:r>
          <w:r>
            <w:t>二、须知前附表</w:t>
          </w:r>
          <w:r>
            <w:tab/>
          </w:r>
          <w:r>
            <w:fldChar w:fldCharType="begin"/>
          </w:r>
          <w:r>
            <w:instrText xml:space="preserve"> PAGEREF _Toc9974 \h </w:instrText>
          </w:r>
          <w:r>
            <w:fldChar w:fldCharType="separate"/>
          </w:r>
          <w:r>
            <w:t>13</w:t>
          </w:r>
          <w:r>
            <w:fldChar w:fldCharType="end"/>
          </w:r>
          <w:r>
            <w:fldChar w:fldCharType="end"/>
          </w:r>
        </w:p>
        <w:p w14:paraId="18A856C4">
          <w:pPr>
            <w:pStyle w:val="16"/>
            <w:tabs>
              <w:tab w:val="right" w:leader="dot" w:pos="9746"/>
              <w:tab w:val="clear" w:pos="8296"/>
            </w:tabs>
          </w:pPr>
          <w:r>
            <w:fldChar w:fldCharType="begin"/>
          </w:r>
          <w:r>
            <w:instrText xml:space="preserve"> HYPERLINK \l "_Toc20446" </w:instrText>
          </w:r>
          <w:r>
            <w:fldChar w:fldCharType="separate"/>
          </w:r>
          <w:r>
            <w:t>三、说明</w:t>
          </w:r>
          <w:r>
            <w:tab/>
          </w:r>
          <w:r>
            <w:fldChar w:fldCharType="begin"/>
          </w:r>
          <w:r>
            <w:instrText xml:space="preserve"> PAGEREF _Toc20446 \h </w:instrText>
          </w:r>
          <w:r>
            <w:fldChar w:fldCharType="separate"/>
          </w:r>
          <w:r>
            <w:t>14</w:t>
          </w:r>
          <w:r>
            <w:fldChar w:fldCharType="end"/>
          </w:r>
          <w:r>
            <w:fldChar w:fldCharType="end"/>
          </w:r>
        </w:p>
        <w:p w14:paraId="652F4282">
          <w:pPr>
            <w:pStyle w:val="16"/>
            <w:tabs>
              <w:tab w:val="right" w:leader="dot" w:pos="9746"/>
              <w:tab w:val="clear" w:pos="8296"/>
            </w:tabs>
          </w:pPr>
          <w:r>
            <w:fldChar w:fldCharType="begin"/>
          </w:r>
          <w:r>
            <w:instrText xml:space="preserve"> HYPERLINK \l "_Toc4060" </w:instrText>
          </w:r>
          <w:r>
            <w:fldChar w:fldCharType="separate"/>
          </w:r>
          <w:r>
            <w:t>四、磋商文件的澄清和修改</w:t>
          </w:r>
          <w:r>
            <w:tab/>
          </w:r>
          <w:r>
            <w:fldChar w:fldCharType="begin"/>
          </w:r>
          <w:r>
            <w:instrText xml:space="preserve"> PAGEREF _Toc4060 \h </w:instrText>
          </w:r>
          <w:r>
            <w:fldChar w:fldCharType="separate"/>
          </w:r>
          <w:r>
            <w:t>16</w:t>
          </w:r>
          <w:r>
            <w:fldChar w:fldCharType="end"/>
          </w:r>
          <w:r>
            <w:fldChar w:fldCharType="end"/>
          </w:r>
        </w:p>
        <w:p w14:paraId="0DB79F78">
          <w:pPr>
            <w:pStyle w:val="16"/>
            <w:tabs>
              <w:tab w:val="right" w:leader="dot" w:pos="9746"/>
              <w:tab w:val="clear" w:pos="8296"/>
            </w:tabs>
          </w:pPr>
          <w:r>
            <w:fldChar w:fldCharType="begin"/>
          </w:r>
          <w:r>
            <w:instrText xml:space="preserve"> HYPERLINK \l "_Toc3890" </w:instrText>
          </w:r>
          <w:r>
            <w:fldChar w:fldCharType="separate"/>
          </w:r>
          <w:r>
            <w:t>五、响应要求</w:t>
          </w:r>
          <w:r>
            <w:tab/>
          </w:r>
          <w:r>
            <w:fldChar w:fldCharType="begin"/>
          </w:r>
          <w:r>
            <w:instrText xml:space="preserve"> PAGEREF _Toc3890 \h </w:instrText>
          </w:r>
          <w:r>
            <w:fldChar w:fldCharType="separate"/>
          </w:r>
          <w:r>
            <w:t>16</w:t>
          </w:r>
          <w:r>
            <w:fldChar w:fldCharType="end"/>
          </w:r>
          <w:r>
            <w:fldChar w:fldCharType="end"/>
          </w:r>
        </w:p>
        <w:p w14:paraId="5D2789D7">
          <w:pPr>
            <w:pStyle w:val="16"/>
            <w:tabs>
              <w:tab w:val="right" w:leader="dot" w:pos="9746"/>
              <w:tab w:val="clear" w:pos="8296"/>
            </w:tabs>
          </w:pPr>
          <w:r>
            <w:fldChar w:fldCharType="begin"/>
          </w:r>
          <w:r>
            <w:instrText xml:space="preserve"> HYPERLINK \l "_Toc17647" </w:instrText>
          </w:r>
          <w:r>
            <w:fldChar w:fldCharType="separate"/>
          </w:r>
          <w:r>
            <w:t>六、磋商、评审和结果确定</w:t>
          </w:r>
          <w:r>
            <w:tab/>
          </w:r>
          <w:r>
            <w:fldChar w:fldCharType="begin"/>
          </w:r>
          <w:r>
            <w:instrText xml:space="preserve"> PAGEREF _Toc17647 \h </w:instrText>
          </w:r>
          <w:r>
            <w:fldChar w:fldCharType="separate"/>
          </w:r>
          <w:r>
            <w:t>19</w:t>
          </w:r>
          <w:r>
            <w:fldChar w:fldCharType="end"/>
          </w:r>
          <w:r>
            <w:fldChar w:fldCharType="end"/>
          </w:r>
        </w:p>
        <w:p w14:paraId="5E1D8E1F">
          <w:pPr>
            <w:pStyle w:val="16"/>
            <w:tabs>
              <w:tab w:val="right" w:leader="dot" w:pos="9746"/>
              <w:tab w:val="clear" w:pos="8296"/>
            </w:tabs>
          </w:pPr>
          <w:r>
            <w:fldChar w:fldCharType="begin"/>
          </w:r>
          <w:r>
            <w:instrText xml:space="preserve"> HYPERLINK \l "_Toc29549" </w:instrText>
          </w:r>
          <w:r>
            <w:fldChar w:fldCharType="separate"/>
          </w:r>
          <w:r>
            <w:t>七、询问、质疑与投诉</w:t>
          </w:r>
          <w:r>
            <w:tab/>
          </w:r>
          <w:r>
            <w:fldChar w:fldCharType="begin"/>
          </w:r>
          <w:r>
            <w:instrText xml:space="preserve"> PAGEREF _Toc29549 \h </w:instrText>
          </w:r>
          <w:r>
            <w:fldChar w:fldCharType="separate"/>
          </w:r>
          <w:r>
            <w:t>19</w:t>
          </w:r>
          <w:r>
            <w:fldChar w:fldCharType="end"/>
          </w:r>
          <w:r>
            <w:fldChar w:fldCharType="end"/>
          </w:r>
        </w:p>
        <w:p w14:paraId="3E7F39B9">
          <w:pPr>
            <w:pStyle w:val="16"/>
            <w:tabs>
              <w:tab w:val="right" w:leader="dot" w:pos="9746"/>
              <w:tab w:val="clear" w:pos="8296"/>
            </w:tabs>
          </w:pPr>
          <w:r>
            <w:fldChar w:fldCharType="begin"/>
          </w:r>
          <w:r>
            <w:instrText xml:space="preserve"> HYPERLINK \l "_Toc30722" </w:instrText>
          </w:r>
          <w:r>
            <w:fldChar w:fldCharType="separate"/>
          </w:r>
          <w:r>
            <w:t>八、合同签订和履行</w:t>
          </w:r>
          <w:r>
            <w:tab/>
          </w:r>
          <w:r>
            <w:fldChar w:fldCharType="begin"/>
          </w:r>
          <w:r>
            <w:instrText xml:space="preserve"> PAGEREF _Toc30722 \h </w:instrText>
          </w:r>
          <w:r>
            <w:fldChar w:fldCharType="separate"/>
          </w:r>
          <w:r>
            <w:t>20</w:t>
          </w:r>
          <w:r>
            <w:fldChar w:fldCharType="end"/>
          </w:r>
          <w:r>
            <w:fldChar w:fldCharType="end"/>
          </w:r>
        </w:p>
        <w:p w14:paraId="4A403CD0">
          <w:pPr>
            <w:pStyle w:val="14"/>
            <w:tabs>
              <w:tab w:val="right" w:leader="dot" w:pos="9746"/>
              <w:tab w:val="clear" w:pos="8296"/>
            </w:tabs>
          </w:pPr>
          <w:r>
            <w:fldChar w:fldCharType="begin"/>
          </w:r>
          <w:r>
            <w:instrText xml:space="preserve"> HYPERLINK \l "_Toc31881" </w:instrText>
          </w:r>
          <w:r>
            <w:fldChar w:fldCharType="separate"/>
          </w:r>
          <w:r>
            <w:t>第四章 评审</w:t>
          </w:r>
          <w:r>
            <w:tab/>
          </w:r>
          <w:r>
            <w:fldChar w:fldCharType="begin"/>
          </w:r>
          <w:r>
            <w:instrText xml:space="preserve"> PAGEREF _Toc31881 \h </w:instrText>
          </w:r>
          <w:r>
            <w:fldChar w:fldCharType="separate"/>
          </w:r>
          <w:r>
            <w:t>21</w:t>
          </w:r>
          <w:r>
            <w:fldChar w:fldCharType="end"/>
          </w:r>
          <w:r>
            <w:fldChar w:fldCharType="end"/>
          </w:r>
        </w:p>
        <w:p w14:paraId="3442EAF1">
          <w:pPr>
            <w:pStyle w:val="16"/>
            <w:tabs>
              <w:tab w:val="right" w:leader="dot" w:pos="9746"/>
              <w:tab w:val="clear" w:pos="8296"/>
            </w:tabs>
          </w:pPr>
          <w:r>
            <w:fldChar w:fldCharType="begin"/>
          </w:r>
          <w:r>
            <w:instrText xml:space="preserve"> HYPERLINK \l "_Toc12497" </w:instrText>
          </w:r>
          <w:r>
            <w:fldChar w:fldCharType="separate"/>
          </w:r>
          <w:r>
            <w:t>一、评审要求</w:t>
          </w:r>
          <w:r>
            <w:tab/>
          </w:r>
          <w:r>
            <w:fldChar w:fldCharType="begin"/>
          </w:r>
          <w:r>
            <w:instrText xml:space="preserve"> PAGEREF _Toc12497 \h </w:instrText>
          </w:r>
          <w:r>
            <w:fldChar w:fldCharType="separate"/>
          </w:r>
          <w:r>
            <w:t>21</w:t>
          </w:r>
          <w:r>
            <w:fldChar w:fldCharType="end"/>
          </w:r>
          <w:r>
            <w:fldChar w:fldCharType="end"/>
          </w:r>
        </w:p>
        <w:p w14:paraId="08419957">
          <w:pPr>
            <w:pStyle w:val="16"/>
            <w:tabs>
              <w:tab w:val="right" w:leader="dot" w:pos="9746"/>
              <w:tab w:val="clear" w:pos="8296"/>
            </w:tabs>
          </w:pPr>
          <w:r>
            <w:fldChar w:fldCharType="begin"/>
          </w:r>
          <w:r>
            <w:instrText xml:space="preserve"> HYPERLINK \l "_Toc9299" </w:instrText>
          </w:r>
          <w:r>
            <w:fldChar w:fldCharType="separate"/>
          </w:r>
          <w:r>
            <w:t>二</w:t>
          </w:r>
          <w:r>
            <w:rPr>
              <w:rFonts w:hint="eastAsia"/>
            </w:rPr>
            <w:t>、</w:t>
          </w:r>
          <w:r>
            <w:t>政府采购政策落实</w:t>
          </w:r>
          <w:r>
            <w:tab/>
          </w:r>
          <w:r>
            <w:fldChar w:fldCharType="begin"/>
          </w:r>
          <w:r>
            <w:instrText xml:space="preserve"> PAGEREF _Toc9299 \h </w:instrText>
          </w:r>
          <w:r>
            <w:fldChar w:fldCharType="separate"/>
          </w:r>
          <w:r>
            <w:t>22</w:t>
          </w:r>
          <w:r>
            <w:fldChar w:fldCharType="end"/>
          </w:r>
          <w:r>
            <w:fldChar w:fldCharType="end"/>
          </w:r>
        </w:p>
        <w:p w14:paraId="4098CE46">
          <w:pPr>
            <w:pStyle w:val="16"/>
            <w:tabs>
              <w:tab w:val="right" w:leader="dot" w:pos="9746"/>
              <w:tab w:val="clear" w:pos="8296"/>
            </w:tabs>
          </w:pPr>
          <w:r>
            <w:fldChar w:fldCharType="begin"/>
          </w:r>
          <w:r>
            <w:instrText xml:space="preserve"> HYPERLINK \l "_Toc22255" </w:instrText>
          </w:r>
          <w:r>
            <w:fldChar w:fldCharType="separate"/>
          </w:r>
          <w:r>
            <w:t>三、评审程序</w:t>
          </w:r>
          <w:r>
            <w:tab/>
          </w:r>
          <w:r>
            <w:fldChar w:fldCharType="begin"/>
          </w:r>
          <w:r>
            <w:instrText xml:space="preserve"> PAGEREF _Toc22255 \h </w:instrText>
          </w:r>
          <w:r>
            <w:fldChar w:fldCharType="separate"/>
          </w:r>
          <w:r>
            <w:t>23</w:t>
          </w:r>
          <w:r>
            <w:fldChar w:fldCharType="end"/>
          </w:r>
          <w:r>
            <w:fldChar w:fldCharType="end"/>
          </w:r>
        </w:p>
        <w:p w14:paraId="3EDFE8A7">
          <w:pPr>
            <w:pStyle w:val="9"/>
            <w:tabs>
              <w:tab w:val="right" w:leader="dot" w:pos="9746"/>
            </w:tabs>
          </w:pPr>
          <w:r>
            <w:fldChar w:fldCharType="begin"/>
          </w:r>
          <w:r>
            <w:instrText xml:space="preserve"> HYPERLINK \l "_Toc7460" </w:instrText>
          </w:r>
          <w:r>
            <w:fldChar w:fldCharType="separate"/>
          </w:r>
          <w:r>
            <w:t>1.资格性审查和符合性审查</w:t>
          </w:r>
          <w:r>
            <w:tab/>
          </w:r>
          <w:r>
            <w:fldChar w:fldCharType="begin"/>
          </w:r>
          <w:r>
            <w:instrText xml:space="preserve"> PAGEREF _Toc7460 \h </w:instrText>
          </w:r>
          <w:r>
            <w:fldChar w:fldCharType="separate"/>
          </w:r>
          <w:r>
            <w:t>23</w:t>
          </w:r>
          <w:r>
            <w:fldChar w:fldCharType="end"/>
          </w:r>
          <w:r>
            <w:fldChar w:fldCharType="end"/>
          </w:r>
        </w:p>
        <w:p w14:paraId="316AEDA6">
          <w:pPr>
            <w:pStyle w:val="9"/>
            <w:tabs>
              <w:tab w:val="right" w:leader="dot" w:pos="9746"/>
            </w:tabs>
          </w:pPr>
          <w:r>
            <w:fldChar w:fldCharType="begin"/>
          </w:r>
          <w:r>
            <w:instrText xml:space="preserve"> HYPERLINK \l "_Toc24604" </w:instrText>
          </w:r>
          <w:r>
            <w:fldChar w:fldCharType="separate"/>
          </w:r>
          <w:r>
            <w:t>表一资格性审查表：</w:t>
          </w:r>
          <w:r>
            <w:tab/>
          </w:r>
          <w:r>
            <w:fldChar w:fldCharType="begin"/>
          </w:r>
          <w:r>
            <w:instrText xml:space="preserve"> PAGEREF _Toc24604 \h </w:instrText>
          </w:r>
          <w:r>
            <w:fldChar w:fldCharType="separate"/>
          </w:r>
          <w:r>
            <w:t>24</w:t>
          </w:r>
          <w:r>
            <w:fldChar w:fldCharType="end"/>
          </w:r>
          <w:r>
            <w:fldChar w:fldCharType="end"/>
          </w:r>
        </w:p>
        <w:p w14:paraId="25E96BA9">
          <w:pPr>
            <w:pStyle w:val="9"/>
            <w:tabs>
              <w:tab w:val="right" w:leader="dot" w:pos="9746"/>
            </w:tabs>
          </w:pPr>
          <w:r>
            <w:fldChar w:fldCharType="begin"/>
          </w:r>
          <w:r>
            <w:instrText xml:space="preserve"> HYPERLINK \l "_Toc1885" </w:instrText>
          </w:r>
          <w:r>
            <w:fldChar w:fldCharType="separate"/>
          </w:r>
          <w:r>
            <w:t>采购包1：</w:t>
          </w:r>
          <w:r>
            <w:tab/>
          </w:r>
          <w:r>
            <w:fldChar w:fldCharType="begin"/>
          </w:r>
          <w:r>
            <w:instrText xml:space="preserve"> PAGEREF _Toc1885 \h </w:instrText>
          </w:r>
          <w:r>
            <w:fldChar w:fldCharType="separate"/>
          </w:r>
          <w:r>
            <w:t>24</w:t>
          </w:r>
          <w:r>
            <w:fldChar w:fldCharType="end"/>
          </w:r>
          <w:r>
            <w:fldChar w:fldCharType="end"/>
          </w:r>
        </w:p>
        <w:p w14:paraId="0CEBC725">
          <w:pPr>
            <w:pStyle w:val="9"/>
            <w:tabs>
              <w:tab w:val="right" w:leader="dot" w:pos="9746"/>
            </w:tabs>
          </w:pPr>
          <w:r>
            <w:fldChar w:fldCharType="begin"/>
          </w:r>
          <w:r>
            <w:instrText xml:space="preserve"> HYPERLINK \l "_Toc28236" </w:instrText>
          </w:r>
          <w:r>
            <w:fldChar w:fldCharType="separate"/>
          </w:r>
          <w:r>
            <w:t>表二符合性审查表：</w:t>
          </w:r>
          <w:r>
            <w:tab/>
          </w:r>
          <w:r>
            <w:fldChar w:fldCharType="begin"/>
          </w:r>
          <w:r>
            <w:instrText xml:space="preserve"> PAGEREF _Toc28236 \h </w:instrText>
          </w:r>
          <w:r>
            <w:fldChar w:fldCharType="separate"/>
          </w:r>
          <w:r>
            <w:t>25</w:t>
          </w:r>
          <w:r>
            <w:fldChar w:fldCharType="end"/>
          </w:r>
          <w:r>
            <w:fldChar w:fldCharType="end"/>
          </w:r>
        </w:p>
        <w:p w14:paraId="3A634900">
          <w:pPr>
            <w:pStyle w:val="9"/>
            <w:tabs>
              <w:tab w:val="right" w:leader="dot" w:pos="9746"/>
            </w:tabs>
          </w:pPr>
          <w:r>
            <w:fldChar w:fldCharType="begin"/>
          </w:r>
          <w:r>
            <w:instrText xml:space="preserve"> HYPERLINK \l "_Toc23509" </w:instrText>
          </w:r>
          <w:r>
            <w:fldChar w:fldCharType="separate"/>
          </w:r>
          <w:r>
            <w:t>采购包1：</w:t>
          </w:r>
          <w:r>
            <w:tab/>
          </w:r>
          <w:r>
            <w:fldChar w:fldCharType="begin"/>
          </w:r>
          <w:r>
            <w:instrText xml:space="preserve"> PAGEREF _Toc23509 \h </w:instrText>
          </w:r>
          <w:r>
            <w:fldChar w:fldCharType="separate"/>
          </w:r>
          <w:r>
            <w:t>25</w:t>
          </w:r>
          <w:r>
            <w:fldChar w:fldCharType="end"/>
          </w:r>
          <w:r>
            <w:fldChar w:fldCharType="end"/>
          </w:r>
        </w:p>
        <w:p w14:paraId="1FAF53DC">
          <w:pPr>
            <w:pStyle w:val="9"/>
            <w:tabs>
              <w:tab w:val="right" w:leader="dot" w:pos="9746"/>
            </w:tabs>
          </w:pPr>
          <w:r>
            <w:fldChar w:fldCharType="begin"/>
          </w:r>
          <w:r>
            <w:instrText xml:space="preserve"> HYPERLINK \l "_Toc17128" </w:instrText>
          </w:r>
          <w:r>
            <w:fldChar w:fldCharType="separate"/>
          </w:r>
          <w:r>
            <w:t>2.响应文件澄清</w:t>
          </w:r>
          <w:r>
            <w:tab/>
          </w:r>
          <w:r>
            <w:fldChar w:fldCharType="begin"/>
          </w:r>
          <w:r>
            <w:instrText xml:space="preserve"> PAGEREF _Toc17128 \h </w:instrText>
          </w:r>
          <w:r>
            <w:fldChar w:fldCharType="separate"/>
          </w:r>
          <w:r>
            <w:t>25</w:t>
          </w:r>
          <w:r>
            <w:fldChar w:fldCharType="end"/>
          </w:r>
          <w:r>
            <w:fldChar w:fldCharType="end"/>
          </w:r>
        </w:p>
        <w:p w14:paraId="223691A4">
          <w:pPr>
            <w:pStyle w:val="9"/>
            <w:tabs>
              <w:tab w:val="right" w:leader="dot" w:pos="9746"/>
            </w:tabs>
          </w:pPr>
          <w:r>
            <w:fldChar w:fldCharType="begin"/>
          </w:r>
          <w:r>
            <w:instrText xml:space="preserve"> HYPERLINK \l "_Toc31382" </w:instrText>
          </w:r>
          <w:r>
            <w:fldChar w:fldCharType="separate"/>
          </w:r>
          <w:r>
            <w:t>3.磋商</w:t>
          </w:r>
          <w:r>
            <w:tab/>
          </w:r>
          <w:r>
            <w:fldChar w:fldCharType="begin"/>
          </w:r>
          <w:r>
            <w:instrText xml:space="preserve"> PAGEREF _Toc31382 \h </w:instrText>
          </w:r>
          <w:r>
            <w:fldChar w:fldCharType="separate"/>
          </w:r>
          <w:r>
            <w:t>26</w:t>
          </w:r>
          <w:r>
            <w:fldChar w:fldCharType="end"/>
          </w:r>
          <w:r>
            <w:fldChar w:fldCharType="end"/>
          </w:r>
        </w:p>
        <w:p w14:paraId="3E845DE5">
          <w:pPr>
            <w:pStyle w:val="9"/>
            <w:tabs>
              <w:tab w:val="right" w:leader="dot" w:pos="9746"/>
            </w:tabs>
          </w:pPr>
          <w:r>
            <w:fldChar w:fldCharType="begin"/>
          </w:r>
          <w:r>
            <w:instrText xml:space="preserve"> HYPERLINK \l "_Toc22797" </w:instrText>
          </w:r>
          <w:r>
            <w:fldChar w:fldCharType="separate"/>
          </w:r>
          <w:r>
            <w:t>4.最后报价</w:t>
          </w:r>
          <w:r>
            <w:tab/>
          </w:r>
          <w:r>
            <w:fldChar w:fldCharType="begin"/>
          </w:r>
          <w:r>
            <w:instrText xml:space="preserve"> PAGEREF _Toc22797 \h </w:instrText>
          </w:r>
          <w:r>
            <w:fldChar w:fldCharType="separate"/>
          </w:r>
          <w:r>
            <w:t>26</w:t>
          </w:r>
          <w:r>
            <w:fldChar w:fldCharType="end"/>
          </w:r>
          <w:r>
            <w:fldChar w:fldCharType="end"/>
          </w:r>
        </w:p>
        <w:p w14:paraId="5912013D">
          <w:pPr>
            <w:pStyle w:val="9"/>
            <w:tabs>
              <w:tab w:val="right" w:leader="dot" w:pos="9746"/>
            </w:tabs>
          </w:pPr>
          <w:r>
            <w:fldChar w:fldCharType="begin"/>
          </w:r>
          <w:r>
            <w:instrText xml:space="preserve"> HYPERLINK \l "_Toc2200" </w:instrText>
          </w:r>
          <w:r>
            <w:fldChar w:fldCharType="separate"/>
          </w:r>
          <w:r>
            <w:t>5.详细评审</w:t>
          </w:r>
          <w:r>
            <w:tab/>
          </w:r>
          <w:r>
            <w:fldChar w:fldCharType="begin"/>
          </w:r>
          <w:r>
            <w:instrText xml:space="preserve"> PAGEREF _Toc2200 \h </w:instrText>
          </w:r>
          <w:r>
            <w:fldChar w:fldCharType="separate"/>
          </w:r>
          <w:r>
            <w:t>26</w:t>
          </w:r>
          <w:r>
            <w:fldChar w:fldCharType="end"/>
          </w:r>
          <w:r>
            <w:fldChar w:fldCharType="end"/>
          </w:r>
        </w:p>
        <w:p w14:paraId="5215A1A4">
          <w:pPr>
            <w:pStyle w:val="9"/>
            <w:tabs>
              <w:tab w:val="right" w:leader="dot" w:pos="9746"/>
            </w:tabs>
          </w:pPr>
          <w:r>
            <w:fldChar w:fldCharType="begin"/>
          </w:r>
          <w:r>
            <w:instrText xml:space="preserve"> HYPERLINK \l "_Toc18135" </w:instrText>
          </w:r>
          <w:r>
            <w:fldChar w:fldCharType="separate"/>
          </w:r>
          <w:r>
            <w:t>采购包1:</w:t>
          </w:r>
          <w:r>
            <w:tab/>
          </w:r>
          <w:r>
            <w:fldChar w:fldCharType="begin"/>
          </w:r>
          <w:r>
            <w:instrText xml:space="preserve"> PAGEREF _Toc18135 \h </w:instrText>
          </w:r>
          <w:r>
            <w:fldChar w:fldCharType="separate"/>
          </w:r>
          <w:r>
            <w:t>26</w:t>
          </w:r>
          <w:r>
            <w:fldChar w:fldCharType="end"/>
          </w:r>
          <w:r>
            <w:fldChar w:fldCharType="end"/>
          </w:r>
        </w:p>
        <w:p w14:paraId="0DFB0654">
          <w:pPr>
            <w:pStyle w:val="9"/>
            <w:tabs>
              <w:tab w:val="right" w:leader="dot" w:pos="9746"/>
            </w:tabs>
          </w:pPr>
          <w:r>
            <w:fldChar w:fldCharType="begin"/>
          </w:r>
          <w:r>
            <w:instrText xml:space="preserve"> HYPERLINK \l "_Toc23656" </w:instrText>
          </w:r>
          <w:r>
            <w:fldChar w:fldCharType="separate"/>
          </w:r>
          <w:r>
            <w:t>6.汇总、排序</w:t>
          </w:r>
          <w:r>
            <w:tab/>
          </w:r>
          <w:r>
            <w:fldChar w:fldCharType="begin"/>
          </w:r>
          <w:r>
            <w:instrText xml:space="preserve"> PAGEREF _Toc23656 \h </w:instrText>
          </w:r>
          <w:r>
            <w:fldChar w:fldCharType="separate"/>
          </w:r>
          <w:r>
            <w:t>28</w:t>
          </w:r>
          <w:r>
            <w:fldChar w:fldCharType="end"/>
          </w:r>
          <w:r>
            <w:fldChar w:fldCharType="end"/>
          </w:r>
        </w:p>
        <w:p w14:paraId="1616E497">
          <w:pPr>
            <w:pStyle w:val="9"/>
            <w:tabs>
              <w:tab w:val="right" w:leader="dot" w:pos="9746"/>
            </w:tabs>
          </w:pPr>
          <w:r>
            <w:fldChar w:fldCharType="begin"/>
          </w:r>
          <w:r>
            <w:instrText xml:space="preserve"> HYPERLINK \l "_Toc17918" </w:instrText>
          </w:r>
          <w:r>
            <w:fldChar w:fldCharType="separate"/>
          </w:r>
          <w:r>
            <w:t>7.其他无效响应的情形：</w:t>
          </w:r>
          <w:r>
            <w:tab/>
          </w:r>
          <w:r>
            <w:fldChar w:fldCharType="begin"/>
          </w:r>
          <w:r>
            <w:instrText xml:space="preserve"> PAGEREF _Toc17918 \h </w:instrText>
          </w:r>
          <w:r>
            <w:fldChar w:fldCharType="separate"/>
          </w:r>
          <w:r>
            <w:t>28</w:t>
          </w:r>
          <w:r>
            <w:fldChar w:fldCharType="end"/>
          </w:r>
          <w:r>
            <w:fldChar w:fldCharType="end"/>
          </w:r>
        </w:p>
        <w:p w14:paraId="31CF718B">
          <w:pPr>
            <w:pStyle w:val="14"/>
            <w:tabs>
              <w:tab w:val="right" w:leader="dot" w:pos="9746"/>
              <w:tab w:val="clear" w:pos="8296"/>
            </w:tabs>
          </w:pPr>
          <w:r>
            <w:fldChar w:fldCharType="begin"/>
          </w:r>
          <w:r>
            <w:instrText xml:space="preserve"> HYPERLINK \l "_Toc30929" </w:instrText>
          </w:r>
          <w:r>
            <w:fldChar w:fldCharType="separate"/>
          </w:r>
          <w:r>
            <w:t>第五章 合同文本</w:t>
          </w:r>
          <w:r>
            <w:tab/>
          </w:r>
          <w:r>
            <w:fldChar w:fldCharType="begin"/>
          </w:r>
          <w:r>
            <w:instrText xml:space="preserve"> PAGEREF _Toc30929 \h </w:instrText>
          </w:r>
          <w:r>
            <w:fldChar w:fldCharType="separate"/>
          </w:r>
          <w:r>
            <w:t>29</w:t>
          </w:r>
          <w:r>
            <w:fldChar w:fldCharType="end"/>
          </w:r>
          <w:r>
            <w:fldChar w:fldCharType="end"/>
          </w:r>
        </w:p>
        <w:p w14:paraId="3900C092">
          <w:pPr>
            <w:pStyle w:val="14"/>
            <w:tabs>
              <w:tab w:val="right" w:leader="dot" w:pos="9746"/>
              <w:tab w:val="clear" w:pos="8296"/>
            </w:tabs>
          </w:pPr>
          <w:r>
            <w:fldChar w:fldCharType="begin"/>
          </w:r>
          <w:r>
            <w:instrText xml:space="preserve"> HYPERLINK \l "_Toc16446" </w:instrText>
          </w:r>
          <w:r>
            <w:fldChar w:fldCharType="separate"/>
          </w:r>
          <w:r>
            <w:t>第六章 响应文件格式与要求</w:t>
          </w:r>
          <w:r>
            <w:tab/>
          </w:r>
          <w:r>
            <w:fldChar w:fldCharType="begin"/>
          </w:r>
          <w:r>
            <w:instrText xml:space="preserve"> PAGEREF _Toc16446 \h </w:instrText>
          </w:r>
          <w:r>
            <w:fldChar w:fldCharType="separate"/>
          </w:r>
          <w:r>
            <w:t>58</w:t>
          </w:r>
          <w:r>
            <w:fldChar w:fldCharType="end"/>
          </w:r>
          <w:r>
            <w:fldChar w:fldCharType="end"/>
          </w:r>
        </w:p>
        <w:p w14:paraId="76FBEC16">
          <w:pPr>
            <w:tabs>
              <w:tab w:val="right" w:leader="dot" w:pos="8617"/>
            </w:tabs>
          </w:pPr>
          <w:r>
            <w:rPr>
              <w:bCs/>
              <w:lang w:val="zh-CN"/>
            </w:rPr>
            <w:fldChar w:fldCharType="end"/>
          </w:r>
        </w:p>
      </w:sdtContent>
    </w:sdt>
    <w:p w14:paraId="6BBFB71D">
      <w:bookmarkStart w:id="0" w:name="_Toc25419"/>
      <w:r>
        <w:br w:type="page"/>
      </w:r>
    </w:p>
    <w:p w14:paraId="080E0F8A">
      <w:pPr>
        <w:pStyle w:val="2"/>
        <w:jc w:val="center"/>
      </w:pPr>
      <w:r>
        <w:t>第一章 磋商邀请</w:t>
      </w:r>
      <w:bookmarkEnd w:id="0"/>
    </w:p>
    <w:p w14:paraId="137E755B">
      <w:pPr>
        <w:ind w:firstLine="480"/>
      </w:pPr>
      <w:r>
        <w:rPr>
          <w:rFonts w:hint="eastAsia"/>
          <w:lang w:eastAsia="zh-CN"/>
        </w:rPr>
        <w:t>广东志正招标有限公司</w:t>
      </w:r>
      <w:r>
        <w:t>受广州市海珠区中医医院的委托，采用</w:t>
      </w:r>
      <w:r>
        <w:rPr>
          <w:rFonts w:hint="eastAsia"/>
          <w:u w:val="single"/>
        </w:rPr>
        <w:t>院内</w:t>
      </w:r>
      <w:r>
        <w:rPr>
          <w:u w:val="single"/>
        </w:rPr>
        <w:t>竞争性磋商方式</w:t>
      </w:r>
      <w:r>
        <w:t>组织采购</w:t>
      </w:r>
      <w:r>
        <w:rPr>
          <w:rFonts w:hint="eastAsia"/>
          <w:lang w:eastAsia="zh-CN"/>
        </w:rPr>
        <w:t>广州市海珠区中医医院2025-2026年医疗责任保险项目</w:t>
      </w:r>
      <w:r>
        <w:t>。欢迎符合资格条件的供应商参加。</w:t>
      </w:r>
    </w:p>
    <w:p w14:paraId="74947CA0">
      <w:pPr>
        <w:pStyle w:val="3"/>
      </w:pPr>
      <w:bookmarkStart w:id="1" w:name="_Toc8319"/>
      <w:r>
        <w:t>一.项目概述</w:t>
      </w:r>
      <w:bookmarkEnd w:id="1"/>
    </w:p>
    <w:p w14:paraId="3C9AFAF2">
      <w:r>
        <w:rPr>
          <w:b/>
          <w:sz w:val="24"/>
        </w:rPr>
        <w:t>1.名称与编号</w:t>
      </w:r>
    </w:p>
    <w:p w14:paraId="473C1D81">
      <w:pPr>
        <w:ind w:firstLine="480"/>
        <w:rPr>
          <w:rFonts w:hint="eastAsia" w:eastAsiaTheme="minorEastAsia"/>
          <w:lang w:eastAsia="zh-CN"/>
        </w:rPr>
      </w:pPr>
      <w:r>
        <w:t>采购项目名称：</w:t>
      </w:r>
      <w:r>
        <w:rPr>
          <w:rFonts w:hint="eastAsia"/>
        </w:rPr>
        <w:t>广州市海珠区中医医院2024-2025医疗责任保险项目</w:t>
      </w:r>
      <w:r>
        <w:rPr>
          <w:rFonts w:hint="eastAsia"/>
          <w:lang w:eastAsia="zh-CN"/>
        </w:rPr>
        <w:t>广州市海珠区中医医院2025-2026年医疗责任保险项目</w:t>
      </w:r>
    </w:p>
    <w:p w14:paraId="2BBD62D0">
      <w:pPr>
        <w:ind w:firstLine="480"/>
        <w:rPr>
          <w:rFonts w:hint="eastAsia" w:eastAsiaTheme="minorEastAsia"/>
          <w:lang w:eastAsia="zh-CN"/>
        </w:rPr>
      </w:pPr>
      <w:r>
        <w:t>采购项目编号：</w:t>
      </w:r>
      <w:r>
        <w:rPr>
          <w:rFonts w:hint="eastAsia"/>
          <w:lang w:eastAsia="zh-CN"/>
        </w:rPr>
        <w:t>ZZ0250571</w:t>
      </w:r>
    </w:p>
    <w:p w14:paraId="295DC5E2">
      <w:pPr>
        <w:ind w:firstLine="480"/>
        <w:rPr>
          <w:u w:val="none"/>
        </w:rPr>
      </w:pPr>
      <w:r>
        <w:rPr>
          <w:u w:val="none"/>
        </w:rPr>
        <w:t>采购方式：</w:t>
      </w:r>
      <w:r>
        <w:rPr>
          <w:rFonts w:hint="eastAsia"/>
          <w:u w:val="none"/>
        </w:rPr>
        <w:t>院内</w:t>
      </w:r>
      <w:r>
        <w:rPr>
          <w:u w:val="none"/>
        </w:rPr>
        <w:t>竞争性磋商</w:t>
      </w:r>
    </w:p>
    <w:p w14:paraId="7400F568">
      <w:pPr>
        <w:ind w:firstLine="480"/>
      </w:pPr>
      <w:r>
        <w:t>预算金额：</w:t>
      </w:r>
      <w:r>
        <w:rPr>
          <w:rFonts w:hint="eastAsia"/>
          <w:lang w:eastAsia="zh-CN"/>
        </w:rPr>
        <w:t>240,000.00</w:t>
      </w:r>
      <w:r>
        <w:t>元</w:t>
      </w:r>
    </w:p>
    <w:p w14:paraId="788855A9">
      <w:r>
        <w:rPr>
          <w:b/>
          <w:sz w:val="24"/>
        </w:rPr>
        <w:t>2.项目内容及需求情况（采购项目技术规格、参数及要求）</w:t>
      </w:r>
    </w:p>
    <w:p w14:paraId="415B63B6">
      <w:r>
        <w:t>采购包1:</w:t>
      </w:r>
    </w:p>
    <w:p w14:paraId="31EB9A5A">
      <w:r>
        <w:t>采购包预算金额：</w:t>
      </w:r>
      <w:r>
        <w:rPr>
          <w:rFonts w:hint="eastAsia"/>
          <w:lang w:eastAsia="zh-CN"/>
        </w:rPr>
        <w:t>240,000.00</w:t>
      </w:r>
      <w:r>
        <w:t>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591"/>
        <w:gridCol w:w="2755"/>
        <w:gridCol w:w="1752"/>
        <w:gridCol w:w="1425"/>
        <w:gridCol w:w="1424"/>
      </w:tblGrid>
      <w:tr w14:paraId="19F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Align w:val="center"/>
          </w:tcPr>
          <w:p w14:paraId="2D2141B6">
            <w:pPr>
              <w:jc w:val="center"/>
            </w:pPr>
            <w:r>
              <w:t>品目号</w:t>
            </w:r>
          </w:p>
        </w:tc>
        <w:tc>
          <w:tcPr>
            <w:tcW w:w="798" w:type="pct"/>
            <w:vAlign w:val="center"/>
          </w:tcPr>
          <w:p w14:paraId="21C369C6">
            <w:pPr>
              <w:jc w:val="center"/>
            </w:pPr>
            <w:r>
              <w:t>品目名称</w:t>
            </w:r>
          </w:p>
        </w:tc>
        <w:tc>
          <w:tcPr>
            <w:tcW w:w="1382" w:type="pct"/>
            <w:vAlign w:val="center"/>
          </w:tcPr>
          <w:p w14:paraId="65309A41">
            <w:pPr>
              <w:jc w:val="center"/>
            </w:pPr>
            <w:r>
              <w:t>采购标的</w:t>
            </w:r>
          </w:p>
        </w:tc>
        <w:tc>
          <w:tcPr>
            <w:tcW w:w="879" w:type="pct"/>
            <w:vAlign w:val="center"/>
          </w:tcPr>
          <w:p w14:paraId="2F16852E">
            <w:pPr>
              <w:jc w:val="center"/>
            </w:pPr>
            <w:r>
              <w:t>数量（单位）</w:t>
            </w:r>
          </w:p>
        </w:tc>
        <w:tc>
          <w:tcPr>
            <w:tcW w:w="715" w:type="pct"/>
            <w:vAlign w:val="center"/>
          </w:tcPr>
          <w:p w14:paraId="1AE4C0AA">
            <w:pPr>
              <w:jc w:val="center"/>
            </w:pPr>
            <w:r>
              <w:rPr>
                <w:rFonts w:hint="eastAsia"/>
              </w:rPr>
              <w:t>预算金额</w:t>
            </w:r>
            <w:r>
              <w:t>(人民币：元)</w:t>
            </w:r>
          </w:p>
        </w:tc>
        <w:tc>
          <w:tcPr>
            <w:tcW w:w="714" w:type="pct"/>
            <w:vAlign w:val="center"/>
          </w:tcPr>
          <w:p w14:paraId="46C678D6">
            <w:pPr>
              <w:jc w:val="center"/>
            </w:pPr>
            <w:r>
              <w:t>是否允许进口产品</w:t>
            </w:r>
          </w:p>
        </w:tc>
      </w:tr>
      <w:tr w14:paraId="0B47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Align w:val="center"/>
          </w:tcPr>
          <w:p w14:paraId="7EACB8C4">
            <w:pPr>
              <w:jc w:val="center"/>
            </w:pPr>
            <w:r>
              <w:t>1-1</w:t>
            </w:r>
          </w:p>
        </w:tc>
        <w:tc>
          <w:tcPr>
            <w:tcW w:w="798" w:type="pct"/>
            <w:vAlign w:val="center"/>
          </w:tcPr>
          <w:p w14:paraId="11313B33">
            <w:pPr>
              <w:jc w:val="center"/>
            </w:pPr>
            <w:r>
              <w:rPr>
                <w:rFonts w:hint="eastAsia"/>
              </w:rPr>
              <w:t>其他保险服务</w:t>
            </w:r>
          </w:p>
        </w:tc>
        <w:tc>
          <w:tcPr>
            <w:tcW w:w="1382" w:type="pct"/>
            <w:vAlign w:val="center"/>
          </w:tcPr>
          <w:p w14:paraId="70BD6C38">
            <w:pPr>
              <w:jc w:val="center"/>
            </w:pPr>
            <w:r>
              <w:rPr>
                <w:rFonts w:hint="eastAsia"/>
              </w:rPr>
              <w:t>广州市海珠区中医医院医疗责任险项目</w:t>
            </w:r>
          </w:p>
        </w:tc>
        <w:tc>
          <w:tcPr>
            <w:tcW w:w="879" w:type="pct"/>
            <w:vAlign w:val="center"/>
          </w:tcPr>
          <w:p w14:paraId="2775379F">
            <w:pPr>
              <w:jc w:val="center"/>
            </w:pPr>
            <w:r>
              <w:rPr>
                <w:rFonts w:hint="eastAsia"/>
              </w:rPr>
              <w:t>一年</w:t>
            </w:r>
          </w:p>
        </w:tc>
        <w:tc>
          <w:tcPr>
            <w:tcW w:w="715" w:type="pct"/>
            <w:vAlign w:val="center"/>
          </w:tcPr>
          <w:p w14:paraId="161CEB7C">
            <w:pPr>
              <w:jc w:val="center"/>
              <w:rPr>
                <w:rFonts w:hint="eastAsia" w:eastAsiaTheme="minorEastAsia"/>
                <w:lang w:eastAsia="zh-CN"/>
              </w:rPr>
            </w:pPr>
            <w:r>
              <w:rPr>
                <w:rFonts w:hint="eastAsia"/>
                <w:lang w:eastAsia="zh-CN"/>
              </w:rPr>
              <w:t>240,000.00</w:t>
            </w:r>
          </w:p>
        </w:tc>
        <w:tc>
          <w:tcPr>
            <w:tcW w:w="714" w:type="pct"/>
            <w:vAlign w:val="center"/>
          </w:tcPr>
          <w:p w14:paraId="24AD54C4">
            <w:pPr>
              <w:jc w:val="center"/>
            </w:pPr>
            <w:r>
              <w:t>否</w:t>
            </w:r>
          </w:p>
        </w:tc>
      </w:tr>
    </w:tbl>
    <w:p w14:paraId="29FBC1F3">
      <w:r>
        <w:t>本采购包不接受联合体响应</w:t>
      </w:r>
      <w:r>
        <w:rPr>
          <w:rFonts w:hint="eastAsia"/>
        </w:rPr>
        <w:t>。</w:t>
      </w:r>
    </w:p>
    <w:p w14:paraId="3BD0F176">
      <w:r>
        <w:t>合同履行期限：</w:t>
      </w:r>
      <w:r>
        <w:rPr>
          <w:rFonts w:hint="eastAsia" w:asciiTheme="minorEastAsia" w:hAnsiTheme="minorEastAsia"/>
        </w:rPr>
        <w:t>医疗责任险：一年。</w:t>
      </w:r>
    </w:p>
    <w:p w14:paraId="0735EE00">
      <w:pPr>
        <w:pStyle w:val="3"/>
      </w:pPr>
      <w:bookmarkStart w:id="2" w:name="_Toc16702"/>
      <w:r>
        <w:t>二.供应商的资格要求</w:t>
      </w:r>
      <w:bookmarkEnd w:id="2"/>
    </w:p>
    <w:p w14:paraId="5202AFA7">
      <w:r>
        <w:rPr>
          <w:b/>
          <w:sz w:val="24"/>
        </w:rPr>
        <w:t>1.供应商应具备《中华人民共和国政府采购法》第二十二条规定的条件，提供下列材料：</w:t>
      </w:r>
    </w:p>
    <w:p w14:paraId="160BC833">
      <w:r>
        <w:t>1）具有独立承担民事责任的能力：在中华人民共和国境内注册的具有独立承担民事责任能力的法人或其他组织（提供营业执照等证明文件）</w:t>
      </w:r>
    </w:p>
    <w:p w14:paraId="6C91AF83">
      <w:r>
        <w:t>2）有依法缴纳税收和社会保障资金的良好记录：按</w:t>
      </w:r>
      <w:r>
        <w:rPr>
          <w:rFonts w:hint="eastAsia"/>
        </w:rPr>
        <w:t>磋商</w:t>
      </w:r>
      <w:r>
        <w:t>文件《政府采购供应商资格信用承诺函》提供；或者，提供</w:t>
      </w:r>
      <w:r>
        <w:rPr>
          <w:rFonts w:hint="eastAsia"/>
        </w:rPr>
        <w:t>响应</w:t>
      </w:r>
      <w:r>
        <w:t>截止时间前六个月内任意一个月的依法缴纳税收证明材料及依法缴纳社会保险凭据（如依法免税或不需要缴纳社保，则须提供相应文件证明）；</w:t>
      </w:r>
    </w:p>
    <w:p w14:paraId="77B11605">
      <w:r>
        <w:t>3）具有良好的商业信誉和健全的财务会计制度：按</w:t>
      </w:r>
      <w:r>
        <w:rPr>
          <w:rFonts w:hint="eastAsia"/>
        </w:rPr>
        <w:t>磋商</w:t>
      </w:r>
      <w:r>
        <w:t>文件《政府采购供应商资格信用承诺函》提供；或者，提供</w:t>
      </w:r>
      <w:r>
        <w:rPr>
          <w:rFonts w:hint="eastAsia"/>
        </w:rPr>
        <w:t>202</w:t>
      </w:r>
      <w:r>
        <w:rPr>
          <w:rFonts w:hint="eastAsia"/>
          <w:lang w:val="en-US" w:eastAsia="zh-CN"/>
        </w:rPr>
        <w:t>3</w:t>
      </w:r>
      <w:r>
        <w:rPr>
          <w:rFonts w:hint="eastAsia"/>
        </w:rPr>
        <w:t>年至202</w:t>
      </w:r>
      <w:r>
        <w:rPr>
          <w:rFonts w:hint="eastAsia"/>
          <w:lang w:val="en-US" w:eastAsia="zh-CN"/>
        </w:rPr>
        <w:t>4</w:t>
      </w:r>
      <w:r>
        <w:rPr>
          <w:rFonts w:hint="eastAsia"/>
        </w:rPr>
        <w:t>年度</w:t>
      </w:r>
      <w:r>
        <w:t>内任意一年的年度财务报表(新成立不足一年的单位提供成立至今的月或季度财务报表复印件)或银行出具的资信证明；</w:t>
      </w:r>
    </w:p>
    <w:p w14:paraId="37A9E741">
      <w:r>
        <w:t>4）履行合同所必需的设备和专业技术能力：按</w:t>
      </w:r>
      <w:r>
        <w:rPr>
          <w:rFonts w:hint="eastAsia"/>
        </w:rPr>
        <w:t>磋商</w:t>
      </w:r>
      <w:r>
        <w:t>文件《政府采购供应商资格信用承诺函》提供；</w:t>
      </w:r>
      <w:r>
        <w:rPr>
          <w:rFonts w:hint="eastAsia"/>
          <w:lang w:val="en-US" w:eastAsia="zh-CN"/>
        </w:rPr>
        <w:t>或者，</w:t>
      </w:r>
      <w:r>
        <w:t>按投标（响应）文件格式填报设备及专业技术能力情况。</w:t>
      </w:r>
    </w:p>
    <w:p w14:paraId="382D33C6">
      <w:r>
        <w:t>5）参加采购活动前3年内，在经营活动中没有重大违法记录：按</w:t>
      </w:r>
      <w:r>
        <w:rPr>
          <w:rFonts w:hint="eastAsia"/>
        </w:rPr>
        <w:t>磋商</w:t>
      </w:r>
      <w:r>
        <w:t>文件《政府采购供应商资格信用承诺函》提供。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1EA7C07"/>
    <w:p w14:paraId="77EE41F2">
      <w:pPr>
        <w:rPr>
          <w:b/>
          <w:sz w:val="24"/>
        </w:rPr>
      </w:pPr>
      <w:r>
        <w:rPr>
          <w:b/>
          <w:sz w:val="24"/>
        </w:rPr>
        <w:t>2.落实政府采购政策需满足的资格要求：</w:t>
      </w:r>
    </w:p>
    <w:p w14:paraId="12914E13">
      <w:pPr>
        <w:rPr>
          <w:rFonts w:ascii="Calibri" w:hAnsi="Calibri" w:eastAsia="宋体" w:cs="Times New Roman"/>
        </w:rPr>
      </w:pPr>
      <w:r>
        <w:rPr>
          <w:rFonts w:ascii="Calibri" w:hAnsi="Calibri" w:eastAsia="宋体" w:cs="Times New Roman"/>
        </w:rPr>
        <w:t>本项目不属于专门面向中小企业采购的项目。对于小微企业、监狱企业、残疾人福利性单位等参与本项目所享受的优惠政策，详见本项目采购文件。本项目</w:t>
      </w:r>
      <w:r>
        <w:rPr>
          <w:rFonts w:hint="eastAsia" w:ascii="Calibri" w:hAnsi="Calibri" w:eastAsia="宋体" w:cs="Times New Roman"/>
        </w:rPr>
        <w:t>采购标的对应的中小企业划分标准所属行业</w:t>
      </w:r>
      <w:r>
        <w:rPr>
          <w:rFonts w:ascii="Calibri" w:hAnsi="Calibri" w:eastAsia="宋体" w:cs="Times New Roman"/>
        </w:rPr>
        <w:t>为金融业</w:t>
      </w:r>
      <w:r>
        <w:rPr>
          <w:rFonts w:hint="eastAsia" w:ascii="Calibri" w:hAnsi="Calibri" w:eastAsia="宋体" w:cs="Times New Roman"/>
        </w:rPr>
        <w:t>，划分标准</w:t>
      </w:r>
      <w:r>
        <w:rPr>
          <w:rFonts w:ascii="Calibri" w:hAnsi="Calibri" w:eastAsia="宋体" w:cs="Times New Roman"/>
        </w:rPr>
        <w:t>详见《金融业企业划型标准规定》（银发〔2015〕309号）</w:t>
      </w:r>
      <w:r>
        <w:rPr>
          <w:rFonts w:hint="eastAsia" w:ascii="Calibri" w:hAnsi="Calibri" w:eastAsia="宋体" w:cs="Times New Roman"/>
        </w:rPr>
        <w:t>的</w:t>
      </w:r>
      <w:r>
        <w:rPr>
          <w:rFonts w:ascii="Calibri" w:hAnsi="Calibri" w:eastAsia="宋体" w:cs="Times New Roman"/>
        </w:rPr>
        <w:t>保险业金融机构类别。</w:t>
      </w:r>
    </w:p>
    <w:p w14:paraId="5868BDA2"/>
    <w:p w14:paraId="44D72B9B">
      <w:r>
        <w:rPr>
          <w:b/>
          <w:sz w:val="24"/>
        </w:rPr>
        <w:t>3.本项目特定的资格要求：</w:t>
      </w:r>
    </w:p>
    <w:p w14:paraId="56EF8E97">
      <w:r>
        <w:t>1)没有被列入失信被执行人、</w:t>
      </w:r>
      <w:r>
        <w:rPr>
          <w:rFonts w:hint="eastAsia"/>
        </w:rPr>
        <w:t>重大税收违法失信主体</w:t>
      </w:r>
      <w:r>
        <w:t>、政府采购严重违法失信行为记录名单及其他不符合规定条件的供应商。[以采购代理机构于投标（响应） 截止时间当天在“信用中国”网站（www.creditchina.gov.cn）、中国政府采购网（www.ccgp.gov.cn）及广东省政府采购网“</w:t>
      </w:r>
      <w:r>
        <w:rPr>
          <w:rFonts w:hint="eastAsia"/>
        </w:rPr>
        <w:t>政府采购严重违法失信行为记录名单</w:t>
      </w:r>
      <w:r>
        <w:t>” 查询结果为准，如相关失信记录已失效，供应商需提供相关证明资料]。</w:t>
      </w:r>
    </w:p>
    <w:p w14:paraId="04A4202B">
      <w:r>
        <w:t>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书面声明)</w:t>
      </w:r>
    </w:p>
    <w:p w14:paraId="21E36C9C">
      <w:r>
        <w:t>3)已登记获取本次采购文件。(具体方式详见本项目公告)。</w:t>
      </w:r>
    </w:p>
    <w:p w14:paraId="27FF9D49">
      <w:r>
        <w:t>4)本项目不接受联合体</w:t>
      </w:r>
      <w:r>
        <w:rPr>
          <w:rFonts w:hint="eastAsia"/>
        </w:rPr>
        <w:t>响应</w:t>
      </w:r>
      <w:r>
        <w:t>。</w:t>
      </w:r>
    </w:p>
    <w:p w14:paraId="00903B2B">
      <w:pPr>
        <w:rPr>
          <w:rFonts w:ascii="Calibri" w:hAnsi="Calibri" w:eastAsia="宋体" w:cs="Times New Roman"/>
        </w:rPr>
      </w:pPr>
      <w:r>
        <w:rPr>
          <w:rFonts w:ascii="Calibri" w:hAnsi="Calibri" w:eastAsia="宋体" w:cs="Times New Roman"/>
        </w:rPr>
        <w:t>5)供应商必须为经国家保险监督管理机构批准在中华人民共和国境内设立和营业的，并依法被核定许可经营责任保险业务的保险公司或其分支机构</w:t>
      </w:r>
      <w:r>
        <w:rPr>
          <w:rFonts w:hint="eastAsia" w:ascii="Calibri" w:hAnsi="Calibri" w:eastAsia="宋体" w:cs="Times New Roman"/>
        </w:rPr>
        <w:t>，具备</w:t>
      </w:r>
      <w:r>
        <w:rPr>
          <w:rFonts w:ascii="Calibri" w:hAnsi="Calibri" w:eastAsia="宋体" w:cs="Times New Roman"/>
        </w:rPr>
        <w:t>《经营保险业务许可证》或《保险许可证》。</w:t>
      </w:r>
    </w:p>
    <w:p w14:paraId="734FE656">
      <w:pPr>
        <w:rPr>
          <w:rFonts w:hint="eastAsia" w:ascii="Calibri" w:hAnsi="Calibri" w:eastAsia="宋体" w:cs="Times New Roman"/>
          <w:lang w:val="en-US" w:eastAsia="zh-CN"/>
        </w:rPr>
      </w:pPr>
      <w:r>
        <w:rPr>
          <w:rFonts w:hint="eastAsia" w:ascii="Calibri" w:hAnsi="Calibri" w:eastAsia="宋体" w:cs="Times New Roman"/>
          <w:lang w:val="en-US" w:eastAsia="zh-CN"/>
        </w:rPr>
        <w:t>6）总公司及其分支机构不得同时参与本项目响应。同属一个总公司的多个分支机构不得同时参与本项目响应。如总公司及其分支机构同时参与本项目响应，则该总公司以及该总公司的分支机构的响应文件均按无效响应处理；如同属一个总公司的多个分支机构同时参与本项目响应，则这几个分支机构的响应文件均按无效响应处理。</w:t>
      </w:r>
    </w:p>
    <w:p w14:paraId="1462F044">
      <w:pPr>
        <w:pStyle w:val="3"/>
      </w:pPr>
      <w:bookmarkStart w:id="3" w:name="_Toc29920"/>
      <w:r>
        <w:t>三.获取磋商文件</w:t>
      </w:r>
      <w:bookmarkEnd w:id="3"/>
    </w:p>
    <w:p w14:paraId="3B25B241">
      <w:pPr>
        <w:spacing w:before="24"/>
        <w:ind w:right="109" w:firstLine="444"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时间：202</w:t>
      </w:r>
      <w:r>
        <w:rPr>
          <w:rFonts w:hint="eastAsia" w:ascii="宋体" w:hAnsi="宋体" w:eastAsia="宋体" w:cs="宋体"/>
          <w:spacing w:val="6"/>
          <w:kern w:val="0"/>
          <w:szCs w:val="21"/>
          <w:lang w:val="en-US" w:eastAsia="zh-CN"/>
        </w:rPr>
        <w:t>5</w:t>
      </w:r>
      <w:r>
        <w:rPr>
          <w:rFonts w:hint="eastAsia" w:ascii="宋体" w:hAnsi="宋体" w:eastAsia="宋体" w:cs="宋体"/>
          <w:spacing w:val="6"/>
          <w:kern w:val="0"/>
          <w:szCs w:val="21"/>
        </w:rPr>
        <w:t>年</w:t>
      </w:r>
      <w:r>
        <w:rPr>
          <w:rFonts w:hint="eastAsia" w:ascii="宋体" w:hAnsi="宋体" w:eastAsia="宋体" w:cs="宋体"/>
          <w:spacing w:val="6"/>
          <w:kern w:val="0"/>
          <w:szCs w:val="21"/>
          <w:lang w:val="en-US" w:eastAsia="zh-CN"/>
        </w:rPr>
        <w:t xml:space="preserve"> 9</w:t>
      </w:r>
      <w:r>
        <w:rPr>
          <w:rFonts w:hint="eastAsia" w:ascii="宋体" w:hAnsi="宋体" w:eastAsia="宋体" w:cs="宋体"/>
          <w:spacing w:val="6"/>
          <w:kern w:val="0"/>
          <w:szCs w:val="21"/>
        </w:rPr>
        <w:t>月</w:t>
      </w:r>
      <w:r>
        <w:rPr>
          <w:rFonts w:hint="eastAsia" w:ascii="宋体" w:hAnsi="宋体" w:eastAsia="宋体" w:cs="宋体"/>
          <w:spacing w:val="6"/>
          <w:kern w:val="0"/>
          <w:szCs w:val="21"/>
          <w:lang w:val="en-US" w:eastAsia="zh-CN"/>
        </w:rPr>
        <w:t xml:space="preserve"> 12</w:t>
      </w:r>
      <w:r>
        <w:rPr>
          <w:rFonts w:hint="eastAsia" w:ascii="宋体" w:hAnsi="宋体" w:eastAsia="宋体" w:cs="宋体"/>
          <w:spacing w:val="6"/>
          <w:kern w:val="0"/>
          <w:szCs w:val="21"/>
        </w:rPr>
        <w:t>日至202</w:t>
      </w:r>
      <w:r>
        <w:rPr>
          <w:rFonts w:hint="eastAsia" w:ascii="宋体" w:hAnsi="宋体" w:eastAsia="宋体" w:cs="宋体"/>
          <w:spacing w:val="6"/>
          <w:kern w:val="0"/>
          <w:szCs w:val="21"/>
          <w:lang w:val="en-US" w:eastAsia="zh-CN"/>
        </w:rPr>
        <w:t>5</w:t>
      </w:r>
      <w:r>
        <w:rPr>
          <w:rFonts w:hint="eastAsia" w:ascii="宋体" w:hAnsi="宋体" w:eastAsia="宋体" w:cs="宋体"/>
          <w:spacing w:val="6"/>
          <w:kern w:val="0"/>
          <w:szCs w:val="21"/>
        </w:rPr>
        <w:t>年</w:t>
      </w:r>
      <w:r>
        <w:rPr>
          <w:rFonts w:hint="eastAsia" w:ascii="宋体" w:hAnsi="宋体" w:eastAsia="宋体" w:cs="宋体"/>
          <w:spacing w:val="6"/>
          <w:kern w:val="0"/>
          <w:szCs w:val="21"/>
          <w:lang w:val="en-US" w:eastAsia="zh-CN"/>
        </w:rPr>
        <w:t xml:space="preserve"> 9</w:t>
      </w:r>
      <w:r>
        <w:rPr>
          <w:rFonts w:hint="eastAsia" w:ascii="宋体" w:hAnsi="宋体" w:eastAsia="宋体" w:cs="宋体"/>
          <w:spacing w:val="6"/>
          <w:kern w:val="0"/>
          <w:szCs w:val="21"/>
        </w:rPr>
        <w:t>月</w:t>
      </w:r>
      <w:r>
        <w:rPr>
          <w:rFonts w:hint="eastAsia" w:ascii="宋体" w:hAnsi="宋体" w:eastAsia="宋体" w:cs="宋体"/>
          <w:spacing w:val="6"/>
          <w:kern w:val="0"/>
          <w:szCs w:val="21"/>
          <w:lang w:val="en-US" w:eastAsia="zh-CN"/>
        </w:rPr>
        <w:t xml:space="preserve"> 18</w:t>
      </w:r>
      <w:r>
        <w:rPr>
          <w:rFonts w:hint="eastAsia" w:ascii="宋体" w:hAnsi="宋体" w:eastAsia="宋体" w:cs="宋体"/>
          <w:spacing w:val="6"/>
          <w:kern w:val="0"/>
          <w:szCs w:val="21"/>
        </w:rPr>
        <w:t>日，每天上午0</w:t>
      </w:r>
      <w:r>
        <w:rPr>
          <w:rFonts w:hint="eastAsia" w:ascii="宋体" w:hAnsi="宋体" w:eastAsia="宋体" w:cs="宋体"/>
          <w:spacing w:val="6"/>
          <w:kern w:val="0"/>
          <w:szCs w:val="21"/>
          <w:lang w:val="en-US" w:eastAsia="zh-CN"/>
        </w:rPr>
        <w:t>9</w:t>
      </w:r>
      <w:r>
        <w:rPr>
          <w:rFonts w:hint="eastAsia" w:ascii="宋体" w:hAnsi="宋体" w:eastAsia="宋体" w:cs="宋体"/>
          <w:spacing w:val="6"/>
          <w:kern w:val="0"/>
          <w:szCs w:val="21"/>
        </w:rPr>
        <w:t>:00:00至12:00:00，下午</w:t>
      </w:r>
      <w:r>
        <w:rPr>
          <w:rFonts w:ascii="宋体" w:hAnsi="宋体" w:eastAsia="宋体" w:cs="宋体"/>
          <w:spacing w:val="6"/>
          <w:kern w:val="0"/>
          <w:szCs w:val="21"/>
        </w:rPr>
        <w:t>1</w:t>
      </w:r>
      <w:r>
        <w:rPr>
          <w:rFonts w:hint="eastAsia" w:ascii="宋体" w:hAnsi="宋体" w:eastAsia="宋体" w:cs="宋体"/>
          <w:spacing w:val="6"/>
          <w:kern w:val="0"/>
          <w:szCs w:val="21"/>
          <w:lang w:val="en-US" w:eastAsia="zh-CN"/>
        </w:rPr>
        <w:t>4</w:t>
      </w:r>
      <w:r>
        <w:rPr>
          <w:rFonts w:hint="eastAsia" w:ascii="宋体" w:hAnsi="宋体" w:eastAsia="宋体" w:cs="宋体"/>
          <w:spacing w:val="6"/>
          <w:kern w:val="0"/>
          <w:szCs w:val="21"/>
        </w:rPr>
        <w:t>:</w:t>
      </w:r>
      <w:r>
        <w:rPr>
          <w:rFonts w:ascii="宋体" w:hAnsi="宋体" w:eastAsia="宋体" w:cs="宋体"/>
          <w:spacing w:val="6"/>
          <w:kern w:val="0"/>
          <w:szCs w:val="21"/>
        </w:rPr>
        <w:t>0</w:t>
      </w:r>
      <w:r>
        <w:rPr>
          <w:rFonts w:hint="eastAsia" w:ascii="宋体" w:hAnsi="宋体" w:eastAsia="宋体" w:cs="宋体"/>
          <w:spacing w:val="6"/>
          <w:kern w:val="0"/>
          <w:szCs w:val="21"/>
        </w:rPr>
        <w:t>0:00至</w:t>
      </w:r>
      <w:r>
        <w:rPr>
          <w:rFonts w:hint="eastAsia" w:ascii="宋体" w:hAnsi="宋体" w:eastAsia="宋体" w:cs="宋体"/>
          <w:spacing w:val="6"/>
          <w:kern w:val="0"/>
          <w:szCs w:val="21"/>
          <w:lang w:val="en-US" w:eastAsia="zh-CN"/>
        </w:rPr>
        <w:t>17</w:t>
      </w:r>
      <w:r>
        <w:rPr>
          <w:rFonts w:hint="eastAsia" w:ascii="宋体" w:hAnsi="宋体" w:eastAsia="宋体" w:cs="宋体"/>
          <w:spacing w:val="6"/>
          <w:kern w:val="0"/>
          <w:szCs w:val="21"/>
        </w:rPr>
        <w:t>:</w:t>
      </w:r>
      <w:r>
        <w:rPr>
          <w:rFonts w:hint="eastAsia" w:ascii="宋体" w:hAnsi="宋体" w:eastAsia="宋体" w:cs="宋体"/>
          <w:spacing w:val="6"/>
          <w:kern w:val="0"/>
          <w:szCs w:val="21"/>
          <w:lang w:val="en-US" w:eastAsia="zh-CN"/>
        </w:rPr>
        <w:t>30</w:t>
      </w:r>
      <w:r>
        <w:rPr>
          <w:rFonts w:hint="eastAsia" w:ascii="宋体" w:hAnsi="宋体" w:eastAsia="宋体" w:cs="宋体"/>
          <w:spacing w:val="6"/>
          <w:kern w:val="0"/>
          <w:szCs w:val="21"/>
        </w:rPr>
        <w:t>:</w:t>
      </w:r>
      <w:r>
        <w:rPr>
          <w:rFonts w:hint="eastAsia" w:ascii="宋体" w:hAnsi="宋体" w:eastAsia="宋体" w:cs="宋体"/>
          <w:spacing w:val="6"/>
          <w:kern w:val="0"/>
          <w:szCs w:val="21"/>
          <w:lang w:val="en-US" w:eastAsia="zh-CN"/>
        </w:rPr>
        <w:t>00</w:t>
      </w:r>
      <w:r>
        <w:rPr>
          <w:rFonts w:hint="eastAsia" w:ascii="宋体" w:hAnsi="宋体" w:eastAsia="宋体" w:cs="宋体"/>
          <w:spacing w:val="6"/>
          <w:kern w:val="0"/>
          <w:szCs w:val="21"/>
        </w:rPr>
        <w:t>（北京时间，法定节假日除外）</w:t>
      </w:r>
    </w:p>
    <w:p w14:paraId="29A10222">
      <w:pPr>
        <w:spacing w:before="24"/>
        <w:ind w:right="109" w:firstLine="444"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地点：通过链接http://www.zztender.com/</w:t>
      </w:r>
    </w:p>
    <w:p w14:paraId="256351F3">
      <w:pPr>
        <w:spacing w:before="24"/>
        <w:ind w:right="109" w:firstLine="444"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方式：本项目只支持线上购标，售后不退。请于2025年</w:t>
      </w:r>
      <w:r>
        <w:rPr>
          <w:rFonts w:hint="eastAsia" w:ascii="宋体" w:hAnsi="宋体" w:eastAsia="宋体" w:cs="宋体"/>
          <w:spacing w:val="6"/>
          <w:kern w:val="0"/>
          <w:szCs w:val="21"/>
          <w:lang w:val="en-US" w:eastAsia="zh-CN"/>
        </w:rPr>
        <w:t xml:space="preserve"> 9</w:t>
      </w:r>
      <w:r>
        <w:rPr>
          <w:rFonts w:hint="eastAsia" w:ascii="宋体" w:hAnsi="宋体" w:eastAsia="宋体" w:cs="宋体"/>
          <w:spacing w:val="6"/>
          <w:kern w:val="0"/>
          <w:szCs w:val="21"/>
        </w:rPr>
        <w:t>月</w:t>
      </w:r>
      <w:r>
        <w:rPr>
          <w:rFonts w:hint="eastAsia" w:ascii="宋体" w:hAnsi="宋体" w:eastAsia="宋体" w:cs="宋体"/>
          <w:spacing w:val="6"/>
          <w:kern w:val="0"/>
          <w:szCs w:val="21"/>
          <w:lang w:val="en-US" w:eastAsia="zh-CN"/>
        </w:rPr>
        <w:t xml:space="preserve"> 18</w:t>
      </w:r>
      <w:r>
        <w:rPr>
          <w:rFonts w:hint="eastAsia" w:ascii="宋体" w:hAnsi="宋体" w:eastAsia="宋体" w:cs="宋体"/>
          <w:spacing w:val="6"/>
          <w:kern w:val="0"/>
          <w:szCs w:val="21"/>
        </w:rPr>
        <w:t>日17：30前登录广东志正招标有限公司官网“https://www.zztender.com/”进行操作，从采购公告右侧的“我要报名”入口，相关操作成功后即可下载</w:t>
      </w:r>
      <w:r>
        <w:rPr>
          <w:rFonts w:hint="eastAsia" w:ascii="宋体" w:hAnsi="宋体" w:eastAsia="宋体" w:cs="宋体"/>
          <w:spacing w:val="6"/>
          <w:kern w:val="0"/>
          <w:szCs w:val="21"/>
          <w:lang w:val="en-US" w:eastAsia="zh-CN"/>
        </w:rPr>
        <w:t>磋商</w:t>
      </w:r>
      <w:r>
        <w:rPr>
          <w:rFonts w:hint="eastAsia" w:ascii="宋体" w:hAnsi="宋体" w:eastAsia="宋体" w:cs="宋体"/>
          <w:spacing w:val="6"/>
          <w:kern w:val="0"/>
          <w:szCs w:val="21"/>
        </w:rPr>
        <w:t>文件，并可在规定的获取采购文件时间段内到采购代理机构现场领取纸质采购文件。（咨询电话020-87554018，杨小姐）</w:t>
      </w:r>
    </w:p>
    <w:p w14:paraId="218D31F9">
      <w:pPr>
        <w:spacing w:before="24"/>
        <w:ind w:right="109" w:firstLine="444"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售价：￥300.0 元，本公告包含的</w:t>
      </w:r>
      <w:r>
        <w:rPr>
          <w:rFonts w:hint="eastAsia" w:ascii="宋体" w:hAnsi="宋体" w:eastAsia="宋体" w:cs="宋体"/>
          <w:spacing w:val="6"/>
          <w:kern w:val="0"/>
          <w:szCs w:val="21"/>
          <w:lang w:val="en-US" w:eastAsia="zh-CN"/>
        </w:rPr>
        <w:t>磋商</w:t>
      </w:r>
      <w:r>
        <w:rPr>
          <w:rFonts w:hint="eastAsia" w:ascii="宋体" w:hAnsi="宋体" w:eastAsia="宋体" w:cs="宋体"/>
          <w:spacing w:val="6"/>
          <w:kern w:val="0"/>
          <w:szCs w:val="21"/>
        </w:rPr>
        <w:t>文件售价总和</w:t>
      </w:r>
    </w:p>
    <w:p w14:paraId="2F67626B">
      <w:pPr>
        <w:pStyle w:val="3"/>
      </w:pPr>
      <w:bookmarkStart w:id="4" w:name="_Toc31628"/>
      <w:r>
        <w:t>四.提交响应文件截止时间、开启时间和地点：</w:t>
      </w:r>
      <w:bookmarkEnd w:id="4"/>
    </w:p>
    <w:p w14:paraId="3341F04D">
      <w:pPr>
        <w:ind w:firstLine="480"/>
      </w:pPr>
      <w:r>
        <w:rPr>
          <w:rFonts w:hint="eastAsia"/>
        </w:rPr>
        <w:t>提交响应文件截止时间和开启时间：202</w:t>
      </w:r>
      <w:r>
        <w:rPr>
          <w:rFonts w:hint="eastAsia"/>
          <w:lang w:val="en-US" w:eastAsia="zh-CN"/>
        </w:rPr>
        <w:t>5</w:t>
      </w:r>
      <w:r>
        <w:rPr>
          <w:rFonts w:hint="eastAsia"/>
        </w:rPr>
        <w:t>年</w:t>
      </w:r>
      <w:r>
        <w:rPr>
          <w:rFonts w:hint="eastAsia"/>
          <w:lang w:val="en-US" w:eastAsia="zh-CN"/>
        </w:rPr>
        <w:t xml:space="preserve"> 9</w:t>
      </w:r>
      <w:r>
        <w:rPr>
          <w:rFonts w:hint="eastAsia"/>
        </w:rPr>
        <w:t>月</w:t>
      </w:r>
      <w:r>
        <w:rPr>
          <w:rFonts w:hint="eastAsia"/>
          <w:lang w:val="en-US" w:eastAsia="zh-CN"/>
        </w:rPr>
        <w:t xml:space="preserve">  23</w:t>
      </w:r>
      <w:r>
        <w:rPr>
          <w:rFonts w:hint="eastAsia"/>
        </w:rPr>
        <w:t>日</w:t>
      </w:r>
      <w:r>
        <w:rPr>
          <w:rFonts w:hint="eastAsia"/>
          <w:lang w:val="en-US" w:eastAsia="zh-CN"/>
        </w:rPr>
        <w:t xml:space="preserve"> 10</w:t>
      </w:r>
      <w:r>
        <w:rPr>
          <w:rFonts w:hint="eastAsia"/>
        </w:rPr>
        <w:t>时</w:t>
      </w:r>
      <w:r>
        <w:rPr>
          <w:rFonts w:hint="eastAsia"/>
          <w:lang w:val="en-US" w:eastAsia="zh-CN"/>
        </w:rPr>
        <w:t xml:space="preserve"> 00</w:t>
      </w:r>
      <w:r>
        <w:rPr>
          <w:rFonts w:hint="eastAsia"/>
        </w:rPr>
        <w:t>分00秒（北京时间）</w:t>
      </w:r>
    </w:p>
    <w:p w14:paraId="52D17E3E">
      <w:pPr>
        <w:ind w:firstLine="480"/>
        <w:rPr>
          <w:rFonts w:hint="default" w:eastAsiaTheme="minorEastAsia"/>
          <w:lang w:val="en-US" w:eastAsia="zh-CN"/>
        </w:rPr>
      </w:pPr>
      <w:r>
        <w:rPr>
          <w:rFonts w:hint="eastAsia"/>
        </w:rPr>
        <w:t>地点：</w:t>
      </w:r>
      <w:r>
        <w:rPr>
          <w:rFonts w:hint="eastAsia"/>
          <w:lang w:eastAsia="zh-CN"/>
        </w:rPr>
        <w:t>广东志正招标有限公司</w:t>
      </w:r>
      <w:r>
        <w:rPr>
          <w:rFonts w:hint="eastAsia"/>
          <w:lang w:val="en-US" w:eastAsia="zh-CN"/>
        </w:rPr>
        <w:t>5楼</w:t>
      </w:r>
    </w:p>
    <w:p w14:paraId="65EB6B7D">
      <w:pPr>
        <w:pStyle w:val="3"/>
      </w:pPr>
      <w:bookmarkStart w:id="5" w:name="_Toc6463"/>
      <w:r>
        <w:t>五.公告期限、发布公告的媒介：</w:t>
      </w:r>
      <w:bookmarkEnd w:id="5"/>
    </w:p>
    <w:p w14:paraId="1D46A2E6">
      <w:pPr>
        <w:ind w:firstLine="480"/>
      </w:pPr>
      <w:r>
        <w:t>1、公告期限：自本公告发布之日起不得少于3个工作日。</w:t>
      </w:r>
    </w:p>
    <w:p w14:paraId="55C24C31">
      <w:pPr>
        <w:ind w:firstLine="480"/>
      </w:pPr>
      <w:r>
        <w:t>2、发布公告的媒介：</w:t>
      </w:r>
      <w:r>
        <w:rPr>
          <w:rFonts w:hint="eastAsia"/>
          <w:lang w:eastAsia="zh-CN"/>
        </w:rPr>
        <w:t>广东志正招标有限公司</w:t>
      </w:r>
      <w:r>
        <w:rPr>
          <w:rFonts w:hint="eastAsia"/>
        </w:rPr>
        <w:t>官网（https://www.zztender.com/）。</w:t>
      </w:r>
    </w:p>
    <w:p w14:paraId="2ED44712">
      <w:pPr>
        <w:pStyle w:val="3"/>
      </w:pPr>
      <w:bookmarkStart w:id="6" w:name="_Toc10161"/>
      <w:r>
        <w:t>六.本项目联系方式：</w:t>
      </w:r>
      <w:bookmarkEnd w:id="6"/>
    </w:p>
    <w:p w14:paraId="56111448">
      <w:r>
        <w:rPr>
          <w:b/>
          <w:sz w:val="24"/>
        </w:rPr>
        <w:t>1.采购人信息</w:t>
      </w:r>
    </w:p>
    <w:p w14:paraId="355F08DE">
      <w:pPr>
        <w:ind w:firstLine="480"/>
      </w:pPr>
      <w:r>
        <w:t>名称：广州市海珠区中医医院</w:t>
      </w:r>
    </w:p>
    <w:p w14:paraId="336909B1">
      <w:pPr>
        <w:ind w:firstLine="480"/>
      </w:pPr>
      <w:r>
        <w:t>地址：</w:t>
      </w:r>
      <w:r>
        <w:rPr>
          <w:rFonts w:hint="eastAsia"/>
        </w:rPr>
        <w:t>广州市海珠区前进路南园大街1号之一</w:t>
      </w:r>
    </w:p>
    <w:p w14:paraId="5377EBE7">
      <w:pPr>
        <w:ind w:firstLine="480"/>
      </w:pPr>
      <w:r>
        <w:rPr>
          <w:rFonts w:hint="eastAsia"/>
        </w:rPr>
        <w:t>联系人：陈训梅</w:t>
      </w:r>
    </w:p>
    <w:p w14:paraId="1C841374">
      <w:pPr>
        <w:ind w:firstLine="480"/>
      </w:pPr>
      <w:r>
        <w:rPr>
          <w:rFonts w:hint="eastAsia"/>
        </w:rPr>
        <w:t>联系方式：15920802688</w:t>
      </w:r>
    </w:p>
    <w:p w14:paraId="02F32D84">
      <w:r>
        <w:rPr>
          <w:b/>
          <w:sz w:val="24"/>
        </w:rPr>
        <w:t>2.采购代理机构信息</w:t>
      </w:r>
    </w:p>
    <w:p w14:paraId="00F4B3CD">
      <w:pPr>
        <w:ind w:firstLine="480"/>
        <w:rPr>
          <w:rFonts w:hint="eastAsia" w:eastAsiaTheme="minorEastAsia"/>
          <w:lang w:eastAsia="zh-CN"/>
        </w:rPr>
      </w:pPr>
      <w:r>
        <w:t>名称：</w:t>
      </w:r>
      <w:r>
        <w:rPr>
          <w:rFonts w:hint="eastAsia"/>
          <w:lang w:eastAsia="zh-CN"/>
        </w:rPr>
        <w:t>广东志正招标有限公司</w:t>
      </w:r>
    </w:p>
    <w:p w14:paraId="28D9D604">
      <w:pPr>
        <w:ind w:firstLine="480"/>
      </w:pPr>
      <w:r>
        <w:t>地址：广州市天河区龙怡路117号银汇大厦5楼</w:t>
      </w:r>
    </w:p>
    <w:p w14:paraId="52FD0526">
      <w:pPr>
        <w:ind w:firstLine="480"/>
        <w:rPr>
          <w:rFonts w:hint="default" w:eastAsiaTheme="minorEastAsia"/>
          <w:lang w:val="en-US" w:eastAsia="zh-CN"/>
        </w:rPr>
      </w:pPr>
      <w:r>
        <w:t>联系方式：</w:t>
      </w:r>
      <w:r>
        <w:rPr>
          <w:rFonts w:hint="eastAsia"/>
          <w:lang w:val="en-US" w:eastAsia="zh-CN"/>
        </w:rPr>
        <w:t>020-85165610</w:t>
      </w:r>
    </w:p>
    <w:p w14:paraId="79A1F31E">
      <w:r>
        <w:rPr>
          <w:b/>
          <w:sz w:val="24"/>
        </w:rPr>
        <w:t>3.项目联系方式</w:t>
      </w:r>
    </w:p>
    <w:p w14:paraId="3D4A475C">
      <w:pPr>
        <w:ind w:firstLine="480"/>
        <w:rPr>
          <w:rFonts w:hint="eastAsia" w:eastAsiaTheme="minorEastAsia"/>
          <w:lang w:eastAsia="zh-CN"/>
        </w:rPr>
      </w:pPr>
      <w:r>
        <w:t>项目联系人：</w:t>
      </w:r>
      <w:r>
        <w:rPr>
          <w:rFonts w:hint="eastAsia"/>
          <w:lang w:val="en-US" w:eastAsia="zh-CN"/>
        </w:rPr>
        <w:t>滕工</w:t>
      </w:r>
    </w:p>
    <w:p w14:paraId="6FB9EBCC">
      <w:pPr>
        <w:ind w:firstLine="480"/>
      </w:pPr>
      <w:r>
        <w:t>电话：</w:t>
      </w:r>
      <w:r>
        <w:rPr>
          <w:rFonts w:hint="eastAsia"/>
          <w:lang w:val="en-US" w:eastAsia="zh-CN"/>
        </w:rPr>
        <w:t>020-85165610</w:t>
      </w:r>
    </w:p>
    <w:p w14:paraId="2A230315"/>
    <w:p w14:paraId="5B9E9F60">
      <w:pPr>
        <w:jc w:val="right"/>
        <w:rPr>
          <w:b/>
          <w:sz w:val="36"/>
        </w:rPr>
      </w:pPr>
      <w:r>
        <w:t>采购代理机构：</w:t>
      </w:r>
      <w:r>
        <w:rPr>
          <w:rFonts w:hint="eastAsia"/>
          <w:lang w:eastAsia="zh-CN"/>
        </w:rPr>
        <w:t>广东志正招标有限公司</w:t>
      </w:r>
      <w:r>
        <w:rPr>
          <w:b/>
          <w:sz w:val="36"/>
        </w:rPr>
        <w:br w:type="page"/>
      </w:r>
    </w:p>
    <w:p w14:paraId="63ED9326">
      <w:pPr>
        <w:pStyle w:val="2"/>
        <w:jc w:val="center"/>
      </w:pPr>
      <w:bookmarkStart w:id="7" w:name="_Toc4013"/>
      <w:r>
        <w:t>第二章 采购需求</w:t>
      </w:r>
      <w:bookmarkEnd w:id="7"/>
    </w:p>
    <w:p w14:paraId="4EDF5A96">
      <w:pPr>
        <w:pStyle w:val="3"/>
        <w:rPr>
          <w:rFonts w:hint="default" w:eastAsiaTheme="majorEastAsia"/>
          <w:sz w:val="24"/>
          <w:szCs w:val="24"/>
          <w:lang w:val="en-US" w:eastAsia="zh-CN"/>
        </w:rPr>
      </w:pPr>
      <w:bookmarkStart w:id="8" w:name="_Toc32752"/>
      <w:r>
        <w:rPr>
          <w:rFonts w:hint="eastAsia"/>
          <w:sz w:val="24"/>
          <w:szCs w:val="24"/>
          <w:lang w:val="en-US" w:eastAsia="zh-CN"/>
        </w:rPr>
        <w:t>注：需求书中标注“★”、“▲”号条款标志， 打“★”号条款为实质性条款，若有任何一条负偏离或不满足则导致响应无效。打“▲”号条款为重要技术参数（如有），若有部分“▲”条款未响应或不满足，将根据评审要求影响其得分，但不作为无效响应条款。</w:t>
      </w:r>
    </w:p>
    <w:p w14:paraId="7451B25D">
      <w:pPr>
        <w:pStyle w:val="3"/>
      </w:pPr>
      <w:r>
        <w:t>一、项目概况：</w:t>
      </w:r>
      <w:bookmarkEnd w:id="8"/>
    </w:p>
    <w:p w14:paraId="7BDFCE09">
      <w:pPr>
        <w:pStyle w:val="3"/>
        <w:keepNext w:val="0"/>
        <w:keepLines w:val="0"/>
        <w:pageBreakBefore w:val="0"/>
        <w:widowControl w:val="0"/>
        <w:kinsoku/>
        <w:wordWrap w:val="0"/>
        <w:overflowPunct/>
        <w:topLinePunct w:val="0"/>
        <w:autoSpaceDE/>
        <w:autoSpaceDN/>
        <w:bidi w:val="0"/>
        <w:adjustRightInd w:val="0"/>
        <w:snapToGrid/>
        <w:spacing w:before="0" w:after="0" w:line="360" w:lineRule="auto"/>
        <w:ind w:firstLine="0" w:firstLineChars="0"/>
        <w:jc w:val="left"/>
        <w:textAlignment w:val="auto"/>
        <w:outlineLvl w:val="1"/>
        <w:rPr>
          <w:sz w:val="21"/>
          <w:szCs w:val="21"/>
        </w:rPr>
      </w:pPr>
      <w:r>
        <w:rPr>
          <w:rFonts w:hint="eastAsia" w:ascii="宋体" w:hAnsi="宋体"/>
          <w:b/>
          <w:bCs/>
          <w:color w:val="auto"/>
          <w:sz w:val="21"/>
          <w:szCs w:val="21"/>
          <w:highlight w:val="none"/>
          <w:lang w:val="en-US" w:eastAsia="zh-CN"/>
        </w:rPr>
        <w:t>1、广州市海珠区中医医院</w:t>
      </w:r>
      <w:r>
        <w:rPr>
          <w:rFonts w:hint="eastAsia" w:ascii="宋体" w:hAnsi="宋体"/>
          <w:b/>
          <w:bCs/>
          <w:color w:val="auto"/>
          <w:sz w:val="21"/>
          <w:szCs w:val="21"/>
          <w:highlight w:val="none"/>
        </w:rPr>
        <w:t>基本信息</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31"/>
        <w:gridCol w:w="5248"/>
      </w:tblGrid>
      <w:tr w14:paraId="147A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231" w:type="dxa"/>
            <w:vAlign w:val="top"/>
          </w:tcPr>
          <w:p w14:paraId="1D2511F6">
            <w:pPr>
              <w:autoSpaceDE w:val="0"/>
              <w:autoSpaceDN w:val="0"/>
              <w:adjustRightInd w:val="0"/>
              <w:spacing w:line="440" w:lineRule="exact"/>
              <w:jc w:val="left"/>
              <w:rPr>
                <w:rFonts w:ascii="宋体"/>
                <w:color w:val="auto"/>
                <w:sz w:val="21"/>
                <w:szCs w:val="21"/>
                <w:highlight w:val="none"/>
              </w:rPr>
            </w:pPr>
            <w:r>
              <w:rPr>
                <w:rFonts w:hint="eastAsia" w:ascii="宋体" w:hAnsi="宋体"/>
                <w:color w:val="auto"/>
                <w:sz w:val="21"/>
                <w:szCs w:val="21"/>
                <w:highlight w:val="none"/>
              </w:rPr>
              <w:t>医疗机构等级：</w:t>
            </w:r>
          </w:p>
        </w:tc>
        <w:tc>
          <w:tcPr>
            <w:tcW w:w="5248" w:type="dxa"/>
            <w:vAlign w:val="top"/>
          </w:tcPr>
          <w:p w14:paraId="17A5B026">
            <w:pPr>
              <w:autoSpaceDE w:val="0"/>
              <w:autoSpaceDN w:val="0"/>
              <w:adjustRightInd w:val="0"/>
              <w:spacing w:line="440" w:lineRule="exact"/>
              <w:jc w:val="left"/>
              <w:rPr>
                <w:rFonts w:hint="default" w:ascii="宋体"/>
                <w:color w:val="auto"/>
                <w:sz w:val="21"/>
                <w:szCs w:val="21"/>
                <w:highlight w:val="none"/>
                <w:lang w:val="en-US"/>
              </w:rPr>
            </w:pPr>
            <w:r>
              <w:rPr>
                <w:rFonts w:hint="eastAsia" w:ascii="宋体"/>
                <w:color w:val="auto"/>
                <w:sz w:val="21"/>
                <w:szCs w:val="21"/>
                <w:highlight w:val="none"/>
                <w:lang w:val="en-US" w:eastAsia="zh-CN"/>
              </w:rPr>
              <w:t>二级</w:t>
            </w:r>
          </w:p>
        </w:tc>
      </w:tr>
      <w:tr w14:paraId="4E0E6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231" w:type="dxa"/>
            <w:vAlign w:val="top"/>
          </w:tcPr>
          <w:p w14:paraId="01663E9D">
            <w:pPr>
              <w:autoSpaceDE w:val="0"/>
              <w:autoSpaceDN w:val="0"/>
              <w:adjustRightInd w:val="0"/>
              <w:spacing w:line="440" w:lineRule="exact"/>
              <w:jc w:val="left"/>
              <w:rPr>
                <w:rFonts w:ascii="宋体"/>
                <w:color w:val="auto"/>
                <w:sz w:val="21"/>
                <w:szCs w:val="21"/>
                <w:highlight w:val="none"/>
              </w:rPr>
            </w:pPr>
            <w:r>
              <w:rPr>
                <w:rFonts w:hint="eastAsia" w:ascii="宋体" w:hAnsi="宋体"/>
                <w:color w:val="auto"/>
                <w:sz w:val="21"/>
                <w:szCs w:val="21"/>
                <w:highlight w:val="none"/>
              </w:rPr>
              <w:t>医疗机构类别：</w:t>
            </w:r>
          </w:p>
        </w:tc>
        <w:tc>
          <w:tcPr>
            <w:tcW w:w="5248" w:type="dxa"/>
            <w:vAlign w:val="top"/>
          </w:tcPr>
          <w:p w14:paraId="3798E784">
            <w:pPr>
              <w:autoSpaceDE w:val="0"/>
              <w:autoSpaceDN w:val="0"/>
              <w:adjustRightInd w:val="0"/>
              <w:spacing w:line="440" w:lineRule="exact"/>
              <w:jc w:val="left"/>
              <w:rPr>
                <w:rFonts w:ascii="宋体"/>
                <w:color w:val="auto"/>
                <w:sz w:val="21"/>
                <w:szCs w:val="21"/>
                <w:highlight w:val="none"/>
              </w:rPr>
            </w:pPr>
            <w:r>
              <w:rPr>
                <w:rFonts w:hint="eastAsia" w:ascii="宋体"/>
                <w:color w:val="auto"/>
                <w:sz w:val="21"/>
                <w:szCs w:val="21"/>
                <w:highlight w:val="none"/>
                <w:lang w:val="en-US" w:eastAsia="zh-CN"/>
              </w:rPr>
              <w:t>综合（中医）</w:t>
            </w:r>
          </w:p>
        </w:tc>
      </w:tr>
      <w:tr w14:paraId="2FAD8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231" w:type="dxa"/>
            <w:vAlign w:val="top"/>
          </w:tcPr>
          <w:p w14:paraId="404E6F53">
            <w:pPr>
              <w:autoSpaceDE w:val="0"/>
              <w:autoSpaceDN w:val="0"/>
              <w:adjustRightInd w:val="0"/>
              <w:spacing w:line="440" w:lineRule="exact"/>
              <w:jc w:val="left"/>
              <w:rPr>
                <w:rFonts w:ascii="宋体"/>
                <w:color w:val="auto"/>
                <w:sz w:val="21"/>
                <w:szCs w:val="21"/>
                <w:highlight w:val="none"/>
              </w:rPr>
            </w:pPr>
            <w:r>
              <w:rPr>
                <w:rFonts w:hint="eastAsia" w:ascii="宋体" w:hAnsi="宋体"/>
                <w:color w:val="auto"/>
                <w:sz w:val="21"/>
                <w:szCs w:val="21"/>
                <w:highlight w:val="none"/>
              </w:rPr>
              <w:t>床位数：</w:t>
            </w:r>
          </w:p>
        </w:tc>
        <w:tc>
          <w:tcPr>
            <w:tcW w:w="5248" w:type="dxa"/>
            <w:vAlign w:val="top"/>
          </w:tcPr>
          <w:p w14:paraId="7388A334">
            <w:pPr>
              <w:autoSpaceDE w:val="0"/>
              <w:autoSpaceDN w:val="0"/>
              <w:adjustRightInd w:val="0"/>
              <w:spacing w:line="440" w:lineRule="exact"/>
              <w:jc w:val="left"/>
              <w:rPr>
                <w:rFonts w:ascii="宋体"/>
                <w:color w:val="auto"/>
                <w:sz w:val="21"/>
                <w:szCs w:val="21"/>
                <w:highlight w:val="none"/>
              </w:rPr>
            </w:pPr>
            <w:r>
              <w:rPr>
                <w:rFonts w:hint="eastAsia" w:ascii="宋体"/>
                <w:color w:val="auto"/>
                <w:sz w:val="21"/>
                <w:szCs w:val="21"/>
                <w:highlight w:val="none"/>
                <w:lang w:val="en-US" w:eastAsia="zh-CN"/>
              </w:rPr>
              <w:t>199（床）</w:t>
            </w:r>
          </w:p>
        </w:tc>
      </w:tr>
      <w:tr w14:paraId="056B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231" w:type="dxa"/>
            <w:vAlign w:val="top"/>
          </w:tcPr>
          <w:p w14:paraId="4898F4D6">
            <w:pPr>
              <w:autoSpaceDE w:val="0"/>
              <w:autoSpaceDN w:val="0"/>
              <w:adjustRightInd w:val="0"/>
              <w:spacing w:line="440" w:lineRule="exact"/>
              <w:jc w:val="left"/>
              <w:rPr>
                <w:rFonts w:ascii="宋体"/>
                <w:color w:val="auto"/>
                <w:sz w:val="21"/>
                <w:szCs w:val="21"/>
                <w:highlight w:val="none"/>
              </w:rPr>
            </w:pPr>
            <w:r>
              <w:rPr>
                <w:rFonts w:hint="eastAsia" w:ascii="宋体" w:hAnsi="宋体"/>
                <w:color w:val="auto"/>
                <w:sz w:val="21"/>
                <w:szCs w:val="21"/>
                <w:highlight w:val="none"/>
              </w:rPr>
              <w:t>医务人员数：</w:t>
            </w:r>
          </w:p>
        </w:tc>
        <w:tc>
          <w:tcPr>
            <w:tcW w:w="5248" w:type="dxa"/>
            <w:vAlign w:val="top"/>
          </w:tcPr>
          <w:p w14:paraId="0691A843">
            <w:pPr>
              <w:autoSpaceDE w:val="0"/>
              <w:autoSpaceDN w:val="0"/>
              <w:adjustRightInd w:val="0"/>
              <w:spacing w:line="440" w:lineRule="exact"/>
              <w:jc w:val="left"/>
              <w:rPr>
                <w:rFonts w:ascii="宋体"/>
                <w:color w:val="auto"/>
                <w:sz w:val="21"/>
                <w:szCs w:val="21"/>
                <w:highlight w:val="none"/>
              </w:rPr>
            </w:pPr>
            <w:r>
              <w:rPr>
                <w:rFonts w:hint="eastAsia" w:ascii="宋体"/>
                <w:color w:val="auto"/>
                <w:sz w:val="21"/>
                <w:szCs w:val="21"/>
                <w:highlight w:val="none"/>
                <w:lang w:val="en-US" w:eastAsia="zh-CN"/>
              </w:rPr>
              <w:t>240（人）</w:t>
            </w:r>
          </w:p>
        </w:tc>
      </w:tr>
      <w:tr w14:paraId="0B58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231" w:type="dxa"/>
            <w:vAlign w:val="top"/>
          </w:tcPr>
          <w:p w14:paraId="65FEBEDC">
            <w:pPr>
              <w:autoSpaceDE w:val="0"/>
              <w:autoSpaceDN w:val="0"/>
              <w:adjustRightInd w:val="0"/>
              <w:spacing w:line="440" w:lineRule="exact"/>
              <w:jc w:val="left"/>
              <w:rPr>
                <w:rFonts w:ascii="宋体"/>
                <w:color w:val="auto"/>
                <w:sz w:val="21"/>
                <w:szCs w:val="21"/>
                <w:highlight w:val="none"/>
              </w:rPr>
            </w:pPr>
            <w:r>
              <w:rPr>
                <w:rFonts w:hint="eastAsia" w:ascii="宋体" w:hAnsi="宋体"/>
                <w:color w:val="auto"/>
                <w:sz w:val="21"/>
                <w:szCs w:val="21"/>
                <w:highlight w:val="none"/>
              </w:rPr>
              <w:t>上年度门（急）诊人次：</w:t>
            </w:r>
          </w:p>
        </w:tc>
        <w:tc>
          <w:tcPr>
            <w:tcW w:w="5248" w:type="dxa"/>
            <w:vAlign w:val="top"/>
          </w:tcPr>
          <w:p w14:paraId="7DA9435D">
            <w:pPr>
              <w:autoSpaceDE w:val="0"/>
              <w:autoSpaceDN w:val="0"/>
              <w:adjustRightInd w:val="0"/>
              <w:spacing w:line="440" w:lineRule="exact"/>
              <w:jc w:val="left"/>
              <w:rPr>
                <w:rFonts w:ascii="宋体"/>
                <w:color w:val="auto"/>
                <w:sz w:val="21"/>
                <w:szCs w:val="21"/>
                <w:highlight w:val="none"/>
              </w:rPr>
            </w:pPr>
            <w:r>
              <w:rPr>
                <w:rFonts w:hint="eastAsia" w:ascii="宋体"/>
                <w:color w:val="auto"/>
                <w:sz w:val="21"/>
                <w:szCs w:val="21"/>
                <w:highlight w:val="none"/>
                <w:lang w:val="en-US" w:eastAsia="zh-CN"/>
              </w:rPr>
              <w:t>276,388（人次）</w:t>
            </w:r>
          </w:p>
        </w:tc>
      </w:tr>
      <w:tr w14:paraId="015B0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231" w:type="dxa"/>
            <w:vAlign w:val="top"/>
          </w:tcPr>
          <w:p w14:paraId="40DA9E81">
            <w:pPr>
              <w:autoSpaceDE w:val="0"/>
              <w:autoSpaceDN w:val="0"/>
              <w:adjustRightInd w:val="0"/>
              <w:spacing w:line="440" w:lineRule="exact"/>
              <w:jc w:val="left"/>
              <w:rPr>
                <w:rFonts w:ascii="宋体"/>
                <w:color w:val="auto"/>
                <w:sz w:val="21"/>
                <w:szCs w:val="21"/>
                <w:highlight w:val="none"/>
              </w:rPr>
            </w:pPr>
            <w:r>
              <w:rPr>
                <w:rFonts w:hint="eastAsia" w:ascii="宋体" w:hAnsi="宋体"/>
                <w:color w:val="auto"/>
                <w:sz w:val="21"/>
                <w:szCs w:val="21"/>
                <w:highlight w:val="none"/>
              </w:rPr>
              <w:t>上年度出院人</w:t>
            </w:r>
            <w:r>
              <w:rPr>
                <w:rFonts w:hint="eastAsia" w:ascii="宋体" w:hAnsi="宋体"/>
                <w:color w:val="auto"/>
                <w:sz w:val="21"/>
                <w:szCs w:val="21"/>
                <w:highlight w:val="none"/>
                <w:lang w:val="en-US" w:eastAsia="zh-CN"/>
              </w:rPr>
              <w:t>次</w:t>
            </w:r>
            <w:r>
              <w:rPr>
                <w:rFonts w:hint="eastAsia" w:ascii="宋体" w:hAnsi="宋体"/>
                <w:color w:val="auto"/>
                <w:sz w:val="21"/>
                <w:szCs w:val="21"/>
                <w:highlight w:val="none"/>
              </w:rPr>
              <w:t>：</w:t>
            </w:r>
          </w:p>
        </w:tc>
        <w:tc>
          <w:tcPr>
            <w:tcW w:w="5248" w:type="dxa"/>
            <w:vAlign w:val="top"/>
          </w:tcPr>
          <w:p w14:paraId="7FB07637">
            <w:pPr>
              <w:autoSpaceDE w:val="0"/>
              <w:autoSpaceDN w:val="0"/>
              <w:adjustRightInd w:val="0"/>
              <w:spacing w:line="440" w:lineRule="exact"/>
              <w:jc w:val="left"/>
              <w:rPr>
                <w:rFonts w:hint="default" w:ascii="宋体"/>
                <w:color w:val="auto"/>
                <w:sz w:val="21"/>
                <w:szCs w:val="21"/>
                <w:highlight w:val="none"/>
                <w:lang w:val="en-US"/>
              </w:rPr>
            </w:pPr>
            <w:r>
              <w:rPr>
                <w:rFonts w:hint="eastAsia" w:ascii="宋体"/>
                <w:color w:val="auto"/>
                <w:sz w:val="21"/>
                <w:szCs w:val="21"/>
                <w:highlight w:val="none"/>
                <w:lang w:val="en-US" w:eastAsia="zh-CN"/>
              </w:rPr>
              <w:t>6,042（人次)</w:t>
            </w:r>
          </w:p>
        </w:tc>
      </w:tr>
      <w:tr w14:paraId="173D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31" w:type="dxa"/>
            <w:vAlign w:val="top"/>
          </w:tcPr>
          <w:p w14:paraId="13904E97">
            <w:pPr>
              <w:autoSpaceDE w:val="0"/>
              <w:autoSpaceDN w:val="0"/>
              <w:adjustRightInd w:val="0"/>
              <w:spacing w:line="440" w:lineRule="exact"/>
              <w:jc w:val="left"/>
              <w:rPr>
                <w:rFonts w:hint="eastAsia" w:ascii="宋体" w:hAnsi="宋体" w:eastAsiaTheme="minorEastAsia"/>
                <w:color w:val="auto"/>
                <w:sz w:val="21"/>
                <w:szCs w:val="21"/>
                <w:highlight w:val="none"/>
                <w:lang w:eastAsia="zh-CN"/>
              </w:rPr>
            </w:pPr>
            <w:r>
              <w:rPr>
                <w:rFonts w:hint="eastAsia" w:ascii="宋体" w:hAnsi="宋体"/>
                <w:color w:val="auto"/>
                <w:sz w:val="21"/>
                <w:szCs w:val="21"/>
                <w:highlight w:val="none"/>
                <w:lang w:val="en-US" w:eastAsia="zh-CN"/>
              </w:rPr>
              <w:t>上年度</w:t>
            </w:r>
            <w:r>
              <w:rPr>
                <w:rFonts w:hint="eastAsia" w:ascii="宋体" w:hAnsi="宋体"/>
                <w:color w:val="auto"/>
                <w:sz w:val="21"/>
                <w:szCs w:val="21"/>
                <w:highlight w:val="none"/>
              </w:rPr>
              <w:t>互联网诊疗人次</w:t>
            </w:r>
            <w:r>
              <w:rPr>
                <w:rFonts w:hint="eastAsia" w:ascii="宋体" w:hAnsi="宋体"/>
                <w:color w:val="auto"/>
                <w:sz w:val="21"/>
                <w:szCs w:val="21"/>
                <w:highlight w:val="none"/>
                <w:lang w:eastAsia="zh-CN"/>
              </w:rPr>
              <w:t>：</w:t>
            </w:r>
          </w:p>
        </w:tc>
        <w:tc>
          <w:tcPr>
            <w:tcW w:w="5248" w:type="dxa"/>
            <w:vAlign w:val="top"/>
          </w:tcPr>
          <w:p w14:paraId="18C93BA2">
            <w:pPr>
              <w:autoSpaceDE w:val="0"/>
              <w:autoSpaceDN w:val="0"/>
              <w:adjustRightInd w:val="0"/>
              <w:spacing w:line="440" w:lineRule="exact"/>
              <w:jc w:val="left"/>
              <w:rPr>
                <w:rFonts w:hint="eastAsia" w:ascii="宋体" w:eastAsiaTheme="minorEastAsia"/>
                <w:color w:val="auto"/>
                <w:sz w:val="21"/>
                <w:szCs w:val="21"/>
                <w:highlight w:val="none"/>
                <w:lang w:val="en-US" w:eastAsia="zh-CN"/>
              </w:rPr>
            </w:pPr>
            <w:r>
              <w:rPr>
                <w:rFonts w:hint="eastAsia" w:ascii="宋体" w:eastAsiaTheme="minorEastAsia"/>
                <w:color w:val="auto"/>
                <w:sz w:val="21"/>
                <w:szCs w:val="21"/>
                <w:highlight w:val="none"/>
                <w:lang w:val="en-US" w:eastAsia="zh-CN"/>
              </w:rPr>
              <w:t>/</w:t>
            </w:r>
          </w:p>
        </w:tc>
      </w:tr>
    </w:tbl>
    <w:p w14:paraId="74594C00">
      <w:pPr>
        <w:spacing w:line="360" w:lineRule="auto"/>
        <w:rPr>
          <w:rFonts w:hint="default" w:eastAsiaTheme="minorEastAsia"/>
          <w:b/>
          <w:bCs/>
          <w:szCs w:val="21"/>
          <w:lang w:val="en-US" w:eastAsia="zh-CN"/>
        </w:rPr>
      </w:pPr>
      <w:r>
        <w:rPr>
          <w:rFonts w:hint="eastAsia"/>
          <w:b/>
          <w:bCs/>
          <w:szCs w:val="21"/>
          <w:lang w:val="en-US" w:eastAsia="zh-CN"/>
        </w:rPr>
        <w:t>2、项目基本信息</w:t>
      </w:r>
    </w:p>
    <w:tbl>
      <w:tblPr>
        <w:tblStyle w:val="19"/>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11"/>
        <w:gridCol w:w="1654"/>
        <w:gridCol w:w="2591"/>
        <w:gridCol w:w="2591"/>
      </w:tblGrid>
      <w:tr w14:paraId="02805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64" w:type="pct"/>
            <w:vAlign w:val="center"/>
          </w:tcPr>
          <w:p w14:paraId="7D0C0FB8">
            <w:pPr>
              <w:autoSpaceDE w:val="0"/>
              <w:autoSpaceDN w:val="0"/>
              <w:adjustRightInd w:val="0"/>
              <w:snapToGrid w:val="0"/>
              <w:spacing w:line="360" w:lineRule="auto"/>
              <w:ind w:left="740" w:right="731"/>
              <w:jc w:val="center"/>
              <w:rPr>
                <w:rFonts w:hint="eastAsia" w:ascii="宋体" w:hAnsi="宋体" w:eastAsia="宋体" w:cs="宋体"/>
                <w:b/>
                <w:kern w:val="0"/>
                <w:szCs w:val="21"/>
                <w:lang w:val="zh-CN" w:bidi="zh-CN"/>
              </w:rPr>
            </w:pPr>
            <w:r>
              <w:rPr>
                <w:rFonts w:hint="eastAsia" w:ascii="宋体" w:hAnsi="宋体" w:eastAsia="宋体" w:cs="宋体"/>
                <w:b/>
                <w:kern w:val="0"/>
                <w:szCs w:val="21"/>
                <w:lang w:val="zh-CN" w:bidi="zh-CN"/>
              </w:rPr>
              <w:t>服务内容</w:t>
            </w:r>
          </w:p>
        </w:tc>
        <w:tc>
          <w:tcPr>
            <w:tcW w:w="831" w:type="pct"/>
            <w:vAlign w:val="center"/>
          </w:tcPr>
          <w:p w14:paraId="019E3A4B">
            <w:pPr>
              <w:autoSpaceDE w:val="0"/>
              <w:autoSpaceDN w:val="0"/>
              <w:adjustRightInd w:val="0"/>
              <w:snapToGrid w:val="0"/>
              <w:spacing w:line="360" w:lineRule="auto"/>
              <w:ind w:left="220" w:right="383"/>
              <w:jc w:val="center"/>
              <w:rPr>
                <w:rFonts w:hint="eastAsia" w:ascii="宋体" w:hAnsi="宋体" w:eastAsia="宋体" w:cs="宋体"/>
                <w:b/>
                <w:kern w:val="0"/>
                <w:szCs w:val="21"/>
                <w:lang w:val="zh-CN" w:bidi="zh-CN"/>
              </w:rPr>
            </w:pPr>
            <w:r>
              <w:rPr>
                <w:rFonts w:hint="eastAsia" w:ascii="宋体" w:hAnsi="宋体" w:eastAsia="宋体" w:cs="宋体"/>
                <w:b/>
                <w:kern w:val="0"/>
                <w:szCs w:val="21"/>
                <w:lang w:val="zh-CN" w:bidi="zh-CN"/>
              </w:rPr>
              <w:t>预算金额</w:t>
            </w:r>
          </w:p>
        </w:tc>
        <w:tc>
          <w:tcPr>
            <w:tcW w:w="1302" w:type="pct"/>
            <w:vAlign w:val="center"/>
          </w:tcPr>
          <w:p w14:paraId="0B858620">
            <w:pPr>
              <w:autoSpaceDE w:val="0"/>
              <w:autoSpaceDN w:val="0"/>
              <w:adjustRightInd w:val="0"/>
              <w:snapToGrid w:val="0"/>
              <w:spacing w:line="360" w:lineRule="auto"/>
              <w:ind w:left="220" w:right="383"/>
              <w:jc w:val="center"/>
              <w:rPr>
                <w:rFonts w:hint="eastAsia" w:ascii="宋体" w:hAnsi="宋体" w:eastAsia="宋体" w:cs="宋体"/>
                <w:b/>
                <w:kern w:val="0"/>
                <w:szCs w:val="21"/>
                <w:lang w:val="zh-CN" w:bidi="zh-CN"/>
              </w:rPr>
            </w:pPr>
            <w:r>
              <w:rPr>
                <w:rFonts w:hint="eastAsia" w:ascii="宋体" w:hAnsi="宋体" w:eastAsia="宋体" w:cs="宋体"/>
                <w:b/>
                <w:kern w:val="0"/>
                <w:szCs w:val="21"/>
                <w:lang w:val="zh-CN" w:bidi="zh-CN"/>
              </w:rPr>
              <w:t>服务期限</w:t>
            </w:r>
          </w:p>
        </w:tc>
        <w:tc>
          <w:tcPr>
            <w:tcW w:w="1302" w:type="pct"/>
            <w:vAlign w:val="center"/>
          </w:tcPr>
          <w:p w14:paraId="7C36C7BA">
            <w:pPr>
              <w:autoSpaceDE w:val="0"/>
              <w:autoSpaceDN w:val="0"/>
              <w:adjustRightInd w:val="0"/>
              <w:snapToGrid w:val="0"/>
              <w:spacing w:line="360" w:lineRule="auto"/>
              <w:ind w:left="220" w:right="383"/>
              <w:jc w:val="center"/>
              <w:rPr>
                <w:rFonts w:hint="default" w:ascii="宋体" w:hAnsi="宋体" w:eastAsia="宋体" w:cs="宋体"/>
                <w:b/>
                <w:kern w:val="0"/>
                <w:szCs w:val="21"/>
                <w:lang w:val="en-US" w:bidi="zh-CN"/>
              </w:rPr>
            </w:pPr>
            <w:r>
              <w:rPr>
                <w:rFonts w:hint="eastAsia" w:ascii="宋体" w:hAnsi="宋体" w:eastAsia="宋体" w:cs="宋体"/>
                <w:b/>
                <w:kern w:val="0"/>
                <w:szCs w:val="21"/>
                <w:lang w:val="en-US" w:bidi="zh-CN"/>
              </w:rPr>
              <w:t>说明</w:t>
            </w:r>
          </w:p>
        </w:tc>
      </w:tr>
      <w:tr w14:paraId="3CE15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64" w:type="pct"/>
            <w:vAlign w:val="center"/>
          </w:tcPr>
          <w:p w14:paraId="61696236">
            <w:pPr>
              <w:autoSpaceDE w:val="0"/>
              <w:autoSpaceDN w:val="0"/>
              <w:adjustRightInd w:val="0"/>
              <w:snapToGrid w:val="0"/>
              <w:spacing w:line="360" w:lineRule="auto"/>
              <w:jc w:val="center"/>
              <w:rPr>
                <w:rFonts w:hint="eastAsia" w:ascii="宋体" w:hAnsi="宋体" w:eastAsia="宋体" w:cs="宋体"/>
                <w:kern w:val="0"/>
                <w:szCs w:val="21"/>
                <w:lang w:bidi="zh-CN"/>
              </w:rPr>
            </w:pPr>
            <w:r>
              <w:rPr>
                <w:rFonts w:hint="eastAsia" w:ascii="宋体" w:hAnsi="宋体" w:eastAsia="宋体" w:cs="宋体"/>
                <w:kern w:val="0"/>
                <w:szCs w:val="21"/>
                <w:lang w:bidi="zh-CN"/>
              </w:rPr>
              <w:t>广州市海珠区中医医院医疗责任险项目</w:t>
            </w:r>
          </w:p>
        </w:tc>
        <w:tc>
          <w:tcPr>
            <w:tcW w:w="831" w:type="pct"/>
            <w:vAlign w:val="center"/>
          </w:tcPr>
          <w:p w14:paraId="66F203F7">
            <w:pPr>
              <w:autoSpaceDE w:val="0"/>
              <w:autoSpaceDN w:val="0"/>
              <w:adjustRightInd w:val="0"/>
              <w:snapToGrid w:val="0"/>
              <w:spacing w:line="360" w:lineRule="auto"/>
              <w:jc w:val="center"/>
              <w:rPr>
                <w:rFonts w:hint="eastAsia" w:ascii="宋体" w:hAnsi="宋体" w:eastAsia="宋体" w:cs="宋体"/>
                <w:kern w:val="0"/>
                <w:szCs w:val="21"/>
                <w:lang w:bidi="zh-CN"/>
              </w:rPr>
            </w:pPr>
            <w:r>
              <w:rPr>
                <w:rFonts w:hint="eastAsia" w:ascii="宋体" w:hAnsi="宋体" w:eastAsia="宋体" w:cs="宋体"/>
                <w:kern w:val="0"/>
                <w:szCs w:val="21"/>
                <w:lang w:bidi="zh-CN"/>
              </w:rPr>
              <w:t>240,000.00元</w:t>
            </w:r>
          </w:p>
        </w:tc>
        <w:tc>
          <w:tcPr>
            <w:tcW w:w="1302" w:type="pct"/>
            <w:vAlign w:val="center"/>
          </w:tcPr>
          <w:p w14:paraId="0728538E">
            <w:pPr>
              <w:autoSpaceDE w:val="0"/>
              <w:autoSpaceDN w:val="0"/>
              <w:adjustRightInd w:val="0"/>
              <w:snapToGrid w:val="0"/>
              <w:spacing w:line="360" w:lineRule="auto"/>
              <w:jc w:val="center"/>
              <w:rPr>
                <w:rFonts w:hint="eastAsia" w:ascii="宋体" w:hAnsi="宋体" w:eastAsia="宋体" w:cs="宋体"/>
                <w:kern w:val="0"/>
                <w:szCs w:val="21"/>
                <w:lang w:bidi="zh-CN"/>
              </w:rPr>
            </w:pPr>
            <w:r>
              <w:rPr>
                <w:rFonts w:hint="eastAsia" w:ascii="宋体" w:hAnsi="宋体" w:eastAsia="宋体" w:cs="宋体"/>
                <w:kern w:val="0"/>
                <w:szCs w:val="21"/>
                <w:lang w:bidi="zh-CN"/>
              </w:rPr>
              <w:t>一年，</w:t>
            </w:r>
            <w:r>
              <w:rPr>
                <w:rFonts w:hint="eastAsia" w:ascii="宋体" w:hAnsi="宋体" w:eastAsia="宋体" w:cs="宋体"/>
                <w:kern w:val="0"/>
                <w:szCs w:val="21"/>
                <w:lang w:eastAsia="zh-CN" w:bidi="zh-CN"/>
              </w:rPr>
              <w:t>自20</w:t>
            </w:r>
            <w:r>
              <w:rPr>
                <w:rFonts w:hint="eastAsia" w:ascii="宋体" w:hAnsi="宋体" w:eastAsia="宋体" w:cs="宋体"/>
                <w:kern w:val="0"/>
                <w:szCs w:val="21"/>
                <w:lang w:val="en-US" w:eastAsia="zh-CN" w:bidi="zh-CN"/>
              </w:rPr>
              <w:t>25</w:t>
            </w:r>
            <w:r>
              <w:rPr>
                <w:rFonts w:hint="eastAsia" w:ascii="宋体" w:hAnsi="宋体" w:eastAsia="宋体" w:cs="宋体"/>
                <w:kern w:val="0"/>
                <w:szCs w:val="21"/>
                <w:lang w:eastAsia="zh-CN" w:bidi="zh-CN"/>
              </w:rPr>
              <w:t>年</w:t>
            </w:r>
            <w:r>
              <w:rPr>
                <w:rFonts w:hint="eastAsia" w:ascii="宋体" w:hAnsi="宋体" w:eastAsia="宋体" w:cs="宋体"/>
                <w:kern w:val="0"/>
                <w:szCs w:val="21"/>
                <w:lang w:val="en-US" w:eastAsia="zh-CN" w:bidi="zh-CN"/>
              </w:rPr>
              <w:t>08</w:t>
            </w:r>
            <w:r>
              <w:rPr>
                <w:rFonts w:hint="eastAsia" w:ascii="宋体" w:hAnsi="宋体" w:eastAsia="宋体" w:cs="宋体"/>
                <w:kern w:val="0"/>
                <w:szCs w:val="21"/>
                <w:lang w:eastAsia="zh-CN" w:bidi="zh-CN"/>
              </w:rPr>
              <w:t>月</w:t>
            </w:r>
            <w:r>
              <w:rPr>
                <w:rFonts w:hint="eastAsia" w:ascii="宋体" w:hAnsi="宋体" w:eastAsia="宋体" w:cs="宋体"/>
                <w:kern w:val="0"/>
                <w:szCs w:val="21"/>
                <w:lang w:val="en-US" w:eastAsia="zh-CN" w:bidi="zh-CN"/>
              </w:rPr>
              <w:t>01</w:t>
            </w:r>
            <w:r>
              <w:rPr>
                <w:rFonts w:hint="eastAsia" w:ascii="宋体" w:hAnsi="宋体" w:eastAsia="宋体" w:cs="宋体"/>
                <w:kern w:val="0"/>
                <w:szCs w:val="21"/>
                <w:lang w:eastAsia="zh-CN" w:bidi="zh-CN"/>
              </w:rPr>
              <w:t>日零时起至20</w:t>
            </w:r>
            <w:r>
              <w:rPr>
                <w:rFonts w:hint="eastAsia" w:ascii="宋体" w:hAnsi="宋体" w:eastAsia="宋体" w:cs="宋体"/>
                <w:kern w:val="0"/>
                <w:szCs w:val="21"/>
                <w:lang w:val="en-US" w:eastAsia="zh-CN" w:bidi="zh-CN"/>
              </w:rPr>
              <w:t>26</w:t>
            </w:r>
            <w:r>
              <w:rPr>
                <w:rFonts w:hint="eastAsia" w:ascii="宋体" w:hAnsi="宋体" w:eastAsia="宋体" w:cs="宋体"/>
                <w:kern w:val="0"/>
                <w:szCs w:val="21"/>
                <w:lang w:eastAsia="zh-CN" w:bidi="zh-CN"/>
              </w:rPr>
              <w:t>年</w:t>
            </w:r>
            <w:r>
              <w:rPr>
                <w:rFonts w:hint="eastAsia" w:ascii="宋体" w:hAnsi="宋体" w:eastAsia="宋体" w:cs="宋体"/>
                <w:kern w:val="0"/>
                <w:szCs w:val="21"/>
                <w:lang w:val="en-US" w:eastAsia="zh-CN" w:bidi="zh-CN"/>
              </w:rPr>
              <w:t>07</w:t>
            </w:r>
            <w:r>
              <w:rPr>
                <w:rFonts w:hint="eastAsia" w:ascii="宋体" w:hAnsi="宋体" w:eastAsia="宋体" w:cs="宋体"/>
                <w:kern w:val="0"/>
                <w:szCs w:val="21"/>
                <w:lang w:eastAsia="zh-CN" w:bidi="zh-CN"/>
              </w:rPr>
              <w:t>月</w:t>
            </w:r>
            <w:r>
              <w:rPr>
                <w:rFonts w:hint="eastAsia" w:ascii="宋体" w:hAnsi="宋体" w:eastAsia="宋体" w:cs="宋体"/>
                <w:kern w:val="0"/>
                <w:szCs w:val="21"/>
                <w:lang w:val="en-US" w:eastAsia="zh-CN" w:bidi="zh-CN"/>
              </w:rPr>
              <w:t>31</w:t>
            </w:r>
            <w:r>
              <w:rPr>
                <w:rFonts w:hint="eastAsia" w:ascii="宋体" w:hAnsi="宋体" w:eastAsia="宋体" w:cs="宋体"/>
                <w:kern w:val="0"/>
                <w:szCs w:val="21"/>
                <w:lang w:eastAsia="zh-CN" w:bidi="zh-CN"/>
              </w:rPr>
              <w:t>日二十四时止</w:t>
            </w:r>
          </w:p>
        </w:tc>
        <w:tc>
          <w:tcPr>
            <w:tcW w:w="1302" w:type="pct"/>
            <w:vAlign w:val="center"/>
          </w:tcPr>
          <w:p w14:paraId="7C5B05E4">
            <w:pPr>
              <w:autoSpaceDE w:val="0"/>
              <w:autoSpaceDN w:val="0"/>
              <w:adjustRightInd w:val="0"/>
              <w:snapToGrid w:val="0"/>
              <w:spacing w:line="360" w:lineRule="auto"/>
              <w:jc w:val="center"/>
              <w:rPr>
                <w:rFonts w:hint="eastAsia" w:ascii="宋体" w:hAnsi="宋体" w:eastAsia="宋体" w:cs="宋体"/>
                <w:kern w:val="0"/>
                <w:szCs w:val="21"/>
                <w:lang w:bidi="zh-CN"/>
              </w:rPr>
            </w:pPr>
            <w:r>
              <w:rPr>
                <w:rFonts w:hint="eastAsia" w:ascii="宋体" w:hAnsi="宋体" w:eastAsia="宋体" w:cs="宋体"/>
                <w:kern w:val="0"/>
                <w:szCs w:val="21"/>
                <w:lang w:bidi="zh-CN"/>
              </w:rPr>
              <w:t>1.根据《保险法》第十四条保险合同成立后，投保人按照约定交付保险费，保险人按照约定的时间开始承担保险责任。2.因采购人单位2024年医疗责任保险项目合同的保险期限止期为2025年07月31日二十四时，为避免出现无医疗责任险覆盖时期，故本项目保险期限自2025年08月01日零时起生效。</w:t>
            </w:r>
          </w:p>
        </w:tc>
      </w:tr>
    </w:tbl>
    <w:p w14:paraId="253760EF">
      <w:pPr>
        <w:pStyle w:val="3"/>
      </w:pPr>
      <w:bookmarkStart w:id="9" w:name="_Toc20463"/>
      <w:r>
        <w:rPr>
          <w:rFonts w:hint="eastAsia"/>
        </w:rPr>
        <w:t>二、采购需求</w:t>
      </w:r>
      <w:bookmarkEnd w:id="9"/>
    </w:p>
    <w:p w14:paraId="65FDCCC2">
      <w:pPr>
        <w:pStyle w:val="4"/>
      </w:pPr>
      <w:bookmarkStart w:id="10" w:name="_Toc28999"/>
      <w:r>
        <w:t>1.主要商务要求</w:t>
      </w:r>
      <w:bookmarkEnd w:id="10"/>
    </w:p>
    <w:tbl>
      <w:tblPr>
        <w:tblStyle w:val="19"/>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65"/>
        <w:gridCol w:w="7997"/>
      </w:tblGrid>
      <w:tr w14:paraId="4A5FC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86" w:type="pct"/>
          </w:tcPr>
          <w:p w14:paraId="06B5AD3C">
            <w:pPr>
              <w:rPr>
                <w:rFonts w:hint="eastAsia" w:ascii="宋体" w:hAnsi="宋体" w:eastAsia="宋体" w:cs="Times New Roman"/>
              </w:rPr>
            </w:pPr>
            <w:r>
              <w:rPr>
                <w:rFonts w:hint="eastAsia" w:ascii="宋体" w:hAnsi="宋体" w:eastAsia="宋体" w:cs="Times New Roman"/>
              </w:rPr>
              <w:t>标的提供的时间</w:t>
            </w:r>
          </w:p>
        </w:tc>
        <w:tc>
          <w:tcPr>
            <w:tcW w:w="4013" w:type="pct"/>
          </w:tcPr>
          <w:p w14:paraId="6204D808">
            <w:pPr>
              <w:rPr>
                <w:rFonts w:hint="eastAsia" w:ascii="宋体" w:hAnsi="宋体" w:eastAsia="宋体" w:cs="Times New Roman"/>
              </w:rPr>
            </w:pPr>
            <w:r>
              <w:rPr>
                <w:rFonts w:hint="eastAsia" w:ascii="宋体" w:hAnsi="宋体" w:eastAsia="宋体" w:cs="Times New Roman"/>
              </w:rPr>
              <w:t>一年</w:t>
            </w:r>
            <w:r>
              <w:rPr>
                <w:rFonts w:hint="eastAsia" w:ascii="宋体" w:hAnsi="宋体" w:eastAsia="宋体" w:cs="宋体"/>
                <w:color w:val="auto"/>
                <w:sz w:val="21"/>
                <w:szCs w:val="21"/>
                <w:highlight w:val="none"/>
                <w:lang w:eastAsia="zh-CN"/>
              </w:rPr>
              <w:t>，自20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日零时起至20</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日二十四时止</w:t>
            </w:r>
            <w:r>
              <w:rPr>
                <w:rFonts w:hint="eastAsia" w:ascii="宋体" w:hAnsi="宋体" w:eastAsia="宋体" w:cs="Times New Roman"/>
              </w:rPr>
              <w:t>。</w:t>
            </w:r>
          </w:p>
        </w:tc>
      </w:tr>
      <w:tr w14:paraId="33DE2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86" w:type="pct"/>
          </w:tcPr>
          <w:p w14:paraId="479554D4">
            <w:pPr>
              <w:rPr>
                <w:rFonts w:hint="eastAsia" w:ascii="宋体" w:hAnsi="宋体" w:eastAsia="宋体" w:cs="Times New Roman"/>
              </w:rPr>
            </w:pPr>
            <w:r>
              <w:rPr>
                <w:rFonts w:ascii="宋体" w:hAnsi="宋体" w:eastAsia="宋体" w:cs="Times New Roman"/>
              </w:rPr>
              <w:t>标的提供的地点</w:t>
            </w:r>
          </w:p>
        </w:tc>
        <w:tc>
          <w:tcPr>
            <w:tcW w:w="4013" w:type="pct"/>
          </w:tcPr>
          <w:p w14:paraId="05A6E1E0">
            <w:pPr>
              <w:rPr>
                <w:rFonts w:hint="eastAsia" w:ascii="宋体" w:hAnsi="宋体" w:eastAsia="宋体" w:cs="Times New Roman"/>
              </w:rPr>
            </w:pPr>
            <w:r>
              <w:rPr>
                <w:rFonts w:hint="eastAsia" w:ascii="宋体" w:hAnsi="宋体" w:eastAsia="宋体" w:cs="Times New Roman"/>
              </w:rPr>
              <w:t>采购人指定地点。</w:t>
            </w:r>
          </w:p>
        </w:tc>
      </w:tr>
      <w:tr w14:paraId="21FD5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86" w:type="pct"/>
          </w:tcPr>
          <w:p w14:paraId="5CF92A09">
            <w:pPr>
              <w:rPr>
                <w:rFonts w:hint="eastAsia" w:ascii="宋体" w:hAnsi="宋体" w:eastAsia="宋体" w:cs="Times New Roman"/>
              </w:rPr>
            </w:pPr>
            <w:r>
              <w:rPr>
                <w:rFonts w:ascii="宋体" w:hAnsi="宋体" w:eastAsia="宋体" w:cs="Times New Roman"/>
              </w:rPr>
              <w:t>付款方式</w:t>
            </w:r>
          </w:p>
        </w:tc>
        <w:tc>
          <w:tcPr>
            <w:tcW w:w="4013" w:type="pct"/>
          </w:tcPr>
          <w:p w14:paraId="7C77BCE6">
            <w:pPr>
              <w:rPr>
                <w:rFonts w:hint="eastAsia" w:ascii="宋体" w:hAnsi="宋体" w:eastAsia="宋体" w:cs="Times New Roman"/>
              </w:rPr>
            </w:pPr>
            <w:r>
              <w:rPr>
                <w:rFonts w:hint="eastAsia" w:ascii="宋体" w:hAnsi="宋体" w:eastAsia="宋体" w:cs="Times New Roman"/>
              </w:rPr>
              <w:t>采购人在合同签订后，将保费转入保险人医疗责任保险指定专用账户。</w:t>
            </w:r>
          </w:p>
        </w:tc>
      </w:tr>
      <w:tr w14:paraId="1D8469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86" w:type="pct"/>
          </w:tcPr>
          <w:p w14:paraId="6BA14CF9">
            <w:pPr>
              <w:rPr>
                <w:rFonts w:hint="eastAsia" w:ascii="宋体" w:hAnsi="宋体" w:eastAsia="宋体" w:cs="Times New Roman"/>
              </w:rPr>
            </w:pPr>
            <w:r>
              <w:rPr>
                <w:rFonts w:ascii="宋体" w:hAnsi="宋体" w:eastAsia="宋体" w:cs="Times New Roman"/>
              </w:rPr>
              <w:t>验收要求</w:t>
            </w:r>
          </w:p>
        </w:tc>
        <w:tc>
          <w:tcPr>
            <w:tcW w:w="4013" w:type="pct"/>
          </w:tcPr>
          <w:p w14:paraId="332331A4">
            <w:pPr>
              <w:rPr>
                <w:rFonts w:hint="eastAsia" w:ascii="宋体" w:hAnsi="宋体" w:eastAsia="宋体" w:cs="Times New Roman"/>
              </w:rPr>
            </w:pPr>
            <w:r>
              <w:rPr>
                <w:rFonts w:ascii="Calibri" w:hAnsi="Calibri" w:eastAsia="宋体" w:cs="Times New Roman"/>
              </w:rPr>
              <w:t>1、符合中华人民共和国国家和履约地相关法律法规、规章、行业标准、管理办法；</w:t>
            </w:r>
          </w:p>
        </w:tc>
      </w:tr>
      <w:tr w14:paraId="0B02D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86" w:type="pct"/>
          </w:tcPr>
          <w:p w14:paraId="037F328E">
            <w:pPr>
              <w:rPr>
                <w:rFonts w:hint="eastAsia" w:ascii="宋体" w:hAnsi="宋体" w:eastAsia="宋体" w:cs="Times New Roman"/>
              </w:rPr>
            </w:pPr>
            <w:r>
              <w:rPr>
                <w:rFonts w:ascii="宋体" w:hAnsi="宋体" w:eastAsia="宋体" w:cs="Times New Roman"/>
              </w:rPr>
              <w:t>履约保证金</w:t>
            </w:r>
          </w:p>
        </w:tc>
        <w:tc>
          <w:tcPr>
            <w:tcW w:w="4013" w:type="pct"/>
          </w:tcPr>
          <w:p w14:paraId="06B38C84">
            <w:pPr>
              <w:rPr>
                <w:rFonts w:hint="eastAsia" w:ascii="宋体" w:hAnsi="宋体" w:eastAsia="宋体" w:cs="Times New Roman"/>
              </w:rPr>
            </w:pPr>
            <w:r>
              <w:rPr>
                <w:rFonts w:hint="eastAsia" w:ascii="宋体" w:hAnsi="宋体" w:eastAsia="宋体" w:cs="Times New Roman"/>
              </w:rPr>
              <w:t>无</w:t>
            </w:r>
          </w:p>
        </w:tc>
      </w:tr>
      <w:tr w14:paraId="7A894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86" w:type="pct"/>
          </w:tcPr>
          <w:p w14:paraId="79B491AB">
            <w:pPr>
              <w:rPr>
                <w:rFonts w:hint="eastAsia" w:ascii="宋体" w:hAnsi="宋体" w:eastAsia="宋体" w:cs="Times New Roman"/>
              </w:rPr>
            </w:pPr>
            <w:r>
              <w:rPr>
                <w:rFonts w:hint="eastAsia" w:ascii="宋体" w:hAnsi="宋体" w:eastAsia="宋体" w:cs="Times New Roman"/>
              </w:rPr>
              <w:t>报价要求</w:t>
            </w:r>
          </w:p>
        </w:tc>
        <w:tc>
          <w:tcPr>
            <w:tcW w:w="4013" w:type="pct"/>
          </w:tcPr>
          <w:p w14:paraId="279BB9EB">
            <w:pPr>
              <w:rPr>
                <w:rFonts w:ascii="Calibri" w:hAnsi="Calibri" w:eastAsia="宋体" w:cs="Times New Roman"/>
              </w:rPr>
            </w:pPr>
            <w:r>
              <w:rPr>
                <w:rFonts w:ascii="Calibri" w:hAnsi="Calibri" w:eastAsia="宋体" w:cs="Times New Roman"/>
              </w:rPr>
              <w:t>报价要求</w:t>
            </w:r>
            <w:r>
              <w:rPr>
                <w:rFonts w:hint="eastAsia" w:ascii="Calibri" w:hAnsi="Calibri" w:eastAsia="宋体" w:cs="Times New Roman"/>
              </w:rPr>
              <w:t>：</w:t>
            </w:r>
          </w:p>
          <w:p w14:paraId="7F6EA4E6">
            <w:pPr>
              <w:rPr>
                <w:rFonts w:ascii="Calibri" w:hAnsi="Calibri" w:eastAsia="宋体" w:cs="Times New Roman"/>
              </w:rPr>
            </w:pPr>
            <w:r>
              <w:rPr>
                <w:rFonts w:ascii="Calibri" w:hAnsi="Calibri" w:eastAsia="宋体" w:cs="Times New Roman"/>
              </w:rPr>
              <w:t>1、供应商以报“总价”的方式对本项目进行报价，本项目的报价和结算支付均以人民币为货币单位。</w:t>
            </w:r>
          </w:p>
          <w:p w14:paraId="3C81D936">
            <w:pPr>
              <w:rPr>
                <w:rFonts w:hint="eastAsia" w:ascii="宋体" w:hAnsi="宋体" w:eastAsia="宋体" w:cs="Times New Roman"/>
              </w:rPr>
            </w:pPr>
            <w:r>
              <w:rPr>
                <w:rFonts w:ascii="Calibri" w:hAnsi="Calibri" w:eastAsia="宋体" w:cs="Times New Roman"/>
              </w:rPr>
              <w:t>2、报价应为供应商在合同规定的服务期限内履行保险服务职责应获得的全部酬金和所付出的全部费用的含税价</w:t>
            </w:r>
            <w:r>
              <w:rPr>
                <w:rFonts w:hint="eastAsia" w:ascii="Calibri" w:hAnsi="Calibri" w:eastAsia="宋体" w:cs="Times New Roman"/>
              </w:rPr>
              <w:t>，</w:t>
            </w:r>
            <w:r>
              <w:rPr>
                <w:rFonts w:ascii="Calibri" w:hAnsi="Calibri" w:eastAsia="宋体" w:cs="Times New Roman"/>
              </w:rPr>
              <w:t>包括但不限于人工、保险、伴随服务、拟投入工具及材料、各类税费或未注明报价的内容以及采购合同包含的所有风险、责任等各项应有费用</w:t>
            </w:r>
            <w:r>
              <w:rPr>
                <w:rFonts w:hint="eastAsia" w:ascii="Calibri" w:hAnsi="Calibri" w:eastAsia="宋体" w:cs="Times New Roman"/>
              </w:rPr>
              <w:t>，</w:t>
            </w:r>
            <w:r>
              <w:rPr>
                <w:rFonts w:ascii="Calibri" w:hAnsi="Calibri" w:eastAsia="宋体" w:cs="Times New Roman"/>
              </w:rPr>
              <w:t>以及代理服务费。</w:t>
            </w:r>
          </w:p>
        </w:tc>
      </w:tr>
      <w:tr w14:paraId="5A293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86" w:type="pct"/>
          </w:tcPr>
          <w:p w14:paraId="667CDBD5">
            <w:pPr>
              <w:rPr>
                <w:rFonts w:hint="eastAsia" w:ascii="宋体" w:hAnsi="宋体" w:eastAsia="宋体" w:cs="Times New Roman"/>
              </w:rPr>
            </w:pPr>
            <w:r>
              <w:rPr>
                <w:rFonts w:ascii="宋体" w:hAnsi="宋体" w:eastAsia="宋体" w:cs="Times New Roman"/>
              </w:rPr>
              <w:t>其他</w:t>
            </w:r>
          </w:p>
        </w:tc>
        <w:tc>
          <w:tcPr>
            <w:tcW w:w="4013" w:type="pct"/>
          </w:tcPr>
          <w:p w14:paraId="19CB1E47">
            <w:pPr>
              <w:rPr>
                <w:rFonts w:hint="eastAsia" w:ascii="宋体" w:hAnsi="宋体" w:eastAsia="宋体" w:cs="Times New Roman"/>
              </w:rPr>
            </w:pPr>
            <w:r>
              <w:rPr>
                <w:rFonts w:ascii="宋体" w:hAnsi="宋体" w:eastAsia="宋体" w:cs="Times New Roman"/>
              </w:rPr>
              <w:t>真实性和有效性，同意采购人以任何形式对</w:t>
            </w:r>
            <w:r>
              <w:rPr>
                <w:rFonts w:hint="eastAsia" w:ascii="宋体" w:hAnsi="宋体" w:eastAsia="宋体" w:cs="Times New Roman"/>
              </w:rPr>
              <w:t>响应</w:t>
            </w:r>
            <w:r>
              <w:rPr>
                <w:rFonts w:ascii="宋体" w:hAnsi="宋体" w:eastAsia="宋体" w:cs="Times New Roman"/>
              </w:rPr>
              <w:t>文件内容及采购人认为有必要的相关资料的真实性和有效性进行审查、验证。</w:t>
            </w:r>
          </w:p>
        </w:tc>
      </w:tr>
    </w:tbl>
    <w:p w14:paraId="416E08D7">
      <w:pPr>
        <w:pStyle w:val="4"/>
      </w:pPr>
      <w:bookmarkStart w:id="11" w:name="_Toc15923"/>
      <w:r>
        <w:t>2.技术标准与要求</w:t>
      </w:r>
      <w:bookmarkEnd w:id="11"/>
    </w:p>
    <w:p w14:paraId="531AB8C3">
      <w:pPr>
        <w:pStyle w:val="4"/>
        <w:keepNext w:val="0"/>
        <w:keepLines w:val="0"/>
        <w:pageBreakBefore w:val="0"/>
        <w:widowControl w:val="0"/>
        <w:kinsoku/>
        <w:wordWrap w:val="0"/>
        <w:overflowPunct/>
        <w:topLinePunct w:val="0"/>
        <w:autoSpaceDE/>
        <w:autoSpaceDN/>
        <w:bidi w:val="0"/>
        <w:adjustRightInd w:val="0"/>
        <w:snapToGrid/>
        <w:spacing w:before="0" w:after="0" w:line="360" w:lineRule="auto"/>
        <w:ind w:firstLine="422" w:firstLineChars="200"/>
        <w:jc w:val="left"/>
        <w:textAlignment w:val="auto"/>
        <w:outlineLvl w:val="2"/>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（一）医疗责任保险保障方案</w:t>
      </w:r>
    </w:p>
    <w:tbl>
      <w:tblPr>
        <w:tblStyle w:val="19"/>
        <w:tblW w:w="10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5"/>
        <w:gridCol w:w="7903"/>
      </w:tblGrid>
      <w:tr w14:paraId="5D961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5035AF78">
            <w:pPr>
              <w:keepNext w:val="0"/>
              <w:keepLines w:val="0"/>
              <w:pageBreakBefore w:val="0"/>
              <w:widowControl w:val="0"/>
              <w:tabs>
                <w:tab w:val="left" w:pos="1180"/>
              </w:tabs>
              <w:kinsoku/>
              <w:wordWrap w:val="0"/>
              <w:overflowPunct/>
              <w:topLinePunct w:val="0"/>
              <w:autoSpaceDE/>
              <w:autoSpaceDN/>
              <w:bidi w:val="0"/>
              <w:adjustRightInd w:val="0"/>
              <w:snapToGrid/>
              <w:spacing w:line="36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bookmarkStart w:id="12" w:name="_Toc8204"/>
            <w:bookmarkStart w:id="13" w:name="_Toc29299"/>
            <w:bookmarkStart w:id="14" w:name="_Toc24002"/>
            <w:r>
              <w:rPr>
                <w:rFonts w:hint="eastAsia" w:ascii="宋体" w:hAnsi="宋体" w:eastAsia="宋体" w:cs="宋体"/>
                <w:b/>
                <w:color w:val="auto"/>
                <w:sz w:val="21"/>
                <w:szCs w:val="21"/>
                <w:highlight w:val="none"/>
              </w:rPr>
              <w:t>项目</w:t>
            </w:r>
          </w:p>
        </w:tc>
        <w:tc>
          <w:tcPr>
            <w:tcW w:w="7903" w:type="dxa"/>
            <w:vAlign w:val="center"/>
          </w:tcPr>
          <w:p w14:paraId="5DFB9C8C">
            <w:pPr>
              <w:keepNext w:val="0"/>
              <w:keepLines w:val="0"/>
              <w:pageBreakBefore w:val="0"/>
              <w:widowControl w:val="0"/>
              <w:tabs>
                <w:tab w:val="left" w:pos="4000"/>
              </w:tabs>
              <w:kinsoku/>
              <w:wordWrap w:val="0"/>
              <w:overflowPunct/>
              <w:topLinePunct w:val="0"/>
              <w:autoSpaceDE/>
              <w:autoSpaceDN/>
              <w:bidi w:val="0"/>
              <w:adjustRightInd w:val="0"/>
              <w:snapToGrid/>
              <w:spacing w:line="36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458E0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18" w:type="dxa"/>
            <w:gridSpan w:val="2"/>
            <w:vAlign w:val="center"/>
          </w:tcPr>
          <w:p w14:paraId="454820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pacing w:val="2"/>
                <w:sz w:val="21"/>
                <w:szCs w:val="21"/>
                <w:highlight w:val="none"/>
              </w:rPr>
              <w:t>1</w:t>
            </w:r>
            <w:r>
              <w:rPr>
                <w:rFonts w:hint="eastAsia" w:ascii="宋体" w:hAnsi="宋体" w:eastAsia="宋体" w:cs="宋体"/>
                <w:b/>
                <w:color w:val="auto"/>
                <w:sz w:val="21"/>
                <w:szCs w:val="21"/>
                <w:highlight w:val="none"/>
              </w:rPr>
              <w:t>、</w:t>
            </w:r>
            <w:r>
              <w:rPr>
                <w:rFonts w:hint="eastAsia" w:ascii="宋体" w:hAnsi="宋体" w:eastAsia="宋体" w:cs="宋体"/>
                <w:b/>
                <w:color w:val="auto"/>
                <w:spacing w:val="1"/>
                <w:sz w:val="21"/>
                <w:szCs w:val="21"/>
                <w:highlight w:val="none"/>
              </w:rPr>
              <w:t>投保人</w:t>
            </w:r>
          </w:p>
        </w:tc>
      </w:tr>
      <w:tr w14:paraId="6F44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3282C2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投保人名称</w:t>
            </w:r>
          </w:p>
        </w:tc>
        <w:tc>
          <w:tcPr>
            <w:tcW w:w="7903" w:type="dxa"/>
            <w:vAlign w:val="center"/>
          </w:tcPr>
          <w:p w14:paraId="0EBD88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eastAsia="zh-CN"/>
              </w:rPr>
              <w:t>广州市海珠区中医医院</w:t>
            </w:r>
          </w:p>
        </w:tc>
      </w:tr>
      <w:tr w14:paraId="6A8C1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469FAE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投保人地址</w:t>
            </w:r>
          </w:p>
        </w:tc>
        <w:tc>
          <w:tcPr>
            <w:tcW w:w="7903" w:type="dxa"/>
            <w:vAlign w:val="center"/>
          </w:tcPr>
          <w:p w14:paraId="69A8CE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eastAsia="zh-CN"/>
              </w:rPr>
              <w:t>广州市海珠区前进路南园大街1号之一</w:t>
            </w:r>
          </w:p>
        </w:tc>
      </w:tr>
      <w:tr w14:paraId="2E70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18" w:type="dxa"/>
            <w:gridSpan w:val="2"/>
            <w:vAlign w:val="center"/>
          </w:tcPr>
          <w:p w14:paraId="59A257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pacing w:val="2"/>
                <w:sz w:val="21"/>
                <w:szCs w:val="21"/>
                <w:highlight w:val="none"/>
              </w:rPr>
              <w:t>2</w:t>
            </w:r>
            <w:r>
              <w:rPr>
                <w:rFonts w:hint="eastAsia" w:ascii="宋体" w:hAnsi="宋体" w:eastAsia="宋体" w:cs="宋体"/>
                <w:b/>
                <w:color w:val="auto"/>
                <w:sz w:val="21"/>
                <w:szCs w:val="21"/>
                <w:highlight w:val="none"/>
              </w:rPr>
              <w:t>、</w:t>
            </w:r>
            <w:r>
              <w:rPr>
                <w:rFonts w:hint="eastAsia" w:ascii="宋体" w:hAnsi="宋体" w:eastAsia="宋体" w:cs="宋体"/>
                <w:b/>
                <w:color w:val="auto"/>
                <w:spacing w:val="1"/>
                <w:sz w:val="21"/>
                <w:szCs w:val="21"/>
                <w:highlight w:val="none"/>
              </w:rPr>
              <w:t>被保险人</w:t>
            </w:r>
          </w:p>
        </w:tc>
      </w:tr>
      <w:tr w14:paraId="1FA1E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621AC4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被保险人名称及地址</w:t>
            </w:r>
          </w:p>
        </w:tc>
        <w:tc>
          <w:tcPr>
            <w:tcW w:w="7903" w:type="dxa"/>
            <w:vAlign w:val="center"/>
          </w:tcPr>
          <w:p w14:paraId="0F3679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名称：广州市海珠区中医医院（广州市海珠区第一人民医院）</w:t>
            </w:r>
          </w:p>
          <w:p w14:paraId="7C98C5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地址：广州市海珠区前进路南园大街1号之一、广州市海珠区广州大道南999号大院</w:t>
            </w:r>
          </w:p>
          <w:p w14:paraId="3F2E8B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下属机构：</w:t>
            </w:r>
          </w:p>
          <w:p w14:paraId="5760FC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64356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36C17B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pacing w:val="1"/>
                <w:position w:val="-1"/>
                <w:sz w:val="21"/>
                <w:szCs w:val="21"/>
                <w:highlight w:val="none"/>
              </w:rPr>
              <w:t>3、★赔偿限额</w:t>
            </w:r>
          </w:p>
        </w:tc>
        <w:tc>
          <w:tcPr>
            <w:tcW w:w="7903" w:type="dxa"/>
            <w:vAlign w:val="center"/>
          </w:tcPr>
          <w:p w14:paraId="369809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1、累计赔偿限额不低于人民币300万元</w:t>
            </w:r>
          </w:p>
          <w:p w14:paraId="201BC3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2、每次事故赔偿限额（即每次保险事故赔偿限额）不低于人民币100万元</w:t>
            </w:r>
          </w:p>
          <w:p w14:paraId="2DE19B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3、法律费用每次及累计赔偿限额不低于人民币30万元。</w:t>
            </w:r>
          </w:p>
        </w:tc>
      </w:tr>
      <w:tr w14:paraId="0B8DF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01FB9B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4、免赔额</w:t>
            </w:r>
          </w:p>
        </w:tc>
        <w:tc>
          <w:tcPr>
            <w:tcW w:w="7903" w:type="dxa"/>
            <w:vAlign w:val="center"/>
          </w:tcPr>
          <w:p w14:paraId="0C18BF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589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615ECF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5、承保基础</w:t>
            </w:r>
          </w:p>
        </w:tc>
        <w:tc>
          <w:tcPr>
            <w:tcW w:w="7903" w:type="dxa"/>
            <w:vAlign w:val="center"/>
          </w:tcPr>
          <w:p w14:paraId="7AD705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期内索赔制</w:t>
            </w:r>
          </w:p>
        </w:tc>
      </w:tr>
      <w:tr w14:paraId="06BB4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5ACA85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default" w:ascii="宋体" w:hAnsi="宋体" w:eastAsia="宋体" w:cs="宋体"/>
                <w:b/>
                <w:sz w:val="21"/>
                <w:szCs w:val="21"/>
                <w:lang w:val="en-US" w:eastAsia="zh-CN"/>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、保险期限</w:t>
            </w:r>
          </w:p>
        </w:tc>
        <w:tc>
          <w:tcPr>
            <w:tcW w:w="7903" w:type="dxa"/>
            <w:vAlign w:val="center"/>
          </w:tcPr>
          <w:p w14:paraId="04B150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宋体" w:hAnsi="宋体" w:eastAsia="宋体" w:cs="宋体"/>
                <w:b/>
                <w:bCs/>
                <w:kern w:val="0"/>
                <w:sz w:val="21"/>
                <w:szCs w:val="21"/>
              </w:rPr>
            </w:pPr>
            <w:r>
              <w:rPr>
                <w:rFonts w:hint="eastAsia" w:ascii="宋体" w:hAnsi="宋体" w:eastAsia="宋体" w:cs="宋体"/>
                <w:color w:val="auto"/>
                <w:sz w:val="21"/>
                <w:szCs w:val="21"/>
                <w:highlight w:val="none"/>
                <w:lang w:eastAsia="zh-CN"/>
              </w:rPr>
              <w:t>一年，自20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日零时起至20</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日二十四时止</w:t>
            </w:r>
          </w:p>
        </w:tc>
      </w:tr>
      <w:tr w14:paraId="5FE0D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4C130F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sz w:val="21"/>
                <w:szCs w:val="21"/>
                <w:lang w:val="en-US" w:eastAsia="zh-CN"/>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、追溯期</w:t>
            </w:r>
          </w:p>
        </w:tc>
        <w:tc>
          <w:tcPr>
            <w:tcW w:w="7903" w:type="dxa"/>
            <w:vAlign w:val="center"/>
          </w:tcPr>
          <w:p w14:paraId="5E6BB2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三年，自2022年08月01日零时起至2025年07月31日二十四时止</w:t>
            </w:r>
          </w:p>
          <w:p w14:paraId="314997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追溯期是指保险合同当事人在保险合同中约定的从保险责任起始日向前追溯的一段时间，保险人对此期间发生且在保险期限内首次提出索赔的医疗损害纠纷案件承担保险责任。</w:t>
            </w:r>
          </w:p>
        </w:tc>
      </w:tr>
      <w:tr w14:paraId="50B3A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1BF592F6">
            <w:pPr>
              <w:keepNext w:val="0"/>
              <w:keepLines w:val="0"/>
              <w:pageBreakBefore w:val="0"/>
              <w:widowControl w:val="0"/>
              <w:tabs>
                <w:tab w:val="left" w:pos="1620"/>
              </w:tabs>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、特别约定</w:t>
            </w:r>
          </w:p>
        </w:tc>
        <w:tc>
          <w:tcPr>
            <w:tcW w:w="7903" w:type="dxa"/>
            <w:vAlign w:val="center"/>
          </w:tcPr>
          <w:p w14:paraId="315920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次数不得超过4次（含4次）。</w:t>
            </w:r>
          </w:p>
          <w:p w14:paraId="295917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w:t>
            </w:r>
          </w:p>
          <w:p w14:paraId="35A481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经投保人与保险人协商一致，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14:paraId="08EB90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被保险人应在保险合同成立后30日内提供医务人员数的清单（医院需盖章）供保险人进行核查，该清单仅供保险人核查人数。如保险公司在收到医务人员清单后7个工作日内无异议，则视为足额投保。</w:t>
            </w:r>
          </w:p>
          <w:p w14:paraId="30CE5C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经投保人与保险人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34B090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经投保人与保险人协商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48AAD9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经投保人与保险人协商一致，保险人同意将被保险人根据外聘合同聘用以及根据卫生行政部门制定的帮扶政策聘用的外聘医务人员、或正常会诊的非本医疗机构的医务人员视为被保险人的医务人员。</w:t>
            </w:r>
          </w:p>
          <w:p w14:paraId="4C6E41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41E029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被保险人聘用的医务人员，在注册或变更注册期间或根据卫生行政部门规定及要求到指定区域范围内从事诊疗活动发生的保险事故，属于保险责任范围。</w:t>
            </w:r>
          </w:p>
          <w:p w14:paraId="31D9F8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14:paraId="2B7F5B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被保险人向保险人请求赔偿保险金的诉讼时效自被保险人对第三者应负的赔偿责任确定之日起计算。</w:t>
            </w:r>
          </w:p>
          <w:p w14:paraId="39AB10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本保险合同约定的医患纠纷人民调解委员会指广东和谐医患纠纷人民调解委员会及其各地市医患纠纷人民调解委员会。</w:t>
            </w:r>
          </w:p>
          <w:p w14:paraId="610FC1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14:paraId="136ECB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确定患方首次向被保险人提出损害赔偿请求的时间规则：</w:t>
            </w:r>
          </w:p>
          <w:p w14:paraId="0BBAE6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（1）患者接受诊疗活动导致人身损害的时间、患方首次投诉时间和医疗机构报案时间在同一保险期间内的案件，以医疗机构报案时填写的时间为准。</w:t>
            </w:r>
          </w:p>
          <w:p w14:paraId="2B88A8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书面材料。</w:t>
            </w:r>
          </w:p>
        </w:tc>
      </w:tr>
      <w:tr w14:paraId="6C429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42198104">
            <w:pPr>
              <w:keepNext w:val="0"/>
              <w:keepLines w:val="0"/>
              <w:pageBreakBefore w:val="0"/>
              <w:widowControl w:val="0"/>
              <w:tabs>
                <w:tab w:val="left" w:pos="1620"/>
              </w:tabs>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sz w:val="21"/>
                <w:szCs w:val="21"/>
                <w:lang w:val="en-US" w:eastAsia="zh-CN"/>
              </w:rPr>
              <w:t>9、▲</w:t>
            </w:r>
            <w:r>
              <w:rPr>
                <w:rFonts w:hint="eastAsia" w:ascii="宋体" w:hAnsi="宋体" w:eastAsia="宋体" w:cs="宋体"/>
                <w:b/>
                <w:sz w:val="21"/>
                <w:szCs w:val="21"/>
              </w:rPr>
              <w:t>适用条款</w:t>
            </w:r>
          </w:p>
        </w:tc>
        <w:tc>
          <w:tcPr>
            <w:tcW w:w="7903" w:type="dxa"/>
            <w:vAlign w:val="center"/>
          </w:tcPr>
          <w:p w14:paraId="02A581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kern w:val="0"/>
                <w:sz w:val="21"/>
                <w:szCs w:val="21"/>
              </w:rPr>
              <w:t>《广东省医疗机构医疗责任保险统保条款》，详见</w:t>
            </w:r>
            <w:r>
              <w:rPr>
                <w:rFonts w:hint="eastAsia" w:ascii="宋体" w:hAnsi="宋体" w:eastAsia="宋体" w:cs="宋体"/>
                <w:b w:val="0"/>
                <w:bCs w:val="0"/>
                <w:kern w:val="0"/>
                <w:sz w:val="21"/>
                <w:szCs w:val="21"/>
                <w:lang w:eastAsia="zh-CN"/>
              </w:rPr>
              <w:t>附件三</w:t>
            </w:r>
          </w:p>
        </w:tc>
      </w:tr>
      <w:tr w14:paraId="23699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vAlign w:val="center"/>
          </w:tcPr>
          <w:p w14:paraId="1ADBEF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r>
              <w:rPr>
                <w:rFonts w:hint="eastAsia" w:ascii="宋体" w:hAnsi="宋体" w:eastAsia="宋体" w:cs="宋体"/>
                <w:b/>
                <w:bCs/>
                <w:color w:val="auto"/>
                <w:kern w:val="2"/>
                <w:sz w:val="21"/>
                <w:szCs w:val="21"/>
                <w:highlight w:val="none"/>
              </w:rPr>
              <w:t>▲</w:t>
            </w:r>
            <w:r>
              <w:rPr>
                <w:rFonts w:hint="eastAsia" w:ascii="宋体" w:hAnsi="宋体" w:eastAsia="宋体" w:cs="宋体"/>
                <w:b/>
                <w:color w:val="auto"/>
                <w:sz w:val="21"/>
                <w:szCs w:val="21"/>
                <w:highlight w:val="none"/>
              </w:rPr>
              <w:t>赔偿处理：</w:t>
            </w:r>
          </w:p>
        </w:tc>
        <w:tc>
          <w:tcPr>
            <w:tcW w:w="7903" w:type="dxa"/>
            <w:vAlign w:val="center"/>
          </w:tcPr>
          <w:p w14:paraId="3C0C96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依据附件一《保险索赔、理赔处理程序预案》、附件二《广东省医疗责任保险赔偿处理办法（暂行）》</w:t>
            </w:r>
          </w:p>
        </w:tc>
      </w:tr>
      <w:tr w14:paraId="31262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tcBorders>
              <w:bottom w:val="single" w:color="auto" w:sz="4" w:space="0"/>
            </w:tcBorders>
            <w:vAlign w:val="center"/>
          </w:tcPr>
          <w:p w14:paraId="376F23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11、司法管辖：</w:t>
            </w:r>
          </w:p>
        </w:tc>
        <w:tc>
          <w:tcPr>
            <w:tcW w:w="7903" w:type="dxa"/>
            <w:tcBorders>
              <w:bottom w:val="single" w:color="auto" w:sz="4" w:space="0"/>
            </w:tcBorders>
            <w:vAlign w:val="center"/>
          </w:tcPr>
          <w:p w14:paraId="77CEB3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适用于中华人民共和国司法管辖（不含港、澳、台地区法律）</w:t>
            </w:r>
          </w:p>
        </w:tc>
      </w:tr>
      <w:tr w14:paraId="6BEC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315" w:type="dxa"/>
            <w:tcBorders>
              <w:top w:val="single" w:color="auto" w:sz="4" w:space="0"/>
            </w:tcBorders>
            <w:vAlign w:val="center"/>
          </w:tcPr>
          <w:p w14:paraId="0B2289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12、保险费：</w:t>
            </w:r>
          </w:p>
        </w:tc>
        <w:tc>
          <w:tcPr>
            <w:tcW w:w="7903" w:type="dxa"/>
            <w:tcBorders>
              <w:top w:val="single" w:color="auto" w:sz="4" w:space="0"/>
            </w:tcBorders>
            <w:vAlign w:val="center"/>
          </w:tcPr>
          <w:p w14:paraId="35949A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请根据格式报价</w:t>
            </w:r>
          </w:p>
        </w:tc>
      </w:tr>
      <w:bookmarkEnd w:id="12"/>
      <w:bookmarkEnd w:id="13"/>
      <w:bookmarkEnd w:id="14"/>
    </w:tbl>
    <w:p w14:paraId="5DFBB1E5">
      <w:pPr>
        <w:rPr>
          <w:color w:val="auto"/>
          <w:sz w:val="21"/>
          <w:szCs w:val="21"/>
          <w:highlight w:val="none"/>
        </w:rPr>
      </w:pPr>
    </w:p>
    <w:p w14:paraId="2F5A4722">
      <w:pPr>
        <w:pStyle w:val="4"/>
        <w:keepNext w:val="0"/>
        <w:keepLines w:val="0"/>
        <w:pageBreakBefore/>
        <w:widowControl w:val="0"/>
        <w:numPr>
          <w:ilvl w:val="0"/>
          <w:numId w:val="0"/>
        </w:numPr>
        <w:kinsoku/>
        <w:wordWrap w:val="0"/>
        <w:overflowPunct/>
        <w:topLinePunct w:val="0"/>
        <w:autoSpaceDE/>
        <w:autoSpaceDN/>
        <w:bidi w:val="0"/>
        <w:adjustRightInd w:val="0"/>
        <w:snapToGrid/>
        <w:spacing w:before="0" w:after="0" w:line="360" w:lineRule="auto"/>
        <w:ind w:firstLine="422" w:firstLineChars="200"/>
        <w:jc w:val="left"/>
        <w:textAlignment w:val="auto"/>
        <w:outlineLvl w:val="2"/>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（二）服务要求</w:t>
      </w:r>
    </w:p>
    <w:p w14:paraId="1F7AA42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为保证与投保人</w:t>
      </w:r>
      <w:r>
        <w:rPr>
          <w:rFonts w:ascii="宋体" w:hAnsi="宋体" w:cs="宋体"/>
          <w:color w:val="auto"/>
          <w:sz w:val="21"/>
          <w:szCs w:val="21"/>
          <w:highlight w:val="none"/>
        </w:rPr>
        <w:t>/</w:t>
      </w:r>
      <w:r>
        <w:rPr>
          <w:rFonts w:hint="eastAsia" w:ascii="宋体" w:hAnsi="宋体" w:cs="宋体"/>
          <w:color w:val="auto"/>
          <w:sz w:val="21"/>
          <w:szCs w:val="21"/>
          <w:highlight w:val="none"/>
        </w:rPr>
        <w:t>被保险人建立良好的保险合作关系，承保保险公司应切实履行以下服务，并组织实施。</w:t>
      </w:r>
    </w:p>
    <w:p w14:paraId="02249F6B">
      <w:pPr>
        <w:keepNext w:val="0"/>
        <w:keepLines w:val="0"/>
        <w:pageBreakBefore w:val="0"/>
        <w:widowControl w:val="0"/>
        <w:tabs>
          <w:tab w:val="left" w:pos="600"/>
          <w:tab w:val="left" w:pos="1080"/>
        </w:tabs>
        <w:kinsoku/>
        <w:wordWrap w:val="0"/>
        <w:overflowPunct/>
        <w:topLinePunct w:val="0"/>
        <w:autoSpaceDE/>
        <w:autoSpaceDN/>
        <w:bidi w:val="0"/>
        <w:adjustRightInd/>
        <w:snapToGrid/>
        <w:spacing w:line="360" w:lineRule="auto"/>
        <w:ind w:firstLine="422" w:firstLineChars="200"/>
        <w:jc w:val="lef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成立专项服务小组</w:t>
      </w:r>
    </w:p>
    <w:p w14:paraId="6646881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项目专项服务小组应按照以下方式组成：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491"/>
        <w:gridCol w:w="1227"/>
        <w:gridCol w:w="944"/>
      </w:tblGrid>
      <w:tr w14:paraId="380B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18" w:type="dxa"/>
            <w:vAlign w:val="center"/>
          </w:tcPr>
          <w:p w14:paraId="5F6D692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5491" w:type="dxa"/>
            <w:vAlign w:val="center"/>
          </w:tcPr>
          <w:p w14:paraId="0C462C4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27" w:type="dxa"/>
            <w:vAlign w:val="center"/>
          </w:tcPr>
          <w:p w14:paraId="057FA2C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办公电话</w:t>
            </w:r>
          </w:p>
        </w:tc>
        <w:tc>
          <w:tcPr>
            <w:tcW w:w="944" w:type="dxa"/>
            <w:vAlign w:val="center"/>
          </w:tcPr>
          <w:p w14:paraId="17D50C2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w:t>
            </w:r>
          </w:p>
        </w:tc>
      </w:tr>
      <w:tr w14:paraId="13E2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8" w:type="dxa"/>
            <w:vAlign w:val="center"/>
          </w:tcPr>
          <w:p w14:paraId="7D3A9FE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5491" w:type="dxa"/>
            <w:vAlign w:val="center"/>
          </w:tcPr>
          <w:p w14:paraId="45F79356">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应为专项服务小组领导人员</w:t>
            </w:r>
          </w:p>
        </w:tc>
        <w:tc>
          <w:tcPr>
            <w:tcW w:w="1227" w:type="dxa"/>
            <w:vAlign w:val="center"/>
          </w:tcPr>
          <w:p w14:paraId="5C9BAB2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944" w:type="dxa"/>
            <w:vAlign w:val="center"/>
          </w:tcPr>
          <w:p w14:paraId="38E5CC7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165D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18" w:type="dxa"/>
            <w:vAlign w:val="center"/>
          </w:tcPr>
          <w:p w14:paraId="7130CDA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5491" w:type="dxa"/>
            <w:vAlign w:val="center"/>
          </w:tcPr>
          <w:p w14:paraId="557EB547">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应为专项服务小组专项客服人员</w:t>
            </w:r>
          </w:p>
          <w:p w14:paraId="67D567E7">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（至少1名，负责日常服务、参加评鉴会等）</w:t>
            </w:r>
          </w:p>
        </w:tc>
        <w:tc>
          <w:tcPr>
            <w:tcW w:w="1227" w:type="dxa"/>
            <w:vAlign w:val="center"/>
          </w:tcPr>
          <w:p w14:paraId="1AC266A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944" w:type="dxa"/>
            <w:vAlign w:val="center"/>
          </w:tcPr>
          <w:p w14:paraId="7D9AE0F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51D7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18" w:type="dxa"/>
            <w:vAlign w:val="center"/>
          </w:tcPr>
          <w:p w14:paraId="5AFB1AD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5491" w:type="dxa"/>
            <w:vAlign w:val="center"/>
          </w:tcPr>
          <w:p w14:paraId="3388F30A">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现场服务人员（负责勘查等工作）</w:t>
            </w:r>
          </w:p>
        </w:tc>
        <w:tc>
          <w:tcPr>
            <w:tcW w:w="1227" w:type="dxa"/>
            <w:vAlign w:val="center"/>
          </w:tcPr>
          <w:p w14:paraId="6BF3C9D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944" w:type="dxa"/>
            <w:vAlign w:val="center"/>
          </w:tcPr>
          <w:p w14:paraId="591B951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35B7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8" w:type="dxa"/>
            <w:vAlign w:val="center"/>
          </w:tcPr>
          <w:p w14:paraId="1478D81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5491" w:type="dxa"/>
            <w:vAlign w:val="center"/>
          </w:tcPr>
          <w:p w14:paraId="5C220577">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27" w:type="dxa"/>
            <w:vAlign w:val="center"/>
          </w:tcPr>
          <w:p w14:paraId="701C9C9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944" w:type="dxa"/>
            <w:vAlign w:val="center"/>
          </w:tcPr>
          <w:p w14:paraId="38AA770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bl>
    <w:p w14:paraId="1F7B1081">
      <w:pPr>
        <w:keepNext w:val="0"/>
        <w:keepLines w:val="0"/>
        <w:pageBreakBefore w:val="0"/>
        <w:widowControl w:val="0"/>
        <w:tabs>
          <w:tab w:val="left" w:pos="420"/>
          <w:tab w:val="left" w:pos="510"/>
        </w:tabs>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协助被保险人建立医疗执业风险管理及防范制度</w:t>
      </w:r>
    </w:p>
    <w:p w14:paraId="1BCF95B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医疗执业风险管理及防范制度</w:t>
      </w:r>
    </w:p>
    <w:p w14:paraId="4D40111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承保人应配合</w:t>
      </w:r>
      <w:r>
        <w:rPr>
          <w:rFonts w:hint="eastAsia" w:ascii="宋体" w:hAnsi="宋体" w:eastAsia="宋体" w:cs="宋体"/>
          <w:color w:val="auto"/>
          <w:sz w:val="21"/>
          <w:szCs w:val="21"/>
          <w:highlight w:val="none"/>
          <w:lang w:eastAsia="zh-CN"/>
        </w:rPr>
        <w:t>广东省</w:t>
      </w:r>
      <w:r>
        <w:rPr>
          <w:rFonts w:hint="eastAsia" w:ascii="宋体" w:hAnsi="宋体" w:eastAsia="宋体" w:cs="宋体"/>
          <w:color w:val="auto"/>
          <w:sz w:val="21"/>
          <w:szCs w:val="21"/>
          <w:highlight w:val="none"/>
        </w:rPr>
        <w:t>医疗责任保险机制，对被保险人进行必要的风险防范服务，不定期和被保险人与保险经纪人举办研讨活动，共同探讨、总结保险及风险管理方面的经验，在保险期内，配合保险经纪人针对被保险人的风险情况，提出有针对性的防灾防损建议。承保保险公司需建立</w:t>
      </w:r>
      <w:r>
        <w:rPr>
          <w:rFonts w:hint="eastAsia" w:ascii="宋体" w:hAnsi="宋体" w:eastAsia="宋体" w:cs="宋体"/>
          <w:color w:val="auto"/>
          <w:sz w:val="21"/>
          <w:szCs w:val="21"/>
          <w:highlight w:val="none"/>
          <w:lang w:eastAsia="zh-CN"/>
        </w:rPr>
        <w:t>医疗责任保险</w:t>
      </w:r>
      <w:r>
        <w:rPr>
          <w:rFonts w:hint="eastAsia" w:ascii="宋体" w:hAnsi="宋体" w:eastAsia="宋体" w:cs="宋体"/>
          <w:color w:val="auto"/>
          <w:sz w:val="21"/>
          <w:szCs w:val="21"/>
          <w:highlight w:val="none"/>
        </w:rPr>
        <w:t>防灾防损基金，定向用于被保险人的防灾防损工作的组织和实施。防灾防损基金由承保人提取，在财政部规定使用范围内由保险经纪股份有限公司统一组织用于为被保险人进行防灾防损的工作。若被保险人当年未使用或仅使用了部分防灾防损基金，则未使用部分的基金可累积使用。</w:t>
      </w:r>
    </w:p>
    <w:p w14:paraId="5BA4626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培训制度</w:t>
      </w:r>
    </w:p>
    <w:p w14:paraId="24E9A66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合同有效期内，承保人应协助保险经纪人为投保人/被保险人集中举办至少两次保险和风险防范培训，以提高投保人/被保险人相关人员的保险与风险管理知识。培训计划由保险经纪股份有限公司、承保保险公司共同协商确定。</w:t>
      </w:r>
    </w:p>
    <w:p w14:paraId="52C4587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承保与出单</w:t>
      </w:r>
    </w:p>
    <w:p w14:paraId="5B8AA2C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保险公司应配备客户服务专员及相应设备，协助保险经纪公司为投保人办理承保出单手续。</w:t>
      </w:r>
    </w:p>
    <w:p w14:paraId="6E25C28D">
      <w:pPr>
        <w:keepNext w:val="0"/>
        <w:keepLines w:val="0"/>
        <w:pageBreakBefore w:val="0"/>
        <w:widowControl w:val="0"/>
        <w:tabs>
          <w:tab w:val="left" w:pos="425"/>
          <w:tab w:val="left" w:pos="992"/>
        </w:tabs>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理赔时效</w:t>
      </w:r>
    </w:p>
    <w:p w14:paraId="3FA2E27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快速理赔</w:t>
      </w:r>
    </w:p>
    <w:p w14:paraId="732F0F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保险人特设案件分派系统，并匹配理赔专家，以最高效简洁的流程服务于被保险人。具体表现如下：</w:t>
      </w:r>
    </w:p>
    <w:p w14:paraId="37D4F4D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发生保险责任范围内事故后，对事实清楚，法律责任明确，属于保险责任事故的医患纠纷案件，自保险人完成核赔，且与被保险人达成一致起，按下列理赔时效承诺：</w:t>
      </w:r>
    </w:p>
    <w:tbl>
      <w:tblPr>
        <w:tblStyle w:val="19"/>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5816"/>
        <w:gridCol w:w="3196"/>
      </w:tblGrid>
      <w:tr w14:paraId="07C4D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3" w:type="pct"/>
            <w:noWrap w:val="0"/>
            <w:vAlign w:val="top"/>
          </w:tcPr>
          <w:p w14:paraId="1AF6915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bookmarkStart w:id="15" w:name="_Toc148320322"/>
            <w:bookmarkStart w:id="16" w:name="_Toc145306136"/>
            <w:bookmarkStart w:id="17" w:name="_Toc145839324"/>
            <w:r>
              <w:rPr>
                <w:rFonts w:hint="eastAsia" w:ascii="宋体" w:hAnsi="宋体" w:eastAsia="宋体" w:cs="Times New Roman"/>
                <w:color w:val="auto"/>
                <w:sz w:val="21"/>
                <w:szCs w:val="21"/>
                <w:highlight w:val="none"/>
              </w:rPr>
              <w:t>序号</w:t>
            </w:r>
          </w:p>
        </w:tc>
        <w:tc>
          <w:tcPr>
            <w:tcW w:w="2972" w:type="pct"/>
            <w:noWrap w:val="0"/>
            <w:vAlign w:val="top"/>
          </w:tcPr>
          <w:p w14:paraId="20A36E0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赔案金额（人民币）</w:t>
            </w:r>
          </w:p>
        </w:tc>
        <w:tc>
          <w:tcPr>
            <w:tcW w:w="1633" w:type="pct"/>
            <w:noWrap w:val="0"/>
            <w:vAlign w:val="top"/>
          </w:tcPr>
          <w:p w14:paraId="69A877B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作出赔付的时间</w:t>
            </w:r>
          </w:p>
        </w:tc>
      </w:tr>
      <w:tr w14:paraId="40C1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3" w:type="pct"/>
            <w:noWrap w:val="0"/>
            <w:vAlign w:val="top"/>
          </w:tcPr>
          <w:p w14:paraId="6B1BB35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2972" w:type="pct"/>
            <w:noWrap w:val="0"/>
            <w:vAlign w:val="top"/>
          </w:tcPr>
          <w:p w14:paraId="582D9FF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1万元以下（含1万元）</w:t>
            </w:r>
          </w:p>
        </w:tc>
        <w:tc>
          <w:tcPr>
            <w:tcW w:w="1633" w:type="pct"/>
            <w:noWrap w:val="0"/>
            <w:vAlign w:val="top"/>
          </w:tcPr>
          <w:p w14:paraId="535E1F0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3个工作日内</w:t>
            </w:r>
          </w:p>
        </w:tc>
      </w:tr>
      <w:tr w14:paraId="1C60C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3" w:type="pct"/>
            <w:noWrap w:val="0"/>
            <w:vAlign w:val="top"/>
          </w:tcPr>
          <w:p w14:paraId="141BE4D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2972" w:type="pct"/>
            <w:noWrap w:val="0"/>
            <w:vAlign w:val="top"/>
          </w:tcPr>
          <w:p w14:paraId="423F061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1-5万元（不含1万元，含5万元）</w:t>
            </w:r>
          </w:p>
        </w:tc>
        <w:tc>
          <w:tcPr>
            <w:tcW w:w="1633" w:type="pct"/>
            <w:noWrap w:val="0"/>
            <w:vAlign w:val="top"/>
          </w:tcPr>
          <w:p w14:paraId="1A73A15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5个工作日内</w:t>
            </w:r>
          </w:p>
        </w:tc>
      </w:tr>
      <w:tr w14:paraId="2483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3" w:type="pct"/>
            <w:noWrap w:val="0"/>
            <w:vAlign w:val="top"/>
          </w:tcPr>
          <w:p w14:paraId="19BB369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2972" w:type="pct"/>
            <w:noWrap w:val="0"/>
            <w:vAlign w:val="top"/>
          </w:tcPr>
          <w:p w14:paraId="259DF0D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5—20万元（不含5万元，含20万元）</w:t>
            </w:r>
          </w:p>
        </w:tc>
        <w:tc>
          <w:tcPr>
            <w:tcW w:w="1633" w:type="pct"/>
            <w:noWrap w:val="0"/>
            <w:vAlign w:val="top"/>
          </w:tcPr>
          <w:p w14:paraId="025AF7B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7个工作日内</w:t>
            </w:r>
          </w:p>
        </w:tc>
      </w:tr>
      <w:tr w14:paraId="1F38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3" w:type="pct"/>
            <w:noWrap w:val="0"/>
            <w:vAlign w:val="top"/>
          </w:tcPr>
          <w:p w14:paraId="62EF59F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w:t>
            </w:r>
          </w:p>
        </w:tc>
        <w:tc>
          <w:tcPr>
            <w:tcW w:w="2972" w:type="pct"/>
            <w:noWrap w:val="0"/>
            <w:vAlign w:val="top"/>
          </w:tcPr>
          <w:p w14:paraId="0842AC8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20—30万元（不含20万元，含30万元）</w:t>
            </w:r>
          </w:p>
        </w:tc>
        <w:tc>
          <w:tcPr>
            <w:tcW w:w="1633" w:type="pct"/>
            <w:noWrap w:val="0"/>
            <w:vAlign w:val="top"/>
          </w:tcPr>
          <w:p w14:paraId="77A1FCF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10个工作日内</w:t>
            </w:r>
          </w:p>
        </w:tc>
      </w:tr>
      <w:tr w14:paraId="0F75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93" w:type="pct"/>
            <w:noWrap w:val="0"/>
            <w:vAlign w:val="top"/>
          </w:tcPr>
          <w:p w14:paraId="044C26B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2972" w:type="pct"/>
            <w:noWrap w:val="0"/>
            <w:vAlign w:val="top"/>
          </w:tcPr>
          <w:p w14:paraId="427E350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30万元以上（不含30万元）</w:t>
            </w:r>
          </w:p>
        </w:tc>
        <w:tc>
          <w:tcPr>
            <w:tcW w:w="1633" w:type="pct"/>
            <w:noWrap w:val="0"/>
            <w:vAlign w:val="top"/>
          </w:tcPr>
          <w:p w14:paraId="70AF4EB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15个工作日内</w:t>
            </w:r>
          </w:p>
        </w:tc>
      </w:tr>
    </w:tbl>
    <w:p w14:paraId="4304143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核损核赔时</w:t>
      </w:r>
      <w:bookmarkEnd w:id="15"/>
      <w:bookmarkEnd w:id="16"/>
      <w:bookmarkEnd w:id="17"/>
      <w:r>
        <w:rPr>
          <w:rFonts w:hint="eastAsia" w:ascii="宋体" w:hAnsi="宋体" w:eastAsia="宋体" w:cs="宋体"/>
          <w:color w:val="auto"/>
          <w:sz w:val="21"/>
          <w:szCs w:val="21"/>
          <w:highlight w:val="none"/>
        </w:rPr>
        <w:t>效制</w:t>
      </w:r>
    </w:p>
    <w:p w14:paraId="2B4696D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人在进行现场查勘后，就初步核损金额，在收到被保险人提交的完整索赔资料，经医调委评鉴或合议程序处理的，收到合议决定、调解协议书副本和相关材料后，在下述规定时间内作出理赔决定，以便快速理赔。</w:t>
      </w:r>
    </w:p>
    <w:tbl>
      <w:tblPr>
        <w:tblStyle w:val="19"/>
        <w:tblW w:w="50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5"/>
        <w:gridCol w:w="5434"/>
        <w:gridCol w:w="3596"/>
      </w:tblGrid>
      <w:tr w14:paraId="13F7E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395" w:type="pct"/>
            <w:noWrap w:val="0"/>
            <w:vAlign w:val="center"/>
          </w:tcPr>
          <w:p w14:paraId="5118F2F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2770" w:type="pct"/>
            <w:noWrap w:val="0"/>
            <w:vAlign w:val="center"/>
          </w:tcPr>
          <w:p w14:paraId="07BB083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索赔金额（人民币）</w:t>
            </w:r>
          </w:p>
        </w:tc>
        <w:tc>
          <w:tcPr>
            <w:tcW w:w="1833" w:type="pct"/>
            <w:noWrap w:val="0"/>
            <w:vAlign w:val="center"/>
          </w:tcPr>
          <w:p w14:paraId="5EB0364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应向采购人提出异议（如有）</w:t>
            </w:r>
          </w:p>
          <w:p w14:paraId="2CFB06A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或作出理赔决定的时间</w:t>
            </w:r>
          </w:p>
        </w:tc>
      </w:tr>
      <w:tr w14:paraId="63641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95" w:type="pct"/>
            <w:noWrap w:val="0"/>
            <w:vAlign w:val="center"/>
          </w:tcPr>
          <w:p w14:paraId="5BE37EA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2770" w:type="pct"/>
            <w:noWrap w:val="0"/>
            <w:vAlign w:val="center"/>
          </w:tcPr>
          <w:p w14:paraId="1CC3429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人民币5万元（含5万元）以下</w:t>
            </w:r>
          </w:p>
        </w:tc>
        <w:tc>
          <w:tcPr>
            <w:tcW w:w="1833" w:type="pct"/>
            <w:noWrap w:val="0"/>
            <w:vAlign w:val="center"/>
          </w:tcPr>
          <w:p w14:paraId="0BC83A0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在5个工作日内</w:t>
            </w:r>
          </w:p>
        </w:tc>
      </w:tr>
      <w:tr w14:paraId="2E17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95" w:type="pct"/>
            <w:noWrap w:val="0"/>
            <w:vAlign w:val="center"/>
          </w:tcPr>
          <w:p w14:paraId="5295471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2770" w:type="pct"/>
            <w:noWrap w:val="0"/>
            <w:vAlign w:val="center"/>
          </w:tcPr>
          <w:p w14:paraId="3000784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人民币5-30万元（不含5万元，含30万元）</w:t>
            </w:r>
          </w:p>
        </w:tc>
        <w:tc>
          <w:tcPr>
            <w:tcW w:w="1833" w:type="pct"/>
            <w:noWrap w:val="0"/>
            <w:vAlign w:val="center"/>
          </w:tcPr>
          <w:p w14:paraId="03D5AD9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在7个工作日内</w:t>
            </w:r>
          </w:p>
        </w:tc>
      </w:tr>
      <w:tr w14:paraId="3399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5" w:type="pct"/>
            <w:noWrap w:val="0"/>
            <w:vAlign w:val="center"/>
          </w:tcPr>
          <w:p w14:paraId="3EF4FE8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2770" w:type="pct"/>
            <w:noWrap w:val="0"/>
            <w:vAlign w:val="center"/>
          </w:tcPr>
          <w:p w14:paraId="02EF64C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30万元以上</w:t>
            </w:r>
          </w:p>
        </w:tc>
        <w:tc>
          <w:tcPr>
            <w:tcW w:w="1833" w:type="pct"/>
            <w:noWrap w:val="0"/>
            <w:vAlign w:val="center"/>
          </w:tcPr>
          <w:p w14:paraId="4341146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在10个工作日内</w:t>
            </w:r>
          </w:p>
        </w:tc>
      </w:tr>
    </w:tbl>
    <w:p w14:paraId="6A090DEC">
      <w:pPr>
        <w:keepNext w:val="0"/>
        <w:keepLines w:val="0"/>
        <w:pageBreakBefore w:val="0"/>
        <w:widowControl w:val="0"/>
        <w:tabs>
          <w:tab w:val="left" w:pos="425"/>
          <w:tab w:val="left" w:pos="992"/>
        </w:tabs>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5、保险理赔主要单证说明</w:t>
      </w:r>
    </w:p>
    <w:p w14:paraId="2EC9EB3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承保人应本着高效解决医疗纠纷、优化理赔流程的原则，办理理赔事宜。具体理赔单证的提供以《保险索赔、理赔处理程序预案》的约定为准。</w:t>
      </w:r>
    </w:p>
    <w:p w14:paraId="6B42FC75">
      <w:pPr>
        <w:pStyle w:val="4"/>
        <w:keepNext w:val="0"/>
        <w:keepLines w:val="0"/>
        <w:pageBreakBefore w:val="0"/>
        <w:widowControl w:val="0"/>
        <w:numPr>
          <w:ilvl w:val="0"/>
          <w:numId w:val="0"/>
        </w:numPr>
        <w:kinsoku/>
        <w:wordWrap w:val="0"/>
        <w:overflowPunct/>
        <w:topLinePunct w:val="0"/>
        <w:autoSpaceDE/>
        <w:autoSpaceDN/>
        <w:bidi w:val="0"/>
        <w:adjustRightInd w:val="0"/>
        <w:snapToGrid/>
        <w:spacing w:before="0" w:after="0" w:line="360" w:lineRule="auto"/>
        <w:ind w:firstLine="422" w:firstLineChars="200"/>
        <w:jc w:val="left"/>
        <w:textAlignment w:val="auto"/>
        <w:outlineLvl w:val="2"/>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（三）★其他要求</w:t>
      </w:r>
    </w:p>
    <w:p w14:paraId="336F3D4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cs="宋体"/>
          <w:color w:val="auto"/>
          <w:kern w:val="0"/>
          <w:sz w:val="21"/>
          <w:szCs w:val="21"/>
          <w:highlight w:val="none"/>
        </w:rPr>
        <w:t>1、</w:t>
      </w:r>
      <w:r>
        <w:rPr>
          <w:rFonts w:ascii="宋体" w:hAnsi="宋体"/>
          <w:color w:val="auto"/>
          <w:sz w:val="21"/>
          <w:szCs w:val="21"/>
        </w:rPr>
        <w:t>根据粤卫办函【2011】129号文件，目前广东省承担医疗责任保险全省统保的保险经纪人为江泰保险经纪股份有限公司</w:t>
      </w:r>
      <w:r>
        <w:rPr>
          <w:rStyle w:val="24"/>
          <w:rFonts w:hint="eastAsia" w:cstheme="minorBidi"/>
          <w:color w:val="auto"/>
          <w:kern w:val="2"/>
          <w:lang w:eastAsia="zh-CN"/>
        </w:rPr>
        <w:t>，</w:t>
      </w:r>
      <w:r>
        <w:rPr>
          <w:rFonts w:hint="eastAsia" w:ascii="宋体" w:cs="宋体"/>
          <w:color w:val="auto"/>
          <w:kern w:val="0"/>
          <w:sz w:val="21"/>
          <w:szCs w:val="21"/>
          <w:highlight w:val="none"/>
        </w:rPr>
        <w:t>招标人聘请了有资质的保险经纪人，为招标人及各被保险人的本项目提供保险经纪服务。投标人及最终确定的承保人尊重保险经纪人代表采购人所提涉保要求，尊重其所发挥的督促、协调作用，并认为保险经纪人能为保险双方的顺利合作起到应有的积极作用。</w:t>
      </w:r>
      <w:r>
        <w:rPr>
          <w:rFonts w:hint="eastAsia" w:ascii="宋体" w:cs="宋体"/>
          <w:b w:val="0"/>
          <w:bCs w:val="0"/>
          <w:color w:val="auto"/>
          <w:kern w:val="0"/>
          <w:szCs w:val="21"/>
          <w:highlight w:val="none"/>
          <w:lang w:val="en-US" w:eastAsia="zh-CN"/>
        </w:rPr>
        <w:t>成交</w:t>
      </w:r>
      <w:r>
        <w:rPr>
          <w:rFonts w:hint="eastAsia" w:ascii="宋体" w:cs="宋体"/>
          <w:color w:val="auto"/>
          <w:kern w:val="0"/>
          <w:sz w:val="21"/>
          <w:szCs w:val="21"/>
          <w:highlight w:val="none"/>
        </w:rPr>
        <w:t>人与保险经纪人之间的权责、义务等由保险经纪人与之签订</w:t>
      </w:r>
      <w:r>
        <w:rPr>
          <w:rFonts w:hint="eastAsia" w:ascii="宋体" w:cs="宋体"/>
          <w:color w:val="auto"/>
          <w:kern w:val="0"/>
          <w:sz w:val="21"/>
          <w:szCs w:val="21"/>
          <w:highlight w:val="none"/>
          <w:lang w:eastAsia="zh-CN"/>
        </w:rPr>
        <w:t>，</w:t>
      </w:r>
      <w:r>
        <w:rPr>
          <w:rFonts w:hint="eastAsia" w:ascii="宋体" w:cs="宋体"/>
          <w:color w:val="auto"/>
          <w:kern w:val="0"/>
          <w:sz w:val="21"/>
          <w:szCs w:val="21"/>
          <w:highlight w:val="none"/>
          <w:u w:val="none"/>
          <w:lang w:val="en-US" w:eastAsia="zh-CN"/>
        </w:rPr>
        <w:t>并</w:t>
      </w:r>
      <w:r>
        <w:rPr>
          <w:rFonts w:hint="eastAsia" w:ascii="宋体" w:cs="宋体"/>
          <w:color w:val="auto"/>
          <w:kern w:val="0"/>
          <w:sz w:val="21"/>
          <w:szCs w:val="21"/>
          <w:highlight w:val="none"/>
          <w:u w:val="none"/>
        </w:rPr>
        <w:t>同意以所收含税保费的</w:t>
      </w:r>
      <w:r>
        <w:rPr>
          <w:rFonts w:hint="eastAsia" w:ascii="宋体" w:cs="宋体"/>
          <w:color w:val="auto"/>
          <w:kern w:val="0"/>
          <w:sz w:val="21"/>
          <w:szCs w:val="21"/>
          <w:highlight w:val="none"/>
          <w:u w:val="none"/>
          <w:lang w:val="en-US" w:eastAsia="zh-CN"/>
        </w:rPr>
        <w:t>25</w:t>
      </w:r>
      <w:r>
        <w:rPr>
          <w:rFonts w:hint="eastAsia" w:ascii="宋体" w:cs="宋体"/>
          <w:color w:val="auto"/>
          <w:kern w:val="0"/>
          <w:sz w:val="21"/>
          <w:szCs w:val="21"/>
          <w:highlight w:val="none"/>
          <w:u w:val="none"/>
        </w:rPr>
        <w:t>%作为保险经纪人佣金支付给本项目保险经纪人。</w:t>
      </w:r>
    </w:p>
    <w:p w14:paraId="6E2259A5">
      <w:pPr>
        <w:pStyle w:val="8"/>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cs="宋体"/>
          <w:b w:val="0"/>
          <w:bCs w:val="0"/>
          <w:color w:val="auto"/>
          <w:kern w:val="0"/>
          <w:sz w:val="21"/>
          <w:highlight w:val="none"/>
        </w:rPr>
      </w:pPr>
      <w:r>
        <w:rPr>
          <w:rFonts w:hint="eastAsia" w:ascii="宋体" w:cs="宋体"/>
          <w:b w:val="0"/>
          <w:bCs w:val="0"/>
          <w:color w:val="auto"/>
          <w:kern w:val="0"/>
          <w:sz w:val="21"/>
          <w:highlight w:val="none"/>
        </w:rPr>
        <w:t>2、本项目接受</w:t>
      </w:r>
      <w:r>
        <w:rPr>
          <w:rFonts w:hint="eastAsia" w:ascii="宋体" w:cs="宋体"/>
          <w:b w:val="0"/>
          <w:bCs w:val="0"/>
          <w:color w:val="auto"/>
          <w:kern w:val="0"/>
          <w:sz w:val="21"/>
          <w:highlight w:val="none"/>
          <w:lang w:val="en-US" w:eastAsia="zh-CN"/>
        </w:rPr>
        <w:t>成交</w:t>
      </w:r>
      <w:r>
        <w:rPr>
          <w:rFonts w:hint="eastAsia" w:ascii="宋体" w:cs="宋体"/>
          <w:b w:val="0"/>
          <w:bCs w:val="0"/>
          <w:color w:val="auto"/>
          <w:kern w:val="0"/>
          <w:sz w:val="21"/>
          <w:highlight w:val="none"/>
        </w:rPr>
        <w:t>单位按照中国保险监督管理委员会《关于加强财产保险共保业务管理的通知》要求安排共保及再保，但</w:t>
      </w:r>
      <w:r>
        <w:rPr>
          <w:rFonts w:hint="eastAsia" w:ascii="宋体" w:cs="宋体"/>
          <w:b w:val="0"/>
          <w:bCs w:val="0"/>
          <w:color w:val="auto"/>
          <w:kern w:val="0"/>
          <w:sz w:val="21"/>
          <w:highlight w:val="none"/>
          <w:lang w:val="en-US" w:eastAsia="zh-CN"/>
        </w:rPr>
        <w:t>成交</w:t>
      </w:r>
      <w:r>
        <w:rPr>
          <w:rFonts w:hint="eastAsia" w:ascii="宋体" w:cs="宋体"/>
          <w:b w:val="0"/>
          <w:bCs w:val="0"/>
          <w:color w:val="auto"/>
          <w:kern w:val="0"/>
          <w:sz w:val="21"/>
          <w:highlight w:val="none"/>
        </w:rPr>
        <w:t>单位必须作为主承保人负责承保、理赔服务，不得将承保、理赔服务分配其他参与共保公司服务。</w:t>
      </w:r>
    </w:p>
    <w:p w14:paraId="13D2F77E">
      <w:pPr>
        <w:ind w:firstLine="444"/>
        <w:rPr>
          <w:rFonts w:ascii="Calibri" w:hAnsi="Calibri" w:eastAsia="宋体" w:cs="Times New Roman"/>
          <w:szCs w:val="21"/>
        </w:rPr>
      </w:pPr>
    </w:p>
    <w:p w14:paraId="1C6B1148">
      <w:pPr>
        <w:rPr>
          <w:szCs w:val="21"/>
          <w:lang w:bidi="zh-CN"/>
        </w:rPr>
      </w:pPr>
      <w:bookmarkStart w:id="18" w:name="_Toc11269"/>
      <w:bookmarkStart w:id="19" w:name="_Toc32437"/>
      <w:bookmarkStart w:id="20" w:name="_Toc26740"/>
      <w:bookmarkStart w:id="21" w:name="_Toc31514"/>
      <w:bookmarkStart w:id="22" w:name="_Toc22519"/>
      <w:bookmarkStart w:id="23" w:name="_Toc6659"/>
      <w:bookmarkStart w:id="24" w:name="_Toc31365"/>
      <w:r>
        <w:rPr>
          <w:rFonts w:hint="eastAsia"/>
          <w:szCs w:val="21"/>
          <w:lang w:bidi="zh-CN"/>
        </w:rPr>
        <w:br w:type="page"/>
      </w:r>
    </w:p>
    <w:bookmarkEnd w:id="18"/>
    <w:bookmarkEnd w:id="19"/>
    <w:bookmarkEnd w:id="20"/>
    <w:bookmarkEnd w:id="21"/>
    <w:bookmarkEnd w:id="22"/>
    <w:bookmarkEnd w:id="23"/>
    <w:bookmarkEnd w:id="24"/>
    <w:p w14:paraId="20F56EEA">
      <w:pPr>
        <w:pStyle w:val="2"/>
        <w:jc w:val="center"/>
      </w:pPr>
      <w:bookmarkStart w:id="25" w:name="_Toc21960"/>
      <w:r>
        <w:t>第三章 供应商须知</w:t>
      </w:r>
      <w:bookmarkEnd w:id="25"/>
    </w:p>
    <w:p w14:paraId="4FB92A11">
      <w:pPr>
        <w:ind w:firstLine="480"/>
      </w:pPr>
      <w: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097E4047">
      <w:pPr>
        <w:pStyle w:val="3"/>
      </w:pPr>
      <w:bookmarkStart w:id="26" w:name="_Toc8303"/>
      <w:r>
        <w:t>一、名词解释</w:t>
      </w:r>
      <w:bookmarkEnd w:id="26"/>
    </w:p>
    <w:p w14:paraId="4DC52B53">
      <w:pPr>
        <w:ind w:firstLine="480"/>
      </w:pPr>
      <w:r>
        <w:t>1.采购代理机构：本项目是指</w:t>
      </w:r>
      <w:r>
        <w:rPr>
          <w:rFonts w:hint="eastAsia"/>
          <w:lang w:eastAsia="zh-CN"/>
        </w:rPr>
        <w:t>广东志正招标有限公司</w:t>
      </w:r>
      <w:r>
        <w:t xml:space="preserve"> ，负责整个采购活动的组织，依法负责编制和发布磋商文件，对磋商文件拥有最终的解释权，不以任何身份出任磋商小组成员。</w:t>
      </w:r>
    </w:p>
    <w:p w14:paraId="66C7EBDF">
      <w:pPr>
        <w:ind w:firstLine="480"/>
      </w:pPr>
      <w:r>
        <w:t>2.采购人：本项目是指广州市海珠区中医医院，是采购活动当事人之一，负责项目的整体规划、技术方案可行性设计论证与实施，作为合同采购方（用户）的主体承担质疑回复、履行合同、验收与评价等义务。</w:t>
      </w:r>
    </w:p>
    <w:p w14:paraId="118590F4">
      <w:pPr>
        <w:ind w:firstLine="480"/>
      </w:pPr>
      <w:r>
        <w:t>3.供应商：是指完成本项目</w:t>
      </w:r>
      <w:r>
        <w:rPr>
          <w:rFonts w:hint="eastAsia"/>
        </w:rPr>
        <w:t>磋商文件领购</w:t>
      </w:r>
      <w:r>
        <w:t>并提交响应文件的供应商。</w:t>
      </w:r>
    </w:p>
    <w:p w14:paraId="3946E98C">
      <w:pPr>
        <w:ind w:firstLine="480"/>
      </w:pPr>
      <w:r>
        <w:t>4.“磋商小组”是指根据《中华人民共和国政府采购法》等法律法规规定，由采购人代表和有关专家组成以确定成交供应商或者推荐成交候选供应商的临时组织。</w:t>
      </w:r>
    </w:p>
    <w:p w14:paraId="43AE897C">
      <w:pPr>
        <w:ind w:firstLine="480"/>
      </w:pPr>
      <w:r>
        <w:t>5.“成交供应商”是指经磋商小组评审确定的对磋商文件做出实质性响应，经采购人按照规定在磋商小组推荐的成交候选供应商中确定的或磋商小组受采购人委托直接确认的供应商。</w:t>
      </w:r>
    </w:p>
    <w:p w14:paraId="635AFA7D">
      <w:pPr>
        <w:ind w:firstLine="480"/>
      </w:pPr>
      <w:r>
        <w:t>6.磋商文件：是指包括磋商公告和磋商文件及其补充、变更和澄清等一系列文件。</w:t>
      </w:r>
    </w:p>
    <w:p w14:paraId="73B37EE4">
      <w:pPr>
        <w:ind w:firstLine="480"/>
      </w:pPr>
      <w:r>
        <w:t>7.响应文件：是指</w:t>
      </w:r>
      <w:r>
        <w:rPr>
          <w:rFonts w:hint="eastAsia"/>
        </w:rPr>
        <w:t>按响应文件格式与要求编制提交</w:t>
      </w:r>
      <w:r>
        <w:t>的文件</w:t>
      </w:r>
      <w:r>
        <w:rPr>
          <w:rFonts w:hint="eastAsia"/>
        </w:rPr>
        <w:t>。</w:t>
      </w:r>
    </w:p>
    <w:p w14:paraId="1EA2C386">
      <w:pPr>
        <w:ind w:firstLine="480"/>
      </w:pPr>
      <w:r>
        <w:t>8.</w:t>
      </w:r>
      <w:r>
        <w:rPr>
          <w:rFonts w:hint="eastAsia"/>
        </w:rPr>
        <w:t xml:space="preserve"> “加盖单位公章”及“公章”：在投标（响应）文件及相关的其他资料中，涉及“加盖单位公章”和“公章”应使用供应商单位公章在纸质投标（响应）文件上进行盖章。</w:t>
      </w:r>
    </w:p>
    <w:p w14:paraId="1D5AB15A">
      <w:pPr>
        <w:ind w:firstLine="480"/>
      </w:pPr>
      <w:r>
        <w:t>9</w:t>
      </w:r>
      <w:r>
        <w:rPr>
          <w:rFonts w:hint="eastAsia"/>
        </w:rPr>
        <w:t>“全称”、“公司全称”、“加盖单位公章”及“公章”：在投标（响应）文件及相关的其他资料中，涉及“全称”或“公司全称”的应在对应文件编辑时使用文本录入方式，或在纸质投标（响应）文件上进行手写签名；涉及“加盖单位公章”和“公章”应使用供应商单位公章在纸质投标（响应）文件上进行盖章。</w:t>
      </w:r>
    </w:p>
    <w:p w14:paraId="71E20C82">
      <w:pPr>
        <w:ind w:firstLine="480"/>
      </w:pPr>
      <w:r>
        <w:t>10.</w:t>
      </w:r>
      <w:r>
        <w:rPr>
          <w:rFonts w:ascii="宋体" w:hAnsi="宋体" w:eastAsia="宋体" w:cs="宋体"/>
        </w:rPr>
        <w:t>“</w:t>
      </w:r>
      <w:r>
        <w:rPr>
          <w:rFonts w:hint="eastAsia" w:ascii="宋体" w:hAnsi="宋体" w:eastAsia="宋体" w:cs="宋体"/>
        </w:rPr>
        <w:t>供应商代表签字”及“授权代表”：在投标（响应）文件及相关的其他资料中，涉及“供应商代表签字”或“授权代表”应在纸质投标（响应）文件上进行手写签名。</w:t>
      </w:r>
    </w:p>
    <w:p w14:paraId="2E0E574D">
      <w:pPr>
        <w:ind w:firstLine="480"/>
      </w:pPr>
      <w:r>
        <w:t>11.</w:t>
      </w:r>
      <w:r>
        <w:rPr>
          <w:rFonts w:hint="eastAsia"/>
        </w:rPr>
        <w:t>“法定代表人”：在投标（响应）文件及相关的其他资料中，涉及“法定代表人”应在纸质投标（响应）文件上进行手写签名。</w:t>
      </w:r>
    </w:p>
    <w:p w14:paraId="4DB44101">
      <w:pPr>
        <w:ind w:firstLine="480"/>
      </w:pPr>
      <w:r>
        <w:t>12.日期、天数、时间：未有特别说明时，均为公历日（天）及北京时间。</w:t>
      </w:r>
    </w:p>
    <w:p w14:paraId="003BF5CE">
      <w:pPr>
        <w:pStyle w:val="3"/>
      </w:pPr>
      <w:bookmarkStart w:id="27" w:name="_Toc9974"/>
      <w:r>
        <w:t>二、须知前附表</w:t>
      </w:r>
      <w:bookmarkEnd w:id="27"/>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2702"/>
        <w:gridCol w:w="5999"/>
      </w:tblGrid>
      <w:tr w14:paraId="0E649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2E2C07EB">
            <w:r>
              <w:t>本表与</w:t>
            </w:r>
            <w:r>
              <w:rPr>
                <w:rFonts w:hint="eastAsia"/>
              </w:rPr>
              <w:t>磋商</w:t>
            </w:r>
            <w:r>
              <w:t>文件对应章节的内容若不一致，以本表为准。</w:t>
            </w:r>
          </w:p>
        </w:tc>
      </w:tr>
      <w:tr w14:paraId="0659C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7F252E12">
            <w:r>
              <w:t>序号</w:t>
            </w:r>
          </w:p>
        </w:tc>
        <w:tc>
          <w:tcPr>
            <w:tcW w:w="1356" w:type="pct"/>
          </w:tcPr>
          <w:p w14:paraId="13F5039A">
            <w:r>
              <w:t>条款名称</w:t>
            </w:r>
          </w:p>
        </w:tc>
        <w:tc>
          <w:tcPr>
            <w:tcW w:w="3012" w:type="pct"/>
          </w:tcPr>
          <w:p w14:paraId="42445234">
            <w:r>
              <w:t>内容及要求</w:t>
            </w:r>
          </w:p>
        </w:tc>
      </w:tr>
      <w:tr w14:paraId="7569B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239D5D16">
            <w:pPr>
              <w:jc w:val="center"/>
            </w:pPr>
            <w:r>
              <w:t>1</w:t>
            </w:r>
          </w:p>
        </w:tc>
        <w:tc>
          <w:tcPr>
            <w:tcW w:w="1356" w:type="pct"/>
          </w:tcPr>
          <w:p w14:paraId="62E8940D">
            <w:r>
              <w:t>采购包情况</w:t>
            </w:r>
          </w:p>
        </w:tc>
        <w:tc>
          <w:tcPr>
            <w:tcW w:w="3012" w:type="pct"/>
          </w:tcPr>
          <w:p w14:paraId="3A04694B">
            <w:r>
              <w:t>本项目共1个采购包</w:t>
            </w:r>
          </w:p>
        </w:tc>
      </w:tr>
      <w:tr w14:paraId="03EAA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2DCBB995">
            <w:pPr>
              <w:jc w:val="center"/>
            </w:pPr>
            <w:r>
              <w:t>2</w:t>
            </w:r>
          </w:p>
        </w:tc>
        <w:tc>
          <w:tcPr>
            <w:tcW w:w="1356" w:type="pct"/>
          </w:tcPr>
          <w:p w14:paraId="7E2F1926">
            <w:r>
              <w:t>评审办法</w:t>
            </w:r>
          </w:p>
        </w:tc>
        <w:tc>
          <w:tcPr>
            <w:tcW w:w="3012" w:type="pct"/>
          </w:tcPr>
          <w:p w14:paraId="7000E9D3">
            <w:r>
              <w:t>采购包1：</w:t>
            </w:r>
            <w:r>
              <w:rPr>
                <w:rFonts w:hint="eastAsia"/>
              </w:rPr>
              <w:t>综合评分</w:t>
            </w:r>
            <w:r>
              <w:t>法</w:t>
            </w:r>
          </w:p>
        </w:tc>
      </w:tr>
      <w:tr w14:paraId="0062D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1A4E4A41">
            <w:pPr>
              <w:jc w:val="center"/>
            </w:pPr>
            <w:r>
              <w:t>3</w:t>
            </w:r>
          </w:p>
        </w:tc>
        <w:tc>
          <w:tcPr>
            <w:tcW w:w="1356" w:type="pct"/>
          </w:tcPr>
          <w:p w14:paraId="0AFDF407">
            <w:r>
              <w:t>报价形式</w:t>
            </w:r>
          </w:p>
        </w:tc>
        <w:tc>
          <w:tcPr>
            <w:tcW w:w="3012" w:type="pct"/>
          </w:tcPr>
          <w:p w14:paraId="3570AA07">
            <w:r>
              <w:t>采购包1：</w:t>
            </w:r>
            <w:r>
              <w:rPr>
                <w:rFonts w:hint="eastAsia"/>
              </w:rPr>
              <w:t>总价</w:t>
            </w:r>
          </w:p>
        </w:tc>
      </w:tr>
      <w:tr w14:paraId="6E1FE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2B1C12CB">
            <w:pPr>
              <w:jc w:val="center"/>
            </w:pPr>
            <w:r>
              <w:t>4</w:t>
            </w:r>
          </w:p>
        </w:tc>
        <w:tc>
          <w:tcPr>
            <w:tcW w:w="1356" w:type="pct"/>
          </w:tcPr>
          <w:p w14:paraId="6D61BC47">
            <w:r>
              <w:t>报价要求</w:t>
            </w:r>
          </w:p>
        </w:tc>
        <w:tc>
          <w:tcPr>
            <w:tcW w:w="3012" w:type="pct"/>
          </w:tcPr>
          <w:p w14:paraId="33534790">
            <w:r>
              <w:t>各采购包报价不超过预算总价</w:t>
            </w:r>
            <w:r>
              <w:rPr>
                <w:rFonts w:hint="eastAsia"/>
              </w:rPr>
              <w:t>或有效范围</w:t>
            </w:r>
          </w:p>
        </w:tc>
      </w:tr>
      <w:tr w14:paraId="3B3C5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4FFAB550">
            <w:pPr>
              <w:jc w:val="center"/>
            </w:pPr>
            <w:r>
              <w:t>5</w:t>
            </w:r>
          </w:p>
        </w:tc>
        <w:tc>
          <w:tcPr>
            <w:tcW w:w="1356" w:type="pct"/>
          </w:tcPr>
          <w:p w14:paraId="1C1E2A46">
            <w:r>
              <w:t>现场踏勘</w:t>
            </w:r>
          </w:p>
        </w:tc>
        <w:tc>
          <w:tcPr>
            <w:tcW w:w="3012" w:type="pct"/>
          </w:tcPr>
          <w:p w14:paraId="166B2BB6">
            <w:r>
              <w:t>否</w:t>
            </w:r>
          </w:p>
        </w:tc>
      </w:tr>
      <w:tr w14:paraId="505C4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19AE5643">
            <w:pPr>
              <w:jc w:val="center"/>
            </w:pPr>
            <w:r>
              <w:t>6</w:t>
            </w:r>
          </w:p>
        </w:tc>
        <w:tc>
          <w:tcPr>
            <w:tcW w:w="1356" w:type="pct"/>
          </w:tcPr>
          <w:p w14:paraId="344D9918">
            <w:r>
              <w:t>响应有效期</w:t>
            </w:r>
          </w:p>
        </w:tc>
        <w:tc>
          <w:tcPr>
            <w:tcW w:w="3012" w:type="pct"/>
          </w:tcPr>
          <w:p w14:paraId="5674E943">
            <w:r>
              <w:t>从提交投标（响应）文件的截止之日起90日历天</w:t>
            </w:r>
          </w:p>
        </w:tc>
      </w:tr>
      <w:tr w14:paraId="09501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02594B4F">
            <w:pPr>
              <w:jc w:val="center"/>
            </w:pPr>
            <w:r>
              <w:t>7</w:t>
            </w:r>
          </w:p>
        </w:tc>
        <w:tc>
          <w:tcPr>
            <w:tcW w:w="1356" w:type="pct"/>
          </w:tcPr>
          <w:p w14:paraId="197521E7">
            <w:r>
              <w:t>响应保证金</w:t>
            </w:r>
          </w:p>
        </w:tc>
        <w:tc>
          <w:tcPr>
            <w:tcW w:w="3012" w:type="pct"/>
          </w:tcPr>
          <w:p w14:paraId="515448D5">
            <w:r>
              <w:rPr>
                <w:rFonts w:hint="eastAsia"/>
                <w:lang w:val="en-US" w:eastAsia="zh-CN"/>
              </w:rPr>
              <w:t>无。</w:t>
            </w:r>
          </w:p>
        </w:tc>
      </w:tr>
      <w:tr w14:paraId="673A3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68C5955F">
            <w:pPr>
              <w:jc w:val="center"/>
            </w:pPr>
            <w:r>
              <w:t>8</w:t>
            </w:r>
          </w:p>
        </w:tc>
        <w:tc>
          <w:tcPr>
            <w:tcW w:w="1356" w:type="pct"/>
          </w:tcPr>
          <w:p w14:paraId="218A117F">
            <w:r>
              <w:t>成交候选供应商推荐家数</w:t>
            </w:r>
          </w:p>
        </w:tc>
        <w:tc>
          <w:tcPr>
            <w:tcW w:w="3012" w:type="pct"/>
          </w:tcPr>
          <w:p w14:paraId="59D6B2C7">
            <w:pPr>
              <w:pStyle w:val="7"/>
            </w:pPr>
            <w:r>
              <w:t>采购包1：3家</w:t>
            </w:r>
          </w:p>
        </w:tc>
      </w:tr>
      <w:tr w14:paraId="40D9C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031890BB">
            <w:pPr>
              <w:jc w:val="center"/>
            </w:pPr>
            <w:r>
              <w:t>9</w:t>
            </w:r>
          </w:p>
        </w:tc>
        <w:tc>
          <w:tcPr>
            <w:tcW w:w="1356" w:type="pct"/>
          </w:tcPr>
          <w:p w14:paraId="499B9317">
            <w:r>
              <w:t>成交供应商家数</w:t>
            </w:r>
          </w:p>
        </w:tc>
        <w:tc>
          <w:tcPr>
            <w:tcW w:w="3012" w:type="pct"/>
          </w:tcPr>
          <w:p w14:paraId="4F5D0184">
            <w:r>
              <w:t>采购包1：1家</w:t>
            </w:r>
          </w:p>
        </w:tc>
      </w:tr>
      <w:tr w14:paraId="4BC9C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1154B02E">
            <w:pPr>
              <w:jc w:val="center"/>
            </w:pPr>
            <w:r>
              <w:t>10</w:t>
            </w:r>
          </w:p>
        </w:tc>
        <w:tc>
          <w:tcPr>
            <w:tcW w:w="1356" w:type="pct"/>
          </w:tcPr>
          <w:p w14:paraId="01E7690B">
            <w:r>
              <w:t>有效供应商家数</w:t>
            </w:r>
          </w:p>
        </w:tc>
        <w:tc>
          <w:tcPr>
            <w:tcW w:w="3012" w:type="pct"/>
          </w:tcPr>
          <w:p w14:paraId="0C933BA4">
            <w:r>
              <w:t>采购包1：3家</w:t>
            </w:r>
          </w:p>
          <w:p w14:paraId="24F6733F">
            <w:r>
              <w:t>此人数约定了开启与评审过程中的最低有效供应商家数，当家数不足时项目将不得开启、不得评审或直接终止采购。</w:t>
            </w:r>
          </w:p>
        </w:tc>
      </w:tr>
      <w:tr w14:paraId="18326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24EF86BB">
            <w:pPr>
              <w:jc w:val="center"/>
            </w:pPr>
            <w:r>
              <w:t>11</w:t>
            </w:r>
          </w:p>
        </w:tc>
        <w:tc>
          <w:tcPr>
            <w:tcW w:w="1356" w:type="pct"/>
          </w:tcPr>
          <w:p w14:paraId="768502FB">
            <w:r>
              <w:t>成交供应商确定方式</w:t>
            </w:r>
          </w:p>
        </w:tc>
        <w:tc>
          <w:tcPr>
            <w:tcW w:w="3012" w:type="pct"/>
          </w:tcPr>
          <w:p w14:paraId="2A81C237">
            <w:r>
              <w:t>采购人按照评审报告中推荐的成交候选人确定中标（成交）人。</w:t>
            </w:r>
          </w:p>
        </w:tc>
      </w:tr>
      <w:tr w14:paraId="783E8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1C756E92">
            <w:pPr>
              <w:jc w:val="center"/>
            </w:pPr>
            <w:r>
              <w:t>12</w:t>
            </w:r>
          </w:p>
        </w:tc>
        <w:tc>
          <w:tcPr>
            <w:tcW w:w="1356" w:type="pct"/>
          </w:tcPr>
          <w:p w14:paraId="7BEA8832">
            <w:r>
              <w:t>兼投不兼中（兼投不兼中）规则</w:t>
            </w:r>
          </w:p>
        </w:tc>
        <w:tc>
          <w:tcPr>
            <w:tcW w:w="3012" w:type="pct"/>
          </w:tcPr>
          <w:p w14:paraId="14312653">
            <w:r>
              <w:rPr>
                <w:rFonts w:hint="eastAsia"/>
              </w:rPr>
              <w:t>无</w:t>
            </w:r>
          </w:p>
        </w:tc>
      </w:tr>
      <w:tr w14:paraId="6F4E6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18959F7B">
            <w:pPr>
              <w:jc w:val="center"/>
            </w:pPr>
            <w:r>
              <w:t>13</w:t>
            </w:r>
          </w:p>
        </w:tc>
        <w:tc>
          <w:tcPr>
            <w:tcW w:w="1356" w:type="pct"/>
          </w:tcPr>
          <w:p w14:paraId="71AFEFA9">
            <w:r>
              <w:t>代理服务费</w:t>
            </w:r>
          </w:p>
        </w:tc>
        <w:tc>
          <w:tcPr>
            <w:tcW w:w="3012" w:type="pct"/>
          </w:tcPr>
          <w:p w14:paraId="68F09D0E">
            <w:r>
              <w:rPr>
                <w:rFonts w:hint="eastAsia"/>
              </w:rPr>
              <w:t>收取。向成交供应商收取的成交服务费，金额固定为：¥3,900.00</w:t>
            </w:r>
          </w:p>
        </w:tc>
      </w:tr>
      <w:tr w14:paraId="66F94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719F6B3C">
            <w:pPr>
              <w:jc w:val="center"/>
            </w:pPr>
            <w:r>
              <w:t>14</w:t>
            </w:r>
          </w:p>
        </w:tc>
        <w:tc>
          <w:tcPr>
            <w:tcW w:w="1356" w:type="pct"/>
          </w:tcPr>
          <w:p w14:paraId="5790DD56">
            <w:r>
              <w:t>代理服务费收取方式</w:t>
            </w:r>
          </w:p>
        </w:tc>
        <w:tc>
          <w:tcPr>
            <w:tcW w:w="3012" w:type="pct"/>
          </w:tcPr>
          <w:p w14:paraId="4142C404">
            <w:r>
              <w:t>向中标/成交供应商收取</w:t>
            </w:r>
          </w:p>
        </w:tc>
      </w:tr>
      <w:tr w14:paraId="53369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433DE4CA">
            <w:pPr>
              <w:jc w:val="center"/>
            </w:pPr>
            <w:r>
              <w:t>15</w:t>
            </w:r>
          </w:p>
        </w:tc>
        <w:tc>
          <w:tcPr>
            <w:tcW w:w="1356" w:type="pct"/>
            <w:vAlign w:val="center"/>
          </w:tcPr>
          <w:p w14:paraId="27370D27">
            <w:r>
              <w:rPr>
                <w:rFonts w:hint="eastAsia" w:ascii="宋体" w:hAnsi="宋体"/>
              </w:rPr>
              <w:t>响应文件要求</w:t>
            </w:r>
          </w:p>
        </w:tc>
        <w:tc>
          <w:tcPr>
            <w:tcW w:w="3012" w:type="pct"/>
            <w:vAlign w:val="center"/>
          </w:tcPr>
          <w:p w14:paraId="2BF880D9">
            <w:pPr>
              <w:pStyle w:val="7"/>
            </w:pPr>
            <w:r>
              <w:rPr>
                <w:rFonts w:hint="eastAsia" w:ascii="宋体" w:hAnsi="宋体"/>
              </w:rPr>
              <w:t>一、</w:t>
            </w:r>
            <w:r>
              <w:rPr>
                <w:rFonts w:hint="eastAsia" w:ascii="宋体" w:hAnsi="宋体" w:eastAsia="宋体" w:cs="宋体"/>
              </w:rPr>
              <w:t>纸质</w:t>
            </w:r>
            <w:r>
              <w:rPr>
                <w:rFonts w:hint="eastAsia" w:ascii="宋体" w:hAnsi="宋体"/>
              </w:rPr>
              <w:t>响应文件：</w:t>
            </w:r>
          </w:p>
          <w:p w14:paraId="2B528813">
            <w:pPr>
              <w:pStyle w:val="7"/>
            </w:pPr>
            <w:r>
              <w:t>1</w:t>
            </w:r>
            <w:r>
              <w:rPr>
                <w:rFonts w:hint="eastAsia" w:ascii="宋体" w:hAnsi="宋体"/>
              </w:rPr>
              <w:t>、纸质</w:t>
            </w:r>
            <w:r>
              <w:rPr>
                <w:rFonts w:hint="eastAsia" w:ascii="宋体" w:hAnsi="宋体" w:eastAsia="宋体" w:cs="宋体"/>
              </w:rPr>
              <w:t>响应</w:t>
            </w:r>
            <w:r>
              <w:rPr>
                <w:rFonts w:hint="eastAsia" w:ascii="宋体" w:hAnsi="宋体"/>
              </w:rPr>
              <w:t>文件正本</w:t>
            </w:r>
            <w:r>
              <w:t>1</w:t>
            </w:r>
            <w:r>
              <w:rPr>
                <w:rFonts w:hint="eastAsia" w:ascii="宋体" w:hAnsi="宋体"/>
              </w:rPr>
              <w:t>份，纸质响应文件副本</w:t>
            </w:r>
            <w:r>
              <w:t>3</w:t>
            </w:r>
            <w:r>
              <w:rPr>
                <w:rFonts w:hint="eastAsia" w:ascii="宋体" w:hAnsi="宋体"/>
              </w:rPr>
              <w:t>份。</w:t>
            </w:r>
          </w:p>
          <w:p w14:paraId="34BD7CBC">
            <w:pPr>
              <w:pStyle w:val="7"/>
            </w:pPr>
            <w:r>
              <w:t>2</w:t>
            </w:r>
            <w:r>
              <w:rPr>
                <w:rFonts w:hint="eastAsia" w:ascii="宋体" w:hAnsi="宋体" w:eastAsia="宋体" w:cs="宋体"/>
              </w:rPr>
              <w:t>、供应商需同时提交响应文件电子版，要求为</w:t>
            </w:r>
            <w:r>
              <w:rPr>
                <w:rFonts w:ascii="Calibri" w:hAnsi="Calibri" w:cs="Calibri"/>
              </w:rPr>
              <w:t>“</w:t>
            </w:r>
            <w:r>
              <w:rPr>
                <w:rFonts w:hint="eastAsia" w:ascii="宋体" w:hAnsi="宋体" w:eastAsia="宋体" w:cs="宋体"/>
              </w:rPr>
              <w:t>二、电子响应文件</w:t>
            </w:r>
            <w:r>
              <w:rPr>
                <w:rFonts w:ascii="Calibri" w:hAnsi="Calibri" w:cs="Calibri"/>
              </w:rPr>
              <w:t>”</w:t>
            </w:r>
            <w:r>
              <w:rPr>
                <w:rFonts w:hint="eastAsia" w:ascii="宋体" w:hAnsi="宋体" w:eastAsia="宋体" w:cs="宋体"/>
              </w:rPr>
              <w:t>。</w:t>
            </w:r>
          </w:p>
          <w:p w14:paraId="1F45D4E1">
            <w:pPr>
              <w:pStyle w:val="7"/>
            </w:pPr>
            <w:r>
              <w:rPr>
                <w:rFonts w:hint="eastAsia" w:ascii="宋体" w:hAnsi="宋体" w:eastAsia="宋体" w:cs="宋体"/>
              </w:rPr>
              <w:t>二、电子响应文件：</w:t>
            </w:r>
          </w:p>
          <w:p w14:paraId="3D1D5594">
            <w:r>
              <w:rPr>
                <w:rFonts w:hint="eastAsia" w:ascii="宋体" w:hAnsi="宋体" w:eastAsia="宋体" w:cs="宋体"/>
              </w:rPr>
              <w:t>供应商必须随响应文件同时提交</w:t>
            </w:r>
            <w:r>
              <w:t>1</w:t>
            </w:r>
            <w:r>
              <w:rPr>
                <w:rFonts w:hint="eastAsia" w:ascii="宋体" w:hAnsi="宋体" w:eastAsia="宋体" w:cs="宋体"/>
              </w:rPr>
              <w:t>套全部响应文件内容的电子文件（</w:t>
            </w:r>
            <w:r>
              <w:t>U</w:t>
            </w:r>
            <w:r>
              <w:rPr>
                <w:rFonts w:hint="eastAsia" w:ascii="宋体" w:hAnsi="宋体" w:eastAsia="宋体" w:cs="宋体"/>
              </w:rPr>
              <w:t>盘或光盘，无病毒），电子响应文件必须装于独立的信封，信封上注明</w:t>
            </w:r>
            <w:r>
              <w:rPr>
                <w:rFonts w:ascii="Calibri" w:hAnsi="Calibri" w:cs="Calibri"/>
              </w:rPr>
              <w:t>“</w:t>
            </w:r>
            <w:r>
              <w:rPr>
                <w:rFonts w:hint="eastAsia" w:ascii="宋体" w:hAnsi="宋体" w:eastAsia="宋体" w:cs="宋体"/>
              </w:rPr>
              <w:t>电子文件</w:t>
            </w:r>
            <w:r>
              <w:rPr>
                <w:rFonts w:ascii="Calibri" w:hAnsi="Calibri" w:cs="Calibri"/>
              </w:rPr>
              <w:t>”</w:t>
            </w:r>
            <w:r>
              <w:rPr>
                <w:rFonts w:hint="eastAsia" w:ascii="宋体" w:hAnsi="宋体" w:eastAsia="宋体" w:cs="宋体"/>
              </w:rPr>
              <w:t>。其中所有文件不做压缩处理、不留密码，应包含响应文件的</w:t>
            </w:r>
            <w:r>
              <w:t>WORD</w:t>
            </w:r>
            <w:r>
              <w:rPr>
                <w:rFonts w:hint="eastAsia" w:ascii="宋体" w:hAnsi="宋体" w:eastAsia="宋体" w:cs="宋体"/>
              </w:rPr>
              <w:t>格式及签字盖章版</w:t>
            </w:r>
            <w:r>
              <w:t>PDF</w:t>
            </w:r>
            <w:r>
              <w:rPr>
                <w:rFonts w:hint="eastAsia" w:ascii="宋体" w:hAnsi="宋体" w:eastAsia="宋体" w:cs="宋体"/>
              </w:rPr>
              <w:t>格式。</w:t>
            </w:r>
          </w:p>
        </w:tc>
      </w:tr>
      <w:tr w14:paraId="5091B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632F1B21">
            <w:pPr>
              <w:jc w:val="center"/>
            </w:pPr>
            <w:r>
              <w:t>16</w:t>
            </w:r>
          </w:p>
        </w:tc>
        <w:tc>
          <w:tcPr>
            <w:tcW w:w="1356" w:type="pct"/>
          </w:tcPr>
          <w:p w14:paraId="7D76AF70">
            <w:r>
              <w:t>其他</w:t>
            </w:r>
          </w:p>
        </w:tc>
        <w:tc>
          <w:tcPr>
            <w:tcW w:w="3012" w:type="pct"/>
          </w:tcPr>
          <w:p w14:paraId="5A0BDDF8">
            <w:r>
              <w:rPr>
                <w:rFonts w:hint="eastAsia"/>
              </w:rPr>
              <w:t>本项目不属于政府采购，仅参照竞争性磋商的采购方式，有关政策法规要求均为参照执行。</w:t>
            </w:r>
          </w:p>
        </w:tc>
      </w:tr>
      <w:tr w14:paraId="14042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62067427">
            <w:pPr>
              <w:jc w:val="center"/>
            </w:pPr>
            <w:r>
              <w:t>17</w:t>
            </w:r>
          </w:p>
        </w:tc>
        <w:tc>
          <w:tcPr>
            <w:tcW w:w="1356" w:type="pct"/>
          </w:tcPr>
          <w:p w14:paraId="4D6B760E">
            <w:r>
              <w:t>专门面向中小企业采购</w:t>
            </w:r>
          </w:p>
        </w:tc>
        <w:tc>
          <w:tcPr>
            <w:tcW w:w="3012" w:type="pct"/>
          </w:tcPr>
          <w:p w14:paraId="4E90FA0D">
            <w:r>
              <w:t>采购包1：</w:t>
            </w:r>
            <w:r>
              <w:rPr>
                <w:rFonts w:hint="eastAsia"/>
              </w:rPr>
              <w:t>否</w:t>
            </w:r>
          </w:p>
        </w:tc>
      </w:tr>
      <w:tr w14:paraId="2B745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3" w:type="pct"/>
          </w:tcPr>
          <w:p w14:paraId="0D437677">
            <w:pPr>
              <w:jc w:val="center"/>
            </w:pPr>
            <w:r>
              <w:rPr>
                <w:rFonts w:hint="eastAsia"/>
              </w:rPr>
              <w:t>1</w:t>
            </w:r>
            <w:r>
              <w:t>8</w:t>
            </w:r>
          </w:p>
        </w:tc>
        <w:tc>
          <w:tcPr>
            <w:tcW w:w="1356" w:type="pct"/>
          </w:tcPr>
          <w:p w14:paraId="7D058672">
            <w:r>
              <w:rPr>
                <w:rFonts w:hint="eastAsia"/>
              </w:rPr>
              <w:t>是否公开唱价</w:t>
            </w:r>
          </w:p>
        </w:tc>
        <w:tc>
          <w:tcPr>
            <w:tcW w:w="3012" w:type="pct"/>
          </w:tcPr>
          <w:p w14:paraId="474E91F0">
            <w:r>
              <w:rPr>
                <w:rFonts w:hint="eastAsia"/>
              </w:rPr>
              <w:t>否</w:t>
            </w:r>
          </w:p>
        </w:tc>
      </w:tr>
    </w:tbl>
    <w:p w14:paraId="270C12C6"/>
    <w:p w14:paraId="24D83D11">
      <w:pPr>
        <w:pStyle w:val="3"/>
      </w:pPr>
      <w:bookmarkStart w:id="28" w:name="_Toc20446"/>
      <w:r>
        <w:t>三、说明</w:t>
      </w:r>
      <w:bookmarkEnd w:id="28"/>
    </w:p>
    <w:p w14:paraId="1E4E5D50">
      <w:r>
        <w:rPr>
          <w:b/>
          <w:sz w:val="24"/>
        </w:rPr>
        <w:t>1.总则</w:t>
      </w:r>
    </w:p>
    <w:p w14:paraId="2C5E9077">
      <w:pPr>
        <w:ind w:firstLine="480"/>
      </w:pPr>
      <w:r>
        <w:t>本磋商文件依据《中华人民共和国政府采购法》、《中华人民共和国政府采购法实施条例》（国务院令第658号）和《政府采购竞争性磋商采购方式管理暂行办法》（财库〔2014〕214号）及国家和广东省有关法律、法规、规章制度编制。</w:t>
      </w:r>
    </w:p>
    <w:p w14:paraId="310DA6D1">
      <w:pPr>
        <w:ind w:firstLine="480"/>
      </w:pPr>
      <w:r>
        <w:t>供应商应仔细阅读本项目信息公告及磋商文件的所有内容（包括变更、补充、澄清以及修改等，且均为磋商文件的组成部分），按照磋商文件要求以及格式编制响应文件，并保证其真实性，否则一切后果自负。</w:t>
      </w:r>
    </w:p>
    <w:p w14:paraId="284EE0EB">
      <w:pPr>
        <w:ind w:firstLine="480"/>
      </w:pPr>
      <w:r>
        <w:t>本次竞争性磋商项目，是以磋商公告的方式邀请非特定的供应商参加磋商。</w:t>
      </w:r>
    </w:p>
    <w:p w14:paraId="5E609CE0">
      <w:r>
        <w:rPr>
          <w:b/>
          <w:sz w:val="24"/>
        </w:rPr>
        <w:t>2.适用范围</w:t>
      </w:r>
    </w:p>
    <w:p w14:paraId="5D9FB21A">
      <w:pPr>
        <w:ind w:firstLine="480"/>
      </w:pPr>
      <w:r>
        <w:t>本磋商文件仅适用于本次磋商公告中所涉及的项目和内容。</w:t>
      </w:r>
    </w:p>
    <w:p w14:paraId="34A7BF18">
      <w:r>
        <w:rPr>
          <w:b/>
          <w:sz w:val="24"/>
        </w:rPr>
        <w:t>3.进口产品</w:t>
      </w:r>
    </w:p>
    <w:p w14:paraId="193146E2">
      <w:pPr>
        <w:ind w:firstLine="480"/>
      </w:pPr>
      <w:r>
        <w:t>若本项目允许采购进口产品，供应商应保证所投产品可履行合法报通关手续进入中国关境内。</w:t>
      </w:r>
    </w:p>
    <w:p w14:paraId="3DBA1FF0">
      <w:pPr>
        <w:ind w:firstLine="480"/>
      </w:pPr>
      <w:r>
        <w:t>若本项目不允许采购进口产品，如供应商所投产品为进口产品，其响应将被认定为响应无效。</w:t>
      </w:r>
    </w:p>
    <w:p w14:paraId="29CBCE2F">
      <w:r>
        <w:rPr>
          <w:b/>
          <w:sz w:val="24"/>
        </w:rPr>
        <w:t>4.磋商费用</w:t>
      </w:r>
    </w:p>
    <w:p w14:paraId="33E8C882">
      <w:pPr>
        <w:ind w:firstLine="480"/>
      </w:pPr>
      <w:r>
        <w:t>不论磋商结果如何，供应商应承担所有与准备和参加磋商有关的费用。采购代理机构和采购人均无义务和责任承担相关费用。</w:t>
      </w:r>
    </w:p>
    <w:p w14:paraId="42F2A148">
      <w:r>
        <w:rPr>
          <w:b/>
          <w:sz w:val="24"/>
        </w:rPr>
        <w:t>5.以联合体形式磋商的，应符合以下规定：</w:t>
      </w:r>
    </w:p>
    <w:p w14:paraId="3602B8FA">
      <w:pPr>
        <w:ind w:firstLine="480"/>
      </w:pPr>
      <w:r>
        <w:t>5.1联合体各方均应当满足《中华人民共和国政府采购法》第二十二条规定的条件，并在响应文件中提供联合体各方的相关证明材料。</w:t>
      </w:r>
    </w:p>
    <w:p w14:paraId="7B9698A1">
      <w:pPr>
        <w:ind w:firstLine="480"/>
      </w:pPr>
      <w:r>
        <w:t>5.2 联合体各方之间应签订联合体共同响应协议书并在响应文件中提交，明确约定联合体各方承担的工作和相应的责任。联合体各方签订联合体共同响应协议书后，不得再以自己名义单独在同一项目（采购包）中响应，也不得组成新的联合体参加同一项目（采购包）响应，若违反规定则其参与的所有响应将视为无效响应。</w:t>
      </w:r>
    </w:p>
    <w:p w14:paraId="1FBA7508">
      <w:pPr>
        <w:ind w:firstLine="480"/>
      </w:pPr>
      <w:r>
        <w:t>5.3 联合体应以联合协议中确定的牵头方名义进行项目响应，录入联合体所有成员单位的全称并使用成员单位的</w:t>
      </w:r>
      <w:r>
        <w:rPr>
          <w:rFonts w:hint="eastAsia"/>
        </w:rPr>
        <w:t>公章</w:t>
      </w:r>
      <w:r>
        <w:t>进行联投确认，联合体名称需与联合体共同响应协议书签署方一致。对于需交响应保证金的，以牵头方名义缴纳。</w:t>
      </w:r>
    </w:p>
    <w:p w14:paraId="4BAE0633">
      <w:pPr>
        <w:ind w:firstLine="480"/>
      </w:pPr>
      <w:r>
        <w:t>5.4联合体成员存在不良信用记录的，视同联合体存在不良信用记录。</w:t>
      </w:r>
    </w:p>
    <w:p w14:paraId="1C5BE575">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269D9344">
      <w:pPr>
        <w:ind w:firstLine="480"/>
      </w:pPr>
      <w:r>
        <w:t>5.6联合体各方应当共同与采购人签订采购合同，就合同约定的事项对采购人承担连带责任。</w:t>
      </w:r>
    </w:p>
    <w:p w14:paraId="1D1CD899">
      <w:r>
        <w:rPr>
          <w:b/>
          <w:sz w:val="24"/>
        </w:rPr>
        <w:t>6.关联企业响应说明</w:t>
      </w:r>
    </w:p>
    <w:p w14:paraId="7A072667">
      <w:pPr>
        <w:ind w:firstLine="480"/>
      </w:pPr>
      <w:r>
        <w:t>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61571693">
      <w:pPr>
        <w:ind w:firstLine="480"/>
      </w:pPr>
      <w: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77B945C8">
      <w:r>
        <w:rPr>
          <w:b/>
          <w:sz w:val="24"/>
        </w:rPr>
        <w:t>7.关于中小微企业响应</w:t>
      </w:r>
    </w:p>
    <w:p w14:paraId="6ADC982D">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47BF5E74">
      <w:pPr>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044A8C63">
      <w:pPr>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7E1D4CD">
      <w:r>
        <w:rPr>
          <w:b/>
          <w:sz w:val="24"/>
        </w:rPr>
        <w:t>8.纪律与保密事项</w:t>
      </w:r>
    </w:p>
    <w:p w14:paraId="7E7BB866">
      <w:pPr>
        <w:ind w:firstLine="480"/>
      </w:pPr>
      <w:r>
        <w:t>8.1供应商不得相互串通磋商报价，不得妨碍其他供应商的公平竞争，不得损害采购人或其他供应商的合法权益，供应商不得以向采购人、磋商小组成员行贿或者采取其他不正当手段谋取成交。</w:t>
      </w:r>
    </w:p>
    <w:p w14:paraId="7B51BB02">
      <w:pPr>
        <w:ind w:firstLine="480"/>
      </w:pPr>
      <w:r>
        <w:t>8.2供应商不得与采购人就响应价格、响应方案等实质性内容进行磋商，也不得私下接触磋商小组成员。</w:t>
      </w:r>
    </w:p>
    <w:p w14:paraId="186B619A">
      <w:pPr>
        <w:ind w:firstLine="480"/>
      </w:pPr>
      <w:r>
        <w:t>8.3在确定成交供应商之前，供应商试图在响应文件审查、澄清、比较和评价时对磋商小组、采购人和采购代理机构施加任何影响都可能导致其响应无效。</w:t>
      </w:r>
    </w:p>
    <w:p w14:paraId="74BF2904">
      <w:pPr>
        <w:ind w:firstLine="480"/>
      </w:pPr>
      <w:r>
        <w:t>8.4获得本磋商文件者，须履行本磋商项目下保密义务，不得将因本次磋商获得的信息向第三人外传，不得将磋商文件用作本次响应以外的任何用途。</w:t>
      </w:r>
    </w:p>
    <w:p w14:paraId="391BAE34">
      <w:pPr>
        <w:ind w:firstLine="480"/>
      </w:pPr>
      <w: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3B44AEA5">
      <w:pPr>
        <w:ind w:firstLine="480"/>
      </w:pPr>
      <w:r>
        <w:t>8.6采购人或采购代理机构有权将供应商提供的所有资料向有关政府部门或询价小组披露。</w:t>
      </w:r>
    </w:p>
    <w:p w14:paraId="0ECFBD4E">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2D1324AA">
      <w:r>
        <w:rPr>
          <w:b/>
          <w:sz w:val="24"/>
        </w:rPr>
        <w:t>9.语言文字以及度量衡单位</w:t>
      </w:r>
    </w:p>
    <w:p w14:paraId="24579C3E">
      <w:pPr>
        <w:ind w:firstLine="480"/>
      </w:pPr>
      <w: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8942611">
      <w:pPr>
        <w:ind w:firstLine="480"/>
      </w:pPr>
      <w:r>
        <w:t>9.2除非磋商文件的技术规格中另有规定，供应商在响应文件中及其与采购人和采购代理机构的所有往来文件中的计量单位均应采用中华人民共和国法定计量单位。</w:t>
      </w:r>
    </w:p>
    <w:p w14:paraId="60FA7FDE">
      <w:pPr>
        <w:ind w:firstLine="480"/>
      </w:pPr>
      <w:r>
        <w:t>9.3供应商所提供的货物和服务均应以人民币报价，货币单位：元。</w:t>
      </w:r>
    </w:p>
    <w:p w14:paraId="73502BE7">
      <w:r>
        <w:rPr>
          <w:b/>
          <w:sz w:val="24"/>
        </w:rPr>
        <w:t>10. 现场踏勘（如有）</w:t>
      </w:r>
    </w:p>
    <w:p w14:paraId="4A225D8F">
      <w:pPr>
        <w:ind w:firstLine="480"/>
      </w:pPr>
      <w:r>
        <w:t>10.1磋商文件规定组织踏勘现场的，采购人按磋商文件规定的时间、地点组织供应商踏勘项目现场。</w:t>
      </w:r>
    </w:p>
    <w:p w14:paraId="1157915B">
      <w:pPr>
        <w:ind w:firstLine="480"/>
      </w:pPr>
      <w:r>
        <w:t>10.2供应商自行承担踏勘现场发生的责任、风险和自身费用。</w:t>
      </w:r>
    </w:p>
    <w:p w14:paraId="58CEA9E0">
      <w:pPr>
        <w:ind w:firstLine="480"/>
      </w:pPr>
      <w:r>
        <w:t>10.3采购人在踏勘现场中介绍的资料和数据等，不构成对磋商文件的修改或不作为供应商编制响应文件的依据。</w:t>
      </w:r>
    </w:p>
    <w:p w14:paraId="1B7D1DCA">
      <w:pPr>
        <w:pStyle w:val="3"/>
      </w:pPr>
      <w:bookmarkStart w:id="29" w:name="_Toc4060"/>
      <w:r>
        <w:t>四、磋商文件的澄清和修改</w:t>
      </w:r>
      <w:bookmarkEnd w:id="29"/>
    </w:p>
    <w:p w14:paraId="13DBF209">
      <w:pPr>
        <w:ind w:firstLine="480"/>
      </w:pPr>
      <w: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4BCE18BB">
      <w:pPr>
        <w:ind w:firstLine="480"/>
      </w:pPr>
      <w: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0ADE3FCD">
      <w:pPr>
        <w:ind w:firstLine="480"/>
      </w:pPr>
      <w:r>
        <w:t>3.如更正公告有重新发布磋商文件的，供应商应</w:t>
      </w:r>
      <w:r>
        <w:rPr>
          <w:rFonts w:hint="eastAsia"/>
        </w:rPr>
        <w:t>获取</w:t>
      </w:r>
      <w:r>
        <w:t>最新发布的磋商文件制作响应文件。</w:t>
      </w:r>
    </w:p>
    <w:p w14:paraId="52FB2DDD">
      <w:pPr>
        <w:ind w:firstLine="480"/>
      </w:pPr>
      <w:r>
        <w:t>4.供应商在规定的时间内未对磋商文件提出疑问、质疑或要求澄清的，将视其为无异议。对磋商文件中描述有歧义或前后不一致的地方，磋商小组有权进行评判，但对同一条款的评判应适用于每个供应商。</w:t>
      </w:r>
    </w:p>
    <w:p w14:paraId="70D51EDA">
      <w:pPr>
        <w:pStyle w:val="3"/>
      </w:pPr>
      <w:bookmarkStart w:id="30" w:name="_Toc3890"/>
      <w:r>
        <w:t>五、响应要求</w:t>
      </w:r>
      <w:bookmarkEnd w:id="30"/>
    </w:p>
    <w:p w14:paraId="29CCA0FC">
      <w:r>
        <w:rPr>
          <w:b/>
          <w:sz w:val="24"/>
        </w:rPr>
        <w:t>1.响应登记</w:t>
      </w:r>
    </w:p>
    <w:p w14:paraId="01FD37EA">
      <w:pPr>
        <w:ind w:firstLine="480"/>
      </w:pPr>
      <w:r>
        <w:t>供应商</w:t>
      </w:r>
      <w:r>
        <w:rPr>
          <w:rFonts w:hint="eastAsia" w:ascii="宋体" w:hAnsi="宋体"/>
        </w:rPr>
        <w:t>应从</w:t>
      </w:r>
      <w:r>
        <w:rPr>
          <w:rFonts w:hint="eastAsia" w:ascii="宋体" w:hAnsi="宋体" w:eastAsia="宋体" w:cs="宋体"/>
        </w:rPr>
        <w:t>发布公告的媒介上查阅磋商公告，按照磋商公告规定的程序及要求完成项目磋商文件的领购（未按上述方式领购磋商</w:t>
      </w:r>
      <w:r>
        <w:rPr>
          <w:rFonts w:hint="eastAsia" w:ascii="宋体" w:hAnsi="宋体"/>
        </w:rPr>
        <w:t>文件的供应商，其响应资格将被视为无效）</w:t>
      </w:r>
      <w:r>
        <w:t>。</w:t>
      </w:r>
    </w:p>
    <w:p w14:paraId="7A968C58">
      <w:r>
        <w:rPr>
          <w:b/>
          <w:sz w:val="24"/>
        </w:rPr>
        <w:t>2.响应文件的制作</w:t>
      </w:r>
    </w:p>
    <w:p w14:paraId="4F37540D">
      <w:pPr>
        <w:ind w:firstLine="480"/>
      </w:pPr>
      <w:r>
        <w:t>2.1响应文件中，所有内容均</w:t>
      </w:r>
      <w:r>
        <w:rPr>
          <w:rFonts w:hint="eastAsia"/>
        </w:rPr>
        <w:t>按磋商</w:t>
      </w:r>
      <w:r>
        <w:t>文件</w:t>
      </w:r>
      <w:r>
        <w:rPr>
          <w:rFonts w:hint="eastAsia"/>
        </w:rPr>
        <w:t>要求</w:t>
      </w:r>
      <w:r>
        <w:t>编制，其格式要求详见第六章说明。如因不按要求编制导致无法</w:t>
      </w:r>
      <w:r>
        <w:rPr>
          <w:rFonts w:hint="eastAsia"/>
        </w:rPr>
        <w:t>查找</w:t>
      </w:r>
      <w:r>
        <w:t>相关信息时，其后果由供应商承担。</w:t>
      </w:r>
    </w:p>
    <w:p w14:paraId="6661D7C0">
      <w:pPr>
        <w:ind w:firstLine="480"/>
      </w:pPr>
      <w:r>
        <w:t>2.2关于响应报价说明如下：</w:t>
      </w:r>
    </w:p>
    <w:p w14:paraId="67453E78">
      <w:pPr>
        <w:ind w:firstLine="480"/>
      </w:pPr>
      <w:r>
        <w:t>（1）供应商应按照“第二章</w:t>
      </w:r>
      <w:r>
        <w:rPr>
          <w:rFonts w:hint="eastAsia"/>
        </w:rPr>
        <w:t xml:space="preserve"> </w:t>
      </w:r>
      <w:r>
        <w:t>采购需求”的需求内容、责任范围以及合同条款进行报价。并按“首轮报价表”和“分项报价表”规定的格式报出总价和分项价格。磋商总价中不得包含磋商文件要求以外的内容，否则，在评审时不予核减。</w:t>
      </w:r>
    </w:p>
    <w:p w14:paraId="204A671F">
      <w:pPr>
        <w:ind w:firstLine="480"/>
      </w:pPr>
      <w:r>
        <w:t>（2）磋商报价包括本项目采购需求和投入使用的所有费用，包括但不限于主件、标准附件、备品备件、施工、服务、专用工具、安装、调试、检验、培训、运输、保险、税款等。</w:t>
      </w:r>
    </w:p>
    <w:p w14:paraId="3CED9F31">
      <w:pPr>
        <w:ind w:firstLine="480"/>
      </w:pPr>
      <w:r>
        <w:t>（3）磋商报价不得有选择性报价和附有条件的报价，否则将导致响应无效。</w:t>
      </w:r>
    </w:p>
    <w:p w14:paraId="6B5EA926">
      <w:pPr>
        <w:ind w:firstLine="480"/>
      </w:pPr>
      <w:r>
        <w:t>2.3如有对多个采购包响应的，要对每个采购包独立制作响应文件。</w:t>
      </w:r>
    </w:p>
    <w:p w14:paraId="0437C623">
      <w:pPr>
        <w:ind w:firstLine="480"/>
      </w:pPr>
      <w:r>
        <w:t>2.4供应商不得将同一个项目或同一个采购包的内容拆开响应，否则其报价将被视为非实质性响应。</w:t>
      </w:r>
    </w:p>
    <w:p w14:paraId="1ADA737A">
      <w:pPr>
        <w:ind w:firstLine="480"/>
      </w:pPr>
      <w:r>
        <w:t>2.5供应商须对磋商文件的对应要求给予唯一的实质性响应，否则将视为不响应。</w:t>
      </w:r>
    </w:p>
    <w:p w14:paraId="4A72A05E">
      <w:pPr>
        <w:ind w:firstLine="480"/>
      </w:pPr>
      <w:r>
        <w:t>2.6磋商文件中，凡标有“★”的地方均为实质性响应条款，供应商若有一项带“★”的条款未响应或不满足，将按无效响应处理。</w:t>
      </w:r>
    </w:p>
    <w:p w14:paraId="24A02444">
      <w:pPr>
        <w:ind w:firstLine="480"/>
      </w:pPr>
      <w:r>
        <w:t>2.7供应商必须按磋商文件指定的格式填写各种报价，各报价应计算正确。除在磋商文件另有规定外（如：报折扣、报优惠率等），计量单位应使用中华人民共和国法定计量单位，以人民币填报所有报价。</w:t>
      </w:r>
    </w:p>
    <w:p w14:paraId="732D52FA">
      <w:pPr>
        <w:ind w:firstLine="480"/>
      </w:pPr>
      <w:r>
        <w:t>2.8响应文件以及供应商与采购人、代理机构就有关响应的往来函电均应使用中文。供应商提交的支持性文件和印制的文件可以用另一种语言，但相应内容应翻译成中文，在解释响应文件时以中文文本为准。</w:t>
      </w:r>
    </w:p>
    <w:p w14:paraId="0F8440F7">
      <w:pPr>
        <w:ind w:firstLine="480"/>
      </w:pPr>
      <w: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w:t>
      </w:r>
      <w:r>
        <w:rPr>
          <w:rFonts w:hint="eastAsia"/>
        </w:rPr>
        <w:t>采购</w:t>
      </w:r>
      <w:r>
        <w:t>代理机构，并书面报告本级人民政府财政部门。</w:t>
      </w:r>
    </w:p>
    <w:p w14:paraId="57826ECC">
      <w:r>
        <w:rPr>
          <w:b/>
          <w:sz w:val="24"/>
        </w:rPr>
        <w:t>3.响应文件的提交</w:t>
      </w:r>
    </w:p>
    <w:p w14:paraId="239F27EE">
      <w:pPr>
        <w:ind w:firstLine="480"/>
        <w:rPr>
          <w:rFonts w:hint="eastAsia" w:ascii="宋体" w:hAnsi="宋体" w:eastAsia="宋体" w:cs="宋体"/>
          <w:kern w:val="0"/>
          <w:szCs w:val="21"/>
        </w:rPr>
      </w:pPr>
      <w:r>
        <w:rPr>
          <w:rFonts w:ascii="宋体" w:hAnsi="宋体" w:eastAsia="宋体" w:cs="宋体"/>
          <w:kern w:val="0"/>
          <w:szCs w:val="21"/>
        </w:rPr>
        <w:t>3.1</w:t>
      </w:r>
      <w:r>
        <w:rPr>
          <w:rFonts w:hint="eastAsia" w:ascii="宋体" w:hAnsi="宋体" w:eastAsia="宋体" w:cs="宋体"/>
          <w:kern w:val="0"/>
          <w:szCs w:val="21"/>
        </w:rPr>
        <w:t>供应商应将响应文件正本与所有的副本分别单独密封包装，并在外包装上清晰标明“正本”、“副本”字样。</w:t>
      </w:r>
    </w:p>
    <w:p w14:paraId="460D918A">
      <w:pPr>
        <w:ind w:firstLine="480"/>
        <w:rPr>
          <w:rFonts w:hint="eastAsia" w:ascii="宋体" w:hAnsi="宋体" w:eastAsia="宋体" w:cs="宋体"/>
          <w:kern w:val="0"/>
          <w:szCs w:val="21"/>
        </w:rPr>
      </w:pPr>
      <w:r>
        <w:rPr>
          <w:rFonts w:ascii="宋体" w:hAnsi="宋体"/>
          <w:kern w:val="0"/>
        </w:rPr>
        <w:t>3</w:t>
      </w:r>
      <w:r>
        <w:rPr>
          <w:rFonts w:hint="eastAsia" w:ascii="宋体" w:hAnsi="宋体"/>
          <w:kern w:val="0"/>
        </w:rPr>
        <w:t>.</w:t>
      </w:r>
      <w:r>
        <w:rPr>
          <w:rFonts w:ascii="宋体" w:hAnsi="宋体" w:eastAsia="宋体" w:cs="宋体"/>
          <w:kern w:val="0"/>
          <w:szCs w:val="21"/>
        </w:rPr>
        <w:t>3</w:t>
      </w:r>
      <w:r>
        <w:rPr>
          <w:rFonts w:hint="eastAsia" w:ascii="宋体" w:hAnsi="宋体" w:eastAsia="宋体" w:cs="宋体"/>
          <w:kern w:val="0"/>
          <w:szCs w:val="21"/>
        </w:rPr>
        <w:t>所有信封外包装上应当注明采购项目名称、项目编号、包号和“在（磋商文件中规定的开启日期和时间）之前不得启封”的字样，封口处应加盖供应商印章或签字。具体格式如下：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9"/>
      </w:tblGrid>
      <w:tr w14:paraId="0B0D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14:paraId="78A6AC95">
            <w:pPr>
              <w:jc w:val="center"/>
              <w:rPr>
                <w:rFonts w:hint="eastAsia" w:ascii="宋体" w:hAnsi="宋体" w:eastAsia="宋体" w:cs="Times New Roman"/>
                <w:iCs/>
                <w:szCs w:val="21"/>
              </w:rPr>
            </w:pPr>
            <w:r>
              <w:rPr>
                <w:rFonts w:hint="eastAsia" w:ascii="宋体" w:hAnsi="宋体" w:eastAsia="宋体" w:cs="Times New Roman"/>
                <w:iCs/>
                <w:szCs w:val="21"/>
              </w:rPr>
              <w:t>响应文件</w:t>
            </w:r>
          </w:p>
          <w:p w14:paraId="5C8EDF68">
            <w:pPr>
              <w:rPr>
                <w:rFonts w:hint="eastAsia" w:ascii="宋体" w:hAnsi="宋体" w:eastAsia="宋体" w:cs="Times New Roman"/>
                <w:iCs/>
                <w:szCs w:val="21"/>
              </w:rPr>
            </w:pPr>
            <w:r>
              <w:rPr>
                <w:rFonts w:ascii="宋体" w:hAnsi="宋体" w:eastAsia="宋体" w:cs="Times New Roman"/>
                <w:iCs/>
                <w:szCs w:val="21"/>
              </w:rPr>
              <w:t>正本/副本</w:t>
            </w:r>
          </w:p>
          <w:p w14:paraId="0B62F50D">
            <w:pPr>
              <w:rPr>
                <w:rFonts w:hint="eastAsia" w:ascii="宋体" w:hAnsi="宋体" w:eastAsia="宋体" w:cs="Times New Roman"/>
                <w:iCs/>
                <w:szCs w:val="21"/>
              </w:rPr>
            </w:pPr>
            <w:r>
              <w:rPr>
                <w:rFonts w:hint="eastAsia" w:ascii="宋体" w:hAnsi="宋体" w:eastAsia="宋体" w:cs="Times New Roman"/>
                <w:iCs/>
                <w:szCs w:val="21"/>
              </w:rPr>
              <w:t>收件人：</w:t>
            </w:r>
            <w:r>
              <w:rPr>
                <w:rFonts w:ascii="宋体" w:hAnsi="宋体" w:eastAsia="宋体" w:cs="Times New Roman"/>
                <w:szCs w:val="21"/>
              </w:rPr>
              <w:t>XXXXX代理机构</w:t>
            </w:r>
          </w:p>
          <w:p w14:paraId="2435420B">
            <w:pPr>
              <w:rPr>
                <w:rFonts w:hint="eastAsia" w:ascii="宋体" w:hAnsi="宋体" w:eastAsia="宋体" w:cs="Times New Roman"/>
                <w:iCs/>
                <w:szCs w:val="21"/>
              </w:rPr>
            </w:pPr>
            <w:r>
              <w:rPr>
                <w:rFonts w:hint="eastAsia" w:ascii="宋体" w:hAnsi="宋体" w:eastAsia="宋体" w:cs="Times New Roman"/>
                <w:iCs/>
                <w:szCs w:val="21"/>
              </w:rPr>
              <w:t>项目编号：</w:t>
            </w:r>
            <w:r>
              <w:rPr>
                <w:rFonts w:ascii="宋体" w:hAnsi="宋体" w:eastAsia="宋体" w:cs="Times New Roman"/>
                <w:szCs w:val="21"/>
              </w:rPr>
              <w:t>XXX-XXXX</w:t>
            </w:r>
          </w:p>
          <w:p w14:paraId="7240938A">
            <w:pPr>
              <w:rPr>
                <w:rFonts w:hint="eastAsia" w:ascii="宋体" w:hAnsi="宋体" w:eastAsia="宋体" w:cs="Times New Roman"/>
                <w:szCs w:val="21"/>
              </w:rPr>
            </w:pPr>
            <w:r>
              <w:rPr>
                <w:rFonts w:hint="eastAsia" w:ascii="宋体" w:hAnsi="宋体" w:eastAsia="宋体" w:cs="Times New Roman"/>
                <w:szCs w:val="21"/>
              </w:rPr>
              <w:t>包号：</w:t>
            </w:r>
          </w:p>
          <w:p w14:paraId="6DF0B686">
            <w:pPr>
              <w:rPr>
                <w:rFonts w:hint="eastAsia" w:ascii="宋体" w:hAnsi="宋体" w:eastAsia="宋体" w:cs="Times New Roman"/>
                <w:iCs/>
                <w:szCs w:val="21"/>
              </w:rPr>
            </w:pPr>
            <w:r>
              <w:rPr>
                <w:rFonts w:hint="eastAsia" w:ascii="宋体" w:hAnsi="宋体" w:eastAsia="宋体" w:cs="Times New Roman"/>
                <w:iCs/>
                <w:szCs w:val="21"/>
              </w:rPr>
              <w:t>项目名称：</w:t>
            </w:r>
          </w:p>
          <w:p w14:paraId="6F158615">
            <w:pPr>
              <w:rPr>
                <w:rFonts w:hint="eastAsia" w:ascii="宋体" w:hAnsi="宋体" w:eastAsia="宋体" w:cs="Times New Roman"/>
                <w:iCs/>
                <w:szCs w:val="21"/>
              </w:rPr>
            </w:pPr>
            <w:r>
              <w:rPr>
                <w:rFonts w:hint="eastAsia" w:ascii="宋体" w:hAnsi="宋体" w:eastAsia="宋体" w:cs="Times New Roman"/>
                <w:iCs/>
                <w:szCs w:val="21"/>
              </w:rPr>
              <w:t>供应商名称(加盖公章)：</w:t>
            </w:r>
          </w:p>
          <w:p w14:paraId="3FBFC443">
            <w:pPr>
              <w:rPr>
                <w:rFonts w:hint="eastAsia" w:ascii="宋体" w:hAnsi="宋体" w:eastAsia="宋体" w:cs="Times New Roman"/>
                <w:szCs w:val="21"/>
              </w:rPr>
            </w:pPr>
            <w:r>
              <w:rPr>
                <w:rFonts w:hint="eastAsia" w:ascii="宋体" w:hAnsi="宋体" w:eastAsia="宋体" w:cs="Times New Roman"/>
                <w:szCs w:val="21"/>
              </w:rPr>
              <w:t>在（磋商文件中规定的提交响应文件截止时间</w:t>
            </w:r>
            <w:r>
              <w:rPr>
                <w:rFonts w:hint="eastAsia" w:ascii="宋体" w:hAnsi="宋体" w:eastAsia="宋体" w:cs="Times New Roman"/>
                <w:iCs/>
                <w:szCs w:val="21"/>
              </w:rPr>
              <w:t>）</w:t>
            </w:r>
            <w:r>
              <w:rPr>
                <w:rFonts w:hint="eastAsia" w:ascii="宋体" w:hAnsi="宋体" w:eastAsia="宋体" w:cs="Times New Roman"/>
                <w:szCs w:val="21"/>
              </w:rPr>
              <w:t>之前不得启封</w:t>
            </w:r>
          </w:p>
        </w:tc>
      </w:tr>
    </w:tbl>
    <w:p w14:paraId="5080B854">
      <w:pPr>
        <w:ind w:firstLine="480"/>
        <w:rPr>
          <w:rFonts w:hint="eastAsia"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.4如果未按要求密封和标记，采购人或采购代理机构对误投或提前启封概不负责。</w:t>
      </w:r>
    </w:p>
    <w:p w14:paraId="36B62935">
      <w:pPr>
        <w:ind w:firstLine="480"/>
        <w:rPr>
          <w:rFonts w:hint="eastAsia"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.5采购人或采购代理机构在《第一章 磋商邀请》中规定的地点和</w:t>
      </w:r>
      <w:r>
        <w:rPr>
          <w:rFonts w:hint="eastAsia" w:ascii="宋体" w:hAnsi="宋体" w:eastAsia="宋体" w:cs="Times New Roman"/>
          <w:szCs w:val="21"/>
        </w:rPr>
        <w:t>提交响应文件截止</w:t>
      </w:r>
      <w:r>
        <w:rPr>
          <w:rFonts w:hint="eastAsia" w:ascii="宋体" w:hAnsi="宋体" w:eastAsia="宋体" w:cs="宋体"/>
          <w:kern w:val="0"/>
          <w:szCs w:val="21"/>
        </w:rPr>
        <w:t>时间之前接收响应文件，超过截止时间后的响应为无效响应，采购人或采购代理机构将拒绝接收。</w:t>
      </w:r>
    </w:p>
    <w:p w14:paraId="0FA0CBB1">
      <w:pPr>
        <w:ind w:firstLine="480"/>
        <w:rPr>
          <w:rFonts w:hint="eastAsia" w:ascii="宋体" w:hAnsi="宋体"/>
          <w:kern w:val="0"/>
        </w:rPr>
      </w:pPr>
      <w:r>
        <w:rPr>
          <w:rFonts w:ascii="宋体" w:hAnsi="宋体" w:eastAsia="宋体" w:cs="宋体"/>
          <w:kern w:val="0"/>
          <w:szCs w:val="21"/>
        </w:rPr>
        <w:t>3.6</w:t>
      </w:r>
      <w:r>
        <w:rPr>
          <w:rFonts w:hint="eastAsia" w:ascii="宋体" w:hAnsi="宋体" w:eastAsia="宋体" w:cs="宋体"/>
          <w:kern w:val="0"/>
          <w:szCs w:val="21"/>
        </w:rPr>
        <w:t>采购人或采购</w:t>
      </w:r>
      <w:r>
        <w:rPr>
          <w:rFonts w:hint="eastAsia" w:ascii="宋体" w:hAnsi="宋体"/>
          <w:kern w:val="0"/>
        </w:rPr>
        <w:t>代理机构</w:t>
      </w:r>
      <w:r>
        <w:rPr>
          <w:rFonts w:ascii="宋体" w:hAnsi="宋体"/>
          <w:kern w:val="0"/>
        </w:rPr>
        <w:t>对因不可抗力事件造成的</w:t>
      </w:r>
      <w:r>
        <w:rPr>
          <w:rFonts w:hint="eastAsia" w:ascii="宋体" w:hAnsi="宋体"/>
          <w:kern w:val="0"/>
        </w:rPr>
        <w:t>响应</w:t>
      </w:r>
      <w:r>
        <w:rPr>
          <w:rFonts w:ascii="宋体" w:hAnsi="宋体"/>
          <w:kern w:val="0"/>
        </w:rPr>
        <w:t>文件的损坏、丢失的，不承担责任。</w:t>
      </w:r>
    </w:p>
    <w:p w14:paraId="2B99E2BF">
      <w:r>
        <w:rPr>
          <w:b/>
          <w:sz w:val="24"/>
        </w:rPr>
        <w:t>4.响应文件的修改、撤回与撤销</w:t>
      </w:r>
    </w:p>
    <w:p w14:paraId="308EE40D">
      <w:pPr>
        <w:ind w:firstLine="480"/>
      </w:pPr>
      <w:r>
        <w:t>4.1在提交响应文件截止时间前，供应商可以修改或撤回响应文件，</w:t>
      </w:r>
      <w:r>
        <w:rPr>
          <w:rFonts w:hint="eastAsia" w:ascii="宋体" w:hAnsi="宋体"/>
        </w:rPr>
        <w:t>并</w:t>
      </w:r>
      <w:r>
        <w:rPr>
          <w:rFonts w:hint="eastAsia" w:ascii="宋体" w:hAnsi="宋体" w:eastAsia="宋体" w:cs="宋体"/>
          <w:szCs w:val="21"/>
        </w:rPr>
        <w:t>书面通知</w:t>
      </w:r>
      <w:r>
        <w:rPr>
          <w:rFonts w:hint="eastAsia" w:ascii="宋体" w:hAnsi="宋体" w:eastAsia="宋体" w:cs="宋体"/>
          <w:kern w:val="0"/>
          <w:szCs w:val="21"/>
        </w:rPr>
        <w:t>采购人或采购代理机构</w:t>
      </w:r>
      <w:r>
        <w:rPr>
          <w:rFonts w:hint="eastAsia" w:ascii="宋体" w:hAnsi="宋体" w:eastAsia="宋体" w:cs="宋体"/>
          <w:szCs w:val="21"/>
        </w:rPr>
        <w:t>。补充、修改的内容应当按磋商</w:t>
      </w:r>
      <w:r>
        <w:rPr>
          <w:rFonts w:hint="eastAsia" w:ascii="宋体" w:hAnsi="宋体"/>
        </w:rPr>
        <w:t>文件</w:t>
      </w:r>
      <w:r>
        <w:rPr>
          <w:rFonts w:hint="eastAsia" w:ascii="宋体" w:hAnsi="宋体" w:eastAsia="宋体" w:cs="宋体"/>
          <w:szCs w:val="21"/>
        </w:rPr>
        <w:t>要求签署、盖章，并作为</w:t>
      </w:r>
      <w:r>
        <w:rPr>
          <w:rFonts w:hint="eastAsia" w:ascii="宋体" w:hAnsi="宋体"/>
        </w:rPr>
        <w:t>响应文件</w:t>
      </w:r>
      <w:r>
        <w:rPr>
          <w:rFonts w:hint="eastAsia" w:ascii="宋体" w:hAnsi="宋体" w:eastAsia="宋体" w:cs="宋体"/>
          <w:szCs w:val="21"/>
        </w:rPr>
        <w:t>的组成部分。</w:t>
      </w:r>
      <w:r>
        <w:t>到达响应文件提交截止时间后，将不允许修改或撤回。</w:t>
      </w:r>
    </w:p>
    <w:p w14:paraId="552CDC85">
      <w:pPr>
        <w:ind w:firstLine="480"/>
      </w:pPr>
      <w:r>
        <w:t>4.2</w:t>
      </w:r>
      <w:r>
        <w:rPr>
          <w:rFonts w:hint="eastAsia"/>
        </w:rPr>
        <w:t>从</w:t>
      </w:r>
      <w:r>
        <w:t>提交响应文件截止时间</w:t>
      </w:r>
      <w:r>
        <w:rPr>
          <w:rFonts w:hint="eastAsia" w:ascii="宋体" w:hAnsi="宋体" w:eastAsia="宋体" w:cs="宋体"/>
          <w:szCs w:val="21"/>
        </w:rPr>
        <w:t>至响应有效期结束的这段时间内</w:t>
      </w:r>
      <w:r>
        <w:t>，</w:t>
      </w:r>
      <w:r>
        <w:rPr>
          <w:rFonts w:hint="eastAsia"/>
        </w:rPr>
        <w:t>除按照磋商文件的变动情况和磋商小组的要求进行最终报价或重新提交响应文件的情形外,</w:t>
      </w:r>
      <w:r>
        <w:t>供应商不得补充、修改和更换响应文件。</w:t>
      </w:r>
    </w:p>
    <w:p w14:paraId="34A57BE8">
      <w:r>
        <w:rPr>
          <w:b/>
          <w:sz w:val="24"/>
        </w:rPr>
        <w:t>5.响应保证金</w:t>
      </w:r>
    </w:p>
    <w:p w14:paraId="698F587C">
      <w:pPr>
        <w:ind w:firstLine="480"/>
      </w:pPr>
      <w:r>
        <w:t>5.1响应保证金的缴纳</w:t>
      </w:r>
    </w:p>
    <w:p w14:paraId="3018A5D4">
      <w:pPr>
        <w:ind w:firstLine="480"/>
      </w:pPr>
      <w:r>
        <w:t>供应商在提交响应文件的同时，应按供应商须知前附表规定的金额和缴纳要求缴纳响应保证金，并作为其响应文件的组成部分。</w:t>
      </w:r>
    </w:p>
    <w:p w14:paraId="38CEFFDA">
      <w:pPr>
        <w:ind w:firstLine="480"/>
      </w:pPr>
      <w:r>
        <w:t>如采用转账、支票、本票、汇票形式提交的，响应保证金从供应商基本账户递交，由</w:t>
      </w:r>
      <w:r>
        <w:rPr>
          <w:rFonts w:hint="eastAsia"/>
          <w:lang w:eastAsia="zh-CN"/>
        </w:rPr>
        <w:t>广东志正招标有限公司</w:t>
      </w:r>
      <w:r>
        <w:t>代收。具体操作要求详见</w:t>
      </w:r>
      <w:r>
        <w:rPr>
          <w:rFonts w:hint="eastAsia"/>
          <w:lang w:eastAsia="zh-CN"/>
        </w:rPr>
        <w:t>广东志正招标有限公司</w:t>
      </w:r>
      <w:r>
        <w:t>有关指引，递交事宜请自行咨询</w:t>
      </w:r>
      <w:r>
        <w:rPr>
          <w:rFonts w:hint="eastAsia"/>
          <w:lang w:eastAsia="zh-CN"/>
        </w:rPr>
        <w:t>广东志正招标有限公司</w:t>
      </w:r>
      <w:r>
        <w:t>；请各供应商在响应文件递交截止时间前按须知前附表规定的金额递交至</w:t>
      </w:r>
      <w:r>
        <w:rPr>
          <w:rFonts w:hint="eastAsia"/>
          <w:lang w:eastAsia="zh-CN"/>
        </w:rPr>
        <w:t>广东志正招标有限公司</w:t>
      </w:r>
      <w:r>
        <w:t>，到账情况以开启时</w:t>
      </w:r>
      <w:r>
        <w:rPr>
          <w:rFonts w:hint="eastAsia"/>
          <w:lang w:eastAsia="zh-CN"/>
        </w:rPr>
        <w:t>广东志正招标有限公司</w:t>
      </w:r>
      <w:r>
        <w:t>查询的信息为准。</w:t>
      </w:r>
    </w:p>
    <w:p w14:paraId="2B253C2D">
      <w:pPr>
        <w:ind w:firstLine="480"/>
      </w:pPr>
      <w:r>
        <w:t>如采用金融机构、专业担保机构开具的响应保函、响应保证保险函等形式提交响应保证金的，响应保函或响应保证保险函须开具给采购人（保险受益人须为采购人），并与响应文件一同递交。</w:t>
      </w:r>
    </w:p>
    <w:p w14:paraId="0AA28F34">
      <w:pPr>
        <w:ind w:firstLine="480"/>
      </w:pPr>
      <w:r>
        <w:t>5.2响应保证金的退还：</w:t>
      </w:r>
    </w:p>
    <w:p w14:paraId="0358780A">
      <w:pPr>
        <w:ind w:firstLine="480"/>
      </w:pPr>
      <w:r>
        <w:t>（1）供应商在递交响应文件截止时间前放弃响应的，自所</w:t>
      </w:r>
      <w:r>
        <w:rPr>
          <w:rFonts w:hint="eastAsia"/>
        </w:rPr>
        <w:t>参与</w:t>
      </w:r>
      <w:r>
        <w:t>采购包结果公告发出后5个工作日内退还。</w:t>
      </w:r>
    </w:p>
    <w:p w14:paraId="1109FD38">
      <w:pPr>
        <w:ind w:firstLine="480"/>
      </w:pPr>
      <w:r>
        <w:t>（2）未成交的供应商保证金，在成交</w:t>
      </w:r>
      <w:r>
        <w:rPr>
          <w:rFonts w:hint="eastAsia"/>
        </w:rPr>
        <w:t>通知书</w:t>
      </w:r>
      <w:r>
        <w:t>发出后5个工作日内原额退还。</w:t>
      </w:r>
    </w:p>
    <w:p w14:paraId="625DA42F">
      <w:pPr>
        <w:ind w:firstLine="480"/>
      </w:pPr>
      <w:r>
        <w:t>（3）成交供应商的响应保证金,在成交供应商与采购人签订采购合同后5个工作日内原额退还。</w:t>
      </w:r>
    </w:p>
    <w:p w14:paraId="52ED6493">
      <w:pPr>
        <w:ind w:firstLine="480"/>
      </w:pPr>
      <w:r>
        <w:t>备注：但因供应商自身原因导致无法及时退还的除外。</w:t>
      </w:r>
    </w:p>
    <w:p w14:paraId="416228CD">
      <w:pPr>
        <w:ind w:firstLine="480"/>
      </w:pPr>
      <w:r>
        <w:t>5.3有下列情形之一的，响应保证金将不予退还并上缴国库：</w:t>
      </w:r>
    </w:p>
    <w:p w14:paraId="5ACC3D0B">
      <w:pPr>
        <w:ind w:firstLine="480"/>
      </w:pPr>
      <w:r>
        <w:t>（1）提供虚假材料谋取成交的；</w:t>
      </w:r>
    </w:p>
    <w:p w14:paraId="481210B9">
      <w:pPr>
        <w:ind w:firstLine="480"/>
      </w:pPr>
      <w:r>
        <w:t>（2）供应商在磋商文件规定的响应有效期内撤销其响应；</w:t>
      </w:r>
    </w:p>
    <w:p w14:paraId="3234F37B">
      <w:pPr>
        <w:ind w:firstLine="480"/>
      </w:pPr>
      <w:r>
        <w:t>（3）成交后，无正当理由放弃成交资格；</w:t>
      </w:r>
    </w:p>
    <w:p w14:paraId="66587525">
      <w:pPr>
        <w:ind w:firstLine="480"/>
      </w:pPr>
      <w:r>
        <w:t>（4）成交后，无正当理由不与采购人签订合同；</w:t>
      </w:r>
    </w:p>
    <w:p w14:paraId="71C07567">
      <w:pPr>
        <w:ind w:firstLine="480"/>
      </w:pPr>
      <w:r>
        <w:t>（5）法律法规和磋商文件规定的其他情形。</w:t>
      </w:r>
    </w:p>
    <w:p w14:paraId="23F6F378">
      <w:r>
        <w:rPr>
          <w:b/>
          <w:sz w:val="24"/>
        </w:rPr>
        <w:t>6.响应有效期</w:t>
      </w:r>
    </w:p>
    <w:p w14:paraId="4471A5F9">
      <w:pPr>
        <w:ind w:firstLine="480"/>
      </w:pPr>
      <w:r>
        <w:t>6.1响应有效期内供应商撤销响应文件的，采购人或者采购代理机构可以不退还响应保证金（如有）。采用响应保函方式替代保证金的，采购人或者采购代理机构可以向担保机构索赔保证金。</w:t>
      </w:r>
    </w:p>
    <w:p w14:paraId="2F0FE117">
      <w:pPr>
        <w:ind w:firstLine="480"/>
      </w:pPr>
      <w:r>
        <w:t>6.2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13B7D9F7">
      <w:r>
        <w:rPr>
          <w:b/>
          <w:sz w:val="24"/>
        </w:rPr>
        <w:t>7.样品（演示）</w:t>
      </w:r>
    </w:p>
    <w:p w14:paraId="0C8C3853">
      <w:pPr>
        <w:ind w:firstLine="480"/>
      </w:pPr>
      <w:r>
        <w:t>7.1磋商文件规定供应商提交样品的，样品属于响应文件的组成部分。样品的生产、运输、安装、保全等一切费用由供应商自理。</w:t>
      </w:r>
    </w:p>
    <w:p w14:paraId="1527A286">
      <w:pPr>
        <w:ind w:firstLine="480"/>
      </w:pPr>
      <w:r>
        <w:t>7.2递交响应文件截止时间前，供应商应将样品送达至指定地点。若需要现场演示的，供应商应提前做好演示准备（包括演示设备）。</w:t>
      </w:r>
    </w:p>
    <w:p w14:paraId="36EE09D8">
      <w:pPr>
        <w:ind w:firstLine="480"/>
      </w:pPr>
      <w:r>
        <w:t>7.3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771755E6">
      <w:r>
        <w:rPr>
          <w:b/>
          <w:sz w:val="24"/>
        </w:rPr>
        <w:t>8.除磋商文件另有规定外，有下列情形之一的，响应无效：</w:t>
      </w:r>
    </w:p>
    <w:p w14:paraId="043EB8CA">
      <w:pPr>
        <w:ind w:firstLine="480"/>
      </w:pPr>
      <w:r>
        <w:t>8.1响应文件未按照磋商文件要求签署、盖章；</w:t>
      </w:r>
    </w:p>
    <w:p w14:paraId="64F79342">
      <w:pPr>
        <w:ind w:firstLine="480"/>
      </w:pPr>
      <w:r>
        <w:t>8.2不符合磋商文件中规定的资格要求；</w:t>
      </w:r>
    </w:p>
    <w:p w14:paraId="0E8D0389">
      <w:pPr>
        <w:ind w:firstLine="480"/>
      </w:pPr>
      <w:r>
        <w:t>8.3磋商报价超过磋商文件中规定的预算金额或最高限价；</w:t>
      </w:r>
    </w:p>
    <w:p w14:paraId="7912568F">
      <w:pPr>
        <w:ind w:firstLine="480"/>
      </w:pPr>
      <w:r>
        <w:t>8.4响应文件含有采购人不能接受的附加条件；</w:t>
      </w:r>
    </w:p>
    <w:p w14:paraId="09DC3138">
      <w:pPr>
        <w:ind w:firstLine="480"/>
      </w:pPr>
      <w:r>
        <w:t>8.5有关法律、法规和规章及磋商文件规定的其他无效情形。</w:t>
      </w:r>
    </w:p>
    <w:p w14:paraId="109BE421">
      <w:pPr>
        <w:pStyle w:val="3"/>
      </w:pPr>
      <w:bookmarkStart w:id="31" w:name="_Toc17647"/>
      <w:r>
        <w:t>六、磋商、评审和结果确定</w:t>
      </w:r>
      <w:bookmarkEnd w:id="31"/>
    </w:p>
    <w:p w14:paraId="6C9A9BD2">
      <w:r>
        <w:rPr>
          <w:b/>
          <w:sz w:val="24"/>
        </w:rPr>
        <w:t>1.响应文件的开启</w:t>
      </w:r>
    </w:p>
    <w:p w14:paraId="4008DCDA">
      <w:pPr>
        <w:ind w:firstLine="480"/>
      </w:pPr>
      <w:r>
        <w:t>1.1开启程序</w:t>
      </w:r>
    </w:p>
    <w:p w14:paraId="017CB761">
      <w:pPr>
        <w:ind w:firstLine="480"/>
      </w:pPr>
      <w:r>
        <w:t>工作人员按磋商公告规定的时间进行开启，由采购人或者采购代理机构工作人员宣布供应商名称和磋商文件规定的需要宣布的其他内容。</w:t>
      </w:r>
    </w:p>
    <w:p w14:paraId="1279AE9D">
      <w:pPr>
        <w:ind w:firstLine="480"/>
      </w:pPr>
      <w:r>
        <w:t>1.2异议</w:t>
      </w:r>
    </w:p>
    <w:p w14:paraId="36FF651C">
      <w:pPr>
        <w:ind w:firstLine="480"/>
      </w:pPr>
      <w:r>
        <w:t>供应商代表对开启过程和开启记录有疑义，以及认为采购人、采购代理机构相关工作人员有需要回避的情形的，应当场提出询问或者回避申请。供应商未参加开启的，视同认可开启结果。</w:t>
      </w:r>
    </w:p>
    <w:p w14:paraId="57E22E04">
      <w:r>
        <w:rPr>
          <w:b/>
          <w:sz w:val="24"/>
        </w:rPr>
        <w:t>2.</w:t>
      </w:r>
      <w:r>
        <w:rPr>
          <w:rFonts w:hint="eastAsia"/>
          <w:b/>
          <w:sz w:val="24"/>
        </w:rPr>
        <w:t>磋商、</w:t>
      </w:r>
      <w:r>
        <w:rPr>
          <w:b/>
          <w:sz w:val="24"/>
        </w:rPr>
        <w:t>评审（详见第四章）</w:t>
      </w:r>
    </w:p>
    <w:p w14:paraId="68FED770">
      <w:r>
        <w:rPr>
          <w:b/>
          <w:sz w:val="24"/>
        </w:rPr>
        <w:t>3.成交</w:t>
      </w:r>
    </w:p>
    <w:p w14:paraId="2B95E22C">
      <w:pPr>
        <w:ind w:firstLine="480"/>
      </w:pPr>
      <w:r>
        <w:t>3.1成交结果公告：</w:t>
      </w:r>
    </w:p>
    <w:p w14:paraId="3FE9CFB0">
      <w:pPr>
        <w:ind w:firstLine="480"/>
      </w:pPr>
      <w:r>
        <w:t>成交供应商确定之日起2个工作日内，采购人或采购代理机构将在</w:t>
      </w:r>
      <w:r>
        <w:rPr>
          <w:rFonts w:hint="eastAsia"/>
        </w:rPr>
        <w:t>发布公告的媒介</w:t>
      </w:r>
      <w:r>
        <w:t>上以公告的形式发布成交结果，结果公告的公告期限为 1 个工作日。结果公告同时作为采购代理机构通知除成交供应商外的其他供应商没有成交的书面形式，采购代理机构不再以其它方式另行通知。</w:t>
      </w:r>
    </w:p>
    <w:p w14:paraId="287AC022">
      <w:pPr>
        <w:ind w:firstLine="480"/>
      </w:pPr>
      <w:r>
        <w:t>3.2成交通知书：</w:t>
      </w:r>
    </w:p>
    <w:p w14:paraId="164F983D">
      <w:pPr>
        <w:ind w:firstLine="480"/>
      </w:pPr>
      <w:r>
        <w:t>采购人或采购代理机构在发布结果公告时，同步发送</w:t>
      </w:r>
      <w:r>
        <w:rPr>
          <w:rFonts w:hint="eastAsia"/>
        </w:rPr>
        <w:t>成交通知书</w:t>
      </w:r>
      <w:r>
        <w:t>至成交供应商。《成交通知书》将作为授予合同资格的唯一合法依据。成交通知书发出后，采购人不得违法改变成交结果，成交供应商不得放弃成交。成交供应商放弃成交的，应当依法承担相应的法律责任。</w:t>
      </w:r>
    </w:p>
    <w:p w14:paraId="3F53521C">
      <w:pPr>
        <w:ind w:firstLine="480"/>
      </w:pPr>
      <w:r>
        <w:t>3.3终止公告：</w:t>
      </w:r>
    </w:p>
    <w:p w14:paraId="7F3408B8">
      <w:pPr>
        <w:ind w:firstLine="480"/>
      </w:pPr>
      <w:r>
        <w:t>终止磋商采购活动后，采购人或采购代理机构将在</w:t>
      </w:r>
      <w:r>
        <w:rPr>
          <w:rFonts w:hint="eastAsia"/>
        </w:rPr>
        <w:t>发布公告的媒介</w:t>
      </w:r>
      <w:r>
        <w:t>上发布终止公告，终止公告的公告期限为 1 个工作日。</w:t>
      </w:r>
    </w:p>
    <w:p w14:paraId="1E88C5C5">
      <w:pPr>
        <w:pStyle w:val="3"/>
      </w:pPr>
      <w:bookmarkStart w:id="32" w:name="_Toc29549"/>
      <w:r>
        <w:t>七、询问、质疑与投诉</w:t>
      </w:r>
      <w:bookmarkEnd w:id="32"/>
    </w:p>
    <w:p w14:paraId="4B919599">
      <w:r>
        <w:rPr>
          <w:b/>
          <w:sz w:val="24"/>
        </w:rPr>
        <w:t>1.询问</w:t>
      </w:r>
    </w:p>
    <w:p w14:paraId="4A8E3E1C">
      <w:pPr>
        <w:ind w:firstLine="480"/>
      </w:pPr>
      <w: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0FFAE4A8">
      <w:r>
        <w:rPr>
          <w:b/>
          <w:sz w:val="24"/>
        </w:rPr>
        <w:t>2.质疑</w:t>
      </w:r>
    </w:p>
    <w:p w14:paraId="034FEB20">
      <w:pPr>
        <w:ind w:firstLine="480"/>
      </w:pPr>
      <w: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733B661E">
      <w:pPr>
        <w:ind w:firstLine="480"/>
      </w:pPr>
      <w:r>
        <w:t>（1）对磋商文件提出质疑的，为获取磋商文件之日或者磋商文件公告期限届满之日；</w:t>
      </w:r>
    </w:p>
    <w:p w14:paraId="7E5F5955">
      <w:pPr>
        <w:ind w:firstLine="480"/>
      </w:pPr>
      <w:r>
        <w:t>（2）对采购过程提出质疑的，为各采购程序环节结束之日；</w:t>
      </w:r>
    </w:p>
    <w:p w14:paraId="26F16F66">
      <w:pPr>
        <w:ind w:firstLine="480"/>
      </w:pPr>
      <w:r>
        <w:t>（3）对成交结果提出质疑的，为成交结果公告期限届满之日。</w:t>
      </w:r>
    </w:p>
    <w:p w14:paraId="49F35555">
      <w:pPr>
        <w:ind w:firstLine="480"/>
      </w:pPr>
      <w:r>
        <w:t>2.2质疑函应当包括下列主要内容：</w:t>
      </w:r>
    </w:p>
    <w:p w14:paraId="6F69BAB5">
      <w:pPr>
        <w:ind w:firstLine="480"/>
      </w:pPr>
      <w:r>
        <w:t>（1）质疑供应商和相关供应商的名称、地址、邮编、联系人及联系电话等；</w:t>
      </w:r>
    </w:p>
    <w:p w14:paraId="75999249">
      <w:pPr>
        <w:ind w:firstLine="480"/>
      </w:pPr>
      <w:r>
        <w:t>（2）质疑项目名称及编号、具体明确的质疑事项和与质疑事项相关的请求；</w:t>
      </w:r>
    </w:p>
    <w:p w14:paraId="31532930">
      <w:pPr>
        <w:ind w:firstLine="480"/>
      </w:pPr>
      <w:r>
        <w:t>（3）认为磋商文件、采购过程和成交结果使自己的合法权益受到损害的法律依据、事实依据、相关证明材料及证据来源；</w:t>
      </w:r>
    </w:p>
    <w:p w14:paraId="56DECE7B">
      <w:pPr>
        <w:ind w:firstLine="480"/>
      </w:pPr>
      <w:r>
        <w:t>（4）提出质疑的日期。</w:t>
      </w:r>
    </w:p>
    <w:p w14:paraId="133DC31B">
      <w:pPr>
        <w:ind w:firstLine="480"/>
      </w:pPr>
      <w:r>
        <w:t>2.3质疑函应当署名。质疑供应商为自然人的，应当由本人签字；质疑供应商为法人或者其他组织的，应当由法定代表人、主要负责人，或者其授权代表签字或者盖章，并加盖公章。</w:t>
      </w:r>
    </w:p>
    <w:p w14:paraId="42C63032">
      <w:pPr>
        <w:ind w:firstLine="480"/>
      </w:pPr>
      <w:r>
        <w:t>2.4以联合体形式参加政府采购活动的，其质疑应当由联合体成员委托主体提出。</w:t>
      </w:r>
    </w:p>
    <w:p w14:paraId="79913AF7">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4D956C7C">
      <w:pPr>
        <w:ind w:firstLine="480"/>
      </w:pPr>
      <w:r>
        <w:t>2.6质疑联系方式如下：</w:t>
      </w:r>
    </w:p>
    <w:p w14:paraId="7F33F6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联系单位：广东志正招标有限公司内控部 </w:t>
      </w:r>
    </w:p>
    <w:p w14:paraId="5D7787E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联系电话：020-87554018 </w:t>
      </w:r>
    </w:p>
    <w:p w14:paraId="40C992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通讯地址：广州市天河区龙怡路117号银汇大厦5楼</w:t>
      </w:r>
    </w:p>
    <w:p w14:paraId="2D8DE683">
      <w:pPr>
        <w:ind w:firstLine="480"/>
      </w:pPr>
      <w:r>
        <w:rPr>
          <w:rFonts w:hint="eastAsia" w:ascii="宋体" w:hAnsi="宋体" w:cs="宋体"/>
          <w:color w:val="auto"/>
          <w:szCs w:val="21"/>
        </w:rPr>
        <w:t>邮箱：</w:t>
      </w:r>
      <w:r>
        <w:rPr>
          <w:rFonts w:hint="eastAsia" w:ascii="宋体" w:hAnsi="宋体" w:cs="宋体"/>
          <w:color w:val="auto"/>
          <w:szCs w:val="21"/>
        </w:rPr>
        <w:fldChar w:fldCharType="begin"/>
      </w:r>
      <w:r>
        <w:rPr>
          <w:rFonts w:hint="eastAsia" w:ascii="宋体" w:hAnsi="宋体" w:cs="宋体"/>
          <w:color w:val="auto"/>
          <w:szCs w:val="21"/>
        </w:rPr>
        <w:instrText xml:space="preserve"> HYPERLINK "mailto:tender@gd.gov.cn" </w:instrText>
      </w:r>
      <w:r>
        <w:rPr>
          <w:rFonts w:hint="eastAsia" w:ascii="宋体" w:hAnsi="宋体" w:cs="宋体"/>
          <w:color w:val="auto"/>
          <w:szCs w:val="21"/>
        </w:rPr>
        <w:fldChar w:fldCharType="separate"/>
      </w:r>
      <w:r>
        <w:rPr>
          <w:rFonts w:hint="eastAsia" w:ascii="宋体" w:hAnsi="宋体" w:cs="宋体"/>
          <w:color w:val="auto"/>
          <w:szCs w:val="21"/>
        </w:rPr>
        <w:t>zzzbnkb@126.com</w:t>
      </w:r>
      <w:r>
        <w:rPr>
          <w:rFonts w:hint="eastAsia" w:ascii="宋体" w:hAnsi="宋体" w:cs="宋体"/>
          <w:color w:val="auto"/>
          <w:szCs w:val="21"/>
        </w:rPr>
        <w:fldChar w:fldCharType="end"/>
      </w:r>
      <w:r>
        <w:rPr>
          <w:rFonts w:hint="eastAsia" w:ascii="宋体" w:hAnsi="宋体" w:cs="宋体"/>
          <w:color w:val="auto"/>
          <w:szCs w:val="21"/>
        </w:rPr>
        <w:t>（用于接收质疑、询问）</w:t>
      </w:r>
    </w:p>
    <w:p w14:paraId="01169140">
      <w:r>
        <w:rPr>
          <w:b/>
          <w:sz w:val="24"/>
        </w:rPr>
        <w:t>3.投诉</w:t>
      </w:r>
    </w:p>
    <w:p w14:paraId="08E5AD0A">
      <w:pPr>
        <w:ind w:firstLine="480"/>
      </w:pPr>
      <w:r>
        <w:t>质疑人对采购人或采购代理机构的质疑答复不满意或在规定时间内未得到答复的，可以在答复期满后15个工作日内，按如下联系方式向本项目监督管理部门提起投诉。</w:t>
      </w:r>
    </w:p>
    <w:p w14:paraId="21147514">
      <w:r>
        <w:t>政府采购监督管理机构名称：</w:t>
      </w:r>
      <w:r>
        <w:rPr>
          <w:rFonts w:hint="eastAsia"/>
        </w:rPr>
        <w:t>/</w:t>
      </w:r>
    </w:p>
    <w:p w14:paraId="0718830E"/>
    <w:p w14:paraId="674FA3D4">
      <w:pPr>
        <w:pStyle w:val="3"/>
      </w:pPr>
      <w:bookmarkStart w:id="33" w:name="_Toc30722"/>
      <w:r>
        <w:t>八、合同签订和履行</w:t>
      </w:r>
      <w:bookmarkEnd w:id="33"/>
    </w:p>
    <w:p w14:paraId="77EFB57D">
      <w:r>
        <w:rPr>
          <w:b/>
          <w:sz w:val="24"/>
        </w:rPr>
        <w:t>1.合同签订</w:t>
      </w:r>
    </w:p>
    <w:p w14:paraId="476BA5B6">
      <w:pPr>
        <w:ind w:firstLine="480"/>
      </w:pPr>
      <w:r>
        <w:t>1.1采购人应当自《成交通知书》发出之日起三十日内，按照磋商文件和成交供应商响应文件的约定，与成交供应商签订合同。所签订的合同不得对磋商文件和成交供应商响应文件作实质性修改。</w:t>
      </w:r>
    </w:p>
    <w:p w14:paraId="4F114F9F">
      <w:pPr>
        <w:ind w:firstLine="480"/>
      </w:pPr>
      <w:r>
        <w:t>1.2采购人不得提出试用合格等任何不合理的要求作为签订合同的条件，且不得与成交供应商私下订立背离合同实质性内容的协议。</w:t>
      </w:r>
    </w:p>
    <w:p w14:paraId="32D416FA">
      <w:pPr>
        <w:ind w:firstLine="480"/>
      </w:pPr>
      <w:r>
        <w:t>1.3采购人应当自政府采购合同签订之日起2个工作日内公开并备案采购合同。依法签订的补充合同，也应在补充合同签订之日起2个工作日内公开并备案采购合同。政府采购合同中涉及国家秘密、商业秘密的内容除外。</w:t>
      </w:r>
    </w:p>
    <w:p w14:paraId="714BE0D3">
      <w:r>
        <w:rPr>
          <w:b/>
          <w:sz w:val="24"/>
        </w:rPr>
        <w:t>2.合同的履行</w:t>
      </w:r>
    </w:p>
    <w:p w14:paraId="5DBDAC79">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7461B468">
      <w:pPr>
        <w:ind w:firstLine="480"/>
      </w:pPr>
      <w: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w:t>
      </w:r>
      <w:r>
        <w:rPr>
          <w:rFonts w:hint="eastAsia"/>
        </w:rPr>
        <w:t>公开并备案采购合同</w:t>
      </w:r>
      <w:r>
        <w:t>。</w:t>
      </w:r>
    </w:p>
    <w:p w14:paraId="06959CFF"/>
    <w:p w14:paraId="25C97439">
      <w:pPr>
        <w:widowControl/>
        <w:jc w:val="left"/>
        <w:rPr>
          <w:b/>
          <w:bCs/>
          <w:kern w:val="44"/>
          <w:sz w:val="44"/>
          <w:szCs w:val="44"/>
        </w:rPr>
      </w:pPr>
      <w:r>
        <w:br w:type="page"/>
      </w:r>
    </w:p>
    <w:p w14:paraId="39CE1B40">
      <w:pPr>
        <w:pStyle w:val="2"/>
        <w:jc w:val="center"/>
      </w:pPr>
      <w:bookmarkStart w:id="34" w:name="_Toc31881"/>
      <w:r>
        <w:t>第四章 评审</w:t>
      </w:r>
      <w:bookmarkEnd w:id="34"/>
    </w:p>
    <w:p w14:paraId="59AC655C">
      <w:pPr>
        <w:pStyle w:val="3"/>
      </w:pPr>
      <w:bookmarkStart w:id="35" w:name="_Toc12497"/>
      <w:r>
        <w:t>一、评审要求</w:t>
      </w:r>
      <w:bookmarkEnd w:id="35"/>
    </w:p>
    <w:p w14:paraId="2E96CFCC">
      <w:r>
        <w:rPr>
          <w:b/>
          <w:sz w:val="24"/>
        </w:rPr>
        <w:t>1.评审方法</w:t>
      </w:r>
    </w:p>
    <w:p w14:paraId="3FDC7CB7">
      <w:r>
        <w:t>综合评分法,是指响应文件满足磋商文件全部实质性要求，且按照评审因素的量化指标评审得分最高的供应商为成交候选人的评标方法。（最低报价不是成交的唯一依据。）</w:t>
      </w:r>
    </w:p>
    <w:p w14:paraId="2844C163">
      <w:r>
        <w:rPr>
          <w:b/>
          <w:sz w:val="24"/>
        </w:rPr>
        <w:t>2.评审原则</w:t>
      </w:r>
    </w:p>
    <w:p w14:paraId="6F6942A9">
      <w:pPr>
        <w:ind w:firstLine="480"/>
      </w:pPr>
      <w:r>
        <w:t>2.1评审活动遵循公平、公正、科学和择优的原则，以磋商文件和响应文件为评审的基本依据，并按照磋商文件规定的评审方法和评审标准进行评审。</w:t>
      </w:r>
    </w:p>
    <w:p w14:paraId="7482D687">
      <w:pPr>
        <w:ind w:firstLine="480"/>
      </w:pPr>
      <w: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2595CF72">
      <w:r>
        <w:rPr>
          <w:b/>
          <w:sz w:val="24"/>
        </w:rPr>
        <w:t>3.磋商小组</w:t>
      </w:r>
    </w:p>
    <w:p w14:paraId="02743DD7">
      <w:pPr>
        <w:ind w:firstLine="480"/>
      </w:pPr>
      <w:r>
        <w:t>3.1磋商小组由采购人代表和评审专家组成，成员人数应当为3人及以上单数，其中技术、经济等方面的评审专家不得少于成员总数的三分之二。</w:t>
      </w:r>
    </w:p>
    <w:p w14:paraId="5023A29F">
      <w:pPr>
        <w:ind w:firstLine="480"/>
      </w:pPr>
      <w:r>
        <w:t>3.2评审应遵守下列评审纪律：</w:t>
      </w:r>
    </w:p>
    <w:p w14:paraId="6D0EBC27">
      <w:pPr>
        <w:ind w:firstLine="480"/>
      </w:pPr>
      <w:r>
        <w:t>（1）评审情况不得私自外泄，有关信息由</w:t>
      </w:r>
      <w:r>
        <w:rPr>
          <w:rFonts w:hint="eastAsia"/>
          <w:lang w:eastAsia="zh-CN"/>
        </w:rPr>
        <w:t>广东志正招标有限公司</w:t>
      </w:r>
      <w:r>
        <w:t>统一对外发布。</w:t>
      </w:r>
    </w:p>
    <w:p w14:paraId="429E5D3D">
      <w:pPr>
        <w:ind w:firstLine="480"/>
      </w:pPr>
      <w:r>
        <w:t>（2）对</w:t>
      </w:r>
      <w:r>
        <w:rPr>
          <w:rFonts w:hint="eastAsia"/>
          <w:lang w:eastAsia="zh-CN"/>
        </w:rPr>
        <w:t>广东志正招标有限公司</w:t>
      </w:r>
      <w:r>
        <w:t>或供应商提供的要求保密的资料，不得摘记翻印和外传。</w:t>
      </w:r>
    </w:p>
    <w:p w14:paraId="5BF50AF9">
      <w:pPr>
        <w:ind w:firstLine="480"/>
      </w:pPr>
      <w:r>
        <w:t>（3）不得收受响应供应商或有关人员的任何礼物，不得串联鼓动其他人袒护某供应商。若与供应商存在利害关系，则应主动声明并回避。</w:t>
      </w:r>
    </w:p>
    <w:p w14:paraId="7F9DFD99">
      <w:pPr>
        <w:ind w:firstLine="480"/>
      </w:pPr>
      <w:r>
        <w:t>（4）全体评委应按照磋商文件规定进行评审，一切认定事项应查有实据且不得弄虚作假。</w:t>
      </w:r>
    </w:p>
    <w:p w14:paraId="0FF31A2B">
      <w:pPr>
        <w:ind w:firstLine="480"/>
      </w:pPr>
      <w:r>
        <w:t>（5）磋商小组各成员应当独立对每个响应供应商的响应文件进行评价，并对评价意见承担个人责任。评审过程中，不得发表倾向性言论。</w:t>
      </w:r>
    </w:p>
    <w:p w14:paraId="19593532">
      <w:pPr>
        <w:ind w:firstLine="480"/>
      </w:pPr>
      <w:r>
        <w:t>※对违反评审纪律的评委，将取消其评委资格，对评审工作造成严重损失者将予以通报批评乃至追究法律责任。</w:t>
      </w:r>
    </w:p>
    <w:p w14:paraId="691D53BD">
      <w:r>
        <w:rPr>
          <w:b/>
          <w:sz w:val="24"/>
        </w:rPr>
        <w:t>4.有下列情形之一的，视为供应商串通响应，其响应无效</w:t>
      </w:r>
    </w:p>
    <w:p w14:paraId="345B7BD9">
      <w:pPr>
        <w:ind w:firstLine="480"/>
      </w:pPr>
      <w:r>
        <w:t>4.1不同供应商的响应文件由同一单位或者个人编制；</w:t>
      </w:r>
    </w:p>
    <w:p w14:paraId="2F5397B0">
      <w:pPr>
        <w:ind w:firstLine="480"/>
      </w:pPr>
      <w:r>
        <w:t>4.2不同供应商委托同一单位或者个人办理响应事宜；</w:t>
      </w:r>
    </w:p>
    <w:p w14:paraId="51CAD7B3">
      <w:pPr>
        <w:ind w:firstLine="480"/>
      </w:pPr>
      <w:r>
        <w:t>4.3不同供应商的响应文件载明的项目管理成员或者联系人员为同一人；</w:t>
      </w:r>
    </w:p>
    <w:p w14:paraId="7362BA76">
      <w:pPr>
        <w:ind w:firstLine="480"/>
      </w:pPr>
      <w:r>
        <w:t>4.4不同供应商的响应文件异常一致或者响应报价呈规律性差异；</w:t>
      </w:r>
    </w:p>
    <w:p w14:paraId="33DF0AD6">
      <w:pPr>
        <w:ind w:firstLine="480"/>
      </w:pPr>
      <w:r>
        <w:t>4.5不同供应商的响应文件相互混装；</w:t>
      </w:r>
    </w:p>
    <w:p w14:paraId="43DC9FA1">
      <w:pPr>
        <w:ind w:firstLine="480"/>
      </w:pPr>
      <w:r>
        <w:t>4.6不同供应商的响应保证金为从同一单位或个人的账户转出。</w:t>
      </w:r>
    </w:p>
    <w:p w14:paraId="79E4BC25">
      <w:pPr>
        <w:ind w:firstLine="480"/>
      </w:pPr>
      <w:r>
        <w:t>说明：在评审过程中发现供应商有上述情形的，磋商小组应当认定其响应无效。同时，项目评审时被认定为串通响应的供应商不得参加该合同项下的采购活动。</w:t>
      </w:r>
    </w:p>
    <w:p w14:paraId="37F34E9C">
      <w:r>
        <w:rPr>
          <w:b/>
          <w:sz w:val="24"/>
        </w:rPr>
        <w:t>5.有下列情形之一的，属于恶意串通响应：</w:t>
      </w:r>
    </w:p>
    <w:p w14:paraId="5FB65148">
      <w:pPr>
        <w:ind w:firstLine="480"/>
      </w:pPr>
      <w:r>
        <w:t>（1）供应商直接或者间接从采购人或者采购代理机构处获得其他供应商的相关情况并修改其响应文件；</w:t>
      </w:r>
    </w:p>
    <w:p w14:paraId="1A305B10">
      <w:pPr>
        <w:ind w:firstLine="480"/>
      </w:pPr>
      <w:r>
        <w:t>（2）供应商按照采购人或者采购代理机构的授意撤换、修改响应文件；</w:t>
      </w:r>
    </w:p>
    <w:p w14:paraId="3E66BF03">
      <w:pPr>
        <w:ind w:firstLine="480"/>
      </w:pPr>
      <w:r>
        <w:t>（3）供应商之间协商报价、技术方案等响应文件的实质性内容；</w:t>
      </w:r>
    </w:p>
    <w:p w14:paraId="4C0A0FBA">
      <w:pPr>
        <w:ind w:firstLine="480"/>
      </w:pPr>
      <w:r>
        <w:t>（4）属于同一集团、协会、商会等组织成员的供应商按照该组织要求协同参加政府采购活动；</w:t>
      </w:r>
    </w:p>
    <w:p w14:paraId="12309703">
      <w:pPr>
        <w:ind w:firstLine="480"/>
      </w:pPr>
      <w:r>
        <w:t>（5）供应商之间事先约定由某一特定供应商成交；</w:t>
      </w:r>
    </w:p>
    <w:p w14:paraId="15F1158D">
      <w:pPr>
        <w:ind w:firstLine="480"/>
      </w:pPr>
      <w:r>
        <w:t>（6）供应商之间商定部分供应商放弃参加政府采购活动或者放弃成交；</w:t>
      </w:r>
    </w:p>
    <w:p w14:paraId="66AD25C1">
      <w:pPr>
        <w:ind w:firstLine="480"/>
      </w:pPr>
      <w:r>
        <w:t>（7）供应商与采购人或者采购代理机构之间、供应商相互之间，为谋求特定供应商成交或者排斥其他供应商的其他串通行为。</w:t>
      </w:r>
    </w:p>
    <w:p w14:paraId="1373D68F">
      <w:r>
        <w:rPr>
          <w:b/>
          <w:sz w:val="24"/>
        </w:rPr>
        <w:t>6.其他响应无效的情形</w:t>
      </w:r>
    </w:p>
    <w:p w14:paraId="7DA6C7DF">
      <w:pPr>
        <w:ind w:firstLine="480"/>
      </w:pPr>
      <w:r>
        <w:t>详见资格性审查、符合性审查和磋商文件其他响应无效条款。</w:t>
      </w:r>
    </w:p>
    <w:p w14:paraId="44FBBACC">
      <w:r>
        <w:rPr>
          <w:b/>
          <w:sz w:val="24"/>
        </w:rPr>
        <w:t>7.终止竞争性磋商采购活动的情形</w:t>
      </w:r>
    </w:p>
    <w:p w14:paraId="06674ADA">
      <w:pPr>
        <w:ind w:firstLine="480"/>
      </w:pPr>
      <w:r>
        <w:t>出现下列情形之一的，采购人或者采购代理机构应当终止竞争性磋商采购活动，发布项目终止公告并说明原因，重新开展采购活动：</w:t>
      </w:r>
    </w:p>
    <w:p w14:paraId="5C4D09DF">
      <w:pPr>
        <w:ind w:firstLine="480"/>
      </w:pPr>
      <w:r>
        <w:t>（1）因情况变化，不再符合规定的竞争性磋商采购方式适用情形的；</w:t>
      </w:r>
    </w:p>
    <w:p w14:paraId="4CAB60C8">
      <w:pPr>
        <w:ind w:firstLine="480"/>
      </w:pPr>
      <w:r>
        <w:t>（2）出现影响采购公正的违法、违规行为的；</w:t>
      </w:r>
    </w:p>
    <w:p w14:paraId="09443FAC">
      <w:pPr>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7F012508">
      <w:pPr>
        <w:ind w:firstLine="480"/>
      </w:pPr>
      <w:r>
        <w:t>（4）法律、法规以及磋商文件规定其他情形。</w:t>
      </w:r>
    </w:p>
    <w:p w14:paraId="2531EFC2">
      <w:r>
        <w:rPr>
          <w:b/>
          <w:sz w:val="24"/>
        </w:rPr>
        <w:t>8.确定成交供应商</w:t>
      </w:r>
    </w:p>
    <w:p w14:paraId="74A0199D">
      <w:pPr>
        <w:ind w:firstLine="480"/>
      </w:pPr>
      <w:r>
        <w:t>磋商小组按照磋商文件确定的评审方法、步骤、标准，对响应文件进行评审。评审结束后，对供应商的评审名次进行排序，确定成交供应商或者推荐成交候选供应商。</w:t>
      </w:r>
    </w:p>
    <w:p w14:paraId="3F6B19D7">
      <w:r>
        <w:rPr>
          <w:b/>
          <w:sz w:val="24"/>
        </w:rPr>
        <w:t>9.价格修正</w:t>
      </w:r>
    </w:p>
    <w:p w14:paraId="1C91772F">
      <w:pPr>
        <w:ind w:firstLine="480"/>
      </w:pPr>
      <w:r>
        <w:t>对报价的计算错误按以下原则修正：</w:t>
      </w:r>
    </w:p>
    <w:p w14:paraId="294B1DE8">
      <w:pPr>
        <w:ind w:firstLine="480"/>
      </w:pPr>
      <w:r>
        <w:t>（1）响应文件中首轮报价表（报价表）内容与响应文件中相应内容不一致的，以首轮报价表（报价表）为准；</w:t>
      </w:r>
    </w:p>
    <w:p w14:paraId="41E67D6D">
      <w:pPr>
        <w:ind w:firstLine="480"/>
      </w:pPr>
      <w:r>
        <w:t>（2）大写金额和小写金额不一致的，以大写金额为准；</w:t>
      </w:r>
    </w:p>
    <w:p w14:paraId="54C34FF9">
      <w:pPr>
        <w:ind w:firstLine="480"/>
      </w:pPr>
      <w:r>
        <w:t>（3）单价金额小数点或者百分比有明显错位的，以首轮报价表的总价为准，并修改单价；</w:t>
      </w:r>
    </w:p>
    <w:p w14:paraId="422D7E11">
      <w:pPr>
        <w:ind w:firstLine="480"/>
      </w:pPr>
      <w:r>
        <w:t>（4）总价金额与按单价汇总金额不一致的，以单价金额计算结果为准。但是单价金额计算结果超过预算价的，对其按无效响应处理；</w:t>
      </w:r>
    </w:p>
    <w:p w14:paraId="2D249E24">
      <w:pPr>
        <w:ind w:firstLine="480"/>
      </w:pPr>
      <w:r>
        <w:t>注：同时出现两种以上不一致的，按照前款规定的顺序进行价格澄清。供应商澄清后的价格加盖</w:t>
      </w:r>
      <w:r>
        <w:rPr>
          <w:rFonts w:hint="eastAsia"/>
        </w:rPr>
        <w:t>公章，或者由法定代表人或其授权的代表签字，</w:t>
      </w:r>
      <w:r>
        <w:t>产生约束力，但不得超出响应文件的范围或者改变响应文件的实质性内容，供应商不确认的，其响应无效。</w:t>
      </w:r>
    </w:p>
    <w:p w14:paraId="2BC47B03">
      <w:pPr>
        <w:pStyle w:val="3"/>
      </w:pPr>
      <w:bookmarkStart w:id="36" w:name="_Toc9299"/>
      <w:r>
        <w:t>二</w:t>
      </w:r>
      <w:r>
        <w:rPr>
          <w:rFonts w:hint="eastAsia"/>
        </w:rPr>
        <w:t>、</w:t>
      </w:r>
      <w:r>
        <w:t>政府采购政策落实</w:t>
      </w:r>
      <w:bookmarkEnd w:id="36"/>
    </w:p>
    <w:p w14:paraId="74492DB9">
      <w:r>
        <w:rPr>
          <w:b/>
          <w:sz w:val="24"/>
        </w:rPr>
        <w:t>1.节能、环保要求</w:t>
      </w:r>
    </w:p>
    <w:p w14:paraId="1566ECA4">
      <w:pPr>
        <w:ind w:firstLine="480"/>
      </w:pPr>
      <w: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73B68232">
      <w:pPr>
        <w:ind w:firstLine="480"/>
      </w:pPr>
      <w:r>
        <w:t>相关认证机构和获证产品信息以市场监管总局组织建立的节能产品、环境标志产品认证结果信息发布平台公布为准。</w:t>
      </w:r>
    </w:p>
    <w:p w14:paraId="43C24E8B">
      <w:r>
        <w:rPr>
          <w:b/>
          <w:sz w:val="24"/>
        </w:rPr>
        <w:t>2.对小型、微型企业、监狱企业或残疾人福利性单位给予价格扣除</w:t>
      </w:r>
    </w:p>
    <w:p w14:paraId="339EAE3D">
      <w:pPr>
        <w:ind w:firstLine="480"/>
      </w:pPr>
      <w:r>
        <w:t>依照《政府采购促进中小企业发展管理办法》、《支持监狱企业发展有关问题的通知》和《财政部 民政部</w:t>
      </w:r>
      <w:r>
        <w:tab/>
      </w:r>
      <w:r>
        <w:tab/>
      </w:r>
      <w: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72CF6032">
      <w:r>
        <w:rPr>
          <w:b/>
          <w:sz w:val="24"/>
        </w:rPr>
        <w:t>3.价格扣除相关要求</w:t>
      </w:r>
    </w:p>
    <w:tbl>
      <w:tblPr>
        <w:tblStyle w:val="19"/>
        <w:tblW w:w="5000" w:type="pct"/>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7"/>
        <w:gridCol w:w="2590"/>
        <w:gridCol w:w="2590"/>
        <w:gridCol w:w="1494"/>
        <w:gridCol w:w="2591"/>
      </w:tblGrid>
      <w:tr w14:paraId="289EC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0" w:type="pct"/>
          </w:tcPr>
          <w:p w14:paraId="31613691">
            <w:pPr>
              <w:rPr>
                <w:rFonts w:ascii="Calibri" w:hAnsi="Calibri" w:eastAsia="宋体" w:cs="Times New Roman"/>
              </w:rPr>
            </w:pPr>
            <w:r>
              <w:rPr>
                <w:rFonts w:ascii="Calibri" w:hAnsi="Calibri" w:eastAsia="宋体" w:cs="Times New Roman"/>
              </w:rPr>
              <w:t>序号</w:t>
            </w:r>
          </w:p>
        </w:tc>
        <w:tc>
          <w:tcPr>
            <w:tcW w:w="1300" w:type="pct"/>
          </w:tcPr>
          <w:p w14:paraId="0ADAB60F">
            <w:pPr>
              <w:rPr>
                <w:rFonts w:ascii="Calibri" w:hAnsi="Calibri" w:eastAsia="宋体" w:cs="Times New Roman"/>
              </w:rPr>
            </w:pPr>
            <w:r>
              <w:rPr>
                <w:rFonts w:ascii="Calibri" w:hAnsi="Calibri" w:eastAsia="宋体" w:cs="Times New Roman"/>
              </w:rPr>
              <w:t>情形</w:t>
            </w:r>
          </w:p>
        </w:tc>
        <w:tc>
          <w:tcPr>
            <w:tcW w:w="1300" w:type="pct"/>
          </w:tcPr>
          <w:p w14:paraId="07D2DA91">
            <w:pPr>
              <w:rPr>
                <w:rFonts w:ascii="Calibri" w:hAnsi="Calibri" w:eastAsia="宋体" w:cs="Times New Roman"/>
              </w:rPr>
            </w:pPr>
            <w:r>
              <w:rPr>
                <w:rFonts w:ascii="Calibri" w:hAnsi="Calibri" w:eastAsia="宋体" w:cs="Times New Roman"/>
              </w:rPr>
              <w:t>适用对象</w:t>
            </w:r>
          </w:p>
        </w:tc>
        <w:tc>
          <w:tcPr>
            <w:tcW w:w="750" w:type="pct"/>
          </w:tcPr>
          <w:p w14:paraId="6177F038">
            <w:pPr>
              <w:rPr>
                <w:rFonts w:ascii="Calibri" w:hAnsi="Calibri" w:eastAsia="宋体" w:cs="Times New Roman"/>
              </w:rPr>
            </w:pPr>
            <w:r>
              <w:rPr>
                <w:rFonts w:ascii="Calibri" w:hAnsi="Calibri" w:eastAsia="宋体" w:cs="Times New Roman"/>
              </w:rPr>
              <w:t>价格扣除比例</w:t>
            </w:r>
          </w:p>
        </w:tc>
        <w:tc>
          <w:tcPr>
            <w:tcW w:w="1300" w:type="pct"/>
          </w:tcPr>
          <w:p w14:paraId="17E7F9AF">
            <w:pPr>
              <w:rPr>
                <w:rFonts w:ascii="Calibri" w:hAnsi="Calibri" w:eastAsia="宋体" w:cs="Times New Roman"/>
              </w:rPr>
            </w:pPr>
            <w:r>
              <w:rPr>
                <w:rFonts w:ascii="Calibri" w:hAnsi="Calibri" w:eastAsia="宋体" w:cs="Times New Roman"/>
              </w:rPr>
              <w:t>计算公式</w:t>
            </w:r>
          </w:p>
        </w:tc>
      </w:tr>
      <w:tr w14:paraId="7F70F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0" w:type="pct"/>
          </w:tcPr>
          <w:p w14:paraId="2ACBA1F8">
            <w:pPr>
              <w:rPr>
                <w:rFonts w:ascii="Calibri" w:hAnsi="Calibri" w:eastAsia="宋体" w:cs="Times New Roman"/>
              </w:rPr>
            </w:pPr>
            <w:r>
              <w:rPr>
                <w:rFonts w:ascii="Calibri" w:hAnsi="Calibri" w:eastAsia="宋体" w:cs="Times New Roman"/>
              </w:rPr>
              <w:t>1</w:t>
            </w:r>
          </w:p>
        </w:tc>
        <w:tc>
          <w:tcPr>
            <w:tcW w:w="1300" w:type="pct"/>
          </w:tcPr>
          <w:p w14:paraId="52D948CE">
            <w:pPr>
              <w:jc w:val="left"/>
              <w:rPr>
                <w:rFonts w:ascii="Calibri" w:hAnsi="Calibri" w:eastAsia="宋体" w:cs="Times New Roman"/>
              </w:rPr>
            </w:pPr>
            <w:r>
              <w:rPr>
                <w:rFonts w:ascii="Calibri" w:hAnsi="Calibri" w:eastAsia="宋体" w:cs="Times New Roman"/>
              </w:rPr>
              <w:t>小型、微型企业，监狱企业，残疾人福利性单位</w:t>
            </w:r>
          </w:p>
        </w:tc>
        <w:tc>
          <w:tcPr>
            <w:tcW w:w="1300" w:type="pct"/>
          </w:tcPr>
          <w:p w14:paraId="63D18D71">
            <w:pPr>
              <w:rPr>
                <w:rFonts w:ascii="Calibri" w:hAnsi="Calibri" w:eastAsia="宋体" w:cs="Times New Roman"/>
              </w:rPr>
            </w:pPr>
            <w:r>
              <w:rPr>
                <w:rFonts w:ascii="Calibri" w:hAnsi="Calibri" w:eastAsia="宋体" w:cs="Times New Roman"/>
              </w:rPr>
              <w:t>服务由小微企业承接</w:t>
            </w:r>
          </w:p>
        </w:tc>
        <w:tc>
          <w:tcPr>
            <w:tcW w:w="750" w:type="pct"/>
          </w:tcPr>
          <w:p w14:paraId="6223251D">
            <w:pPr>
              <w:rPr>
                <w:rFonts w:ascii="Calibri" w:hAnsi="Calibri" w:eastAsia="宋体" w:cs="Times New Roman"/>
              </w:rPr>
            </w:pPr>
            <w:r>
              <w:rPr>
                <w:rFonts w:ascii="Calibri" w:hAnsi="Calibri" w:eastAsia="宋体" w:cs="Times New Roman"/>
              </w:rPr>
              <w:t>10%</w:t>
            </w:r>
          </w:p>
        </w:tc>
        <w:tc>
          <w:tcPr>
            <w:tcW w:w="1300" w:type="pct"/>
          </w:tcPr>
          <w:p w14:paraId="550E1525">
            <w:pPr>
              <w:jc w:val="left"/>
              <w:rPr>
                <w:rFonts w:ascii="Calibri" w:hAnsi="Calibri" w:eastAsia="宋体" w:cs="Times New Roman"/>
              </w:rPr>
            </w:pPr>
            <w:r>
              <w:rPr>
                <w:rFonts w:ascii="Calibri" w:hAnsi="Calibri" w:eastAsia="宋体" w:cs="Times New Roman"/>
              </w:rPr>
              <w:t>服务由小微企业承接，即提供服务的人员为小微企业依照《中华人民共和国劳动合同法》订立劳动合同的从业人员时，给予价格扣除C1，即：评标价=最后报价×（1-C1）;监狱企业与残疾人福利性单位视同小型、微型企业，享受同等价格扣除，当企业属性重复时，不重复价格扣除。</w:t>
            </w:r>
          </w:p>
        </w:tc>
      </w:tr>
      <w:tr w14:paraId="71C81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5"/>
          </w:tcPr>
          <w:p w14:paraId="23A51BB1">
            <w:pPr>
              <w:jc w:val="left"/>
              <w:rPr>
                <w:rFonts w:ascii="Calibri" w:hAnsi="Calibri" w:eastAsia="宋体" w:cs="Times New Roman"/>
              </w:rPr>
            </w:pPr>
            <w:r>
              <w:rPr>
                <w:rFonts w:ascii="Calibri" w:hAnsi="Calibri" w:eastAsia="宋体" w:cs="Times New Roman"/>
              </w:rPr>
              <w:t>注：</w:t>
            </w:r>
          </w:p>
          <w:p w14:paraId="0E05699F">
            <w:pPr>
              <w:jc w:val="left"/>
              <w:rPr>
                <w:rFonts w:ascii="Calibri" w:hAnsi="Calibri" w:eastAsia="宋体" w:cs="Times New Roman"/>
              </w:rPr>
            </w:pPr>
            <w:r>
              <w:rPr>
                <w:rFonts w:ascii="Calibri" w:hAnsi="Calibri" w:eastAsia="宋体" w:cs="Times New Roman"/>
              </w:rPr>
              <w:t>（1）上述评标价仅用于计算价格分，成交金额以实际投标价为准。</w:t>
            </w:r>
          </w:p>
          <w:p w14:paraId="15A139DD">
            <w:pPr>
              <w:jc w:val="left"/>
              <w:rPr>
                <w:rFonts w:ascii="Calibri" w:hAnsi="Calibri" w:eastAsia="宋体" w:cs="Times New Roman"/>
              </w:rPr>
            </w:pPr>
            <w:r>
              <w:rPr>
                <w:rFonts w:ascii="Calibri" w:hAnsi="Calibri" w:eastAsia="宋体" w:cs="Times New Roman"/>
              </w:rPr>
              <w:t>（2）组成联合体的大中型企业和其他自然人、法人或者其他组织、与小型、微型企业之间不得存在投资关系。</w:t>
            </w:r>
          </w:p>
        </w:tc>
      </w:tr>
    </w:tbl>
    <w:p w14:paraId="2D84FAF8">
      <w:pPr>
        <w:ind w:firstLine="480"/>
      </w:pPr>
      <w:r>
        <w:t>（1）所称小型和微型企业应当符合以下条件：</w:t>
      </w:r>
    </w:p>
    <w:p w14:paraId="45521C22">
      <w:pPr>
        <w:ind w:firstLine="480"/>
      </w:pPr>
      <w: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47981A5D">
      <w:pPr>
        <w:ind w:firstLine="480"/>
      </w:pPr>
      <w:r>
        <w:t>符合中小企业划分标准的个体工商户，在政府采购活动中视同中小企业。</w:t>
      </w:r>
    </w:p>
    <w:p w14:paraId="566691F2">
      <w:pPr>
        <w:ind w:firstLine="480"/>
      </w:pPr>
      <w:r>
        <w:t>提供本企业（属于小微企业）制造的货物或者提供其他小型或微型企业制造的货物/提供本企业（属于小微企业）承接的服务。</w:t>
      </w:r>
    </w:p>
    <w:p w14:paraId="3D8D39F5">
      <w:pPr>
        <w:ind w:firstLine="480"/>
      </w:pPr>
      <w: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62853569">
      <w:pPr>
        <w:ind w:firstLine="480"/>
      </w:pPr>
      <w:r>
        <w:t>说明：供应商应当对其出具的《中小企业声明函》真实性负责，供应商出具的《中小企业声明函》内容不实的，属于提供虚假材料谋取成交。</w:t>
      </w:r>
    </w:p>
    <w:p w14:paraId="070659A5">
      <w:pPr>
        <w:ind w:firstLine="480"/>
      </w:pPr>
      <w:r>
        <w:t>（3）联合体各方均为小型、微型企业的，各方均应提供《中小企业声明函》；中小微企业作为联合体一方参与政府采购活动，且联合体</w:t>
      </w:r>
      <w:r>
        <w:rPr>
          <w:rFonts w:hint="eastAsia"/>
        </w:rPr>
        <w:t>共同响应</w:t>
      </w:r>
      <w:r>
        <w:t>协议书中约定，小型、微型企业的协议合同金额占到联合体协议合同总金额30%以上的，应附中小微企业的《中小企业声明函》。</w:t>
      </w:r>
    </w:p>
    <w:p w14:paraId="2F945A90">
      <w:pPr>
        <w:pStyle w:val="3"/>
      </w:pPr>
      <w:bookmarkStart w:id="37" w:name="_Toc22255"/>
      <w:r>
        <w:t>三、评审程序</w:t>
      </w:r>
      <w:bookmarkEnd w:id="37"/>
    </w:p>
    <w:p w14:paraId="53FA5E1B">
      <w:pPr>
        <w:pStyle w:val="4"/>
      </w:pPr>
      <w:bookmarkStart w:id="38" w:name="_Toc7460"/>
      <w:r>
        <w:t>1.资格性审查和符合性审查</w:t>
      </w:r>
      <w:bookmarkEnd w:id="38"/>
    </w:p>
    <w:p w14:paraId="492C9C38">
      <w:pPr>
        <w:ind w:firstLine="480"/>
      </w:pPr>
      <w: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075593B6">
      <w:pPr>
        <w:ind w:firstLine="480"/>
      </w:pPr>
      <w:r>
        <w:t>磋商小组对各磋商供应商进行资格性和符合性审查过程中，对初步被认定为初审不合格或无效响应者应实行及时告知，由磋商小组组长或采购人代表将集体意见及时告知报价当事人。</w:t>
      </w:r>
    </w:p>
    <w:p w14:paraId="4DED901E">
      <w:pPr>
        <w:pStyle w:val="4"/>
      </w:pPr>
      <w:bookmarkStart w:id="39" w:name="_Toc24604"/>
      <w:r>
        <w:t>表一资格性审查表：</w:t>
      </w:r>
      <w:bookmarkEnd w:id="39"/>
    </w:p>
    <w:p w14:paraId="618DD8ED">
      <w:pPr>
        <w:pStyle w:val="4"/>
      </w:pPr>
      <w:bookmarkStart w:id="40" w:name="_Toc150453390"/>
      <w:bookmarkStart w:id="41" w:name="_Toc1885"/>
      <w:r>
        <w:t>采购包1：</w:t>
      </w:r>
      <w:bookmarkEnd w:id="40"/>
      <w:bookmarkEnd w:id="41"/>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552"/>
        <w:gridCol w:w="6565"/>
      </w:tblGrid>
      <w:tr w14:paraId="3F3F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467654D">
            <w:r>
              <w:t>序号</w:t>
            </w:r>
          </w:p>
        </w:tc>
        <w:tc>
          <w:tcPr>
            <w:tcW w:w="4576" w:type="pct"/>
            <w:gridSpan w:val="2"/>
          </w:tcPr>
          <w:p w14:paraId="7ECDA5AA">
            <w:r>
              <w:t>资格审查内容</w:t>
            </w:r>
          </w:p>
        </w:tc>
      </w:tr>
      <w:tr w14:paraId="74ED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6DE27AA">
            <w:r>
              <w:t>1</w:t>
            </w:r>
          </w:p>
        </w:tc>
        <w:tc>
          <w:tcPr>
            <w:tcW w:w="1281" w:type="pct"/>
          </w:tcPr>
          <w:p w14:paraId="73348151">
            <w:r>
              <w:t>具有独立承担民事责任的能力</w:t>
            </w:r>
          </w:p>
        </w:tc>
        <w:tc>
          <w:tcPr>
            <w:tcW w:w="3295" w:type="pct"/>
          </w:tcPr>
          <w:p w14:paraId="33199CE7">
            <w:r>
              <w:t>在中华人民共和国境内注册的具有独立承担民事责任能力的法人或其他组织（提供营业执照等证明文件）</w:t>
            </w:r>
          </w:p>
        </w:tc>
      </w:tr>
      <w:tr w14:paraId="2714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64D700C">
            <w:r>
              <w:t>2</w:t>
            </w:r>
          </w:p>
        </w:tc>
        <w:tc>
          <w:tcPr>
            <w:tcW w:w="1281" w:type="pct"/>
          </w:tcPr>
          <w:p w14:paraId="0BB0538A">
            <w:r>
              <w:t>有依法缴纳税收和社会保障资金的良好记录</w:t>
            </w:r>
          </w:p>
        </w:tc>
        <w:tc>
          <w:tcPr>
            <w:tcW w:w="3295" w:type="pct"/>
          </w:tcPr>
          <w:p w14:paraId="6B936595">
            <w:r>
              <w:rPr>
                <w:rFonts w:hint="eastAsia"/>
              </w:rPr>
              <w:t>按磋商文件《政府采购供应商资格信用承诺函》提供；或者，提供响应截止时间前六个月内任意一个月的依法缴纳税收证明材料及依法缴纳社会保险凭据（如依法免税或不需要缴纳社保，则须提供相应文件证明）；</w:t>
            </w:r>
          </w:p>
        </w:tc>
      </w:tr>
      <w:tr w14:paraId="49C6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67CE1D7">
            <w:r>
              <w:t>3</w:t>
            </w:r>
          </w:p>
        </w:tc>
        <w:tc>
          <w:tcPr>
            <w:tcW w:w="1281" w:type="pct"/>
          </w:tcPr>
          <w:p w14:paraId="343AD969">
            <w:r>
              <w:t>具有良好的商业信誉和健全的财务会计制度</w:t>
            </w:r>
          </w:p>
        </w:tc>
        <w:tc>
          <w:tcPr>
            <w:tcW w:w="3295" w:type="pct"/>
          </w:tcPr>
          <w:p w14:paraId="0D052192">
            <w:r>
              <w:rPr>
                <w:rFonts w:hint="eastAsia"/>
              </w:rPr>
              <w:t>按磋商文件《政府采购供应商资格信用承诺函》提供；或者，提供2022年至2023年度内任意一年的年度财务报表(新成立不足一年的单位提供成立至今的月或季度财务报表复印件)或银行出具的资信证明；</w:t>
            </w:r>
          </w:p>
        </w:tc>
      </w:tr>
      <w:tr w14:paraId="4A03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7A4EDEB">
            <w:r>
              <w:t>4</w:t>
            </w:r>
          </w:p>
        </w:tc>
        <w:tc>
          <w:tcPr>
            <w:tcW w:w="1281" w:type="pct"/>
          </w:tcPr>
          <w:p w14:paraId="24737243">
            <w:r>
              <w:t>履行合同所必需的设备和专业技术能力</w:t>
            </w:r>
          </w:p>
        </w:tc>
        <w:tc>
          <w:tcPr>
            <w:tcW w:w="3295" w:type="pct"/>
          </w:tcPr>
          <w:p w14:paraId="6EA49304">
            <w:r>
              <w:t>按</w:t>
            </w:r>
            <w:r>
              <w:rPr>
                <w:rFonts w:hint="eastAsia"/>
              </w:rPr>
              <w:t>磋商</w:t>
            </w:r>
            <w:r>
              <w:t>文件《政府采购供应商资格信用承诺函》提供；</w:t>
            </w:r>
            <w:r>
              <w:rPr>
                <w:rFonts w:hint="eastAsia"/>
                <w:lang w:val="en-US" w:eastAsia="zh-CN"/>
              </w:rPr>
              <w:t>或者，</w:t>
            </w:r>
            <w:r>
              <w:rPr>
                <w:rFonts w:hint="eastAsia"/>
              </w:rPr>
              <w:t>按投标（响应）文件格式填报设备及专业技术能力情况。</w:t>
            </w:r>
          </w:p>
        </w:tc>
      </w:tr>
      <w:tr w14:paraId="2059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C66E0A3">
            <w:r>
              <w:t>5</w:t>
            </w:r>
          </w:p>
        </w:tc>
        <w:tc>
          <w:tcPr>
            <w:tcW w:w="1281" w:type="pct"/>
          </w:tcPr>
          <w:p w14:paraId="01A67E78">
            <w:r>
              <w:t>参加采购活动前3年内，在经营活动中没有重大违法记录</w:t>
            </w:r>
          </w:p>
        </w:tc>
        <w:tc>
          <w:tcPr>
            <w:tcW w:w="3295" w:type="pct"/>
          </w:tcPr>
          <w:p w14:paraId="35CCEA9F">
            <w:r>
              <w:rPr>
                <w:rFonts w:hint="eastAsia"/>
              </w:rPr>
              <w:t>按磋商文件《政府采购供应商资格信用承诺函》提供。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0012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E87878F">
            <w:r>
              <w:t>6</w:t>
            </w:r>
          </w:p>
        </w:tc>
        <w:tc>
          <w:tcPr>
            <w:tcW w:w="1281" w:type="pct"/>
          </w:tcPr>
          <w:p w14:paraId="0BE887B6">
            <w:r>
              <w:rPr>
                <w:rFonts w:hint="eastAsia"/>
              </w:rPr>
              <w:t>有关</w:t>
            </w:r>
            <w:r>
              <w:t>专门面向中小企业</w:t>
            </w:r>
            <w:r>
              <w:rPr>
                <w:rFonts w:hint="eastAsia"/>
              </w:rPr>
              <w:t>采购</w:t>
            </w:r>
          </w:p>
        </w:tc>
        <w:tc>
          <w:tcPr>
            <w:tcW w:w="3295" w:type="pct"/>
          </w:tcPr>
          <w:p w14:paraId="649AE114">
            <w:r>
              <w:t>本项目为专门面向</w:t>
            </w:r>
            <w:r>
              <w:rPr>
                <w:rFonts w:hint="eastAsia"/>
              </w:rPr>
              <w:t>中小</w:t>
            </w:r>
            <w:r>
              <w:t>企业采购的项目，即服务商须为符合本项目采购标的对应行业政策划分标准的</w:t>
            </w:r>
            <w:r>
              <w:rPr>
                <w:rFonts w:hint="eastAsia"/>
              </w:rPr>
              <w:t>中小</w:t>
            </w:r>
            <w:r>
              <w:t>企业。供应商提供《中小企业声明函》，属于</w:t>
            </w:r>
            <w:r>
              <w:rPr>
                <w:rFonts w:hint="eastAsia"/>
              </w:rPr>
              <w:t>中型企业、</w:t>
            </w:r>
            <w:r>
              <w:t>小型企业或微型企业。监狱企业视同小型、微型企业，监狱企业参加政府采购活动时，应当提供由省级以上监狱管理局、戒毒管理局(含新疆生产建设兵团)出具的属于监狱企业的证明文件；符合《三部门联合发布关于促进残疾人就业政府采购政策的通知》规定条件的残疾人福利性单位在参加政府采购活动时视同小型、微型企业，应当提供该通知规定的《残疾人福利性单位声明函》，并对声明的真实性负责。</w:t>
            </w:r>
          </w:p>
        </w:tc>
      </w:tr>
      <w:tr w14:paraId="7665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9E8A0C8">
            <w:r>
              <w:t>7</w:t>
            </w:r>
          </w:p>
        </w:tc>
        <w:tc>
          <w:tcPr>
            <w:tcW w:w="1281" w:type="pct"/>
          </w:tcPr>
          <w:p w14:paraId="56900711">
            <w:r>
              <w:t>信用记录</w:t>
            </w:r>
          </w:p>
        </w:tc>
        <w:tc>
          <w:tcPr>
            <w:tcW w:w="3295" w:type="pct"/>
          </w:tcPr>
          <w:p w14:paraId="1ADD1A1C">
            <w:r>
              <w:t>没有被列入失信被执行人、</w:t>
            </w:r>
            <w:r>
              <w:rPr>
                <w:rFonts w:hint="eastAsia"/>
              </w:rPr>
              <w:t>重大税收违法失信主体</w:t>
            </w:r>
            <w:r>
              <w:t>、政府采购严重违法失信行为记录名单及其他不符合规定条件的供应商。[以采购代理机构于投标（响应） 截止时间当天在“信用中国”网站（www.creditchina.gov.cn）、中国政府采购网（www.ccgp.gov.cn）及广东省政府采购网“</w:t>
            </w:r>
            <w:r>
              <w:rPr>
                <w:rFonts w:hint="eastAsia"/>
              </w:rPr>
              <w:t>政府采购严重违法失信行为记录名单</w:t>
            </w:r>
            <w:r>
              <w:t>” 查询结果为准，如相关失信记录已失效，供应商需提供相关证明资料]。</w:t>
            </w:r>
          </w:p>
        </w:tc>
      </w:tr>
      <w:tr w14:paraId="6CD7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CD4F9E1">
            <w:r>
              <w:t>8</w:t>
            </w:r>
          </w:p>
        </w:tc>
        <w:tc>
          <w:tcPr>
            <w:tcW w:w="1281" w:type="pct"/>
          </w:tcPr>
          <w:p w14:paraId="32F91018">
            <w:r>
              <w:t>供应商必须符合法律、行政法规规定的其他条件</w:t>
            </w:r>
          </w:p>
        </w:tc>
        <w:tc>
          <w:tcPr>
            <w:tcW w:w="3295" w:type="pct"/>
          </w:tcPr>
          <w:p w14:paraId="6C270FEF">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书面声明)</w:t>
            </w:r>
          </w:p>
        </w:tc>
      </w:tr>
      <w:tr w14:paraId="440A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3C76AC1">
            <w:r>
              <w:t>9</w:t>
            </w:r>
          </w:p>
        </w:tc>
        <w:tc>
          <w:tcPr>
            <w:tcW w:w="1281" w:type="pct"/>
          </w:tcPr>
          <w:p w14:paraId="07C3E125">
            <w:r>
              <w:rPr>
                <w:rFonts w:hint="eastAsia"/>
              </w:rPr>
              <w:t>登记获取本次采购文件</w:t>
            </w:r>
          </w:p>
        </w:tc>
        <w:tc>
          <w:tcPr>
            <w:tcW w:w="3295" w:type="pct"/>
          </w:tcPr>
          <w:p w14:paraId="0EF90082">
            <w:r>
              <w:rPr>
                <w:rFonts w:hint="eastAsia"/>
              </w:rPr>
              <w:t>已登记获取本次采购文件。(具体方式详见本项目公告)。</w:t>
            </w:r>
          </w:p>
        </w:tc>
      </w:tr>
      <w:tr w14:paraId="459F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E838CB7">
            <w:r>
              <w:t>10</w:t>
            </w:r>
          </w:p>
        </w:tc>
        <w:tc>
          <w:tcPr>
            <w:tcW w:w="1281" w:type="pct"/>
          </w:tcPr>
          <w:p w14:paraId="21FA32B0">
            <w:r>
              <w:rPr>
                <w:rFonts w:hint="eastAsia"/>
              </w:rPr>
              <w:t>有关联合体响应</w:t>
            </w:r>
          </w:p>
        </w:tc>
        <w:tc>
          <w:tcPr>
            <w:tcW w:w="3295" w:type="pct"/>
          </w:tcPr>
          <w:p w14:paraId="557FD944">
            <w:r>
              <w:rPr>
                <w:rFonts w:hint="eastAsia"/>
              </w:rPr>
              <w:t>本项目不接受联合体响应。</w:t>
            </w:r>
          </w:p>
        </w:tc>
      </w:tr>
      <w:tr w14:paraId="3E57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4" w:type="pct"/>
          </w:tcPr>
          <w:p w14:paraId="67F3848C">
            <w:r>
              <w:rPr>
                <w:rFonts w:hint="eastAsia"/>
              </w:rPr>
              <w:t>1</w:t>
            </w:r>
            <w:r>
              <w:t>1</w:t>
            </w:r>
          </w:p>
        </w:tc>
        <w:tc>
          <w:tcPr>
            <w:tcW w:w="1281" w:type="pct"/>
          </w:tcPr>
          <w:p w14:paraId="008F3089">
            <w:r>
              <w:rPr>
                <w:rFonts w:hint="eastAsia"/>
              </w:rPr>
              <w:t>特殊资格</w:t>
            </w:r>
          </w:p>
        </w:tc>
        <w:tc>
          <w:tcPr>
            <w:tcW w:w="3295" w:type="pct"/>
          </w:tcPr>
          <w:p w14:paraId="44F3551C">
            <w:pPr>
              <w:rPr>
                <w:rFonts w:ascii="Calibri" w:hAnsi="Calibri" w:eastAsia="宋体" w:cs="Times New Roman"/>
              </w:rPr>
            </w:pPr>
            <w:r>
              <w:rPr>
                <w:rFonts w:ascii="Calibri" w:hAnsi="Calibri" w:eastAsia="宋体" w:cs="Times New Roman"/>
              </w:rPr>
              <w:t>供应商必须为经国家保险监督管理机构批准在中华人民共和国境内设立和营业的，并依法被核定许可经营责任保险业务的保险公司或其分支机构</w:t>
            </w:r>
            <w:r>
              <w:rPr>
                <w:rFonts w:hint="eastAsia" w:ascii="Calibri" w:hAnsi="Calibri" w:eastAsia="宋体" w:cs="Times New Roman"/>
              </w:rPr>
              <w:t>，具备</w:t>
            </w:r>
            <w:r>
              <w:rPr>
                <w:rFonts w:ascii="Calibri" w:hAnsi="Calibri" w:eastAsia="宋体" w:cs="Times New Roman"/>
              </w:rPr>
              <w:t>《经营保险业务许可证》或《保险许可证》。</w:t>
            </w:r>
          </w:p>
          <w:p w14:paraId="23E1518D">
            <w:pPr>
              <w:rPr>
                <w:rFonts w:ascii="Calibri" w:hAnsi="Calibri" w:eastAsia="宋体" w:cs="Times New Roman"/>
              </w:rPr>
            </w:pPr>
            <w:r>
              <w:rPr>
                <w:rFonts w:hint="eastAsia" w:ascii="Calibri" w:hAnsi="Calibri" w:eastAsia="宋体" w:cs="Times New Roman"/>
                <w:lang w:val="en-US" w:eastAsia="zh-CN"/>
              </w:rPr>
              <w:t>总公司及其分支机构不得同时参与本项目响应。同属一个总公司的多个分支机构不得同时参与本项目响应。如总公司及其分支机构同时参与本项目响应，则该总公司以及该总公司的分支机构的响应文件均按无效响应处理；如同属一个总公司的多个分支机构同时参与本项目响应，则这几个分支机构的响应文件均按无效响应处理。</w:t>
            </w:r>
          </w:p>
        </w:tc>
      </w:tr>
    </w:tbl>
    <w:p w14:paraId="7A87AAC3">
      <w:pPr>
        <w:pStyle w:val="4"/>
      </w:pPr>
      <w:bookmarkStart w:id="42" w:name="_Toc28236"/>
      <w:r>
        <w:t>表二符合性审查表：</w:t>
      </w:r>
      <w:bookmarkEnd w:id="42"/>
    </w:p>
    <w:p w14:paraId="37628DC1">
      <w:pPr>
        <w:pStyle w:val="4"/>
      </w:pPr>
      <w:bookmarkStart w:id="43" w:name="_Toc150453392"/>
      <w:bookmarkStart w:id="44" w:name="_Toc23509"/>
      <w:r>
        <w:t>采购包1：</w:t>
      </w:r>
      <w:bookmarkEnd w:id="43"/>
      <w:bookmarkEnd w:id="44"/>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8"/>
        <w:gridCol w:w="2502"/>
        <w:gridCol w:w="6392"/>
      </w:tblGrid>
      <w:tr w14:paraId="16C96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3A18A810">
            <w:r>
              <w:t>序号</w:t>
            </w:r>
          </w:p>
        </w:tc>
        <w:tc>
          <w:tcPr>
            <w:tcW w:w="1256" w:type="pct"/>
          </w:tcPr>
          <w:p w14:paraId="4103C0A5">
            <w:r>
              <w:t>评审点要求概况</w:t>
            </w:r>
          </w:p>
        </w:tc>
        <w:tc>
          <w:tcPr>
            <w:tcW w:w="3208" w:type="pct"/>
          </w:tcPr>
          <w:p w14:paraId="32BCA123">
            <w:r>
              <w:t>评审点具体描述</w:t>
            </w:r>
          </w:p>
        </w:tc>
      </w:tr>
      <w:tr w14:paraId="181B0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72C5244D">
            <w:r>
              <w:t>1</w:t>
            </w:r>
          </w:p>
        </w:tc>
        <w:tc>
          <w:tcPr>
            <w:tcW w:w="1256" w:type="pct"/>
            <w:vAlign w:val="center"/>
          </w:tcPr>
          <w:p w14:paraId="1051D71E">
            <w:r>
              <w:rPr>
                <w:rFonts w:hint="eastAsia" w:ascii="宋体" w:hAnsi="宋体" w:eastAsia="宋体" w:cs="宋体"/>
              </w:rPr>
              <w:t>响应报价</w:t>
            </w:r>
          </w:p>
        </w:tc>
        <w:tc>
          <w:tcPr>
            <w:tcW w:w="3208" w:type="pct"/>
            <w:vAlign w:val="center"/>
          </w:tcPr>
          <w:p w14:paraId="26199EC9">
            <w:pPr>
              <w:rPr>
                <w:rFonts w:hint="eastAsia" w:ascii="宋体" w:hAnsi="宋体" w:eastAsia="宋体" w:cs="宋体"/>
              </w:rPr>
            </w:pPr>
            <w:r>
              <w:rPr>
                <w:rFonts w:hint="eastAsia" w:ascii="宋体" w:hAnsi="宋体" w:eastAsia="宋体" w:cs="宋体"/>
              </w:rPr>
              <w:t>1）响应报价未超过本项目</w:t>
            </w:r>
            <w:r>
              <w:rPr>
                <w:rFonts w:hint="eastAsia" w:ascii="宋体" w:hAnsi="宋体" w:eastAsia="宋体"/>
              </w:rPr>
              <w:t>采购预算及最高限价。</w:t>
            </w:r>
          </w:p>
          <w:p w14:paraId="4260855F">
            <w:pPr>
              <w:rPr>
                <w:rFonts w:hint="eastAsia" w:ascii="宋体" w:hAnsi="宋体" w:eastAsia="宋体" w:cs="宋体"/>
              </w:rPr>
            </w:pPr>
            <w:r>
              <w:rPr>
                <w:rFonts w:hint="eastAsia" w:ascii="宋体" w:hAnsi="宋体" w:eastAsia="宋体" w:cs="宋体"/>
              </w:rPr>
              <w:t>2）对本项目（采购包）全部内容进行响应报价</w:t>
            </w:r>
          </w:p>
          <w:p w14:paraId="439DAB3F">
            <w:r>
              <w:rPr>
                <w:rFonts w:hint="eastAsia" w:ascii="宋体" w:hAnsi="宋体" w:eastAsia="宋体" w:cs="宋体"/>
              </w:rPr>
              <w:t>3）响应报价是唯一确定的。</w:t>
            </w:r>
          </w:p>
        </w:tc>
      </w:tr>
      <w:tr w14:paraId="039BF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3B1F7A53">
            <w:r>
              <w:t>2</w:t>
            </w:r>
          </w:p>
        </w:tc>
        <w:tc>
          <w:tcPr>
            <w:tcW w:w="1256" w:type="pct"/>
            <w:vAlign w:val="center"/>
          </w:tcPr>
          <w:p w14:paraId="428BB255">
            <w:r>
              <w:rPr>
                <w:rFonts w:hint="eastAsia" w:ascii="宋体" w:hAnsi="宋体" w:eastAsia="宋体" w:cs="宋体"/>
              </w:rPr>
              <w:t>签署及盖章</w:t>
            </w:r>
          </w:p>
        </w:tc>
        <w:tc>
          <w:tcPr>
            <w:tcW w:w="3208" w:type="pct"/>
            <w:vAlign w:val="center"/>
          </w:tcPr>
          <w:p w14:paraId="189A1564">
            <w:r>
              <w:rPr>
                <w:rFonts w:hint="eastAsia" w:ascii="宋体" w:hAnsi="宋体" w:eastAsia="宋体" w:cs="宋体"/>
              </w:rPr>
              <w:t>响应文件按照磋商文件规定要求签署、盖章。</w:t>
            </w:r>
          </w:p>
        </w:tc>
      </w:tr>
      <w:tr w14:paraId="5BB3E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1DCF577E">
            <w:r>
              <w:t>3</w:t>
            </w:r>
          </w:p>
        </w:tc>
        <w:tc>
          <w:tcPr>
            <w:tcW w:w="1256" w:type="pct"/>
            <w:vAlign w:val="center"/>
          </w:tcPr>
          <w:p w14:paraId="71693ADA">
            <w:r>
              <w:rPr>
                <w:rFonts w:hint="eastAsia" w:ascii="宋体" w:hAnsi="宋体" w:eastAsia="宋体" w:cs="宋体"/>
              </w:rPr>
              <w:t>法定代表人证明书及授权委托书</w:t>
            </w:r>
          </w:p>
        </w:tc>
        <w:tc>
          <w:tcPr>
            <w:tcW w:w="3208" w:type="pct"/>
            <w:vAlign w:val="center"/>
          </w:tcPr>
          <w:p w14:paraId="4D981179">
            <w:r>
              <w:rPr>
                <w:rFonts w:hint="eastAsia" w:ascii="宋体" w:hAnsi="宋体" w:eastAsia="宋体" w:cs="宋体"/>
              </w:rPr>
              <w:t>法定代表人/负责人资格证明书及授权委托书按对应格式文件签署、盖章。</w:t>
            </w:r>
          </w:p>
        </w:tc>
      </w:tr>
      <w:tr w14:paraId="77CD2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013AFB74">
            <w:r>
              <w:t>4</w:t>
            </w:r>
          </w:p>
        </w:tc>
        <w:tc>
          <w:tcPr>
            <w:tcW w:w="1256" w:type="pct"/>
            <w:vAlign w:val="center"/>
          </w:tcPr>
          <w:p w14:paraId="19EF88EB">
            <w:r>
              <w:rPr>
                <w:rFonts w:hint="eastAsia" w:ascii="宋体" w:hAnsi="宋体" w:eastAsia="宋体" w:cs="宋体"/>
              </w:rPr>
              <w:t>响应有效期</w:t>
            </w:r>
          </w:p>
        </w:tc>
        <w:tc>
          <w:tcPr>
            <w:tcW w:w="3208" w:type="pct"/>
            <w:vAlign w:val="center"/>
          </w:tcPr>
          <w:p w14:paraId="18B6FDC1">
            <w:r>
              <w:rPr>
                <w:rFonts w:hint="eastAsia" w:ascii="宋体" w:hAnsi="宋体" w:eastAsia="宋体" w:cs="宋体"/>
              </w:rPr>
              <w:t>提供《响应承诺函》，响应有效期满足磋商文件要求。</w:t>
            </w:r>
          </w:p>
        </w:tc>
      </w:tr>
      <w:tr w14:paraId="092C9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2C85C309">
            <w:r>
              <w:t>5</w:t>
            </w:r>
          </w:p>
        </w:tc>
        <w:tc>
          <w:tcPr>
            <w:tcW w:w="1256" w:type="pct"/>
            <w:vAlign w:val="center"/>
          </w:tcPr>
          <w:p w14:paraId="6A4417EA">
            <w:r>
              <w:rPr>
                <w:rFonts w:hint="eastAsia" w:ascii="宋体" w:hAnsi="宋体" w:eastAsia="宋体" w:cs="宋体"/>
              </w:rPr>
              <w:t>“★”号条款响应</w:t>
            </w:r>
          </w:p>
        </w:tc>
        <w:tc>
          <w:tcPr>
            <w:tcW w:w="3208" w:type="pct"/>
            <w:vAlign w:val="center"/>
          </w:tcPr>
          <w:p w14:paraId="1EF963E3">
            <w:r>
              <w:rPr>
                <w:rFonts w:hint="eastAsia" w:ascii="宋体" w:hAnsi="宋体" w:eastAsia="宋体" w:cs="宋体"/>
              </w:rPr>
              <w:t>实质性响应磋商文件中“★”号条款的技术、商务要求：响应方案不得对实质性技术与商务的（即标注★号条款）条款产生偏离。</w:t>
            </w:r>
          </w:p>
        </w:tc>
      </w:tr>
      <w:tr w14:paraId="1093D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523E0BAA">
            <w:r>
              <w:t>6</w:t>
            </w:r>
          </w:p>
        </w:tc>
        <w:tc>
          <w:tcPr>
            <w:tcW w:w="1256" w:type="pct"/>
          </w:tcPr>
          <w:p w14:paraId="745B53EB">
            <w:pPr>
              <w:rPr>
                <w:rFonts w:hint="eastAsia" w:ascii="宋体" w:hAnsi="宋体" w:eastAsia="宋体" w:cs="宋体"/>
              </w:rPr>
            </w:pPr>
            <w:r>
              <w:t>报价修正</w:t>
            </w:r>
          </w:p>
        </w:tc>
        <w:tc>
          <w:tcPr>
            <w:tcW w:w="3208" w:type="pct"/>
          </w:tcPr>
          <w:p w14:paraId="1C745EBA">
            <w:pPr>
              <w:rPr>
                <w:rFonts w:hint="eastAsia" w:ascii="宋体" w:hAnsi="宋体" w:eastAsia="宋体" w:cs="宋体"/>
              </w:rPr>
            </w:pPr>
            <w:r>
              <w:t>如出现</w:t>
            </w:r>
            <w:r>
              <w:rPr>
                <w:rFonts w:hint="eastAsia"/>
              </w:rPr>
              <w:t>响应</w:t>
            </w:r>
            <w:r>
              <w:t>报价错误的处理原则修正后的报价,</w:t>
            </w:r>
            <w:r>
              <w:rPr>
                <w:rFonts w:hint="eastAsia"/>
              </w:rPr>
              <w:t>供应商</w:t>
            </w:r>
            <w:r>
              <w:t>按规定书面确认。</w:t>
            </w:r>
          </w:p>
        </w:tc>
      </w:tr>
      <w:tr w14:paraId="019D1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3EAEA29E">
            <w:r>
              <w:t>7</w:t>
            </w:r>
          </w:p>
        </w:tc>
        <w:tc>
          <w:tcPr>
            <w:tcW w:w="1256" w:type="pct"/>
          </w:tcPr>
          <w:p w14:paraId="34B4B856">
            <w:pPr>
              <w:rPr>
                <w:rFonts w:hint="eastAsia" w:ascii="宋体" w:hAnsi="宋体" w:eastAsia="宋体" w:cs="宋体"/>
              </w:rPr>
            </w:pPr>
            <w:r>
              <w:rPr>
                <w:rFonts w:hint="eastAsia"/>
              </w:rPr>
              <w:t>串通响应</w:t>
            </w:r>
          </w:p>
        </w:tc>
        <w:tc>
          <w:tcPr>
            <w:tcW w:w="3208" w:type="pct"/>
          </w:tcPr>
          <w:p w14:paraId="5AA733EC">
            <w:pPr>
              <w:rPr>
                <w:rFonts w:hint="eastAsia" w:ascii="宋体" w:hAnsi="宋体" w:eastAsia="宋体" w:cs="宋体"/>
              </w:rPr>
            </w:pPr>
            <w:r>
              <w:t>未出现视为</w:t>
            </w:r>
            <w:r>
              <w:rPr>
                <w:rFonts w:hint="eastAsia"/>
              </w:rPr>
              <w:t>供应商串通响应</w:t>
            </w:r>
            <w:r>
              <w:t>所列的情形。</w:t>
            </w:r>
          </w:p>
        </w:tc>
      </w:tr>
      <w:tr w14:paraId="249B4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7E7036F8">
            <w:r>
              <w:rPr>
                <w:rFonts w:hint="eastAsia"/>
              </w:rPr>
              <w:t>8</w:t>
            </w:r>
          </w:p>
        </w:tc>
        <w:tc>
          <w:tcPr>
            <w:tcW w:w="1256" w:type="pct"/>
          </w:tcPr>
          <w:p w14:paraId="2049106A">
            <w:pPr>
              <w:rPr>
                <w:rFonts w:hint="eastAsia" w:ascii="宋体" w:hAnsi="宋体" w:eastAsia="宋体" w:cs="宋体"/>
              </w:rPr>
            </w:pPr>
            <w:r>
              <w:t>附加条件</w:t>
            </w:r>
          </w:p>
        </w:tc>
        <w:tc>
          <w:tcPr>
            <w:tcW w:w="3208" w:type="pct"/>
          </w:tcPr>
          <w:p w14:paraId="441997AD">
            <w:pPr>
              <w:rPr>
                <w:rFonts w:hint="eastAsia" w:ascii="宋体" w:hAnsi="宋体" w:eastAsia="宋体" w:cs="宋体"/>
              </w:rPr>
            </w:pPr>
            <w:r>
              <w:rPr>
                <w:rFonts w:hint="eastAsia"/>
              </w:rPr>
              <w:t>响应</w:t>
            </w:r>
            <w:r>
              <w:t>文件未含有采购人不可接受的附加条件。</w:t>
            </w:r>
          </w:p>
        </w:tc>
      </w:tr>
      <w:tr w14:paraId="61CFD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5F16B9FB">
            <w:r>
              <w:rPr>
                <w:rFonts w:hint="eastAsia"/>
              </w:rPr>
              <w:t>9</w:t>
            </w:r>
          </w:p>
        </w:tc>
        <w:tc>
          <w:tcPr>
            <w:tcW w:w="1256" w:type="pct"/>
          </w:tcPr>
          <w:p w14:paraId="51FAABBA">
            <w:r>
              <w:t>报价合理性</w:t>
            </w:r>
          </w:p>
        </w:tc>
        <w:tc>
          <w:tcPr>
            <w:tcW w:w="3208" w:type="pct"/>
          </w:tcPr>
          <w:p w14:paraId="0C5BBD7C">
            <w:r>
              <w:t>如果</w:t>
            </w:r>
            <w:r>
              <w:rPr>
                <w:rFonts w:hint="eastAsia"/>
              </w:rPr>
              <w:t>磋商小组</w:t>
            </w:r>
            <w:r>
              <w:t>认为</w:t>
            </w:r>
            <w:r>
              <w:rPr>
                <w:rFonts w:hint="eastAsia"/>
              </w:rPr>
              <w:t>供应商</w:t>
            </w:r>
            <w:r>
              <w:t>的报价明显低于其他通过符合性审查</w:t>
            </w:r>
            <w:r>
              <w:rPr>
                <w:rFonts w:hint="eastAsia"/>
              </w:rPr>
              <w:t>供应商</w:t>
            </w:r>
            <w:r>
              <w:t>的报价，有可能影响产品质量或者不能诚信履约的，将要求其在</w:t>
            </w:r>
            <w:r>
              <w:rPr>
                <w:rFonts w:hint="eastAsia"/>
              </w:rPr>
              <w:t>评审</w:t>
            </w:r>
            <w:r>
              <w:t>现场合理的时间内提供书面说明，必要时提交相关证明材料；</w:t>
            </w:r>
            <w:r>
              <w:rPr>
                <w:rFonts w:hint="eastAsia"/>
              </w:rPr>
              <w:t>供应商</w:t>
            </w:r>
            <w:r>
              <w:t>应能证明其报价合理性。</w:t>
            </w:r>
          </w:p>
        </w:tc>
      </w:tr>
    </w:tbl>
    <w:p w14:paraId="41C2783B">
      <w:pPr>
        <w:pStyle w:val="4"/>
      </w:pPr>
      <w:bookmarkStart w:id="45" w:name="_Toc17128"/>
      <w:r>
        <w:t>2.响应文件澄清</w:t>
      </w:r>
      <w:bookmarkEnd w:id="45"/>
    </w:p>
    <w:p w14:paraId="04289295">
      <w:pPr>
        <w:ind w:firstLine="480"/>
      </w:pPr>
      <w:r>
        <w:t>2.1对于响应文件中含义不明确、同类问题表述不一致或者有明显文字和计算错误的内容，磋商小组可在评审过程中发起澄清，要求供应商针对价格或内容做出必要的澄清、说明或补正。</w:t>
      </w:r>
    </w:p>
    <w:p w14:paraId="1C65959A">
      <w:pPr>
        <w:ind w:firstLine="480"/>
      </w:pPr>
      <w:r>
        <w:rPr>
          <w:rFonts w:hint="eastAsia"/>
        </w:rPr>
        <w:t>供应商的澄清、说明或者补正应当采用书面形式，并加盖公章，或者由法定代表人或其授权的代表签字。供应商的澄清、说明或者补正不得超出响应文件的范围或者改变响应文件的实质性内容。</w:t>
      </w:r>
    </w:p>
    <w:p w14:paraId="10D8BD90">
      <w:pPr>
        <w:ind w:firstLine="480"/>
      </w:pPr>
      <w:r>
        <w:t>2.2磋商小组不接受供应商主动提出的澄清、说明或补正。</w:t>
      </w:r>
    </w:p>
    <w:p w14:paraId="6ED4690E">
      <w:pPr>
        <w:ind w:firstLine="480"/>
      </w:pPr>
      <w:r>
        <w:t>2.3磋商小组对供应商提交的澄清、说明或补正有疑问的，可以要求供应商进一步澄清、说明或补正。</w:t>
      </w:r>
    </w:p>
    <w:p w14:paraId="10886CF1">
      <w:pPr>
        <w:pStyle w:val="4"/>
      </w:pPr>
      <w:bookmarkStart w:id="46" w:name="_Toc31382"/>
      <w:r>
        <w:t>3.磋商</w:t>
      </w:r>
      <w:bookmarkEnd w:id="46"/>
    </w:p>
    <w:p w14:paraId="59644780">
      <w:pPr>
        <w:ind w:firstLine="480"/>
      </w:pPr>
      <w:r>
        <w:t>3.1磋商小组所有成员应当集中与单一供应商分别进行磋商，并给予所有参加磋商的供应商平等的磋商机会。</w:t>
      </w:r>
    </w:p>
    <w:p w14:paraId="5ABF4AFF">
      <w:pPr>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14:paraId="197D5C64">
      <w:pPr>
        <w:ind w:firstLine="480"/>
      </w:pPr>
      <w:r>
        <w:t>3.3对磋商文件作出的实质性变动是磋商文件的有效组成部分，磋商小组应当及时、同时通知所有参加磋商的供应商。</w:t>
      </w:r>
    </w:p>
    <w:p w14:paraId="4A534AD6">
      <w:pPr>
        <w:ind w:firstLine="480"/>
      </w:pPr>
      <w: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4BA76503">
      <w:pPr>
        <w:pStyle w:val="4"/>
      </w:pPr>
      <w:bookmarkStart w:id="47" w:name="_Toc22797"/>
      <w:r>
        <w:t>4.最后报价</w:t>
      </w:r>
      <w:bookmarkEnd w:id="47"/>
    </w:p>
    <w:p w14:paraId="2E5B588E">
      <w:pPr>
        <w:ind w:firstLine="480"/>
      </w:pPr>
      <w:r>
        <w:t>4.1磋商结束后，磋商小组应当要求所有实质性响应的供应商在规定时间内提交最后报价。最后报价是供应商响应文件的有效组成部分。</w:t>
      </w:r>
    </w:p>
    <w:p w14:paraId="7FACFE5B">
      <w:pPr>
        <w:ind w:firstLine="480"/>
      </w:pPr>
      <w:r>
        <w:t>4.2已提交响应文件的供应商，在提交最后报价之前，可以根据磋商情况退出磋商。</w:t>
      </w:r>
    </w:p>
    <w:p w14:paraId="3FBA832B">
      <w:pPr>
        <w:ind w:firstLine="480"/>
      </w:pPr>
      <w:r>
        <w:t>4.3除法规规定的特殊性情形外，提交最后报价的供应商不得少于3家。</w:t>
      </w:r>
    </w:p>
    <w:p w14:paraId="1E7052F2">
      <w:pPr>
        <w:pStyle w:val="4"/>
      </w:pPr>
      <w:bookmarkStart w:id="48" w:name="_Toc2200"/>
      <w:r>
        <w:t>5.详细评审</w:t>
      </w:r>
      <w:bookmarkEnd w:id="48"/>
    </w:p>
    <w:p w14:paraId="0E0925AF">
      <w:pPr>
        <w:pStyle w:val="4"/>
      </w:pPr>
      <w:bookmarkStart w:id="49" w:name="_Toc18135"/>
      <w:bookmarkStart w:id="50" w:name="_Toc150453397"/>
      <w:r>
        <w:t>采购包1:</w:t>
      </w:r>
      <w:bookmarkEnd w:id="49"/>
      <w:bookmarkEnd w:id="50"/>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2497"/>
        <w:gridCol w:w="6630"/>
      </w:tblGrid>
      <w:tr w14:paraId="14574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noWrap w:val="0"/>
            <w:vAlign w:val="center"/>
          </w:tcPr>
          <w:p w14:paraId="3133D38B">
            <w:pPr>
              <w:jc w:val="center"/>
              <w:rPr>
                <w:rFonts w:ascii="宋体" w:hAnsi="宋体" w:eastAsia="宋体" w:cs="Times New Roman"/>
                <w:b/>
                <w:bCs/>
                <w:szCs w:val="21"/>
              </w:rPr>
            </w:pPr>
            <w:r>
              <w:rPr>
                <w:rFonts w:ascii="宋体" w:hAnsi="宋体" w:eastAsia="宋体" w:cs="Times New Roman"/>
                <w:b/>
                <w:bCs/>
                <w:szCs w:val="21"/>
              </w:rPr>
              <w:t>评审因素</w:t>
            </w:r>
          </w:p>
        </w:tc>
        <w:tc>
          <w:tcPr>
            <w:tcW w:w="4580" w:type="pct"/>
            <w:gridSpan w:val="2"/>
            <w:noWrap w:val="0"/>
            <w:vAlign w:val="center"/>
          </w:tcPr>
          <w:p w14:paraId="3ECA089A">
            <w:pPr>
              <w:jc w:val="center"/>
              <w:rPr>
                <w:rFonts w:ascii="宋体" w:hAnsi="宋体" w:eastAsia="宋体" w:cs="Times New Roman"/>
                <w:b/>
                <w:bCs/>
                <w:szCs w:val="21"/>
              </w:rPr>
            </w:pPr>
            <w:r>
              <w:rPr>
                <w:rFonts w:ascii="宋体" w:hAnsi="宋体" w:eastAsia="宋体" w:cs="Times New Roman"/>
                <w:b/>
                <w:bCs/>
                <w:szCs w:val="21"/>
              </w:rPr>
              <w:t>评审标准</w:t>
            </w:r>
          </w:p>
        </w:tc>
      </w:tr>
      <w:tr w14:paraId="1C256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noWrap w:val="0"/>
            <w:vAlign w:val="center"/>
          </w:tcPr>
          <w:p w14:paraId="39C01AB4">
            <w:pPr>
              <w:jc w:val="center"/>
              <w:rPr>
                <w:rFonts w:ascii="宋体" w:hAnsi="宋体" w:eastAsia="宋体" w:cs="Times New Roman"/>
                <w:szCs w:val="21"/>
              </w:rPr>
            </w:pPr>
            <w:r>
              <w:rPr>
                <w:rFonts w:ascii="宋体" w:hAnsi="宋体" w:eastAsia="宋体" w:cs="Times New Roman"/>
                <w:szCs w:val="21"/>
              </w:rPr>
              <w:t>分值构成</w:t>
            </w:r>
          </w:p>
        </w:tc>
        <w:tc>
          <w:tcPr>
            <w:tcW w:w="4580" w:type="pct"/>
            <w:gridSpan w:val="2"/>
            <w:noWrap w:val="0"/>
            <w:vAlign w:val="center"/>
          </w:tcPr>
          <w:p w14:paraId="4C45BF50">
            <w:pPr>
              <w:jc w:val="center"/>
              <w:rPr>
                <w:rFonts w:ascii="宋体" w:hAnsi="宋体" w:eastAsia="宋体" w:cs="Times New Roman"/>
                <w:szCs w:val="21"/>
              </w:rPr>
            </w:pPr>
            <w:r>
              <w:rPr>
                <w:rFonts w:hint="eastAsia" w:ascii="宋体" w:hAnsi="宋体" w:eastAsia="宋体" w:cs="Times New Roman"/>
                <w:szCs w:val="21"/>
                <w:lang w:val="en-US" w:eastAsia="zh-CN"/>
              </w:rPr>
              <w:t>技术</w:t>
            </w:r>
            <w:r>
              <w:rPr>
                <w:rFonts w:ascii="宋体" w:hAnsi="宋体" w:eastAsia="宋体" w:cs="Times New Roman"/>
                <w:szCs w:val="21"/>
              </w:rPr>
              <w:t>部分</w:t>
            </w:r>
            <w:r>
              <w:rPr>
                <w:rFonts w:hint="eastAsia" w:ascii="宋体" w:hAnsi="宋体" w:eastAsia="宋体" w:cs="Times New Roman"/>
                <w:szCs w:val="21"/>
                <w:lang w:val="en-US" w:eastAsia="zh-CN"/>
              </w:rPr>
              <w:t>50</w:t>
            </w:r>
            <w:r>
              <w:rPr>
                <w:rFonts w:ascii="宋体" w:hAnsi="宋体" w:eastAsia="宋体" w:cs="Times New Roman"/>
                <w:szCs w:val="21"/>
              </w:rPr>
              <w:t>分</w:t>
            </w:r>
          </w:p>
          <w:p w14:paraId="2487F1B3">
            <w:pPr>
              <w:jc w:val="center"/>
              <w:rPr>
                <w:rFonts w:ascii="宋体" w:hAnsi="宋体" w:eastAsia="宋体" w:cs="Times New Roman"/>
                <w:szCs w:val="21"/>
              </w:rPr>
            </w:pPr>
            <w:r>
              <w:rPr>
                <w:rFonts w:hint="eastAsia" w:ascii="宋体" w:hAnsi="宋体" w:eastAsia="宋体" w:cs="Times New Roman"/>
                <w:szCs w:val="21"/>
                <w:lang w:val="en-US" w:eastAsia="zh-CN"/>
              </w:rPr>
              <w:t>商务</w:t>
            </w:r>
            <w:r>
              <w:rPr>
                <w:rFonts w:ascii="宋体" w:hAnsi="宋体" w:eastAsia="宋体" w:cs="Times New Roman"/>
                <w:szCs w:val="21"/>
              </w:rPr>
              <w:t>部分</w:t>
            </w:r>
            <w:r>
              <w:rPr>
                <w:rFonts w:hint="eastAsia" w:ascii="宋体" w:hAnsi="宋体" w:eastAsia="宋体" w:cs="Times New Roman"/>
                <w:szCs w:val="21"/>
                <w:lang w:val="en-US" w:eastAsia="zh-CN"/>
              </w:rPr>
              <w:t>30</w:t>
            </w:r>
            <w:r>
              <w:rPr>
                <w:rFonts w:ascii="宋体" w:hAnsi="宋体" w:eastAsia="宋体" w:cs="Times New Roman"/>
                <w:szCs w:val="21"/>
              </w:rPr>
              <w:t>分</w:t>
            </w:r>
          </w:p>
          <w:p w14:paraId="769EED57">
            <w:pPr>
              <w:jc w:val="center"/>
              <w:rPr>
                <w:rFonts w:ascii="宋体" w:hAnsi="宋体" w:eastAsia="宋体" w:cs="Times New Roman"/>
                <w:szCs w:val="21"/>
              </w:rPr>
            </w:pPr>
            <w:r>
              <w:rPr>
                <w:rFonts w:ascii="宋体" w:hAnsi="宋体" w:eastAsia="宋体" w:cs="Times New Roman"/>
                <w:szCs w:val="21"/>
              </w:rPr>
              <w:t>报价得分</w:t>
            </w:r>
            <w:r>
              <w:rPr>
                <w:rFonts w:hint="eastAsia" w:ascii="宋体" w:hAnsi="宋体" w:eastAsia="宋体" w:cs="Times New Roman"/>
                <w:szCs w:val="21"/>
                <w:lang w:val="en-US" w:eastAsia="zh-CN"/>
              </w:rPr>
              <w:t>2</w:t>
            </w:r>
            <w:r>
              <w:rPr>
                <w:rFonts w:ascii="宋体" w:hAnsi="宋体" w:eastAsia="宋体" w:cs="Times New Roman"/>
                <w:szCs w:val="21"/>
              </w:rPr>
              <w:t>0分</w:t>
            </w:r>
          </w:p>
        </w:tc>
      </w:tr>
      <w:tr w14:paraId="05BB5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vMerge w:val="restart"/>
            <w:noWrap w:val="0"/>
            <w:vAlign w:val="center"/>
          </w:tcPr>
          <w:p w14:paraId="2C44EB22">
            <w:pPr>
              <w:jc w:val="center"/>
              <w:rPr>
                <w:rFonts w:ascii="宋体" w:hAnsi="宋体" w:eastAsia="宋体" w:cs="Times New Roman"/>
                <w:szCs w:val="21"/>
              </w:rPr>
            </w:pPr>
            <w:r>
              <w:rPr>
                <w:rFonts w:ascii="宋体" w:hAnsi="宋体" w:eastAsia="宋体" w:cs="Times New Roman"/>
                <w:szCs w:val="21"/>
              </w:rPr>
              <w:t>技术部分</w:t>
            </w:r>
          </w:p>
        </w:tc>
        <w:tc>
          <w:tcPr>
            <w:tcW w:w="1253" w:type="pct"/>
            <w:noWrap w:val="0"/>
            <w:vAlign w:val="center"/>
          </w:tcPr>
          <w:p w14:paraId="01EA10C1">
            <w:pPr>
              <w:jc w:val="center"/>
              <w:rPr>
                <w:rFonts w:hint="eastAsia" w:ascii="宋体" w:hAnsi="宋体" w:eastAsia="宋体" w:cs="Times New Roman"/>
                <w:szCs w:val="21"/>
                <w:highlight w:val="none"/>
              </w:rPr>
            </w:pPr>
            <w:r>
              <w:rPr>
                <w:rFonts w:hint="eastAsia" w:ascii="宋体" w:hAnsi="宋体" w:eastAsia="宋体" w:cs="Times New Roman"/>
                <w:szCs w:val="21"/>
                <w:highlight w:val="none"/>
              </w:rPr>
              <w:t>需求条款响应情况</w:t>
            </w:r>
          </w:p>
          <w:p w14:paraId="7184D2F1">
            <w:pPr>
              <w:jc w:val="center"/>
              <w:rPr>
                <w:rFonts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9分</w:t>
            </w:r>
            <w:r>
              <w:rPr>
                <w:rFonts w:hint="eastAsia" w:ascii="宋体" w:hAnsi="宋体" w:eastAsia="宋体" w:cs="Times New Roman"/>
                <w:szCs w:val="21"/>
                <w:highlight w:val="none"/>
                <w:lang w:eastAsia="zh-CN"/>
              </w:rPr>
              <w:t>）</w:t>
            </w:r>
          </w:p>
        </w:tc>
        <w:tc>
          <w:tcPr>
            <w:tcW w:w="3327" w:type="pct"/>
            <w:noWrap w:val="0"/>
            <w:vAlign w:val="center"/>
          </w:tcPr>
          <w:p w14:paraId="14F49DA6">
            <w:pPr>
              <w:jc w:val="left"/>
              <w:rPr>
                <w:rFonts w:hint="eastAsia" w:ascii="宋体" w:hAnsi="宋体" w:eastAsia="宋体" w:cs="Times New Roman"/>
                <w:szCs w:val="21"/>
                <w:highlight w:val="none"/>
              </w:rPr>
            </w:pPr>
            <w:r>
              <w:rPr>
                <w:rFonts w:hint="eastAsia" w:ascii="宋体" w:hAnsi="宋体" w:eastAsia="宋体" w:cs="Times New Roman"/>
                <w:szCs w:val="21"/>
                <w:highlight w:val="none"/>
              </w:rPr>
              <w:t>考察</w:t>
            </w:r>
            <w:r>
              <w:rPr>
                <w:rFonts w:hint="eastAsia" w:ascii="宋体" w:hAnsi="宋体" w:eastAsia="宋体" w:cs="宋体"/>
                <w:szCs w:val="21"/>
              </w:rPr>
              <w:t>供应商</w:t>
            </w:r>
            <w:r>
              <w:rPr>
                <w:rFonts w:hint="eastAsia" w:ascii="宋体" w:hAnsi="宋体" w:eastAsia="宋体" w:cs="Times New Roman"/>
                <w:szCs w:val="21"/>
                <w:highlight w:val="none"/>
              </w:rPr>
              <w:t>对</w:t>
            </w:r>
            <w:r>
              <w:rPr>
                <w:rFonts w:hint="eastAsia" w:ascii="宋体" w:hAnsi="宋体" w:eastAsia="宋体" w:cs="Times New Roman"/>
                <w:szCs w:val="21"/>
                <w:highlight w:val="none"/>
                <w:lang w:val="en-US" w:eastAsia="zh-CN"/>
              </w:rPr>
              <w:t>磋商</w:t>
            </w:r>
            <w:r>
              <w:rPr>
                <w:rFonts w:hint="eastAsia" w:ascii="宋体" w:hAnsi="宋体" w:eastAsia="宋体" w:cs="Times New Roman"/>
                <w:szCs w:val="21"/>
                <w:highlight w:val="none"/>
              </w:rPr>
              <w:t>文件中带“▲”技术内容的响应情况：带“▲”号技术指标，每有一项负偏离的扣</w:t>
            </w:r>
            <w:r>
              <w:rPr>
                <w:rFonts w:hint="eastAsia" w:ascii="宋体" w:hAnsi="宋体" w:eastAsia="宋体" w:cs="Times New Roman"/>
                <w:szCs w:val="21"/>
                <w:highlight w:val="none"/>
                <w:lang w:val="en-US" w:eastAsia="zh-CN"/>
              </w:rPr>
              <w:t>0.6</w:t>
            </w:r>
            <w:r>
              <w:rPr>
                <w:rFonts w:hint="eastAsia" w:ascii="宋体" w:hAnsi="宋体" w:eastAsia="宋体" w:cs="Times New Roman"/>
                <w:szCs w:val="21"/>
                <w:highlight w:val="none"/>
              </w:rPr>
              <w:t>分，扣完为止。本项最高</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rPr>
              <w:t>分，最低得0分。</w:t>
            </w:r>
          </w:p>
          <w:p w14:paraId="50C93D80">
            <w:pPr>
              <w:jc w:val="left"/>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注：如采购需求有要求提供证明材料的，则以采购需求要求的为准。否则以参选人《技术和服务要求响应表》的响应情况为准。</w:t>
            </w:r>
          </w:p>
          <w:p w14:paraId="33CA923E">
            <w:pPr>
              <w:jc w:val="left"/>
              <w:rPr>
                <w:rFonts w:hint="eastAsia" w:eastAsia="宋体"/>
                <w:lang w:val="en-US" w:eastAsia="zh-CN"/>
              </w:rPr>
            </w:pPr>
          </w:p>
        </w:tc>
      </w:tr>
      <w:tr w14:paraId="41675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vMerge w:val="continue"/>
            <w:noWrap w:val="0"/>
            <w:vAlign w:val="center"/>
          </w:tcPr>
          <w:p w14:paraId="6E2C39C3">
            <w:pPr>
              <w:jc w:val="center"/>
              <w:rPr>
                <w:rFonts w:ascii="宋体" w:hAnsi="宋体" w:eastAsia="宋体" w:cs="Times New Roman"/>
                <w:szCs w:val="21"/>
              </w:rPr>
            </w:pPr>
          </w:p>
        </w:tc>
        <w:tc>
          <w:tcPr>
            <w:tcW w:w="1253" w:type="pct"/>
            <w:noWrap w:val="0"/>
            <w:vAlign w:val="center"/>
          </w:tcPr>
          <w:p w14:paraId="06533A7E">
            <w:pPr>
              <w:jc w:val="center"/>
              <w:rPr>
                <w:rFonts w:hint="eastAsia" w:ascii="宋体" w:hAnsi="宋体" w:eastAsia="宋体" w:cs="宋体"/>
                <w:szCs w:val="21"/>
              </w:rPr>
            </w:pPr>
            <w:r>
              <w:rPr>
                <w:rFonts w:hint="eastAsia" w:ascii="宋体" w:hAnsi="宋体" w:eastAsia="宋体" w:cs="宋体"/>
                <w:szCs w:val="21"/>
              </w:rPr>
              <w:t>保险服务运作</w:t>
            </w:r>
          </w:p>
          <w:p w14:paraId="39DBD6C3">
            <w:pPr>
              <w:jc w:val="center"/>
              <w:rPr>
                <w:rFonts w:hint="eastAsia" w:ascii="宋体" w:hAnsi="宋体" w:eastAsia="宋体" w:cs="Times New Roman"/>
                <w:szCs w:val="21"/>
                <w:highlight w:val="yellow"/>
                <w:lang w:eastAsia="zh-CN"/>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3327" w:type="pct"/>
            <w:noWrap w:val="0"/>
            <w:vAlign w:val="center"/>
          </w:tcPr>
          <w:p w14:paraId="64E4838F">
            <w:pPr>
              <w:jc w:val="left"/>
              <w:rPr>
                <w:rFonts w:hint="eastAsia" w:ascii="宋体" w:hAnsi="宋体" w:eastAsia="宋体" w:cs="宋体"/>
                <w:szCs w:val="21"/>
              </w:rPr>
            </w:pPr>
            <w:r>
              <w:rPr>
                <w:rFonts w:hint="eastAsia" w:ascii="宋体" w:hAnsi="宋体" w:eastAsia="宋体" w:cs="宋体"/>
                <w:szCs w:val="21"/>
              </w:rPr>
              <w:t>供应商保险相关管理制度（包括但不限于：保险工作制度、理赔权限、理赔时效、快速通道、索赔资料、认可判决/调解/裁决及鉴定结果等）非常完整、健全、规范，可操作性强，得10分；</w:t>
            </w:r>
          </w:p>
          <w:p w14:paraId="6233409F">
            <w:pPr>
              <w:jc w:val="left"/>
              <w:rPr>
                <w:rFonts w:hint="eastAsia" w:ascii="宋体" w:hAnsi="宋体" w:eastAsia="宋体" w:cs="宋体"/>
                <w:szCs w:val="21"/>
              </w:rPr>
            </w:pPr>
            <w:r>
              <w:rPr>
                <w:rFonts w:hint="eastAsia" w:ascii="宋体" w:hAnsi="宋体" w:eastAsia="宋体" w:cs="宋体"/>
                <w:szCs w:val="21"/>
              </w:rPr>
              <w:t>管理制度较全面、完善，制度流程和规范较具体，有一定的可操作性，得5分；</w:t>
            </w:r>
          </w:p>
          <w:p w14:paraId="69DDBE98">
            <w:pPr>
              <w:jc w:val="left"/>
              <w:rPr>
                <w:rFonts w:hint="eastAsia" w:ascii="宋体" w:hAnsi="宋体" w:eastAsia="宋体" w:cs="Times New Roman"/>
                <w:szCs w:val="21"/>
                <w:highlight w:val="yellow"/>
              </w:rPr>
            </w:pPr>
            <w:r>
              <w:rPr>
                <w:rFonts w:hint="eastAsia" w:ascii="宋体" w:hAnsi="宋体" w:eastAsia="宋体" w:cs="宋体"/>
                <w:szCs w:val="21"/>
              </w:rPr>
              <w:t>管理制度不全面、描述不完善，或制度流程和规范不可行，或其他情况，不得分；</w:t>
            </w:r>
          </w:p>
        </w:tc>
      </w:tr>
      <w:tr w14:paraId="5C65F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vMerge w:val="continue"/>
            <w:noWrap w:val="0"/>
            <w:vAlign w:val="center"/>
          </w:tcPr>
          <w:p w14:paraId="7075580C">
            <w:pPr>
              <w:jc w:val="center"/>
              <w:rPr>
                <w:rFonts w:ascii="宋体" w:hAnsi="宋体" w:eastAsia="宋体" w:cs="Times New Roman"/>
                <w:szCs w:val="21"/>
              </w:rPr>
            </w:pPr>
          </w:p>
        </w:tc>
        <w:tc>
          <w:tcPr>
            <w:tcW w:w="1253" w:type="pct"/>
            <w:noWrap w:val="0"/>
            <w:vAlign w:val="center"/>
          </w:tcPr>
          <w:p w14:paraId="4E5762C5">
            <w:pPr>
              <w:jc w:val="center"/>
              <w:rPr>
                <w:rFonts w:hint="eastAsia" w:ascii="宋体" w:hAnsi="宋体" w:eastAsia="宋体" w:cs="Times New Roman"/>
                <w:szCs w:val="21"/>
              </w:rPr>
            </w:pPr>
            <w:r>
              <w:rPr>
                <w:rFonts w:hint="eastAsia" w:ascii="宋体" w:hAnsi="宋体" w:eastAsia="宋体" w:cs="Times New Roman"/>
                <w:szCs w:val="21"/>
              </w:rPr>
              <w:t>理赔时效承诺</w:t>
            </w:r>
          </w:p>
          <w:p w14:paraId="5FC1FD8D">
            <w:pPr>
              <w:jc w:val="center"/>
              <w:rPr>
                <w:rFonts w:ascii="宋体" w:hAnsi="宋体" w:eastAsia="宋体" w:cs="Times New Roman"/>
                <w:szCs w:val="21"/>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分）</w:t>
            </w:r>
          </w:p>
        </w:tc>
        <w:tc>
          <w:tcPr>
            <w:tcW w:w="3327" w:type="pct"/>
            <w:noWrap w:val="0"/>
            <w:vAlign w:val="center"/>
          </w:tcPr>
          <w:p w14:paraId="67CE2457">
            <w:pPr>
              <w:rPr>
                <w:rFonts w:ascii="宋体" w:hAnsi="宋体" w:eastAsia="宋体" w:cs="Times New Roman"/>
                <w:szCs w:val="21"/>
              </w:rPr>
            </w:pPr>
            <w:r>
              <w:rPr>
                <w:rFonts w:hint="eastAsia" w:ascii="宋体" w:hAnsi="宋体" w:eastAsia="宋体" w:cs="Times New Roman"/>
                <w:szCs w:val="21"/>
              </w:rPr>
              <w:t>供应商结案赔付时效承诺的评审，提供承诺（保险责任明确、资料齐全的前提下）：</w:t>
            </w:r>
          </w:p>
          <w:p w14:paraId="5584EAB9">
            <w:pPr>
              <w:rPr>
                <w:rFonts w:ascii="宋体" w:hAnsi="宋体" w:eastAsia="宋体" w:cs="Times New Roman"/>
                <w:szCs w:val="21"/>
              </w:rPr>
            </w:pPr>
            <w:r>
              <w:rPr>
                <w:rFonts w:hint="eastAsia" w:ascii="宋体" w:hAnsi="宋体" w:eastAsia="宋体" w:cs="Times New Roman"/>
                <w:szCs w:val="21"/>
              </w:rPr>
              <w:t>（1）1万元以下（含1万元）的赔案，3个工作日内作出赔付；承诺3个工作日内赔付得2分，多一天扣0.5分，此项最低扣至0分；</w:t>
            </w:r>
          </w:p>
          <w:p w14:paraId="79FCA2AC">
            <w:pPr>
              <w:rPr>
                <w:rFonts w:ascii="宋体" w:hAnsi="宋体" w:eastAsia="宋体" w:cs="Times New Roman"/>
                <w:szCs w:val="21"/>
              </w:rPr>
            </w:pPr>
            <w:r>
              <w:rPr>
                <w:rFonts w:hint="eastAsia" w:ascii="宋体" w:hAnsi="宋体" w:eastAsia="宋体" w:cs="Times New Roman"/>
                <w:szCs w:val="21"/>
              </w:rPr>
              <w:t>（2）1—5万元（不含1万元，含5万元）的赔案，5个工作日内作出赔付；承诺5个工作日内赔付得2分，多一天扣0.5分，此项最低扣至0分；</w:t>
            </w:r>
          </w:p>
          <w:p w14:paraId="604A56F7">
            <w:pPr>
              <w:rPr>
                <w:rFonts w:ascii="宋体" w:hAnsi="宋体" w:eastAsia="宋体" w:cs="Times New Roman"/>
                <w:szCs w:val="21"/>
              </w:rPr>
            </w:pPr>
            <w:r>
              <w:rPr>
                <w:rFonts w:hint="eastAsia" w:ascii="宋体" w:hAnsi="宋体" w:eastAsia="宋体" w:cs="Times New Roman"/>
                <w:szCs w:val="21"/>
              </w:rPr>
              <w:t>（3）5—20万元（不含5万元，含20万元）的赔案，7个工作日内作出赔付；承诺7个工作日内赔付得2分，多一天扣0.5分，此项最低扣至0分；</w:t>
            </w:r>
          </w:p>
          <w:p w14:paraId="001BF138">
            <w:pPr>
              <w:rPr>
                <w:rFonts w:ascii="宋体" w:hAnsi="宋体" w:eastAsia="宋体" w:cs="Times New Roman"/>
                <w:szCs w:val="21"/>
              </w:rPr>
            </w:pPr>
            <w:r>
              <w:rPr>
                <w:rFonts w:hint="eastAsia" w:ascii="宋体" w:hAnsi="宋体" w:eastAsia="宋体" w:cs="Times New Roman"/>
                <w:szCs w:val="21"/>
              </w:rPr>
              <w:t>（4）20—30万元（不含20万元，含30万元）的赔案，10个工作日内作出赔付；承诺10个工作日内赔付得2分，多一天扣0.5分，此项最低扣至0分；</w:t>
            </w:r>
          </w:p>
          <w:p w14:paraId="3B3A7F8D">
            <w:pPr>
              <w:rPr>
                <w:rFonts w:ascii="宋体" w:hAnsi="宋体" w:eastAsia="宋体" w:cs="Times New Roman"/>
                <w:szCs w:val="21"/>
              </w:rPr>
            </w:pPr>
            <w:r>
              <w:rPr>
                <w:rFonts w:hint="eastAsia" w:ascii="宋体" w:hAnsi="宋体" w:eastAsia="宋体" w:cs="Times New Roman"/>
                <w:szCs w:val="21"/>
              </w:rPr>
              <w:t>（5）30万元以上（不含30万元）的赔案在15个工作日内作出赔付。承诺15个工作日内赔付得2分，多一天扣0.5分，此项最低扣至0分；</w:t>
            </w:r>
          </w:p>
          <w:p w14:paraId="7E3827DF">
            <w:pPr>
              <w:jc w:val="left"/>
              <w:rPr>
                <w:rFonts w:ascii="宋体" w:hAnsi="宋体" w:eastAsia="宋体" w:cs="宋体"/>
                <w:szCs w:val="21"/>
              </w:rPr>
            </w:pPr>
            <w:r>
              <w:rPr>
                <w:rFonts w:hint="eastAsia" w:ascii="宋体" w:hAnsi="宋体" w:eastAsia="宋体" w:cs="Times New Roman"/>
                <w:szCs w:val="21"/>
              </w:rPr>
              <w:t>注：响应文件提供上述承诺函加盖公章作为评审依据，无提供不得分。</w:t>
            </w:r>
          </w:p>
        </w:tc>
      </w:tr>
      <w:tr w14:paraId="29E32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vMerge w:val="continue"/>
            <w:noWrap w:val="0"/>
            <w:vAlign w:val="center"/>
          </w:tcPr>
          <w:p w14:paraId="2F5A1B5E">
            <w:pPr>
              <w:jc w:val="center"/>
              <w:rPr>
                <w:rFonts w:ascii="宋体" w:hAnsi="宋体" w:eastAsia="宋体" w:cs="Times New Roman"/>
                <w:szCs w:val="21"/>
              </w:rPr>
            </w:pPr>
          </w:p>
        </w:tc>
        <w:tc>
          <w:tcPr>
            <w:tcW w:w="1253" w:type="pct"/>
            <w:noWrap w:val="0"/>
            <w:vAlign w:val="center"/>
          </w:tcPr>
          <w:p w14:paraId="75F5FCE3">
            <w:pPr>
              <w:jc w:val="center"/>
              <w:rPr>
                <w:rFonts w:hint="eastAsia" w:ascii="宋体" w:hAnsi="宋体" w:eastAsia="宋体" w:cs="Times New Roman"/>
                <w:szCs w:val="21"/>
                <w:highlight w:val="none"/>
              </w:rPr>
            </w:pPr>
            <w:r>
              <w:rPr>
                <w:rFonts w:hint="eastAsia" w:ascii="宋体" w:hAnsi="宋体" w:eastAsia="宋体" w:cs="Times New Roman"/>
                <w:szCs w:val="21"/>
                <w:highlight w:val="none"/>
              </w:rPr>
              <w:t>服务人员配置</w:t>
            </w:r>
          </w:p>
          <w:p w14:paraId="617FFE75">
            <w:pPr>
              <w:jc w:val="center"/>
              <w:rPr>
                <w:rFonts w:ascii="宋体" w:hAnsi="宋体" w:eastAsia="宋体" w:cs="Times New Roman"/>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w:t>
            </w:r>
          </w:p>
        </w:tc>
        <w:tc>
          <w:tcPr>
            <w:tcW w:w="3327" w:type="pct"/>
            <w:noWrap w:val="0"/>
            <w:vAlign w:val="center"/>
          </w:tcPr>
          <w:p w14:paraId="6942341E">
            <w:pPr>
              <w:jc w:val="left"/>
              <w:rPr>
                <w:rFonts w:hint="eastAsia" w:ascii="宋体" w:hAnsi="宋体" w:eastAsia="宋体" w:cs="Times New Roman"/>
                <w:szCs w:val="21"/>
                <w:highlight w:val="none"/>
              </w:rPr>
            </w:pPr>
            <w:r>
              <w:rPr>
                <w:rFonts w:hint="eastAsia" w:ascii="宋体" w:hAnsi="宋体" w:eastAsia="宋体" w:cs="Times New Roman"/>
                <w:szCs w:val="21"/>
                <w:highlight w:val="none"/>
              </w:rPr>
              <w:t>根据</w:t>
            </w:r>
            <w:r>
              <w:rPr>
                <w:rFonts w:hint="eastAsia" w:ascii="宋体" w:hAnsi="宋体" w:eastAsia="宋体" w:cs="Times New Roman"/>
                <w:szCs w:val="21"/>
              </w:rPr>
              <w:t>供应商</w:t>
            </w:r>
            <w:r>
              <w:rPr>
                <w:rFonts w:hint="eastAsia" w:ascii="宋体" w:hAnsi="宋体" w:eastAsia="宋体" w:cs="Times New Roman"/>
                <w:szCs w:val="21"/>
                <w:highlight w:val="none"/>
              </w:rPr>
              <w:t>拟投入本项目服务人员配置进行综合评审：</w:t>
            </w:r>
          </w:p>
          <w:p w14:paraId="456BF75E">
            <w:pPr>
              <w:jc w:val="left"/>
              <w:rPr>
                <w:rFonts w:hint="eastAsia" w:ascii="宋体" w:hAnsi="宋体" w:eastAsia="宋体" w:cs="Times New Roman"/>
                <w:szCs w:val="21"/>
                <w:highlight w:val="none"/>
              </w:rPr>
            </w:pPr>
            <w:r>
              <w:rPr>
                <w:rFonts w:hint="eastAsia" w:ascii="宋体" w:hAnsi="宋体" w:eastAsia="宋体" w:cs="Times New Roman"/>
                <w:szCs w:val="21"/>
                <w:highlight w:val="none"/>
              </w:rPr>
              <w:t>（1）项目负责人（1名）：</w:t>
            </w:r>
          </w:p>
          <w:p w14:paraId="1E2655C6">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具有</w:t>
            </w:r>
            <w:r>
              <w:rPr>
                <w:rFonts w:hint="eastAsia" w:ascii="宋体" w:hAnsi="宋体" w:eastAsia="宋体" w:cs="Times New Roman"/>
                <w:szCs w:val="21"/>
                <w:highlight w:val="none"/>
              </w:rPr>
              <w:t>10年或以上医疗责任险工作经验</w:t>
            </w:r>
            <w:r>
              <w:rPr>
                <w:rFonts w:hint="eastAsia" w:ascii="宋体" w:hAnsi="宋体" w:eastAsia="宋体" w:cs="Times New Roman"/>
                <w:szCs w:val="21"/>
                <w:highlight w:val="none"/>
                <w:lang w:val="en-US" w:eastAsia="zh-CN"/>
              </w:rPr>
              <w:t>及本科（或以上）学历</w:t>
            </w:r>
            <w:r>
              <w:rPr>
                <w:rFonts w:hint="eastAsia" w:ascii="宋体" w:hAnsi="宋体" w:eastAsia="宋体" w:cs="Times New Roman"/>
                <w:szCs w:val="21"/>
                <w:highlight w:val="none"/>
              </w:rPr>
              <w:t>得4分</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具有5年（含）</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年（不含）医疗责任险工作经验</w:t>
            </w:r>
            <w:r>
              <w:rPr>
                <w:rFonts w:hint="eastAsia" w:ascii="宋体" w:hAnsi="宋体" w:eastAsia="宋体" w:cs="Times New Roman"/>
                <w:szCs w:val="21"/>
                <w:highlight w:val="none"/>
                <w:lang w:val="en-US" w:eastAsia="zh-CN"/>
              </w:rPr>
              <w:t>及本科（或以上）学历</w:t>
            </w:r>
            <w:r>
              <w:rPr>
                <w:rFonts w:hint="eastAsia" w:ascii="宋体" w:hAnsi="宋体" w:eastAsia="宋体" w:cs="Times New Roman"/>
                <w:szCs w:val="21"/>
                <w:highlight w:val="none"/>
              </w:rPr>
              <w:t>得3分</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具有1年（含）</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年（不含）医疗责任险工作经验</w:t>
            </w:r>
            <w:r>
              <w:rPr>
                <w:rFonts w:hint="eastAsia" w:ascii="宋体" w:hAnsi="宋体" w:eastAsia="宋体" w:cs="Times New Roman"/>
                <w:szCs w:val="21"/>
                <w:highlight w:val="none"/>
                <w:lang w:val="en-US" w:eastAsia="zh-CN"/>
              </w:rPr>
              <w:t>及本科（或以上）学历</w:t>
            </w:r>
            <w:r>
              <w:rPr>
                <w:rFonts w:hint="eastAsia" w:ascii="宋体" w:hAnsi="宋体" w:eastAsia="宋体" w:cs="Times New Roman"/>
                <w:szCs w:val="21"/>
                <w:highlight w:val="none"/>
              </w:rPr>
              <w:t>得1分</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少于1年或</w:t>
            </w:r>
            <w:r>
              <w:rPr>
                <w:rFonts w:hint="eastAsia" w:ascii="宋体" w:hAnsi="宋体" w:eastAsia="宋体" w:cs="Times New Roman"/>
                <w:szCs w:val="21"/>
                <w:highlight w:val="none"/>
              </w:rPr>
              <w:t>没有医疗责任险工作经验</w:t>
            </w:r>
            <w:r>
              <w:rPr>
                <w:rFonts w:hint="eastAsia" w:ascii="宋体" w:hAnsi="宋体" w:eastAsia="宋体" w:cs="Times New Roman"/>
                <w:szCs w:val="21"/>
                <w:highlight w:val="none"/>
                <w:lang w:val="en-US" w:eastAsia="zh-CN"/>
              </w:rPr>
              <w:t>或无本科（或以上）学历</w:t>
            </w:r>
            <w:r>
              <w:rPr>
                <w:rFonts w:hint="eastAsia" w:ascii="宋体" w:hAnsi="宋体" w:eastAsia="宋体" w:cs="Times New Roman"/>
                <w:szCs w:val="21"/>
                <w:highlight w:val="none"/>
              </w:rPr>
              <w:t>不得分</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提供</w:t>
            </w:r>
            <w:r>
              <w:rPr>
                <w:rFonts w:hint="eastAsia" w:ascii="宋体" w:hAnsi="宋体" w:eastAsia="宋体" w:cs="Times New Roman"/>
                <w:szCs w:val="21"/>
                <w:highlight w:val="none"/>
              </w:rPr>
              <w:t>项目协议/合同关键页</w:t>
            </w:r>
            <w:r>
              <w:rPr>
                <w:rFonts w:hint="eastAsia" w:ascii="宋体" w:hAnsi="宋体" w:eastAsia="宋体" w:cs="Times New Roman"/>
                <w:szCs w:val="21"/>
                <w:highlight w:val="none"/>
                <w:lang w:val="en-US" w:eastAsia="zh-CN"/>
              </w:rPr>
              <w:t>等</w:t>
            </w:r>
            <w:r>
              <w:rPr>
                <w:rFonts w:hint="eastAsia" w:ascii="宋体" w:hAnsi="宋体" w:eastAsia="宋体" w:cs="Times New Roman"/>
                <w:szCs w:val="21"/>
                <w:highlight w:val="none"/>
              </w:rPr>
              <w:t>作为医疗责任险工作经验依据</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需体现项目负责人姓名（如</w:t>
            </w:r>
            <w:r>
              <w:rPr>
                <w:rFonts w:hint="eastAsia" w:ascii="宋体" w:hAnsi="宋体" w:eastAsia="宋体" w:cs="Times New Roman"/>
                <w:szCs w:val="21"/>
                <w:highlight w:val="none"/>
              </w:rPr>
              <w:t>项目协议/合同关键页</w:t>
            </w:r>
            <w:r>
              <w:rPr>
                <w:rFonts w:hint="eastAsia" w:ascii="宋体" w:hAnsi="宋体" w:eastAsia="宋体" w:cs="Times New Roman"/>
                <w:szCs w:val="21"/>
                <w:highlight w:val="none"/>
                <w:lang w:val="en-US" w:eastAsia="zh-CN"/>
              </w:rPr>
              <w:t>不能体现项目负责人姓名则需提供其他证明材料）</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学历证明，同时提供与医疗责任险工作经验相匹配的连续社保证明</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否则</w:t>
            </w:r>
            <w:r>
              <w:rPr>
                <w:rFonts w:hint="eastAsia" w:ascii="宋体" w:hAnsi="宋体" w:eastAsia="宋体" w:cs="Times New Roman"/>
                <w:szCs w:val="21"/>
                <w:highlight w:val="none"/>
                <w:lang w:eastAsia="zh-CN"/>
              </w:rPr>
              <w:t>不得分</w:t>
            </w:r>
            <w:r>
              <w:rPr>
                <w:rFonts w:hint="eastAsia" w:ascii="宋体" w:hAnsi="宋体" w:eastAsia="宋体" w:cs="Times New Roman"/>
                <w:szCs w:val="21"/>
                <w:highlight w:val="none"/>
              </w:rPr>
              <w:t>。</w:t>
            </w:r>
          </w:p>
          <w:p w14:paraId="2CB673F4">
            <w:pPr>
              <w:jc w:val="left"/>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hint="eastAsia" w:ascii="宋体" w:hAnsi="宋体" w:eastAsia="宋体" w:cs="Times New Roman"/>
                <w:szCs w:val="21"/>
              </w:rPr>
              <w:t>供应商</w:t>
            </w:r>
            <w:r>
              <w:rPr>
                <w:rFonts w:hint="eastAsia" w:ascii="宋体" w:hAnsi="宋体" w:eastAsia="宋体" w:cs="Times New Roman"/>
                <w:szCs w:val="21"/>
                <w:highlight w:val="none"/>
              </w:rPr>
              <w:t>拟投入本项目服务人员数量≥7人，得6分；</w:t>
            </w:r>
          </w:p>
          <w:p w14:paraId="3B8414C6">
            <w:pPr>
              <w:ind w:firstLine="630" w:firstLineChars="300"/>
              <w:jc w:val="left"/>
              <w:rPr>
                <w:rFonts w:hint="eastAsia" w:ascii="宋体" w:hAnsi="宋体" w:eastAsia="宋体" w:cs="Times New Roman"/>
                <w:szCs w:val="21"/>
                <w:highlight w:val="none"/>
              </w:rPr>
            </w:pPr>
            <w:r>
              <w:rPr>
                <w:rFonts w:hint="eastAsia" w:ascii="宋体" w:hAnsi="宋体" w:eastAsia="宋体" w:cs="Times New Roman"/>
                <w:szCs w:val="21"/>
              </w:rPr>
              <w:t>供应商</w:t>
            </w:r>
            <w:r>
              <w:rPr>
                <w:rFonts w:hint="eastAsia" w:ascii="宋体" w:hAnsi="宋体" w:eastAsia="宋体" w:cs="Times New Roman"/>
                <w:szCs w:val="21"/>
                <w:highlight w:val="none"/>
              </w:rPr>
              <w:t>拟投入本项目服务人员</w:t>
            </w:r>
            <w:r>
              <w:rPr>
                <w:rFonts w:hint="eastAsia" w:ascii="宋体" w:hAnsi="宋体" w:eastAsia="宋体" w:cs="Times New Roman"/>
                <w:szCs w:val="21"/>
                <w:highlight w:val="none"/>
                <w:lang w:val="en-US" w:eastAsia="zh-CN"/>
              </w:rPr>
              <w:t>6人</w:t>
            </w:r>
            <w:r>
              <w:rPr>
                <w:rFonts w:hint="eastAsia" w:ascii="宋体" w:hAnsi="宋体" w:eastAsia="宋体" w:cs="Times New Roman"/>
                <w:szCs w:val="21"/>
                <w:highlight w:val="none"/>
              </w:rPr>
              <w:t>，得4分；</w:t>
            </w:r>
          </w:p>
          <w:p w14:paraId="6785ADE6">
            <w:pPr>
              <w:ind w:firstLine="630" w:firstLineChars="300"/>
              <w:jc w:val="left"/>
              <w:rPr>
                <w:rFonts w:hint="eastAsia" w:ascii="宋体" w:hAnsi="宋体" w:eastAsia="宋体" w:cs="Times New Roman"/>
                <w:szCs w:val="21"/>
                <w:highlight w:val="none"/>
                <w:lang w:eastAsia="zh-CN"/>
              </w:rPr>
            </w:pPr>
            <w:r>
              <w:rPr>
                <w:rFonts w:hint="eastAsia" w:ascii="宋体" w:hAnsi="宋体" w:eastAsia="宋体" w:cs="Times New Roman"/>
                <w:szCs w:val="21"/>
              </w:rPr>
              <w:t>供应商</w:t>
            </w:r>
            <w:r>
              <w:rPr>
                <w:rFonts w:hint="eastAsia" w:ascii="宋体" w:hAnsi="宋体" w:eastAsia="宋体" w:cs="Times New Roman"/>
                <w:szCs w:val="21"/>
                <w:highlight w:val="none"/>
              </w:rPr>
              <w:t>拟投入本项目服务人员</w:t>
            </w:r>
            <w:r>
              <w:rPr>
                <w:rFonts w:hint="eastAsia" w:ascii="宋体" w:hAnsi="宋体" w:eastAsia="宋体" w:cs="Times New Roman"/>
                <w:szCs w:val="21"/>
                <w:highlight w:val="none"/>
                <w:lang w:val="en-US" w:eastAsia="zh-CN"/>
              </w:rPr>
              <w:t>5人</w:t>
            </w:r>
            <w:r>
              <w:rPr>
                <w:rFonts w:hint="eastAsia" w:ascii="宋体" w:hAnsi="宋体" w:eastAsia="宋体" w:cs="Times New Roman"/>
                <w:szCs w:val="21"/>
                <w:highlight w:val="none"/>
              </w:rPr>
              <w:t>，得</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分</w:t>
            </w:r>
            <w:r>
              <w:rPr>
                <w:rFonts w:hint="eastAsia" w:ascii="宋体" w:hAnsi="宋体" w:eastAsia="宋体" w:cs="Times New Roman"/>
                <w:szCs w:val="21"/>
                <w:highlight w:val="none"/>
                <w:lang w:eastAsia="zh-CN"/>
              </w:rPr>
              <w:t>；</w:t>
            </w:r>
          </w:p>
          <w:p w14:paraId="1808CAAF">
            <w:pPr>
              <w:ind w:firstLine="630" w:firstLineChars="300"/>
              <w:jc w:val="left"/>
              <w:rPr>
                <w:rFonts w:hint="eastAsia" w:ascii="宋体" w:hAnsi="宋体" w:eastAsia="宋体" w:cs="Times New Roman"/>
                <w:szCs w:val="21"/>
                <w:highlight w:val="none"/>
                <w:lang w:eastAsia="zh-CN"/>
              </w:rPr>
            </w:pPr>
            <w:r>
              <w:rPr>
                <w:rFonts w:hint="eastAsia" w:ascii="宋体" w:hAnsi="宋体" w:eastAsia="宋体" w:cs="Times New Roman"/>
                <w:szCs w:val="21"/>
              </w:rPr>
              <w:t>供应商</w:t>
            </w:r>
            <w:r>
              <w:rPr>
                <w:rFonts w:hint="eastAsia" w:ascii="宋体" w:hAnsi="宋体" w:eastAsia="宋体" w:cs="Times New Roman"/>
                <w:szCs w:val="21"/>
                <w:highlight w:val="none"/>
              </w:rPr>
              <w:t>拟投入本项目服务人员</w:t>
            </w:r>
            <w:r>
              <w:rPr>
                <w:rFonts w:hint="eastAsia" w:ascii="宋体" w:hAnsi="宋体" w:eastAsia="宋体" w:cs="Times New Roman"/>
                <w:szCs w:val="21"/>
                <w:highlight w:val="none"/>
                <w:lang w:val="en-US" w:eastAsia="zh-CN"/>
              </w:rPr>
              <w:t>3-4人</w:t>
            </w:r>
            <w:r>
              <w:rPr>
                <w:rFonts w:hint="eastAsia" w:ascii="宋体" w:hAnsi="宋体" w:eastAsia="宋体" w:cs="Times New Roman"/>
                <w:szCs w:val="21"/>
                <w:highlight w:val="none"/>
              </w:rPr>
              <w:t>，得</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分</w:t>
            </w:r>
            <w:r>
              <w:rPr>
                <w:rFonts w:hint="eastAsia" w:ascii="宋体" w:hAnsi="宋体" w:eastAsia="宋体" w:cs="Times New Roman"/>
                <w:szCs w:val="21"/>
                <w:highlight w:val="none"/>
                <w:lang w:eastAsia="zh-CN"/>
              </w:rPr>
              <w:t>；</w:t>
            </w:r>
          </w:p>
          <w:p w14:paraId="6A95DF02">
            <w:pPr>
              <w:ind w:firstLine="630" w:firstLineChars="300"/>
              <w:jc w:val="left"/>
              <w:rPr>
                <w:rFonts w:hint="eastAsia" w:ascii="宋体" w:hAnsi="宋体" w:eastAsia="宋体" w:cs="Times New Roman"/>
                <w:szCs w:val="21"/>
                <w:highlight w:val="none"/>
              </w:rPr>
            </w:pPr>
            <w:r>
              <w:rPr>
                <w:rFonts w:hint="eastAsia" w:ascii="宋体" w:hAnsi="宋体" w:eastAsia="宋体" w:cs="Times New Roman"/>
                <w:szCs w:val="21"/>
              </w:rPr>
              <w:t>供应商</w:t>
            </w:r>
            <w:r>
              <w:rPr>
                <w:rFonts w:hint="eastAsia" w:ascii="宋体" w:hAnsi="宋体" w:eastAsia="宋体" w:cs="Times New Roman"/>
                <w:szCs w:val="21"/>
                <w:highlight w:val="none"/>
              </w:rPr>
              <w:t>拟投入本项目服务人员</w:t>
            </w:r>
            <w:r>
              <w:rPr>
                <w:rFonts w:hint="eastAsia" w:ascii="宋体" w:hAnsi="宋体" w:eastAsia="宋体" w:cs="Times New Roman"/>
                <w:szCs w:val="21"/>
                <w:highlight w:val="none"/>
                <w:lang w:val="en-US" w:eastAsia="zh-CN"/>
              </w:rPr>
              <w:t>少于3人</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不得分</w:t>
            </w:r>
            <w:r>
              <w:rPr>
                <w:rFonts w:hint="eastAsia" w:ascii="宋体" w:hAnsi="宋体" w:eastAsia="宋体" w:cs="Times New Roman"/>
                <w:szCs w:val="21"/>
                <w:highlight w:val="none"/>
              </w:rPr>
              <w:t>。</w:t>
            </w:r>
          </w:p>
          <w:p w14:paraId="7F42FE1A">
            <w:pPr>
              <w:ind w:firstLine="211" w:firstLineChars="100"/>
              <w:jc w:val="left"/>
              <w:rPr>
                <w:rFonts w:hint="default" w:ascii="宋体" w:hAnsi="宋体" w:eastAsia="宋体" w:cs="Times New Roman"/>
                <w:szCs w:val="21"/>
                <w:highlight w:val="none"/>
                <w:lang w:val="en-US" w:eastAsia="zh-CN"/>
              </w:rPr>
            </w:pPr>
            <w:r>
              <w:rPr>
                <w:rFonts w:hint="eastAsia" w:ascii="宋体" w:hAnsi="宋体" w:eastAsia="宋体" w:cs="Times New Roman"/>
                <w:b/>
                <w:bCs/>
                <w:szCs w:val="21"/>
                <w:highlight w:val="none"/>
                <w:lang w:val="en-US" w:eastAsia="zh-CN"/>
              </w:rPr>
              <w:t>注：</w:t>
            </w:r>
            <w:r>
              <w:rPr>
                <w:rFonts w:hint="eastAsia" w:ascii="宋体" w:hAnsi="宋体" w:eastAsia="宋体" w:cs="Times New Roman"/>
                <w:b/>
                <w:bCs/>
                <w:szCs w:val="21"/>
                <w:highlight w:val="none"/>
              </w:rPr>
              <w:t>服务人员必须</w:t>
            </w:r>
            <w:r>
              <w:rPr>
                <w:rFonts w:hint="eastAsia" w:ascii="宋体" w:hAnsi="宋体" w:eastAsia="宋体" w:cs="Times New Roman"/>
                <w:b/>
                <w:bCs/>
                <w:szCs w:val="21"/>
                <w:highlight w:val="none"/>
                <w:lang w:val="en-US" w:eastAsia="zh-CN"/>
              </w:rPr>
              <w:t>具备</w:t>
            </w:r>
            <w:r>
              <w:rPr>
                <w:rFonts w:hint="eastAsia" w:ascii="宋体" w:hAnsi="宋体" w:eastAsia="宋体" w:cs="Times New Roman"/>
                <w:b/>
                <w:bCs/>
                <w:szCs w:val="21"/>
                <w:highlight w:val="none"/>
              </w:rPr>
              <w:t>本科（或以上）学历，须提供学历证明</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lang w:val="en-US" w:eastAsia="zh-CN"/>
              </w:rPr>
              <w:t>响应</w:t>
            </w:r>
            <w:r>
              <w:rPr>
                <w:rFonts w:hint="eastAsia" w:ascii="宋体" w:hAnsi="宋体" w:eastAsia="宋体" w:cs="Times New Roman"/>
                <w:b/>
                <w:bCs/>
                <w:szCs w:val="21"/>
                <w:highlight w:val="none"/>
              </w:rPr>
              <w:t>截止日前3个月内任意一个月</w:t>
            </w:r>
            <w:r>
              <w:rPr>
                <w:rFonts w:hint="eastAsia" w:ascii="宋体" w:hAnsi="宋体" w:eastAsia="宋体" w:cs="Times New Roman"/>
                <w:b/>
                <w:bCs/>
                <w:szCs w:val="21"/>
              </w:rPr>
              <w:t>供应商</w:t>
            </w:r>
            <w:r>
              <w:rPr>
                <w:rFonts w:hint="eastAsia" w:ascii="宋体" w:hAnsi="宋体" w:eastAsia="宋体" w:cs="Times New Roman"/>
                <w:b/>
                <w:bCs/>
                <w:szCs w:val="21"/>
                <w:highlight w:val="none"/>
              </w:rPr>
              <w:t>为相关人员购买社保的证明。</w:t>
            </w:r>
          </w:p>
        </w:tc>
      </w:tr>
      <w:tr w14:paraId="39298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vMerge w:val="continue"/>
            <w:noWrap w:val="0"/>
            <w:vAlign w:val="center"/>
          </w:tcPr>
          <w:p w14:paraId="2B953BCA">
            <w:pPr>
              <w:jc w:val="center"/>
              <w:rPr>
                <w:rFonts w:ascii="宋体" w:hAnsi="宋体" w:eastAsia="宋体" w:cs="Times New Roman"/>
                <w:szCs w:val="21"/>
              </w:rPr>
            </w:pPr>
          </w:p>
        </w:tc>
        <w:tc>
          <w:tcPr>
            <w:tcW w:w="1253" w:type="pct"/>
            <w:noWrap w:val="0"/>
            <w:vAlign w:val="center"/>
          </w:tcPr>
          <w:p w14:paraId="6A7FE50C">
            <w:pPr>
              <w:jc w:val="center"/>
              <w:rPr>
                <w:rFonts w:hint="eastAsia" w:ascii="宋体" w:hAnsi="宋体" w:eastAsia="宋体" w:cs="Times New Roman"/>
                <w:szCs w:val="21"/>
              </w:rPr>
            </w:pPr>
            <w:r>
              <w:rPr>
                <w:rFonts w:hint="eastAsia" w:ascii="宋体" w:hAnsi="宋体" w:eastAsia="宋体" w:cs="Times New Roman"/>
                <w:szCs w:val="21"/>
              </w:rPr>
              <w:t>追溯期（</w:t>
            </w:r>
            <w:r>
              <w:rPr>
                <w:rFonts w:hint="eastAsia" w:ascii="宋体" w:hAnsi="宋体" w:eastAsia="宋体" w:cs="Times New Roman"/>
                <w:szCs w:val="21"/>
                <w:lang w:val="en-US" w:eastAsia="zh-CN"/>
              </w:rPr>
              <w:t>11</w:t>
            </w:r>
            <w:r>
              <w:rPr>
                <w:rFonts w:hint="eastAsia" w:ascii="宋体" w:hAnsi="宋体" w:eastAsia="宋体" w:cs="Times New Roman"/>
                <w:szCs w:val="21"/>
              </w:rPr>
              <w:t>分）</w:t>
            </w:r>
          </w:p>
        </w:tc>
        <w:tc>
          <w:tcPr>
            <w:tcW w:w="3327" w:type="pct"/>
            <w:noWrap w:val="0"/>
            <w:vAlign w:val="center"/>
          </w:tcPr>
          <w:p w14:paraId="48BFAEEF">
            <w:pPr>
              <w:jc w:val="left"/>
              <w:rPr>
                <w:rFonts w:hint="eastAsia" w:ascii="宋体" w:hAnsi="宋体" w:eastAsia="宋体" w:cs="Times New Roman"/>
                <w:szCs w:val="21"/>
              </w:rPr>
            </w:pPr>
            <w:r>
              <w:rPr>
                <w:rFonts w:hint="eastAsia" w:ascii="宋体" w:hAnsi="宋体" w:eastAsia="宋体" w:cs="Times New Roman"/>
                <w:szCs w:val="21"/>
              </w:rPr>
              <w:t>保险方案追溯期（保险期间向前追溯）：</w:t>
            </w:r>
          </w:p>
          <w:p w14:paraId="63681A1C">
            <w:pPr>
              <w:jc w:val="left"/>
              <w:rPr>
                <w:rFonts w:hint="eastAsia" w:ascii="宋体" w:hAnsi="宋体" w:eastAsia="宋体" w:cs="Times New Roman"/>
                <w:szCs w:val="21"/>
              </w:rPr>
            </w:pPr>
            <w:r>
              <w:rPr>
                <w:rFonts w:hint="eastAsia" w:ascii="宋体" w:hAnsi="宋体" w:eastAsia="宋体" w:cs="Times New Roman"/>
                <w:szCs w:val="21"/>
              </w:rPr>
              <w:t>承诺3年追溯期的，得</w:t>
            </w:r>
            <w:r>
              <w:rPr>
                <w:rFonts w:hint="eastAsia" w:ascii="宋体" w:hAnsi="宋体" w:eastAsia="宋体" w:cs="Times New Roman"/>
                <w:szCs w:val="21"/>
                <w:lang w:val="en-US" w:eastAsia="zh-CN"/>
              </w:rPr>
              <w:t>11</w:t>
            </w:r>
            <w:r>
              <w:rPr>
                <w:rFonts w:hint="eastAsia" w:ascii="宋体" w:hAnsi="宋体" w:eastAsia="宋体" w:cs="Times New Roman"/>
                <w:szCs w:val="21"/>
              </w:rPr>
              <w:t>分；</w:t>
            </w:r>
          </w:p>
          <w:p w14:paraId="3F9EF6FD">
            <w:pPr>
              <w:jc w:val="left"/>
              <w:rPr>
                <w:rFonts w:hint="eastAsia" w:ascii="宋体" w:hAnsi="宋体" w:eastAsia="宋体" w:cs="Times New Roman"/>
                <w:szCs w:val="21"/>
              </w:rPr>
            </w:pPr>
            <w:r>
              <w:rPr>
                <w:rFonts w:hint="eastAsia" w:ascii="宋体" w:hAnsi="宋体" w:eastAsia="宋体" w:cs="Times New Roman"/>
                <w:szCs w:val="21"/>
              </w:rPr>
              <w:t>承诺2年≤年限＜3年追溯期的，得</w:t>
            </w:r>
            <w:r>
              <w:rPr>
                <w:rFonts w:hint="eastAsia" w:ascii="宋体" w:hAnsi="宋体" w:eastAsia="宋体" w:cs="Times New Roman"/>
                <w:szCs w:val="21"/>
                <w:lang w:val="en-US" w:eastAsia="zh-CN"/>
              </w:rPr>
              <w:t>7</w:t>
            </w:r>
            <w:r>
              <w:rPr>
                <w:rFonts w:hint="eastAsia" w:ascii="宋体" w:hAnsi="宋体" w:eastAsia="宋体" w:cs="Times New Roman"/>
                <w:szCs w:val="21"/>
              </w:rPr>
              <w:t>分；</w:t>
            </w:r>
          </w:p>
          <w:p w14:paraId="63B7619D">
            <w:pPr>
              <w:jc w:val="left"/>
              <w:rPr>
                <w:rFonts w:hint="eastAsia" w:ascii="宋体" w:hAnsi="宋体" w:eastAsia="宋体" w:cs="Times New Roman"/>
                <w:szCs w:val="21"/>
              </w:rPr>
            </w:pPr>
            <w:r>
              <w:rPr>
                <w:rFonts w:hint="eastAsia" w:ascii="宋体" w:hAnsi="宋体" w:eastAsia="宋体" w:cs="Times New Roman"/>
                <w:szCs w:val="21"/>
              </w:rPr>
              <w:t>承诺1年≤年限＜2年追溯期的，得</w:t>
            </w:r>
            <w:r>
              <w:rPr>
                <w:rFonts w:hint="eastAsia" w:ascii="宋体" w:hAnsi="宋体" w:eastAsia="宋体" w:cs="Times New Roman"/>
                <w:szCs w:val="21"/>
                <w:lang w:val="en-US" w:eastAsia="zh-CN"/>
              </w:rPr>
              <w:t>3</w:t>
            </w:r>
            <w:r>
              <w:rPr>
                <w:rFonts w:hint="eastAsia" w:ascii="宋体" w:hAnsi="宋体" w:eastAsia="宋体" w:cs="Times New Roman"/>
                <w:szCs w:val="21"/>
              </w:rPr>
              <w:t>分；</w:t>
            </w:r>
          </w:p>
          <w:p w14:paraId="20D1ABA6">
            <w:pPr>
              <w:jc w:val="left"/>
              <w:rPr>
                <w:rFonts w:hint="eastAsia" w:ascii="宋体" w:hAnsi="宋体" w:eastAsia="宋体" w:cs="Times New Roman"/>
                <w:szCs w:val="21"/>
              </w:rPr>
            </w:pPr>
            <w:r>
              <w:rPr>
                <w:rFonts w:hint="eastAsia" w:ascii="宋体" w:hAnsi="宋体" w:eastAsia="宋体" w:cs="Times New Roman"/>
                <w:szCs w:val="21"/>
              </w:rPr>
              <w:t>承诺年限＜1年追溯期的，不得分。</w:t>
            </w:r>
          </w:p>
          <w:p w14:paraId="2BF46D7C">
            <w:pPr>
              <w:jc w:val="left"/>
              <w:rPr>
                <w:rFonts w:hint="eastAsia" w:ascii="宋体" w:hAnsi="宋体" w:eastAsia="宋体" w:cs="Times New Roman"/>
                <w:szCs w:val="21"/>
              </w:rPr>
            </w:pPr>
            <w:r>
              <w:rPr>
                <w:rFonts w:hint="eastAsia" w:ascii="宋体" w:hAnsi="宋体" w:eastAsia="宋体" w:cs="Times New Roman"/>
                <w:b/>
                <w:bCs/>
                <w:szCs w:val="21"/>
              </w:rPr>
              <w:t>注：响应文件提供上述承诺函加盖公章作为评审依据，无提供不得分。</w:t>
            </w:r>
          </w:p>
        </w:tc>
      </w:tr>
      <w:tr w14:paraId="3CE05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vMerge w:val="restart"/>
            <w:noWrap w:val="0"/>
            <w:vAlign w:val="center"/>
          </w:tcPr>
          <w:p w14:paraId="3842A575">
            <w:pPr>
              <w:jc w:val="center"/>
              <w:rPr>
                <w:rFonts w:ascii="宋体" w:hAnsi="宋体" w:eastAsia="宋体" w:cs="Times New Roman"/>
                <w:szCs w:val="21"/>
              </w:rPr>
            </w:pPr>
            <w:r>
              <w:rPr>
                <w:rFonts w:ascii="宋体" w:hAnsi="宋体" w:eastAsia="宋体" w:cs="Times New Roman"/>
                <w:szCs w:val="21"/>
              </w:rPr>
              <w:t>商务部分</w:t>
            </w:r>
          </w:p>
        </w:tc>
        <w:tc>
          <w:tcPr>
            <w:tcW w:w="1253" w:type="pct"/>
            <w:noWrap w:val="0"/>
            <w:vAlign w:val="center"/>
          </w:tcPr>
          <w:p w14:paraId="6419E97E">
            <w:pPr>
              <w:jc w:val="center"/>
              <w:rPr>
                <w:rFonts w:hint="eastAsia" w:ascii="宋体" w:hAnsi="宋体" w:eastAsia="宋体" w:cs="宋体"/>
                <w:bCs/>
                <w:szCs w:val="21"/>
                <w:highlight w:val="none"/>
              </w:rPr>
            </w:pPr>
            <w:r>
              <w:rPr>
                <w:rFonts w:hint="eastAsia" w:ascii="宋体" w:hAnsi="宋体" w:eastAsia="宋体" w:cs="宋体"/>
                <w:bCs/>
                <w:szCs w:val="21"/>
                <w:highlight w:val="none"/>
              </w:rPr>
              <w:t>同类项目服务经验</w:t>
            </w:r>
          </w:p>
          <w:p w14:paraId="4AE0A516">
            <w:pPr>
              <w:jc w:val="center"/>
              <w:rPr>
                <w:rFonts w:ascii="宋体" w:hAnsi="宋体" w:eastAsia="宋体" w:cs="Times New Roman"/>
                <w:szCs w:val="21"/>
                <w:highlight w:val="none"/>
              </w:rPr>
            </w:pPr>
            <w:r>
              <w:rPr>
                <w:rFonts w:hint="eastAsia" w:ascii="宋体" w:hAnsi="宋体" w:eastAsia="宋体" w:cs="宋体"/>
                <w:bCs/>
                <w:szCs w:val="21"/>
                <w:highlight w:val="none"/>
              </w:rPr>
              <w:t>（1</w:t>
            </w:r>
            <w:r>
              <w:rPr>
                <w:rFonts w:ascii="宋体" w:hAnsi="宋体" w:eastAsia="宋体" w:cs="宋体"/>
                <w:bCs/>
                <w:szCs w:val="21"/>
                <w:highlight w:val="none"/>
              </w:rPr>
              <w:t>0</w:t>
            </w:r>
            <w:r>
              <w:rPr>
                <w:rFonts w:hint="eastAsia" w:ascii="宋体" w:hAnsi="宋体" w:eastAsia="宋体" w:cs="宋体"/>
                <w:bCs/>
                <w:szCs w:val="21"/>
                <w:highlight w:val="none"/>
              </w:rPr>
              <w:t>分）</w:t>
            </w:r>
          </w:p>
        </w:tc>
        <w:tc>
          <w:tcPr>
            <w:tcW w:w="3327" w:type="pct"/>
            <w:noWrap w:val="0"/>
            <w:vAlign w:val="center"/>
          </w:tcPr>
          <w:p w14:paraId="5E87836A">
            <w:pPr>
              <w:jc w:val="left"/>
              <w:rPr>
                <w:rFonts w:hint="eastAsia" w:ascii="宋体" w:hAnsi="宋体" w:eastAsia="宋体" w:cs="宋体"/>
                <w:bCs/>
                <w:szCs w:val="21"/>
                <w:highlight w:val="none"/>
              </w:rPr>
            </w:pPr>
            <w:r>
              <w:rPr>
                <w:rFonts w:hint="eastAsia" w:ascii="宋体" w:hAnsi="宋体" w:eastAsia="宋体" w:cs="Times New Roman"/>
                <w:szCs w:val="21"/>
              </w:rPr>
              <w:t>供应商</w:t>
            </w:r>
            <w:r>
              <w:rPr>
                <w:rFonts w:hint="eastAsia" w:ascii="宋体" w:hAnsi="宋体" w:eastAsia="宋体" w:cs="宋体"/>
                <w:bCs/>
                <w:szCs w:val="21"/>
                <w:highlight w:val="none"/>
              </w:rPr>
              <w:t>自202</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年1月1日（以保单起保日期为准）至响应截止之日，具有医疗保险类项目（至少包括医疗责任保险）业绩情况经验。</w:t>
            </w:r>
          </w:p>
          <w:p w14:paraId="0688051B">
            <w:pPr>
              <w:jc w:val="left"/>
              <w:rPr>
                <w:rFonts w:hint="eastAsia" w:ascii="宋体" w:hAnsi="宋体" w:eastAsia="宋体" w:cs="宋体"/>
                <w:bCs/>
                <w:szCs w:val="21"/>
                <w:highlight w:val="none"/>
              </w:rPr>
            </w:pP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符合上述同类项目服务经验的每个客户得1分，最多不超过</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分。</w:t>
            </w:r>
          </w:p>
          <w:p w14:paraId="60954431">
            <w:pPr>
              <w:jc w:val="lef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eastAsia="zh-CN"/>
              </w:rPr>
              <w:t>）上述项目服务经验中，</w:t>
            </w:r>
            <w:r>
              <w:rPr>
                <w:rFonts w:hint="eastAsia" w:ascii="宋体" w:hAnsi="宋体" w:eastAsia="宋体" w:cs="宋体"/>
                <w:bCs/>
                <w:szCs w:val="21"/>
                <w:highlight w:val="none"/>
                <w:lang w:val="en-US" w:eastAsia="zh-CN"/>
              </w:rPr>
              <w:t>含税保费金额</w:t>
            </w:r>
            <w:r>
              <w:rPr>
                <w:rFonts w:hint="eastAsia" w:ascii="宋体" w:hAnsi="宋体" w:eastAsia="宋体" w:cs="宋体"/>
                <w:bCs/>
                <w:szCs w:val="21"/>
                <w:highlight w:val="none"/>
                <w:lang w:eastAsia="zh-CN"/>
              </w:rPr>
              <w:t>大于</w:t>
            </w:r>
            <w:r>
              <w:rPr>
                <w:rFonts w:hint="eastAsia" w:ascii="宋体" w:hAnsi="宋体" w:eastAsia="宋体" w:cs="宋体"/>
                <w:bCs/>
                <w:szCs w:val="21"/>
                <w:highlight w:val="none"/>
                <w:lang w:val="en-US" w:eastAsia="zh-CN"/>
              </w:rPr>
              <w:t>200</w:t>
            </w:r>
            <w:r>
              <w:rPr>
                <w:rFonts w:hint="eastAsia" w:ascii="宋体" w:hAnsi="宋体" w:eastAsia="宋体" w:cs="宋体"/>
                <w:bCs/>
                <w:szCs w:val="21"/>
                <w:highlight w:val="none"/>
                <w:lang w:eastAsia="zh-CN"/>
              </w:rPr>
              <w:t>万元（含）的，加1分；</w:t>
            </w:r>
            <w:r>
              <w:rPr>
                <w:rFonts w:hint="eastAsia" w:ascii="宋体" w:hAnsi="宋体" w:eastAsia="宋体" w:cs="宋体"/>
                <w:bCs/>
                <w:szCs w:val="21"/>
                <w:highlight w:val="none"/>
                <w:lang w:val="en-US" w:eastAsia="zh-CN"/>
              </w:rPr>
              <w:t>含税保费金额</w:t>
            </w:r>
            <w:r>
              <w:rPr>
                <w:rFonts w:hint="eastAsia" w:ascii="宋体" w:hAnsi="宋体" w:eastAsia="宋体" w:cs="宋体"/>
                <w:bCs/>
                <w:szCs w:val="21"/>
                <w:highlight w:val="none"/>
                <w:lang w:eastAsia="zh-CN"/>
              </w:rPr>
              <w:t>在</w:t>
            </w: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lang w:eastAsia="zh-CN"/>
              </w:rPr>
              <w:t>0-</w:t>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lang w:eastAsia="zh-CN"/>
              </w:rPr>
              <w:t>0万元</w:t>
            </w:r>
            <w:r>
              <w:rPr>
                <w:rFonts w:hint="eastAsia" w:ascii="宋体" w:hAnsi="宋体" w:eastAsia="宋体" w:cs="宋体"/>
                <w:bCs/>
                <w:szCs w:val="21"/>
                <w:highlight w:val="none"/>
                <w:lang w:val="en-US" w:eastAsia="zh-CN"/>
              </w:rPr>
              <w:t>的</w:t>
            </w:r>
            <w:r>
              <w:rPr>
                <w:rFonts w:hint="eastAsia" w:ascii="宋体" w:hAnsi="宋体" w:eastAsia="宋体" w:cs="宋体"/>
                <w:bCs/>
                <w:szCs w:val="21"/>
                <w:highlight w:val="none"/>
                <w:lang w:eastAsia="zh-CN"/>
              </w:rPr>
              <w:t>（含</w:t>
            </w: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lang w:eastAsia="zh-CN"/>
              </w:rPr>
              <w:t>0万，不含</w:t>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lang w:eastAsia="zh-CN"/>
              </w:rPr>
              <w:t>0万），加0.5分。</w:t>
            </w:r>
          </w:p>
          <w:p w14:paraId="2475AD18">
            <w:pPr>
              <w:jc w:val="left"/>
              <w:rPr>
                <w:rFonts w:hint="default" w:ascii="宋体" w:hAnsi="宋体" w:eastAsia="宋体" w:cs="Times New Roman"/>
                <w:szCs w:val="21"/>
                <w:highlight w:val="none"/>
                <w:lang w:val="en-US" w:eastAsia="zh-CN"/>
              </w:rPr>
            </w:pPr>
            <w:r>
              <w:rPr>
                <w:rFonts w:hint="eastAsia" w:ascii="宋体" w:hAnsi="宋体" w:eastAsia="宋体" w:cs="宋体"/>
                <w:b/>
                <w:bCs w:val="0"/>
                <w:szCs w:val="21"/>
                <w:highlight w:val="none"/>
              </w:rPr>
              <w:t>注：响应文件提供保险合同或服务协议复印件，如不提供则该项不得分。</w:t>
            </w:r>
            <w:r>
              <w:rPr>
                <w:rFonts w:ascii="Calibri" w:hAnsi="Calibri" w:eastAsia="宋体" w:cs="Times New Roman"/>
                <w:b/>
                <w:highlight w:val="none"/>
              </w:rPr>
              <w:t>如果</w:t>
            </w:r>
            <w:r>
              <w:rPr>
                <w:rFonts w:hint="eastAsia" w:ascii="Calibri" w:hAnsi="Calibri" w:eastAsia="宋体" w:cs="Times New Roman"/>
                <w:b/>
                <w:highlight w:val="none"/>
              </w:rPr>
              <w:t>供应商</w:t>
            </w:r>
            <w:r>
              <w:rPr>
                <w:rFonts w:ascii="Calibri" w:hAnsi="Calibri" w:eastAsia="宋体" w:cs="Times New Roman"/>
                <w:b/>
                <w:highlight w:val="none"/>
              </w:rPr>
              <w:t>为分支机构的，</w:t>
            </w:r>
            <w:r>
              <w:rPr>
                <w:rFonts w:hint="eastAsia" w:ascii="Calibri" w:hAnsi="Calibri" w:eastAsia="宋体" w:cs="Times New Roman"/>
                <w:b/>
                <w:highlight w:val="none"/>
              </w:rPr>
              <w:t>以其本身的</w:t>
            </w:r>
            <w:r>
              <w:rPr>
                <w:rFonts w:ascii="Calibri" w:hAnsi="Calibri" w:eastAsia="宋体" w:cs="Times New Roman"/>
                <w:b/>
                <w:highlight w:val="none"/>
              </w:rPr>
              <w:t>服务经验</w:t>
            </w:r>
            <w:r>
              <w:rPr>
                <w:rFonts w:hint="eastAsia" w:ascii="Calibri" w:hAnsi="Calibri" w:eastAsia="宋体" w:cs="Times New Roman"/>
                <w:b/>
                <w:highlight w:val="none"/>
              </w:rPr>
              <w:t>为准</w:t>
            </w:r>
            <w:r>
              <w:rPr>
                <w:rFonts w:hint="eastAsia" w:ascii="Calibri" w:hAnsi="Calibri" w:eastAsia="宋体" w:cs="Times New Roman"/>
                <w:b/>
                <w:highlight w:val="none"/>
                <w:lang w:eastAsia="zh-CN"/>
              </w:rPr>
              <w:t>，</w:t>
            </w:r>
            <w:r>
              <w:rPr>
                <w:rFonts w:hint="eastAsia" w:ascii="Calibri" w:hAnsi="Calibri" w:eastAsia="宋体" w:cs="Times New Roman"/>
                <w:b/>
                <w:highlight w:val="none"/>
                <w:lang w:val="en-US" w:eastAsia="zh-CN"/>
              </w:rPr>
              <w:t>不认可总公司或其他分支机构服务经验。</w:t>
            </w:r>
          </w:p>
        </w:tc>
      </w:tr>
      <w:tr w14:paraId="55DC9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vMerge w:val="continue"/>
            <w:noWrap w:val="0"/>
            <w:vAlign w:val="center"/>
          </w:tcPr>
          <w:p w14:paraId="3140795B">
            <w:pPr>
              <w:jc w:val="center"/>
              <w:rPr>
                <w:rFonts w:ascii="宋体" w:hAnsi="宋体" w:eastAsia="宋体" w:cs="Times New Roman"/>
                <w:szCs w:val="21"/>
              </w:rPr>
            </w:pPr>
          </w:p>
        </w:tc>
        <w:tc>
          <w:tcPr>
            <w:tcW w:w="1253" w:type="pct"/>
            <w:noWrap w:val="0"/>
            <w:vAlign w:val="center"/>
          </w:tcPr>
          <w:p w14:paraId="2A88CC6E">
            <w:pPr>
              <w:jc w:val="center"/>
              <w:rPr>
                <w:rFonts w:hint="eastAsia" w:ascii="宋体" w:hAnsi="宋体" w:eastAsia="宋体" w:cs="宋体"/>
                <w:bCs/>
                <w:szCs w:val="21"/>
                <w:highlight w:val="none"/>
              </w:rPr>
            </w:pPr>
            <w:r>
              <w:rPr>
                <w:rFonts w:hint="eastAsia" w:ascii="宋体" w:hAnsi="宋体" w:eastAsia="宋体" w:cs="宋体"/>
                <w:bCs/>
                <w:szCs w:val="21"/>
                <w:highlight w:val="none"/>
              </w:rPr>
              <w:t>人民调解与保险理赔</w:t>
            </w:r>
          </w:p>
          <w:p w14:paraId="115E02DB">
            <w:pPr>
              <w:jc w:val="center"/>
              <w:rPr>
                <w:rFonts w:hint="eastAsia" w:ascii="宋体" w:hAnsi="宋体" w:eastAsia="宋体" w:cs="宋体"/>
                <w:bCs/>
                <w:szCs w:val="21"/>
                <w:highlight w:val="none"/>
              </w:rPr>
            </w:pPr>
            <w:r>
              <w:rPr>
                <w:rFonts w:hint="eastAsia" w:ascii="宋体" w:hAnsi="宋体" w:eastAsia="宋体" w:cs="宋体"/>
                <w:bCs/>
                <w:szCs w:val="21"/>
                <w:highlight w:val="none"/>
              </w:rPr>
              <w:t>有效衔接经验</w:t>
            </w:r>
          </w:p>
          <w:p w14:paraId="7FC24575">
            <w:pPr>
              <w:jc w:val="center"/>
              <w:rPr>
                <w:rFonts w:ascii="宋体" w:hAnsi="宋体" w:eastAsia="宋体" w:cs="Times New Roman"/>
                <w:szCs w:val="21"/>
                <w:highlight w:val="none"/>
              </w:rPr>
            </w:pPr>
            <w:r>
              <w:rPr>
                <w:rFonts w:hint="eastAsia" w:ascii="宋体" w:hAnsi="宋体" w:eastAsia="宋体" w:cs="宋体"/>
                <w:bCs/>
                <w:szCs w:val="21"/>
                <w:highlight w:val="none"/>
              </w:rPr>
              <w:t>（1</w:t>
            </w:r>
            <w:r>
              <w:rPr>
                <w:rFonts w:ascii="宋体" w:hAnsi="宋体" w:eastAsia="宋体" w:cs="宋体"/>
                <w:bCs/>
                <w:szCs w:val="21"/>
                <w:highlight w:val="none"/>
              </w:rPr>
              <w:t>0</w:t>
            </w:r>
            <w:r>
              <w:rPr>
                <w:rFonts w:hint="eastAsia" w:ascii="宋体" w:hAnsi="宋体" w:eastAsia="宋体" w:cs="宋体"/>
                <w:bCs/>
                <w:szCs w:val="21"/>
                <w:highlight w:val="none"/>
              </w:rPr>
              <w:t>分）</w:t>
            </w:r>
          </w:p>
        </w:tc>
        <w:tc>
          <w:tcPr>
            <w:tcW w:w="3327" w:type="pct"/>
            <w:noWrap w:val="0"/>
            <w:vAlign w:val="center"/>
          </w:tcPr>
          <w:p w14:paraId="225A7FF2">
            <w:pPr>
              <w:rPr>
                <w:rFonts w:hint="eastAsia" w:ascii="宋体" w:hAnsi="宋体" w:eastAsia="宋体" w:cs="宋体"/>
                <w:bCs/>
                <w:szCs w:val="21"/>
                <w:highlight w:val="none"/>
              </w:rPr>
            </w:pPr>
            <w:r>
              <w:rPr>
                <w:rFonts w:hint="eastAsia" w:ascii="宋体" w:hAnsi="宋体" w:eastAsia="宋体" w:cs="宋体"/>
                <w:bCs/>
                <w:szCs w:val="21"/>
                <w:highlight w:val="none"/>
              </w:rPr>
              <w:t>提供通过人民调解委员会达成赔偿协议后，直接赔付患方的医患纠纷/医疗纠纷案例。</w:t>
            </w:r>
          </w:p>
          <w:p w14:paraId="1C983548">
            <w:pPr>
              <w:jc w:val="left"/>
              <w:rPr>
                <w:rFonts w:hint="eastAsia" w:ascii="宋体" w:hAnsi="宋体" w:eastAsia="宋体" w:cs="宋体"/>
                <w:bCs/>
                <w:szCs w:val="21"/>
                <w:highlight w:val="none"/>
              </w:rPr>
            </w:pP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符合上述</w:t>
            </w:r>
            <w:r>
              <w:rPr>
                <w:rFonts w:hint="eastAsia" w:ascii="宋体" w:hAnsi="宋体" w:eastAsia="宋体" w:cs="宋体"/>
                <w:bCs/>
                <w:szCs w:val="21"/>
                <w:highlight w:val="none"/>
                <w:lang w:val="en-US" w:eastAsia="zh-CN"/>
              </w:rPr>
              <w:t>要求的</w:t>
            </w:r>
            <w:r>
              <w:rPr>
                <w:rFonts w:hint="eastAsia" w:ascii="宋体" w:hAnsi="宋体" w:eastAsia="宋体" w:cs="宋体"/>
                <w:bCs/>
                <w:szCs w:val="21"/>
                <w:highlight w:val="none"/>
              </w:rPr>
              <w:t>每个</w:t>
            </w:r>
            <w:r>
              <w:rPr>
                <w:rFonts w:hint="eastAsia" w:ascii="宋体" w:hAnsi="宋体" w:eastAsia="宋体" w:cs="宋体"/>
                <w:bCs/>
                <w:szCs w:val="21"/>
                <w:highlight w:val="none"/>
                <w:lang w:val="en-US" w:eastAsia="zh-CN"/>
              </w:rPr>
              <w:t>案例</w:t>
            </w:r>
            <w:r>
              <w:rPr>
                <w:rFonts w:hint="eastAsia" w:ascii="宋体" w:hAnsi="宋体" w:eastAsia="宋体" w:cs="宋体"/>
                <w:bCs/>
                <w:szCs w:val="21"/>
                <w:highlight w:val="none"/>
              </w:rPr>
              <w:t>得1分，最多不超过</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分。</w:t>
            </w:r>
          </w:p>
          <w:p w14:paraId="3BFD8BE8">
            <w:pPr>
              <w:jc w:val="left"/>
              <w:rPr>
                <w:rFonts w:hint="eastAsia" w:ascii="宋体" w:hAnsi="宋体" w:eastAsia="宋体" w:cs="宋体"/>
                <w:bCs/>
                <w:szCs w:val="21"/>
                <w:highlight w:val="none"/>
              </w:rPr>
            </w:pP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eastAsia="zh-CN"/>
              </w:rPr>
              <w:t>）上述</w:t>
            </w:r>
            <w:r>
              <w:rPr>
                <w:rFonts w:hint="eastAsia" w:ascii="宋体" w:hAnsi="宋体" w:eastAsia="宋体" w:cs="宋体"/>
                <w:bCs/>
                <w:szCs w:val="21"/>
                <w:highlight w:val="none"/>
                <w:lang w:val="en-US" w:eastAsia="zh-CN"/>
              </w:rPr>
              <w:t>案例</w:t>
            </w:r>
            <w:r>
              <w:rPr>
                <w:rFonts w:hint="eastAsia" w:ascii="宋体" w:hAnsi="宋体" w:eastAsia="宋体" w:cs="宋体"/>
                <w:bCs/>
                <w:szCs w:val="21"/>
                <w:highlight w:val="none"/>
                <w:lang w:eastAsia="zh-CN"/>
              </w:rPr>
              <w:t>中，</w:t>
            </w:r>
            <w:r>
              <w:rPr>
                <w:rFonts w:hint="eastAsia" w:ascii="宋体" w:hAnsi="宋体" w:eastAsia="宋体" w:cs="宋体"/>
                <w:bCs/>
                <w:szCs w:val="21"/>
                <w:highlight w:val="none"/>
                <w:lang w:val="en-US" w:eastAsia="zh-CN"/>
              </w:rPr>
              <w:t>理赔金额大于80万元（含）的</w:t>
            </w:r>
            <w:r>
              <w:rPr>
                <w:rFonts w:hint="eastAsia" w:ascii="宋体" w:hAnsi="宋体" w:eastAsia="宋体" w:cs="宋体"/>
                <w:bCs/>
                <w:szCs w:val="21"/>
                <w:highlight w:val="none"/>
                <w:lang w:eastAsia="zh-CN"/>
              </w:rPr>
              <w:t>，加</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lang w:eastAsia="zh-CN"/>
              </w:rPr>
              <w:t>分；</w:t>
            </w:r>
            <w:r>
              <w:rPr>
                <w:rFonts w:hint="eastAsia" w:ascii="宋体" w:hAnsi="宋体" w:eastAsia="宋体" w:cs="宋体"/>
                <w:bCs/>
                <w:szCs w:val="21"/>
                <w:highlight w:val="none"/>
                <w:lang w:val="en-US" w:eastAsia="zh-CN"/>
              </w:rPr>
              <w:t>理赔金额在50-80万元的（含50万，不含80万）</w:t>
            </w:r>
            <w:r>
              <w:rPr>
                <w:rFonts w:hint="eastAsia" w:ascii="宋体" w:hAnsi="宋体" w:eastAsia="宋体" w:cs="宋体"/>
                <w:bCs/>
                <w:szCs w:val="21"/>
                <w:highlight w:val="none"/>
                <w:lang w:eastAsia="zh-CN"/>
              </w:rPr>
              <w:t>，加</w:t>
            </w:r>
            <w:r>
              <w:rPr>
                <w:rFonts w:hint="eastAsia" w:ascii="宋体" w:hAnsi="宋体" w:eastAsia="宋体" w:cs="宋体"/>
                <w:bCs/>
                <w:szCs w:val="21"/>
                <w:highlight w:val="none"/>
                <w:lang w:val="en-US" w:eastAsia="zh-CN"/>
              </w:rPr>
              <w:t>0.5</w:t>
            </w:r>
            <w:r>
              <w:rPr>
                <w:rFonts w:hint="eastAsia" w:ascii="宋体" w:hAnsi="宋体" w:eastAsia="宋体" w:cs="宋体"/>
                <w:bCs/>
                <w:szCs w:val="21"/>
                <w:highlight w:val="none"/>
                <w:lang w:eastAsia="zh-CN"/>
              </w:rPr>
              <w:t>分。</w:t>
            </w:r>
          </w:p>
          <w:p w14:paraId="38ABD9C7">
            <w:pPr>
              <w:textAlignment w:val="center"/>
              <w:rPr>
                <w:rFonts w:ascii="宋体" w:hAnsi="宋体" w:eastAsia="宋体" w:cs="宋体"/>
                <w:szCs w:val="21"/>
                <w:highlight w:val="none"/>
              </w:rPr>
            </w:pPr>
            <w:r>
              <w:rPr>
                <w:rFonts w:hint="eastAsia" w:ascii="宋体" w:hAnsi="宋体" w:eastAsia="宋体" w:cs="宋体"/>
                <w:b/>
                <w:bCs w:val="0"/>
                <w:szCs w:val="21"/>
                <w:highlight w:val="none"/>
              </w:rPr>
              <w:t>注：响应文件提供人民调解协议书、划款凭证、保单（合同）或服务协议。</w:t>
            </w:r>
            <w:r>
              <w:rPr>
                <w:rFonts w:ascii="Calibri" w:hAnsi="Calibri" w:eastAsia="宋体" w:cs="Times New Roman"/>
                <w:b/>
                <w:highlight w:val="none"/>
              </w:rPr>
              <w:t>如果</w:t>
            </w:r>
            <w:r>
              <w:rPr>
                <w:rFonts w:hint="eastAsia" w:ascii="Calibri" w:hAnsi="Calibri" w:eastAsia="宋体" w:cs="Times New Roman"/>
                <w:b/>
                <w:highlight w:val="none"/>
              </w:rPr>
              <w:t>供应商</w:t>
            </w:r>
            <w:r>
              <w:rPr>
                <w:rFonts w:ascii="Calibri" w:hAnsi="Calibri" w:eastAsia="宋体" w:cs="Times New Roman"/>
                <w:b/>
                <w:highlight w:val="none"/>
              </w:rPr>
              <w:t>为分支机构的，</w:t>
            </w:r>
            <w:r>
              <w:rPr>
                <w:rFonts w:hint="eastAsia" w:ascii="Calibri" w:hAnsi="Calibri" w:eastAsia="宋体" w:cs="Times New Roman"/>
                <w:b/>
                <w:highlight w:val="none"/>
              </w:rPr>
              <w:t>以其本身的</w:t>
            </w:r>
            <w:r>
              <w:rPr>
                <w:rFonts w:ascii="Calibri" w:hAnsi="Calibri" w:eastAsia="宋体" w:cs="Times New Roman"/>
                <w:b/>
                <w:highlight w:val="none"/>
              </w:rPr>
              <w:t>服务</w:t>
            </w:r>
            <w:r>
              <w:rPr>
                <w:rFonts w:hint="eastAsia" w:ascii="Calibri" w:hAnsi="Calibri" w:eastAsia="宋体" w:cs="Times New Roman"/>
                <w:b/>
                <w:highlight w:val="none"/>
              </w:rPr>
              <w:t>案例为准</w:t>
            </w:r>
            <w:r>
              <w:rPr>
                <w:rFonts w:hint="eastAsia" w:ascii="Calibri" w:hAnsi="Calibri" w:eastAsia="宋体" w:cs="Times New Roman"/>
                <w:b/>
                <w:highlight w:val="none"/>
                <w:lang w:eastAsia="zh-CN"/>
              </w:rPr>
              <w:t>，</w:t>
            </w:r>
            <w:r>
              <w:rPr>
                <w:rFonts w:hint="eastAsia" w:ascii="Calibri" w:hAnsi="Calibri" w:eastAsia="宋体" w:cs="Times New Roman"/>
                <w:b/>
                <w:highlight w:val="none"/>
                <w:lang w:val="en-US" w:eastAsia="zh-CN"/>
              </w:rPr>
              <w:t>不认可总公司或其他分支机构服务案例</w:t>
            </w:r>
            <w:r>
              <w:rPr>
                <w:rFonts w:ascii="Calibri" w:hAnsi="Calibri" w:eastAsia="宋体" w:cs="Times New Roman"/>
                <w:b/>
                <w:highlight w:val="none"/>
              </w:rPr>
              <w:t>。</w:t>
            </w:r>
          </w:p>
        </w:tc>
      </w:tr>
      <w:tr w14:paraId="2C524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vMerge w:val="continue"/>
            <w:noWrap w:val="0"/>
            <w:vAlign w:val="center"/>
          </w:tcPr>
          <w:p w14:paraId="6D9F43C0">
            <w:pPr>
              <w:jc w:val="center"/>
              <w:rPr>
                <w:rFonts w:ascii="宋体" w:hAnsi="宋体" w:eastAsia="宋体" w:cs="Times New Roman"/>
                <w:szCs w:val="21"/>
              </w:rPr>
            </w:pPr>
          </w:p>
        </w:tc>
        <w:tc>
          <w:tcPr>
            <w:tcW w:w="1253" w:type="pct"/>
            <w:noWrap w:val="0"/>
            <w:vAlign w:val="center"/>
          </w:tcPr>
          <w:p w14:paraId="3F7811F0">
            <w:pPr>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风险综合评级</w:t>
            </w:r>
          </w:p>
          <w:p w14:paraId="599D66D9">
            <w:pPr>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（10分）</w:t>
            </w:r>
          </w:p>
        </w:tc>
        <w:tc>
          <w:tcPr>
            <w:tcW w:w="3327" w:type="pct"/>
            <w:noWrap w:val="0"/>
            <w:vAlign w:val="center"/>
          </w:tcPr>
          <w:p w14:paraId="36E511C1">
            <w:pPr>
              <w:jc w:val="left"/>
              <w:rPr>
                <w:rFonts w:hint="eastAsia" w:ascii="宋体" w:hAnsi="宋体" w:eastAsia="宋体" w:cs="宋体"/>
                <w:bCs/>
                <w:szCs w:val="21"/>
                <w:highlight w:val="none"/>
              </w:rPr>
            </w:pPr>
            <w:r>
              <w:rPr>
                <w:rFonts w:hint="eastAsia" w:ascii="宋体" w:hAnsi="宋体" w:eastAsia="宋体" w:cs="宋体"/>
                <w:bCs/>
                <w:szCs w:val="21"/>
                <w:highlight w:val="none"/>
              </w:rPr>
              <w:t>根据监管部门对保险公司综合偿付能力风险综合评级发布的结果。风险综合评级结果为AAA、AA、A的得</w:t>
            </w: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rPr>
              <w:t>分；风险综合评级结果为BBB、BB、B的得</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分；风险综合评级结果为CCC、CC、C的得</w:t>
            </w: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分；评价结果为D或者不在评价范围的得0分。</w:t>
            </w:r>
          </w:p>
          <w:p w14:paraId="22BCDD64">
            <w:pPr>
              <w:jc w:val="left"/>
              <w:rPr>
                <w:rFonts w:hint="eastAsia" w:ascii="宋体" w:hAnsi="宋体" w:eastAsia="宋体" w:cs="宋体"/>
                <w:bCs/>
                <w:szCs w:val="21"/>
                <w:highlight w:val="none"/>
              </w:rPr>
            </w:pPr>
            <w:r>
              <w:rPr>
                <w:rFonts w:hint="eastAsia" w:ascii="宋体" w:hAnsi="宋体" w:eastAsia="宋体" w:cs="宋体"/>
                <w:b/>
                <w:bCs w:val="0"/>
                <w:szCs w:val="21"/>
                <w:highlight w:val="none"/>
              </w:rPr>
              <w:t>注：提供</w:t>
            </w:r>
            <w:r>
              <w:rPr>
                <w:rFonts w:hint="eastAsia" w:ascii="宋体" w:hAnsi="宋体" w:eastAsia="宋体" w:cs="宋体"/>
                <w:b/>
                <w:bCs w:val="0"/>
                <w:szCs w:val="21"/>
                <w:highlight w:val="none"/>
                <w:lang w:val="en-US" w:eastAsia="zh-CN"/>
              </w:rPr>
              <w:t>供应商</w:t>
            </w:r>
            <w:r>
              <w:rPr>
                <w:rFonts w:hint="eastAsia" w:ascii="宋体" w:hAnsi="宋体" w:eastAsia="宋体" w:cs="宋体"/>
                <w:b/>
                <w:bCs w:val="0"/>
                <w:szCs w:val="21"/>
                <w:highlight w:val="none"/>
              </w:rPr>
              <w:t>总公司2024年第四季度的数据作为证明材料，不提供则不得分</w:t>
            </w:r>
            <w:r>
              <w:rPr>
                <w:rFonts w:hint="eastAsia" w:ascii="宋体" w:hAnsi="宋体" w:eastAsia="宋体" w:cs="宋体"/>
                <w:bCs/>
                <w:szCs w:val="21"/>
                <w:highlight w:val="none"/>
              </w:rPr>
              <w:t>。</w:t>
            </w:r>
          </w:p>
        </w:tc>
      </w:tr>
      <w:tr w14:paraId="15CAB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noWrap w:val="0"/>
            <w:vAlign w:val="center"/>
          </w:tcPr>
          <w:p w14:paraId="46D697BC">
            <w:pPr>
              <w:jc w:val="center"/>
              <w:rPr>
                <w:rFonts w:ascii="宋体" w:hAnsi="宋体" w:eastAsia="宋体" w:cs="Times New Roman"/>
                <w:szCs w:val="21"/>
              </w:rPr>
            </w:pPr>
            <w:r>
              <w:rPr>
                <w:rFonts w:hint="eastAsia" w:ascii="宋体" w:hAnsi="宋体" w:eastAsia="宋体" w:cs="Times New Roman"/>
                <w:szCs w:val="21"/>
              </w:rPr>
              <w:t>响应</w:t>
            </w:r>
            <w:r>
              <w:rPr>
                <w:rFonts w:ascii="宋体" w:hAnsi="宋体" w:eastAsia="宋体" w:cs="Times New Roman"/>
                <w:szCs w:val="21"/>
              </w:rPr>
              <w:t>报价</w:t>
            </w:r>
          </w:p>
        </w:tc>
        <w:tc>
          <w:tcPr>
            <w:tcW w:w="1253" w:type="pct"/>
            <w:noWrap w:val="0"/>
            <w:vAlign w:val="center"/>
          </w:tcPr>
          <w:p w14:paraId="7D87D004">
            <w:pPr>
              <w:jc w:val="center"/>
              <w:rPr>
                <w:rFonts w:ascii="宋体" w:hAnsi="宋体" w:eastAsia="宋体" w:cs="Times New Roman"/>
                <w:szCs w:val="21"/>
              </w:rPr>
            </w:pPr>
            <w:r>
              <w:rPr>
                <w:rFonts w:hint="eastAsia" w:ascii="宋体" w:hAnsi="宋体" w:eastAsia="宋体" w:cs="Times New Roman"/>
                <w:szCs w:val="21"/>
              </w:rPr>
              <w:t>响应</w:t>
            </w:r>
            <w:r>
              <w:rPr>
                <w:rFonts w:ascii="宋体" w:hAnsi="宋体" w:eastAsia="宋体" w:cs="Times New Roman"/>
                <w:szCs w:val="21"/>
              </w:rPr>
              <w:t>报价得分</w:t>
            </w:r>
          </w:p>
          <w:p w14:paraId="003F0DB1">
            <w:pPr>
              <w:jc w:val="center"/>
              <w:rPr>
                <w:rFonts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ascii="宋体" w:hAnsi="宋体" w:eastAsia="宋体" w:cs="Times New Roman"/>
                <w:szCs w:val="21"/>
              </w:rPr>
              <w:t>0分)</w:t>
            </w:r>
          </w:p>
        </w:tc>
        <w:tc>
          <w:tcPr>
            <w:tcW w:w="3327" w:type="pct"/>
            <w:noWrap w:val="0"/>
            <w:vAlign w:val="top"/>
          </w:tcPr>
          <w:p w14:paraId="5B316412">
            <w:pPr>
              <w:jc w:val="left"/>
              <w:rPr>
                <w:rFonts w:ascii="宋体" w:hAnsi="宋体" w:eastAsia="宋体" w:cs="Times New Roman"/>
                <w:szCs w:val="21"/>
              </w:rPr>
            </w:pPr>
            <w:r>
              <w:rPr>
                <w:rFonts w:hint="eastAsia" w:ascii="Calibri" w:hAnsi="Calibri" w:eastAsia="宋体" w:cs="Times New Roman"/>
              </w:rPr>
              <w:t>响应</w:t>
            </w:r>
            <w:r>
              <w:rPr>
                <w:rFonts w:ascii="Calibri" w:hAnsi="Calibri" w:eastAsia="宋体" w:cs="Times New Roman"/>
              </w:rPr>
              <w:t>报价得分＝（</w:t>
            </w:r>
            <w:r>
              <w:rPr>
                <w:rFonts w:hint="eastAsia" w:ascii="Calibri" w:hAnsi="Calibri" w:eastAsia="宋体" w:cs="Times New Roman"/>
              </w:rPr>
              <w:t>评审</w:t>
            </w:r>
            <w:r>
              <w:rPr>
                <w:rFonts w:ascii="Calibri" w:hAnsi="Calibri" w:eastAsia="宋体" w:cs="Times New Roman"/>
              </w:rPr>
              <w:t>基准价/</w:t>
            </w:r>
            <w:r>
              <w:rPr>
                <w:rFonts w:hint="eastAsia" w:ascii="Calibri" w:hAnsi="Calibri" w:eastAsia="宋体" w:cs="Times New Roman"/>
              </w:rPr>
              <w:t>响应</w:t>
            </w:r>
            <w:r>
              <w:rPr>
                <w:rFonts w:ascii="Calibri" w:hAnsi="Calibri" w:eastAsia="宋体" w:cs="Times New Roman"/>
              </w:rPr>
              <w:t>报价）</w:t>
            </w:r>
            <w:r>
              <w:rPr>
                <w:rFonts w:hint="eastAsia" w:ascii="Calibri" w:hAnsi="Calibri" w:eastAsia="宋体" w:cs="Times New Roman"/>
                <w:lang w:val="en-US" w:eastAsia="zh-CN"/>
              </w:rPr>
              <w:t>×</w:t>
            </w:r>
            <w:r>
              <w:rPr>
                <w:rFonts w:ascii="Calibri" w:hAnsi="Calibri" w:eastAsia="宋体" w:cs="Times New Roman"/>
              </w:rPr>
              <w:t>价格分值【注：满足采购文件要求且</w:t>
            </w:r>
            <w:r>
              <w:rPr>
                <w:rFonts w:hint="eastAsia" w:ascii="Calibri" w:hAnsi="Calibri" w:eastAsia="宋体" w:cs="Times New Roman"/>
              </w:rPr>
              <w:t>响应</w:t>
            </w:r>
            <w:r>
              <w:rPr>
                <w:rFonts w:ascii="Calibri" w:hAnsi="Calibri" w:eastAsia="宋体" w:cs="Times New Roman"/>
              </w:rPr>
              <w:t>价格最低的</w:t>
            </w:r>
            <w:r>
              <w:rPr>
                <w:rFonts w:hint="eastAsia" w:ascii="Calibri" w:hAnsi="Calibri" w:eastAsia="宋体" w:cs="Times New Roman"/>
              </w:rPr>
              <w:t>响应</w:t>
            </w:r>
            <w:r>
              <w:rPr>
                <w:rFonts w:ascii="Calibri" w:hAnsi="Calibri" w:eastAsia="宋体" w:cs="Times New Roman"/>
              </w:rPr>
              <w:t>报价为</w:t>
            </w:r>
            <w:r>
              <w:rPr>
                <w:rFonts w:hint="eastAsia" w:ascii="Calibri" w:hAnsi="Calibri" w:eastAsia="宋体" w:cs="Times New Roman"/>
              </w:rPr>
              <w:t>评审</w:t>
            </w:r>
            <w:r>
              <w:rPr>
                <w:rFonts w:ascii="Calibri" w:hAnsi="Calibri" w:eastAsia="宋体" w:cs="Times New Roman"/>
              </w:rPr>
              <w:t>基准价。】最低报价不是</w:t>
            </w:r>
            <w:r>
              <w:rPr>
                <w:rFonts w:hint="eastAsia" w:ascii="Calibri" w:hAnsi="Calibri" w:eastAsia="宋体" w:cs="Times New Roman"/>
              </w:rPr>
              <w:t>成交</w:t>
            </w:r>
            <w:r>
              <w:rPr>
                <w:rFonts w:ascii="Calibri" w:hAnsi="Calibri" w:eastAsia="宋体" w:cs="Times New Roman"/>
              </w:rPr>
              <w:t>的唯一依据。因落实政府采购政策进行价格调整的，以调整后的价格计算</w:t>
            </w:r>
            <w:r>
              <w:rPr>
                <w:rFonts w:hint="eastAsia" w:ascii="Calibri" w:hAnsi="Calibri" w:eastAsia="宋体" w:cs="Times New Roman"/>
              </w:rPr>
              <w:t>评审</w:t>
            </w:r>
            <w:r>
              <w:rPr>
                <w:rFonts w:ascii="Calibri" w:hAnsi="Calibri" w:eastAsia="宋体" w:cs="Times New Roman"/>
              </w:rPr>
              <w:t>基准价和</w:t>
            </w:r>
            <w:r>
              <w:rPr>
                <w:rFonts w:hint="eastAsia" w:ascii="Calibri" w:hAnsi="Calibri" w:eastAsia="宋体" w:cs="Times New Roman"/>
              </w:rPr>
              <w:t>响应</w:t>
            </w:r>
            <w:r>
              <w:rPr>
                <w:rFonts w:ascii="Calibri" w:hAnsi="Calibri" w:eastAsia="宋体" w:cs="Times New Roman"/>
              </w:rPr>
              <w:t>报价。</w:t>
            </w:r>
          </w:p>
        </w:tc>
      </w:tr>
    </w:tbl>
    <w:p w14:paraId="202666BC"/>
    <w:p w14:paraId="591A280D">
      <w:pPr>
        <w:pStyle w:val="4"/>
      </w:pPr>
      <w:bookmarkStart w:id="51" w:name="_Toc23656"/>
      <w:r>
        <w:t>6.汇总、排序</w:t>
      </w:r>
      <w:bookmarkEnd w:id="51"/>
    </w:p>
    <w:p w14:paraId="2644B47D">
      <w:r>
        <w:t>采购包1：</w:t>
      </w:r>
    </w:p>
    <w:p w14:paraId="1A046070">
      <w:r>
        <w:t>1）评审结果按评审后总得分由高到低顺序排列。评审得分相同的，按最终报价由低到高顺序排列。得分且最终报价相同的，由</w:t>
      </w:r>
      <w:r>
        <w:rPr>
          <w:rFonts w:hint="eastAsia"/>
        </w:rPr>
        <w:t>磋商</w:t>
      </w:r>
      <w:r>
        <w:t>小组采取随机抽取的方式确定。排名第一的供应商为第一成交候选人，排名第二的供应商为第二成交候选人，排名第三的供应商为第三成交候选人</w:t>
      </w:r>
      <w:r>
        <w:rPr>
          <w:rFonts w:hint="eastAsia"/>
        </w:rPr>
        <w:t>。</w:t>
      </w:r>
    </w:p>
    <w:p w14:paraId="4D39D249">
      <w:r>
        <w:t>2）综合得分相同的，按下列顺序比较确定：（1）</w:t>
      </w:r>
      <w:r>
        <w:rPr>
          <w:rFonts w:hint="eastAsia"/>
        </w:rPr>
        <w:t>响应</w:t>
      </w:r>
      <w:r>
        <w:t>报价（由低到高）；（2）技术评分（由高到低）；（3）节能产品；（4）环保产品。如以上都相同的，名次由磋商小组抽签确定。</w:t>
      </w:r>
    </w:p>
    <w:p w14:paraId="76B37686">
      <w:pPr>
        <w:pStyle w:val="4"/>
      </w:pPr>
      <w:bookmarkStart w:id="52" w:name="_Toc17918"/>
      <w:r>
        <w:t>7.其他无效响应的情形：</w:t>
      </w:r>
      <w:bookmarkEnd w:id="52"/>
    </w:p>
    <w:p w14:paraId="6826C97E">
      <w:pPr>
        <w:ind w:firstLine="480"/>
      </w:pPr>
      <w:r>
        <w:t>（1）评审期间，供应商没有按磋商小组的要求提交法定代表人或其委托代理人签字的澄清、说明、补正或改变了响应文件的实质性内容的。</w:t>
      </w:r>
    </w:p>
    <w:p w14:paraId="6E803E8D">
      <w:pPr>
        <w:ind w:firstLine="480"/>
      </w:pPr>
      <w:r>
        <w:t>（2）响应文件提供虚假材料的。</w:t>
      </w:r>
    </w:p>
    <w:p w14:paraId="249DF74E">
      <w:pPr>
        <w:ind w:firstLine="480"/>
      </w:pPr>
      <w:r>
        <w:t>（3）供应商以他人名义响应、串通响应、以行贿手段谋取成交或者以其他弄虚作假方式响应的。</w:t>
      </w:r>
    </w:p>
    <w:p w14:paraId="2A17A4C7">
      <w:pPr>
        <w:ind w:firstLine="480"/>
      </w:pPr>
      <w:r>
        <w:t>（4）供应商对采购人、采购代理机构、磋商小组及其工作人员施加影响，有碍</w:t>
      </w:r>
      <w:r>
        <w:rPr>
          <w:rFonts w:hint="eastAsia"/>
        </w:rPr>
        <w:t>采购</w:t>
      </w:r>
      <w:r>
        <w:t>公平、公正的。</w:t>
      </w:r>
    </w:p>
    <w:p w14:paraId="33A863C4">
      <w:pPr>
        <w:ind w:firstLine="480"/>
      </w:pPr>
      <w:r>
        <w:t>（5）响应文件含有采购人不能接受的附加条件的。</w:t>
      </w:r>
    </w:p>
    <w:p w14:paraId="5B25DA28">
      <w:pPr>
        <w:ind w:firstLine="480"/>
      </w:pPr>
      <w:r>
        <w:t>（6）法律、法规和磋商文件规定的其他无效情形。</w:t>
      </w:r>
    </w:p>
    <w:p w14:paraId="36061827">
      <w:pPr>
        <w:widowControl/>
        <w:jc w:val="left"/>
        <w:rPr>
          <w:b/>
          <w:bCs/>
          <w:kern w:val="44"/>
          <w:sz w:val="44"/>
          <w:szCs w:val="44"/>
        </w:rPr>
      </w:pPr>
      <w:r>
        <w:br w:type="page"/>
      </w:r>
    </w:p>
    <w:p w14:paraId="1BF22463">
      <w:pPr>
        <w:pStyle w:val="2"/>
        <w:jc w:val="center"/>
      </w:pPr>
      <w:bookmarkStart w:id="53" w:name="_Toc30929"/>
      <w:r>
        <w:t>第五章 合同文本</w:t>
      </w:r>
      <w:bookmarkEnd w:id="53"/>
    </w:p>
    <w:p w14:paraId="29E83C9D">
      <w:pPr>
        <w:jc w:val="left"/>
        <w:rPr>
          <w:rFonts w:ascii="Calibri" w:hAnsi="Calibri" w:eastAsia="宋体" w:cs="Times New Roman"/>
          <w:color w:val="auto"/>
        </w:rPr>
      </w:pPr>
      <w:r>
        <w:rPr>
          <w:rFonts w:ascii="Calibri" w:hAnsi="Calibri" w:eastAsia="宋体" w:cs="Times New Roman"/>
          <w:i/>
          <w:color w:val="auto"/>
        </w:rPr>
        <w:t>注：本合同仅为合同的参考文本，可根据项目的具体要求进行修订。</w:t>
      </w:r>
    </w:p>
    <w:p w14:paraId="4E1509AC">
      <w:pPr>
        <w:pageBreakBefore w:val="0"/>
        <w:kinsoku/>
        <w:wordWrap/>
        <w:overflowPunct/>
        <w:topLinePunct w:val="0"/>
        <w:bidi w:val="0"/>
        <w:spacing w:line="360" w:lineRule="auto"/>
        <w:jc w:val="center"/>
        <w:textAlignment w:val="auto"/>
        <w:outlineLvl w:val="9"/>
        <w:rPr>
          <w:rFonts w:hint="eastAsia" w:ascii="仿宋" w:hAnsi="仿宋" w:eastAsia="仿宋" w:cs="仿宋"/>
          <w:b/>
          <w:kern w:val="0"/>
          <w:sz w:val="52"/>
          <w:szCs w:val="22"/>
        </w:rPr>
      </w:pPr>
      <w:bookmarkStart w:id="54" w:name="_Toc2061"/>
    </w:p>
    <w:p w14:paraId="7D1E6BA9">
      <w:pPr>
        <w:pageBreakBefore w:val="0"/>
        <w:kinsoku/>
        <w:wordWrap/>
        <w:overflowPunct/>
        <w:topLinePunct w:val="0"/>
        <w:bidi w:val="0"/>
        <w:spacing w:line="360" w:lineRule="auto"/>
        <w:jc w:val="center"/>
        <w:textAlignment w:val="auto"/>
        <w:outlineLvl w:val="9"/>
        <w:rPr>
          <w:rFonts w:hint="eastAsia" w:ascii="仿宋" w:hAnsi="仿宋" w:eastAsia="仿宋" w:cs="仿宋"/>
          <w:b/>
          <w:kern w:val="0"/>
          <w:sz w:val="52"/>
          <w:szCs w:val="22"/>
        </w:rPr>
      </w:pPr>
    </w:p>
    <w:p w14:paraId="2D37BCD5">
      <w:pPr>
        <w:pageBreakBefore w:val="0"/>
        <w:kinsoku/>
        <w:wordWrap/>
        <w:overflowPunct/>
        <w:topLinePunct w:val="0"/>
        <w:bidi w:val="0"/>
        <w:spacing w:line="360" w:lineRule="auto"/>
        <w:jc w:val="center"/>
        <w:textAlignment w:val="auto"/>
        <w:outlineLvl w:val="9"/>
        <w:rPr>
          <w:rFonts w:hint="eastAsia" w:ascii="仿宋" w:hAnsi="仿宋" w:eastAsia="仿宋" w:cs="仿宋"/>
          <w:b/>
          <w:kern w:val="0"/>
          <w:sz w:val="52"/>
          <w:szCs w:val="22"/>
        </w:rPr>
      </w:pPr>
      <w:r>
        <w:rPr>
          <w:rFonts w:hint="eastAsia" w:ascii="仿宋" w:hAnsi="仿宋" w:eastAsia="仿宋" w:cs="仿宋"/>
          <w:b/>
          <w:kern w:val="0"/>
          <w:sz w:val="52"/>
          <w:szCs w:val="22"/>
        </w:rPr>
        <w:t>合同书</w:t>
      </w:r>
    </w:p>
    <w:p w14:paraId="54D0BB01">
      <w:pPr>
        <w:pageBreakBefore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kern w:val="0"/>
          <w:sz w:val="28"/>
          <w:szCs w:val="22"/>
        </w:rPr>
      </w:pPr>
    </w:p>
    <w:p w14:paraId="76A155D9">
      <w:pPr>
        <w:pageBreakBefore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kern w:val="0"/>
          <w:sz w:val="32"/>
          <w:szCs w:val="22"/>
        </w:rPr>
      </w:pPr>
    </w:p>
    <w:p w14:paraId="637B4B86">
      <w:pPr>
        <w:pageBreakBefore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kern w:val="0"/>
          <w:sz w:val="32"/>
          <w:szCs w:val="22"/>
        </w:rPr>
      </w:pPr>
    </w:p>
    <w:p w14:paraId="3E689A45">
      <w:pPr>
        <w:pageBreakBefore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kern w:val="0"/>
          <w:sz w:val="32"/>
          <w:szCs w:val="22"/>
        </w:rPr>
      </w:pPr>
    </w:p>
    <w:p w14:paraId="50CA2463">
      <w:pPr>
        <w:pageBreakBefore w:val="0"/>
        <w:kinsoku/>
        <w:wordWrap/>
        <w:overflowPunct/>
        <w:topLinePunct w:val="0"/>
        <w:bidi w:val="0"/>
        <w:adjustRightInd w:val="0"/>
        <w:snapToGrid w:val="0"/>
        <w:spacing w:line="360" w:lineRule="auto"/>
        <w:jc w:val="center"/>
        <w:textAlignment w:val="auto"/>
        <w:outlineLvl w:val="9"/>
        <w:rPr>
          <w:rFonts w:hint="eastAsia" w:ascii="仿宋" w:hAnsi="仿宋" w:eastAsia="仿宋" w:cs="仿宋"/>
          <w:b/>
          <w:kern w:val="0"/>
          <w:sz w:val="32"/>
          <w:szCs w:val="22"/>
        </w:rPr>
      </w:pPr>
    </w:p>
    <w:p w14:paraId="154156FF">
      <w:pPr>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b/>
          <w:kern w:val="0"/>
          <w:sz w:val="32"/>
          <w:szCs w:val="22"/>
        </w:rPr>
      </w:pPr>
    </w:p>
    <w:p w14:paraId="5EFE8D5A">
      <w:pPr>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b/>
          <w:kern w:val="0"/>
          <w:sz w:val="32"/>
          <w:szCs w:val="22"/>
        </w:rPr>
      </w:pPr>
    </w:p>
    <w:p w14:paraId="07E70836">
      <w:pPr>
        <w:pageBreakBefore w:val="0"/>
        <w:kinsoku/>
        <w:wordWrap/>
        <w:overflowPunct/>
        <w:topLinePunct w:val="0"/>
        <w:bidi w:val="0"/>
        <w:adjustRightInd w:val="0"/>
        <w:snapToGrid w:val="0"/>
        <w:spacing w:line="480" w:lineRule="auto"/>
        <w:textAlignment w:val="auto"/>
        <w:outlineLvl w:val="9"/>
        <w:rPr>
          <w:rFonts w:hint="eastAsia" w:ascii="仿宋" w:hAnsi="仿宋" w:eastAsia="仿宋" w:cs="仿宋"/>
          <w:b/>
          <w:kern w:val="0"/>
          <w:sz w:val="28"/>
          <w:szCs w:val="22"/>
        </w:rPr>
      </w:pPr>
      <w:r>
        <w:rPr>
          <w:rFonts w:hint="eastAsia" w:ascii="仿宋" w:hAnsi="仿宋" w:eastAsia="仿宋" w:cs="仿宋"/>
          <w:b/>
          <w:kern w:val="0"/>
          <w:sz w:val="28"/>
          <w:szCs w:val="22"/>
        </w:rPr>
        <w:t>项目名称：</w:t>
      </w:r>
      <w:r>
        <w:rPr>
          <w:rFonts w:hint="eastAsia" w:ascii="仿宋" w:hAnsi="仿宋" w:eastAsia="仿宋" w:cs="仿宋"/>
          <w:b/>
          <w:kern w:val="0"/>
          <w:sz w:val="28"/>
          <w:szCs w:val="22"/>
          <w:u w:val="single"/>
        </w:rPr>
        <w:t xml:space="preserve">                                  </w:t>
      </w:r>
    </w:p>
    <w:p w14:paraId="01F8D3DD">
      <w:pPr>
        <w:pageBreakBefore w:val="0"/>
        <w:kinsoku/>
        <w:wordWrap/>
        <w:overflowPunct/>
        <w:topLinePunct w:val="0"/>
        <w:bidi w:val="0"/>
        <w:adjustRightInd w:val="0"/>
        <w:snapToGrid w:val="0"/>
        <w:spacing w:line="480" w:lineRule="auto"/>
        <w:textAlignment w:val="auto"/>
        <w:outlineLvl w:val="9"/>
        <w:rPr>
          <w:rFonts w:hint="eastAsia" w:ascii="仿宋" w:hAnsi="仿宋" w:eastAsia="仿宋" w:cs="仿宋"/>
          <w:b/>
          <w:kern w:val="0"/>
          <w:sz w:val="28"/>
          <w:szCs w:val="22"/>
        </w:rPr>
      </w:pPr>
      <w:r>
        <w:rPr>
          <w:rFonts w:hint="eastAsia" w:ascii="仿宋" w:hAnsi="仿宋" w:eastAsia="仿宋" w:cs="仿宋"/>
          <w:b/>
          <w:kern w:val="0"/>
          <w:sz w:val="28"/>
          <w:szCs w:val="22"/>
        </w:rPr>
        <w:t>合同编号：</w:t>
      </w:r>
      <w:r>
        <w:rPr>
          <w:rFonts w:hint="eastAsia" w:ascii="仿宋" w:hAnsi="仿宋" w:eastAsia="仿宋" w:cs="仿宋"/>
          <w:b/>
          <w:kern w:val="0"/>
          <w:sz w:val="28"/>
          <w:szCs w:val="22"/>
          <w:u w:val="single"/>
        </w:rPr>
        <w:t xml:space="preserve">                                  </w:t>
      </w:r>
    </w:p>
    <w:p w14:paraId="7F2195CC">
      <w:pPr>
        <w:pageBreakBefore w:val="0"/>
        <w:kinsoku/>
        <w:wordWrap/>
        <w:overflowPunct/>
        <w:topLinePunct w:val="0"/>
        <w:bidi w:val="0"/>
        <w:adjustRightInd w:val="0"/>
        <w:snapToGrid w:val="0"/>
        <w:spacing w:line="480" w:lineRule="auto"/>
        <w:textAlignment w:val="auto"/>
        <w:outlineLvl w:val="9"/>
        <w:rPr>
          <w:rFonts w:hint="eastAsia" w:ascii="仿宋" w:hAnsi="仿宋" w:eastAsia="仿宋" w:cs="仿宋"/>
          <w:b/>
          <w:kern w:val="0"/>
          <w:sz w:val="28"/>
          <w:szCs w:val="22"/>
        </w:rPr>
      </w:pPr>
      <w:r>
        <w:rPr>
          <w:rFonts w:hint="eastAsia" w:ascii="仿宋" w:hAnsi="仿宋" w:eastAsia="仿宋" w:cs="仿宋"/>
          <w:b/>
          <w:kern w:val="0"/>
          <w:sz w:val="28"/>
          <w:szCs w:val="22"/>
        </w:rPr>
        <w:t>签约地点：</w:t>
      </w:r>
      <w:r>
        <w:rPr>
          <w:rFonts w:hint="eastAsia" w:ascii="仿宋" w:hAnsi="仿宋" w:eastAsia="仿宋" w:cs="仿宋"/>
          <w:b/>
          <w:kern w:val="0"/>
          <w:sz w:val="28"/>
          <w:szCs w:val="22"/>
          <w:u w:val="single"/>
        </w:rPr>
        <w:t xml:space="preserve">                       </w:t>
      </w:r>
    </w:p>
    <w:p w14:paraId="6B13F6DE">
      <w:pPr>
        <w:pageBreakBefore w:val="0"/>
        <w:kinsoku/>
        <w:wordWrap/>
        <w:overflowPunct/>
        <w:topLinePunct w:val="0"/>
        <w:bidi w:val="0"/>
        <w:adjustRightInd w:val="0"/>
        <w:snapToGrid w:val="0"/>
        <w:spacing w:line="360" w:lineRule="auto"/>
        <w:textAlignment w:val="auto"/>
        <w:outlineLvl w:val="9"/>
        <w:rPr>
          <w:rFonts w:hint="eastAsia" w:ascii="仿宋" w:hAnsi="仿宋" w:eastAsia="仿宋" w:cs="仿宋"/>
          <w:b/>
          <w:kern w:val="0"/>
          <w:sz w:val="28"/>
          <w:szCs w:val="22"/>
        </w:rPr>
      </w:pPr>
      <w:r>
        <w:rPr>
          <w:rFonts w:hint="eastAsia" w:ascii="仿宋" w:hAnsi="仿宋" w:eastAsia="仿宋" w:cs="仿宋"/>
          <w:b/>
          <w:kern w:val="0"/>
          <w:sz w:val="28"/>
          <w:szCs w:val="22"/>
        </w:rPr>
        <w:t>签订日期：     年    月     日</w:t>
      </w:r>
    </w:p>
    <w:p w14:paraId="284E4193">
      <w:pPr>
        <w:pageBreakBefore w:val="0"/>
        <w:widowControl/>
        <w:kinsoku/>
        <w:wordWrap/>
        <w:overflowPunct/>
        <w:topLinePunct w:val="0"/>
        <w:bidi w:val="0"/>
        <w:jc w:val="left"/>
        <w:textAlignment w:val="auto"/>
        <w:outlineLvl w:val="9"/>
        <w:rPr>
          <w:rFonts w:hint="eastAsia" w:ascii="仿宋" w:hAnsi="仿宋" w:eastAsia="仿宋" w:cs="仿宋"/>
          <w:b/>
          <w:kern w:val="0"/>
          <w:sz w:val="28"/>
          <w:szCs w:val="22"/>
        </w:rPr>
      </w:pPr>
      <w:r>
        <w:rPr>
          <w:rFonts w:ascii="仿宋" w:hAnsi="仿宋" w:eastAsia="仿宋" w:cs="仿宋"/>
          <w:b/>
          <w:kern w:val="0"/>
          <w:sz w:val="28"/>
          <w:szCs w:val="22"/>
        </w:rPr>
        <w:br w:type="page"/>
      </w:r>
    </w:p>
    <w:p w14:paraId="018D0E9F">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b/>
          <w:bCs/>
          <w:color w:val="000000"/>
          <w:kern w:val="0"/>
          <w:szCs w:val="21"/>
        </w:rPr>
        <w:t xml:space="preserve">甲方（投保人）： </w:t>
      </w:r>
    </w:p>
    <w:p w14:paraId="6AA613D4">
      <w:pPr>
        <w:pageBreakBefore w:val="0"/>
        <w:kinsoku/>
        <w:wordWrap/>
        <w:overflowPunct/>
        <w:topLinePunct w:val="0"/>
        <w:bidi w:val="0"/>
        <w:spacing w:before="312" w:beforeLines="100" w:after="312" w:afterLines="100"/>
        <w:textAlignment w:val="auto"/>
        <w:outlineLvl w:val="9"/>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 xml:space="preserve">地址： </w:t>
      </w:r>
    </w:p>
    <w:p w14:paraId="3927A888">
      <w:pPr>
        <w:pageBreakBefore w:val="0"/>
        <w:kinsoku/>
        <w:wordWrap/>
        <w:overflowPunct/>
        <w:topLinePunct w:val="0"/>
        <w:bidi w:val="0"/>
        <w:spacing w:before="312" w:beforeLines="100" w:after="312" w:afterLines="100"/>
        <w:textAlignment w:val="auto"/>
        <w:outlineLvl w:val="9"/>
        <w:rPr>
          <w:rFonts w:hint="eastAsia" w:ascii="宋体" w:hAnsi="宋体" w:eastAsia="宋体" w:cs="宋体"/>
          <w:b/>
          <w:bCs/>
          <w:snapToGrid w:val="0"/>
          <w:color w:val="000000"/>
          <w:kern w:val="0"/>
          <w:szCs w:val="21"/>
        </w:rPr>
      </w:pPr>
      <w:r>
        <w:rPr>
          <w:rFonts w:hint="eastAsia" w:ascii="宋体" w:hAnsi="宋体" w:eastAsia="宋体" w:cs="宋体"/>
          <w:b/>
          <w:bCs/>
          <w:snapToGrid w:val="0"/>
          <w:color w:val="000000"/>
          <w:kern w:val="0"/>
          <w:szCs w:val="21"/>
        </w:rPr>
        <w:t>乙方（保险人）：</w:t>
      </w:r>
    </w:p>
    <w:p w14:paraId="3F0A0C6F">
      <w:pPr>
        <w:pageBreakBefore w:val="0"/>
        <w:kinsoku/>
        <w:wordWrap/>
        <w:overflowPunct/>
        <w:topLinePunct w:val="0"/>
        <w:bidi w:val="0"/>
        <w:spacing w:before="312" w:beforeLines="100" w:after="312" w:afterLines="100"/>
        <w:ind w:right="-422" w:rightChars="-201"/>
        <w:textAlignment w:val="auto"/>
        <w:outlineLvl w:val="9"/>
        <w:rPr>
          <w:rFonts w:hint="eastAsia" w:ascii="宋体" w:hAnsi="宋体" w:eastAsia="宋体" w:cs="宋体"/>
          <w:kern w:val="0"/>
          <w:szCs w:val="21"/>
        </w:rPr>
      </w:pPr>
      <w:r>
        <w:rPr>
          <w:rFonts w:hint="eastAsia" w:ascii="宋体" w:hAnsi="宋体" w:eastAsia="宋体" w:cs="宋体"/>
          <w:kern w:val="0"/>
          <w:szCs w:val="21"/>
        </w:rPr>
        <w:t xml:space="preserve">地址： </w:t>
      </w:r>
    </w:p>
    <w:p w14:paraId="6A388F40">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为充分维护投保人、保险人以及被保险人的合法权益，明确各方的权利义务，以促进依法、高效、公平、合理地解决医疗纠纷，依照《</w:t>
      </w:r>
      <w:r>
        <w:fldChar w:fldCharType="begin"/>
      </w:r>
      <w:r>
        <w:instrText xml:space="preserve"> HYPERLINK "https://baike.so.com/doc/24285488-25517578.html" \t "https://baike.so.com/doc/_blank" </w:instrText>
      </w:r>
      <w:r>
        <w:fldChar w:fldCharType="separate"/>
      </w:r>
      <w:r>
        <w:rPr>
          <w:rFonts w:hint="eastAsia" w:ascii="宋体" w:hAnsi="宋体" w:eastAsia="宋体" w:cs="宋体"/>
          <w:kern w:val="0"/>
          <w:szCs w:val="21"/>
        </w:rPr>
        <w:t>中华人民共和国民法典</w:t>
      </w:r>
      <w:r>
        <w:rPr>
          <w:rFonts w:hint="eastAsia" w:ascii="宋体" w:hAnsi="宋体" w:eastAsia="宋体" w:cs="宋体"/>
          <w:kern w:val="0"/>
          <w:szCs w:val="21"/>
        </w:rPr>
        <w:fldChar w:fldCharType="end"/>
      </w:r>
      <w:r>
        <w:rPr>
          <w:rFonts w:hint="eastAsia" w:ascii="宋体" w:hAnsi="宋体" w:eastAsia="宋体" w:cs="宋体"/>
          <w:kern w:val="0"/>
          <w:szCs w:val="21"/>
        </w:rPr>
        <w:t>》《中华人民共和国保险法》等有关法律，按照《***</w:t>
      </w:r>
      <w:r>
        <w:rPr>
          <w:rFonts w:hint="eastAsia" w:ascii="宋体" w:hAnsi="宋体" w:eastAsia="宋体" w:cs="宋体"/>
          <w:kern w:val="0"/>
          <w:szCs w:val="21"/>
          <w:u w:val="single"/>
        </w:rPr>
        <w:t xml:space="preserve">   </w:t>
      </w:r>
      <w:r>
        <w:rPr>
          <w:rFonts w:hint="eastAsia" w:ascii="宋体" w:hAnsi="宋体" w:eastAsia="宋体" w:cs="宋体"/>
          <w:kern w:val="0"/>
          <w:szCs w:val="21"/>
        </w:rPr>
        <w:t>年医疗责任保险项目》采购文件及采购结果，甲、乙双方遵循平等、自愿、公平和诚实信用的原则，经友好协商，一致同意就本项目的保险事宜，订立如下合同。</w:t>
      </w:r>
    </w:p>
    <w:p w14:paraId="5B3D1744">
      <w:pPr>
        <w:pageBreakBefore w:val="0"/>
        <w:kinsoku/>
        <w:wordWrap/>
        <w:overflowPunct/>
        <w:topLinePunct w:val="0"/>
        <w:bidi w:val="0"/>
        <w:textAlignment w:val="auto"/>
        <w:outlineLvl w:val="9"/>
      </w:pPr>
      <w:r>
        <w:rPr>
          <w:rFonts w:hint="eastAsia"/>
        </w:rPr>
        <w:t>第一部分  定义</w:t>
      </w:r>
    </w:p>
    <w:p w14:paraId="75ABC1E5">
      <w:pPr>
        <w:pageBreakBefore w:val="0"/>
        <w:kinsoku/>
        <w:wordWrap/>
        <w:overflowPunct/>
        <w:topLinePunct w:val="0"/>
        <w:bidi w:val="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1.投保人</w:t>
      </w:r>
    </w:p>
    <w:p w14:paraId="4412B0C9">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本协议中所指的投保人均为甲方。</w:t>
      </w:r>
    </w:p>
    <w:p w14:paraId="6FB37384">
      <w:pPr>
        <w:pageBreakBefore w:val="0"/>
        <w:kinsoku/>
        <w:wordWrap/>
        <w:overflowPunct/>
        <w:topLinePunct w:val="0"/>
        <w:bidi w:val="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2.被保险人</w:t>
      </w:r>
    </w:p>
    <w:p w14:paraId="131ABE89">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本协议中所指的被保险人均为依照中华人民共和国法律设立、有固定场所并取得《医疗机构执业许可证》的医疗机构。</w:t>
      </w:r>
    </w:p>
    <w:p w14:paraId="340BB67D">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1）被保险人及地址：</w:t>
      </w:r>
    </w:p>
    <w:p w14:paraId="6A99A42C">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 xml:space="preserve">被保险人： </w:t>
      </w:r>
    </w:p>
    <w:p w14:paraId="1A465AE9">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 xml:space="preserve">地    址： </w:t>
      </w:r>
    </w:p>
    <w:p w14:paraId="6751E52E">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2）被保险人（下属、关联机构）及地址：</w:t>
      </w:r>
    </w:p>
    <w:p w14:paraId="606CAE94">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 xml:space="preserve">被保险人：  </w:t>
      </w:r>
    </w:p>
    <w:p w14:paraId="57643F0B">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 xml:space="preserve">地    址： </w:t>
      </w:r>
    </w:p>
    <w:p w14:paraId="46C4A413">
      <w:pPr>
        <w:pageBreakBefore w:val="0"/>
        <w:numPr>
          <w:ilvl w:val="255"/>
          <w:numId w:val="0"/>
        </w:numPr>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3.被保险人信息</w:t>
      </w:r>
    </w:p>
    <w:tbl>
      <w:tblPr>
        <w:tblStyle w:val="19"/>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951"/>
        <w:gridCol w:w="2429"/>
        <w:gridCol w:w="1371"/>
      </w:tblGrid>
      <w:tr w14:paraId="047E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86" w:type="dxa"/>
            <w:vAlign w:val="center"/>
          </w:tcPr>
          <w:p w14:paraId="04994D0E">
            <w:pPr>
              <w:pageBreakBefore w:val="0"/>
              <w:kinsoku/>
              <w:wordWrap/>
              <w:overflowPunct/>
              <w:topLinePunct w:val="0"/>
              <w:bidi w:val="0"/>
              <w:jc w:val="left"/>
              <w:textAlignment w:val="auto"/>
              <w:outlineLvl w:val="9"/>
              <w:rPr>
                <w:rFonts w:hint="eastAsia" w:ascii="宋体" w:hAnsi="宋体" w:eastAsia="宋体" w:cs="宋体"/>
                <w:kern w:val="0"/>
                <w:szCs w:val="21"/>
              </w:rPr>
            </w:pPr>
            <w:r>
              <w:rPr>
                <w:rFonts w:hint="eastAsia" w:ascii="宋体" w:hAnsi="宋体" w:eastAsia="宋体" w:cs="宋体"/>
                <w:kern w:val="0"/>
                <w:szCs w:val="21"/>
              </w:rPr>
              <w:t>法人代表：</w:t>
            </w:r>
          </w:p>
        </w:tc>
        <w:tc>
          <w:tcPr>
            <w:tcW w:w="1951" w:type="dxa"/>
          </w:tcPr>
          <w:p w14:paraId="02F0AD70">
            <w:pPr>
              <w:pageBreakBefore w:val="0"/>
              <w:kinsoku/>
              <w:wordWrap/>
              <w:overflowPunct/>
              <w:topLinePunct w:val="0"/>
              <w:bidi w:val="0"/>
              <w:ind w:firstLine="420" w:firstLineChars="200"/>
              <w:jc w:val="left"/>
              <w:textAlignment w:val="auto"/>
              <w:outlineLvl w:val="9"/>
              <w:rPr>
                <w:rFonts w:hint="eastAsia" w:ascii="宋体" w:hAnsi="宋体" w:eastAsia="宋体" w:cs="宋体"/>
                <w:kern w:val="0"/>
                <w:szCs w:val="21"/>
              </w:rPr>
            </w:pPr>
          </w:p>
        </w:tc>
        <w:tc>
          <w:tcPr>
            <w:tcW w:w="2429" w:type="dxa"/>
            <w:vAlign w:val="center"/>
          </w:tcPr>
          <w:p w14:paraId="5CEEEE02">
            <w:pPr>
              <w:pageBreakBefore w:val="0"/>
              <w:kinsoku/>
              <w:wordWrap/>
              <w:overflowPunct/>
              <w:topLinePunct w:val="0"/>
              <w:bidi w:val="0"/>
              <w:jc w:val="left"/>
              <w:textAlignment w:val="auto"/>
              <w:outlineLvl w:val="9"/>
              <w:rPr>
                <w:rFonts w:hint="eastAsia" w:ascii="宋体" w:hAnsi="宋体" w:eastAsia="宋体" w:cs="宋体"/>
                <w:kern w:val="0"/>
                <w:szCs w:val="21"/>
              </w:rPr>
            </w:pPr>
            <w:r>
              <w:rPr>
                <w:rFonts w:hint="eastAsia" w:ascii="宋体" w:hAnsi="宋体" w:eastAsia="宋体" w:cs="宋体"/>
                <w:kern w:val="0"/>
                <w:szCs w:val="21"/>
              </w:rPr>
              <w:t>医疗机构等级：</w:t>
            </w:r>
          </w:p>
        </w:tc>
        <w:tc>
          <w:tcPr>
            <w:tcW w:w="1371" w:type="dxa"/>
          </w:tcPr>
          <w:p w14:paraId="0D98A3DC">
            <w:pPr>
              <w:pageBreakBefore w:val="0"/>
              <w:kinsoku/>
              <w:wordWrap/>
              <w:overflowPunct/>
              <w:topLinePunct w:val="0"/>
              <w:bidi w:val="0"/>
              <w:ind w:firstLine="420" w:firstLineChars="200"/>
              <w:jc w:val="left"/>
              <w:textAlignment w:val="auto"/>
              <w:outlineLvl w:val="9"/>
              <w:rPr>
                <w:rFonts w:hint="eastAsia" w:ascii="宋体" w:hAnsi="宋体" w:eastAsia="宋体" w:cs="宋体"/>
                <w:kern w:val="0"/>
                <w:szCs w:val="21"/>
              </w:rPr>
            </w:pPr>
          </w:p>
        </w:tc>
      </w:tr>
      <w:tr w14:paraId="58C0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86" w:type="dxa"/>
            <w:vAlign w:val="center"/>
          </w:tcPr>
          <w:p w14:paraId="416F7B7A">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kern w:val="0"/>
                <w:szCs w:val="21"/>
              </w:rPr>
              <w:t>医疗机构类别：</w:t>
            </w:r>
          </w:p>
        </w:tc>
        <w:tc>
          <w:tcPr>
            <w:tcW w:w="1951" w:type="dxa"/>
          </w:tcPr>
          <w:p w14:paraId="15F0903F">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p>
        </w:tc>
        <w:tc>
          <w:tcPr>
            <w:tcW w:w="2429" w:type="dxa"/>
            <w:vAlign w:val="center"/>
          </w:tcPr>
          <w:p w14:paraId="56F5B609">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kern w:val="0"/>
                <w:szCs w:val="21"/>
              </w:rPr>
              <w:t>注册床位数：</w:t>
            </w:r>
          </w:p>
        </w:tc>
        <w:tc>
          <w:tcPr>
            <w:tcW w:w="1371" w:type="dxa"/>
          </w:tcPr>
          <w:p w14:paraId="2DF094DA">
            <w:pPr>
              <w:pageBreakBefore w:val="0"/>
              <w:kinsoku/>
              <w:wordWrap/>
              <w:overflowPunct/>
              <w:topLinePunct w:val="0"/>
              <w:bidi w:val="0"/>
              <w:ind w:firstLine="420" w:firstLineChars="200"/>
              <w:jc w:val="left"/>
              <w:textAlignment w:val="auto"/>
              <w:outlineLvl w:val="9"/>
              <w:rPr>
                <w:rFonts w:hint="eastAsia" w:ascii="宋体" w:hAnsi="宋体" w:eastAsia="宋体" w:cs="宋体"/>
                <w:kern w:val="0"/>
                <w:szCs w:val="21"/>
              </w:rPr>
            </w:pPr>
          </w:p>
        </w:tc>
      </w:tr>
      <w:tr w14:paraId="6536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86" w:type="dxa"/>
            <w:vAlign w:val="center"/>
          </w:tcPr>
          <w:p w14:paraId="690EB001">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kern w:val="0"/>
                <w:szCs w:val="21"/>
              </w:rPr>
              <w:t>医务人员数：</w:t>
            </w:r>
          </w:p>
        </w:tc>
        <w:tc>
          <w:tcPr>
            <w:tcW w:w="1951" w:type="dxa"/>
          </w:tcPr>
          <w:p w14:paraId="1FC3963C">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p>
        </w:tc>
        <w:tc>
          <w:tcPr>
            <w:tcW w:w="2429" w:type="dxa"/>
            <w:vAlign w:val="center"/>
          </w:tcPr>
          <w:p w14:paraId="5AF7EB71">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kern w:val="0"/>
                <w:szCs w:val="21"/>
              </w:rPr>
              <w:t>上年度门诊人数：</w:t>
            </w:r>
          </w:p>
        </w:tc>
        <w:tc>
          <w:tcPr>
            <w:tcW w:w="1371" w:type="dxa"/>
          </w:tcPr>
          <w:p w14:paraId="41D9FBCE">
            <w:pPr>
              <w:pageBreakBefore w:val="0"/>
              <w:kinsoku/>
              <w:wordWrap/>
              <w:overflowPunct/>
              <w:topLinePunct w:val="0"/>
              <w:bidi w:val="0"/>
              <w:jc w:val="distribute"/>
              <w:textAlignment w:val="auto"/>
              <w:outlineLvl w:val="9"/>
              <w:rPr>
                <w:rFonts w:hint="eastAsia" w:ascii="宋体" w:hAnsi="宋体" w:eastAsia="宋体" w:cs="宋体"/>
                <w:kern w:val="0"/>
                <w:szCs w:val="21"/>
              </w:rPr>
            </w:pPr>
          </w:p>
        </w:tc>
      </w:tr>
      <w:tr w14:paraId="2834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86" w:type="dxa"/>
            <w:vAlign w:val="center"/>
          </w:tcPr>
          <w:p w14:paraId="29C02E4D">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kern w:val="0"/>
                <w:szCs w:val="21"/>
              </w:rPr>
              <w:t>上年度出院人数：</w:t>
            </w:r>
          </w:p>
        </w:tc>
        <w:tc>
          <w:tcPr>
            <w:tcW w:w="1951" w:type="dxa"/>
          </w:tcPr>
          <w:p w14:paraId="2F74D1CE">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p>
        </w:tc>
        <w:tc>
          <w:tcPr>
            <w:tcW w:w="2429" w:type="dxa"/>
            <w:vAlign w:val="center"/>
          </w:tcPr>
          <w:p w14:paraId="6A2C7FCE">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kern w:val="0"/>
                <w:szCs w:val="21"/>
              </w:rPr>
              <w:t>上年度互联网门诊人数</w:t>
            </w:r>
          </w:p>
        </w:tc>
        <w:tc>
          <w:tcPr>
            <w:tcW w:w="1371" w:type="dxa"/>
          </w:tcPr>
          <w:p w14:paraId="55648BE5">
            <w:pPr>
              <w:pageBreakBefore w:val="0"/>
              <w:kinsoku/>
              <w:wordWrap/>
              <w:overflowPunct/>
              <w:topLinePunct w:val="0"/>
              <w:bidi w:val="0"/>
              <w:ind w:firstLine="420" w:firstLineChars="200"/>
              <w:jc w:val="left"/>
              <w:textAlignment w:val="auto"/>
              <w:outlineLvl w:val="9"/>
              <w:rPr>
                <w:rFonts w:hint="eastAsia" w:ascii="宋体" w:hAnsi="宋体" w:eastAsia="宋体" w:cs="宋体"/>
                <w:kern w:val="0"/>
                <w:szCs w:val="21"/>
              </w:rPr>
            </w:pPr>
          </w:p>
        </w:tc>
      </w:tr>
      <w:tr w14:paraId="2143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86" w:type="dxa"/>
            <w:vAlign w:val="center"/>
          </w:tcPr>
          <w:p w14:paraId="7611D92D">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kern w:val="0"/>
                <w:szCs w:val="21"/>
              </w:rPr>
              <w:t>执业许可证编号：</w:t>
            </w:r>
          </w:p>
        </w:tc>
        <w:tc>
          <w:tcPr>
            <w:tcW w:w="5751" w:type="dxa"/>
            <w:gridSpan w:val="3"/>
          </w:tcPr>
          <w:p w14:paraId="0C89F57E">
            <w:pPr>
              <w:pageBreakBefore w:val="0"/>
              <w:kinsoku/>
              <w:wordWrap/>
              <w:overflowPunct/>
              <w:topLinePunct w:val="0"/>
              <w:bidi w:val="0"/>
              <w:textAlignment w:val="auto"/>
              <w:outlineLvl w:val="9"/>
              <w:rPr>
                <w:rFonts w:hint="eastAsia" w:ascii="宋体" w:hAnsi="宋体" w:eastAsia="宋体" w:cs="宋体"/>
                <w:kern w:val="0"/>
                <w:szCs w:val="21"/>
              </w:rPr>
            </w:pPr>
          </w:p>
        </w:tc>
      </w:tr>
      <w:tr w14:paraId="2FA1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86" w:type="dxa"/>
            <w:vAlign w:val="center"/>
          </w:tcPr>
          <w:p w14:paraId="590C1D24">
            <w:pPr>
              <w:pageBreakBefore w:val="0"/>
              <w:kinsoku/>
              <w:wordWrap/>
              <w:overflowPunct/>
              <w:topLinePunct w:val="0"/>
              <w:bidi w:val="0"/>
              <w:textAlignment w:val="auto"/>
              <w:outlineLvl w:val="9"/>
              <w:rPr>
                <w:rFonts w:hint="eastAsia" w:ascii="宋体" w:hAnsi="宋体" w:eastAsia="宋体" w:cs="宋体"/>
                <w:kern w:val="0"/>
                <w:szCs w:val="21"/>
              </w:rPr>
            </w:pPr>
            <w:r>
              <w:rPr>
                <w:rFonts w:hint="eastAsia" w:ascii="宋体" w:hAnsi="宋体" w:eastAsia="宋体" w:cs="宋体"/>
                <w:kern w:val="0"/>
                <w:szCs w:val="21"/>
              </w:rPr>
              <w:t>事业单位法人证：</w:t>
            </w:r>
          </w:p>
        </w:tc>
        <w:tc>
          <w:tcPr>
            <w:tcW w:w="5751" w:type="dxa"/>
            <w:gridSpan w:val="3"/>
          </w:tcPr>
          <w:p w14:paraId="1E909B31">
            <w:pPr>
              <w:pageBreakBefore w:val="0"/>
              <w:kinsoku/>
              <w:wordWrap/>
              <w:overflowPunct/>
              <w:topLinePunct w:val="0"/>
              <w:bidi w:val="0"/>
              <w:textAlignment w:val="auto"/>
              <w:outlineLvl w:val="9"/>
              <w:rPr>
                <w:rFonts w:hint="eastAsia" w:ascii="宋体" w:hAnsi="宋体" w:eastAsia="宋体" w:cs="宋体"/>
                <w:kern w:val="0"/>
                <w:szCs w:val="21"/>
              </w:rPr>
            </w:pPr>
          </w:p>
        </w:tc>
      </w:tr>
    </w:tbl>
    <w:p w14:paraId="6B51BF0E">
      <w:pPr>
        <w:pageBreakBefore w:val="0"/>
        <w:kinsoku/>
        <w:wordWrap/>
        <w:overflowPunct/>
        <w:topLinePunct w:val="0"/>
        <w:bidi w:val="0"/>
        <w:ind w:firstLine="422" w:firstLineChars="200"/>
        <w:textAlignment w:val="auto"/>
        <w:outlineLvl w:val="9"/>
        <w:rPr>
          <w:rFonts w:hint="eastAsia" w:ascii="宋体" w:hAnsi="宋体" w:eastAsia="宋体" w:cs="宋体"/>
          <w:kern w:val="0"/>
          <w:szCs w:val="21"/>
        </w:rPr>
      </w:pPr>
      <w:r>
        <w:rPr>
          <w:rFonts w:hint="eastAsia" w:ascii="宋体" w:hAnsi="宋体" w:eastAsia="宋体" w:cs="宋体"/>
          <w:b/>
          <w:kern w:val="0"/>
          <w:szCs w:val="21"/>
        </w:rPr>
        <w:t xml:space="preserve">* </w:t>
      </w:r>
      <w:r>
        <w:rPr>
          <w:rFonts w:hint="eastAsia" w:ascii="宋体" w:hAnsi="宋体" w:eastAsia="宋体" w:cs="宋体"/>
          <w:kern w:val="0"/>
          <w:szCs w:val="21"/>
        </w:rPr>
        <w:t>医疗机构的等级根据卫生行政主管部门评定的级别确定；未定级医疗机构的等级参考医疗机构的当地医保等级收费标准确定。</w:t>
      </w:r>
    </w:p>
    <w:p w14:paraId="12512856">
      <w:pPr>
        <w:pageBreakBefore w:val="0"/>
        <w:kinsoku/>
        <w:wordWrap/>
        <w:overflowPunct/>
        <w:topLinePunct w:val="0"/>
        <w:autoSpaceDE w:val="0"/>
        <w:autoSpaceDN w:val="0"/>
        <w:bidi w:val="0"/>
        <w:adjustRightInd w:val="0"/>
        <w:ind w:firstLine="560"/>
        <w:jc w:val="left"/>
        <w:textAlignment w:val="auto"/>
        <w:outlineLvl w:val="9"/>
        <w:rPr>
          <w:rFonts w:hint="eastAsia" w:ascii="宋体" w:hAnsi="宋体" w:eastAsia="宋体" w:cs="Times New Roman"/>
          <w:color w:val="000000"/>
          <w:kern w:val="0"/>
          <w:szCs w:val="21"/>
        </w:rPr>
      </w:pPr>
    </w:p>
    <w:p w14:paraId="41070CB9">
      <w:pPr>
        <w:pageBreakBefore w:val="0"/>
        <w:kinsoku/>
        <w:wordWrap/>
        <w:overflowPunct/>
        <w:topLinePunct w:val="0"/>
        <w:bidi w:val="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4.保险人</w:t>
      </w:r>
    </w:p>
    <w:p w14:paraId="13F28E7D">
      <w:pPr>
        <w:pageBreakBefore w:val="0"/>
        <w:kinsoku/>
        <w:wordWrap/>
        <w:overflowPunct/>
        <w:topLinePunct w:val="0"/>
        <w:bidi w:val="0"/>
        <w:ind w:firstLine="573"/>
        <w:textAlignment w:val="auto"/>
        <w:outlineLvl w:val="9"/>
        <w:rPr>
          <w:rFonts w:hint="eastAsia" w:ascii="宋体" w:hAnsi="宋体" w:eastAsia="宋体" w:cs="宋体"/>
          <w:kern w:val="0"/>
          <w:szCs w:val="21"/>
        </w:rPr>
      </w:pPr>
      <w:r>
        <w:rPr>
          <w:rFonts w:hint="eastAsia" w:ascii="宋体" w:hAnsi="宋体" w:eastAsia="宋体" w:cs="宋体"/>
          <w:kern w:val="0"/>
          <w:szCs w:val="21"/>
        </w:rPr>
        <w:t>根据***采购结果，本合同保险人：_____________________</w:t>
      </w:r>
    </w:p>
    <w:p w14:paraId="10CDA85F">
      <w:pPr>
        <w:pageBreakBefore w:val="0"/>
        <w:kinsoku/>
        <w:wordWrap/>
        <w:overflowPunct/>
        <w:topLinePunct w:val="0"/>
        <w:autoSpaceDE w:val="0"/>
        <w:autoSpaceDN w:val="0"/>
        <w:bidi w:val="0"/>
        <w:adjustRightInd w:val="0"/>
        <w:ind w:firstLine="560"/>
        <w:jc w:val="left"/>
        <w:textAlignment w:val="auto"/>
        <w:outlineLvl w:val="9"/>
        <w:rPr>
          <w:rFonts w:hint="eastAsia" w:ascii="宋体" w:hAnsi="宋体" w:eastAsia="宋体" w:cs="Times New Roman"/>
          <w:color w:val="000000"/>
          <w:kern w:val="0"/>
          <w:szCs w:val="21"/>
        </w:rPr>
      </w:pPr>
    </w:p>
    <w:p w14:paraId="49F9D1AB">
      <w:pPr>
        <w:pageBreakBefore w:val="0"/>
        <w:kinsoku/>
        <w:wordWrap/>
        <w:overflowPunct/>
        <w:topLinePunct w:val="0"/>
        <w:bidi w:val="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5.保险经纪人</w:t>
      </w:r>
    </w:p>
    <w:p w14:paraId="01CF176F">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_____________________为甲方的保险经纪人，为甲方及各被保险人的医疗责任保险安排工作提供保险经纪服务。保险经纪人基于甲方的利益，为甲方与保险人订立保险合同提供中介服务，并依法向保险人收取佣金。</w:t>
      </w:r>
    </w:p>
    <w:p w14:paraId="452E860E">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保险人、投保人/被保险人尊重_____________________（保险经纪人）代表投保人/被保险人所提涉保要求，尊重其所发挥的督促、协调作用，并认为保险经纪人能为本保险合同的签订及履行起到应有的积极作用。</w:t>
      </w:r>
    </w:p>
    <w:p w14:paraId="0A95B71A">
      <w:pPr>
        <w:pageBreakBefore w:val="0"/>
        <w:kinsoku/>
        <w:wordWrap/>
        <w:overflowPunct/>
        <w:topLinePunct w:val="0"/>
        <w:autoSpaceDE w:val="0"/>
        <w:autoSpaceDN w:val="0"/>
        <w:bidi w:val="0"/>
        <w:adjustRightInd w:val="0"/>
        <w:ind w:firstLine="560"/>
        <w:jc w:val="left"/>
        <w:textAlignment w:val="auto"/>
        <w:outlineLvl w:val="9"/>
        <w:rPr>
          <w:rFonts w:hint="eastAsia" w:ascii="宋体" w:hAnsi="宋体" w:eastAsia="宋体" w:cs="Times New Roman"/>
          <w:color w:val="000000"/>
          <w:kern w:val="0"/>
          <w:szCs w:val="21"/>
        </w:rPr>
      </w:pPr>
    </w:p>
    <w:p w14:paraId="67A5461B">
      <w:pPr>
        <w:pageBreakBefore w:val="0"/>
        <w:kinsoku/>
        <w:wordWrap/>
        <w:overflowPunct/>
        <w:topLinePunct w:val="0"/>
        <w:bidi w:val="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6.货币单位</w:t>
      </w:r>
    </w:p>
    <w:p w14:paraId="63DCA770">
      <w:pPr>
        <w:pageBreakBefore w:val="0"/>
        <w:kinsoku/>
        <w:wordWrap/>
        <w:overflowPunct/>
        <w:topLinePunct w:val="0"/>
        <w:bidi w:val="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本合同中涉及的货币单位均为人民币；如为外币，则根据中国人民银行当日公布的人民币汇率中间价折算为人民币。</w:t>
      </w:r>
    </w:p>
    <w:p w14:paraId="7337C818">
      <w:pPr>
        <w:pageBreakBefore w:val="0"/>
        <w:kinsoku/>
        <w:wordWrap/>
        <w:overflowPunct/>
        <w:topLinePunct w:val="0"/>
        <w:bidi w:val="0"/>
        <w:textAlignment w:val="auto"/>
        <w:outlineLvl w:val="9"/>
      </w:pPr>
      <w:r>
        <w:rPr>
          <w:rFonts w:hint="eastAsia"/>
        </w:rPr>
        <w:t>第二部分  承保基础及保险期限</w:t>
      </w:r>
    </w:p>
    <w:p w14:paraId="3E91DDE2">
      <w:pPr>
        <w:keepNext/>
        <w:keepLines/>
        <w:pageBreakBefore w:val="0"/>
        <w:numPr>
          <w:ilvl w:val="0"/>
          <w:numId w:val="1"/>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承保基础</w:t>
      </w:r>
    </w:p>
    <w:p w14:paraId="1A2A38EC">
      <w:pPr>
        <w:pageBreakBefore w:val="0"/>
        <w:kinsoku/>
        <w:wordWrap/>
        <w:overflowPunct/>
        <w:topLinePunct w:val="0"/>
        <w:bidi w:val="0"/>
        <w:spacing w:before="156" w:beforeLines="50"/>
        <w:ind w:firstLine="422" w:firstLineChars="200"/>
        <w:textAlignment w:val="auto"/>
        <w:outlineLvl w:val="9"/>
        <w:rPr>
          <w:rFonts w:hint="eastAsia" w:ascii="宋体" w:hAnsi="宋体" w:eastAsia="宋体" w:cs="宋体"/>
          <w:b/>
          <w:bCs/>
          <w:kern w:val="0"/>
          <w:szCs w:val="21"/>
        </w:rPr>
      </w:pPr>
      <w:r>
        <w:rPr>
          <w:rFonts w:hint="eastAsia" w:ascii="宋体" w:hAnsi="宋体" w:eastAsia="宋体" w:cs="宋体"/>
          <w:b/>
          <w:bCs/>
          <w:kern w:val="0"/>
          <w:szCs w:val="21"/>
        </w:rPr>
        <w:t>本保险合同采用期内索赔制。</w:t>
      </w:r>
    </w:p>
    <w:p w14:paraId="2A0493DA">
      <w:pPr>
        <w:pageBreakBefore w:val="0"/>
        <w:kinsoku/>
        <w:wordWrap/>
        <w:overflowPunct/>
        <w:topLinePunct w:val="0"/>
        <w:bidi w:val="0"/>
        <w:spacing w:before="156" w:beforeLines="50"/>
        <w:ind w:firstLine="422" w:firstLineChars="200"/>
        <w:textAlignment w:val="auto"/>
        <w:outlineLvl w:val="9"/>
        <w:rPr>
          <w:rFonts w:hint="eastAsia" w:ascii="宋体" w:hAnsi="宋体" w:eastAsia="宋体" w:cs="宋体"/>
          <w:b/>
          <w:bCs/>
          <w:kern w:val="0"/>
          <w:szCs w:val="21"/>
        </w:rPr>
      </w:pPr>
      <w:r>
        <w:rPr>
          <w:rFonts w:hint="eastAsia" w:ascii="宋体" w:hAnsi="宋体" w:eastAsia="宋体" w:cs="宋体"/>
          <w:b/>
          <w:bCs/>
          <w:kern w:val="0"/>
          <w:szCs w:val="21"/>
        </w:rPr>
        <w:t>期内索赔制是指保险责任的承担以索赔发生为基础：凡在保险单中列明的保险期限或追溯期内，被保险人或者其医务人员在从事与其资格相符的诊疗护理工作中造成患者损害，患者或其近亲属及代理人首次向被保险人提出损害赔偿请求（包括患方首次投诉时间）在保险期限内的，本保险予以</w:t>
      </w:r>
      <w:r>
        <w:rPr>
          <w:rFonts w:hint="eastAsia" w:ascii="宋体" w:hAnsi="宋体" w:eastAsia="宋体" w:cs="宋体"/>
          <w:b/>
          <w:bCs/>
          <w:kern w:val="0"/>
          <w:szCs w:val="21"/>
          <w:lang w:val="en-US" w:eastAsia="zh-CN"/>
        </w:rPr>
        <w:t>赔偿</w:t>
      </w:r>
      <w:r>
        <w:rPr>
          <w:rFonts w:hint="eastAsia" w:ascii="宋体" w:hAnsi="宋体" w:eastAsia="宋体" w:cs="宋体"/>
          <w:b/>
          <w:bCs/>
          <w:kern w:val="0"/>
          <w:szCs w:val="21"/>
        </w:rPr>
        <w:t>。即保险人承担保险责任的前提条件是必须同时满足：</w:t>
      </w:r>
    </w:p>
    <w:p w14:paraId="533E3955">
      <w:pPr>
        <w:pageBreakBefore w:val="0"/>
        <w:numPr>
          <w:ilvl w:val="0"/>
          <w:numId w:val="2"/>
        </w:numPr>
        <w:kinsoku/>
        <w:wordWrap/>
        <w:overflowPunct/>
        <w:topLinePunct w:val="0"/>
        <w:bidi w:val="0"/>
        <w:spacing w:before="156" w:beforeLines="50"/>
        <w:ind w:left="0" w:firstLine="426"/>
        <w:textAlignment w:val="auto"/>
        <w:outlineLvl w:val="9"/>
        <w:rPr>
          <w:rFonts w:hint="eastAsia" w:ascii="宋体" w:hAnsi="宋体" w:eastAsia="宋体" w:cs="宋体"/>
          <w:b/>
          <w:bCs/>
          <w:kern w:val="0"/>
          <w:szCs w:val="21"/>
        </w:rPr>
      </w:pPr>
      <w:r>
        <w:rPr>
          <w:rFonts w:hint="eastAsia" w:ascii="宋体" w:hAnsi="宋体" w:eastAsia="宋体" w:cs="宋体"/>
          <w:b/>
          <w:bCs/>
          <w:kern w:val="0"/>
          <w:szCs w:val="21"/>
        </w:rPr>
        <w:t>患者接受诊疗护理及因此导致人身损害的时间必须在保险期限或追溯期内；</w:t>
      </w:r>
    </w:p>
    <w:p w14:paraId="1BE1B5EA">
      <w:pPr>
        <w:pageBreakBefore w:val="0"/>
        <w:numPr>
          <w:ilvl w:val="0"/>
          <w:numId w:val="2"/>
        </w:numPr>
        <w:kinsoku/>
        <w:wordWrap/>
        <w:overflowPunct/>
        <w:topLinePunct w:val="0"/>
        <w:bidi w:val="0"/>
        <w:spacing w:before="156" w:beforeLines="50"/>
        <w:ind w:left="0" w:firstLine="425"/>
        <w:textAlignment w:val="auto"/>
        <w:outlineLvl w:val="9"/>
        <w:rPr>
          <w:rFonts w:hint="eastAsia" w:ascii="宋体" w:hAnsi="宋体" w:eastAsia="宋体" w:cs="宋体"/>
          <w:b/>
          <w:bCs/>
          <w:kern w:val="0"/>
          <w:szCs w:val="21"/>
        </w:rPr>
      </w:pPr>
      <w:r>
        <w:rPr>
          <w:rFonts w:hint="eastAsia" w:ascii="宋体" w:hAnsi="宋体" w:eastAsia="宋体" w:cs="宋体"/>
          <w:b/>
          <w:bCs/>
          <w:kern w:val="0"/>
          <w:szCs w:val="21"/>
        </w:rPr>
        <w:t>患者或其近亲属及代理人因上述人身损害首次向被保险人提出损害赔偿请求的时间（包括患方首次投诉时间）必须在保险期限内。连续投保本保险，首次投保合同生效之日前患者或其近亲属及代理人已经对同一事由提出过索赔请求（无论之前已提出的索赔请求是否采用书面形式或再次提出索赔请求的索赔金额或事故原因等情况是否与已提出的索赔请求一致）的，保险人不负责赔偿。</w:t>
      </w:r>
    </w:p>
    <w:p w14:paraId="50D652A1">
      <w:pPr>
        <w:keepNext/>
        <w:keepLines/>
        <w:pageBreakBefore w:val="0"/>
        <w:numPr>
          <w:ilvl w:val="0"/>
          <w:numId w:val="1"/>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保险期限</w:t>
      </w:r>
    </w:p>
    <w:p w14:paraId="15B6D9C9">
      <w:pPr>
        <w:pageBreakBefore w:val="0"/>
        <w:kinsoku/>
        <w:wordWrap/>
        <w:overflowPunct/>
        <w:topLinePunct w:val="0"/>
        <w:bidi w:val="0"/>
        <w:spacing w:before="156" w:beforeLines="5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_____________________年，自   年  月  日零时起至  年  月  日二十四时止。</w:t>
      </w:r>
    </w:p>
    <w:p w14:paraId="5611A573">
      <w:pPr>
        <w:keepNext/>
        <w:keepLines/>
        <w:pageBreakBefore w:val="0"/>
        <w:numPr>
          <w:ilvl w:val="0"/>
          <w:numId w:val="1"/>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追溯期</w:t>
      </w:r>
    </w:p>
    <w:p w14:paraId="09291F82">
      <w:pPr>
        <w:pageBreakBefore w:val="0"/>
        <w:kinsoku/>
        <w:wordWrap/>
        <w:overflowPunct/>
        <w:topLinePunct w:val="0"/>
        <w:bidi w:val="0"/>
        <w:spacing w:before="156" w:beforeLines="50" w:after="156" w:afterLines="5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_____________________年，自  年  月  日零时起至  年  月  日二十四时止。</w:t>
      </w:r>
    </w:p>
    <w:p w14:paraId="5A731AA6">
      <w:pPr>
        <w:pageBreakBefore w:val="0"/>
        <w:kinsoku/>
        <w:wordWrap/>
        <w:overflowPunct/>
        <w:topLinePunct w:val="0"/>
        <w:bidi w:val="0"/>
        <w:spacing w:before="156" w:beforeLines="50"/>
        <w:ind w:firstLine="422" w:firstLineChars="200"/>
        <w:textAlignment w:val="auto"/>
        <w:outlineLvl w:val="9"/>
        <w:rPr>
          <w:rFonts w:hint="eastAsia" w:ascii="宋体" w:hAnsi="宋体" w:eastAsia="宋体" w:cs="Times New Roman"/>
          <w:kern w:val="0"/>
          <w:szCs w:val="21"/>
        </w:rPr>
      </w:pPr>
      <w:r>
        <w:rPr>
          <w:rFonts w:hint="eastAsia" w:ascii="宋体" w:hAnsi="宋体" w:eastAsia="宋体" w:cs="Times New Roman"/>
          <w:b/>
          <w:kern w:val="0"/>
          <w:szCs w:val="21"/>
        </w:rPr>
        <w:t>追溯期</w:t>
      </w:r>
      <w:r>
        <w:rPr>
          <w:rFonts w:hint="eastAsia" w:ascii="宋体" w:hAnsi="宋体" w:eastAsia="宋体" w:cs="Times New Roman"/>
          <w:kern w:val="0"/>
          <w:szCs w:val="21"/>
        </w:rPr>
        <w:t>是指保险合同当事人在保险合同中约定的从保险责任起始日向前追溯的一段时间,保险人对此期间发生且在保险期限内首次提出索赔的医疗损害纠纷案件承担保险责任。</w:t>
      </w:r>
    </w:p>
    <w:p w14:paraId="48C4FDED">
      <w:pPr>
        <w:pageBreakBefore w:val="0"/>
        <w:kinsoku/>
        <w:wordWrap/>
        <w:overflowPunct/>
        <w:topLinePunct w:val="0"/>
        <w:bidi w:val="0"/>
        <w:textAlignment w:val="auto"/>
        <w:outlineLvl w:val="9"/>
      </w:pPr>
      <w:r>
        <w:rPr>
          <w:rFonts w:hint="eastAsia"/>
        </w:rPr>
        <w:t>第三部分  承保明细表</w:t>
      </w:r>
    </w:p>
    <w:p w14:paraId="23EEB19B">
      <w:pPr>
        <w:keepNext/>
        <w:keepLines/>
        <w:pageBreakBefore w:val="0"/>
        <w:numPr>
          <w:ilvl w:val="0"/>
          <w:numId w:val="3"/>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适用条款</w:t>
      </w:r>
    </w:p>
    <w:p w14:paraId="6E56091C">
      <w:pPr>
        <w:pageBreakBefore w:val="0"/>
        <w:kinsoku/>
        <w:wordWrap/>
        <w:overflowPunct/>
        <w:topLinePunct w:val="0"/>
        <w:bidi w:val="0"/>
        <w:spacing w:before="156" w:beforeLines="50" w:after="156" w:afterLines="50"/>
        <w:ind w:firstLine="420" w:firstLineChars="200"/>
        <w:textAlignment w:val="auto"/>
        <w:outlineLvl w:val="9"/>
        <w:rPr>
          <w:rFonts w:hint="eastAsia" w:ascii="宋体" w:hAnsi="宋体" w:eastAsia="宋体" w:cs="宋体"/>
          <w:kern w:val="0"/>
          <w:szCs w:val="21"/>
        </w:rPr>
      </w:pPr>
      <w:r>
        <w:rPr>
          <w:rFonts w:hint="eastAsia" w:ascii="宋体" w:hAnsi="宋体" w:eastAsia="宋体" w:cs="宋体"/>
          <w:kern w:val="0"/>
          <w:szCs w:val="21"/>
        </w:rPr>
        <w:t>广东省医疗机构医疗责任保险示范条款</w:t>
      </w:r>
    </w:p>
    <w:p w14:paraId="334BE338">
      <w:pPr>
        <w:keepNext/>
        <w:keepLines/>
        <w:pageBreakBefore w:val="0"/>
        <w:numPr>
          <w:ilvl w:val="0"/>
          <w:numId w:val="3"/>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赔偿限额</w:t>
      </w:r>
    </w:p>
    <w:p w14:paraId="5FC9752F">
      <w:pPr>
        <w:pageBreakBefore w:val="0"/>
        <w:numPr>
          <w:ilvl w:val="255"/>
          <w:numId w:val="0"/>
        </w:numPr>
        <w:kinsoku/>
        <w:wordWrap/>
        <w:overflowPunct/>
        <w:topLinePunct w:val="0"/>
        <w:bidi w:val="0"/>
        <w:ind w:left="210" w:leftChars="10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本保险合同累计赔偿限额：</w:t>
      </w:r>
      <w:r>
        <w:rPr>
          <w:rFonts w:hint="eastAsia" w:ascii="宋体" w:hAnsi="宋体" w:eastAsia="宋体" w:cs="Times New Roman"/>
          <w:b/>
          <w:kern w:val="0"/>
          <w:szCs w:val="21"/>
        </w:rPr>
        <w:t>RMB   万元</w:t>
      </w:r>
      <w:r>
        <w:rPr>
          <w:rFonts w:hint="eastAsia" w:ascii="宋体" w:hAnsi="宋体" w:eastAsia="宋体" w:cs="Times New Roman"/>
          <w:kern w:val="0"/>
          <w:szCs w:val="21"/>
        </w:rPr>
        <w:t>；</w:t>
      </w:r>
    </w:p>
    <w:p w14:paraId="67F40C1C">
      <w:pPr>
        <w:pageBreakBefore w:val="0"/>
        <w:numPr>
          <w:ilvl w:val="255"/>
          <w:numId w:val="0"/>
        </w:numPr>
        <w:kinsoku/>
        <w:wordWrap/>
        <w:overflowPunct/>
        <w:topLinePunct w:val="0"/>
        <w:bidi w:val="0"/>
        <w:ind w:firstLine="210" w:firstLineChars="10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其中：1）每次事故赔偿限额：</w:t>
      </w:r>
      <w:r>
        <w:rPr>
          <w:rFonts w:hint="eastAsia" w:ascii="宋体" w:hAnsi="宋体" w:eastAsia="宋体" w:cs="Times New Roman"/>
          <w:b/>
          <w:bCs/>
          <w:kern w:val="0"/>
          <w:szCs w:val="21"/>
        </w:rPr>
        <w:t xml:space="preserve">RMB </w:t>
      </w:r>
      <w:r>
        <w:rPr>
          <w:rFonts w:hint="eastAsia" w:ascii="宋体" w:hAnsi="宋体" w:eastAsia="宋体" w:cs="Times New Roman"/>
          <w:b/>
          <w:bCs/>
          <w:kern w:val="0"/>
          <w:szCs w:val="21"/>
          <w:lang w:val="en-US" w:eastAsia="zh-CN"/>
        </w:rPr>
        <w:t xml:space="preserve">  </w:t>
      </w:r>
      <w:r>
        <w:rPr>
          <w:rFonts w:hint="eastAsia" w:ascii="宋体" w:hAnsi="宋体" w:eastAsia="宋体" w:cs="Times New Roman"/>
          <w:b/>
          <w:bCs/>
          <w:kern w:val="0"/>
          <w:szCs w:val="21"/>
        </w:rPr>
        <w:t>万元</w:t>
      </w:r>
      <w:r>
        <w:rPr>
          <w:rFonts w:hint="eastAsia" w:ascii="宋体" w:hAnsi="宋体" w:eastAsia="宋体" w:cs="Times New Roman"/>
          <w:kern w:val="0"/>
          <w:szCs w:val="21"/>
        </w:rPr>
        <w:t>；</w:t>
      </w:r>
    </w:p>
    <w:p w14:paraId="4528A857">
      <w:pPr>
        <w:pageBreakBefore w:val="0"/>
        <w:kinsoku/>
        <w:wordWrap/>
        <w:overflowPunct/>
        <w:topLinePunct w:val="0"/>
        <w:bidi w:val="0"/>
        <w:ind w:firstLine="840" w:firstLineChars="40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2）法律费用每次事故及累计赔偿限额：</w:t>
      </w:r>
      <w:r>
        <w:rPr>
          <w:rFonts w:hint="eastAsia" w:ascii="宋体" w:hAnsi="宋体" w:eastAsia="宋体" w:cs="Times New Roman"/>
          <w:b/>
          <w:bCs/>
          <w:kern w:val="0"/>
          <w:szCs w:val="21"/>
        </w:rPr>
        <w:t>RMB   万元</w:t>
      </w:r>
      <w:r>
        <w:rPr>
          <w:rFonts w:hint="eastAsia" w:ascii="宋体" w:hAnsi="宋体" w:eastAsia="宋体" w:cs="Times New Roman"/>
          <w:kern w:val="0"/>
          <w:szCs w:val="21"/>
        </w:rPr>
        <w:t>。</w:t>
      </w:r>
    </w:p>
    <w:p w14:paraId="74941ECC">
      <w:pPr>
        <w:pageBreakBefore w:val="0"/>
        <w:kinsoku/>
        <w:wordWrap/>
        <w:overflowPunct/>
        <w:topLinePunct w:val="0"/>
        <w:bidi w:val="0"/>
        <w:ind w:firstLine="210" w:firstLineChars="10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 法律费用</w:t>
      </w:r>
      <w:r>
        <w:rPr>
          <w:rFonts w:hint="eastAsia" w:ascii="宋体" w:hAnsi="宋体" w:eastAsia="宋体" w:cs="宋体"/>
          <w:kern w:val="0"/>
          <w:szCs w:val="21"/>
        </w:rPr>
        <w:t>在每次事故赔偿限额之外另行计算。</w:t>
      </w:r>
    </w:p>
    <w:p w14:paraId="126C1912">
      <w:pPr>
        <w:keepNext/>
        <w:keepLines/>
        <w:pageBreakBefore w:val="0"/>
        <w:numPr>
          <w:ilvl w:val="0"/>
          <w:numId w:val="3"/>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免赔额</w:t>
      </w:r>
    </w:p>
    <w:p w14:paraId="52E2D6C9">
      <w:pPr>
        <w:pageBreakBefore w:val="0"/>
        <w:kinsoku/>
        <w:wordWrap/>
        <w:overflowPunct/>
        <w:topLinePunct w:val="0"/>
        <w:bidi w:val="0"/>
        <w:spacing w:before="156" w:beforeLines="50"/>
        <w:ind w:firstLine="420" w:firstLineChars="20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零</w:t>
      </w:r>
    </w:p>
    <w:p w14:paraId="0815F63E">
      <w:pPr>
        <w:keepNext/>
        <w:keepLines/>
        <w:pageBreakBefore w:val="0"/>
        <w:numPr>
          <w:ilvl w:val="0"/>
          <w:numId w:val="3"/>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投保优惠</w:t>
      </w:r>
    </w:p>
    <w:p w14:paraId="65155450">
      <w:pPr>
        <w:pageBreakBefore w:val="0"/>
        <w:kinsoku/>
        <w:wordWrap/>
        <w:overflowPunct/>
        <w:topLinePunct w:val="0"/>
        <w:bidi w:val="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（待定）</w:t>
      </w:r>
    </w:p>
    <w:p w14:paraId="3E95CC31">
      <w:pPr>
        <w:keepNext/>
        <w:keepLines/>
        <w:pageBreakBefore w:val="0"/>
        <w:numPr>
          <w:ilvl w:val="0"/>
          <w:numId w:val="3"/>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保险费及计算</w:t>
      </w:r>
    </w:p>
    <w:p w14:paraId="14BA4349">
      <w:pPr>
        <w:pageBreakBefore w:val="0"/>
        <w:kinsoku/>
        <w:wordWrap/>
        <w:overflowPunct/>
        <w:topLinePunct w:val="0"/>
        <w:bidi w:val="0"/>
        <w:spacing w:before="156" w:beforeLines="50" w:after="156" w:afterLines="50"/>
        <w:ind w:firstLine="420" w:firstLineChars="200"/>
        <w:textAlignment w:val="auto"/>
        <w:outlineLvl w:val="9"/>
        <w:rPr>
          <w:rFonts w:hint="default" w:ascii="宋体" w:hAnsi="宋体" w:eastAsia="宋体" w:cs="宋体"/>
          <w:bCs/>
          <w:kern w:val="0"/>
          <w:szCs w:val="21"/>
          <w:lang w:val="en-US" w:eastAsia="zh-CN"/>
        </w:rPr>
      </w:pPr>
      <w:r>
        <w:rPr>
          <w:rFonts w:hint="eastAsia" w:ascii="宋体" w:hAnsi="宋体" w:eastAsia="宋体" w:cs="宋体"/>
          <w:bCs/>
          <w:kern w:val="0"/>
          <w:szCs w:val="21"/>
        </w:rPr>
        <w:t xml:space="preserve">  保费（人民币）： (RMB   ）</w:t>
      </w: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已含税。</w:t>
      </w:r>
    </w:p>
    <w:p w14:paraId="364E32A1">
      <w:pPr>
        <w:keepNext/>
        <w:keepLines/>
        <w:pageBreakBefore w:val="0"/>
        <w:numPr>
          <w:ilvl w:val="0"/>
          <w:numId w:val="3"/>
        </w:numPr>
        <w:kinsoku/>
        <w:wordWrap/>
        <w:overflowPunct/>
        <w:topLinePunct w:val="0"/>
        <w:bidi w:val="0"/>
        <w:spacing w:before="156" w:beforeLines="50" w:after="156" w:afterLines="50"/>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保险费支付约定</w:t>
      </w:r>
    </w:p>
    <w:p w14:paraId="7A2D3CE6">
      <w:pPr>
        <w:pageBreakBefore w:val="0"/>
        <w:kinsoku/>
        <w:wordWrap/>
        <w:overflowPunct/>
        <w:topLinePunct w:val="0"/>
        <w:bidi w:val="0"/>
        <w:spacing w:before="156" w:beforeLines="50" w:after="156" w:afterLines="50"/>
        <w:ind w:firstLine="420" w:firstLineChars="200"/>
        <w:textAlignment w:val="auto"/>
        <w:outlineLvl w:val="9"/>
        <w:rPr>
          <w:rFonts w:hint="eastAsia" w:ascii="宋体" w:hAnsi="宋体" w:eastAsia="宋体" w:cs="宋体"/>
          <w:bCs/>
          <w:kern w:val="0"/>
          <w:szCs w:val="21"/>
        </w:rPr>
      </w:pPr>
      <w:r>
        <w:rPr>
          <w:rFonts w:ascii="宋体" w:hAnsi="宋体" w:eastAsia="宋体" w:cs="宋体"/>
          <w:bCs/>
          <w:kern w:val="0"/>
          <w:szCs w:val="21"/>
        </w:rPr>
        <w:t>6</w:t>
      </w:r>
      <w:r>
        <w:rPr>
          <w:rFonts w:hint="eastAsia" w:ascii="宋体" w:hAnsi="宋体" w:eastAsia="宋体" w:cs="宋体"/>
          <w:bCs/>
          <w:kern w:val="0"/>
          <w:szCs w:val="21"/>
        </w:rPr>
        <w:t>.1甲方在本保险合同签订后</w:t>
      </w:r>
      <w:r>
        <w:rPr>
          <w:rFonts w:hint="eastAsia" w:ascii="宋体" w:hAnsi="宋体" w:eastAsia="宋体" w:cs="宋体"/>
          <w:bCs/>
          <w:kern w:val="0"/>
          <w:szCs w:val="21"/>
          <w:u w:val="single"/>
        </w:rPr>
        <w:t xml:space="preserve">  </w:t>
      </w:r>
      <w:r>
        <w:rPr>
          <w:rFonts w:hint="eastAsia" w:ascii="宋体" w:hAnsi="宋体" w:eastAsia="宋体" w:cs="宋体"/>
          <w:bCs/>
          <w:kern w:val="0"/>
          <w:szCs w:val="21"/>
        </w:rPr>
        <w:t>个工作日内，将保费转入乙方医疗责任保险指定专用账户，账户信息如下：</w:t>
      </w:r>
    </w:p>
    <w:p w14:paraId="0215595B">
      <w:pPr>
        <w:pageBreakBefore w:val="0"/>
        <w:kinsoku/>
        <w:wordWrap/>
        <w:overflowPunct/>
        <w:topLinePunct w:val="0"/>
        <w:autoSpaceDE w:val="0"/>
        <w:autoSpaceDN w:val="0"/>
        <w:bidi w:val="0"/>
        <w:adjustRightInd w:val="0"/>
        <w:ind w:firstLine="411" w:firstLineChars="196"/>
        <w:textAlignment w:val="auto"/>
        <w:outlineLvl w:val="9"/>
        <w:rPr>
          <w:rFonts w:hint="eastAsia" w:ascii="宋体" w:hAnsi="宋体" w:eastAsia="宋体" w:cs="宋体"/>
          <w:b/>
          <w:bCs/>
          <w:color w:val="000000"/>
          <w:kern w:val="0"/>
          <w:szCs w:val="21"/>
        </w:rPr>
      </w:pPr>
      <w:r>
        <w:rPr>
          <w:rFonts w:hint="eastAsia" w:ascii="宋体" w:hAnsi="宋体" w:eastAsia="宋体" w:cs="宋体"/>
          <w:color w:val="000000"/>
          <w:kern w:val="0"/>
          <w:szCs w:val="21"/>
        </w:rPr>
        <w:t>全  称：</w:t>
      </w:r>
    </w:p>
    <w:p w14:paraId="62B0A7A6">
      <w:pPr>
        <w:pageBreakBefore w:val="0"/>
        <w:kinsoku/>
        <w:wordWrap/>
        <w:overflowPunct/>
        <w:topLinePunct w:val="0"/>
        <w:autoSpaceDE w:val="0"/>
        <w:autoSpaceDN w:val="0"/>
        <w:bidi w:val="0"/>
        <w:adjustRightInd w:val="0"/>
        <w:ind w:firstLine="411" w:firstLineChars="196"/>
        <w:textAlignment w:val="auto"/>
        <w:outlineLvl w:val="9"/>
        <w:rPr>
          <w:rFonts w:hint="eastAsia" w:ascii="宋体" w:hAnsi="宋体" w:eastAsia="宋体" w:cs="宋体"/>
          <w:b/>
          <w:bCs/>
          <w:color w:val="000000"/>
          <w:kern w:val="0"/>
          <w:szCs w:val="21"/>
        </w:rPr>
      </w:pPr>
      <w:r>
        <w:rPr>
          <w:rFonts w:hint="eastAsia" w:ascii="宋体" w:hAnsi="宋体" w:eastAsia="宋体" w:cs="宋体"/>
          <w:color w:val="000000"/>
          <w:kern w:val="0"/>
          <w:szCs w:val="21"/>
        </w:rPr>
        <w:t xml:space="preserve">开户行：   </w:t>
      </w:r>
    </w:p>
    <w:p w14:paraId="0229A377">
      <w:pPr>
        <w:pageBreakBefore w:val="0"/>
        <w:kinsoku/>
        <w:wordWrap/>
        <w:overflowPunct/>
        <w:topLinePunct w:val="0"/>
        <w:autoSpaceDE w:val="0"/>
        <w:autoSpaceDN w:val="0"/>
        <w:bidi w:val="0"/>
        <w:adjustRightInd w:val="0"/>
        <w:ind w:firstLine="411" w:firstLineChars="196"/>
        <w:textAlignment w:val="auto"/>
        <w:outlineLvl w:val="9"/>
        <w:rPr>
          <w:rFonts w:hint="eastAsia" w:ascii="宋体" w:hAnsi="宋体" w:eastAsia="宋体" w:cs="宋体"/>
          <w:bCs/>
          <w:kern w:val="0"/>
          <w:szCs w:val="21"/>
        </w:rPr>
      </w:pPr>
      <w:r>
        <w:rPr>
          <w:rFonts w:hint="eastAsia" w:ascii="宋体" w:hAnsi="宋体" w:eastAsia="宋体" w:cs="宋体"/>
          <w:color w:val="000000"/>
          <w:kern w:val="0"/>
          <w:szCs w:val="21"/>
        </w:rPr>
        <w:t xml:space="preserve">账  号：   </w:t>
      </w:r>
    </w:p>
    <w:p w14:paraId="4DD6130C">
      <w:pPr>
        <w:keepNext/>
        <w:keepLines/>
        <w:pageBreakBefore w:val="0"/>
        <w:numPr>
          <w:ilvl w:val="255"/>
          <w:numId w:val="0"/>
        </w:numPr>
        <w:kinsoku/>
        <w:wordWrap/>
        <w:overflowPunct/>
        <w:topLinePunct w:val="0"/>
        <w:bidi w:val="0"/>
        <w:spacing w:before="156" w:beforeLines="50" w:after="156" w:afterLines="5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7.承保区域</w:t>
      </w:r>
    </w:p>
    <w:p w14:paraId="3FDB060C">
      <w:pPr>
        <w:pageBreakBefore w:val="0"/>
        <w:kinsoku/>
        <w:wordWrap/>
        <w:overflowPunct/>
        <w:topLinePunct w:val="0"/>
        <w:bidi w:val="0"/>
        <w:spacing w:before="156" w:beforeLines="50" w:after="156" w:afterLines="50"/>
        <w:ind w:firstLine="420" w:firstLineChars="20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中华人民共和国广东省。</w:t>
      </w:r>
    </w:p>
    <w:p w14:paraId="1BA9FB7B">
      <w:pPr>
        <w:keepNext/>
        <w:keepLines/>
        <w:pageBreakBefore w:val="0"/>
        <w:numPr>
          <w:ilvl w:val="255"/>
          <w:numId w:val="0"/>
        </w:numPr>
        <w:kinsoku/>
        <w:wordWrap/>
        <w:overflowPunct/>
        <w:topLinePunct w:val="0"/>
        <w:bidi w:val="0"/>
        <w:spacing w:before="156" w:beforeLines="50" w:after="156" w:afterLines="5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8.司法管辖</w:t>
      </w:r>
    </w:p>
    <w:p w14:paraId="67424253">
      <w:pPr>
        <w:pageBreakBefore w:val="0"/>
        <w:kinsoku/>
        <w:wordWrap/>
        <w:overflowPunct/>
        <w:topLinePunct w:val="0"/>
        <w:bidi w:val="0"/>
        <w:spacing w:before="156" w:beforeLines="50" w:after="156" w:afterLines="50"/>
        <w:ind w:firstLine="420" w:firstLineChars="20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中华人民共和国（香港、澳门、台湾除外）司法管辖。</w:t>
      </w:r>
    </w:p>
    <w:p w14:paraId="44FA13D2">
      <w:pPr>
        <w:keepNext/>
        <w:keepLines/>
        <w:pageBreakBefore w:val="0"/>
        <w:kinsoku/>
        <w:wordWrap/>
        <w:overflowPunct/>
        <w:topLinePunct w:val="0"/>
        <w:bidi w:val="0"/>
        <w:spacing w:before="156" w:beforeLines="50" w:after="156" w:afterLines="5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 特别约定</w:t>
      </w:r>
    </w:p>
    <w:p w14:paraId="4446F1EC">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9.1 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次数不得超过4次（含4次）。</w:t>
      </w:r>
    </w:p>
    <w:p w14:paraId="23D02D3A">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392FD706">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 xml:space="preserve">9.2 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 </w:t>
      </w:r>
    </w:p>
    <w:p w14:paraId="305F1B12">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07E131D4">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9.3 经投保人与保险人协商一致，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14:paraId="0B943848">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 xml:space="preserve">被保险人应在保险合同成立后30日内提供医务人员数的清单（医院需盖章）供保险人进行核查，该清单仅供保险人核查人数。如保险公司在收到医务人员清单后7个工作日内无异议，则视为足额投保。  </w:t>
      </w:r>
    </w:p>
    <w:p w14:paraId="7E60E037">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68F47D29">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9.4 经投保人与保险人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01ECD27C">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4F327BDD">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9.5 经投保人与保险人协商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4F0E4559">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26017662">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9.6 经投保人与保险人协商一致，保险人同意将被保险人根据外聘合同聘用以及根据卫生行政部门制定的帮扶政策聘用的外聘医务人员、或正常会诊的非本医疗机构的医务人员视为被保险人的医务人员。</w:t>
      </w:r>
    </w:p>
    <w:p w14:paraId="252E645B">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1449036A">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9.7 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75115AF8">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0AEB5F47">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9.8 被保险人聘用的医务人员，在注册或变更注册期间或根据卫生行政部门规定及要求到指定区域范围内从事诊疗活动发生的保险事故，属于保险责任范围。</w:t>
      </w:r>
    </w:p>
    <w:p w14:paraId="2DF645BB">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1B384809">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9.9 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14:paraId="118AD6C0">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2475F9FF">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9.10 被保险人向保险人请求赔偿保险金的诉讼时效自被保险人对第三者应负的赔偿责任确定之日起计算。</w:t>
      </w:r>
    </w:p>
    <w:p w14:paraId="347C3F93">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323DFC32">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9.11 本保险合同约定的医患纠纷人民调解委员会指广东和谐医患纠纷人民调解委员会及其各地市医患纠纷人民调解委员会。</w:t>
      </w:r>
    </w:p>
    <w:p w14:paraId="745C7AFE">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6C20B715">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9.12 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14:paraId="241ACA98">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p>
    <w:p w14:paraId="59678E1B">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9.13 确定患方首次向被保险人提出损害赔偿请求的时间规则：</w:t>
      </w:r>
    </w:p>
    <w:p w14:paraId="22B5A438">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（1）患者接受诊疗活动导致人身损害的时间、患方首次投诉时间和医疗机构报案时间在同一保险期间内的案件，以医疗机构报案时填写的时间为准。</w:t>
      </w:r>
    </w:p>
    <w:p w14:paraId="0199711D">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kern w:val="0"/>
          <w:szCs w:val="21"/>
        </w:rPr>
      </w:pPr>
      <w:r>
        <w:rPr>
          <w:rFonts w:hint="eastAsia" w:ascii="宋体" w:hAnsi="宋体" w:eastAsia="宋体" w:cs="宋体"/>
          <w:bCs/>
          <w:kern w:val="0"/>
          <w:szCs w:val="21"/>
        </w:rPr>
        <w:t>（2）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书面材料。</w:t>
      </w:r>
    </w:p>
    <w:p w14:paraId="1410D9A9">
      <w:pPr>
        <w:pageBreakBefore w:val="0"/>
        <w:kinsoku/>
        <w:wordWrap/>
        <w:overflowPunct/>
        <w:topLinePunct w:val="0"/>
        <w:autoSpaceDE w:val="0"/>
        <w:autoSpaceDN w:val="0"/>
        <w:bidi w:val="0"/>
        <w:adjustRightInd w:val="0"/>
        <w:ind w:firstLine="560"/>
        <w:textAlignment w:val="auto"/>
        <w:outlineLvl w:val="9"/>
        <w:rPr>
          <w:rFonts w:hint="eastAsia" w:ascii="宋体" w:hAnsi="宋体" w:eastAsia="宋体" w:cs="宋体"/>
          <w:bCs/>
          <w:color w:val="000000"/>
          <w:kern w:val="0"/>
          <w:szCs w:val="21"/>
        </w:rPr>
      </w:pPr>
      <w:r>
        <w:rPr>
          <w:rFonts w:hint="eastAsia" w:ascii="宋体" w:hAnsi="宋体" w:eastAsia="宋体" w:cs="宋体"/>
          <w:bCs/>
          <w:kern w:val="0"/>
          <w:szCs w:val="21"/>
        </w:rPr>
        <w:t>（3）发生保险事故时，造成患者人身损害，如果就该保险事故造成的损失在保险人处有其他保险也能给予赔偿，保险人依据本保险合同赔偿保险金时，可以相应扣减从其他保险已获得的赔偿金额。”</w:t>
      </w:r>
    </w:p>
    <w:p w14:paraId="62C38B32">
      <w:pPr>
        <w:pageBreakBefore w:val="0"/>
        <w:kinsoku/>
        <w:wordWrap/>
        <w:overflowPunct/>
        <w:topLinePunct w:val="0"/>
        <w:bidi w:val="0"/>
        <w:spacing w:after="120"/>
        <w:ind w:left="420" w:leftChars="200"/>
        <w:textAlignment w:val="auto"/>
        <w:outlineLvl w:val="9"/>
        <w:rPr>
          <w:rFonts w:hint="eastAsia" w:ascii="宋体" w:hAnsi="宋体" w:eastAsia="宋体" w:cs="宋体"/>
          <w:bCs/>
          <w:kern w:val="0"/>
          <w:szCs w:val="21"/>
        </w:rPr>
      </w:pPr>
    </w:p>
    <w:p w14:paraId="7FE3ADBA">
      <w:pPr>
        <w:pageBreakBefore w:val="0"/>
        <w:kinsoku/>
        <w:wordWrap/>
        <w:overflowPunct/>
        <w:topLinePunct w:val="0"/>
        <w:bidi w:val="0"/>
        <w:textAlignment w:val="auto"/>
        <w:outlineLvl w:val="9"/>
      </w:pPr>
      <w:r>
        <w:rPr>
          <w:rFonts w:hint="eastAsia"/>
        </w:rPr>
        <w:t>第四部分  合同的修改和变更</w:t>
      </w:r>
    </w:p>
    <w:p w14:paraId="628D782B">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合同内容的任何变更，须经甲、乙双方一致书面同意。</w:t>
      </w:r>
    </w:p>
    <w:p w14:paraId="06A10809">
      <w:pPr>
        <w:pageBreakBefore w:val="0"/>
        <w:kinsoku/>
        <w:wordWrap/>
        <w:overflowPunct/>
        <w:topLinePunct w:val="0"/>
        <w:bidi w:val="0"/>
        <w:textAlignment w:val="auto"/>
        <w:outlineLvl w:val="9"/>
      </w:pPr>
      <w:r>
        <w:rPr>
          <w:rFonts w:hint="eastAsia"/>
        </w:rPr>
        <w:t>第五部分  保密条款</w:t>
      </w:r>
    </w:p>
    <w:p w14:paraId="5AA0A9E8">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除非下列情况，自本合同生效之日起，甲方及乙方均不得将本合同涉及的所有有形、无形的信息及资料（包括但不限于各方的往来书面文字文件、电子邮件及信息、软盘资料等）泄露给其他团体或个人：</w:t>
      </w:r>
    </w:p>
    <w:p w14:paraId="6D365B28">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1、提供给与执行本合同内容有关的雇员或顾问（保险经纪人）；</w:t>
      </w:r>
    </w:p>
    <w:p w14:paraId="2706076F">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2、应法律或司法、行政管辖要求而提供；</w:t>
      </w:r>
    </w:p>
    <w:p w14:paraId="46F2E568">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3、事先经甲乙双方书面同意。</w:t>
      </w:r>
    </w:p>
    <w:p w14:paraId="4841823E">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本合同任何一方因过错造成泄密而给对方造成损失的，过错一方需承担相应的经济赔偿责任，并同时承担由此而产生的其他法律责任。</w:t>
      </w:r>
    </w:p>
    <w:p w14:paraId="0447A989">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本条款在本合同终止后三年内仍然生效。</w:t>
      </w:r>
    </w:p>
    <w:p w14:paraId="4872B70A">
      <w:pPr>
        <w:pageBreakBefore w:val="0"/>
        <w:kinsoku/>
        <w:wordWrap/>
        <w:overflowPunct/>
        <w:topLinePunct w:val="0"/>
        <w:bidi w:val="0"/>
        <w:textAlignment w:val="auto"/>
        <w:outlineLvl w:val="9"/>
      </w:pPr>
      <w:r>
        <w:rPr>
          <w:rFonts w:hint="eastAsia"/>
        </w:rPr>
        <w:t>第六部分  合同组成文件</w:t>
      </w:r>
    </w:p>
    <w:p w14:paraId="71CDD35C">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下列文件应被认为是本合同的有效组成部分，并互为补充和解释，如各文件存在冲突之处，以如下所列顺序在前者为准；本合同书中的附件一、二、三、四内容如有冲突之处，以排列在前附件为准：</w:t>
      </w:r>
    </w:p>
    <w:p w14:paraId="7D065DD0">
      <w:pPr>
        <w:pageBreakBefore w:val="0"/>
        <w:numPr>
          <w:ilvl w:val="0"/>
          <w:numId w:val="4"/>
        </w:numPr>
        <w:tabs>
          <w:tab w:val="left" w:pos="840"/>
          <w:tab w:val="left" w:pos="1050"/>
        </w:tabs>
        <w:kinsoku/>
        <w:wordWrap/>
        <w:overflowPunct/>
        <w:topLinePunct w:val="0"/>
        <w:bidi w:val="0"/>
        <w:ind w:hanging="140"/>
        <w:textAlignment w:val="auto"/>
        <w:outlineLvl w:val="9"/>
        <w:rPr>
          <w:rFonts w:hint="eastAsia" w:ascii="宋体" w:hAnsi="宋体" w:eastAsia="宋体" w:cs="Times New Roman"/>
          <w:bCs/>
          <w:kern w:val="0"/>
          <w:szCs w:val="21"/>
        </w:rPr>
      </w:pPr>
      <w:r>
        <w:rPr>
          <w:rFonts w:hint="eastAsia" w:ascii="宋体" w:hAnsi="宋体" w:eastAsia="宋体" w:cs="Times New Roman"/>
          <w:bCs/>
          <w:kern w:val="0"/>
          <w:szCs w:val="21"/>
        </w:rPr>
        <w:t>甲、乙双方根据本合同协商制定的其他补充协议或修正文件；</w:t>
      </w:r>
    </w:p>
    <w:p w14:paraId="2924AC3B">
      <w:pPr>
        <w:pageBreakBefore w:val="0"/>
        <w:numPr>
          <w:ilvl w:val="0"/>
          <w:numId w:val="4"/>
        </w:numPr>
        <w:tabs>
          <w:tab w:val="left" w:pos="840"/>
          <w:tab w:val="left" w:pos="1050"/>
        </w:tabs>
        <w:kinsoku/>
        <w:wordWrap/>
        <w:overflowPunct/>
        <w:topLinePunct w:val="0"/>
        <w:bidi w:val="0"/>
        <w:ind w:hanging="140"/>
        <w:textAlignment w:val="auto"/>
        <w:outlineLvl w:val="9"/>
        <w:rPr>
          <w:rFonts w:hint="eastAsia" w:ascii="宋体" w:hAnsi="宋体" w:eastAsia="宋体" w:cs="Times New Roman"/>
          <w:bCs/>
          <w:kern w:val="0"/>
          <w:szCs w:val="21"/>
        </w:rPr>
      </w:pPr>
      <w:r>
        <w:rPr>
          <w:rFonts w:hint="eastAsia" w:ascii="宋体" w:hAnsi="宋体" w:eastAsia="宋体" w:cs="Times New Roman"/>
          <w:bCs/>
          <w:kern w:val="0"/>
          <w:szCs w:val="21"/>
        </w:rPr>
        <w:t>本合同项下的批单；</w:t>
      </w:r>
    </w:p>
    <w:p w14:paraId="41BF36A5">
      <w:pPr>
        <w:pageBreakBefore w:val="0"/>
        <w:numPr>
          <w:ilvl w:val="0"/>
          <w:numId w:val="4"/>
        </w:numPr>
        <w:tabs>
          <w:tab w:val="left" w:pos="840"/>
          <w:tab w:val="left" w:pos="1050"/>
        </w:tabs>
        <w:kinsoku/>
        <w:wordWrap/>
        <w:overflowPunct/>
        <w:topLinePunct w:val="0"/>
        <w:bidi w:val="0"/>
        <w:ind w:hanging="140"/>
        <w:textAlignment w:val="auto"/>
        <w:outlineLvl w:val="9"/>
        <w:rPr>
          <w:rFonts w:hint="eastAsia" w:ascii="宋体" w:hAnsi="宋体" w:eastAsia="宋体" w:cs="Times New Roman"/>
          <w:bCs/>
          <w:kern w:val="0"/>
          <w:szCs w:val="21"/>
        </w:rPr>
      </w:pPr>
      <w:r>
        <w:rPr>
          <w:rFonts w:hint="eastAsia" w:ascii="宋体" w:hAnsi="宋体" w:eastAsia="宋体" w:cs="Times New Roman"/>
          <w:bCs/>
          <w:kern w:val="0"/>
          <w:szCs w:val="21"/>
        </w:rPr>
        <w:t>本合同书；</w:t>
      </w:r>
    </w:p>
    <w:p w14:paraId="056EB281">
      <w:pPr>
        <w:pageBreakBefore w:val="0"/>
        <w:numPr>
          <w:ilvl w:val="0"/>
          <w:numId w:val="4"/>
        </w:numPr>
        <w:tabs>
          <w:tab w:val="left" w:pos="840"/>
          <w:tab w:val="left" w:pos="1050"/>
        </w:tabs>
        <w:kinsoku/>
        <w:wordWrap/>
        <w:overflowPunct/>
        <w:topLinePunct w:val="0"/>
        <w:bidi w:val="0"/>
        <w:ind w:hanging="140"/>
        <w:textAlignment w:val="auto"/>
        <w:outlineLvl w:val="9"/>
        <w:rPr>
          <w:rFonts w:hint="eastAsia" w:ascii="宋体" w:hAnsi="宋体" w:eastAsia="宋体" w:cs="Times New Roman"/>
          <w:bCs/>
          <w:kern w:val="0"/>
          <w:szCs w:val="21"/>
        </w:rPr>
      </w:pPr>
      <w:r>
        <w:rPr>
          <w:rFonts w:hint="eastAsia" w:ascii="宋体" w:hAnsi="宋体" w:eastAsia="宋体" w:cs="Times New Roman"/>
          <w:bCs/>
          <w:kern w:val="0"/>
          <w:szCs w:val="21"/>
        </w:rPr>
        <w:t>本合同书的附件；</w:t>
      </w:r>
    </w:p>
    <w:p w14:paraId="0979161E">
      <w:pPr>
        <w:pageBreakBefore w:val="0"/>
        <w:numPr>
          <w:ilvl w:val="0"/>
          <w:numId w:val="4"/>
        </w:numPr>
        <w:tabs>
          <w:tab w:val="left" w:pos="840"/>
          <w:tab w:val="left" w:pos="1050"/>
        </w:tabs>
        <w:kinsoku/>
        <w:wordWrap/>
        <w:overflowPunct/>
        <w:topLinePunct w:val="0"/>
        <w:bidi w:val="0"/>
        <w:ind w:hanging="140"/>
        <w:textAlignment w:val="auto"/>
        <w:outlineLvl w:val="9"/>
        <w:rPr>
          <w:rFonts w:hint="eastAsia" w:ascii="宋体" w:hAnsi="宋体" w:eastAsia="宋体" w:cs="Times New Roman"/>
          <w:bCs/>
          <w:kern w:val="0"/>
          <w:szCs w:val="21"/>
        </w:rPr>
      </w:pPr>
      <w:r>
        <w:rPr>
          <w:rFonts w:hint="eastAsia" w:ascii="宋体" w:hAnsi="宋体" w:eastAsia="宋体" w:cs="Times New Roman"/>
          <w:bCs/>
          <w:kern w:val="0"/>
          <w:szCs w:val="21"/>
        </w:rPr>
        <w:t>投保单；</w:t>
      </w:r>
    </w:p>
    <w:p w14:paraId="185186A7">
      <w:pPr>
        <w:pageBreakBefore w:val="0"/>
        <w:numPr>
          <w:ilvl w:val="0"/>
          <w:numId w:val="4"/>
        </w:numPr>
        <w:tabs>
          <w:tab w:val="left" w:pos="840"/>
          <w:tab w:val="left" w:pos="1050"/>
        </w:tabs>
        <w:kinsoku/>
        <w:wordWrap/>
        <w:overflowPunct/>
        <w:topLinePunct w:val="0"/>
        <w:bidi w:val="0"/>
        <w:ind w:hanging="140"/>
        <w:textAlignment w:val="auto"/>
        <w:outlineLvl w:val="9"/>
        <w:rPr>
          <w:rFonts w:hint="eastAsia" w:ascii="宋体" w:hAnsi="宋体" w:eastAsia="宋体" w:cs="Times New Roman"/>
          <w:bCs/>
          <w:kern w:val="0"/>
          <w:szCs w:val="21"/>
        </w:rPr>
      </w:pPr>
      <w:r>
        <w:rPr>
          <w:rFonts w:hint="eastAsia" w:ascii="宋体" w:hAnsi="宋体" w:eastAsia="宋体" w:cs="Times New Roman"/>
          <w:bCs/>
          <w:kern w:val="0"/>
          <w:szCs w:val="21"/>
        </w:rPr>
        <w:t>组成合同的其他文件。</w:t>
      </w:r>
    </w:p>
    <w:p w14:paraId="764F79DC">
      <w:pPr>
        <w:pageBreakBefore w:val="0"/>
        <w:kinsoku/>
        <w:wordWrap/>
        <w:overflowPunct/>
        <w:topLinePunct w:val="0"/>
        <w:autoSpaceDE w:val="0"/>
        <w:autoSpaceDN w:val="0"/>
        <w:bidi w:val="0"/>
        <w:adjustRightInd w:val="0"/>
        <w:ind w:firstLine="420" w:firstLineChars="200"/>
        <w:jc w:val="left"/>
        <w:textAlignment w:val="auto"/>
        <w:outlineLvl w:val="9"/>
        <w:rPr>
          <w:rFonts w:hint="eastAsia" w:ascii="宋体" w:hAnsi="宋体" w:eastAsia="宋体" w:cs="Times New Roman"/>
          <w:szCs w:val="21"/>
        </w:rPr>
      </w:pPr>
      <w:r>
        <w:rPr>
          <w:rFonts w:hint="eastAsia" w:ascii="宋体" w:hAnsi="宋体" w:eastAsia="宋体" w:cs="Times New Roman"/>
          <w:kern w:val="0"/>
          <w:szCs w:val="21"/>
        </w:rPr>
        <w:t>本合同未尽事宜，甲、乙双方可签订补充协议，补充协议为本合同的有效组成部分。</w:t>
      </w:r>
    </w:p>
    <w:p w14:paraId="5C2949E9">
      <w:pPr>
        <w:pageBreakBefore w:val="0"/>
        <w:kinsoku/>
        <w:wordWrap/>
        <w:overflowPunct/>
        <w:topLinePunct w:val="0"/>
        <w:bidi w:val="0"/>
        <w:textAlignment w:val="auto"/>
        <w:outlineLvl w:val="9"/>
      </w:pPr>
      <w:r>
        <w:rPr>
          <w:rFonts w:hint="eastAsia"/>
        </w:rPr>
        <w:t>第七部分  合同生效</w:t>
      </w:r>
    </w:p>
    <w:p w14:paraId="32419910">
      <w:pPr>
        <w:pageBreakBefore w:val="0"/>
        <w:kinsoku/>
        <w:wordWrap/>
        <w:overflowPunct/>
        <w:topLinePunct w:val="0"/>
        <w:bidi w:val="0"/>
        <w:ind w:firstLine="478" w:firstLineChars="228"/>
        <w:textAlignment w:val="auto"/>
        <w:outlineLvl w:val="9"/>
        <w:rPr>
          <w:rFonts w:hint="eastAsia" w:ascii="宋体" w:hAnsi="宋体" w:eastAsia="宋体" w:cs="Times New Roman"/>
          <w:szCs w:val="21"/>
        </w:rPr>
      </w:pPr>
      <w:r>
        <w:rPr>
          <w:rFonts w:hint="eastAsia" w:ascii="宋体" w:hAnsi="宋体" w:eastAsia="宋体" w:cs="宋体"/>
          <w:kern w:val="0"/>
          <w:szCs w:val="21"/>
        </w:rPr>
        <w:t>本合同自 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r>
        <w:rPr>
          <w:rFonts w:hint="eastAsia" w:ascii="宋体" w:hAnsi="宋体" w:eastAsia="宋体" w:cs="宋体"/>
          <w:kern w:val="0"/>
          <w:szCs w:val="21"/>
          <w:u w:val="single"/>
        </w:rPr>
        <w:t>零</w:t>
      </w:r>
      <w:r>
        <w:rPr>
          <w:rFonts w:hint="eastAsia" w:ascii="宋体" w:hAnsi="宋体" w:eastAsia="宋体" w:cs="宋体"/>
          <w:kern w:val="0"/>
          <w:szCs w:val="21"/>
        </w:rPr>
        <w:t>时起正式生效。</w:t>
      </w:r>
    </w:p>
    <w:p w14:paraId="227886DE">
      <w:pPr>
        <w:pageBreakBefore w:val="0"/>
        <w:kinsoku/>
        <w:wordWrap/>
        <w:overflowPunct/>
        <w:topLinePunct w:val="0"/>
        <w:bidi w:val="0"/>
        <w:textAlignment w:val="auto"/>
        <w:outlineLvl w:val="9"/>
      </w:pPr>
      <w:r>
        <w:rPr>
          <w:rFonts w:hint="eastAsia"/>
        </w:rPr>
        <w:t>第八部分  违约责任</w:t>
      </w:r>
    </w:p>
    <w:p w14:paraId="681B4F2B">
      <w:pPr>
        <w:pageBreakBefore w:val="0"/>
        <w:kinsoku/>
        <w:wordWrap/>
        <w:overflowPunct/>
        <w:topLinePunct w:val="0"/>
        <w:bidi w:val="0"/>
        <w:ind w:firstLine="478" w:firstLineChars="228"/>
        <w:textAlignment w:val="auto"/>
        <w:outlineLvl w:val="9"/>
        <w:rPr>
          <w:rFonts w:hint="eastAsia" w:ascii="宋体" w:hAnsi="宋体" w:eastAsia="宋体" w:cs="宋体"/>
          <w:kern w:val="0"/>
          <w:szCs w:val="21"/>
        </w:rPr>
      </w:pPr>
      <w:r>
        <w:rPr>
          <w:rFonts w:hint="eastAsia" w:ascii="宋体" w:hAnsi="宋体" w:eastAsia="宋体" w:cs="宋体"/>
          <w:kern w:val="0"/>
          <w:szCs w:val="21"/>
        </w:rPr>
        <w:t>本合同任何一方不履行或者不完全履行合同的必须依法承担违约责任，赔偿守约方因违约遭受的全部损失（包括但不限于直接损失及为实现权利所支出的公证费、交通差旅费、鉴定费、律师费等费用）；如各方均构成违约，由各方当事人分别承担各自应负的违约责任。</w:t>
      </w:r>
    </w:p>
    <w:p w14:paraId="77F99C83">
      <w:pPr>
        <w:pageBreakBefore w:val="0"/>
        <w:kinsoku/>
        <w:wordWrap/>
        <w:overflowPunct/>
        <w:topLinePunct w:val="0"/>
        <w:bidi w:val="0"/>
        <w:ind w:firstLine="481" w:firstLineChars="228"/>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1.甲方未按合同约定及时缴纳保费，自乙方发出《催款通知书》</w:t>
      </w:r>
      <w:r>
        <w:rPr>
          <w:rFonts w:hint="eastAsia" w:ascii="宋体" w:hAnsi="宋体" w:eastAsia="宋体" w:cs="Times New Roman"/>
          <w:b/>
          <w:bCs/>
          <w:kern w:val="0"/>
          <w:szCs w:val="21"/>
          <w:lang w:val="en-US" w:eastAsia="zh-CN"/>
        </w:rPr>
        <w:t>指定的还款日</w:t>
      </w:r>
      <w:r>
        <w:rPr>
          <w:rFonts w:hint="eastAsia" w:ascii="宋体" w:hAnsi="宋体" w:eastAsia="宋体" w:cs="Times New Roman"/>
          <w:b/>
          <w:bCs/>
          <w:kern w:val="0"/>
          <w:szCs w:val="21"/>
        </w:rPr>
        <w:t>起每逾期一日须向乙方支付按本保险合同</w:t>
      </w:r>
      <w:r>
        <w:rPr>
          <w:rFonts w:hint="eastAsia" w:ascii="宋体" w:hAnsi="宋体" w:eastAsia="宋体" w:cs="Times New Roman"/>
          <w:b/>
          <w:bCs/>
          <w:kern w:val="0"/>
          <w:szCs w:val="21"/>
          <w:lang w:val="en-US" w:eastAsia="zh-CN"/>
        </w:rPr>
        <w:t>应付未付</w:t>
      </w:r>
      <w:r>
        <w:rPr>
          <w:rFonts w:hint="eastAsia" w:ascii="宋体" w:hAnsi="宋体" w:eastAsia="宋体" w:cs="Times New Roman"/>
          <w:b/>
          <w:bCs/>
          <w:kern w:val="0"/>
          <w:szCs w:val="21"/>
        </w:rPr>
        <w:t>保费2‰的违约金；逾期超15个工作日以上的，乙方有权解除保险合同，并且对于合同解除前发生的保险事故不承担赔偿保险金的责任；</w:t>
      </w:r>
    </w:p>
    <w:p w14:paraId="5112572D">
      <w:pPr>
        <w:pageBreakBefore w:val="0"/>
        <w:kinsoku/>
        <w:wordWrap/>
        <w:overflowPunct/>
        <w:topLinePunct w:val="0"/>
        <w:bidi w:val="0"/>
        <w:ind w:firstLine="481" w:firstLineChars="228"/>
        <w:textAlignment w:val="auto"/>
        <w:outlineLvl w:val="9"/>
        <w:rPr>
          <w:rFonts w:hint="eastAsia" w:ascii="宋体" w:hAnsi="宋体" w:eastAsia="宋体" w:cs="Times New Roman"/>
          <w:b/>
          <w:bCs/>
          <w:kern w:val="0"/>
          <w:szCs w:val="21"/>
        </w:rPr>
      </w:pPr>
      <w:r>
        <w:rPr>
          <w:rFonts w:hint="eastAsia" w:ascii="宋体" w:hAnsi="宋体" w:eastAsia="宋体" w:cs="Times New Roman"/>
          <w:b/>
          <w:bCs/>
          <w:kern w:val="0"/>
          <w:szCs w:val="21"/>
        </w:rPr>
        <w:t>2.乙方没按合同约定及时支付保险金，每逾期一日须向甲方支付赔款金额2‰的违约金。</w:t>
      </w:r>
    </w:p>
    <w:p w14:paraId="5D262B92">
      <w:pPr>
        <w:pageBreakBefore w:val="0"/>
        <w:kinsoku/>
        <w:wordWrap/>
        <w:overflowPunct/>
        <w:topLinePunct w:val="0"/>
        <w:bidi w:val="0"/>
        <w:ind w:firstLine="478" w:firstLineChars="228"/>
        <w:textAlignment w:val="auto"/>
        <w:outlineLvl w:val="9"/>
        <w:rPr>
          <w:rFonts w:hint="eastAsia" w:ascii="宋体" w:hAnsi="宋体" w:eastAsia="宋体" w:cs="Times New Roman"/>
          <w:szCs w:val="21"/>
        </w:rPr>
      </w:pPr>
      <w:r>
        <w:rPr>
          <w:rFonts w:hint="eastAsia" w:ascii="宋体" w:hAnsi="宋体" w:eastAsia="宋体" w:cs="宋体"/>
          <w:kern w:val="0"/>
          <w:szCs w:val="21"/>
        </w:rPr>
        <w:t>若发生违约情形，违约方依法依约承担其相应法律责任后果，除非守约方同意终止本合同的，本合同仍须继续履行。</w:t>
      </w:r>
    </w:p>
    <w:p w14:paraId="7981A879">
      <w:pPr>
        <w:pageBreakBefore w:val="0"/>
        <w:kinsoku/>
        <w:wordWrap/>
        <w:overflowPunct/>
        <w:topLinePunct w:val="0"/>
        <w:bidi w:val="0"/>
        <w:textAlignment w:val="auto"/>
        <w:outlineLvl w:val="9"/>
      </w:pPr>
      <w:r>
        <w:rPr>
          <w:rFonts w:hint="eastAsia"/>
        </w:rPr>
        <w:t>第九部分  争议处理</w:t>
      </w:r>
    </w:p>
    <w:p w14:paraId="35056654">
      <w:pPr>
        <w:pageBreakBefore w:val="0"/>
        <w:kinsoku/>
        <w:wordWrap/>
        <w:overflowPunct/>
        <w:topLinePunct w:val="0"/>
        <w:bidi w:val="0"/>
        <w:ind w:firstLine="478" w:firstLineChars="228"/>
        <w:textAlignment w:val="auto"/>
        <w:outlineLvl w:val="9"/>
        <w:rPr>
          <w:rFonts w:hint="eastAsia" w:ascii="宋体" w:hAnsi="宋体" w:eastAsia="宋体" w:cs="宋体"/>
          <w:kern w:val="0"/>
          <w:szCs w:val="21"/>
        </w:rPr>
      </w:pPr>
      <w:r>
        <w:rPr>
          <w:rFonts w:hint="eastAsia" w:ascii="宋体" w:hAnsi="宋体" w:eastAsia="宋体" w:cs="宋体"/>
          <w:kern w:val="0"/>
          <w:szCs w:val="21"/>
        </w:rPr>
        <w:t>甲、乙双方之间的一切有关本合同的争议应通过友好协商解决。如果协商不成，可向</w:t>
      </w:r>
      <w:r>
        <w:rPr>
          <w:rFonts w:hint="eastAsia" w:ascii="宋体" w:hAnsi="宋体" w:eastAsia="宋体" w:cs="宋体"/>
          <w:kern w:val="0"/>
          <w:szCs w:val="21"/>
          <w:u w:val="single"/>
        </w:rPr>
        <w:t>甲方所在地人民法院</w:t>
      </w:r>
      <w:r>
        <w:rPr>
          <w:rFonts w:hint="eastAsia" w:ascii="宋体" w:hAnsi="宋体" w:eastAsia="宋体" w:cs="宋体"/>
          <w:kern w:val="0"/>
          <w:szCs w:val="21"/>
        </w:rPr>
        <w:t>提起诉讼</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守约方为实现权利</w:t>
      </w:r>
      <w:r>
        <w:rPr>
          <w:rFonts w:hint="eastAsia" w:ascii="宋体" w:hAnsi="宋体" w:eastAsia="宋体" w:cs="宋体"/>
          <w:kern w:val="0"/>
          <w:szCs w:val="21"/>
        </w:rPr>
        <w:t>的费用（包括但不限于诉讼费、律师费、交通费、鉴定费、公证费、财产保全费等）全部由</w:t>
      </w:r>
      <w:r>
        <w:rPr>
          <w:rFonts w:hint="eastAsia" w:ascii="宋体" w:hAnsi="宋体" w:eastAsia="宋体" w:cs="宋体"/>
          <w:kern w:val="0"/>
          <w:szCs w:val="21"/>
          <w:lang w:val="en-US" w:eastAsia="zh-CN"/>
        </w:rPr>
        <w:t>违约</w:t>
      </w:r>
      <w:r>
        <w:rPr>
          <w:rFonts w:hint="eastAsia" w:ascii="宋体" w:hAnsi="宋体" w:eastAsia="宋体" w:cs="宋体"/>
          <w:kern w:val="0"/>
          <w:szCs w:val="21"/>
        </w:rPr>
        <w:t>方承担。在诉讼期间，本合同不涉及争议的条款仍须履行。</w:t>
      </w:r>
    </w:p>
    <w:p w14:paraId="44F54C89">
      <w:pPr>
        <w:pageBreakBefore w:val="0"/>
        <w:kinsoku/>
        <w:wordWrap/>
        <w:overflowPunct/>
        <w:topLinePunct w:val="0"/>
        <w:bidi w:val="0"/>
        <w:spacing w:before="156" w:beforeLines="50"/>
        <w:ind w:left="420"/>
        <w:textAlignment w:val="auto"/>
        <w:outlineLvl w:val="9"/>
        <w:rPr>
          <w:rFonts w:hint="eastAsia" w:ascii="宋体" w:hAnsi="宋体" w:eastAsia="宋体" w:cs="Times New Roman"/>
          <w:bCs/>
          <w:kern w:val="0"/>
          <w:szCs w:val="21"/>
        </w:rPr>
      </w:pPr>
      <w:r>
        <w:rPr>
          <w:rFonts w:hint="eastAsia" w:ascii="宋体" w:hAnsi="宋体" w:eastAsia="宋体" w:cs="Times New Roman"/>
          <w:bCs/>
          <w:kern w:val="0"/>
          <w:szCs w:val="21"/>
        </w:rPr>
        <w:t xml:space="preserve"> 本合同一式三份，甲方、乙方、保险经纪人各持一份，具有相同法律效力。</w:t>
      </w:r>
    </w:p>
    <w:p w14:paraId="56E4C47D">
      <w:pPr>
        <w:pageBreakBefore w:val="0"/>
        <w:kinsoku/>
        <w:wordWrap/>
        <w:overflowPunct/>
        <w:topLinePunct w:val="0"/>
        <w:bidi w:val="0"/>
        <w:ind w:firstLine="478" w:firstLineChars="228"/>
        <w:textAlignment w:val="auto"/>
        <w:outlineLvl w:val="9"/>
        <w:rPr>
          <w:rFonts w:hint="eastAsia" w:ascii="宋体" w:hAnsi="宋体" w:eastAsia="宋体" w:cs="宋体"/>
          <w:kern w:val="0"/>
          <w:szCs w:val="21"/>
        </w:rPr>
      </w:pPr>
      <w:r>
        <w:rPr>
          <w:rFonts w:hint="eastAsia" w:ascii="宋体" w:hAnsi="宋体" w:eastAsia="宋体" w:cs="宋体"/>
          <w:kern w:val="0"/>
          <w:szCs w:val="21"/>
        </w:rPr>
        <w:t>（以下为盖章页，无正文）</w:t>
      </w:r>
    </w:p>
    <w:tbl>
      <w:tblPr>
        <w:tblStyle w:val="19"/>
        <w:tblW w:w="5000" w:type="pct"/>
        <w:tblInd w:w="0" w:type="dxa"/>
        <w:tblLayout w:type="autofit"/>
        <w:tblCellMar>
          <w:top w:w="0" w:type="dxa"/>
          <w:left w:w="108" w:type="dxa"/>
          <w:bottom w:w="0" w:type="dxa"/>
          <w:right w:w="108" w:type="dxa"/>
        </w:tblCellMar>
      </w:tblPr>
      <w:tblGrid>
        <w:gridCol w:w="5065"/>
        <w:gridCol w:w="4897"/>
      </w:tblGrid>
      <w:tr w14:paraId="038F71F7">
        <w:tblPrEx>
          <w:tblCellMar>
            <w:top w:w="0" w:type="dxa"/>
            <w:left w:w="108" w:type="dxa"/>
            <w:bottom w:w="0" w:type="dxa"/>
            <w:right w:w="108" w:type="dxa"/>
          </w:tblCellMar>
        </w:tblPrEx>
        <w:trPr>
          <w:trHeight w:val="3244" w:hRule="atLeast"/>
        </w:trPr>
        <w:tc>
          <w:tcPr>
            <w:tcW w:w="2542" w:type="pct"/>
          </w:tcPr>
          <w:p w14:paraId="5BEE71DD">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 xml:space="preserve">投保人：   </w:t>
            </w:r>
          </w:p>
          <w:p w14:paraId="473758A7">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p>
          <w:p w14:paraId="705EFF3A">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p>
          <w:p w14:paraId="2F811CB8">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p>
          <w:p w14:paraId="3F7D288C">
            <w:pPr>
              <w:pageBreakBefore w:val="0"/>
              <w:tabs>
                <w:tab w:val="left" w:pos="560"/>
              </w:tabs>
              <w:kinsoku/>
              <w:wordWrap/>
              <w:overflowPunct/>
              <w:topLinePunct w:val="0"/>
              <w:autoSpaceDE w:val="0"/>
              <w:autoSpaceDN w:val="0"/>
              <w:bidi w:val="0"/>
              <w:adjustRightInd w:val="0"/>
              <w:snapToGrid w:val="0"/>
              <w:spacing w:before="120" w:after="120"/>
              <w:jc w:val="center"/>
              <w:textAlignment w:val="auto"/>
              <w:outlineLvl w:val="9"/>
              <w:rPr>
                <w:rFonts w:hint="eastAsia" w:ascii="宋体" w:hAnsi="宋体" w:eastAsia="宋体" w:cs="Times New Roman"/>
                <w:szCs w:val="21"/>
              </w:rPr>
            </w:pPr>
            <w:r>
              <w:rPr>
                <w:rFonts w:hint="eastAsia" w:ascii="宋体" w:hAnsi="宋体" w:eastAsia="宋体" w:cs="Times New Roman"/>
                <w:szCs w:val="21"/>
              </w:rPr>
              <w:t>（公章）</w:t>
            </w:r>
          </w:p>
          <w:p w14:paraId="3E859878">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法人代表/授权代表：</w:t>
            </w:r>
          </w:p>
          <w:p w14:paraId="0D3CDE37">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（签字）</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w:t>
            </w:r>
          </w:p>
          <w:p w14:paraId="579523EC">
            <w:pPr>
              <w:pageBreakBefore w:val="0"/>
              <w:tabs>
                <w:tab w:val="left" w:pos="560"/>
              </w:tabs>
              <w:kinsoku/>
              <w:wordWrap/>
              <w:overflowPunct/>
              <w:topLinePunct w:val="0"/>
              <w:autoSpaceDE w:val="0"/>
              <w:autoSpaceDN w:val="0"/>
              <w:bidi w:val="0"/>
              <w:adjustRightInd w:val="0"/>
              <w:snapToGrid w:val="0"/>
              <w:spacing w:before="120" w:after="120"/>
              <w:ind w:firstLine="1365" w:firstLineChars="65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202</w:t>
            </w: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年  月  日</w:t>
            </w:r>
          </w:p>
        </w:tc>
        <w:tc>
          <w:tcPr>
            <w:tcW w:w="2458" w:type="pct"/>
          </w:tcPr>
          <w:p w14:paraId="7EA034EB">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保险人：</w:t>
            </w:r>
          </w:p>
          <w:p w14:paraId="2804F78F">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p>
          <w:p w14:paraId="374943F8">
            <w:pPr>
              <w:pageBreakBefore w:val="0"/>
              <w:tabs>
                <w:tab w:val="left" w:pos="560"/>
              </w:tabs>
              <w:kinsoku/>
              <w:wordWrap/>
              <w:overflowPunct/>
              <w:topLinePunct w:val="0"/>
              <w:autoSpaceDE w:val="0"/>
              <w:autoSpaceDN w:val="0"/>
              <w:bidi w:val="0"/>
              <w:adjustRightInd w:val="0"/>
              <w:snapToGrid w:val="0"/>
              <w:spacing w:before="120" w:after="120"/>
              <w:jc w:val="center"/>
              <w:textAlignment w:val="auto"/>
              <w:outlineLvl w:val="9"/>
              <w:rPr>
                <w:rFonts w:hint="eastAsia" w:ascii="宋体" w:hAnsi="宋体" w:eastAsia="宋体" w:cs="Times New Roman"/>
                <w:szCs w:val="21"/>
              </w:rPr>
            </w:pPr>
          </w:p>
          <w:p w14:paraId="19B9479C">
            <w:pPr>
              <w:pageBreakBefore w:val="0"/>
              <w:tabs>
                <w:tab w:val="left" w:pos="560"/>
              </w:tabs>
              <w:kinsoku/>
              <w:wordWrap/>
              <w:overflowPunct/>
              <w:topLinePunct w:val="0"/>
              <w:autoSpaceDE w:val="0"/>
              <w:autoSpaceDN w:val="0"/>
              <w:bidi w:val="0"/>
              <w:adjustRightInd w:val="0"/>
              <w:snapToGrid w:val="0"/>
              <w:spacing w:before="120" w:after="120"/>
              <w:jc w:val="center"/>
              <w:textAlignment w:val="auto"/>
              <w:outlineLvl w:val="9"/>
              <w:rPr>
                <w:rFonts w:hint="eastAsia" w:ascii="宋体" w:hAnsi="宋体" w:eastAsia="宋体" w:cs="Times New Roman"/>
                <w:szCs w:val="21"/>
              </w:rPr>
            </w:pPr>
          </w:p>
          <w:p w14:paraId="5D938891">
            <w:pPr>
              <w:pageBreakBefore w:val="0"/>
              <w:tabs>
                <w:tab w:val="left" w:pos="560"/>
              </w:tabs>
              <w:kinsoku/>
              <w:wordWrap/>
              <w:overflowPunct/>
              <w:topLinePunct w:val="0"/>
              <w:autoSpaceDE w:val="0"/>
              <w:autoSpaceDN w:val="0"/>
              <w:bidi w:val="0"/>
              <w:adjustRightInd w:val="0"/>
              <w:snapToGrid w:val="0"/>
              <w:spacing w:before="120" w:after="120"/>
              <w:jc w:val="center"/>
              <w:textAlignment w:val="auto"/>
              <w:outlineLvl w:val="9"/>
              <w:rPr>
                <w:rFonts w:hint="eastAsia" w:ascii="宋体" w:hAnsi="宋体" w:eastAsia="宋体" w:cs="Times New Roman"/>
                <w:szCs w:val="21"/>
              </w:rPr>
            </w:pPr>
            <w:r>
              <w:rPr>
                <w:rFonts w:hint="eastAsia" w:ascii="宋体" w:hAnsi="宋体" w:eastAsia="宋体" w:cs="Times New Roman"/>
                <w:szCs w:val="21"/>
              </w:rPr>
              <w:t>（公章）</w:t>
            </w:r>
          </w:p>
          <w:p w14:paraId="38E9E6F6">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法人代表/授权代表：</w:t>
            </w:r>
          </w:p>
          <w:p w14:paraId="63FBF591">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u w:val="single"/>
              </w:rPr>
            </w:pPr>
            <w:r>
              <w:rPr>
                <w:rFonts w:hint="eastAsia" w:ascii="宋体" w:hAnsi="宋体" w:eastAsia="宋体" w:cs="Times New Roman"/>
                <w:kern w:val="0"/>
                <w:szCs w:val="21"/>
              </w:rPr>
              <w:t>（签字）</w:t>
            </w:r>
            <w:r>
              <w:rPr>
                <w:rFonts w:hint="eastAsia" w:ascii="宋体" w:hAnsi="宋体" w:eastAsia="宋体" w:cs="Times New Roman"/>
                <w:kern w:val="0"/>
                <w:szCs w:val="21"/>
                <w:u w:val="single"/>
              </w:rPr>
              <w:t xml:space="preserve">               </w:t>
            </w:r>
          </w:p>
          <w:p w14:paraId="75F356F5">
            <w:pPr>
              <w:pageBreakBefore w:val="0"/>
              <w:tabs>
                <w:tab w:val="left" w:pos="560"/>
              </w:tabs>
              <w:kinsoku/>
              <w:wordWrap/>
              <w:overflowPunct/>
              <w:topLinePunct w:val="0"/>
              <w:autoSpaceDE w:val="0"/>
              <w:autoSpaceDN w:val="0"/>
              <w:bidi w:val="0"/>
              <w:adjustRightInd w:val="0"/>
              <w:snapToGrid w:val="0"/>
              <w:spacing w:before="120" w:after="120"/>
              <w:textAlignment w:val="auto"/>
              <w:outlineLvl w:val="9"/>
              <w:rPr>
                <w:rFonts w:hint="eastAsia" w:ascii="宋体" w:hAnsi="宋体" w:eastAsia="宋体" w:cs="Times New Roman"/>
                <w:kern w:val="0"/>
                <w:szCs w:val="21"/>
              </w:rPr>
            </w:pPr>
            <w:r>
              <w:rPr>
                <w:rFonts w:hint="eastAsia" w:ascii="宋体" w:hAnsi="宋体" w:eastAsia="宋体" w:cs="Times New Roman"/>
                <w:kern w:val="0"/>
                <w:szCs w:val="21"/>
              </w:rPr>
              <w:t xml:space="preserve">          202</w:t>
            </w: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年  月  日</w:t>
            </w:r>
          </w:p>
        </w:tc>
      </w:tr>
    </w:tbl>
    <w:p w14:paraId="12257ADC">
      <w:pPr>
        <w:pageBreakBefore w:val="0"/>
        <w:kinsoku/>
        <w:wordWrap/>
        <w:overflowPunct/>
        <w:topLinePunct w:val="0"/>
        <w:bidi w:val="0"/>
        <w:textAlignment w:val="auto"/>
        <w:outlineLvl w:val="9"/>
        <w:rPr>
          <w:rFonts w:hint="eastAsia" w:ascii="宋体" w:hAnsi="宋体" w:eastAsia="宋体" w:cs="Times New Roman"/>
          <w:b/>
          <w:bCs/>
        </w:rPr>
      </w:pPr>
    </w:p>
    <w:p w14:paraId="6B9006EF">
      <w:pPr>
        <w:pageBreakBefore w:val="0"/>
        <w:widowControl/>
        <w:kinsoku/>
        <w:wordWrap/>
        <w:overflowPunct/>
        <w:topLinePunct w:val="0"/>
        <w:bidi w:val="0"/>
        <w:jc w:val="left"/>
        <w:textAlignment w:val="auto"/>
        <w:outlineLvl w:val="9"/>
        <w:rPr>
          <w:rFonts w:hint="eastAsia" w:ascii="宋体" w:hAnsi="宋体" w:eastAsia="宋体" w:cs="Times New Roman"/>
          <w:b/>
          <w:bCs/>
        </w:rPr>
      </w:pPr>
      <w:r>
        <w:rPr>
          <w:rFonts w:ascii="宋体" w:hAnsi="宋体" w:eastAsia="宋体" w:cs="Times New Roman"/>
          <w:b/>
          <w:bCs/>
        </w:rPr>
        <w:br w:type="page"/>
      </w:r>
    </w:p>
    <w:p w14:paraId="2C1D2A51">
      <w:pPr>
        <w:keepNext w:val="0"/>
        <w:keepLines w:val="0"/>
        <w:pageBreakBefore/>
        <w:widowControl w:val="0"/>
        <w:kinsoku/>
        <w:wordWrap w:val="0"/>
        <w:overflowPunct/>
        <w:topLinePunct w:val="0"/>
        <w:autoSpaceDE/>
        <w:autoSpaceDN/>
        <w:bidi w:val="0"/>
        <w:adjustRightInd w:val="0"/>
        <w:snapToGrid/>
        <w:spacing w:line="48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附件一：保险索赔、理赔处理程序预案</w:t>
      </w:r>
      <w:bookmarkEnd w:id="54"/>
    </w:p>
    <w:p w14:paraId="600CF077">
      <w:pPr>
        <w:pStyle w:val="69"/>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firstLine="482" w:firstLineChars="200"/>
        <w:textAlignment w:val="auto"/>
        <w:rPr>
          <w:rFonts w:ascii="宋体" w:hAnsi="宋体"/>
          <w:b/>
          <w:color w:val="auto"/>
          <w:sz w:val="24"/>
          <w:szCs w:val="24"/>
          <w:highlight w:val="none"/>
        </w:rPr>
      </w:pPr>
      <w:bookmarkStart w:id="55" w:name="_Toc324192726"/>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医疗纠纷案件处理流程</w:t>
      </w:r>
    </w:p>
    <w:p w14:paraId="0223FBE5">
      <w:pPr>
        <w:pStyle w:val="69"/>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textAlignment w:val="auto"/>
        <w:rPr>
          <w:rFonts w:hint="eastAsia" w:ascii="宋体" w:hAnsi="宋体"/>
          <w:b/>
          <w:color w:val="auto"/>
          <w:sz w:val="24"/>
          <w:szCs w:val="24"/>
          <w:highlight w:val="none"/>
        </w:rPr>
      </w:pPr>
      <w:r>
        <w:rPr>
          <w:rFonts w:hint="eastAsia" w:ascii="宋体" w:hAnsi="宋体" w:eastAsiaTheme="minorEastAsia" w:cstheme="minorBidi"/>
          <w:b/>
          <w:color w:val="auto"/>
          <w:kern w:val="2"/>
          <w:sz w:val="24"/>
          <w:szCs w:val="24"/>
          <w:lang w:val="en-US" w:eastAsia="zh-CN" w:bidi="ar-SA"/>
        </w:rPr>
        <w:t>1、</w:t>
      </w:r>
      <w:r>
        <w:rPr>
          <w:rFonts w:hint="eastAsia" w:ascii="宋体" w:hAnsi="宋体"/>
          <w:b/>
          <w:color w:val="auto"/>
          <w:sz w:val="24"/>
          <w:szCs w:val="24"/>
          <w:highlight w:val="none"/>
        </w:rPr>
        <w:t>调解案件处理流程图</w:t>
      </w:r>
    </w:p>
    <w:p w14:paraId="24F7EFE3">
      <w:pPr>
        <w:pStyle w:val="69"/>
        <w:numPr>
          <w:ilvl w:val="0"/>
          <w:numId w:val="0"/>
        </w:numPr>
        <w:spacing w:before="280" w:beforeLines="90" w:after="280" w:afterLines="90"/>
        <w:jc w:val="center"/>
        <w:rPr>
          <w:rFonts w:hint="eastAsia" w:ascii="宋体" w:hAnsi="宋体"/>
          <w:b/>
          <w:color w:val="auto"/>
          <w:sz w:val="24"/>
          <w:szCs w:val="24"/>
          <w:highlight w:val="none"/>
        </w:rPr>
      </w:pPr>
    </w:p>
    <w:p w14:paraId="5843C193">
      <w:pPr>
        <w:pStyle w:val="69"/>
        <w:numPr>
          <w:ilvl w:val="0"/>
          <w:numId w:val="0"/>
        </w:numPr>
        <w:spacing w:before="280" w:beforeLines="90" w:after="280" w:afterLines="90"/>
        <w:jc w:val="center"/>
        <w:rPr>
          <w:rFonts w:hint="eastAsia" w:ascii="宋体" w:hAnsi="宋体"/>
          <w:b/>
          <w:color w:val="auto"/>
          <w:sz w:val="24"/>
          <w:szCs w:val="24"/>
          <w:highlight w:val="none"/>
        </w:rPr>
      </w:pPr>
      <w:r>
        <w:rPr>
          <w:sz w:val="32"/>
        </w:rPr>
        <mc:AlternateContent>
          <mc:Choice Requires="wpg">
            <w:drawing>
              <wp:inline distT="0" distB="0" distL="114300" distR="114300">
                <wp:extent cx="5011420" cy="6184900"/>
                <wp:effectExtent l="15875" t="6350" r="20955" b="19050"/>
                <wp:docPr id="200" name="组合 200"/>
                <wp:cNvGraphicFramePr/>
                <a:graphic xmlns:a="http://schemas.openxmlformats.org/drawingml/2006/main">
                  <a:graphicData uri="http://schemas.microsoft.com/office/word/2010/wordprocessingGroup">
                    <wpg:wgp>
                      <wpg:cNvGrpSpPr/>
                      <wpg:grpSpPr>
                        <a:xfrm>
                          <a:off x="0" y="0"/>
                          <a:ext cx="5011420" cy="6184900"/>
                          <a:chOff x="7252" y="106717"/>
                          <a:chExt cx="7892" cy="9740"/>
                        </a:xfrm>
                      </wpg:grpSpPr>
                      <wpg:grpSp>
                        <wpg:cNvPr id="198" name="组合 198"/>
                        <wpg:cNvGrpSpPr/>
                        <wpg:grpSpPr>
                          <a:xfrm>
                            <a:off x="7252" y="106717"/>
                            <a:ext cx="7892" cy="9740"/>
                            <a:chOff x="7252" y="106717"/>
                            <a:chExt cx="7892" cy="9740"/>
                          </a:xfrm>
                        </wpg:grpSpPr>
                        <wpg:grpSp>
                          <wpg:cNvPr id="196" name="组合 196"/>
                          <wpg:cNvGrpSpPr/>
                          <wpg:grpSpPr>
                            <a:xfrm>
                              <a:off x="7252" y="106717"/>
                              <a:ext cx="7892" cy="9740"/>
                              <a:chOff x="7364" y="106392"/>
                              <a:chExt cx="7892" cy="9740"/>
                            </a:xfrm>
                          </wpg:grpSpPr>
                          <wpg:grpSp>
                            <wpg:cNvPr id="194" name="组合 194"/>
                            <wpg:cNvGrpSpPr/>
                            <wpg:grpSpPr>
                              <a:xfrm>
                                <a:off x="7364" y="106392"/>
                                <a:ext cx="7892" cy="9740"/>
                                <a:chOff x="4395" y="106749"/>
                                <a:chExt cx="7892" cy="9740"/>
                              </a:xfrm>
                            </wpg:grpSpPr>
                            <wpg:grpSp>
                              <wpg:cNvPr id="186" name="组合 186"/>
                              <wpg:cNvGrpSpPr/>
                              <wpg:grpSpPr>
                                <a:xfrm>
                                  <a:off x="4395" y="106749"/>
                                  <a:ext cx="7892" cy="9740"/>
                                  <a:chOff x="3562" y="106974"/>
                                  <a:chExt cx="7892" cy="9740"/>
                                </a:xfrm>
                              </wpg:grpSpPr>
                              <wpg:grpSp>
                                <wpg:cNvPr id="147" name="组合 147"/>
                                <wpg:cNvGrpSpPr/>
                                <wpg:grpSpPr>
                                  <a:xfrm>
                                    <a:off x="3562" y="106974"/>
                                    <a:ext cx="7892" cy="9740"/>
                                    <a:chOff x="6272" y="106381"/>
                                    <a:chExt cx="7892" cy="9740"/>
                                  </a:xfrm>
                                </wpg:grpSpPr>
                                <wpg:grpSp>
                                  <wpg:cNvPr id="151" name="组合 34"/>
                                  <wpg:cNvGrpSpPr/>
                                  <wpg:grpSpPr>
                                    <a:xfrm>
                                      <a:off x="6272" y="106381"/>
                                      <a:ext cx="7892" cy="9740"/>
                                      <a:chOff x="-287" y="-555"/>
                                      <a:chExt cx="7892" cy="9740"/>
                                    </a:xfrm>
                                    <a:effectLst/>
                                  </wpg:grpSpPr>
                                  <wps:wsp>
                                    <wps:cNvPr id="153" name="AutoShape 3"/>
                                    <wps:cNvCnPr>
                                      <a:stCxn id="167" idx="2"/>
                                      <a:endCxn id="180" idx="0"/>
                                    </wps:cNvCnPr>
                                    <wps:spPr>
                                      <a:xfrm rot="5400000" flipV="1">
                                        <a:off x="3643" y="6331"/>
                                        <a:ext cx="416" cy="3"/>
                                      </a:xfrm>
                                      <a:prstGeom prst="bentConnector3">
                                        <a:avLst>
                                          <a:gd name="adj1" fmla="val 49880"/>
                                        </a:avLst>
                                      </a:prstGeom>
                                      <a:ln w="15875" cap="flat" cmpd="sng">
                                        <a:solidFill>
                                          <a:srgbClr val="000000"/>
                                        </a:solidFill>
                                        <a:prstDash val="solid"/>
                                        <a:miter/>
                                        <a:headEnd type="none" w="med" len="med"/>
                                        <a:tailEnd type="triangle" w="med" len="med"/>
                                      </a:ln>
                                      <a:effectLst/>
                                    </wps:spPr>
                                    <wps:bodyPr lIns="46800" tIns="46800" rIns="46800" bIns="46800" anchor="ctr" anchorCtr="0" upright="1"/>
                                  </wps:wsp>
                                  <wpg:grpSp>
                                    <wpg:cNvPr id="154" name="Group 5"/>
                                    <wpg:cNvGrpSpPr/>
                                    <wpg:grpSpPr>
                                      <a:xfrm rot="0">
                                        <a:off x="-287" y="-555"/>
                                        <a:ext cx="7892" cy="9740"/>
                                        <a:chOff x="-287" y="-555"/>
                                        <a:chExt cx="7892" cy="9740"/>
                                      </a:xfrm>
                                      <a:effectLst/>
                                    </wpg:grpSpPr>
                                    <wpg:grpSp>
                                      <wpg:cNvPr id="155" name="Group 6"/>
                                      <wpg:cNvGrpSpPr/>
                                      <wpg:grpSpPr>
                                        <a:xfrm>
                                          <a:off x="-174" y="-555"/>
                                          <a:ext cx="7599" cy="6679"/>
                                          <a:chOff x="-189" y="-555"/>
                                          <a:chExt cx="7599" cy="6679"/>
                                        </a:xfrm>
                                        <a:effectLst/>
                                      </wpg:grpSpPr>
                                      <wps:wsp>
                                        <wps:cNvPr id="156" name="AutoShape 7"/>
                                        <wps:cNvSpPr/>
                                        <wps:spPr>
                                          <a:xfrm>
                                            <a:off x="4167" y="-555"/>
                                            <a:ext cx="3243" cy="105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14:paraId="5BE81F56">
                                              <w:pPr>
                                                <w:keepNext w:val="0"/>
                                                <w:keepLines w:val="0"/>
                                                <w:pageBreakBefore w:val="0"/>
                                                <w:widowControl w:val="0"/>
                                                <w:kinsoku/>
                                                <w:wordWrap w:val="0"/>
                                                <w:overflowPunct/>
                                                <w:topLinePunct w:val="0"/>
                                                <w:autoSpaceDE/>
                                                <w:autoSpaceDN/>
                                                <w:bidi w:val="0"/>
                                                <w:adjustRightInd/>
                                                <w:snapToGrid/>
                                                <w:textAlignment w:val="auto"/>
                                                <w:rPr>
                                                  <w:b/>
                                                </w:rPr>
                                              </w:pPr>
                                              <w:r>
                                                <w:rPr>
                                                  <w:rFonts w:hint="eastAsia"/>
                                                  <w:b/>
                                                </w:rPr>
                                                <w:t>报案内容：就诊时间、事件发生时间、大致诊疗过程、患者最终状态、投诉事件、患者诉求等</w:t>
                                              </w:r>
                                            </w:p>
                                          </w:txbxContent>
                                        </wps:txbx>
                                        <wps:bodyPr vert="horz" lIns="46800" tIns="46800" rIns="46800" bIns="46800" anchor="ctr" anchorCtr="0" upright="1"/>
                                      </wps:wsp>
                                      <wpg:grpSp>
                                        <wpg:cNvPr id="157" name="Group 8"/>
                                        <wpg:cNvGrpSpPr/>
                                        <wpg:grpSpPr>
                                          <a:xfrm>
                                            <a:off x="-189" y="167"/>
                                            <a:ext cx="5405" cy="5957"/>
                                            <a:chOff x="-189" y="0"/>
                                            <a:chExt cx="5405" cy="5957"/>
                                          </a:xfrm>
                                          <a:effectLst/>
                                        </wpg:grpSpPr>
                                        <wps:wsp>
                                          <wps:cNvPr id="158" name="AutoShape 9"/>
                                          <wps:cNvSpPr/>
                                          <wps:spPr>
                                            <a:xfrm>
                                              <a:off x="1860" y="0"/>
                                              <a:ext cx="1417"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1CEC08B0">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纠纷报案</w:t>
                                                </w:r>
                                              </w:p>
                                            </w:txbxContent>
                                          </wps:txbx>
                                          <wps:bodyPr vert="horz" lIns="46800" tIns="46800" rIns="46800" bIns="46800" anchor="ctr" anchorCtr="0" upright="1"/>
                                        </wps:wsp>
                                        <wps:wsp>
                                          <wps:cNvPr id="159" name="AutoShape 10"/>
                                          <wps:cNvSpPr/>
                                          <wps:spPr>
                                            <a:xfrm>
                                              <a:off x="587" y="2726"/>
                                              <a:ext cx="3969" cy="1477"/>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14:paraId="67BDC63D">
                                                <w:pPr>
                                                  <w:rPr>
                                                    <w:b/>
                                                  </w:rPr>
                                                </w:pPr>
                                                <w:r>
                                                  <w:rPr>
                                                    <w:rFonts w:hint="eastAsia"/>
                                                    <w:b/>
                                                  </w:rPr>
                                                  <w:t>专家分析：是否存在过错及过错类型？</w:t>
                                                </w:r>
                                              </w:p>
                                              <w:p w14:paraId="3BDAF3BE">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是否违反诊疗常规？</w:t>
                                                </w:r>
                                              </w:p>
                                              <w:p w14:paraId="5D766B4E">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损害金额？</w:t>
                                                </w:r>
                                              </w:p>
                                              <w:p w14:paraId="4EEC6052">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处理建议？</w:t>
                                                </w:r>
                                              </w:p>
                                            </w:txbxContent>
                                          </wps:txbx>
                                          <wps:bodyPr vert="horz" lIns="46800" tIns="46800" rIns="46800" bIns="46800" anchor="ctr" anchorCtr="0" upright="1"/>
                                        </wps:wsp>
                                        <wps:wsp>
                                          <wps:cNvPr id="160" name="AutoShape 11"/>
                                          <wps:cNvSpPr/>
                                          <wps:spPr>
                                            <a:xfrm>
                                              <a:off x="-12" y="1026"/>
                                              <a:ext cx="1922" cy="515"/>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1039EBC4">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广东和谐医调委</w:t>
                                                </w:r>
                                              </w:p>
                                            </w:txbxContent>
                                          </wps:txbx>
                                          <wps:bodyPr vert="horz" lIns="46800" tIns="46800" rIns="46800" bIns="46800" anchor="ctr" anchorCtr="0" upright="1"/>
                                        </wps:wsp>
                                        <wps:wsp>
                                          <wps:cNvPr id="161" name="AutoShape 12"/>
                                          <wps:cNvSpPr/>
                                          <wps:spPr>
                                            <a:xfrm>
                                              <a:off x="3194" y="1016"/>
                                              <a:ext cx="2022"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2919F49D">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保险经纪公司</w:t>
                                                </w:r>
                                              </w:p>
                                            </w:txbxContent>
                                          </wps:txbx>
                                          <wps:bodyPr vert="horz" lIns="46800" tIns="46800" rIns="46800" bIns="46800" anchor="ctr" anchorCtr="0" upright="1"/>
                                        </wps:wsp>
                                        <wps:wsp>
                                          <wps:cNvPr id="162" name="AutoShape 13"/>
                                          <wps:cNvCnPr>
                                            <a:stCxn id="158" idx="2"/>
                                            <a:endCxn id="160" idx="0"/>
                                          </wps:cNvCnPr>
                                          <wps:spPr>
                                            <a:xfrm rot="5400000">
                                              <a:off x="1496" y="-47"/>
                                              <a:ext cx="527" cy="1620"/>
                                            </a:xfrm>
                                            <a:prstGeom prst="bentConnector3">
                                              <a:avLst>
                                                <a:gd name="adj1" fmla="val 50000"/>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63" name="AutoShape 14"/>
                                          <wps:cNvCnPr>
                                            <a:stCxn id="158" idx="2"/>
                                            <a:endCxn id="161" idx="0"/>
                                          </wps:cNvCnPr>
                                          <wps:spPr>
                                            <a:xfrm rot="5400000" flipV="1">
                                              <a:off x="3127" y="-63"/>
                                              <a:ext cx="517" cy="1641"/>
                                            </a:xfrm>
                                            <a:prstGeom prst="bentConnector3">
                                              <a:avLst>
                                                <a:gd name="adj1" fmla="val 50000"/>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65" name="AutoShape 16"/>
                                          <wps:cNvCnPr>
                                            <a:stCxn id="160" idx="2"/>
                                            <a:endCxn id="166" idx="1"/>
                                          </wps:cNvCnPr>
                                          <wps:spPr>
                                            <a:xfrm rot="5400000" flipV="1">
                                              <a:off x="1146" y="1345"/>
                                              <a:ext cx="517" cy="910"/>
                                            </a:xfrm>
                                            <a:prstGeom prst="bentConnector2">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66" name="AutoShape 17"/>
                                          <wps:cNvSpPr/>
                                          <wps:spPr>
                                            <a:xfrm>
                                              <a:off x="1859" y="1808"/>
                                              <a:ext cx="1417"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7DA1293C">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调查取证</w:t>
                                                </w:r>
                                              </w:p>
                                            </w:txbxContent>
                                          </wps:txbx>
                                          <wps:bodyPr vert="horz" lIns="46800" tIns="46800" rIns="46800" bIns="46800" anchor="ctr" anchorCtr="0" upright="1"/>
                                        </wps:wsp>
                                        <wps:wsp>
                                          <wps:cNvPr id="167" name="AutoShape 18"/>
                                          <wps:cNvSpPr/>
                                          <wps:spPr>
                                            <a:xfrm>
                                              <a:off x="2927" y="5447"/>
                                              <a:ext cx="1814"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4B8DB64B">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医患双方不同意</w:t>
                                                </w:r>
                                              </w:p>
                                            </w:txbxContent>
                                          </wps:txbx>
                                          <wps:bodyPr vert="horz" lIns="46800" tIns="46800" rIns="46800" bIns="46800" anchor="ctr" anchorCtr="0" upright="1"/>
                                        </wps:wsp>
                                        <wps:wsp>
                                          <wps:cNvPr id="168" name="AutoShape 19"/>
                                          <wps:cNvSpPr/>
                                          <wps:spPr>
                                            <a:xfrm>
                                              <a:off x="-189" y="5445"/>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43CC8379">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医患双方同意</w:t>
                                                </w:r>
                                              </w:p>
                                            </w:txbxContent>
                                          </wps:txbx>
                                          <wps:bodyPr vert="horz" lIns="46800" tIns="46800" rIns="46800" bIns="46800" anchor="ctr" anchorCtr="0" upright="1"/>
                                        </wps:wsp>
                                        <wps:wsp>
                                          <wps:cNvPr id="169" name="AutoShape 20"/>
                                          <wps:cNvCnPr>
                                            <a:stCxn id="171" idx="1"/>
                                            <a:endCxn id="168" idx="0"/>
                                          </wps:cNvCnPr>
                                          <wps:spPr>
                                            <a:xfrm rot="10800000" flipV="1">
                                              <a:off x="662" y="4945"/>
                                              <a:ext cx="1057" cy="500"/>
                                            </a:xfrm>
                                            <a:prstGeom prst="bentConnector2">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70" name="AutoShape 21"/>
                                          <wps:cNvCnPr>
                                            <a:stCxn id="171" idx="3"/>
                                            <a:endCxn id="167" idx="0"/>
                                          </wps:cNvCnPr>
                                          <wps:spPr>
                                            <a:xfrm>
                                              <a:off x="3420" y="4938"/>
                                              <a:ext cx="414" cy="509"/>
                                            </a:xfrm>
                                            <a:prstGeom prst="bentConnector2">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71" name="AutoShape 22"/>
                                          <wps:cNvSpPr/>
                                          <wps:spPr>
                                            <a:xfrm>
                                              <a:off x="1719" y="4683"/>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72CA5574">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进入调解程序</w:t>
                                                </w:r>
                                              </w:p>
                                            </w:txbxContent>
                                          </wps:txbx>
                                          <wps:bodyPr vert="horz" lIns="46800" tIns="46800" rIns="46800" bIns="46800" anchor="ctr" anchorCtr="0" upright="1"/>
                                        </wps:wsp>
                                      </wpg:grpSp>
                                    </wpg:grpSp>
                                    <wps:wsp>
                                      <wps:cNvPr id="172" name="AutoShape 23"/>
                                      <wps:cNvSpPr/>
                                      <wps:spPr>
                                        <a:xfrm>
                                          <a:off x="-175" y="8675"/>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58E48BC0">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支付给患方</w:t>
                                            </w:r>
                                          </w:p>
                                        </w:txbxContent>
                                      </wps:txbx>
                                      <wps:bodyPr vert="horz" lIns="46800" tIns="46800" rIns="46800" bIns="46800" anchor="ctr" anchorCtr="0" upright="1"/>
                                    </wps:wsp>
                                    <wps:wsp>
                                      <wps:cNvPr id="173" name="AutoShape 24"/>
                                      <wps:cNvSpPr/>
                                      <wps:spPr>
                                        <a:xfrm>
                                          <a:off x="2519" y="8675"/>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3161E757">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或支付给医院</w:t>
                                            </w:r>
                                          </w:p>
                                        </w:txbxContent>
                                      </wps:txbx>
                                      <wps:bodyPr vert="horz" lIns="46800" tIns="46800" rIns="46800" bIns="46800" anchor="ctr" anchorCtr="0" upright="1"/>
                                    </wps:wsp>
                                    <wps:wsp>
                                      <wps:cNvPr id="174" name="AutoShape 25"/>
                                      <wps:cNvSpPr/>
                                      <wps:spPr>
                                        <a:xfrm>
                                          <a:off x="5621" y="5614"/>
                                          <a:ext cx="1984"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0B078CA8">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引导走诉讼</w:t>
                                            </w:r>
                                          </w:p>
                                        </w:txbxContent>
                                      </wps:txbx>
                                      <wps:bodyPr vert="horz" lIns="46800" tIns="46800" rIns="46800" bIns="46800" anchor="ctr" anchorCtr="0" upright="1"/>
                                    </wps:wsp>
                                    <wps:wsp>
                                      <wps:cNvPr id="175" name="AutoShape 26"/>
                                      <wps:cNvSpPr/>
                                      <wps:spPr>
                                        <a:xfrm>
                                          <a:off x="2885" y="7641"/>
                                          <a:ext cx="1928"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098AEF35">
                                            <w:pPr>
                                              <w:ind w:firstLine="105" w:firstLineChars="50"/>
                                              <w:jc w:val="center"/>
                                            </w:pPr>
                                            <w:r>
                                              <w:rPr>
                                                <w:rFonts w:hint="eastAsia"/>
                                              </w:rPr>
                                              <w:t>再进入调解程序</w:t>
                                            </w:r>
                                          </w:p>
                                        </w:txbxContent>
                                      </wps:txbx>
                                      <wps:bodyPr vert="horz" lIns="46800" tIns="46800" rIns="46800" bIns="46800" anchor="ctr" anchorCtr="0" upright="1"/>
                                    </wps:wsp>
                                    <wps:wsp>
                                      <wps:cNvPr id="176" name="AutoShape 27"/>
                                      <wps:cNvSpPr/>
                                      <wps:spPr>
                                        <a:xfrm>
                                          <a:off x="5619" y="7643"/>
                                          <a:ext cx="1984"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16C41A80">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医患双方不同意</w:t>
                                            </w:r>
                                          </w:p>
                                        </w:txbxContent>
                                      </wps:txbx>
                                      <wps:bodyPr vert="horz" lIns="46800" tIns="46800" rIns="46800" bIns="46800" anchor="ctr" anchorCtr="0" upright="1"/>
                                    </wps:wsp>
                                    <wps:wsp>
                                      <wps:cNvPr id="177" name="AutoShape 28"/>
                                      <wps:cNvSpPr/>
                                      <wps:spPr>
                                        <a:xfrm>
                                          <a:off x="-176" y="7635"/>
                                          <a:ext cx="1701" cy="51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14:paraId="1C4F8621">
                                            <w:pPr>
                                              <w:ind w:firstLine="105" w:firstLineChars="50"/>
                                              <w:jc w:val="center"/>
                                              <w:rPr>
                                                <w:b/>
                                              </w:rPr>
                                            </w:pPr>
                                            <w:r>
                                              <w:rPr>
                                                <w:rFonts w:hint="eastAsia"/>
                                                <w:b/>
                                              </w:rPr>
                                              <w:t>认定保险责任</w:t>
                                            </w:r>
                                          </w:p>
                                        </w:txbxContent>
                                      </wps:txbx>
                                      <wps:bodyPr vert="horz" lIns="46800" tIns="46800" rIns="46800" bIns="46800" anchor="ctr" anchorCtr="0" upright="1"/>
                                    </wps:wsp>
                                    <wps:wsp>
                                      <wps:cNvPr id="178" name="AutoShape 29"/>
                                      <wps:cNvCnPr>
                                        <a:stCxn id="168" idx="2"/>
                                        <a:endCxn id="179" idx="0"/>
                                      </wps:cNvCnPr>
                                      <wps:spPr>
                                        <a:xfrm rot="5400000">
                                          <a:off x="439" y="6351"/>
                                          <a:ext cx="476" cy="1"/>
                                        </a:xfrm>
                                        <a:prstGeom prst="bentConnector3">
                                          <a:avLst>
                                            <a:gd name="adj1" fmla="val 49895"/>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79" name="AutoShape 30"/>
                                      <wps:cNvSpPr/>
                                      <wps:spPr>
                                        <a:xfrm>
                                          <a:off x="-287" y="6589"/>
                                          <a:ext cx="1926"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0BA2E87B">
                                            <w:pPr>
                                              <w:jc w:val="center"/>
                                            </w:pPr>
                                            <w:r>
                                              <w:rPr>
                                                <w:rFonts w:hint="eastAsia"/>
                                              </w:rPr>
                                              <w:t>提交保险人索赔</w:t>
                                            </w:r>
                                          </w:p>
                                        </w:txbxContent>
                                      </wps:txbx>
                                      <wps:bodyPr vert="horz" lIns="46800" tIns="46800" rIns="46800" bIns="46800" anchor="ctr" anchorCtr="0" upright="1"/>
                                    </wps:wsp>
                                    <wps:wsp>
                                      <wps:cNvPr id="180" name="AutoShape 31"/>
                                      <wps:cNvSpPr/>
                                      <wps:spPr>
                                        <a:xfrm>
                                          <a:off x="3115" y="6540"/>
                                          <a:ext cx="1474" cy="51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14:paraId="0AF64369">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b/>
                                              </w:rPr>
                                            </w:pPr>
                                            <w:r>
                                              <w:rPr>
                                                <w:rFonts w:hint="eastAsia"/>
                                                <w:b/>
                                              </w:rPr>
                                              <w:t>引导鉴定</w:t>
                                            </w:r>
                                          </w:p>
                                        </w:txbxContent>
                                      </wps:txbx>
                                      <wps:bodyPr vert="horz" lIns="46800" tIns="46800" rIns="46800" bIns="46800" anchor="ctr" anchorCtr="0" upright="1"/>
                                    </wps:wsp>
                                    <wps:wsp>
                                      <wps:cNvPr id="181" name="AutoShape 32"/>
                                      <wps:cNvCnPr>
                                        <a:stCxn id="167" idx="3"/>
                                        <a:endCxn id="174" idx="1"/>
                                      </wps:cNvCnPr>
                                      <wps:spPr>
                                        <a:xfrm>
                                          <a:off x="4756" y="5869"/>
                                          <a:ext cx="865" cy="5"/>
                                        </a:xfrm>
                                        <a:prstGeom prst="bentConnector2">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82" name="AutoShape 34"/>
                                      <wps:cNvCnPr>
                                        <a:stCxn id="175" idx="3"/>
                                        <a:endCxn id="176" idx="1"/>
                                      </wps:cNvCnPr>
                                      <wps:spPr>
                                        <a:xfrm>
                                          <a:off x="4813" y="7896"/>
                                          <a:ext cx="806" cy="2"/>
                                        </a:xfrm>
                                        <a:prstGeom prst="bentConnector3">
                                          <a:avLst>
                                            <a:gd name="adj1" fmla="val 50000"/>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83" name="AutoShape 35"/>
                                      <wps:cNvCnPr>
                                        <a:stCxn id="175" idx="1"/>
                                        <a:endCxn id="168" idx="3"/>
                                      </wps:cNvCnPr>
                                      <wps:spPr>
                                        <a:xfrm rot="10800000">
                                          <a:off x="1527" y="5867"/>
                                          <a:ext cx="1358" cy="2029"/>
                                        </a:xfrm>
                                        <a:prstGeom prst="bentConnector3">
                                          <a:avLst>
                                            <a:gd name="adj1" fmla="val 50000"/>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s:wsp>
                                      <wps:cNvPr id="184" name="AutoShape 36"/>
                                      <wps:cNvCnPr>
                                        <a:stCxn id="177" idx="2"/>
                                        <a:endCxn id="173" idx="0"/>
                                      </wps:cNvCnPr>
                                      <wps:spPr>
                                        <a:xfrm rot="5400000" flipV="1">
                                          <a:off x="1758" y="7063"/>
                                          <a:ext cx="530" cy="2695"/>
                                        </a:xfrm>
                                        <a:prstGeom prst="bentConnector3">
                                          <a:avLst>
                                            <a:gd name="adj1" fmla="val 49906"/>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g:grpSp>
                                </wpg:grpSp>
                                <wps:wsp>
                                  <wps:cNvPr id="60" name="AutoShape 16"/>
                                  <wps:cNvCnPr>
                                    <a:stCxn id="166" idx="2"/>
                                    <a:endCxn id="159" idx="0"/>
                                  </wps:cNvCnPr>
                                  <wps:spPr>
                                    <a:xfrm rot="5400000" flipV="1">
                                      <a:off x="8935" y="109618"/>
                                      <a:ext cx="419" cy="4"/>
                                    </a:xfrm>
                                    <a:prstGeom prst="bentConnector3">
                                      <a:avLst>
                                        <a:gd name="adj1" fmla="val 50000"/>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g:grpSp>
                              <wps:wsp>
                                <wps:cNvPr id="116" name="AutoShape 3"/>
                                <wps:cNvCnPr>
                                  <a:stCxn id="180" idx="2"/>
                                  <a:endCxn id="175" idx="0"/>
                                </wps:cNvCnPr>
                                <wps:spPr>
                                  <a:xfrm rot="5400000">
                                    <a:off x="7404" y="114873"/>
                                    <a:ext cx="591" cy="3"/>
                                  </a:xfrm>
                                  <a:prstGeom prst="bentConnector3">
                                    <a:avLst>
                                      <a:gd name="adj1" fmla="val 50085"/>
                                    </a:avLst>
                                  </a:prstGeom>
                                  <a:ln w="15875" cap="flat" cmpd="sng">
                                    <a:solidFill>
                                      <a:srgbClr val="000000"/>
                                    </a:solidFill>
                                    <a:prstDash val="solid"/>
                                    <a:miter/>
                                    <a:headEnd type="none" w="med" len="med"/>
                                    <a:tailEnd type="triangle" w="med" len="med"/>
                                  </a:ln>
                                  <a:effectLst/>
                                </wps:spPr>
                                <wps:bodyPr lIns="46800" tIns="46800" rIns="46800" bIns="46800" anchor="ctr" anchorCtr="0" upright="1"/>
                              </wps:wsp>
                            </wpg:grpSp>
                            <wps:wsp>
                              <wps:cNvPr id="193" name="AutoShape 16"/>
                              <wps:cNvCnPr>
                                <a:stCxn id="159" idx="2"/>
                                <a:endCxn id="171" idx="0"/>
                              </wps:cNvCnPr>
                              <wps:spPr>
                                <a:xfrm rot="5400000">
                                  <a:off x="7028" y="111913"/>
                                  <a:ext cx="480" cy="2"/>
                                </a:xfrm>
                                <a:prstGeom prst="bentConnector3">
                                  <a:avLst>
                                    <a:gd name="adj1" fmla="val 50000"/>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g:grpSp>
                          <wps:wsp>
                            <wps:cNvPr id="195" name="AutoShape 34"/>
                            <wps:cNvCnPr>
                              <a:stCxn id="176" idx="0"/>
                              <a:endCxn id="174" idx="2"/>
                            </wps:cNvCnPr>
                            <wps:spPr>
                              <a:xfrm rot="16200000">
                                <a:off x="13504" y="113830"/>
                                <a:ext cx="1519" cy="2"/>
                              </a:xfrm>
                              <a:prstGeom prst="bentConnector3">
                                <a:avLst>
                                  <a:gd name="adj1" fmla="val 50000"/>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g:grpSp>
                        <wps:wsp>
                          <wps:cNvPr id="197" name="AutoShape 36"/>
                          <wps:cNvCnPr>
                            <a:stCxn id="177" idx="2"/>
                            <a:endCxn id="172" idx="0"/>
                          </wps:cNvCnPr>
                          <wps:spPr>
                            <a:xfrm rot="5400000" flipV="1">
                              <a:off x="7950" y="115682"/>
                              <a:ext cx="530" cy="1"/>
                            </a:xfrm>
                            <a:prstGeom prst="bentConnector3">
                              <a:avLst>
                                <a:gd name="adj1" fmla="val 49906"/>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g:grpSp>
                      <wps:wsp>
                        <wps:cNvPr id="199" name="AutoShape 36"/>
                        <wps:cNvCnPr>
                          <a:stCxn id="179" idx="2"/>
                          <a:endCxn id="177" idx="0"/>
                        </wps:cNvCnPr>
                        <wps:spPr>
                          <a:xfrm rot="5400000">
                            <a:off x="7947" y="114639"/>
                            <a:ext cx="536" cy="1"/>
                          </a:xfrm>
                          <a:prstGeom prst="bentConnector3">
                            <a:avLst>
                              <a:gd name="adj1" fmla="val 49907"/>
                            </a:avLst>
                          </a:prstGeom>
                          <a:ln w="9525" cap="flat" cmpd="sng">
                            <a:solidFill>
                              <a:srgbClr val="000000"/>
                            </a:solidFill>
                            <a:prstDash val="solid"/>
                            <a:miter/>
                            <a:headEnd type="none" w="med" len="med"/>
                            <a:tailEnd type="triangle" w="med" len="med"/>
                          </a:ln>
                          <a:effectLst/>
                        </wps:spPr>
                        <wps:bodyPr lIns="46800" tIns="46800" rIns="46800" bIns="46800" anchor="ctr" anchorCtr="0" upright="1"/>
                      </wps:wsp>
                    </wpg:wgp>
                  </a:graphicData>
                </a:graphic>
              </wp:inline>
            </w:drawing>
          </mc:Choice>
          <mc:Fallback>
            <w:pict>
              <v:group id="_x0000_s1026" o:spid="_x0000_s1026" o:spt="203" style="height:487pt;width:394.6pt;" coordorigin="7252,106717" coordsize="7892,9740" o:gfxdata="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">
                <o:lock v:ext="edit" aspectratio="f"/>
                <v:group id="_x0000_s1026" o:spid="_x0000_s1026" o:spt="203" style="position:absolute;left:7252;top:106717;height:9740;width:7892;" coordorigin="7252,106717" coordsize="7892,9740"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7252;top:106717;height:9740;width:7892;" coordorigin="7364,106392" coordsize="7892,9740"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7364;top:106392;height:9740;width:7892;" coordorigin="4395,106749" coordsize="7892,9740"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395;top:106749;height:9740;width:7892;" coordorigin="3562,106974" coordsize="7892,9740"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562;top:106974;height:9740;width:7892;" coordorigin="6272,106381" coordsize="7892,9740"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group id="组合 34" o:spid="_x0000_s1026" o:spt="203" style="position:absolute;left:6272;top:106381;height:9740;width:7892;" coordorigin="-287,-555" coordsize="7892,9740"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AutoShape 3" o:spid="_x0000_s1026" o:spt="34" type="#_x0000_t34" style="position:absolute;left:3643;top:6331;flip:y;height:3;width:416;rotation:-5898240f;" filled="f" stroked="t" coordsize="21600,21600" o:gfxdata="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BmmLsAAADc&#10;AAAADwAAAAAAAAABACAAAAAiAAAAZHJzL2Rvd25yZXYueG1sUEsBAhQAFAAAAAgAh07iQDMvBZ47&#10;AAAAOQAAABAAAAAAAAAAAQAgAAAACgEAAGRycy9zaGFwZXhtbC54bWxQSwUGAAAAAAYABgBbAQAA&#10;tAMAAAAA&#10;" adj="10774">
                              <v:fill on="f" focussize="0,0"/>
                              <v:stroke weight="1.25pt" color="#000000" joinstyle="miter" endarrow="block"/>
                              <v:imagedata o:title=""/>
                              <o:lock v:ext="edit" aspectratio="f"/>
                            </v:shape>
                            <v:group id="Group 5" o:spid="_x0000_s1026" o:spt="203" style="position:absolute;left:-287;top:-555;height:9740;width:7892;" coordorigin="-287,-555" coordsize="7892,9740" o:gfxdata="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RK0z70AAADcAAAADwAAAAAAAAABACAAAAAiAAAAZHJzL2Rvd25yZXYueG1s&#10;UEsBAhQAFAAAAAgAh07iQDMvBZ47AAAAOQAAABUAAAAAAAAAAQAgAAAADAEAAGRycy9ncm91cHNo&#10;YXBleG1sLnhtbFBLBQYAAAAABgAGAGABAADJAwAAAAA=&#10;">
                              <o:lock v:ext="edit" aspectratio="f"/>
                              <v:group id="Group 6" o:spid="_x0000_s1026" o:spt="203" style="position:absolute;left:-174;top:-555;height:6679;width:7599;" coordorigin="-189,-555" coordsize="7599,6679"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AutoShape 7" o:spid="_x0000_s1026" o:spt="109" type="#_x0000_t109" style="position:absolute;left:4167;top:-555;height:1050;width:3243;v-text-anchor:middle;" fillcolor="#FFFFFF" filled="t" stroked="t" coordsize="21600,21600" o:gfxdata="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Oi+y8AAAA&#10;3AAAAA8AAAAAAAAAAQAgAAAAIgAAAGRycy9kb3ducmV2LnhtbFBLAQIUABQAAAAIAIdO4kAzLwWe&#10;OwAAADkAAAAQAAAAAAAAAAEAIAAAAAsBAABkcnMvc2hhcGV4bWwueG1sUEsFBgAAAAAGAAYAWwEA&#10;ALUDAAAAAA==&#10;">
                                  <v:fill on="t" focussize="0,0"/>
                                  <v:stroke weight="1pt" color="#000000" joinstyle="miter" dashstyle="dash"/>
                                  <v:imagedata o:title=""/>
                                  <o:lock v:ext="edit" aspectratio="f"/>
                                  <v:textbox inset="1.3mm,1.3mm,1.3mm,1.3mm">
                                    <w:txbxContent>
                                      <w:p w14:paraId="5BE81F56">
                                        <w:pPr>
                                          <w:keepNext w:val="0"/>
                                          <w:keepLines w:val="0"/>
                                          <w:pageBreakBefore w:val="0"/>
                                          <w:widowControl w:val="0"/>
                                          <w:kinsoku/>
                                          <w:wordWrap w:val="0"/>
                                          <w:overflowPunct/>
                                          <w:topLinePunct w:val="0"/>
                                          <w:autoSpaceDE/>
                                          <w:autoSpaceDN/>
                                          <w:bidi w:val="0"/>
                                          <w:adjustRightInd/>
                                          <w:snapToGrid/>
                                          <w:textAlignment w:val="auto"/>
                                          <w:rPr>
                                            <w:b/>
                                          </w:rPr>
                                        </w:pPr>
                                        <w:r>
                                          <w:rPr>
                                            <w:rFonts w:hint="eastAsia"/>
                                            <w:b/>
                                          </w:rPr>
                                          <w:t>报案内容：就诊时间、事件发生时间、大致诊疗过程、患者最终状态、投诉事件、患者诉求等</w:t>
                                        </w:r>
                                      </w:p>
                                    </w:txbxContent>
                                  </v:textbox>
                                </v:shape>
                                <v:group id="Group 8" o:spid="_x0000_s1026" o:spt="203" style="position:absolute;left:-189;top:167;height:5957;width:5405;" coordorigin="-189,0" coordsize="5405,5957"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shape id="AutoShape 9" o:spid="_x0000_s1026" o:spt="109" type="#_x0000_t109" style="position:absolute;left:1860;top:0;height:499;width:1417;v-text-anchor:middle;" fillcolor="#FFFFFF" filled="t" stroked="t" coordsize="21600,21600" o:gfxdata="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Nrpu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1CEC08B0">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纠纷报案</w:t>
                                          </w:r>
                                        </w:p>
                                      </w:txbxContent>
                                    </v:textbox>
                                  </v:shape>
                                  <v:shape id="AutoShape 10" o:spid="_x0000_s1026" o:spt="109" type="#_x0000_t109" style="position:absolute;left:587;top:2726;height:1477;width:3969;v-text-anchor:middle;" fillcolor="#FFFFFF" filled="t" stroked="t" coordsize="21600,21600" o:gfxdata="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Efnr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inset="1.3mm,1.3mm,1.3mm,1.3mm">
                                      <w:txbxContent>
                                        <w:p w14:paraId="67BDC63D">
                                          <w:pPr>
                                            <w:rPr>
                                              <w:b/>
                                            </w:rPr>
                                          </w:pPr>
                                          <w:r>
                                            <w:rPr>
                                              <w:rFonts w:hint="eastAsia"/>
                                              <w:b/>
                                            </w:rPr>
                                            <w:t>专家分析：是否存在过错及过错类型？</w:t>
                                          </w:r>
                                        </w:p>
                                        <w:p w14:paraId="3BDAF3BE">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是否违反诊疗常规？</w:t>
                                          </w:r>
                                        </w:p>
                                        <w:p w14:paraId="5D766B4E">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损害金额？</w:t>
                                          </w:r>
                                        </w:p>
                                        <w:p w14:paraId="4EEC6052">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处理建议？</w:t>
                                          </w:r>
                                        </w:p>
                                      </w:txbxContent>
                                    </v:textbox>
                                  </v:shape>
                                  <v:shape id="AutoShape 11" o:spid="_x0000_s1026" o:spt="109" type="#_x0000_t109" style="position:absolute;left:-12;top:1026;height:515;width:1922;v-text-anchor:middle;" fillcolor="#FFFFFF" filled="t" stroked="t" coordsize="21600,21600" o:gfxdata="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HzV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1039EBC4">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广东和谐医调委</w:t>
                                          </w:r>
                                        </w:p>
                                      </w:txbxContent>
                                    </v:textbox>
                                  </v:shape>
                                  <v:shape id="AutoShape 12" o:spid="_x0000_s1026" o:spt="109" type="#_x0000_t109" style="position:absolute;left:3194;top:1016;height:499;width:2022;v-text-anchor:middle;" fillcolor="#FFFFFF" filled="t" stroked="t" coordsize="21600,21600" o:gfxdata="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DZTr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inset="1.3mm,1.3mm,1.3mm,1.3mm">
                                      <w:txbxContent>
                                        <w:p w14:paraId="2919F49D">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保险经纪公司</w:t>
                                          </w:r>
                                        </w:p>
                                      </w:txbxContent>
                                    </v:textbox>
                                  </v:shape>
                                  <v:shape id="AutoShape 13" o:spid="_x0000_s1026" o:spt="34" type="#_x0000_t34" style="position:absolute;left:1496;top:-47;height:1620;width:527;rotation:5898240f;" filled="f" stroked="t" coordsize="21600,21600" o:gfxdata="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ukFugAAANwA&#10;AAAPAAAAAAAAAAEAIAAAACIAAABkcnMvZG93bnJldi54bWxQSwECFAAUAAAACACHTuJAMy8FnjsA&#10;AAA5AAAAEAAAAAAAAAABACAAAAAJAQAAZHJzL3NoYXBleG1sLnhtbFBLBQYAAAAABgAGAFsBAACz&#10;AwAAAAA=&#10;" adj="10800">
                                    <v:fill on="f" focussize="0,0"/>
                                    <v:stroke color="#000000" joinstyle="miter" endarrow="block"/>
                                    <v:imagedata o:title=""/>
                                    <o:lock v:ext="edit" aspectratio="f"/>
                                  </v:shape>
                                  <v:shape id="AutoShape 14" o:spid="_x0000_s1026" o:spt="34" type="#_x0000_t34" style="position:absolute;left:3127;top:-63;flip:y;height:1641;width:517;rotation:-5898240f;" filled="f" stroked="t" coordsize="21600,21600" o:gfxdata="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GuB68AAAA&#10;3AAAAA8AAAAAAAAAAQAgAAAAIgAAAGRycy9kb3ducmV2LnhtbFBLAQIUABQAAAAIAIdO4kAzLwWe&#10;OwAAADkAAAAQAAAAAAAAAAEAIAAAAAsBAABkcnMvc2hhcGV4bWwueG1sUEsFBgAAAAAGAAYAWwEA&#10;ALUDAAAAAA==&#10;" adj="10800">
                                    <v:fill on="f" focussize="0,0"/>
                                    <v:stroke color="#000000" joinstyle="miter" endarrow="block"/>
                                    <v:imagedata o:title=""/>
                                    <o:lock v:ext="edit" aspectratio="f"/>
                                  </v:shape>
                                  <v:shape id="AutoShape 16" o:spid="_x0000_s1026" o:spt="33" type="#_x0000_t33" style="position:absolute;left:1146;top:1345;flip:y;height:910;width:517;rotation:-5898240f;" filled="f" stroked="t" coordsize="21600,21600" o:gfxdata="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itXa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shape id="AutoShape 17" o:spid="_x0000_s1026" o:spt="109" type="#_x0000_t109" style="position:absolute;left:1859;top:1808;height:499;width:1417;v-text-anchor:middle;" fillcolor="#FFFFFF" filled="t" stroked="t" coordsize="21600,21600" o:gfxdata="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JQTq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inset="1.3mm,1.3mm,1.3mm,1.3mm">
                                      <w:txbxContent>
                                        <w:p w14:paraId="7DA1293C">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调查取证</w:t>
                                          </w:r>
                                        </w:p>
                                      </w:txbxContent>
                                    </v:textbox>
                                  </v:shape>
                                  <v:shape id="AutoShape 18" o:spid="_x0000_s1026" o:spt="109" type="#_x0000_t109" style="position:absolute;left:2927;top:5447;height:510;width:1814;v-text-anchor:middle;" fillcolor="#FFFFFF" filled="t" stroked="t" coordsize="21600,21600" o:gfxdata="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kob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inset="1.3mm,1.3mm,1.3mm,1.3mm">
                                      <w:txbxContent>
                                        <w:p w14:paraId="4B8DB64B">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医患双方不同意</w:t>
                                          </w:r>
                                        </w:p>
                                      </w:txbxContent>
                                    </v:textbox>
                                  </v:shape>
                                  <v:shape id="AutoShape 19" o:spid="_x0000_s1026" o:spt="109" type="#_x0000_t109" style="position:absolute;left:-189;top:5445;height:510;width:1701;v-text-anchor:middle;" fillcolor="#FFFFFF" filled="t" stroked="t" coordsize="21600,21600" o:gfxdata="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WnDT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43CC8379">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医患双方同意</w:t>
                                          </w:r>
                                        </w:p>
                                      </w:txbxContent>
                                    </v:textbox>
                                  </v:shape>
                                  <v:shape id="AutoShape 20" o:spid="_x0000_s1026" o:spt="33" type="#_x0000_t33" style="position:absolute;left:662;top:4945;flip:y;height:500;width:1057;rotation:11796480f;" filled="f" stroked="t" coordsize="21600,21600" o:gfxdata="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18ZXvQAA&#10;ANw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shape id="AutoShape 21" o:spid="_x0000_s1026" o:spt="33" type="#_x0000_t33" style="position:absolute;left:3420;top:4938;height:509;width:414;" filled="f" stroked="t" coordsize="21600,21600" o:gfxdata="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UPbu/&#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shape id="AutoShape 22" o:spid="_x0000_s1026" o:spt="109" type="#_x0000_t109" style="position:absolute;left:1719;top:4683;height:510;width:1701;v-text-anchor:middle;" fillcolor="#FFFFFF" filled="t" stroked="t" coordsize="21600,21600" o:gfxdata="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5T5O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inset="1.3mm,1.3mm,1.3mm,1.3mm">
                                      <w:txbxContent>
                                        <w:p w14:paraId="72CA5574">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进入调解程序</w:t>
                                          </w:r>
                                        </w:p>
                                      </w:txbxContent>
                                    </v:textbox>
                                  </v:shape>
                                </v:group>
                              </v:group>
                              <v:shape id="AutoShape 23" o:spid="_x0000_s1026" o:spt="109" type="#_x0000_t109" style="position:absolute;left:-175;top:8675;height:510;width:1701;v-text-anchor:middle;" fillcolor="#FFFFFF" filled="t" stroked="t" coordsize="21600,21600" o:gfxdata="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r0eS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inset="1.3mm,1.3mm,1.3mm,1.3mm">
                                  <w:txbxContent>
                                    <w:p w14:paraId="58E48BC0">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支付给患方</w:t>
                                      </w:r>
                                    </w:p>
                                  </w:txbxContent>
                                </v:textbox>
                              </v:shape>
                              <v:shape id="AutoShape 24" o:spid="_x0000_s1026" o:spt="109" type="#_x0000_t109" style="position:absolute;left:2519;top:8675;height:510;width:1701;v-text-anchor:middle;" fillcolor="#FFFFFF" filled="t" stroked="t" coordsize="21600,21600" o:gfxdata="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J3R/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3161E757">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或支付给医院</w:t>
                                      </w:r>
                                    </w:p>
                                  </w:txbxContent>
                                </v:textbox>
                              </v:shape>
                              <v:shape id="AutoShape 25" o:spid="_x0000_s1026" o:spt="109" type="#_x0000_t109" style="position:absolute;left:5621;top:5614;height:510;width:1984;v-text-anchor:middle;" fillcolor="#FFFFFF" filled="t" stroked="t" coordsize="21600,21600" o:gfxdata="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7sC7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inset="1.3mm,1.3mm,1.3mm,1.3mm">
                                  <w:txbxContent>
                                    <w:p w14:paraId="0B078CA8">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引导走诉讼</w:t>
                                      </w:r>
                                    </w:p>
                                  </w:txbxContent>
                                </v:textbox>
                              </v:shape>
                              <v:shape id="AutoShape 26" o:spid="_x0000_s1026" o:spt="109" type="#_x0000_t109" style="position:absolute;left:2885;top:7641;height:510;width:1928;v-text-anchor:middle;" fillcolor="#FFFFFF" filled="t" stroked="t" coordsize="21600,21600" o:gfxdata="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YJJkL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inset="1.3mm,1.3mm,1.3mm,1.3mm">
                                  <w:txbxContent>
                                    <w:p w14:paraId="098AEF35">
                                      <w:pPr>
                                        <w:ind w:firstLine="105" w:firstLineChars="50"/>
                                        <w:jc w:val="center"/>
                                      </w:pPr>
                                      <w:r>
                                        <w:rPr>
                                          <w:rFonts w:hint="eastAsia"/>
                                        </w:rPr>
                                        <w:t>再进入调解程序</w:t>
                                      </w:r>
                                    </w:p>
                                  </w:txbxContent>
                                </v:textbox>
                              </v:shape>
                              <v:shape id="AutoShape 27" o:spid="_x0000_s1026" o:spt="109" type="#_x0000_t109" style="position:absolute;left:5619;top:7643;height:510;width:1984;v-text-anchor:middle;" fillcolor="#FFFFFF" filled="t" stroked="t" coordsize="21600,21600" o:gfxdata="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DX57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inset="1.3mm,1.3mm,1.3mm,1.3mm">
                                  <w:txbxContent>
                                    <w:p w14:paraId="16C41A80">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医患双方不同意</w:t>
                                      </w:r>
                                    </w:p>
                                  </w:txbxContent>
                                </v:textbox>
                              </v:shape>
                              <v:shape id="AutoShape 28" o:spid="_x0000_s1026" o:spt="109" type="#_x0000_t109" style="position:absolute;left:-176;top:7635;height:510;width:1701;v-text-anchor:middle;" fillcolor="#FFFFFF" filled="t" stroked="t" coordsize="21600,21600" o:gfxdata="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3che8AAAA&#10;3AAAAA8AAAAAAAAAAQAgAAAAIgAAAGRycy9kb3ducmV2LnhtbFBLAQIUABQAAAAIAIdO4kAzLwWe&#10;OwAAADkAAAAQAAAAAAAAAAEAIAAAAAsBAABkcnMvc2hhcGV4bWwueG1sUEsFBgAAAAAGAAYAWwEA&#10;ALUDAAAAAA==&#10;">
                                <v:fill on="t" focussize="0,0"/>
                                <v:stroke weight="1pt" color="#000000" joinstyle="miter" dashstyle="dash"/>
                                <v:imagedata o:title=""/>
                                <o:lock v:ext="edit" aspectratio="f"/>
                                <v:textbox inset="1.3mm,1.3mm,1.3mm,1.3mm">
                                  <w:txbxContent>
                                    <w:p w14:paraId="1C4F8621">
                                      <w:pPr>
                                        <w:ind w:firstLine="105" w:firstLineChars="50"/>
                                        <w:jc w:val="center"/>
                                        <w:rPr>
                                          <w:b/>
                                        </w:rPr>
                                      </w:pPr>
                                      <w:r>
                                        <w:rPr>
                                          <w:rFonts w:hint="eastAsia"/>
                                          <w:b/>
                                        </w:rPr>
                                        <w:t>认定保险责任</w:t>
                                      </w:r>
                                    </w:p>
                                  </w:txbxContent>
                                </v:textbox>
                              </v:shape>
                              <v:shape id="AutoShape 29" o:spid="_x0000_s1026" o:spt="34" type="#_x0000_t34" style="position:absolute;left:439;top:6351;height:1;width:476;rotation:5898240f;" filled="f" stroked="t" coordsize="21600,21600" o:gfxdata="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DhkW/&#10;AAAA3AAAAA8AAAAAAAAAAQAgAAAAIgAAAGRycy9kb3ducmV2LnhtbFBLAQIUABQAAAAIAIdO4kAz&#10;LwWeOwAAADkAAAAQAAAAAAAAAAEAIAAAAA4BAABkcnMvc2hhcGV4bWwueG1sUEsFBgAAAAAGAAYA&#10;WwEAALgDAAAAAA==&#10;" adj="10777">
                                <v:fill on="f" focussize="0,0"/>
                                <v:stroke color="#000000" joinstyle="miter" endarrow="block"/>
                                <v:imagedata o:title=""/>
                                <o:lock v:ext="edit" aspectratio="f"/>
                              </v:shape>
                              <v:shape id="AutoShape 30" o:spid="_x0000_s1026" o:spt="109" type="#_x0000_t109" style="position:absolute;left:-287;top:6589;height:510;width:1926;v-text-anchor:middle;" fillcolor="#FFFFFF" filled="t" stroked="t" coordsize="21600,21600" o:gfxdata="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z0OV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0BA2E87B">
                                      <w:pPr>
                                        <w:jc w:val="center"/>
                                      </w:pPr>
                                      <w:r>
                                        <w:rPr>
                                          <w:rFonts w:hint="eastAsia"/>
                                        </w:rPr>
                                        <w:t>提交保险人索赔</w:t>
                                      </w:r>
                                    </w:p>
                                  </w:txbxContent>
                                </v:textbox>
                              </v:shape>
                              <v:shape id="AutoShape 31" o:spid="_x0000_s1026" o:spt="109" type="#_x0000_t109" style="position:absolute;left:3115;top:6540;height:510;width:1474;v-text-anchor:middle;" fillcolor="#FFFFFF" filled="t" stroked="t" coordsize="21600,21600" o:gfxdata="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5pEvQAA&#10;ANwAAAAPAAAAAAAAAAEAIAAAACIAAABkcnMvZG93bnJldi54bWxQSwECFAAUAAAACACHTuJAMy8F&#10;njsAAAA5AAAAEAAAAAAAAAABACAAAAAMAQAAZHJzL3NoYXBleG1sLnhtbFBLBQYAAAAABgAGAFsB&#10;AAC2AwAAAAA=&#10;">
                                <v:fill on="t" focussize="0,0"/>
                                <v:stroke weight="1pt" color="#000000" joinstyle="miter" dashstyle="dash"/>
                                <v:imagedata o:title=""/>
                                <o:lock v:ext="edit" aspectratio="f"/>
                                <v:textbox inset="1.3mm,1.3mm,1.3mm,1.3mm">
                                  <w:txbxContent>
                                    <w:p w14:paraId="0AF64369">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b/>
                                        </w:rPr>
                                      </w:pPr>
                                      <w:r>
                                        <w:rPr>
                                          <w:rFonts w:hint="eastAsia"/>
                                          <w:b/>
                                        </w:rPr>
                                        <w:t>引导鉴定</w:t>
                                      </w:r>
                                    </w:p>
                                  </w:txbxContent>
                                </v:textbox>
                              </v:shape>
                              <v:shape id="AutoShape 32" o:spid="_x0000_s1026" o:spt="33" type="#_x0000_t33" style="position:absolute;left:4756;top:5869;height:5;width:865;" filled="f" stroked="t" coordsize="21600,21600" o:gfxdata="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N6Ae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shape id="AutoShape 34" o:spid="_x0000_s1026" o:spt="34" type="#_x0000_t34" style="position:absolute;left:4813;top:7896;height:2;width:806;" filled="f" stroked="t" coordsize="21600,21600" o:gfxdata="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tkabsAAADc&#10;AAAADwAAAAAAAAABACAAAAAiAAAAZHJzL2Rvd25yZXYueG1sUEsBAhQAFAAAAAgAh07iQDMvBZ47&#10;AAAAOQAAABAAAAAAAAAAAQAgAAAACgEAAGRycy9zaGFwZXhtbC54bWxQSwUGAAAAAAYABgBbAQAA&#10;tAMAAAAA&#10;" adj="10800">
                                <v:fill on="f" focussize="0,0"/>
                                <v:stroke color="#000000" joinstyle="miter" endarrow="block"/>
                                <v:imagedata o:title=""/>
                                <o:lock v:ext="edit" aspectratio="f"/>
                              </v:shape>
                              <v:shape id="AutoShape 35" o:spid="_x0000_s1026" o:spt="34" type="#_x0000_t34" style="position:absolute;left:1527;top:5867;height:2029;width:1358;rotation:11796480f;" filled="f" stroked="t" coordsize="21600,21600" o:gfxdata="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9mQIr4A&#10;AADcAAAADwAAAAAAAAABACAAAAAiAAAAZHJzL2Rvd25yZXYueG1sUEsBAhQAFAAAAAgAh07iQDMv&#10;BZ47AAAAOQAAABAAAAAAAAAAAQAgAAAADQEAAGRycy9zaGFwZXhtbC54bWxQSwUGAAAAAAYABgBb&#10;AQAAtwMAAAAA&#10;" adj="10800">
                                <v:fill on="f" focussize="0,0"/>
                                <v:stroke color="#000000" joinstyle="miter" endarrow="block"/>
                                <v:imagedata o:title=""/>
                                <o:lock v:ext="edit" aspectratio="f"/>
                              </v:shape>
                              <v:shape id="AutoShape 36" o:spid="_x0000_s1026" o:spt="34" type="#_x0000_t34" style="position:absolute;left:1758;top:7063;flip:y;height:2695;width:530;rotation:-5898240f;" filled="f" stroked="t" coordsize="21600,21600" o:gfxdata="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1CYsb4A&#10;AADcAAAADwAAAAAAAAABACAAAAAiAAAAZHJzL2Rvd25yZXYueG1sUEsBAhQAFAAAAAgAh07iQDMv&#10;BZ47AAAAOQAAABAAAAAAAAAAAQAgAAAADQEAAGRycy9zaGFwZXhtbC54bWxQSwUGAAAAAAYABgBb&#10;AQAAtwMAAAAA&#10;" adj="10780">
                                <v:fill on="f" focussize="0,0"/>
                                <v:stroke color="#000000" joinstyle="miter" endarrow="block"/>
                                <v:imagedata o:title=""/>
                                <o:lock v:ext="edit" aspectratio="f"/>
                              </v:shape>
                            </v:group>
                          </v:group>
                          <v:shape id="AutoShape 16" o:spid="_x0000_s1026" o:spt="34" type="#_x0000_t34" style="position:absolute;left:8935;top:109618;flip:y;height:4;width:419;rotation:-5898240f;" filled="f" stroked="t" coordsize="21600,21600" o:gfxdata="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n7SBugAAANsA&#10;AAAPAAAAAAAAAAEAIAAAACIAAABkcnMvZG93bnJldi54bWxQSwECFAAUAAAACACHTuJAMy8FnjsA&#10;AAA5AAAAEAAAAAAAAAABACAAAAAJAQAAZHJzL3NoYXBleG1sLnhtbFBLBQYAAAAABgAGAFsBAACz&#10;AwAAAAA=&#10;" adj="10800">
                            <v:fill on="f" focussize="0,0"/>
                            <v:stroke color="#000000" joinstyle="miter" endarrow="block"/>
                            <v:imagedata o:title=""/>
                            <o:lock v:ext="edit" aspectratio="f"/>
                          </v:shape>
                        </v:group>
                        <v:shape id="AutoShape 3" o:spid="_x0000_s1026" o:spt="34" type="#_x0000_t34" style="position:absolute;left:7404;top:114873;height:3;width:591;rotation:5898240f;" filled="f" stroked="t" coordsize="21600,21600" o:gfxdata="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DKea5AAAA3AAA&#10;AA8AAAAAAAAAAQAgAAAAIgAAAGRycy9kb3ducmV2LnhtbFBLAQIUABQAAAAIAIdO4kAzLwWeOwAA&#10;ADkAAAAQAAAAAAAAAAEAIAAAAAgBAABkcnMvc2hhcGV4bWwueG1sUEsFBgAAAAAGAAYAWwEAALID&#10;AAAAAA==&#10;" adj="10818">
                          <v:fill on="f" focussize="0,0"/>
                          <v:stroke weight="1.25pt" color="#000000" joinstyle="miter" endarrow="block"/>
                          <v:imagedata o:title=""/>
                          <o:lock v:ext="edit" aspectratio="f"/>
                        </v:shape>
                      </v:group>
                      <v:shape id="AutoShape 16" o:spid="_x0000_s1026" o:spt="34" type="#_x0000_t34" style="position:absolute;left:7028;top:111913;height:2;width:480;rotation:5898240f;" filled="f" stroked="t" coordsize="21600,21600" o:gfxdata="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nPLm/&#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group>
                    <v:shape id="AutoShape 34" o:spid="_x0000_s1026" o:spt="34" type="#_x0000_t34" style="position:absolute;left:13504;top:113830;height:2;width:1519;rotation:-5898240f;" filled="f" stroked="t" coordsize="21600,21600" o:gfxdata="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Ku637sAAADc&#10;AAAADwAAAAAAAAABACAAAAAiAAAAZHJzL2Rvd25yZXYueG1sUEsBAhQAFAAAAAgAh07iQDMvBZ47&#10;AAAAOQAAABAAAAAAAAAAAQAgAAAACgEAAGRycy9zaGFwZXhtbC54bWxQSwUGAAAAAAYABgBbAQAA&#10;tAMAAAAA&#10;" adj="10800">
                      <v:fill on="f" focussize="0,0"/>
                      <v:stroke color="#000000" joinstyle="miter" endarrow="block"/>
                      <v:imagedata o:title=""/>
                      <o:lock v:ext="edit" aspectratio="f"/>
                    </v:shape>
                  </v:group>
                  <v:shape id="AutoShape 36" o:spid="_x0000_s1026" o:spt="34" type="#_x0000_t34" style="position:absolute;left:7950;top:115682;flip:y;height:1;width:530;rotation:-5898240f;" filled="f" stroked="t" coordsize="21600,21600" o:gfxdata="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bkBu/&#10;AAAA3AAAAA8AAAAAAAAAAQAgAAAAIgAAAGRycy9kb3ducmV2LnhtbFBLAQIUABQAAAAIAIdO4kAz&#10;LwWeOwAAADkAAAAQAAAAAAAAAAEAIAAAAA4BAABkcnMvc2hhcGV4bWwueG1sUEsFBgAAAAAGAAYA&#10;WwEAALgDAAAAAA==&#10;" adj="10780">
                    <v:fill on="f" focussize="0,0"/>
                    <v:stroke color="#000000" joinstyle="miter" endarrow="block"/>
                    <v:imagedata o:title=""/>
                    <o:lock v:ext="edit" aspectratio="f"/>
                  </v:shape>
                </v:group>
                <v:shape id="AutoShape 36" o:spid="_x0000_s1026" o:spt="34" type="#_x0000_t34" style="position:absolute;left:7947;top:114639;height:1;width:536;rotation:5898240f;" filled="f" stroked="t" coordsize="21600,21600" o:gfxdata="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n+nDugAAANwA&#10;AAAPAAAAAAAAAAEAIAAAACIAAABkcnMvZG93bnJldi54bWxQSwECFAAUAAAACACHTuJAMy8FnjsA&#10;AAA5AAAAEAAAAAAAAAABACAAAAAJAQAAZHJzL3NoYXBleG1sLnhtbFBLBQYAAAAABgAGAFsBAACz&#10;AwAAAAA=&#10;" adj="10780">
                  <v:fill on="f" focussize="0,0"/>
                  <v:stroke color="#000000" joinstyle="miter" endarrow="block"/>
                  <v:imagedata o:title=""/>
                  <o:lock v:ext="edit" aspectratio="f"/>
                </v:shape>
                <w10:wrap type="none"/>
                <w10:anchorlock/>
              </v:group>
            </w:pict>
          </mc:Fallback>
        </mc:AlternateContent>
      </w:r>
    </w:p>
    <w:p w14:paraId="044BF349">
      <w:pPr>
        <w:pStyle w:val="69"/>
        <w:spacing w:before="280" w:beforeLines="90" w:after="280" w:afterLines="90"/>
        <w:ind w:firstLine="0" w:firstLineChars="0"/>
        <w:rPr>
          <w:rFonts w:hint="eastAsia" w:ascii="宋体" w:hAnsi="宋体"/>
          <w:b/>
          <w:color w:val="auto"/>
          <w:sz w:val="24"/>
          <w:szCs w:val="24"/>
          <w:highlight w:val="none"/>
        </w:rPr>
      </w:pPr>
    </w:p>
    <w:p w14:paraId="3BB1070A">
      <w:pPr>
        <w:keepNext w:val="0"/>
        <w:keepLines w:val="0"/>
        <w:pageBreakBefore/>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2、自行和解案件处理流程图</w:t>
      </w:r>
    </w:p>
    <w:p w14:paraId="02105168">
      <w:pPr>
        <w:pStyle w:val="69"/>
        <w:spacing w:before="280" w:beforeLines="90" w:after="280" w:afterLines="90"/>
        <w:ind w:firstLine="0" w:firstLineChars="0"/>
        <w:jc w:val="center"/>
        <w:rPr>
          <w:rFonts w:ascii="宋体" w:hAnsi="宋体"/>
          <w:b/>
          <w:color w:val="auto"/>
          <w:sz w:val="24"/>
          <w:szCs w:val="24"/>
          <w:highlight w:val="none"/>
        </w:rPr>
      </w:pPr>
    </w:p>
    <w:p w14:paraId="581A555F">
      <w:pPr>
        <w:pStyle w:val="69"/>
        <w:spacing w:before="280" w:beforeLines="90" w:after="280" w:afterLines="90"/>
        <w:ind w:firstLine="0" w:firstLineChars="0"/>
        <w:jc w:val="center"/>
        <w:rPr>
          <w:rFonts w:ascii="宋体" w:hAnsi="宋体"/>
          <w:b/>
          <w:color w:val="auto"/>
          <w:sz w:val="24"/>
          <w:szCs w:val="24"/>
          <w:highlight w:val="none"/>
        </w:rPr>
      </w:pPr>
      <w:r>
        <w:rPr>
          <w:sz w:val="21"/>
        </w:rPr>
        <mc:AlternateContent>
          <mc:Choice Requires="wpg">
            <w:drawing>
              <wp:inline distT="0" distB="0" distL="114300" distR="114300">
                <wp:extent cx="4942840" cy="6567170"/>
                <wp:effectExtent l="15875" t="6350" r="13335" b="17780"/>
                <wp:docPr id="61" name="组合 61"/>
                <wp:cNvGraphicFramePr/>
                <a:graphic xmlns:a="http://schemas.openxmlformats.org/drawingml/2006/main">
                  <a:graphicData uri="http://schemas.microsoft.com/office/word/2010/wordprocessingGroup">
                    <wpg:wgp>
                      <wpg:cNvGrpSpPr/>
                      <wpg:grpSpPr>
                        <a:xfrm>
                          <a:off x="0" y="0"/>
                          <a:ext cx="4942840" cy="6567170"/>
                          <a:chOff x="5071" y="123482"/>
                          <a:chExt cx="7784" cy="10342"/>
                        </a:xfrm>
                      </wpg:grpSpPr>
                      <wpg:grpSp>
                        <wpg:cNvPr id="62" name="组合 249"/>
                        <wpg:cNvGrpSpPr/>
                        <wpg:grpSpPr>
                          <a:xfrm>
                            <a:off x="5071" y="123482"/>
                            <a:ext cx="7784" cy="10342"/>
                            <a:chOff x="5071" y="123482"/>
                            <a:chExt cx="7784" cy="10342"/>
                          </a:xfrm>
                        </wpg:grpSpPr>
                        <wpg:grpSp>
                          <wpg:cNvPr id="63" name="组合 248"/>
                          <wpg:cNvGrpSpPr/>
                          <wpg:grpSpPr>
                            <a:xfrm>
                              <a:off x="5071" y="123482"/>
                              <a:ext cx="7784" cy="10342"/>
                              <a:chOff x="5071" y="123482"/>
                              <a:chExt cx="7784" cy="10342"/>
                            </a:xfrm>
                          </wpg:grpSpPr>
                          <wpg:grpSp>
                            <wpg:cNvPr id="64" name="组合 245"/>
                            <wpg:cNvGrpSpPr/>
                            <wpg:grpSpPr>
                              <a:xfrm>
                                <a:off x="5071" y="123482"/>
                                <a:ext cx="7784" cy="10342"/>
                                <a:chOff x="4897" y="122412"/>
                                <a:chExt cx="7784" cy="10342"/>
                              </a:xfrm>
                            </wpg:grpSpPr>
                            <wpg:grpSp>
                              <wpg:cNvPr id="65" name="组合 243"/>
                              <wpg:cNvGrpSpPr/>
                              <wpg:grpSpPr>
                                <a:xfrm>
                                  <a:off x="4897" y="122412"/>
                                  <a:ext cx="7784" cy="10342"/>
                                  <a:chOff x="4283" y="123285"/>
                                  <a:chExt cx="7784" cy="10342"/>
                                </a:xfrm>
                              </wpg:grpSpPr>
                              <wpg:grpSp>
                                <wpg:cNvPr id="66" name="组合 236"/>
                                <wpg:cNvGrpSpPr/>
                                <wpg:grpSpPr>
                                  <a:xfrm>
                                    <a:off x="4283" y="123285"/>
                                    <a:ext cx="7784" cy="10342"/>
                                    <a:chOff x="2642" y="122049"/>
                                    <a:chExt cx="7784" cy="10342"/>
                                  </a:xfrm>
                                </wpg:grpSpPr>
                                <wps:wsp>
                                  <wps:cNvPr id="229" name="AutoShape 14"/>
                                  <wps:cNvCnPr>
                                    <a:stCxn id="138" idx="2"/>
                                    <a:endCxn id="134" idx="0"/>
                                  </wps:cNvCnPr>
                                  <wps:spPr>
                                    <a:xfrm rot="5400000">
                                      <a:off x="6747" y="130307"/>
                                      <a:ext cx="626" cy="1"/>
                                    </a:xfrm>
                                    <a:prstGeom prst="bentConnector3">
                                      <a:avLst>
                                        <a:gd name="adj1" fmla="val 49920"/>
                                      </a:avLst>
                                    </a:prstGeom>
                                    <a:ln w="9525" cap="flat" cmpd="sng">
                                      <a:solidFill>
                                        <a:srgbClr val="000000"/>
                                      </a:solidFill>
                                      <a:prstDash val="solid"/>
                                      <a:miter/>
                                      <a:headEnd type="none" w="med" len="med"/>
                                      <a:tailEnd type="triangle" w="med" len="med"/>
                                    </a:ln>
                                    <a:effectLst/>
                                  </wps:spPr>
                                  <wps:bodyPr/>
                                </wps:wsp>
                                <wpg:grpSp>
                                  <wpg:cNvPr id="67" name="组合 235"/>
                                  <wpg:cNvGrpSpPr/>
                                  <wpg:grpSpPr>
                                    <a:xfrm>
                                      <a:off x="2642" y="122049"/>
                                      <a:ext cx="7784" cy="10342"/>
                                      <a:chOff x="3670" y="122887"/>
                                      <a:chExt cx="7784" cy="10342"/>
                                    </a:xfrm>
                                  </wpg:grpSpPr>
                                  <wps:wsp>
                                    <wps:cNvPr id="231" name="AutoShape 14"/>
                                    <wps:cNvCnPr>
                                      <a:stCxn id="126" idx="2"/>
                                      <a:endCxn id="138" idx="0"/>
                                    </wps:cNvCnPr>
                                    <wps:spPr>
                                      <a:xfrm rot="5400000">
                                        <a:off x="7814" y="130045"/>
                                        <a:ext cx="551" cy="3"/>
                                      </a:xfrm>
                                      <a:prstGeom prst="bentConnector3">
                                        <a:avLst>
                                          <a:gd name="adj1" fmla="val 50091"/>
                                        </a:avLst>
                                      </a:prstGeom>
                                      <a:ln w="9525" cap="flat" cmpd="sng">
                                        <a:solidFill>
                                          <a:srgbClr val="000000"/>
                                        </a:solidFill>
                                        <a:prstDash val="solid"/>
                                        <a:miter/>
                                        <a:headEnd type="none" w="med" len="med"/>
                                        <a:tailEnd type="triangle" w="med" len="med"/>
                                      </a:ln>
                                      <a:effectLst/>
                                    </wps:spPr>
                                    <wps:bodyPr/>
                                  </wps:wsp>
                                  <wps:wsp>
                                    <wps:cNvPr id="232" name="AutoShape 14"/>
                                    <wps:cNvCnPr>
                                      <a:stCxn id="130" idx="3"/>
                                      <a:endCxn id="126" idx="0"/>
                                    </wps:cNvCnPr>
                                    <wps:spPr>
                                      <a:xfrm>
                                        <a:off x="7340" y="128606"/>
                                        <a:ext cx="751" cy="655"/>
                                      </a:xfrm>
                                      <a:prstGeom prst="bentConnector2">
                                        <a:avLst/>
                                      </a:prstGeom>
                                      <a:ln w="9525" cap="flat" cmpd="sng">
                                        <a:solidFill>
                                          <a:srgbClr val="000000"/>
                                        </a:solidFill>
                                        <a:prstDash val="solid"/>
                                        <a:miter/>
                                        <a:headEnd type="none" w="med" len="med"/>
                                        <a:tailEnd type="triangle" w="med" len="med"/>
                                      </a:ln>
                                      <a:effectLst/>
                                    </wps:spPr>
                                    <wps:bodyPr/>
                                  </wps:wsp>
                                  <wpg:grpSp>
                                    <wpg:cNvPr id="68" name="组合 234"/>
                                    <wpg:cNvGrpSpPr/>
                                    <wpg:grpSpPr>
                                      <a:xfrm>
                                        <a:off x="3670" y="122887"/>
                                        <a:ext cx="7784" cy="10342"/>
                                        <a:chOff x="4682" y="122550"/>
                                        <a:chExt cx="7784" cy="10342"/>
                                      </a:xfrm>
                                    </wpg:grpSpPr>
                                    <wpg:grpSp>
                                      <wpg:cNvPr id="69" name="组合 224"/>
                                      <wpg:cNvGrpSpPr/>
                                      <wpg:grpSpPr>
                                        <a:xfrm>
                                          <a:off x="4682" y="122550"/>
                                          <a:ext cx="7784" cy="10342"/>
                                          <a:chOff x="3187" y="121628"/>
                                          <a:chExt cx="7784" cy="10342"/>
                                        </a:xfrm>
                                      </wpg:grpSpPr>
                                      <wpg:grpSp>
                                        <wpg:cNvPr id="70" name="组合 223"/>
                                        <wpg:cNvGrpSpPr/>
                                        <wpg:grpSpPr>
                                          <a:xfrm>
                                            <a:off x="3187" y="121628"/>
                                            <a:ext cx="7784" cy="10342"/>
                                            <a:chOff x="3873" y="122232"/>
                                            <a:chExt cx="7784" cy="10342"/>
                                          </a:xfrm>
                                        </wpg:grpSpPr>
                                        <wps:wsp>
                                          <wps:cNvPr id="214" name="AutoShape 14"/>
                                          <wps:cNvCnPr>
                                            <a:stCxn id="114" idx="2"/>
                                            <a:endCxn id="131" idx="0"/>
                                          </wps:cNvCnPr>
                                          <wps:spPr>
                                            <a:xfrm rot="5400000" flipV="1">
                                              <a:off x="7078" y="122576"/>
                                              <a:ext cx="894" cy="1993"/>
                                            </a:xfrm>
                                            <a:prstGeom prst="bentConnector3">
                                              <a:avLst>
                                                <a:gd name="adj1" fmla="val 49944"/>
                                              </a:avLst>
                                            </a:prstGeom>
                                            <a:ln w="9525" cap="flat" cmpd="sng">
                                              <a:solidFill>
                                                <a:srgbClr val="000000"/>
                                              </a:solidFill>
                                              <a:prstDash val="solid"/>
                                              <a:miter/>
                                              <a:headEnd type="none" w="med" len="med"/>
                                              <a:tailEnd type="triangle" w="med" len="med"/>
                                            </a:ln>
                                            <a:effectLst/>
                                          </wps:spPr>
                                          <wps:bodyPr/>
                                        </wps:wsp>
                                        <wpg:grpSp>
                                          <wpg:cNvPr id="71" name="Group 41"/>
                                          <wpg:cNvGrpSpPr/>
                                          <wpg:grpSpPr>
                                            <a:xfrm rot="0">
                                              <a:off x="3873" y="122232"/>
                                              <a:ext cx="7784" cy="10342"/>
                                              <a:chOff x="-1270" y="-287655"/>
                                              <a:chExt cx="4942840" cy="6567170"/>
                                            </a:xfrm>
                                            <a:effectLst/>
                                          </wpg:grpSpPr>
                                          <wpg:grpSp>
                                            <wpg:cNvPr id="72" name="Group 42"/>
                                            <wpg:cNvGrpSpPr/>
                                            <wpg:grpSpPr>
                                              <a:xfrm>
                                                <a:off x="-1270" y="-287655"/>
                                                <a:ext cx="4942840" cy="6567170"/>
                                                <a:chOff x="-2" y="-453"/>
                                                <a:chExt cx="7784" cy="10342"/>
                                              </a:xfrm>
                                              <a:effectLst/>
                                            </wpg:grpSpPr>
                                            <wpg:grpSp>
                                              <wpg:cNvPr id="73" name="Group 43"/>
                                              <wpg:cNvGrpSpPr/>
                                              <wpg:grpSpPr>
                                                <a:xfrm>
                                                  <a:off x="-2" y="-453"/>
                                                  <a:ext cx="7784" cy="6908"/>
                                                  <a:chOff x="-17" y="-453"/>
                                                  <a:chExt cx="7784" cy="6908"/>
                                                </a:xfrm>
                                                <a:effectLst/>
                                              </wpg:grpSpPr>
                                              <wps:wsp>
                                                <wps:cNvPr id="112" name="AutoShape 14"/>
                                                <wps:cNvSpPr/>
                                                <wps:spPr>
                                                  <a:xfrm>
                                                    <a:off x="4427" y="-453"/>
                                                    <a:ext cx="3340" cy="105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14:paraId="694D83C0">
                                                      <w:pPr>
                                                        <w:keepNext w:val="0"/>
                                                        <w:keepLines w:val="0"/>
                                                        <w:pageBreakBefore w:val="0"/>
                                                        <w:widowControl w:val="0"/>
                                                        <w:kinsoku/>
                                                        <w:wordWrap w:val="0"/>
                                                        <w:overflowPunct/>
                                                        <w:topLinePunct w:val="0"/>
                                                        <w:autoSpaceDE/>
                                                        <w:autoSpaceDN/>
                                                        <w:bidi w:val="0"/>
                                                        <w:adjustRightInd/>
                                                        <w:snapToGrid/>
                                                        <w:textAlignment w:val="auto"/>
                                                        <w:rPr>
                                                          <w:b/>
                                                        </w:rPr>
                                                      </w:pPr>
                                                      <w:r>
                                                        <w:rPr>
                                                          <w:rFonts w:hint="eastAsia"/>
                                                          <w:b/>
                                                        </w:rPr>
                                                        <w:t>报案内容：就诊时间、事件发生时间、大致诊疗过程、患者最终状态、投诉事件、患者诉求等</w:t>
                                                      </w:r>
                                                    </w:p>
                                                  </w:txbxContent>
                                                </wps:txbx>
                                                <wps:bodyPr vert="horz" lIns="46800" tIns="46800" rIns="46800" bIns="46800" anchor="ctr" anchorCtr="0" upright="1"/>
                                              </wps:wsp>
                                              <wpg:grpSp>
                                                <wpg:cNvPr id="74" name="Group 45"/>
                                                <wpg:cNvGrpSpPr/>
                                                <wpg:grpSpPr>
                                                  <a:xfrm>
                                                    <a:off x="-17" y="-59"/>
                                                    <a:ext cx="5568" cy="6514"/>
                                                    <a:chOff x="-17" y="-226"/>
                                                    <a:chExt cx="5568" cy="6514"/>
                                                  </a:xfrm>
                                                  <a:effectLst/>
                                                </wpg:grpSpPr>
                                                <wps:wsp>
                                                  <wps:cNvPr id="114" name="AutoShape 5"/>
                                                  <wps:cNvSpPr/>
                                                  <wps:spPr>
                                                    <a:xfrm>
                                                      <a:off x="1929" y="-226"/>
                                                      <a:ext cx="1417"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26054A7B">
                                                        <w:pPr>
                                                          <w:keepNext w:val="0"/>
                                                          <w:keepLines w:val="0"/>
                                                          <w:pageBreakBefore w:val="0"/>
                                                          <w:widowControl w:val="0"/>
                                                          <w:kinsoku/>
                                                          <w:wordWrap/>
                                                          <w:overflowPunct/>
                                                          <w:topLinePunct w:val="0"/>
                                                          <w:autoSpaceDE/>
                                                          <w:autoSpaceDN/>
                                                          <w:bidi w:val="0"/>
                                                          <w:adjustRightInd/>
                                                          <w:snapToGrid/>
                                                          <w:jc w:val="center"/>
                                                          <w:textAlignment w:val="auto"/>
                                                        </w:pPr>
                                                        <w:r>
                                                          <w:rPr>
                                                            <w:rFonts w:hint="eastAsia"/>
                                                          </w:rPr>
                                                          <w:t>纠纷报案</w:t>
                                                        </w:r>
                                                      </w:p>
                                                    </w:txbxContent>
                                                  </wps:txbx>
                                                  <wps:bodyPr vert="horz" lIns="46800" tIns="46800" rIns="46800" bIns="46800" anchor="ctr" anchorCtr="0" upright="1"/>
                                                </wps:wsp>
                                                <wps:wsp>
                                                  <wps:cNvPr id="115" name="AutoShape 7"/>
                                                  <wps:cNvSpPr/>
                                                  <wps:spPr>
                                                    <a:xfrm>
                                                      <a:off x="817" y="2727"/>
                                                      <a:ext cx="3969" cy="1701"/>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14:paraId="7496868B">
                                                        <w:pPr>
                                                          <w:rPr>
                                                            <w:b/>
                                                          </w:rPr>
                                                        </w:pPr>
                                                        <w:r>
                                                          <w:rPr>
                                                            <w:rFonts w:hint="eastAsia"/>
                                                            <w:b/>
                                                          </w:rPr>
                                                          <w:t>会诊要求：是否存在过错及过错类型？</w:t>
                                                        </w:r>
                                                      </w:p>
                                                      <w:p w14:paraId="2F8BD569">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是否违反诊疗常规？</w:t>
                                                        </w:r>
                                                      </w:p>
                                                      <w:p w14:paraId="508DD784">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损害金额？</w:t>
                                                        </w:r>
                                                      </w:p>
                                                      <w:p w14:paraId="2D1575DC">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在权限内处理</w:t>
                                                        </w:r>
                                                      </w:p>
                                                      <w:p w14:paraId="09BBB552">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核对资料完整</w:t>
                                                        </w:r>
                                                      </w:p>
                                                    </w:txbxContent>
                                                  </wps:txbx>
                                                  <wps:bodyPr vert="horz" lIns="46800" tIns="46800" rIns="46800" bIns="46800" anchor="ctr" anchorCtr="0" upright="1"/>
                                                </wps:wsp>
                                                <wps:wsp>
                                                  <wps:cNvPr id="117" name="AutoShape 118"/>
                                                  <wps:cNvSpPr/>
                                                  <wps:spPr>
                                                    <a:xfrm>
                                                      <a:off x="-17" y="1165"/>
                                                      <a:ext cx="1848"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4C619A95">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广东和谐医调委</w:t>
                                                        </w:r>
                                                      </w:p>
                                                    </w:txbxContent>
                                                  </wps:txbx>
                                                  <wps:bodyPr vert="horz" lIns="46800" tIns="46800" rIns="46800" bIns="46800" anchor="ctr" anchorCtr="0" upright="1"/>
                                                </wps:wsp>
                                                <wps:wsp>
                                                  <wps:cNvPr id="125" name="AutoShape 124"/>
                                                  <wps:cNvSpPr/>
                                                  <wps:spPr>
                                                    <a:xfrm>
                                                      <a:off x="2092" y="1846"/>
                                                      <a:ext cx="1417"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6401EE92">
                                                        <w:pPr>
                                                          <w:jc w:val="center"/>
                                                        </w:pPr>
                                                        <w:r>
                                                          <w:rPr>
                                                            <w:rFonts w:hint="eastAsia"/>
                                                          </w:rPr>
                                                          <w:t>医院会诊</w:t>
                                                        </w:r>
                                                      </w:p>
                                                    </w:txbxContent>
                                                  </wps:txbx>
                                                  <wps:bodyPr vert="horz" lIns="46800" tIns="46800" rIns="46800" bIns="46800" anchor="ctr" anchorCtr="0" upright="1"/>
                                                </wps:wsp>
                                                <wps:wsp>
                                                  <wps:cNvPr id="126" name="AutoShape 125"/>
                                                  <wps:cNvSpPr/>
                                                  <wps:spPr>
                                                    <a:xfrm>
                                                      <a:off x="3497" y="5754"/>
                                                      <a:ext cx="1814"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6A2A7AF5">
                                                        <w:pPr>
                                                          <w:jc w:val="center"/>
                                                        </w:pPr>
                                                        <w:r>
                                                          <w:rPr>
                                                            <w:rFonts w:hint="eastAsia"/>
                                                          </w:rPr>
                                                          <w:t>患方不同意</w:t>
                                                        </w:r>
                                                      </w:p>
                                                    </w:txbxContent>
                                                  </wps:txbx>
                                                  <wps:bodyPr vert="horz" lIns="46800" tIns="46800" rIns="46800" bIns="46800" anchor="ctr" anchorCtr="0" upright="1"/>
                                                </wps:wsp>
                                                <wps:wsp>
                                                  <wps:cNvPr id="127" name="AutoShape 126"/>
                                                  <wps:cNvSpPr/>
                                                  <wps:spPr>
                                                    <a:xfrm>
                                                      <a:off x="121" y="5778"/>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6777BA5D">
                                                        <w:pPr>
                                                          <w:jc w:val="center"/>
                                                        </w:pPr>
                                                        <w:r>
                                                          <w:rPr>
                                                            <w:rFonts w:hint="eastAsia"/>
                                                          </w:rPr>
                                                          <w:t>患方同意</w:t>
                                                        </w:r>
                                                      </w:p>
                                                    </w:txbxContent>
                                                  </wps:txbx>
                                                  <wps:bodyPr vert="horz" lIns="46800" tIns="46800" rIns="46800" bIns="46800" anchor="ctr" anchorCtr="0" upright="1"/>
                                                </wps:wsp>
                                                <wps:wsp>
                                                  <wps:cNvPr id="130" name="AutoShape 8"/>
                                                  <wps:cNvSpPr/>
                                                  <wps:spPr>
                                                    <a:xfrm>
                                                      <a:off x="1952" y="4844"/>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58262AA0">
                                                        <w:pPr>
                                                          <w:jc w:val="center"/>
                                                        </w:pPr>
                                                        <w:r>
                                                          <w:rPr>
                                                            <w:rFonts w:hint="eastAsia"/>
                                                          </w:rPr>
                                                          <w:t>进入和解流程</w:t>
                                                        </w:r>
                                                      </w:p>
                                                    </w:txbxContent>
                                                  </wps:txbx>
                                                  <wps:bodyPr vert="horz" lIns="46800" tIns="46800" rIns="46800" bIns="46800" anchor="ctr" anchorCtr="0" upright="1"/>
                                                </wps:wsp>
                                                <wps:wsp>
                                                  <wps:cNvPr id="131" name="AutoShape 119"/>
                                                  <wps:cNvSpPr/>
                                                  <wps:spPr>
                                                    <a:xfrm>
                                                      <a:off x="3527" y="1167"/>
                                                      <a:ext cx="2024"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3FD0ACE1">
                                                        <w:pPr>
                                                          <w:keepNext w:val="0"/>
                                                          <w:keepLines w:val="0"/>
                                                          <w:pageBreakBefore w:val="0"/>
                                                          <w:widowControl w:val="0"/>
                                                          <w:kinsoku/>
                                                          <w:wordWrap/>
                                                          <w:overflowPunct/>
                                                          <w:topLinePunct w:val="0"/>
                                                          <w:autoSpaceDE/>
                                                          <w:autoSpaceDN/>
                                                          <w:bidi w:val="0"/>
                                                          <w:adjustRightInd/>
                                                          <w:snapToGrid/>
                                                          <w:jc w:val="center"/>
                                                          <w:textAlignment w:val="auto"/>
                                                        </w:pPr>
                                                        <w:r>
                                                          <w:rPr>
                                                            <w:rFonts w:hint="eastAsia"/>
                                                          </w:rPr>
                                                          <w:t>保险经纪公司</w:t>
                                                        </w:r>
                                                      </w:p>
                                                    </w:txbxContent>
                                                  </wps:txbx>
                                                  <wps:bodyPr vert="horz" lIns="46800" tIns="46800" rIns="46800" bIns="46800" anchor="ctr" anchorCtr="0" upright="1"/>
                                                </wps:wsp>
                                              </wpg:grpSp>
                                            </wpg:grpSp>
                                            <wps:wsp>
                                              <wps:cNvPr id="132" name="AutoShape 132"/>
                                              <wps:cNvSpPr/>
                                              <wps:spPr>
                                                <a:xfrm>
                                                  <a:off x="140" y="9311"/>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0A176914">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支付给患方</w:t>
                                                    </w:r>
                                                  </w:p>
                                                </w:txbxContent>
                                              </wps:txbx>
                                              <wps:bodyPr vert="horz" lIns="46800" tIns="46800" rIns="46800" bIns="46800" anchor="ctr" anchorCtr="0" upright="1"/>
                                            </wps:wsp>
                                            <wps:wsp>
                                              <wps:cNvPr id="133" name="AutoShape 135"/>
                                              <wps:cNvSpPr/>
                                              <wps:spPr>
                                                <a:xfrm>
                                                  <a:off x="3568" y="9379"/>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001821E8">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或支付给医院</w:t>
                                                    </w:r>
                                                  </w:p>
                                                </w:txbxContent>
                                              </wps:txbx>
                                              <wps:bodyPr vert="horz" lIns="46800" tIns="46800" rIns="46800" bIns="46800" anchor="ctr" anchorCtr="0" upright="1"/>
                                            </wps:wsp>
                                            <wps:wsp>
                                              <wps:cNvPr id="134" name="AutoShape 155"/>
                                              <wps:cNvSpPr/>
                                              <wps:spPr>
                                                <a:xfrm>
                                                  <a:off x="3451" y="8118"/>
                                                  <a:ext cx="1928"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0B41A5EB">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医患双方接受</w:t>
                                                    </w:r>
                                                  </w:p>
                                                </w:txbxContent>
                                              </wps:txbx>
                                              <wps:bodyPr vert="horz" lIns="46800" tIns="46800" rIns="46800" bIns="46800" anchor="ctr" anchorCtr="0" upright="1"/>
                                            </wps:wsp>
                                            <wps:wsp>
                                              <wps:cNvPr id="135" name="AutoShape 158"/>
                                              <wps:cNvSpPr/>
                                              <wps:spPr>
                                                <a:xfrm>
                                                  <a:off x="139" y="8167"/>
                                                  <a:ext cx="1701" cy="51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14:paraId="565F78A3">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b/>
                                                      </w:rPr>
                                                    </w:pPr>
                                                    <w:r>
                                                      <w:rPr>
                                                        <w:rFonts w:hint="eastAsia"/>
                                                        <w:b/>
                                                      </w:rPr>
                                                      <w:t>认定保险责任</w:t>
                                                    </w:r>
                                                  </w:p>
                                                </w:txbxContent>
                                              </wps:txbx>
                                              <wps:bodyPr vert="horz" lIns="46800" tIns="46800" rIns="46800" bIns="46800" anchor="ctr" anchorCtr="0" upright="1"/>
                                            </wps:wsp>
                                            <wps:wsp>
                                              <wps:cNvPr id="137" name="AutoShape 131"/>
                                              <wps:cNvSpPr/>
                                              <wps:spPr>
                                                <a:xfrm>
                                                  <a:off x="70" y="7096"/>
                                                  <a:ext cx="1836"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14:paraId="38A4558F">
                                                    <w:pPr>
                                                      <w:jc w:val="center"/>
                                                    </w:pPr>
                                                    <w:r>
                                                      <w:rPr>
                                                        <w:rFonts w:hint="eastAsia"/>
                                                      </w:rPr>
                                                      <w:t>提交保险人索赔</w:t>
                                                    </w:r>
                                                  </w:p>
                                                </w:txbxContent>
                                              </wps:txbx>
                                              <wps:bodyPr vert="horz" lIns="46800" tIns="46800" rIns="46800" bIns="46800" anchor="ctr" anchorCtr="0" upright="1"/>
                                            </wps:wsp>
                                            <wps:wsp>
                                              <wps:cNvPr id="138" name="AutoShape 137"/>
                                              <wps:cNvSpPr/>
                                              <wps:spPr>
                                                <a:xfrm>
                                                  <a:off x="3565" y="6982"/>
                                                  <a:ext cx="1701" cy="51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14:paraId="7AB9E165">
                                                    <w:pPr>
                                                      <w:keepNext w:val="0"/>
                                                      <w:keepLines w:val="0"/>
                                                      <w:pageBreakBefore w:val="0"/>
                                                      <w:widowControl w:val="0"/>
                                                      <w:kinsoku/>
                                                      <w:wordWrap w:val="0"/>
                                                      <w:overflowPunct/>
                                                      <w:topLinePunct w:val="0"/>
                                                      <w:autoSpaceDE/>
                                                      <w:autoSpaceDN/>
                                                      <w:bidi w:val="0"/>
                                                      <w:adjustRightInd/>
                                                      <w:snapToGrid/>
                                                      <w:jc w:val="center"/>
                                                      <w:textAlignment w:val="auto"/>
                                                      <w:rPr>
                                                        <w:b/>
                                                      </w:rPr>
                                                    </w:pPr>
                                                    <w:r>
                                                      <w:rPr>
                                                        <w:rFonts w:hint="eastAsia"/>
                                                        <w:b/>
                                                      </w:rPr>
                                                      <w:t>引导申请调解</w:t>
                                                    </w:r>
                                                  </w:p>
                                                </w:txbxContent>
                                              </wps:txbx>
                                              <wps:bodyPr vert="horz" lIns="46800" tIns="46800" rIns="46800" bIns="46800" anchor="ctr" anchorCtr="0" upright="1"/>
                                            </wps:wsp>
                                          </wpg:grpSp>
                                          <wps:wsp>
                                            <wps:cNvPr id="143" name="五边形 3"/>
                                            <wps:cNvSpPr/>
                                            <wps:spPr>
                                              <a:xfrm>
                                                <a:off x="3971925" y="5075555"/>
                                                <a:ext cx="935990" cy="484505"/>
                                              </a:xfrm>
                                              <a:prstGeom prst="homePlate">
                                                <a:avLst>
                                                  <a:gd name="adj" fmla="val 50000"/>
                                                </a:avLst>
                                              </a:prstGeom>
                                              <a:solidFill>
                                                <a:srgbClr val="6D6D6D"/>
                                              </a:solidFill>
                                              <a:ln w="25400" cap="flat" cmpd="sng">
                                                <a:solidFill>
                                                  <a:srgbClr val="4395D1"/>
                                                </a:solidFill>
                                                <a:prstDash val="solid"/>
                                                <a:miter/>
                                                <a:headEnd type="none" w="med" len="med"/>
                                                <a:tailEnd type="none" w="med" len="med"/>
                                              </a:ln>
                                              <a:effectLst/>
                                            </wps:spPr>
                                            <wps:txbx>
                                              <w:txbxContent>
                                                <w:p w14:paraId="5C2B83B3">
                                                  <w:pPr>
                                                    <w:keepNext w:val="0"/>
                                                    <w:keepLines w:val="0"/>
                                                    <w:pageBreakBefore w:val="0"/>
                                                    <w:widowControl w:val="0"/>
                                                    <w:kinsoku/>
                                                    <w:wordWrap w:val="0"/>
                                                    <w:overflowPunct/>
                                                    <w:topLinePunct w:val="0"/>
                                                    <w:autoSpaceDE/>
                                                    <w:autoSpaceDN/>
                                                    <w:bidi w:val="0"/>
                                                    <w:adjustRightInd/>
                                                    <w:snapToGrid/>
                                                    <w:jc w:val="center"/>
                                                    <w:textAlignment w:val="auto"/>
                                                    <w:rPr>
                                                      <w:rFonts w:hint="eastAsia"/>
                                                      <w:color w:val="000000"/>
                                                    </w:rPr>
                                                  </w:pPr>
                                                  <w:r>
                                                    <w:rPr>
                                                      <w:rFonts w:hint="eastAsia"/>
                                                      <w:color w:val="000000"/>
                                                    </w:rPr>
                                                    <w:t>进入</w:t>
                                                  </w:r>
                                                </w:p>
                                                <w:p w14:paraId="7FF5E31B">
                                                  <w:pPr>
                                                    <w:keepNext w:val="0"/>
                                                    <w:keepLines w:val="0"/>
                                                    <w:pageBreakBefore w:val="0"/>
                                                    <w:widowControl w:val="0"/>
                                                    <w:kinsoku/>
                                                    <w:wordWrap w:val="0"/>
                                                    <w:overflowPunct/>
                                                    <w:topLinePunct w:val="0"/>
                                                    <w:autoSpaceDE/>
                                                    <w:autoSpaceDN/>
                                                    <w:bidi w:val="0"/>
                                                    <w:adjustRightInd/>
                                                    <w:snapToGrid/>
                                                    <w:jc w:val="center"/>
                                                    <w:textAlignment w:val="auto"/>
                                                    <w:rPr>
                                                      <w:color w:val="000000"/>
                                                    </w:rPr>
                                                  </w:pPr>
                                                  <w:r>
                                                    <w:rPr>
                                                      <w:rFonts w:hint="eastAsia"/>
                                                      <w:color w:val="000000"/>
                                                    </w:rPr>
                                                    <w:t>调解程序</w:t>
                                                  </w:r>
                                                </w:p>
                                              </w:txbxContent>
                                            </wps:txbx>
                                            <wps:bodyPr vert="horz" lIns="46800" tIns="46800" rIns="46800" bIns="46800" anchor="ctr" anchorCtr="0" upright="1"/>
                                          </wps:wsp>
                                          <wps:wsp>
                                            <wps:cNvPr id="144" name="五边形 4"/>
                                            <wps:cNvSpPr/>
                                            <wps:spPr>
                                              <a:xfrm>
                                                <a:off x="3952240" y="3679825"/>
                                                <a:ext cx="935990" cy="484505"/>
                                              </a:xfrm>
                                              <a:prstGeom prst="homePlate">
                                                <a:avLst>
                                                  <a:gd name="adj" fmla="val 50004"/>
                                                </a:avLst>
                                              </a:prstGeom>
                                              <a:solidFill>
                                                <a:srgbClr val="6D6D6D"/>
                                              </a:solidFill>
                                              <a:ln w="25400" cap="flat" cmpd="sng">
                                                <a:solidFill>
                                                  <a:srgbClr val="4395D1"/>
                                                </a:solidFill>
                                                <a:prstDash val="solid"/>
                                                <a:miter/>
                                                <a:headEnd type="none" w="med" len="med"/>
                                                <a:tailEnd type="none" w="med" len="med"/>
                                              </a:ln>
                                              <a:effectLst/>
                                            </wps:spPr>
                                            <wps:txbx>
                                              <w:txbxContent>
                                                <w:p w14:paraId="572C9C09">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000000"/>
                                                    </w:rPr>
                                                  </w:pPr>
                                                  <w:r>
                                                    <w:rPr>
                                                      <w:rFonts w:hint="eastAsia"/>
                                                      <w:color w:val="000000"/>
                                                    </w:rPr>
                                                    <w:t>引导</w:t>
                                                  </w:r>
                                                </w:p>
                                                <w:p w14:paraId="45F09E46">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color w:val="000000"/>
                                                    </w:rPr>
                                                    <w:t>走</w:t>
                                                  </w:r>
                                                  <w:r>
                                                    <w:rPr>
                                                      <w:rFonts w:hint="eastAsia"/>
                                                    </w:rPr>
                                                    <w:t>诉讼</w:t>
                                                  </w:r>
                                                </w:p>
                                                <w:p w14:paraId="557B1A8A">
                                                  <w:pPr>
                                                    <w:ind w:firstLine="105" w:firstLineChars="50"/>
                                                  </w:pPr>
                                                  <w:r>
                                                    <w:rPr>
                                                      <w:rFonts w:hint="eastAsia"/>
                                                    </w:rPr>
                                                    <w:t>导走诉讼</w:t>
                                                  </w:r>
                                                </w:p>
                                                <w:p w14:paraId="0F2FCA8B">
                                                  <w:pPr>
                                                    <w:ind w:firstLine="105" w:firstLineChars="50"/>
                                                    <w:jc w:val="center"/>
                                                  </w:pPr>
                                                  <w:r>
                                                    <w:rPr>
                                                      <w:rFonts w:hint="eastAsia"/>
                                                    </w:rPr>
                                                    <w:t>讼</w:t>
                                                  </w:r>
                                                </w:p>
                                                <w:p w14:paraId="7B3D77FE">
                                                  <w:pPr>
                                                    <w:pStyle w:val="17"/>
                                                    <w:jc w:val="center"/>
                                                  </w:pPr>
                                                  <w:r>
                                                    <w:rPr>
                                                      <w:rFonts w:hint="eastAsia"/>
                                                      <w:szCs w:val="21"/>
                                                    </w:rPr>
                                                    <w:t>走司法诉讼</w:t>
                                                  </w:r>
                                                </w:p>
                                              </w:txbxContent>
                                            </wps:txbx>
                                            <wps:bodyPr vert="horz" lIns="46800" tIns="46800" rIns="46800" bIns="46800" anchor="ctr" anchorCtr="0" upright="1"/>
                                          </wps:wsp>
                                        </wpg:grpSp>
                                        <wps:wsp>
                                          <wps:cNvPr id="218" name="AutoShape 14"/>
                                          <wps:cNvCnPr>
                                            <a:stCxn id="114" idx="2"/>
                                            <a:endCxn id="117" idx="0"/>
                                          </wps:cNvCnPr>
                                          <wps:spPr>
                                            <a:xfrm rot="5400000">
                                              <a:off x="5217" y="122706"/>
                                              <a:ext cx="892" cy="1731"/>
                                            </a:xfrm>
                                            <a:prstGeom prst="bentConnector3">
                                              <a:avLst>
                                                <a:gd name="adj1" fmla="val 49944"/>
                                              </a:avLst>
                                            </a:prstGeom>
                                            <a:ln w="9525" cap="flat" cmpd="sng">
                                              <a:solidFill>
                                                <a:srgbClr val="000000"/>
                                              </a:solidFill>
                                              <a:prstDash val="solid"/>
                                              <a:miter/>
                                              <a:headEnd type="none" w="med" len="med"/>
                                              <a:tailEnd type="triangle" w="med" len="med"/>
                                            </a:ln>
                                            <a:effectLst/>
                                          </wps:spPr>
                                          <wps:bodyPr/>
                                        </wps:wsp>
                                      </wpg:grpSp>
                                      <wps:wsp>
                                        <wps:cNvPr id="219" name="AutoShape 14"/>
                                        <wps:cNvCnPr>
                                          <a:stCxn id="117" idx="3"/>
                                          <a:endCxn id="131" idx="1"/>
                                        </wps:cNvCnPr>
                                        <wps:spPr>
                                          <a:xfrm>
                                            <a:off x="5035" y="123663"/>
                                            <a:ext cx="1696" cy="5"/>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220" name="AutoShape 14"/>
                                        <wps:cNvCnPr>
                                          <a:stCxn id="117" idx="2"/>
                                          <a:endCxn id="125" idx="1"/>
                                        </wps:cNvCnPr>
                                        <wps:spPr>
                                          <a:xfrm rot="5400000" flipV="1">
                                            <a:off x="4488" y="123536"/>
                                            <a:ext cx="432" cy="1185"/>
                                          </a:xfrm>
                                          <a:prstGeom prst="bentConnector2">
                                            <a:avLst/>
                                          </a:prstGeom>
                                          <a:ln w="9525" cap="flat" cmpd="sng">
                                            <a:solidFill>
                                              <a:srgbClr val="000000"/>
                                            </a:solidFill>
                                            <a:prstDash val="solid"/>
                                            <a:miter/>
                                            <a:headEnd type="none" w="med" len="med"/>
                                            <a:tailEnd type="triangle" w="med" len="med"/>
                                          </a:ln>
                                          <a:effectLst/>
                                        </wps:spPr>
                                        <wps:bodyPr/>
                                      </wps:wsp>
                                      <wps:wsp>
                                        <wps:cNvPr id="221" name="AutoShape 14"/>
                                        <wps:cNvCnPr>
                                          <a:stCxn id="125" idx="2"/>
                                          <a:endCxn id="115" idx="0"/>
                                        </wps:cNvCnPr>
                                        <wps:spPr>
                                          <a:xfrm rot="5400000" flipV="1">
                                            <a:off x="5815" y="124784"/>
                                            <a:ext cx="382" cy="1"/>
                                          </a:xfrm>
                                          <a:prstGeom prst="bentConnector3">
                                            <a:avLst>
                                              <a:gd name="adj1" fmla="val 49869"/>
                                            </a:avLst>
                                          </a:prstGeom>
                                          <a:ln w="9525" cap="flat" cmpd="sng">
                                            <a:solidFill>
                                              <a:srgbClr val="000000"/>
                                            </a:solidFill>
                                            <a:prstDash val="solid"/>
                                            <a:miter/>
                                            <a:headEnd type="none" w="med" len="med"/>
                                            <a:tailEnd type="triangle" w="med" len="med"/>
                                          </a:ln>
                                          <a:effectLst/>
                                        </wps:spPr>
                                        <wps:bodyPr/>
                                      </wps:wsp>
                                      <wps:wsp>
                                        <wps:cNvPr id="222" name="AutoShape 14"/>
                                        <wps:cNvCnPr>
                                          <a:stCxn id="115" idx="2"/>
                                          <a:endCxn id="130" idx="0"/>
                                        </wps:cNvCnPr>
                                        <wps:spPr>
                                          <a:xfrm rot="5400000" flipV="1">
                                            <a:off x="5799" y="126884"/>
                                            <a:ext cx="416" cy="1"/>
                                          </a:xfrm>
                                          <a:prstGeom prst="bentConnector3">
                                            <a:avLst>
                                              <a:gd name="adj1" fmla="val 49880"/>
                                            </a:avLst>
                                          </a:prstGeom>
                                          <a:ln w="9525" cap="flat" cmpd="sng">
                                            <a:solidFill>
                                              <a:srgbClr val="000000"/>
                                            </a:solidFill>
                                            <a:prstDash val="solid"/>
                                            <a:miter/>
                                            <a:headEnd type="none" w="med" len="med"/>
                                            <a:tailEnd type="triangle" w="med" len="med"/>
                                          </a:ln>
                                          <a:effectLst/>
                                        </wps:spPr>
                                        <wps:bodyPr/>
                                      </wps:wsp>
                                    </wpg:grpSp>
                                    <wps:wsp>
                                      <wps:cNvPr id="233" name="AutoShape 14"/>
                                      <wps:cNvCnPr>
                                        <a:stCxn id="130" idx="1"/>
                                        <a:endCxn id="127" idx="0"/>
                                      </wps:cNvCnPr>
                                      <wps:spPr>
                                        <a:xfrm rot="10800000" flipV="1">
                                          <a:off x="5671" y="128269"/>
                                          <a:ext cx="980" cy="672"/>
                                        </a:xfrm>
                                        <a:prstGeom prst="bentConnector2">
                                          <a:avLst/>
                                        </a:prstGeom>
                                        <a:ln w="9525" cap="flat" cmpd="sng">
                                          <a:solidFill>
                                            <a:srgbClr val="000000"/>
                                          </a:solidFill>
                                          <a:prstDash val="solid"/>
                                          <a:miter/>
                                          <a:headEnd type="none" w="med" len="med"/>
                                          <a:tailEnd type="triangle" w="med" len="med"/>
                                        </a:ln>
                                        <a:effectLst/>
                                      </wps:spPr>
                                      <wps:bodyPr/>
                                    </wps:wsp>
                                  </wpg:grpSp>
                                </wpg:grpSp>
                              </wpg:grpSp>
                              <wps:wsp>
                                <wps:cNvPr id="240" name="AutoShape 14"/>
                                <wps:cNvCnPr>
                                  <a:stCxn id="126" idx="3"/>
                                  <a:endCxn id="144" idx="1"/>
                                </wps:cNvCnPr>
                                <wps:spPr>
                                  <a:xfrm>
                                    <a:off x="9611" y="129914"/>
                                    <a:ext cx="898" cy="1"/>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241" name="AutoShape 14"/>
                                <wps:cNvCnPr>
                                  <a:stCxn id="135" idx="2"/>
                                  <a:endCxn id="133" idx="0"/>
                                </wps:cNvCnPr>
                                <wps:spPr>
                                  <a:xfrm rot="5400000" flipV="1">
                                    <a:off x="6639" y="131052"/>
                                    <a:ext cx="702" cy="3429"/>
                                  </a:xfrm>
                                  <a:prstGeom prst="bentConnector3">
                                    <a:avLst>
                                      <a:gd name="adj1" fmla="val 49929"/>
                                    </a:avLst>
                                  </a:prstGeom>
                                  <a:ln w="9525" cap="flat" cmpd="sng">
                                    <a:solidFill>
                                      <a:srgbClr val="000000"/>
                                    </a:solidFill>
                                    <a:prstDash val="solid"/>
                                    <a:miter/>
                                    <a:headEnd type="none" w="med" len="med"/>
                                    <a:tailEnd type="triangle" w="med" len="med"/>
                                  </a:ln>
                                  <a:effectLst/>
                                </wps:spPr>
                                <wps:bodyPr/>
                              </wps:wsp>
                              <wps:wsp>
                                <wps:cNvPr id="242" name="AutoShape 14"/>
                                <wps:cNvCnPr>
                                  <a:stCxn id="134" idx="1"/>
                                  <a:endCxn id="127" idx="3"/>
                                </wps:cNvCnPr>
                                <wps:spPr>
                                  <a:xfrm rot="10800000">
                                    <a:off x="6122" y="129938"/>
                                    <a:ext cx="1614" cy="2173"/>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g:grpSp>
                            <wps:wsp>
                              <wps:cNvPr id="244" name="AutoShape 14"/>
                              <wps:cNvCnPr>
                                <a:stCxn id="134" idx="3"/>
                                <a:endCxn id="143" idx="1"/>
                              </wps:cNvCnPr>
                              <wps:spPr>
                                <a:xfrm>
                                  <a:off x="10278" y="131238"/>
                                  <a:ext cx="876" cy="2"/>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g:grpSp>
                          <wps:wsp>
                            <wps:cNvPr id="246" name="AutoShape 14"/>
                            <wps:cNvCnPr>
                              <a:stCxn id="127" idx="2"/>
                              <a:endCxn id="137" idx="0"/>
                            </wps:cNvCnPr>
                            <wps:spPr>
                              <a:xfrm rot="5400000" flipV="1">
                                <a:off x="5740" y="130709"/>
                                <a:ext cx="641" cy="5"/>
                              </a:xfrm>
                              <a:prstGeom prst="bentConnector3">
                                <a:avLst>
                                  <a:gd name="adj1" fmla="val 50078"/>
                                </a:avLst>
                              </a:prstGeom>
                              <a:ln w="9525" cap="flat" cmpd="sng">
                                <a:solidFill>
                                  <a:srgbClr val="000000"/>
                                </a:solidFill>
                                <a:prstDash val="solid"/>
                                <a:miter/>
                                <a:headEnd type="none" w="med" len="med"/>
                                <a:tailEnd type="triangle" w="med" len="med"/>
                              </a:ln>
                              <a:effectLst/>
                            </wps:spPr>
                            <wps:bodyPr/>
                          </wps:wsp>
                        </wpg:grpSp>
                        <wps:wsp>
                          <wps:cNvPr id="247" name="AutoShape 14"/>
                          <wps:cNvCnPr>
                            <a:stCxn id="137" idx="2"/>
                            <a:endCxn id="135" idx="0"/>
                          </wps:cNvCnPr>
                          <wps:spPr>
                            <a:xfrm rot="5400000" flipV="1">
                              <a:off x="5782" y="131821"/>
                              <a:ext cx="561" cy="2"/>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g:grpSp>
                      <wps:wsp>
                        <wps:cNvPr id="250" name="AutoShape 14"/>
                        <wps:cNvCnPr>
                          <a:stCxn id="135" idx="2"/>
                          <a:endCxn id="132" idx="0"/>
                        </wps:cNvCnPr>
                        <wps:spPr>
                          <a:xfrm rot="5400000" flipV="1">
                            <a:off x="5747" y="132929"/>
                            <a:ext cx="634" cy="1"/>
                          </a:xfrm>
                          <a:prstGeom prst="bentConnector3">
                            <a:avLst>
                              <a:gd name="adj1" fmla="val 49921"/>
                            </a:avLst>
                          </a:prstGeom>
                          <a:ln w="9525" cap="flat" cmpd="sng">
                            <a:solidFill>
                              <a:srgbClr val="000000"/>
                            </a:solidFill>
                            <a:prstDash val="solid"/>
                            <a:miter/>
                            <a:headEnd type="none" w="med" len="med"/>
                            <a:tailEnd type="triangle" w="med" len="med"/>
                          </a:ln>
                          <a:effectLst/>
                        </wps:spPr>
                        <wps:bodyPr/>
                      </wps:wsp>
                    </wpg:wgp>
                  </a:graphicData>
                </a:graphic>
              </wp:inline>
            </w:drawing>
          </mc:Choice>
          <mc:Fallback>
            <w:pict>
              <v:group id="_x0000_s1026" o:spid="_x0000_s1026" o:spt="203" style="height:517.1pt;width:389.2pt;" coordorigin="5071,123482" coordsize="7784,10342" o:gfxdata="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LD45t3XAAAABgEAAA8AAAAAAAAA&#10;AQAgAAAAIgAAAGRycy9kb3ducmV2LnhtbFBLAQIUABQAAAAIAIdO4kCGPln+bAsAAFFvAAAOAAAA&#10;AAAAAAEAIAAAACYBAABkcnMvZTJvRG9jLnhtbFBLBQYAAAAABgAGAFkBAAAEDwAAAAA=&#10;">
                <o:lock v:ext="edit" aspectratio="f"/>
                <v:group id="组合 249" o:spid="_x0000_s1026" o:spt="203" style="position:absolute;left:5071;top:123482;height:10342;width:7784;" coordorigin="5071,123482" coordsize="7784,1034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group id="组合 248" o:spid="_x0000_s1026" o:spt="203" style="position:absolute;left:5071;top:123482;height:10342;width:7784;" coordorigin="5071,123482" coordsize="7784,10342"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组合 245" o:spid="_x0000_s1026" o:spt="203" style="position:absolute;left:5071;top:123482;height:10342;width:7784;" coordorigin="4897,122412" coordsize="7784,10342"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group id="组合 243" o:spid="_x0000_s1026" o:spt="203" style="position:absolute;left:4897;top:122412;height:10342;width:7784;" coordorigin="4283,123285" coordsize="7784,10342"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group id="组合 236" o:spid="_x0000_s1026" o:spt="203" style="position:absolute;left:4283;top:123285;height:10342;width:7784;" coordorigin="2642,122049" coordsize="7784,10342"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AutoShape 14" o:spid="_x0000_s1026" o:spt="34" type="#_x0000_t34" style="position:absolute;left:6747;top:130307;height:1;width:626;rotation:5898240f;" filled="f" stroked="t" coordsize="21600,21600" o:gfxdata="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8Z8S/&#10;AAAA3AAAAA8AAAAAAAAAAQAgAAAAIgAAAGRycy9kb3ducmV2LnhtbFBLAQIUABQAAAAIAIdO4kAz&#10;LwWeOwAAADkAAAAQAAAAAAAAAAEAIAAAAA4BAABkcnMvc2hhcGV4bWwueG1sUEsFBgAAAAAGAAYA&#10;WwEAALgDAAAAAA==&#10;" adj="10783">
                            <v:fill on="f" focussize="0,0"/>
                            <v:stroke color="#000000" joinstyle="miter" endarrow="block"/>
                            <v:imagedata o:title=""/>
                            <o:lock v:ext="edit" aspectratio="f"/>
                          </v:shape>
                          <v:group id="组合 235" o:spid="_x0000_s1026" o:spt="203" style="position:absolute;left:2642;top:122049;height:10342;width:7784;" coordorigin="3670,122887" coordsize="7784,10342"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AutoShape 14" o:spid="_x0000_s1026" o:spt="34" type="#_x0000_t34" style="position:absolute;left:7814;top:130045;height:3;width:551;rotation:5898240f;" filled="f" stroked="t" coordsize="21600,21600" o:gfxdata="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PuFW8AAAA&#10;3AAAAA8AAAAAAAAAAQAgAAAAIgAAAGRycy9kb3ducmV2LnhtbFBLAQIUABQAAAAIAIdO4kAzLwWe&#10;OwAAADkAAAAQAAAAAAAAAAEAIAAAAAsBAABkcnMvc2hhcGV4bWwueG1sUEsFBgAAAAAGAAYAWwEA&#10;ALUDAAAAAA==&#10;" adj="10820">
                              <v:fill on="f" focussize="0,0"/>
                              <v:stroke color="#000000" joinstyle="miter" endarrow="block"/>
                              <v:imagedata o:title=""/>
                              <o:lock v:ext="edit" aspectratio="f"/>
                            </v:shape>
                            <v:shape id="AutoShape 14" o:spid="_x0000_s1026" o:spt="33" type="#_x0000_t33" style="position:absolute;left:7340;top:128606;height:655;width:751;" filled="f" stroked="t" coordsize="21600,21600" o:gfxdata="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F3uu/&#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group id="组合 234" o:spid="_x0000_s1026" o:spt="203" style="position:absolute;left:3670;top:122887;height:10342;width:7784;" coordorigin="4682,122550" coordsize="7784,10342"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group id="组合 224" o:spid="_x0000_s1026" o:spt="203" style="position:absolute;left:4682;top:122550;height:10342;width:7784;" coordorigin="3187,121628" coordsize="7784,10342"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group id="组合 223" o:spid="_x0000_s1026" o:spt="203" style="position:absolute;left:3187;top:121628;height:10342;width:7784;" coordorigin="3873,122232" coordsize="7784,10342"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AutoShape 14" o:spid="_x0000_s1026" o:spt="34" type="#_x0000_t34" style="position:absolute;left:7078;top:122576;flip:y;height:1993;width:894;rotation:-5898240f;" filled="f" stroked="t" coordsize="21600,21600" o:gfxdata="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laEe/&#10;AAAA3AAAAA8AAAAAAAAAAQAgAAAAIgAAAGRycy9kb3ducmV2LnhtbFBLAQIUABQAAAAIAIdO4kAz&#10;LwWeOwAAADkAAAAQAAAAAAAAAAEAIAAAAA4BAABkcnMvc2hhcGV4bWwueG1sUEsFBgAAAAAGAAYA&#10;WwEAALgDAAAAAA==&#10;" adj="10788">
                                    <v:fill on="f" focussize="0,0"/>
                                    <v:stroke color="#000000" joinstyle="miter" endarrow="block"/>
                                    <v:imagedata o:title=""/>
                                    <o:lock v:ext="edit" aspectratio="f"/>
                                  </v:shape>
                                  <v:group id="Group 41" o:spid="_x0000_s1026" o:spt="203" style="position:absolute;left:3873;top:122232;height:10342;width:7784;" coordorigin="-1270,-287655" coordsize="4942840,6567170"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group id="Group 42" o:spid="_x0000_s1026" o:spt="203" style="position:absolute;left:-1270;top:-287655;height:6567170;width:4942840;" coordorigin="-2,-453" coordsize="7784,10342"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group id="Group 43" o:spid="_x0000_s1026" o:spt="203" style="position:absolute;left:-2;top:-453;height:6908;width:7784;" coordorigin="-17,-453" coordsize="7784,6908"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AutoShape 14" o:spid="_x0000_s1026" o:spt="109" type="#_x0000_t109" style="position:absolute;left:4427;top:-453;height:1050;width:3340;v-text-anchor:middle;" fillcolor="#FFFFFF" filled="t" stroked="t" coordsize="21600,21600" o:gfxdata="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XzQvugAAANwA&#10;AAAPAAAAAAAAAAEAIAAAACIAAABkcnMvZG93bnJldi54bWxQSwECFAAUAAAACACHTuJAMy8FnjsA&#10;AAA5AAAAEAAAAAAAAAABACAAAAAJAQAAZHJzL3NoYXBleG1sLnhtbFBLBQYAAAAABgAGAFsBAACz&#10;AwAAAAA=&#10;">
                                          <v:fill on="t" focussize="0,0"/>
                                          <v:stroke weight="1pt" color="#000000" joinstyle="miter" dashstyle="dash"/>
                                          <v:imagedata o:title=""/>
                                          <o:lock v:ext="edit" aspectratio="f"/>
                                          <v:textbox inset="1.3mm,1.3mm,1.3mm,1.3mm">
                                            <w:txbxContent>
                                              <w:p w14:paraId="694D83C0">
                                                <w:pPr>
                                                  <w:keepNext w:val="0"/>
                                                  <w:keepLines w:val="0"/>
                                                  <w:pageBreakBefore w:val="0"/>
                                                  <w:widowControl w:val="0"/>
                                                  <w:kinsoku/>
                                                  <w:wordWrap w:val="0"/>
                                                  <w:overflowPunct/>
                                                  <w:topLinePunct w:val="0"/>
                                                  <w:autoSpaceDE/>
                                                  <w:autoSpaceDN/>
                                                  <w:bidi w:val="0"/>
                                                  <w:adjustRightInd/>
                                                  <w:snapToGrid/>
                                                  <w:textAlignment w:val="auto"/>
                                                  <w:rPr>
                                                    <w:b/>
                                                  </w:rPr>
                                                </w:pPr>
                                                <w:r>
                                                  <w:rPr>
                                                    <w:rFonts w:hint="eastAsia"/>
                                                    <w:b/>
                                                  </w:rPr>
                                                  <w:t>报案内容：就诊时间、事件发生时间、大致诊疗过程、患者最终状态、投诉事件、患者诉求等</w:t>
                                                </w:r>
                                              </w:p>
                                            </w:txbxContent>
                                          </v:textbox>
                                        </v:shape>
                                        <v:group id="Group 45" o:spid="_x0000_s1026" o:spt="203" style="position:absolute;left:-17;top:-59;height:6514;width:5568;" coordorigin="-17,-226" coordsize="5568,6514"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AutoShape 5" o:spid="_x0000_s1026" o:spt="109" type="#_x0000_t109" style="position:absolute;left:1929;top:-226;height:499;width:1417;v-text-anchor:middle;" fillcolor="#FFFFFF" filled="t" stroked="t" coordsize="21600,21600" o:gfxdata="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Qmr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26054A7B">
                                                  <w:pPr>
                                                    <w:keepNext w:val="0"/>
                                                    <w:keepLines w:val="0"/>
                                                    <w:pageBreakBefore w:val="0"/>
                                                    <w:widowControl w:val="0"/>
                                                    <w:kinsoku/>
                                                    <w:wordWrap/>
                                                    <w:overflowPunct/>
                                                    <w:topLinePunct w:val="0"/>
                                                    <w:autoSpaceDE/>
                                                    <w:autoSpaceDN/>
                                                    <w:bidi w:val="0"/>
                                                    <w:adjustRightInd/>
                                                    <w:snapToGrid/>
                                                    <w:jc w:val="center"/>
                                                    <w:textAlignment w:val="auto"/>
                                                  </w:pPr>
                                                  <w:r>
                                                    <w:rPr>
                                                      <w:rFonts w:hint="eastAsia"/>
                                                    </w:rPr>
                                                    <w:t>纠纷报案</w:t>
                                                  </w:r>
                                                </w:p>
                                              </w:txbxContent>
                                            </v:textbox>
                                          </v:shape>
                                          <v:shape id="AutoShape 7" o:spid="_x0000_s1026" o:spt="109" type="#_x0000_t109" style="position:absolute;left:817;top:2727;height:1701;width:3969;v-text-anchor:middle;" fillcolor="#FFFFFF" filled="t" stroked="t" coordsize="21600,21600" o:gfxdata="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2rFu8AAAA&#10;3AAAAA8AAAAAAAAAAQAgAAAAIgAAAGRycy9kb3ducmV2LnhtbFBLAQIUABQAAAAIAIdO4kAzLwWe&#10;OwAAADkAAAAQAAAAAAAAAAEAIAAAAAsBAABkcnMvc2hhcGV4bWwueG1sUEsFBgAAAAAGAAYAWwEA&#10;ALUDAAAAAA==&#10;">
                                            <v:fill on="t" focussize="0,0"/>
                                            <v:stroke weight="1pt" color="#000000" joinstyle="miter" dashstyle="dash"/>
                                            <v:imagedata o:title=""/>
                                            <o:lock v:ext="edit" aspectratio="f"/>
                                            <v:textbox inset="1.3mm,1.3mm,1.3mm,1.3mm">
                                              <w:txbxContent>
                                                <w:p w14:paraId="7496868B">
                                                  <w:pPr>
                                                    <w:rPr>
                                                      <w:b/>
                                                    </w:rPr>
                                                  </w:pPr>
                                                  <w:r>
                                                    <w:rPr>
                                                      <w:rFonts w:hint="eastAsia"/>
                                                      <w:b/>
                                                    </w:rPr>
                                                    <w:t>会诊要求：是否存在过错及过错类型？</w:t>
                                                  </w:r>
                                                </w:p>
                                                <w:p w14:paraId="2F8BD569">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是否违反诊疗常规？</w:t>
                                                  </w:r>
                                                </w:p>
                                                <w:p w14:paraId="508DD784">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损害金额？</w:t>
                                                  </w:r>
                                                </w:p>
                                                <w:p w14:paraId="2D1575DC">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在权限内处理</w:t>
                                                  </w:r>
                                                </w:p>
                                                <w:p w14:paraId="09BBB552">
                                                  <w:pPr>
                                                    <w:keepNext w:val="0"/>
                                                    <w:keepLines w:val="0"/>
                                                    <w:pageBreakBefore w:val="0"/>
                                                    <w:widowControl w:val="0"/>
                                                    <w:kinsoku/>
                                                    <w:wordWrap w:val="0"/>
                                                    <w:overflowPunct/>
                                                    <w:topLinePunct w:val="0"/>
                                                    <w:autoSpaceDE/>
                                                    <w:autoSpaceDN/>
                                                    <w:bidi w:val="0"/>
                                                    <w:adjustRightInd/>
                                                    <w:snapToGrid/>
                                                    <w:ind w:firstLine="1054" w:firstLineChars="500"/>
                                                    <w:textAlignment w:val="auto"/>
                                                    <w:rPr>
                                                      <w:b/>
                                                    </w:rPr>
                                                  </w:pPr>
                                                  <w:r>
                                                    <w:rPr>
                                                      <w:rFonts w:hint="eastAsia"/>
                                                      <w:b/>
                                                    </w:rPr>
                                                    <w:t>核对资料完整</w:t>
                                                  </w:r>
                                                </w:p>
                                              </w:txbxContent>
                                            </v:textbox>
                                          </v:shape>
                                          <v:shape id="AutoShape 118" o:spid="_x0000_s1026" o:spt="109" type="#_x0000_t109" style="position:absolute;left:-17;top:1165;height:499;width:1848;v-text-anchor:middle;" fillcolor="#FFFFFF" filled="t" stroked="t" coordsize="21600,21600" o:gfxdata="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Dl9y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inset="1.3mm,1.3mm,1.3mm,1.3mm">
                                              <w:txbxContent>
                                                <w:p w14:paraId="4C619A95">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广东和谐医调委</w:t>
                                                  </w:r>
                                                </w:p>
                                              </w:txbxContent>
                                            </v:textbox>
                                          </v:shape>
                                          <v:shape id="AutoShape 124" o:spid="_x0000_s1026" o:spt="109" type="#_x0000_t109" style="position:absolute;left:2092;top:1846;height:499;width:1417;v-text-anchor:middle;" fillcolor="#FFFFFF" filled="t" stroked="t" coordsize="21600,21600" o:gfxdata="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MWaN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6401EE92">
                                                  <w:pPr>
                                                    <w:jc w:val="center"/>
                                                  </w:pPr>
                                                  <w:r>
                                                    <w:rPr>
                                                      <w:rFonts w:hint="eastAsia"/>
                                                    </w:rPr>
                                                    <w:t>医院会诊</w:t>
                                                  </w:r>
                                                </w:p>
                                              </w:txbxContent>
                                            </v:textbox>
                                          </v:shape>
                                          <v:shape id="AutoShape 125" o:spid="_x0000_s1026" o:spt="109" type="#_x0000_t109" style="position:absolute;left:3497;top:5754;height:510;width:1814;v-text-anchor:middle;" fillcolor="#FFFFFF" filled="t" stroked="t" coordsize="21600,21600" o:gfxdata="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4/j6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6A2A7AF5">
                                                  <w:pPr>
                                                    <w:jc w:val="center"/>
                                                  </w:pPr>
                                                  <w:r>
                                                    <w:rPr>
                                                      <w:rFonts w:hint="eastAsia"/>
                                                    </w:rPr>
                                                    <w:t>患方不同意</w:t>
                                                  </w:r>
                                                </w:p>
                                              </w:txbxContent>
                                            </v:textbox>
                                          </v:shape>
                                          <v:shape id="AutoShape 126" o:spid="_x0000_s1026" o:spt="109" type="#_x0000_t109" style="position:absolute;left:121;top:5778;height:510;width:1701;v-text-anchor:middle;" fillcolor="#FFFFFF" filled="t" stroked="t" coordsize="21600,21600" o:gfxdata="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vXWG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inset="1.3mm,1.3mm,1.3mm,1.3mm">
                                              <w:txbxContent>
                                                <w:p w14:paraId="6777BA5D">
                                                  <w:pPr>
                                                    <w:jc w:val="center"/>
                                                  </w:pPr>
                                                  <w:r>
                                                    <w:rPr>
                                                      <w:rFonts w:hint="eastAsia"/>
                                                    </w:rPr>
                                                    <w:t>患方同意</w:t>
                                                  </w:r>
                                                </w:p>
                                              </w:txbxContent>
                                            </v:textbox>
                                          </v:shape>
                                          <v:shape id="AutoShape 8" o:spid="_x0000_s1026" o:spt="109" type="#_x0000_t109" style="position:absolute;left:1952;top:4844;height:510;width:1701;v-text-anchor:middle;" fillcolor="#FFFFFF" filled="t" stroked="t" coordsize="21600,21600" o:gfxdata="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fU8i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inset="1.3mm,1.3mm,1.3mm,1.3mm">
                                              <w:txbxContent>
                                                <w:p w14:paraId="58262AA0">
                                                  <w:pPr>
                                                    <w:jc w:val="center"/>
                                                  </w:pPr>
                                                  <w:r>
                                                    <w:rPr>
                                                      <w:rFonts w:hint="eastAsia"/>
                                                    </w:rPr>
                                                    <w:t>进入和解流程</w:t>
                                                  </w:r>
                                                </w:p>
                                              </w:txbxContent>
                                            </v:textbox>
                                          </v:shape>
                                          <v:shape id="AutoShape 119" o:spid="_x0000_s1026" o:spt="109" type="#_x0000_t109" style="position:absolute;left:3527;top:1167;height:499;width:2024;v-text-anchor:middle;" fillcolor="#FFFFFF" filled="t" stroked="t" coordsize="21600,21600" o:gfxdata="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T9lO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inset="1.3mm,1.3mm,1.3mm,1.3mm">
                                              <w:txbxContent>
                                                <w:p w14:paraId="3FD0ACE1">
                                                  <w:pPr>
                                                    <w:keepNext w:val="0"/>
                                                    <w:keepLines w:val="0"/>
                                                    <w:pageBreakBefore w:val="0"/>
                                                    <w:widowControl w:val="0"/>
                                                    <w:kinsoku/>
                                                    <w:wordWrap/>
                                                    <w:overflowPunct/>
                                                    <w:topLinePunct w:val="0"/>
                                                    <w:autoSpaceDE/>
                                                    <w:autoSpaceDN/>
                                                    <w:bidi w:val="0"/>
                                                    <w:adjustRightInd/>
                                                    <w:snapToGrid/>
                                                    <w:jc w:val="center"/>
                                                    <w:textAlignment w:val="auto"/>
                                                  </w:pPr>
                                                  <w:r>
                                                    <w:rPr>
                                                      <w:rFonts w:hint="eastAsia"/>
                                                    </w:rPr>
                                                    <w:t>保险经纪公司</w:t>
                                                  </w:r>
                                                </w:p>
                                              </w:txbxContent>
                                            </v:textbox>
                                          </v:shape>
                                        </v:group>
                                      </v:group>
                                      <v:shape id="AutoShape 132" o:spid="_x0000_s1026" o:spt="109" type="#_x0000_t109" style="position:absolute;left:140;top:9311;height:510;width:1701;v-text-anchor:middle;" fillcolor="#FFFFFF" filled="t" stroked="t" coordsize="21600,21600" o:gfxdata="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BaCS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inset="1.3mm,1.3mm,1.3mm,1.3mm">
                                          <w:txbxContent>
                                            <w:p w14:paraId="0A176914">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支付给患方</w:t>
                                              </w:r>
                                            </w:p>
                                          </w:txbxContent>
                                        </v:textbox>
                                      </v:shape>
                                      <v:shape id="AutoShape 135" o:spid="_x0000_s1026" o:spt="109" type="#_x0000_t109" style="position:absolute;left:3568;top:9379;height:510;width:1701;v-text-anchor:middle;" fillcolor="#FFFFFF" filled="t" stroked="t" coordsize="21600,21600" o:gfxdata="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3Nv7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inset="1.3mm,1.3mm,1.3mm,1.3mm">
                                          <w:txbxContent>
                                            <w:p w14:paraId="001821E8">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或支付给医院</w:t>
                                              </w:r>
                                            </w:p>
                                          </w:txbxContent>
                                        </v:textbox>
                                      </v:shape>
                                      <v:shape id="AutoShape 155" o:spid="_x0000_s1026" o:spt="109" type="#_x0000_t109" style="position:absolute;left:3451;top:8118;height:510;width:1928;v-text-anchor:middle;" fillcolor="#FFFFFF" filled="t" stroked="t" coordsize="21600,21600" o:gfxdata="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RVy7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inset="1.3mm,1.3mm,1.3mm,1.3mm">
                                          <w:txbxContent>
                                            <w:p w14:paraId="0B41A5EB">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医患双方接受</w:t>
                                              </w:r>
                                            </w:p>
                                          </w:txbxContent>
                                        </v:textbox>
                                      </v:shape>
                                      <v:shape id="AutoShape 158" o:spid="_x0000_s1026" o:spt="109" type="#_x0000_t109" style="position:absolute;left:139;top:8167;height:510;width:1701;v-text-anchor:middle;" fillcolor="#FFFFFF" filled="t" stroked="t" coordsize="21600,21600" o:gfxdata="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PwO7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inset="1.3mm,1.3mm,1.3mm,1.3mm">
                                          <w:txbxContent>
                                            <w:p w14:paraId="565F78A3">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b/>
                                                </w:rPr>
                                              </w:pPr>
                                              <w:r>
                                                <w:rPr>
                                                  <w:rFonts w:hint="eastAsia"/>
                                                  <w:b/>
                                                </w:rPr>
                                                <w:t>认定保险责任</w:t>
                                              </w:r>
                                            </w:p>
                                          </w:txbxContent>
                                        </v:textbox>
                                      </v:shape>
                                      <v:shape id="AutoShape 131" o:spid="_x0000_s1026" o:spt="109" type="#_x0000_t109" style="position:absolute;left:70;top:7096;height:510;width:1836;v-text-anchor:middle;" fillcolor="#FFFFFF" filled="t" stroked="t" coordsize="21600,21600" o:gfxdata="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dsu8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inset="1.3mm,1.3mm,1.3mm,1.3mm">
                                          <w:txbxContent>
                                            <w:p w14:paraId="38A4558F">
                                              <w:pPr>
                                                <w:jc w:val="center"/>
                                              </w:pPr>
                                              <w:r>
                                                <w:rPr>
                                                  <w:rFonts w:hint="eastAsia"/>
                                                </w:rPr>
                                                <w:t>提交保险人索赔</w:t>
                                              </w:r>
                                            </w:p>
                                          </w:txbxContent>
                                        </v:textbox>
                                      </v:shape>
                                      <v:shape id="AutoShape 137" o:spid="_x0000_s1026" o:spt="109" type="#_x0000_t109" style="position:absolute;left:3565;top:6982;height:510;width:1701;v-text-anchor:middle;" fillcolor="#FFFFFF" filled="t" stroked="t" coordsize="21600,21600" o:gfxdata="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Jfpb4A&#10;AADc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inset="1.3mm,1.3mm,1.3mm,1.3mm">
                                          <w:txbxContent>
                                            <w:p w14:paraId="7AB9E165">
                                              <w:pPr>
                                                <w:keepNext w:val="0"/>
                                                <w:keepLines w:val="0"/>
                                                <w:pageBreakBefore w:val="0"/>
                                                <w:widowControl w:val="0"/>
                                                <w:kinsoku/>
                                                <w:wordWrap w:val="0"/>
                                                <w:overflowPunct/>
                                                <w:topLinePunct w:val="0"/>
                                                <w:autoSpaceDE/>
                                                <w:autoSpaceDN/>
                                                <w:bidi w:val="0"/>
                                                <w:adjustRightInd/>
                                                <w:snapToGrid/>
                                                <w:jc w:val="center"/>
                                                <w:textAlignment w:val="auto"/>
                                                <w:rPr>
                                                  <w:b/>
                                                </w:rPr>
                                              </w:pPr>
                                              <w:r>
                                                <w:rPr>
                                                  <w:rFonts w:hint="eastAsia"/>
                                                  <w:b/>
                                                </w:rPr>
                                                <w:t>引导申请调解</w:t>
                                              </w:r>
                                            </w:p>
                                          </w:txbxContent>
                                        </v:textbox>
                                      </v:shape>
                                    </v:group>
                                    <v:shape id="五边形 3" o:spid="_x0000_s1026" o:spt="15" type="#_x0000_t15" style="position:absolute;left:3971925;top:5075555;height:484505;width:935990;v-text-anchor:middle;" fillcolor="#6D6D6D" filled="t" stroked="t" coordsize="21600,21600" o:gfxdata="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cL0rsAAADc&#10;AAAADwAAAAAAAAABACAAAAAiAAAAZHJzL2Rvd25yZXYueG1sUEsBAhQAFAAAAAgAh07iQDMvBZ47&#10;AAAAOQAAABAAAAAAAAAAAQAgAAAACgEAAGRycy9zaGFwZXhtbC54bWxQSwUGAAAAAAYABgBbAQAA&#10;tAMAAAAA&#10;" adj="16010">
                                      <v:fill on="t" focussize="0,0"/>
                                      <v:stroke weight="2pt" color="#4395D1" joinstyle="miter"/>
                                      <v:imagedata o:title=""/>
                                      <o:lock v:ext="edit" aspectratio="f"/>
                                      <v:textbox inset="1.3mm,1.3mm,1.3mm,1.3mm">
                                        <w:txbxContent>
                                          <w:p w14:paraId="5C2B83B3">
                                            <w:pPr>
                                              <w:keepNext w:val="0"/>
                                              <w:keepLines w:val="0"/>
                                              <w:pageBreakBefore w:val="0"/>
                                              <w:widowControl w:val="0"/>
                                              <w:kinsoku/>
                                              <w:wordWrap w:val="0"/>
                                              <w:overflowPunct/>
                                              <w:topLinePunct w:val="0"/>
                                              <w:autoSpaceDE/>
                                              <w:autoSpaceDN/>
                                              <w:bidi w:val="0"/>
                                              <w:adjustRightInd/>
                                              <w:snapToGrid/>
                                              <w:jc w:val="center"/>
                                              <w:textAlignment w:val="auto"/>
                                              <w:rPr>
                                                <w:rFonts w:hint="eastAsia"/>
                                                <w:color w:val="000000"/>
                                              </w:rPr>
                                            </w:pPr>
                                            <w:r>
                                              <w:rPr>
                                                <w:rFonts w:hint="eastAsia"/>
                                                <w:color w:val="000000"/>
                                              </w:rPr>
                                              <w:t>进入</w:t>
                                            </w:r>
                                          </w:p>
                                          <w:p w14:paraId="7FF5E31B">
                                            <w:pPr>
                                              <w:keepNext w:val="0"/>
                                              <w:keepLines w:val="0"/>
                                              <w:pageBreakBefore w:val="0"/>
                                              <w:widowControl w:val="0"/>
                                              <w:kinsoku/>
                                              <w:wordWrap w:val="0"/>
                                              <w:overflowPunct/>
                                              <w:topLinePunct w:val="0"/>
                                              <w:autoSpaceDE/>
                                              <w:autoSpaceDN/>
                                              <w:bidi w:val="0"/>
                                              <w:adjustRightInd/>
                                              <w:snapToGrid/>
                                              <w:jc w:val="center"/>
                                              <w:textAlignment w:val="auto"/>
                                              <w:rPr>
                                                <w:color w:val="000000"/>
                                              </w:rPr>
                                            </w:pPr>
                                            <w:r>
                                              <w:rPr>
                                                <w:rFonts w:hint="eastAsia"/>
                                                <w:color w:val="000000"/>
                                              </w:rPr>
                                              <w:t>调解程序</w:t>
                                            </w:r>
                                          </w:p>
                                        </w:txbxContent>
                                      </v:textbox>
                                    </v:shape>
                                    <v:shape id="五边形 4" o:spid="_x0000_s1026" o:spt="15" type="#_x0000_t15" style="position:absolute;left:3952240;top:3679825;height:484505;width:935990;v-text-anchor:middle;" fillcolor="#6D6D6D" filled="t" stroked="t" coordsize="21600,21600" o:gfxdata="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pOmvQAA&#10;ANwAAAAPAAAAAAAAAAEAIAAAACIAAABkcnMvZG93bnJldi54bWxQSwECFAAUAAAACACHTuJAMy8F&#10;njsAAAA5AAAAEAAAAAAAAAABACAAAAAMAQAAZHJzL3NoYXBleG1sLnhtbFBLBQYAAAAABgAGAFsB&#10;AAC2AwAAAAA=&#10;" adj="16010">
                                      <v:fill on="t" focussize="0,0"/>
                                      <v:stroke weight="2pt" color="#4395D1" joinstyle="miter"/>
                                      <v:imagedata o:title=""/>
                                      <o:lock v:ext="edit" aspectratio="f"/>
                                      <v:textbox inset="1.3mm,1.3mm,1.3mm,1.3mm">
                                        <w:txbxContent>
                                          <w:p w14:paraId="572C9C09">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color w:val="000000"/>
                                              </w:rPr>
                                            </w:pPr>
                                            <w:r>
                                              <w:rPr>
                                                <w:rFonts w:hint="eastAsia"/>
                                                <w:color w:val="000000"/>
                                              </w:rPr>
                                              <w:t>引导</w:t>
                                            </w:r>
                                          </w:p>
                                          <w:p w14:paraId="45F09E46">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color w:val="000000"/>
                                              </w:rPr>
                                              <w:t>走</w:t>
                                            </w:r>
                                            <w:r>
                                              <w:rPr>
                                                <w:rFonts w:hint="eastAsia"/>
                                              </w:rPr>
                                              <w:t>诉讼</w:t>
                                            </w:r>
                                          </w:p>
                                          <w:p w14:paraId="557B1A8A">
                                            <w:pPr>
                                              <w:ind w:firstLine="105" w:firstLineChars="50"/>
                                            </w:pPr>
                                            <w:r>
                                              <w:rPr>
                                                <w:rFonts w:hint="eastAsia"/>
                                              </w:rPr>
                                              <w:t>导走诉讼</w:t>
                                            </w:r>
                                          </w:p>
                                          <w:p w14:paraId="0F2FCA8B">
                                            <w:pPr>
                                              <w:ind w:firstLine="105" w:firstLineChars="50"/>
                                              <w:jc w:val="center"/>
                                            </w:pPr>
                                            <w:r>
                                              <w:rPr>
                                                <w:rFonts w:hint="eastAsia"/>
                                              </w:rPr>
                                              <w:t>讼</w:t>
                                            </w:r>
                                          </w:p>
                                          <w:p w14:paraId="7B3D77FE">
                                            <w:pPr>
                                              <w:pStyle w:val="17"/>
                                              <w:jc w:val="center"/>
                                            </w:pPr>
                                            <w:r>
                                              <w:rPr>
                                                <w:rFonts w:hint="eastAsia"/>
                                                <w:szCs w:val="21"/>
                                              </w:rPr>
                                              <w:t>走司法诉讼</w:t>
                                            </w:r>
                                          </w:p>
                                        </w:txbxContent>
                                      </v:textbox>
                                    </v:shape>
                                  </v:group>
                                  <v:shape id="AutoShape 14" o:spid="_x0000_s1026" o:spt="34" type="#_x0000_t34" style="position:absolute;left:5217;top:122706;height:1731;width:892;rotation:5898240f;" filled="f" stroked="t" coordsize="21600,21600" o:gfxdata="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95dbsAAADc&#10;AAAADwAAAAAAAAABACAAAAAiAAAAZHJzL2Rvd25yZXYueG1sUEsBAhQAFAAAAAgAh07iQDMvBZ47&#10;AAAAOQAAABAAAAAAAAAAAQAgAAAACgEAAGRycy9zaGFwZXhtbC54bWxQSwUGAAAAAAYABgBbAQAA&#10;tAMAAAAA&#10;" adj="10788">
                                    <v:fill on="f" focussize="0,0"/>
                                    <v:stroke color="#000000" joinstyle="miter" endarrow="block"/>
                                    <v:imagedata o:title=""/>
                                    <o:lock v:ext="edit" aspectratio="f"/>
                                  </v:shape>
                                </v:group>
                                <v:shape id="AutoShape 14" o:spid="_x0000_s1026" o:spt="34" type="#_x0000_t34" style="position:absolute;left:5035;top:123663;height:5;width:1696;" filled="f" stroked="t" coordsize="21600,21600" o:gfxdata="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AAuO/&#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shape id="AutoShape 14" o:spid="_x0000_s1026" o:spt="33" type="#_x0000_t33" style="position:absolute;left:4488;top:123536;flip:y;height:1185;width:432;rotation:-5898240f;" filled="f" stroked="t" coordsize="21600,21600" o:gfxdata="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ZrOUr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shape id="AutoShape 14" o:spid="_x0000_s1026" o:spt="34" type="#_x0000_t34" style="position:absolute;left:5815;top:124784;flip:y;height:1;width:382;rotation:-5898240f;" filled="f" stroked="t" coordsize="21600,21600" o:gfxdata="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PqmuvQAA&#10;ANwAAAAPAAAAAAAAAAEAIAAAACIAAABkcnMvZG93bnJldi54bWxQSwECFAAUAAAACACHTuJAMy8F&#10;njsAAAA5AAAAEAAAAAAAAAABACAAAAAMAQAAZHJzL3NoYXBleG1sLnhtbFBLBQYAAAAABgAGAFsB&#10;AAC2AwAAAAA=&#10;" adj="10772">
                                  <v:fill on="f" focussize="0,0"/>
                                  <v:stroke color="#000000" joinstyle="miter" endarrow="block"/>
                                  <v:imagedata o:title=""/>
                                  <o:lock v:ext="edit" aspectratio="f"/>
                                </v:shape>
                                <v:shape id="AutoShape 14" o:spid="_x0000_s1026" o:spt="34" type="#_x0000_t34" style="position:absolute;left:5799;top:126884;flip:y;height:1;width:416;rotation:-5898240f;" filled="f" stroked="t" coordsize="21600,21600" o:gfxdata="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situ7sAAADc&#10;AAAADwAAAAAAAAABACAAAAAiAAAAZHJzL2Rvd25yZXYueG1sUEsBAhQAFAAAAAgAh07iQDMvBZ47&#10;AAAAOQAAABAAAAAAAAAAAQAgAAAACgEAAGRycy9zaGFwZXhtbC54bWxQSwUGAAAAAAYABgBbAQAA&#10;tAMAAAAA&#10;" adj="10774">
                                  <v:fill on="f" focussize="0,0"/>
                                  <v:stroke color="#000000" joinstyle="miter" endarrow="block"/>
                                  <v:imagedata o:title=""/>
                                  <o:lock v:ext="edit" aspectratio="f"/>
                                </v:shape>
                              </v:group>
                              <v:shape id="AutoShape 14" o:spid="_x0000_s1026" o:spt="33" type="#_x0000_t33" style="position:absolute;left:5671;top:128269;flip:y;height:672;width:980;rotation:11796480f;" filled="f" stroked="t" coordsize="21600,21600" o:gfxdata="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pv9y/&#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group>
                          </v:group>
                        </v:group>
                        <v:shape id="AutoShape 14" o:spid="_x0000_s1026" o:spt="34" type="#_x0000_t34" style="position:absolute;left:9611;top:129914;height:1;width:898;" filled="f" stroked="t" coordsize="21600,21600" o:gfxdata="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JhGO8AAAA&#10;3AAAAA8AAAAAAAAAAQAgAAAAIgAAAGRycy9kb3ducmV2LnhtbFBLAQIUABQAAAAIAIdO4kAzLwWe&#10;OwAAADkAAAAQAAAAAAAAAAEAIAAAAAsBAABkcnMvc2hhcGV4bWwueG1sUEsFBgAAAAAGAAYAWwEA&#10;ALUDAAAAAA==&#10;" adj="10800">
                          <v:fill on="f" focussize="0,0"/>
                          <v:stroke color="#000000" joinstyle="miter" endarrow="block"/>
                          <v:imagedata o:title=""/>
                          <o:lock v:ext="edit" aspectratio="f"/>
                        </v:shape>
                        <v:shape id="AutoShape 14" o:spid="_x0000_s1026" o:spt="34" type="#_x0000_t34" style="position:absolute;left:6639;top:131052;flip:y;height:3429;width:702;rotation:-5898240f;" filled="f" stroked="t" coordsize="21600,21600" o:gfxdata="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DhQBvQAA&#10;ANwAAAAPAAAAAAAAAAEAIAAAACIAAABkcnMvZG93bnJldi54bWxQSwECFAAUAAAACACHTuJAMy8F&#10;njsAAAA5AAAAEAAAAAAAAAABACAAAAAMAQAAZHJzL3NoYXBleG1sLnhtbFBLBQYAAAAABgAGAFsB&#10;AAC2AwAAAAA=&#10;" adj="10785">
                          <v:fill on="f" focussize="0,0"/>
                          <v:stroke color="#000000" joinstyle="miter" endarrow="block"/>
                          <v:imagedata o:title=""/>
                          <o:lock v:ext="edit" aspectratio="f"/>
                        </v:shape>
                        <v:shape id="AutoShape 14" o:spid="_x0000_s1026" o:spt="34" type="#_x0000_t34" style="position:absolute;left:6122;top:129938;height:2173;width:1614;rotation:11796480f;" filled="f" stroked="t" coordsize="21600,21600" o:gfxdata="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J7l+/&#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group>
                      <v:shape id="AutoShape 14" o:spid="_x0000_s1026" o:spt="34" type="#_x0000_t34" style="position:absolute;left:10278;top:131238;height:2;width:876;" filled="f" stroked="t" coordsize="21600,21600" o:gfxdata="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ygmC/&#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group>
                    <v:shape id="AutoShape 14" o:spid="_x0000_s1026" o:spt="34" type="#_x0000_t34" style="position:absolute;left:5740;top:130709;flip:y;height:5;width:641;rotation:-5898240f;" filled="f" stroked="t" coordsize="21600,21600" o:gfxdata="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lxrevQAA&#10;ANwAAAAPAAAAAAAAAAEAIAAAACIAAABkcnMvZG93bnJldi54bWxQSwECFAAUAAAACACHTuJAMy8F&#10;njsAAAA5AAAAEAAAAAAAAAABACAAAAAMAQAAZHJzL3NoYXBleG1sLnhtbFBLBQYAAAAABgAGAFsB&#10;AAC2AwAAAAA=&#10;" adj="10817">
                      <v:fill on="f" focussize="0,0"/>
                      <v:stroke color="#000000" joinstyle="miter" endarrow="block"/>
                      <v:imagedata o:title=""/>
                      <o:lock v:ext="edit" aspectratio="f"/>
                    </v:shape>
                  </v:group>
                  <v:shape id="AutoShape 14" o:spid="_x0000_s1026" o:spt="34" type="#_x0000_t34" style="position:absolute;left:5782;top:131821;flip:y;height:2;width:561;rotation:-5898240f;" filled="f" stroked="t" coordsize="21600,21600" o:gfxdata="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tgwG/&#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group>
                <v:shape id="AutoShape 14" o:spid="_x0000_s1026" o:spt="34" type="#_x0000_t34" style="position:absolute;left:5747;top:132929;flip:y;height:1;width:634;rotation:-5898240f;" filled="f" stroked="t" coordsize="21600,21600" o:gfxdata="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x8a68AAAA&#10;3AAAAA8AAAAAAAAAAQAgAAAAIgAAAGRycy9kb3ducmV2LnhtbFBLAQIUABQAAAAIAIdO4kAzLwWe&#10;OwAAADkAAAAQAAAAAAAAAAEAIAAAAAsBAABkcnMvc2hhcGV4bWwueG1sUEsFBgAAAAAGAAYAWwEA&#10;ALUDAAAAAA==&#10;" adj="10783">
                  <v:fill on="f" focussize="0,0"/>
                  <v:stroke color="#000000" joinstyle="miter" endarrow="block"/>
                  <v:imagedata o:title=""/>
                  <o:lock v:ext="edit" aspectratio="f"/>
                </v:shape>
                <w10:wrap type="none"/>
                <w10:anchorlock/>
              </v:group>
            </w:pict>
          </mc:Fallback>
        </mc:AlternateContent>
      </w:r>
    </w:p>
    <w:p w14:paraId="59E6553E">
      <w:pPr>
        <w:keepNext w:val="0"/>
        <w:keepLines w:val="0"/>
        <w:pageBreakBefore/>
        <w:widowControl w:val="0"/>
        <w:kinsoku/>
        <w:wordWrap w:val="0"/>
        <w:overflowPunct/>
        <w:topLinePunct w:val="0"/>
        <w:autoSpaceDE/>
        <w:autoSpaceDN/>
        <w:bidi w:val="0"/>
        <w:adjustRightInd/>
        <w:snapToGrid/>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3、诉讼案件处理流程图</w:t>
      </w:r>
    </w:p>
    <w:p w14:paraId="28E9FA06">
      <w:pPr>
        <w:jc w:val="center"/>
        <w:rPr>
          <w:color w:val="auto"/>
          <w:highlight w:val="none"/>
        </w:rPr>
      </w:pPr>
      <w:r>
        <w:rPr>
          <w:color w:val="auto"/>
          <w:highlight w:val="none"/>
        </w:rPr>
        <mc:AlternateContent>
          <mc:Choice Requires="wpg">
            <w:drawing>
              <wp:inline distT="0" distB="0" distL="114300" distR="114300">
                <wp:extent cx="5106670" cy="8336915"/>
                <wp:effectExtent l="243205" t="4445" r="22225" b="21590"/>
                <wp:docPr id="84" name="组合 84"/>
                <wp:cNvGraphicFramePr/>
                <a:graphic xmlns:a="http://schemas.openxmlformats.org/drawingml/2006/main">
                  <a:graphicData uri="http://schemas.microsoft.com/office/word/2010/wordprocessingGroup">
                    <wpg:wgp>
                      <wpg:cNvGrpSpPr/>
                      <wpg:grpSpPr>
                        <a:xfrm>
                          <a:off x="0" y="0"/>
                          <a:ext cx="5106410" cy="8336716"/>
                          <a:chOff x="3684" y="1849"/>
                          <a:chExt cx="8116" cy="13652"/>
                        </a:xfrm>
                      </wpg:grpSpPr>
                      <wpg:grpSp>
                        <wpg:cNvPr id="85" name="组合 97"/>
                        <wpg:cNvGrpSpPr/>
                        <wpg:grpSpPr>
                          <a:xfrm>
                            <a:off x="3684" y="1849"/>
                            <a:ext cx="8116" cy="12370"/>
                            <a:chOff x="3969" y="1847"/>
                            <a:chExt cx="8146" cy="13659"/>
                          </a:xfrm>
                        </wpg:grpSpPr>
                        <wpg:grpSp>
                          <wpg:cNvPr id="86" name="组合 95"/>
                          <wpg:cNvGrpSpPr/>
                          <wpg:grpSpPr>
                            <a:xfrm>
                              <a:off x="3969" y="1847"/>
                              <a:ext cx="8146" cy="13659"/>
                              <a:chOff x="3277" y="1847"/>
                              <a:chExt cx="8146" cy="13659"/>
                            </a:xfrm>
                          </wpg:grpSpPr>
                          <wpg:grpSp>
                            <wpg:cNvPr id="87" name="组合 92"/>
                            <wpg:cNvGrpSpPr/>
                            <wpg:grpSpPr>
                              <a:xfrm>
                                <a:off x="3277" y="1847"/>
                                <a:ext cx="8146" cy="13659"/>
                                <a:chOff x="3277" y="1847"/>
                                <a:chExt cx="8146" cy="13659"/>
                              </a:xfrm>
                            </wpg:grpSpPr>
                            <wps:wsp>
                              <wps:cNvPr id="75" name="直接箭头连接符 48"/>
                              <wps:cNvCnPr>
                                <a:stCxn id="55" idx="2"/>
                                <a:endCxn id="58" idx="0"/>
                              </wps:cNvCnPr>
                              <wps:spPr>
                                <a:xfrm>
                                  <a:off x="7196" y="2717"/>
                                  <a:ext cx="32" cy="4371"/>
                                </a:xfrm>
                                <a:prstGeom prst="straightConnector1">
                                  <a:avLst/>
                                </a:prstGeom>
                                <a:ln w="9525" cap="flat" cmpd="sng">
                                  <a:solidFill>
                                    <a:srgbClr val="000000"/>
                                  </a:solidFill>
                                  <a:prstDash val="solid"/>
                                  <a:headEnd type="none" w="med" len="med"/>
                                  <a:tailEnd type="triangle" w="med" len="med"/>
                                </a:ln>
                              </wps:spPr>
                              <wps:bodyPr lIns="46800" tIns="46800" rIns="46800" bIns="46800" anchor="ctr" anchorCtr="0" upright="0"/>
                            </wps:wsp>
                            <wpg:grpSp>
                              <wpg:cNvPr id="88" name="组合 91"/>
                              <wpg:cNvGrpSpPr/>
                              <wpg:grpSpPr>
                                <a:xfrm>
                                  <a:off x="3277" y="1847"/>
                                  <a:ext cx="8146" cy="13659"/>
                                  <a:chOff x="3277" y="1847"/>
                                  <a:chExt cx="8146" cy="13659"/>
                                </a:xfrm>
                              </wpg:grpSpPr>
                              <wps:wsp>
                                <wps:cNvPr id="76" name="矩形 50"/>
                                <wps:cNvSpPr/>
                                <wps:spPr>
                                  <a:xfrm>
                                    <a:off x="6267" y="3221"/>
                                    <a:ext cx="2066" cy="51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D897C6">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保险经纪公司</w:t>
                                      </w:r>
                                    </w:p>
                                  </w:txbxContent>
                                </wps:txbx>
                                <wps:bodyPr lIns="46800" tIns="46800" rIns="46800" bIns="46800" anchor="ctr" anchorCtr="0" upright="0"/>
                              </wps:wsp>
                              <wpg:grpSp>
                                <wpg:cNvPr id="89" name="组合 90"/>
                                <wpg:cNvGrpSpPr/>
                                <wpg:grpSpPr>
                                  <a:xfrm>
                                    <a:off x="3277" y="1847"/>
                                    <a:ext cx="8146" cy="13659"/>
                                    <a:chOff x="3277" y="1860"/>
                                    <a:chExt cx="8146" cy="13659"/>
                                  </a:xfrm>
                                </wpg:grpSpPr>
                                <wps:wsp>
                                  <wps:cNvPr id="77" name="肘形连接符 51"/>
                                  <wps:cNvCnPr>
                                    <a:endCxn id="54" idx="1"/>
                                  </wps:cNvCnPr>
                                  <wps:spPr>
                                    <a:xfrm rot="5400000" flipV="1">
                                      <a:off x="3384" y="12159"/>
                                      <a:ext cx="4014" cy="2085"/>
                                    </a:xfrm>
                                    <a:prstGeom prst="bentConnector2">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78" name="肘形连接符 52"/>
                                  <wps:cNvCnPr>
                                    <a:stCxn id="70" idx="3"/>
                                    <a:endCxn id="62" idx="0"/>
                                  </wps:cNvCnPr>
                                  <wps:spPr>
                                    <a:xfrm>
                                      <a:off x="8071" y="13623"/>
                                      <a:ext cx="2489" cy="1358"/>
                                    </a:xfrm>
                                    <a:prstGeom prst="bentConnector2">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79" name="肘形连接符 53"/>
                                  <wps:cNvCnPr>
                                    <a:stCxn id="60" idx="3"/>
                                    <a:endCxn id="68" idx="0"/>
                                  </wps:cNvCnPr>
                                  <wps:spPr>
                                    <a:xfrm>
                                      <a:off x="9242" y="9064"/>
                                      <a:ext cx="219" cy="1500"/>
                                    </a:xfrm>
                                    <a:prstGeom prst="bentConnector2">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80" name="肘形连接符 54"/>
                                  <wps:cNvCnPr>
                                    <a:stCxn id="60" idx="1"/>
                                    <a:endCxn id="59" idx="0"/>
                                  </wps:cNvCnPr>
                                  <wps:spPr>
                                    <a:xfrm rot="10800000" flipV="1">
                                      <a:off x="4374" y="9064"/>
                                      <a:ext cx="883" cy="1566"/>
                                    </a:xfrm>
                                    <a:prstGeom prst="bentConnector2">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81" name="矩形 55"/>
                                  <wps:cNvSpPr/>
                                  <wps:spPr>
                                    <a:xfrm>
                                      <a:off x="6160" y="1860"/>
                                      <a:ext cx="2072" cy="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A0064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接到法院传票</w:t>
                                        </w:r>
                                      </w:p>
                                      <w:p w14:paraId="718F03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医院报案</w:t>
                                        </w:r>
                                      </w:p>
                                    </w:txbxContent>
                                  </wps:txbx>
                                  <wps:bodyPr lIns="46800" tIns="46800" rIns="46800" bIns="46800" anchor="ctr" anchorCtr="0" upright="0"/>
                                </wps:wsp>
                                <wps:wsp>
                                  <wps:cNvPr id="82" name="矩形 56"/>
                                  <wps:cNvSpPr/>
                                  <wps:spPr>
                                    <a:xfrm>
                                      <a:off x="3277" y="3220"/>
                                      <a:ext cx="1723" cy="52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7D56B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保险公司</w:t>
                                        </w:r>
                                      </w:p>
                                    </w:txbxContent>
                                  </wps:txbx>
                                  <wps:bodyPr lIns="46800" tIns="46800" rIns="46800" bIns="46800" anchor="ctr" anchorCtr="0" upright="0"/>
                                </wps:wsp>
                                <wps:wsp>
                                  <wps:cNvPr id="83" name="矩形 57"/>
                                  <wps:cNvSpPr/>
                                  <wps:spPr>
                                    <a:xfrm>
                                      <a:off x="4009" y="4677"/>
                                      <a:ext cx="2433" cy="1627"/>
                                    </a:xfrm>
                                    <a:prstGeom prst="rect">
                                      <a:avLst/>
                                    </a:prstGeom>
                                    <a:solidFill>
                                      <a:srgbClr val="FFFFFF"/>
                                    </a:solidFill>
                                    <a:ln w="12700" cap="flat" cmpd="sng">
                                      <a:solidFill>
                                        <a:srgbClr val="000000"/>
                                      </a:solidFill>
                                      <a:prstDash val="dash"/>
                                      <a:miter/>
                                      <a:headEnd type="none" w="med" len="med"/>
                                      <a:tailEnd type="none" w="med" len="med"/>
                                    </a:ln>
                                  </wps:spPr>
                                  <wps:txbx>
                                    <w:txbxContent>
                                      <w:p w14:paraId="3D5804D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推荐律师复核确认</w:t>
                                        </w:r>
                                      </w:p>
                                      <w:p w14:paraId="1710B2D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核定律师费</w:t>
                                        </w:r>
                                      </w:p>
                                      <w:p w14:paraId="34AD1C4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三方合同审核</w:t>
                                        </w:r>
                                      </w:p>
                                      <w:p w14:paraId="13A9C38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签订三方委托代理合同</w:t>
                                        </w:r>
                                      </w:p>
                                    </w:txbxContent>
                                  </wps:txbx>
                                  <wps:bodyPr lIns="46800" tIns="46800" rIns="46800" bIns="46800" anchor="ctr" anchorCtr="0" upright="0"/>
                                </wps:wsp>
                                <wps:wsp>
                                  <wps:cNvPr id="90" name="矩形 58"/>
                                  <wps:cNvSpPr/>
                                  <wps:spPr>
                                    <a:xfrm>
                                      <a:off x="6292" y="7102"/>
                                      <a:ext cx="1873"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4D37FB">
                                        <w:pPr>
                                          <w:jc w:val="center"/>
                                          <w:rPr>
                                            <w:rFonts w:hint="eastAsia" w:ascii="宋体" w:hAnsi="宋体" w:eastAsia="宋体" w:cs="宋体"/>
                                            <w:sz w:val="20"/>
                                            <w:szCs w:val="20"/>
                                          </w:rPr>
                                        </w:pPr>
                                        <w:r>
                                          <w:rPr>
                                            <w:rFonts w:hint="eastAsia" w:ascii="宋体" w:hAnsi="宋体" w:eastAsia="宋体" w:cs="宋体"/>
                                            <w:sz w:val="20"/>
                                            <w:szCs w:val="20"/>
                                          </w:rPr>
                                          <w:t>案件评估</w:t>
                                        </w:r>
                                      </w:p>
                                    </w:txbxContent>
                                  </wps:txbx>
                                  <wps:bodyPr lIns="46800" tIns="46800" rIns="46800" bIns="46800" anchor="ctr" anchorCtr="0" upright="0"/>
                                </wps:wsp>
                                <wps:wsp>
                                  <wps:cNvPr id="91" name="矩形 59"/>
                                  <wps:cNvSpPr/>
                                  <wps:spPr>
                                    <a:xfrm>
                                      <a:off x="3488" y="10630"/>
                                      <a:ext cx="1772" cy="5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12B7A2">
                                        <w:pPr>
                                          <w:jc w:val="center"/>
                                          <w:rPr>
                                            <w:rFonts w:hint="eastAsia" w:ascii="宋体" w:hAnsi="宋体" w:eastAsia="宋体" w:cs="宋体"/>
                                            <w:sz w:val="20"/>
                                            <w:szCs w:val="20"/>
                                          </w:rPr>
                                        </w:pPr>
                                        <w:r>
                                          <w:rPr>
                                            <w:rFonts w:hint="eastAsia" w:ascii="宋体" w:hAnsi="宋体" w:eastAsia="宋体" w:cs="宋体"/>
                                            <w:sz w:val="20"/>
                                            <w:szCs w:val="20"/>
                                          </w:rPr>
                                          <w:t>调解/和解意向</w:t>
                                        </w:r>
                                      </w:p>
                                    </w:txbxContent>
                                  </wps:txbx>
                                  <wps:bodyPr lIns="46800" tIns="46800" rIns="46800" bIns="46800" anchor="ctr" anchorCtr="0" upright="0"/>
                                </wps:wsp>
                                <wps:wsp>
                                  <wps:cNvPr id="92" name="矩形 60"/>
                                  <wps:cNvSpPr/>
                                  <wps:spPr>
                                    <a:xfrm>
                                      <a:off x="5257" y="8422"/>
                                      <a:ext cx="3985" cy="1285"/>
                                    </a:xfrm>
                                    <a:prstGeom prst="rect">
                                      <a:avLst/>
                                    </a:prstGeom>
                                    <a:solidFill>
                                      <a:srgbClr val="FFFFFF"/>
                                    </a:solidFill>
                                    <a:ln w="12700" cap="flat" cmpd="sng">
                                      <a:solidFill>
                                        <a:srgbClr val="000000"/>
                                      </a:solidFill>
                                      <a:prstDash val="dash"/>
                                      <a:miter/>
                                      <a:headEnd type="none" w="med" len="med"/>
                                      <a:tailEnd type="none" w="med" len="med"/>
                                    </a:ln>
                                  </wps:spPr>
                                  <wps:txbx>
                                    <w:txbxContent>
                                      <w:p w14:paraId="4E3BB77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案件评估（根据案件复杂程度）</w:t>
                                        </w:r>
                                        <w:r>
                                          <w:rPr>
                                            <w:rFonts w:hint="eastAsia" w:ascii="宋体" w:hAnsi="宋体" w:eastAsia="宋体" w:cs="宋体"/>
                                            <w:sz w:val="20"/>
                                            <w:szCs w:val="20"/>
                                            <w:lang w:val="en-US" w:eastAsia="zh-CN"/>
                                          </w:rPr>
                                          <w:t>:</w:t>
                                        </w:r>
                                      </w:p>
                                      <w:p w14:paraId="3681A2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1、医学专家案件分析</w:t>
                                        </w:r>
                                      </w:p>
                                      <w:p w14:paraId="3C04B95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2、诉讼案件风险评估小组案件分析评估</w:t>
                                        </w:r>
                                      </w:p>
                                    </w:txbxContent>
                                  </wps:txbx>
                                  <wps:bodyPr lIns="46800" tIns="46800" rIns="46800" bIns="46800" anchor="ctr" anchorCtr="0" upright="0"/>
                                </wps:wsp>
                                <wps:wsp>
                                  <wps:cNvPr id="93" name="矩形 61"/>
                                  <wps:cNvSpPr/>
                                  <wps:spPr>
                                    <a:xfrm>
                                      <a:off x="9560" y="13328"/>
                                      <a:ext cx="1863" cy="8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D09EBB">
                                        <w:pPr>
                                          <w:jc w:val="center"/>
                                          <w:rPr>
                                            <w:rFonts w:hint="eastAsia" w:ascii="宋体" w:hAnsi="宋体" w:eastAsia="宋体" w:cs="宋体"/>
                                            <w:sz w:val="20"/>
                                            <w:szCs w:val="20"/>
                                          </w:rPr>
                                        </w:pPr>
                                        <w:r>
                                          <w:rPr>
                                            <w:rFonts w:hint="eastAsia" w:ascii="宋体" w:hAnsi="宋体" w:eastAsia="宋体" w:cs="宋体"/>
                                            <w:sz w:val="20"/>
                                            <w:szCs w:val="20"/>
                                          </w:rPr>
                                          <w:t>二审应诉</w:t>
                                        </w:r>
                                      </w:p>
                                      <w:p w14:paraId="5567EE41">
                                        <w:pPr>
                                          <w:jc w:val="center"/>
                                          <w:rPr>
                                            <w:rFonts w:hint="eastAsia" w:ascii="宋体" w:hAnsi="宋体" w:eastAsia="宋体" w:cs="宋体"/>
                                            <w:sz w:val="20"/>
                                            <w:szCs w:val="20"/>
                                          </w:rPr>
                                        </w:pPr>
                                        <w:r>
                                          <w:rPr>
                                            <w:rFonts w:hint="eastAsia" w:ascii="宋体" w:hAnsi="宋体" w:eastAsia="宋体" w:cs="宋体"/>
                                            <w:sz w:val="20"/>
                                            <w:szCs w:val="20"/>
                                          </w:rPr>
                                          <w:t>（流程参考一审）</w:t>
                                        </w:r>
                                      </w:p>
                                    </w:txbxContent>
                                  </wps:txbx>
                                  <wps:bodyPr lIns="46800" tIns="46800" rIns="46800" bIns="46800" anchor="ctr" anchorCtr="0" upright="0"/>
                                </wps:wsp>
                                <wps:wsp>
                                  <wps:cNvPr id="94" name="矩形 62"/>
                                  <wps:cNvSpPr/>
                                  <wps:spPr>
                                    <a:xfrm>
                                      <a:off x="9763" y="14981"/>
                                      <a:ext cx="1593"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42E331">
                                        <w:pPr>
                                          <w:jc w:val="center"/>
                                          <w:rPr>
                                            <w:rFonts w:hint="eastAsia" w:ascii="宋体" w:hAnsi="宋体" w:eastAsia="宋体" w:cs="宋体"/>
                                            <w:sz w:val="20"/>
                                            <w:szCs w:val="20"/>
                                          </w:rPr>
                                        </w:pPr>
                                        <w:r>
                                          <w:rPr>
                                            <w:rFonts w:hint="eastAsia" w:ascii="宋体" w:hAnsi="宋体" w:eastAsia="宋体" w:cs="宋体"/>
                                            <w:sz w:val="20"/>
                                            <w:szCs w:val="20"/>
                                          </w:rPr>
                                          <w:t>二审裁判</w:t>
                                        </w:r>
                                      </w:p>
                                    </w:txbxContent>
                                  </wps:txbx>
                                  <wps:bodyPr lIns="46800" tIns="46800" rIns="46800" bIns="46800" anchor="ctr" anchorCtr="0" upright="0"/>
                                </wps:wsp>
                                <wps:wsp>
                                  <wps:cNvPr id="95" name="矩形 63"/>
                                  <wps:cNvSpPr/>
                                  <wps:spPr>
                                    <a:xfrm>
                                      <a:off x="6458" y="14946"/>
                                      <a:ext cx="2042" cy="5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6B74C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保险核定并赔付</w:t>
                                        </w:r>
                                      </w:p>
                                    </w:txbxContent>
                                  </wps:txbx>
                                  <wps:bodyPr lIns="46800" tIns="46800" rIns="46800" bIns="46800" anchor="ctr" anchorCtr="0" upright="0"/>
                                </wps:wsp>
                                <wps:wsp>
                                  <wps:cNvPr id="96" name="矩形 64"/>
                                  <wps:cNvSpPr/>
                                  <wps:spPr>
                                    <a:xfrm>
                                      <a:off x="8115" y="4626"/>
                                      <a:ext cx="2731" cy="1627"/>
                                    </a:xfrm>
                                    <a:prstGeom prst="rect">
                                      <a:avLst/>
                                    </a:prstGeom>
                                    <a:solidFill>
                                      <a:srgbClr val="FFFFFF"/>
                                    </a:solidFill>
                                    <a:ln w="12700" cap="flat" cmpd="sng">
                                      <a:solidFill>
                                        <a:srgbClr val="000000"/>
                                      </a:solidFill>
                                      <a:prstDash val="dash"/>
                                      <a:miter/>
                                      <a:headEnd type="none" w="med" len="med"/>
                                      <a:tailEnd type="none" w="med" len="med"/>
                                    </a:ln>
                                  </wps:spPr>
                                  <wps:txbx>
                                    <w:txbxContent>
                                      <w:p w14:paraId="30BB40E0">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联系医疗机构：</w:t>
                                        </w:r>
                                      </w:p>
                                      <w:p w14:paraId="62C6980F">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案件是否曾调解？</w:t>
                                        </w:r>
                                      </w:p>
                                      <w:p w14:paraId="749D4B7A">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案件是否曾鉴定？</w:t>
                                        </w:r>
                                      </w:p>
                                      <w:p w14:paraId="4137E213">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医院是否需要指派律师？</w:t>
                                        </w:r>
                                      </w:p>
                                      <w:p w14:paraId="6F4CA3B0">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告知及发送材料清单？</w:t>
                                        </w:r>
                                      </w:p>
                                    </w:txbxContent>
                                  </wps:txbx>
                                  <wps:bodyPr lIns="46800" tIns="46800" rIns="46800" bIns="46800" anchor="ctr" anchorCtr="0" upright="0"/>
                                </wps:wsp>
                                <wps:wsp>
                                  <wps:cNvPr id="97" name="矩形 65"/>
                                  <wps:cNvSpPr/>
                                  <wps:spPr>
                                    <a:xfrm>
                                      <a:off x="9307" y="3255"/>
                                      <a:ext cx="1712" cy="46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AB4EE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医疗机构</w:t>
                                        </w:r>
                                      </w:p>
                                    </w:txbxContent>
                                  </wps:txbx>
                                  <wps:bodyPr lIns="46800" tIns="46800" rIns="46800" bIns="46800" anchor="ctr" anchorCtr="0" upright="0"/>
                                </wps:wsp>
                                <wps:wsp>
                                  <wps:cNvPr id="98" name="矩形 68"/>
                                  <wps:cNvSpPr/>
                                  <wps:spPr>
                                    <a:xfrm>
                                      <a:off x="7925" y="10563"/>
                                      <a:ext cx="3071" cy="65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34650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选定鉴定机构，进入鉴定程序</w:t>
                                        </w:r>
                                      </w:p>
                                    </w:txbxContent>
                                  </wps:txbx>
                                  <wps:bodyPr lIns="46800" tIns="46800" rIns="46800" bIns="46800" anchor="ctr" anchorCtr="0" upright="0"/>
                                </wps:wsp>
                                <wps:wsp>
                                  <wps:cNvPr id="99" name="矩形 69"/>
                                  <wps:cNvSpPr/>
                                  <wps:spPr>
                                    <a:xfrm>
                                      <a:off x="8744" y="12007"/>
                                      <a:ext cx="1452" cy="51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985A5">
                                        <w:pPr>
                                          <w:keepNext w:val="0"/>
                                          <w:keepLines w:val="0"/>
                                          <w:pageBreakBefore w:val="0"/>
                                          <w:widowControl w:val="0"/>
                                          <w:kinsoku/>
                                          <w:wordWrap/>
                                          <w:overflowPunct/>
                                          <w:topLinePunct w:val="0"/>
                                          <w:autoSpaceDE/>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一审判决</w:t>
                                        </w:r>
                                      </w:p>
                                    </w:txbxContent>
                                  </wps:txbx>
                                  <wps:bodyPr lIns="46800" tIns="46800" rIns="46800" bIns="46800" anchor="ctr" anchorCtr="0" upright="0"/>
                                </wps:wsp>
                                <wps:wsp>
                                  <wps:cNvPr id="100" name="流程图: 决策 70"/>
                                  <wps:cNvSpPr/>
                                  <wps:spPr>
                                    <a:xfrm>
                                      <a:off x="6894" y="13174"/>
                                      <a:ext cx="1177" cy="898"/>
                                    </a:xfrm>
                                    <a:prstGeom prst="roundRect">
                                      <a:avLst/>
                                    </a:prstGeom>
                                    <a:solidFill>
                                      <a:srgbClr val="FFFFFF"/>
                                    </a:solidFill>
                                    <a:ln w="19050" cap="flat" cmpd="sng">
                                      <a:solidFill>
                                        <a:srgbClr val="000000"/>
                                      </a:solidFill>
                                      <a:prstDash val="solid"/>
                                      <a:miter/>
                                      <a:headEnd type="none" w="med" len="med"/>
                                      <a:tailEnd type="none" w="med" len="med"/>
                                    </a:ln>
                                  </wps:spPr>
                                  <wps:txbx>
                                    <w:txbxContent>
                                      <w:p w14:paraId="4393A30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是否上诉</w:t>
                                        </w:r>
                                      </w:p>
                                    </w:txbxContent>
                                  </wps:txbx>
                                  <wps:bodyPr lIns="46800" tIns="46800" rIns="46800" bIns="46800" anchor="ctr" anchorCtr="0" upright="0"/>
                                </wps:wsp>
                                <wps:wsp>
                                  <wps:cNvPr id="101" name="肘形连接符 71"/>
                                  <wps:cNvCnPr>
                                    <a:endCxn id="64" idx="1"/>
                                  </wps:cNvCnPr>
                                  <wps:spPr>
                                    <a:xfrm rot="5400000" flipV="1">
                                      <a:off x="6981" y="4304"/>
                                      <a:ext cx="1675" cy="593"/>
                                    </a:xfrm>
                                    <a:prstGeom prst="bentConnector2">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102" name="肘形连接符 72"/>
                                  <wps:cNvCnPr>
                                    <a:stCxn id="64" idx="3"/>
                                    <a:endCxn id="65" idx="3"/>
                                  </wps:cNvCnPr>
                                  <wps:spPr>
                                    <a:xfrm flipV="1">
                                      <a:off x="10846" y="3487"/>
                                      <a:ext cx="173" cy="1953"/>
                                    </a:xfrm>
                                    <a:prstGeom prst="bentConnector3">
                                      <a:avLst>
                                        <a:gd name="adj1" fmla="val 319133"/>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103" name="直接箭头连接符 73"/>
                                  <wps:cNvCnPr>
                                    <a:stCxn id="65" idx="1"/>
                                    <a:endCxn id="50" idx="3"/>
                                  </wps:cNvCnPr>
                                  <wps:spPr>
                                    <a:xfrm flipH="1">
                                      <a:off x="8334" y="3487"/>
                                      <a:ext cx="973" cy="7"/>
                                    </a:xfrm>
                                    <a:prstGeom prst="straightConnector1">
                                      <a:avLst/>
                                    </a:prstGeom>
                                    <a:ln w="9525" cap="flat" cmpd="sng">
                                      <a:solidFill>
                                        <a:srgbClr val="000000"/>
                                      </a:solidFill>
                                      <a:prstDash val="solid"/>
                                      <a:headEnd type="none" w="med" len="med"/>
                                      <a:tailEnd type="triangle" w="med" len="med"/>
                                    </a:ln>
                                  </wps:spPr>
                                  <wps:bodyPr lIns="46800" tIns="46800" rIns="46800" bIns="46800" anchor="ctr" anchorCtr="0" upright="0"/>
                                </wps:wsp>
                                <wps:wsp>
                                  <wps:cNvPr id="104" name="肘形连接符 74"/>
                                  <wps:cNvCnPr>
                                    <a:stCxn id="56" idx="1"/>
                                    <a:endCxn id="57" idx="1"/>
                                  </wps:cNvCnPr>
                                  <wps:spPr>
                                    <a:xfrm rot="10800000" flipH="1" flipV="1">
                                      <a:off x="3277" y="3480"/>
                                      <a:ext cx="732" cy="2011"/>
                                    </a:xfrm>
                                    <a:prstGeom prst="bentConnector3">
                                      <a:avLst>
                                        <a:gd name="adj1" fmla="val -51906"/>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105" name="肘形连接符 75"/>
                                  <wps:cNvCnPr>
                                    <a:stCxn id="57" idx="3"/>
                                  </wps:cNvCnPr>
                                  <wps:spPr>
                                    <a:xfrm flipV="1">
                                      <a:off x="6442" y="3769"/>
                                      <a:ext cx="502" cy="1721"/>
                                    </a:xfrm>
                                    <a:prstGeom prst="bentConnector2">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106" name="直接箭头连接符 76"/>
                                  <wps:cNvCnPr>
                                    <a:stCxn id="50" idx="1"/>
                                    <a:endCxn id="56" idx="3"/>
                                  </wps:cNvCnPr>
                                  <wps:spPr>
                                    <a:xfrm flipH="1" flipV="1">
                                      <a:off x="5000" y="3480"/>
                                      <a:ext cx="1267" cy="14"/>
                                    </a:xfrm>
                                    <a:prstGeom prst="straightConnector1">
                                      <a:avLst/>
                                    </a:prstGeom>
                                    <a:ln w="9525" cap="flat" cmpd="sng">
                                      <a:solidFill>
                                        <a:srgbClr val="000000"/>
                                      </a:solidFill>
                                      <a:prstDash val="solid"/>
                                      <a:headEnd type="none" w="med" len="med"/>
                                      <a:tailEnd type="triangle" w="med" len="med"/>
                                    </a:ln>
                                  </wps:spPr>
                                  <wps:bodyPr lIns="46800" tIns="46800" rIns="46800" bIns="46800" anchor="ctr" anchorCtr="0" upright="0"/>
                                </wps:wsp>
                                <wps:wsp>
                                  <wps:cNvPr id="107" name="直接箭头连接符 77"/>
                                  <wps:cNvCnPr>
                                    <a:stCxn id="58" idx="2"/>
                                    <a:endCxn id="60" idx="0"/>
                                  </wps:cNvCnPr>
                                  <wps:spPr>
                                    <a:xfrm>
                                      <a:off x="7229" y="7590"/>
                                      <a:ext cx="20" cy="832"/>
                                    </a:xfrm>
                                    <a:prstGeom prst="straightConnector1">
                                      <a:avLst/>
                                    </a:prstGeom>
                                    <a:ln w="9525" cap="flat" cmpd="sng">
                                      <a:solidFill>
                                        <a:srgbClr val="000000"/>
                                      </a:solidFill>
                                      <a:prstDash val="solid"/>
                                      <a:headEnd type="none" w="med" len="med"/>
                                      <a:tailEnd type="triangle" w="med" len="med"/>
                                    </a:ln>
                                  </wps:spPr>
                                  <wps:bodyPr lIns="46800" tIns="46800" rIns="46800" bIns="46800" anchor="ctr" anchorCtr="0" upright="0"/>
                                </wps:wsp>
                                <wps:wsp>
                                  <wps:cNvPr id="108" name="肘形连接符 78"/>
                                  <wps:cNvCnPr>
                                    <a:stCxn id="69" idx="1"/>
                                    <a:endCxn id="70" idx="0"/>
                                  </wps:cNvCnPr>
                                  <wps:spPr>
                                    <a:xfrm rot="10800000" flipV="1">
                                      <a:off x="7483" y="12265"/>
                                      <a:ext cx="1261" cy="909"/>
                                    </a:xfrm>
                                    <a:prstGeom prst="bentConnector2">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109" name="直接箭头连接符 79"/>
                                  <wps:cNvCnPr>
                                    <a:stCxn id="62" idx="1"/>
                                    <a:endCxn id="63" idx="3"/>
                                  </wps:cNvCnPr>
                                  <wps:spPr>
                                    <a:xfrm flipH="1">
                                      <a:off x="8501" y="15218"/>
                                      <a:ext cx="1262" cy="15"/>
                                    </a:xfrm>
                                    <a:prstGeom prst="straightConnector1">
                                      <a:avLst/>
                                    </a:prstGeom>
                                    <a:ln w="9525" cap="flat" cmpd="sng">
                                      <a:solidFill>
                                        <a:srgbClr val="000000"/>
                                      </a:solidFill>
                                      <a:prstDash val="solid"/>
                                      <a:headEnd type="none" w="med" len="med"/>
                                      <a:tailEnd type="triangle" w="med" len="med"/>
                                    </a:ln>
                                  </wps:spPr>
                                  <wps:bodyPr lIns="46800" tIns="46800" rIns="46800" bIns="46800" anchor="ctr" anchorCtr="0" upright="0"/>
                                </wps:wsp>
                                <wps:wsp>
                                  <wps:cNvPr id="110" name="文本框 80"/>
                                  <wps:cNvSpPr txBox="1"/>
                                  <wps:spPr>
                                    <a:xfrm>
                                      <a:off x="8875" y="13101"/>
                                      <a:ext cx="397" cy="439"/>
                                    </a:xfrm>
                                    <a:prstGeom prst="rect">
                                      <a:avLst/>
                                    </a:prstGeom>
                                    <a:noFill/>
                                    <a:ln w="6350" cap="flat" cmpd="sng">
                                      <a:noFill/>
                                      <a:prstDash val="solid"/>
                                      <a:round/>
                                      <a:headEnd type="none" w="med" len="med"/>
                                      <a:tailEnd type="none" w="med" len="med"/>
                                    </a:ln>
                                  </wps:spPr>
                                  <wps:txbx>
                                    <w:txbxContent>
                                      <w:p w14:paraId="074CA59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是</w:t>
                                        </w:r>
                                      </w:p>
                                    </w:txbxContent>
                                  </wps:txbx>
                                  <wps:bodyPr lIns="46800" tIns="46800" rIns="46800" bIns="46800" anchor="ctr" anchorCtr="0" upright="0"/>
                                </wps:wsp>
                                <wps:wsp>
                                  <wps:cNvPr id="111" name="文本框 81"/>
                                  <wps:cNvSpPr txBox="1"/>
                                  <wps:spPr>
                                    <a:xfrm>
                                      <a:off x="7895" y="14177"/>
                                      <a:ext cx="459" cy="513"/>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545ECCC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否</w:t>
                                        </w:r>
                                      </w:p>
                                    </w:txbxContent>
                                  </wps:txbx>
                                  <wps:bodyPr lIns="46800" tIns="46800" rIns="46800" bIns="46800" anchor="ctr" anchorCtr="0" upright="0"/>
                                </wps:wsp>
                                <wps:wsp>
                                  <wps:cNvPr id="113" name="直接箭头连接符 83"/>
                                  <wps:cNvCnPr>
                                    <a:stCxn id="68" idx="2"/>
                                    <a:endCxn id="69" idx="0"/>
                                  </wps:cNvCnPr>
                                  <wps:spPr>
                                    <a:xfrm>
                                      <a:off x="9461" y="11214"/>
                                      <a:ext cx="9" cy="792"/>
                                    </a:xfrm>
                                    <a:prstGeom prst="straightConnector1">
                                      <a:avLst/>
                                    </a:prstGeom>
                                    <a:ln w="9525" cap="flat" cmpd="sng">
                                      <a:solidFill>
                                        <a:srgbClr val="000000"/>
                                      </a:solidFill>
                                      <a:prstDash val="solid"/>
                                      <a:headEnd type="none" w="med" len="med"/>
                                      <a:tailEnd type="triangle" w="med" len="med"/>
                                    </a:ln>
                                  </wps:spPr>
                                  <wps:bodyPr lIns="46800" tIns="46800" rIns="46800" bIns="46800" anchor="ctr" anchorCtr="0" upright="0"/>
                                </wps:wsp>
                                <wps:wsp>
                                  <wps:cNvPr id="118" name="肘形连接符 86"/>
                                  <wps:cNvCnPr>
                                    <a:stCxn id="94" idx="3"/>
                                    <a:endCxn id="68" idx="1"/>
                                  </wps:cNvCnPr>
                                  <wps:spPr>
                                    <a:xfrm flipV="1">
                                      <a:off x="4960" y="10888"/>
                                      <a:ext cx="2965" cy="2835"/>
                                    </a:xfrm>
                                    <a:prstGeom prst="bentConnector3">
                                      <a:avLst>
                                        <a:gd name="adj1" fmla="val 34657"/>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119" name="直接箭头连接符 87"/>
                                  <wps:cNvCnPr/>
                                  <wps:spPr>
                                    <a:xfrm flipH="1" flipV="1">
                                      <a:off x="5338" y="10739"/>
                                      <a:ext cx="2598" cy="21"/>
                                    </a:xfrm>
                                    <a:prstGeom prst="straightConnector1">
                                      <a:avLst/>
                                    </a:prstGeom>
                                    <a:ln w="9525" cap="flat" cmpd="sng">
                                      <a:solidFill>
                                        <a:srgbClr val="000000"/>
                                      </a:solidFill>
                                      <a:prstDash val="solid"/>
                                      <a:headEnd type="none" w="med" len="med"/>
                                      <a:tailEnd type="triangle" w="med" len="med"/>
                                    </a:ln>
                                  </wps:spPr>
                                  <wps:bodyPr lIns="46800" tIns="46800" rIns="46800" bIns="46800" anchor="ctr" anchorCtr="0" upright="0"/>
                                </wps:wsp>
                                <wps:wsp>
                                  <wps:cNvPr id="120" name="文本框 88"/>
                                  <wps:cNvSpPr txBox="1"/>
                                  <wps:spPr>
                                    <a:xfrm>
                                      <a:off x="5466" y="12435"/>
                                      <a:ext cx="407" cy="580"/>
                                    </a:xfrm>
                                    <a:prstGeom prst="rect">
                                      <a:avLst/>
                                    </a:prstGeom>
                                    <a:noFill/>
                                    <a:ln w="6350" cap="flat" cmpd="sng">
                                      <a:solidFill>
                                        <a:srgbClr val="FFFFFF"/>
                                      </a:solidFill>
                                      <a:prstDash val="solid"/>
                                      <a:round/>
                                      <a:headEnd type="none" w="med" len="med"/>
                                      <a:tailEnd type="none" w="med" len="med"/>
                                    </a:ln>
                                  </wps:spPr>
                                  <wps:txbx>
                                    <w:txbxContent>
                                      <w:p w14:paraId="22BF957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否</w:t>
                                        </w:r>
                                      </w:p>
                                    </w:txbxContent>
                                  </wps:txbx>
                                  <wps:bodyPr lIns="46800" tIns="46800" rIns="46800" bIns="46800" anchor="ctr" anchorCtr="0" upright="0"/>
                                </wps:wsp>
                                <wps:wsp>
                                  <wps:cNvPr id="121" name="文本框 89"/>
                                  <wps:cNvSpPr txBox="1"/>
                                  <wps:spPr>
                                    <a:xfrm>
                                      <a:off x="4383" y="14391"/>
                                      <a:ext cx="491" cy="506"/>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009443AF">
                                        <w:pPr>
                                          <w:rPr>
                                            <w:rFonts w:hint="eastAsia" w:ascii="宋体" w:hAnsi="宋体" w:eastAsia="宋体" w:cs="宋体"/>
                                            <w:sz w:val="20"/>
                                            <w:szCs w:val="20"/>
                                          </w:rPr>
                                        </w:pPr>
                                        <w:r>
                                          <w:rPr>
                                            <w:rFonts w:hint="eastAsia" w:ascii="宋体" w:hAnsi="宋体" w:eastAsia="宋体" w:cs="宋体"/>
                                            <w:sz w:val="20"/>
                                            <w:szCs w:val="20"/>
                                          </w:rPr>
                                          <w:t>是</w:t>
                                        </w:r>
                                      </w:p>
                                    </w:txbxContent>
                                  </wps:txbx>
                                  <wps:bodyPr lIns="46800" tIns="46800" rIns="46800" bIns="46800" anchor="ctr" anchorCtr="0" upright="0"/>
                                </wps:wsp>
                              </wpg:grpSp>
                            </wpg:grpSp>
                          </wpg:grpSp>
                          <wps:wsp>
                            <wps:cNvPr id="122" name="矩形 93"/>
                            <wps:cNvSpPr/>
                            <wps:spPr>
                              <a:xfrm>
                                <a:off x="3435" y="11865"/>
                                <a:ext cx="1915" cy="90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58EAA2">
                                  <w:pPr>
                                    <w:jc w:val="center"/>
                                    <w:rPr>
                                      <w:rFonts w:hint="eastAsia" w:ascii="宋体" w:hAnsi="宋体" w:eastAsia="宋体" w:cs="宋体"/>
                                      <w:sz w:val="20"/>
                                      <w:szCs w:val="20"/>
                                    </w:rPr>
                                  </w:pPr>
                                  <w:r>
                                    <w:rPr>
                                      <w:rFonts w:hint="eastAsia" w:ascii="宋体" w:hAnsi="宋体" w:eastAsia="宋体" w:cs="宋体"/>
                                      <w:sz w:val="20"/>
                                      <w:szCs w:val="20"/>
                                    </w:rPr>
                                    <w:t>保险公司确认调解/和解方案</w:t>
                                  </w:r>
                                </w:p>
                              </w:txbxContent>
                            </wps:txbx>
                            <wps:bodyPr lIns="46800" tIns="46800" rIns="46800" bIns="46800" anchor="ctr" anchorCtr="0" upright="0"/>
                          </wps:wsp>
                          <wps:wsp>
                            <wps:cNvPr id="123" name="流程图: 决策 94"/>
                            <wps:cNvSpPr/>
                            <wps:spPr>
                              <a:xfrm>
                                <a:off x="3792" y="13262"/>
                                <a:ext cx="1169" cy="897"/>
                              </a:xfrm>
                              <a:prstGeom prst="roundRect">
                                <a:avLst/>
                              </a:prstGeom>
                              <a:solidFill>
                                <a:srgbClr val="FFFFFF"/>
                              </a:solidFill>
                              <a:ln w="19050" cap="flat" cmpd="sng">
                                <a:solidFill>
                                  <a:srgbClr val="000000"/>
                                </a:solidFill>
                                <a:prstDash val="solid"/>
                                <a:miter/>
                                <a:headEnd type="none" w="med" len="med"/>
                                <a:tailEnd type="none" w="med" len="med"/>
                              </a:ln>
                            </wps:spPr>
                            <wps:txbx>
                              <w:txbxContent>
                                <w:p w14:paraId="17F82645">
                                  <w:pPr>
                                    <w:jc w:val="center"/>
                                    <w:rPr>
                                      <w:rFonts w:hint="eastAsia" w:ascii="宋体" w:hAnsi="宋体" w:eastAsia="宋体" w:cs="宋体"/>
                                      <w:sz w:val="20"/>
                                      <w:szCs w:val="20"/>
                                    </w:rPr>
                                  </w:pPr>
                                  <w:r>
                                    <w:rPr>
                                      <w:rFonts w:hint="eastAsia" w:ascii="宋体" w:hAnsi="宋体" w:eastAsia="宋体" w:cs="宋体"/>
                                      <w:sz w:val="20"/>
                                      <w:szCs w:val="20"/>
                                    </w:rPr>
                                    <w:t>是否成功</w:t>
                                  </w:r>
                                </w:p>
                              </w:txbxContent>
                            </wps:txbx>
                            <wps:bodyPr lIns="46800" tIns="46800" rIns="46800" bIns="46800" anchor="ctr" anchorCtr="0" upright="0"/>
                          </wps:wsp>
                        </wpg:grpSp>
                        <wps:wsp>
                          <wps:cNvPr id="124" name="直接箭头连接符 96"/>
                          <wps:cNvCnPr>
                            <a:stCxn id="70" idx="2"/>
                            <a:endCxn id="63" idx="0"/>
                          </wps:cNvCnPr>
                          <wps:spPr>
                            <a:xfrm flipH="1">
                              <a:off x="8171" y="14059"/>
                              <a:ext cx="4" cy="874"/>
                            </a:xfrm>
                            <a:prstGeom prst="straightConnector1">
                              <a:avLst/>
                            </a:prstGeom>
                            <a:ln w="9525" cap="flat" cmpd="sng">
                              <a:solidFill>
                                <a:srgbClr val="000000"/>
                              </a:solidFill>
                              <a:prstDash val="solid"/>
                              <a:headEnd type="none" w="med" len="med"/>
                              <a:tailEnd type="triangle" w="med" len="med"/>
                            </a:ln>
                          </wps:spPr>
                          <wps:bodyPr lIns="46800" tIns="46800" rIns="46800" bIns="46800" anchor="ctr" anchorCtr="0" upright="0"/>
                        </wps:wsp>
                      </wpg:grpSp>
                      <wps:wsp>
                        <wps:cNvPr id="128" name="肘形连接符 98"/>
                        <wps:cNvCnPr>
                          <a:stCxn id="63" idx="2"/>
                          <a:endCxn id="104" idx="0"/>
                        </wps:cNvCnPr>
                        <wps:spPr>
                          <a:xfrm rot="5400000" flipV="1">
                            <a:off x="8208" y="13882"/>
                            <a:ext cx="791" cy="1466"/>
                          </a:xfrm>
                          <a:prstGeom prst="bentConnector3">
                            <a:avLst>
                              <a:gd name="adj1" fmla="val 50066"/>
                            </a:avLst>
                          </a:prstGeom>
                          <a:ln w="9525" cap="flat" cmpd="sng">
                            <a:solidFill>
                              <a:srgbClr val="000000"/>
                            </a:solidFill>
                            <a:prstDash val="solid"/>
                            <a:round/>
                            <a:headEnd type="none" w="med" len="med"/>
                            <a:tailEnd type="triangle" w="med" len="med"/>
                          </a:ln>
                        </wps:spPr>
                        <wps:bodyPr lIns="46800" tIns="46800" rIns="46800" bIns="46800" anchor="ctr" anchorCtr="0" upright="0"/>
                      </wps:wsp>
                      <wps:wsp>
                        <wps:cNvPr id="129" name="文本框 99"/>
                        <wps:cNvSpPr txBox="1"/>
                        <wps:spPr>
                          <a:xfrm>
                            <a:off x="8445" y="15011"/>
                            <a:ext cx="1783" cy="447"/>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F180112">
                              <w:pPr>
                                <w:jc w:val="center"/>
                                <w:rPr>
                                  <w:rFonts w:hint="eastAsia" w:ascii="宋体" w:hAnsi="宋体" w:eastAsia="宋体" w:cs="宋体"/>
                                  <w:sz w:val="20"/>
                                  <w:szCs w:val="20"/>
                                </w:rPr>
                              </w:pPr>
                              <w:r>
                                <w:rPr>
                                  <w:rFonts w:hint="eastAsia" w:ascii="宋体" w:hAnsi="宋体" w:eastAsia="宋体" w:cs="宋体"/>
                                  <w:sz w:val="20"/>
                                  <w:szCs w:val="20"/>
                                </w:rPr>
                                <w:t>或支付给医院</w:t>
                              </w:r>
                            </w:p>
                          </w:txbxContent>
                        </wps:txbx>
                        <wps:bodyPr lIns="46800" tIns="46800" rIns="46800" bIns="46800" anchor="ctr" anchorCtr="0" upright="0"/>
                      </wps:wsp>
                      <wps:wsp>
                        <wps:cNvPr id="136" name="文本框 100"/>
                        <wps:cNvSpPr txBox="1"/>
                        <wps:spPr>
                          <a:xfrm>
                            <a:off x="5712" y="15006"/>
                            <a:ext cx="1515" cy="4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5076D02">
                              <w:pPr>
                                <w:jc w:val="center"/>
                                <w:rPr>
                                  <w:rFonts w:hint="eastAsia" w:ascii="宋体" w:hAnsi="宋体" w:eastAsia="宋体" w:cs="宋体"/>
                                  <w:sz w:val="20"/>
                                  <w:szCs w:val="20"/>
                                </w:rPr>
                              </w:pPr>
                              <w:r>
                                <w:rPr>
                                  <w:rFonts w:hint="eastAsia" w:ascii="宋体" w:hAnsi="宋体" w:eastAsia="宋体" w:cs="宋体"/>
                                  <w:sz w:val="20"/>
                                  <w:szCs w:val="20"/>
                                </w:rPr>
                                <w:t>支付给患方</w:t>
                              </w:r>
                            </w:p>
                          </w:txbxContent>
                        </wps:txbx>
                        <wps:bodyPr lIns="46800" tIns="46800" rIns="46800" bIns="46800" anchor="ctr" anchorCtr="0" upright="0"/>
                      </wps:wsp>
                      <wps:wsp>
                        <wps:cNvPr id="139" name="肘形连接符 101"/>
                        <wps:cNvCnPr>
                          <a:stCxn id="63" idx="2"/>
                          <a:endCxn id="105" idx="0"/>
                        </wps:cNvCnPr>
                        <wps:spPr>
                          <a:xfrm rot="5400000">
                            <a:off x="6776" y="13912"/>
                            <a:ext cx="787" cy="1401"/>
                          </a:xfrm>
                          <a:prstGeom prst="bentConnector3">
                            <a:avLst>
                              <a:gd name="adj1" fmla="val 50000"/>
                            </a:avLst>
                          </a:prstGeom>
                          <a:ln w="9525" cap="flat" cmpd="sng">
                            <a:solidFill>
                              <a:srgbClr val="000000"/>
                            </a:solidFill>
                            <a:prstDash val="solid"/>
                            <a:round/>
                            <a:headEnd type="none" w="med" len="med"/>
                            <a:tailEnd type="triangle" w="med" len="med"/>
                          </a:ln>
                        </wps:spPr>
                        <wps:bodyPr lIns="46800" tIns="46800" rIns="46800" bIns="46800" anchor="ctr" anchorCtr="0" upright="0"/>
                      </wps:wsp>
                    </wpg:wgp>
                  </a:graphicData>
                </a:graphic>
              </wp:inline>
            </w:drawing>
          </mc:Choice>
          <mc:Fallback>
            <w:pict>
              <v:group id="_x0000_s1026" o:spid="_x0000_s1026" o:spt="203" style="height:656.45pt;width:402.1pt;" coordorigin="3684,1849" coordsize="8116,13652" o:gfxdata="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">
                <o:lock v:ext="edit" aspectratio="f"/>
                <v:group id="组合 97" o:spid="_x0000_s1026" o:spt="203" style="position:absolute;left:3684;top:1849;height:12370;width:8116;" coordorigin="3969,1847" coordsize="8146,13659"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组合 95" o:spid="_x0000_s1026" o:spt="203" style="position:absolute;left:3969;top:1847;height:13659;width:8146;" coordorigin="3277,1847" coordsize="8146,13659"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group id="组合 92" o:spid="_x0000_s1026" o:spt="203" style="position:absolute;left:3277;top:1847;height:13659;width:8146;" coordorigin="3277,1847" coordsize="8146,1365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直接箭头连接符 48" o:spid="_x0000_s1026" o:spt="32" type="#_x0000_t32" style="position:absolute;left:7196;top:2717;height:4371;width:32;" filled="f" stroked="t" coordsize="21600,21600" o:gfxdata="UEsDBAoAAAAAAIdO4kAAAAAAAAAAAAAAAAAEAAAAZHJzL1BLAwQUAAAACACHTuJA0iSvwr4AAADb&#10;AAAADwAAAGRycy9kb3ducmV2LnhtbEWPW2sCMRSE3wv9D+EU+qZZha5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Svw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组合 91" o:spid="_x0000_s1026" o:spt="203" style="position:absolute;left:3277;top:1847;height:13659;width:8146;" coordorigin="3277,1847" coordsize="8146,13659"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rect id="矩形 50" o:spid="_x0000_s1026" o:spt="1" style="position:absolute;left:6267;top:3221;height:519;width:2066;v-text-anchor:middle;" fillcolor="#FFFFFF" filled="t" stroked="t" coordsize="21600,21600" o:gfxdata="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P6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3mm,1.3mm,1.3mm,1.3mm">
                            <w:txbxContent>
                              <w:p w14:paraId="15D897C6">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保险经纪公司</w:t>
                                </w:r>
                              </w:p>
                            </w:txbxContent>
                          </v:textbox>
                        </v:rect>
                        <v:group id="组合 90" o:spid="_x0000_s1026" o:spt="203" style="position:absolute;left:3277;top:1847;height:13659;width:8146;" coordorigin="3277,1860" coordsize="8146,13659"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肘形连接符 51" o:spid="_x0000_s1026" o:spt="33" type="#_x0000_t33" style="position:absolute;left:3384;top:12159;flip:y;height:2085;width:4014;rotation:-5898240f;" filled="f" stroked="t" coordsize="21600,21600" o:gfxdata="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qZgQ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肘形连接符 52" o:spid="_x0000_s1026" o:spt="33" type="#_x0000_t33" style="position:absolute;left:8071;top:13623;height:1358;width:2489;" filled="f" stroked="t" coordsize="21600,21600" o:gfxdata="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9Dt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肘形连接符 53" o:spid="_x0000_s1026" o:spt="33" type="#_x0000_t33" style="position:absolute;left:9242;top:9064;height:1500;width:219;" filled="f" stroked="t" coordsize="21600,21600" o:gfxdata="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xq0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肘形连接符 54" o:spid="_x0000_s1026" o:spt="33" type="#_x0000_t33" style="position:absolute;left:4374;top:9064;flip:y;height:1566;width:883;rotation:11796480f;" filled="f" stroked="t" coordsize="21600,21600" o:gfxdata="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8brj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55" o:spid="_x0000_s1026" o:spt="1" style="position:absolute;left:6160;top:1860;height:870;width:2072;v-text-anchor:middle;" fillcolor="#FFFFFF" filled="t" stroked="t" coordsize="21600,21600" o:gfxdata="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C1/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3mm,1.3mm,1.3mm,1.3mm">
                              <w:txbxContent>
                                <w:p w14:paraId="2EA0064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接到法院传票</w:t>
                                  </w:r>
                                </w:p>
                                <w:p w14:paraId="718F03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医院报案</w:t>
                                  </w:r>
                                </w:p>
                              </w:txbxContent>
                            </v:textbox>
                          </v:rect>
                          <v:rect id="矩形 56" o:spid="_x0000_s1026" o:spt="1" style="position:absolute;left:3277;top:3220;height:521;width:1723;v-text-anchor:middle;" fillcolor="#FFFFFF" filled="t" stroked="t" coordsize="21600,21600" o:gfxdata="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0EmO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3mm,1.3mm,1.3mm,1.3mm">
                              <w:txbxContent>
                                <w:p w14:paraId="457D56B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保险公司</w:t>
                                  </w:r>
                                </w:p>
                              </w:txbxContent>
                            </v:textbox>
                          </v:rect>
                          <v:rect id="矩形 57" o:spid="_x0000_s1026" o:spt="1" style="position:absolute;left:4009;top:4677;height:1627;width:2433;v-text-anchor:middle;" fillcolor="#FFFFFF" filled="t" stroked="t" coordsize="21600,21600" o:gfxdata="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Ob4A&#10;AADb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inset="1.3mm,1.3mm,1.3mm,1.3mm">
                              <w:txbxContent>
                                <w:p w14:paraId="3D5804D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推荐律师复核确认</w:t>
                                  </w:r>
                                </w:p>
                                <w:p w14:paraId="1710B2D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核定律师费</w:t>
                                  </w:r>
                                </w:p>
                                <w:p w14:paraId="34AD1C4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三方合同审核</w:t>
                                  </w:r>
                                </w:p>
                                <w:p w14:paraId="13A9C38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签订三方委托代理合同</w:t>
                                  </w:r>
                                </w:p>
                              </w:txbxContent>
                            </v:textbox>
                          </v:rect>
                          <v:rect id="矩形 58" o:spid="_x0000_s1026" o:spt="1" style="position:absolute;left:6292;top:7102;height:488;width:1873;v-text-anchor:middle;" fillcolor="#FFFFFF" filled="t" stroked="t" coordsize="21600,21600" o:gfxdata="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Zfkv7UAAADbAAAADwAA&#10;AAAAAAABACAAAAAiAAAAZHJzL2Rvd25yZXYueG1sUEsBAhQAFAAAAAgAh07iQDMvBZ47AAAAOQAA&#10;ABAAAAAAAAAAAQAgAAAABAEAAGRycy9zaGFwZXhtbC54bWxQSwUGAAAAAAYABgBbAQAArgMAAAAA&#10;">
                            <v:fill on="t" focussize="0,0"/>
                            <v:stroke color="#000000" joinstyle="miter"/>
                            <v:imagedata o:title=""/>
                            <o:lock v:ext="edit" aspectratio="f"/>
                            <v:textbox inset="1.3mm,1.3mm,1.3mm,1.3mm">
                              <w:txbxContent>
                                <w:p w14:paraId="5B4D37FB">
                                  <w:pPr>
                                    <w:jc w:val="center"/>
                                    <w:rPr>
                                      <w:rFonts w:hint="eastAsia" w:ascii="宋体" w:hAnsi="宋体" w:eastAsia="宋体" w:cs="宋体"/>
                                      <w:sz w:val="20"/>
                                      <w:szCs w:val="20"/>
                                    </w:rPr>
                                  </w:pPr>
                                  <w:r>
                                    <w:rPr>
                                      <w:rFonts w:hint="eastAsia" w:ascii="宋体" w:hAnsi="宋体" w:eastAsia="宋体" w:cs="宋体"/>
                                      <w:sz w:val="20"/>
                                      <w:szCs w:val="20"/>
                                    </w:rPr>
                                    <w:t>案件评估</w:t>
                                  </w:r>
                                </w:p>
                              </w:txbxContent>
                            </v:textbox>
                          </v:rect>
                          <v:rect id="矩形 59" o:spid="_x0000_s1026" o:spt="1" style="position:absolute;left:3488;top:10630;height:589;width:1772;v-text-anchor:middle;" fillcolor="#FFFFFF" filled="t" stroked="t" coordsize="21600,21600" o:gfxdata="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tBJ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3mm,1.3mm,1.3mm,1.3mm">
                              <w:txbxContent>
                                <w:p w14:paraId="4312B7A2">
                                  <w:pPr>
                                    <w:jc w:val="center"/>
                                    <w:rPr>
                                      <w:rFonts w:hint="eastAsia" w:ascii="宋体" w:hAnsi="宋体" w:eastAsia="宋体" w:cs="宋体"/>
                                      <w:sz w:val="20"/>
                                      <w:szCs w:val="20"/>
                                    </w:rPr>
                                  </w:pPr>
                                  <w:r>
                                    <w:rPr>
                                      <w:rFonts w:hint="eastAsia" w:ascii="宋体" w:hAnsi="宋体" w:eastAsia="宋体" w:cs="宋体"/>
                                      <w:sz w:val="20"/>
                                      <w:szCs w:val="20"/>
                                    </w:rPr>
                                    <w:t>调解/和解意向</w:t>
                                  </w:r>
                                </w:p>
                              </w:txbxContent>
                            </v:textbox>
                          </v:rect>
                          <v:rect id="矩形 60" o:spid="_x0000_s1026" o:spt="1" style="position:absolute;left:5257;top:8422;height:1285;width:3985;v-text-anchor:middle;" fillcolor="#FFFFFF" filled="t" stroked="t" coordsize="21600,21600" o:gfxdata="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m7f74A&#10;AADb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inset="1.3mm,1.3mm,1.3mm,1.3mm">
                              <w:txbxContent>
                                <w:p w14:paraId="4E3BB77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案件评估（根据案件复杂程度）</w:t>
                                  </w:r>
                                  <w:r>
                                    <w:rPr>
                                      <w:rFonts w:hint="eastAsia" w:ascii="宋体" w:hAnsi="宋体" w:eastAsia="宋体" w:cs="宋体"/>
                                      <w:sz w:val="20"/>
                                      <w:szCs w:val="20"/>
                                      <w:lang w:val="en-US" w:eastAsia="zh-CN"/>
                                    </w:rPr>
                                    <w:t>:</w:t>
                                  </w:r>
                                </w:p>
                                <w:p w14:paraId="3681A2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1、医学专家案件分析</w:t>
                                  </w:r>
                                </w:p>
                                <w:p w14:paraId="3C04B95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2、诉讼案件风险评估小组案件分析评估</w:t>
                                  </w:r>
                                </w:p>
                              </w:txbxContent>
                            </v:textbox>
                          </v:rect>
                          <v:rect id="矩形 61" o:spid="_x0000_s1026" o:spt="1" style="position:absolute;left:9560;top:13328;height:891;width:1863;v-text-anchor:middle;" fillcolor="#FFFFFF" filled="t" stroked="t" coordsize="21600,21600" o:gfxdata="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RXr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3mm,1.3mm,1.3mm,1.3mm">
                              <w:txbxContent>
                                <w:p w14:paraId="39D09EBB">
                                  <w:pPr>
                                    <w:jc w:val="center"/>
                                    <w:rPr>
                                      <w:rFonts w:hint="eastAsia" w:ascii="宋体" w:hAnsi="宋体" w:eastAsia="宋体" w:cs="宋体"/>
                                      <w:sz w:val="20"/>
                                      <w:szCs w:val="20"/>
                                    </w:rPr>
                                  </w:pPr>
                                  <w:r>
                                    <w:rPr>
                                      <w:rFonts w:hint="eastAsia" w:ascii="宋体" w:hAnsi="宋体" w:eastAsia="宋体" w:cs="宋体"/>
                                      <w:sz w:val="20"/>
                                      <w:szCs w:val="20"/>
                                    </w:rPr>
                                    <w:t>二审应诉</w:t>
                                  </w:r>
                                </w:p>
                                <w:p w14:paraId="5567EE41">
                                  <w:pPr>
                                    <w:jc w:val="center"/>
                                    <w:rPr>
                                      <w:rFonts w:hint="eastAsia" w:ascii="宋体" w:hAnsi="宋体" w:eastAsia="宋体" w:cs="宋体"/>
                                      <w:sz w:val="20"/>
                                      <w:szCs w:val="20"/>
                                    </w:rPr>
                                  </w:pPr>
                                  <w:r>
                                    <w:rPr>
                                      <w:rFonts w:hint="eastAsia" w:ascii="宋体" w:hAnsi="宋体" w:eastAsia="宋体" w:cs="宋体"/>
                                      <w:sz w:val="20"/>
                                      <w:szCs w:val="20"/>
                                    </w:rPr>
                                    <w:t>（流程参考一审）</w:t>
                                  </w:r>
                                </w:p>
                              </w:txbxContent>
                            </v:textbox>
                          </v:rect>
                          <v:rect id="矩形 62" o:spid="_x0000_s1026" o:spt="1" style="position:absolute;left:9763;top:14981;height:475;width:1593;v-text-anchor:middle;" fillcolor="#FFFFFF" filled="t" stroked="t" coordsize="21600,21600" o:gfxdata="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4r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3mm,1.3mm,1.3mm,1.3mm">
                              <w:txbxContent>
                                <w:p w14:paraId="3342E331">
                                  <w:pPr>
                                    <w:jc w:val="center"/>
                                    <w:rPr>
                                      <w:rFonts w:hint="eastAsia" w:ascii="宋体" w:hAnsi="宋体" w:eastAsia="宋体" w:cs="宋体"/>
                                      <w:sz w:val="20"/>
                                      <w:szCs w:val="20"/>
                                    </w:rPr>
                                  </w:pPr>
                                  <w:r>
                                    <w:rPr>
                                      <w:rFonts w:hint="eastAsia" w:ascii="宋体" w:hAnsi="宋体" w:eastAsia="宋体" w:cs="宋体"/>
                                      <w:sz w:val="20"/>
                                      <w:szCs w:val="20"/>
                                    </w:rPr>
                                    <w:t>二审裁判</w:t>
                                  </w:r>
                                </w:p>
                              </w:txbxContent>
                            </v:textbox>
                          </v:rect>
                          <v:rect id="矩形 63" o:spid="_x0000_s1026" o:spt="1" style="position:absolute;left:6458;top:14946;height:573;width:2042;v-text-anchor:middle;" fillcolor="#FFFFFF" filled="t" stroked="t" coordsize="21600,21600" o:gfxdata="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Ry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3mm,1.3mm,1.3mm,1.3mm">
                              <w:txbxContent>
                                <w:p w14:paraId="076B74C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保险核定并赔付</w:t>
                                  </w:r>
                                </w:p>
                              </w:txbxContent>
                            </v:textbox>
                          </v:rect>
                          <v:rect id="矩形 64" o:spid="_x0000_s1026" o:spt="1" style="position:absolute;left:8115;top:4626;height:1627;width:2731;v-text-anchor:middle;" fillcolor="#FFFFFF" filled="t" stroked="t" coordsize="21600,21600" o:gfxdata="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CvXy/&#10;AAAA2wAAAA8AAAAAAAAAAQAgAAAAIgAAAGRycy9kb3ducmV2LnhtbFBLAQIUABQAAAAIAIdO4kAz&#10;LwWeOwAAADkAAAAQAAAAAAAAAAEAIAAAAA4BAABkcnMvc2hhcGV4bWwueG1sUEsFBgAAAAAGAAYA&#10;WwEAALgDAAAAAA==&#10;">
                            <v:fill on="t" focussize="0,0"/>
                            <v:stroke weight="1pt" color="#000000" joinstyle="miter" dashstyle="dash"/>
                            <v:imagedata o:title=""/>
                            <o:lock v:ext="edit" aspectratio="f"/>
                            <v:textbox inset="1.3mm,1.3mm,1.3mm,1.3mm">
                              <w:txbxContent>
                                <w:p w14:paraId="30BB40E0">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联系医疗机构：</w:t>
                                  </w:r>
                                </w:p>
                                <w:p w14:paraId="62C6980F">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案件是否曾调解？</w:t>
                                  </w:r>
                                </w:p>
                                <w:p w14:paraId="749D4B7A">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案件是否曾鉴定？</w:t>
                                  </w:r>
                                </w:p>
                                <w:p w14:paraId="4137E213">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医院是否需要指派律师？</w:t>
                                  </w:r>
                                </w:p>
                                <w:p w14:paraId="6F4CA3B0">
                                  <w:pPr>
                                    <w:keepNext w:val="0"/>
                                    <w:keepLines w:val="0"/>
                                    <w:pageBreakBefore w:val="0"/>
                                    <w:widowControl w:val="0"/>
                                    <w:kinsoku/>
                                    <w:wordWrap/>
                                    <w:overflowPunct/>
                                    <w:topLinePunct w:val="0"/>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告知及发送材料清单？</w:t>
                                  </w:r>
                                </w:p>
                              </w:txbxContent>
                            </v:textbox>
                          </v:rect>
                          <v:rect id="矩形 65" o:spid="_x0000_s1026" o:spt="1" style="position:absolute;left:9307;top:3255;height:463;width:1712;v-text-anchor:middle;" fillcolor="#FFFFFF" filled="t" stroked="t" coordsize="21600,21600" o:gfxdata="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fM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3mm,1.3mm,1.3mm,1.3mm">
                              <w:txbxContent>
                                <w:p w14:paraId="23AB4EE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医疗机构</w:t>
                                  </w:r>
                                </w:p>
                              </w:txbxContent>
                            </v:textbox>
                          </v:rect>
                          <v:rect id="矩形 68" o:spid="_x0000_s1026" o:spt="1" style="position:absolute;left:7925;top:10563;height:651;width:3071;v-text-anchor:middle;" fillcolor="#FFFFFF" filled="t" stroked="t" coordsize="21600,21600" o:gfxdata="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HoubUAAADbAAAADwAA&#10;AAAAAAABACAAAAAiAAAAZHJzL2Rvd25yZXYueG1sUEsBAhQAFAAAAAgAh07iQDMvBZ47AAAAOQAA&#10;ABAAAAAAAAAAAQAgAAAABAEAAGRycy9zaGFwZXhtbC54bWxQSwUGAAAAAAYABgBbAQAArgMAAAAA&#10;">
                            <v:fill on="t" focussize="0,0"/>
                            <v:stroke color="#000000" joinstyle="miter"/>
                            <v:imagedata o:title=""/>
                            <o:lock v:ext="edit" aspectratio="f"/>
                            <v:textbox inset="1.3mm,1.3mm,1.3mm,1.3mm">
                              <w:txbxContent>
                                <w:p w14:paraId="4034650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选定鉴定机构，进入鉴定程序</w:t>
                                  </w:r>
                                </w:p>
                              </w:txbxContent>
                            </v:textbox>
                          </v:rect>
                          <v:rect id="矩形 69" o:spid="_x0000_s1026" o:spt="1" style="position:absolute;left:8744;top:12007;height:516;width:1452;v-text-anchor:middle;" fillcolor="#FFFFFF" filled="t" stroked="t" coordsize="21600,21600" o:gfxdata="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tTS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3mm,1.3mm,1.3mm,1.3mm">
                              <w:txbxContent>
                                <w:p w14:paraId="235985A5">
                                  <w:pPr>
                                    <w:keepNext w:val="0"/>
                                    <w:keepLines w:val="0"/>
                                    <w:pageBreakBefore w:val="0"/>
                                    <w:widowControl w:val="0"/>
                                    <w:kinsoku/>
                                    <w:wordWrap/>
                                    <w:overflowPunct/>
                                    <w:topLinePunct w:val="0"/>
                                    <w:autoSpaceDE/>
                                    <w:bidi w:val="0"/>
                                    <w:adjustRightInd w:val="0"/>
                                    <w:snapToGrid w:val="0"/>
                                    <w:jc w:val="center"/>
                                    <w:textAlignment w:val="auto"/>
                                    <w:rPr>
                                      <w:rFonts w:hint="eastAsia" w:ascii="宋体" w:hAnsi="宋体" w:eastAsia="宋体" w:cs="宋体"/>
                                      <w:sz w:val="20"/>
                                      <w:szCs w:val="20"/>
                                    </w:rPr>
                                  </w:pPr>
                                  <w:r>
                                    <w:rPr>
                                      <w:rFonts w:hint="eastAsia" w:ascii="宋体" w:hAnsi="宋体" w:eastAsia="宋体" w:cs="宋体"/>
                                      <w:sz w:val="20"/>
                                      <w:szCs w:val="20"/>
                                    </w:rPr>
                                    <w:t>一审判决</w:t>
                                  </w:r>
                                </w:p>
                              </w:txbxContent>
                            </v:textbox>
                          </v:rect>
                          <v:roundrect id="流程图: 决策 70" o:spid="_x0000_s1026" o:spt="2" style="position:absolute;left:6894;top:13174;height:898;width:1177;v-text-anchor:middle;" fillcolor="#FFFFFF" filled="t" stroked="t" coordsize="21600,21600" arcsize="0.166666666666667" o:gfxdata="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6b7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inset="1.3mm,1.3mm,1.3mm,1.3mm">
                              <w:txbxContent>
                                <w:p w14:paraId="4393A30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0"/>
                                      <w:szCs w:val="20"/>
                                    </w:rPr>
                                  </w:pPr>
                                  <w:r>
                                    <w:rPr>
                                      <w:rFonts w:hint="eastAsia" w:ascii="宋体" w:hAnsi="宋体" w:eastAsia="宋体" w:cs="宋体"/>
                                      <w:sz w:val="20"/>
                                      <w:szCs w:val="20"/>
                                    </w:rPr>
                                    <w:t>是否上诉</w:t>
                                  </w:r>
                                </w:p>
                              </w:txbxContent>
                            </v:textbox>
                          </v:roundrect>
                          <v:shape id="肘形连接符 71" o:spid="_x0000_s1026" o:spt="33" type="#_x0000_t33" style="position:absolute;left:6981;top:4304;flip:y;height:593;width:1675;rotation:-5898240f;" filled="f" stroked="t" coordsize="21600,21600" o:gfxdata="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GVt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肘形连接符 72" o:spid="_x0000_s1026" o:spt="34" type="#_x0000_t34" style="position:absolute;left:10846;top:3487;flip:y;height:1953;width:173;" filled="f" stroked="t" coordsize="21600,21600" o:gfxdata="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5C1rsAAADc&#10;AAAADwAAAAAAAAABACAAAAAiAAAAZHJzL2Rvd25yZXYueG1sUEsBAhQAFAAAAAgAh07iQDMvBZ47&#10;AAAAOQAAABAAAAAAAAAAAQAgAAAACgEAAGRycy9zaGFwZXhtbC54bWxQSwUGAAAAAAYABgBbAQAA&#10;tAMAAAAA&#10;" adj="68933">
                            <v:fill on="f" focussize="0,0"/>
                            <v:stroke color="#000000" joinstyle="round" endarrow="block"/>
                            <v:imagedata o:title=""/>
                            <o:lock v:ext="edit" aspectratio="f"/>
                          </v:shape>
                          <v:shape id="直接箭头连接符 73" o:spid="_x0000_s1026" o:spt="32" type="#_x0000_t32" style="position:absolute;left:8334;top:3487;flip:x;height:7;width:973;" filled="f" stroked="t" coordsize="21600,21600" o:gfxdata="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m4+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肘形连接符 74" o:spid="_x0000_s1026" o:spt="34" type="#_x0000_t34" style="position:absolute;left:3277;top:3480;flip:x y;height:2011;width:732;rotation:11796480f;" filled="f" stroked="t" coordsize="21600,21600" o:gfxdata="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aDUm8AAAA&#10;3AAAAA8AAAAAAAAAAQAgAAAAIgAAAGRycy9kb3ducmV2LnhtbFBLAQIUABQAAAAIAIdO4kAzLwWe&#10;OwAAADkAAAAQAAAAAAAAAAEAIAAAAAsBAABkcnMvc2hhcGV4bWwueG1sUEsFBgAAAAAGAAYAWwEA&#10;ALUDAAAAAA==&#10;" adj="-11212">
                            <v:fill on="f" focussize="0,0"/>
                            <v:stroke color="#000000" joinstyle="round" endarrow="block"/>
                            <v:imagedata o:title=""/>
                            <o:lock v:ext="edit" aspectratio="f"/>
                          </v:shape>
                          <v:shape id="肘形连接符 75" o:spid="_x0000_s1026" o:spt="33" type="#_x0000_t33" style="position:absolute;left:6442;top:3769;flip:y;height:1721;width:502;" filled="f" stroked="t" coordsize="21600,21600" o:gfxdata="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ZO7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76" o:spid="_x0000_s1026" o:spt="32" type="#_x0000_t32" style="position:absolute;left:5000;top:3480;flip:x y;height:14;width:1267;" filled="f" stroked="t" coordsize="21600,21600" o:gfxdata="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9Fn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直接箭头连接符 77" o:spid="_x0000_s1026" o:spt="32" type="#_x0000_t32" style="position:absolute;left:7229;top:7590;height:832;width:20;" filled="f" stroked="t" coordsize="21600,21600" o:gfxdata="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VUX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肘形连接符 78" o:spid="_x0000_s1026" o:spt="33" type="#_x0000_t33" style="position:absolute;left:7483;top:12265;flip:y;height:909;width:1261;rotation:11796480f;" filled="f" stroked="t" coordsize="21600,21600" o:gfxdata="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Ehm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直接箭头连接符 79" o:spid="_x0000_s1026" o:spt="32" type="#_x0000_t32" style="position:absolute;left:8501;top:15218;flip:x;height:15;width:1262;" filled="f" stroked="t" coordsize="21600,21600" o:gfxdata="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ErG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80" o:spid="_x0000_s1026" o:spt="202" type="#_x0000_t202" style="position:absolute;left:8875;top:13101;height:439;width:397;v-text-anchor:middle;" filled="f" stroked="f" coordsize="21600,21600" o:gfxdata="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Os4q/&#10;AAAA3AAAAA8AAAAAAAAAAQAgAAAAIgAAAGRycy9kb3ducmV2LnhtbFBLAQIUABQAAAAIAIdO4kAz&#10;LwWeOwAAADkAAAAQAAAAAAAAAAEAIAAAAA4BAABkcnMvc2hhcGV4bWwueG1sUEsFBgAAAAAGAAYA&#10;WwEAALgDAAAAAA==&#10;">
                            <v:fill on="f" focussize="0,0"/>
                            <v:stroke on="f" weight="0.5pt" joinstyle="round"/>
                            <v:imagedata o:title=""/>
                            <o:lock v:ext="edit" aspectratio="f"/>
                            <v:textbox inset="1.3mm,1.3mm,1.3mm,1.3mm">
                              <w:txbxContent>
                                <w:p w14:paraId="074CA592">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是</w:t>
                                  </w:r>
                                </w:p>
                              </w:txbxContent>
                            </v:textbox>
                          </v:shape>
                          <v:shape id="文本框 81" o:spid="_x0000_s1026" o:spt="202" type="#_x0000_t202" style="position:absolute;left:7895;top:14177;height:513;width:459;v-text-anchor:middle;" fillcolor="#FFFFFF" filled="t" stroked="t" coordsize="21600,21600" o:gfxdata="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0YVSLsAAADc&#10;AAAADwAAAAAAAAABACAAAAAiAAAAZHJzL2Rvd25yZXYueG1sUEsBAhQAFAAAAAgAh07iQDMvBZ47&#10;AAAAOQAAABAAAAAAAAAAAQAgAAAACgEAAGRycy9zaGFwZXhtbC54bWxQSwUGAAAAAAYABgBbAQAA&#10;tAMAAAAA&#10;">
                            <v:fill on="t" focussize="0,0"/>
                            <v:stroke weight="0.5pt" color="#FFFFFF" joinstyle="round"/>
                            <v:imagedata o:title=""/>
                            <o:lock v:ext="edit" aspectratio="f"/>
                            <v:textbox inset="1.3mm,1.3mm,1.3mm,1.3mm">
                              <w:txbxContent>
                                <w:p w14:paraId="545ECCC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否</w:t>
                                  </w:r>
                                </w:p>
                              </w:txbxContent>
                            </v:textbox>
                          </v:shape>
                          <v:shape id="直接箭头连接符 83" o:spid="_x0000_s1026" o:spt="32" type="#_x0000_t32" style="position:absolute;left:9461;top:11214;height:792;width:9;"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肘形连接符 86" o:spid="_x0000_s1026" o:spt="34" type="#_x0000_t34" style="position:absolute;left:4960;top:10888;flip:y;height:2835;width:2965;" filled="f" stroked="t" coordsize="21600,21600" o:gfxdata="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5z9NS5AAAA3AAA&#10;AA8AAAAAAAAAAQAgAAAAIgAAAGRycy9kb3ducmV2LnhtbFBLAQIUABQAAAAIAIdO4kAzLwWeOwAA&#10;ADkAAAAQAAAAAAAAAAEAIAAAAAgBAABkcnMvc2hhcGV4bWwueG1sUEsFBgAAAAAGAAYAWwEAALID&#10;AAAAAA==&#10;" adj="7486">
                            <v:fill on="f" focussize="0,0"/>
                            <v:stroke color="#000000" joinstyle="round" endarrow="block"/>
                            <v:imagedata o:title=""/>
                            <o:lock v:ext="edit" aspectratio="f"/>
                          </v:shape>
                          <v:shape id="直接箭头连接符 87" o:spid="_x0000_s1026" o:spt="32" type="#_x0000_t32" style="position:absolute;left:5338;top:10739;flip:x y;height:21;width:2598;" filled="f" stroked="t" coordsize="21600,21600" o:gfxdata="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sU2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88" o:spid="_x0000_s1026" o:spt="202" type="#_x0000_t202" style="position:absolute;left:5466;top:12435;height:580;width:407;v-text-anchor:middle;" filled="f" stroked="t" coordsize="21600,21600" o:gfxdata="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lv/r4A&#10;AADcAAAADwAAAAAAAAABACAAAAAiAAAAZHJzL2Rvd25yZXYueG1sUEsBAhQAFAAAAAgAh07iQDMv&#10;BZ47AAAAOQAAABAAAAAAAAAAAQAgAAAADQEAAGRycy9zaGFwZXhtbC54bWxQSwUGAAAAAAYABgBb&#10;AQAAtwMAAAAA&#10;">
                            <v:fill on="f" focussize="0,0"/>
                            <v:stroke weight="0.5pt" color="#FFFFFF" joinstyle="round"/>
                            <v:imagedata o:title=""/>
                            <o:lock v:ext="edit" aspectratio="f"/>
                            <v:textbox inset="1.3mm,1.3mm,1.3mm,1.3mm">
                              <w:txbxContent>
                                <w:p w14:paraId="22BF957E">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0"/>
                                      <w:szCs w:val="20"/>
                                    </w:rPr>
                                  </w:pPr>
                                  <w:r>
                                    <w:rPr>
                                      <w:rFonts w:hint="eastAsia" w:ascii="宋体" w:hAnsi="宋体" w:eastAsia="宋体" w:cs="宋体"/>
                                      <w:sz w:val="20"/>
                                      <w:szCs w:val="20"/>
                                    </w:rPr>
                                    <w:t>否</w:t>
                                  </w:r>
                                </w:p>
                              </w:txbxContent>
                            </v:textbox>
                          </v:shape>
                          <v:shape id="文本框 89" o:spid="_x0000_s1026" o:spt="202" type="#_x0000_t202" style="position:absolute;left:4383;top:14391;height:506;width:491;v-text-anchor:middle;" fillcolor="#FFFFFF" filled="t" stroked="t" coordsize="21600,21600" o:gfxdata="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0q3/W5AAAA3AAA&#10;AA8AAAAAAAAAAQAgAAAAIgAAAGRycy9kb3ducmV2LnhtbFBLAQIUABQAAAAIAIdO4kAzLwWeOwAA&#10;ADkAAAAQAAAAAAAAAAEAIAAAAAgBAABkcnMvc2hhcGV4bWwueG1sUEsFBgAAAAAGAAYAWwEAALID&#10;AAAAAA==&#10;">
                            <v:fill on="t" focussize="0,0"/>
                            <v:stroke weight="0.5pt" color="#FFFFFF" joinstyle="round"/>
                            <v:imagedata o:title=""/>
                            <o:lock v:ext="edit" aspectratio="f"/>
                            <v:textbox inset="1.3mm,1.3mm,1.3mm,1.3mm">
                              <w:txbxContent>
                                <w:p w14:paraId="009443AF">
                                  <w:pPr>
                                    <w:rPr>
                                      <w:rFonts w:hint="eastAsia" w:ascii="宋体" w:hAnsi="宋体" w:eastAsia="宋体" w:cs="宋体"/>
                                      <w:sz w:val="20"/>
                                      <w:szCs w:val="20"/>
                                    </w:rPr>
                                  </w:pPr>
                                  <w:r>
                                    <w:rPr>
                                      <w:rFonts w:hint="eastAsia" w:ascii="宋体" w:hAnsi="宋体" w:eastAsia="宋体" w:cs="宋体"/>
                                      <w:sz w:val="20"/>
                                      <w:szCs w:val="20"/>
                                    </w:rPr>
                                    <w:t>是</w:t>
                                  </w:r>
                                </w:p>
                              </w:txbxContent>
                            </v:textbox>
                          </v:shape>
                        </v:group>
                      </v:group>
                    </v:group>
                    <v:rect id="矩形 93" o:spid="_x0000_s1026" o:spt="1" style="position:absolute;left:3435;top:11865;height:906;width:1915;v-text-anchor:middle;" fillcolor="#FFFFFF" filled="t" stroked="t" coordsize="21600,21600" o:gfxdata="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fwMO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3mm,1.3mm,1.3mm,1.3mm">
                        <w:txbxContent>
                          <w:p w14:paraId="3558EAA2">
                            <w:pPr>
                              <w:jc w:val="center"/>
                              <w:rPr>
                                <w:rFonts w:hint="eastAsia" w:ascii="宋体" w:hAnsi="宋体" w:eastAsia="宋体" w:cs="宋体"/>
                                <w:sz w:val="20"/>
                                <w:szCs w:val="20"/>
                              </w:rPr>
                            </w:pPr>
                            <w:r>
                              <w:rPr>
                                <w:rFonts w:hint="eastAsia" w:ascii="宋体" w:hAnsi="宋体" w:eastAsia="宋体" w:cs="宋体"/>
                                <w:sz w:val="20"/>
                                <w:szCs w:val="20"/>
                              </w:rPr>
                              <w:t>保险公司确认调解/和解方案</w:t>
                            </w:r>
                          </w:p>
                        </w:txbxContent>
                      </v:textbox>
                    </v:rect>
                    <v:roundrect id="流程图: 决策 94" o:spid="_x0000_s1026" o:spt="2" style="position:absolute;left:3792;top:13262;height:897;width:1169;v-text-anchor:middle;" fillcolor="#FFFFFF" filled="t" stroked="t" coordsize="21600,21600" arcsize="0.166666666666667" o:gfxdata="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QuHi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inset="1.3mm,1.3mm,1.3mm,1.3mm">
                        <w:txbxContent>
                          <w:p w14:paraId="17F82645">
                            <w:pPr>
                              <w:jc w:val="center"/>
                              <w:rPr>
                                <w:rFonts w:hint="eastAsia" w:ascii="宋体" w:hAnsi="宋体" w:eastAsia="宋体" w:cs="宋体"/>
                                <w:sz w:val="20"/>
                                <w:szCs w:val="20"/>
                              </w:rPr>
                            </w:pPr>
                            <w:r>
                              <w:rPr>
                                <w:rFonts w:hint="eastAsia" w:ascii="宋体" w:hAnsi="宋体" w:eastAsia="宋体" w:cs="宋体"/>
                                <w:sz w:val="20"/>
                                <w:szCs w:val="20"/>
                              </w:rPr>
                              <w:t>是否成功</w:t>
                            </w:r>
                          </w:p>
                        </w:txbxContent>
                      </v:textbox>
                    </v:roundrect>
                  </v:group>
                  <v:shape id="直接箭头连接符 96" o:spid="_x0000_s1026" o:spt="32" type="#_x0000_t32" style="position:absolute;left:8171;top:14059;flip:x;height:874;width:4;" filled="f" stroked="t" coordsize="21600,21600" o:gfxdata="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Bfm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shape id="肘形连接符 98" o:spid="_x0000_s1026" o:spt="34" type="#_x0000_t34" style="position:absolute;left:8208;top:13882;flip:y;height:1466;width:791;rotation:-5898240f;" filled="f" stroked="t" coordsize="21600,21600" o:gfxdata="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CzTN&#10;wAAAANwAAAAPAAAAAAAAAAEAIAAAACIAAABkcnMvZG93bnJldi54bWxQSwECFAAUAAAACACHTuJA&#10;My8FnjsAAAA5AAAAEAAAAAAAAAABACAAAAAPAQAAZHJzL3NoYXBleG1sLnhtbFBLBQYAAAAABgAG&#10;AFsBAAC5AwAAAAA=&#10;" adj="10814">
                  <v:fill on="f" focussize="0,0"/>
                  <v:stroke color="#000000" joinstyle="round" endarrow="block"/>
                  <v:imagedata o:title=""/>
                  <o:lock v:ext="edit" aspectratio="f"/>
                </v:shape>
                <v:shape id="文本框 99" o:spid="_x0000_s1026" o:spt="202" type="#_x0000_t202" style="position:absolute;left:8445;top:15011;height:447;width:1783;v-text-anchor:middle;" fillcolor="#FFFFFF" filled="t" stroked="t" coordsize="21600,21600" o:gfxdata="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xNdG5AAAA3A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inset="1.3mm,1.3mm,1.3mm,1.3mm">
                    <w:txbxContent>
                      <w:p w14:paraId="7F180112">
                        <w:pPr>
                          <w:jc w:val="center"/>
                          <w:rPr>
                            <w:rFonts w:hint="eastAsia" w:ascii="宋体" w:hAnsi="宋体" w:eastAsia="宋体" w:cs="宋体"/>
                            <w:sz w:val="20"/>
                            <w:szCs w:val="20"/>
                          </w:rPr>
                        </w:pPr>
                        <w:r>
                          <w:rPr>
                            <w:rFonts w:hint="eastAsia" w:ascii="宋体" w:hAnsi="宋体" w:eastAsia="宋体" w:cs="宋体"/>
                            <w:sz w:val="20"/>
                            <w:szCs w:val="20"/>
                          </w:rPr>
                          <w:t>或支付给医院</w:t>
                        </w:r>
                      </w:p>
                    </w:txbxContent>
                  </v:textbox>
                </v:shape>
                <v:shape id="文本框 100" o:spid="_x0000_s1026" o:spt="202" type="#_x0000_t202" style="position:absolute;left:5712;top:15006;height:495;width:1515;v-text-anchor:middle;" fillcolor="#FFFFFF" filled="t" stroked="t" coordsize="21600,21600" o:gfxdata="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tzd+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inset="1.3mm,1.3mm,1.3mm,1.3mm">
                    <w:txbxContent>
                      <w:p w14:paraId="05076D02">
                        <w:pPr>
                          <w:jc w:val="center"/>
                          <w:rPr>
                            <w:rFonts w:hint="eastAsia" w:ascii="宋体" w:hAnsi="宋体" w:eastAsia="宋体" w:cs="宋体"/>
                            <w:sz w:val="20"/>
                            <w:szCs w:val="20"/>
                          </w:rPr>
                        </w:pPr>
                        <w:r>
                          <w:rPr>
                            <w:rFonts w:hint="eastAsia" w:ascii="宋体" w:hAnsi="宋体" w:eastAsia="宋体" w:cs="宋体"/>
                            <w:sz w:val="20"/>
                            <w:szCs w:val="20"/>
                          </w:rPr>
                          <w:t>支付给患方</w:t>
                        </w:r>
                      </w:p>
                    </w:txbxContent>
                  </v:textbox>
                </v:shape>
                <v:shape id="肘形连接符 101" o:spid="_x0000_s1026" o:spt="34" type="#_x0000_t34" style="position:absolute;left:6776;top:13912;height:1401;width:787;rotation:5898240f;" filled="f" stroked="t" coordsize="21600,21600" o:gfxdata="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pVGm/&#10;AAAA3AAAAA8AAAAAAAAAAQAgAAAAIgAAAGRycy9kb3ducmV2LnhtbFBLAQIUABQAAAAIAIdO4kAz&#10;LwWeOwAAADkAAAAQAAAAAAAAAAEAIAAAAA4BAABkcnMvc2hhcGV4bWwueG1sUEsFBgAAAAAGAAYA&#10;WwEAALgDAAAAAA==&#10;" adj="10800">
                  <v:fill on="f" focussize="0,0"/>
                  <v:stroke color="#000000" joinstyle="round" endarrow="block"/>
                  <v:imagedata o:title=""/>
                  <o:lock v:ext="edit" aspectratio="f"/>
                </v:shape>
                <w10:wrap type="none"/>
                <w10:anchorlock/>
              </v:group>
            </w:pict>
          </mc:Fallback>
        </mc:AlternateContent>
      </w:r>
    </w:p>
    <w:p w14:paraId="05EB9463">
      <w:pPr>
        <w:keepNext w:val="0"/>
        <w:keepLines w:val="0"/>
        <w:pageBreakBefore/>
        <w:widowControl w:val="0"/>
        <w:kinsoku/>
        <w:wordWrap w:val="0"/>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二、接、报案程序</w:t>
      </w:r>
    </w:p>
    <w:p w14:paraId="21EAA3D4">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kern w:val="2"/>
          <w:sz w:val="24"/>
          <w:szCs w:val="24"/>
          <w:highlight w:val="none"/>
          <w:lang w:val="en-US" w:eastAsia="zh-CN" w:bidi="ar-SA"/>
        </w:rPr>
        <w:t>接、报案方式</w:t>
      </w:r>
    </w:p>
    <w:p w14:paraId="2E11E676">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医疗责任保险案件分电话报案与系统报案</w:t>
      </w:r>
      <w:r>
        <w:rPr>
          <w:rFonts w:hint="eastAsia" w:ascii="宋体" w:hAnsi="宋体" w:eastAsia="宋体" w:cs="宋体"/>
          <w:bCs/>
          <w:color w:val="auto"/>
          <w:kern w:val="2"/>
          <w:sz w:val="24"/>
          <w:szCs w:val="24"/>
          <w:highlight w:val="none"/>
          <w:lang w:eastAsia="zh-CN"/>
        </w:rPr>
        <w:t>两</w:t>
      </w:r>
      <w:r>
        <w:rPr>
          <w:rFonts w:hint="eastAsia" w:ascii="宋体" w:hAnsi="宋体" w:eastAsia="宋体" w:cs="宋体"/>
          <w:bCs/>
          <w:color w:val="auto"/>
          <w:kern w:val="2"/>
          <w:sz w:val="24"/>
          <w:szCs w:val="24"/>
          <w:highlight w:val="none"/>
        </w:rPr>
        <w:t>种形式。</w:t>
      </w:r>
      <w:r>
        <w:rPr>
          <w:rFonts w:hint="eastAsia" w:ascii="宋体" w:hAnsi="宋体" w:eastAsia="宋体" w:cs="宋体"/>
          <w:bCs/>
          <w:color w:val="auto"/>
          <w:kern w:val="2"/>
          <w:sz w:val="24"/>
          <w:szCs w:val="24"/>
          <w:highlight w:val="none"/>
          <w:lang w:val="en-US" w:eastAsia="zh-CN"/>
        </w:rPr>
        <w:t>医疗机构通过以下任一种途径报案视为向保险公司履行保险事故通知义务。</w:t>
      </w:r>
    </w:p>
    <w:p w14:paraId="2CC1E0E8">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电话报案</w:t>
      </w:r>
    </w:p>
    <w:p w14:paraId="16198EC1">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（1）“广州公益医调委”报案：020-83497725</w:t>
      </w:r>
    </w:p>
    <w:p w14:paraId="577DA6A2">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）江泰经纪公司报案电话：</w:t>
      </w:r>
      <w:r>
        <w:rPr>
          <w:rFonts w:hint="eastAsia" w:ascii="宋体" w:hAnsi="宋体" w:eastAsia="宋体" w:cs="宋体"/>
          <w:bCs/>
          <w:color w:val="auto"/>
          <w:kern w:val="2"/>
          <w:sz w:val="24"/>
          <w:szCs w:val="24"/>
          <w:highlight w:val="none"/>
          <w:lang w:val="en-US" w:eastAsia="zh-CN"/>
        </w:rPr>
        <w:t>400-833-9277</w:t>
      </w:r>
    </w:p>
    <w:p w14:paraId="42DF3EF8">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lang w:eastAsia="zh-CN"/>
        </w:rPr>
        <w:t>）保险公司报案电话：</w:t>
      </w:r>
    </w:p>
    <w:p w14:paraId="248DBEC0">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2、系统报案：参保医疗机构可通过广东和谐医调委医疗纠纷信息系统进行报案。系统地址：http://183.6.169.155/yhpt/。</w:t>
      </w:r>
    </w:p>
    <w:p w14:paraId="4675D66F">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3、邮件报案：广东医责险统一报案邮箱2980826981@qq.com。</w:t>
      </w:r>
    </w:p>
    <w:p w14:paraId="1AF47486">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kern w:val="2"/>
          <w:sz w:val="24"/>
          <w:szCs w:val="24"/>
          <w:highlight w:val="none"/>
          <w:lang w:val="en-US" w:eastAsia="zh-CN" w:bidi="ar-SA"/>
        </w:rPr>
        <w:t>接、报案内容</w:t>
      </w:r>
    </w:p>
    <w:p w14:paraId="7ADBFB37">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报案内容包括：保单号；参保医疗机构名称；参保医疗机构报案人及联系电话；医疗纠纷发生时间（患</w:t>
      </w:r>
      <w:r>
        <w:rPr>
          <w:rFonts w:hint="eastAsia" w:ascii="宋体" w:hAnsi="宋体" w:eastAsia="宋体" w:cs="宋体"/>
          <w:bCs/>
          <w:color w:val="auto"/>
          <w:kern w:val="2"/>
          <w:sz w:val="24"/>
          <w:szCs w:val="24"/>
          <w:highlight w:val="none"/>
          <w:lang w:eastAsia="zh-CN"/>
        </w:rPr>
        <w:t>方</w:t>
      </w:r>
      <w:r>
        <w:rPr>
          <w:rFonts w:hint="eastAsia" w:ascii="宋体" w:hAnsi="宋体" w:eastAsia="宋体" w:cs="宋体"/>
          <w:bCs/>
          <w:color w:val="auto"/>
          <w:kern w:val="2"/>
          <w:sz w:val="24"/>
          <w:szCs w:val="24"/>
          <w:highlight w:val="none"/>
        </w:rPr>
        <w:t>首次投诉时间、参保医疗机构报案时间）；医疗纠纷病情简述；患</w:t>
      </w:r>
      <w:r>
        <w:rPr>
          <w:rFonts w:hint="eastAsia" w:ascii="宋体" w:hAnsi="宋体" w:eastAsia="宋体" w:cs="宋体"/>
          <w:bCs/>
          <w:color w:val="auto"/>
          <w:kern w:val="2"/>
          <w:sz w:val="24"/>
          <w:szCs w:val="24"/>
          <w:highlight w:val="none"/>
          <w:lang w:eastAsia="zh-CN"/>
        </w:rPr>
        <w:t>方</w:t>
      </w:r>
      <w:r>
        <w:rPr>
          <w:rFonts w:hint="eastAsia" w:ascii="宋体" w:hAnsi="宋体" w:eastAsia="宋体" w:cs="宋体"/>
          <w:bCs/>
          <w:color w:val="auto"/>
          <w:kern w:val="2"/>
          <w:sz w:val="24"/>
          <w:szCs w:val="24"/>
          <w:highlight w:val="none"/>
        </w:rPr>
        <w:t>诉求；医疗机构意见等。</w:t>
      </w:r>
    </w:p>
    <w:p w14:paraId="6DFA29FF">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auto"/>
          <w:kern w:val="2"/>
          <w:sz w:val="24"/>
          <w:szCs w:val="24"/>
          <w:highlight w:val="none"/>
        </w:rPr>
      </w:pPr>
    </w:p>
    <w:p w14:paraId="1BB6C138">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三、医调委介入程序</w:t>
      </w:r>
    </w:p>
    <w:p w14:paraId="3C659471">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（一）特发、重大案件现场处理</w:t>
      </w:r>
    </w:p>
    <w:p w14:paraId="2777AE6F">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对于特发、重大案件，医疗机构在案件发生后立即通知当地医调委，由医调委按照程序组织调解员进行现场调查、取证，介入调解。</w:t>
      </w:r>
    </w:p>
    <w:p w14:paraId="6D661DD4">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（二）医调委案件处理程序</w:t>
      </w:r>
    </w:p>
    <w:p w14:paraId="170029BA">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“广东</w:t>
      </w:r>
      <w:r>
        <w:rPr>
          <w:rFonts w:hint="eastAsia" w:ascii="宋体" w:hAnsi="宋体" w:eastAsia="宋体" w:cs="宋体"/>
          <w:bCs/>
          <w:color w:val="auto"/>
          <w:kern w:val="2"/>
          <w:sz w:val="24"/>
          <w:szCs w:val="24"/>
          <w:highlight w:val="none"/>
          <w:lang w:eastAsia="zh-CN"/>
        </w:rPr>
        <w:t>和谐</w:t>
      </w:r>
      <w:r>
        <w:rPr>
          <w:rFonts w:hint="eastAsia" w:ascii="宋体" w:hAnsi="宋体" w:eastAsia="宋体" w:cs="宋体"/>
          <w:bCs/>
          <w:color w:val="auto"/>
          <w:kern w:val="2"/>
          <w:sz w:val="24"/>
          <w:szCs w:val="24"/>
          <w:highlight w:val="none"/>
        </w:rPr>
        <w:t>医调委”根据医疗纠纷案件赔付金额（不含法律费用），作以下区分处理：</w:t>
      </w:r>
    </w:p>
    <w:p w14:paraId="587C7B1D">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1、赔付金额（不含法律费用）在2万元以内（含2万元）的医疗纠纷案件（不含法律费用），人民调解员有权自主</w:t>
      </w:r>
      <w:r>
        <w:rPr>
          <w:rFonts w:hint="eastAsia" w:ascii="宋体" w:hAnsi="宋体" w:eastAsia="宋体" w:cs="宋体"/>
          <w:bCs/>
          <w:color w:val="auto"/>
          <w:kern w:val="2"/>
          <w:sz w:val="24"/>
          <w:szCs w:val="24"/>
          <w:highlight w:val="none"/>
          <w:lang w:eastAsia="zh-CN"/>
        </w:rPr>
        <w:t>引导</w:t>
      </w:r>
      <w:r>
        <w:rPr>
          <w:rFonts w:hint="eastAsia" w:ascii="宋体" w:hAnsi="宋体" w:eastAsia="宋体" w:cs="宋体"/>
          <w:bCs/>
          <w:color w:val="auto"/>
          <w:kern w:val="2"/>
          <w:sz w:val="24"/>
          <w:szCs w:val="24"/>
          <w:highlight w:val="none"/>
        </w:rPr>
        <w:t>医患纠纷当事人达成调解协议，达成调解协议后，保险公司根据保险合同将协议赔偿款项直接支付给患方或医疗机构。</w:t>
      </w:r>
    </w:p>
    <w:p w14:paraId="3F2594EB">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2、赔付金额（不含法律费用）在2万元以上，</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0万元以内（含</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0万元）的医疗纠纷案件（不含法律费用），由“广东</w:t>
      </w:r>
      <w:r>
        <w:rPr>
          <w:rFonts w:hint="eastAsia" w:ascii="宋体" w:hAnsi="宋体" w:eastAsia="宋体" w:cs="宋体"/>
          <w:bCs/>
          <w:color w:val="auto"/>
          <w:kern w:val="2"/>
          <w:sz w:val="24"/>
          <w:szCs w:val="24"/>
          <w:highlight w:val="none"/>
          <w:lang w:eastAsia="zh-CN"/>
        </w:rPr>
        <w:t>和谐</w:t>
      </w:r>
      <w:r>
        <w:rPr>
          <w:rFonts w:hint="eastAsia" w:ascii="宋体" w:hAnsi="宋体" w:eastAsia="宋体" w:cs="宋体"/>
          <w:bCs/>
          <w:color w:val="auto"/>
          <w:kern w:val="2"/>
          <w:sz w:val="24"/>
          <w:szCs w:val="24"/>
          <w:highlight w:val="none"/>
        </w:rPr>
        <w:t>医调委”组织专家对案件病历等相关材料进行书面分析并核定损失。人民调解员按照专家分析意见进行调解，达成调解协议后，保险公司根据保险合同将协议赔偿款项直接支付给患方或医疗机构。</w:t>
      </w:r>
    </w:p>
    <w:p w14:paraId="36FB6A61">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3、赔付金额（不含法律费用）在</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0万元以上的医疗纠纷案件（不含法律费用），由“</w:t>
      </w:r>
      <w:r>
        <w:rPr>
          <w:rFonts w:hint="eastAsia" w:ascii="宋体" w:hAnsi="宋体" w:eastAsia="宋体" w:cs="宋体"/>
          <w:bCs/>
          <w:color w:val="auto"/>
          <w:kern w:val="2"/>
          <w:sz w:val="24"/>
          <w:szCs w:val="24"/>
          <w:highlight w:val="none"/>
          <w:lang w:eastAsia="zh-CN"/>
        </w:rPr>
        <w:t>广东和谐</w:t>
      </w:r>
      <w:r>
        <w:rPr>
          <w:rFonts w:hint="eastAsia" w:ascii="宋体" w:hAnsi="宋体" w:eastAsia="宋体" w:cs="宋体"/>
          <w:bCs/>
          <w:color w:val="auto"/>
          <w:kern w:val="2"/>
          <w:sz w:val="24"/>
          <w:szCs w:val="24"/>
          <w:highlight w:val="none"/>
        </w:rPr>
        <w:t>医调委”组织召开</w:t>
      </w:r>
      <w:r>
        <w:rPr>
          <w:rFonts w:hint="eastAsia" w:ascii="宋体" w:hAnsi="宋体" w:eastAsia="宋体" w:cs="宋体"/>
          <w:bCs/>
          <w:color w:val="auto"/>
          <w:kern w:val="2"/>
          <w:sz w:val="24"/>
          <w:szCs w:val="24"/>
          <w:highlight w:val="none"/>
          <w:lang w:eastAsia="zh-CN"/>
        </w:rPr>
        <w:t>听证</w:t>
      </w:r>
      <w:r>
        <w:rPr>
          <w:rFonts w:hint="eastAsia" w:ascii="宋体" w:hAnsi="宋体" w:eastAsia="宋体" w:cs="宋体"/>
          <w:bCs/>
          <w:color w:val="auto"/>
          <w:kern w:val="2"/>
          <w:sz w:val="24"/>
          <w:szCs w:val="24"/>
          <w:highlight w:val="none"/>
        </w:rPr>
        <w:t>会，由到会医学、法律专家现场就案件进行分析并核定损失。人民调解员按照</w:t>
      </w:r>
      <w:r>
        <w:rPr>
          <w:rFonts w:hint="eastAsia" w:ascii="宋体" w:hAnsi="宋体" w:eastAsia="宋体" w:cs="宋体"/>
          <w:bCs/>
          <w:color w:val="auto"/>
          <w:kern w:val="2"/>
          <w:sz w:val="24"/>
          <w:szCs w:val="24"/>
          <w:highlight w:val="none"/>
          <w:lang w:eastAsia="zh-CN"/>
        </w:rPr>
        <w:t>听证</w:t>
      </w:r>
      <w:r>
        <w:rPr>
          <w:rFonts w:hint="eastAsia" w:ascii="宋体" w:hAnsi="宋体" w:eastAsia="宋体" w:cs="宋体"/>
          <w:bCs/>
          <w:color w:val="auto"/>
          <w:kern w:val="2"/>
          <w:sz w:val="24"/>
          <w:szCs w:val="24"/>
          <w:highlight w:val="none"/>
        </w:rPr>
        <w:t>会专家分析意见进行调解，达成调解协议后，保险公司根据保险合同将协议赔偿款项直接支付给患方或医疗机构。</w:t>
      </w:r>
    </w:p>
    <w:p w14:paraId="4AD1A25E">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对于经过医疗事故鉴定、医疗损害鉴定程序并已有明确生效结论，继续或重新进行调解的案件，人民调解员根据鉴定结论进行调解，达成调解协议后，保险公司根据保险合同将协议赔偿款项直接支付给患方或医疗机构。</w:t>
      </w:r>
    </w:p>
    <w:p w14:paraId="79C1590E">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val="0"/>
          <w:color w:val="auto"/>
          <w:kern w:val="2"/>
          <w:sz w:val="24"/>
          <w:szCs w:val="24"/>
          <w:highlight w:val="none"/>
          <w:lang w:eastAsia="zh-CN"/>
        </w:rPr>
      </w:pPr>
    </w:p>
    <w:p w14:paraId="13D61772">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val="0"/>
          <w:color w:val="auto"/>
          <w:kern w:val="2"/>
          <w:sz w:val="24"/>
          <w:szCs w:val="24"/>
          <w:highlight w:val="none"/>
          <w:lang w:eastAsia="zh-CN"/>
        </w:rPr>
      </w:pPr>
      <w:r>
        <w:rPr>
          <w:rFonts w:hint="eastAsia" w:ascii="宋体" w:hAnsi="宋体" w:eastAsia="宋体" w:cs="宋体"/>
          <w:b/>
          <w:bCs w:val="0"/>
          <w:color w:val="auto"/>
          <w:kern w:val="2"/>
          <w:sz w:val="24"/>
          <w:szCs w:val="24"/>
          <w:highlight w:val="none"/>
          <w:lang w:eastAsia="zh-CN"/>
        </w:rPr>
        <w:t>四、自主处理案件处理程序</w:t>
      </w:r>
    </w:p>
    <w:p w14:paraId="2A198B1C">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bCs w:val="0"/>
          <w:color w:val="auto"/>
          <w:kern w:val="2"/>
          <w:sz w:val="24"/>
          <w:szCs w:val="24"/>
          <w:highlight w:val="none"/>
          <w:lang w:eastAsia="zh-CN"/>
        </w:rPr>
      </w:pPr>
      <w:r>
        <w:rPr>
          <w:rFonts w:hint="eastAsia" w:ascii="宋体" w:hAnsi="宋体" w:eastAsia="宋体" w:cs="宋体"/>
          <w:bCs/>
          <w:color w:val="auto"/>
          <w:kern w:val="2"/>
          <w:sz w:val="24"/>
          <w:szCs w:val="24"/>
          <w:highlight w:val="none"/>
        </w:rPr>
        <w:t>医疗机构根据合同特别约定的</w:t>
      </w:r>
      <w:r>
        <w:rPr>
          <w:rFonts w:hint="eastAsia" w:ascii="宋体" w:hAnsi="宋体" w:eastAsia="宋体" w:cs="宋体"/>
          <w:bCs/>
          <w:color w:val="auto"/>
          <w:kern w:val="2"/>
          <w:sz w:val="24"/>
          <w:szCs w:val="24"/>
          <w:highlight w:val="none"/>
          <w:lang w:eastAsia="zh-CN"/>
        </w:rPr>
        <w:t>自主处理</w:t>
      </w:r>
      <w:r>
        <w:rPr>
          <w:rFonts w:hint="eastAsia" w:ascii="宋体" w:hAnsi="宋体" w:eastAsia="宋体" w:cs="宋体"/>
          <w:bCs/>
          <w:color w:val="auto"/>
          <w:kern w:val="2"/>
          <w:sz w:val="24"/>
          <w:szCs w:val="24"/>
          <w:highlight w:val="none"/>
        </w:rPr>
        <w:t>权限</w:t>
      </w:r>
      <w:r>
        <w:rPr>
          <w:rFonts w:hint="eastAsia" w:ascii="宋体" w:hAnsi="宋体" w:eastAsia="宋体" w:cs="宋体"/>
          <w:bCs/>
          <w:color w:val="auto"/>
          <w:kern w:val="2"/>
          <w:sz w:val="24"/>
          <w:szCs w:val="24"/>
          <w:highlight w:val="none"/>
          <w:lang w:eastAsia="zh-CN"/>
        </w:rPr>
        <w:t>，自行与患者进行协商和解，在一万元内（不含法律费用）达成赔（补）偿协议，医疗机构整理好索赔资料提交保险公司进行索赔，保险公司根据医疗机构的申请将协议赔偿款项支付给患者或医疗机构。</w:t>
      </w:r>
    </w:p>
    <w:p w14:paraId="39314245">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val="0"/>
          <w:color w:val="auto"/>
          <w:kern w:val="2"/>
          <w:sz w:val="24"/>
          <w:szCs w:val="24"/>
          <w:lang w:val="en-US" w:eastAsia="zh-CN" w:bidi="ar-SA"/>
        </w:rPr>
      </w:pPr>
    </w:p>
    <w:p w14:paraId="27D6C378">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val="0"/>
          <w:color w:val="auto"/>
          <w:kern w:val="2"/>
          <w:sz w:val="24"/>
          <w:szCs w:val="24"/>
          <w:highlight w:val="none"/>
          <w:lang w:eastAsia="zh-CN"/>
        </w:rPr>
      </w:pPr>
      <w:r>
        <w:rPr>
          <w:rFonts w:hint="eastAsia" w:ascii="宋体" w:hAnsi="宋体" w:eastAsia="宋体" w:cs="宋体"/>
          <w:b/>
          <w:bCs w:val="0"/>
          <w:color w:val="auto"/>
          <w:kern w:val="2"/>
          <w:sz w:val="24"/>
          <w:szCs w:val="24"/>
          <w:lang w:val="en-US" w:eastAsia="zh-CN" w:bidi="ar-SA"/>
        </w:rPr>
        <w:t>五、</w:t>
      </w:r>
      <w:r>
        <w:rPr>
          <w:rFonts w:hint="eastAsia" w:ascii="宋体" w:hAnsi="宋体" w:eastAsia="宋体" w:cs="宋体"/>
          <w:b/>
          <w:bCs w:val="0"/>
          <w:color w:val="auto"/>
          <w:kern w:val="2"/>
          <w:sz w:val="24"/>
          <w:szCs w:val="24"/>
          <w:highlight w:val="none"/>
          <w:lang w:eastAsia="zh-CN"/>
        </w:rPr>
        <w:t>司法诉讼案件处理程序</w:t>
      </w:r>
    </w:p>
    <w:p w14:paraId="5A5E0D02">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江泰经纪公司对司法诉讼案件进行流程管理及协调：</w:t>
      </w:r>
    </w:p>
    <w:p w14:paraId="27D09CAF">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（一）医责险诉讼案件报案及资料提交</w:t>
      </w:r>
    </w:p>
    <w:p w14:paraId="2464F1F1">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lang w:val="en-US" w:eastAsia="zh-CN" w:bidi="ar-SA"/>
        </w:rPr>
        <w:t>各参保医疗机构应在收到法院诉讼传票后1个工作日内，将法院传票及原告诉状扫描件发至江泰法务部邮箱：2660254699@qq.com，同时，医疗机构需自查案件是否已进行医责险报案，尚未报案的，应及时填写《报案登记表》发送至广东医责险统一报案邮箱</w:t>
      </w:r>
      <w:r>
        <w:rPr>
          <w:rFonts w:hint="eastAsia" w:ascii="宋体" w:hAnsi="宋体" w:eastAsia="宋体" w:cs="宋体"/>
          <w:color w:val="auto"/>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fldChar w:fldCharType="begin"/>
      </w:r>
      <w:r>
        <w:rPr>
          <w:rFonts w:hint="eastAsia" w:ascii="宋体" w:hAnsi="宋体" w:eastAsia="宋体" w:cs="宋体"/>
          <w:color w:val="auto"/>
          <w:kern w:val="0"/>
          <w:sz w:val="24"/>
          <w:szCs w:val="24"/>
          <w:highlight w:val="none"/>
          <w:u w:val="none"/>
          <w:lang w:val="en-US" w:eastAsia="zh-CN" w:bidi="ar-SA"/>
        </w:rPr>
        <w:instrText xml:space="preserve"> HYPERLINK "mailto:2980826981@qq.com，或通过广东省医患纠纷系统信息化平台进行线上报案。江泰收到医疗机构保险报案后将《报案登记表》转保险公司报案管理邮箱。" </w:instrText>
      </w:r>
      <w:r>
        <w:rPr>
          <w:rFonts w:hint="eastAsia" w:ascii="宋体" w:hAnsi="宋体" w:eastAsia="宋体" w:cs="宋体"/>
          <w:color w:val="auto"/>
          <w:kern w:val="0"/>
          <w:sz w:val="24"/>
          <w:szCs w:val="24"/>
          <w:highlight w:val="none"/>
          <w:u w:val="none"/>
          <w:lang w:val="en-US" w:eastAsia="zh-CN" w:bidi="ar-SA"/>
        </w:rPr>
        <w:fldChar w:fldCharType="separate"/>
      </w:r>
      <w:r>
        <w:rPr>
          <w:rFonts w:hint="eastAsia" w:ascii="宋体" w:hAnsi="宋体" w:eastAsia="宋体" w:cs="宋体"/>
          <w:color w:val="auto"/>
          <w:kern w:val="0"/>
          <w:sz w:val="24"/>
          <w:szCs w:val="24"/>
          <w:highlight w:val="none"/>
          <w:u w:val="none"/>
          <w:lang w:val="en-US" w:eastAsia="zh-CN" w:bidi="ar-SA"/>
        </w:rPr>
        <w:t>2980826981@qq.com，或通过广东省医患纠纷系统信息化平台进行线上报案。江泰收到医疗机构保险报案后将《报案登记表》转保险公司报案管理邮箱。</w:t>
      </w:r>
      <w:r>
        <w:rPr>
          <w:rFonts w:hint="eastAsia" w:ascii="宋体" w:hAnsi="宋体" w:eastAsia="宋体" w:cs="宋体"/>
          <w:color w:val="auto"/>
          <w:kern w:val="0"/>
          <w:sz w:val="24"/>
          <w:szCs w:val="24"/>
          <w:highlight w:val="none"/>
          <w:u w:val="none"/>
          <w:lang w:val="en-US" w:eastAsia="zh-CN" w:bidi="ar-SA"/>
        </w:rPr>
        <w:fldChar w:fldCharType="end"/>
      </w:r>
    </w:p>
    <w:p w14:paraId="29CEB60D">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kern w:val="2"/>
          <w:sz w:val="24"/>
          <w:szCs w:val="24"/>
          <w:highlight w:val="none"/>
          <w:lang w:val="en-US" w:eastAsia="zh-CN" w:bidi="ar-SA"/>
        </w:rPr>
        <w:t>关于律师代理协议的签订</w:t>
      </w:r>
    </w:p>
    <w:p w14:paraId="3019BDC5">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诉讼案件委托事项以参保医疗机构、律师、保险公司签订三方委托协议为原则，医疗机构要求与律师签订双方委托协议的，若无特殊情况，尊重医院意愿。具体操作如下 ：</w:t>
      </w:r>
    </w:p>
    <w:p w14:paraId="7A3F90D3">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参保医疗机构、律师和保险公司签订三方委托协议的，则待三方确认协议文本无误，并经医疗机构、律师签字、盖章确认后寄送保险公司最终盖章确认，保险公司盖章后应回寄医院、律师协议文本各一份（亦可先由保险公司盖章确认后再寄送医疗机构、律师确认，并由医疗机构或律师之中最后签署协议的一方负责回寄保险公司）。</w:t>
      </w:r>
    </w:p>
    <w:p w14:paraId="4325F7A8">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2、参保医疗机构和律师签订双方委托协议的，应在协议签订后提供协议文本的扫描件给江泰法务部及保险公司备案。</w:t>
      </w:r>
    </w:p>
    <w:p w14:paraId="79669026">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kern w:val="2"/>
          <w:sz w:val="24"/>
          <w:szCs w:val="24"/>
          <w:highlight w:val="none"/>
          <w:lang w:val="en-US" w:eastAsia="zh-CN" w:bidi="ar-SA"/>
        </w:rPr>
        <w:t>律师费的计算与支付</w:t>
      </w:r>
    </w:p>
    <w:p w14:paraId="597D8780">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1、律师费的计算</w:t>
      </w:r>
    </w:p>
    <w:p w14:paraId="2D4B5CE6">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律师费按照广东省律师服务政府指导价《广东省物价局、司法厅律师服务收费管理实施办法》的通知 （粤价〔2006〕298号）中涉及财产的民事、行政诉讼收费标准计算。特殊情况律师费的计算：</w:t>
      </w:r>
    </w:p>
    <w:p w14:paraId="7BFC1B55">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原告起诉参保医疗机构的诉求中，除投诉医疗机构的诊疗行为存在不足外，还附带投诉医疗机构其他方面的问题，如：行政管理、服务态度、收费不合理等的，此类案件亦属医责险统保范围内，律师需针对医院诊疗行为及原告附带投诉部分整体作答辩工作，律师费应按照整个赔案计算，不以所谓“保险责任范围内的比例”为区分。</w:t>
      </w:r>
    </w:p>
    <w:p w14:paraId="76E91AFC">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（2）原告因同一患者的损害事由起诉两家及以上医疗机构，其中一家为参保医疗机构，其余为非保医疗机构的，律师费按照整个赔案计算。</w:t>
      </w:r>
    </w:p>
    <w:p w14:paraId="18CCF28A">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原告因同一患者的损害事由起诉两家或以上参保医疗机构的，因诉讼案件之于每家医疗机构在其保单内均为独立赔案，故每家医疗机构就该诉案的律师费应作为独立赔案分别计算整个案件的律师费。具体操作如下 ：</w:t>
      </w:r>
    </w:p>
    <w:p w14:paraId="5FD98773">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①每家被诉参保医疗机构均已各自委托法律顾问或指定律师代理的，每家医疗机构的律师费独立计算；</w:t>
      </w:r>
    </w:p>
    <w:p w14:paraId="2FB7FBF4">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参保医疗机构需江泰法务部协助推荐律师的，江泰法务部应首先咨询各被诉医疗机构是否同意共同委托一位律师代理应诉，如各医疗机构均同意，则由江泰法务部推荐合适的律师代理案件，律师费按一个赔案上浮20%计算；如各被诉医疗机构不能同意或就律师人选不能达成一致的，江泰法务部另行分别为各被诉医疗机构推荐代理律师，每家被诉医疗机构的律师费按照广东省律师服务政府指导价《广东省物价局、司法厅律师服务收费管理实施办法》的通知 （粤价〔2006〕298号）中涉及财产的民事、行政诉讼收费标准计算。</w:t>
      </w:r>
    </w:p>
    <w:p w14:paraId="4F8C4AF0">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2、律师费的支付</w:t>
      </w:r>
    </w:p>
    <w:p w14:paraId="0F4D1CC7">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鉴于医疗损害诉讼案件本身的特点 ，律师费支付原则上采预支付形式。具体操作如下 ：</w:t>
      </w:r>
    </w:p>
    <w:p w14:paraId="054B76B6">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参保医疗机构自行委托法律顾问或指定律师代理案件，并与律师签订双方委托协议的，由医疗机构先行支付律师费，待案件结案后连同案件其他赔偿项目一并向保险公司索赔。具体支付方式以医院与律师的约定为准。</w:t>
      </w:r>
    </w:p>
    <w:p w14:paraId="1B4B8EFE">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参保医疗机构自行委托、指定，或经由江泰法务部推荐律师代理案件，并采取与保险公司、律师签订三方委托协议形式的，由保险公司直接支付律师费给律师。律师费支付分两部分进行，一期费用在三方签订协议后、开庭前由保险公司先行支付一半，余款（二期费用）在一审判决后支付完毕；若有二审的，律师费在二审开庭前由保险公司进行支付。</w:t>
      </w:r>
    </w:p>
    <w:p w14:paraId="605E4534">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参保医疗机构人员及律师在诉讼过程中产生的合理的、必要的差旅费用（交通费、住宿费、伙食费等）不计入案件律师费，凭票实报实销。差旅费标准参照《财政部关于调整中央和国家机关差旅住宿费标准等有关问题的通知》财行〔2015〕497号一般公务员标准执行，差旅费伙食费按照100元/人/天的标准进行补助，如有最新标准，按最新标准执行。</w:t>
      </w:r>
    </w:p>
    <w:p w14:paraId="169F7C38">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3、另有约定的处理</w:t>
      </w:r>
    </w:p>
    <w:p w14:paraId="58ADCE68">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（1）若律师与医疗机构之间事前就个案律师费计算事项和支付方式另有更优惠约定的，保险公司按照该约定支付律师费。</w:t>
      </w:r>
    </w:p>
    <w:p w14:paraId="3987F1EB">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（2）若保险公司与其推荐的合作律师事前就个案律师费计算事项和支付方式另有约定的，由保险公司按照该约定与律师另行结算并支付律师费。</w:t>
      </w:r>
    </w:p>
    <w:p w14:paraId="3E4C4F4C">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4、江泰经纪公司视案件的实际情况和复杂程度，启动案件诉讼案件风险评估程序，在案件审理过程中司法鉴定程序启动前邀请专家对案件焦点、应诉要点进行分析；</w:t>
      </w:r>
    </w:p>
    <w:p w14:paraId="58260B74">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5、案件审理终结后，案件代理律师或医疗机构应及时将法院裁决/调解/判决文书发至江泰经纪公司，江泰经纪公司收到裁决/调解/判决文书后应及时报保险公司。江泰经纪公司及保险公司可就案件是否上诉/再审等问题提出建议供医院参考，医疗机构有权最终决定是否申请上诉/再审。</w:t>
      </w:r>
    </w:p>
    <w:p w14:paraId="25463CCE">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6、江泰经纪公司跟进案件处理进度，对于在法官或仲裁员主持下达成调解或医患自行和解的案件，督促保险公司在正式调解/和解前确认调解/和解方案。</w:t>
      </w:r>
    </w:p>
    <w:p w14:paraId="5180B7DE">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auto"/>
          <w:kern w:val="2"/>
          <w:sz w:val="24"/>
          <w:szCs w:val="24"/>
          <w:highlight w:val="none"/>
          <w:lang w:eastAsia="zh-CN"/>
        </w:rPr>
      </w:pPr>
    </w:p>
    <w:p w14:paraId="643E3741">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eastAsia="zh-CN"/>
        </w:rPr>
        <w:t>六</w:t>
      </w:r>
      <w:r>
        <w:rPr>
          <w:rFonts w:hint="eastAsia" w:ascii="宋体" w:hAnsi="宋体" w:eastAsia="宋体" w:cs="宋体"/>
          <w:b/>
          <w:color w:val="auto"/>
          <w:kern w:val="2"/>
          <w:sz w:val="24"/>
          <w:szCs w:val="24"/>
          <w:highlight w:val="none"/>
        </w:rPr>
        <w:t>、保险索赔、理赔程序</w:t>
      </w:r>
    </w:p>
    <w:p w14:paraId="7C244B5A">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1、调解结案案件索赔、理赔程序</w:t>
      </w:r>
    </w:p>
    <w:p w14:paraId="2AFD1517">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调解成功的案件，由“医调委”将医疗机构递交的资料代转江泰经纪公司,由江泰经纪公司协助医疗机构进行索赔,保险公司根据保险合同将协议赔偿款项直接支付给患方或医疗机构。</w:t>
      </w:r>
    </w:p>
    <w:p w14:paraId="6F8FBC3B">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eastAsia="zh-CN"/>
        </w:rPr>
        <w:t>自主处理</w:t>
      </w:r>
      <w:r>
        <w:rPr>
          <w:rFonts w:hint="eastAsia" w:ascii="宋体" w:hAnsi="宋体" w:eastAsia="宋体" w:cs="宋体"/>
          <w:b/>
          <w:bCs/>
          <w:color w:val="auto"/>
          <w:kern w:val="2"/>
          <w:sz w:val="24"/>
          <w:szCs w:val="24"/>
          <w:highlight w:val="none"/>
        </w:rPr>
        <w:t>结案案件索赔、理赔程序</w:t>
      </w:r>
    </w:p>
    <w:p w14:paraId="112E039B">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医疗机构根据本合同特别约定，使用</w:t>
      </w:r>
      <w:r>
        <w:rPr>
          <w:rFonts w:hint="eastAsia" w:ascii="宋体" w:hAnsi="宋体" w:eastAsia="宋体" w:cs="宋体"/>
          <w:bCs/>
          <w:color w:val="auto"/>
          <w:kern w:val="2"/>
          <w:sz w:val="24"/>
          <w:szCs w:val="24"/>
          <w:highlight w:val="none"/>
          <w:lang w:eastAsia="zh-CN"/>
        </w:rPr>
        <w:t>自主处理</w:t>
      </w:r>
      <w:r>
        <w:rPr>
          <w:rFonts w:hint="eastAsia" w:ascii="宋体" w:hAnsi="宋体" w:eastAsia="宋体" w:cs="宋体"/>
          <w:bCs/>
          <w:color w:val="auto"/>
          <w:kern w:val="2"/>
          <w:sz w:val="24"/>
          <w:szCs w:val="24"/>
          <w:highlight w:val="none"/>
        </w:rPr>
        <w:t>权限，与患方进行协商并达成一致的医疗纠纷案件，统一将索赔资料递交“医调委”，由“医调委”转交江泰经纪公司,由江泰经纪公司协助医疗机构进行索赔, 保险公司根据保险合同将协议赔偿款项直接支付给患方或医疗机构。</w:t>
      </w:r>
    </w:p>
    <w:p w14:paraId="4731A92D">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
          <w:bCs/>
          <w:color w:val="auto"/>
          <w:kern w:val="2"/>
          <w:sz w:val="24"/>
          <w:szCs w:val="24"/>
          <w:highlight w:val="none"/>
        </w:rPr>
        <w:t>3、仲裁、</w:t>
      </w:r>
      <w:r>
        <w:rPr>
          <w:rFonts w:hint="eastAsia" w:ascii="宋体" w:hAnsi="宋体" w:eastAsia="宋体" w:cs="宋体"/>
          <w:b/>
          <w:bCs/>
          <w:color w:val="auto"/>
          <w:kern w:val="2"/>
          <w:sz w:val="24"/>
          <w:szCs w:val="24"/>
          <w:highlight w:val="none"/>
          <w:lang w:eastAsia="zh-CN"/>
        </w:rPr>
        <w:t>诉讼等</w:t>
      </w:r>
      <w:r>
        <w:rPr>
          <w:rFonts w:hint="eastAsia" w:ascii="宋体" w:hAnsi="宋体" w:eastAsia="宋体" w:cs="宋体"/>
          <w:b/>
          <w:bCs/>
          <w:color w:val="auto"/>
          <w:kern w:val="2"/>
          <w:sz w:val="24"/>
          <w:szCs w:val="24"/>
          <w:highlight w:val="none"/>
        </w:rPr>
        <w:t>司法途径结案案件索赔、理赔程序</w:t>
      </w:r>
    </w:p>
    <w:p w14:paraId="1BC680B7">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经仲裁裁决程序、法院判决或法院调解程序结案的案件，统一由江泰经纪公司协助医疗机构进行索赔，保险公司根据保险合同将赔偿款项直接支付给患方或医疗机构。</w:t>
      </w:r>
    </w:p>
    <w:p w14:paraId="6FE76C95">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4、行政介入处理结案案件索赔、理赔程序</w:t>
      </w:r>
    </w:p>
    <w:p w14:paraId="74B15ED1">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依据行政介入处理意见结案的案件，统一由“</w:t>
      </w:r>
      <w:r>
        <w:rPr>
          <w:rFonts w:hint="eastAsia" w:ascii="宋体" w:hAnsi="宋体" w:eastAsia="宋体" w:cs="宋体"/>
          <w:bCs/>
          <w:color w:val="auto"/>
          <w:kern w:val="2"/>
          <w:sz w:val="24"/>
          <w:szCs w:val="24"/>
          <w:highlight w:val="none"/>
          <w:lang w:eastAsia="zh-CN"/>
        </w:rPr>
        <w:t>广东和谐</w:t>
      </w:r>
      <w:r>
        <w:rPr>
          <w:rFonts w:hint="eastAsia" w:ascii="宋体" w:hAnsi="宋体" w:eastAsia="宋体" w:cs="宋体"/>
          <w:bCs/>
          <w:color w:val="auto"/>
          <w:kern w:val="2"/>
          <w:sz w:val="24"/>
          <w:szCs w:val="24"/>
          <w:highlight w:val="none"/>
        </w:rPr>
        <w:t>医调委”将医疗机构递交的索赔资料代转江泰保险经纪公司,由江泰保险经纪公司协助医疗机构进行索赔,保险公司根据保险合同将协议赔偿款项直接支付给患方或医疗机构。</w:t>
      </w:r>
    </w:p>
    <w:p w14:paraId="2044D2EA">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bCs/>
          <w:color w:val="auto"/>
          <w:kern w:val="2"/>
          <w:sz w:val="24"/>
          <w:szCs w:val="24"/>
          <w:highlight w:val="none"/>
          <w:lang w:eastAsia="zh-CN"/>
        </w:rPr>
        <w:t>索赔资料要求：</w:t>
      </w:r>
    </w:p>
    <w:p w14:paraId="4CCA93EA">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根据案件类型，以及是否涉及患者死亡、伤残，医方应提供对应的索赔资料如下表所列：</w:t>
      </w:r>
    </w:p>
    <w:p w14:paraId="714E1A35">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（1）调解案件；仲裁、诉讼等司法途径案件；行政介入处理案件：</w:t>
      </w:r>
    </w:p>
    <w:p w14:paraId="1B67CE36">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①　</w:t>
      </w:r>
      <w:r>
        <w:rPr>
          <w:rFonts w:hint="eastAsia" w:ascii="宋体" w:hAnsi="宋体" w:eastAsia="宋体" w:cs="宋体"/>
          <w:bCs/>
          <w:color w:val="auto"/>
          <w:kern w:val="2"/>
          <w:sz w:val="24"/>
          <w:szCs w:val="24"/>
          <w:highlight w:val="none"/>
          <w:lang w:val="en-US" w:eastAsia="zh-CN" w:bidi="ar-SA"/>
        </w:rPr>
        <w:t>医疗机构执业许可证、组织机构代码证（或事业单位法人证书）复印件；</w:t>
      </w:r>
    </w:p>
    <w:p w14:paraId="251E256C">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②　</w:t>
      </w:r>
      <w:r>
        <w:rPr>
          <w:rFonts w:hint="eastAsia" w:ascii="宋体" w:hAnsi="宋体" w:eastAsia="宋体" w:cs="宋体"/>
          <w:bCs/>
          <w:color w:val="auto"/>
          <w:kern w:val="2"/>
          <w:sz w:val="24"/>
          <w:szCs w:val="24"/>
          <w:highlight w:val="none"/>
          <w:lang w:val="en-US" w:eastAsia="zh-CN" w:bidi="ar-SA"/>
        </w:rPr>
        <w:t>当事医务人员执业证复印件；</w:t>
      </w:r>
    </w:p>
    <w:p w14:paraId="0B7B7F25">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③　</w:t>
      </w:r>
      <w:r>
        <w:rPr>
          <w:rFonts w:hint="eastAsia" w:ascii="宋体" w:hAnsi="宋体" w:eastAsia="宋体" w:cs="宋体"/>
          <w:bCs/>
          <w:color w:val="auto"/>
          <w:kern w:val="2"/>
          <w:sz w:val="24"/>
          <w:szCs w:val="24"/>
          <w:highlight w:val="none"/>
          <w:lang w:val="en-US" w:eastAsia="zh-CN" w:bidi="ar-SA"/>
        </w:rPr>
        <w:t>医院授权委托书原件及代理人身份证复印件；</w:t>
      </w:r>
    </w:p>
    <w:p w14:paraId="3D452770">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④　</w:t>
      </w:r>
      <w:r>
        <w:rPr>
          <w:rFonts w:hint="eastAsia" w:ascii="宋体" w:hAnsi="宋体" w:eastAsia="宋体" w:cs="宋体"/>
          <w:bCs/>
          <w:color w:val="auto"/>
          <w:kern w:val="2"/>
          <w:sz w:val="24"/>
          <w:szCs w:val="24"/>
          <w:highlight w:val="none"/>
          <w:lang w:val="en-US" w:eastAsia="zh-CN" w:bidi="ar-SA"/>
        </w:rPr>
        <w:t>法定代表人身份证明书；</w:t>
      </w:r>
    </w:p>
    <w:p w14:paraId="47E4983F">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⑤　</w:t>
      </w:r>
      <w:r>
        <w:rPr>
          <w:rFonts w:hint="eastAsia" w:ascii="宋体" w:hAnsi="宋体" w:eastAsia="宋体" w:cs="宋体"/>
          <w:bCs/>
          <w:color w:val="auto"/>
          <w:kern w:val="2"/>
          <w:sz w:val="24"/>
          <w:szCs w:val="24"/>
          <w:highlight w:val="none"/>
          <w:lang w:val="en-US" w:eastAsia="zh-CN" w:bidi="ar-SA"/>
        </w:rPr>
        <w:t>患者身份证明材料复印件；</w:t>
      </w:r>
    </w:p>
    <w:p w14:paraId="71A73498">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⑥　</w:t>
      </w:r>
      <w:r>
        <w:rPr>
          <w:rFonts w:hint="eastAsia" w:ascii="宋体" w:hAnsi="宋体" w:eastAsia="宋体" w:cs="宋体"/>
          <w:bCs/>
          <w:color w:val="auto"/>
          <w:kern w:val="2"/>
          <w:sz w:val="24"/>
          <w:szCs w:val="24"/>
          <w:highlight w:val="none"/>
          <w:lang w:val="en-US" w:eastAsia="zh-CN" w:bidi="ar-SA"/>
        </w:rPr>
        <w:t>患方相关权利人身份证明及关系证明复印件、授权委托书及委托代理人身份证复印件。</w:t>
      </w:r>
    </w:p>
    <w:p w14:paraId="558E3A7A">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⑦　</w:t>
      </w:r>
      <w:r>
        <w:rPr>
          <w:rFonts w:hint="eastAsia" w:ascii="宋体" w:hAnsi="宋体" w:eastAsia="宋体" w:cs="宋体"/>
          <w:bCs/>
          <w:color w:val="auto"/>
          <w:kern w:val="2"/>
          <w:sz w:val="24"/>
          <w:szCs w:val="24"/>
          <w:highlight w:val="none"/>
          <w:lang w:val="en-US" w:eastAsia="zh-CN" w:bidi="ar-SA"/>
        </w:rPr>
        <w:t>病历资料复印件；</w:t>
      </w:r>
    </w:p>
    <w:p w14:paraId="5BAF3988">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⑧　</w:t>
      </w:r>
      <w:r>
        <w:rPr>
          <w:rFonts w:hint="eastAsia" w:ascii="宋体" w:hAnsi="宋体" w:eastAsia="宋体" w:cs="宋体"/>
          <w:bCs/>
          <w:color w:val="auto"/>
          <w:kern w:val="2"/>
          <w:sz w:val="24"/>
          <w:szCs w:val="24"/>
          <w:highlight w:val="none"/>
          <w:lang w:val="en-US" w:eastAsia="zh-CN" w:bidi="ar-SA"/>
        </w:rPr>
        <w:t>患者伤残、死亡证明材料复印件（根据案件系患者死亡或伤残，分别对应提供），医鉴报告等；</w:t>
      </w:r>
    </w:p>
    <w:p w14:paraId="05050437">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⑨　</w:t>
      </w:r>
      <w:r>
        <w:rPr>
          <w:rFonts w:hint="eastAsia" w:ascii="宋体" w:hAnsi="宋体" w:eastAsia="宋体" w:cs="宋体"/>
          <w:bCs/>
          <w:color w:val="auto"/>
          <w:kern w:val="2"/>
          <w:sz w:val="24"/>
          <w:szCs w:val="24"/>
          <w:highlight w:val="none"/>
          <w:lang w:val="en-US" w:eastAsia="zh-CN" w:bidi="ar-SA"/>
        </w:rPr>
        <w:t>医疗费用单据、其他费用单据等损失证明材料原件或复印件；</w:t>
      </w:r>
    </w:p>
    <w:p w14:paraId="10F8FBDB">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⑩　</w:t>
      </w:r>
      <w:r>
        <w:rPr>
          <w:rFonts w:hint="eastAsia" w:ascii="宋体" w:hAnsi="宋体" w:eastAsia="宋体" w:cs="宋体"/>
          <w:bCs/>
          <w:color w:val="auto"/>
          <w:kern w:val="2"/>
          <w:sz w:val="24"/>
          <w:szCs w:val="24"/>
          <w:highlight w:val="none"/>
          <w:lang w:val="en-US" w:eastAsia="zh-CN" w:bidi="ar-SA"/>
        </w:rPr>
        <w:t>调解协议书；仲裁裁决书/法院判决书/法院调解书/法院裁定书/行政介入处理意见（仲裁、诉讼等司法途径案件、行政介入处理案件必需）；</w:t>
      </w:r>
    </w:p>
    <w:p w14:paraId="6BCC1636">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⑪　</w:t>
      </w:r>
      <w:r>
        <w:rPr>
          <w:rFonts w:hint="eastAsia" w:ascii="宋体" w:hAnsi="宋体" w:eastAsia="宋体" w:cs="宋体"/>
          <w:bCs/>
          <w:color w:val="auto"/>
          <w:kern w:val="2"/>
          <w:sz w:val="24"/>
          <w:szCs w:val="24"/>
          <w:highlight w:val="none"/>
          <w:lang w:val="en-US" w:eastAsia="zh-CN" w:bidi="ar-SA"/>
        </w:rPr>
        <w:t>代理律师结案报告（仲裁、诉讼等司法途径案件必需）；</w:t>
      </w:r>
    </w:p>
    <w:p w14:paraId="1776AC6B">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⑫　</w:t>
      </w:r>
      <w:r>
        <w:rPr>
          <w:rFonts w:hint="eastAsia" w:ascii="宋体" w:hAnsi="宋体" w:eastAsia="宋体" w:cs="宋体"/>
          <w:bCs/>
          <w:color w:val="auto"/>
          <w:kern w:val="2"/>
          <w:sz w:val="24"/>
          <w:szCs w:val="24"/>
          <w:highlight w:val="none"/>
          <w:lang w:val="en-US" w:eastAsia="zh-CN" w:bidi="ar-SA"/>
        </w:rPr>
        <w:t>应诉通知书（法院或仲裁委出具，仲裁、诉讼等司法途径案件必需）；</w:t>
      </w:r>
    </w:p>
    <w:p w14:paraId="6B0FD357">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⑬　</w:t>
      </w:r>
      <w:r>
        <w:rPr>
          <w:rFonts w:hint="eastAsia" w:ascii="宋体" w:hAnsi="宋体" w:eastAsia="宋体" w:cs="宋体"/>
          <w:bCs/>
          <w:color w:val="auto"/>
          <w:kern w:val="2"/>
          <w:sz w:val="24"/>
          <w:szCs w:val="24"/>
          <w:highlight w:val="none"/>
          <w:lang w:val="en-US" w:eastAsia="zh-CN" w:bidi="ar-SA"/>
        </w:rPr>
        <w:t>民事起诉状或仲裁申请书（仲裁、诉讼等司法途径案件必需）；</w:t>
      </w:r>
    </w:p>
    <w:p w14:paraId="5FBAAC1C">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⑭　</w:t>
      </w:r>
      <w:r>
        <w:rPr>
          <w:rFonts w:hint="eastAsia" w:ascii="宋体" w:hAnsi="宋体" w:eastAsia="宋体" w:cs="宋体"/>
          <w:bCs/>
          <w:color w:val="auto"/>
          <w:kern w:val="2"/>
          <w:sz w:val="24"/>
          <w:szCs w:val="24"/>
          <w:highlight w:val="none"/>
          <w:lang w:val="en-US" w:eastAsia="zh-CN" w:bidi="ar-SA"/>
        </w:rPr>
        <w:t>医疗责任保险索赔申请书、确认书原件；</w:t>
      </w:r>
    </w:p>
    <w:p w14:paraId="3D575E2E">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⑮　</w:t>
      </w:r>
      <w:r>
        <w:rPr>
          <w:rFonts w:hint="eastAsia" w:ascii="宋体" w:hAnsi="宋体" w:eastAsia="宋体" w:cs="宋体"/>
          <w:bCs/>
          <w:color w:val="auto"/>
          <w:kern w:val="2"/>
          <w:sz w:val="24"/>
          <w:szCs w:val="24"/>
          <w:highlight w:val="none"/>
          <w:lang w:val="en-US" w:eastAsia="zh-CN" w:bidi="ar-SA"/>
        </w:rPr>
        <w:t>赔款证明或患者收款收据原件或复印件；</w:t>
      </w:r>
    </w:p>
    <w:p w14:paraId="47819CC1">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lang w:val="en-US" w:eastAsia="zh-CN" w:bidi="ar-SA"/>
        </w:rPr>
        <w:t>⑯　</w:t>
      </w:r>
      <w:r>
        <w:rPr>
          <w:rFonts w:hint="eastAsia" w:ascii="宋体" w:hAnsi="宋体" w:eastAsia="宋体" w:cs="宋体"/>
          <w:bCs/>
          <w:color w:val="auto"/>
          <w:kern w:val="2"/>
          <w:sz w:val="24"/>
          <w:szCs w:val="24"/>
          <w:highlight w:val="none"/>
          <w:lang w:val="en-US" w:eastAsia="zh-CN" w:bidi="ar-SA"/>
        </w:rPr>
        <w:t>医方或患方银行账户信息。</w:t>
      </w:r>
    </w:p>
    <w:p w14:paraId="1BC892CF">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（2）自行和解案件：</w:t>
      </w:r>
    </w:p>
    <w:p w14:paraId="6D5906C7">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医疗机构执业许可证、组织机构代码证（或事业单位法人证书）复印件；</w:t>
      </w:r>
    </w:p>
    <w:p w14:paraId="166D5ED9">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当事医务人员执业证复印件；</w:t>
      </w:r>
    </w:p>
    <w:p w14:paraId="2FE5A4F5">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医院授权委托书原件及代理人身份证复印件；</w:t>
      </w:r>
    </w:p>
    <w:p w14:paraId="171FA6D3">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法定代表人身份证明书；</w:t>
      </w:r>
    </w:p>
    <w:p w14:paraId="733B3F3E">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⑤</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病历资料复印件；</w:t>
      </w:r>
    </w:p>
    <w:p w14:paraId="32319AD4">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⑥</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患者伤残、死亡证明材料复印件（根据案件系患者死亡或伤残，分别对应提供）；</w:t>
      </w:r>
    </w:p>
    <w:p w14:paraId="71F3D3D5">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color w:val="auto"/>
          <w:kern w:val="2"/>
          <w:sz w:val="24"/>
          <w:szCs w:val="24"/>
          <w:highlight w:val="none"/>
          <w:lang w:val="en-US" w:eastAsia="zh-CN" w:bidi="ar-SA"/>
        </w:rPr>
        <w:t>医方免除医疗费的损失证明（医疗费用单据、其他费用单据等损失证明材料原件）；</w:t>
      </w:r>
    </w:p>
    <w:p w14:paraId="4EF5605F">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⑧</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医患自行和解协议书；</w:t>
      </w:r>
    </w:p>
    <w:p w14:paraId="228AEB08">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⑨</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医疗责任保险索赔申请书、确认书原件；</w:t>
      </w:r>
    </w:p>
    <w:p w14:paraId="3442BAD0">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⑩</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赔款证明或患者收款收据原件或复印件；</w:t>
      </w:r>
    </w:p>
    <w:p w14:paraId="3FC1F9C4">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⑪</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医方或患方银行账户信息；</w:t>
      </w:r>
    </w:p>
    <w:p w14:paraId="6646066E">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⑫</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患者身份证明材料复印件；</w:t>
      </w:r>
    </w:p>
    <w:p w14:paraId="6C0ED764">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⑬</w:t>
      </w:r>
      <w:r>
        <w:rPr>
          <w:rFonts w:hint="eastAsia" w:ascii="宋体" w:hAnsi="宋体" w:eastAsia="宋体" w:cs="宋体"/>
          <w:bCs/>
          <w:color w:val="auto"/>
          <w:kern w:val="2"/>
          <w:sz w:val="24"/>
          <w:szCs w:val="24"/>
          <w:lang w:val="en-US" w:eastAsia="zh-CN" w:bidi="ar-SA"/>
        </w:rPr>
        <w:t>　</w:t>
      </w:r>
      <w:r>
        <w:rPr>
          <w:rFonts w:hint="eastAsia" w:ascii="宋体" w:hAnsi="宋体" w:eastAsia="宋体" w:cs="宋体"/>
          <w:bCs/>
          <w:color w:val="auto"/>
          <w:kern w:val="2"/>
          <w:sz w:val="24"/>
          <w:szCs w:val="24"/>
          <w:highlight w:val="none"/>
          <w:lang w:val="en-US" w:eastAsia="zh-CN" w:bidi="ar-SA"/>
        </w:rPr>
        <w:t>患方相关权利人身份证明及关系证明复印件、授权委托书及委托代理人身份证复印件（死亡案件必需。如医院无法提供，由医院承诺不得再次追究保险责任。）</w:t>
      </w:r>
    </w:p>
    <w:p w14:paraId="4664E34F">
      <w:pPr>
        <w:keepNext w:val="0"/>
        <w:keepLines w:val="0"/>
        <w:pageBreakBefore/>
        <w:widowControl w:val="0"/>
        <w:kinsoku/>
        <w:wordWrap w:val="0"/>
        <w:overflowPunct/>
        <w:topLinePunct w:val="0"/>
        <w:autoSpaceDE/>
        <w:autoSpaceDN/>
        <w:bidi w:val="0"/>
        <w:adjustRightInd w:val="0"/>
        <w:snapToGrid/>
        <w:spacing w:line="480" w:lineRule="auto"/>
        <w:jc w:val="center"/>
        <w:textAlignment w:val="auto"/>
        <w:rPr>
          <w:rFonts w:hint="eastAsia" w:ascii="宋体" w:hAnsi="宋体" w:eastAsia="宋体" w:cs="宋体"/>
          <w:b/>
          <w:bCs/>
          <w:color w:val="auto"/>
          <w:sz w:val="32"/>
          <w:szCs w:val="32"/>
          <w:highlight w:val="none"/>
          <w:lang w:val="en-US" w:eastAsia="zh-CN"/>
        </w:rPr>
      </w:pPr>
      <w:bookmarkStart w:id="56" w:name="_Toc26640"/>
      <w:r>
        <w:rPr>
          <w:rFonts w:hint="eastAsia" w:ascii="宋体" w:hAnsi="宋体" w:eastAsia="宋体" w:cs="宋体"/>
          <w:b/>
          <w:bCs/>
          <w:color w:val="auto"/>
          <w:sz w:val="32"/>
          <w:szCs w:val="32"/>
          <w:highlight w:val="none"/>
          <w:lang w:val="en-US" w:eastAsia="zh-CN"/>
        </w:rPr>
        <w:t>附件二</w:t>
      </w:r>
      <w:bookmarkEnd w:id="55"/>
      <w:bookmarkStart w:id="57" w:name="_Toc324192728"/>
      <w:r>
        <w:rPr>
          <w:rFonts w:hint="eastAsia" w:ascii="宋体" w:hAnsi="宋体" w:eastAsia="宋体" w:cs="宋体"/>
          <w:b/>
          <w:bCs/>
          <w:color w:val="auto"/>
          <w:sz w:val="32"/>
          <w:szCs w:val="32"/>
          <w:highlight w:val="none"/>
          <w:lang w:val="en-US" w:eastAsia="zh-CN"/>
        </w:rPr>
        <w:t>：广东省医疗责任保险赔偿处理办法（暂行）</w:t>
      </w:r>
      <w:bookmarkEnd w:id="56"/>
      <w:bookmarkEnd w:id="57"/>
    </w:p>
    <w:p w14:paraId="1E7CB16E">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bookmarkStart w:id="58" w:name="_Toc1829"/>
    </w:p>
    <w:p w14:paraId="28C27451">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第一章  总则</w:t>
      </w:r>
      <w:bookmarkEnd w:id="58"/>
    </w:p>
    <w:p w14:paraId="282E6FE8">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2" w:firstLineChars="200"/>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lang w:val="en-US" w:eastAsia="zh-CN" w:bidi="ar-SA"/>
        </w:rPr>
        <w:t>第一条　</w:t>
      </w:r>
      <w:r>
        <w:rPr>
          <w:rFonts w:hint="eastAsia" w:ascii="宋体" w:hAnsi="宋体" w:eastAsia="宋体" w:cs="宋体"/>
          <w:color w:val="auto"/>
          <w:kern w:val="2"/>
          <w:sz w:val="24"/>
          <w:szCs w:val="24"/>
          <w:highlight w:val="none"/>
        </w:rPr>
        <w:t>为及时、准确处理医疗责任保险赔偿，保护医疗机构和患者的合法利益，促进广东省医疗责任保险持续发展，确保调赔结合机制长效稳定运行，特制订本办法。</w:t>
      </w:r>
    </w:p>
    <w:p w14:paraId="4DA6F139">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2" w:firstLineChars="200"/>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lang w:val="en-US" w:eastAsia="zh-CN" w:bidi="ar-SA"/>
        </w:rPr>
        <w:t>第二条　</w:t>
      </w:r>
      <w:r>
        <w:rPr>
          <w:rFonts w:hint="eastAsia" w:ascii="宋体" w:hAnsi="宋体" w:eastAsia="宋体" w:cs="宋体"/>
          <w:color w:val="auto"/>
          <w:kern w:val="2"/>
          <w:sz w:val="24"/>
          <w:szCs w:val="24"/>
          <w:highlight w:val="none"/>
        </w:rPr>
        <w:t>广东省医疗责任保险全省统保项目涉及的所有赔偿处理事项，按照本办法规定执行。</w:t>
      </w:r>
    </w:p>
    <w:p w14:paraId="1B378C98">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2" w:firstLineChars="200"/>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lang w:val="en-US" w:eastAsia="zh-CN" w:bidi="ar-SA"/>
        </w:rPr>
        <w:t>第三条　</w:t>
      </w:r>
      <w:r>
        <w:rPr>
          <w:rFonts w:hint="eastAsia" w:ascii="宋体" w:hAnsi="宋体" w:eastAsia="宋体" w:cs="宋体"/>
          <w:color w:val="auto"/>
          <w:kern w:val="2"/>
          <w:sz w:val="24"/>
          <w:szCs w:val="24"/>
          <w:highlight w:val="none"/>
        </w:rPr>
        <w:t>医疗纠纷人民调解委员会（以下简称“医调委”）是经司法行政部门同意设立的行业性、专业性医患纠纷第三方人民调解组织。负责对参保医疗机构发生的医疗纠纷案件进行调查、调解</w:t>
      </w:r>
      <w:r>
        <w:rPr>
          <w:rFonts w:hint="eastAsia" w:ascii="宋体" w:hAnsi="宋体" w:eastAsia="宋体" w:cs="宋体"/>
          <w:b/>
          <w:bCs/>
          <w:color w:val="auto"/>
          <w:kern w:val="2"/>
          <w:sz w:val="24"/>
          <w:szCs w:val="24"/>
          <w:highlight w:val="none"/>
        </w:rPr>
        <w:t>。</w:t>
      </w:r>
    </w:p>
    <w:p w14:paraId="600B8576">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2" w:firstLineChars="200"/>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lang w:val="en-US" w:eastAsia="zh-CN" w:bidi="ar-SA"/>
        </w:rPr>
        <w:t>第四条　</w:t>
      </w:r>
      <w:r>
        <w:rPr>
          <w:rFonts w:hint="eastAsia" w:ascii="宋体" w:hAnsi="宋体" w:eastAsia="宋体" w:cs="宋体"/>
          <w:color w:val="auto"/>
          <w:kern w:val="2"/>
          <w:sz w:val="24"/>
          <w:szCs w:val="24"/>
          <w:highlight w:val="none"/>
        </w:rPr>
        <w:t>广东和谐医患纠纷人民调解委员会（以下简称“广东和谐医调委”）是依托于广东省人民调解员协会，并经广东省司法厅同意设立的行业性、专业性的医患纠纷第三方人民调解组织</w:t>
      </w:r>
      <w:r>
        <w:rPr>
          <w:rFonts w:hint="eastAsia" w:ascii="宋体" w:hAnsi="宋体" w:eastAsia="宋体" w:cs="宋体"/>
          <w:b/>
          <w:bCs/>
          <w:color w:val="auto"/>
          <w:kern w:val="2"/>
          <w:sz w:val="24"/>
          <w:szCs w:val="24"/>
          <w:highlight w:val="none"/>
        </w:rPr>
        <w:t>。</w:t>
      </w:r>
    </w:p>
    <w:p w14:paraId="12B793C4">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“广东和谐医调委”负责邀请医学、法律专家从专业角度对参保医疗机构发生的医疗纠纷案件进行性质认定、责任认定和赔偿损失认定，医学、法律专家的认定意见作为保险公司的理赔依据。</w:t>
      </w:r>
    </w:p>
    <w:p w14:paraId="181C01BF">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2" w:firstLineChars="200"/>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lang w:val="en-US" w:eastAsia="zh-CN" w:bidi="ar-SA"/>
        </w:rPr>
        <w:t>第五条　</w:t>
      </w:r>
      <w:r>
        <w:rPr>
          <w:rFonts w:hint="eastAsia" w:ascii="宋体" w:hAnsi="宋体" w:eastAsia="宋体" w:cs="宋体"/>
          <w:color w:val="auto"/>
          <w:kern w:val="2"/>
          <w:sz w:val="24"/>
          <w:szCs w:val="24"/>
          <w:highlight w:val="none"/>
        </w:rPr>
        <w:t>江泰保险经纪股份有限公司（以下简称“江泰保险经纪公司”)负责协助参保医疗机构对发生的医疗纠纷案件进行后续索赔，确保保险公司依法依约、及时赔付。</w:t>
      </w:r>
    </w:p>
    <w:p w14:paraId="39693F37">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第六条　</w:t>
      </w:r>
      <w:r>
        <w:rPr>
          <w:rFonts w:hint="eastAsia" w:ascii="宋体" w:hAnsi="宋体" w:eastAsia="宋体" w:cs="宋体"/>
          <w:color w:val="auto"/>
          <w:kern w:val="2"/>
          <w:sz w:val="24"/>
          <w:szCs w:val="24"/>
          <w:highlight w:val="none"/>
        </w:rPr>
        <w:t>参保医疗机构发生医疗纠纷案件后，应向“医调委”提出调解申请，“医调委”根据医疗纠纷案件双方当事人的申请进行调解处理。</w:t>
      </w:r>
    </w:p>
    <w:p w14:paraId="171FE62D">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第七条　</w:t>
      </w:r>
      <w:r>
        <w:rPr>
          <w:rFonts w:hint="eastAsia" w:ascii="宋体" w:hAnsi="宋体" w:eastAsia="宋体" w:cs="宋体"/>
          <w:color w:val="auto"/>
          <w:kern w:val="2"/>
          <w:sz w:val="24"/>
          <w:szCs w:val="24"/>
          <w:highlight w:val="none"/>
        </w:rPr>
        <w:t>医疗机构、保险公司对涉及医疗纠纷案件的性质认定、责任认定和赔偿损失认定等有重大异议，可以提请医疗责任保险赔案合议会（以下简称“合议会”）进行审议。</w:t>
      </w:r>
    </w:p>
    <w:p w14:paraId="1564C02F">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第八条　</w:t>
      </w:r>
      <w:r>
        <w:rPr>
          <w:rFonts w:hint="eastAsia" w:ascii="宋体" w:hAnsi="宋体" w:eastAsia="宋体" w:cs="宋体"/>
          <w:color w:val="auto"/>
          <w:kern w:val="2"/>
          <w:sz w:val="24"/>
          <w:szCs w:val="24"/>
          <w:highlight w:val="none"/>
        </w:rPr>
        <w:t>经“医调委”调解仍无法达成协议的医疗纠纷案件，调解员应引导医疗纠纷案件双方当事人依法申请医疗损害鉴定、医疗事故技术鉴定或通过司法诉讼、仲裁以及行政调解等合法方式解决纠纷。对于调解不成功，再通过法律规定程序和方式处理的医疗纠纷案件，保险公司依照相关法律规定并按照保险合同约定理赔。</w:t>
      </w:r>
    </w:p>
    <w:p w14:paraId="46F5AB47">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第九条　</w:t>
      </w:r>
      <w:r>
        <w:rPr>
          <w:rFonts w:hint="eastAsia" w:ascii="宋体" w:hAnsi="宋体" w:eastAsia="宋体" w:cs="宋体"/>
          <w:color w:val="auto"/>
          <w:kern w:val="2"/>
          <w:sz w:val="24"/>
          <w:szCs w:val="24"/>
          <w:highlight w:val="none"/>
        </w:rPr>
        <w:t>江泰保险经纪公司在协助参保医疗机构进行保险索赔时，应当遵循公正、公平的原则，依据事实和相关法律、法规、保险合同规定进行处理。</w:t>
      </w:r>
    </w:p>
    <w:p w14:paraId="2CF43FA1">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bookmarkStart w:id="59" w:name="_Toc27148"/>
      <w:r>
        <w:rPr>
          <w:rFonts w:hint="eastAsia" w:ascii="宋体" w:hAnsi="宋体" w:eastAsia="宋体" w:cs="宋体"/>
          <w:b/>
          <w:bCs/>
          <w:color w:val="auto"/>
          <w:kern w:val="2"/>
          <w:sz w:val="24"/>
          <w:szCs w:val="24"/>
          <w:highlight w:val="none"/>
        </w:rPr>
        <w:t>第二章  案件赔偿处理程序</w:t>
      </w:r>
      <w:bookmarkEnd w:id="59"/>
    </w:p>
    <w:p w14:paraId="05470DCA">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第十条　</w:t>
      </w:r>
      <w:r>
        <w:rPr>
          <w:rFonts w:hint="eastAsia" w:ascii="宋体" w:hAnsi="宋体" w:eastAsia="宋体" w:cs="宋体"/>
          <w:color w:val="auto"/>
          <w:kern w:val="2"/>
          <w:sz w:val="24"/>
          <w:szCs w:val="24"/>
          <w:highlight w:val="none"/>
        </w:rPr>
        <w:t>广东省医疗责任保险赔案处理按照以下程序执行。</w:t>
      </w:r>
    </w:p>
    <w:p w14:paraId="70F2F5F4">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接、报案程序</w:t>
      </w:r>
    </w:p>
    <w:p w14:paraId="0C769A31">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第十一条　</w:t>
      </w:r>
      <w:r>
        <w:rPr>
          <w:rFonts w:hint="eastAsia" w:ascii="宋体" w:hAnsi="宋体" w:eastAsia="宋体" w:cs="宋体"/>
          <w:color w:val="auto"/>
          <w:kern w:val="2"/>
          <w:sz w:val="24"/>
          <w:szCs w:val="24"/>
          <w:highlight w:val="none"/>
        </w:rPr>
        <w:t>医疗纠纷案件发生时，参保医疗机构应及时通知“广东和谐医调委”和书面报案至</w:t>
      </w:r>
      <w:r>
        <w:rPr>
          <w:rFonts w:hint="eastAsia" w:ascii="宋体" w:hAnsi="宋体" w:eastAsia="宋体" w:cs="宋体"/>
          <w:bCs/>
          <w:color w:val="auto"/>
          <w:kern w:val="2"/>
          <w:sz w:val="24"/>
          <w:szCs w:val="24"/>
          <w:highlight w:val="none"/>
        </w:rPr>
        <w:t>广东医疗责任保险统保项目统一报案邮箱或在广东和谐医调委医疗纠纷信息系统报案</w:t>
      </w:r>
      <w:r>
        <w:rPr>
          <w:rFonts w:hint="eastAsia" w:ascii="宋体" w:hAnsi="宋体" w:eastAsia="宋体" w:cs="宋体"/>
          <w:color w:val="auto"/>
          <w:kern w:val="2"/>
          <w:sz w:val="24"/>
          <w:szCs w:val="24"/>
          <w:highlight w:val="none"/>
        </w:rPr>
        <w:t>。</w:t>
      </w:r>
    </w:p>
    <w:p w14:paraId="05C378C4">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快速通道程序</w:t>
      </w:r>
    </w:p>
    <w:p w14:paraId="42B77315">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第十二条　</w:t>
      </w:r>
      <w:r>
        <w:rPr>
          <w:rFonts w:hint="eastAsia" w:ascii="宋体" w:hAnsi="宋体" w:eastAsia="宋体" w:cs="宋体"/>
          <w:color w:val="auto"/>
          <w:kern w:val="2"/>
          <w:sz w:val="24"/>
          <w:szCs w:val="24"/>
          <w:highlight w:val="none"/>
        </w:rPr>
        <w:t>对事实清楚，法律责任明确，属于保险责任事故的医疗纠纷案件且双方当事人自主达成和解的案件适用本程序。</w:t>
      </w:r>
    </w:p>
    <w:p w14:paraId="2C928D68">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第十三条　</w:t>
      </w:r>
      <w:r>
        <w:rPr>
          <w:rFonts w:hint="eastAsia" w:ascii="宋体" w:hAnsi="宋体" w:eastAsia="宋体" w:cs="宋体"/>
          <w:color w:val="auto"/>
          <w:kern w:val="2"/>
          <w:sz w:val="24"/>
          <w:szCs w:val="24"/>
          <w:highlight w:val="none"/>
        </w:rPr>
        <w:t>依据保险合同授权，参保医疗机构可以在合同授权权限内与患者签署和解协议。参保医疗机构与患者达成和解协议、支付赔款的5个工作日之内，应将医患双方当事人主体材料、纠纷经过书面材料、和解赔偿（补偿）协议、赔款（补偿）支付证明等案件材料一并提交给“广东和谐医调委”。</w:t>
      </w:r>
    </w:p>
    <w:p w14:paraId="14F13448">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“广东和谐医调委”在收到案件材料的3个工作日内对案件进行登记、核实，并将上述材料提交给江泰保险经纪公司。</w:t>
      </w:r>
    </w:p>
    <w:p w14:paraId="514D962F">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江泰保险经纪公司对案件资料进行审核，对材料完备的案件于2个工作日内提交保险公司。对于案件材料不齐待补，或存在理赔争议的案件，江泰保险经纪公司应在案件材料补齐后，或理赔争议消除后的2个工作日内将全部材料提交保险公司。</w:t>
      </w:r>
    </w:p>
    <w:p w14:paraId="4E4400BE">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保险公司在接到案件索赔材料后按保险合同约定的时效内向参保医疗机构赔偿，</w:t>
      </w:r>
      <w:r>
        <w:rPr>
          <w:rFonts w:hint="eastAsia" w:ascii="宋体" w:hAnsi="宋体" w:eastAsia="宋体" w:cs="宋体"/>
          <w:bCs/>
          <w:color w:val="auto"/>
          <w:kern w:val="2"/>
          <w:sz w:val="24"/>
          <w:szCs w:val="24"/>
          <w:highlight w:val="none"/>
        </w:rPr>
        <w:t>或依医疗机构申请，将赔偿款项直接支付给患方。</w:t>
      </w:r>
    </w:p>
    <w:p w14:paraId="20296812">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调解处理程序</w:t>
      </w:r>
    </w:p>
    <w:p w14:paraId="3A5449F6">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第十四条　</w:t>
      </w:r>
      <w:r>
        <w:rPr>
          <w:rFonts w:hint="eastAsia" w:ascii="宋体" w:hAnsi="宋体" w:eastAsia="宋体" w:cs="宋体"/>
          <w:color w:val="auto"/>
          <w:kern w:val="2"/>
          <w:sz w:val="24"/>
          <w:szCs w:val="24"/>
          <w:highlight w:val="none"/>
        </w:rPr>
        <w:t>对于赔付金额</w:t>
      </w:r>
      <w:r>
        <w:rPr>
          <w:rFonts w:hint="eastAsia" w:ascii="宋体" w:hAnsi="宋体" w:eastAsia="宋体" w:cs="宋体"/>
          <w:bCs/>
          <w:color w:val="auto"/>
          <w:kern w:val="2"/>
          <w:sz w:val="24"/>
          <w:szCs w:val="24"/>
          <w:highlight w:val="none"/>
        </w:rPr>
        <w:t>（不含法律费用）</w:t>
      </w:r>
      <w:r>
        <w:rPr>
          <w:rFonts w:hint="eastAsia" w:ascii="宋体" w:hAnsi="宋体" w:eastAsia="宋体" w:cs="宋体"/>
          <w:color w:val="auto"/>
          <w:kern w:val="2"/>
          <w:sz w:val="24"/>
          <w:szCs w:val="24"/>
          <w:highlight w:val="none"/>
        </w:rPr>
        <w:t>在20万元以内（含20万元）的医疗纠纷案件，保险公司授权“广东和谐医调委”自主主导医疗纠纷案件双方当事人达成调解协议；“广东和谐医调委”在保险公司授权权限内成功调解的案件，应当在签署调解协议后自案件全部材料收集完毕之日起3个工作日内将相关材料、调解协议书副本提交江泰保险经纪公司。</w:t>
      </w:r>
    </w:p>
    <w:p w14:paraId="63931344">
      <w:pPr>
        <w:keepNext w:val="0"/>
        <w:keepLines w:val="0"/>
        <w:pageBreakBefore w:val="0"/>
        <w:widowControl w:val="0"/>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江泰保险经纪公司对案件资料进行审核，对材料完备的案件于2个工作日内提交保险公司。对于案件材料不齐待补，或存在理赔争议的案件，江泰保险经纪公司应在案件材料补齐后，或理赔争议消除后的2个工作日内将全部材料提交保险公司。</w:t>
      </w:r>
    </w:p>
    <w:p w14:paraId="026241D9">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保险公司在接到索赔案件材料后按保险合同约定的时效向参保医疗机构赔偿，</w:t>
      </w:r>
      <w:r>
        <w:rPr>
          <w:rFonts w:hint="eastAsia" w:ascii="宋体" w:hAnsi="宋体" w:eastAsia="宋体" w:cs="宋体"/>
          <w:bCs/>
          <w:color w:val="auto"/>
          <w:kern w:val="2"/>
          <w:sz w:val="24"/>
          <w:szCs w:val="24"/>
          <w:highlight w:val="none"/>
        </w:rPr>
        <w:t>或依医疗机构申请，将赔偿款项直接支付给患方。</w:t>
      </w:r>
    </w:p>
    <w:p w14:paraId="1ECFF00A">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第十五条　</w:t>
      </w:r>
      <w:r>
        <w:rPr>
          <w:rFonts w:hint="eastAsia" w:ascii="宋体" w:hAnsi="宋体" w:eastAsia="宋体" w:cs="宋体"/>
          <w:color w:val="auto"/>
          <w:kern w:val="2"/>
          <w:sz w:val="24"/>
          <w:szCs w:val="24"/>
          <w:highlight w:val="none"/>
        </w:rPr>
        <w:t>对赔付金额</w:t>
      </w:r>
      <w:r>
        <w:rPr>
          <w:rFonts w:hint="eastAsia" w:ascii="宋体" w:hAnsi="宋体" w:eastAsia="宋体" w:cs="宋体"/>
          <w:bCs/>
          <w:color w:val="auto"/>
          <w:kern w:val="2"/>
          <w:sz w:val="24"/>
          <w:szCs w:val="24"/>
          <w:highlight w:val="none"/>
        </w:rPr>
        <w:t>（不含法律费用）</w:t>
      </w:r>
      <w:r>
        <w:rPr>
          <w:rFonts w:hint="eastAsia" w:ascii="宋体" w:hAnsi="宋体" w:eastAsia="宋体" w:cs="宋体"/>
          <w:color w:val="auto"/>
          <w:kern w:val="2"/>
          <w:sz w:val="24"/>
          <w:szCs w:val="24"/>
          <w:highlight w:val="none"/>
        </w:rPr>
        <w:t>在20万元以上的医疗纠纷案件，“广东和谐医调委”应召开医疗责任保险赔案评鉴会（以下简称“评鉴会”），根据相应的法律法规对医疗纠纷案件进行性质认定、责任认定和赔偿损失认定。</w:t>
      </w:r>
    </w:p>
    <w:p w14:paraId="43039E36">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保险公司应根据评鉴会的认定结论和医疗纠纷案件双方当事人签署的调解协议做出理赔决定并支付保险赔偿金，或依医疗机构申请，将赔偿款项直接支付给患方。</w:t>
      </w:r>
    </w:p>
    <w:p w14:paraId="7BABCCB3">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第十六条　</w:t>
      </w:r>
      <w:r>
        <w:rPr>
          <w:rFonts w:hint="eastAsia" w:ascii="宋体" w:hAnsi="宋体" w:eastAsia="宋体" w:cs="宋体"/>
          <w:color w:val="auto"/>
          <w:kern w:val="2"/>
          <w:sz w:val="24"/>
          <w:szCs w:val="24"/>
          <w:highlight w:val="none"/>
        </w:rPr>
        <w:t>评鉴会由人民调解员主持、医学专家、法律专家、保险公司代表列席。参加评鉴会的医学和法律专家从“广东和谐医调委”建立的专家库中选取。</w:t>
      </w:r>
    </w:p>
    <w:p w14:paraId="2E7ED80C">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第十七条　</w:t>
      </w:r>
      <w:r>
        <w:rPr>
          <w:rFonts w:hint="eastAsia" w:ascii="宋体" w:hAnsi="宋体" w:eastAsia="宋体" w:cs="宋体"/>
          <w:color w:val="auto"/>
          <w:kern w:val="2"/>
          <w:sz w:val="24"/>
          <w:szCs w:val="24"/>
          <w:highlight w:val="none"/>
        </w:rPr>
        <w:t>评鉴会原则上设不少于4个表决席位，其中医学专家表决席位不少于3个，法律专家表决席位不少于1个。提请评鉴会审议的医疗纠纷案件由医学专家、法律专家共同负责医疗纠纷案件的性质认定和责任认定；由法律专家负责赔偿损失认定。</w:t>
      </w:r>
    </w:p>
    <w:p w14:paraId="6005052A">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评鉴会工作结束后，由参加评鉴的成员应签字确认评鉴结果，该结果将作为人民调解员的调解依据</w:t>
      </w:r>
    </w:p>
    <w:p w14:paraId="3CC20C41">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第十八条　</w:t>
      </w:r>
      <w:r>
        <w:rPr>
          <w:rFonts w:hint="eastAsia" w:ascii="宋体" w:hAnsi="宋体" w:eastAsia="宋体" w:cs="宋体"/>
          <w:color w:val="auto"/>
          <w:kern w:val="2"/>
          <w:sz w:val="24"/>
          <w:szCs w:val="24"/>
          <w:highlight w:val="none"/>
        </w:rPr>
        <w:t>评鉴会成员在鉴定医疗纠纷案件时，如果与医疗纠纷案件双方当事人存在利害关系，应当回避。</w:t>
      </w:r>
    </w:p>
    <w:p w14:paraId="06097ED0">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第十九条　</w:t>
      </w:r>
      <w:r>
        <w:rPr>
          <w:rFonts w:hint="eastAsia" w:ascii="宋体" w:hAnsi="宋体" w:eastAsia="宋体" w:cs="宋体"/>
          <w:color w:val="auto"/>
          <w:kern w:val="2"/>
          <w:sz w:val="24"/>
          <w:szCs w:val="24"/>
          <w:highlight w:val="none"/>
        </w:rPr>
        <w:t>负责医疗纠纷案件调解的人民调解员应当在签署调解协议后自案件全部材料收集完毕之日起3个工作日内将案件相关材料和调解协议书提交江泰保险经纪公司。</w:t>
      </w:r>
    </w:p>
    <w:p w14:paraId="04673511">
      <w:pPr>
        <w:keepNext w:val="0"/>
        <w:keepLines w:val="0"/>
        <w:pageBreakBefore w:val="0"/>
        <w:widowControl w:val="0"/>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江泰保险经纪公司对案件资料进行审核，对材料完备的案件于2个工作日内提交保险公司。对于案件材料不齐待补，或存在理赔争议的案件，江泰保险经纪公司应在案件材料补齐后，或理赔争议消除后的2个工作日内将全部材料提交保险公司。</w:t>
      </w:r>
    </w:p>
    <w:p w14:paraId="333C5EE5">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第二十条　</w:t>
      </w:r>
      <w:r>
        <w:rPr>
          <w:rFonts w:hint="eastAsia" w:ascii="宋体" w:hAnsi="宋体" w:eastAsia="宋体" w:cs="宋体"/>
          <w:color w:val="auto"/>
          <w:kern w:val="2"/>
          <w:sz w:val="24"/>
          <w:szCs w:val="24"/>
          <w:highlight w:val="none"/>
        </w:rPr>
        <w:t>保险公司在接到评鉴结论、调解协议书副本和案件相关材料后按保险合同约定的时效向参保医疗机构赔偿，或依医疗机构申请，将赔偿款项直接支付给患方。</w:t>
      </w:r>
    </w:p>
    <w:p w14:paraId="1CA1AA72">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其它处理程序</w:t>
      </w:r>
    </w:p>
    <w:p w14:paraId="510F2882">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第二十一条　</w:t>
      </w:r>
      <w:r>
        <w:rPr>
          <w:rFonts w:hint="eastAsia" w:ascii="宋体" w:hAnsi="宋体" w:eastAsia="宋体" w:cs="宋体"/>
          <w:color w:val="auto"/>
          <w:kern w:val="2"/>
          <w:sz w:val="24"/>
          <w:szCs w:val="24"/>
          <w:highlight w:val="none"/>
        </w:rPr>
        <w:t>医疗纠纷案件双方当事人通过行政调解、仲裁或诉讼的案件，保险公司依法按照保险合同约定进行赔偿。</w:t>
      </w:r>
    </w:p>
    <w:p w14:paraId="718D66B6">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第二十二条　</w:t>
      </w:r>
      <w:r>
        <w:rPr>
          <w:rFonts w:hint="eastAsia" w:ascii="宋体" w:hAnsi="宋体" w:eastAsia="宋体" w:cs="宋体"/>
          <w:color w:val="auto"/>
          <w:kern w:val="2"/>
          <w:sz w:val="24"/>
          <w:szCs w:val="24"/>
          <w:highlight w:val="none"/>
        </w:rPr>
        <w:t>参保医疗机构依据生效的行政调解书、仲裁裁决书、法院裁定书、法院判决书赔偿患者后，将赔付证明连同有关证明材料提交“广东和谐医调委”，“广东和谐医调委”经调查核实后转江泰保险经纪公司提交保险公司，经保险公司审核属实且符合广东医疗责任保险理赔范围的，保险公司在收到所有材料后按照保险服务承诺时效向医疗机构支付赔款，或依医疗机构申请，将赔偿款项直接支付给患方。</w:t>
      </w:r>
    </w:p>
    <w:p w14:paraId="2462E962">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于依据行政调解书、仲裁庭或法院出具的和（调）解书所确定的赔偿，保险公司有异议的，可以要求“广东和谐医调委”组织专家分析，保险公司根据专家分析意见并在收到所有材料后按保险合同约定的时效向医疗机构支付赔款，或依医疗机构申请，将赔偿款项直接支付给患方。</w:t>
      </w:r>
    </w:p>
    <w:p w14:paraId="51171140">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第二十三条　</w:t>
      </w:r>
      <w:r>
        <w:rPr>
          <w:rFonts w:hint="eastAsia" w:ascii="宋体" w:hAnsi="宋体" w:eastAsia="宋体" w:cs="宋体"/>
          <w:color w:val="auto"/>
          <w:kern w:val="2"/>
          <w:sz w:val="24"/>
          <w:szCs w:val="24"/>
          <w:highlight w:val="none"/>
        </w:rPr>
        <w:t>医疗诉讼/仲裁案件由江泰保险经纪公司推荐的律师或者应医疗机构推荐的律师代理应诉，代理律师应取得医疗机构授权委托书；在医疗机构、保险公司共同确定代理律师后，由律师、医疗机构、保险公司签定委托代理合同。律师代理费按照本合同约定的律师费收费标准执行</w:t>
      </w:r>
      <w:r>
        <w:rPr>
          <w:rFonts w:hint="eastAsia" w:ascii="宋体" w:hAnsi="宋体" w:eastAsia="宋体" w:cs="宋体"/>
          <w:bCs/>
          <w:color w:val="auto"/>
          <w:kern w:val="2"/>
          <w:sz w:val="24"/>
          <w:szCs w:val="24"/>
          <w:highlight w:val="none"/>
        </w:rPr>
        <w:t>，律师代理费由保险公司按规定支付。</w:t>
      </w:r>
    </w:p>
    <w:p w14:paraId="3822030E">
      <w:pPr>
        <w:keepNext w:val="0"/>
        <w:keepLines w:val="0"/>
        <w:pageBreakBefore w:val="0"/>
        <w:widowControl w:val="0"/>
        <w:numPr>
          <w:ilvl w:val="2"/>
          <w:numId w:val="0"/>
        </w:numPr>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第二十四条　</w:t>
      </w:r>
      <w:r>
        <w:rPr>
          <w:rFonts w:hint="eastAsia" w:ascii="宋体" w:hAnsi="宋体" w:eastAsia="宋体" w:cs="宋体"/>
          <w:b/>
          <w:bCs/>
          <w:color w:val="auto"/>
          <w:kern w:val="2"/>
          <w:sz w:val="24"/>
          <w:szCs w:val="24"/>
          <w:highlight w:val="none"/>
        </w:rPr>
        <w:t>“</w:t>
      </w:r>
      <w:r>
        <w:rPr>
          <w:rFonts w:hint="eastAsia" w:ascii="宋体" w:hAnsi="宋体" w:eastAsia="宋体" w:cs="宋体"/>
          <w:color w:val="auto"/>
          <w:kern w:val="2"/>
          <w:sz w:val="24"/>
          <w:szCs w:val="24"/>
          <w:highlight w:val="none"/>
        </w:rPr>
        <w:t>广东和谐医调委”应积极与各地政府、司法等部门组建成立的人民调解组织或第三方调解援助机构密切协作，根据实际情况和各项条件作好参保医疗机构的医疗损害赔偿处理工作。</w:t>
      </w:r>
    </w:p>
    <w:p w14:paraId="68FD1C6C">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bookmarkStart w:id="60" w:name="_Toc10290"/>
      <w:bookmarkStart w:id="61" w:name="_Toc26306"/>
      <w:bookmarkStart w:id="62" w:name="_Toc2159"/>
      <w:r>
        <w:rPr>
          <w:rFonts w:hint="eastAsia" w:ascii="宋体" w:hAnsi="宋体" w:eastAsia="宋体" w:cs="宋体"/>
          <w:b/>
          <w:bCs/>
          <w:color w:val="auto"/>
          <w:kern w:val="2"/>
          <w:sz w:val="24"/>
          <w:szCs w:val="24"/>
          <w:highlight w:val="none"/>
        </w:rPr>
        <w:t>第三章 合议会程序</w:t>
      </w:r>
      <w:bookmarkEnd w:id="60"/>
      <w:bookmarkEnd w:id="61"/>
      <w:bookmarkEnd w:id="62"/>
    </w:p>
    <w:p w14:paraId="5EBF769C">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第二十五条　</w:t>
      </w:r>
      <w:r>
        <w:rPr>
          <w:rFonts w:hint="eastAsia" w:ascii="宋体" w:hAnsi="宋体" w:eastAsia="宋体" w:cs="宋体"/>
          <w:color w:val="auto"/>
          <w:kern w:val="2"/>
          <w:sz w:val="24"/>
          <w:szCs w:val="24"/>
          <w:highlight w:val="none"/>
        </w:rPr>
        <w:t>医疗机构、保险公司对涉及医疗纠纷案件的性质认定、责任认定和赔偿损失认定等有重大异议，可以提请医疗责任保险赔案合议会（以下简称“合议会”）进行审议或申请司法鉴定。保险公司应依据合议决定或司法鉴定结论做出理赔决定。</w:t>
      </w:r>
    </w:p>
    <w:p w14:paraId="6D83028E">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lang w:val="en-US" w:eastAsia="zh-CN" w:bidi="ar-SA"/>
        </w:rPr>
        <w:t>第二十六条　</w:t>
      </w:r>
      <w:r>
        <w:rPr>
          <w:rFonts w:hint="eastAsia" w:ascii="宋体" w:hAnsi="宋体" w:eastAsia="宋体" w:cs="宋体"/>
          <w:color w:val="auto"/>
          <w:kern w:val="2"/>
          <w:sz w:val="24"/>
          <w:szCs w:val="24"/>
          <w:highlight w:val="none"/>
        </w:rPr>
        <w:t>合议会由“广东和谐医调委”组织召开。会议成员由保险公司代表及其医学及法律专家、广东和谐医调委代表、医疗机构代表、广东和谐医调委邀请的医学及法律专家组成。在事实清楚、责任明确的基础上，充分协商做出会议决定，并由参会人员签字确认。</w:t>
      </w:r>
    </w:p>
    <w:p w14:paraId="4BDA7B3C">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第二十七条　</w:t>
      </w:r>
      <w:r>
        <w:rPr>
          <w:rFonts w:hint="eastAsia" w:ascii="宋体" w:hAnsi="宋体" w:eastAsia="宋体" w:cs="宋体"/>
          <w:b/>
          <w:bCs/>
          <w:color w:val="auto"/>
          <w:kern w:val="2"/>
          <w:sz w:val="24"/>
          <w:szCs w:val="24"/>
          <w:highlight w:val="none"/>
        </w:rPr>
        <w:t xml:space="preserve"> </w:t>
      </w:r>
      <w:r>
        <w:rPr>
          <w:rFonts w:hint="eastAsia" w:ascii="宋体" w:hAnsi="宋体" w:eastAsia="宋体" w:cs="宋体"/>
          <w:color w:val="auto"/>
          <w:kern w:val="2"/>
          <w:sz w:val="24"/>
          <w:szCs w:val="24"/>
          <w:highlight w:val="none"/>
        </w:rPr>
        <w:t>按照合议决定成功调解的医疗纠纷案件，负责调解的人民调解员应当在医疗纠纷案件双方当事人签订调解协议后的3个工作日内将合议决定、调解协议书副本和案件相关材料提交江泰保险经纪公司。</w:t>
      </w:r>
    </w:p>
    <w:p w14:paraId="72B0D79D">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第二十八条　</w:t>
      </w:r>
      <w:r>
        <w:rPr>
          <w:rFonts w:hint="eastAsia" w:ascii="宋体" w:hAnsi="宋体" w:eastAsia="宋体" w:cs="宋体"/>
          <w:color w:val="auto"/>
          <w:kern w:val="2"/>
          <w:sz w:val="24"/>
          <w:szCs w:val="24"/>
          <w:highlight w:val="none"/>
        </w:rPr>
        <w:t>江泰保险经纪公司在接到合议决定、调解协议书副本和案件相关材料后的2个工作日内向保险公司提交。</w:t>
      </w:r>
    </w:p>
    <w:p w14:paraId="48DD14F7">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对于案件材料不齐待补的案件，江泰保险经纪公司应在案件材料补齐后的2个工作日内将全部材料提交保险公司。</w:t>
      </w:r>
    </w:p>
    <w:p w14:paraId="63A0069D">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第二十九条　</w:t>
      </w:r>
      <w:r>
        <w:rPr>
          <w:rFonts w:hint="eastAsia" w:ascii="宋体" w:hAnsi="宋体" w:eastAsia="宋体" w:cs="宋体"/>
          <w:color w:val="auto"/>
          <w:kern w:val="2"/>
          <w:sz w:val="24"/>
          <w:szCs w:val="24"/>
          <w:highlight w:val="none"/>
        </w:rPr>
        <w:t>保险公司在接到合议决定、调解协议书副本和相关材料后按保险服务承诺的时效向参保医疗机构赔偿，或依医疗机构申请，将赔偿款项直接支付给患方。</w:t>
      </w:r>
    </w:p>
    <w:p w14:paraId="09D0B9B2">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第三十条　</w:t>
      </w:r>
      <w:r>
        <w:rPr>
          <w:rFonts w:hint="eastAsia" w:ascii="宋体" w:hAnsi="宋体" w:eastAsia="宋体" w:cs="宋体"/>
          <w:color w:val="auto"/>
          <w:kern w:val="2"/>
          <w:sz w:val="24"/>
          <w:szCs w:val="24"/>
          <w:highlight w:val="none"/>
        </w:rPr>
        <w:t>医疗</w:t>
      </w:r>
      <w:r>
        <w:rPr>
          <w:rFonts w:hint="eastAsia" w:ascii="宋体" w:hAnsi="宋体" w:eastAsia="宋体" w:cs="宋体"/>
          <w:bCs/>
          <w:color w:val="auto"/>
          <w:kern w:val="2"/>
          <w:sz w:val="24"/>
          <w:szCs w:val="24"/>
          <w:highlight w:val="none"/>
        </w:rPr>
        <w:t>机构、保险公司不接受 “合议会” 就保险理赔作出的决定，任一方可通过司法诉讼或仲裁途径处理保险理赔争议，保险公司按照司法诉讼或仲裁结果进行赔付。</w:t>
      </w:r>
    </w:p>
    <w:p w14:paraId="00475F01">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157" w:afterLines="50" w:afterAutospacing="0" w:line="360" w:lineRule="auto"/>
        <w:ind w:left="0" w:leftChars="0" w:firstLine="0" w:firstLineChars="0"/>
        <w:jc w:val="center"/>
        <w:textAlignment w:val="auto"/>
        <w:rPr>
          <w:rFonts w:hint="eastAsia" w:ascii="宋体" w:hAnsi="宋体" w:eastAsia="宋体" w:cs="宋体"/>
          <w:b/>
          <w:bCs/>
          <w:color w:val="auto"/>
          <w:kern w:val="2"/>
          <w:sz w:val="24"/>
          <w:szCs w:val="24"/>
          <w:highlight w:val="none"/>
        </w:rPr>
      </w:pPr>
      <w:bookmarkStart w:id="63" w:name="_Toc3167"/>
      <w:bookmarkStart w:id="64" w:name="_Toc5248"/>
      <w:bookmarkStart w:id="65" w:name="_Toc26407"/>
      <w:r>
        <w:rPr>
          <w:rFonts w:hint="eastAsia" w:ascii="宋体" w:hAnsi="宋体" w:eastAsia="宋体" w:cs="宋体"/>
          <w:b/>
          <w:bCs/>
          <w:color w:val="auto"/>
          <w:kern w:val="2"/>
          <w:sz w:val="24"/>
          <w:szCs w:val="24"/>
          <w:highlight w:val="none"/>
        </w:rPr>
        <w:t>第四章  附则</w:t>
      </w:r>
      <w:bookmarkEnd w:id="63"/>
      <w:bookmarkEnd w:id="64"/>
      <w:bookmarkEnd w:id="65"/>
    </w:p>
    <w:p w14:paraId="316E86D2">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第三十一条　</w:t>
      </w:r>
      <w:r>
        <w:rPr>
          <w:rFonts w:hint="eastAsia" w:ascii="宋体" w:hAnsi="宋体" w:eastAsia="宋体" w:cs="宋体"/>
          <w:color w:val="auto"/>
          <w:kern w:val="2"/>
          <w:sz w:val="24"/>
          <w:szCs w:val="24"/>
          <w:highlight w:val="none"/>
        </w:rPr>
        <w:t>参与医疗责任保险赔案处理的各方应当严格遵守本办法规定并遵照执行，如有违反，应当及时纠正，拒不纠正的视为构成对广东省医疗责任保险的违约行为，“广东和谐医调委”有权根据相应规定进行处理。</w:t>
      </w:r>
    </w:p>
    <w:p w14:paraId="01AEA281">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第三十二条　</w:t>
      </w:r>
      <w:r>
        <w:rPr>
          <w:rFonts w:hint="eastAsia" w:ascii="宋体" w:hAnsi="宋体" w:eastAsia="宋体" w:cs="宋体"/>
          <w:color w:val="auto"/>
          <w:kern w:val="2"/>
          <w:sz w:val="24"/>
          <w:szCs w:val="24"/>
          <w:highlight w:val="none"/>
        </w:rPr>
        <w:t>本办法涉及的各方对医患双方负有保密义务。未经医患双方同意不得泄露患者隐私。</w:t>
      </w:r>
    </w:p>
    <w:p w14:paraId="28E74779">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第三十三条　</w:t>
      </w:r>
      <w:r>
        <w:rPr>
          <w:rFonts w:hint="eastAsia" w:ascii="宋体" w:hAnsi="宋体" w:eastAsia="宋体" w:cs="宋体"/>
          <w:color w:val="auto"/>
          <w:kern w:val="2"/>
          <w:sz w:val="24"/>
          <w:szCs w:val="24"/>
          <w:highlight w:val="none"/>
        </w:rPr>
        <w:t>本办法为广东省医疗责任保险的组成部分，由“广东和谐医调委”负责制订、修改、解释。</w:t>
      </w:r>
    </w:p>
    <w:p w14:paraId="0E8A88D1">
      <w:pPr>
        <w:keepNext w:val="0"/>
        <w:keepLines w:val="0"/>
        <w:pageBreakBefore w:val="0"/>
        <w:widowControl w:val="0"/>
        <w:numPr>
          <w:ilvl w:val="2"/>
          <w:numId w:val="0"/>
        </w:numPr>
        <w:kinsoku/>
        <w:wordWrap/>
        <w:overflowPunct/>
        <w:topLinePunct w:val="0"/>
        <w:autoSpaceDE/>
        <w:autoSpaceDN/>
        <w:bidi w:val="0"/>
        <w:adjustRightInd w:val="0"/>
        <w:snapToGrid w:val="0"/>
        <w:spacing w:beforeAutospacing="0" w:after="157" w:afterLines="5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第三十四条　</w:t>
      </w:r>
      <w:r>
        <w:rPr>
          <w:rFonts w:hint="eastAsia" w:ascii="宋体" w:hAnsi="宋体" w:eastAsia="宋体" w:cs="宋体"/>
          <w:color w:val="auto"/>
          <w:kern w:val="2"/>
          <w:sz w:val="24"/>
          <w:szCs w:val="24"/>
          <w:highlight w:val="none"/>
        </w:rPr>
        <w:t>本办法自</w:t>
      </w:r>
      <w:r>
        <w:rPr>
          <w:rFonts w:hint="eastAsia" w:ascii="宋体" w:hAnsi="宋体" w:eastAsia="宋体" w:cs="宋体"/>
          <w:color w:val="auto"/>
          <w:kern w:val="2"/>
          <w:sz w:val="24"/>
          <w:szCs w:val="24"/>
          <w:highlight w:val="none"/>
          <w:lang w:val="en-US" w:eastAsia="zh-CN"/>
        </w:rPr>
        <w:t>2021</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日起施行。</w:t>
      </w:r>
    </w:p>
    <w:p w14:paraId="33DFDF41">
      <w:pPr>
        <w:keepNext w:val="0"/>
        <w:keepLines w:val="0"/>
        <w:pageBreakBefore/>
        <w:widowControl w:val="0"/>
        <w:kinsoku/>
        <w:wordWrap w:val="0"/>
        <w:overflowPunct/>
        <w:topLinePunct w:val="0"/>
        <w:autoSpaceDE/>
        <w:autoSpaceDN/>
        <w:bidi w:val="0"/>
        <w:adjustRightInd w:val="0"/>
        <w:snapToGrid/>
        <w:spacing w:line="480" w:lineRule="auto"/>
        <w:jc w:val="center"/>
        <w:textAlignment w:val="auto"/>
        <w:rPr>
          <w:rFonts w:hint="eastAsia" w:ascii="宋体" w:hAnsi="宋体" w:eastAsia="宋体" w:cs="宋体"/>
          <w:b/>
          <w:bCs/>
          <w:color w:val="auto"/>
          <w:sz w:val="32"/>
          <w:szCs w:val="32"/>
          <w:highlight w:val="none"/>
          <w:lang w:val="en-US" w:eastAsia="zh-CN"/>
        </w:rPr>
      </w:pPr>
      <w:bookmarkStart w:id="66" w:name="_Toc5167"/>
      <w:r>
        <w:rPr>
          <w:rFonts w:hint="eastAsia" w:ascii="宋体" w:hAnsi="宋体" w:eastAsia="宋体" w:cs="宋体"/>
          <w:b/>
          <w:bCs/>
          <w:color w:val="auto"/>
          <w:sz w:val="32"/>
          <w:szCs w:val="32"/>
          <w:highlight w:val="none"/>
          <w:lang w:val="en-US" w:eastAsia="zh-CN"/>
        </w:rPr>
        <w:t>附件三：广东省医疗机构医疗责任保险统保条款</w:t>
      </w:r>
      <w:bookmarkEnd w:id="66"/>
    </w:p>
    <w:p w14:paraId="38DE9A74">
      <w:pPr>
        <w:keepNext w:val="0"/>
        <w:keepLines w:val="0"/>
        <w:pageBreakBefore w:val="0"/>
        <w:widowControl w:val="0"/>
        <w:kinsoku/>
        <w:wordWrap w:val="0"/>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p>
    <w:p w14:paraId="6FC4A126">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总则</w:t>
      </w:r>
    </w:p>
    <w:p w14:paraId="0F8D515E">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第一条  </w:t>
      </w:r>
      <w:r>
        <w:rPr>
          <w:rFonts w:hint="eastAsia" w:ascii="宋体" w:hAnsi="宋体" w:eastAsia="宋体" w:cs="宋体"/>
          <w:color w:val="000000" w:themeColor="text1"/>
          <w:sz w:val="24"/>
          <w:szCs w:val="24"/>
          <w14:textFill>
            <w14:solidFill>
              <w14:schemeClr w14:val="tx1"/>
            </w14:solidFill>
          </w14:textFill>
        </w:rPr>
        <w:t>本保险合同由保险合同文本、保险条款、投保单、批单、补充协议以及其他文件组成。凡涉及本保险合同的约定，均应采用书面形式。</w:t>
      </w:r>
    </w:p>
    <w:p w14:paraId="48D498F6">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第二条  </w:t>
      </w:r>
      <w:r>
        <w:rPr>
          <w:rFonts w:hint="eastAsia" w:ascii="宋体" w:hAnsi="宋体" w:eastAsia="宋体" w:cs="宋体"/>
          <w:color w:val="000000" w:themeColor="text1"/>
          <w:sz w:val="24"/>
          <w:szCs w:val="24"/>
          <w14:textFill>
            <w14:solidFill>
              <w14:schemeClr w14:val="tx1"/>
            </w14:solidFill>
          </w14:textFill>
        </w:rPr>
        <w:t>凡在中国境内（不包括港澳台地区，下同）依照中华人民共和国法律（不包括香港、澳门及台湾地区法律，下同）设立、有固定场所并取得《医疗机构执业许可证》的医疗机构（以下简称“医疗机构”），均可作为本保险合同的投保人、被保险人。</w:t>
      </w:r>
    </w:p>
    <w:p w14:paraId="7E56114D">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p>
    <w:p w14:paraId="10A09F71">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保险责任</w:t>
      </w:r>
    </w:p>
    <w:p w14:paraId="51D609F6">
      <w:pPr>
        <w:adjustRightInd w:val="0"/>
        <w:snapToGrid w:val="0"/>
        <w:spacing w:after="156" w:afterLines="50"/>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第三条  </w:t>
      </w:r>
      <w:r>
        <w:rPr>
          <w:rFonts w:hint="eastAsia" w:ascii="宋体" w:hAnsi="宋体" w:eastAsia="宋体" w:cs="宋体"/>
          <w:color w:val="000000" w:themeColor="text1"/>
          <w:sz w:val="24"/>
          <w:szCs w:val="24"/>
          <w14:textFill>
            <w14:solidFill>
              <w14:schemeClr w14:val="tx1"/>
            </w14:solidFill>
          </w14:textFill>
        </w:rPr>
        <w:t>在本保险合同中列明的保险期间或者追溯期内，被保险人或者其医务人员在从事与其资格相符的诊疗活动中发生以下情形之一造成患者人身损害，患者或者其近亲属或者其代理人在保险期间内首次向被保险人提出损害赔偿请求，依照中华人民共和国法律（不包括港、澳、台地区法律）应由被保险人承担的经济赔偿责任，保险人按照本保险合同约定负责赔偿：</w:t>
      </w:r>
    </w:p>
    <w:p w14:paraId="3F44F6F8">
      <w:pPr>
        <w:adjustRightInd w:val="0"/>
        <w:snapToGrid w:val="0"/>
        <w:spacing w:after="156" w:afterLines="5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（一）患者在诊疗活动中受到损害，被保险人或者其医务人员有过错的，包括但不限于以下情形：</w:t>
      </w:r>
    </w:p>
    <w:p w14:paraId="4216FFC4">
      <w:pPr>
        <w:adjustRightInd w:val="0"/>
        <w:snapToGrid w:val="0"/>
        <w:spacing w:after="156" w:afterLines="5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1.医务人员在诊疗活动中未向患者或者其近亲属说明病情和医疗措施，需要实施手术、特殊检查、特殊治疗的，医务人员未及时向患者说明医疗风险、替代医疗方案等情况并取得其明确同意的；</w:t>
      </w:r>
    </w:p>
    <w:p w14:paraId="37C68281">
      <w:pPr>
        <w:adjustRightInd w:val="0"/>
        <w:snapToGrid w:val="0"/>
        <w:spacing w:after="156" w:afterLines="5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医务人员在诊疗活动中未尽到与当时的医疗水平相应的诊疗义务；</w:t>
      </w:r>
    </w:p>
    <w:p w14:paraId="0162F355">
      <w:pPr>
        <w:adjustRightInd w:val="0"/>
        <w:snapToGrid w:val="0"/>
        <w:spacing w:after="156" w:afterLines="5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患者或者其近亲属不配合医疗机构进行符合诊疗护理规范的诊疗活动；</w:t>
      </w:r>
    </w:p>
    <w:p w14:paraId="7A269E29">
      <w:pPr>
        <w:adjustRightInd w:val="0"/>
        <w:snapToGrid w:val="0"/>
        <w:spacing w:after="156" w:afterLines="5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4.被保险人非故意违反有关诊疗护理规范的。</w:t>
      </w:r>
    </w:p>
    <w:p w14:paraId="4D8E1489">
      <w:pPr>
        <w:adjustRightInd w:val="0"/>
        <w:snapToGrid w:val="0"/>
        <w:spacing w:after="156" w:afterLines="5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（二）因药品、消毒产品、医疗器械的缺陷或者输入不合格的血液造成患者损害,患者向被保险人请求赔偿的。</w:t>
      </w:r>
    </w:p>
    <w:p w14:paraId="42E88BB8">
      <w:pPr>
        <w:adjustRightInd w:val="0"/>
        <w:snapToGrid w:val="0"/>
        <w:spacing w:after="156" w:afterLines="50"/>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第四条  </w:t>
      </w:r>
      <w:r>
        <w:rPr>
          <w:rFonts w:hint="eastAsia" w:ascii="宋体" w:hAnsi="宋体" w:eastAsia="宋体" w:cs="宋体"/>
          <w:color w:val="000000" w:themeColor="text1"/>
          <w:sz w:val="24"/>
          <w:szCs w:val="24"/>
          <w14:textFill>
            <w14:solidFill>
              <w14:schemeClr w14:val="tx1"/>
            </w14:solidFill>
          </w14:textFill>
        </w:rPr>
        <w:t>发生可能引起本保险合同项下赔偿的情形时，被保险人作为被告或者第三人被提起诉讼或者仲裁，对于应由被保险人支付的法律费用：包括仲裁或诉讼费用（包括可能产生的案件受理费、勘验费、鉴定费、律师费、解剖费等）以及其他必要的、合理的法律费用（包括代表被保险人参加医疗损害鉴定或医疗事故鉴定或庭审的人员因参加上述活动而产生的差旅费以及专家咨询费），保险人按照本保险合同约定负责赔偿。</w:t>
      </w:r>
    </w:p>
    <w:p w14:paraId="08CA91CC">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p>
    <w:p w14:paraId="6CC19F75">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责任免除</w:t>
      </w:r>
    </w:p>
    <w:p w14:paraId="7958A5B1">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第五条  下列原因造成的损失、费用和责任，保险人不负责赔偿：</w:t>
      </w:r>
    </w:p>
    <w:p w14:paraId="45304A58">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（一）被保险人或其医务人员的故意行为、犯罪行为；</w:t>
      </w:r>
    </w:p>
    <w:p w14:paraId="7A60EB5F">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（二）被保险人的</w:t>
      </w:r>
      <w:bookmarkStart w:id="67" w:name="_Hlk74819367"/>
      <w:r>
        <w:rPr>
          <w:rFonts w:hint="eastAsia" w:ascii="宋体" w:hAnsi="宋体" w:eastAsia="宋体" w:cs="宋体"/>
          <w:b/>
          <w:bCs/>
          <w:color w:val="000000" w:themeColor="text1"/>
          <w:sz w:val="24"/>
          <w:szCs w:val="24"/>
          <w14:textFill>
            <w14:solidFill>
              <w14:schemeClr w14:val="tx1"/>
            </w14:solidFill>
          </w14:textFill>
        </w:rPr>
        <w:t>医务人员在酒醉或药剂麻醉状态下进行诊疗活动</w:t>
      </w:r>
      <w:bookmarkEnd w:id="67"/>
      <w:r>
        <w:rPr>
          <w:rFonts w:hint="eastAsia" w:ascii="宋体" w:hAnsi="宋体" w:eastAsia="宋体" w:cs="宋体"/>
          <w:b/>
          <w:bCs/>
          <w:color w:val="000000" w:themeColor="text1"/>
          <w:sz w:val="24"/>
          <w:szCs w:val="24"/>
          <w14:textFill>
            <w14:solidFill>
              <w14:schemeClr w14:val="tx1"/>
            </w14:solidFill>
          </w14:textFill>
        </w:rPr>
        <w:t>；</w:t>
      </w:r>
    </w:p>
    <w:p w14:paraId="3A1009BF">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（三）战争、敌对行为、军事行动、武装冲突、恐怖活动、罢工、骚乱、暴动；</w:t>
      </w:r>
    </w:p>
    <w:p w14:paraId="2183749F">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（四）核反应、核子辐射和放射性污染，但被保险人或者其医务人员使用放射器材进行治疗发生的赔偿责任不在此限；</w:t>
      </w:r>
    </w:p>
    <w:p w14:paraId="78570A24">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（五）地震、雷击、暴雨、洪水等自然灾害。</w:t>
      </w:r>
    </w:p>
    <w:p w14:paraId="0D376E1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第六条  因下列情形造成患者损害，保险人不负责赔偿：</w:t>
      </w:r>
    </w:p>
    <w:p w14:paraId="5F96C3F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（一）被保险人或者其医务人员从事与其资格不符的诊疗活动的；</w:t>
      </w:r>
    </w:p>
    <w:p w14:paraId="06D34C37">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（二）被保险人或者其医务人员从事未经国家有关部门许可的诊疗活动的；</w:t>
      </w:r>
    </w:p>
    <w:p w14:paraId="52D35D39">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（三）被保险人被吊销执业许可证或者其医务人员被取消执业资格或受停业、停职处分后仍继续进行诊疗活动的；</w:t>
      </w:r>
    </w:p>
    <w:p w14:paraId="0A4725C8">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（四）被保险人或者其医务人员使用未按国家有关规定获得批准的药品、消毒产品和医疗器械的；</w:t>
      </w:r>
    </w:p>
    <w:p w14:paraId="272CD8B7">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（五）被保险人或者其医务人员在正当的诊疗护理、治疗范围外使用麻醉药品、医疗用毒性药品、精神药品和放射性药品的；</w:t>
      </w:r>
    </w:p>
    <w:p w14:paraId="0EAD70CB">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（六）被保险人或者其医务人员为疫苗受种者接种疫苗导致不良反应所引起的索赔，但被保险人或者其医务人员存在过错的情形不在此限；</w:t>
      </w:r>
    </w:p>
    <w:p w14:paraId="530671A0">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（七）被保险人或者其医务人员采用的非为诊疗活动所必须的整形及美容行为引起的索赔；</w:t>
      </w:r>
    </w:p>
    <w:p w14:paraId="39A45CC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（八）患者自杀的情形，但被保险人或者其医务人员在诊疗活动中存在过错的情形不在此限。</w:t>
      </w:r>
    </w:p>
    <w:p w14:paraId="32F19D6F">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第七条  下列损失、费用和责任，保险人也不负责赔偿：</w:t>
      </w:r>
    </w:p>
    <w:p w14:paraId="37163C1F">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（一）与被保险人存在雇佣关系的员工的人身伤亡，但其作为患者接受治疗时导致的人身伤亡不在此限；</w:t>
      </w:r>
    </w:p>
    <w:p w14:paraId="7C33C591">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（二）罚款、罚金或惩罚性赔款；</w:t>
      </w:r>
    </w:p>
    <w:p w14:paraId="01ADD63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（三）本保险合同中载明的免赔额、按免赔率折算的免赔额；</w:t>
      </w:r>
    </w:p>
    <w:p w14:paraId="67487655">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（四）被保险人应该承担的合同责任，但无合同存在时依法仍然应由被保险人承担的经济赔偿责任不在此限；</w:t>
      </w:r>
    </w:p>
    <w:p w14:paraId="26C861F8">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sz w:val="24"/>
          <w:szCs w:val="24"/>
        </w:rPr>
      </w:pPr>
      <w:r>
        <w:rPr>
          <w:rFonts w:hint="eastAsia" w:ascii="宋体" w:hAnsi="宋体" w:eastAsia="宋体" w:cs="宋体"/>
          <w:b/>
          <w:bCs/>
          <w:color w:val="000000" w:themeColor="text1"/>
          <w:sz w:val="24"/>
          <w:szCs w:val="24"/>
          <w14:textFill>
            <w14:solidFill>
              <w14:schemeClr w14:val="tx1"/>
            </w14:solidFill>
          </w14:textFill>
        </w:rPr>
        <w:t>（五）其他不属于本保险合同责任范围内的损失、费用和责任，保险人不负责赔偿。</w:t>
      </w:r>
    </w:p>
    <w:p w14:paraId="4A272848">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p>
    <w:p w14:paraId="116A2398">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赔偿限额与免赔额（率）</w:t>
      </w:r>
    </w:p>
    <w:p w14:paraId="253EEF47">
      <w:pPr>
        <w:adjustRightInd w:val="0"/>
        <w:snapToGrid w:val="0"/>
        <w:spacing w:after="156" w:afterLines="50"/>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第八条  </w:t>
      </w:r>
      <w:r>
        <w:rPr>
          <w:rFonts w:hint="eastAsia" w:ascii="宋体" w:hAnsi="宋体" w:eastAsia="宋体" w:cs="宋体"/>
          <w:b/>
          <w:color w:val="000000" w:themeColor="text1"/>
          <w:sz w:val="24"/>
          <w:szCs w:val="24"/>
          <w14:textFill>
            <w14:solidFill>
              <w14:schemeClr w14:val="tx1"/>
            </w14:solidFill>
          </w14:textFill>
        </w:rPr>
        <w:t>赔偿限额包括每次事故赔偿限额、累计赔偿限额、法律费用每次事故赔偿限额、法律费用累计赔偿限额。赔偿限额由投保人与保险人协商确定，并在本保险合同中载明。</w:t>
      </w:r>
    </w:p>
    <w:p w14:paraId="5EF67D5C">
      <w:pPr>
        <w:adjustRightInd w:val="0"/>
        <w:snapToGrid w:val="0"/>
        <w:spacing w:after="156" w:afterLines="50"/>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第九条  </w:t>
      </w:r>
      <w:r>
        <w:rPr>
          <w:rFonts w:hint="eastAsia" w:ascii="宋体" w:hAnsi="宋体" w:eastAsia="宋体" w:cs="宋体"/>
          <w:b/>
          <w:color w:val="000000" w:themeColor="text1"/>
          <w:sz w:val="24"/>
          <w:szCs w:val="24"/>
          <w14:textFill>
            <w14:solidFill>
              <w14:schemeClr w14:val="tx1"/>
            </w14:solidFill>
          </w14:textFill>
        </w:rPr>
        <w:t>除另有约定外，本保险合同不设免赔额（率）。</w:t>
      </w:r>
    </w:p>
    <w:p w14:paraId="5C06E491">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p>
    <w:p w14:paraId="131F4F1C">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保险期间与追溯期</w:t>
      </w:r>
    </w:p>
    <w:p w14:paraId="23C511A4">
      <w:pPr>
        <w:adjustRightInd w:val="0"/>
        <w:snapToGrid w:val="0"/>
        <w:spacing w:after="156" w:afterLines="50"/>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第十条  </w:t>
      </w:r>
      <w:r>
        <w:rPr>
          <w:rFonts w:hint="eastAsia" w:ascii="宋体" w:hAnsi="宋体" w:eastAsia="宋体" w:cs="宋体"/>
          <w:color w:val="000000" w:themeColor="text1"/>
          <w:sz w:val="24"/>
          <w:szCs w:val="24"/>
          <w14:textFill>
            <w14:solidFill>
              <w14:schemeClr w14:val="tx1"/>
            </w14:solidFill>
          </w14:textFill>
        </w:rPr>
        <w:t>除另有约定外，保险期间为一年，以保险单载明的起讫时间为准。</w:t>
      </w:r>
      <w:bookmarkStart w:id="68" w:name="_Hlk74819655"/>
      <w:r>
        <w:rPr>
          <w:rFonts w:hint="eastAsia" w:ascii="宋体" w:hAnsi="宋体" w:eastAsia="宋体" w:cs="宋体"/>
          <w:b/>
          <w:color w:val="000000" w:themeColor="text1"/>
          <w:sz w:val="24"/>
          <w:szCs w:val="24"/>
          <w14:textFill>
            <w14:solidFill>
              <w14:schemeClr w14:val="tx1"/>
            </w14:solidFill>
          </w14:textFill>
        </w:rPr>
        <w:t>本保险合同的追溯期由投保人与保险人协商确定并在保险单中载明，未载明的，无追溯期。</w:t>
      </w:r>
    </w:p>
    <w:bookmarkEnd w:id="68"/>
    <w:p w14:paraId="5494ADDE">
      <w:pPr>
        <w:adjustRightInd w:val="0"/>
        <w:snapToGrid w:val="0"/>
        <w:spacing w:after="156" w:afterLines="50"/>
        <w:jc w:val="center"/>
        <w:rPr>
          <w:rFonts w:hint="eastAsia" w:ascii="宋体" w:hAnsi="宋体" w:eastAsia="宋体" w:cs="宋体"/>
          <w:b/>
          <w:bCs/>
          <w:color w:val="000000" w:themeColor="text1"/>
          <w:sz w:val="24"/>
          <w:szCs w:val="24"/>
          <w14:textFill>
            <w14:solidFill>
              <w14:schemeClr w14:val="tx1"/>
            </w14:solidFill>
          </w14:textFill>
        </w:rPr>
      </w:pPr>
    </w:p>
    <w:p w14:paraId="6A87E268">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保险人义务</w:t>
      </w:r>
    </w:p>
    <w:p w14:paraId="20753233">
      <w:pPr>
        <w:adjustRightInd w:val="0"/>
        <w:snapToGrid w:val="0"/>
        <w:spacing w:after="156" w:afterLines="50"/>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第十一条  </w:t>
      </w:r>
      <w:r>
        <w:rPr>
          <w:rFonts w:hint="eastAsia" w:ascii="宋体" w:hAnsi="宋体" w:eastAsia="宋体" w:cs="宋体"/>
          <w:color w:val="000000" w:themeColor="text1"/>
          <w:sz w:val="24"/>
          <w:szCs w:val="24"/>
          <w14:textFill>
            <w14:solidFill>
              <w14:schemeClr w14:val="tx1"/>
            </w14:solidFill>
          </w14:textFill>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1EFF990D">
      <w:pPr>
        <w:adjustRightInd w:val="0"/>
        <w:snapToGrid w:val="0"/>
        <w:spacing w:after="156" w:afterLines="50"/>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第十二条  </w:t>
      </w:r>
      <w:r>
        <w:rPr>
          <w:rFonts w:hint="eastAsia" w:ascii="宋体" w:hAnsi="宋体" w:eastAsia="宋体" w:cs="宋体"/>
          <w:color w:val="000000" w:themeColor="text1"/>
          <w:sz w:val="24"/>
          <w:szCs w:val="24"/>
          <w14:textFill>
            <w14:solidFill>
              <w14:schemeClr w14:val="tx1"/>
            </w14:solidFill>
          </w14:textFill>
        </w:rPr>
        <w:t>本保险合同成立后，保险人应当及时向投保人签发保险单或其他保险凭证。</w:t>
      </w:r>
    </w:p>
    <w:p w14:paraId="078945E4">
      <w:pPr>
        <w:adjustRightInd w:val="0"/>
        <w:snapToGrid w:val="0"/>
        <w:spacing w:after="156" w:afterLines="50"/>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第十三条  </w:t>
      </w:r>
      <w:r>
        <w:rPr>
          <w:rFonts w:hint="eastAsia" w:ascii="宋体" w:hAnsi="宋体" w:eastAsia="宋体" w:cs="宋体"/>
          <w:color w:val="000000" w:themeColor="text1"/>
          <w:sz w:val="24"/>
          <w:szCs w:val="24"/>
          <w14:textFill>
            <w14:solidFill>
              <w14:schemeClr w14:val="tx1"/>
            </w14:solidFill>
          </w14:textFill>
        </w:rPr>
        <w:t>保险事故发生后，投保人、被保险人提供的有关索赔的证明和资料不完整的，保险人应当及时一次性通知投保人、被保险人补充提供。</w:t>
      </w:r>
    </w:p>
    <w:p w14:paraId="70D7A7A7">
      <w:pPr>
        <w:adjustRightInd w:val="0"/>
        <w:snapToGrid w:val="0"/>
        <w:spacing w:after="156" w:afterLines="50"/>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第十四条  </w:t>
      </w:r>
      <w:r>
        <w:rPr>
          <w:rFonts w:hint="eastAsia" w:ascii="宋体" w:hAnsi="宋体" w:eastAsia="宋体" w:cs="宋体"/>
          <w:color w:val="000000" w:themeColor="text1"/>
          <w:sz w:val="24"/>
          <w:szCs w:val="24"/>
          <w14:textFill>
            <w14:solidFill>
              <w14:schemeClr w14:val="tx1"/>
            </w14:solidFill>
          </w14:textFill>
        </w:rPr>
        <w:t>保险人收到被保险人的赔偿请求后，应当及时作出是否属于保险责任的核定，并将核定结果通知被保险人。情形复杂的，应当在30日内做出核定并通知被保险人，对于属于保险责任的，在与被保险人达成有关赔偿保险金的协议后10日内，履行赔偿义务。</w:t>
      </w:r>
    </w:p>
    <w:p w14:paraId="6DCD684C">
      <w:pPr>
        <w:adjustRightInd w:val="0"/>
        <w:snapToGrid w:val="0"/>
        <w:spacing w:after="156" w:afterLines="5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保险人按照前款的规定作出核定后，对不属于保险责任的，应当自作出核定之日起3日内向被保险人发出拒绝赔偿保险金通知书，并说明理由。</w:t>
      </w:r>
    </w:p>
    <w:p w14:paraId="57F751E9">
      <w:pPr>
        <w:adjustRightInd w:val="0"/>
        <w:snapToGrid w:val="0"/>
        <w:spacing w:after="156" w:afterLines="50"/>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第十五条  </w:t>
      </w:r>
      <w:r>
        <w:rPr>
          <w:rFonts w:hint="eastAsia" w:ascii="宋体" w:hAnsi="宋体" w:eastAsia="宋体" w:cs="宋体"/>
          <w:color w:val="000000" w:themeColor="text1"/>
          <w:sz w:val="24"/>
          <w:szCs w:val="24"/>
          <w14:textFill>
            <w14:solidFill>
              <w14:schemeClr w14:val="tx1"/>
            </w14:solidFill>
          </w14:textFill>
        </w:rPr>
        <w:t>保险人自收到赔偿保险金的请求和有关证明、资料之日起60日内，对其赔偿保险金的数额不能确定的，应当根据已有证明和资料可以确定的数额先予支付；保险人最终确定赔偿的数额后，应当支付相应的差额。</w:t>
      </w:r>
    </w:p>
    <w:p w14:paraId="10018FED">
      <w:pPr>
        <w:adjustRightInd w:val="0"/>
        <w:snapToGrid w:val="0"/>
        <w:spacing w:after="156" w:afterLines="50"/>
        <w:jc w:val="center"/>
        <w:rPr>
          <w:rFonts w:hint="eastAsia" w:ascii="宋体" w:hAnsi="宋体" w:eastAsia="宋体" w:cs="宋体"/>
          <w:b/>
          <w:bCs/>
          <w:color w:val="000000" w:themeColor="text1"/>
          <w:sz w:val="24"/>
          <w:szCs w:val="24"/>
          <w14:textFill>
            <w14:solidFill>
              <w14:schemeClr w14:val="tx1"/>
            </w14:solidFill>
          </w14:textFill>
        </w:rPr>
      </w:pPr>
    </w:p>
    <w:p w14:paraId="23032643">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投保人、被保险人义务</w:t>
      </w:r>
    </w:p>
    <w:p w14:paraId="01B954A7">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第十六条  </w:t>
      </w:r>
      <w:r>
        <w:rPr>
          <w:rFonts w:hint="eastAsia" w:ascii="宋体" w:hAnsi="宋体" w:eastAsia="宋体" w:cs="宋体"/>
          <w:color w:val="000000" w:themeColor="text1"/>
          <w:sz w:val="24"/>
          <w:szCs w:val="24"/>
          <w14:textFill>
            <w14:solidFill>
              <w14:schemeClr w14:val="tx1"/>
            </w14:solidFill>
          </w14:textFill>
        </w:rPr>
        <w:t>订立保险合同，保险人就保险标的或者被保险人的有关情况提出询问的，投保人应当如实告知。</w:t>
      </w:r>
    </w:p>
    <w:p w14:paraId="28B1A54F">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投保人故意或者因重大过失未履行前款规定的如实告知义务，足以影响保险人决定是否同意承保或者提高保险费率的，保险人有权解除保险合同。</w:t>
      </w:r>
    </w:p>
    <w:p w14:paraId="2E438699">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前款规定的合同解除权，自保险人知道有解除事由之日起，超过30日不行使而消灭。自合同成立之日起超过2年的，保险人不得解除合同；发生保险事故的，保险人应当承担赔偿保险金的责任。</w:t>
      </w:r>
    </w:p>
    <w:p w14:paraId="2BD5E18C">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投保人故意不履行如实告知义务的，保险人对于合同解除前发生的保险事故，不承担赔偿保险金的责任，并不退还保险费。</w:t>
      </w:r>
    </w:p>
    <w:p w14:paraId="509FFAE2">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投保人因重大过失未履行如实告知义务，对保险事故的发生有严重影响的，保险人对于合同解除前发生的保险事故，不承担赔偿保险金的责任，但应当退还保险费。</w:t>
      </w:r>
    </w:p>
    <w:p w14:paraId="348816D2">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保险人在合同订立时已经知道投保人未如实告知的情况的，保险人不得解除合同；发生保险事故的，保险人应当承担赔偿保险金的责任。</w:t>
      </w:r>
    </w:p>
    <w:p w14:paraId="7DF28F0A">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第十七条  </w:t>
      </w:r>
      <w:r>
        <w:rPr>
          <w:rFonts w:hint="eastAsia" w:ascii="宋体" w:hAnsi="宋体" w:eastAsia="宋体" w:cs="宋体"/>
          <w:color w:val="000000" w:themeColor="text1"/>
          <w:sz w:val="24"/>
          <w:szCs w:val="24"/>
          <w14:textFill>
            <w14:solidFill>
              <w14:schemeClr w14:val="tx1"/>
            </w14:solidFill>
          </w14:textFill>
        </w:rPr>
        <w:t>投保人应按照本保险合同的约定缴纳保险费。</w:t>
      </w:r>
    </w:p>
    <w:p w14:paraId="3EB74C67">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第十八条  </w:t>
      </w:r>
      <w:r>
        <w:rPr>
          <w:rFonts w:hint="eastAsia" w:ascii="宋体" w:hAnsi="宋体" w:eastAsia="宋体" w:cs="宋体"/>
          <w:color w:val="000000" w:themeColor="text1"/>
          <w:sz w:val="24"/>
          <w:szCs w:val="24"/>
          <w14:textFill>
            <w14:solidFill>
              <w14:schemeClr w14:val="tx1"/>
            </w14:solidFill>
          </w14:textFill>
        </w:rPr>
        <w:t>被保险人应遵守《中华人民共和国医师法》、《医疗机构管理条例》及其实施细则、《护士条例》等法律、法规及其他规定，加强管理，教育医务人员遵守诊疗护理规范、常规，恪守医疗服务职业道德，采取合理的预防措施，尽力防止保险事故的发生。</w:t>
      </w:r>
    </w:p>
    <w:p w14:paraId="72848D58">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保险人可以就被保险人遵守前款约定的情况，对被保险人及其医务人员的专业资格、使用药品和医疗器械及其他各项医疗条件进行查验，</w:t>
      </w:r>
      <w:r>
        <w:rPr>
          <w:rFonts w:hint="eastAsia" w:ascii="宋体" w:hAnsi="宋体" w:eastAsia="宋体" w:cs="宋体"/>
          <w:b/>
          <w:color w:val="000000" w:themeColor="text1"/>
          <w:sz w:val="24"/>
          <w:szCs w:val="24"/>
          <w14:textFill>
            <w14:solidFill>
              <w14:schemeClr w14:val="tx1"/>
            </w14:solidFill>
          </w14:textFill>
        </w:rPr>
        <w:t>被保险人应积极协助并提供保险人需要的用以评估有关风险的详情和资料。</w:t>
      </w:r>
      <w:r>
        <w:rPr>
          <w:rFonts w:hint="eastAsia" w:ascii="宋体" w:hAnsi="宋体" w:eastAsia="宋体" w:cs="宋体"/>
          <w:color w:val="000000" w:themeColor="text1"/>
          <w:sz w:val="24"/>
          <w:szCs w:val="24"/>
          <w14:textFill>
            <w14:solidFill>
              <w14:schemeClr w14:val="tx1"/>
            </w14:solidFill>
          </w14:textFill>
        </w:rPr>
        <w:t>但上述查验并不构成保险人对被保险人及其医务人员的专业资格、使用药品和医疗器械及其他各项医疗条件符合相关法律、法规或规定的确认。</w:t>
      </w:r>
      <w:r>
        <w:rPr>
          <w:rFonts w:hint="eastAsia" w:ascii="宋体" w:hAnsi="宋体" w:eastAsia="宋体" w:cs="宋体"/>
          <w:b/>
          <w:color w:val="000000" w:themeColor="text1"/>
          <w:sz w:val="24"/>
          <w:szCs w:val="24"/>
          <w14:textFill>
            <w14:solidFill>
              <w14:schemeClr w14:val="tx1"/>
            </w14:solidFill>
          </w14:textFill>
        </w:rPr>
        <w:t>保险人将所发现的缺陷或危险书面告知被保险人后，被保险人应在力所能及，合理限度内及时采取整改措施。</w:t>
      </w:r>
    </w:p>
    <w:p w14:paraId="288AE73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投保人、被保险人未按照约定履行上述安全义务的，保险人有权要求增加保险费或者解除</w:t>
      </w:r>
      <w:r>
        <w:rPr>
          <w:rFonts w:hint="eastAsia" w:ascii="宋体" w:hAnsi="宋体" w:eastAsia="宋体" w:cs="宋体"/>
          <w:color w:val="000000" w:themeColor="text1"/>
          <w:sz w:val="24"/>
          <w:szCs w:val="24"/>
          <w14:textFill>
            <w14:solidFill>
              <w14:schemeClr w14:val="tx1"/>
            </w14:solidFill>
          </w14:textFill>
        </w:rPr>
        <w:t>本保险</w:t>
      </w:r>
      <w:r>
        <w:rPr>
          <w:rFonts w:hint="eastAsia" w:ascii="宋体" w:hAnsi="宋体" w:eastAsia="宋体" w:cs="宋体"/>
          <w:b/>
          <w:bCs/>
          <w:color w:val="000000" w:themeColor="text1"/>
          <w:sz w:val="24"/>
          <w:szCs w:val="24"/>
          <w14:textFill>
            <w14:solidFill>
              <w14:schemeClr w14:val="tx1"/>
            </w14:solidFill>
          </w14:textFill>
        </w:rPr>
        <w:t>合同。</w:t>
      </w:r>
    </w:p>
    <w:p w14:paraId="0EB0210C">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第十九条  </w:t>
      </w:r>
      <w:r>
        <w:rPr>
          <w:rFonts w:hint="eastAsia" w:ascii="宋体" w:hAnsi="宋体" w:eastAsia="宋体" w:cs="宋体"/>
          <w:b/>
          <w:color w:val="000000" w:themeColor="text1"/>
          <w:sz w:val="24"/>
          <w:szCs w:val="24"/>
          <w14:textFill>
            <w14:solidFill>
              <w14:schemeClr w14:val="tx1"/>
            </w14:solidFill>
          </w14:textFill>
        </w:rPr>
        <w:t>在本保险合同有效期内，本保险合同列明的重要事项（</w:t>
      </w:r>
      <w:r>
        <w:rPr>
          <w:rFonts w:hint="eastAsia" w:ascii="宋体" w:hAnsi="宋体" w:eastAsia="宋体" w:cs="宋体"/>
          <w:b/>
          <w:bCs/>
          <w:color w:val="000000" w:themeColor="text1"/>
          <w:sz w:val="24"/>
          <w:szCs w:val="24"/>
          <w14:textFill>
            <w14:solidFill>
              <w14:schemeClr w14:val="tx1"/>
            </w14:solidFill>
          </w14:textFill>
        </w:rPr>
        <w:t>如医疗机构类型、医疗机构等级等）</w:t>
      </w:r>
      <w:r>
        <w:rPr>
          <w:rFonts w:hint="eastAsia" w:ascii="宋体" w:hAnsi="宋体" w:eastAsia="宋体" w:cs="宋体"/>
          <w:b/>
          <w:color w:val="000000" w:themeColor="text1"/>
          <w:sz w:val="24"/>
          <w:szCs w:val="24"/>
          <w14:textFill>
            <w14:solidFill>
              <w14:schemeClr w14:val="tx1"/>
            </w14:solidFill>
          </w14:textFill>
        </w:rPr>
        <w:t>发生变更导致危险程度显著增加的，被保险人应当及时书面通知保险人，保险人有权增加保险费或解除本保险合同，增加保险费的，保险人应及时办理批改手续。</w:t>
      </w:r>
    </w:p>
    <w:p w14:paraId="6A19B306">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被保险人未履行前款约定的通知义务的，因保险标的的危险程度显著增加而发生的保险事故，保险人不承担赔偿保险金的责任。</w:t>
      </w:r>
    </w:p>
    <w:p w14:paraId="3D5E4212">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第二十条  </w:t>
      </w:r>
      <w:r>
        <w:rPr>
          <w:rFonts w:hint="eastAsia" w:ascii="宋体" w:hAnsi="宋体" w:eastAsia="宋体" w:cs="宋体"/>
          <w:color w:val="000000" w:themeColor="text1"/>
          <w:sz w:val="24"/>
          <w:szCs w:val="24"/>
          <w14:textFill>
            <w14:solidFill>
              <w14:schemeClr w14:val="tx1"/>
            </w14:solidFill>
          </w14:textFill>
        </w:rPr>
        <w:t>知道保险事故发生后，投保人、被保险人应当：</w:t>
      </w:r>
    </w:p>
    <w:p w14:paraId="0314A8C6">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（一）尽力采取必要的措施，避免或减轻对患者人身的损害，并防止赔偿扩大</w:t>
      </w:r>
      <w:r>
        <w:rPr>
          <w:rFonts w:hint="eastAsia" w:ascii="宋体" w:hAnsi="宋体" w:eastAsia="宋体" w:cs="宋体"/>
          <w:b/>
          <w:bCs/>
          <w:color w:val="000000" w:themeColor="text1"/>
          <w:sz w:val="24"/>
          <w:szCs w:val="24"/>
          <w14:textFill>
            <w14:solidFill>
              <w14:schemeClr w14:val="tx1"/>
            </w14:solidFill>
          </w14:textFill>
        </w:rPr>
        <w:t>，否则，对因此扩大的损失，保险人不承担赔偿责任；</w:t>
      </w:r>
    </w:p>
    <w:p w14:paraId="6D656125">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及时通知保险人及本保险合同约定的调解委员会（投保人、保险人可协商确定人民调解委员会，并在本保险合同中载明，简称“调解委员会”），并书面说明事故发生的原因、经过和损失情况；保险人认可由调解委员会提供的报案信息并视同为及时报案，</w:t>
      </w:r>
      <w:r>
        <w:rPr>
          <w:rFonts w:hint="eastAsia" w:ascii="宋体" w:hAnsi="宋体" w:eastAsia="宋体" w:cs="宋体"/>
          <w:b/>
          <w:bCs/>
          <w:color w:val="000000" w:themeColor="text1"/>
          <w:sz w:val="24"/>
          <w:szCs w:val="24"/>
          <w14:textFill>
            <w14:solidFill>
              <w14:schemeClr w14:val="tx1"/>
            </w14:solidFill>
          </w14:textFill>
        </w:rPr>
        <w:t>故意或者因重大过失未及时通知，致使保险事故的性质、原因、损失程度等难以确定的，保险人对无法确定的部分，不承担赔偿责任</w:t>
      </w:r>
      <w:r>
        <w:rPr>
          <w:rFonts w:hint="eastAsia" w:ascii="宋体" w:hAnsi="宋体" w:eastAsia="宋体" w:cs="宋体"/>
          <w:color w:val="000000" w:themeColor="text1"/>
          <w:sz w:val="24"/>
          <w:szCs w:val="24"/>
          <w14:textFill>
            <w14:solidFill>
              <w14:schemeClr w14:val="tx1"/>
            </w14:solidFill>
          </w14:textFill>
        </w:rPr>
        <w:t>，但保险人通过其他途径已经及时知道或者应当及时知道保险事故发生的除外；</w:t>
      </w:r>
    </w:p>
    <w:p w14:paraId="6D7C2748">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bookmarkStart w:id="69" w:name="_Hlk74820114"/>
      <w:r>
        <w:rPr>
          <w:rFonts w:hint="eastAsia" w:ascii="宋体" w:hAnsi="宋体" w:eastAsia="宋体" w:cs="宋体"/>
          <w:color w:val="000000" w:themeColor="text1"/>
          <w:sz w:val="24"/>
          <w:szCs w:val="24"/>
          <w14:textFill>
            <w14:solidFill>
              <w14:schemeClr w14:val="tx1"/>
            </w14:solidFill>
          </w14:textFill>
        </w:rPr>
        <w:t>按照规定向有关部门报告，并按照规定的程序进行或申请进行调查、分析、鉴定。妥善保管有关的原始资料，不得涂改、伪造、隐匿或者违法销毁，并对引起不良后果的药品、消毒产品、医疗器械、血液等现场实物按照有关规定进行封存并妥善保管，以备查验；允许并且协助保险人进行事故调查。</w:t>
      </w:r>
      <w:bookmarkEnd w:id="69"/>
    </w:p>
    <w:p w14:paraId="0A3CE466">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（四）保护事故现场，允许并且协助保险人进行事故调查。</w:t>
      </w:r>
      <w:r>
        <w:rPr>
          <w:rFonts w:hint="eastAsia" w:ascii="宋体" w:hAnsi="宋体" w:eastAsia="宋体" w:cs="宋体"/>
          <w:b/>
          <w:bCs/>
          <w:color w:val="000000" w:themeColor="text1"/>
          <w:sz w:val="24"/>
          <w:szCs w:val="24"/>
          <w14:textFill>
            <w14:solidFill>
              <w14:schemeClr w14:val="tx1"/>
            </w14:solidFill>
          </w14:textFill>
        </w:rPr>
        <w:t>对于拒绝或者妨碍保险人进行事故调查导致无法认定事故原因或核实损失情况的，保险人对无法确定或核实的部分不承担赔偿责任。</w:t>
      </w:r>
    </w:p>
    <w:p w14:paraId="01E82785">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第二十一条  </w:t>
      </w:r>
      <w:r>
        <w:rPr>
          <w:rFonts w:hint="eastAsia" w:ascii="宋体" w:hAnsi="宋体" w:eastAsia="宋体" w:cs="宋体"/>
          <w:color w:val="000000" w:themeColor="text1"/>
          <w:sz w:val="24"/>
          <w:szCs w:val="24"/>
          <w14:textFill>
            <w14:solidFill>
              <w14:schemeClr w14:val="tx1"/>
            </w14:solidFill>
          </w14:textFill>
        </w:rPr>
        <w:t>被保险人收到患者或者其近亲属或者其代理人的损害赔偿请求时，应立即通知保险人及调解委员会。</w:t>
      </w:r>
      <w:r>
        <w:rPr>
          <w:rFonts w:hint="eastAsia" w:ascii="宋体" w:hAnsi="宋体" w:eastAsia="宋体" w:cs="宋体"/>
          <w:b/>
          <w:bCs/>
          <w:color w:val="000000" w:themeColor="text1"/>
          <w:sz w:val="24"/>
          <w:szCs w:val="24"/>
          <w14:textFill>
            <w14:solidFill>
              <w14:schemeClr w14:val="tx1"/>
            </w14:solidFill>
          </w14:textFill>
        </w:rPr>
        <w:t>未经保险人书面同意，被保险人对受害人及其近亲属、代理人作出的任何承诺、拒绝、出价、约定、付款或赔偿，保险人不受其约束。对于未经保险人同意而被保险人自行承诺或者支付的赔偿金额，如不属于本保险合同责任范围或者超出应赔偿限额的，保险人不承担赔偿责任。</w:t>
      </w:r>
      <w:r>
        <w:rPr>
          <w:rFonts w:hint="eastAsia" w:ascii="宋体" w:hAnsi="宋体" w:eastAsia="宋体" w:cs="宋体"/>
          <w:color w:val="000000" w:themeColor="text1"/>
          <w:sz w:val="24"/>
          <w:szCs w:val="24"/>
          <w14:textFill>
            <w14:solidFill>
              <w14:schemeClr w14:val="tx1"/>
            </w14:solidFill>
          </w14:textFill>
        </w:rPr>
        <w:t>在处理索赔过程中，保险人有权自行处理由其承担最终赔偿责任的任何索赔案件，被保险人有义务向保险人提供其所能提供的资料和协助。</w:t>
      </w:r>
    </w:p>
    <w:p w14:paraId="5E80841B">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第二十二条  </w:t>
      </w:r>
      <w:r>
        <w:rPr>
          <w:rFonts w:hint="eastAsia" w:ascii="宋体" w:hAnsi="宋体" w:eastAsia="宋体" w:cs="宋体"/>
          <w:color w:val="000000" w:themeColor="text1"/>
          <w:sz w:val="24"/>
          <w:szCs w:val="24"/>
          <w14:textFill>
            <w14:solidFill>
              <w14:schemeClr w14:val="tx1"/>
            </w14:solidFill>
          </w14:textFill>
        </w:rPr>
        <w:t>被保险人获悉可能发生诉讼、仲裁时，应立即以书面形式通知保险人；接到法院传票或者其他法律文书后，应将其副本及时送交保险人。</w:t>
      </w:r>
      <w:r>
        <w:rPr>
          <w:rFonts w:hint="eastAsia" w:ascii="宋体" w:hAnsi="宋体" w:eastAsia="宋体" w:cs="宋体"/>
          <w:b/>
          <w:color w:val="000000" w:themeColor="text1"/>
          <w:sz w:val="24"/>
          <w:szCs w:val="24"/>
          <w14:textFill>
            <w14:solidFill>
              <w14:schemeClr w14:val="tx1"/>
            </w14:solidFill>
          </w14:textFill>
        </w:rPr>
        <w:t>保险人有权以被保险人名义或法律规定的第三人名义参加有关诉讼或者仲裁事宜，被保险人应提供有关文件并给予必要协助。</w:t>
      </w:r>
    </w:p>
    <w:p w14:paraId="74723106">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对因未及时提供上述通知或者必要协助导致扩大的损失，保险人不承担赔偿责任。</w:t>
      </w:r>
    </w:p>
    <w:p w14:paraId="003E08E5">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第二十三条  </w:t>
      </w:r>
      <w:r>
        <w:rPr>
          <w:rFonts w:hint="eastAsia" w:ascii="宋体" w:hAnsi="宋体" w:eastAsia="宋体" w:cs="宋体"/>
          <w:color w:val="000000" w:themeColor="text1"/>
          <w:sz w:val="24"/>
          <w:szCs w:val="24"/>
          <w14:textFill>
            <w14:solidFill>
              <w14:schemeClr w14:val="tx1"/>
            </w14:solidFill>
          </w14:textFill>
        </w:rPr>
        <w:t>被保险人请求赔偿时，应向保险人提供下列证明和材料：</w:t>
      </w:r>
    </w:p>
    <w:p w14:paraId="2A9E6A6A">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（一）保险单正本、被保险人或其代表填具的索赔申请书；</w:t>
      </w:r>
    </w:p>
    <w:p w14:paraId="3D5E0E9F">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（二）患者或者其近亲属或者其代理人向被保险人提出索赔的相关证明和资料；</w:t>
      </w:r>
    </w:p>
    <w:p w14:paraId="5D527303">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（三）有关医务人员的资格和执业证明、被保险人与有关医务人员的工作关系证明；</w:t>
      </w:r>
    </w:p>
    <w:p w14:paraId="67B24C9D">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（四）患者完整的病例资料：患者伤残的，应当提供司法鉴定机构依法出具的伤残鉴定报告；患者死亡的，应当提供公安机关或者医疗机构出具的死亡证明书等有关证明和资料；</w:t>
      </w:r>
    </w:p>
    <w:p w14:paraId="1407A651">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（五）事故情况说明、赔偿项目清单；涉及医疗费用的，应提供医疗费用票据等资料；</w:t>
      </w:r>
    </w:p>
    <w:p w14:paraId="069D173A">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（六）已经国家批准或认可的司法鉴定机构、医疗事故技术鉴定机构进行过鉴定的，应提供司法鉴定意见书、医疗事故技术鉴定书；</w:t>
      </w:r>
    </w:p>
    <w:p w14:paraId="13ABE3D4">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被保险人与患方自行和解的，提供和解协议书；经调解委员会调解的，提供人民调解协议书；经法院判决或者法院调解的，提供法院判决书或者法院调解书；经仲裁裁决或者调解的，提供仲裁裁决书或者仲裁调解书；</w:t>
      </w:r>
    </w:p>
    <w:p w14:paraId="4581DDE2">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（八）投保人、被保险人所能提供的与确认保险事故的性质、原因、损失程度等有关的其他证明和资料。</w:t>
      </w:r>
    </w:p>
    <w:p w14:paraId="4CCCBA4C">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被保险人未履行前款约定的索赔材料提供义务，导致保险人无法核实损失情况的，保险人对无法核实部分不承担赔偿责任。</w:t>
      </w:r>
    </w:p>
    <w:p w14:paraId="3541AE4E">
      <w:pPr>
        <w:adjustRightInd w:val="0"/>
        <w:snapToGrid w:val="0"/>
        <w:spacing w:after="156" w:afterLines="50"/>
        <w:ind w:firstLine="200"/>
        <w:rPr>
          <w:rFonts w:hint="eastAsia" w:ascii="宋体" w:hAnsi="宋体" w:eastAsia="宋体" w:cs="宋体"/>
          <w:b/>
          <w:bCs/>
          <w:color w:val="000000" w:themeColor="text1"/>
          <w:sz w:val="24"/>
          <w:szCs w:val="24"/>
          <w14:textFill>
            <w14:solidFill>
              <w14:schemeClr w14:val="tx1"/>
            </w14:solidFill>
          </w14:textFill>
        </w:rPr>
      </w:pPr>
    </w:p>
    <w:p w14:paraId="123D7DA4">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赔偿处理</w:t>
      </w:r>
    </w:p>
    <w:p w14:paraId="46A30F71">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第二十四条  </w:t>
      </w:r>
      <w:r>
        <w:rPr>
          <w:rFonts w:hint="eastAsia" w:ascii="宋体" w:hAnsi="宋体" w:eastAsia="宋体" w:cs="宋体"/>
          <w:color w:val="000000" w:themeColor="text1"/>
          <w:sz w:val="24"/>
          <w:szCs w:val="24"/>
          <w14:textFill>
            <w14:solidFill>
              <w14:schemeClr w14:val="tx1"/>
            </w14:solidFill>
          </w14:textFill>
        </w:rPr>
        <w:t>本保险合同采用期内索赔制。</w:t>
      </w:r>
    </w:p>
    <w:p w14:paraId="79A70EC8">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期内索赔制是指保险责任的承担以索赔发生为基础：凡在保险单中列明的保险期间或追溯期内，被保险人在从事与其资格相符的诊疗活动中造成患者损害，患者或其近亲属或者其代理人在保险期间内首次向被保险人提出损害赔偿请求的时间在保险期间内的，对于被保险人因此依法承担的责任，保险人根据本保险合同的约定负责赔偿。即</w:t>
      </w:r>
      <w:r>
        <w:rPr>
          <w:rFonts w:hint="eastAsia" w:ascii="宋体" w:hAnsi="宋体" w:eastAsia="宋体" w:cs="宋体"/>
          <w:b/>
          <w:color w:val="000000" w:themeColor="text1"/>
          <w:sz w:val="24"/>
          <w:szCs w:val="24"/>
          <w14:textFill>
            <w14:solidFill>
              <w14:schemeClr w14:val="tx1"/>
            </w14:solidFill>
          </w14:textFill>
        </w:rPr>
        <w:t>保险人承担保险责任的前提条件是必须同时满足：</w:t>
      </w:r>
    </w:p>
    <w:p w14:paraId="386371C5">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患者接受诊疗活动导致人身损害的时间必须在保险期间或追溯期内；且</w:t>
      </w:r>
    </w:p>
    <w:p w14:paraId="2474B047">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患者或者其近亲属或者其代理人因上述人身损害首次向被保险人提出损害赔偿请求的时间必须在保险期间内。</w:t>
      </w:r>
      <w:r>
        <w:rPr>
          <w:rFonts w:hint="eastAsia" w:ascii="宋体" w:hAnsi="宋体" w:eastAsia="宋体" w:cs="宋体"/>
          <w:b/>
          <w:bCs/>
          <w:color w:val="000000" w:themeColor="text1"/>
          <w:sz w:val="24"/>
          <w:szCs w:val="24"/>
          <w14:textFill>
            <w14:solidFill>
              <w14:schemeClr w14:val="tx1"/>
            </w14:solidFill>
          </w14:textFill>
        </w:rPr>
        <w:t>本保险合同生效之日前患者或者其近亲属或者其代理人已经对同一事由提出过索赔请求（无论之前已提出的索赔请求是否采用书面形式或再次提出索赔请求的索赔金额或事故原因等情况是否与已提出的索赔请求一致）的，保险人不负责赔偿。</w:t>
      </w:r>
    </w:p>
    <w:p w14:paraId="0021AB0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第二十五条  </w:t>
      </w:r>
      <w:r>
        <w:rPr>
          <w:rFonts w:hint="eastAsia" w:ascii="宋体" w:hAnsi="宋体" w:eastAsia="宋体" w:cs="宋体"/>
          <w:color w:val="000000" w:themeColor="text1"/>
          <w:sz w:val="24"/>
          <w:szCs w:val="24"/>
          <w14:textFill>
            <w14:solidFill>
              <w14:schemeClr w14:val="tx1"/>
            </w14:solidFill>
          </w14:textFill>
        </w:rPr>
        <w:t>发生保险责任范围内的损失，保险人按以下方式计算赔偿：</w:t>
      </w:r>
    </w:p>
    <w:p w14:paraId="12790425">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（一）发生本保险条款第三条的保险事故，</w:t>
      </w:r>
      <w:r>
        <w:rPr>
          <w:rFonts w:hint="eastAsia" w:ascii="宋体" w:hAnsi="宋体" w:eastAsia="宋体" w:cs="宋体"/>
          <w:b/>
          <w:color w:val="000000" w:themeColor="text1"/>
          <w:sz w:val="24"/>
          <w:szCs w:val="24"/>
          <w14:textFill>
            <w14:solidFill>
              <w14:schemeClr w14:val="tx1"/>
            </w14:solidFill>
          </w14:textFill>
        </w:rPr>
        <w:t>保险人在每次事故赔偿限额内计算赔偿；</w:t>
      </w:r>
    </w:p>
    <w:p w14:paraId="3BB7CB9D">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（二）在保险期间内，</w:t>
      </w:r>
      <w:r>
        <w:rPr>
          <w:rFonts w:hint="eastAsia" w:ascii="宋体" w:hAnsi="宋体" w:eastAsia="宋体" w:cs="宋体"/>
          <w:b/>
          <w:color w:val="000000" w:themeColor="text1"/>
          <w:sz w:val="24"/>
          <w:szCs w:val="24"/>
          <w14:textFill>
            <w14:solidFill>
              <w14:schemeClr w14:val="tx1"/>
            </w14:solidFill>
          </w14:textFill>
        </w:rPr>
        <w:t>保险人对多次事故损失的累计赔偿金额不超过累计赔偿限额。</w:t>
      </w:r>
    </w:p>
    <w:p w14:paraId="425AA54F">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（三）发生保险条款第四条的赔偿情形，对于应由被保险人支付的仲裁或诉讼费用以及经保险人同意支付的其他法律费用，保险人在每次事故赔偿限额以外另行计算，</w:t>
      </w:r>
      <w:r>
        <w:rPr>
          <w:rFonts w:hint="eastAsia" w:ascii="宋体" w:hAnsi="宋体" w:eastAsia="宋体" w:cs="宋体"/>
          <w:b/>
          <w:color w:val="000000" w:themeColor="text1"/>
          <w:sz w:val="24"/>
          <w:szCs w:val="24"/>
          <w14:textFill>
            <w14:solidFill>
              <w14:schemeClr w14:val="tx1"/>
            </w14:solidFill>
          </w14:textFill>
        </w:rPr>
        <w:t>但赔偿限额不超过保险合同约定的法律费用每次事故赔偿限额及法律费用累计赔偿限额。</w:t>
      </w:r>
    </w:p>
    <w:p w14:paraId="27DA73C8">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在任何情况下，保险人实际赔偿金额都不应超过本保险合同中所约定的各项赔偿限额</w:t>
      </w:r>
      <w:r>
        <w:rPr>
          <w:rFonts w:hint="eastAsia" w:ascii="宋体" w:hAnsi="宋体" w:eastAsia="宋体" w:cs="宋体"/>
          <w:color w:val="000000" w:themeColor="text1"/>
          <w:sz w:val="24"/>
          <w:szCs w:val="24"/>
          <w14:textFill>
            <w14:solidFill>
              <w14:schemeClr w14:val="tx1"/>
            </w14:solidFill>
          </w14:textFill>
        </w:rPr>
        <w:t>。</w:t>
      </w:r>
    </w:p>
    <w:p w14:paraId="58D6D236">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第二十六条  </w:t>
      </w:r>
      <w:r>
        <w:rPr>
          <w:rFonts w:hint="eastAsia" w:ascii="宋体" w:hAnsi="宋体" w:eastAsia="宋体" w:cs="宋体"/>
          <w:color w:val="000000" w:themeColor="text1"/>
          <w:sz w:val="24"/>
          <w:szCs w:val="24"/>
          <w14:textFill>
            <w14:solidFill>
              <w14:schemeClr w14:val="tx1"/>
            </w14:solidFill>
          </w14:textFill>
        </w:rPr>
        <w:t>本保险条款第三条所指经济赔偿责任参照《中国人民共和国民法典》、《最高人民法院关于审理人身损害赔偿案件适用法律若干问题的解释》规定计算，具体赔偿项目包括：</w:t>
      </w:r>
    </w:p>
    <w:p w14:paraId="502D019E">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（一）患者因就医治疗支出的各项费用以及因误工减少的收入，包括医疗费、误工费、护理费、交通费、住宿费、住院伙食补助费、必要的营养费；</w:t>
      </w:r>
    </w:p>
    <w:p w14:paraId="70401952">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患者因伤致残的，其因增加生活上需要所支出的必要费用以及因丧失劳动能力导致的收入损失，包括残疾赔偿金、残疾辅助器具费、被扶养人生活费，以及因康复护理、继续治疗实际发生的必要的康复费、护理费、后续治疗费；</w:t>
      </w:r>
      <w:r>
        <w:rPr>
          <w:rFonts w:hint="eastAsia" w:ascii="宋体" w:hAnsi="宋体" w:eastAsia="宋体" w:cs="宋体"/>
          <w:color w:val="000000" w:themeColor="text1"/>
          <w:sz w:val="24"/>
          <w:szCs w:val="24"/>
          <w:shd w:val="clear" w:color="050000" w:fill="auto"/>
          <w14:textFill>
            <w14:solidFill>
              <w14:schemeClr w14:val="tx1"/>
            </w14:solidFill>
          </w14:textFill>
        </w:rPr>
        <w:t>残疾等级按照</w:t>
      </w:r>
      <w:r>
        <w:rPr>
          <w:rFonts w:hint="eastAsia" w:ascii="宋体" w:hAnsi="宋体" w:eastAsia="宋体" w:cs="宋体"/>
          <w:color w:val="000000" w:themeColor="text1"/>
          <w:sz w:val="24"/>
          <w:szCs w:val="24"/>
          <w14:textFill>
            <w14:solidFill>
              <w14:schemeClr w14:val="tx1"/>
            </w14:solidFill>
          </w14:textFill>
        </w:rPr>
        <w:t>《人体损伤致残程度分级》</w:t>
      </w:r>
      <w:r>
        <w:rPr>
          <w:rFonts w:hint="eastAsia" w:ascii="宋体" w:hAnsi="宋体" w:eastAsia="宋体" w:cs="宋体"/>
          <w:color w:val="000000" w:themeColor="text1"/>
          <w:kern w:val="0"/>
          <w:sz w:val="24"/>
          <w:szCs w:val="24"/>
          <w14:textFill>
            <w14:solidFill>
              <w14:schemeClr w14:val="tx1"/>
            </w14:solidFill>
          </w14:textFill>
        </w:rPr>
        <w:t>（最高人民法院、最高人民检察院、公安部、国家安全部、司法部2016年4月18日发布，司法部实施通知文号为司发通〔2016〕48号）</w:t>
      </w:r>
      <w:r>
        <w:rPr>
          <w:rFonts w:hint="eastAsia" w:ascii="宋体" w:hAnsi="宋体" w:eastAsia="宋体" w:cs="宋体"/>
          <w:color w:val="000000" w:themeColor="text1"/>
          <w:sz w:val="24"/>
          <w:szCs w:val="24"/>
          <w14:textFill>
            <w14:solidFill>
              <w14:schemeClr w14:val="tx1"/>
            </w14:solidFill>
          </w14:textFill>
        </w:rPr>
        <w:t>确定，如有国家有关部门发布的新标准替代或修改前述《人体损伤致残程度分级》的，按新标准执行；</w:t>
      </w:r>
    </w:p>
    <w:p w14:paraId="1277982F">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患者死亡的，除应当根据抢救治疗情况赔偿本条第（一）项规定的相关费用外，还应当赔偿丧葬费、被扶养人生活费、死亡赔偿金以及患者亲属办理丧葬事宜支出的交通费、住宿费和误工损失等其他合理费用；</w:t>
      </w:r>
    </w:p>
    <w:p w14:paraId="4B08ED6C">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（四）患者或其近亲属遭受精神损害，经仲裁机构或法院判决、或经调解委员会酌情评鉴所需支付的精神损害抚慰金。</w:t>
      </w:r>
    </w:p>
    <w:p w14:paraId="5FFAFCC0">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第二十七条  </w:t>
      </w:r>
      <w:r>
        <w:rPr>
          <w:rFonts w:hint="eastAsia" w:ascii="宋体" w:hAnsi="宋体" w:eastAsia="宋体" w:cs="宋体"/>
          <w:bCs/>
          <w:color w:val="000000" w:themeColor="text1"/>
          <w:sz w:val="24"/>
          <w:szCs w:val="24"/>
          <w14:textFill>
            <w14:solidFill>
              <w14:schemeClr w14:val="tx1"/>
            </w14:solidFill>
          </w14:textFill>
        </w:rPr>
        <w:t>被保险人给患者造成损害，被保险人对患者应负的赔偿责任经和解、调解、诉讼或仲裁等程序已经确定的，根据被保险人的请求，保险人应当直接向患者赔偿保险金。被保险人怠于请求的，患者有权就其应获赔偿部分直接向保险人请求赔偿保险金。</w:t>
      </w:r>
    </w:p>
    <w:p w14:paraId="1EE689FA">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被保险人未向患者赔偿的，保险人不得向被保险人赔偿保险金。</w:t>
      </w:r>
    </w:p>
    <w:p w14:paraId="153D217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第二十八条  投保人、被保险人应当投保全部医务人员，发生保险事故时，投保医务人员数不足实际医务人员数的，则保险人按照投保医务人员数与实际医务人员数的比例赔偿。</w:t>
      </w:r>
    </w:p>
    <w:p w14:paraId="0F7CC1F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第二十九条  </w:t>
      </w:r>
      <w:r>
        <w:rPr>
          <w:rFonts w:hint="eastAsia" w:ascii="宋体" w:hAnsi="宋体" w:eastAsia="宋体" w:cs="宋体"/>
          <w:color w:val="000000" w:themeColor="text1"/>
          <w:sz w:val="24"/>
          <w:szCs w:val="24"/>
          <w14:textFill>
            <w14:solidFill>
              <w14:schemeClr w14:val="tx1"/>
            </w14:solidFill>
          </w14:textFill>
        </w:rPr>
        <w:t>发生保险事故时，如果被保险人就其损失在有相同保障的其他保险项下也能够获得赔偿，</w:t>
      </w:r>
      <w:r>
        <w:rPr>
          <w:rFonts w:hint="eastAsia" w:ascii="宋体" w:hAnsi="宋体" w:eastAsia="宋体" w:cs="宋体"/>
          <w:b/>
          <w:color w:val="000000" w:themeColor="text1"/>
          <w:sz w:val="24"/>
          <w:szCs w:val="24"/>
          <w14:textFill>
            <w14:solidFill>
              <w14:schemeClr w14:val="tx1"/>
            </w14:solidFill>
          </w14:textFill>
        </w:rPr>
        <w:t>则本保险人按照本保险合同的相应赔偿限额与其他保险合同及本保险合同的相应赔偿限额总和的比例承担赔偿责任。</w:t>
      </w:r>
    </w:p>
    <w:p w14:paraId="5C219465">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第三十条  </w:t>
      </w:r>
      <w:r>
        <w:rPr>
          <w:rFonts w:hint="eastAsia" w:ascii="宋体" w:hAnsi="宋体" w:eastAsia="宋体" w:cs="宋体"/>
          <w:color w:val="000000" w:themeColor="text1"/>
          <w:sz w:val="24"/>
          <w:szCs w:val="24"/>
          <w14:textFill>
            <w14:solidFill>
              <w14:schemeClr w14:val="tx1"/>
            </w14:solidFill>
          </w14:textFill>
        </w:rPr>
        <w:t>因药品、消毒产品、医疗器械的缺陷，或者输入不合格的血液造成患者损害，应由药品上市许可持有人、生产者或者销售者、血液提供机构等有关责任方负责赔偿的，保险人自向被保险人赔偿保险金之日起，在赔偿金额范围内代位行使被保险人对以上有关责任方请求赔偿的权利，被保险人应当向保险人提供必要的文件和所知道的有关情况。</w:t>
      </w:r>
    </w:p>
    <w:p w14:paraId="7B129120">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被保险人已经从有关责任方取得赔偿的，保险人赔偿保险金时，可以相应扣减被保险人已从有关责任方取得的赔偿金额。</w:t>
      </w:r>
    </w:p>
    <w:p w14:paraId="53FCECC1">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保险事故发生后，在保险人未赔偿保险金之前，被保险人放弃对有关责任方请求赔偿权利的，保险人不承担赔偿责任；</w:t>
      </w:r>
      <w:r>
        <w:rPr>
          <w:rFonts w:hint="eastAsia" w:ascii="宋体" w:hAnsi="宋体" w:eastAsia="宋体" w:cs="宋体"/>
          <w:b/>
          <w:color w:val="000000" w:themeColor="text1"/>
          <w:sz w:val="24"/>
          <w:szCs w:val="24"/>
          <w14:textFill>
            <w14:solidFill>
              <w14:schemeClr w14:val="tx1"/>
            </w14:solidFill>
          </w14:textFill>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379D728F">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第三十一条  </w:t>
      </w:r>
      <w:r>
        <w:rPr>
          <w:rFonts w:hint="eastAsia" w:ascii="宋体" w:hAnsi="宋体" w:eastAsia="宋体" w:cs="宋体"/>
          <w:b/>
          <w:color w:val="000000" w:themeColor="text1"/>
          <w:sz w:val="24"/>
          <w:szCs w:val="24"/>
          <w14:textFill>
            <w14:solidFill>
              <w14:schemeClr w14:val="tx1"/>
            </w14:solidFill>
          </w14:textFill>
        </w:rPr>
        <w:t>在调解委员会主持下医患双方达成人民调解协议，或医患双方达成自行和解协议，保险人依此人民调解协议或自行和解协议及其他相关文件做出理赔决定并支付赔款后，不再接受医、患双方纠纷当事人就该案已处理医疗损害事实的其他赔付责任，除非经司法诉讼或仲裁程序确定，但保险人就该案的保险赔付总额仍以本保险合同约定的最高赔偿限额为限。</w:t>
      </w:r>
    </w:p>
    <w:p w14:paraId="60671636">
      <w:pPr>
        <w:adjustRightInd w:val="0"/>
        <w:snapToGrid w:val="0"/>
        <w:spacing w:after="156" w:afterLines="50"/>
        <w:jc w:val="center"/>
        <w:rPr>
          <w:rFonts w:hint="eastAsia" w:ascii="宋体" w:hAnsi="宋体" w:eastAsia="宋体" w:cs="宋体"/>
          <w:b/>
          <w:bCs/>
          <w:color w:val="000000" w:themeColor="text1"/>
          <w:sz w:val="24"/>
          <w:szCs w:val="24"/>
          <w14:textFill>
            <w14:solidFill>
              <w14:schemeClr w14:val="tx1"/>
            </w14:solidFill>
          </w14:textFill>
        </w:rPr>
      </w:pPr>
    </w:p>
    <w:p w14:paraId="11ACAFE7">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争议处理和法律适用</w:t>
      </w:r>
    </w:p>
    <w:p w14:paraId="7D7BEC64">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第三十二条  </w:t>
      </w:r>
      <w:r>
        <w:rPr>
          <w:rFonts w:hint="eastAsia" w:ascii="宋体" w:hAnsi="宋体" w:eastAsia="宋体" w:cs="宋体"/>
          <w:color w:val="000000" w:themeColor="text1"/>
          <w:sz w:val="24"/>
          <w:szCs w:val="24"/>
          <w14:textFill>
            <w14:solidFill>
              <w14:schemeClr w14:val="tx1"/>
            </w14:solidFill>
          </w14:textFill>
        </w:rPr>
        <w:t>因履行本保险合同发生的争议，由当事人调解、协商解决。协商不成的，提交本保险合同约定的仲裁机构仲裁；本保险合同中未载明仲裁机构且争议发生后未达成仲裁协议的，当事人可依法向中华人民共和国境内（港澳台地区除外）人民法院起诉。</w:t>
      </w:r>
    </w:p>
    <w:p w14:paraId="455D9D88">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第三十三条</w:t>
      </w:r>
      <w:r>
        <w:rPr>
          <w:rFonts w:hint="eastAsia" w:ascii="宋体" w:hAnsi="宋体" w:eastAsia="宋体" w:cs="宋体"/>
          <w:color w:val="000000" w:themeColor="text1"/>
          <w:sz w:val="24"/>
          <w:szCs w:val="24"/>
          <w14:textFill>
            <w14:solidFill>
              <w14:schemeClr w14:val="tx1"/>
            </w14:solidFill>
          </w14:textFill>
        </w:rPr>
        <w:t xml:space="preserve">  本保险合同的争议处理适用中华人民共和国法律（不包括香港、澳门、及台湾地区法律）。</w:t>
      </w:r>
    </w:p>
    <w:p w14:paraId="4065FA28">
      <w:pPr>
        <w:adjustRightInd w:val="0"/>
        <w:snapToGrid w:val="0"/>
        <w:spacing w:after="156" w:afterLines="50"/>
        <w:jc w:val="center"/>
        <w:rPr>
          <w:rFonts w:hint="eastAsia" w:ascii="宋体" w:hAnsi="宋体" w:eastAsia="宋体" w:cs="宋体"/>
          <w:b/>
          <w:bCs/>
          <w:color w:val="000000" w:themeColor="text1"/>
          <w:sz w:val="24"/>
          <w:szCs w:val="24"/>
          <w14:textFill>
            <w14:solidFill>
              <w14:schemeClr w14:val="tx1"/>
            </w14:solidFill>
          </w14:textFill>
        </w:rPr>
      </w:pPr>
    </w:p>
    <w:p w14:paraId="75321015">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其他事项</w:t>
      </w:r>
    </w:p>
    <w:p w14:paraId="3CCD8189">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第三十四条</w:t>
      </w:r>
      <w:r>
        <w:rPr>
          <w:rFonts w:hint="eastAsia" w:ascii="宋体" w:hAnsi="宋体" w:eastAsia="宋体" w:cs="宋体"/>
          <w:color w:val="000000" w:themeColor="text1"/>
          <w:sz w:val="24"/>
          <w:szCs w:val="24"/>
          <w14:textFill>
            <w14:solidFill>
              <w14:schemeClr w14:val="tx1"/>
            </w14:solidFill>
          </w14:textFill>
        </w:rPr>
        <w:t xml:space="preserve">  除法律另有规定或者本保险合同另有约定外，保险合同成立后，保险人不得解除合同。</w:t>
      </w:r>
    </w:p>
    <w:p w14:paraId="1AC2A802">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第三十五条</w:t>
      </w:r>
      <w:r>
        <w:rPr>
          <w:rFonts w:hint="eastAsia" w:ascii="宋体" w:hAnsi="宋体" w:eastAsia="宋体" w:cs="宋体"/>
          <w:color w:val="000000" w:themeColor="text1"/>
          <w:sz w:val="24"/>
          <w:szCs w:val="24"/>
          <w14:textFill>
            <w14:solidFill>
              <w14:schemeClr w14:val="tx1"/>
            </w14:solidFill>
          </w14:textFill>
        </w:rPr>
        <w:t xml:space="preserve">  本保险合同成立后，投保人可随时书面通知保险人解除本保险合同。保险责任开始前，投保人要求解除本保险合同的，应当向保险人支付相当于</w:t>
      </w:r>
      <w:r>
        <w:rPr>
          <w:rFonts w:hint="eastAsia" w:ascii="宋体" w:hAnsi="宋体" w:eastAsia="宋体" w:cs="宋体"/>
          <w:b/>
          <w:color w:val="000000" w:themeColor="text1"/>
          <w:sz w:val="24"/>
          <w:szCs w:val="24"/>
          <w14:textFill>
            <w14:solidFill>
              <w14:schemeClr w14:val="tx1"/>
            </w14:solidFill>
          </w14:textFill>
        </w:rPr>
        <w:t>保险费的2%的费用作为退保手续费</w:t>
      </w:r>
      <w:r>
        <w:rPr>
          <w:rFonts w:hint="eastAsia" w:ascii="宋体" w:hAnsi="宋体" w:eastAsia="宋体" w:cs="宋体"/>
          <w:color w:val="000000" w:themeColor="text1"/>
          <w:sz w:val="24"/>
          <w:szCs w:val="24"/>
          <w14:textFill>
            <w14:solidFill>
              <w14:schemeClr w14:val="tx1"/>
            </w14:solidFill>
          </w14:textFill>
        </w:rPr>
        <w:t>，保险人应当退还剩余保险费；当符合本保险合同</w:t>
      </w:r>
      <w:r>
        <w:rPr>
          <w:rFonts w:hint="eastAsia" w:ascii="宋体" w:hAnsi="宋体" w:eastAsia="宋体" w:cs="宋体"/>
          <w:b/>
          <w:bCs/>
          <w:color w:val="000000" w:themeColor="text1"/>
          <w:sz w:val="24"/>
          <w:szCs w:val="24"/>
          <w14:textFill>
            <w14:solidFill>
              <w14:schemeClr w14:val="tx1"/>
            </w14:solidFill>
          </w14:textFill>
        </w:rPr>
        <w:t>第十六、十八条</w:t>
      </w:r>
      <w:r>
        <w:rPr>
          <w:rFonts w:hint="eastAsia" w:ascii="宋体" w:hAnsi="宋体" w:eastAsia="宋体" w:cs="宋体"/>
          <w:color w:val="000000" w:themeColor="text1"/>
          <w:sz w:val="24"/>
          <w:szCs w:val="24"/>
          <w14:textFill>
            <w14:solidFill>
              <w14:schemeClr w14:val="tx1"/>
            </w14:solidFill>
          </w14:textFill>
        </w:rPr>
        <w:t>约定的情形时，保险人要求解除保险合同的，不得向投保人收取手续费并应退还已收取的保险费。</w:t>
      </w:r>
    </w:p>
    <w:p w14:paraId="21CD42AE">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保险责任开始后，投保人要求解除合同的，自通知保险人之日起，本保险合同解除，保险人将已收取的保险费，扣除按照自保险责任开始之日起至合同解除之日止期间与保险期间的</w:t>
      </w:r>
      <w:r>
        <w:rPr>
          <w:rFonts w:hint="eastAsia" w:ascii="宋体" w:hAnsi="宋体" w:eastAsia="宋体" w:cs="宋体"/>
          <w:b/>
          <w:color w:val="000000" w:themeColor="text1"/>
          <w:sz w:val="24"/>
          <w:szCs w:val="24"/>
          <w14:textFill>
            <w14:solidFill>
              <w14:schemeClr w14:val="tx1"/>
            </w14:solidFill>
          </w14:textFill>
        </w:rPr>
        <w:t>日比例计收</w:t>
      </w:r>
      <w:r>
        <w:rPr>
          <w:rFonts w:hint="eastAsia" w:ascii="宋体" w:hAnsi="宋体" w:eastAsia="宋体" w:cs="宋体"/>
          <w:color w:val="000000" w:themeColor="text1"/>
          <w:sz w:val="24"/>
          <w:szCs w:val="24"/>
          <w14:textFill>
            <w14:solidFill>
              <w14:schemeClr w14:val="tx1"/>
            </w14:solidFill>
          </w14:textFill>
        </w:rPr>
        <w:t>的保险费后，退还剩余部分的保险费；当符合本保险合同</w:t>
      </w:r>
      <w:r>
        <w:rPr>
          <w:rFonts w:hint="eastAsia" w:ascii="宋体" w:hAnsi="宋体" w:eastAsia="宋体" w:cs="宋体"/>
          <w:b/>
          <w:bCs/>
          <w:color w:val="000000" w:themeColor="text1"/>
          <w:sz w:val="24"/>
          <w:szCs w:val="24"/>
          <w14:textFill>
            <w14:solidFill>
              <w14:schemeClr w14:val="tx1"/>
            </w14:solidFill>
          </w14:textFill>
        </w:rPr>
        <w:t>第十六、十八条</w:t>
      </w:r>
      <w:r>
        <w:rPr>
          <w:rFonts w:hint="eastAsia" w:ascii="宋体" w:hAnsi="宋体" w:eastAsia="宋体" w:cs="宋体"/>
          <w:color w:val="000000" w:themeColor="text1"/>
          <w:sz w:val="24"/>
          <w:szCs w:val="24"/>
          <w14:textFill>
            <w14:solidFill>
              <w14:schemeClr w14:val="tx1"/>
            </w14:solidFill>
          </w14:textFill>
        </w:rPr>
        <w:t>约定的情形时，</w:t>
      </w:r>
      <w:r>
        <w:rPr>
          <w:rFonts w:hint="eastAsia" w:ascii="宋体" w:hAnsi="宋体" w:eastAsia="宋体" w:cs="宋体"/>
          <w:b/>
          <w:color w:val="000000" w:themeColor="text1"/>
          <w:sz w:val="24"/>
          <w:szCs w:val="24"/>
          <w14:textFill>
            <w14:solidFill>
              <w14:schemeClr w14:val="tx1"/>
            </w14:solidFill>
          </w14:textFill>
        </w:rPr>
        <w:t>保险人也可提前15日向投保人发出解约通知书解除本保险合同，</w:t>
      </w:r>
      <w:r>
        <w:rPr>
          <w:rFonts w:hint="eastAsia" w:ascii="宋体" w:hAnsi="宋体" w:eastAsia="宋体" w:cs="宋体"/>
          <w:color w:val="000000" w:themeColor="text1"/>
          <w:sz w:val="24"/>
          <w:szCs w:val="24"/>
          <w14:textFill>
            <w14:solidFill>
              <w14:schemeClr w14:val="tx1"/>
            </w14:solidFill>
          </w14:textFill>
        </w:rPr>
        <w:t>并按保险责任开始之日起至保险合同解除之日止期间与保险期间的</w:t>
      </w:r>
      <w:r>
        <w:rPr>
          <w:rFonts w:hint="eastAsia" w:ascii="宋体" w:hAnsi="宋体" w:eastAsia="宋体" w:cs="宋体"/>
          <w:b/>
          <w:color w:val="000000" w:themeColor="text1"/>
          <w:sz w:val="24"/>
          <w:szCs w:val="24"/>
          <w14:textFill>
            <w14:solidFill>
              <w14:schemeClr w14:val="tx1"/>
            </w14:solidFill>
          </w14:textFill>
        </w:rPr>
        <w:t>日比例计收</w:t>
      </w:r>
      <w:r>
        <w:rPr>
          <w:rFonts w:hint="eastAsia" w:ascii="宋体" w:hAnsi="宋体" w:eastAsia="宋体" w:cs="宋体"/>
          <w:color w:val="000000" w:themeColor="text1"/>
          <w:sz w:val="24"/>
          <w:szCs w:val="24"/>
          <w14:textFill>
            <w14:solidFill>
              <w14:schemeClr w14:val="tx1"/>
            </w14:solidFill>
          </w14:textFill>
        </w:rPr>
        <w:t>保险费后，退还剩余部分的保险费。</w:t>
      </w:r>
    </w:p>
    <w:p w14:paraId="4A410D36">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p>
    <w:p w14:paraId="7300BB27">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释义</w:t>
      </w:r>
    </w:p>
    <w:p w14:paraId="0767F6A6">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除非另有约定，本保险合同中有关名词的定义如下：</w:t>
      </w:r>
    </w:p>
    <w:p w14:paraId="334DC654">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1、医务人员：</w:t>
      </w:r>
      <w:r>
        <w:rPr>
          <w:rFonts w:hint="eastAsia" w:ascii="宋体" w:hAnsi="宋体" w:eastAsia="宋体" w:cs="宋体"/>
          <w:color w:val="000000" w:themeColor="text1"/>
          <w:sz w:val="24"/>
          <w:szCs w:val="24"/>
          <w14:textFill>
            <w14:solidFill>
              <w14:schemeClr w14:val="tx1"/>
            </w14:solidFill>
          </w14:textFill>
        </w:rPr>
        <w:t>是指在被保险医疗机构执业的经过国家有关部门考核、批准或承认，取得相应资格的各级各类卫生技术人员。在本保险合同中，卫生技术人员也包括医疗管理人员、外聘医务人员、进修生、外请会诊医务人员、符合多点执业条件的医务人员；在被保险医疗机构进行城乡医院对口支援、支援基层，与被保险医疗机构签订医疗机构帮扶或托管协议、来自同一医疗集团或同一医疗联合体在被保险医疗机构多点执业的医务人员；在被保险医疗机构参加慈善或公益性巡回医疗、义诊、突发事件或灾害事故医疗救援工作，参与实施基本和重大公共卫生服务项目的医务人员。</w:t>
      </w:r>
    </w:p>
    <w:p w14:paraId="112EC939">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2、医疗事故：</w:t>
      </w:r>
      <w:r>
        <w:rPr>
          <w:rFonts w:hint="eastAsia" w:ascii="宋体" w:hAnsi="宋体" w:eastAsia="宋体" w:cs="宋体"/>
          <w:color w:val="000000" w:themeColor="text1"/>
          <w:sz w:val="24"/>
          <w:szCs w:val="24"/>
          <w14:textFill>
            <w14:solidFill>
              <w14:schemeClr w14:val="tx1"/>
            </w14:solidFill>
          </w14:textFill>
        </w:rPr>
        <w:t>指医疗机构及其医务人员在医疗活动中，违反医疗卫生管理法律、行政法规、部门规章和诊疗护理规范、常规，过失造成患者人身损害的事故。</w:t>
      </w:r>
    </w:p>
    <w:p w14:paraId="76B403A8">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3、医疗损害：</w:t>
      </w:r>
      <w:r>
        <w:rPr>
          <w:rFonts w:hint="eastAsia" w:ascii="宋体" w:hAnsi="宋体" w:eastAsia="宋体" w:cs="宋体"/>
          <w:color w:val="000000" w:themeColor="text1"/>
          <w:sz w:val="24"/>
          <w:szCs w:val="24"/>
          <w14:textFill>
            <w14:solidFill>
              <w14:schemeClr w14:val="tx1"/>
            </w14:solidFill>
          </w14:textFill>
        </w:rPr>
        <w:t>医疗机构及其医务人员在诊疗活动中因执业过失造成的患者人身损害。</w:t>
      </w:r>
    </w:p>
    <w:p w14:paraId="5EF07C7C">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4、诊疗活动：</w:t>
      </w:r>
      <w:r>
        <w:rPr>
          <w:rFonts w:hint="eastAsia" w:ascii="宋体" w:hAnsi="宋体" w:eastAsia="宋体" w:cs="宋体"/>
          <w:color w:val="000000" w:themeColor="text1"/>
          <w:sz w:val="24"/>
          <w:szCs w:val="24"/>
          <w14:textFill>
            <w14:solidFill>
              <w14:schemeClr w14:val="tx1"/>
            </w14:solidFill>
          </w14:textFill>
        </w:rPr>
        <w:t>指通过各种检查，使用药物、器械及手术等方法，对疾病做出判断和消除疾病、缓解病情、减轻痛苦、改善功能、延长生命、帮助患者恢复健康的活动。包括为实现前述目的所必须的医疗美容，</w:t>
      </w:r>
      <w:r>
        <w:rPr>
          <w:rFonts w:hint="eastAsia" w:ascii="宋体" w:hAnsi="宋体" w:eastAsia="宋体" w:cs="宋体"/>
          <w:b/>
          <w:color w:val="000000" w:themeColor="text1"/>
          <w:sz w:val="24"/>
          <w:szCs w:val="24"/>
          <w14:textFill>
            <w14:solidFill>
              <w14:schemeClr w14:val="tx1"/>
            </w14:solidFill>
          </w14:textFill>
        </w:rPr>
        <w:t>不包括单纯以改善容貌为目的的医疗美容</w:t>
      </w:r>
      <w:r>
        <w:rPr>
          <w:rFonts w:hint="eastAsia" w:ascii="宋体" w:hAnsi="宋体" w:eastAsia="宋体" w:cs="宋体"/>
          <w:color w:val="000000" w:themeColor="text1"/>
          <w:sz w:val="24"/>
          <w:szCs w:val="24"/>
          <w14:textFill>
            <w14:solidFill>
              <w14:schemeClr w14:val="tx1"/>
            </w14:solidFill>
          </w14:textFill>
        </w:rPr>
        <w:t>。</w:t>
      </w:r>
    </w:p>
    <w:p w14:paraId="74FCF05F">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保险合同中“诊疗活动”包含“护理工作”，护理工作主要是指医疗机构的医务人员的下述行为：密切观察患者的生命体征和病情变化；正确实施治疗、给药及护理措施，并观察、了解患者的反应；根据患者病情和生活自理能力提供照顾和帮助；提供护理相关的健康指导。</w:t>
      </w:r>
    </w:p>
    <w:p w14:paraId="786A25C2">
      <w:pPr>
        <w:keepNext w:val="0"/>
        <w:keepLines w:val="0"/>
        <w:pageBreakBefore w:val="0"/>
        <w:widowControl w:val="0"/>
        <w:kinsoku/>
        <w:wordWrap/>
        <w:overflowPunct/>
        <w:topLinePunct w:val="0"/>
        <w:autoSpaceDE/>
        <w:autoSpaceDN/>
        <w:bidi w:val="0"/>
        <w:adjustRightInd w:val="0"/>
        <w:snapToGrid w:val="0"/>
        <w:spacing w:after="156" w:afterLines="50"/>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保险合同中诊疗活动同时包括健康体检诊疗活动以及被保险人提供健康教育、预防接种、儿童健康管理、孕产妇健康管理、老年人健康管理、慢性病（高血压、糖尿病）患者健康管理、严重精神障碍患者管理、结核患者健康管理、中医药健康管理等基本公共卫生服务活动，其中健康体检是指通过医学手段和方法对受检者进行身体检查，了解受检者健康状况、早期发现疾病线索和健康隐患的诊疗行为。</w:t>
      </w:r>
    </w:p>
    <w:p w14:paraId="50A78F5D">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5、保险事故：</w:t>
      </w:r>
      <w:r>
        <w:rPr>
          <w:rFonts w:hint="eastAsia" w:ascii="宋体" w:hAnsi="宋体" w:eastAsia="宋体" w:cs="宋体"/>
          <w:color w:val="000000" w:themeColor="text1"/>
          <w:sz w:val="24"/>
          <w:szCs w:val="24"/>
          <w14:textFill>
            <w14:solidFill>
              <w14:schemeClr w14:val="tx1"/>
            </w14:solidFill>
          </w14:textFill>
        </w:rPr>
        <w:t>指保险合同约定的保险责任范围内的事故。</w:t>
      </w:r>
    </w:p>
    <w:p w14:paraId="47D5F617">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6、追溯期：</w:t>
      </w:r>
      <w:r>
        <w:rPr>
          <w:rFonts w:hint="eastAsia" w:ascii="宋体" w:hAnsi="宋体" w:eastAsia="宋体" w:cs="宋体"/>
          <w:color w:val="000000" w:themeColor="text1"/>
          <w:sz w:val="24"/>
          <w:szCs w:val="24"/>
          <w14:textFill>
            <w14:solidFill>
              <w14:schemeClr w14:val="tx1"/>
            </w14:solidFill>
          </w14:textFill>
        </w:rPr>
        <w:t>指保险合同当事人在保险合同中约定的从保险期间起始日向前追溯的一段时间,保险人对该段时间内发生且患者或者其近亲属或者其代理人在保险期间内首次向被保险人提出赔偿请求的保险事故按照本保险合同约定承担赔偿责任。</w:t>
      </w:r>
    </w:p>
    <w:p w14:paraId="61657FD3">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7、重要事项：</w:t>
      </w:r>
      <w:r>
        <w:rPr>
          <w:rFonts w:hint="eastAsia" w:ascii="宋体" w:hAnsi="宋体" w:eastAsia="宋体" w:cs="宋体"/>
          <w:color w:val="000000" w:themeColor="text1"/>
          <w:sz w:val="24"/>
          <w:szCs w:val="24"/>
          <w14:textFill>
            <w14:solidFill>
              <w14:schemeClr w14:val="tx1"/>
            </w14:solidFill>
          </w14:textFill>
        </w:rPr>
        <w:t>直接关系保险双方当事人利益或足以影响保险人确定保险费率的各种因素。如被保险人的名称、所有制和经营性质、执业范围变更、医疗机构类型等。</w:t>
      </w:r>
    </w:p>
    <w:p w14:paraId="4807B005">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8、从事：</w:t>
      </w:r>
      <w:r>
        <w:rPr>
          <w:rFonts w:hint="eastAsia" w:ascii="宋体" w:hAnsi="宋体" w:eastAsia="宋体" w:cs="宋体"/>
          <w:color w:val="000000" w:themeColor="text1"/>
          <w:sz w:val="24"/>
          <w:szCs w:val="24"/>
          <w14:textFill>
            <w14:solidFill>
              <w14:schemeClr w14:val="tx1"/>
            </w14:solidFill>
          </w14:textFill>
        </w:rPr>
        <w:t>投身到某项事业中去，是指一种固定的职业行为。</w:t>
      </w:r>
    </w:p>
    <w:p w14:paraId="2A1B15C0">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9、每次事故赔偿限额：</w:t>
      </w:r>
      <w:r>
        <w:rPr>
          <w:rFonts w:hint="eastAsia" w:ascii="宋体" w:hAnsi="宋体" w:eastAsia="宋体" w:cs="宋体"/>
          <w:color w:val="000000" w:themeColor="text1"/>
          <w:sz w:val="24"/>
          <w:szCs w:val="24"/>
          <w14:textFill>
            <w14:solidFill>
              <w14:schemeClr w14:val="tx1"/>
            </w14:solidFill>
          </w14:textFill>
        </w:rPr>
        <w:t>即保险人所承担的每次保险责任事故或同一原因引起的一系列保险责任事故的赔偿限额。</w:t>
      </w:r>
    </w:p>
    <w:p w14:paraId="3D5667E3">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10、累计赔偿限额：</w:t>
      </w:r>
      <w:r>
        <w:rPr>
          <w:rFonts w:hint="eastAsia" w:ascii="宋体" w:hAnsi="宋体" w:eastAsia="宋体" w:cs="宋体"/>
          <w:color w:val="000000" w:themeColor="text1"/>
          <w:sz w:val="24"/>
          <w:szCs w:val="24"/>
          <w14:textFill>
            <w14:solidFill>
              <w14:schemeClr w14:val="tx1"/>
            </w14:solidFill>
          </w14:textFill>
        </w:rPr>
        <w:t>即在本保险合同约定的保险期间内保险人所承担的被保险人关于保险责任的最高赔偿限额。</w:t>
      </w:r>
    </w:p>
    <w:p w14:paraId="064F1C79">
      <w:pPr>
        <w:keepNext w:val="0"/>
        <w:keepLines w:val="0"/>
        <w:pageBreakBefore w:val="0"/>
        <w:widowControl w:val="0"/>
        <w:kinsoku/>
        <w:wordWrap/>
        <w:overflowPunct/>
        <w:topLinePunct w:val="0"/>
        <w:autoSpaceDE/>
        <w:autoSpaceDN/>
        <w:bidi w:val="0"/>
        <w:adjustRightInd w:val="0"/>
        <w:snapToGrid w:val="0"/>
        <w:spacing w:after="156" w:afterLines="50"/>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11、与当时的医疗水平相应的诊疗义务：</w:t>
      </w:r>
      <w:r>
        <w:rPr>
          <w:rFonts w:hint="eastAsia" w:ascii="宋体" w:hAnsi="宋体" w:eastAsia="宋体" w:cs="宋体"/>
          <w:color w:val="000000" w:themeColor="text1"/>
          <w:sz w:val="24"/>
          <w:szCs w:val="24"/>
          <w14:textFill>
            <w14:solidFill>
              <w14:schemeClr w14:val="tx1"/>
            </w14:solidFill>
          </w14:textFill>
        </w:rPr>
        <w:t>即当时当地同一等级医疗机构的医疗水平相应的诊疗义务。常规情况下是否尽到与当时医疗水平相应的诊疗义务按照是否执行诊疗护理规范进行判断。非常规情况须采取必要诊疗措施的，须由两名以上医疗专家根据实际情况作出专业判断，一致认定此种措施确属必须，否则按常规情况予以判断。如法律法规有释义的依照法律法规的规定。</w:t>
      </w:r>
    </w:p>
    <w:p w14:paraId="252DD058">
      <w:bookmarkStart w:id="70" w:name="_Toc16446"/>
      <w:r>
        <w:br w:type="page"/>
      </w:r>
    </w:p>
    <w:p w14:paraId="181C57C0">
      <w:pPr>
        <w:pStyle w:val="2"/>
        <w:jc w:val="center"/>
      </w:pPr>
      <w:r>
        <w:t>第六章 响应文件格式与要求</w:t>
      </w:r>
      <w:bookmarkEnd w:id="70"/>
    </w:p>
    <w:p w14:paraId="79F39679">
      <w:pPr>
        <w:jc w:val="center"/>
      </w:pPr>
      <w:r>
        <w:rPr>
          <w:b/>
          <w:sz w:val="48"/>
        </w:rPr>
        <w:t>响应文件封面</w:t>
      </w:r>
    </w:p>
    <w:p w14:paraId="5F9BA440"/>
    <w:p w14:paraId="0F8CFE42">
      <w:pPr>
        <w:jc w:val="center"/>
      </w:pPr>
      <w:r>
        <w:rPr>
          <w:b/>
          <w:sz w:val="48"/>
        </w:rPr>
        <w:t>（项目名称）</w:t>
      </w:r>
    </w:p>
    <w:p w14:paraId="4EAE8463">
      <w:pPr>
        <w:jc w:val="center"/>
      </w:pPr>
      <w:r>
        <w:rPr>
          <w:b/>
          <w:sz w:val="48"/>
        </w:rPr>
        <w:t>响应文件封面</w:t>
      </w:r>
    </w:p>
    <w:p w14:paraId="5E755CF7">
      <w:pPr>
        <w:jc w:val="center"/>
      </w:pPr>
      <w:r>
        <w:rPr>
          <w:b/>
          <w:sz w:val="24"/>
        </w:rPr>
        <w:t>（正本/副本）</w:t>
      </w:r>
    </w:p>
    <w:p w14:paraId="39A95C01"/>
    <w:p w14:paraId="411FDA43">
      <w:pPr>
        <w:jc w:val="center"/>
        <w:rPr>
          <w:rFonts w:hint="eastAsia" w:eastAsiaTheme="minorEastAsia"/>
          <w:lang w:eastAsia="zh-CN"/>
        </w:rPr>
      </w:pPr>
      <w:r>
        <w:rPr>
          <w:b/>
          <w:sz w:val="24"/>
        </w:rPr>
        <w:t>采购项目编号：</w:t>
      </w:r>
      <w:r>
        <w:rPr>
          <w:rFonts w:hint="eastAsia"/>
          <w:b/>
          <w:sz w:val="24"/>
          <w:lang w:eastAsia="zh-CN"/>
        </w:rPr>
        <w:t>ZZ0250571</w:t>
      </w:r>
    </w:p>
    <w:p w14:paraId="447AF9E8">
      <w:pPr>
        <w:jc w:val="center"/>
      </w:pPr>
      <w:r>
        <w:rPr>
          <w:b/>
          <w:sz w:val="24"/>
        </w:rPr>
        <w:t>所响应采购包：第 包</w:t>
      </w:r>
    </w:p>
    <w:p w14:paraId="77DB5B21"/>
    <w:p w14:paraId="2F78EDC5">
      <w:pPr>
        <w:jc w:val="center"/>
      </w:pPr>
      <w:r>
        <w:rPr>
          <w:b/>
          <w:sz w:val="24"/>
        </w:rPr>
        <w:t>（供应商名称）</w:t>
      </w:r>
    </w:p>
    <w:p w14:paraId="03268F17">
      <w:pPr>
        <w:jc w:val="center"/>
      </w:pPr>
      <w:r>
        <w:rPr>
          <w:b/>
          <w:sz w:val="24"/>
        </w:rPr>
        <w:t>年 月 日</w:t>
      </w:r>
    </w:p>
    <w:p w14:paraId="7FD824FB">
      <w:pPr>
        <w:ind w:firstLine="480"/>
      </w:pPr>
    </w:p>
    <w:p w14:paraId="11925634">
      <w:r>
        <w:t xml:space="preserve"> </w:t>
      </w:r>
    </w:p>
    <w:p w14:paraId="43AD7469"/>
    <w:p w14:paraId="2C9F35D1">
      <w:pPr>
        <w:widowControl/>
        <w:jc w:val="left"/>
        <w:rPr>
          <w:b/>
          <w:sz w:val="24"/>
        </w:rPr>
      </w:pPr>
      <w:r>
        <w:rPr>
          <w:b/>
          <w:sz w:val="24"/>
        </w:rPr>
        <w:br w:type="page"/>
      </w:r>
    </w:p>
    <w:p w14:paraId="647E8E77">
      <w:pPr>
        <w:jc w:val="center"/>
      </w:pPr>
      <w:r>
        <w:rPr>
          <w:b/>
          <w:sz w:val="24"/>
        </w:rPr>
        <w:t>响应文件目录</w:t>
      </w:r>
    </w:p>
    <w:p w14:paraId="021EBA7C">
      <w:pPr>
        <w:ind w:firstLine="480"/>
      </w:pPr>
      <w:r>
        <w:t>一、响应承诺函</w:t>
      </w:r>
    </w:p>
    <w:p w14:paraId="754E2D06">
      <w:pPr>
        <w:ind w:firstLine="480"/>
      </w:pPr>
      <w:r>
        <w:t>二、首轮报价表</w:t>
      </w:r>
    </w:p>
    <w:p w14:paraId="3FB1F782">
      <w:pPr>
        <w:ind w:firstLine="480"/>
      </w:pPr>
      <w:r>
        <w:t>三、分项报价表</w:t>
      </w:r>
    </w:p>
    <w:p w14:paraId="5E32DE2B">
      <w:pPr>
        <w:ind w:firstLine="480"/>
      </w:pPr>
      <w:r>
        <w:t>四、政策适用性说明</w:t>
      </w:r>
    </w:p>
    <w:p w14:paraId="7BE8F8C3">
      <w:pPr>
        <w:ind w:firstLine="480"/>
      </w:pPr>
      <w:r>
        <w:t>五、法定代表人证明书</w:t>
      </w:r>
    </w:p>
    <w:p w14:paraId="08BB99F1">
      <w:pPr>
        <w:ind w:firstLine="480"/>
      </w:pPr>
      <w:r>
        <w:t>六、法定代表人授权书</w:t>
      </w:r>
    </w:p>
    <w:p w14:paraId="41E0617A">
      <w:pPr>
        <w:ind w:firstLine="480"/>
      </w:pPr>
      <w:r>
        <w:t>七、响应保证金</w:t>
      </w:r>
    </w:p>
    <w:p w14:paraId="1AFD757C">
      <w:pPr>
        <w:ind w:firstLine="480"/>
      </w:pPr>
      <w:r>
        <w:t>八、提供具有独立承担民事责任的能力的证明材料</w:t>
      </w:r>
    </w:p>
    <w:p w14:paraId="4EE42714">
      <w:pPr>
        <w:ind w:firstLine="480"/>
      </w:pPr>
      <w:r>
        <w:t>九、资格性审查要求的其他资质证明文件</w:t>
      </w:r>
    </w:p>
    <w:p w14:paraId="16C3AA67">
      <w:pPr>
        <w:ind w:firstLine="480"/>
      </w:pPr>
      <w:r>
        <w:t>十、承诺函</w:t>
      </w:r>
    </w:p>
    <w:p w14:paraId="78DB532C">
      <w:pPr>
        <w:ind w:firstLine="480"/>
      </w:pPr>
      <w:r>
        <w:t>十一、中小企业声明函</w:t>
      </w:r>
    </w:p>
    <w:p w14:paraId="3BB29891">
      <w:pPr>
        <w:ind w:firstLine="480"/>
      </w:pPr>
      <w:r>
        <w:t>十二、监狱企业</w:t>
      </w:r>
    </w:p>
    <w:p w14:paraId="4FB430D9">
      <w:pPr>
        <w:ind w:firstLine="480"/>
      </w:pPr>
      <w:r>
        <w:t>十三、残疾人福利性单位声明函</w:t>
      </w:r>
    </w:p>
    <w:p w14:paraId="55078CEE">
      <w:pPr>
        <w:ind w:firstLine="480"/>
      </w:pPr>
      <w:r>
        <w:t>十四、联合体共同响应协议书</w:t>
      </w:r>
    </w:p>
    <w:p w14:paraId="3D8AC834">
      <w:pPr>
        <w:ind w:firstLine="480"/>
      </w:pPr>
      <w:r>
        <w:t>十五、供应商业绩情况表</w:t>
      </w:r>
    </w:p>
    <w:p w14:paraId="0770F2CC">
      <w:pPr>
        <w:ind w:firstLine="480"/>
      </w:pPr>
      <w:r>
        <w:t>十六、技术和服务要求响应表</w:t>
      </w:r>
    </w:p>
    <w:p w14:paraId="64FB4156">
      <w:pPr>
        <w:ind w:firstLine="480"/>
      </w:pPr>
      <w:r>
        <w:t>十七、商务条件响应表</w:t>
      </w:r>
    </w:p>
    <w:p w14:paraId="63A7BB3D">
      <w:pPr>
        <w:ind w:firstLine="480"/>
      </w:pPr>
      <w:r>
        <w:t>十八、履约进度计划表</w:t>
      </w:r>
    </w:p>
    <w:p w14:paraId="7A6ECBB0">
      <w:pPr>
        <w:ind w:firstLine="480"/>
      </w:pPr>
      <w:r>
        <w:t>十九、各类证明材料</w:t>
      </w:r>
    </w:p>
    <w:p w14:paraId="38190368">
      <w:pPr>
        <w:ind w:firstLine="480"/>
      </w:pPr>
      <w:r>
        <w:t>二十、采购代理服务费支付承诺书</w:t>
      </w:r>
    </w:p>
    <w:p w14:paraId="3D4F02C9">
      <w:pPr>
        <w:ind w:firstLine="480"/>
      </w:pPr>
      <w:r>
        <w:t>二十一、需要采购人提供的附加条件</w:t>
      </w:r>
    </w:p>
    <w:p w14:paraId="43FF5834">
      <w:pPr>
        <w:ind w:firstLine="480"/>
      </w:pPr>
      <w:r>
        <w:t>二十二、询问函、质疑函、投诉书格式</w:t>
      </w:r>
    </w:p>
    <w:p w14:paraId="324E095B">
      <w:pPr>
        <w:ind w:firstLine="480"/>
      </w:pPr>
      <w:r>
        <w:t>二十三、项目实施方案、质量保证及售后服务承诺等</w:t>
      </w:r>
    </w:p>
    <w:p w14:paraId="7725A049">
      <w:pPr>
        <w:ind w:firstLine="480"/>
      </w:pPr>
      <w:r>
        <w:t>二十四、附件</w:t>
      </w:r>
    </w:p>
    <w:p w14:paraId="266929FB">
      <w:pPr>
        <w:widowControl/>
        <w:jc w:val="left"/>
        <w:rPr>
          <w:b/>
          <w:sz w:val="28"/>
        </w:rPr>
      </w:pPr>
      <w:r>
        <w:rPr>
          <w:b/>
          <w:sz w:val="28"/>
        </w:rPr>
        <w:br w:type="page"/>
      </w:r>
    </w:p>
    <w:p w14:paraId="0C5ABC7D">
      <w:r>
        <w:rPr>
          <w:rFonts w:hint="eastAsia"/>
          <w:b/>
          <w:sz w:val="28"/>
        </w:rPr>
        <w:t>前置</w:t>
      </w:r>
      <w:r>
        <w:rPr>
          <w:b/>
          <w:sz w:val="28"/>
        </w:rPr>
        <w:t>格式</w:t>
      </w:r>
      <w:r>
        <w:rPr>
          <w:rFonts w:hint="eastAsia"/>
          <w:b/>
          <w:sz w:val="28"/>
        </w:rPr>
        <w:t>（适用于纸质文件）</w:t>
      </w:r>
      <w:r>
        <w:rPr>
          <w:b/>
          <w:sz w:val="28"/>
        </w:rPr>
        <w:t>：</w:t>
      </w:r>
    </w:p>
    <w:p w14:paraId="013D3145">
      <w:pPr>
        <w:jc w:val="center"/>
        <w:rPr>
          <w:rFonts w:hint="eastAsia" w:ascii="宋体" w:hAnsi="宋体" w:eastAsia="宋体" w:cs="Times New Roman"/>
          <w:sz w:val="24"/>
          <w:szCs w:val="22"/>
        </w:rPr>
      </w:pPr>
      <w:r>
        <w:rPr>
          <w:rFonts w:hint="eastAsia" w:ascii="宋体" w:hAnsi="宋体" w:eastAsia="宋体" w:cs="Times New Roman"/>
          <w:sz w:val="24"/>
          <w:szCs w:val="22"/>
        </w:rPr>
        <w:t>自查表</w:t>
      </w:r>
    </w:p>
    <w:p w14:paraId="66F35734">
      <w:pPr>
        <w:jc w:val="left"/>
        <w:rPr>
          <w:rFonts w:hint="eastAsia" w:ascii="宋体" w:hAnsi="宋体" w:eastAsia="宋体" w:cs="Times New Roman"/>
          <w:sz w:val="24"/>
          <w:szCs w:val="22"/>
        </w:rPr>
      </w:pPr>
      <w:r>
        <w:rPr>
          <w:rFonts w:hint="eastAsia" w:ascii="宋体" w:hAnsi="宋体" w:eastAsia="宋体" w:cs="Times New Roman"/>
          <w:sz w:val="24"/>
          <w:szCs w:val="22"/>
        </w:rPr>
        <w:t>一、资格审查自查表</w:t>
      </w:r>
    </w:p>
    <w:p w14:paraId="1DF15F4B">
      <w:pPr>
        <w:jc w:val="left"/>
        <w:rPr>
          <w:rFonts w:hint="eastAsia" w:ascii="宋体" w:hAnsi="宋体" w:eastAsia="宋体" w:cs="Times New Roman"/>
          <w:sz w:val="24"/>
          <w:szCs w:val="22"/>
        </w:rPr>
      </w:pPr>
      <w:r>
        <w:rPr>
          <w:rFonts w:hint="eastAsia" w:ascii="宋体" w:hAnsi="宋体" w:eastAsia="宋体" w:cs="Times New Roman"/>
          <w:sz w:val="24"/>
          <w:szCs w:val="22"/>
        </w:rPr>
        <w:t>采购包</w:t>
      </w:r>
      <w:r>
        <w:rPr>
          <w:rFonts w:ascii="宋体" w:hAnsi="宋体" w:eastAsia="宋体" w:cs="Times New Roman"/>
          <w:sz w:val="24"/>
          <w:szCs w:val="22"/>
        </w:rPr>
        <w:t>1</w:t>
      </w:r>
      <w:r>
        <w:rPr>
          <w:rFonts w:hint="eastAsia" w:ascii="宋体" w:hAnsi="宋体" w:eastAsia="宋体" w:cs="Times New Roman"/>
          <w:sz w:val="24"/>
          <w:szCs w:val="22"/>
        </w:rPr>
        <w:t>：</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745"/>
        <w:gridCol w:w="4596"/>
        <w:gridCol w:w="1532"/>
        <w:gridCol w:w="1457"/>
      </w:tblGrid>
      <w:tr w14:paraId="141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55FA9AFA">
            <w:r>
              <w:t>序号</w:t>
            </w:r>
          </w:p>
        </w:tc>
        <w:tc>
          <w:tcPr>
            <w:tcW w:w="3183" w:type="pct"/>
            <w:gridSpan w:val="2"/>
          </w:tcPr>
          <w:p w14:paraId="2AA86F06">
            <w:r>
              <w:t>资格审查内容</w:t>
            </w:r>
          </w:p>
        </w:tc>
        <w:tc>
          <w:tcPr>
            <w:tcW w:w="769" w:type="pct"/>
          </w:tcPr>
          <w:p w14:paraId="33E0DAB1">
            <w:r>
              <w:rPr>
                <w:rFonts w:hint="eastAsia"/>
              </w:rPr>
              <w:t>自查结论</w:t>
            </w:r>
          </w:p>
        </w:tc>
        <w:tc>
          <w:tcPr>
            <w:tcW w:w="731" w:type="pct"/>
          </w:tcPr>
          <w:p w14:paraId="7A8B1DA3">
            <w:r>
              <w:rPr>
                <w:rFonts w:hint="eastAsia"/>
              </w:rPr>
              <w:t>证明文件</w:t>
            </w:r>
          </w:p>
        </w:tc>
      </w:tr>
      <w:tr w14:paraId="7EC4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7B3B6224">
            <w:r>
              <w:t>1</w:t>
            </w:r>
          </w:p>
        </w:tc>
        <w:tc>
          <w:tcPr>
            <w:tcW w:w="876" w:type="pct"/>
          </w:tcPr>
          <w:p w14:paraId="542C1589">
            <w:r>
              <w:t>具有独立承担民事责任的能力</w:t>
            </w:r>
          </w:p>
        </w:tc>
        <w:tc>
          <w:tcPr>
            <w:tcW w:w="2307" w:type="pct"/>
          </w:tcPr>
          <w:p w14:paraId="5F52E673">
            <w:r>
              <w:t>在中华人民共和国境内注册的具有独立承担民事责任能力的法人或其他组织（提供营业执照等证明文件）</w:t>
            </w:r>
          </w:p>
        </w:tc>
        <w:tc>
          <w:tcPr>
            <w:tcW w:w="769" w:type="pct"/>
            <w:vAlign w:val="center"/>
          </w:tcPr>
          <w:p w14:paraId="652510B8">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463331A3">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3030FED9">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5A31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62B0DCC7">
            <w:r>
              <w:t>2</w:t>
            </w:r>
          </w:p>
        </w:tc>
        <w:tc>
          <w:tcPr>
            <w:tcW w:w="876" w:type="pct"/>
          </w:tcPr>
          <w:p w14:paraId="4DF558F5">
            <w:r>
              <w:t>有依法缴纳税收和社会保障资金的良好记录</w:t>
            </w:r>
          </w:p>
        </w:tc>
        <w:tc>
          <w:tcPr>
            <w:tcW w:w="2307" w:type="pct"/>
          </w:tcPr>
          <w:p w14:paraId="4AE8FD1B">
            <w:r>
              <w:rPr>
                <w:rFonts w:hint="eastAsia"/>
              </w:rPr>
              <w:t>按磋商文件《政府采购供应商资格信用承诺函》提供；或者，提供响应截止时间前六个月内任意一个月的依法缴纳税收证明材料及依法缴纳社会保险凭据（如依法免税或不需要缴纳社保，则须提供相应文件证明）；</w:t>
            </w:r>
          </w:p>
        </w:tc>
        <w:tc>
          <w:tcPr>
            <w:tcW w:w="769" w:type="pct"/>
            <w:vAlign w:val="center"/>
          </w:tcPr>
          <w:p w14:paraId="161A0011">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5D36DD9C">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0860019D">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1D7B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770AA166">
            <w:r>
              <w:t>3</w:t>
            </w:r>
          </w:p>
        </w:tc>
        <w:tc>
          <w:tcPr>
            <w:tcW w:w="876" w:type="pct"/>
          </w:tcPr>
          <w:p w14:paraId="07157240">
            <w:r>
              <w:t>具有良好的商业信誉和健全的财务会计制度</w:t>
            </w:r>
          </w:p>
        </w:tc>
        <w:tc>
          <w:tcPr>
            <w:tcW w:w="2307" w:type="pct"/>
          </w:tcPr>
          <w:p w14:paraId="44F187CA">
            <w:r>
              <w:rPr>
                <w:rFonts w:hint="eastAsia"/>
              </w:rPr>
              <w:t>按磋商文件《政府采购供应商资格信用承诺函》提供；或者，提供2022年至2023年度内任意一年的年度财务报表(新成立不足一年的单位提供成立至今的月或季度财务报表复印件)或银行出具的资信证明；</w:t>
            </w:r>
          </w:p>
        </w:tc>
        <w:tc>
          <w:tcPr>
            <w:tcW w:w="769" w:type="pct"/>
            <w:vAlign w:val="center"/>
          </w:tcPr>
          <w:p w14:paraId="7659B84B">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6DB203EB">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63822D4B">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020D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1F2BC18D">
            <w:r>
              <w:t>4</w:t>
            </w:r>
          </w:p>
        </w:tc>
        <w:tc>
          <w:tcPr>
            <w:tcW w:w="876" w:type="pct"/>
          </w:tcPr>
          <w:p w14:paraId="3BFEDAA3">
            <w:r>
              <w:t>履行合同所必需的设备和专业技术能力</w:t>
            </w:r>
          </w:p>
        </w:tc>
        <w:tc>
          <w:tcPr>
            <w:tcW w:w="2307" w:type="pct"/>
          </w:tcPr>
          <w:p w14:paraId="01B5733D">
            <w:r>
              <w:t>按</w:t>
            </w:r>
            <w:r>
              <w:rPr>
                <w:rFonts w:hint="eastAsia"/>
              </w:rPr>
              <w:t>磋商</w:t>
            </w:r>
            <w:r>
              <w:t>文件《政府采购供应商资格信用承诺函》提供；</w:t>
            </w:r>
            <w:r>
              <w:rPr>
                <w:rFonts w:hint="eastAsia"/>
                <w:lang w:val="en-US" w:eastAsia="zh-CN"/>
              </w:rPr>
              <w:t>或者，</w:t>
            </w:r>
            <w:r>
              <w:rPr>
                <w:rFonts w:hint="eastAsia"/>
              </w:rPr>
              <w:t>按投标（响应）文件格式填报设备及专业技术能力情况。</w:t>
            </w:r>
          </w:p>
        </w:tc>
        <w:tc>
          <w:tcPr>
            <w:tcW w:w="769" w:type="pct"/>
            <w:vAlign w:val="center"/>
          </w:tcPr>
          <w:p w14:paraId="330028D6">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35818A2E">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5C4D967C">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1A63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0AC0A52E">
            <w:r>
              <w:t>5</w:t>
            </w:r>
          </w:p>
        </w:tc>
        <w:tc>
          <w:tcPr>
            <w:tcW w:w="876" w:type="pct"/>
          </w:tcPr>
          <w:p w14:paraId="65783013">
            <w:r>
              <w:t>参加采购活动前3年内，在经营活动中没有重大违法记录</w:t>
            </w:r>
          </w:p>
        </w:tc>
        <w:tc>
          <w:tcPr>
            <w:tcW w:w="2307" w:type="pct"/>
          </w:tcPr>
          <w:p w14:paraId="37693629">
            <w:r>
              <w:rPr>
                <w:rFonts w:hint="eastAsia"/>
              </w:rPr>
              <w:t>按磋商文件《政府采购供应商资格信用承诺函》提供。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769" w:type="pct"/>
            <w:vAlign w:val="center"/>
          </w:tcPr>
          <w:p w14:paraId="1EE9CB58">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580FF344">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5F9642AD">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355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2ED178F0">
            <w:r>
              <w:t>6</w:t>
            </w:r>
          </w:p>
        </w:tc>
        <w:tc>
          <w:tcPr>
            <w:tcW w:w="876" w:type="pct"/>
          </w:tcPr>
          <w:p w14:paraId="15A1DE72">
            <w:r>
              <w:rPr>
                <w:rFonts w:hint="eastAsia"/>
              </w:rPr>
              <w:t>有关</w:t>
            </w:r>
            <w:r>
              <w:t>专门面向中小企业</w:t>
            </w:r>
            <w:r>
              <w:rPr>
                <w:rFonts w:hint="eastAsia"/>
              </w:rPr>
              <w:t>采购</w:t>
            </w:r>
          </w:p>
        </w:tc>
        <w:tc>
          <w:tcPr>
            <w:tcW w:w="2307" w:type="pct"/>
          </w:tcPr>
          <w:p w14:paraId="0A0F4DD4">
            <w:pPr>
              <w:rPr>
                <w:rFonts w:ascii="Calibri" w:hAnsi="Calibri" w:eastAsia="宋体" w:cs="Times New Roman"/>
              </w:rPr>
            </w:pPr>
            <w:r>
              <w:rPr>
                <w:rFonts w:ascii="Calibri" w:hAnsi="Calibri" w:eastAsia="宋体" w:cs="Times New Roman"/>
              </w:rPr>
              <w:t>本项目不属于专门面向中小企业采购的项目。对于小微企业、监狱企业、残疾人福利性单位等参与本项目所享受的优惠政策，详见本项目采购文件。本项目</w:t>
            </w:r>
            <w:r>
              <w:rPr>
                <w:rFonts w:hint="eastAsia" w:ascii="Calibri" w:hAnsi="Calibri" w:eastAsia="宋体" w:cs="Times New Roman"/>
              </w:rPr>
              <w:t>采购标的对应的中小企业划分标准所属行业</w:t>
            </w:r>
            <w:r>
              <w:rPr>
                <w:rFonts w:ascii="Calibri" w:hAnsi="Calibri" w:eastAsia="宋体" w:cs="Times New Roman"/>
              </w:rPr>
              <w:t>为金融业</w:t>
            </w:r>
            <w:r>
              <w:rPr>
                <w:rFonts w:hint="eastAsia" w:ascii="Calibri" w:hAnsi="Calibri" w:eastAsia="宋体" w:cs="Times New Roman"/>
              </w:rPr>
              <w:t>，划分标准</w:t>
            </w:r>
            <w:r>
              <w:rPr>
                <w:rFonts w:ascii="Calibri" w:hAnsi="Calibri" w:eastAsia="宋体" w:cs="Times New Roman"/>
              </w:rPr>
              <w:t>详见《金融业企业划型标准规定》（银发〔2015〕309号）</w:t>
            </w:r>
            <w:r>
              <w:rPr>
                <w:rFonts w:hint="eastAsia" w:ascii="Calibri" w:hAnsi="Calibri" w:eastAsia="宋体" w:cs="Times New Roman"/>
              </w:rPr>
              <w:t>的</w:t>
            </w:r>
            <w:r>
              <w:rPr>
                <w:rFonts w:ascii="Calibri" w:hAnsi="Calibri" w:eastAsia="宋体" w:cs="Times New Roman"/>
              </w:rPr>
              <w:t>保险业金融机构类别。</w:t>
            </w:r>
          </w:p>
        </w:tc>
        <w:tc>
          <w:tcPr>
            <w:tcW w:w="769" w:type="pct"/>
            <w:vAlign w:val="center"/>
          </w:tcPr>
          <w:p w14:paraId="3ABCBEF2">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4404DE36">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0728B20B">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25F2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6D21EBEF">
            <w:r>
              <w:t>7</w:t>
            </w:r>
          </w:p>
        </w:tc>
        <w:tc>
          <w:tcPr>
            <w:tcW w:w="876" w:type="pct"/>
          </w:tcPr>
          <w:p w14:paraId="7A8BB152">
            <w:r>
              <w:t>信用记录</w:t>
            </w:r>
          </w:p>
        </w:tc>
        <w:tc>
          <w:tcPr>
            <w:tcW w:w="2307" w:type="pct"/>
          </w:tcPr>
          <w:p w14:paraId="22595225">
            <w:r>
              <w:t>没有被列入失信被执行人、</w:t>
            </w:r>
            <w:r>
              <w:rPr>
                <w:rFonts w:hint="eastAsia"/>
              </w:rPr>
              <w:t>重大税收违法失信主体</w:t>
            </w:r>
            <w:r>
              <w:t>、政府采购严重违法失信行为记录名单及其他不符合规定条件的供应商。[以采购代理机构于投标（响应） 截止时间当天在“信用中国”网站（www.creditchina.gov.cn）、中国政府采购网（www.ccgp.gov.cn）及广东省政府采购网“</w:t>
            </w:r>
            <w:r>
              <w:rPr>
                <w:rFonts w:hint="eastAsia"/>
              </w:rPr>
              <w:t>政府采购严重违法失信行为记录名单</w:t>
            </w:r>
            <w:r>
              <w:t>” 查询结果为准，如相关失信记录已失效，供应商需提供相关证明资料]。</w:t>
            </w:r>
          </w:p>
        </w:tc>
        <w:tc>
          <w:tcPr>
            <w:tcW w:w="769" w:type="pct"/>
            <w:vAlign w:val="center"/>
          </w:tcPr>
          <w:p w14:paraId="271403E8">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7D2EFF92">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1926DFCF">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7EA4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6F41B54A">
            <w:r>
              <w:t>8</w:t>
            </w:r>
          </w:p>
        </w:tc>
        <w:tc>
          <w:tcPr>
            <w:tcW w:w="876" w:type="pct"/>
          </w:tcPr>
          <w:p w14:paraId="67DDA1BA">
            <w:r>
              <w:t>供应商必须符合法律、行政法规规定的其他条件</w:t>
            </w:r>
          </w:p>
        </w:tc>
        <w:tc>
          <w:tcPr>
            <w:tcW w:w="2307" w:type="pct"/>
          </w:tcPr>
          <w:p w14:paraId="45423CDC">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书面声明)</w:t>
            </w:r>
          </w:p>
        </w:tc>
        <w:tc>
          <w:tcPr>
            <w:tcW w:w="769" w:type="pct"/>
            <w:vAlign w:val="center"/>
          </w:tcPr>
          <w:p w14:paraId="724938D8">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614F88AF">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0B08BD7F">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61AC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2A7CB9A1">
            <w:r>
              <w:t>9</w:t>
            </w:r>
          </w:p>
        </w:tc>
        <w:tc>
          <w:tcPr>
            <w:tcW w:w="876" w:type="pct"/>
          </w:tcPr>
          <w:p w14:paraId="6F7F6E9B">
            <w:r>
              <w:rPr>
                <w:rFonts w:hint="eastAsia"/>
              </w:rPr>
              <w:t>登记获取本次采购文件</w:t>
            </w:r>
          </w:p>
        </w:tc>
        <w:tc>
          <w:tcPr>
            <w:tcW w:w="2307" w:type="pct"/>
          </w:tcPr>
          <w:p w14:paraId="6AD26D4F">
            <w:r>
              <w:rPr>
                <w:rFonts w:hint="eastAsia"/>
              </w:rPr>
              <w:t>已登记获取本次采购文件。(具体方式详见本项目公告)。</w:t>
            </w:r>
          </w:p>
        </w:tc>
        <w:tc>
          <w:tcPr>
            <w:tcW w:w="769" w:type="pct"/>
            <w:vAlign w:val="center"/>
          </w:tcPr>
          <w:p w14:paraId="6CC2A3A4">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4EACD879">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1CE4B303">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0E60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29CC138C">
            <w:r>
              <w:t>10</w:t>
            </w:r>
          </w:p>
        </w:tc>
        <w:tc>
          <w:tcPr>
            <w:tcW w:w="876" w:type="pct"/>
          </w:tcPr>
          <w:p w14:paraId="3D5974D3">
            <w:r>
              <w:rPr>
                <w:rFonts w:hint="eastAsia"/>
              </w:rPr>
              <w:t>有关联合体响应</w:t>
            </w:r>
          </w:p>
        </w:tc>
        <w:tc>
          <w:tcPr>
            <w:tcW w:w="2307" w:type="pct"/>
          </w:tcPr>
          <w:p w14:paraId="61BA789C">
            <w:r>
              <w:rPr>
                <w:rFonts w:hint="eastAsia"/>
              </w:rPr>
              <w:t>本项目不接受联合体响应。</w:t>
            </w:r>
          </w:p>
        </w:tc>
        <w:tc>
          <w:tcPr>
            <w:tcW w:w="769" w:type="pct"/>
            <w:vAlign w:val="center"/>
          </w:tcPr>
          <w:p w14:paraId="72CE3722">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741AFBDF">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236402F1">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6CF5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2380F849">
            <w:r>
              <w:rPr>
                <w:rFonts w:hint="eastAsia"/>
              </w:rPr>
              <w:t>1</w:t>
            </w:r>
            <w:r>
              <w:t>1</w:t>
            </w:r>
          </w:p>
        </w:tc>
        <w:tc>
          <w:tcPr>
            <w:tcW w:w="876" w:type="pct"/>
          </w:tcPr>
          <w:p w14:paraId="2B9B2D18">
            <w:r>
              <w:rPr>
                <w:rFonts w:hint="eastAsia"/>
              </w:rPr>
              <w:t>特殊资格</w:t>
            </w:r>
          </w:p>
        </w:tc>
        <w:tc>
          <w:tcPr>
            <w:tcW w:w="2307" w:type="pct"/>
          </w:tcPr>
          <w:p w14:paraId="7B46466C">
            <w:pPr>
              <w:rPr>
                <w:rFonts w:ascii="Calibri" w:hAnsi="Calibri" w:eastAsia="宋体" w:cs="Times New Roman"/>
              </w:rPr>
            </w:pPr>
            <w:r>
              <w:rPr>
                <w:rFonts w:ascii="Calibri" w:hAnsi="Calibri" w:eastAsia="宋体" w:cs="Times New Roman"/>
              </w:rPr>
              <w:t>供应商必须为经国家保险监督管理机构批准在中华人民共和国境内设立和营业的，并依法被核定许可经营责任保险业务的保险公司或其分支机构</w:t>
            </w:r>
            <w:r>
              <w:rPr>
                <w:rFonts w:hint="eastAsia" w:ascii="Calibri" w:hAnsi="Calibri" w:eastAsia="宋体" w:cs="Times New Roman"/>
              </w:rPr>
              <w:t>，具备</w:t>
            </w:r>
            <w:r>
              <w:rPr>
                <w:rFonts w:ascii="Calibri" w:hAnsi="Calibri" w:eastAsia="宋体" w:cs="Times New Roman"/>
              </w:rPr>
              <w:t>《经营保险业务许可证》或《保险许可证》。</w:t>
            </w:r>
          </w:p>
          <w:p w14:paraId="6332CFB0">
            <w:pPr>
              <w:rPr>
                <w:rFonts w:ascii="Calibri" w:hAnsi="Calibri" w:eastAsia="宋体" w:cs="Times New Roman"/>
              </w:rPr>
            </w:pPr>
            <w:r>
              <w:rPr>
                <w:rFonts w:hint="eastAsia" w:ascii="Calibri" w:hAnsi="Calibri" w:eastAsia="宋体" w:cs="Times New Roman"/>
                <w:lang w:val="en-US" w:eastAsia="zh-CN"/>
              </w:rPr>
              <w:t>总公司及其分支机构不得同时参与本项目响应。同属一个总公司的多个分支机构不得同时参与本项目响应。如总公司及其分支机构同时参与本项目响应，则该总公司以及该总公司的分支机构的响应文件均按无效响应处理；如同属一个总公司的多个分支机构同时参与本项目响应，则这几个分支机构的响应文件均按无效响应处理。</w:t>
            </w:r>
          </w:p>
        </w:tc>
        <w:tc>
          <w:tcPr>
            <w:tcW w:w="769" w:type="pct"/>
            <w:vAlign w:val="center"/>
          </w:tcPr>
          <w:p w14:paraId="153BEAC6">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1FB97EE7">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30E87EFA">
            <w:pPr>
              <w:rPr>
                <w:rFonts w:hint="eastAsia" w:ascii="宋体" w:hAnsi="宋体" w:eastAsia="宋体" w:cs="Times New Roman"/>
                <w:szCs w:val="21"/>
              </w:rPr>
            </w:pPr>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bl>
    <w:p w14:paraId="7F14FE46">
      <w:pPr>
        <w:jc w:val="left"/>
        <w:rPr>
          <w:rFonts w:hint="eastAsia" w:ascii="宋体" w:hAnsi="宋体" w:eastAsia="宋体" w:cs="Times New Roman"/>
          <w:sz w:val="24"/>
          <w:szCs w:val="22"/>
        </w:rPr>
      </w:pPr>
    </w:p>
    <w:p w14:paraId="5EB2EE0D">
      <w:pPr>
        <w:widowControl/>
        <w:jc w:val="left"/>
        <w:rPr>
          <w:rFonts w:hint="eastAsia" w:ascii="宋体" w:hAnsi="宋体" w:eastAsia="宋体" w:cs="Times New Roman"/>
          <w:sz w:val="24"/>
          <w:szCs w:val="22"/>
        </w:rPr>
      </w:pPr>
      <w:r>
        <w:rPr>
          <w:rFonts w:ascii="宋体" w:hAnsi="宋体" w:eastAsia="宋体" w:cs="Times New Roman"/>
          <w:sz w:val="24"/>
          <w:szCs w:val="22"/>
        </w:rPr>
        <w:br w:type="page"/>
      </w:r>
    </w:p>
    <w:p w14:paraId="0B66CAD0">
      <w:pPr>
        <w:jc w:val="left"/>
        <w:rPr>
          <w:rFonts w:hint="eastAsia" w:ascii="宋体" w:hAnsi="宋体" w:eastAsia="宋体" w:cs="Times New Roman"/>
          <w:sz w:val="24"/>
          <w:szCs w:val="22"/>
        </w:rPr>
      </w:pPr>
      <w:r>
        <w:rPr>
          <w:rFonts w:hint="eastAsia" w:ascii="宋体" w:hAnsi="宋体" w:eastAsia="宋体" w:cs="Times New Roman"/>
          <w:sz w:val="24"/>
          <w:szCs w:val="22"/>
        </w:rPr>
        <w:t>二、符合性审查自查表</w:t>
      </w:r>
    </w:p>
    <w:p w14:paraId="7757B0C7">
      <w:pPr>
        <w:jc w:val="left"/>
        <w:rPr>
          <w:rFonts w:hint="eastAsia" w:ascii="宋体" w:hAnsi="宋体" w:eastAsia="宋体" w:cs="Times New Roman"/>
          <w:sz w:val="24"/>
          <w:szCs w:val="22"/>
        </w:rPr>
      </w:pPr>
      <w:r>
        <w:rPr>
          <w:rFonts w:hint="eastAsia" w:ascii="宋体" w:hAnsi="宋体" w:eastAsia="宋体" w:cs="Times New Roman"/>
          <w:sz w:val="24"/>
          <w:szCs w:val="22"/>
        </w:rPr>
        <w:t>采购包</w:t>
      </w:r>
      <w:r>
        <w:rPr>
          <w:rFonts w:ascii="宋体" w:hAnsi="宋体" w:eastAsia="宋体" w:cs="Times New Roman"/>
          <w:sz w:val="24"/>
          <w:szCs w:val="22"/>
        </w:rPr>
        <w:t>1</w:t>
      </w:r>
      <w:r>
        <w:rPr>
          <w:rFonts w:hint="eastAsia" w:ascii="宋体" w:hAnsi="宋体" w:eastAsia="宋体" w:cs="Times New Roman"/>
          <w:sz w:val="24"/>
          <w:szCs w:val="22"/>
        </w:rPr>
        <w:t>：</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745"/>
        <w:gridCol w:w="4596"/>
        <w:gridCol w:w="1532"/>
        <w:gridCol w:w="1457"/>
      </w:tblGrid>
      <w:tr w14:paraId="2D1E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1FA044A7">
            <w:r>
              <w:t>序号</w:t>
            </w:r>
          </w:p>
        </w:tc>
        <w:tc>
          <w:tcPr>
            <w:tcW w:w="3183" w:type="pct"/>
            <w:gridSpan w:val="2"/>
          </w:tcPr>
          <w:p w14:paraId="2E23D619">
            <w:r>
              <w:rPr>
                <w:rFonts w:hint="eastAsia"/>
              </w:rPr>
              <w:t>符合性</w:t>
            </w:r>
            <w:r>
              <w:t>审查内容</w:t>
            </w:r>
          </w:p>
        </w:tc>
        <w:tc>
          <w:tcPr>
            <w:tcW w:w="769" w:type="pct"/>
          </w:tcPr>
          <w:p w14:paraId="3AC3653C">
            <w:r>
              <w:rPr>
                <w:rFonts w:hint="eastAsia"/>
              </w:rPr>
              <w:t>自查结论</w:t>
            </w:r>
          </w:p>
        </w:tc>
        <w:tc>
          <w:tcPr>
            <w:tcW w:w="731" w:type="pct"/>
          </w:tcPr>
          <w:p w14:paraId="06C3E74A">
            <w:r>
              <w:rPr>
                <w:rFonts w:hint="eastAsia"/>
              </w:rPr>
              <w:t>证明文件</w:t>
            </w:r>
          </w:p>
        </w:tc>
      </w:tr>
      <w:tr w14:paraId="26B5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364C18A0">
            <w:r>
              <w:t>1</w:t>
            </w:r>
          </w:p>
        </w:tc>
        <w:tc>
          <w:tcPr>
            <w:tcW w:w="876" w:type="pct"/>
            <w:vAlign w:val="center"/>
          </w:tcPr>
          <w:p w14:paraId="69A4B2A1">
            <w:r>
              <w:rPr>
                <w:rFonts w:hint="eastAsia" w:ascii="宋体" w:hAnsi="宋体" w:eastAsia="宋体" w:cs="宋体"/>
              </w:rPr>
              <w:t>响应报价</w:t>
            </w:r>
          </w:p>
        </w:tc>
        <w:tc>
          <w:tcPr>
            <w:tcW w:w="2307" w:type="pct"/>
            <w:vAlign w:val="center"/>
          </w:tcPr>
          <w:p w14:paraId="4E6C36DE">
            <w:pPr>
              <w:rPr>
                <w:rFonts w:hint="eastAsia" w:ascii="宋体" w:hAnsi="宋体" w:eastAsia="宋体" w:cs="宋体"/>
              </w:rPr>
            </w:pPr>
            <w:r>
              <w:rPr>
                <w:rFonts w:hint="eastAsia" w:ascii="宋体" w:hAnsi="宋体" w:eastAsia="宋体" w:cs="宋体"/>
              </w:rPr>
              <w:t>1）响应报价未超过本项目</w:t>
            </w:r>
            <w:r>
              <w:rPr>
                <w:rFonts w:hint="eastAsia" w:ascii="宋体" w:hAnsi="宋体" w:eastAsia="宋体"/>
              </w:rPr>
              <w:t>采购预算及最高限价。</w:t>
            </w:r>
          </w:p>
          <w:p w14:paraId="5AAEBC02">
            <w:pPr>
              <w:rPr>
                <w:rFonts w:hint="eastAsia" w:ascii="宋体" w:hAnsi="宋体" w:eastAsia="宋体" w:cs="宋体"/>
              </w:rPr>
            </w:pPr>
            <w:r>
              <w:rPr>
                <w:rFonts w:hint="eastAsia" w:ascii="宋体" w:hAnsi="宋体" w:eastAsia="宋体" w:cs="宋体"/>
              </w:rPr>
              <w:t>2）对本项目（采购包）全部内容进行响应报价</w:t>
            </w:r>
          </w:p>
          <w:p w14:paraId="3B3EEEB5">
            <w:r>
              <w:rPr>
                <w:rFonts w:hint="eastAsia" w:ascii="宋体" w:hAnsi="宋体" w:eastAsia="宋体" w:cs="宋体"/>
              </w:rPr>
              <w:t>3）响应报价是唯一确定的。</w:t>
            </w:r>
          </w:p>
        </w:tc>
        <w:tc>
          <w:tcPr>
            <w:tcW w:w="769" w:type="pct"/>
            <w:vAlign w:val="center"/>
          </w:tcPr>
          <w:p w14:paraId="792AA5DD">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1CB4A63C">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188EDDD4">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30B0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11412245">
            <w:r>
              <w:t>2</w:t>
            </w:r>
          </w:p>
        </w:tc>
        <w:tc>
          <w:tcPr>
            <w:tcW w:w="876" w:type="pct"/>
            <w:vAlign w:val="center"/>
          </w:tcPr>
          <w:p w14:paraId="20A6B810">
            <w:r>
              <w:rPr>
                <w:rFonts w:hint="eastAsia" w:ascii="宋体" w:hAnsi="宋体" w:eastAsia="宋体" w:cs="宋体"/>
              </w:rPr>
              <w:t>签署及盖章</w:t>
            </w:r>
          </w:p>
        </w:tc>
        <w:tc>
          <w:tcPr>
            <w:tcW w:w="2307" w:type="pct"/>
            <w:vAlign w:val="center"/>
          </w:tcPr>
          <w:p w14:paraId="3947ACC4">
            <w:r>
              <w:rPr>
                <w:rFonts w:hint="eastAsia" w:ascii="宋体" w:hAnsi="宋体" w:eastAsia="宋体" w:cs="宋体"/>
              </w:rPr>
              <w:t>响应文件按照磋商文件规定要求签署、盖章。</w:t>
            </w:r>
          </w:p>
        </w:tc>
        <w:tc>
          <w:tcPr>
            <w:tcW w:w="769" w:type="pct"/>
            <w:vAlign w:val="center"/>
          </w:tcPr>
          <w:p w14:paraId="3DF0C7D6">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1E8F006E">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2B1E504B">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2883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5B81B562">
            <w:r>
              <w:t>3</w:t>
            </w:r>
          </w:p>
        </w:tc>
        <w:tc>
          <w:tcPr>
            <w:tcW w:w="876" w:type="pct"/>
            <w:vAlign w:val="center"/>
          </w:tcPr>
          <w:p w14:paraId="654E5FE2">
            <w:r>
              <w:rPr>
                <w:rFonts w:hint="eastAsia" w:ascii="宋体" w:hAnsi="宋体" w:eastAsia="宋体" w:cs="宋体"/>
              </w:rPr>
              <w:t>法定代表人证明书及授权委托书</w:t>
            </w:r>
          </w:p>
        </w:tc>
        <w:tc>
          <w:tcPr>
            <w:tcW w:w="2307" w:type="pct"/>
            <w:vAlign w:val="center"/>
          </w:tcPr>
          <w:p w14:paraId="0A47F7A7">
            <w:r>
              <w:rPr>
                <w:rFonts w:hint="eastAsia" w:ascii="宋体" w:hAnsi="宋体" w:eastAsia="宋体" w:cs="宋体"/>
              </w:rPr>
              <w:t>法定代表人/负责人资格证明书及授权委托书按对应格式文件签署、盖章。</w:t>
            </w:r>
          </w:p>
        </w:tc>
        <w:tc>
          <w:tcPr>
            <w:tcW w:w="769" w:type="pct"/>
            <w:vAlign w:val="center"/>
          </w:tcPr>
          <w:p w14:paraId="346A2327">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0B980952">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7BAD5951">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0971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62FE9C52">
            <w:r>
              <w:t>4</w:t>
            </w:r>
          </w:p>
        </w:tc>
        <w:tc>
          <w:tcPr>
            <w:tcW w:w="876" w:type="pct"/>
            <w:vAlign w:val="center"/>
          </w:tcPr>
          <w:p w14:paraId="35C2CB6B">
            <w:r>
              <w:rPr>
                <w:rFonts w:hint="eastAsia" w:ascii="宋体" w:hAnsi="宋体" w:eastAsia="宋体" w:cs="宋体"/>
              </w:rPr>
              <w:t>响应有效期</w:t>
            </w:r>
          </w:p>
        </w:tc>
        <w:tc>
          <w:tcPr>
            <w:tcW w:w="2307" w:type="pct"/>
            <w:vAlign w:val="center"/>
          </w:tcPr>
          <w:p w14:paraId="199562CD">
            <w:r>
              <w:rPr>
                <w:rFonts w:hint="eastAsia" w:ascii="宋体" w:hAnsi="宋体" w:eastAsia="宋体" w:cs="宋体"/>
              </w:rPr>
              <w:t>提供《响应承诺函》，响应有效期满足磋商文件要求。</w:t>
            </w:r>
          </w:p>
        </w:tc>
        <w:tc>
          <w:tcPr>
            <w:tcW w:w="769" w:type="pct"/>
            <w:vAlign w:val="center"/>
          </w:tcPr>
          <w:p w14:paraId="08BB3F2C">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417AE69D">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097CC41C">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3BDF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5BF5D7EA">
            <w:r>
              <w:t>5</w:t>
            </w:r>
          </w:p>
        </w:tc>
        <w:tc>
          <w:tcPr>
            <w:tcW w:w="876" w:type="pct"/>
            <w:vAlign w:val="center"/>
          </w:tcPr>
          <w:p w14:paraId="4A08B880">
            <w:r>
              <w:rPr>
                <w:rFonts w:hint="eastAsia" w:ascii="宋体" w:hAnsi="宋体" w:eastAsia="宋体" w:cs="宋体"/>
              </w:rPr>
              <w:t>“★”号条款响应</w:t>
            </w:r>
          </w:p>
        </w:tc>
        <w:tc>
          <w:tcPr>
            <w:tcW w:w="2307" w:type="pct"/>
            <w:vAlign w:val="center"/>
          </w:tcPr>
          <w:p w14:paraId="2B8C937C">
            <w:r>
              <w:rPr>
                <w:rFonts w:hint="eastAsia" w:ascii="宋体" w:hAnsi="宋体" w:eastAsia="宋体" w:cs="宋体"/>
              </w:rPr>
              <w:t>实质性响应磋商文件中“★”号条款的技术、商务要求：响应方案不得对实质性技术与商务的（即标注★号条款）条款产生偏离。</w:t>
            </w:r>
          </w:p>
        </w:tc>
        <w:tc>
          <w:tcPr>
            <w:tcW w:w="769" w:type="pct"/>
            <w:vAlign w:val="center"/>
          </w:tcPr>
          <w:p w14:paraId="0A7D4732">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7A610B5D">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0A10EEA1">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44F6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5D810877">
            <w:r>
              <w:t>6</w:t>
            </w:r>
          </w:p>
        </w:tc>
        <w:tc>
          <w:tcPr>
            <w:tcW w:w="876" w:type="pct"/>
          </w:tcPr>
          <w:p w14:paraId="7E57D9CF">
            <w:pPr>
              <w:rPr>
                <w:rFonts w:hint="eastAsia" w:ascii="宋体" w:hAnsi="宋体" w:eastAsia="宋体" w:cs="宋体"/>
              </w:rPr>
            </w:pPr>
            <w:r>
              <w:t>报价修正</w:t>
            </w:r>
          </w:p>
        </w:tc>
        <w:tc>
          <w:tcPr>
            <w:tcW w:w="2307" w:type="pct"/>
          </w:tcPr>
          <w:p w14:paraId="55EC7222">
            <w:pPr>
              <w:rPr>
                <w:rFonts w:hint="eastAsia" w:ascii="宋体" w:hAnsi="宋体" w:eastAsia="宋体" w:cs="宋体"/>
              </w:rPr>
            </w:pPr>
            <w:r>
              <w:t>如出现</w:t>
            </w:r>
            <w:r>
              <w:rPr>
                <w:rFonts w:hint="eastAsia"/>
              </w:rPr>
              <w:t>响应</w:t>
            </w:r>
            <w:r>
              <w:t>报价错误的处理原则修正后的报价,</w:t>
            </w:r>
            <w:r>
              <w:rPr>
                <w:rFonts w:hint="eastAsia"/>
              </w:rPr>
              <w:t>供应商</w:t>
            </w:r>
            <w:r>
              <w:t>按规定书面确认。</w:t>
            </w:r>
          </w:p>
        </w:tc>
        <w:tc>
          <w:tcPr>
            <w:tcW w:w="769" w:type="pct"/>
            <w:vAlign w:val="center"/>
          </w:tcPr>
          <w:p w14:paraId="35FD6A67">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7971327D">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30FEA17B">
            <w:pPr>
              <w:rPr>
                <w:rFonts w:hint="eastAsia" w:ascii="宋体" w:hAnsi="宋体" w:eastAsia="宋体" w:cs="Times New Roman"/>
                <w:szCs w:val="21"/>
              </w:rPr>
            </w:pPr>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7084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1E5F00E8">
            <w:r>
              <w:t>7</w:t>
            </w:r>
          </w:p>
        </w:tc>
        <w:tc>
          <w:tcPr>
            <w:tcW w:w="876" w:type="pct"/>
          </w:tcPr>
          <w:p w14:paraId="7D0E52F4">
            <w:r>
              <w:rPr>
                <w:rFonts w:hint="eastAsia"/>
              </w:rPr>
              <w:t>串通响应</w:t>
            </w:r>
          </w:p>
        </w:tc>
        <w:tc>
          <w:tcPr>
            <w:tcW w:w="2307" w:type="pct"/>
          </w:tcPr>
          <w:p w14:paraId="0A4FF4D9">
            <w:r>
              <w:t>未出现视为</w:t>
            </w:r>
            <w:r>
              <w:rPr>
                <w:rFonts w:hint="eastAsia"/>
              </w:rPr>
              <w:t>供应商串通响应</w:t>
            </w:r>
            <w:r>
              <w:t>所列的情形。</w:t>
            </w:r>
          </w:p>
        </w:tc>
        <w:tc>
          <w:tcPr>
            <w:tcW w:w="769" w:type="pct"/>
            <w:vAlign w:val="center"/>
          </w:tcPr>
          <w:p w14:paraId="7EC958A5">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2A7AE4A2">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5A6E1EB0">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2357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5993A900">
            <w:r>
              <w:t>8</w:t>
            </w:r>
          </w:p>
        </w:tc>
        <w:tc>
          <w:tcPr>
            <w:tcW w:w="876" w:type="pct"/>
          </w:tcPr>
          <w:p w14:paraId="2E4C3FDD">
            <w:r>
              <w:t>附加条件</w:t>
            </w:r>
          </w:p>
        </w:tc>
        <w:tc>
          <w:tcPr>
            <w:tcW w:w="2307" w:type="pct"/>
          </w:tcPr>
          <w:p w14:paraId="4AA511AC">
            <w:r>
              <w:rPr>
                <w:rFonts w:hint="eastAsia"/>
              </w:rPr>
              <w:t>响应</w:t>
            </w:r>
            <w:r>
              <w:t>文件未含有采购人不可接受的附加条件。</w:t>
            </w:r>
          </w:p>
        </w:tc>
        <w:tc>
          <w:tcPr>
            <w:tcW w:w="769" w:type="pct"/>
            <w:vAlign w:val="center"/>
          </w:tcPr>
          <w:p w14:paraId="731CFE7C">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1FCAB8BC">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5028D2C3">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r w14:paraId="49D5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 w:type="pct"/>
          </w:tcPr>
          <w:p w14:paraId="3F16EF19">
            <w:r>
              <w:t>9</w:t>
            </w:r>
          </w:p>
        </w:tc>
        <w:tc>
          <w:tcPr>
            <w:tcW w:w="876" w:type="pct"/>
          </w:tcPr>
          <w:p w14:paraId="7DA5B207">
            <w:r>
              <w:t>报价合理性</w:t>
            </w:r>
          </w:p>
        </w:tc>
        <w:tc>
          <w:tcPr>
            <w:tcW w:w="2307" w:type="pct"/>
          </w:tcPr>
          <w:p w14:paraId="6AF2F628">
            <w:r>
              <w:t>如果</w:t>
            </w:r>
            <w:r>
              <w:rPr>
                <w:rFonts w:hint="eastAsia"/>
              </w:rPr>
              <w:t>磋商小组</w:t>
            </w:r>
            <w:r>
              <w:t>认为</w:t>
            </w:r>
            <w:r>
              <w:rPr>
                <w:rFonts w:hint="eastAsia"/>
              </w:rPr>
              <w:t>供应商</w:t>
            </w:r>
            <w:r>
              <w:t>的报价明显低于其他通过符合性审查</w:t>
            </w:r>
            <w:r>
              <w:rPr>
                <w:rFonts w:hint="eastAsia"/>
              </w:rPr>
              <w:t>供应商</w:t>
            </w:r>
            <w:r>
              <w:t>的报价，有可能影响产品质量或者不能诚信履约的，将要求其在</w:t>
            </w:r>
            <w:r>
              <w:rPr>
                <w:rFonts w:hint="eastAsia"/>
              </w:rPr>
              <w:t>评审</w:t>
            </w:r>
            <w:r>
              <w:t>现场合理的时间内提供书面说明，必要时提交相关证明材料；</w:t>
            </w:r>
            <w:r>
              <w:rPr>
                <w:rFonts w:hint="eastAsia"/>
              </w:rPr>
              <w:t>供应商</w:t>
            </w:r>
            <w:r>
              <w:t>应能证明其报价合理性。</w:t>
            </w:r>
          </w:p>
        </w:tc>
        <w:tc>
          <w:tcPr>
            <w:tcW w:w="769" w:type="pct"/>
            <w:vAlign w:val="center"/>
          </w:tcPr>
          <w:p w14:paraId="15B97C5D">
            <w:pPr>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通过</w:t>
            </w:r>
            <w:r>
              <w:rPr>
                <w:rFonts w:ascii="宋体" w:hAnsi="宋体" w:eastAsia="宋体" w:cs="Times New Roman"/>
                <w:szCs w:val="21"/>
              </w:rPr>
              <w:t xml:space="preserve"> </w:t>
            </w:r>
          </w:p>
          <w:p w14:paraId="375338F9">
            <w:r>
              <w:rPr>
                <w:rFonts w:ascii="宋体" w:hAnsi="宋体" w:eastAsia="宋体" w:cs="Times New Roman"/>
                <w:szCs w:val="21"/>
              </w:rPr>
              <w:t>□</w:t>
            </w:r>
            <w:r>
              <w:rPr>
                <w:rFonts w:hint="eastAsia" w:ascii="宋体" w:hAnsi="宋体" w:eastAsia="宋体" w:cs="Times New Roman"/>
                <w:szCs w:val="21"/>
              </w:rPr>
              <w:t>不通过</w:t>
            </w:r>
          </w:p>
        </w:tc>
        <w:tc>
          <w:tcPr>
            <w:tcW w:w="731" w:type="pct"/>
            <w:vAlign w:val="center"/>
          </w:tcPr>
          <w:p w14:paraId="0B1DB15B">
            <w:r>
              <w:rPr>
                <w:rFonts w:hint="eastAsia" w:ascii="宋体" w:hAnsi="宋体" w:eastAsia="宋体" w:cs="Times New Roman"/>
                <w:szCs w:val="21"/>
              </w:rPr>
              <w:t>见响应文件第（</w:t>
            </w:r>
            <w:r>
              <w:rPr>
                <w:rFonts w:ascii="宋体" w:hAnsi="宋体" w:eastAsia="宋体" w:cs="Times New Roman"/>
                <w:szCs w:val="21"/>
              </w:rPr>
              <w:t xml:space="preserve"> </w:t>
            </w:r>
            <w:r>
              <w:rPr>
                <w:rFonts w:hint="eastAsia" w:ascii="宋体" w:hAnsi="宋体" w:eastAsia="宋体" w:cs="Times New Roman"/>
                <w:szCs w:val="21"/>
              </w:rPr>
              <w:t>）页</w:t>
            </w:r>
          </w:p>
        </w:tc>
      </w:tr>
    </w:tbl>
    <w:p w14:paraId="5036969A">
      <w:pPr>
        <w:jc w:val="left"/>
        <w:rPr>
          <w:rFonts w:hint="eastAsia" w:ascii="宋体" w:hAnsi="宋体" w:eastAsia="宋体" w:cs="Times New Roman"/>
          <w:sz w:val="24"/>
          <w:szCs w:val="22"/>
        </w:rPr>
      </w:pPr>
    </w:p>
    <w:p w14:paraId="15CEFE99">
      <w:pPr>
        <w:ind w:left="424" w:hanging="424" w:hangingChars="202"/>
        <w:rPr>
          <w:rFonts w:hint="eastAsia" w:ascii="宋体" w:hAnsi="宋体" w:eastAsia="宋体" w:cs="Times New Roman"/>
        </w:rPr>
      </w:pPr>
      <w:r>
        <w:rPr>
          <w:rFonts w:hint="eastAsia" w:ascii="宋体" w:hAnsi="宋体" w:eastAsia="宋体" w:cs="Times New Roman"/>
        </w:rPr>
        <w:t xml:space="preserve">注：以上材料将作为供应商有效性审核的重要内容之一，供应商必须严格按照其内容及序列要求在响应文件中对应如实提供，对符合性证明文件的任何缺漏和不符合项将会直接导致无效响应！ </w:t>
      </w:r>
    </w:p>
    <w:p w14:paraId="01D03162">
      <w:pPr>
        <w:adjustRightInd w:val="0"/>
        <w:snapToGrid w:val="0"/>
        <w:rPr>
          <w:rFonts w:hint="eastAsia" w:ascii="宋体" w:hAnsi="宋体" w:eastAsia="宋体" w:cs="Times New Roman"/>
          <w:szCs w:val="22"/>
        </w:rPr>
      </w:pPr>
    </w:p>
    <w:p w14:paraId="2D5AC5C4">
      <w:pPr>
        <w:adjustRightInd w:val="0"/>
        <w:snapToGrid w:val="0"/>
        <w:rPr>
          <w:rFonts w:hint="eastAsia" w:ascii="宋体" w:hAnsi="宋体" w:eastAsia="宋体" w:cs="Times New Roman"/>
          <w:szCs w:val="22"/>
        </w:rPr>
      </w:pPr>
      <w:r>
        <w:rPr>
          <w:rFonts w:hint="eastAsia" w:ascii="宋体" w:hAnsi="宋体" w:eastAsia="宋体" w:cs="Times New Roman"/>
          <w:szCs w:val="22"/>
        </w:rPr>
        <w:t>供应商法定代表人/负责人（或授权代表）（签字或盖签字章）：</w:t>
      </w:r>
    </w:p>
    <w:p w14:paraId="6C018516">
      <w:pPr>
        <w:adjustRightInd w:val="0"/>
        <w:snapToGrid w:val="0"/>
        <w:rPr>
          <w:rFonts w:hint="eastAsia" w:ascii="宋体" w:hAnsi="宋体" w:eastAsia="宋体" w:cs="Times New Roman"/>
          <w:szCs w:val="22"/>
        </w:rPr>
      </w:pPr>
    </w:p>
    <w:p w14:paraId="2FA21FE8">
      <w:pPr>
        <w:adjustRightInd w:val="0"/>
        <w:snapToGrid w:val="0"/>
        <w:rPr>
          <w:rFonts w:hint="eastAsia" w:ascii="宋体" w:hAnsi="宋体" w:eastAsia="宋体" w:cs="Times New Roman"/>
          <w:szCs w:val="22"/>
        </w:rPr>
      </w:pPr>
      <w:r>
        <w:rPr>
          <w:rFonts w:hint="eastAsia" w:ascii="宋体" w:hAnsi="宋体" w:eastAsia="宋体" w:cs="Times New Roman"/>
          <w:szCs w:val="22"/>
        </w:rPr>
        <w:t>供应商名称（加盖公章）：</w:t>
      </w:r>
    </w:p>
    <w:p w14:paraId="78B78E0F">
      <w:pPr>
        <w:rPr>
          <w:rFonts w:hint="eastAsia" w:ascii="宋体" w:hAnsi="宋体" w:eastAsia="宋体" w:cs="Times New Roman"/>
        </w:rPr>
      </w:pPr>
    </w:p>
    <w:p w14:paraId="105AD384">
      <w:pPr>
        <w:rPr>
          <w:rFonts w:hint="eastAsia" w:ascii="宋体" w:hAnsi="宋体" w:eastAsia="宋体" w:cs="Times New Roman"/>
        </w:rPr>
      </w:pPr>
      <w:r>
        <w:rPr>
          <w:rFonts w:hint="eastAsia" w:ascii="宋体" w:hAnsi="宋体" w:eastAsia="宋体" w:cs="Times New Roman"/>
        </w:rPr>
        <w:t xml:space="preserve">日期：   年   月  </w:t>
      </w:r>
    </w:p>
    <w:p w14:paraId="4D7EF206">
      <w:pPr>
        <w:widowControl/>
        <w:jc w:val="left"/>
        <w:rPr>
          <w:rFonts w:hint="eastAsia" w:ascii="宋体" w:hAnsi="宋体" w:eastAsia="宋体" w:cs="Times New Roman"/>
          <w:bCs/>
          <w:sz w:val="24"/>
          <w:szCs w:val="22"/>
        </w:rPr>
      </w:pPr>
      <w:r>
        <w:rPr>
          <w:rFonts w:ascii="宋体" w:hAnsi="宋体" w:eastAsia="宋体" w:cs="Times New Roman"/>
          <w:bCs/>
          <w:sz w:val="24"/>
          <w:szCs w:val="22"/>
        </w:rPr>
        <w:br w:type="page"/>
      </w:r>
    </w:p>
    <w:p w14:paraId="7D0CDCFB">
      <w:pPr>
        <w:spacing w:line="360" w:lineRule="auto"/>
        <w:rPr>
          <w:rFonts w:hint="eastAsia" w:ascii="宋体" w:hAnsi="宋体" w:eastAsia="宋体" w:cs="Times New Roman"/>
          <w:bCs/>
          <w:sz w:val="24"/>
          <w:szCs w:val="22"/>
        </w:rPr>
      </w:pPr>
      <w:r>
        <w:rPr>
          <w:rFonts w:hint="eastAsia" w:ascii="宋体" w:hAnsi="宋体" w:eastAsia="宋体" w:cs="Times New Roman"/>
          <w:bCs/>
          <w:sz w:val="24"/>
          <w:szCs w:val="22"/>
        </w:rPr>
        <w:t>三、评审项目响应资料表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5987"/>
        <w:gridCol w:w="2122"/>
      </w:tblGrid>
      <w:tr w14:paraId="6DD2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30" w:type="pct"/>
            <w:vAlign w:val="center"/>
          </w:tcPr>
          <w:p w14:paraId="4D6ECFA6">
            <w:pPr>
              <w:jc w:val="center"/>
              <w:rPr>
                <w:rFonts w:hint="eastAsia" w:ascii="宋体" w:hAnsi="宋体" w:eastAsia="宋体" w:cs="Times New Roman"/>
                <w:b/>
                <w:bCs/>
                <w:color w:val="000000"/>
                <w:sz w:val="24"/>
              </w:rPr>
            </w:pPr>
            <w:r>
              <w:rPr>
                <w:rFonts w:hint="eastAsia" w:ascii="宋体" w:hAnsi="宋体" w:eastAsia="宋体" w:cs="Times New Roman"/>
                <w:b/>
                <w:bCs/>
                <w:color w:val="000000"/>
                <w:sz w:val="24"/>
              </w:rPr>
              <w:t>评审分项</w:t>
            </w:r>
          </w:p>
        </w:tc>
        <w:tc>
          <w:tcPr>
            <w:tcW w:w="3005" w:type="pct"/>
            <w:vAlign w:val="center"/>
          </w:tcPr>
          <w:p w14:paraId="151BC85A">
            <w:pPr>
              <w:jc w:val="center"/>
              <w:rPr>
                <w:rFonts w:hint="eastAsia" w:ascii="宋体" w:hAnsi="宋体" w:eastAsia="宋体" w:cs="Times New Roman"/>
                <w:b/>
                <w:bCs/>
                <w:color w:val="000000"/>
                <w:sz w:val="24"/>
              </w:rPr>
            </w:pPr>
            <w:r>
              <w:rPr>
                <w:rFonts w:hint="eastAsia" w:ascii="宋体" w:hAnsi="宋体" w:eastAsia="宋体" w:cs="Times New Roman"/>
                <w:b/>
                <w:bCs/>
                <w:color w:val="000000"/>
                <w:sz w:val="24"/>
              </w:rPr>
              <w:t>评审细则</w:t>
            </w:r>
          </w:p>
        </w:tc>
        <w:tc>
          <w:tcPr>
            <w:tcW w:w="1065" w:type="pct"/>
            <w:vAlign w:val="center"/>
          </w:tcPr>
          <w:p w14:paraId="472D2921">
            <w:pPr>
              <w:jc w:val="center"/>
              <w:rPr>
                <w:rFonts w:hint="eastAsia" w:ascii="宋体" w:hAnsi="宋体" w:eastAsia="宋体" w:cs="Times New Roman"/>
                <w:b/>
                <w:bCs/>
                <w:color w:val="000000"/>
                <w:sz w:val="24"/>
              </w:rPr>
            </w:pPr>
            <w:r>
              <w:rPr>
                <w:rFonts w:hint="eastAsia" w:ascii="宋体" w:hAnsi="宋体" w:eastAsia="宋体" w:cs="Times New Roman"/>
                <w:b/>
                <w:bCs/>
                <w:color w:val="000000"/>
                <w:sz w:val="24"/>
              </w:rPr>
              <w:t>证明文件</w:t>
            </w:r>
          </w:p>
        </w:tc>
      </w:tr>
      <w:tr w14:paraId="7043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3209ADC1">
            <w:pPr>
              <w:rPr>
                <w:rFonts w:hint="eastAsia" w:ascii="宋体" w:hAnsi="宋体" w:eastAsia="宋体" w:cs="Times New Roman"/>
                <w:color w:val="000000"/>
              </w:rPr>
            </w:pPr>
          </w:p>
        </w:tc>
        <w:tc>
          <w:tcPr>
            <w:tcW w:w="3005" w:type="pct"/>
          </w:tcPr>
          <w:p w14:paraId="1B909542">
            <w:pPr>
              <w:rPr>
                <w:rFonts w:hint="eastAsia" w:ascii="宋体" w:hAnsi="宋体" w:eastAsia="宋体" w:cs="Times New Roman"/>
                <w:color w:val="000000"/>
              </w:rPr>
            </w:pPr>
          </w:p>
        </w:tc>
        <w:tc>
          <w:tcPr>
            <w:tcW w:w="1065" w:type="pct"/>
            <w:vAlign w:val="center"/>
          </w:tcPr>
          <w:p w14:paraId="2F1C0807">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2BF0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6EE75BDE">
            <w:pPr>
              <w:rPr>
                <w:rFonts w:hint="eastAsia" w:ascii="宋体" w:hAnsi="宋体" w:eastAsia="宋体" w:cs="Times New Roman"/>
                <w:color w:val="000000"/>
              </w:rPr>
            </w:pPr>
          </w:p>
        </w:tc>
        <w:tc>
          <w:tcPr>
            <w:tcW w:w="3005" w:type="pct"/>
          </w:tcPr>
          <w:p w14:paraId="1D1C22CE">
            <w:pPr>
              <w:rPr>
                <w:rFonts w:hint="eastAsia" w:ascii="宋体" w:hAnsi="宋体" w:eastAsia="宋体" w:cs="Times New Roman"/>
                <w:color w:val="000000"/>
              </w:rPr>
            </w:pPr>
          </w:p>
        </w:tc>
        <w:tc>
          <w:tcPr>
            <w:tcW w:w="1065" w:type="pct"/>
            <w:vAlign w:val="center"/>
          </w:tcPr>
          <w:p w14:paraId="128FA058">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466A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189C788C">
            <w:pPr>
              <w:rPr>
                <w:rFonts w:hint="eastAsia" w:ascii="宋体" w:hAnsi="宋体" w:eastAsia="宋体" w:cs="Times New Roman"/>
                <w:color w:val="000000"/>
              </w:rPr>
            </w:pPr>
          </w:p>
        </w:tc>
        <w:tc>
          <w:tcPr>
            <w:tcW w:w="3005" w:type="pct"/>
          </w:tcPr>
          <w:p w14:paraId="680838A3">
            <w:pPr>
              <w:rPr>
                <w:rFonts w:hint="eastAsia" w:ascii="宋体" w:hAnsi="宋体" w:eastAsia="宋体" w:cs="Times New Roman"/>
                <w:color w:val="000000"/>
              </w:rPr>
            </w:pPr>
          </w:p>
        </w:tc>
        <w:tc>
          <w:tcPr>
            <w:tcW w:w="1065" w:type="pct"/>
            <w:vAlign w:val="center"/>
          </w:tcPr>
          <w:p w14:paraId="1E713552">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321D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25930DDE">
            <w:pPr>
              <w:rPr>
                <w:rFonts w:hint="eastAsia" w:ascii="宋体" w:hAnsi="宋体" w:eastAsia="宋体" w:cs="Times New Roman"/>
                <w:color w:val="000000"/>
              </w:rPr>
            </w:pPr>
          </w:p>
        </w:tc>
        <w:tc>
          <w:tcPr>
            <w:tcW w:w="3005" w:type="pct"/>
          </w:tcPr>
          <w:p w14:paraId="0AD3EF7D">
            <w:pPr>
              <w:rPr>
                <w:rFonts w:hint="eastAsia" w:ascii="宋体" w:hAnsi="宋体" w:eastAsia="宋体" w:cs="Times New Roman"/>
                <w:color w:val="000000"/>
              </w:rPr>
            </w:pPr>
          </w:p>
        </w:tc>
        <w:tc>
          <w:tcPr>
            <w:tcW w:w="1065" w:type="pct"/>
            <w:vAlign w:val="center"/>
          </w:tcPr>
          <w:p w14:paraId="59B88DBD">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584E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41CF94F2">
            <w:pPr>
              <w:rPr>
                <w:rFonts w:hint="eastAsia" w:ascii="宋体" w:hAnsi="宋体" w:eastAsia="宋体" w:cs="Times New Roman"/>
                <w:color w:val="000000"/>
              </w:rPr>
            </w:pPr>
          </w:p>
        </w:tc>
        <w:tc>
          <w:tcPr>
            <w:tcW w:w="3005" w:type="pct"/>
          </w:tcPr>
          <w:p w14:paraId="65D9FDC1">
            <w:pPr>
              <w:rPr>
                <w:rFonts w:hint="eastAsia" w:ascii="宋体" w:hAnsi="宋体" w:eastAsia="宋体" w:cs="Times New Roman"/>
                <w:color w:val="000000"/>
              </w:rPr>
            </w:pPr>
          </w:p>
        </w:tc>
        <w:tc>
          <w:tcPr>
            <w:tcW w:w="1065" w:type="pct"/>
            <w:vAlign w:val="center"/>
          </w:tcPr>
          <w:p w14:paraId="316D5D34">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45CA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15DA5385">
            <w:pPr>
              <w:rPr>
                <w:rFonts w:hint="eastAsia" w:ascii="宋体" w:hAnsi="宋体" w:eastAsia="宋体" w:cs="Times New Roman"/>
                <w:color w:val="000000"/>
              </w:rPr>
            </w:pPr>
          </w:p>
        </w:tc>
        <w:tc>
          <w:tcPr>
            <w:tcW w:w="3005" w:type="pct"/>
          </w:tcPr>
          <w:p w14:paraId="77295F9E">
            <w:pPr>
              <w:rPr>
                <w:rFonts w:hint="eastAsia" w:ascii="宋体" w:hAnsi="宋体" w:eastAsia="宋体" w:cs="Times New Roman"/>
                <w:color w:val="000000"/>
              </w:rPr>
            </w:pPr>
          </w:p>
        </w:tc>
        <w:tc>
          <w:tcPr>
            <w:tcW w:w="1065" w:type="pct"/>
            <w:vAlign w:val="center"/>
          </w:tcPr>
          <w:p w14:paraId="02BF1D94">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3F2C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6F37B29F">
            <w:pPr>
              <w:rPr>
                <w:rFonts w:hint="eastAsia" w:ascii="宋体" w:hAnsi="宋体" w:eastAsia="宋体" w:cs="Times New Roman"/>
                <w:color w:val="000000"/>
              </w:rPr>
            </w:pPr>
          </w:p>
        </w:tc>
        <w:tc>
          <w:tcPr>
            <w:tcW w:w="3005" w:type="pct"/>
          </w:tcPr>
          <w:p w14:paraId="29B52094">
            <w:pPr>
              <w:rPr>
                <w:rFonts w:hint="eastAsia" w:ascii="宋体" w:hAnsi="宋体" w:eastAsia="宋体" w:cs="Times New Roman"/>
                <w:color w:val="000000"/>
              </w:rPr>
            </w:pPr>
          </w:p>
        </w:tc>
        <w:tc>
          <w:tcPr>
            <w:tcW w:w="1065" w:type="pct"/>
            <w:vAlign w:val="center"/>
          </w:tcPr>
          <w:p w14:paraId="47C61D1E">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0B87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0FFD2004">
            <w:pPr>
              <w:rPr>
                <w:rFonts w:hint="eastAsia" w:ascii="宋体" w:hAnsi="宋体" w:eastAsia="宋体" w:cs="Times New Roman"/>
                <w:color w:val="000000"/>
              </w:rPr>
            </w:pPr>
          </w:p>
        </w:tc>
        <w:tc>
          <w:tcPr>
            <w:tcW w:w="3005" w:type="pct"/>
          </w:tcPr>
          <w:p w14:paraId="317D863E">
            <w:pPr>
              <w:rPr>
                <w:rFonts w:hint="eastAsia" w:ascii="宋体" w:hAnsi="宋体" w:eastAsia="宋体" w:cs="Times New Roman"/>
                <w:color w:val="000000"/>
              </w:rPr>
            </w:pPr>
          </w:p>
        </w:tc>
        <w:tc>
          <w:tcPr>
            <w:tcW w:w="1065" w:type="pct"/>
            <w:vAlign w:val="center"/>
          </w:tcPr>
          <w:p w14:paraId="6E0C1E97">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2546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6B474FFF">
            <w:pPr>
              <w:rPr>
                <w:rFonts w:hint="eastAsia" w:ascii="宋体" w:hAnsi="宋体" w:eastAsia="宋体" w:cs="Times New Roman"/>
                <w:color w:val="000000"/>
              </w:rPr>
            </w:pPr>
          </w:p>
        </w:tc>
        <w:tc>
          <w:tcPr>
            <w:tcW w:w="3005" w:type="pct"/>
          </w:tcPr>
          <w:p w14:paraId="51A09FAF">
            <w:pPr>
              <w:rPr>
                <w:rFonts w:hint="eastAsia" w:ascii="宋体" w:hAnsi="宋体" w:eastAsia="宋体" w:cs="Times New Roman"/>
                <w:color w:val="000000"/>
              </w:rPr>
            </w:pPr>
          </w:p>
        </w:tc>
        <w:tc>
          <w:tcPr>
            <w:tcW w:w="1065" w:type="pct"/>
            <w:vAlign w:val="center"/>
          </w:tcPr>
          <w:p w14:paraId="35E190C3">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2CAE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172FDBE0">
            <w:pPr>
              <w:rPr>
                <w:rFonts w:hint="eastAsia" w:ascii="宋体" w:hAnsi="宋体" w:eastAsia="宋体" w:cs="Times New Roman"/>
                <w:color w:val="000000"/>
              </w:rPr>
            </w:pPr>
          </w:p>
        </w:tc>
        <w:tc>
          <w:tcPr>
            <w:tcW w:w="3005" w:type="pct"/>
          </w:tcPr>
          <w:p w14:paraId="278D2740">
            <w:pPr>
              <w:rPr>
                <w:rFonts w:hint="eastAsia" w:ascii="宋体" w:hAnsi="宋体" w:eastAsia="宋体" w:cs="Times New Roman"/>
                <w:color w:val="000000"/>
              </w:rPr>
            </w:pPr>
          </w:p>
        </w:tc>
        <w:tc>
          <w:tcPr>
            <w:tcW w:w="1065" w:type="pct"/>
            <w:vAlign w:val="center"/>
          </w:tcPr>
          <w:p w14:paraId="64DC7FF2">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0CF1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22751E57">
            <w:pPr>
              <w:rPr>
                <w:rFonts w:hint="eastAsia" w:ascii="宋体" w:hAnsi="宋体" w:eastAsia="宋体" w:cs="Times New Roman"/>
                <w:color w:val="000000"/>
              </w:rPr>
            </w:pPr>
          </w:p>
        </w:tc>
        <w:tc>
          <w:tcPr>
            <w:tcW w:w="3005" w:type="pct"/>
          </w:tcPr>
          <w:p w14:paraId="2173BEE2">
            <w:pPr>
              <w:rPr>
                <w:rFonts w:hint="eastAsia" w:ascii="宋体" w:hAnsi="宋体" w:eastAsia="宋体" w:cs="Times New Roman"/>
                <w:color w:val="000000"/>
              </w:rPr>
            </w:pPr>
          </w:p>
        </w:tc>
        <w:tc>
          <w:tcPr>
            <w:tcW w:w="1065" w:type="pct"/>
            <w:vAlign w:val="center"/>
          </w:tcPr>
          <w:p w14:paraId="20DCED19">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4742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7E939AC8">
            <w:pPr>
              <w:rPr>
                <w:rFonts w:hint="eastAsia" w:ascii="宋体" w:hAnsi="宋体" w:eastAsia="宋体" w:cs="Times New Roman"/>
                <w:color w:val="000000"/>
              </w:rPr>
            </w:pPr>
          </w:p>
        </w:tc>
        <w:tc>
          <w:tcPr>
            <w:tcW w:w="3005" w:type="pct"/>
          </w:tcPr>
          <w:p w14:paraId="019C3F68">
            <w:pPr>
              <w:rPr>
                <w:rFonts w:hint="eastAsia" w:ascii="宋体" w:hAnsi="宋体" w:eastAsia="宋体" w:cs="Times New Roman"/>
                <w:color w:val="000000"/>
              </w:rPr>
            </w:pPr>
          </w:p>
        </w:tc>
        <w:tc>
          <w:tcPr>
            <w:tcW w:w="1065" w:type="pct"/>
            <w:vAlign w:val="center"/>
          </w:tcPr>
          <w:p w14:paraId="0C4F9F22">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1761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64E15624">
            <w:pPr>
              <w:rPr>
                <w:rFonts w:hint="eastAsia" w:ascii="宋体" w:hAnsi="宋体" w:eastAsia="宋体" w:cs="Times New Roman"/>
                <w:color w:val="000000"/>
              </w:rPr>
            </w:pPr>
          </w:p>
        </w:tc>
        <w:tc>
          <w:tcPr>
            <w:tcW w:w="3005" w:type="pct"/>
          </w:tcPr>
          <w:p w14:paraId="0595CA98">
            <w:pPr>
              <w:rPr>
                <w:rFonts w:hint="eastAsia" w:ascii="宋体" w:hAnsi="宋体" w:eastAsia="宋体" w:cs="Times New Roman"/>
                <w:color w:val="000000"/>
              </w:rPr>
            </w:pPr>
          </w:p>
        </w:tc>
        <w:tc>
          <w:tcPr>
            <w:tcW w:w="1065" w:type="pct"/>
            <w:vAlign w:val="center"/>
          </w:tcPr>
          <w:p w14:paraId="3518842A">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r w14:paraId="24A1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14:paraId="6B9AB6E6">
            <w:pPr>
              <w:rPr>
                <w:rFonts w:hint="eastAsia" w:ascii="宋体" w:hAnsi="宋体" w:eastAsia="宋体" w:cs="Times New Roman"/>
                <w:color w:val="000000"/>
              </w:rPr>
            </w:pPr>
          </w:p>
        </w:tc>
        <w:tc>
          <w:tcPr>
            <w:tcW w:w="3005" w:type="pct"/>
          </w:tcPr>
          <w:p w14:paraId="5D9CC7A4">
            <w:pPr>
              <w:rPr>
                <w:rFonts w:hint="eastAsia" w:ascii="宋体" w:hAnsi="宋体" w:eastAsia="宋体" w:cs="Times New Roman"/>
                <w:color w:val="000000"/>
              </w:rPr>
            </w:pPr>
          </w:p>
        </w:tc>
        <w:tc>
          <w:tcPr>
            <w:tcW w:w="1065" w:type="pct"/>
            <w:vAlign w:val="center"/>
          </w:tcPr>
          <w:p w14:paraId="679F7AEE">
            <w:pPr>
              <w:rPr>
                <w:rFonts w:hint="eastAsia" w:ascii="宋体" w:hAnsi="宋体" w:eastAsia="宋体" w:cs="Times New Roman"/>
                <w:color w:val="000000"/>
                <w:szCs w:val="21"/>
              </w:rPr>
            </w:pPr>
            <w:r>
              <w:rPr>
                <w:rFonts w:hint="eastAsia" w:ascii="宋体" w:hAnsi="宋体" w:eastAsia="宋体" w:cs="Times New Roman"/>
                <w:color w:val="000000"/>
                <w:szCs w:val="21"/>
              </w:rPr>
              <w:t>见响应文件第( )页</w:t>
            </w:r>
          </w:p>
        </w:tc>
      </w:tr>
    </w:tbl>
    <w:p w14:paraId="4B0F1EC1">
      <w:pPr>
        <w:spacing w:line="360" w:lineRule="auto"/>
        <w:ind w:left="444" w:hanging="444" w:hangingChars="202"/>
        <w:rPr>
          <w:rFonts w:hint="eastAsia" w:ascii="宋体" w:hAnsi="宋体" w:eastAsia="宋体" w:cs="Times New Roman"/>
          <w:color w:val="000000"/>
          <w:sz w:val="22"/>
          <w:lang w:val="en-GB"/>
        </w:rPr>
      </w:pPr>
      <w:r>
        <w:rPr>
          <w:rFonts w:hint="eastAsia" w:ascii="宋体" w:hAnsi="宋体" w:eastAsia="宋体" w:cs="Times New Roman"/>
          <w:color w:val="000000"/>
          <w:sz w:val="22"/>
          <w:lang w:val="en-GB"/>
        </w:rPr>
        <w:t>注：</w:t>
      </w:r>
      <w:r>
        <w:rPr>
          <w:rFonts w:hint="eastAsia" w:ascii="宋体" w:hAnsi="宋体" w:eastAsia="宋体" w:cs="Times New Roman"/>
          <w:color w:val="000000"/>
          <w:sz w:val="22"/>
        </w:rPr>
        <w:t>此表用于需要进行技术商务评分的项目，供应商应根据磋商文件“第四章 评审”“5.详细评审”的各项内容填写此表</w:t>
      </w:r>
      <w:r>
        <w:rPr>
          <w:rFonts w:hint="eastAsia" w:ascii="宋体" w:hAnsi="宋体" w:eastAsia="宋体" w:cs="Times New Roman"/>
          <w:color w:val="000000"/>
          <w:sz w:val="22"/>
          <w:lang w:val="en-GB"/>
        </w:rPr>
        <w:t>。</w:t>
      </w:r>
    </w:p>
    <w:p w14:paraId="5169E6F9">
      <w:pPr>
        <w:adjustRightInd w:val="0"/>
        <w:snapToGrid w:val="0"/>
        <w:spacing w:line="300" w:lineRule="auto"/>
        <w:ind w:firstLine="537" w:firstLineChars="224"/>
        <w:jc w:val="left"/>
        <w:rPr>
          <w:rFonts w:hint="eastAsia" w:ascii="宋体" w:hAnsi="宋体" w:eastAsia="宋体" w:cs="Times New Roman"/>
          <w:color w:val="000000"/>
          <w:sz w:val="24"/>
          <w:szCs w:val="22"/>
        </w:rPr>
      </w:pPr>
    </w:p>
    <w:p w14:paraId="60069A39">
      <w:pPr>
        <w:adjustRightInd w:val="0"/>
        <w:snapToGrid w:val="0"/>
        <w:spacing w:line="300" w:lineRule="auto"/>
        <w:jc w:val="left"/>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供应商法定代表人/负责人（或授权代表）（签字或盖签字章）：</w:t>
      </w:r>
      <w:r>
        <w:rPr>
          <w:rFonts w:hint="eastAsia" w:ascii="宋体" w:hAnsi="宋体" w:eastAsia="宋体" w:cs="Times New Roman"/>
          <w:color w:val="000000"/>
          <w:sz w:val="22"/>
          <w:szCs w:val="22"/>
          <w:u w:val="single"/>
        </w:rPr>
        <w:t xml:space="preserve">               </w:t>
      </w:r>
    </w:p>
    <w:p w14:paraId="31492AA0">
      <w:pPr>
        <w:adjustRightInd w:val="0"/>
        <w:snapToGrid w:val="0"/>
        <w:spacing w:line="300" w:lineRule="auto"/>
        <w:jc w:val="left"/>
        <w:rPr>
          <w:rFonts w:hint="eastAsia" w:ascii="宋体" w:hAnsi="宋体" w:eastAsia="宋体" w:cs="Times New Roman"/>
          <w:color w:val="000000"/>
          <w:sz w:val="22"/>
          <w:szCs w:val="22"/>
          <w:u w:val="single"/>
        </w:rPr>
      </w:pPr>
      <w:r>
        <w:rPr>
          <w:rFonts w:hint="eastAsia" w:ascii="宋体" w:hAnsi="宋体" w:eastAsia="宋体" w:cs="Times New Roman"/>
          <w:color w:val="000000"/>
          <w:sz w:val="22"/>
          <w:szCs w:val="22"/>
        </w:rPr>
        <w:t>供应商名称（加盖公章）：</w:t>
      </w:r>
      <w:r>
        <w:rPr>
          <w:rFonts w:hint="eastAsia" w:ascii="宋体" w:hAnsi="宋体" w:eastAsia="宋体" w:cs="Times New Roman"/>
          <w:color w:val="000000"/>
          <w:sz w:val="22"/>
          <w:szCs w:val="22"/>
          <w:u w:val="single"/>
        </w:rPr>
        <w:t xml:space="preserve">                        </w:t>
      </w:r>
    </w:p>
    <w:p w14:paraId="62BEE211">
      <w:pPr>
        <w:spacing w:line="360" w:lineRule="auto"/>
        <w:rPr>
          <w:rFonts w:hint="eastAsia" w:ascii="宋体" w:hAnsi="宋体" w:eastAsia="宋体" w:cs="Times New Roman"/>
          <w:sz w:val="24"/>
          <w:szCs w:val="22"/>
        </w:rPr>
      </w:pPr>
      <w:r>
        <w:rPr>
          <w:rFonts w:hint="eastAsia" w:ascii="宋体" w:hAnsi="宋体" w:eastAsia="宋体" w:cs="Times New Roman"/>
          <w:color w:val="000000"/>
          <w:sz w:val="22"/>
          <w:szCs w:val="22"/>
        </w:rPr>
        <w:t>日期：   年   月   日</w:t>
      </w:r>
    </w:p>
    <w:p w14:paraId="63C73734">
      <w:pPr>
        <w:widowControl/>
        <w:jc w:val="left"/>
        <w:rPr>
          <w:rFonts w:hint="eastAsia" w:ascii="宋体" w:hAnsi="宋体" w:eastAsia="宋体" w:cs="Times New Roman"/>
          <w:b/>
          <w:bCs/>
          <w:spacing w:val="10"/>
          <w:kern w:val="0"/>
          <w:sz w:val="28"/>
          <w:szCs w:val="28"/>
        </w:rPr>
      </w:pPr>
      <w:r>
        <w:rPr>
          <w:rFonts w:ascii="宋体" w:hAnsi="宋体" w:eastAsia="宋体" w:cs="Times New Roman"/>
          <w:b/>
          <w:bCs/>
          <w:spacing w:val="10"/>
          <w:kern w:val="0"/>
          <w:sz w:val="28"/>
          <w:szCs w:val="28"/>
        </w:rPr>
        <w:br w:type="page"/>
      </w:r>
    </w:p>
    <w:p w14:paraId="2C2B0EFF">
      <w:pPr>
        <w:spacing w:line="312" w:lineRule="auto"/>
        <w:jc w:val="center"/>
        <w:rPr>
          <w:rFonts w:hint="eastAsia" w:ascii="宋体" w:hAnsi="宋体" w:eastAsia="宋体" w:cs="Times New Roman"/>
          <w:b/>
          <w:bCs/>
          <w:spacing w:val="10"/>
          <w:kern w:val="0"/>
          <w:sz w:val="28"/>
          <w:szCs w:val="28"/>
        </w:rPr>
      </w:pPr>
      <w:r>
        <w:rPr>
          <w:rFonts w:hint="eastAsia" w:ascii="宋体" w:hAnsi="宋体" w:eastAsia="宋体" w:cs="Times New Roman"/>
          <w:b/>
          <w:bCs/>
          <w:spacing w:val="10"/>
          <w:kern w:val="0"/>
          <w:sz w:val="28"/>
          <w:szCs w:val="28"/>
        </w:rPr>
        <w:t>政府采购供应商资格信用承诺函</w:t>
      </w:r>
    </w:p>
    <w:p w14:paraId="2CB34D81">
      <w:pPr>
        <w:rPr>
          <w:rFonts w:hint="eastAsia" w:ascii="宋体" w:hAnsi="宋体" w:eastAsia="宋体" w:cs="仿宋_GB2312"/>
          <w:sz w:val="28"/>
          <w:szCs w:val="28"/>
        </w:rPr>
      </w:pPr>
    </w:p>
    <w:p w14:paraId="6D17D0AB">
      <w:pPr>
        <w:rPr>
          <w:rFonts w:hint="eastAsia" w:ascii="宋体" w:hAnsi="宋体" w:eastAsia="宋体" w:cs="仿宋_GB2312"/>
          <w:sz w:val="28"/>
          <w:szCs w:val="28"/>
        </w:rPr>
      </w:pPr>
      <w:r>
        <w:rPr>
          <w:rFonts w:hint="eastAsia" w:ascii="宋体" w:hAnsi="宋体" w:eastAsia="宋体" w:cs="仿宋_GB2312"/>
          <w:sz w:val="28"/>
          <w:szCs w:val="28"/>
        </w:rPr>
        <w:t>致：（采购人、采购代理机构）</w:t>
      </w:r>
    </w:p>
    <w:p w14:paraId="4E8D30C1">
      <w:pPr>
        <w:ind w:firstLine="560" w:firstLineChars="200"/>
        <w:rPr>
          <w:rFonts w:hint="eastAsia" w:ascii="宋体" w:hAnsi="宋体" w:eastAsia="宋体" w:cs="仿宋_GB2312"/>
          <w:sz w:val="28"/>
          <w:szCs w:val="28"/>
        </w:rPr>
      </w:pPr>
      <w:r>
        <w:rPr>
          <w:rFonts w:hint="eastAsia" w:ascii="宋体" w:hAnsi="宋体" w:eastAsia="宋体" w:cs="仿宋_GB2312"/>
          <w:sz w:val="28"/>
          <w:szCs w:val="28"/>
        </w:rPr>
        <w:t>我方参与</w:t>
      </w:r>
      <w:r>
        <w:rPr>
          <w:rFonts w:hint="eastAsia" w:ascii="宋体" w:hAnsi="宋体" w:eastAsia="宋体" w:cs="仿宋_GB2312"/>
          <w:sz w:val="28"/>
          <w:szCs w:val="28"/>
          <w:u w:val="single"/>
        </w:rPr>
        <w:t>（项目名称）（项目编号：     ）</w:t>
      </w:r>
      <w:r>
        <w:rPr>
          <w:rFonts w:hint="eastAsia" w:ascii="宋体" w:hAnsi="宋体" w:eastAsia="宋体" w:cs="仿宋_GB2312"/>
          <w:sz w:val="28"/>
          <w:szCs w:val="28"/>
        </w:rPr>
        <w:t>的政府采购活动，现承诺如下：</w:t>
      </w:r>
    </w:p>
    <w:p w14:paraId="4877D378">
      <w:pPr>
        <w:ind w:firstLine="560" w:firstLineChars="200"/>
        <w:rPr>
          <w:rFonts w:hint="eastAsia" w:ascii="宋体" w:hAnsi="宋体" w:eastAsia="宋体" w:cs="仿宋_GB2312"/>
          <w:sz w:val="28"/>
          <w:szCs w:val="28"/>
        </w:rPr>
      </w:pPr>
      <w:r>
        <w:rPr>
          <w:rFonts w:hint="eastAsia" w:ascii="宋体" w:hAnsi="宋体" w:eastAsia="宋体" w:cs="仿宋_GB2312"/>
          <w:sz w:val="28"/>
          <w:szCs w:val="28"/>
        </w:rPr>
        <w:t>我方具有符合《中华人民共和国政府采购法》《中华人民共和国政府采购法实施条例》及采购文件资格要求规定良好的商业信誉和健全的财务会计制度；依法缴纳税收和社会保障资金；</w:t>
      </w:r>
      <w:r>
        <w:rPr>
          <w:rFonts w:hint="eastAsia" w:ascii="宋体" w:hAnsi="宋体" w:eastAsia="宋体" w:cs="仿宋_GB2312"/>
          <w:sz w:val="28"/>
          <w:szCs w:val="28"/>
          <w:lang w:val="en-US" w:eastAsia="zh-CN"/>
        </w:rPr>
        <w:t>具备</w:t>
      </w:r>
      <w:r>
        <w:rPr>
          <w:rFonts w:hint="eastAsia" w:ascii="宋体" w:hAnsi="宋体" w:eastAsia="宋体" w:cs="仿宋_GB2312"/>
          <w:sz w:val="28"/>
          <w:szCs w:val="28"/>
        </w:rPr>
        <w:t>履行合同所必需的设备和专业技术能力</w:t>
      </w:r>
      <w:r>
        <w:rPr>
          <w:rFonts w:hint="eastAsia" w:ascii="宋体" w:hAnsi="宋体" w:eastAsia="宋体" w:cs="仿宋_GB2312"/>
          <w:sz w:val="28"/>
          <w:szCs w:val="28"/>
          <w:lang w:eastAsia="zh-CN"/>
        </w:rPr>
        <w:t>；</w:t>
      </w:r>
      <w:r>
        <w:rPr>
          <w:rFonts w:hint="eastAsia" w:ascii="宋体" w:hAnsi="宋体" w:eastAsia="宋体" w:cs="仿宋_GB2312"/>
          <w:sz w:val="28"/>
          <w:szCs w:val="28"/>
        </w:rPr>
        <w:t>参加本项目政府采购活动前三年内，在经营活动中没有重大违法记录。</w:t>
      </w:r>
    </w:p>
    <w:p w14:paraId="459B79BD">
      <w:pPr>
        <w:ind w:firstLine="560" w:firstLineChars="200"/>
        <w:rPr>
          <w:rFonts w:hint="eastAsia" w:ascii="宋体" w:hAnsi="宋体" w:eastAsia="宋体" w:cs="仿宋_GB2312"/>
          <w:sz w:val="28"/>
          <w:szCs w:val="28"/>
        </w:rPr>
      </w:pPr>
      <w:r>
        <w:rPr>
          <w:rFonts w:hint="eastAsia" w:ascii="宋体" w:hAnsi="宋体" w:eastAsia="宋体" w:cs="仿宋_GB2312"/>
          <w:sz w:val="28"/>
          <w:szCs w:val="28"/>
        </w:rPr>
        <w:t>若我方以上承诺不实，自愿承担提供虚假材料谋取中标、成交的法律责任。</w:t>
      </w:r>
    </w:p>
    <w:p w14:paraId="3C56D786">
      <w:pPr>
        <w:ind w:firstLine="560" w:firstLineChars="200"/>
        <w:rPr>
          <w:rFonts w:hint="eastAsia" w:ascii="宋体" w:hAnsi="宋体" w:eastAsia="宋体" w:cs="仿宋_GB2312"/>
          <w:sz w:val="28"/>
          <w:szCs w:val="28"/>
        </w:rPr>
      </w:pPr>
    </w:p>
    <w:p w14:paraId="5F85E851">
      <w:pPr>
        <w:ind w:firstLine="1120" w:firstLineChars="400"/>
        <w:rPr>
          <w:rFonts w:hint="eastAsia" w:ascii="宋体" w:hAnsi="宋体" w:eastAsia="宋体" w:cs="仿宋_GB2312"/>
          <w:sz w:val="28"/>
          <w:szCs w:val="28"/>
          <w:u w:val="single"/>
        </w:rPr>
      </w:pPr>
      <w:r>
        <w:rPr>
          <w:rFonts w:hint="eastAsia" w:ascii="宋体" w:hAnsi="宋体" w:eastAsia="宋体" w:cs="仿宋_GB2312"/>
          <w:sz w:val="28"/>
          <w:szCs w:val="28"/>
        </w:rPr>
        <w:t>承诺供应商（全称并加盖公章）：</w:t>
      </w:r>
      <w:r>
        <w:rPr>
          <w:rFonts w:hint="eastAsia" w:ascii="宋体" w:hAnsi="宋体" w:eastAsia="宋体" w:cs="仿宋_GB2312"/>
          <w:sz w:val="28"/>
          <w:szCs w:val="28"/>
          <w:u w:val="single"/>
        </w:rPr>
        <w:t xml:space="preserve">               </w:t>
      </w:r>
    </w:p>
    <w:p w14:paraId="379DDA57">
      <w:pPr>
        <w:ind w:firstLine="1120" w:firstLineChars="400"/>
        <w:rPr>
          <w:rFonts w:hint="eastAsia" w:ascii="宋体" w:hAnsi="宋体" w:eastAsia="宋体" w:cs="仿宋_GB2312"/>
          <w:sz w:val="28"/>
          <w:szCs w:val="28"/>
          <w:u w:val="single"/>
        </w:rPr>
      </w:pPr>
      <w:r>
        <w:rPr>
          <w:rFonts w:hint="eastAsia" w:ascii="宋体" w:hAnsi="宋体" w:eastAsia="宋体" w:cs="仿宋_GB2312"/>
          <w:sz w:val="28"/>
          <w:szCs w:val="28"/>
        </w:rPr>
        <w:t>日期：</w:t>
      </w:r>
      <w:r>
        <w:rPr>
          <w:rFonts w:hint="eastAsia" w:ascii="宋体" w:hAnsi="宋体" w:eastAsia="宋体" w:cs="仿宋_GB2312"/>
          <w:sz w:val="28"/>
          <w:szCs w:val="28"/>
          <w:u w:val="single"/>
        </w:rPr>
        <w:t xml:space="preserve">                                      </w:t>
      </w:r>
    </w:p>
    <w:p w14:paraId="7382F203">
      <w:pPr>
        <w:rPr>
          <w:rFonts w:hint="eastAsia" w:ascii="宋体" w:hAnsi="宋体" w:eastAsia="宋体" w:cs="仿宋_GB2312"/>
          <w:sz w:val="28"/>
          <w:szCs w:val="28"/>
        </w:rPr>
      </w:pPr>
    </w:p>
    <w:p w14:paraId="2FF8F5F4">
      <w:pPr>
        <w:ind w:firstLine="560" w:firstLineChars="200"/>
        <w:rPr>
          <w:rFonts w:hint="eastAsia" w:ascii="宋体" w:hAnsi="宋体" w:eastAsia="宋体" w:cs="仿宋_GB2312"/>
          <w:sz w:val="28"/>
          <w:szCs w:val="28"/>
        </w:rPr>
      </w:pPr>
      <w:r>
        <w:rPr>
          <w:rFonts w:hint="eastAsia" w:ascii="宋体" w:hAnsi="宋体" w:eastAsia="宋体" w:cs="仿宋_GB2312"/>
          <w:sz w:val="28"/>
          <w:szCs w:val="28"/>
        </w:rPr>
        <w:t>说明：供应商可自行选择是否提供本承诺函，若不提供本承诺函，应按《中华人民共和国政府采购法》《中华人民共和国政府采购法实施条例》及采购文件资格要求提供相应的证明材料。</w:t>
      </w:r>
    </w:p>
    <w:p w14:paraId="665D3661">
      <w:pPr>
        <w:widowControl/>
        <w:jc w:val="left"/>
        <w:rPr>
          <w:rFonts w:hint="eastAsia" w:ascii="宋体" w:hAnsi="宋体" w:eastAsia="宋体" w:cs="仿宋_GB2312"/>
          <w:sz w:val="28"/>
          <w:szCs w:val="28"/>
        </w:rPr>
      </w:pPr>
      <w:r>
        <w:rPr>
          <w:rFonts w:ascii="宋体" w:hAnsi="宋体" w:eastAsia="宋体" w:cs="仿宋_GB2312"/>
          <w:sz w:val="28"/>
          <w:szCs w:val="28"/>
        </w:rPr>
        <w:br w:type="page"/>
      </w:r>
    </w:p>
    <w:p w14:paraId="172E6902">
      <w:r>
        <w:rPr>
          <w:b/>
          <w:sz w:val="28"/>
        </w:rPr>
        <w:t>格式一：</w:t>
      </w:r>
    </w:p>
    <w:p w14:paraId="547711EA">
      <w:pPr>
        <w:jc w:val="center"/>
      </w:pPr>
      <w:r>
        <w:rPr>
          <w:b/>
          <w:sz w:val="24"/>
        </w:rPr>
        <w:t>响 应 承 诺 函</w:t>
      </w:r>
    </w:p>
    <w:p w14:paraId="25766DBA">
      <w:pPr>
        <w:ind w:firstLine="480"/>
        <w:rPr>
          <w:rFonts w:hint="eastAsia" w:eastAsiaTheme="minorEastAsia"/>
          <w:lang w:eastAsia="zh-CN"/>
        </w:rPr>
      </w:pPr>
      <w:r>
        <w:t>致：</w:t>
      </w:r>
      <w:r>
        <w:rPr>
          <w:rFonts w:hint="eastAsia"/>
          <w:lang w:eastAsia="zh-CN"/>
        </w:rPr>
        <w:t>广东志正招标有限公司</w:t>
      </w:r>
    </w:p>
    <w:p w14:paraId="071B86AE">
      <w:pPr>
        <w:ind w:firstLine="480"/>
      </w:pPr>
      <w:r>
        <w:t>你方组织的</w:t>
      </w:r>
      <w:r>
        <w:rPr>
          <w:u w:val="single"/>
        </w:rPr>
        <w:t>“</w:t>
      </w:r>
      <w:r>
        <w:rPr>
          <w:rFonts w:hint="eastAsia"/>
          <w:u w:val="single"/>
          <w:lang w:eastAsia="zh-CN"/>
        </w:rPr>
        <w:t>广州市海珠区中医医院2025-2026年医疗责任保险项目</w:t>
      </w:r>
      <w:r>
        <w:rPr>
          <w:u w:val="single"/>
        </w:rPr>
        <w:t>”</w:t>
      </w:r>
      <w:r>
        <w:t>项目的竞争性磋商[采购项目编号为：</w:t>
      </w:r>
      <w:r>
        <w:rPr>
          <w:rFonts w:hint="eastAsia"/>
          <w:u w:val="single"/>
          <w:lang w:eastAsia="zh-CN"/>
        </w:rPr>
        <w:t>ZZ0250571</w:t>
      </w:r>
      <w:r>
        <w:t>]，我方愿参与响应。</w:t>
      </w:r>
    </w:p>
    <w:p w14:paraId="0F772246">
      <w:pPr>
        <w:ind w:firstLine="480"/>
      </w:pPr>
      <w:r>
        <w:t>我方确认收到贵方提供的</w:t>
      </w:r>
      <w:r>
        <w:rPr>
          <w:u w:val="single"/>
        </w:rPr>
        <w:t>“</w:t>
      </w:r>
      <w:r>
        <w:rPr>
          <w:rFonts w:hint="eastAsia"/>
          <w:u w:val="single"/>
          <w:lang w:eastAsia="zh-CN"/>
        </w:rPr>
        <w:t>广州市海珠区中医医院2025-2026年医疗责任保险项目</w:t>
      </w:r>
      <w:r>
        <w:rPr>
          <w:u w:val="single"/>
        </w:rPr>
        <w:t>”</w:t>
      </w:r>
      <w:r>
        <w:t>项目的磋商文件的全部内容。</w:t>
      </w:r>
    </w:p>
    <w:p w14:paraId="558B8FDB">
      <w:pPr>
        <w:ind w:firstLine="480"/>
      </w:pPr>
      <w: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5020908E">
      <w:pPr>
        <w:ind w:firstLine="480"/>
      </w:pPr>
      <w:r>
        <w:rPr>
          <w:u w:val="single"/>
        </w:rPr>
        <w:t>(供应商名称)</w:t>
      </w:r>
      <w:r>
        <w:t>作为供应商正式授权</w:t>
      </w:r>
      <w:r>
        <w:rPr>
          <w:u w:val="single"/>
        </w:rPr>
        <w:t>(授权代表全名,职务)</w:t>
      </w:r>
      <w:r>
        <w:t>代表我方全权处理有关本响应的一切事宜。</w:t>
      </w:r>
    </w:p>
    <w:p w14:paraId="41DA2617">
      <w:pPr>
        <w:ind w:firstLine="480"/>
      </w:pPr>
      <w:r>
        <w:t>我方已完全明白磋商文件的所有条款要求，并申明如下：</w:t>
      </w:r>
    </w:p>
    <w:p w14:paraId="42F08516">
      <w:pPr>
        <w:ind w:firstLine="480"/>
      </w:pPr>
      <w:r>
        <w:t>（一）按磋商文件提供的全部货物（工程、服务）与相关服务的磋商总价详见《首轮报价表》。</w:t>
      </w:r>
    </w:p>
    <w:p w14:paraId="534EA3EF">
      <w:pPr>
        <w:ind w:firstLine="480"/>
      </w:pPr>
      <w: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14CE57EF">
      <w:pPr>
        <w:ind w:firstLine="480"/>
      </w:pPr>
      <w:r>
        <w:t>（三）我方明白并同意，在规定的开启日之后，响应有效期之内撤回响应或成交后不按规定与采购人签订合同或不提交履约保证金, 则贵方将不予退还响应保证金。</w:t>
      </w:r>
    </w:p>
    <w:p w14:paraId="37BC8F04">
      <w:pPr>
        <w:ind w:firstLine="480"/>
      </w:pPr>
      <w:r>
        <w:t>（四）我方愿意向贵方提供任何与本项报价有关的数据、情况和技术资料。若贵方需要，我方愿意提供我方作出的一切承诺的证明材料。</w:t>
      </w:r>
    </w:p>
    <w:p w14:paraId="77AFDEFF">
      <w:pPr>
        <w:ind w:firstLine="480"/>
      </w:pPr>
      <w:r>
        <w:t>（五）我方理解贵方不一定接受最低磋商价或任何贵方可能收到的响应。</w:t>
      </w:r>
    </w:p>
    <w:p w14:paraId="32650050">
      <w:pPr>
        <w:ind w:firstLine="480"/>
      </w:pPr>
      <w:r>
        <w:t>（六）我方如果成交，将保证履行磋商文件及其澄清、修改文件（如果有）中的全部责任和义务，按质、按量、按期完成《采购需求》及《合同书》中的全部任务。</w:t>
      </w:r>
    </w:p>
    <w:p w14:paraId="68CA8B0F">
      <w:pPr>
        <w:ind w:firstLine="480"/>
      </w:pPr>
      <w:r>
        <w:t>（七）我方作为法律、财务和运作上独立于采购人、采购代理机构的供应商，在此保证所提交的所有文件和全部说明是真实的和正确的。</w:t>
      </w:r>
    </w:p>
    <w:p w14:paraId="10D68E04">
      <w:pPr>
        <w:ind w:firstLine="480"/>
      </w:pPr>
      <w:r>
        <w:t>（八）我方磋商报价已包含应向知识产权所有权人支付的所有相关税费，并保证采购人在中国使用我方提供的货物时，如有第三方提出侵犯其知识产权主张的，责任由我方承担。</w:t>
      </w:r>
    </w:p>
    <w:p w14:paraId="7543A4FA">
      <w:pPr>
        <w:ind w:firstLine="480"/>
      </w:pPr>
      <w:r>
        <w:t>（九）我方接受采购人委托向贵方支付代理服务费，项目总报价已包含代理服务费，如果被确定为成交供应商，承诺向贵方足额支付。（若采购人支付代理服务费，则此条不适用）</w:t>
      </w:r>
    </w:p>
    <w:p w14:paraId="007F36C9">
      <w:pPr>
        <w:ind w:firstLine="480"/>
      </w:pPr>
      <w:r>
        <w:t>（十）我方与其他供应商不存在单位负责人为同一人或者存在直接控股、管理关系。</w:t>
      </w:r>
    </w:p>
    <w:p w14:paraId="3309E2B4">
      <w:pPr>
        <w:ind w:firstLine="480"/>
      </w:pPr>
      <w:r>
        <w:t>（十一）我方承诺未为本项目提供整体设计、规范编制或者项目管理、监理、检测等服务。</w:t>
      </w:r>
    </w:p>
    <w:p w14:paraId="1857FE41">
      <w:pPr>
        <w:ind w:firstLine="480"/>
      </w:pPr>
      <w:r>
        <w:t>（十二）我方未被列入法院失信被执行人名单中。</w:t>
      </w:r>
    </w:p>
    <w:p w14:paraId="731427F7">
      <w:pPr>
        <w:ind w:firstLine="480"/>
      </w:pPr>
      <w:r>
        <w:t>（十三）我方具备《中华人民共和国政府采购法》第二十二条规定的条件，承诺如下：</w:t>
      </w:r>
    </w:p>
    <w:p w14:paraId="49534018">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220B18C">
      <w:pPr>
        <w:ind w:firstLine="480"/>
      </w:pPr>
      <w:r>
        <w:t>（2）我方符合法律、行政法规规定的其他条件。</w:t>
      </w:r>
    </w:p>
    <w:p w14:paraId="215A2EC8">
      <w:pPr>
        <w:ind w:firstLine="480"/>
      </w:pPr>
      <w:r>
        <w:t>以上内容如有虚假或与事实不符的，磋商小组可将我方做无效响应处理，我方愿意承担相应的法律责任。</w:t>
      </w:r>
    </w:p>
    <w:p w14:paraId="18D217E2">
      <w:pPr>
        <w:ind w:firstLine="480"/>
      </w:pPr>
      <w:r>
        <w:t>（十四）我方对在本函及响应文件中所作的所有承诺承担法律责任。</w:t>
      </w:r>
    </w:p>
    <w:p w14:paraId="41453C86">
      <w:pPr>
        <w:ind w:firstLine="480"/>
      </w:pPr>
      <w:r>
        <w:t>（十五）所有与本磋商有关的函件请发往下列地址：</w:t>
      </w:r>
    </w:p>
    <w:p w14:paraId="40771CF9">
      <w:pPr>
        <w:ind w:firstLine="480"/>
      </w:pPr>
      <w:r>
        <w:t>地 址：__________________，邮政编码：__________________</w:t>
      </w:r>
    </w:p>
    <w:p w14:paraId="3E46473F">
      <w:pPr>
        <w:ind w:firstLine="480"/>
      </w:pPr>
      <w:r>
        <w:t>电 话：__________________</w:t>
      </w:r>
    </w:p>
    <w:p w14:paraId="02A8343E">
      <w:pPr>
        <w:ind w:firstLine="480"/>
      </w:pPr>
      <w:r>
        <w:t>传 真：__________________，电子邮箱：__________________</w:t>
      </w:r>
    </w:p>
    <w:p w14:paraId="78A7490D">
      <w:pPr>
        <w:ind w:firstLine="480"/>
      </w:pPr>
      <w:r>
        <w:t>代表姓名：__________________，职 务：__________________</w:t>
      </w:r>
    </w:p>
    <w:p w14:paraId="618AFF00">
      <w:pPr>
        <w:ind w:firstLine="480"/>
      </w:pPr>
    </w:p>
    <w:p w14:paraId="5F7B0ADD">
      <w:pPr>
        <w:ind w:firstLine="480"/>
      </w:pPr>
    </w:p>
    <w:p w14:paraId="49989781">
      <w:pPr>
        <w:ind w:firstLine="480"/>
      </w:pPr>
    </w:p>
    <w:p w14:paraId="16C07F1C">
      <w:pPr>
        <w:ind w:firstLine="480"/>
      </w:pPr>
    </w:p>
    <w:p w14:paraId="613A55C5">
      <w:pPr>
        <w:jc w:val="right"/>
      </w:pPr>
      <w:r>
        <w:t>法定代表人或授权委托人（签字）：__________________</w:t>
      </w:r>
    </w:p>
    <w:p w14:paraId="56FD527D">
      <w:pPr>
        <w:jc w:val="right"/>
      </w:pPr>
      <w:r>
        <w:t>加盖公章：__________________</w:t>
      </w:r>
    </w:p>
    <w:p w14:paraId="14297E0E">
      <w:pPr>
        <w:jc w:val="right"/>
      </w:pPr>
      <w:r>
        <w:t xml:space="preserve"> 日  期：__________________</w:t>
      </w:r>
    </w:p>
    <w:p w14:paraId="56BEB4D2">
      <w:pPr>
        <w:ind w:firstLine="480"/>
      </w:pPr>
    </w:p>
    <w:p w14:paraId="3CF38CB7">
      <w:r>
        <w:t xml:space="preserve"> </w:t>
      </w:r>
    </w:p>
    <w:p w14:paraId="2E5157D3"/>
    <w:p w14:paraId="7344567D">
      <w:pPr>
        <w:widowControl/>
        <w:jc w:val="left"/>
        <w:rPr>
          <w:b/>
          <w:sz w:val="28"/>
        </w:rPr>
      </w:pPr>
      <w:r>
        <w:rPr>
          <w:b/>
          <w:sz w:val="28"/>
        </w:rPr>
        <w:br w:type="page"/>
      </w:r>
    </w:p>
    <w:p w14:paraId="43342CB5">
      <w:r>
        <w:rPr>
          <w:b/>
          <w:sz w:val="28"/>
        </w:rPr>
        <w:t>格式二：</w:t>
      </w:r>
    </w:p>
    <w:p w14:paraId="64A525E7">
      <w:pPr>
        <w:jc w:val="center"/>
      </w:pPr>
      <w:r>
        <w:rPr>
          <w:b/>
          <w:sz w:val="24"/>
        </w:rPr>
        <w:t>首轮报价表</w:t>
      </w:r>
    </w:p>
    <w:p w14:paraId="57BCB92B">
      <w:pPr>
        <w:ind w:firstLine="480"/>
      </w:pPr>
      <w:r>
        <w:t>采购项目编号：</w:t>
      </w:r>
    </w:p>
    <w:p w14:paraId="7FAF9F69">
      <w:pPr>
        <w:ind w:firstLine="480"/>
      </w:pPr>
      <w:r>
        <w:t>项目名称：</w:t>
      </w:r>
    </w:p>
    <w:p w14:paraId="5E1CD49F">
      <w:pPr>
        <w:ind w:firstLine="480"/>
      </w:pPr>
      <w:r>
        <w:t>响应供应商名称：</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2"/>
        <w:gridCol w:w="1993"/>
        <w:gridCol w:w="1993"/>
      </w:tblGrid>
      <w:tr w14:paraId="56DB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176AE69A">
            <w:r>
              <w:t>序号</w:t>
            </w:r>
          </w:p>
        </w:tc>
        <w:tc>
          <w:tcPr>
            <w:tcW w:w="1000" w:type="pct"/>
          </w:tcPr>
          <w:p w14:paraId="5C570BC9">
            <w:r>
              <w:t>采购项目名称/采购包名称</w:t>
            </w:r>
          </w:p>
        </w:tc>
        <w:tc>
          <w:tcPr>
            <w:tcW w:w="1000" w:type="pct"/>
          </w:tcPr>
          <w:p w14:paraId="0DC58792">
            <w:r>
              <w:t>响应报价（元/%）</w:t>
            </w:r>
          </w:p>
        </w:tc>
        <w:tc>
          <w:tcPr>
            <w:tcW w:w="1000" w:type="pct"/>
          </w:tcPr>
          <w:p w14:paraId="22A0CEE1">
            <w:r>
              <w:t>交货或服务期</w:t>
            </w:r>
          </w:p>
        </w:tc>
        <w:tc>
          <w:tcPr>
            <w:tcW w:w="1000" w:type="pct"/>
          </w:tcPr>
          <w:p w14:paraId="31B07EB7">
            <w:r>
              <w:t>交货或服务地点</w:t>
            </w:r>
          </w:p>
        </w:tc>
      </w:tr>
      <w:tr w14:paraId="609A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14:paraId="6E0112DB">
            <w:pPr>
              <w:jc w:val="center"/>
            </w:pPr>
            <w:r>
              <w:t>1</w:t>
            </w:r>
          </w:p>
        </w:tc>
        <w:tc>
          <w:tcPr>
            <w:tcW w:w="1000" w:type="pct"/>
          </w:tcPr>
          <w:p w14:paraId="6F6BC223"/>
        </w:tc>
        <w:tc>
          <w:tcPr>
            <w:tcW w:w="1000" w:type="pct"/>
          </w:tcPr>
          <w:p w14:paraId="6E4A07EF"/>
        </w:tc>
        <w:tc>
          <w:tcPr>
            <w:tcW w:w="1000" w:type="pct"/>
          </w:tcPr>
          <w:p w14:paraId="49D11D80"/>
        </w:tc>
        <w:tc>
          <w:tcPr>
            <w:tcW w:w="1000" w:type="pct"/>
          </w:tcPr>
          <w:p w14:paraId="3F715B0F"/>
        </w:tc>
      </w:tr>
    </w:tbl>
    <w:p w14:paraId="3309861C">
      <w:pPr>
        <w:jc w:val="right"/>
      </w:pPr>
      <w:r>
        <w:t>供应商签章：__________________</w:t>
      </w:r>
    </w:p>
    <w:p w14:paraId="49D17AB4">
      <w:pPr>
        <w:jc w:val="right"/>
      </w:pPr>
      <w:r>
        <w:t>日期： 年 月 日</w:t>
      </w:r>
    </w:p>
    <w:p w14:paraId="16A6817D">
      <w:pPr>
        <w:ind w:firstLine="480"/>
      </w:pPr>
    </w:p>
    <w:p w14:paraId="0F7B80CF">
      <w:r>
        <w:t xml:space="preserve"> </w:t>
      </w:r>
    </w:p>
    <w:p w14:paraId="56B4A30E"/>
    <w:p w14:paraId="68C3B5FF">
      <w:r>
        <w:rPr>
          <w:b/>
          <w:sz w:val="28"/>
        </w:rPr>
        <w:t>格式三：</w:t>
      </w:r>
    </w:p>
    <w:p w14:paraId="5396F43E">
      <w:pPr>
        <w:jc w:val="center"/>
      </w:pPr>
      <w:r>
        <w:rPr>
          <w:b/>
          <w:sz w:val="24"/>
        </w:rPr>
        <w:t>分项报价表</w:t>
      </w:r>
    </w:p>
    <w:p w14:paraId="06243F3D">
      <w:pPr>
        <w:ind w:firstLine="480"/>
      </w:pPr>
      <w:r>
        <w:t>采购项目编号：</w:t>
      </w:r>
    </w:p>
    <w:p w14:paraId="23B797C4">
      <w:pPr>
        <w:ind w:firstLine="480"/>
      </w:pPr>
      <w:r>
        <w:t>项目名称：</w:t>
      </w:r>
    </w:p>
    <w:p w14:paraId="1165D244">
      <w:pPr>
        <w:ind w:firstLine="480"/>
      </w:pPr>
      <w:r>
        <w:t>响应供应商名称：</w:t>
      </w:r>
    </w:p>
    <w:p w14:paraId="22EF93D3">
      <w:pPr>
        <w:ind w:firstLine="480"/>
      </w:pPr>
      <w:r>
        <w:t>采购包：</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995"/>
        <w:gridCol w:w="996"/>
        <w:gridCol w:w="996"/>
        <w:gridCol w:w="996"/>
        <w:gridCol w:w="996"/>
        <w:gridCol w:w="996"/>
        <w:gridCol w:w="996"/>
        <w:gridCol w:w="998"/>
        <w:gridCol w:w="998"/>
      </w:tblGrid>
      <w:tr w14:paraId="680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57B1CE27">
            <w:r>
              <w:t>品目号</w:t>
            </w:r>
          </w:p>
        </w:tc>
        <w:tc>
          <w:tcPr>
            <w:tcW w:w="499" w:type="pct"/>
          </w:tcPr>
          <w:p w14:paraId="11E44E91">
            <w:r>
              <w:t>序号</w:t>
            </w:r>
          </w:p>
        </w:tc>
        <w:tc>
          <w:tcPr>
            <w:tcW w:w="499" w:type="pct"/>
          </w:tcPr>
          <w:p w14:paraId="3512F531">
            <w:r>
              <w:t>服务名称</w:t>
            </w:r>
          </w:p>
        </w:tc>
        <w:tc>
          <w:tcPr>
            <w:tcW w:w="499" w:type="pct"/>
          </w:tcPr>
          <w:p w14:paraId="6F19C546">
            <w:r>
              <w:t>服务范围</w:t>
            </w:r>
          </w:p>
        </w:tc>
        <w:tc>
          <w:tcPr>
            <w:tcW w:w="499" w:type="pct"/>
          </w:tcPr>
          <w:p w14:paraId="59ADF13C">
            <w:r>
              <w:t>服务要求</w:t>
            </w:r>
          </w:p>
        </w:tc>
        <w:tc>
          <w:tcPr>
            <w:tcW w:w="499" w:type="pct"/>
          </w:tcPr>
          <w:p w14:paraId="19E17887">
            <w:r>
              <w:t>服务期限</w:t>
            </w:r>
          </w:p>
        </w:tc>
        <w:tc>
          <w:tcPr>
            <w:tcW w:w="499" w:type="pct"/>
          </w:tcPr>
          <w:p w14:paraId="600B0A2D">
            <w:r>
              <w:t>服务标准</w:t>
            </w:r>
          </w:p>
        </w:tc>
        <w:tc>
          <w:tcPr>
            <w:tcW w:w="499" w:type="pct"/>
          </w:tcPr>
          <w:p w14:paraId="5DADCFB5">
            <w:r>
              <w:t>单价</w:t>
            </w:r>
          </w:p>
        </w:tc>
        <w:tc>
          <w:tcPr>
            <w:tcW w:w="500" w:type="pct"/>
          </w:tcPr>
          <w:p w14:paraId="358CAA39">
            <w:r>
              <w:t>数量</w:t>
            </w:r>
          </w:p>
        </w:tc>
        <w:tc>
          <w:tcPr>
            <w:tcW w:w="500" w:type="pct"/>
          </w:tcPr>
          <w:p w14:paraId="4A25D90A">
            <w:r>
              <w:t>总价</w:t>
            </w:r>
          </w:p>
        </w:tc>
      </w:tr>
      <w:tr w14:paraId="45B7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6C913388">
            <w:pPr>
              <w:jc w:val="center"/>
            </w:pPr>
            <w:r>
              <w:t>1</w:t>
            </w:r>
          </w:p>
        </w:tc>
        <w:tc>
          <w:tcPr>
            <w:tcW w:w="499" w:type="pct"/>
          </w:tcPr>
          <w:p w14:paraId="62DFC90C"/>
        </w:tc>
        <w:tc>
          <w:tcPr>
            <w:tcW w:w="499" w:type="pct"/>
          </w:tcPr>
          <w:p w14:paraId="2E10CFE8"/>
        </w:tc>
        <w:tc>
          <w:tcPr>
            <w:tcW w:w="499" w:type="pct"/>
          </w:tcPr>
          <w:p w14:paraId="6BE539D9"/>
        </w:tc>
        <w:tc>
          <w:tcPr>
            <w:tcW w:w="499" w:type="pct"/>
          </w:tcPr>
          <w:p w14:paraId="642E56C2"/>
        </w:tc>
        <w:tc>
          <w:tcPr>
            <w:tcW w:w="499" w:type="pct"/>
          </w:tcPr>
          <w:p w14:paraId="28691716"/>
        </w:tc>
        <w:tc>
          <w:tcPr>
            <w:tcW w:w="499" w:type="pct"/>
          </w:tcPr>
          <w:p w14:paraId="7F8A199B"/>
        </w:tc>
        <w:tc>
          <w:tcPr>
            <w:tcW w:w="499" w:type="pct"/>
          </w:tcPr>
          <w:p w14:paraId="12C8A3AE"/>
        </w:tc>
        <w:tc>
          <w:tcPr>
            <w:tcW w:w="500" w:type="pct"/>
          </w:tcPr>
          <w:p w14:paraId="4DA6B51E"/>
        </w:tc>
        <w:tc>
          <w:tcPr>
            <w:tcW w:w="500" w:type="pct"/>
          </w:tcPr>
          <w:p w14:paraId="038087D5"/>
        </w:tc>
      </w:tr>
    </w:tbl>
    <w:p w14:paraId="7EA68479">
      <w:pPr>
        <w:jc w:val="right"/>
      </w:pPr>
      <w:r>
        <w:t>供应商签章：__________________</w:t>
      </w:r>
    </w:p>
    <w:p w14:paraId="3C14AD48">
      <w:pPr>
        <w:jc w:val="right"/>
      </w:pPr>
      <w:r>
        <w:t>日期： 年 月 日</w:t>
      </w:r>
    </w:p>
    <w:p w14:paraId="514716B6">
      <w:pPr>
        <w:ind w:firstLine="480"/>
      </w:pPr>
    </w:p>
    <w:p w14:paraId="09FCECC9">
      <w:r>
        <w:t xml:space="preserve"> </w:t>
      </w:r>
    </w:p>
    <w:p w14:paraId="2904FC70"/>
    <w:p w14:paraId="2DE17EE1">
      <w:r>
        <w:rPr>
          <w:b/>
          <w:sz w:val="28"/>
        </w:rPr>
        <w:t>格式四：</w:t>
      </w:r>
    </w:p>
    <w:p w14:paraId="33239D38">
      <w:pPr>
        <w:jc w:val="center"/>
      </w:pPr>
      <w:r>
        <w:rPr>
          <w:b/>
          <w:sz w:val="24"/>
        </w:rPr>
        <w:t>政策适用性说明</w:t>
      </w:r>
    </w:p>
    <w:p w14:paraId="0F9ACC56">
      <w:pPr>
        <w:ind w:firstLine="480"/>
      </w:pPr>
      <w:r>
        <w:t>按照政府采购有关政策的要求，在本次的技术方案中，采用符合政策的小型或微型企业产品、节能产品、环境标志产品，主要产品与核心技术介绍说明如下：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45"/>
        <w:gridCol w:w="1245"/>
        <w:gridCol w:w="1245"/>
        <w:gridCol w:w="1245"/>
        <w:gridCol w:w="1245"/>
        <w:gridCol w:w="1246"/>
        <w:gridCol w:w="1246"/>
      </w:tblGrid>
      <w:tr w14:paraId="3DA7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7B8DA079">
            <w:r>
              <w:t>序号</w:t>
            </w:r>
          </w:p>
        </w:tc>
        <w:tc>
          <w:tcPr>
            <w:tcW w:w="625" w:type="pct"/>
          </w:tcPr>
          <w:p w14:paraId="2CAB6152">
            <w:r>
              <w:t>主要产品/技术名称（规格型号、注册商标）</w:t>
            </w:r>
          </w:p>
        </w:tc>
        <w:tc>
          <w:tcPr>
            <w:tcW w:w="625" w:type="pct"/>
          </w:tcPr>
          <w:p w14:paraId="4209AE59">
            <w:r>
              <w:t>制造商(开发商)</w:t>
            </w:r>
          </w:p>
        </w:tc>
        <w:tc>
          <w:tcPr>
            <w:tcW w:w="625" w:type="pct"/>
          </w:tcPr>
          <w:p w14:paraId="25237B5D">
            <w:r>
              <w:t>制造商企业类型</w:t>
            </w:r>
          </w:p>
        </w:tc>
        <w:tc>
          <w:tcPr>
            <w:tcW w:w="625" w:type="pct"/>
          </w:tcPr>
          <w:p w14:paraId="15BF3904">
            <w:r>
              <w:t>节能产品</w:t>
            </w:r>
          </w:p>
        </w:tc>
        <w:tc>
          <w:tcPr>
            <w:tcW w:w="625" w:type="pct"/>
          </w:tcPr>
          <w:p w14:paraId="79E15FF5">
            <w:r>
              <w:t>环境标志产品</w:t>
            </w:r>
          </w:p>
        </w:tc>
        <w:tc>
          <w:tcPr>
            <w:tcW w:w="625" w:type="pct"/>
          </w:tcPr>
          <w:p w14:paraId="72B7B3E5">
            <w:r>
              <w:t>认证证书编号</w:t>
            </w:r>
          </w:p>
        </w:tc>
        <w:tc>
          <w:tcPr>
            <w:tcW w:w="625" w:type="pct"/>
          </w:tcPr>
          <w:p w14:paraId="73449878">
            <w:r>
              <w:t>该产品报价在总报价中占比（%）</w:t>
            </w:r>
          </w:p>
        </w:tc>
      </w:tr>
      <w:tr w14:paraId="5792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00DA7E4D">
            <w:pPr>
              <w:jc w:val="center"/>
            </w:pPr>
            <w:r>
              <w:t>1</w:t>
            </w:r>
          </w:p>
        </w:tc>
        <w:tc>
          <w:tcPr>
            <w:tcW w:w="625" w:type="pct"/>
          </w:tcPr>
          <w:p w14:paraId="5357D92D"/>
        </w:tc>
        <w:tc>
          <w:tcPr>
            <w:tcW w:w="625" w:type="pct"/>
          </w:tcPr>
          <w:p w14:paraId="2742A0DA"/>
        </w:tc>
        <w:tc>
          <w:tcPr>
            <w:tcW w:w="625" w:type="pct"/>
          </w:tcPr>
          <w:p w14:paraId="2DD087CA"/>
        </w:tc>
        <w:tc>
          <w:tcPr>
            <w:tcW w:w="625" w:type="pct"/>
          </w:tcPr>
          <w:p w14:paraId="41DFA3C8"/>
        </w:tc>
        <w:tc>
          <w:tcPr>
            <w:tcW w:w="625" w:type="pct"/>
          </w:tcPr>
          <w:p w14:paraId="6FD378C4"/>
        </w:tc>
        <w:tc>
          <w:tcPr>
            <w:tcW w:w="625" w:type="pct"/>
          </w:tcPr>
          <w:p w14:paraId="518A96E4"/>
        </w:tc>
        <w:tc>
          <w:tcPr>
            <w:tcW w:w="625" w:type="pct"/>
          </w:tcPr>
          <w:p w14:paraId="5E4456CE"/>
        </w:tc>
      </w:tr>
      <w:tr w14:paraId="5B25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0F4BF5FA">
            <w:pPr>
              <w:jc w:val="center"/>
            </w:pPr>
            <w:r>
              <w:t>2</w:t>
            </w:r>
          </w:p>
        </w:tc>
        <w:tc>
          <w:tcPr>
            <w:tcW w:w="625" w:type="pct"/>
          </w:tcPr>
          <w:p w14:paraId="4710EC84"/>
        </w:tc>
        <w:tc>
          <w:tcPr>
            <w:tcW w:w="625" w:type="pct"/>
          </w:tcPr>
          <w:p w14:paraId="7392FC72"/>
        </w:tc>
        <w:tc>
          <w:tcPr>
            <w:tcW w:w="625" w:type="pct"/>
          </w:tcPr>
          <w:p w14:paraId="02892D23"/>
        </w:tc>
        <w:tc>
          <w:tcPr>
            <w:tcW w:w="625" w:type="pct"/>
          </w:tcPr>
          <w:p w14:paraId="2D367275"/>
        </w:tc>
        <w:tc>
          <w:tcPr>
            <w:tcW w:w="625" w:type="pct"/>
          </w:tcPr>
          <w:p w14:paraId="548FA579"/>
        </w:tc>
        <w:tc>
          <w:tcPr>
            <w:tcW w:w="625" w:type="pct"/>
          </w:tcPr>
          <w:p w14:paraId="71FEAE8A"/>
        </w:tc>
        <w:tc>
          <w:tcPr>
            <w:tcW w:w="625" w:type="pct"/>
          </w:tcPr>
          <w:p w14:paraId="0ECC4AA8"/>
        </w:tc>
      </w:tr>
      <w:tr w14:paraId="7BDD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55AA5552">
            <w:pPr>
              <w:jc w:val="center"/>
            </w:pPr>
            <w:r>
              <w:t>3</w:t>
            </w:r>
          </w:p>
        </w:tc>
        <w:tc>
          <w:tcPr>
            <w:tcW w:w="625" w:type="pct"/>
          </w:tcPr>
          <w:p w14:paraId="396E641D"/>
        </w:tc>
        <w:tc>
          <w:tcPr>
            <w:tcW w:w="625" w:type="pct"/>
          </w:tcPr>
          <w:p w14:paraId="7A8AA1C0"/>
        </w:tc>
        <w:tc>
          <w:tcPr>
            <w:tcW w:w="625" w:type="pct"/>
          </w:tcPr>
          <w:p w14:paraId="2EE309E1"/>
        </w:tc>
        <w:tc>
          <w:tcPr>
            <w:tcW w:w="625" w:type="pct"/>
          </w:tcPr>
          <w:p w14:paraId="30350EBC"/>
        </w:tc>
        <w:tc>
          <w:tcPr>
            <w:tcW w:w="625" w:type="pct"/>
          </w:tcPr>
          <w:p w14:paraId="6459237A"/>
        </w:tc>
        <w:tc>
          <w:tcPr>
            <w:tcW w:w="625" w:type="pct"/>
          </w:tcPr>
          <w:p w14:paraId="1B9125A6"/>
        </w:tc>
        <w:tc>
          <w:tcPr>
            <w:tcW w:w="625" w:type="pct"/>
          </w:tcPr>
          <w:p w14:paraId="0A4B0DCC"/>
        </w:tc>
      </w:tr>
      <w:tr w14:paraId="3C7A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0FB84094">
            <w:pPr>
              <w:jc w:val="center"/>
            </w:pPr>
            <w:r>
              <w:t>4</w:t>
            </w:r>
          </w:p>
        </w:tc>
        <w:tc>
          <w:tcPr>
            <w:tcW w:w="625" w:type="pct"/>
          </w:tcPr>
          <w:p w14:paraId="4FCA1C5C"/>
        </w:tc>
        <w:tc>
          <w:tcPr>
            <w:tcW w:w="625" w:type="pct"/>
          </w:tcPr>
          <w:p w14:paraId="4885FBD4"/>
        </w:tc>
        <w:tc>
          <w:tcPr>
            <w:tcW w:w="625" w:type="pct"/>
          </w:tcPr>
          <w:p w14:paraId="50A3BF58"/>
        </w:tc>
        <w:tc>
          <w:tcPr>
            <w:tcW w:w="625" w:type="pct"/>
          </w:tcPr>
          <w:p w14:paraId="19554FEB"/>
        </w:tc>
        <w:tc>
          <w:tcPr>
            <w:tcW w:w="625" w:type="pct"/>
          </w:tcPr>
          <w:p w14:paraId="019269FC"/>
        </w:tc>
        <w:tc>
          <w:tcPr>
            <w:tcW w:w="625" w:type="pct"/>
          </w:tcPr>
          <w:p w14:paraId="45D40DC6"/>
        </w:tc>
        <w:tc>
          <w:tcPr>
            <w:tcW w:w="625" w:type="pct"/>
          </w:tcPr>
          <w:p w14:paraId="407E2D89"/>
        </w:tc>
      </w:tr>
      <w:tr w14:paraId="20B2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7FEE046C">
            <w:pPr>
              <w:jc w:val="center"/>
            </w:pPr>
            <w:r>
              <w:t>5</w:t>
            </w:r>
          </w:p>
        </w:tc>
        <w:tc>
          <w:tcPr>
            <w:tcW w:w="625" w:type="pct"/>
          </w:tcPr>
          <w:p w14:paraId="5F7F0F94"/>
        </w:tc>
        <w:tc>
          <w:tcPr>
            <w:tcW w:w="625" w:type="pct"/>
          </w:tcPr>
          <w:p w14:paraId="07A25F8E"/>
        </w:tc>
        <w:tc>
          <w:tcPr>
            <w:tcW w:w="625" w:type="pct"/>
          </w:tcPr>
          <w:p w14:paraId="6ECA16C7"/>
        </w:tc>
        <w:tc>
          <w:tcPr>
            <w:tcW w:w="625" w:type="pct"/>
          </w:tcPr>
          <w:p w14:paraId="1B92DC6F"/>
        </w:tc>
        <w:tc>
          <w:tcPr>
            <w:tcW w:w="625" w:type="pct"/>
          </w:tcPr>
          <w:p w14:paraId="0D47D094"/>
        </w:tc>
        <w:tc>
          <w:tcPr>
            <w:tcW w:w="625" w:type="pct"/>
          </w:tcPr>
          <w:p w14:paraId="472D7ABC"/>
        </w:tc>
        <w:tc>
          <w:tcPr>
            <w:tcW w:w="625" w:type="pct"/>
          </w:tcPr>
          <w:p w14:paraId="1E80D522"/>
        </w:tc>
      </w:tr>
      <w:tr w14:paraId="075C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221FA11D">
            <w:r>
              <w:t>...</w:t>
            </w:r>
          </w:p>
        </w:tc>
        <w:tc>
          <w:tcPr>
            <w:tcW w:w="625" w:type="pct"/>
          </w:tcPr>
          <w:p w14:paraId="3505EAA0"/>
        </w:tc>
        <w:tc>
          <w:tcPr>
            <w:tcW w:w="625" w:type="pct"/>
          </w:tcPr>
          <w:p w14:paraId="1E69DAD9"/>
        </w:tc>
        <w:tc>
          <w:tcPr>
            <w:tcW w:w="625" w:type="pct"/>
          </w:tcPr>
          <w:p w14:paraId="3B836F95"/>
        </w:tc>
        <w:tc>
          <w:tcPr>
            <w:tcW w:w="625" w:type="pct"/>
          </w:tcPr>
          <w:p w14:paraId="4395B767"/>
        </w:tc>
        <w:tc>
          <w:tcPr>
            <w:tcW w:w="625" w:type="pct"/>
          </w:tcPr>
          <w:p w14:paraId="1F79C38C"/>
        </w:tc>
        <w:tc>
          <w:tcPr>
            <w:tcW w:w="625" w:type="pct"/>
          </w:tcPr>
          <w:p w14:paraId="525E5A71"/>
        </w:tc>
        <w:tc>
          <w:tcPr>
            <w:tcW w:w="625" w:type="pct"/>
          </w:tcPr>
          <w:p w14:paraId="43309602"/>
        </w:tc>
      </w:tr>
    </w:tbl>
    <w:p w14:paraId="24DAF323">
      <w:pPr>
        <w:ind w:firstLine="480"/>
      </w:pPr>
      <w:r>
        <w:t>注：</w:t>
      </w:r>
    </w:p>
    <w:p w14:paraId="4F993734">
      <w:pPr>
        <w:ind w:firstLine="480"/>
      </w:pPr>
      <w:r>
        <w:t>1.制造商为小型或微型企业时才需要填“制造商企业类型”栏,填写内容为“小型”或“微型”；</w:t>
      </w:r>
    </w:p>
    <w:p w14:paraId="49549973">
      <w:pPr>
        <w:ind w:firstLine="480"/>
      </w:pPr>
      <w:r>
        <w:t>2.“节能产品、环境标志产品”须填写认证证书编号，并在对应“节能产品”、“环境标志产品”栏中勾选，同时提供有效期内的证书复印件（加盖供应商公章）</w:t>
      </w:r>
    </w:p>
    <w:p w14:paraId="22C2B220">
      <w:pPr>
        <w:jc w:val="right"/>
      </w:pPr>
      <w:r>
        <w:t xml:space="preserve"> 供应商名称（盖章）：__________________</w:t>
      </w:r>
    </w:p>
    <w:p w14:paraId="37CC7DC0">
      <w:pPr>
        <w:jc w:val="right"/>
      </w:pPr>
      <w:r>
        <w:t xml:space="preserve"> 日  期：__________________</w:t>
      </w:r>
    </w:p>
    <w:p w14:paraId="53F110AA">
      <w:pPr>
        <w:ind w:firstLine="480"/>
      </w:pPr>
    </w:p>
    <w:p w14:paraId="3A1D8EED">
      <w:r>
        <w:t xml:space="preserve"> </w:t>
      </w:r>
    </w:p>
    <w:p w14:paraId="4AD745E1"/>
    <w:p w14:paraId="5D21BFC2">
      <w:r>
        <w:rPr>
          <w:b/>
          <w:sz w:val="28"/>
        </w:rPr>
        <w:t>格式五：</w:t>
      </w:r>
    </w:p>
    <w:p w14:paraId="536A758C">
      <w:pPr>
        <w:ind w:firstLine="480"/>
      </w:pPr>
      <w:r>
        <w:t>（供应商可使用下述格式，也可使用广东省工商行政管理局统一印制的法定代表人证明书格式）</w:t>
      </w:r>
    </w:p>
    <w:p w14:paraId="5844771E">
      <w:pPr>
        <w:jc w:val="center"/>
      </w:pPr>
      <w:r>
        <w:rPr>
          <w:b/>
          <w:sz w:val="24"/>
        </w:rPr>
        <w:t>法定代表人证明书</w:t>
      </w:r>
    </w:p>
    <w:p w14:paraId="48484EB8">
      <w:pPr>
        <w:ind w:firstLine="480"/>
      </w:pPr>
      <w:r>
        <w:t>_____________现任我单位_____________职务，为法定代表人，特此证明。</w:t>
      </w:r>
    </w:p>
    <w:p w14:paraId="7A99254E">
      <w:pPr>
        <w:ind w:firstLine="480"/>
      </w:pPr>
      <w:r>
        <w:t>有效期限：__________________</w:t>
      </w:r>
    </w:p>
    <w:p w14:paraId="1BE82749">
      <w:pPr>
        <w:ind w:firstLine="480"/>
      </w:pPr>
      <w:r>
        <w:t>附：代表人性别：_____年龄：_________ 身份证号码：__________________</w:t>
      </w:r>
    </w:p>
    <w:p w14:paraId="18CB1671">
      <w:pPr>
        <w:ind w:firstLine="480"/>
      </w:pPr>
      <w:r>
        <w:t>注册号码：____________________企业类型：____________________________</w:t>
      </w:r>
    </w:p>
    <w:p w14:paraId="4F1C528E">
      <w:pPr>
        <w:ind w:firstLine="480"/>
      </w:pPr>
      <w:r>
        <w:t>经营范围：__________________________________________________________</w:t>
      </w:r>
    </w:p>
    <w:p w14:paraId="077093A9">
      <w:pPr>
        <w:ind w:firstLine="480"/>
      </w:pPr>
    </w:p>
    <w:p w14:paraId="18B71F54">
      <w:pPr>
        <w:ind w:firstLine="480"/>
      </w:pPr>
    </w:p>
    <w:p w14:paraId="4200F349">
      <w:pPr>
        <w:jc w:val="right"/>
      </w:pPr>
      <w:r>
        <w:t xml:space="preserve"> 供应商名称（盖章）：__________________</w:t>
      </w:r>
    </w:p>
    <w:p w14:paraId="7DD22C4B">
      <w:pPr>
        <w:jc w:val="right"/>
      </w:pPr>
      <w:r>
        <w:t xml:space="preserve"> 地  址：__________________</w:t>
      </w:r>
    </w:p>
    <w:p w14:paraId="252AFC1F">
      <w:pPr>
        <w:jc w:val="right"/>
      </w:pPr>
      <w:r>
        <w:t xml:space="preserve"> 法定代表人（签字或盖章）：__________________</w:t>
      </w:r>
    </w:p>
    <w:p w14:paraId="2E48C1FC">
      <w:pPr>
        <w:jc w:val="right"/>
      </w:pPr>
      <w:r>
        <w:t xml:space="preserve"> 职  务：__________________</w:t>
      </w:r>
    </w:p>
    <w:p w14:paraId="63DD1806">
      <w:pPr>
        <w:jc w:val="right"/>
      </w:pPr>
      <w:r>
        <w:t xml:space="preserve"> 日  期：__________________</w:t>
      </w:r>
    </w:p>
    <w:p w14:paraId="73F7EF2F">
      <w:pPr>
        <w:ind w:firstLine="480"/>
      </w:pPr>
    </w:p>
    <w:p w14:paraId="35D50013">
      <w:r>
        <w:t xml:space="preserve"> </w:t>
      </w:r>
    </w:p>
    <w:p w14:paraId="1C9A41D6"/>
    <w:p w14:paraId="3ED40B25">
      <w:r>
        <w:rPr>
          <w:b/>
          <w:sz w:val="28"/>
        </w:rPr>
        <w:t>格式六：</w:t>
      </w:r>
    </w:p>
    <w:p w14:paraId="55209D4D">
      <w:pPr>
        <w:jc w:val="center"/>
      </w:pPr>
      <w:r>
        <w:rPr>
          <w:b/>
          <w:sz w:val="24"/>
        </w:rPr>
        <w:t>法定代表人授权书格式</w:t>
      </w:r>
    </w:p>
    <w:p w14:paraId="53B48C4C">
      <w:pPr>
        <w:ind w:firstLine="480"/>
      </w:pPr>
      <w:r>
        <w:t>（对于银行、保险、电信、邮政、铁路等行业以及获得总公司响应授权的分公司，可以提供响应分支机构负责人授权书）</w:t>
      </w:r>
    </w:p>
    <w:p w14:paraId="500AA0C2">
      <w:pPr>
        <w:jc w:val="center"/>
      </w:pPr>
      <w:r>
        <w:rPr>
          <w:b/>
          <w:sz w:val="24"/>
        </w:rPr>
        <w:t>法定代表人授权书</w:t>
      </w:r>
    </w:p>
    <w:p w14:paraId="365791D8">
      <w:pPr>
        <w:ind w:firstLine="480"/>
        <w:rPr>
          <w:rFonts w:hint="eastAsia" w:eastAsiaTheme="minorEastAsia"/>
          <w:lang w:eastAsia="zh-CN"/>
        </w:rPr>
      </w:pPr>
      <w:r>
        <w:t>致：</w:t>
      </w:r>
      <w:r>
        <w:rPr>
          <w:rFonts w:hint="eastAsia"/>
          <w:lang w:eastAsia="zh-CN"/>
        </w:rPr>
        <w:t>广东志正招标有限公司</w:t>
      </w:r>
    </w:p>
    <w:p w14:paraId="55183498">
      <w:pPr>
        <w:ind w:firstLine="480"/>
      </w:pPr>
      <w:r>
        <w:t>本授权书声明：________是注册于</w:t>
      </w:r>
      <w:r>
        <w:rPr>
          <w:u w:val="single"/>
        </w:rPr>
        <w:t>（国家或地区）</w:t>
      </w:r>
      <w:r>
        <w:t>的</w:t>
      </w:r>
      <w:r>
        <w:rPr>
          <w:u w:val="single"/>
        </w:rPr>
        <w:t>（供应商名称）</w:t>
      </w:r>
      <w:r>
        <w:t>的法定代表人，现任________职务，有效证件号码：________________。现授权</w:t>
      </w:r>
      <w:r>
        <w:rPr>
          <w:u w:val="single"/>
        </w:rPr>
        <w:t>（姓名、职务）</w:t>
      </w:r>
      <w:r>
        <w:t>作为我公司的全权代理人，就“</w:t>
      </w:r>
      <w:r>
        <w:rPr>
          <w:rFonts w:hint="eastAsia"/>
          <w:lang w:eastAsia="zh-CN"/>
        </w:rPr>
        <w:t>广州市海珠区中医医院2025-2026年医疗责任保险项目</w:t>
      </w:r>
      <w:r>
        <w:t>”项目采购[采购项目编号为</w:t>
      </w:r>
      <w:r>
        <w:rPr>
          <w:rFonts w:hint="eastAsia"/>
          <w:lang w:eastAsia="zh-CN"/>
        </w:rPr>
        <w:t>ZZ0250571</w:t>
      </w:r>
      <w:r>
        <w:t>]的响应和合同执行，以我方的名义处理一切与之有关的事宜。</w:t>
      </w:r>
    </w:p>
    <w:p w14:paraId="79358F18">
      <w:pPr>
        <w:ind w:firstLine="480"/>
      </w:pPr>
      <w:r>
        <w:t>本授权书于________年________月________日签字生效，特此声明。</w:t>
      </w:r>
    </w:p>
    <w:p w14:paraId="1766F13F">
      <w:pPr>
        <w:jc w:val="right"/>
      </w:pPr>
      <w:r>
        <w:t xml:space="preserve"> 供应商（盖章）：__________________</w:t>
      </w:r>
    </w:p>
    <w:p w14:paraId="589460E7">
      <w:pPr>
        <w:jc w:val="right"/>
      </w:pPr>
      <w:r>
        <w:t xml:space="preserve"> 地  址：__________________</w:t>
      </w:r>
    </w:p>
    <w:p w14:paraId="03E6C2D7">
      <w:pPr>
        <w:jc w:val="right"/>
      </w:pPr>
      <w:r>
        <w:t xml:space="preserve"> 法定代表人（签字或盖章）：__________________</w:t>
      </w:r>
    </w:p>
    <w:p w14:paraId="571C3283">
      <w:pPr>
        <w:jc w:val="right"/>
      </w:pPr>
      <w:r>
        <w:t xml:space="preserve"> 职  务：__________________</w:t>
      </w:r>
    </w:p>
    <w:p w14:paraId="215F27C1">
      <w:pPr>
        <w:jc w:val="right"/>
      </w:pPr>
      <w:r>
        <w:t xml:space="preserve"> 被授权人（签字或盖章）：__________________</w:t>
      </w:r>
    </w:p>
    <w:p w14:paraId="1A9752C9">
      <w:pPr>
        <w:jc w:val="right"/>
      </w:pPr>
      <w:r>
        <w:t xml:space="preserve"> 职  务：__________________</w:t>
      </w:r>
    </w:p>
    <w:p w14:paraId="33E176A2">
      <w:pPr>
        <w:jc w:val="right"/>
      </w:pPr>
      <w:r>
        <w:t xml:space="preserve"> 日  期：__________________</w:t>
      </w:r>
    </w:p>
    <w:p w14:paraId="74EFF4BA">
      <w:pPr>
        <w:ind w:firstLine="480"/>
      </w:pPr>
    </w:p>
    <w:p w14:paraId="6E6DA670">
      <w:r>
        <w:t xml:space="preserve"> </w:t>
      </w:r>
    </w:p>
    <w:p w14:paraId="3779A80F"/>
    <w:p w14:paraId="78F5DAEC">
      <w:r>
        <w:rPr>
          <w:b/>
          <w:sz w:val="28"/>
        </w:rPr>
        <w:t>格式七：</w:t>
      </w:r>
    </w:p>
    <w:p w14:paraId="21AD4AA2">
      <w:pPr>
        <w:jc w:val="center"/>
      </w:pPr>
      <w:r>
        <w:rPr>
          <w:b/>
          <w:sz w:val="24"/>
        </w:rPr>
        <w:t>响应保证金</w:t>
      </w:r>
    </w:p>
    <w:p w14:paraId="398F58A8">
      <w:pPr>
        <w:ind w:firstLine="480"/>
      </w:pPr>
      <w:r>
        <w:rPr>
          <w:rFonts w:hint="eastAsia"/>
          <w:lang w:val="en-US" w:eastAsia="zh-CN"/>
        </w:rPr>
        <w:t>本项目不需要</w:t>
      </w:r>
      <w:r>
        <w:t>。</w:t>
      </w:r>
    </w:p>
    <w:p w14:paraId="7850B300">
      <w:pPr>
        <w:ind w:firstLine="480"/>
      </w:pPr>
    </w:p>
    <w:p w14:paraId="68202CF6">
      <w:r>
        <w:t xml:space="preserve"> </w:t>
      </w:r>
    </w:p>
    <w:p w14:paraId="46D7AD73"/>
    <w:p w14:paraId="73472994">
      <w:r>
        <w:rPr>
          <w:b/>
          <w:sz w:val="28"/>
        </w:rPr>
        <w:t>格式八：</w:t>
      </w:r>
    </w:p>
    <w:p w14:paraId="5D69DBAE">
      <w:pPr>
        <w:jc w:val="center"/>
      </w:pPr>
      <w:r>
        <w:rPr>
          <w:b/>
          <w:sz w:val="24"/>
        </w:rPr>
        <w:t>提供具有独立承担民事责任的能力的证明材料</w:t>
      </w:r>
    </w:p>
    <w:p w14:paraId="1B51817F">
      <w:pPr>
        <w:ind w:firstLine="480"/>
      </w:pPr>
    </w:p>
    <w:p w14:paraId="633A57F3">
      <w:r>
        <w:t xml:space="preserve"> </w:t>
      </w:r>
    </w:p>
    <w:p w14:paraId="4AF95E81"/>
    <w:p w14:paraId="5B122CEE">
      <w:r>
        <w:rPr>
          <w:b/>
          <w:sz w:val="28"/>
        </w:rPr>
        <w:t>格式九：</w:t>
      </w:r>
    </w:p>
    <w:p w14:paraId="1A3866C2">
      <w:pPr>
        <w:jc w:val="center"/>
      </w:pPr>
      <w:r>
        <w:rPr>
          <w:b/>
          <w:sz w:val="24"/>
        </w:rPr>
        <w:t>资格性审查要求的其他资质证明文件</w:t>
      </w:r>
    </w:p>
    <w:p w14:paraId="51AA0256">
      <w:pPr>
        <w:ind w:firstLine="480"/>
      </w:pPr>
      <w:r>
        <w:t>具有履行合同所必需的设备和专业技术能力</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90"/>
        <w:gridCol w:w="2490"/>
        <w:gridCol w:w="2491"/>
        <w:gridCol w:w="2491"/>
      </w:tblGrid>
      <w:tr w14:paraId="34915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4"/>
          </w:tcPr>
          <w:p w14:paraId="035FABF4">
            <w:r>
              <w:t>我单位为本项目实施提供以下设备和专业技术人员：</w:t>
            </w:r>
          </w:p>
        </w:tc>
      </w:tr>
      <w:tr w14:paraId="34021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4947A7A2">
            <w:r>
              <w:t>序号</w:t>
            </w:r>
          </w:p>
        </w:tc>
        <w:tc>
          <w:tcPr>
            <w:tcW w:w="1250" w:type="pct"/>
          </w:tcPr>
          <w:p w14:paraId="73E62713">
            <w:r>
              <w:t>设备名称和专业技术人员</w:t>
            </w:r>
          </w:p>
        </w:tc>
        <w:tc>
          <w:tcPr>
            <w:tcW w:w="1250" w:type="pct"/>
          </w:tcPr>
          <w:p w14:paraId="2A9FCD67">
            <w:r>
              <w:t>数量及单位</w:t>
            </w:r>
          </w:p>
        </w:tc>
        <w:tc>
          <w:tcPr>
            <w:tcW w:w="1250" w:type="pct"/>
          </w:tcPr>
          <w:p w14:paraId="6F0CF5F6">
            <w:r>
              <w:t>备注</w:t>
            </w:r>
          </w:p>
        </w:tc>
      </w:tr>
      <w:tr w14:paraId="71230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1445B9B7">
            <w:pPr>
              <w:jc w:val="center"/>
            </w:pPr>
            <w:r>
              <w:t>1</w:t>
            </w:r>
          </w:p>
        </w:tc>
        <w:tc>
          <w:tcPr>
            <w:tcW w:w="1250" w:type="pct"/>
          </w:tcPr>
          <w:p w14:paraId="13CA93DF"/>
        </w:tc>
        <w:tc>
          <w:tcPr>
            <w:tcW w:w="1250" w:type="pct"/>
          </w:tcPr>
          <w:p w14:paraId="43A53F7A"/>
        </w:tc>
        <w:tc>
          <w:tcPr>
            <w:tcW w:w="1250" w:type="pct"/>
          </w:tcPr>
          <w:p w14:paraId="6D76E32F"/>
        </w:tc>
      </w:tr>
      <w:tr w14:paraId="0CE8F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6EDC21CF">
            <w:pPr>
              <w:jc w:val="center"/>
            </w:pPr>
            <w:r>
              <w:t>2</w:t>
            </w:r>
          </w:p>
        </w:tc>
        <w:tc>
          <w:tcPr>
            <w:tcW w:w="1250" w:type="pct"/>
          </w:tcPr>
          <w:p w14:paraId="2EE23974"/>
        </w:tc>
        <w:tc>
          <w:tcPr>
            <w:tcW w:w="1250" w:type="pct"/>
          </w:tcPr>
          <w:p w14:paraId="41949660"/>
        </w:tc>
        <w:tc>
          <w:tcPr>
            <w:tcW w:w="1250" w:type="pct"/>
          </w:tcPr>
          <w:p w14:paraId="1D7900B5"/>
        </w:tc>
      </w:tr>
      <w:tr w14:paraId="783EC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430DE369">
            <w:pPr>
              <w:jc w:val="center"/>
            </w:pPr>
            <w:r>
              <w:t>3</w:t>
            </w:r>
          </w:p>
        </w:tc>
        <w:tc>
          <w:tcPr>
            <w:tcW w:w="1250" w:type="pct"/>
          </w:tcPr>
          <w:p w14:paraId="3B5CAA38"/>
        </w:tc>
        <w:tc>
          <w:tcPr>
            <w:tcW w:w="1250" w:type="pct"/>
          </w:tcPr>
          <w:p w14:paraId="781CCBE7"/>
        </w:tc>
        <w:tc>
          <w:tcPr>
            <w:tcW w:w="1250" w:type="pct"/>
          </w:tcPr>
          <w:p w14:paraId="106325A3"/>
        </w:tc>
      </w:tr>
      <w:tr w14:paraId="36A19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5467D552">
            <w:r>
              <w:t>…</w:t>
            </w:r>
          </w:p>
        </w:tc>
        <w:tc>
          <w:tcPr>
            <w:tcW w:w="1250" w:type="pct"/>
          </w:tcPr>
          <w:p w14:paraId="5C9BB9B1"/>
        </w:tc>
        <w:tc>
          <w:tcPr>
            <w:tcW w:w="1250" w:type="pct"/>
          </w:tcPr>
          <w:p w14:paraId="2A4B75A5"/>
        </w:tc>
        <w:tc>
          <w:tcPr>
            <w:tcW w:w="1250" w:type="pct"/>
          </w:tcPr>
          <w:p w14:paraId="118DD707"/>
        </w:tc>
      </w:tr>
    </w:tbl>
    <w:p w14:paraId="16754EB1">
      <w:pPr>
        <w:rPr>
          <w:rFonts w:hint="eastAsia" w:asciiTheme="minorEastAsia" w:hAnsiTheme="minorEastAsia"/>
          <w:szCs w:val="21"/>
        </w:rPr>
      </w:pPr>
    </w:p>
    <w:p w14:paraId="7D4DD5A3">
      <w:pPr>
        <w:spacing w:line="312" w:lineRule="auto"/>
        <w:jc w:val="center"/>
        <w:rPr>
          <w:rFonts w:hint="eastAsia" w:cs="Times New Roman" w:asciiTheme="minorEastAsia" w:hAnsiTheme="minorEastAsia"/>
          <w:b/>
          <w:bCs/>
          <w:spacing w:val="10"/>
          <w:kern w:val="0"/>
          <w:szCs w:val="21"/>
        </w:rPr>
      </w:pPr>
      <w:r>
        <w:rPr>
          <w:rFonts w:hint="eastAsia" w:cs="Times New Roman" w:asciiTheme="minorEastAsia" w:hAnsiTheme="minorEastAsia"/>
          <w:b/>
          <w:bCs/>
          <w:spacing w:val="10"/>
          <w:kern w:val="0"/>
          <w:szCs w:val="21"/>
        </w:rPr>
        <w:t>股东构成情况表</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3"/>
        <w:gridCol w:w="1407"/>
        <w:gridCol w:w="313"/>
        <w:gridCol w:w="1562"/>
        <w:gridCol w:w="1648"/>
        <w:gridCol w:w="695"/>
        <w:gridCol w:w="492"/>
        <w:gridCol w:w="602"/>
        <w:gridCol w:w="1249"/>
        <w:gridCol w:w="1251"/>
      </w:tblGrid>
      <w:tr w14:paraId="25DD5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079" w:type="pct"/>
            <w:gridSpan w:val="2"/>
            <w:tcBorders>
              <w:top w:val="single" w:color="auto" w:sz="4" w:space="0"/>
              <w:left w:val="single" w:color="auto" w:sz="4" w:space="0"/>
              <w:bottom w:val="single" w:color="auto" w:sz="4" w:space="0"/>
              <w:right w:val="single" w:color="auto" w:sz="4" w:space="0"/>
            </w:tcBorders>
            <w:vAlign w:val="center"/>
          </w:tcPr>
          <w:p w14:paraId="238A0E04">
            <w:pPr>
              <w:topLinePunct/>
              <w:spacing w:line="440" w:lineRule="exact"/>
              <w:jc w:val="center"/>
              <w:outlineLvl w:val="0"/>
              <w:rPr>
                <w:rFonts w:hint="eastAsia" w:cs="Times New Roman" w:asciiTheme="minorEastAsia" w:hAnsiTheme="minorEastAsia"/>
                <w:szCs w:val="21"/>
              </w:rPr>
            </w:pPr>
            <w:bookmarkStart w:id="71" w:name="_Toc150453425"/>
            <w:bookmarkStart w:id="72" w:name="_Toc144740882"/>
            <w:bookmarkStart w:id="73" w:name="_Toc8682"/>
            <w:r>
              <w:rPr>
                <w:rFonts w:hint="eastAsia" w:cs="Times New Roman" w:asciiTheme="minorEastAsia" w:hAnsiTheme="minorEastAsia"/>
                <w:szCs w:val="21"/>
              </w:rPr>
              <w:t>企业名称</w:t>
            </w:r>
            <w:bookmarkEnd w:id="71"/>
            <w:bookmarkEnd w:id="72"/>
            <w:bookmarkEnd w:id="73"/>
          </w:p>
        </w:tc>
        <w:tc>
          <w:tcPr>
            <w:tcW w:w="3921" w:type="pct"/>
            <w:gridSpan w:val="8"/>
            <w:tcBorders>
              <w:top w:val="single" w:color="auto" w:sz="4" w:space="0"/>
              <w:left w:val="single" w:color="auto" w:sz="4" w:space="0"/>
              <w:bottom w:val="single" w:color="auto" w:sz="4" w:space="0"/>
              <w:right w:val="single" w:color="auto" w:sz="4" w:space="0"/>
            </w:tcBorders>
            <w:vAlign w:val="center"/>
          </w:tcPr>
          <w:p w14:paraId="7C632056">
            <w:pPr>
              <w:topLinePunct/>
              <w:spacing w:line="440" w:lineRule="exact"/>
              <w:jc w:val="center"/>
              <w:outlineLvl w:val="0"/>
              <w:rPr>
                <w:rFonts w:hint="eastAsia" w:cs="Times New Roman" w:asciiTheme="minorEastAsia" w:hAnsiTheme="minorEastAsia"/>
                <w:szCs w:val="21"/>
              </w:rPr>
            </w:pPr>
          </w:p>
        </w:tc>
      </w:tr>
      <w:tr w14:paraId="4A733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79" w:type="pct"/>
            <w:gridSpan w:val="2"/>
            <w:tcBorders>
              <w:top w:val="single" w:color="auto" w:sz="4" w:space="0"/>
              <w:left w:val="single" w:color="auto" w:sz="4" w:space="0"/>
              <w:bottom w:val="single" w:color="auto" w:sz="4" w:space="0"/>
              <w:right w:val="single" w:color="auto" w:sz="4" w:space="0"/>
            </w:tcBorders>
            <w:vAlign w:val="center"/>
          </w:tcPr>
          <w:p w14:paraId="39B879DA">
            <w:pPr>
              <w:topLinePunct/>
              <w:spacing w:line="440" w:lineRule="exact"/>
              <w:jc w:val="center"/>
              <w:outlineLvl w:val="0"/>
              <w:rPr>
                <w:rFonts w:hint="eastAsia" w:cs="Times New Roman" w:asciiTheme="minorEastAsia" w:hAnsiTheme="minorEastAsia"/>
                <w:szCs w:val="21"/>
              </w:rPr>
            </w:pPr>
            <w:bookmarkStart w:id="74" w:name="_Toc144740883"/>
            <w:bookmarkStart w:id="75" w:name="_Toc19163"/>
            <w:bookmarkStart w:id="76" w:name="_Toc150453426"/>
            <w:r>
              <w:rPr>
                <w:rFonts w:hint="eastAsia" w:cs="Times New Roman" w:asciiTheme="minorEastAsia" w:hAnsiTheme="minorEastAsia"/>
                <w:szCs w:val="21"/>
              </w:rPr>
              <w:t>注册地址</w:t>
            </w:r>
            <w:bookmarkEnd w:id="74"/>
            <w:bookmarkEnd w:id="75"/>
            <w:bookmarkEnd w:id="76"/>
          </w:p>
        </w:tc>
        <w:tc>
          <w:tcPr>
            <w:tcW w:w="1768" w:type="pct"/>
            <w:gridSpan w:val="3"/>
            <w:tcBorders>
              <w:top w:val="single" w:color="auto" w:sz="4" w:space="0"/>
              <w:left w:val="single" w:color="auto" w:sz="4" w:space="0"/>
              <w:bottom w:val="single" w:color="auto" w:sz="4" w:space="0"/>
              <w:right w:val="single" w:color="auto" w:sz="4" w:space="0"/>
            </w:tcBorders>
            <w:vAlign w:val="center"/>
          </w:tcPr>
          <w:p w14:paraId="7E7EF512">
            <w:pPr>
              <w:topLinePunct/>
              <w:spacing w:line="440" w:lineRule="exact"/>
              <w:jc w:val="center"/>
              <w:outlineLvl w:val="0"/>
              <w:rPr>
                <w:rFonts w:hint="eastAsia" w:cs="Times New Roman" w:asciiTheme="minorEastAsia" w:hAnsiTheme="minorEastAsia"/>
                <w:szCs w:val="21"/>
              </w:rPr>
            </w:pPr>
          </w:p>
        </w:tc>
        <w:tc>
          <w:tcPr>
            <w:tcW w:w="596" w:type="pct"/>
            <w:gridSpan w:val="2"/>
            <w:tcBorders>
              <w:top w:val="single" w:color="auto" w:sz="4" w:space="0"/>
              <w:left w:val="single" w:color="auto" w:sz="4" w:space="0"/>
              <w:bottom w:val="single" w:color="auto" w:sz="4" w:space="0"/>
              <w:right w:val="single" w:color="auto" w:sz="4" w:space="0"/>
            </w:tcBorders>
            <w:vAlign w:val="center"/>
          </w:tcPr>
          <w:p w14:paraId="12B5CB60">
            <w:pPr>
              <w:topLinePunct/>
              <w:spacing w:line="440" w:lineRule="exact"/>
              <w:jc w:val="center"/>
              <w:outlineLvl w:val="0"/>
              <w:rPr>
                <w:rFonts w:hint="eastAsia" w:cs="Times New Roman" w:asciiTheme="minorEastAsia" w:hAnsiTheme="minorEastAsia"/>
                <w:szCs w:val="21"/>
              </w:rPr>
            </w:pPr>
            <w:bookmarkStart w:id="77" w:name="_Toc27230"/>
            <w:bookmarkStart w:id="78" w:name="_Toc144740884"/>
            <w:bookmarkStart w:id="79" w:name="_Toc150453427"/>
            <w:r>
              <w:rPr>
                <w:rFonts w:hint="eastAsia" w:cs="Times New Roman" w:asciiTheme="minorEastAsia" w:hAnsiTheme="minorEastAsia"/>
                <w:szCs w:val="21"/>
              </w:rPr>
              <w:t>企业类型</w:t>
            </w:r>
            <w:bookmarkEnd w:id="77"/>
            <w:bookmarkEnd w:id="78"/>
            <w:bookmarkEnd w:id="79"/>
          </w:p>
        </w:tc>
        <w:tc>
          <w:tcPr>
            <w:tcW w:w="1557" w:type="pct"/>
            <w:gridSpan w:val="3"/>
            <w:tcBorders>
              <w:top w:val="single" w:color="auto" w:sz="4" w:space="0"/>
              <w:left w:val="single" w:color="auto" w:sz="4" w:space="0"/>
              <w:bottom w:val="single" w:color="auto" w:sz="4" w:space="0"/>
              <w:right w:val="single" w:color="auto" w:sz="4" w:space="0"/>
            </w:tcBorders>
            <w:vAlign w:val="center"/>
          </w:tcPr>
          <w:p w14:paraId="5CF39879">
            <w:pPr>
              <w:topLinePunct/>
              <w:spacing w:line="440" w:lineRule="exact"/>
              <w:jc w:val="center"/>
              <w:outlineLvl w:val="0"/>
              <w:rPr>
                <w:rFonts w:hint="eastAsia" w:cs="Times New Roman" w:asciiTheme="minorEastAsia" w:hAnsiTheme="minorEastAsia"/>
                <w:szCs w:val="21"/>
              </w:rPr>
            </w:pPr>
          </w:p>
        </w:tc>
      </w:tr>
      <w:tr w14:paraId="405B6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079" w:type="pct"/>
            <w:gridSpan w:val="2"/>
            <w:tcBorders>
              <w:top w:val="single" w:color="auto" w:sz="4" w:space="0"/>
              <w:left w:val="single" w:color="auto" w:sz="4" w:space="0"/>
              <w:bottom w:val="single" w:color="auto" w:sz="4" w:space="0"/>
              <w:right w:val="single" w:color="auto" w:sz="4" w:space="0"/>
            </w:tcBorders>
            <w:vAlign w:val="center"/>
          </w:tcPr>
          <w:p w14:paraId="729E186B">
            <w:pPr>
              <w:topLinePunct/>
              <w:spacing w:line="440" w:lineRule="exact"/>
              <w:jc w:val="center"/>
              <w:outlineLvl w:val="0"/>
              <w:rPr>
                <w:rFonts w:hint="eastAsia" w:cs="Times New Roman" w:asciiTheme="minorEastAsia" w:hAnsiTheme="minorEastAsia"/>
                <w:szCs w:val="21"/>
              </w:rPr>
            </w:pPr>
            <w:bookmarkStart w:id="80" w:name="_Toc144740885"/>
            <w:bookmarkStart w:id="81" w:name="_Toc28738"/>
            <w:bookmarkStart w:id="82" w:name="_Toc150453428"/>
            <w:r>
              <w:rPr>
                <w:rFonts w:hint="eastAsia" w:cs="Times New Roman" w:asciiTheme="minorEastAsia" w:hAnsiTheme="minorEastAsia"/>
                <w:szCs w:val="21"/>
              </w:rPr>
              <w:t>法定代表人姓名</w:t>
            </w:r>
            <w:bookmarkEnd w:id="80"/>
            <w:bookmarkEnd w:id="81"/>
            <w:bookmarkEnd w:id="82"/>
          </w:p>
        </w:tc>
        <w:tc>
          <w:tcPr>
            <w:tcW w:w="1768" w:type="pct"/>
            <w:gridSpan w:val="3"/>
            <w:tcBorders>
              <w:top w:val="single" w:color="auto" w:sz="4" w:space="0"/>
              <w:left w:val="single" w:color="auto" w:sz="4" w:space="0"/>
              <w:bottom w:val="single" w:color="auto" w:sz="4" w:space="0"/>
              <w:right w:val="single" w:color="auto" w:sz="4" w:space="0"/>
            </w:tcBorders>
            <w:vAlign w:val="center"/>
          </w:tcPr>
          <w:p w14:paraId="423E54E0">
            <w:pPr>
              <w:topLinePunct/>
              <w:spacing w:line="440" w:lineRule="exact"/>
              <w:jc w:val="center"/>
              <w:outlineLvl w:val="0"/>
              <w:rPr>
                <w:rFonts w:hint="eastAsia" w:cs="Times New Roman" w:asciiTheme="minorEastAsia" w:hAnsiTheme="minorEastAsia"/>
                <w:szCs w:val="21"/>
              </w:rPr>
            </w:pPr>
          </w:p>
        </w:tc>
        <w:tc>
          <w:tcPr>
            <w:tcW w:w="596" w:type="pct"/>
            <w:gridSpan w:val="2"/>
            <w:tcBorders>
              <w:top w:val="single" w:color="auto" w:sz="4" w:space="0"/>
              <w:left w:val="single" w:color="auto" w:sz="4" w:space="0"/>
              <w:bottom w:val="single" w:color="auto" w:sz="4" w:space="0"/>
              <w:right w:val="single" w:color="auto" w:sz="4" w:space="0"/>
            </w:tcBorders>
            <w:vAlign w:val="center"/>
          </w:tcPr>
          <w:p w14:paraId="4D72D450">
            <w:pPr>
              <w:topLinePunct/>
              <w:spacing w:line="440" w:lineRule="exact"/>
              <w:jc w:val="center"/>
              <w:outlineLvl w:val="0"/>
              <w:rPr>
                <w:rFonts w:hint="eastAsia" w:cs="Times New Roman" w:asciiTheme="minorEastAsia" w:hAnsiTheme="minorEastAsia"/>
                <w:szCs w:val="21"/>
              </w:rPr>
            </w:pPr>
            <w:bookmarkStart w:id="83" w:name="_Toc22268"/>
            <w:bookmarkStart w:id="84" w:name="_Toc150453429"/>
            <w:bookmarkStart w:id="85" w:name="_Toc144740886"/>
            <w:r>
              <w:rPr>
                <w:rFonts w:hint="eastAsia" w:cs="Times New Roman" w:asciiTheme="minorEastAsia" w:hAnsiTheme="minorEastAsia"/>
                <w:szCs w:val="21"/>
              </w:rPr>
              <w:t>电话</w:t>
            </w:r>
            <w:bookmarkEnd w:id="83"/>
            <w:bookmarkEnd w:id="84"/>
            <w:bookmarkEnd w:id="85"/>
          </w:p>
        </w:tc>
        <w:tc>
          <w:tcPr>
            <w:tcW w:w="1557" w:type="pct"/>
            <w:gridSpan w:val="3"/>
            <w:tcBorders>
              <w:top w:val="single" w:color="auto" w:sz="4" w:space="0"/>
              <w:left w:val="single" w:color="auto" w:sz="4" w:space="0"/>
              <w:bottom w:val="single" w:color="auto" w:sz="4" w:space="0"/>
              <w:right w:val="single" w:color="auto" w:sz="4" w:space="0"/>
            </w:tcBorders>
            <w:vAlign w:val="center"/>
          </w:tcPr>
          <w:p w14:paraId="2EA36326">
            <w:pPr>
              <w:topLinePunct/>
              <w:spacing w:line="440" w:lineRule="exact"/>
              <w:jc w:val="center"/>
              <w:outlineLvl w:val="0"/>
              <w:rPr>
                <w:rFonts w:hint="eastAsia" w:cs="Times New Roman" w:asciiTheme="minorEastAsia" w:hAnsiTheme="minorEastAsia"/>
                <w:szCs w:val="21"/>
              </w:rPr>
            </w:pPr>
          </w:p>
        </w:tc>
      </w:tr>
      <w:tr w14:paraId="2AED2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38EFD73">
            <w:pPr>
              <w:topLinePunct/>
              <w:spacing w:line="440" w:lineRule="exact"/>
              <w:jc w:val="center"/>
              <w:outlineLvl w:val="0"/>
              <w:rPr>
                <w:rFonts w:hint="eastAsia" w:cs="Times New Roman" w:asciiTheme="minorEastAsia" w:hAnsiTheme="minorEastAsia"/>
                <w:b/>
                <w:szCs w:val="21"/>
              </w:rPr>
            </w:pPr>
            <w:bookmarkStart w:id="86" w:name="_Toc144740887"/>
            <w:bookmarkStart w:id="87" w:name="_Toc150453430"/>
            <w:bookmarkStart w:id="88" w:name="_Toc2187"/>
            <w:r>
              <w:rPr>
                <w:rFonts w:hint="eastAsia" w:cs="Times New Roman" w:asciiTheme="minorEastAsia" w:hAnsiTheme="minorEastAsia"/>
                <w:b/>
                <w:szCs w:val="21"/>
              </w:rPr>
              <w:t>股东及出资信息</w:t>
            </w:r>
            <w:bookmarkEnd w:id="86"/>
            <w:bookmarkEnd w:id="87"/>
            <w:bookmarkEnd w:id="88"/>
          </w:p>
        </w:tc>
      </w:tr>
      <w:tr w14:paraId="6E8FD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41A5F0E0">
            <w:pPr>
              <w:topLinePunct/>
              <w:spacing w:line="440" w:lineRule="exact"/>
              <w:jc w:val="center"/>
              <w:outlineLvl w:val="0"/>
              <w:rPr>
                <w:rFonts w:hint="eastAsia" w:cs="Times New Roman" w:asciiTheme="minorEastAsia" w:hAnsiTheme="minorEastAsia"/>
                <w:b/>
                <w:szCs w:val="21"/>
              </w:rPr>
            </w:pPr>
            <w:bookmarkStart w:id="89" w:name="_Toc5596"/>
            <w:bookmarkStart w:id="90" w:name="_Toc144740888"/>
            <w:bookmarkStart w:id="91" w:name="_Toc150453431"/>
            <w:r>
              <w:rPr>
                <w:rFonts w:hint="eastAsia" w:cs="Times New Roman" w:asciiTheme="minorEastAsia" w:hAnsiTheme="minorEastAsia"/>
                <w:b/>
                <w:szCs w:val="21"/>
              </w:rPr>
              <w:t>序号</w:t>
            </w:r>
            <w:bookmarkEnd w:id="89"/>
            <w:bookmarkEnd w:id="90"/>
            <w:bookmarkEnd w:id="91"/>
          </w:p>
        </w:tc>
        <w:tc>
          <w:tcPr>
            <w:tcW w:w="863" w:type="pct"/>
            <w:gridSpan w:val="2"/>
            <w:tcBorders>
              <w:top w:val="single" w:color="auto" w:sz="4" w:space="0"/>
              <w:left w:val="single" w:color="auto" w:sz="4" w:space="0"/>
              <w:bottom w:val="single" w:color="auto" w:sz="4" w:space="0"/>
              <w:right w:val="single" w:color="auto" w:sz="4" w:space="0"/>
            </w:tcBorders>
            <w:vAlign w:val="center"/>
          </w:tcPr>
          <w:p w14:paraId="4A71172F">
            <w:pPr>
              <w:topLinePunct/>
              <w:spacing w:line="440" w:lineRule="exact"/>
              <w:jc w:val="center"/>
              <w:outlineLvl w:val="0"/>
              <w:rPr>
                <w:rFonts w:hint="eastAsia" w:cs="Times New Roman" w:asciiTheme="minorEastAsia" w:hAnsiTheme="minorEastAsia"/>
                <w:b/>
                <w:szCs w:val="21"/>
              </w:rPr>
            </w:pPr>
            <w:bookmarkStart w:id="92" w:name="_Toc20061"/>
            <w:bookmarkStart w:id="93" w:name="_Toc144740889"/>
            <w:bookmarkStart w:id="94" w:name="_Toc150453432"/>
            <w:r>
              <w:rPr>
                <w:rFonts w:hint="eastAsia" w:cs="Times New Roman" w:asciiTheme="minorEastAsia" w:hAnsiTheme="minorEastAsia"/>
                <w:b/>
                <w:szCs w:val="21"/>
              </w:rPr>
              <w:t>股东名称(姓名/股东全称)</w:t>
            </w:r>
            <w:bookmarkEnd w:id="92"/>
            <w:bookmarkEnd w:id="93"/>
            <w:bookmarkEnd w:id="94"/>
          </w:p>
        </w:tc>
        <w:tc>
          <w:tcPr>
            <w:tcW w:w="784" w:type="pct"/>
            <w:tcBorders>
              <w:top w:val="single" w:color="auto" w:sz="4" w:space="0"/>
              <w:left w:val="single" w:color="auto" w:sz="4" w:space="0"/>
              <w:bottom w:val="single" w:color="auto" w:sz="4" w:space="0"/>
              <w:right w:val="single" w:color="auto" w:sz="4" w:space="0"/>
            </w:tcBorders>
            <w:vAlign w:val="center"/>
          </w:tcPr>
          <w:p w14:paraId="47F4A943">
            <w:pPr>
              <w:topLinePunct/>
              <w:spacing w:line="440" w:lineRule="exact"/>
              <w:jc w:val="center"/>
              <w:outlineLvl w:val="0"/>
              <w:rPr>
                <w:rFonts w:hint="eastAsia" w:cs="Times New Roman" w:asciiTheme="minorEastAsia" w:hAnsiTheme="minorEastAsia"/>
                <w:b/>
                <w:szCs w:val="21"/>
              </w:rPr>
            </w:pPr>
            <w:bookmarkStart w:id="95" w:name="_Toc28720"/>
            <w:bookmarkStart w:id="96" w:name="_Toc144740890"/>
            <w:bookmarkStart w:id="97" w:name="_Toc150453433"/>
            <w:r>
              <w:rPr>
                <w:rFonts w:hint="eastAsia" w:cs="Times New Roman" w:asciiTheme="minorEastAsia" w:hAnsiTheme="minorEastAsia"/>
                <w:b/>
                <w:szCs w:val="21"/>
              </w:rPr>
              <w:t>股东类型</w:t>
            </w:r>
            <w:bookmarkEnd w:id="95"/>
            <w:bookmarkEnd w:id="96"/>
            <w:bookmarkEnd w:id="97"/>
          </w:p>
          <w:p w14:paraId="6708ACF7">
            <w:pPr>
              <w:topLinePunct/>
              <w:spacing w:line="440" w:lineRule="exact"/>
              <w:jc w:val="center"/>
              <w:outlineLvl w:val="0"/>
              <w:rPr>
                <w:rFonts w:hint="eastAsia" w:cs="Times New Roman" w:asciiTheme="minorEastAsia" w:hAnsiTheme="minorEastAsia"/>
                <w:b/>
                <w:szCs w:val="21"/>
              </w:rPr>
            </w:pPr>
            <w:bookmarkStart w:id="98" w:name="_Toc150453434"/>
            <w:bookmarkStart w:id="99" w:name="_Toc8870"/>
            <w:bookmarkStart w:id="100" w:name="_Toc144740891"/>
            <w:r>
              <w:rPr>
                <w:rFonts w:hint="eastAsia" w:cs="Times New Roman" w:asciiTheme="minorEastAsia" w:hAnsiTheme="minorEastAsia"/>
                <w:b/>
                <w:szCs w:val="21"/>
              </w:rPr>
              <w:t>(自然人股东/法人股东)</w:t>
            </w:r>
            <w:bookmarkEnd w:id="98"/>
            <w:bookmarkEnd w:id="99"/>
            <w:bookmarkEnd w:id="100"/>
          </w:p>
        </w:tc>
        <w:tc>
          <w:tcPr>
            <w:tcW w:w="1176" w:type="pct"/>
            <w:gridSpan w:val="2"/>
            <w:tcBorders>
              <w:top w:val="single" w:color="auto" w:sz="4" w:space="0"/>
              <w:left w:val="single" w:color="auto" w:sz="4" w:space="0"/>
              <w:bottom w:val="single" w:color="auto" w:sz="4" w:space="0"/>
              <w:right w:val="single" w:color="auto" w:sz="4" w:space="0"/>
            </w:tcBorders>
            <w:vAlign w:val="center"/>
          </w:tcPr>
          <w:p w14:paraId="487E5EEA">
            <w:pPr>
              <w:topLinePunct/>
              <w:spacing w:line="440" w:lineRule="exact"/>
              <w:jc w:val="center"/>
              <w:outlineLvl w:val="0"/>
              <w:rPr>
                <w:rFonts w:hint="eastAsia" w:cs="Times New Roman" w:asciiTheme="minorEastAsia" w:hAnsiTheme="minorEastAsia"/>
                <w:b/>
                <w:szCs w:val="21"/>
              </w:rPr>
            </w:pPr>
            <w:bookmarkStart w:id="101" w:name="_Toc150453435"/>
            <w:bookmarkStart w:id="102" w:name="_Toc5542"/>
            <w:bookmarkStart w:id="103" w:name="_Toc144740892"/>
            <w:r>
              <w:rPr>
                <w:rFonts w:hint="eastAsia" w:cs="Times New Roman" w:asciiTheme="minorEastAsia" w:hAnsiTheme="minorEastAsia"/>
                <w:b/>
                <w:szCs w:val="21"/>
              </w:rPr>
              <w:t>身份证号</w:t>
            </w:r>
            <w:bookmarkEnd w:id="101"/>
            <w:bookmarkEnd w:id="102"/>
            <w:bookmarkEnd w:id="103"/>
          </w:p>
          <w:p w14:paraId="54971B49">
            <w:pPr>
              <w:topLinePunct/>
              <w:spacing w:line="440" w:lineRule="exact"/>
              <w:jc w:val="center"/>
              <w:outlineLvl w:val="0"/>
              <w:rPr>
                <w:rFonts w:hint="eastAsia" w:cs="Times New Roman" w:asciiTheme="minorEastAsia" w:hAnsiTheme="minorEastAsia"/>
                <w:b/>
                <w:szCs w:val="21"/>
              </w:rPr>
            </w:pPr>
            <w:bookmarkStart w:id="104" w:name="_Toc26348"/>
            <w:bookmarkStart w:id="105" w:name="_Toc144740893"/>
            <w:bookmarkStart w:id="106" w:name="_Toc150453436"/>
            <w:r>
              <w:rPr>
                <w:rFonts w:hint="eastAsia" w:cs="Times New Roman" w:asciiTheme="minorEastAsia" w:hAnsiTheme="minorEastAsia"/>
                <w:b/>
                <w:szCs w:val="21"/>
              </w:rPr>
              <w:t>/统一社会信用代码</w:t>
            </w:r>
            <w:bookmarkEnd w:id="104"/>
            <w:bookmarkEnd w:id="105"/>
            <w:bookmarkEnd w:id="106"/>
          </w:p>
        </w:tc>
        <w:tc>
          <w:tcPr>
            <w:tcW w:w="549" w:type="pct"/>
            <w:gridSpan w:val="2"/>
            <w:tcBorders>
              <w:top w:val="single" w:color="auto" w:sz="4" w:space="0"/>
              <w:left w:val="single" w:color="auto" w:sz="4" w:space="0"/>
              <w:bottom w:val="single" w:color="auto" w:sz="4" w:space="0"/>
              <w:right w:val="single" w:color="auto" w:sz="4" w:space="0"/>
            </w:tcBorders>
            <w:vAlign w:val="center"/>
          </w:tcPr>
          <w:p w14:paraId="1DECD64A">
            <w:pPr>
              <w:topLinePunct/>
              <w:spacing w:line="440" w:lineRule="exact"/>
              <w:jc w:val="center"/>
              <w:outlineLvl w:val="0"/>
              <w:rPr>
                <w:rFonts w:hint="eastAsia" w:cs="Times New Roman" w:asciiTheme="minorEastAsia" w:hAnsiTheme="minorEastAsia"/>
                <w:b/>
                <w:szCs w:val="21"/>
              </w:rPr>
            </w:pPr>
            <w:bookmarkStart w:id="107" w:name="_Toc150453437"/>
            <w:bookmarkStart w:id="108" w:name="_Toc22522"/>
            <w:bookmarkStart w:id="109" w:name="_Toc144740894"/>
            <w:r>
              <w:rPr>
                <w:rFonts w:hint="eastAsia" w:cs="Times New Roman" w:asciiTheme="minorEastAsia" w:hAnsiTheme="minorEastAsia"/>
                <w:b/>
                <w:szCs w:val="21"/>
              </w:rPr>
              <w:t>出资额(万元)</w:t>
            </w:r>
            <w:bookmarkEnd w:id="107"/>
            <w:bookmarkEnd w:id="108"/>
            <w:bookmarkEnd w:id="109"/>
          </w:p>
        </w:tc>
        <w:tc>
          <w:tcPr>
            <w:tcW w:w="627" w:type="pct"/>
            <w:tcBorders>
              <w:top w:val="single" w:color="auto" w:sz="4" w:space="0"/>
              <w:left w:val="single" w:color="auto" w:sz="4" w:space="0"/>
              <w:bottom w:val="single" w:color="auto" w:sz="4" w:space="0"/>
              <w:right w:val="single" w:color="auto" w:sz="4" w:space="0"/>
            </w:tcBorders>
            <w:vAlign w:val="center"/>
          </w:tcPr>
          <w:p w14:paraId="14BB75B7">
            <w:pPr>
              <w:topLinePunct/>
              <w:spacing w:line="440" w:lineRule="exact"/>
              <w:jc w:val="center"/>
              <w:outlineLvl w:val="0"/>
              <w:rPr>
                <w:rFonts w:hint="eastAsia" w:cs="Times New Roman" w:asciiTheme="minorEastAsia" w:hAnsiTheme="minorEastAsia"/>
                <w:b/>
                <w:szCs w:val="21"/>
              </w:rPr>
            </w:pPr>
            <w:bookmarkStart w:id="110" w:name="_Toc144740895"/>
            <w:bookmarkStart w:id="111" w:name="_Toc150453438"/>
            <w:bookmarkStart w:id="112" w:name="_Toc27424"/>
            <w:r>
              <w:rPr>
                <w:rFonts w:hint="eastAsia" w:cs="Times New Roman" w:asciiTheme="minorEastAsia" w:hAnsiTheme="minorEastAsia"/>
                <w:b/>
                <w:szCs w:val="21"/>
              </w:rPr>
              <w:t>出资方式</w:t>
            </w:r>
            <w:bookmarkEnd w:id="110"/>
            <w:bookmarkEnd w:id="111"/>
            <w:bookmarkEnd w:id="112"/>
          </w:p>
        </w:tc>
        <w:tc>
          <w:tcPr>
            <w:tcW w:w="628" w:type="pct"/>
            <w:tcBorders>
              <w:top w:val="single" w:color="auto" w:sz="4" w:space="0"/>
              <w:left w:val="single" w:color="auto" w:sz="4" w:space="0"/>
              <w:bottom w:val="single" w:color="auto" w:sz="4" w:space="0"/>
              <w:right w:val="single" w:color="auto" w:sz="4" w:space="0"/>
            </w:tcBorders>
            <w:vAlign w:val="center"/>
          </w:tcPr>
          <w:p w14:paraId="77239242">
            <w:pPr>
              <w:topLinePunct/>
              <w:spacing w:line="440" w:lineRule="exact"/>
              <w:jc w:val="center"/>
              <w:outlineLvl w:val="0"/>
              <w:rPr>
                <w:rFonts w:hint="eastAsia" w:cs="Times New Roman" w:asciiTheme="minorEastAsia" w:hAnsiTheme="minorEastAsia"/>
                <w:b/>
                <w:szCs w:val="21"/>
              </w:rPr>
            </w:pPr>
            <w:bookmarkStart w:id="113" w:name="_Toc32753"/>
            <w:bookmarkStart w:id="114" w:name="_Toc144740896"/>
            <w:bookmarkStart w:id="115" w:name="_Toc150453439"/>
            <w:r>
              <w:rPr>
                <w:rFonts w:hint="eastAsia" w:cs="Times New Roman" w:asciiTheme="minorEastAsia" w:hAnsiTheme="minorEastAsia"/>
                <w:b/>
                <w:szCs w:val="21"/>
              </w:rPr>
              <w:t>占全部股份比例</w:t>
            </w:r>
            <w:bookmarkEnd w:id="113"/>
            <w:bookmarkEnd w:id="114"/>
            <w:bookmarkEnd w:id="115"/>
          </w:p>
        </w:tc>
      </w:tr>
      <w:tr w14:paraId="3F577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50824F29">
            <w:pPr>
              <w:topLinePunct/>
              <w:spacing w:line="440" w:lineRule="exact"/>
              <w:jc w:val="center"/>
              <w:outlineLvl w:val="0"/>
              <w:rPr>
                <w:rFonts w:hint="eastAsia" w:cs="Times New Roman" w:asciiTheme="minorEastAsia" w:hAnsiTheme="minorEastAsia"/>
                <w:szCs w:val="21"/>
              </w:rPr>
            </w:pPr>
          </w:p>
        </w:tc>
        <w:tc>
          <w:tcPr>
            <w:tcW w:w="863" w:type="pct"/>
            <w:gridSpan w:val="2"/>
            <w:tcBorders>
              <w:top w:val="single" w:color="auto" w:sz="4" w:space="0"/>
              <w:left w:val="single" w:color="auto" w:sz="4" w:space="0"/>
              <w:bottom w:val="single" w:color="auto" w:sz="4" w:space="0"/>
              <w:right w:val="single" w:color="auto" w:sz="4" w:space="0"/>
            </w:tcBorders>
            <w:vAlign w:val="center"/>
          </w:tcPr>
          <w:p w14:paraId="74958F9B">
            <w:pPr>
              <w:topLinePunct/>
              <w:spacing w:line="440" w:lineRule="exact"/>
              <w:jc w:val="center"/>
              <w:outlineLvl w:val="0"/>
              <w:rPr>
                <w:rFonts w:hint="eastAsia" w:cs="Times New Roman" w:asciiTheme="minorEastAsia" w:hAnsiTheme="minorEastAsia"/>
                <w:szCs w:val="21"/>
              </w:rPr>
            </w:pPr>
          </w:p>
        </w:tc>
        <w:tc>
          <w:tcPr>
            <w:tcW w:w="784" w:type="pct"/>
            <w:tcBorders>
              <w:top w:val="single" w:color="auto" w:sz="4" w:space="0"/>
              <w:left w:val="single" w:color="auto" w:sz="4" w:space="0"/>
              <w:bottom w:val="single" w:color="auto" w:sz="4" w:space="0"/>
              <w:right w:val="single" w:color="auto" w:sz="4" w:space="0"/>
            </w:tcBorders>
            <w:vAlign w:val="center"/>
          </w:tcPr>
          <w:p w14:paraId="759952F5">
            <w:pPr>
              <w:topLinePunct/>
              <w:spacing w:line="440" w:lineRule="exact"/>
              <w:jc w:val="center"/>
              <w:outlineLvl w:val="0"/>
              <w:rPr>
                <w:rFonts w:hint="eastAsia" w:cs="Times New Roman" w:asciiTheme="minorEastAsia" w:hAnsiTheme="minorEastAsia"/>
                <w:szCs w:val="21"/>
              </w:rPr>
            </w:pPr>
          </w:p>
        </w:tc>
        <w:tc>
          <w:tcPr>
            <w:tcW w:w="1176" w:type="pct"/>
            <w:gridSpan w:val="2"/>
            <w:tcBorders>
              <w:top w:val="single" w:color="auto" w:sz="4" w:space="0"/>
              <w:left w:val="single" w:color="auto" w:sz="4" w:space="0"/>
              <w:bottom w:val="single" w:color="auto" w:sz="4" w:space="0"/>
              <w:right w:val="single" w:color="auto" w:sz="4" w:space="0"/>
            </w:tcBorders>
            <w:vAlign w:val="center"/>
          </w:tcPr>
          <w:p w14:paraId="005567F6">
            <w:pPr>
              <w:topLinePunct/>
              <w:spacing w:line="440" w:lineRule="exact"/>
              <w:jc w:val="center"/>
              <w:outlineLvl w:val="0"/>
              <w:rPr>
                <w:rFonts w:hint="eastAsia" w:cs="Times New Roman" w:asciiTheme="minorEastAsia" w:hAnsiTheme="minorEastAsia"/>
                <w:szCs w:val="21"/>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14:paraId="3E7DD9EE">
            <w:pPr>
              <w:topLinePunct/>
              <w:spacing w:line="440" w:lineRule="exact"/>
              <w:jc w:val="center"/>
              <w:outlineLvl w:val="0"/>
              <w:rPr>
                <w:rFonts w:hint="eastAsia" w:cs="Times New Roman" w:asciiTheme="minorEastAsia" w:hAnsiTheme="minorEastAsia"/>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761E9F54">
            <w:pPr>
              <w:topLinePunct/>
              <w:spacing w:line="440" w:lineRule="exact"/>
              <w:jc w:val="center"/>
              <w:outlineLvl w:val="0"/>
              <w:rPr>
                <w:rFonts w:hint="eastAsia" w:cs="Times New Roman" w:asciiTheme="minorEastAsia" w:hAnsiTheme="minorEastAsia"/>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6DFDFE89">
            <w:pPr>
              <w:topLinePunct/>
              <w:spacing w:line="440" w:lineRule="exact"/>
              <w:jc w:val="center"/>
              <w:outlineLvl w:val="0"/>
              <w:rPr>
                <w:rFonts w:hint="eastAsia" w:cs="Times New Roman" w:asciiTheme="minorEastAsia" w:hAnsiTheme="minorEastAsia"/>
                <w:szCs w:val="21"/>
              </w:rPr>
            </w:pPr>
          </w:p>
        </w:tc>
      </w:tr>
      <w:tr w14:paraId="59FEB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686AB0CD">
            <w:pPr>
              <w:topLinePunct/>
              <w:spacing w:line="440" w:lineRule="exact"/>
              <w:jc w:val="center"/>
              <w:outlineLvl w:val="0"/>
              <w:rPr>
                <w:rFonts w:hint="eastAsia" w:cs="Times New Roman" w:asciiTheme="minorEastAsia" w:hAnsiTheme="minorEastAsia"/>
                <w:szCs w:val="21"/>
              </w:rPr>
            </w:pPr>
          </w:p>
        </w:tc>
        <w:tc>
          <w:tcPr>
            <w:tcW w:w="863" w:type="pct"/>
            <w:gridSpan w:val="2"/>
            <w:tcBorders>
              <w:top w:val="single" w:color="auto" w:sz="4" w:space="0"/>
              <w:left w:val="single" w:color="auto" w:sz="4" w:space="0"/>
              <w:bottom w:val="single" w:color="auto" w:sz="4" w:space="0"/>
              <w:right w:val="single" w:color="auto" w:sz="4" w:space="0"/>
            </w:tcBorders>
            <w:vAlign w:val="center"/>
          </w:tcPr>
          <w:p w14:paraId="261EA135">
            <w:pPr>
              <w:topLinePunct/>
              <w:spacing w:line="440" w:lineRule="exact"/>
              <w:jc w:val="center"/>
              <w:outlineLvl w:val="0"/>
              <w:rPr>
                <w:rFonts w:hint="eastAsia" w:cs="Times New Roman" w:asciiTheme="minorEastAsia" w:hAnsiTheme="minorEastAsia"/>
                <w:szCs w:val="21"/>
              </w:rPr>
            </w:pPr>
          </w:p>
        </w:tc>
        <w:tc>
          <w:tcPr>
            <w:tcW w:w="784" w:type="pct"/>
            <w:tcBorders>
              <w:top w:val="single" w:color="auto" w:sz="4" w:space="0"/>
              <w:left w:val="single" w:color="auto" w:sz="4" w:space="0"/>
              <w:bottom w:val="single" w:color="auto" w:sz="4" w:space="0"/>
              <w:right w:val="single" w:color="auto" w:sz="4" w:space="0"/>
            </w:tcBorders>
            <w:vAlign w:val="center"/>
          </w:tcPr>
          <w:p w14:paraId="4D0D7381">
            <w:pPr>
              <w:topLinePunct/>
              <w:spacing w:line="440" w:lineRule="exact"/>
              <w:jc w:val="center"/>
              <w:outlineLvl w:val="0"/>
              <w:rPr>
                <w:rFonts w:hint="eastAsia" w:cs="Times New Roman" w:asciiTheme="minorEastAsia" w:hAnsiTheme="minorEastAsia"/>
                <w:szCs w:val="21"/>
              </w:rPr>
            </w:pPr>
          </w:p>
        </w:tc>
        <w:tc>
          <w:tcPr>
            <w:tcW w:w="1176" w:type="pct"/>
            <w:gridSpan w:val="2"/>
            <w:tcBorders>
              <w:top w:val="single" w:color="auto" w:sz="4" w:space="0"/>
              <w:left w:val="single" w:color="auto" w:sz="4" w:space="0"/>
              <w:bottom w:val="single" w:color="auto" w:sz="4" w:space="0"/>
              <w:right w:val="single" w:color="auto" w:sz="4" w:space="0"/>
            </w:tcBorders>
            <w:vAlign w:val="center"/>
          </w:tcPr>
          <w:p w14:paraId="6B9614E3">
            <w:pPr>
              <w:topLinePunct/>
              <w:spacing w:line="440" w:lineRule="exact"/>
              <w:jc w:val="center"/>
              <w:outlineLvl w:val="0"/>
              <w:rPr>
                <w:rFonts w:hint="eastAsia" w:cs="Times New Roman" w:asciiTheme="minorEastAsia" w:hAnsiTheme="minorEastAsia"/>
                <w:szCs w:val="21"/>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14:paraId="5E35CFD5">
            <w:pPr>
              <w:topLinePunct/>
              <w:spacing w:line="440" w:lineRule="exact"/>
              <w:jc w:val="center"/>
              <w:outlineLvl w:val="0"/>
              <w:rPr>
                <w:rFonts w:hint="eastAsia" w:cs="Times New Roman" w:asciiTheme="minorEastAsia" w:hAnsiTheme="minorEastAsia"/>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0E261FEF">
            <w:pPr>
              <w:topLinePunct/>
              <w:spacing w:line="440" w:lineRule="exact"/>
              <w:jc w:val="center"/>
              <w:outlineLvl w:val="0"/>
              <w:rPr>
                <w:rFonts w:hint="eastAsia" w:cs="Times New Roman" w:asciiTheme="minorEastAsia" w:hAnsiTheme="minorEastAsia"/>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7A0649B2">
            <w:pPr>
              <w:topLinePunct/>
              <w:spacing w:line="440" w:lineRule="exact"/>
              <w:jc w:val="center"/>
              <w:outlineLvl w:val="0"/>
              <w:rPr>
                <w:rFonts w:hint="eastAsia" w:cs="Times New Roman" w:asciiTheme="minorEastAsia" w:hAnsiTheme="minorEastAsia"/>
                <w:szCs w:val="21"/>
              </w:rPr>
            </w:pPr>
          </w:p>
        </w:tc>
      </w:tr>
      <w:tr w14:paraId="3C728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2A6FCC0D">
            <w:pPr>
              <w:topLinePunct/>
              <w:spacing w:line="440" w:lineRule="exact"/>
              <w:jc w:val="center"/>
              <w:outlineLvl w:val="0"/>
              <w:rPr>
                <w:rFonts w:hint="eastAsia" w:cs="Times New Roman" w:asciiTheme="minorEastAsia" w:hAnsiTheme="minorEastAsia"/>
                <w:szCs w:val="21"/>
              </w:rPr>
            </w:pPr>
          </w:p>
        </w:tc>
        <w:tc>
          <w:tcPr>
            <w:tcW w:w="863" w:type="pct"/>
            <w:gridSpan w:val="2"/>
            <w:tcBorders>
              <w:top w:val="single" w:color="auto" w:sz="4" w:space="0"/>
              <w:left w:val="single" w:color="auto" w:sz="4" w:space="0"/>
              <w:bottom w:val="single" w:color="auto" w:sz="4" w:space="0"/>
              <w:right w:val="single" w:color="auto" w:sz="4" w:space="0"/>
            </w:tcBorders>
            <w:vAlign w:val="center"/>
          </w:tcPr>
          <w:p w14:paraId="1059120F">
            <w:pPr>
              <w:topLinePunct/>
              <w:spacing w:line="440" w:lineRule="exact"/>
              <w:jc w:val="center"/>
              <w:outlineLvl w:val="0"/>
              <w:rPr>
                <w:rFonts w:hint="eastAsia" w:cs="Times New Roman" w:asciiTheme="minorEastAsia" w:hAnsiTheme="minorEastAsia"/>
                <w:szCs w:val="21"/>
              </w:rPr>
            </w:pPr>
          </w:p>
        </w:tc>
        <w:tc>
          <w:tcPr>
            <w:tcW w:w="784" w:type="pct"/>
            <w:tcBorders>
              <w:top w:val="single" w:color="auto" w:sz="4" w:space="0"/>
              <w:left w:val="single" w:color="auto" w:sz="4" w:space="0"/>
              <w:bottom w:val="single" w:color="auto" w:sz="4" w:space="0"/>
              <w:right w:val="single" w:color="auto" w:sz="4" w:space="0"/>
            </w:tcBorders>
            <w:vAlign w:val="center"/>
          </w:tcPr>
          <w:p w14:paraId="7687B398">
            <w:pPr>
              <w:topLinePunct/>
              <w:spacing w:line="440" w:lineRule="exact"/>
              <w:jc w:val="center"/>
              <w:outlineLvl w:val="0"/>
              <w:rPr>
                <w:rFonts w:hint="eastAsia" w:cs="Times New Roman" w:asciiTheme="minorEastAsia" w:hAnsiTheme="minorEastAsia"/>
                <w:szCs w:val="21"/>
              </w:rPr>
            </w:pPr>
          </w:p>
        </w:tc>
        <w:tc>
          <w:tcPr>
            <w:tcW w:w="1176" w:type="pct"/>
            <w:gridSpan w:val="2"/>
            <w:tcBorders>
              <w:top w:val="single" w:color="auto" w:sz="4" w:space="0"/>
              <w:left w:val="single" w:color="auto" w:sz="4" w:space="0"/>
              <w:bottom w:val="single" w:color="auto" w:sz="4" w:space="0"/>
              <w:right w:val="single" w:color="auto" w:sz="4" w:space="0"/>
            </w:tcBorders>
            <w:vAlign w:val="center"/>
          </w:tcPr>
          <w:p w14:paraId="1996D429">
            <w:pPr>
              <w:topLinePunct/>
              <w:spacing w:line="440" w:lineRule="exact"/>
              <w:jc w:val="center"/>
              <w:outlineLvl w:val="0"/>
              <w:rPr>
                <w:rFonts w:hint="eastAsia" w:cs="Times New Roman" w:asciiTheme="minorEastAsia" w:hAnsiTheme="minorEastAsia"/>
                <w:szCs w:val="21"/>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14:paraId="23970A7B">
            <w:pPr>
              <w:topLinePunct/>
              <w:spacing w:line="440" w:lineRule="exact"/>
              <w:jc w:val="center"/>
              <w:outlineLvl w:val="0"/>
              <w:rPr>
                <w:rFonts w:hint="eastAsia" w:cs="Times New Roman" w:asciiTheme="minorEastAsia" w:hAnsiTheme="minorEastAsia"/>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50D940B2">
            <w:pPr>
              <w:topLinePunct/>
              <w:spacing w:line="440" w:lineRule="exact"/>
              <w:jc w:val="center"/>
              <w:outlineLvl w:val="0"/>
              <w:rPr>
                <w:rFonts w:hint="eastAsia" w:cs="Times New Roman" w:asciiTheme="minorEastAsia" w:hAnsiTheme="minorEastAsia"/>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3A7513D6">
            <w:pPr>
              <w:topLinePunct/>
              <w:spacing w:line="440" w:lineRule="exact"/>
              <w:jc w:val="center"/>
              <w:outlineLvl w:val="0"/>
              <w:rPr>
                <w:rFonts w:hint="eastAsia" w:cs="Times New Roman" w:asciiTheme="minorEastAsia" w:hAnsiTheme="minorEastAsia"/>
                <w:szCs w:val="21"/>
              </w:rPr>
            </w:pPr>
          </w:p>
        </w:tc>
      </w:tr>
      <w:tr w14:paraId="2D112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50D92B1F">
            <w:pPr>
              <w:topLinePunct/>
              <w:spacing w:line="440" w:lineRule="exact"/>
              <w:jc w:val="center"/>
              <w:outlineLvl w:val="0"/>
              <w:rPr>
                <w:rFonts w:hint="eastAsia" w:cs="Times New Roman" w:asciiTheme="minorEastAsia" w:hAnsiTheme="minorEastAsia"/>
                <w:szCs w:val="21"/>
              </w:rPr>
            </w:pPr>
          </w:p>
        </w:tc>
        <w:tc>
          <w:tcPr>
            <w:tcW w:w="863" w:type="pct"/>
            <w:gridSpan w:val="2"/>
            <w:tcBorders>
              <w:top w:val="single" w:color="auto" w:sz="4" w:space="0"/>
              <w:left w:val="single" w:color="auto" w:sz="4" w:space="0"/>
              <w:bottom w:val="single" w:color="auto" w:sz="4" w:space="0"/>
              <w:right w:val="single" w:color="auto" w:sz="4" w:space="0"/>
            </w:tcBorders>
            <w:vAlign w:val="center"/>
          </w:tcPr>
          <w:p w14:paraId="1E07E602">
            <w:pPr>
              <w:topLinePunct/>
              <w:spacing w:line="440" w:lineRule="exact"/>
              <w:jc w:val="center"/>
              <w:outlineLvl w:val="0"/>
              <w:rPr>
                <w:rFonts w:hint="eastAsia" w:cs="Times New Roman" w:asciiTheme="minorEastAsia" w:hAnsiTheme="minorEastAsia"/>
                <w:szCs w:val="21"/>
              </w:rPr>
            </w:pPr>
          </w:p>
        </w:tc>
        <w:tc>
          <w:tcPr>
            <w:tcW w:w="784" w:type="pct"/>
            <w:tcBorders>
              <w:top w:val="single" w:color="auto" w:sz="4" w:space="0"/>
              <w:left w:val="single" w:color="auto" w:sz="4" w:space="0"/>
              <w:bottom w:val="single" w:color="auto" w:sz="4" w:space="0"/>
              <w:right w:val="single" w:color="auto" w:sz="4" w:space="0"/>
            </w:tcBorders>
            <w:vAlign w:val="center"/>
          </w:tcPr>
          <w:p w14:paraId="0FBC4518">
            <w:pPr>
              <w:topLinePunct/>
              <w:spacing w:line="440" w:lineRule="exact"/>
              <w:jc w:val="center"/>
              <w:outlineLvl w:val="0"/>
              <w:rPr>
                <w:rFonts w:hint="eastAsia" w:cs="Times New Roman" w:asciiTheme="minorEastAsia" w:hAnsiTheme="minorEastAsia"/>
                <w:szCs w:val="21"/>
              </w:rPr>
            </w:pPr>
          </w:p>
        </w:tc>
        <w:tc>
          <w:tcPr>
            <w:tcW w:w="1176" w:type="pct"/>
            <w:gridSpan w:val="2"/>
            <w:tcBorders>
              <w:top w:val="single" w:color="auto" w:sz="4" w:space="0"/>
              <w:left w:val="single" w:color="auto" w:sz="4" w:space="0"/>
              <w:bottom w:val="single" w:color="auto" w:sz="4" w:space="0"/>
              <w:right w:val="single" w:color="auto" w:sz="4" w:space="0"/>
            </w:tcBorders>
            <w:vAlign w:val="center"/>
          </w:tcPr>
          <w:p w14:paraId="0378A96A">
            <w:pPr>
              <w:topLinePunct/>
              <w:spacing w:line="440" w:lineRule="exact"/>
              <w:jc w:val="center"/>
              <w:outlineLvl w:val="0"/>
              <w:rPr>
                <w:rFonts w:hint="eastAsia" w:cs="Times New Roman" w:asciiTheme="minorEastAsia" w:hAnsiTheme="minorEastAsia"/>
                <w:szCs w:val="21"/>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14:paraId="29FE6344">
            <w:pPr>
              <w:topLinePunct/>
              <w:spacing w:line="440" w:lineRule="exact"/>
              <w:jc w:val="center"/>
              <w:outlineLvl w:val="0"/>
              <w:rPr>
                <w:rFonts w:hint="eastAsia" w:cs="Times New Roman" w:asciiTheme="minorEastAsia" w:hAnsiTheme="minorEastAsia"/>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5F6DC3C2">
            <w:pPr>
              <w:topLinePunct/>
              <w:spacing w:line="440" w:lineRule="exact"/>
              <w:jc w:val="center"/>
              <w:outlineLvl w:val="0"/>
              <w:rPr>
                <w:rFonts w:hint="eastAsia" w:cs="Times New Roman" w:asciiTheme="minorEastAsia" w:hAnsiTheme="minorEastAsia"/>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0ED33698">
            <w:pPr>
              <w:topLinePunct/>
              <w:spacing w:line="440" w:lineRule="exact"/>
              <w:jc w:val="center"/>
              <w:outlineLvl w:val="0"/>
              <w:rPr>
                <w:rFonts w:hint="eastAsia" w:cs="Times New Roman" w:asciiTheme="minorEastAsia" w:hAnsiTheme="minorEastAsia"/>
                <w:szCs w:val="21"/>
              </w:rPr>
            </w:pPr>
          </w:p>
        </w:tc>
      </w:tr>
      <w:tr w14:paraId="3FD7F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40284F9A">
            <w:pPr>
              <w:topLinePunct/>
              <w:spacing w:line="440" w:lineRule="exact"/>
              <w:jc w:val="center"/>
              <w:outlineLvl w:val="0"/>
              <w:rPr>
                <w:rFonts w:hint="eastAsia" w:cs="Times New Roman" w:asciiTheme="minorEastAsia" w:hAnsiTheme="minorEastAsia"/>
                <w:szCs w:val="21"/>
              </w:rPr>
            </w:pPr>
          </w:p>
        </w:tc>
        <w:tc>
          <w:tcPr>
            <w:tcW w:w="863" w:type="pct"/>
            <w:gridSpan w:val="2"/>
            <w:tcBorders>
              <w:top w:val="single" w:color="auto" w:sz="4" w:space="0"/>
              <w:left w:val="single" w:color="auto" w:sz="4" w:space="0"/>
              <w:bottom w:val="single" w:color="auto" w:sz="4" w:space="0"/>
              <w:right w:val="single" w:color="auto" w:sz="4" w:space="0"/>
            </w:tcBorders>
            <w:vAlign w:val="center"/>
          </w:tcPr>
          <w:p w14:paraId="66E72393">
            <w:pPr>
              <w:topLinePunct/>
              <w:spacing w:line="440" w:lineRule="exact"/>
              <w:jc w:val="center"/>
              <w:outlineLvl w:val="0"/>
              <w:rPr>
                <w:rFonts w:hint="eastAsia" w:cs="Times New Roman" w:asciiTheme="minorEastAsia" w:hAnsiTheme="minorEastAsia"/>
                <w:szCs w:val="21"/>
              </w:rPr>
            </w:pPr>
          </w:p>
        </w:tc>
        <w:tc>
          <w:tcPr>
            <w:tcW w:w="784" w:type="pct"/>
            <w:tcBorders>
              <w:top w:val="single" w:color="auto" w:sz="4" w:space="0"/>
              <w:left w:val="single" w:color="auto" w:sz="4" w:space="0"/>
              <w:bottom w:val="single" w:color="auto" w:sz="4" w:space="0"/>
              <w:right w:val="single" w:color="auto" w:sz="4" w:space="0"/>
            </w:tcBorders>
            <w:vAlign w:val="center"/>
          </w:tcPr>
          <w:p w14:paraId="2A61C6C1">
            <w:pPr>
              <w:topLinePunct/>
              <w:spacing w:line="440" w:lineRule="exact"/>
              <w:jc w:val="center"/>
              <w:outlineLvl w:val="0"/>
              <w:rPr>
                <w:rFonts w:hint="eastAsia" w:cs="Times New Roman" w:asciiTheme="minorEastAsia" w:hAnsiTheme="minorEastAsia"/>
                <w:szCs w:val="21"/>
              </w:rPr>
            </w:pPr>
          </w:p>
        </w:tc>
        <w:tc>
          <w:tcPr>
            <w:tcW w:w="1176" w:type="pct"/>
            <w:gridSpan w:val="2"/>
            <w:tcBorders>
              <w:top w:val="single" w:color="auto" w:sz="4" w:space="0"/>
              <w:left w:val="single" w:color="auto" w:sz="4" w:space="0"/>
              <w:bottom w:val="single" w:color="auto" w:sz="4" w:space="0"/>
              <w:right w:val="single" w:color="auto" w:sz="4" w:space="0"/>
            </w:tcBorders>
            <w:vAlign w:val="center"/>
          </w:tcPr>
          <w:p w14:paraId="76957C6F">
            <w:pPr>
              <w:topLinePunct/>
              <w:spacing w:line="440" w:lineRule="exact"/>
              <w:jc w:val="center"/>
              <w:outlineLvl w:val="0"/>
              <w:rPr>
                <w:rFonts w:hint="eastAsia" w:cs="Times New Roman" w:asciiTheme="minorEastAsia" w:hAnsiTheme="minorEastAsia"/>
                <w:szCs w:val="21"/>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14:paraId="0C6663AB">
            <w:pPr>
              <w:topLinePunct/>
              <w:spacing w:line="440" w:lineRule="exact"/>
              <w:jc w:val="center"/>
              <w:outlineLvl w:val="0"/>
              <w:rPr>
                <w:rFonts w:hint="eastAsia" w:cs="Times New Roman" w:asciiTheme="minorEastAsia" w:hAnsiTheme="minorEastAsia"/>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39E9270D">
            <w:pPr>
              <w:topLinePunct/>
              <w:spacing w:line="440" w:lineRule="exact"/>
              <w:jc w:val="center"/>
              <w:outlineLvl w:val="0"/>
              <w:rPr>
                <w:rFonts w:hint="eastAsia" w:cs="Times New Roman" w:asciiTheme="minorEastAsia" w:hAnsiTheme="minorEastAsia"/>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1FCCCEF9">
            <w:pPr>
              <w:topLinePunct/>
              <w:spacing w:line="440" w:lineRule="exact"/>
              <w:jc w:val="center"/>
              <w:outlineLvl w:val="0"/>
              <w:rPr>
                <w:rFonts w:hint="eastAsia" w:cs="Times New Roman" w:asciiTheme="minorEastAsia" w:hAnsiTheme="minorEastAsia"/>
                <w:szCs w:val="21"/>
              </w:rPr>
            </w:pPr>
          </w:p>
        </w:tc>
      </w:tr>
      <w:tr w14:paraId="24115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78DDEC76">
            <w:pPr>
              <w:topLinePunct/>
              <w:spacing w:line="440" w:lineRule="exact"/>
              <w:jc w:val="center"/>
              <w:outlineLvl w:val="0"/>
              <w:rPr>
                <w:rFonts w:hint="eastAsia" w:cs="Times New Roman" w:asciiTheme="minorEastAsia" w:hAnsiTheme="minorEastAsia"/>
                <w:szCs w:val="21"/>
              </w:rPr>
            </w:pPr>
          </w:p>
        </w:tc>
        <w:tc>
          <w:tcPr>
            <w:tcW w:w="863" w:type="pct"/>
            <w:gridSpan w:val="2"/>
            <w:tcBorders>
              <w:top w:val="single" w:color="auto" w:sz="4" w:space="0"/>
              <w:left w:val="single" w:color="auto" w:sz="4" w:space="0"/>
              <w:bottom w:val="single" w:color="auto" w:sz="4" w:space="0"/>
              <w:right w:val="single" w:color="auto" w:sz="4" w:space="0"/>
            </w:tcBorders>
            <w:vAlign w:val="center"/>
          </w:tcPr>
          <w:p w14:paraId="108E0203">
            <w:pPr>
              <w:topLinePunct/>
              <w:spacing w:line="440" w:lineRule="exact"/>
              <w:jc w:val="center"/>
              <w:outlineLvl w:val="0"/>
              <w:rPr>
                <w:rFonts w:hint="eastAsia" w:cs="Times New Roman" w:asciiTheme="minorEastAsia" w:hAnsiTheme="minorEastAsia"/>
                <w:szCs w:val="21"/>
              </w:rPr>
            </w:pPr>
          </w:p>
        </w:tc>
        <w:tc>
          <w:tcPr>
            <w:tcW w:w="784" w:type="pct"/>
            <w:tcBorders>
              <w:top w:val="single" w:color="auto" w:sz="4" w:space="0"/>
              <w:left w:val="single" w:color="auto" w:sz="4" w:space="0"/>
              <w:bottom w:val="single" w:color="auto" w:sz="4" w:space="0"/>
              <w:right w:val="single" w:color="auto" w:sz="4" w:space="0"/>
            </w:tcBorders>
            <w:vAlign w:val="center"/>
          </w:tcPr>
          <w:p w14:paraId="6CE7718A">
            <w:pPr>
              <w:topLinePunct/>
              <w:spacing w:line="440" w:lineRule="exact"/>
              <w:jc w:val="center"/>
              <w:outlineLvl w:val="0"/>
              <w:rPr>
                <w:rFonts w:hint="eastAsia" w:cs="Times New Roman" w:asciiTheme="minorEastAsia" w:hAnsiTheme="minorEastAsia"/>
                <w:szCs w:val="21"/>
              </w:rPr>
            </w:pPr>
          </w:p>
        </w:tc>
        <w:tc>
          <w:tcPr>
            <w:tcW w:w="1176" w:type="pct"/>
            <w:gridSpan w:val="2"/>
            <w:tcBorders>
              <w:top w:val="single" w:color="auto" w:sz="4" w:space="0"/>
              <w:left w:val="single" w:color="auto" w:sz="4" w:space="0"/>
              <w:bottom w:val="single" w:color="auto" w:sz="4" w:space="0"/>
              <w:right w:val="single" w:color="auto" w:sz="4" w:space="0"/>
            </w:tcBorders>
            <w:vAlign w:val="center"/>
          </w:tcPr>
          <w:p w14:paraId="49E2AE79">
            <w:pPr>
              <w:topLinePunct/>
              <w:spacing w:line="440" w:lineRule="exact"/>
              <w:jc w:val="center"/>
              <w:outlineLvl w:val="0"/>
              <w:rPr>
                <w:rFonts w:hint="eastAsia" w:cs="Times New Roman" w:asciiTheme="minorEastAsia" w:hAnsiTheme="minorEastAsia"/>
                <w:szCs w:val="21"/>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14:paraId="33D7E31A">
            <w:pPr>
              <w:topLinePunct/>
              <w:spacing w:line="440" w:lineRule="exact"/>
              <w:jc w:val="center"/>
              <w:outlineLvl w:val="0"/>
              <w:rPr>
                <w:rFonts w:hint="eastAsia" w:cs="Times New Roman" w:asciiTheme="minorEastAsia" w:hAnsiTheme="minorEastAsia"/>
                <w:szCs w:val="21"/>
              </w:rPr>
            </w:pPr>
          </w:p>
        </w:tc>
        <w:tc>
          <w:tcPr>
            <w:tcW w:w="627" w:type="pct"/>
            <w:tcBorders>
              <w:top w:val="single" w:color="auto" w:sz="4" w:space="0"/>
              <w:left w:val="single" w:color="auto" w:sz="4" w:space="0"/>
              <w:bottom w:val="single" w:color="auto" w:sz="4" w:space="0"/>
              <w:right w:val="single" w:color="auto" w:sz="4" w:space="0"/>
            </w:tcBorders>
            <w:vAlign w:val="center"/>
          </w:tcPr>
          <w:p w14:paraId="4CC672AF">
            <w:pPr>
              <w:topLinePunct/>
              <w:spacing w:line="440" w:lineRule="exact"/>
              <w:jc w:val="center"/>
              <w:outlineLvl w:val="0"/>
              <w:rPr>
                <w:rFonts w:hint="eastAsia" w:cs="Times New Roman" w:asciiTheme="minorEastAsia" w:hAnsiTheme="minorEastAsia"/>
                <w:szCs w:val="21"/>
              </w:rPr>
            </w:pPr>
          </w:p>
        </w:tc>
        <w:tc>
          <w:tcPr>
            <w:tcW w:w="628" w:type="pct"/>
            <w:tcBorders>
              <w:top w:val="single" w:color="auto" w:sz="4" w:space="0"/>
              <w:left w:val="single" w:color="auto" w:sz="4" w:space="0"/>
              <w:bottom w:val="single" w:color="auto" w:sz="4" w:space="0"/>
              <w:right w:val="single" w:color="auto" w:sz="4" w:space="0"/>
            </w:tcBorders>
            <w:vAlign w:val="center"/>
          </w:tcPr>
          <w:p w14:paraId="66569944">
            <w:pPr>
              <w:topLinePunct/>
              <w:spacing w:line="440" w:lineRule="exact"/>
              <w:jc w:val="center"/>
              <w:outlineLvl w:val="0"/>
              <w:rPr>
                <w:rFonts w:hint="eastAsia" w:cs="Times New Roman" w:asciiTheme="minorEastAsia" w:hAnsiTheme="minorEastAsia"/>
                <w:szCs w:val="21"/>
              </w:rPr>
            </w:pPr>
          </w:p>
        </w:tc>
      </w:tr>
    </w:tbl>
    <w:p w14:paraId="11EA410F">
      <w:pPr>
        <w:rPr>
          <w:rFonts w:hint="eastAsia" w:cs="Times New Roman" w:asciiTheme="minorEastAsia" w:hAnsiTheme="minorEastAsia"/>
          <w:szCs w:val="21"/>
        </w:rPr>
      </w:pPr>
      <w:r>
        <w:rPr>
          <w:rFonts w:hint="eastAsia" w:cs="Times New Roman" w:asciiTheme="minorEastAsia" w:hAnsiTheme="minorEastAsia"/>
          <w:szCs w:val="21"/>
        </w:rPr>
        <w:t>备注：</w:t>
      </w:r>
    </w:p>
    <w:p w14:paraId="40A6CB42">
      <w:pPr>
        <w:rPr>
          <w:rFonts w:hint="eastAsia" w:cs="Times New Roman" w:asciiTheme="minorEastAsia" w:hAnsiTheme="minorEastAsia"/>
          <w:szCs w:val="21"/>
        </w:rPr>
      </w:pPr>
      <w:r>
        <w:rPr>
          <w:rFonts w:hint="eastAsia" w:cs="Times New Roman" w:asciiTheme="minorEastAsia" w:hAnsiTheme="minorEastAsia"/>
          <w:szCs w:val="21"/>
        </w:rPr>
        <w:t>1.股东或出资人为自然人的，填写自然人姓名及身份证号；股东或出资人为法人的，填写法人企业全称及统一社会信用代码。出资方式填写：货物、实物、工艺产权和非专利技术、土地使用权等。</w:t>
      </w:r>
    </w:p>
    <w:p w14:paraId="62FCFC42">
      <w:pPr>
        <w:rPr>
          <w:rFonts w:hint="eastAsia" w:cs="Times New Roman" w:asciiTheme="minorEastAsia" w:hAnsiTheme="minorEastAsia"/>
          <w:szCs w:val="21"/>
        </w:rPr>
      </w:pPr>
      <w:r>
        <w:rPr>
          <w:rFonts w:hint="eastAsia" w:cs="Times New Roman" w:asciiTheme="minorEastAsia" w:hAnsiTheme="minorEastAsia"/>
          <w:szCs w:val="21"/>
        </w:rPr>
        <w:t>2.供应商必须如实填写股东构成情况，具体信息情况应与“国家企业信用信息公示系统” (网站：http://www.gsxt.gov.cn/)查询的信息一致。</w:t>
      </w:r>
    </w:p>
    <w:p w14:paraId="43716131"/>
    <w:p w14:paraId="40046B03">
      <w:r>
        <w:rPr>
          <w:b/>
          <w:sz w:val="28"/>
        </w:rPr>
        <w:t>格式十：</w:t>
      </w:r>
    </w:p>
    <w:p w14:paraId="32D5F9D0">
      <w:pPr>
        <w:ind w:firstLine="480"/>
      </w:pPr>
      <w:r>
        <w:t>（对于采购需求写明“提供承诺”的条款，供应商可参照以下格式提供承诺）</w:t>
      </w:r>
    </w:p>
    <w:p w14:paraId="3DB6A08D">
      <w:pPr>
        <w:jc w:val="center"/>
      </w:pPr>
      <w:r>
        <w:rPr>
          <w:b/>
          <w:sz w:val="24"/>
        </w:rPr>
        <w:t>承诺函</w:t>
      </w:r>
    </w:p>
    <w:p w14:paraId="74A581CE">
      <w:pPr>
        <w:ind w:firstLine="480"/>
      </w:pPr>
      <w:r>
        <w:t>致：广州市海珠区中医医院</w:t>
      </w:r>
      <w:r>
        <w:br w:type="textWrapping"/>
      </w:r>
    </w:p>
    <w:p w14:paraId="6E5696A0">
      <w:pPr>
        <w:ind w:firstLine="480"/>
      </w:pPr>
      <w:r>
        <w:t>对于__________________项目（项目编号：__________________），我方郑重承诺如下：</w:t>
      </w:r>
    </w:p>
    <w:p w14:paraId="2794AF6F">
      <w:pPr>
        <w:ind w:firstLine="480"/>
      </w:pPr>
      <w:r>
        <w:t>如中标/成交，我方承诺严格落实采购文件以下条款：(建议逐条复制采购文件相关条款原文)</w:t>
      </w:r>
    </w:p>
    <w:p w14:paraId="4099FB21">
      <w:pPr>
        <w:ind w:firstLine="480"/>
      </w:pPr>
      <w:r>
        <w:t>（一）星号条款</w:t>
      </w:r>
    </w:p>
    <w:p w14:paraId="11DA0C69">
      <w:pPr>
        <w:ind w:firstLine="480"/>
      </w:pPr>
      <w:r>
        <w:t>1.</w:t>
      </w:r>
    </w:p>
    <w:p w14:paraId="4864FE6E">
      <w:pPr>
        <w:ind w:firstLine="480"/>
      </w:pPr>
      <w:r>
        <w:t>2.</w:t>
      </w:r>
    </w:p>
    <w:p w14:paraId="6BB95B6E">
      <w:pPr>
        <w:ind w:firstLine="480"/>
      </w:pPr>
      <w:r>
        <w:t>3.</w:t>
      </w:r>
    </w:p>
    <w:p w14:paraId="502B9252">
      <w:pPr>
        <w:ind w:firstLine="480"/>
      </w:pPr>
      <w:r>
        <w:t>.........</w:t>
      </w:r>
    </w:p>
    <w:p w14:paraId="3ECC4E13">
      <w:pPr>
        <w:ind w:firstLine="480"/>
      </w:pPr>
      <w:r>
        <w:t>（二）三角号条款</w:t>
      </w:r>
    </w:p>
    <w:p w14:paraId="3ED3F2DE">
      <w:pPr>
        <w:ind w:firstLine="480"/>
      </w:pPr>
      <w:r>
        <w:t>1.</w:t>
      </w:r>
    </w:p>
    <w:p w14:paraId="6D1A75B1">
      <w:pPr>
        <w:ind w:firstLine="480"/>
      </w:pPr>
      <w:r>
        <w:t>2.</w:t>
      </w:r>
    </w:p>
    <w:p w14:paraId="1A03C0D6">
      <w:pPr>
        <w:ind w:firstLine="480"/>
      </w:pPr>
      <w:r>
        <w:t>3.</w:t>
      </w:r>
    </w:p>
    <w:p w14:paraId="01A7BDCE">
      <w:pPr>
        <w:ind w:firstLine="480"/>
      </w:pPr>
      <w:r>
        <w:t>.........</w:t>
      </w:r>
    </w:p>
    <w:p w14:paraId="2479A24B">
      <w:pPr>
        <w:ind w:firstLine="480"/>
      </w:pPr>
      <w:r>
        <w:t>（三）非星号、非三角号条款</w:t>
      </w:r>
    </w:p>
    <w:p w14:paraId="738F30FA">
      <w:pPr>
        <w:ind w:firstLine="480"/>
      </w:pPr>
      <w:r>
        <w:t>1.</w:t>
      </w:r>
    </w:p>
    <w:p w14:paraId="657928E0">
      <w:pPr>
        <w:ind w:firstLine="480"/>
      </w:pPr>
      <w:r>
        <w:t>2.</w:t>
      </w:r>
    </w:p>
    <w:p w14:paraId="4B77026B">
      <w:pPr>
        <w:ind w:firstLine="480"/>
      </w:pPr>
      <w:r>
        <w:t>3.</w:t>
      </w:r>
    </w:p>
    <w:p w14:paraId="3D5E4DE5">
      <w:pPr>
        <w:ind w:firstLine="480"/>
      </w:pPr>
      <w:r>
        <w:t>.........</w:t>
      </w:r>
      <w:r>
        <w:br w:type="textWrapping"/>
      </w:r>
    </w:p>
    <w:p w14:paraId="517D0D81">
      <w:pPr>
        <w:ind w:firstLine="480"/>
      </w:pPr>
      <w:r>
        <w:t>特此承诺。</w:t>
      </w:r>
    </w:p>
    <w:p w14:paraId="464C92BF">
      <w:r>
        <w:t xml:space="preserve"> 供应商名称（盖章）：__________________</w:t>
      </w:r>
    </w:p>
    <w:p w14:paraId="1AFD3179">
      <w:r>
        <w:t>日期： 年 月 日</w:t>
      </w:r>
    </w:p>
    <w:p w14:paraId="72BF9CF9">
      <w:pPr>
        <w:ind w:firstLine="480"/>
      </w:pPr>
    </w:p>
    <w:p w14:paraId="25504CC2">
      <w:r>
        <w:t xml:space="preserve"> </w:t>
      </w:r>
    </w:p>
    <w:p w14:paraId="64B87179"/>
    <w:p w14:paraId="3207579E">
      <w:r>
        <w:rPr>
          <w:b/>
          <w:sz w:val="28"/>
        </w:rPr>
        <w:t>格式十一：</w:t>
      </w:r>
    </w:p>
    <w:p w14:paraId="36404369">
      <w:pPr>
        <w:ind w:firstLine="480"/>
      </w:pPr>
      <w:r>
        <w:t>（以下格式文件由供应商根据需要选用）</w:t>
      </w:r>
    </w:p>
    <w:p w14:paraId="382F1AF8">
      <w:pPr>
        <w:jc w:val="center"/>
      </w:pPr>
      <w:r>
        <w:rPr>
          <w:b/>
          <w:sz w:val="24"/>
        </w:rPr>
        <w:t>中小企业声明函（工程、服务）</w:t>
      </w:r>
    </w:p>
    <w:p w14:paraId="78F2C85E">
      <w:pPr>
        <w:ind w:firstLine="480"/>
      </w:pPr>
      <w:r>
        <w:t>本公司（联合体）郑重声明，根据《政府采购促进中小企业发展管理办法》（财库﹝2020﹞46</w:t>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4BA56A3A">
      <w:pPr>
        <w:ind w:firstLine="480"/>
      </w:pPr>
      <w:r>
        <w:t>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5CB70A09">
      <w:pPr>
        <w:ind w:firstLine="480"/>
      </w:pPr>
      <w:r>
        <w:t>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64D24B4C">
      <w:pPr>
        <w:ind w:firstLine="480"/>
      </w:pPr>
      <w:r>
        <w:t>……</w:t>
      </w:r>
    </w:p>
    <w:p w14:paraId="49F53B93">
      <w:pPr>
        <w:ind w:firstLine="480"/>
      </w:pPr>
      <w:r>
        <w:t>以上企业，不属于大企业的分支机构，不存在控股股东为大企业的情形，也不存在与大企业的负责人为同一人的情形。</w:t>
      </w:r>
    </w:p>
    <w:p w14:paraId="2CD007B4">
      <w:pPr>
        <w:ind w:firstLine="480"/>
      </w:pPr>
      <w:r>
        <w:t>本企业对上述声明内容的真实性负责。如有虚假，将依法承担相应责任。</w:t>
      </w:r>
    </w:p>
    <w:p w14:paraId="77C688B0">
      <w:pPr>
        <w:jc w:val="right"/>
      </w:pPr>
      <w:r>
        <w:t xml:space="preserve"> 企业名称（盖章）：__________________</w:t>
      </w:r>
    </w:p>
    <w:p w14:paraId="7FB1586B">
      <w:pPr>
        <w:jc w:val="right"/>
      </w:pPr>
      <w:r>
        <w:t xml:space="preserve"> 日  期：__________________</w:t>
      </w:r>
    </w:p>
    <w:p w14:paraId="0613C5E9">
      <w:pPr>
        <w:ind w:firstLine="480"/>
      </w:pPr>
      <w:r>
        <w:t>1：从业人员、营业收入、资产总额填报上一年度数据，无上一年度数据的新成立企业可不填报。</w:t>
      </w:r>
    </w:p>
    <w:p w14:paraId="1D230331">
      <w:pPr>
        <w:ind w:firstLine="480"/>
      </w:pPr>
      <w:r>
        <w:t>2：供应商应当自行核实是否属于小微企业，并认真填写声明函，若有虚假将追究其责任。</w:t>
      </w:r>
    </w:p>
    <w:p w14:paraId="59F11CCF">
      <w:pPr>
        <w:ind w:firstLine="480"/>
      </w:pPr>
    </w:p>
    <w:p w14:paraId="68D086F8">
      <w:r>
        <w:t xml:space="preserve"> </w:t>
      </w:r>
    </w:p>
    <w:p w14:paraId="2F12B057"/>
    <w:p w14:paraId="15E21772">
      <w:r>
        <w:rPr>
          <w:b/>
          <w:sz w:val="28"/>
        </w:rPr>
        <w:t>格式十二：</w:t>
      </w:r>
    </w:p>
    <w:p w14:paraId="6A01D915">
      <w:pPr>
        <w:ind w:firstLine="480"/>
      </w:pPr>
      <w:r>
        <w:t>（以下格式文件由供应商根据需要选用）</w:t>
      </w:r>
    </w:p>
    <w:p w14:paraId="6AB3571B">
      <w:pPr>
        <w:jc w:val="center"/>
      </w:pPr>
      <w:r>
        <w:rPr>
          <w:b/>
          <w:sz w:val="24"/>
        </w:rPr>
        <w:t>监狱企业</w:t>
      </w:r>
    </w:p>
    <w:p w14:paraId="679394C9">
      <w:pPr>
        <w:ind w:firstLine="480"/>
      </w:pPr>
      <w:r>
        <w:t>提供由监狱管理局、戒毒管理局（含新疆生产建设兵团）出具的属于监狱企业的证明文件。</w:t>
      </w:r>
    </w:p>
    <w:p w14:paraId="30573C10">
      <w:pPr>
        <w:ind w:firstLine="480"/>
      </w:pPr>
    </w:p>
    <w:p w14:paraId="5D69B8DE">
      <w:r>
        <w:t xml:space="preserve"> </w:t>
      </w:r>
    </w:p>
    <w:p w14:paraId="54D25954"/>
    <w:p w14:paraId="78DB02BD">
      <w:r>
        <w:rPr>
          <w:b/>
          <w:sz w:val="28"/>
        </w:rPr>
        <w:t>格式十三：</w:t>
      </w:r>
    </w:p>
    <w:p w14:paraId="6B4327E5">
      <w:pPr>
        <w:ind w:firstLine="480"/>
      </w:pPr>
      <w:r>
        <w:t>（以下格式文件由供应商根据需要选用）</w:t>
      </w:r>
    </w:p>
    <w:p w14:paraId="6DB1B043">
      <w:pPr>
        <w:jc w:val="center"/>
      </w:pPr>
      <w:r>
        <w:rPr>
          <w:b/>
          <w:sz w:val="24"/>
        </w:rPr>
        <w:t>残疾人福利性单位声明函</w:t>
      </w:r>
    </w:p>
    <w:p w14:paraId="744BB646">
      <w:pPr>
        <w:ind w:firstLine="480"/>
      </w:pPr>
      <w:r>
        <w:t>本单位郑重声明，根据《财政部 民政部 中国残疾人联合会关于促进残疾人就业政府采购政策的通知》（财库〔2017〕</w:t>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80EC74">
      <w:pPr>
        <w:ind w:firstLine="480"/>
      </w:pPr>
      <w:r>
        <w:t>本单位对上述声明的真实性负责。如有虚假，将依法承担相应责任。</w:t>
      </w:r>
    </w:p>
    <w:p w14:paraId="3FCF23E0">
      <w:pPr>
        <w:jc w:val="right"/>
      </w:pPr>
      <w:r>
        <w:t>单位名称（盖章）：__________________</w:t>
      </w:r>
    </w:p>
    <w:p w14:paraId="71E5770A">
      <w:pPr>
        <w:jc w:val="right"/>
      </w:pPr>
      <w:r>
        <w:t xml:space="preserve"> 日  期：__________________</w:t>
      </w:r>
    </w:p>
    <w:p w14:paraId="7EBC0269">
      <w:pPr>
        <w:ind w:firstLine="480"/>
      </w:pPr>
      <w:r>
        <w:t>注：本函未填写或未勾选视作未做声明。</w:t>
      </w:r>
    </w:p>
    <w:p w14:paraId="08FA5D89">
      <w:pPr>
        <w:ind w:firstLine="480"/>
      </w:pPr>
    </w:p>
    <w:p w14:paraId="4DABA87D">
      <w:r>
        <w:t xml:space="preserve"> </w:t>
      </w:r>
    </w:p>
    <w:p w14:paraId="3DC11F86"/>
    <w:p w14:paraId="70AB9316">
      <w:r>
        <w:rPr>
          <w:b/>
          <w:sz w:val="28"/>
        </w:rPr>
        <w:t>格式十四：</w:t>
      </w:r>
    </w:p>
    <w:p w14:paraId="5C9FC68A">
      <w:pPr>
        <w:ind w:firstLine="480"/>
      </w:pPr>
      <w:r>
        <w:t>（</w:t>
      </w:r>
      <w:r>
        <w:rPr>
          <w:rFonts w:hint="eastAsia"/>
          <w:lang w:val="en-US" w:eastAsia="zh-CN"/>
        </w:rPr>
        <w:t>本项目不适用</w:t>
      </w:r>
      <w:r>
        <w:t>）</w:t>
      </w:r>
    </w:p>
    <w:p w14:paraId="20C382CE">
      <w:pPr>
        <w:jc w:val="center"/>
      </w:pPr>
      <w:r>
        <w:rPr>
          <w:b/>
          <w:sz w:val="24"/>
        </w:rPr>
        <w:t>联合体共同响应协议书</w:t>
      </w:r>
    </w:p>
    <w:p w14:paraId="4BA873C6">
      <w:pPr>
        <w:ind w:firstLine="480"/>
      </w:pPr>
      <w:r>
        <w:t>立约方：</w:t>
      </w:r>
      <w:r>
        <w:rPr>
          <w:u w:val="single"/>
        </w:rPr>
        <w:t>（甲公司全称）</w:t>
      </w:r>
    </w:p>
    <w:p w14:paraId="2D2877AB">
      <w:pPr>
        <w:ind w:firstLine="480"/>
      </w:pPr>
      <w:r>
        <w:rPr>
          <w:u w:val="single"/>
        </w:rPr>
        <w:t>（乙公司全称）</w:t>
      </w:r>
    </w:p>
    <w:p w14:paraId="154F7797">
      <w:pPr>
        <w:ind w:firstLine="480"/>
      </w:pPr>
      <w:r>
        <w:rPr>
          <w:u w:val="single"/>
        </w:rPr>
        <w:t>（……公司全称）</w:t>
      </w:r>
    </w:p>
    <w:p w14:paraId="478B904C">
      <w:pPr>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14:paraId="196702BC">
      <w:pPr>
        <w:ind w:firstLine="480"/>
      </w:pPr>
      <w:r>
        <w:t>一、联合体各方关系</w:t>
      </w:r>
    </w:p>
    <w:p w14:paraId="577C5A5D">
      <w:pPr>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14:paraId="0A1A60D5">
      <w:pPr>
        <w:ind w:firstLine="480"/>
      </w:pPr>
      <w:r>
        <w:t>二、联合体内部有关事项约定如下：</w:t>
      </w:r>
    </w:p>
    <w:p w14:paraId="19996E27">
      <w:pPr>
        <w:ind w:firstLine="480"/>
      </w:pPr>
      <w:r>
        <w:t>1.（甲公司全称）作为联合体的牵头单位，代表联合体双方负责响应和合同实施阶段的主办、协调工作。</w:t>
      </w:r>
    </w:p>
    <w:p w14:paraId="18832D8A">
      <w:pPr>
        <w:ind w:firstLine="480"/>
      </w:pPr>
      <w:r>
        <w:t>2.联合体将严格按照文件的各项要求，递交响应文件，切实执行一切合同文件，共同承担合同规定的一切义务和责任，同时按照内部职责的划分，承担自身所负的责任和风险，在法律在承担连带责任。</w:t>
      </w:r>
    </w:p>
    <w:p w14:paraId="457082F7">
      <w:pPr>
        <w:ind w:firstLine="480"/>
      </w:pPr>
      <w:r>
        <w:t>3.如果本联合体成交，（甲公司全称）负责本项目___________部分，（乙公司全称）负责本项目___________部分。</w:t>
      </w:r>
    </w:p>
    <w:p w14:paraId="656947F2">
      <w:pPr>
        <w:ind w:firstLine="480"/>
      </w:pPr>
      <w:r>
        <w:t>4.如成交，联合体各方共同与（采购人）签订合同书，并就成交项目向采购人负责有连带的和各自的法律责任；</w:t>
      </w:r>
    </w:p>
    <w:p w14:paraId="05A697E4">
      <w:pPr>
        <w:ind w:firstLine="480"/>
      </w:pPr>
      <w:r>
        <w:t>5.联合体成员（公司全称）为（请填写：小型、微型）企业，将承担合同总金额____%的工作内容（联合体成员中有小型、微型企业时适用）。</w:t>
      </w:r>
    </w:p>
    <w:p w14:paraId="4939BB66">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3BEEC2E3">
      <w:pPr>
        <w:ind w:firstLine="480"/>
      </w:pPr>
      <w:r>
        <w:t>四、联合体如因违约过失责任而导致采购人经济损失或被索赔时，本联合体任何一方均同意无条件优先清偿采购人的一切债务和经济赔偿。</w:t>
      </w:r>
    </w:p>
    <w:p w14:paraId="7DD53555">
      <w:pPr>
        <w:ind w:firstLine="480"/>
      </w:pPr>
      <w:r>
        <w:t>五、本协议在自签署之日起生效，有效期内有效，如获成交资格，合同有效期延续至合同履行完毕之日。</w:t>
      </w:r>
    </w:p>
    <w:p w14:paraId="6BD4906F">
      <w:pPr>
        <w:ind w:firstLine="480"/>
      </w:pPr>
      <w:r>
        <w:t>六、本协议书正本一式____份，随响应文件装订____份，送采购人____份，联合体成员各一份；副本一式____份，联合体成员各执____份。</w:t>
      </w:r>
    </w:p>
    <w:p w14:paraId="7C3F2788">
      <w:pPr>
        <w:jc w:val="right"/>
      </w:pPr>
      <w:r>
        <w:t>甲公司全称：____（盖章）________，乙公司全称：____（盖章）________，……公司全称：____（盖章）________，</w:t>
      </w:r>
    </w:p>
    <w:p w14:paraId="784E4B7B">
      <w:pPr>
        <w:jc w:val="right"/>
      </w:pPr>
      <w:r>
        <w:t>____年____月 ____日，____年____月____日，____年____月____日</w:t>
      </w:r>
    </w:p>
    <w:p w14:paraId="0A0A4358">
      <w:pPr>
        <w:ind w:firstLine="480"/>
      </w:pPr>
      <w:r>
        <w:t>注：1．联合响应时需签本协议，联合体各方成员应在本协议上共同盖章确认。</w:t>
      </w:r>
    </w:p>
    <w:p w14:paraId="7DA88931">
      <w:pPr>
        <w:ind w:firstLine="480"/>
      </w:pPr>
      <w:r>
        <w:t>2．本协议内容不得擅自修改。此协议将作为签订合同的附件之一。</w:t>
      </w:r>
    </w:p>
    <w:p w14:paraId="0AB0C263">
      <w:pPr>
        <w:ind w:firstLine="480"/>
      </w:pPr>
    </w:p>
    <w:p w14:paraId="0FDAA0EF">
      <w:r>
        <w:t xml:space="preserve"> </w:t>
      </w:r>
    </w:p>
    <w:p w14:paraId="56F6A2AC"/>
    <w:p w14:paraId="137B6038">
      <w:r>
        <w:rPr>
          <w:b/>
          <w:sz w:val="28"/>
        </w:rPr>
        <w:t>格式十五：</w:t>
      </w:r>
    </w:p>
    <w:p w14:paraId="085AAC65">
      <w:pPr>
        <w:ind w:firstLine="480"/>
      </w:pPr>
      <w:r>
        <w:t>（以下格式文件由供应商根据需要选用）</w:t>
      </w:r>
    </w:p>
    <w:p w14:paraId="3E9AE484">
      <w:pPr>
        <w:jc w:val="center"/>
      </w:pPr>
      <w:r>
        <w:rPr>
          <w:b/>
          <w:sz w:val="24"/>
        </w:rPr>
        <w:t>响应供应商业绩情况表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14:paraId="2BEE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53F859C9">
            <w:r>
              <w:t>序号</w:t>
            </w:r>
          </w:p>
        </w:tc>
        <w:tc>
          <w:tcPr>
            <w:tcW w:w="833" w:type="pct"/>
          </w:tcPr>
          <w:p w14:paraId="20E5D112">
            <w:r>
              <w:t>客户名称</w:t>
            </w:r>
          </w:p>
        </w:tc>
        <w:tc>
          <w:tcPr>
            <w:tcW w:w="833" w:type="pct"/>
          </w:tcPr>
          <w:p w14:paraId="1F31CDB7">
            <w:r>
              <w:t>项目名称及合同金额（万元）</w:t>
            </w:r>
          </w:p>
        </w:tc>
        <w:tc>
          <w:tcPr>
            <w:tcW w:w="833" w:type="pct"/>
          </w:tcPr>
          <w:p w14:paraId="4B91EA49">
            <w:r>
              <w:t>签订合同时间</w:t>
            </w:r>
          </w:p>
        </w:tc>
        <w:tc>
          <w:tcPr>
            <w:tcW w:w="833" w:type="pct"/>
          </w:tcPr>
          <w:p w14:paraId="6242ACBE">
            <w:r>
              <w:t>竣工验收报告时间</w:t>
            </w:r>
          </w:p>
        </w:tc>
        <w:tc>
          <w:tcPr>
            <w:tcW w:w="833" w:type="pct"/>
          </w:tcPr>
          <w:p w14:paraId="33A0FB67">
            <w:r>
              <w:t>联系人及电话</w:t>
            </w:r>
          </w:p>
        </w:tc>
      </w:tr>
      <w:tr w14:paraId="484E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4A397EB5">
            <w:pPr>
              <w:jc w:val="center"/>
            </w:pPr>
            <w:r>
              <w:t>1</w:t>
            </w:r>
          </w:p>
        </w:tc>
        <w:tc>
          <w:tcPr>
            <w:tcW w:w="833" w:type="pct"/>
          </w:tcPr>
          <w:p w14:paraId="3E741EA0"/>
        </w:tc>
        <w:tc>
          <w:tcPr>
            <w:tcW w:w="833" w:type="pct"/>
          </w:tcPr>
          <w:p w14:paraId="5D7CB50D"/>
        </w:tc>
        <w:tc>
          <w:tcPr>
            <w:tcW w:w="833" w:type="pct"/>
          </w:tcPr>
          <w:p w14:paraId="36C557C1"/>
        </w:tc>
        <w:tc>
          <w:tcPr>
            <w:tcW w:w="833" w:type="pct"/>
          </w:tcPr>
          <w:p w14:paraId="3E6C1E6F"/>
        </w:tc>
        <w:tc>
          <w:tcPr>
            <w:tcW w:w="833" w:type="pct"/>
          </w:tcPr>
          <w:p w14:paraId="2D02ECC6"/>
        </w:tc>
      </w:tr>
      <w:tr w14:paraId="3C5B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55516574">
            <w:pPr>
              <w:jc w:val="center"/>
            </w:pPr>
            <w:r>
              <w:t>2</w:t>
            </w:r>
          </w:p>
        </w:tc>
        <w:tc>
          <w:tcPr>
            <w:tcW w:w="833" w:type="pct"/>
          </w:tcPr>
          <w:p w14:paraId="1D79CF0F"/>
        </w:tc>
        <w:tc>
          <w:tcPr>
            <w:tcW w:w="833" w:type="pct"/>
          </w:tcPr>
          <w:p w14:paraId="255F6770"/>
        </w:tc>
        <w:tc>
          <w:tcPr>
            <w:tcW w:w="833" w:type="pct"/>
          </w:tcPr>
          <w:p w14:paraId="73F615C7"/>
        </w:tc>
        <w:tc>
          <w:tcPr>
            <w:tcW w:w="833" w:type="pct"/>
          </w:tcPr>
          <w:p w14:paraId="446D0038"/>
        </w:tc>
        <w:tc>
          <w:tcPr>
            <w:tcW w:w="833" w:type="pct"/>
          </w:tcPr>
          <w:p w14:paraId="2DA294BF"/>
        </w:tc>
      </w:tr>
      <w:tr w14:paraId="5F90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370B45CF">
            <w:pPr>
              <w:jc w:val="center"/>
            </w:pPr>
            <w:r>
              <w:t>3</w:t>
            </w:r>
          </w:p>
        </w:tc>
        <w:tc>
          <w:tcPr>
            <w:tcW w:w="833" w:type="pct"/>
          </w:tcPr>
          <w:p w14:paraId="186B339F"/>
        </w:tc>
        <w:tc>
          <w:tcPr>
            <w:tcW w:w="833" w:type="pct"/>
          </w:tcPr>
          <w:p w14:paraId="5D4EFC18"/>
        </w:tc>
        <w:tc>
          <w:tcPr>
            <w:tcW w:w="833" w:type="pct"/>
          </w:tcPr>
          <w:p w14:paraId="25CA0B73"/>
        </w:tc>
        <w:tc>
          <w:tcPr>
            <w:tcW w:w="833" w:type="pct"/>
          </w:tcPr>
          <w:p w14:paraId="6755347A"/>
        </w:tc>
        <w:tc>
          <w:tcPr>
            <w:tcW w:w="833" w:type="pct"/>
          </w:tcPr>
          <w:p w14:paraId="7E66B928"/>
        </w:tc>
      </w:tr>
      <w:tr w14:paraId="4052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30F7934C">
            <w:pPr>
              <w:jc w:val="center"/>
            </w:pPr>
            <w:r>
              <w:t>4</w:t>
            </w:r>
          </w:p>
        </w:tc>
        <w:tc>
          <w:tcPr>
            <w:tcW w:w="833" w:type="pct"/>
          </w:tcPr>
          <w:p w14:paraId="261F9D68"/>
        </w:tc>
        <w:tc>
          <w:tcPr>
            <w:tcW w:w="833" w:type="pct"/>
          </w:tcPr>
          <w:p w14:paraId="3FB1B168"/>
        </w:tc>
        <w:tc>
          <w:tcPr>
            <w:tcW w:w="833" w:type="pct"/>
          </w:tcPr>
          <w:p w14:paraId="45EDFA39"/>
        </w:tc>
        <w:tc>
          <w:tcPr>
            <w:tcW w:w="833" w:type="pct"/>
          </w:tcPr>
          <w:p w14:paraId="2B64A86A"/>
        </w:tc>
        <w:tc>
          <w:tcPr>
            <w:tcW w:w="833" w:type="pct"/>
          </w:tcPr>
          <w:p w14:paraId="4C8843ED"/>
        </w:tc>
      </w:tr>
      <w:tr w14:paraId="6149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9AECCB1">
            <w:r>
              <w:t>…</w:t>
            </w:r>
          </w:p>
        </w:tc>
        <w:tc>
          <w:tcPr>
            <w:tcW w:w="833" w:type="pct"/>
          </w:tcPr>
          <w:p w14:paraId="7E31B522"/>
        </w:tc>
        <w:tc>
          <w:tcPr>
            <w:tcW w:w="833" w:type="pct"/>
          </w:tcPr>
          <w:p w14:paraId="6628DB74"/>
        </w:tc>
        <w:tc>
          <w:tcPr>
            <w:tcW w:w="833" w:type="pct"/>
          </w:tcPr>
          <w:p w14:paraId="76918B6A"/>
        </w:tc>
        <w:tc>
          <w:tcPr>
            <w:tcW w:w="833" w:type="pct"/>
          </w:tcPr>
          <w:p w14:paraId="766B6086"/>
        </w:tc>
        <w:tc>
          <w:tcPr>
            <w:tcW w:w="833" w:type="pct"/>
          </w:tcPr>
          <w:p w14:paraId="42AF0C4D"/>
        </w:tc>
      </w:tr>
    </w:tbl>
    <w:p w14:paraId="173D3365">
      <w:pPr>
        <w:ind w:firstLine="480"/>
      </w:pPr>
      <w:r>
        <w:t>根据上述业绩情况，按磋商文件要求附销售或服务合同复印件。</w:t>
      </w:r>
    </w:p>
    <w:p w14:paraId="6DB734A5">
      <w:pPr>
        <w:ind w:firstLine="480"/>
      </w:pPr>
    </w:p>
    <w:p w14:paraId="4F51969A">
      <w:r>
        <w:t xml:space="preserve"> </w:t>
      </w:r>
    </w:p>
    <w:p w14:paraId="7A07D286"/>
    <w:p w14:paraId="22E47C05">
      <w:r>
        <w:rPr>
          <w:b/>
          <w:sz w:val="28"/>
        </w:rPr>
        <w:t>格式十六：</w:t>
      </w:r>
    </w:p>
    <w:p w14:paraId="2E96DF92">
      <w:pPr>
        <w:jc w:val="center"/>
      </w:pPr>
      <w:r>
        <w:rPr>
          <w:b/>
          <w:sz w:val="24"/>
        </w:rPr>
        <w:t>《技术和服务要求响应表》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7"/>
        <w:gridCol w:w="1108"/>
        <w:gridCol w:w="1108"/>
        <w:gridCol w:w="1108"/>
        <w:gridCol w:w="1108"/>
        <w:gridCol w:w="1108"/>
        <w:gridCol w:w="1108"/>
        <w:gridCol w:w="1100"/>
      </w:tblGrid>
      <w:tr w14:paraId="5F23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7578157">
            <w:r>
              <w:t>序号</w:t>
            </w:r>
          </w:p>
        </w:tc>
        <w:tc>
          <w:tcPr>
            <w:tcW w:w="556" w:type="pct"/>
          </w:tcPr>
          <w:p w14:paraId="7DECE401">
            <w:r>
              <w:t>标的名称</w:t>
            </w:r>
          </w:p>
        </w:tc>
        <w:tc>
          <w:tcPr>
            <w:tcW w:w="556" w:type="pct"/>
          </w:tcPr>
          <w:p w14:paraId="682358D2">
            <w:r>
              <w:t>参数性质</w:t>
            </w:r>
          </w:p>
        </w:tc>
        <w:tc>
          <w:tcPr>
            <w:tcW w:w="556" w:type="pct"/>
          </w:tcPr>
          <w:p w14:paraId="08062259">
            <w:r>
              <w:t>磋商文件规定的技术和服务要求</w:t>
            </w:r>
          </w:p>
        </w:tc>
        <w:tc>
          <w:tcPr>
            <w:tcW w:w="556" w:type="pct"/>
          </w:tcPr>
          <w:p w14:paraId="19E9689D">
            <w:r>
              <w:t>响应文件响应的具体内容</w:t>
            </w:r>
          </w:p>
        </w:tc>
        <w:tc>
          <w:tcPr>
            <w:tcW w:w="556" w:type="pct"/>
          </w:tcPr>
          <w:p w14:paraId="6AF53383">
            <w:r>
              <w:t>型号</w:t>
            </w:r>
          </w:p>
        </w:tc>
        <w:tc>
          <w:tcPr>
            <w:tcW w:w="556" w:type="pct"/>
          </w:tcPr>
          <w:p w14:paraId="6D9A3B1C">
            <w:r>
              <w:t>是否偏离</w:t>
            </w:r>
          </w:p>
        </w:tc>
        <w:tc>
          <w:tcPr>
            <w:tcW w:w="556" w:type="pct"/>
          </w:tcPr>
          <w:p w14:paraId="4B649A70">
            <w:r>
              <w:t>证明文件所在位置</w:t>
            </w:r>
          </w:p>
        </w:tc>
        <w:tc>
          <w:tcPr>
            <w:tcW w:w="556" w:type="pct"/>
          </w:tcPr>
          <w:p w14:paraId="66210C20">
            <w:r>
              <w:t>备注</w:t>
            </w:r>
          </w:p>
        </w:tc>
      </w:tr>
      <w:tr w14:paraId="0B47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0A56FD8D">
            <w:r>
              <w:t>1</w:t>
            </w:r>
          </w:p>
        </w:tc>
        <w:tc>
          <w:tcPr>
            <w:tcW w:w="556" w:type="pct"/>
          </w:tcPr>
          <w:p w14:paraId="1DC27C2E"/>
        </w:tc>
        <w:tc>
          <w:tcPr>
            <w:tcW w:w="1108" w:type="dxa"/>
            <w:vAlign w:val="top"/>
          </w:tcPr>
          <w:p w14:paraId="1C2E848F">
            <w:r>
              <w:rPr>
                <w:rFonts w:hint="eastAsia" w:ascii="宋体" w:hAnsi="宋体" w:eastAsia="宋体" w:cs="宋体"/>
                <w:b/>
                <w:bCs w:val="0"/>
                <w:color w:val="auto"/>
                <w:spacing w:val="1"/>
                <w:position w:val="-1"/>
                <w:sz w:val="21"/>
                <w:szCs w:val="21"/>
                <w:highlight w:val="none"/>
              </w:rPr>
              <w:t>★</w:t>
            </w:r>
          </w:p>
        </w:tc>
        <w:tc>
          <w:tcPr>
            <w:tcW w:w="1108" w:type="dxa"/>
            <w:vAlign w:val="top"/>
          </w:tcPr>
          <w:p w14:paraId="11E78CB8">
            <w:pPr>
              <w:numPr>
                <w:ilvl w:val="0"/>
                <w:numId w:val="5"/>
              </w:numPr>
              <w:rPr>
                <w:rFonts w:hint="eastAsia" w:ascii="宋体" w:hAnsi="宋体" w:eastAsia="宋体" w:cs="宋体"/>
                <w:b/>
                <w:bCs w:val="0"/>
                <w:color w:val="auto"/>
                <w:spacing w:val="1"/>
                <w:position w:val="-1"/>
                <w:sz w:val="21"/>
                <w:szCs w:val="21"/>
                <w:highlight w:val="none"/>
              </w:rPr>
            </w:pPr>
            <w:r>
              <w:rPr>
                <w:rFonts w:hint="eastAsia" w:ascii="宋体" w:hAnsi="宋体" w:eastAsia="宋体" w:cs="宋体"/>
                <w:b/>
                <w:bCs w:val="0"/>
                <w:color w:val="auto"/>
                <w:spacing w:val="1"/>
                <w:position w:val="-1"/>
                <w:sz w:val="21"/>
                <w:szCs w:val="21"/>
                <w:highlight w:val="none"/>
              </w:rPr>
              <w:t>★赔偿限额</w:t>
            </w:r>
          </w:p>
          <w:p w14:paraId="09546C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1、累计赔偿限额不低于人民币300万元</w:t>
            </w:r>
          </w:p>
          <w:p w14:paraId="48CAEF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rightChars="0" w:firstLine="0" w:firstLineChars="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2、每次事故赔偿限额（即每次保险事故赔偿限额）不低于人民币100万元</w:t>
            </w:r>
          </w:p>
          <w:p w14:paraId="05FEE6BA">
            <w:pPr>
              <w:numPr>
                <w:ilvl w:val="-1"/>
                <w:numId w:val="0"/>
              </w:numPr>
              <w:ind w:left="0" w:leftChars="0" w:firstLine="0" w:firstLineChars="0"/>
            </w:pPr>
            <w:r>
              <w:rPr>
                <w:rFonts w:hint="eastAsia" w:ascii="宋体" w:hAnsi="宋体" w:eastAsia="宋体" w:cs="宋体"/>
                <w:b/>
                <w:bCs w:val="0"/>
                <w:color w:val="auto"/>
                <w:sz w:val="21"/>
                <w:szCs w:val="21"/>
                <w:highlight w:val="none"/>
                <w:lang w:val="en-US" w:eastAsia="zh-CN"/>
              </w:rPr>
              <w:t>3、法律费用每次及累计赔偿限额不低于人民币30万元。</w:t>
            </w:r>
          </w:p>
        </w:tc>
        <w:tc>
          <w:tcPr>
            <w:tcW w:w="556" w:type="pct"/>
          </w:tcPr>
          <w:p w14:paraId="30D6CD02"/>
        </w:tc>
        <w:tc>
          <w:tcPr>
            <w:tcW w:w="556" w:type="pct"/>
          </w:tcPr>
          <w:p w14:paraId="32BE308D"/>
        </w:tc>
        <w:tc>
          <w:tcPr>
            <w:tcW w:w="556" w:type="pct"/>
          </w:tcPr>
          <w:p w14:paraId="057770D2"/>
        </w:tc>
        <w:tc>
          <w:tcPr>
            <w:tcW w:w="556" w:type="pct"/>
          </w:tcPr>
          <w:p w14:paraId="71E13E6E"/>
        </w:tc>
        <w:tc>
          <w:tcPr>
            <w:tcW w:w="556" w:type="pct"/>
          </w:tcPr>
          <w:p w14:paraId="738CE7CF"/>
        </w:tc>
      </w:tr>
      <w:tr w14:paraId="61C0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104B530">
            <w:r>
              <w:t>2</w:t>
            </w:r>
          </w:p>
        </w:tc>
        <w:tc>
          <w:tcPr>
            <w:tcW w:w="556" w:type="pct"/>
          </w:tcPr>
          <w:p w14:paraId="5355C1D7"/>
        </w:tc>
        <w:tc>
          <w:tcPr>
            <w:tcW w:w="556" w:type="pct"/>
          </w:tcPr>
          <w:p w14:paraId="21E0C158">
            <w:r>
              <w:rPr>
                <w:rFonts w:hint="eastAsia" w:ascii="宋体" w:hAnsi="宋体"/>
                <w:b/>
                <w:bCs/>
                <w:color w:val="auto"/>
                <w:sz w:val="21"/>
                <w:szCs w:val="21"/>
                <w:highlight w:val="none"/>
                <w:lang w:val="en-US" w:eastAsia="zh-CN"/>
              </w:rPr>
              <w:t>★</w:t>
            </w:r>
          </w:p>
        </w:tc>
        <w:tc>
          <w:tcPr>
            <w:tcW w:w="556" w:type="pct"/>
          </w:tcPr>
          <w:p w14:paraId="6B539899">
            <w:pPr>
              <w:pStyle w:val="8"/>
              <w:adjustRightInd/>
              <w:ind w:firstLine="0" w:firstLineChars="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（三）★其他要求</w:t>
            </w:r>
          </w:p>
          <w:p w14:paraId="4C5C825E">
            <w:pPr>
              <w:pStyle w:val="8"/>
              <w:rPr>
                <w:rFonts w:ascii="宋体" w:hAnsi="宋体"/>
                <w:color w:val="auto"/>
                <w:sz w:val="21"/>
                <w:szCs w:val="21"/>
                <w:highlight w:val="none"/>
              </w:rPr>
            </w:pPr>
            <w:r>
              <w:rPr>
                <w:rFonts w:hint="eastAsia" w:ascii="宋体" w:cs="宋体"/>
                <w:color w:val="auto"/>
                <w:kern w:val="0"/>
                <w:sz w:val="21"/>
                <w:szCs w:val="21"/>
                <w:highlight w:val="none"/>
              </w:rPr>
              <w:t>1、</w:t>
            </w:r>
            <w:r>
              <w:rPr>
                <w:rFonts w:ascii="宋体" w:hAnsi="宋体"/>
                <w:color w:val="auto"/>
                <w:sz w:val="21"/>
                <w:szCs w:val="21"/>
              </w:rPr>
              <w:t>根据粤卫办函【2011】129号文件，目前广东省承担医疗责任保险全省统保的保险经纪人为江泰保险经纪股份有限公司</w:t>
            </w:r>
            <w:r>
              <w:rPr>
                <w:rStyle w:val="24"/>
                <w:rFonts w:hint="eastAsia" w:cstheme="minorBidi"/>
                <w:color w:val="auto"/>
                <w:kern w:val="2"/>
                <w:lang w:eastAsia="zh-CN"/>
              </w:rPr>
              <w:t>，</w:t>
            </w:r>
            <w:r>
              <w:rPr>
                <w:rFonts w:hint="eastAsia" w:ascii="宋体" w:cs="宋体"/>
                <w:color w:val="auto"/>
                <w:kern w:val="0"/>
                <w:sz w:val="21"/>
                <w:szCs w:val="21"/>
                <w:highlight w:val="none"/>
              </w:rPr>
              <w:t>招标人聘请了有资质的保险经纪人，为招标人及各被保险人的本项目提供保险经纪服务。投标人及最终确定的承保人尊重保险经纪人代表采购人所提涉保要求，尊重其所发挥的督促、协调作用，并认为保险经纪人能为保险双方的顺利合作起到应有的积极作用。</w:t>
            </w:r>
            <w:r>
              <w:rPr>
                <w:rFonts w:hint="eastAsia" w:ascii="宋体" w:cs="宋体"/>
                <w:b w:val="0"/>
                <w:bCs w:val="0"/>
                <w:color w:val="auto"/>
                <w:kern w:val="0"/>
                <w:szCs w:val="21"/>
                <w:highlight w:val="none"/>
                <w:lang w:val="en-US" w:eastAsia="zh-CN"/>
              </w:rPr>
              <w:t>成交</w:t>
            </w:r>
            <w:r>
              <w:rPr>
                <w:rFonts w:hint="eastAsia" w:ascii="宋体" w:cs="宋体"/>
                <w:color w:val="auto"/>
                <w:kern w:val="0"/>
                <w:sz w:val="21"/>
                <w:szCs w:val="21"/>
                <w:highlight w:val="none"/>
              </w:rPr>
              <w:t>人与保险经纪人之间的权责、义务等由保险经纪人与之签订</w:t>
            </w:r>
            <w:r>
              <w:rPr>
                <w:rFonts w:hint="eastAsia" w:ascii="宋体" w:cs="宋体"/>
                <w:color w:val="auto"/>
                <w:kern w:val="0"/>
                <w:sz w:val="21"/>
                <w:szCs w:val="21"/>
                <w:highlight w:val="none"/>
                <w:lang w:eastAsia="zh-CN"/>
              </w:rPr>
              <w:t>，</w:t>
            </w:r>
            <w:r>
              <w:rPr>
                <w:rFonts w:hint="eastAsia" w:ascii="宋体" w:cs="宋体"/>
                <w:color w:val="auto"/>
                <w:kern w:val="0"/>
                <w:sz w:val="21"/>
                <w:szCs w:val="21"/>
                <w:highlight w:val="none"/>
                <w:u w:val="none"/>
                <w:lang w:val="en-US" w:eastAsia="zh-CN"/>
              </w:rPr>
              <w:t>并</w:t>
            </w:r>
            <w:r>
              <w:rPr>
                <w:rFonts w:hint="eastAsia" w:ascii="宋体" w:cs="宋体"/>
                <w:color w:val="auto"/>
                <w:kern w:val="0"/>
                <w:sz w:val="21"/>
                <w:szCs w:val="21"/>
                <w:highlight w:val="none"/>
                <w:u w:val="none"/>
              </w:rPr>
              <w:t>同意以所收含税保费的</w:t>
            </w:r>
            <w:r>
              <w:rPr>
                <w:rFonts w:hint="eastAsia" w:ascii="宋体" w:cs="宋体"/>
                <w:color w:val="auto"/>
                <w:kern w:val="0"/>
                <w:sz w:val="21"/>
                <w:szCs w:val="21"/>
                <w:highlight w:val="none"/>
                <w:u w:val="none"/>
                <w:lang w:val="en-US" w:eastAsia="zh-CN"/>
              </w:rPr>
              <w:t>25</w:t>
            </w:r>
            <w:r>
              <w:rPr>
                <w:rFonts w:hint="eastAsia" w:ascii="宋体" w:cs="宋体"/>
                <w:color w:val="auto"/>
                <w:kern w:val="0"/>
                <w:sz w:val="21"/>
                <w:szCs w:val="21"/>
                <w:highlight w:val="none"/>
                <w:u w:val="none"/>
              </w:rPr>
              <w:t>%作为保险经纪人佣金支付给本项目保险经纪人。</w:t>
            </w:r>
          </w:p>
          <w:p w14:paraId="1988EC5F">
            <w:pPr>
              <w:pStyle w:val="8"/>
              <w:wordWrap w:val="0"/>
              <w:spacing w:line="360" w:lineRule="auto"/>
              <w:ind w:firstLine="420" w:firstLineChars="200"/>
            </w:pPr>
            <w:r>
              <w:rPr>
                <w:rFonts w:hint="eastAsia" w:ascii="宋体" w:cs="宋体"/>
                <w:b w:val="0"/>
                <w:bCs w:val="0"/>
                <w:color w:val="auto"/>
                <w:kern w:val="0"/>
                <w:sz w:val="21"/>
                <w:highlight w:val="none"/>
              </w:rPr>
              <w:t>2、本项目接受</w:t>
            </w:r>
            <w:r>
              <w:rPr>
                <w:rFonts w:hint="eastAsia" w:ascii="宋体" w:cs="宋体"/>
                <w:b w:val="0"/>
                <w:bCs w:val="0"/>
                <w:color w:val="auto"/>
                <w:kern w:val="0"/>
                <w:sz w:val="21"/>
                <w:highlight w:val="none"/>
                <w:lang w:val="en-US" w:eastAsia="zh-CN"/>
              </w:rPr>
              <w:t>成交</w:t>
            </w:r>
            <w:r>
              <w:rPr>
                <w:rFonts w:hint="eastAsia" w:ascii="宋体" w:cs="宋体"/>
                <w:b w:val="0"/>
                <w:bCs w:val="0"/>
                <w:color w:val="auto"/>
                <w:kern w:val="0"/>
                <w:sz w:val="21"/>
                <w:highlight w:val="none"/>
              </w:rPr>
              <w:t>单位按照中国保险监督管理委员会《关于加强财产保险共保业务管理的通知》要求安排共保及再保，但</w:t>
            </w:r>
            <w:r>
              <w:rPr>
                <w:rFonts w:hint="eastAsia" w:ascii="宋体" w:cs="宋体"/>
                <w:b w:val="0"/>
                <w:bCs w:val="0"/>
                <w:color w:val="auto"/>
                <w:kern w:val="0"/>
                <w:sz w:val="21"/>
                <w:highlight w:val="none"/>
                <w:lang w:val="en-US" w:eastAsia="zh-CN"/>
              </w:rPr>
              <w:t>成交</w:t>
            </w:r>
            <w:r>
              <w:rPr>
                <w:rFonts w:hint="eastAsia" w:ascii="宋体" w:cs="宋体"/>
                <w:b w:val="0"/>
                <w:bCs w:val="0"/>
                <w:color w:val="auto"/>
                <w:kern w:val="0"/>
                <w:sz w:val="21"/>
                <w:highlight w:val="none"/>
              </w:rPr>
              <w:t>单位必须作为主承保人负责承保、理赔服务，不得将承保、理赔服务分配其他参与共保公司服务。</w:t>
            </w:r>
          </w:p>
        </w:tc>
        <w:tc>
          <w:tcPr>
            <w:tcW w:w="556" w:type="pct"/>
          </w:tcPr>
          <w:p w14:paraId="7996AEE7"/>
        </w:tc>
        <w:tc>
          <w:tcPr>
            <w:tcW w:w="556" w:type="pct"/>
          </w:tcPr>
          <w:p w14:paraId="2C368330"/>
        </w:tc>
        <w:tc>
          <w:tcPr>
            <w:tcW w:w="556" w:type="pct"/>
          </w:tcPr>
          <w:p w14:paraId="4F0E211D"/>
        </w:tc>
        <w:tc>
          <w:tcPr>
            <w:tcW w:w="556" w:type="pct"/>
          </w:tcPr>
          <w:p w14:paraId="0024E828"/>
        </w:tc>
        <w:tc>
          <w:tcPr>
            <w:tcW w:w="556" w:type="pct"/>
          </w:tcPr>
          <w:p w14:paraId="549AEB9E"/>
        </w:tc>
      </w:tr>
      <w:tr w14:paraId="4D3E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6ED6F3B">
            <w:r>
              <w:t>3</w:t>
            </w:r>
          </w:p>
        </w:tc>
        <w:tc>
          <w:tcPr>
            <w:tcW w:w="556" w:type="pct"/>
          </w:tcPr>
          <w:p w14:paraId="6BD5FEFA"/>
        </w:tc>
        <w:tc>
          <w:tcPr>
            <w:tcW w:w="556" w:type="pct"/>
          </w:tcPr>
          <w:p w14:paraId="1552B3A0"/>
        </w:tc>
        <w:tc>
          <w:tcPr>
            <w:tcW w:w="556" w:type="pct"/>
          </w:tcPr>
          <w:p w14:paraId="70E82F11"/>
        </w:tc>
        <w:tc>
          <w:tcPr>
            <w:tcW w:w="556" w:type="pct"/>
          </w:tcPr>
          <w:p w14:paraId="4C81D0A7"/>
        </w:tc>
        <w:tc>
          <w:tcPr>
            <w:tcW w:w="556" w:type="pct"/>
          </w:tcPr>
          <w:p w14:paraId="1CEF7377"/>
        </w:tc>
        <w:tc>
          <w:tcPr>
            <w:tcW w:w="556" w:type="pct"/>
          </w:tcPr>
          <w:p w14:paraId="2E479E66"/>
        </w:tc>
        <w:tc>
          <w:tcPr>
            <w:tcW w:w="556" w:type="pct"/>
          </w:tcPr>
          <w:p w14:paraId="74A8AABA"/>
        </w:tc>
        <w:tc>
          <w:tcPr>
            <w:tcW w:w="556" w:type="pct"/>
          </w:tcPr>
          <w:p w14:paraId="10C125CE"/>
        </w:tc>
      </w:tr>
      <w:tr w14:paraId="3E97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7B522582">
            <w:r>
              <w:t>4</w:t>
            </w:r>
          </w:p>
        </w:tc>
        <w:tc>
          <w:tcPr>
            <w:tcW w:w="556" w:type="pct"/>
          </w:tcPr>
          <w:p w14:paraId="5BB41762"/>
        </w:tc>
        <w:tc>
          <w:tcPr>
            <w:tcW w:w="556" w:type="pct"/>
          </w:tcPr>
          <w:p w14:paraId="66ABC7CD"/>
        </w:tc>
        <w:tc>
          <w:tcPr>
            <w:tcW w:w="556" w:type="pct"/>
          </w:tcPr>
          <w:p w14:paraId="2E69D85C"/>
        </w:tc>
        <w:tc>
          <w:tcPr>
            <w:tcW w:w="556" w:type="pct"/>
          </w:tcPr>
          <w:p w14:paraId="56B78AF0"/>
        </w:tc>
        <w:tc>
          <w:tcPr>
            <w:tcW w:w="556" w:type="pct"/>
          </w:tcPr>
          <w:p w14:paraId="315145F9"/>
        </w:tc>
        <w:tc>
          <w:tcPr>
            <w:tcW w:w="556" w:type="pct"/>
          </w:tcPr>
          <w:p w14:paraId="53C5CBF8"/>
        </w:tc>
        <w:tc>
          <w:tcPr>
            <w:tcW w:w="556" w:type="pct"/>
          </w:tcPr>
          <w:p w14:paraId="0EF06251"/>
        </w:tc>
        <w:tc>
          <w:tcPr>
            <w:tcW w:w="556" w:type="pct"/>
          </w:tcPr>
          <w:p w14:paraId="30815FD7"/>
        </w:tc>
      </w:tr>
      <w:tr w14:paraId="2144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3DEC7D9">
            <w:r>
              <w:t>5</w:t>
            </w:r>
          </w:p>
        </w:tc>
        <w:tc>
          <w:tcPr>
            <w:tcW w:w="556" w:type="pct"/>
          </w:tcPr>
          <w:p w14:paraId="681CCCD6"/>
        </w:tc>
        <w:tc>
          <w:tcPr>
            <w:tcW w:w="556" w:type="pct"/>
          </w:tcPr>
          <w:p w14:paraId="6378E7F5"/>
        </w:tc>
        <w:tc>
          <w:tcPr>
            <w:tcW w:w="556" w:type="pct"/>
          </w:tcPr>
          <w:p w14:paraId="6C679445"/>
        </w:tc>
        <w:tc>
          <w:tcPr>
            <w:tcW w:w="556" w:type="pct"/>
          </w:tcPr>
          <w:p w14:paraId="2F8558CC"/>
        </w:tc>
        <w:tc>
          <w:tcPr>
            <w:tcW w:w="556" w:type="pct"/>
          </w:tcPr>
          <w:p w14:paraId="0B09BC5D"/>
        </w:tc>
        <w:tc>
          <w:tcPr>
            <w:tcW w:w="556" w:type="pct"/>
          </w:tcPr>
          <w:p w14:paraId="7ECA8C4F"/>
        </w:tc>
        <w:tc>
          <w:tcPr>
            <w:tcW w:w="556" w:type="pct"/>
          </w:tcPr>
          <w:p w14:paraId="0F032A12"/>
        </w:tc>
        <w:tc>
          <w:tcPr>
            <w:tcW w:w="556" w:type="pct"/>
          </w:tcPr>
          <w:p w14:paraId="0D781549"/>
        </w:tc>
      </w:tr>
      <w:tr w14:paraId="0052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A1203F6">
            <w:r>
              <w:t>6</w:t>
            </w:r>
          </w:p>
        </w:tc>
        <w:tc>
          <w:tcPr>
            <w:tcW w:w="556" w:type="pct"/>
          </w:tcPr>
          <w:p w14:paraId="7EBADCAE"/>
        </w:tc>
        <w:tc>
          <w:tcPr>
            <w:tcW w:w="556" w:type="pct"/>
          </w:tcPr>
          <w:p w14:paraId="44138D79"/>
        </w:tc>
        <w:tc>
          <w:tcPr>
            <w:tcW w:w="556" w:type="pct"/>
          </w:tcPr>
          <w:p w14:paraId="51F8CAE7"/>
        </w:tc>
        <w:tc>
          <w:tcPr>
            <w:tcW w:w="556" w:type="pct"/>
          </w:tcPr>
          <w:p w14:paraId="5A8B551C"/>
        </w:tc>
        <w:tc>
          <w:tcPr>
            <w:tcW w:w="556" w:type="pct"/>
          </w:tcPr>
          <w:p w14:paraId="675BD40C"/>
        </w:tc>
        <w:tc>
          <w:tcPr>
            <w:tcW w:w="556" w:type="pct"/>
          </w:tcPr>
          <w:p w14:paraId="67977BB6"/>
        </w:tc>
        <w:tc>
          <w:tcPr>
            <w:tcW w:w="556" w:type="pct"/>
          </w:tcPr>
          <w:p w14:paraId="4745F137"/>
        </w:tc>
        <w:tc>
          <w:tcPr>
            <w:tcW w:w="556" w:type="pct"/>
          </w:tcPr>
          <w:p w14:paraId="43B70DC1"/>
        </w:tc>
      </w:tr>
      <w:tr w14:paraId="42D9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21BC6D96">
            <w:r>
              <w:t>……</w:t>
            </w:r>
          </w:p>
        </w:tc>
        <w:tc>
          <w:tcPr>
            <w:tcW w:w="556" w:type="pct"/>
          </w:tcPr>
          <w:p w14:paraId="0662283D"/>
        </w:tc>
        <w:tc>
          <w:tcPr>
            <w:tcW w:w="556" w:type="pct"/>
          </w:tcPr>
          <w:p w14:paraId="39593C69"/>
        </w:tc>
        <w:tc>
          <w:tcPr>
            <w:tcW w:w="556" w:type="pct"/>
          </w:tcPr>
          <w:p w14:paraId="63F76016"/>
        </w:tc>
        <w:tc>
          <w:tcPr>
            <w:tcW w:w="556" w:type="pct"/>
          </w:tcPr>
          <w:p w14:paraId="0729B422"/>
        </w:tc>
        <w:tc>
          <w:tcPr>
            <w:tcW w:w="556" w:type="pct"/>
          </w:tcPr>
          <w:p w14:paraId="1BEC4895"/>
        </w:tc>
        <w:tc>
          <w:tcPr>
            <w:tcW w:w="556" w:type="pct"/>
          </w:tcPr>
          <w:p w14:paraId="14B7E7A7"/>
        </w:tc>
        <w:tc>
          <w:tcPr>
            <w:tcW w:w="556" w:type="pct"/>
          </w:tcPr>
          <w:p w14:paraId="1AE64985"/>
        </w:tc>
        <w:tc>
          <w:tcPr>
            <w:tcW w:w="556" w:type="pct"/>
          </w:tcPr>
          <w:p w14:paraId="7320B43A"/>
        </w:tc>
      </w:tr>
    </w:tbl>
    <w:p w14:paraId="24703020">
      <w:pPr>
        <w:ind w:firstLine="480"/>
      </w:pPr>
      <w:r>
        <w:t>说明：</w:t>
      </w:r>
    </w:p>
    <w:p w14:paraId="0C2193F4">
      <w:pPr>
        <w:ind w:firstLine="480"/>
      </w:pPr>
      <w:r>
        <w:t>1.“磋商文件规定的技术和服务要求”项下填写的内容应与磋商文件中采购需求的</w:t>
      </w:r>
      <w:r>
        <w:tab/>
      </w:r>
      <w:r>
        <w:tab/>
      </w:r>
      <w:r>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1AA97C33">
      <w:pPr>
        <w:ind w:firstLine="480"/>
      </w:pPr>
      <w:r>
        <w:t>2.参数性质栏标注“★”、“▲”号条款标志，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14:paraId="02671F7E">
      <w:pPr>
        <w:ind w:firstLine="480"/>
      </w:pPr>
      <w:r>
        <w:t>3.“是否偏离”项下应按下列规定填写：优于的，填写“正偏离”；符合的，填写“无偏离”；低于的，填写“负偏离”。</w:t>
      </w:r>
    </w:p>
    <w:p w14:paraId="1300F56F">
      <w:pPr>
        <w:ind w:firstLine="480"/>
      </w:pPr>
      <w:r>
        <w:t>4.“备注”处可填写偏离情况的说明。</w:t>
      </w:r>
    </w:p>
    <w:p w14:paraId="03F4E9DB">
      <w:pPr>
        <w:ind w:firstLine="480"/>
      </w:pPr>
    </w:p>
    <w:p w14:paraId="372ED2B2">
      <w:r>
        <w:t xml:space="preserve"> </w:t>
      </w:r>
    </w:p>
    <w:p w14:paraId="07EEF42F"/>
    <w:p w14:paraId="71ED16B1">
      <w:r>
        <w:rPr>
          <w:b/>
          <w:sz w:val="28"/>
        </w:rPr>
        <w:t>格式十七：</w:t>
      </w:r>
    </w:p>
    <w:p w14:paraId="7995D8B2">
      <w:pPr>
        <w:jc w:val="center"/>
      </w:pPr>
      <w:r>
        <w:rPr>
          <w:b/>
          <w:sz w:val="24"/>
        </w:rPr>
        <w:t>《商务条件响应表》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23"/>
        <w:gridCol w:w="1423"/>
        <w:gridCol w:w="1423"/>
        <w:gridCol w:w="1423"/>
        <w:gridCol w:w="1423"/>
        <w:gridCol w:w="1424"/>
      </w:tblGrid>
      <w:tr w14:paraId="2A97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784BDBCD">
            <w:r>
              <w:t>序号</w:t>
            </w:r>
          </w:p>
        </w:tc>
        <w:tc>
          <w:tcPr>
            <w:tcW w:w="714" w:type="pct"/>
          </w:tcPr>
          <w:p w14:paraId="0113401C">
            <w:r>
              <w:t>参数性质</w:t>
            </w:r>
          </w:p>
        </w:tc>
        <w:tc>
          <w:tcPr>
            <w:tcW w:w="714" w:type="pct"/>
          </w:tcPr>
          <w:p w14:paraId="4BA326B1">
            <w:r>
              <w:t>磋商文件规定的商务条件</w:t>
            </w:r>
          </w:p>
        </w:tc>
        <w:tc>
          <w:tcPr>
            <w:tcW w:w="714" w:type="pct"/>
          </w:tcPr>
          <w:p w14:paraId="4D8408DB">
            <w:r>
              <w:t>响应文件响应的具体内容</w:t>
            </w:r>
          </w:p>
        </w:tc>
        <w:tc>
          <w:tcPr>
            <w:tcW w:w="714" w:type="pct"/>
          </w:tcPr>
          <w:p w14:paraId="5B924DF2">
            <w:r>
              <w:t>是否偏离</w:t>
            </w:r>
          </w:p>
        </w:tc>
        <w:tc>
          <w:tcPr>
            <w:tcW w:w="714" w:type="pct"/>
          </w:tcPr>
          <w:p w14:paraId="3999728C">
            <w:r>
              <w:t>证明文件所在位置</w:t>
            </w:r>
          </w:p>
        </w:tc>
        <w:tc>
          <w:tcPr>
            <w:tcW w:w="714" w:type="pct"/>
          </w:tcPr>
          <w:p w14:paraId="2FF6E328">
            <w:r>
              <w:t>备注</w:t>
            </w:r>
          </w:p>
        </w:tc>
      </w:tr>
      <w:tr w14:paraId="3FF1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061C7E02">
            <w:pPr>
              <w:jc w:val="center"/>
            </w:pPr>
            <w:r>
              <w:t>1</w:t>
            </w:r>
          </w:p>
        </w:tc>
        <w:tc>
          <w:tcPr>
            <w:tcW w:w="714" w:type="pct"/>
          </w:tcPr>
          <w:p w14:paraId="29686CB0"/>
        </w:tc>
        <w:tc>
          <w:tcPr>
            <w:tcW w:w="714" w:type="pct"/>
          </w:tcPr>
          <w:p w14:paraId="414FCF77">
            <w:pPr>
              <w:numPr>
                <w:ilvl w:val="-1"/>
                <w:numId w:val="0"/>
              </w:numPr>
              <w:rPr>
                <w:rFonts w:hint="eastAsia" w:ascii="宋体" w:hAnsi="宋体" w:eastAsia="宋体" w:cs="宋体"/>
                <w:b/>
                <w:bCs w:val="0"/>
                <w:color w:val="auto"/>
                <w:spacing w:val="1"/>
                <w:position w:val="-1"/>
                <w:sz w:val="21"/>
                <w:szCs w:val="21"/>
                <w:highlight w:val="none"/>
              </w:rPr>
            </w:pPr>
          </w:p>
        </w:tc>
        <w:tc>
          <w:tcPr>
            <w:tcW w:w="714" w:type="pct"/>
          </w:tcPr>
          <w:p w14:paraId="7B547B58"/>
        </w:tc>
        <w:tc>
          <w:tcPr>
            <w:tcW w:w="714" w:type="pct"/>
          </w:tcPr>
          <w:p w14:paraId="35EB8D67"/>
        </w:tc>
        <w:tc>
          <w:tcPr>
            <w:tcW w:w="714" w:type="pct"/>
          </w:tcPr>
          <w:p w14:paraId="16B50972"/>
        </w:tc>
        <w:tc>
          <w:tcPr>
            <w:tcW w:w="714" w:type="pct"/>
          </w:tcPr>
          <w:p w14:paraId="7459CA58"/>
        </w:tc>
      </w:tr>
      <w:tr w14:paraId="17FB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4C4E3E9E">
            <w:pPr>
              <w:jc w:val="center"/>
            </w:pPr>
            <w:r>
              <w:t>2</w:t>
            </w:r>
          </w:p>
        </w:tc>
        <w:tc>
          <w:tcPr>
            <w:tcW w:w="714" w:type="pct"/>
          </w:tcPr>
          <w:p w14:paraId="1D2FAE09"/>
        </w:tc>
        <w:tc>
          <w:tcPr>
            <w:tcW w:w="714" w:type="pct"/>
          </w:tcPr>
          <w:p w14:paraId="04A4904F"/>
        </w:tc>
        <w:tc>
          <w:tcPr>
            <w:tcW w:w="714" w:type="pct"/>
          </w:tcPr>
          <w:p w14:paraId="6215BF25"/>
        </w:tc>
        <w:tc>
          <w:tcPr>
            <w:tcW w:w="714" w:type="pct"/>
          </w:tcPr>
          <w:p w14:paraId="0BBBECB5"/>
        </w:tc>
        <w:tc>
          <w:tcPr>
            <w:tcW w:w="714" w:type="pct"/>
          </w:tcPr>
          <w:p w14:paraId="185DD45F"/>
        </w:tc>
        <w:tc>
          <w:tcPr>
            <w:tcW w:w="714" w:type="pct"/>
          </w:tcPr>
          <w:p w14:paraId="137C2803"/>
        </w:tc>
      </w:tr>
      <w:tr w14:paraId="3F2B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27B6FAAC">
            <w:pPr>
              <w:jc w:val="center"/>
            </w:pPr>
            <w:r>
              <w:t>3</w:t>
            </w:r>
          </w:p>
        </w:tc>
        <w:tc>
          <w:tcPr>
            <w:tcW w:w="714" w:type="pct"/>
          </w:tcPr>
          <w:p w14:paraId="43FCD9E4"/>
        </w:tc>
        <w:tc>
          <w:tcPr>
            <w:tcW w:w="714" w:type="pct"/>
          </w:tcPr>
          <w:p w14:paraId="7C4E1340"/>
        </w:tc>
        <w:tc>
          <w:tcPr>
            <w:tcW w:w="714" w:type="pct"/>
          </w:tcPr>
          <w:p w14:paraId="67F930E0"/>
        </w:tc>
        <w:tc>
          <w:tcPr>
            <w:tcW w:w="714" w:type="pct"/>
          </w:tcPr>
          <w:p w14:paraId="170915E0"/>
        </w:tc>
        <w:tc>
          <w:tcPr>
            <w:tcW w:w="714" w:type="pct"/>
          </w:tcPr>
          <w:p w14:paraId="74C3C16E"/>
        </w:tc>
        <w:tc>
          <w:tcPr>
            <w:tcW w:w="714" w:type="pct"/>
          </w:tcPr>
          <w:p w14:paraId="4C94EB85"/>
        </w:tc>
      </w:tr>
      <w:tr w14:paraId="01BD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725821F4">
            <w:pPr>
              <w:jc w:val="center"/>
            </w:pPr>
            <w:r>
              <w:t>4</w:t>
            </w:r>
          </w:p>
        </w:tc>
        <w:tc>
          <w:tcPr>
            <w:tcW w:w="714" w:type="pct"/>
          </w:tcPr>
          <w:p w14:paraId="27DE5794"/>
        </w:tc>
        <w:tc>
          <w:tcPr>
            <w:tcW w:w="714" w:type="pct"/>
          </w:tcPr>
          <w:p w14:paraId="2CC0D601"/>
        </w:tc>
        <w:tc>
          <w:tcPr>
            <w:tcW w:w="714" w:type="pct"/>
          </w:tcPr>
          <w:p w14:paraId="77E5DAC9"/>
        </w:tc>
        <w:tc>
          <w:tcPr>
            <w:tcW w:w="714" w:type="pct"/>
          </w:tcPr>
          <w:p w14:paraId="3B7DF113"/>
        </w:tc>
        <w:tc>
          <w:tcPr>
            <w:tcW w:w="714" w:type="pct"/>
          </w:tcPr>
          <w:p w14:paraId="21022244"/>
        </w:tc>
        <w:tc>
          <w:tcPr>
            <w:tcW w:w="714" w:type="pct"/>
          </w:tcPr>
          <w:p w14:paraId="65B9DCDD"/>
        </w:tc>
      </w:tr>
      <w:tr w14:paraId="07E7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4E34DC12">
            <w:pPr>
              <w:jc w:val="center"/>
            </w:pPr>
            <w:r>
              <w:t>5</w:t>
            </w:r>
          </w:p>
        </w:tc>
        <w:tc>
          <w:tcPr>
            <w:tcW w:w="714" w:type="pct"/>
          </w:tcPr>
          <w:p w14:paraId="7FC34357"/>
        </w:tc>
        <w:tc>
          <w:tcPr>
            <w:tcW w:w="714" w:type="pct"/>
          </w:tcPr>
          <w:p w14:paraId="364BC4ED"/>
        </w:tc>
        <w:tc>
          <w:tcPr>
            <w:tcW w:w="714" w:type="pct"/>
          </w:tcPr>
          <w:p w14:paraId="643B99C3"/>
        </w:tc>
        <w:tc>
          <w:tcPr>
            <w:tcW w:w="714" w:type="pct"/>
          </w:tcPr>
          <w:p w14:paraId="3EBEC416"/>
        </w:tc>
        <w:tc>
          <w:tcPr>
            <w:tcW w:w="714" w:type="pct"/>
          </w:tcPr>
          <w:p w14:paraId="1A0FFB85"/>
        </w:tc>
        <w:tc>
          <w:tcPr>
            <w:tcW w:w="714" w:type="pct"/>
          </w:tcPr>
          <w:p w14:paraId="24FDB22B"/>
        </w:tc>
      </w:tr>
      <w:tr w14:paraId="7F80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21EC4992">
            <w:pPr>
              <w:jc w:val="center"/>
            </w:pPr>
            <w:r>
              <w:t>6</w:t>
            </w:r>
          </w:p>
        </w:tc>
        <w:tc>
          <w:tcPr>
            <w:tcW w:w="714" w:type="pct"/>
          </w:tcPr>
          <w:p w14:paraId="17CA6485"/>
        </w:tc>
        <w:tc>
          <w:tcPr>
            <w:tcW w:w="714" w:type="pct"/>
          </w:tcPr>
          <w:p w14:paraId="2846A93E"/>
        </w:tc>
        <w:tc>
          <w:tcPr>
            <w:tcW w:w="714" w:type="pct"/>
          </w:tcPr>
          <w:p w14:paraId="1ABC565D"/>
        </w:tc>
        <w:tc>
          <w:tcPr>
            <w:tcW w:w="714" w:type="pct"/>
          </w:tcPr>
          <w:p w14:paraId="1DFCACDF"/>
        </w:tc>
        <w:tc>
          <w:tcPr>
            <w:tcW w:w="714" w:type="pct"/>
          </w:tcPr>
          <w:p w14:paraId="66C78B1B"/>
        </w:tc>
        <w:tc>
          <w:tcPr>
            <w:tcW w:w="714" w:type="pct"/>
          </w:tcPr>
          <w:p w14:paraId="64B0FAE5"/>
        </w:tc>
      </w:tr>
      <w:tr w14:paraId="32CE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7F804D23">
            <w:pPr>
              <w:jc w:val="center"/>
            </w:pPr>
            <w:r>
              <w:t>7</w:t>
            </w:r>
          </w:p>
        </w:tc>
        <w:tc>
          <w:tcPr>
            <w:tcW w:w="714" w:type="pct"/>
          </w:tcPr>
          <w:p w14:paraId="5AEBB8CD"/>
        </w:tc>
        <w:tc>
          <w:tcPr>
            <w:tcW w:w="714" w:type="pct"/>
          </w:tcPr>
          <w:p w14:paraId="3632D5C1"/>
        </w:tc>
        <w:tc>
          <w:tcPr>
            <w:tcW w:w="714" w:type="pct"/>
          </w:tcPr>
          <w:p w14:paraId="42548D15"/>
        </w:tc>
        <w:tc>
          <w:tcPr>
            <w:tcW w:w="714" w:type="pct"/>
          </w:tcPr>
          <w:p w14:paraId="74BC60EE"/>
        </w:tc>
        <w:tc>
          <w:tcPr>
            <w:tcW w:w="714" w:type="pct"/>
          </w:tcPr>
          <w:p w14:paraId="1194113D"/>
        </w:tc>
        <w:tc>
          <w:tcPr>
            <w:tcW w:w="714" w:type="pct"/>
          </w:tcPr>
          <w:p w14:paraId="3DBD3FED"/>
        </w:tc>
      </w:tr>
      <w:tr w14:paraId="1BF0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1CCFCCEF">
            <w:pPr>
              <w:jc w:val="center"/>
            </w:pPr>
            <w:r>
              <w:t>8</w:t>
            </w:r>
          </w:p>
        </w:tc>
        <w:tc>
          <w:tcPr>
            <w:tcW w:w="714" w:type="pct"/>
          </w:tcPr>
          <w:p w14:paraId="34EFEEC8"/>
        </w:tc>
        <w:tc>
          <w:tcPr>
            <w:tcW w:w="714" w:type="pct"/>
          </w:tcPr>
          <w:p w14:paraId="56DA4D17"/>
        </w:tc>
        <w:tc>
          <w:tcPr>
            <w:tcW w:w="714" w:type="pct"/>
          </w:tcPr>
          <w:p w14:paraId="1AFCB6C9"/>
        </w:tc>
        <w:tc>
          <w:tcPr>
            <w:tcW w:w="714" w:type="pct"/>
          </w:tcPr>
          <w:p w14:paraId="6D2EB5C5"/>
        </w:tc>
        <w:tc>
          <w:tcPr>
            <w:tcW w:w="714" w:type="pct"/>
          </w:tcPr>
          <w:p w14:paraId="791F0DA0"/>
        </w:tc>
        <w:tc>
          <w:tcPr>
            <w:tcW w:w="714" w:type="pct"/>
          </w:tcPr>
          <w:p w14:paraId="52795A25"/>
        </w:tc>
      </w:tr>
      <w:tr w14:paraId="186F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3E0A7A9F">
            <w:pPr>
              <w:jc w:val="center"/>
            </w:pPr>
            <w:r>
              <w:t>9</w:t>
            </w:r>
          </w:p>
        </w:tc>
        <w:tc>
          <w:tcPr>
            <w:tcW w:w="714" w:type="pct"/>
          </w:tcPr>
          <w:p w14:paraId="3F157811"/>
        </w:tc>
        <w:tc>
          <w:tcPr>
            <w:tcW w:w="714" w:type="pct"/>
          </w:tcPr>
          <w:p w14:paraId="02E57F8A"/>
        </w:tc>
        <w:tc>
          <w:tcPr>
            <w:tcW w:w="714" w:type="pct"/>
          </w:tcPr>
          <w:p w14:paraId="0CFD3F22"/>
        </w:tc>
        <w:tc>
          <w:tcPr>
            <w:tcW w:w="714" w:type="pct"/>
          </w:tcPr>
          <w:p w14:paraId="0C766969"/>
        </w:tc>
        <w:tc>
          <w:tcPr>
            <w:tcW w:w="714" w:type="pct"/>
          </w:tcPr>
          <w:p w14:paraId="0372A05E"/>
        </w:tc>
        <w:tc>
          <w:tcPr>
            <w:tcW w:w="714" w:type="pct"/>
          </w:tcPr>
          <w:p w14:paraId="1390D76E"/>
        </w:tc>
      </w:tr>
      <w:tr w14:paraId="7AC2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14:paraId="5BE62C14">
            <w:pPr>
              <w:jc w:val="center"/>
            </w:pPr>
            <w:r>
              <w:t>……</w:t>
            </w:r>
          </w:p>
        </w:tc>
        <w:tc>
          <w:tcPr>
            <w:tcW w:w="714" w:type="pct"/>
          </w:tcPr>
          <w:p w14:paraId="449592D7"/>
        </w:tc>
        <w:tc>
          <w:tcPr>
            <w:tcW w:w="714" w:type="pct"/>
          </w:tcPr>
          <w:p w14:paraId="6FFB4E64"/>
        </w:tc>
        <w:tc>
          <w:tcPr>
            <w:tcW w:w="714" w:type="pct"/>
          </w:tcPr>
          <w:p w14:paraId="570E46F5"/>
        </w:tc>
        <w:tc>
          <w:tcPr>
            <w:tcW w:w="714" w:type="pct"/>
          </w:tcPr>
          <w:p w14:paraId="13D56DDB"/>
        </w:tc>
        <w:tc>
          <w:tcPr>
            <w:tcW w:w="714" w:type="pct"/>
          </w:tcPr>
          <w:p w14:paraId="093881B8"/>
        </w:tc>
        <w:tc>
          <w:tcPr>
            <w:tcW w:w="714" w:type="pct"/>
          </w:tcPr>
          <w:p w14:paraId="00057699"/>
        </w:tc>
      </w:tr>
    </w:tbl>
    <w:p w14:paraId="06EC9147">
      <w:pPr>
        <w:ind w:firstLine="480"/>
      </w:pPr>
      <w:r>
        <w:t>说明：</w:t>
      </w:r>
    </w:p>
    <w:p w14:paraId="3FDFA09E">
      <w:pPr>
        <w:ind w:firstLine="480"/>
      </w:pPr>
      <w:r>
        <w:t>1.“磋商文件规定的商务条件”项下填写的内容应与磋商文件中采购需求的 “商务要求”的内容保持一致。</w:t>
      </w:r>
    </w:p>
    <w:p w14:paraId="23520F01">
      <w:pPr>
        <w:ind w:firstLine="480"/>
      </w:pPr>
      <w: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5F2E5317">
      <w:pPr>
        <w:ind w:firstLine="480"/>
      </w:pPr>
      <w:r>
        <w:t>3.参数性质栏标注“★”、“▲”号条款标志，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14:paraId="5E30FA3A">
      <w:pPr>
        <w:ind w:firstLine="480"/>
      </w:pPr>
      <w:r>
        <w:t>4.“是否偏离”项下应按下列规定填写：优于的，填写“正偏离”；符合的，填写“无偏离”；低于的，填写“负偏离”。</w:t>
      </w:r>
    </w:p>
    <w:p w14:paraId="7365C4C8">
      <w:pPr>
        <w:ind w:firstLine="480"/>
      </w:pPr>
      <w:r>
        <w:t>5.“备注”处可填写偏离情况的说明。</w:t>
      </w:r>
    </w:p>
    <w:p w14:paraId="6E667DC3">
      <w:pPr>
        <w:ind w:firstLine="480"/>
      </w:pPr>
    </w:p>
    <w:p w14:paraId="11A155AC">
      <w:r>
        <w:t xml:space="preserve"> </w:t>
      </w:r>
    </w:p>
    <w:p w14:paraId="4EAC9B36"/>
    <w:p w14:paraId="46C3A5BE">
      <w:r>
        <w:rPr>
          <w:b/>
          <w:sz w:val="28"/>
        </w:rPr>
        <w:t>格式十八：</w:t>
      </w:r>
    </w:p>
    <w:p w14:paraId="35AE60C9">
      <w:pPr>
        <w:ind w:firstLine="480"/>
      </w:pPr>
      <w:r>
        <w:t>（以下格式文件由供应商根据需要选用）</w:t>
      </w:r>
    </w:p>
    <w:p w14:paraId="4355ED0F">
      <w:pPr>
        <w:jc w:val="center"/>
      </w:pPr>
      <w:r>
        <w:rPr>
          <w:b/>
          <w:sz w:val="24"/>
        </w:rPr>
        <w:t>履约进度计划表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7348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0E3AB0B">
            <w:r>
              <w:t>序号</w:t>
            </w:r>
          </w:p>
        </w:tc>
        <w:tc>
          <w:tcPr>
            <w:tcW w:w="1250" w:type="pct"/>
          </w:tcPr>
          <w:p w14:paraId="4194A203">
            <w:r>
              <w:t>拟定时间安排</w:t>
            </w:r>
          </w:p>
        </w:tc>
        <w:tc>
          <w:tcPr>
            <w:tcW w:w="1250" w:type="pct"/>
          </w:tcPr>
          <w:p w14:paraId="166116ED">
            <w:r>
              <w:t>计划完成的工作内容</w:t>
            </w:r>
          </w:p>
        </w:tc>
        <w:tc>
          <w:tcPr>
            <w:tcW w:w="1250" w:type="pct"/>
          </w:tcPr>
          <w:p w14:paraId="4A9E1062">
            <w:r>
              <w:t>实施方建议或要求</w:t>
            </w:r>
          </w:p>
        </w:tc>
      </w:tr>
      <w:tr w14:paraId="6C61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792F24E">
            <w:pPr>
              <w:jc w:val="center"/>
            </w:pPr>
            <w:r>
              <w:t>1</w:t>
            </w:r>
          </w:p>
        </w:tc>
        <w:tc>
          <w:tcPr>
            <w:tcW w:w="1250" w:type="pct"/>
          </w:tcPr>
          <w:p w14:paraId="3BB59B84">
            <w:r>
              <w:t>拟定___年___月___日</w:t>
            </w:r>
          </w:p>
        </w:tc>
        <w:tc>
          <w:tcPr>
            <w:tcW w:w="1250" w:type="pct"/>
          </w:tcPr>
          <w:p w14:paraId="48BA8BE6">
            <w:r>
              <w:t>签订合同并生效</w:t>
            </w:r>
          </w:p>
        </w:tc>
        <w:tc>
          <w:tcPr>
            <w:tcW w:w="1250" w:type="pct"/>
          </w:tcPr>
          <w:p w14:paraId="336B6552"/>
        </w:tc>
      </w:tr>
      <w:tr w14:paraId="71E4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23A2B6F7">
            <w:pPr>
              <w:jc w:val="center"/>
            </w:pPr>
            <w:r>
              <w:t>2</w:t>
            </w:r>
          </w:p>
        </w:tc>
        <w:tc>
          <w:tcPr>
            <w:tcW w:w="1250" w:type="pct"/>
          </w:tcPr>
          <w:p w14:paraId="0C76E4A5">
            <w:r>
              <w:t>___月___日—___月___日</w:t>
            </w:r>
          </w:p>
        </w:tc>
        <w:tc>
          <w:tcPr>
            <w:tcW w:w="1250" w:type="pct"/>
          </w:tcPr>
          <w:p w14:paraId="6763B0B9"/>
        </w:tc>
        <w:tc>
          <w:tcPr>
            <w:tcW w:w="1250" w:type="pct"/>
          </w:tcPr>
          <w:p w14:paraId="67E4AFA1"/>
        </w:tc>
      </w:tr>
      <w:tr w14:paraId="564F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99AB436">
            <w:pPr>
              <w:jc w:val="center"/>
            </w:pPr>
            <w:r>
              <w:t>3</w:t>
            </w:r>
          </w:p>
        </w:tc>
        <w:tc>
          <w:tcPr>
            <w:tcW w:w="1250" w:type="pct"/>
          </w:tcPr>
          <w:p w14:paraId="71D8B59F">
            <w:r>
              <w:t>___月___日—___月___日</w:t>
            </w:r>
          </w:p>
        </w:tc>
        <w:tc>
          <w:tcPr>
            <w:tcW w:w="1250" w:type="pct"/>
          </w:tcPr>
          <w:p w14:paraId="4C3865DE"/>
        </w:tc>
        <w:tc>
          <w:tcPr>
            <w:tcW w:w="1250" w:type="pct"/>
          </w:tcPr>
          <w:p w14:paraId="2B1DF70A"/>
        </w:tc>
      </w:tr>
      <w:tr w14:paraId="357D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EBA531C">
            <w:pPr>
              <w:jc w:val="center"/>
            </w:pPr>
            <w:r>
              <w:t>4</w:t>
            </w:r>
          </w:p>
        </w:tc>
        <w:tc>
          <w:tcPr>
            <w:tcW w:w="1250" w:type="pct"/>
          </w:tcPr>
          <w:p w14:paraId="50090508">
            <w:r>
              <w:t>___月___日—___月___日</w:t>
            </w:r>
          </w:p>
        </w:tc>
        <w:tc>
          <w:tcPr>
            <w:tcW w:w="1250" w:type="pct"/>
          </w:tcPr>
          <w:p w14:paraId="27D2247D">
            <w:r>
              <w:t>质保期</w:t>
            </w:r>
          </w:p>
        </w:tc>
        <w:tc>
          <w:tcPr>
            <w:tcW w:w="1250" w:type="pct"/>
          </w:tcPr>
          <w:p w14:paraId="7D75F394"/>
        </w:tc>
      </w:tr>
    </w:tbl>
    <w:p w14:paraId="6AA23F5E">
      <w:pPr>
        <w:ind w:firstLine="480"/>
      </w:pPr>
    </w:p>
    <w:p w14:paraId="42461DF8">
      <w:r>
        <w:t xml:space="preserve"> </w:t>
      </w:r>
    </w:p>
    <w:p w14:paraId="6DD89B36"/>
    <w:p w14:paraId="364D3ECF">
      <w:r>
        <w:rPr>
          <w:b/>
          <w:sz w:val="28"/>
        </w:rPr>
        <w:t>格式十九：</w:t>
      </w:r>
    </w:p>
    <w:p w14:paraId="069F91DC">
      <w:pPr>
        <w:ind w:firstLine="480"/>
      </w:pPr>
      <w:r>
        <w:t>（以下格式文件由供应商根据需要选用）</w:t>
      </w:r>
    </w:p>
    <w:p w14:paraId="5A21412B">
      <w:pPr>
        <w:jc w:val="center"/>
      </w:pPr>
      <w:r>
        <w:rPr>
          <w:b/>
          <w:sz w:val="24"/>
        </w:rPr>
        <w:t>各类证明材料</w:t>
      </w:r>
    </w:p>
    <w:p w14:paraId="4C895916">
      <w:pPr>
        <w:ind w:firstLine="480"/>
      </w:pPr>
      <w:r>
        <w:t>1.磋商文件要求提供的其他资料。</w:t>
      </w:r>
    </w:p>
    <w:p w14:paraId="4AD52E38">
      <w:pPr>
        <w:ind w:firstLine="480"/>
      </w:pPr>
      <w:r>
        <w:t>2.供应商认为需提供的其他资料。</w:t>
      </w:r>
    </w:p>
    <w:p w14:paraId="5679513F">
      <w:pPr>
        <w:ind w:firstLine="480"/>
      </w:pPr>
    </w:p>
    <w:p w14:paraId="7B208031">
      <w:r>
        <w:t xml:space="preserve"> </w:t>
      </w:r>
    </w:p>
    <w:p w14:paraId="2B3204FB"/>
    <w:p w14:paraId="7B139321">
      <w:r>
        <w:rPr>
          <w:b/>
          <w:sz w:val="28"/>
        </w:rPr>
        <w:t>格式二十：</w:t>
      </w:r>
    </w:p>
    <w:p w14:paraId="786E52CE">
      <w:pPr>
        <w:ind w:firstLine="480"/>
      </w:pPr>
      <w:r>
        <w:t>（若采购人支付代理服务费，则无需出具此承诺书）</w:t>
      </w:r>
    </w:p>
    <w:p w14:paraId="23D6E132">
      <w:pPr>
        <w:jc w:val="center"/>
      </w:pPr>
      <w:r>
        <w:rPr>
          <w:b/>
          <w:sz w:val="24"/>
        </w:rPr>
        <w:t>代理服务费缴纳承诺函</w:t>
      </w:r>
    </w:p>
    <w:p w14:paraId="658011D9">
      <w:pPr>
        <w:rPr>
          <w:rFonts w:hint="eastAsia" w:eastAsiaTheme="minorEastAsia"/>
          <w:lang w:eastAsia="zh-CN"/>
        </w:rPr>
      </w:pPr>
      <w:r>
        <w:t>致：</w:t>
      </w:r>
      <w:r>
        <w:rPr>
          <w:rFonts w:hint="eastAsia"/>
          <w:lang w:eastAsia="zh-CN"/>
        </w:rPr>
        <w:t>广东志正招标有限公司</w:t>
      </w:r>
    </w:p>
    <w:p w14:paraId="6ACC12BA">
      <w:pPr>
        <w:adjustRightInd w:val="0"/>
        <w:snapToGrid w:val="0"/>
        <w:ind w:firstLine="420" w:firstLineChars="200"/>
        <w:rPr>
          <w:rFonts w:hint="eastAsia" w:ascii="宋体" w:hAnsi="宋体" w:eastAsia="宋体" w:cs="Times New Roman"/>
          <w:szCs w:val="21"/>
        </w:rPr>
      </w:pPr>
      <w:r>
        <w:rPr>
          <w:rFonts w:hint="eastAsia" w:ascii="宋体" w:hAnsi="宋体" w:eastAsia="宋体" w:cs="Times New Roman"/>
          <w:szCs w:val="21"/>
        </w:rPr>
        <w:t>本</w:t>
      </w:r>
      <w:r>
        <w:rPr>
          <w:rFonts w:hint="eastAsia" w:ascii="宋体" w:hAnsi="宋体" w:eastAsia="宋体" w:cs="Times New Roman"/>
          <w:szCs w:val="21"/>
          <w:u w:val="single"/>
        </w:rPr>
        <w:t xml:space="preserve">   （供应商名称）   </w:t>
      </w:r>
      <w:r>
        <w:rPr>
          <w:rFonts w:hint="eastAsia" w:ascii="宋体" w:hAnsi="宋体" w:eastAsia="宋体" w:cs="Times New Roman"/>
          <w:szCs w:val="21"/>
        </w:rPr>
        <w:t>公司在参加在贵司进行的</w:t>
      </w:r>
      <w:r>
        <w:rPr>
          <w:rFonts w:hint="eastAsia" w:ascii="宋体" w:hAnsi="宋体" w:eastAsia="宋体" w:cs="Times New Roman"/>
          <w:szCs w:val="21"/>
          <w:u w:val="single"/>
        </w:rPr>
        <w:t xml:space="preserve">   （项目名称）       </w:t>
      </w: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r>
        <w:rPr>
          <w:rFonts w:hint="eastAsia" w:ascii="宋体" w:hAnsi="宋体" w:eastAsia="宋体" w:cs="Times New Roman"/>
          <w:szCs w:val="21"/>
        </w:rPr>
        <w:t>)响应中如获成交，我司保证按本项目供应商须知相关规定向贵司缴纳 “成交服务费”。</w:t>
      </w:r>
    </w:p>
    <w:p w14:paraId="060E4856">
      <w:pPr>
        <w:adjustRightInd w:val="0"/>
        <w:snapToGrid w:val="0"/>
        <w:ind w:firstLine="420" w:firstLineChars="200"/>
        <w:rPr>
          <w:rFonts w:hint="eastAsia" w:ascii="宋体" w:hAnsi="宋体" w:eastAsia="宋体" w:cs="Times New Roman"/>
          <w:szCs w:val="21"/>
        </w:rPr>
      </w:pPr>
      <w:r>
        <w:rPr>
          <w:rFonts w:hint="eastAsia" w:ascii="宋体" w:hAnsi="宋体" w:eastAsia="宋体" w:cs="Times New Roman"/>
          <w:szCs w:val="21"/>
        </w:rPr>
        <w:t>如我方违约，愿凭贵方开出的违约通知，按上述承付金额的200%由采购人在支付我司的合同款中代为扣付。</w:t>
      </w:r>
    </w:p>
    <w:p w14:paraId="29E494CA">
      <w:pPr>
        <w:adjustRightInd w:val="0"/>
        <w:snapToGrid w:val="0"/>
        <w:ind w:firstLine="420" w:firstLineChars="200"/>
        <w:rPr>
          <w:rFonts w:hint="eastAsia" w:ascii="宋体" w:hAnsi="宋体" w:eastAsia="宋体" w:cs="Times New Roman"/>
          <w:szCs w:val="21"/>
        </w:rPr>
      </w:pPr>
    </w:p>
    <w:p w14:paraId="01155049">
      <w:pPr>
        <w:adjustRightInd w:val="0"/>
        <w:snapToGrid w:val="0"/>
        <w:ind w:firstLine="420" w:firstLineChars="200"/>
        <w:rPr>
          <w:rFonts w:hint="eastAsia" w:ascii="宋体" w:hAnsi="宋体" w:eastAsia="宋体" w:cs="Times New Roman"/>
          <w:szCs w:val="21"/>
        </w:rPr>
      </w:pPr>
      <w:r>
        <w:rPr>
          <w:rFonts w:hint="eastAsia" w:ascii="宋体" w:hAnsi="宋体" w:eastAsia="宋体" w:cs="Times New Roman"/>
          <w:szCs w:val="21"/>
        </w:rPr>
        <w:t>另，关于我司缴纳成交服务费后开具成交服务费发票的事宜，我司声明如下：</w:t>
      </w:r>
    </w:p>
    <w:p w14:paraId="1C9D37EB">
      <w:pPr>
        <w:adjustRightInd w:val="0"/>
        <w:snapToGrid w:val="0"/>
        <w:ind w:firstLine="420" w:firstLineChars="200"/>
        <w:rPr>
          <w:rFonts w:hint="eastAsia" w:ascii="宋体" w:hAnsi="宋体" w:eastAsia="宋体" w:cs="Times New Roman"/>
          <w:szCs w:val="21"/>
        </w:rPr>
      </w:pPr>
      <w:r>
        <w:rPr>
          <w:rFonts w:hint="eastAsia" w:ascii="宋体" w:hAnsi="宋体" w:eastAsia="宋体" w:cs="Times New Roman"/>
          <w:szCs w:val="21"/>
        </w:rPr>
        <w:t>如需开具</w:t>
      </w:r>
      <w:r>
        <w:rPr>
          <w:rFonts w:hint="eastAsia" w:ascii="宋体" w:hAnsi="宋体" w:eastAsia="宋体" w:cs="宋体"/>
          <w:b/>
          <w:kern w:val="0"/>
          <w:szCs w:val="21"/>
          <w:u w:val="single"/>
        </w:rPr>
        <w:t>增值税普通发票</w:t>
      </w:r>
      <w:r>
        <w:rPr>
          <w:rFonts w:hint="eastAsia" w:ascii="宋体" w:hAnsi="宋体" w:eastAsia="宋体" w:cs="Times New Roman"/>
          <w:szCs w:val="21"/>
        </w:rPr>
        <w:t>，请于下方（ ）打“√”</w:t>
      </w:r>
    </w:p>
    <w:p w14:paraId="39AF7F96">
      <w:pPr>
        <w:adjustRightInd w:val="0"/>
        <w:snapToGrid w:val="0"/>
        <w:ind w:left="903" w:leftChars="229" w:right="-334" w:rightChars="-159" w:hanging="422" w:hangingChars="200"/>
        <w:rPr>
          <w:rFonts w:hint="eastAsia" w:ascii="宋体" w:hAnsi="宋体" w:eastAsia="宋体" w:cs="宋体"/>
          <w:kern w:val="0"/>
          <w:szCs w:val="21"/>
        </w:rPr>
      </w:pPr>
      <w:r>
        <w:rPr>
          <w:rFonts w:hint="eastAsia" w:ascii="宋体" w:hAnsi="宋体" w:eastAsia="宋体" w:cs="宋体"/>
          <w:b/>
          <w:kern w:val="0"/>
          <w:szCs w:val="21"/>
        </w:rPr>
        <w:t>A：</w:t>
      </w:r>
      <w:r>
        <w:rPr>
          <w:rFonts w:hint="eastAsia" w:ascii="宋体" w:hAnsi="宋体" w:eastAsia="宋体" w:cs="宋体"/>
          <w:kern w:val="0"/>
          <w:szCs w:val="21"/>
        </w:rPr>
        <w:t>（    ）</w:t>
      </w:r>
      <w:r>
        <w:rPr>
          <w:rFonts w:hint="eastAsia" w:ascii="宋体" w:hAnsi="宋体" w:eastAsia="宋体" w:cs="Times New Roman"/>
          <w:szCs w:val="21"/>
        </w:rPr>
        <w:t>请向我司开具服务费的“</w:t>
      </w:r>
      <w:r>
        <w:rPr>
          <w:rFonts w:hint="eastAsia" w:ascii="宋体" w:hAnsi="宋体" w:eastAsia="宋体" w:cs="宋体"/>
          <w:b/>
          <w:kern w:val="0"/>
          <w:szCs w:val="21"/>
          <w:u w:val="single"/>
        </w:rPr>
        <w:t>增值税普通发票</w:t>
      </w:r>
      <w:r>
        <w:rPr>
          <w:rFonts w:hint="eastAsia" w:ascii="宋体" w:hAnsi="宋体" w:eastAsia="宋体" w:cs="宋体"/>
          <w:b/>
          <w:kern w:val="0"/>
          <w:szCs w:val="21"/>
        </w:rPr>
        <w:t>”</w:t>
      </w:r>
      <w:r>
        <w:rPr>
          <w:rFonts w:hint="eastAsia" w:ascii="宋体" w:hAnsi="宋体" w:eastAsia="宋体" w:cs="宋体"/>
          <w:kern w:val="0"/>
          <w:szCs w:val="21"/>
        </w:rPr>
        <w:t>，开票信息为：</w:t>
      </w:r>
    </w:p>
    <w:p w14:paraId="177204AF">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1、我司工商注册名称：</w:t>
      </w:r>
      <w:r>
        <w:rPr>
          <w:rFonts w:hint="eastAsia" w:ascii="宋体" w:hAnsi="宋体" w:eastAsia="宋体" w:cs="宋体"/>
          <w:kern w:val="0"/>
          <w:szCs w:val="21"/>
          <w:u w:val="single"/>
        </w:rPr>
        <w:t xml:space="preserve">    （请填写）              </w:t>
      </w:r>
    </w:p>
    <w:p w14:paraId="73546FF4">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2、纳税人识别号（国税）/或统一社会信用代码：</w:t>
      </w:r>
      <w:r>
        <w:rPr>
          <w:rFonts w:hint="eastAsia" w:ascii="宋体" w:hAnsi="宋体" w:eastAsia="宋体" w:cs="宋体"/>
          <w:kern w:val="0"/>
          <w:szCs w:val="21"/>
          <w:u w:val="single"/>
        </w:rPr>
        <w:t xml:space="preserve">    （请填写）              </w:t>
      </w:r>
    </w:p>
    <w:p w14:paraId="31E5212E">
      <w:pPr>
        <w:adjustRightInd w:val="0"/>
        <w:snapToGrid w:val="0"/>
        <w:ind w:left="901" w:leftChars="229" w:hanging="420" w:hangingChars="200"/>
        <w:rPr>
          <w:rFonts w:hint="eastAsia" w:ascii="宋体" w:hAnsi="宋体" w:eastAsia="宋体" w:cs="Times New Roman"/>
          <w:szCs w:val="21"/>
        </w:rPr>
      </w:pPr>
    </w:p>
    <w:p w14:paraId="054864C1">
      <w:pPr>
        <w:adjustRightInd w:val="0"/>
        <w:snapToGrid w:val="0"/>
        <w:ind w:firstLine="420" w:firstLineChars="200"/>
        <w:rPr>
          <w:rFonts w:hint="eastAsia" w:ascii="宋体" w:hAnsi="宋体" w:eastAsia="宋体" w:cs="Times New Roman"/>
          <w:szCs w:val="21"/>
        </w:rPr>
      </w:pPr>
      <w:r>
        <w:rPr>
          <w:rFonts w:hint="eastAsia" w:ascii="宋体" w:hAnsi="宋体" w:eastAsia="宋体" w:cs="Times New Roman"/>
          <w:szCs w:val="21"/>
        </w:rPr>
        <w:t>如需开具</w:t>
      </w:r>
      <w:r>
        <w:rPr>
          <w:rFonts w:hint="eastAsia" w:ascii="宋体" w:hAnsi="宋体" w:eastAsia="宋体" w:cs="宋体"/>
          <w:b/>
          <w:kern w:val="0"/>
          <w:szCs w:val="21"/>
          <w:u w:val="single"/>
        </w:rPr>
        <w:t>增值税专用发票</w:t>
      </w:r>
      <w:r>
        <w:rPr>
          <w:rFonts w:hint="eastAsia" w:ascii="宋体" w:hAnsi="宋体" w:eastAsia="宋体" w:cs="Times New Roman"/>
          <w:szCs w:val="21"/>
        </w:rPr>
        <w:t>，请于下方（ ）打“√”, 并提供以下相关资料（缺一不可）</w:t>
      </w:r>
    </w:p>
    <w:p w14:paraId="27FA6B3E">
      <w:pPr>
        <w:adjustRightInd w:val="0"/>
        <w:snapToGrid w:val="0"/>
        <w:ind w:left="903" w:leftChars="229" w:right="-334" w:rightChars="-159" w:hanging="422" w:hangingChars="200"/>
        <w:rPr>
          <w:rFonts w:hint="eastAsia" w:ascii="宋体" w:hAnsi="宋体" w:eastAsia="宋体" w:cs="宋体"/>
          <w:kern w:val="0"/>
          <w:szCs w:val="21"/>
        </w:rPr>
      </w:pPr>
      <w:r>
        <w:rPr>
          <w:rFonts w:hint="eastAsia" w:ascii="宋体" w:hAnsi="宋体" w:eastAsia="宋体" w:cs="宋体"/>
          <w:b/>
          <w:kern w:val="0"/>
          <w:szCs w:val="21"/>
        </w:rPr>
        <w:t>B：</w:t>
      </w:r>
      <w:r>
        <w:rPr>
          <w:rFonts w:hint="eastAsia" w:ascii="宋体" w:hAnsi="宋体" w:eastAsia="宋体" w:cs="宋体"/>
          <w:kern w:val="0"/>
          <w:szCs w:val="21"/>
        </w:rPr>
        <w:t>（    ）</w:t>
      </w:r>
      <w:r>
        <w:rPr>
          <w:rFonts w:hint="eastAsia" w:ascii="宋体" w:hAnsi="宋体" w:eastAsia="宋体" w:cs="Times New Roman"/>
          <w:szCs w:val="21"/>
        </w:rPr>
        <w:t>请向我司开具服务费的“</w:t>
      </w:r>
      <w:r>
        <w:rPr>
          <w:rFonts w:hint="eastAsia" w:ascii="宋体" w:hAnsi="宋体" w:eastAsia="宋体" w:cs="宋体"/>
          <w:b/>
          <w:kern w:val="0"/>
          <w:szCs w:val="21"/>
          <w:u w:val="single"/>
        </w:rPr>
        <w:t>增值税专用发票</w:t>
      </w:r>
      <w:r>
        <w:rPr>
          <w:rFonts w:hint="eastAsia" w:ascii="宋体" w:hAnsi="宋体" w:eastAsia="宋体" w:cs="宋体"/>
          <w:b/>
          <w:kern w:val="0"/>
          <w:szCs w:val="21"/>
        </w:rPr>
        <w:t>”</w:t>
      </w:r>
      <w:r>
        <w:rPr>
          <w:rFonts w:hint="eastAsia" w:ascii="宋体" w:hAnsi="宋体" w:eastAsia="宋体" w:cs="宋体"/>
          <w:kern w:val="0"/>
          <w:szCs w:val="21"/>
        </w:rPr>
        <w:t>，开票信息为：</w:t>
      </w:r>
    </w:p>
    <w:p w14:paraId="6F7EBAC0">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1、我司工商注册名称：</w:t>
      </w:r>
      <w:r>
        <w:rPr>
          <w:rFonts w:hint="eastAsia" w:ascii="宋体" w:hAnsi="宋体" w:eastAsia="宋体" w:cs="宋体"/>
          <w:kern w:val="0"/>
          <w:szCs w:val="21"/>
          <w:u w:val="single"/>
        </w:rPr>
        <w:t xml:space="preserve">    （请填写）              </w:t>
      </w:r>
    </w:p>
    <w:p w14:paraId="275457BE">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2、纳税人识别号（国税）/或统一社会信用代码：</w:t>
      </w:r>
      <w:r>
        <w:rPr>
          <w:rFonts w:hint="eastAsia" w:ascii="宋体" w:hAnsi="宋体" w:eastAsia="宋体" w:cs="宋体"/>
          <w:kern w:val="0"/>
          <w:szCs w:val="21"/>
          <w:u w:val="single"/>
        </w:rPr>
        <w:t xml:space="preserve">    （请填写）              </w:t>
      </w:r>
    </w:p>
    <w:p w14:paraId="7F5CC31C">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3、注册地址：</w:t>
      </w:r>
      <w:r>
        <w:rPr>
          <w:rFonts w:hint="eastAsia" w:ascii="宋体" w:hAnsi="宋体" w:eastAsia="宋体" w:cs="宋体"/>
          <w:kern w:val="0"/>
          <w:szCs w:val="21"/>
          <w:u w:val="single"/>
        </w:rPr>
        <w:t xml:space="preserve">    （请填写）              </w:t>
      </w:r>
    </w:p>
    <w:p w14:paraId="7CBE1495">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4、办公电话（固话）：</w:t>
      </w:r>
      <w:r>
        <w:rPr>
          <w:rFonts w:hint="eastAsia" w:ascii="宋体" w:hAnsi="宋体" w:eastAsia="宋体" w:cs="宋体"/>
          <w:kern w:val="0"/>
          <w:szCs w:val="21"/>
          <w:u w:val="single"/>
        </w:rPr>
        <w:t xml:space="preserve">    （请填写）              </w:t>
      </w:r>
    </w:p>
    <w:p w14:paraId="1210894F">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5、开户银行及账号：</w:t>
      </w:r>
      <w:r>
        <w:rPr>
          <w:rFonts w:hint="eastAsia" w:ascii="宋体" w:hAnsi="宋体" w:eastAsia="宋体" w:cs="宋体"/>
          <w:kern w:val="0"/>
          <w:szCs w:val="21"/>
          <w:u w:val="single"/>
        </w:rPr>
        <w:t xml:space="preserve">    （请填写）              </w:t>
      </w:r>
    </w:p>
    <w:p w14:paraId="5397A3EE">
      <w:pPr>
        <w:adjustRightInd w:val="0"/>
        <w:snapToGrid w:val="0"/>
        <w:ind w:left="900"/>
        <w:rPr>
          <w:rFonts w:hint="eastAsia" w:ascii="宋体" w:hAnsi="宋体" w:eastAsia="宋体" w:cs="宋体"/>
          <w:kern w:val="0"/>
          <w:szCs w:val="21"/>
          <w:u w:val="single"/>
        </w:rPr>
      </w:pPr>
      <w:r>
        <w:rPr>
          <w:rFonts w:hint="eastAsia" w:ascii="宋体" w:hAnsi="宋体" w:eastAsia="宋体" w:cs="宋体"/>
          <w:kern w:val="0"/>
          <w:szCs w:val="21"/>
        </w:rPr>
        <w:t>6、一般纳税人资格证书/或加盖了税务局“增值税一般纳税人”条章的国税登记证扫描件/或在所属国税局网站的查询结果截图</w:t>
      </w:r>
      <w:r>
        <w:rPr>
          <w:rFonts w:hint="eastAsia" w:ascii="宋体" w:hAnsi="宋体" w:eastAsia="宋体" w:cs="宋体"/>
          <w:kern w:val="0"/>
          <w:szCs w:val="21"/>
          <w:u w:val="single"/>
        </w:rPr>
        <w:t>（截图后附）</w:t>
      </w:r>
    </w:p>
    <w:p w14:paraId="4E3DC131">
      <w:pPr>
        <w:ind w:firstLine="480"/>
      </w:pPr>
    </w:p>
    <w:p w14:paraId="7061EAAB">
      <w:pPr>
        <w:ind w:firstLine="480"/>
      </w:pPr>
      <w:r>
        <w:t>特此承诺！</w:t>
      </w:r>
    </w:p>
    <w:p w14:paraId="3044E3A6">
      <w:pPr>
        <w:ind w:firstLine="480"/>
      </w:pPr>
    </w:p>
    <w:p w14:paraId="64441FD5">
      <w:pPr>
        <w:jc w:val="right"/>
      </w:pPr>
      <w:r>
        <w:t>供应商法定名称（公章）；_____________________</w:t>
      </w:r>
    </w:p>
    <w:p w14:paraId="24440999">
      <w:pPr>
        <w:jc w:val="right"/>
      </w:pPr>
      <w:r>
        <w:t>供应商法定地址：_____________________</w:t>
      </w:r>
    </w:p>
    <w:p w14:paraId="5A074174">
      <w:pPr>
        <w:jc w:val="right"/>
      </w:pPr>
      <w:r>
        <w:t>供应商授权代表（签字或盖章）：_____________________</w:t>
      </w:r>
    </w:p>
    <w:p w14:paraId="4889B738">
      <w:pPr>
        <w:jc w:val="right"/>
      </w:pPr>
      <w:r>
        <w:t>电 话：_____________________</w:t>
      </w:r>
    </w:p>
    <w:p w14:paraId="2EEC33AA">
      <w:pPr>
        <w:jc w:val="right"/>
      </w:pPr>
      <w:r>
        <w:t>传 真：_____________________</w:t>
      </w:r>
    </w:p>
    <w:p w14:paraId="1864DCB5">
      <w:pPr>
        <w:jc w:val="right"/>
      </w:pPr>
      <w:r>
        <w:t>承诺日期：_____________________</w:t>
      </w:r>
    </w:p>
    <w:p w14:paraId="2948DE5F">
      <w:pPr>
        <w:ind w:firstLine="480"/>
      </w:pPr>
    </w:p>
    <w:p w14:paraId="2CF691C7">
      <w:r>
        <w:t xml:space="preserve"> </w:t>
      </w:r>
    </w:p>
    <w:p w14:paraId="3DFC6034"/>
    <w:p w14:paraId="03B02D0F">
      <w:r>
        <w:rPr>
          <w:b/>
          <w:sz w:val="28"/>
        </w:rPr>
        <w:t>格式二十一：</w:t>
      </w:r>
    </w:p>
    <w:p w14:paraId="0D2627A3">
      <w:pPr>
        <w:ind w:firstLine="480"/>
      </w:pPr>
      <w:r>
        <w:t>（以下格式文件由供应商根据需要选用）</w:t>
      </w:r>
    </w:p>
    <w:p w14:paraId="06A27599">
      <w:pPr>
        <w:jc w:val="center"/>
      </w:pPr>
      <w:r>
        <w:rPr>
          <w:b/>
          <w:sz w:val="24"/>
        </w:rPr>
        <w:t>需要采购人提供的附加条件</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9241"/>
      </w:tblGrid>
      <w:tr w14:paraId="0891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14:paraId="7B324F76">
            <w:r>
              <w:t>序号</w:t>
            </w:r>
          </w:p>
        </w:tc>
        <w:tc>
          <w:tcPr>
            <w:tcW w:w="4638" w:type="pct"/>
          </w:tcPr>
          <w:p w14:paraId="023CE3A8">
            <w:r>
              <w:t>供应商需要采购人提供的附加条件</w:t>
            </w:r>
          </w:p>
        </w:tc>
      </w:tr>
      <w:tr w14:paraId="2F4E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14:paraId="1FD653A8">
            <w:pPr>
              <w:jc w:val="center"/>
            </w:pPr>
            <w:r>
              <w:t>1</w:t>
            </w:r>
          </w:p>
        </w:tc>
        <w:tc>
          <w:tcPr>
            <w:tcW w:w="4638" w:type="pct"/>
          </w:tcPr>
          <w:p w14:paraId="06DAEEED"/>
        </w:tc>
      </w:tr>
      <w:tr w14:paraId="1563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14:paraId="418AE23E">
            <w:pPr>
              <w:jc w:val="center"/>
            </w:pPr>
            <w:r>
              <w:t>2</w:t>
            </w:r>
          </w:p>
        </w:tc>
        <w:tc>
          <w:tcPr>
            <w:tcW w:w="4638" w:type="pct"/>
          </w:tcPr>
          <w:p w14:paraId="2BDF473E"/>
        </w:tc>
      </w:tr>
      <w:tr w14:paraId="6CAF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tcPr>
          <w:p w14:paraId="744FE5F6">
            <w:pPr>
              <w:jc w:val="center"/>
            </w:pPr>
            <w:r>
              <w:t>3</w:t>
            </w:r>
          </w:p>
        </w:tc>
        <w:tc>
          <w:tcPr>
            <w:tcW w:w="4638" w:type="pct"/>
          </w:tcPr>
          <w:p w14:paraId="01D3B8AA"/>
        </w:tc>
      </w:tr>
    </w:tbl>
    <w:p w14:paraId="6E68C20A">
      <w:pPr>
        <w:ind w:firstLine="480"/>
      </w:pPr>
      <w:r>
        <w:t>注：供应商完成本项目需要采购人配合或提供的条件必须在上表列出，否则将视为供应商同意按现有条件完成本项目。如上表所列附加条件含有采购人不能接受的，将被视为响应无效。</w:t>
      </w:r>
    </w:p>
    <w:p w14:paraId="03E7F8C0">
      <w:pPr>
        <w:ind w:firstLine="480"/>
      </w:pPr>
    </w:p>
    <w:p w14:paraId="5F00778F">
      <w:r>
        <w:t xml:space="preserve"> </w:t>
      </w:r>
    </w:p>
    <w:p w14:paraId="2DBD9F01"/>
    <w:p w14:paraId="6022BE5F">
      <w:r>
        <w:rPr>
          <w:b/>
          <w:sz w:val="28"/>
        </w:rPr>
        <w:t>格式二十二：</w:t>
      </w:r>
    </w:p>
    <w:p w14:paraId="2436FC9B">
      <w:pPr>
        <w:ind w:firstLine="480"/>
      </w:pPr>
      <w:r>
        <w:t>（以下格式文件由供应商根据需要选用）</w:t>
      </w:r>
    </w:p>
    <w:p w14:paraId="3C42E08F">
      <w:pPr>
        <w:jc w:val="center"/>
      </w:pPr>
      <w:r>
        <w:rPr>
          <w:b/>
          <w:sz w:val="24"/>
        </w:rPr>
        <w:t>询问函、质疑函、投诉书格式</w:t>
      </w:r>
    </w:p>
    <w:p w14:paraId="6CD045B7">
      <w:pPr>
        <w:ind w:firstLine="480"/>
      </w:pPr>
      <w:r>
        <w:t>说明：本部分格式为供应商提交询问函、质疑函、投诉函时使用，不属于响应文件格式的组成部分。</w:t>
      </w:r>
    </w:p>
    <w:p w14:paraId="05FC3BF7">
      <w:pPr>
        <w:jc w:val="center"/>
      </w:pPr>
      <w:r>
        <w:rPr>
          <w:b/>
          <w:sz w:val="24"/>
        </w:rPr>
        <w:t>询问函</w:t>
      </w:r>
    </w:p>
    <w:p w14:paraId="323B7F6E">
      <w:pPr>
        <w:ind w:firstLine="480"/>
        <w:rPr>
          <w:rFonts w:hint="eastAsia" w:eastAsiaTheme="minorEastAsia"/>
          <w:lang w:eastAsia="zh-CN"/>
        </w:rPr>
      </w:pPr>
      <w:r>
        <w:rPr>
          <w:rFonts w:hint="eastAsia"/>
          <w:lang w:eastAsia="zh-CN"/>
        </w:rPr>
        <w:t>广东志正招标有限公司</w:t>
      </w:r>
    </w:p>
    <w:p w14:paraId="7EAA0C1C">
      <w:pPr>
        <w:ind w:firstLine="480"/>
      </w:pPr>
      <w:r>
        <w:t>我单位已登记并准备参与“</w:t>
      </w:r>
      <w:r>
        <w:rPr>
          <w:rFonts w:hint="eastAsia"/>
          <w:lang w:eastAsia="zh-CN"/>
        </w:rPr>
        <w:t>广州市海珠区中医医院2025-2026年医疗责任保险项目</w:t>
      </w:r>
      <w:r>
        <w:t>”项目（采购项目编号：</w:t>
      </w:r>
      <w:r>
        <w:rPr>
          <w:rFonts w:hint="eastAsia"/>
          <w:lang w:eastAsia="zh-CN"/>
        </w:rPr>
        <w:t>ZZ0250571</w:t>
      </w:r>
      <w:r>
        <w:t>）的响应活动，现有以下几个内容（或条款）存在疑问（或无法理解），特提出询问。</w:t>
      </w:r>
    </w:p>
    <w:p w14:paraId="2BC5544D">
      <w:pPr>
        <w:ind w:firstLine="480"/>
      </w:pPr>
      <w:r>
        <w:t>一、_____________________（事项一）</w:t>
      </w:r>
    </w:p>
    <w:p w14:paraId="2C7E0922">
      <w:pPr>
        <w:ind w:firstLine="480"/>
      </w:pPr>
      <w:r>
        <w:t>（1）____________________（问题或条款内容）</w:t>
      </w:r>
    </w:p>
    <w:p w14:paraId="3C2670E3">
      <w:pPr>
        <w:ind w:firstLine="480"/>
      </w:pPr>
      <w:r>
        <w:t>（2）____________________（说明疑问或无法理解原因）</w:t>
      </w:r>
    </w:p>
    <w:p w14:paraId="3E72BE25">
      <w:pPr>
        <w:ind w:firstLine="480"/>
      </w:pPr>
      <w:r>
        <w:t>（3）____________________（建议）</w:t>
      </w:r>
    </w:p>
    <w:p w14:paraId="1BD6A670">
      <w:pPr>
        <w:ind w:firstLine="480"/>
      </w:pPr>
      <w:r>
        <w:t>二、_____________________（事项二）</w:t>
      </w:r>
    </w:p>
    <w:p w14:paraId="7F6DAE86">
      <w:pPr>
        <w:ind w:firstLine="480"/>
      </w:pPr>
      <w:r>
        <w:t>...</w:t>
      </w:r>
    </w:p>
    <w:p w14:paraId="2DBCDD8C">
      <w:pPr>
        <w:ind w:firstLine="480"/>
      </w:pPr>
      <w:r>
        <w:t>随附相关证明材料如下：（目录）</w:t>
      </w:r>
    </w:p>
    <w:p w14:paraId="6807E198">
      <w:pPr>
        <w:ind w:firstLine="480"/>
      </w:pPr>
      <w:r>
        <w:t>询问人：（公章）</w:t>
      </w:r>
    </w:p>
    <w:p w14:paraId="5ECB0E1B">
      <w:pPr>
        <w:ind w:firstLine="480"/>
      </w:pPr>
      <w:r>
        <w:t>法定代表人（授权代表）：</w:t>
      </w:r>
    </w:p>
    <w:p w14:paraId="2A71DD4C">
      <w:pPr>
        <w:ind w:firstLine="480"/>
      </w:pPr>
      <w:r>
        <w:t>地址/邮编：</w:t>
      </w:r>
    </w:p>
    <w:p w14:paraId="4B8BF39B">
      <w:pPr>
        <w:ind w:firstLine="480"/>
      </w:pPr>
      <w:r>
        <w:t>电话/传真：</w:t>
      </w:r>
    </w:p>
    <w:p w14:paraId="649A8EE1">
      <w:pPr>
        <w:jc w:val="right"/>
      </w:pPr>
      <w:r>
        <w:t xml:space="preserve"> 日  期：__________________</w:t>
      </w:r>
    </w:p>
    <w:p w14:paraId="62112BC6">
      <w:pPr>
        <w:ind w:firstLine="480"/>
      </w:pPr>
    </w:p>
    <w:p w14:paraId="7C71D211">
      <w:r>
        <w:t xml:space="preserve"> </w:t>
      </w:r>
    </w:p>
    <w:p w14:paraId="53FE7ABB"/>
    <w:p w14:paraId="2BF9AEE7">
      <w:pPr>
        <w:jc w:val="center"/>
      </w:pPr>
      <w:r>
        <w:rPr>
          <w:b/>
          <w:sz w:val="24"/>
        </w:rPr>
        <w:t>质疑函</w:t>
      </w:r>
    </w:p>
    <w:p w14:paraId="020B48D4">
      <w:pPr>
        <w:ind w:firstLine="480"/>
      </w:pPr>
      <w:r>
        <w:t>一、质疑供应商基本信息</w:t>
      </w:r>
    </w:p>
    <w:p w14:paraId="34F343DA">
      <w:pPr>
        <w:ind w:firstLine="480"/>
      </w:pPr>
      <w:r>
        <w:t>质疑供应商：__________________________________________</w:t>
      </w:r>
    </w:p>
    <w:p w14:paraId="78E2C3E8">
      <w:pPr>
        <w:ind w:firstLine="480"/>
      </w:pPr>
      <w:r>
        <w:t>地址：_____________________邮编：_____________________</w:t>
      </w:r>
    </w:p>
    <w:p w14:paraId="728BB5F4">
      <w:pPr>
        <w:ind w:firstLine="480"/>
      </w:pPr>
      <w:r>
        <w:t>联系：_____________________联系电话：_________________</w:t>
      </w:r>
    </w:p>
    <w:p w14:paraId="1AD2A6DF">
      <w:pPr>
        <w:ind w:firstLine="480"/>
      </w:pPr>
      <w:r>
        <w:t>授权代表：_____________________</w:t>
      </w:r>
    </w:p>
    <w:p w14:paraId="7E8AFB71">
      <w:pPr>
        <w:ind w:firstLine="480"/>
      </w:pPr>
      <w:r>
        <w:t>联系电话：_____________________</w:t>
      </w:r>
    </w:p>
    <w:p w14:paraId="293E333D">
      <w:pPr>
        <w:ind w:firstLine="480"/>
      </w:pPr>
      <w:r>
        <w:t>地址：_____________________邮编：_____________________</w:t>
      </w:r>
    </w:p>
    <w:p w14:paraId="15DACFBD">
      <w:pPr>
        <w:ind w:firstLine="480"/>
      </w:pPr>
      <w:r>
        <w:t>二、质疑项目基本情况</w:t>
      </w:r>
    </w:p>
    <w:p w14:paraId="0C814086">
      <w:pPr>
        <w:ind w:firstLine="480"/>
      </w:pPr>
      <w:r>
        <w:t>质疑项目的名称：_____________________</w:t>
      </w:r>
    </w:p>
    <w:p w14:paraId="5EDA16FB">
      <w:pPr>
        <w:ind w:firstLine="480"/>
      </w:pPr>
      <w:r>
        <w:t>质疑项目的编号：_____________________ 包号：_____________________</w:t>
      </w:r>
    </w:p>
    <w:p w14:paraId="33CEA882">
      <w:pPr>
        <w:ind w:firstLine="480"/>
      </w:pPr>
      <w:r>
        <w:t>采购人名称：_____________________</w:t>
      </w:r>
    </w:p>
    <w:p w14:paraId="23438FC1">
      <w:pPr>
        <w:ind w:firstLine="480"/>
      </w:pPr>
      <w:r>
        <w:t>磋商文件获取日期：_____________________</w:t>
      </w:r>
    </w:p>
    <w:p w14:paraId="5AA4944A">
      <w:pPr>
        <w:ind w:firstLine="480"/>
      </w:pPr>
      <w:r>
        <w:t>三、质疑事项具体内容</w:t>
      </w:r>
    </w:p>
    <w:p w14:paraId="7828CED2">
      <w:pPr>
        <w:ind w:firstLine="480"/>
      </w:pPr>
      <w:r>
        <w:t>质疑事项1：_____________________</w:t>
      </w:r>
    </w:p>
    <w:p w14:paraId="2422FF80">
      <w:pPr>
        <w:ind w:firstLine="480"/>
      </w:pPr>
      <w:r>
        <w:t>事实依据：_____________________</w:t>
      </w:r>
    </w:p>
    <w:p w14:paraId="7FDED680">
      <w:pPr>
        <w:ind w:firstLine="480"/>
      </w:pPr>
      <w:r>
        <w:t>法律依据：_____________________</w:t>
      </w:r>
    </w:p>
    <w:p w14:paraId="5F45372E">
      <w:pPr>
        <w:ind w:firstLine="480"/>
      </w:pPr>
      <w:r>
        <w:t>质疑事项2</w:t>
      </w:r>
    </w:p>
    <w:p w14:paraId="16223B09">
      <w:pPr>
        <w:ind w:firstLine="480"/>
      </w:pPr>
      <w:r>
        <w:t>……</w:t>
      </w:r>
    </w:p>
    <w:p w14:paraId="68206E22">
      <w:pPr>
        <w:ind w:firstLine="480"/>
      </w:pPr>
      <w:r>
        <w:t>四、与质疑事项相关的质疑请求</w:t>
      </w:r>
    </w:p>
    <w:p w14:paraId="498EBCE6">
      <w:pPr>
        <w:ind w:firstLine="480"/>
      </w:pPr>
      <w:r>
        <w:t>请求：</w:t>
      </w:r>
    </w:p>
    <w:p w14:paraId="62BFBDE0">
      <w:pPr>
        <w:jc w:val="right"/>
      </w:pPr>
      <w:r>
        <w:t xml:space="preserve"> 签字(签章)：_____________________ 公章：_____________________</w:t>
      </w:r>
    </w:p>
    <w:p w14:paraId="51756EF4">
      <w:pPr>
        <w:jc w:val="right"/>
      </w:pPr>
      <w:r>
        <w:t>日期：_____________________</w:t>
      </w:r>
    </w:p>
    <w:p w14:paraId="06CD599F">
      <w:pPr>
        <w:ind w:firstLine="480"/>
      </w:pPr>
      <w:r>
        <w:t>质疑函制作说明：</w:t>
      </w:r>
    </w:p>
    <w:p w14:paraId="5B93988B">
      <w:pPr>
        <w:ind w:firstLine="480"/>
      </w:pPr>
      <w:r>
        <w:t>1.供应商提出质疑时，应提交质疑函和必要的证明材料。</w:t>
      </w:r>
    </w:p>
    <w:p w14:paraId="0426329B">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DAA03D">
      <w:pPr>
        <w:ind w:firstLine="480"/>
      </w:pPr>
      <w:r>
        <w:t>3.质疑供应商若对项目的某一采购包进行质疑，质疑函中应列明具体分包号。</w:t>
      </w:r>
    </w:p>
    <w:p w14:paraId="66A13F69">
      <w:pPr>
        <w:ind w:firstLine="480"/>
      </w:pPr>
      <w:r>
        <w:t>4.质疑函的质疑事项应具体、明确，并有必要的事实依据和法律依据。</w:t>
      </w:r>
    </w:p>
    <w:p w14:paraId="1DE17DEF">
      <w:pPr>
        <w:ind w:firstLine="480"/>
      </w:pPr>
      <w:r>
        <w:t>5.质疑函的质疑请求应与质疑事项相关。</w:t>
      </w:r>
    </w:p>
    <w:p w14:paraId="7D83D49E">
      <w:pPr>
        <w:ind w:firstLine="480"/>
      </w:pPr>
      <w:r>
        <w:t>6.质疑供应商为自然人的，质疑函应由本人签字；质疑供应商为法人或者其他组织的，质疑函应由法定代表人、主要负责人，或者其授权代表签字或者盖章，并加盖公章。</w:t>
      </w:r>
    </w:p>
    <w:p w14:paraId="1FCE6369">
      <w:pPr>
        <w:ind w:firstLine="480"/>
      </w:pPr>
    </w:p>
    <w:p w14:paraId="1BE2E04F">
      <w:r>
        <w:t xml:space="preserve"> </w:t>
      </w:r>
    </w:p>
    <w:p w14:paraId="53676ADD"/>
    <w:p w14:paraId="487D0F2C">
      <w:pPr>
        <w:jc w:val="center"/>
      </w:pPr>
      <w:r>
        <w:rPr>
          <w:b/>
          <w:sz w:val="24"/>
        </w:rPr>
        <w:t>投诉书</w:t>
      </w:r>
    </w:p>
    <w:p w14:paraId="5B2ED79B">
      <w:pPr>
        <w:ind w:firstLine="480"/>
      </w:pPr>
      <w:r>
        <w:t>一、投诉相关主体基本情况</w:t>
      </w:r>
    </w:p>
    <w:p w14:paraId="2726F259">
      <w:pPr>
        <w:ind w:firstLine="480"/>
      </w:pPr>
      <w:r>
        <w:t>投诉人：____________________</w:t>
      </w:r>
    </w:p>
    <w:p w14:paraId="60003119">
      <w:pPr>
        <w:ind w:firstLine="480"/>
      </w:pPr>
      <w:r>
        <w:t>地 址：____________________邮编：____________________</w:t>
      </w:r>
    </w:p>
    <w:p w14:paraId="5149225B">
      <w:pPr>
        <w:ind w:firstLine="480"/>
      </w:pPr>
      <w:r>
        <w:t>法定代表人/主要负责人：____________________</w:t>
      </w:r>
    </w:p>
    <w:p w14:paraId="526AB489">
      <w:pPr>
        <w:ind w:firstLine="480"/>
      </w:pPr>
      <w:r>
        <w:t>联系电话：____________________</w:t>
      </w:r>
    </w:p>
    <w:p w14:paraId="2A3950A1">
      <w:pPr>
        <w:ind w:firstLine="480"/>
      </w:pPr>
      <w:r>
        <w:t>授权代表：____________________联系电话：____________________</w:t>
      </w:r>
    </w:p>
    <w:p w14:paraId="3A24B325">
      <w:pPr>
        <w:ind w:firstLine="480"/>
      </w:pPr>
      <w:r>
        <w:t>地 址：____________________邮编：____________________</w:t>
      </w:r>
    </w:p>
    <w:p w14:paraId="109E1916">
      <w:pPr>
        <w:ind w:firstLine="480"/>
      </w:pPr>
      <w:r>
        <w:t>被投诉人1：____________________</w:t>
      </w:r>
    </w:p>
    <w:p w14:paraId="0DCB797A">
      <w:pPr>
        <w:ind w:firstLine="480"/>
      </w:pPr>
      <w:r>
        <w:t>地址：____________________邮编：____________________</w:t>
      </w:r>
    </w:p>
    <w:p w14:paraId="6C840A9B">
      <w:pPr>
        <w:ind w:firstLine="480"/>
      </w:pPr>
      <w:r>
        <w:t>联系人：____________________联系电话：____________________</w:t>
      </w:r>
    </w:p>
    <w:p w14:paraId="60B8653B">
      <w:pPr>
        <w:ind w:firstLine="480"/>
      </w:pPr>
      <w:r>
        <w:t>被投诉人2：____________________</w:t>
      </w:r>
    </w:p>
    <w:p w14:paraId="46D17B90">
      <w:pPr>
        <w:ind w:firstLine="480"/>
      </w:pPr>
      <w:r>
        <w:t>……</w:t>
      </w:r>
    </w:p>
    <w:p w14:paraId="59525F56">
      <w:pPr>
        <w:ind w:firstLine="480"/>
      </w:pPr>
      <w:r>
        <w:t>相关供应商：</w:t>
      </w:r>
    </w:p>
    <w:p w14:paraId="15CA8288">
      <w:pPr>
        <w:ind w:firstLine="480"/>
      </w:pPr>
      <w:r>
        <w:t>地址：____________________邮编：____________________</w:t>
      </w:r>
    </w:p>
    <w:p w14:paraId="1E8EC283">
      <w:pPr>
        <w:ind w:firstLine="480"/>
      </w:pPr>
      <w:r>
        <w:t>联系人：____________________联系电话：____________________</w:t>
      </w:r>
    </w:p>
    <w:p w14:paraId="2257D412">
      <w:pPr>
        <w:ind w:firstLine="480"/>
      </w:pPr>
      <w:r>
        <w:t>二、投诉项目基本情况</w:t>
      </w:r>
    </w:p>
    <w:p w14:paraId="33DB237C">
      <w:pPr>
        <w:ind w:firstLine="480"/>
      </w:pPr>
      <w:r>
        <w:t>采购项目名称：____________________</w:t>
      </w:r>
    </w:p>
    <w:p w14:paraId="2CD333F0">
      <w:pPr>
        <w:ind w:firstLine="480"/>
      </w:pPr>
      <w:r>
        <w:t>采购项目编号： ____________________包号：____________________</w:t>
      </w:r>
    </w:p>
    <w:p w14:paraId="3C86B7C8">
      <w:pPr>
        <w:ind w:firstLine="480"/>
      </w:pPr>
      <w:r>
        <w:t>采购人名称：____________________</w:t>
      </w:r>
    </w:p>
    <w:p w14:paraId="5AEC18DB">
      <w:pPr>
        <w:ind w:firstLine="480"/>
      </w:pPr>
      <w:r>
        <w:t>代理机构名称：____________________</w:t>
      </w:r>
    </w:p>
    <w:p w14:paraId="5F4DCCCF">
      <w:pPr>
        <w:ind w:firstLine="480"/>
      </w:pPr>
      <w:r>
        <w:t>磋商文件公告:</w:t>
      </w:r>
      <w:r>
        <w:rPr>
          <w:u w:val="single"/>
        </w:rPr>
        <w:t>是/否</w:t>
      </w:r>
      <w:r>
        <w:t>公告期限：</w:t>
      </w:r>
    </w:p>
    <w:p w14:paraId="40D662FB">
      <w:pPr>
        <w:ind w:firstLine="480"/>
      </w:pPr>
      <w:r>
        <w:t>采购结果公告:</w:t>
      </w:r>
      <w:r>
        <w:rPr>
          <w:u w:val="single"/>
        </w:rPr>
        <w:t>是/否</w:t>
      </w:r>
      <w:r>
        <w:t>公告期限：</w:t>
      </w:r>
    </w:p>
    <w:p w14:paraId="616CACEC">
      <w:pPr>
        <w:ind w:firstLine="480"/>
      </w:pPr>
      <w:r>
        <w:t>三、质疑基本情况</w:t>
      </w:r>
    </w:p>
    <w:p w14:paraId="122E8E52">
      <w:pPr>
        <w:ind w:firstLine="480"/>
      </w:pPr>
      <w:r>
        <w:t>投诉人于 ____年____月____日,向____________________提出质疑，质疑事项为：________________________________________</w:t>
      </w:r>
    </w:p>
    <w:p w14:paraId="42C0D9AB">
      <w:pPr>
        <w:ind w:firstLine="480"/>
      </w:pPr>
      <w:r>
        <w:rPr>
          <w:u w:val="single"/>
        </w:rPr>
        <w:t>采购人/代理机构</w:t>
      </w:r>
      <w:r>
        <w:t>于____年____月____日,就质疑事项作出了答复/没有在法定期限内作出答复。</w:t>
      </w:r>
    </w:p>
    <w:p w14:paraId="44710264">
      <w:pPr>
        <w:ind w:firstLine="480"/>
      </w:pPr>
      <w:r>
        <w:t>四、投诉事项具体内容</w:t>
      </w:r>
    </w:p>
    <w:p w14:paraId="1530C085">
      <w:pPr>
        <w:ind w:firstLine="480"/>
      </w:pPr>
      <w:r>
        <w:t>投诉事项1：____________________</w:t>
      </w:r>
    </w:p>
    <w:p w14:paraId="27DE6F80">
      <w:pPr>
        <w:ind w:firstLine="480"/>
      </w:pPr>
      <w:r>
        <w:t>事实依据：____________________</w:t>
      </w:r>
    </w:p>
    <w:p w14:paraId="41410BD0">
      <w:pPr>
        <w:ind w:firstLine="480"/>
      </w:pPr>
      <w:r>
        <w:t>法律依据：____________________</w:t>
      </w:r>
    </w:p>
    <w:p w14:paraId="0304773C">
      <w:pPr>
        <w:ind w:firstLine="480"/>
      </w:pPr>
      <w:r>
        <w:t>投诉事项2</w:t>
      </w:r>
    </w:p>
    <w:p w14:paraId="2B8664C5">
      <w:pPr>
        <w:ind w:firstLine="480"/>
      </w:pPr>
      <w:r>
        <w:t>……</w:t>
      </w:r>
    </w:p>
    <w:p w14:paraId="383CE50C">
      <w:pPr>
        <w:ind w:firstLine="480"/>
      </w:pPr>
      <w:r>
        <w:t>五、与投诉事项相关的投诉请求</w:t>
      </w:r>
    </w:p>
    <w:p w14:paraId="4F9D3E4B">
      <w:pPr>
        <w:ind w:firstLine="480"/>
      </w:pPr>
      <w:r>
        <w:t>请求：________________________</w:t>
      </w:r>
    </w:p>
    <w:p w14:paraId="5DC9225A">
      <w:pPr>
        <w:ind w:firstLine="480"/>
      </w:pPr>
    </w:p>
    <w:p w14:paraId="3201F541">
      <w:pPr>
        <w:jc w:val="right"/>
      </w:pPr>
      <w:r>
        <w:t>签字(签章)：_________公章________</w:t>
      </w:r>
    </w:p>
    <w:p w14:paraId="69130087">
      <w:pPr>
        <w:jc w:val="right"/>
      </w:pPr>
      <w:r>
        <w:t>日期：_____________________</w:t>
      </w:r>
    </w:p>
    <w:p w14:paraId="6DB0C76C">
      <w:pPr>
        <w:ind w:firstLine="480"/>
      </w:pPr>
    </w:p>
    <w:p w14:paraId="32132020">
      <w:pPr>
        <w:ind w:firstLine="480"/>
      </w:pPr>
      <w:r>
        <w:t>投诉书制作说明：</w:t>
      </w:r>
    </w:p>
    <w:p w14:paraId="128339F9">
      <w:pPr>
        <w:ind w:firstLine="480"/>
      </w:pPr>
      <w:r>
        <w:t>1.投诉人提起投诉时，应当提交投诉书和必要的证明材料，并按照被投诉人和与投诉事项有关的供应商数量提供投诉书副本。</w:t>
      </w:r>
    </w:p>
    <w:p w14:paraId="7BD2C977">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2C69019">
      <w:pPr>
        <w:ind w:firstLine="480"/>
      </w:pPr>
      <w:r>
        <w:t>3.投诉人若对项目的某一分包进行投诉，投诉书应列明具体分包号。</w:t>
      </w:r>
    </w:p>
    <w:p w14:paraId="0D204B18">
      <w:pPr>
        <w:ind w:firstLine="480"/>
      </w:pPr>
      <w:r>
        <w:t>4.投诉书应简要列明质疑事项，质疑函、质疑答复等作为附件材料提供。</w:t>
      </w:r>
    </w:p>
    <w:p w14:paraId="3A2CC615">
      <w:pPr>
        <w:ind w:firstLine="480"/>
      </w:pPr>
      <w:r>
        <w:t>5.投诉书的投诉事项应具体、明确，并有必要的事实依据和法律依据。</w:t>
      </w:r>
    </w:p>
    <w:p w14:paraId="50092A7D">
      <w:pPr>
        <w:ind w:firstLine="480"/>
      </w:pPr>
      <w:r>
        <w:t>6.投诉书的投诉请求应与投诉事项相关。</w:t>
      </w:r>
    </w:p>
    <w:p w14:paraId="1DFEC157">
      <w:pPr>
        <w:ind w:firstLine="480"/>
      </w:pPr>
      <w:r>
        <w:t>7.投诉人为自然人的，投诉书应当由本人签字；投诉人为法人或者其他组织的，投诉书应当由法定代表人、主要负责人，或者其授权代表签字或者盖章，并加盖公章。</w:t>
      </w:r>
    </w:p>
    <w:p w14:paraId="5CB80C66">
      <w:pPr>
        <w:ind w:firstLine="480"/>
      </w:pPr>
    </w:p>
    <w:p w14:paraId="343F33B1">
      <w:r>
        <w:t xml:space="preserve"> </w:t>
      </w:r>
    </w:p>
    <w:p w14:paraId="7ADB59D5"/>
    <w:p w14:paraId="4CC2C65E">
      <w:r>
        <w:rPr>
          <w:b/>
          <w:sz w:val="28"/>
        </w:rPr>
        <w:t>格式二十三：</w:t>
      </w:r>
    </w:p>
    <w:p w14:paraId="780A37E8">
      <w:pPr>
        <w:ind w:firstLine="480"/>
      </w:pPr>
      <w:r>
        <w:t>项目实施方案、质量保证及售后服务承诺等内容和格式自拟。</w:t>
      </w:r>
    </w:p>
    <w:p w14:paraId="699E8B4A">
      <w:pPr>
        <w:ind w:firstLine="480"/>
      </w:pPr>
    </w:p>
    <w:p w14:paraId="4D70AB91">
      <w:r>
        <w:t xml:space="preserve"> </w:t>
      </w:r>
    </w:p>
    <w:p w14:paraId="1C818CCD"/>
    <w:p w14:paraId="551B63BD">
      <w:r>
        <w:rPr>
          <w:b/>
          <w:sz w:val="28"/>
        </w:rPr>
        <w:t>格式二十四：</w:t>
      </w:r>
    </w:p>
    <w:p w14:paraId="28688485">
      <w:pPr>
        <w:ind w:firstLine="480"/>
      </w:pPr>
      <w:r>
        <w:t>附件（以下格式文件由供应商根据需要选用）</w:t>
      </w:r>
    </w:p>
    <w:p w14:paraId="74BBBD44">
      <w:pPr>
        <w:jc w:val="center"/>
      </w:pPr>
      <w:r>
        <w:rPr>
          <w:b/>
          <w:sz w:val="24"/>
        </w:rPr>
        <w:t>政府采购投标（响应）担保函</w:t>
      </w:r>
    </w:p>
    <w:p w14:paraId="2737E77E">
      <w:pPr>
        <w:jc w:val="right"/>
      </w:pPr>
      <w:r>
        <w:t>编号：【】号</w:t>
      </w:r>
    </w:p>
    <w:p w14:paraId="2A33DDFE">
      <w:pPr>
        <w:ind w:firstLine="480"/>
      </w:pPr>
      <w:r>
        <w:t>（采购人）：</w:t>
      </w:r>
    </w:p>
    <w:p w14:paraId="479B8459">
      <w:pPr>
        <w:ind w:firstLine="480"/>
      </w:pPr>
      <w: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14:paraId="25C6427F">
      <w:pPr>
        <w:ind w:firstLine="480"/>
      </w:pPr>
      <w:r>
        <w:t>一、保证责任的情形及保证金额</w:t>
      </w:r>
    </w:p>
    <w:p w14:paraId="2C9FBA22">
      <w:pPr>
        <w:ind w:firstLine="480"/>
      </w:pPr>
      <w:r>
        <w:t>（一）在投标（响应）人出现下列情形之一时，我方承担保证责任：</w:t>
      </w:r>
    </w:p>
    <w:p w14:paraId="5C662483">
      <w:pPr>
        <w:ind w:firstLine="480"/>
      </w:pPr>
      <w:r>
        <w:t>1.中标（成交）后投标（响应）人无正当理由不与采购人签订《政府采购合同》；</w:t>
      </w:r>
    </w:p>
    <w:p w14:paraId="624BF3BE">
      <w:pPr>
        <w:ind w:firstLine="480"/>
      </w:pPr>
      <w:r>
        <w:t>2.采购文件规定的投标（响应）人应当缴纳保证金的其他情形。</w:t>
      </w:r>
    </w:p>
    <w:p w14:paraId="63D92DB6">
      <w:pPr>
        <w:ind w:firstLine="480"/>
      </w:pPr>
      <w:r>
        <w:t>（二）我方承担保证责任的最高金额为人民币__________元（大写）即本项目的投标（响应）保证金金额。</w:t>
      </w:r>
    </w:p>
    <w:p w14:paraId="5C3D7287">
      <w:pPr>
        <w:ind w:firstLine="480"/>
      </w:pPr>
      <w:r>
        <w:t>二、保证的方式及保证期间</w:t>
      </w:r>
    </w:p>
    <w:p w14:paraId="608AC9A1">
      <w:pPr>
        <w:ind w:firstLine="480"/>
      </w:pPr>
      <w:r>
        <w:t>我方保证的方式为：连带责任保证。</w:t>
      </w:r>
    </w:p>
    <w:p w14:paraId="5F6A331B">
      <w:pPr>
        <w:ind w:firstLine="480"/>
      </w:pPr>
      <w:r>
        <w:t>我方的保证期间为：本保函自__年__月__日起生效，有效期至开标日后的90天内。</w:t>
      </w:r>
    </w:p>
    <w:p w14:paraId="3152D4D5">
      <w:pPr>
        <w:ind w:firstLine="480"/>
      </w:pPr>
      <w:r>
        <w:t>三、承担保证责任的程序</w:t>
      </w:r>
    </w:p>
    <w:p w14:paraId="670ED23B">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66565B63">
      <w:pPr>
        <w:ind w:firstLine="480"/>
      </w:pPr>
      <w:r>
        <w:t>2.我方在收到索赔通知及相关证明材料后，在15个工作日内进行审查，符合应承担保证责任情形的，我方按照你方的要求代投标（响应）人向你方支付相应的索赔款项。</w:t>
      </w:r>
    </w:p>
    <w:p w14:paraId="006ED06C">
      <w:pPr>
        <w:ind w:firstLine="480"/>
      </w:pPr>
      <w:r>
        <w:t>四、保证责任的终止</w:t>
      </w:r>
    </w:p>
    <w:p w14:paraId="5B5C201A">
      <w:pPr>
        <w:ind w:firstLine="480"/>
      </w:pPr>
      <w:r>
        <w:t>1.保证期间届满，你方未向我方书面主张保证责任的，自保证期间届满次日起，我方保证责任自动终止。</w:t>
      </w:r>
    </w:p>
    <w:p w14:paraId="175400C5">
      <w:pPr>
        <w:ind w:firstLine="480"/>
      </w:pPr>
      <w:r>
        <w:t>2.我方按照本保函向你方履行了保证责任后，自我方向你方支付款项（支付款项从我方账户划出）之日起，保证责任终止。</w:t>
      </w:r>
    </w:p>
    <w:p w14:paraId="2F38D040">
      <w:pPr>
        <w:ind w:firstLine="480"/>
      </w:pPr>
      <w:r>
        <w:t>3.按照法律法规的规定或出现我方保证责任终止的其它情形的，我方在本保函项下的保证责任终止。</w:t>
      </w:r>
    </w:p>
    <w:p w14:paraId="292F1C49">
      <w:pPr>
        <w:ind w:firstLine="480"/>
      </w:pPr>
      <w:r>
        <w:t>五、免责条款</w:t>
      </w:r>
    </w:p>
    <w:p w14:paraId="7A07A420">
      <w:pPr>
        <w:ind w:firstLine="480"/>
      </w:pPr>
      <w:r>
        <w:t>1.依照法律规定或你方与投标（响应）人的另行约定，全部或者部分免除投标（响应）人投标（响应）保证金义务时，我方亦免除相应的保证责任。</w:t>
      </w:r>
    </w:p>
    <w:p w14:paraId="71199C0A">
      <w:pPr>
        <w:ind w:firstLine="480"/>
      </w:pPr>
      <w:r>
        <w:t>2.因你方原因致使投标（响应）人发生本保函第一条第（一）款约定情形的，我方不承担保证责任。</w:t>
      </w:r>
    </w:p>
    <w:p w14:paraId="5ED86FBA">
      <w:pPr>
        <w:ind w:firstLine="480"/>
      </w:pPr>
      <w:r>
        <w:t>3.因不可抗力造成投标（响应）人发生本保函第一条约定情形的，我方不承担保证责任。</w:t>
      </w:r>
    </w:p>
    <w:p w14:paraId="7DFA9ED6">
      <w:pPr>
        <w:ind w:firstLine="480"/>
      </w:pPr>
      <w:r>
        <w:t>4.你方或其他有权机关对采购文件进行任何澄清或修改，加重我方保证责任的，我方对加重部分不承担保证责任，但该澄清或修改经我方事先书面同意的除外。</w:t>
      </w:r>
    </w:p>
    <w:p w14:paraId="72638A9E">
      <w:pPr>
        <w:ind w:firstLine="480"/>
      </w:pPr>
      <w:r>
        <w:t>六、争议的解决</w:t>
      </w:r>
    </w:p>
    <w:p w14:paraId="126980C4">
      <w:pPr>
        <w:ind w:firstLine="480"/>
      </w:pPr>
      <w:r>
        <w:t>因本保函发生的纠纷，由你我双方协商解决，协商不成的，通过诉讼程序解决，诉讼管辖地法院为________法院。</w:t>
      </w:r>
    </w:p>
    <w:p w14:paraId="55D67D89">
      <w:pPr>
        <w:ind w:firstLine="480"/>
      </w:pPr>
      <w:r>
        <w:t>七、保函的生效</w:t>
      </w:r>
    </w:p>
    <w:p w14:paraId="59B98D9A">
      <w:pPr>
        <w:ind w:firstLine="480"/>
      </w:pPr>
      <w:r>
        <w:t>本保函自我方加盖公章之日起生效。</w:t>
      </w:r>
    </w:p>
    <w:p w14:paraId="3E9E0B19">
      <w:pPr>
        <w:ind w:firstLine="480"/>
      </w:pPr>
    </w:p>
    <w:p w14:paraId="2DC919A6">
      <w:pPr>
        <w:jc w:val="right"/>
      </w:pPr>
      <w:r>
        <w:t>保证人：_______（公章）_______</w:t>
      </w:r>
    </w:p>
    <w:p w14:paraId="6C5CBBBE">
      <w:pPr>
        <w:jc w:val="right"/>
      </w:pPr>
      <w:r>
        <w:t>联系人：________________联系电话：_______________</w:t>
      </w:r>
    </w:p>
    <w:p w14:paraId="2CB2C955">
      <w:pPr>
        <w:jc w:val="right"/>
      </w:pPr>
      <w:r>
        <w:t>___年___月___日</w:t>
      </w:r>
    </w:p>
    <w:p w14:paraId="7E90380B">
      <w:pPr>
        <w:rPr>
          <w:lang w:eastAsia="zh-Hans"/>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0000000000000000000"/>
    <w:charset w:val="86"/>
    <w:family w:val="auto"/>
    <w:pitch w:val="default"/>
    <w:sig w:usb0="00000000" w:usb1="00000000" w:usb2="00000000" w:usb3="00000000" w:csb0="00060000" w:csb1="00000000"/>
  </w:font>
  <w:font w:name="仿宋">
    <w:panose1 w:val="02010609060101010101"/>
    <w:charset w:val="86"/>
    <w:family w:val="modern"/>
    <w:pitch w:val="default"/>
    <w:sig w:usb0="800002BF" w:usb1="38CF7CFA" w:usb2="00000016" w:usb3="00000000" w:csb0="00040001" w:csb1="00000000"/>
  </w:font>
  <w:font w:name="DEZBWU+FZY4JW--GB1-0">
    <w:altName w:val="宋体"/>
    <w:panose1 w:val="00000000000000000000"/>
    <w:charset w:val="86"/>
    <w:family w:val="swiss"/>
    <w:pitch w:val="default"/>
    <w:sig w:usb0="00000000" w:usb1="00000000" w:usb2="00000000" w:usb3="00000000" w:csb0="00040000" w:csb1="00000000"/>
  </w:font>
  <w:font w:name="仿宋_GB2312">
    <w:altName w:val="宋体"/>
    <w:panose1 w:val="00000000000000000000"/>
    <w:charset w:val="86"/>
    <w:family w:val="roma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902725"/>
    </w:sdtPr>
    <w:sdtContent>
      <w:p w14:paraId="4EF2330E">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1DD6E"/>
    <w:multiLevelType w:val="singleLevel"/>
    <w:tmpl w:val="FEC1DD6E"/>
    <w:lvl w:ilvl="0" w:tentative="0">
      <w:start w:val="3"/>
      <w:numFmt w:val="decimal"/>
      <w:suff w:val="nothing"/>
      <w:lvlText w:val="%1、"/>
      <w:lvlJc w:val="left"/>
    </w:lvl>
  </w:abstractNum>
  <w:abstractNum w:abstractNumId="1">
    <w:nsid w:val="002957CD"/>
    <w:multiLevelType w:val="multilevel"/>
    <w:tmpl w:val="002957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E776EF"/>
    <w:multiLevelType w:val="multilevel"/>
    <w:tmpl w:val="32E776EF"/>
    <w:lvl w:ilvl="0" w:tentative="0">
      <w:start w:val="1"/>
      <w:numFmt w:val="decimal"/>
      <w:lvlText w:val="%1）"/>
      <w:lvlJc w:val="left"/>
      <w:pPr>
        <w:ind w:left="1290" w:hanging="81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9EB2217"/>
    <w:multiLevelType w:val="multilevel"/>
    <w:tmpl w:val="39EB22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600FB4"/>
    <w:multiLevelType w:val="multilevel"/>
    <w:tmpl w:val="6B600FB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ZDkyZDNhNDMwNWE0ZTkzNzgyOTgzNjA4MmIwOGQifQ=="/>
  </w:docVars>
  <w:rsids>
    <w:rsidRoot w:val="53B52B8D"/>
    <w:rsid w:val="00003908"/>
    <w:rsid w:val="00005581"/>
    <w:rsid w:val="00006566"/>
    <w:rsid w:val="00010815"/>
    <w:rsid w:val="00012809"/>
    <w:rsid w:val="00012C85"/>
    <w:rsid w:val="00012D54"/>
    <w:rsid w:val="00014C5F"/>
    <w:rsid w:val="000150C9"/>
    <w:rsid w:val="00015DD4"/>
    <w:rsid w:val="0001775E"/>
    <w:rsid w:val="00017CCC"/>
    <w:rsid w:val="0002213C"/>
    <w:rsid w:val="000237B8"/>
    <w:rsid w:val="00026DF8"/>
    <w:rsid w:val="000355EF"/>
    <w:rsid w:val="000374FB"/>
    <w:rsid w:val="0004199B"/>
    <w:rsid w:val="00041AA2"/>
    <w:rsid w:val="0004255D"/>
    <w:rsid w:val="00042CD9"/>
    <w:rsid w:val="0004458C"/>
    <w:rsid w:val="00046FCB"/>
    <w:rsid w:val="000519D6"/>
    <w:rsid w:val="00052024"/>
    <w:rsid w:val="00052920"/>
    <w:rsid w:val="00053B2F"/>
    <w:rsid w:val="00054FED"/>
    <w:rsid w:val="000608AA"/>
    <w:rsid w:val="000640D7"/>
    <w:rsid w:val="00064326"/>
    <w:rsid w:val="00064A1D"/>
    <w:rsid w:val="00065B10"/>
    <w:rsid w:val="00073185"/>
    <w:rsid w:val="00093D4C"/>
    <w:rsid w:val="00094929"/>
    <w:rsid w:val="00095F6D"/>
    <w:rsid w:val="000A6C15"/>
    <w:rsid w:val="000B7E97"/>
    <w:rsid w:val="000C07A5"/>
    <w:rsid w:val="000C3E5C"/>
    <w:rsid w:val="000D1686"/>
    <w:rsid w:val="000D391B"/>
    <w:rsid w:val="000D6DEC"/>
    <w:rsid w:val="000E4730"/>
    <w:rsid w:val="000E7070"/>
    <w:rsid w:val="000F4129"/>
    <w:rsid w:val="000F5C71"/>
    <w:rsid w:val="000F5C8A"/>
    <w:rsid w:val="000F7C7D"/>
    <w:rsid w:val="0010597B"/>
    <w:rsid w:val="001063C8"/>
    <w:rsid w:val="0010699C"/>
    <w:rsid w:val="00111272"/>
    <w:rsid w:val="0011335E"/>
    <w:rsid w:val="00114E0A"/>
    <w:rsid w:val="00117C96"/>
    <w:rsid w:val="00120294"/>
    <w:rsid w:val="00123BF4"/>
    <w:rsid w:val="0012773F"/>
    <w:rsid w:val="00133D07"/>
    <w:rsid w:val="0013763F"/>
    <w:rsid w:val="00137A79"/>
    <w:rsid w:val="00142715"/>
    <w:rsid w:val="001479BF"/>
    <w:rsid w:val="001509A8"/>
    <w:rsid w:val="00157303"/>
    <w:rsid w:val="0016330B"/>
    <w:rsid w:val="001648A1"/>
    <w:rsid w:val="0017263D"/>
    <w:rsid w:val="001749CC"/>
    <w:rsid w:val="001763A7"/>
    <w:rsid w:val="00185192"/>
    <w:rsid w:val="00187CB7"/>
    <w:rsid w:val="00187F2C"/>
    <w:rsid w:val="001928E9"/>
    <w:rsid w:val="001949EE"/>
    <w:rsid w:val="001957AC"/>
    <w:rsid w:val="001A3057"/>
    <w:rsid w:val="001A79C9"/>
    <w:rsid w:val="001B379C"/>
    <w:rsid w:val="001B5D70"/>
    <w:rsid w:val="001B6722"/>
    <w:rsid w:val="001C0D37"/>
    <w:rsid w:val="001C2628"/>
    <w:rsid w:val="001C2828"/>
    <w:rsid w:val="001C28E2"/>
    <w:rsid w:val="001C6B95"/>
    <w:rsid w:val="001C7272"/>
    <w:rsid w:val="001C7604"/>
    <w:rsid w:val="001C77CC"/>
    <w:rsid w:val="001D0D55"/>
    <w:rsid w:val="001D5792"/>
    <w:rsid w:val="001D6124"/>
    <w:rsid w:val="001D7B7D"/>
    <w:rsid w:val="001E06B3"/>
    <w:rsid w:val="001E4879"/>
    <w:rsid w:val="001E79CD"/>
    <w:rsid w:val="001F1174"/>
    <w:rsid w:val="001F40DA"/>
    <w:rsid w:val="001F599A"/>
    <w:rsid w:val="002027B8"/>
    <w:rsid w:val="00211F12"/>
    <w:rsid w:val="002214A8"/>
    <w:rsid w:val="00222787"/>
    <w:rsid w:val="00224A24"/>
    <w:rsid w:val="00224FD3"/>
    <w:rsid w:val="0022758F"/>
    <w:rsid w:val="00231593"/>
    <w:rsid w:val="002320DC"/>
    <w:rsid w:val="002378F5"/>
    <w:rsid w:val="00240132"/>
    <w:rsid w:val="0024787D"/>
    <w:rsid w:val="00250B53"/>
    <w:rsid w:val="002525A8"/>
    <w:rsid w:val="00256BEC"/>
    <w:rsid w:val="00256CBB"/>
    <w:rsid w:val="002630FE"/>
    <w:rsid w:val="00263BED"/>
    <w:rsid w:val="00264BDD"/>
    <w:rsid w:val="0026510B"/>
    <w:rsid w:val="00266420"/>
    <w:rsid w:val="002664D1"/>
    <w:rsid w:val="002708C2"/>
    <w:rsid w:val="00275FC8"/>
    <w:rsid w:val="00277BF8"/>
    <w:rsid w:val="00280400"/>
    <w:rsid w:val="002810A8"/>
    <w:rsid w:val="00290521"/>
    <w:rsid w:val="00292954"/>
    <w:rsid w:val="002961D3"/>
    <w:rsid w:val="002A0EBA"/>
    <w:rsid w:val="002A2845"/>
    <w:rsid w:val="002A2FBA"/>
    <w:rsid w:val="002B2D2A"/>
    <w:rsid w:val="002C144B"/>
    <w:rsid w:val="002C6B08"/>
    <w:rsid w:val="002D13CB"/>
    <w:rsid w:val="002D433D"/>
    <w:rsid w:val="002D745E"/>
    <w:rsid w:val="002E077A"/>
    <w:rsid w:val="002E1DD1"/>
    <w:rsid w:val="002E2617"/>
    <w:rsid w:val="002E2F5B"/>
    <w:rsid w:val="002F0678"/>
    <w:rsid w:val="002F1152"/>
    <w:rsid w:val="002F15AC"/>
    <w:rsid w:val="002F49AC"/>
    <w:rsid w:val="002F5557"/>
    <w:rsid w:val="002F5711"/>
    <w:rsid w:val="002F5D6D"/>
    <w:rsid w:val="002F652A"/>
    <w:rsid w:val="00301D73"/>
    <w:rsid w:val="00302B53"/>
    <w:rsid w:val="0030431F"/>
    <w:rsid w:val="00312198"/>
    <w:rsid w:val="00312D51"/>
    <w:rsid w:val="00316F88"/>
    <w:rsid w:val="00317CCD"/>
    <w:rsid w:val="00317D41"/>
    <w:rsid w:val="00324189"/>
    <w:rsid w:val="003252D5"/>
    <w:rsid w:val="00326971"/>
    <w:rsid w:val="00326AD8"/>
    <w:rsid w:val="00330E97"/>
    <w:rsid w:val="00336B84"/>
    <w:rsid w:val="00341080"/>
    <w:rsid w:val="003416EB"/>
    <w:rsid w:val="00350491"/>
    <w:rsid w:val="0035166D"/>
    <w:rsid w:val="00354F03"/>
    <w:rsid w:val="00356B2E"/>
    <w:rsid w:val="00357A45"/>
    <w:rsid w:val="0036151A"/>
    <w:rsid w:val="003637E1"/>
    <w:rsid w:val="00364779"/>
    <w:rsid w:val="00365A89"/>
    <w:rsid w:val="00367BEF"/>
    <w:rsid w:val="0037156E"/>
    <w:rsid w:val="00371F43"/>
    <w:rsid w:val="003725FD"/>
    <w:rsid w:val="003804D5"/>
    <w:rsid w:val="003863D0"/>
    <w:rsid w:val="003941E1"/>
    <w:rsid w:val="00394862"/>
    <w:rsid w:val="0039685E"/>
    <w:rsid w:val="00396EF9"/>
    <w:rsid w:val="0039708B"/>
    <w:rsid w:val="003A384A"/>
    <w:rsid w:val="003B1ABE"/>
    <w:rsid w:val="003B2811"/>
    <w:rsid w:val="003B3620"/>
    <w:rsid w:val="003B5498"/>
    <w:rsid w:val="003B5989"/>
    <w:rsid w:val="003B6BAF"/>
    <w:rsid w:val="003B745C"/>
    <w:rsid w:val="003B7F16"/>
    <w:rsid w:val="003C19A1"/>
    <w:rsid w:val="003C4601"/>
    <w:rsid w:val="003C6363"/>
    <w:rsid w:val="003C6D28"/>
    <w:rsid w:val="003D0892"/>
    <w:rsid w:val="003D2534"/>
    <w:rsid w:val="003D2E7A"/>
    <w:rsid w:val="003D47F6"/>
    <w:rsid w:val="003D58B3"/>
    <w:rsid w:val="003E0244"/>
    <w:rsid w:val="003E10A5"/>
    <w:rsid w:val="003E1FF9"/>
    <w:rsid w:val="003E35C5"/>
    <w:rsid w:val="003F1461"/>
    <w:rsid w:val="003F3FEB"/>
    <w:rsid w:val="003F6D2D"/>
    <w:rsid w:val="00401B07"/>
    <w:rsid w:val="004027A7"/>
    <w:rsid w:val="0040502C"/>
    <w:rsid w:val="0040538B"/>
    <w:rsid w:val="00406FD9"/>
    <w:rsid w:val="00412D1F"/>
    <w:rsid w:val="00420A79"/>
    <w:rsid w:val="0042143E"/>
    <w:rsid w:val="00423CD1"/>
    <w:rsid w:val="00427881"/>
    <w:rsid w:val="00427E63"/>
    <w:rsid w:val="00431119"/>
    <w:rsid w:val="004316BC"/>
    <w:rsid w:val="004332B2"/>
    <w:rsid w:val="004361C3"/>
    <w:rsid w:val="00443598"/>
    <w:rsid w:val="004441EF"/>
    <w:rsid w:val="00445767"/>
    <w:rsid w:val="00446800"/>
    <w:rsid w:val="004469C6"/>
    <w:rsid w:val="0045221B"/>
    <w:rsid w:val="00452816"/>
    <w:rsid w:val="00455D6E"/>
    <w:rsid w:val="00455EC4"/>
    <w:rsid w:val="00462DFA"/>
    <w:rsid w:val="00465B52"/>
    <w:rsid w:val="0046700E"/>
    <w:rsid w:val="00473442"/>
    <w:rsid w:val="0047353D"/>
    <w:rsid w:val="00480524"/>
    <w:rsid w:val="0048248C"/>
    <w:rsid w:val="00484ACC"/>
    <w:rsid w:val="00486D1F"/>
    <w:rsid w:val="0048795C"/>
    <w:rsid w:val="004933D5"/>
    <w:rsid w:val="004936AB"/>
    <w:rsid w:val="0049433D"/>
    <w:rsid w:val="00494578"/>
    <w:rsid w:val="004947D9"/>
    <w:rsid w:val="00495C8B"/>
    <w:rsid w:val="004961B8"/>
    <w:rsid w:val="004A46BF"/>
    <w:rsid w:val="004B1A83"/>
    <w:rsid w:val="004C49B1"/>
    <w:rsid w:val="004C4A85"/>
    <w:rsid w:val="004D1C07"/>
    <w:rsid w:val="004D1EAA"/>
    <w:rsid w:val="004D4067"/>
    <w:rsid w:val="004E07C1"/>
    <w:rsid w:val="004E2EAD"/>
    <w:rsid w:val="004E3038"/>
    <w:rsid w:val="004E3461"/>
    <w:rsid w:val="004E6712"/>
    <w:rsid w:val="004F6085"/>
    <w:rsid w:val="00501C5C"/>
    <w:rsid w:val="00501CE4"/>
    <w:rsid w:val="0050476A"/>
    <w:rsid w:val="00504BA6"/>
    <w:rsid w:val="00510DE8"/>
    <w:rsid w:val="005141A1"/>
    <w:rsid w:val="0051550C"/>
    <w:rsid w:val="0051757D"/>
    <w:rsid w:val="00520C6C"/>
    <w:rsid w:val="005224AA"/>
    <w:rsid w:val="0052359E"/>
    <w:rsid w:val="005266B2"/>
    <w:rsid w:val="0053003D"/>
    <w:rsid w:val="00530D76"/>
    <w:rsid w:val="005313B7"/>
    <w:rsid w:val="005336B6"/>
    <w:rsid w:val="005375CC"/>
    <w:rsid w:val="005376C3"/>
    <w:rsid w:val="00545474"/>
    <w:rsid w:val="00546D4B"/>
    <w:rsid w:val="0054791F"/>
    <w:rsid w:val="00550C76"/>
    <w:rsid w:val="00550FB8"/>
    <w:rsid w:val="005537B1"/>
    <w:rsid w:val="00570B49"/>
    <w:rsid w:val="00570C69"/>
    <w:rsid w:val="00570D10"/>
    <w:rsid w:val="005728DA"/>
    <w:rsid w:val="00576A75"/>
    <w:rsid w:val="005824D9"/>
    <w:rsid w:val="0058456F"/>
    <w:rsid w:val="00586F59"/>
    <w:rsid w:val="00595786"/>
    <w:rsid w:val="00595ABC"/>
    <w:rsid w:val="005A249D"/>
    <w:rsid w:val="005A567F"/>
    <w:rsid w:val="005A5D74"/>
    <w:rsid w:val="005B05CB"/>
    <w:rsid w:val="005B3C99"/>
    <w:rsid w:val="005B46CA"/>
    <w:rsid w:val="005B61A5"/>
    <w:rsid w:val="005B77D0"/>
    <w:rsid w:val="005C2EDE"/>
    <w:rsid w:val="005C7EDE"/>
    <w:rsid w:val="005D33C5"/>
    <w:rsid w:val="005D3C06"/>
    <w:rsid w:val="005D3EB2"/>
    <w:rsid w:val="005D6E12"/>
    <w:rsid w:val="005E1B8C"/>
    <w:rsid w:val="005E2238"/>
    <w:rsid w:val="005E3045"/>
    <w:rsid w:val="005E4E2C"/>
    <w:rsid w:val="005E7618"/>
    <w:rsid w:val="005F573A"/>
    <w:rsid w:val="005F57B6"/>
    <w:rsid w:val="006011C7"/>
    <w:rsid w:val="00606436"/>
    <w:rsid w:val="00607BF5"/>
    <w:rsid w:val="006116CA"/>
    <w:rsid w:val="00611832"/>
    <w:rsid w:val="006165E1"/>
    <w:rsid w:val="00620186"/>
    <w:rsid w:val="00620C54"/>
    <w:rsid w:val="006246B0"/>
    <w:rsid w:val="00625678"/>
    <w:rsid w:val="0062645F"/>
    <w:rsid w:val="006310DC"/>
    <w:rsid w:val="006318BE"/>
    <w:rsid w:val="006321DF"/>
    <w:rsid w:val="006348EF"/>
    <w:rsid w:val="00635BCB"/>
    <w:rsid w:val="00635FCB"/>
    <w:rsid w:val="006376ED"/>
    <w:rsid w:val="00647C2D"/>
    <w:rsid w:val="00655428"/>
    <w:rsid w:val="00662801"/>
    <w:rsid w:val="00670BBE"/>
    <w:rsid w:val="0067113B"/>
    <w:rsid w:val="00676410"/>
    <w:rsid w:val="0067691F"/>
    <w:rsid w:val="006826DB"/>
    <w:rsid w:val="00683927"/>
    <w:rsid w:val="00687C67"/>
    <w:rsid w:val="00691DB5"/>
    <w:rsid w:val="00694224"/>
    <w:rsid w:val="00694340"/>
    <w:rsid w:val="00696B8B"/>
    <w:rsid w:val="00696F5F"/>
    <w:rsid w:val="006A0EE6"/>
    <w:rsid w:val="006A385A"/>
    <w:rsid w:val="006B09D6"/>
    <w:rsid w:val="006B7DB7"/>
    <w:rsid w:val="006C069A"/>
    <w:rsid w:val="006C56E8"/>
    <w:rsid w:val="006C677B"/>
    <w:rsid w:val="006C7676"/>
    <w:rsid w:val="006D25C7"/>
    <w:rsid w:val="006D386E"/>
    <w:rsid w:val="006D4B0C"/>
    <w:rsid w:val="006D5A38"/>
    <w:rsid w:val="006D6B90"/>
    <w:rsid w:val="006D784C"/>
    <w:rsid w:val="006D7D3F"/>
    <w:rsid w:val="006D7D6A"/>
    <w:rsid w:val="006E14DC"/>
    <w:rsid w:val="006E2908"/>
    <w:rsid w:val="006E4C4B"/>
    <w:rsid w:val="006E79BE"/>
    <w:rsid w:val="006F29AA"/>
    <w:rsid w:val="006F662C"/>
    <w:rsid w:val="0070003B"/>
    <w:rsid w:val="00700368"/>
    <w:rsid w:val="00700750"/>
    <w:rsid w:val="007011DC"/>
    <w:rsid w:val="007040DD"/>
    <w:rsid w:val="00706C76"/>
    <w:rsid w:val="00712BFE"/>
    <w:rsid w:val="007154DC"/>
    <w:rsid w:val="007311C2"/>
    <w:rsid w:val="00734896"/>
    <w:rsid w:val="00734E85"/>
    <w:rsid w:val="007357AE"/>
    <w:rsid w:val="00735A15"/>
    <w:rsid w:val="00753EBD"/>
    <w:rsid w:val="00755910"/>
    <w:rsid w:val="00756857"/>
    <w:rsid w:val="007614BB"/>
    <w:rsid w:val="007678A2"/>
    <w:rsid w:val="00772AD5"/>
    <w:rsid w:val="00772E88"/>
    <w:rsid w:val="00775AA0"/>
    <w:rsid w:val="007800F9"/>
    <w:rsid w:val="00780B3D"/>
    <w:rsid w:val="00784D9A"/>
    <w:rsid w:val="007876F0"/>
    <w:rsid w:val="00787EF8"/>
    <w:rsid w:val="0079170E"/>
    <w:rsid w:val="007959AE"/>
    <w:rsid w:val="007969C1"/>
    <w:rsid w:val="00796F50"/>
    <w:rsid w:val="007A161E"/>
    <w:rsid w:val="007A2AC4"/>
    <w:rsid w:val="007A36EB"/>
    <w:rsid w:val="007A65C5"/>
    <w:rsid w:val="007B2402"/>
    <w:rsid w:val="007B323A"/>
    <w:rsid w:val="007B599F"/>
    <w:rsid w:val="007B7957"/>
    <w:rsid w:val="007C7AC2"/>
    <w:rsid w:val="007D18A9"/>
    <w:rsid w:val="007D3C3E"/>
    <w:rsid w:val="007D766E"/>
    <w:rsid w:val="007E2CBD"/>
    <w:rsid w:val="007E4AF8"/>
    <w:rsid w:val="007E6406"/>
    <w:rsid w:val="007E6E7A"/>
    <w:rsid w:val="007E767C"/>
    <w:rsid w:val="007F2F25"/>
    <w:rsid w:val="007F67CA"/>
    <w:rsid w:val="00802125"/>
    <w:rsid w:val="00802E98"/>
    <w:rsid w:val="0080339A"/>
    <w:rsid w:val="008034D2"/>
    <w:rsid w:val="00804A17"/>
    <w:rsid w:val="008052CE"/>
    <w:rsid w:val="0082128F"/>
    <w:rsid w:val="00821F01"/>
    <w:rsid w:val="00825156"/>
    <w:rsid w:val="00827F6B"/>
    <w:rsid w:val="00831F07"/>
    <w:rsid w:val="00833B69"/>
    <w:rsid w:val="00835260"/>
    <w:rsid w:val="008355C2"/>
    <w:rsid w:val="008374E2"/>
    <w:rsid w:val="0084285C"/>
    <w:rsid w:val="00843097"/>
    <w:rsid w:val="00843D9B"/>
    <w:rsid w:val="008479E4"/>
    <w:rsid w:val="00854928"/>
    <w:rsid w:val="008550AF"/>
    <w:rsid w:val="00856ACA"/>
    <w:rsid w:val="0086121E"/>
    <w:rsid w:val="008613BD"/>
    <w:rsid w:val="00861466"/>
    <w:rsid w:val="008640AD"/>
    <w:rsid w:val="0087190F"/>
    <w:rsid w:val="00872076"/>
    <w:rsid w:val="00872559"/>
    <w:rsid w:val="00872C9A"/>
    <w:rsid w:val="00874753"/>
    <w:rsid w:val="0087576F"/>
    <w:rsid w:val="00876927"/>
    <w:rsid w:val="00881FCB"/>
    <w:rsid w:val="00882D48"/>
    <w:rsid w:val="00883239"/>
    <w:rsid w:val="00885CDE"/>
    <w:rsid w:val="00885D66"/>
    <w:rsid w:val="00886125"/>
    <w:rsid w:val="00892FD5"/>
    <w:rsid w:val="00892FEB"/>
    <w:rsid w:val="00895688"/>
    <w:rsid w:val="008A0B62"/>
    <w:rsid w:val="008A191B"/>
    <w:rsid w:val="008A59A7"/>
    <w:rsid w:val="008A6EF0"/>
    <w:rsid w:val="008A7447"/>
    <w:rsid w:val="008B09DD"/>
    <w:rsid w:val="008B57FF"/>
    <w:rsid w:val="008C0EAD"/>
    <w:rsid w:val="008C4718"/>
    <w:rsid w:val="008C6E84"/>
    <w:rsid w:val="008D331F"/>
    <w:rsid w:val="008E29D6"/>
    <w:rsid w:val="008E5884"/>
    <w:rsid w:val="008E715A"/>
    <w:rsid w:val="008F4FAD"/>
    <w:rsid w:val="008F6B2E"/>
    <w:rsid w:val="008F7DD8"/>
    <w:rsid w:val="008F7E93"/>
    <w:rsid w:val="0090129B"/>
    <w:rsid w:val="009036CA"/>
    <w:rsid w:val="00910268"/>
    <w:rsid w:val="00917A54"/>
    <w:rsid w:val="00917AEE"/>
    <w:rsid w:val="00920B66"/>
    <w:rsid w:val="00921670"/>
    <w:rsid w:val="00925EB2"/>
    <w:rsid w:val="009273CA"/>
    <w:rsid w:val="009455D4"/>
    <w:rsid w:val="00945EE1"/>
    <w:rsid w:val="00946A64"/>
    <w:rsid w:val="00947086"/>
    <w:rsid w:val="00954549"/>
    <w:rsid w:val="00957E78"/>
    <w:rsid w:val="009618DD"/>
    <w:rsid w:val="00965061"/>
    <w:rsid w:val="0096593D"/>
    <w:rsid w:val="00966F73"/>
    <w:rsid w:val="00981C9A"/>
    <w:rsid w:val="009822EA"/>
    <w:rsid w:val="009836DA"/>
    <w:rsid w:val="00984480"/>
    <w:rsid w:val="00987DFF"/>
    <w:rsid w:val="009904E8"/>
    <w:rsid w:val="009942C4"/>
    <w:rsid w:val="009A3AE2"/>
    <w:rsid w:val="009A4802"/>
    <w:rsid w:val="009B381F"/>
    <w:rsid w:val="009B4C91"/>
    <w:rsid w:val="009B6C3F"/>
    <w:rsid w:val="009B7FE4"/>
    <w:rsid w:val="009C3116"/>
    <w:rsid w:val="009C45A7"/>
    <w:rsid w:val="009C54E2"/>
    <w:rsid w:val="009D30BB"/>
    <w:rsid w:val="009D35E1"/>
    <w:rsid w:val="009D37E5"/>
    <w:rsid w:val="009D3A73"/>
    <w:rsid w:val="009D4E4F"/>
    <w:rsid w:val="009E022B"/>
    <w:rsid w:val="009E354B"/>
    <w:rsid w:val="009E4484"/>
    <w:rsid w:val="009F0A39"/>
    <w:rsid w:val="009F0F1E"/>
    <w:rsid w:val="009F22AF"/>
    <w:rsid w:val="009F2C0E"/>
    <w:rsid w:val="00A07436"/>
    <w:rsid w:val="00A10EDC"/>
    <w:rsid w:val="00A14619"/>
    <w:rsid w:val="00A15A20"/>
    <w:rsid w:val="00A16B01"/>
    <w:rsid w:val="00A22164"/>
    <w:rsid w:val="00A23967"/>
    <w:rsid w:val="00A26DF4"/>
    <w:rsid w:val="00A27B84"/>
    <w:rsid w:val="00A30104"/>
    <w:rsid w:val="00A320B4"/>
    <w:rsid w:val="00A33439"/>
    <w:rsid w:val="00A34F35"/>
    <w:rsid w:val="00A4093A"/>
    <w:rsid w:val="00A416C8"/>
    <w:rsid w:val="00A42FB3"/>
    <w:rsid w:val="00A434AD"/>
    <w:rsid w:val="00A43A9A"/>
    <w:rsid w:val="00A45CBC"/>
    <w:rsid w:val="00A4753F"/>
    <w:rsid w:val="00A520DE"/>
    <w:rsid w:val="00A52B38"/>
    <w:rsid w:val="00A542D0"/>
    <w:rsid w:val="00A5765E"/>
    <w:rsid w:val="00A63129"/>
    <w:rsid w:val="00A6394B"/>
    <w:rsid w:val="00A71639"/>
    <w:rsid w:val="00A723D9"/>
    <w:rsid w:val="00A74036"/>
    <w:rsid w:val="00A75123"/>
    <w:rsid w:val="00A82551"/>
    <w:rsid w:val="00A9526B"/>
    <w:rsid w:val="00AA0222"/>
    <w:rsid w:val="00AA1D2E"/>
    <w:rsid w:val="00AA6217"/>
    <w:rsid w:val="00AA73FB"/>
    <w:rsid w:val="00AB2D0C"/>
    <w:rsid w:val="00AB6382"/>
    <w:rsid w:val="00AB7C91"/>
    <w:rsid w:val="00AC1103"/>
    <w:rsid w:val="00AC3EC9"/>
    <w:rsid w:val="00AD30EB"/>
    <w:rsid w:val="00AD3A33"/>
    <w:rsid w:val="00AD6114"/>
    <w:rsid w:val="00AD6725"/>
    <w:rsid w:val="00AD77B0"/>
    <w:rsid w:val="00AD7D8A"/>
    <w:rsid w:val="00AE0FC5"/>
    <w:rsid w:val="00AE22E9"/>
    <w:rsid w:val="00AE2DB9"/>
    <w:rsid w:val="00AE463F"/>
    <w:rsid w:val="00AE566B"/>
    <w:rsid w:val="00AE71A4"/>
    <w:rsid w:val="00AF005B"/>
    <w:rsid w:val="00AF0E4A"/>
    <w:rsid w:val="00AF15A0"/>
    <w:rsid w:val="00AF2818"/>
    <w:rsid w:val="00AF2983"/>
    <w:rsid w:val="00AF2C8C"/>
    <w:rsid w:val="00AF449E"/>
    <w:rsid w:val="00AF4C87"/>
    <w:rsid w:val="00B009AD"/>
    <w:rsid w:val="00B0209A"/>
    <w:rsid w:val="00B10466"/>
    <w:rsid w:val="00B105A5"/>
    <w:rsid w:val="00B10FBB"/>
    <w:rsid w:val="00B116E9"/>
    <w:rsid w:val="00B17E3E"/>
    <w:rsid w:val="00B225D1"/>
    <w:rsid w:val="00B228F4"/>
    <w:rsid w:val="00B34218"/>
    <w:rsid w:val="00B379CC"/>
    <w:rsid w:val="00B45996"/>
    <w:rsid w:val="00B471CD"/>
    <w:rsid w:val="00B53145"/>
    <w:rsid w:val="00B5459E"/>
    <w:rsid w:val="00B55964"/>
    <w:rsid w:val="00B5672D"/>
    <w:rsid w:val="00B570B7"/>
    <w:rsid w:val="00B57418"/>
    <w:rsid w:val="00B625D3"/>
    <w:rsid w:val="00B627D2"/>
    <w:rsid w:val="00B6400A"/>
    <w:rsid w:val="00B64466"/>
    <w:rsid w:val="00B6564E"/>
    <w:rsid w:val="00B6587E"/>
    <w:rsid w:val="00B7085F"/>
    <w:rsid w:val="00B7096B"/>
    <w:rsid w:val="00B7177E"/>
    <w:rsid w:val="00B72A78"/>
    <w:rsid w:val="00B81612"/>
    <w:rsid w:val="00B85084"/>
    <w:rsid w:val="00B85AF6"/>
    <w:rsid w:val="00B91C04"/>
    <w:rsid w:val="00B9268E"/>
    <w:rsid w:val="00B93830"/>
    <w:rsid w:val="00B96C90"/>
    <w:rsid w:val="00B973A3"/>
    <w:rsid w:val="00BA3807"/>
    <w:rsid w:val="00BA3F3F"/>
    <w:rsid w:val="00BA647D"/>
    <w:rsid w:val="00BA753F"/>
    <w:rsid w:val="00BB1188"/>
    <w:rsid w:val="00BB1472"/>
    <w:rsid w:val="00BB4889"/>
    <w:rsid w:val="00BC0608"/>
    <w:rsid w:val="00BC2339"/>
    <w:rsid w:val="00BC4DA8"/>
    <w:rsid w:val="00BC6002"/>
    <w:rsid w:val="00BD1BB7"/>
    <w:rsid w:val="00BD61F9"/>
    <w:rsid w:val="00BD7008"/>
    <w:rsid w:val="00BE38FB"/>
    <w:rsid w:val="00BE7CEB"/>
    <w:rsid w:val="00BF5542"/>
    <w:rsid w:val="00BF6B39"/>
    <w:rsid w:val="00C00108"/>
    <w:rsid w:val="00C00F34"/>
    <w:rsid w:val="00C0345E"/>
    <w:rsid w:val="00C063C2"/>
    <w:rsid w:val="00C070CD"/>
    <w:rsid w:val="00C076C0"/>
    <w:rsid w:val="00C124EB"/>
    <w:rsid w:val="00C15F62"/>
    <w:rsid w:val="00C20F20"/>
    <w:rsid w:val="00C27BD2"/>
    <w:rsid w:val="00C313CC"/>
    <w:rsid w:val="00C342A8"/>
    <w:rsid w:val="00C367CE"/>
    <w:rsid w:val="00C44A74"/>
    <w:rsid w:val="00C51307"/>
    <w:rsid w:val="00C5149D"/>
    <w:rsid w:val="00C55E47"/>
    <w:rsid w:val="00C603EA"/>
    <w:rsid w:val="00C6299A"/>
    <w:rsid w:val="00C67722"/>
    <w:rsid w:val="00C703BA"/>
    <w:rsid w:val="00C73417"/>
    <w:rsid w:val="00C857C6"/>
    <w:rsid w:val="00C86775"/>
    <w:rsid w:val="00C86CA9"/>
    <w:rsid w:val="00C915E4"/>
    <w:rsid w:val="00C9353D"/>
    <w:rsid w:val="00C96BB2"/>
    <w:rsid w:val="00C97D4F"/>
    <w:rsid w:val="00CA2B6B"/>
    <w:rsid w:val="00CA475C"/>
    <w:rsid w:val="00CA6002"/>
    <w:rsid w:val="00CB2791"/>
    <w:rsid w:val="00CB5080"/>
    <w:rsid w:val="00CB6A93"/>
    <w:rsid w:val="00CB79B3"/>
    <w:rsid w:val="00CC1C60"/>
    <w:rsid w:val="00CC537E"/>
    <w:rsid w:val="00CC690C"/>
    <w:rsid w:val="00CD01DF"/>
    <w:rsid w:val="00CD45DE"/>
    <w:rsid w:val="00CD7E35"/>
    <w:rsid w:val="00CE206B"/>
    <w:rsid w:val="00CE241A"/>
    <w:rsid w:val="00CE50DD"/>
    <w:rsid w:val="00CF0865"/>
    <w:rsid w:val="00CF0A3E"/>
    <w:rsid w:val="00CF2372"/>
    <w:rsid w:val="00CF4C28"/>
    <w:rsid w:val="00CF599C"/>
    <w:rsid w:val="00CF6647"/>
    <w:rsid w:val="00CF7F2C"/>
    <w:rsid w:val="00D0118B"/>
    <w:rsid w:val="00D057B1"/>
    <w:rsid w:val="00D1047A"/>
    <w:rsid w:val="00D14E44"/>
    <w:rsid w:val="00D16303"/>
    <w:rsid w:val="00D17FEB"/>
    <w:rsid w:val="00D20836"/>
    <w:rsid w:val="00D213E2"/>
    <w:rsid w:val="00D318ED"/>
    <w:rsid w:val="00D32B2A"/>
    <w:rsid w:val="00D40F22"/>
    <w:rsid w:val="00D43C36"/>
    <w:rsid w:val="00D45B09"/>
    <w:rsid w:val="00D50952"/>
    <w:rsid w:val="00D50C3E"/>
    <w:rsid w:val="00D51399"/>
    <w:rsid w:val="00D53991"/>
    <w:rsid w:val="00D557C4"/>
    <w:rsid w:val="00D626A3"/>
    <w:rsid w:val="00D632CA"/>
    <w:rsid w:val="00D64426"/>
    <w:rsid w:val="00D669DB"/>
    <w:rsid w:val="00D76F64"/>
    <w:rsid w:val="00D82B30"/>
    <w:rsid w:val="00D830EB"/>
    <w:rsid w:val="00D87540"/>
    <w:rsid w:val="00D90A5D"/>
    <w:rsid w:val="00D95B49"/>
    <w:rsid w:val="00D961CE"/>
    <w:rsid w:val="00DA3CD5"/>
    <w:rsid w:val="00DA4BA7"/>
    <w:rsid w:val="00DB0C2A"/>
    <w:rsid w:val="00DB375A"/>
    <w:rsid w:val="00DB45C0"/>
    <w:rsid w:val="00DB48B5"/>
    <w:rsid w:val="00DB703B"/>
    <w:rsid w:val="00DC1AAE"/>
    <w:rsid w:val="00DC2A9C"/>
    <w:rsid w:val="00DD04B1"/>
    <w:rsid w:val="00DE4858"/>
    <w:rsid w:val="00DE507B"/>
    <w:rsid w:val="00DE5AC1"/>
    <w:rsid w:val="00DE724D"/>
    <w:rsid w:val="00DF16AE"/>
    <w:rsid w:val="00DF361C"/>
    <w:rsid w:val="00E001C6"/>
    <w:rsid w:val="00E01CEB"/>
    <w:rsid w:val="00E05E75"/>
    <w:rsid w:val="00E06198"/>
    <w:rsid w:val="00E13A99"/>
    <w:rsid w:val="00E14EF2"/>
    <w:rsid w:val="00E178D2"/>
    <w:rsid w:val="00E223EE"/>
    <w:rsid w:val="00E27513"/>
    <w:rsid w:val="00E278EC"/>
    <w:rsid w:val="00E32B1E"/>
    <w:rsid w:val="00E36B58"/>
    <w:rsid w:val="00E36CC2"/>
    <w:rsid w:val="00E40880"/>
    <w:rsid w:val="00E47549"/>
    <w:rsid w:val="00E50522"/>
    <w:rsid w:val="00E5650A"/>
    <w:rsid w:val="00E57B46"/>
    <w:rsid w:val="00E61200"/>
    <w:rsid w:val="00E63FCC"/>
    <w:rsid w:val="00E65BAB"/>
    <w:rsid w:val="00E703D4"/>
    <w:rsid w:val="00E715F2"/>
    <w:rsid w:val="00E80183"/>
    <w:rsid w:val="00E81DE3"/>
    <w:rsid w:val="00E82A12"/>
    <w:rsid w:val="00E839C3"/>
    <w:rsid w:val="00E83FFA"/>
    <w:rsid w:val="00E90920"/>
    <w:rsid w:val="00E910D5"/>
    <w:rsid w:val="00E9171E"/>
    <w:rsid w:val="00E92116"/>
    <w:rsid w:val="00E93D5A"/>
    <w:rsid w:val="00E943D4"/>
    <w:rsid w:val="00E963E3"/>
    <w:rsid w:val="00EA3D61"/>
    <w:rsid w:val="00EA4924"/>
    <w:rsid w:val="00EB0225"/>
    <w:rsid w:val="00EB2080"/>
    <w:rsid w:val="00EB3DF3"/>
    <w:rsid w:val="00EB5B06"/>
    <w:rsid w:val="00EB60E2"/>
    <w:rsid w:val="00EB67D4"/>
    <w:rsid w:val="00EB76D4"/>
    <w:rsid w:val="00EC2C5A"/>
    <w:rsid w:val="00ED0349"/>
    <w:rsid w:val="00ED2F99"/>
    <w:rsid w:val="00ED73B0"/>
    <w:rsid w:val="00ED78A4"/>
    <w:rsid w:val="00EE0F1D"/>
    <w:rsid w:val="00EE5341"/>
    <w:rsid w:val="00EE579A"/>
    <w:rsid w:val="00EF0EDD"/>
    <w:rsid w:val="00EF101B"/>
    <w:rsid w:val="00EF1194"/>
    <w:rsid w:val="00EF2044"/>
    <w:rsid w:val="00EF20C2"/>
    <w:rsid w:val="00EF29A6"/>
    <w:rsid w:val="00EF4735"/>
    <w:rsid w:val="00EF47CD"/>
    <w:rsid w:val="00EF7949"/>
    <w:rsid w:val="00F00BCD"/>
    <w:rsid w:val="00F044FC"/>
    <w:rsid w:val="00F05CB1"/>
    <w:rsid w:val="00F12685"/>
    <w:rsid w:val="00F145D8"/>
    <w:rsid w:val="00F2617F"/>
    <w:rsid w:val="00F27B5A"/>
    <w:rsid w:val="00F309C9"/>
    <w:rsid w:val="00F30D11"/>
    <w:rsid w:val="00F31E90"/>
    <w:rsid w:val="00F35C4A"/>
    <w:rsid w:val="00F372E7"/>
    <w:rsid w:val="00F40211"/>
    <w:rsid w:val="00F40FBC"/>
    <w:rsid w:val="00F41AC0"/>
    <w:rsid w:val="00F41DFF"/>
    <w:rsid w:val="00F42C0F"/>
    <w:rsid w:val="00F44C99"/>
    <w:rsid w:val="00F4541D"/>
    <w:rsid w:val="00F45A13"/>
    <w:rsid w:val="00F46483"/>
    <w:rsid w:val="00F47D71"/>
    <w:rsid w:val="00F51EF8"/>
    <w:rsid w:val="00F53BEC"/>
    <w:rsid w:val="00F54D07"/>
    <w:rsid w:val="00F56688"/>
    <w:rsid w:val="00F57376"/>
    <w:rsid w:val="00F62852"/>
    <w:rsid w:val="00F639C9"/>
    <w:rsid w:val="00F6417C"/>
    <w:rsid w:val="00F73B01"/>
    <w:rsid w:val="00F746A4"/>
    <w:rsid w:val="00F764F7"/>
    <w:rsid w:val="00F76B69"/>
    <w:rsid w:val="00F77895"/>
    <w:rsid w:val="00F77D38"/>
    <w:rsid w:val="00F81F3D"/>
    <w:rsid w:val="00F8248C"/>
    <w:rsid w:val="00F83644"/>
    <w:rsid w:val="00F83948"/>
    <w:rsid w:val="00F87756"/>
    <w:rsid w:val="00F87B7C"/>
    <w:rsid w:val="00F87B8F"/>
    <w:rsid w:val="00F90E01"/>
    <w:rsid w:val="00F92070"/>
    <w:rsid w:val="00F93122"/>
    <w:rsid w:val="00F94968"/>
    <w:rsid w:val="00F94EB3"/>
    <w:rsid w:val="00F9620D"/>
    <w:rsid w:val="00F96D9B"/>
    <w:rsid w:val="00FA35D3"/>
    <w:rsid w:val="00FA430F"/>
    <w:rsid w:val="00FA4FC4"/>
    <w:rsid w:val="00FA6839"/>
    <w:rsid w:val="00FA7EE9"/>
    <w:rsid w:val="00FB320E"/>
    <w:rsid w:val="00FB4071"/>
    <w:rsid w:val="00FB63F6"/>
    <w:rsid w:val="00FB794D"/>
    <w:rsid w:val="00FC161E"/>
    <w:rsid w:val="00FC45F6"/>
    <w:rsid w:val="00FD253D"/>
    <w:rsid w:val="00FD3109"/>
    <w:rsid w:val="00FD3943"/>
    <w:rsid w:val="00FD4D34"/>
    <w:rsid w:val="00FD5288"/>
    <w:rsid w:val="00FD5DF7"/>
    <w:rsid w:val="00FD651A"/>
    <w:rsid w:val="00FD651E"/>
    <w:rsid w:val="00FD70A9"/>
    <w:rsid w:val="00FD7DAB"/>
    <w:rsid w:val="00FE037F"/>
    <w:rsid w:val="00FE2608"/>
    <w:rsid w:val="00FE3710"/>
    <w:rsid w:val="00FE4923"/>
    <w:rsid w:val="00FE601E"/>
    <w:rsid w:val="00FE7416"/>
    <w:rsid w:val="00FF0D04"/>
    <w:rsid w:val="00FF25D8"/>
    <w:rsid w:val="00FF4A6E"/>
    <w:rsid w:val="01F87AE9"/>
    <w:rsid w:val="02BE0616"/>
    <w:rsid w:val="04132FF6"/>
    <w:rsid w:val="046351E0"/>
    <w:rsid w:val="04BC0CAD"/>
    <w:rsid w:val="052E1A70"/>
    <w:rsid w:val="05EF6255"/>
    <w:rsid w:val="06B30BAE"/>
    <w:rsid w:val="07000E60"/>
    <w:rsid w:val="07CA07CF"/>
    <w:rsid w:val="087C1ACC"/>
    <w:rsid w:val="08BD0533"/>
    <w:rsid w:val="08EB6C4F"/>
    <w:rsid w:val="0A3C34DB"/>
    <w:rsid w:val="0A6071C9"/>
    <w:rsid w:val="0D754339"/>
    <w:rsid w:val="0DAD0977"/>
    <w:rsid w:val="0E142D00"/>
    <w:rsid w:val="10B819FC"/>
    <w:rsid w:val="119360D6"/>
    <w:rsid w:val="132E53CF"/>
    <w:rsid w:val="13D05475"/>
    <w:rsid w:val="14830684"/>
    <w:rsid w:val="14C3460F"/>
    <w:rsid w:val="177F50ED"/>
    <w:rsid w:val="1A78230D"/>
    <w:rsid w:val="1B195CB1"/>
    <w:rsid w:val="1D19405F"/>
    <w:rsid w:val="1D516FED"/>
    <w:rsid w:val="1DB21FDA"/>
    <w:rsid w:val="1E1E31CB"/>
    <w:rsid w:val="1EAC4C7B"/>
    <w:rsid w:val="1EE77A61"/>
    <w:rsid w:val="1FA85442"/>
    <w:rsid w:val="20A91B40"/>
    <w:rsid w:val="217575A6"/>
    <w:rsid w:val="225C6EEC"/>
    <w:rsid w:val="22910BF4"/>
    <w:rsid w:val="23221A56"/>
    <w:rsid w:val="23EF4896"/>
    <w:rsid w:val="28321957"/>
    <w:rsid w:val="287967F4"/>
    <w:rsid w:val="28F000B8"/>
    <w:rsid w:val="2A110088"/>
    <w:rsid w:val="2A297180"/>
    <w:rsid w:val="2ABC6246"/>
    <w:rsid w:val="2AFB58C2"/>
    <w:rsid w:val="2B130ACA"/>
    <w:rsid w:val="2C207B52"/>
    <w:rsid w:val="2FD45DE0"/>
    <w:rsid w:val="30E858B6"/>
    <w:rsid w:val="31D54614"/>
    <w:rsid w:val="31D75713"/>
    <w:rsid w:val="31E6435E"/>
    <w:rsid w:val="34BF7903"/>
    <w:rsid w:val="350E5DF4"/>
    <w:rsid w:val="3559676C"/>
    <w:rsid w:val="35EB79DF"/>
    <w:rsid w:val="366559E4"/>
    <w:rsid w:val="374878C2"/>
    <w:rsid w:val="37B81B43"/>
    <w:rsid w:val="3B141DBE"/>
    <w:rsid w:val="3B233E7F"/>
    <w:rsid w:val="3B83421C"/>
    <w:rsid w:val="3CA01523"/>
    <w:rsid w:val="3E99447C"/>
    <w:rsid w:val="40BE466E"/>
    <w:rsid w:val="40CE5830"/>
    <w:rsid w:val="413852BD"/>
    <w:rsid w:val="41CD02AE"/>
    <w:rsid w:val="41DD0B24"/>
    <w:rsid w:val="42982C9D"/>
    <w:rsid w:val="42E859D2"/>
    <w:rsid w:val="449925C3"/>
    <w:rsid w:val="47FF67D9"/>
    <w:rsid w:val="49804CFC"/>
    <w:rsid w:val="4C39729F"/>
    <w:rsid w:val="4C4969A6"/>
    <w:rsid w:val="4D2F3E7F"/>
    <w:rsid w:val="4DD97B58"/>
    <w:rsid w:val="50543298"/>
    <w:rsid w:val="52EE430C"/>
    <w:rsid w:val="534F1156"/>
    <w:rsid w:val="53980DD9"/>
    <w:rsid w:val="53B52B8D"/>
    <w:rsid w:val="553807AB"/>
    <w:rsid w:val="565D1DDC"/>
    <w:rsid w:val="56E97DFC"/>
    <w:rsid w:val="583E2786"/>
    <w:rsid w:val="587F24DD"/>
    <w:rsid w:val="594C07CE"/>
    <w:rsid w:val="5E375C2A"/>
    <w:rsid w:val="5FA43DCD"/>
    <w:rsid w:val="6005151A"/>
    <w:rsid w:val="62200682"/>
    <w:rsid w:val="62456E8F"/>
    <w:rsid w:val="628726BA"/>
    <w:rsid w:val="62AC6282"/>
    <w:rsid w:val="62E73159"/>
    <w:rsid w:val="63676634"/>
    <w:rsid w:val="65EE47FE"/>
    <w:rsid w:val="671D35ED"/>
    <w:rsid w:val="678C42CF"/>
    <w:rsid w:val="684E2A3A"/>
    <w:rsid w:val="6A3E1FC6"/>
    <w:rsid w:val="6ABA5DBD"/>
    <w:rsid w:val="6B9B1682"/>
    <w:rsid w:val="6D275491"/>
    <w:rsid w:val="6E0C73DC"/>
    <w:rsid w:val="6E5024FA"/>
    <w:rsid w:val="6FE62F78"/>
    <w:rsid w:val="70910BA8"/>
    <w:rsid w:val="720F7FD6"/>
    <w:rsid w:val="73597032"/>
    <w:rsid w:val="738A7363"/>
    <w:rsid w:val="73E70B37"/>
    <w:rsid w:val="74B141D1"/>
    <w:rsid w:val="75B65DE9"/>
    <w:rsid w:val="76A57736"/>
    <w:rsid w:val="77620166"/>
    <w:rsid w:val="77F79321"/>
    <w:rsid w:val="79440EAD"/>
    <w:rsid w:val="79DE1252"/>
    <w:rsid w:val="7A4C1E6F"/>
    <w:rsid w:val="7AB21E46"/>
    <w:rsid w:val="7C9E09FA"/>
    <w:rsid w:val="7F2F1CB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qFormat/>
    <w:uiPriority w:val="9"/>
    <w:pPr>
      <w:keepNext/>
      <w:keepLines/>
      <w:spacing w:before="100" w:after="100" w:line="360" w:lineRule="auto"/>
      <w:outlineLvl w:val="3"/>
    </w:pPr>
    <w:rPr>
      <w:rFonts w:ascii="Cambria" w:hAnsi="Cambria" w:eastAsia="宋体" w:cs="Times New Roman"/>
      <w:b/>
      <w:bCs/>
      <w:sz w:val="28"/>
      <w:szCs w:val="28"/>
    </w:rPr>
  </w:style>
  <w:style w:type="paragraph" w:styleId="6">
    <w:name w:val="heading 5"/>
    <w:basedOn w:val="1"/>
    <w:next w:val="1"/>
    <w:link w:val="37"/>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qFormat/>
    <w:uiPriority w:val="99"/>
    <w:pPr>
      <w:jc w:val="left"/>
    </w:pPr>
  </w:style>
  <w:style w:type="paragraph" w:styleId="8">
    <w:name w:val="Body Text"/>
    <w:basedOn w:val="1"/>
    <w:link w:val="45"/>
    <w:qFormat/>
    <w:uiPriority w:val="1"/>
    <w:pPr>
      <w:autoSpaceDE w:val="0"/>
      <w:autoSpaceDN w:val="0"/>
      <w:adjustRightInd w:val="0"/>
      <w:jc w:val="left"/>
    </w:pPr>
    <w:rPr>
      <w:rFonts w:ascii="宋体" w:hAnsi="Times New Roman" w:eastAsia="宋体" w:cs="宋体"/>
      <w:kern w:val="0"/>
      <w:sz w:val="20"/>
      <w:szCs w:val="21"/>
    </w:rPr>
  </w:style>
  <w:style w:type="paragraph" w:styleId="9">
    <w:name w:val="toc 3"/>
    <w:basedOn w:val="1"/>
    <w:next w:val="1"/>
    <w:qFormat/>
    <w:uiPriority w:val="39"/>
    <w:pPr>
      <w:ind w:left="840" w:leftChars="400"/>
    </w:pPr>
  </w:style>
  <w:style w:type="paragraph" w:styleId="10">
    <w:name w:val="Plain Text"/>
    <w:basedOn w:val="1"/>
    <w:link w:val="39"/>
    <w:qFormat/>
    <w:uiPriority w:val="0"/>
    <w:rPr>
      <w:rFonts w:ascii="宋体" w:hAnsi="Courier New" w:eastAsia="宋体"/>
      <w:kern w:val="0"/>
      <w:sz w:val="20"/>
      <w:szCs w:val="20"/>
    </w:rPr>
  </w:style>
  <w:style w:type="paragraph" w:styleId="11">
    <w:name w:val="Balloon Text"/>
    <w:basedOn w:val="1"/>
    <w:link w:val="43"/>
    <w:qFormat/>
    <w:uiPriority w:val="99"/>
    <w:rPr>
      <w:kern w:val="0"/>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pPr>
  </w:style>
  <w:style w:type="paragraph" w:styleId="15">
    <w:name w:val="Body Text Indent 3"/>
    <w:basedOn w:val="1"/>
    <w:link w:val="64"/>
    <w:qFormat/>
    <w:uiPriority w:val="0"/>
    <w:pPr>
      <w:spacing w:after="120"/>
      <w:ind w:left="420" w:leftChars="200"/>
    </w:pPr>
    <w:rPr>
      <w:sz w:val="16"/>
      <w:szCs w:val="16"/>
    </w:rPr>
  </w:style>
  <w:style w:type="paragraph" w:styleId="16">
    <w:name w:val="toc 2"/>
    <w:basedOn w:val="1"/>
    <w:next w:val="1"/>
    <w:qFormat/>
    <w:uiPriority w:val="39"/>
    <w:pPr>
      <w:tabs>
        <w:tab w:val="right" w:leader="dot" w:pos="8296"/>
      </w:tabs>
      <w:ind w:left="420" w:leftChars="200"/>
    </w:pPr>
  </w:style>
  <w:style w:type="paragraph" w:styleId="17">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2"/>
    </w:rPr>
  </w:style>
  <w:style w:type="paragraph" w:styleId="18">
    <w:name w:val="annotation subject"/>
    <w:basedOn w:val="7"/>
    <w:next w:val="7"/>
    <w:link w:val="27"/>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标题 1 字符"/>
    <w:basedOn w:val="21"/>
    <w:link w:val="2"/>
    <w:qFormat/>
    <w:uiPriority w:val="1"/>
    <w:rPr>
      <w:b/>
      <w:bCs/>
      <w:kern w:val="44"/>
      <w:sz w:val="44"/>
      <w:szCs w:val="44"/>
    </w:rPr>
  </w:style>
  <w:style w:type="character" w:customStyle="1" w:styleId="26">
    <w:name w:val="批注文字 字符"/>
    <w:basedOn w:val="21"/>
    <w:link w:val="7"/>
    <w:qFormat/>
    <w:uiPriority w:val="99"/>
    <w:rPr>
      <w:kern w:val="2"/>
      <w:sz w:val="21"/>
      <w:szCs w:val="24"/>
    </w:rPr>
  </w:style>
  <w:style w:type="character" w:customStyle="1" w:styleId="27">
    <w:name w:val="批注主题 字符"/>
    <w:basedOn w:val="26"/>
    <w:link w:val="18"/>
    <w:qFormat/>
    <w:uiPriority w:val="99"/>
    <w:rPr>
      <w:b/>
      <w:bCs/>
      <w:kern w:val="2"/>
      <w:sz w:val="21"/>
      <w:szCs w:val="24"/>
    </w:rPr>
  </w:style>
  <w:style w:type="character" w:customStyle="1" w:styleId="28">
    <w:name w:val="标题 2 字符"/>
    <w:basedOn w:val="21"/>
    <w:link w:val="3"/>
    <w:qFormat/>
    <w:uiPriority w:val="9"/>
    <w:rPr>
      <w:rFonts w:asciiTheme="majorHAnsi" w:hAnsiTheme="majorHAnsi" w:eastAsiaTheme="majorEastAsia" w:cstheme="majorBidi"/>
      <w:b/>
      <w:bCs/>
      <w:kern w:val="2"/>
      <w:sz w:val="32"/>
      <w:szCs w:val="32"/>
    </w:rPr>
  </w:style>
  <w:style w:type="character" w:customStyle="1" w:styleId="29">
    <w:name w:val="标题 3 字符"/>
    <w:basedOn w:val="21"/>
    <w:link w:val="4"/>
    <w:qFormat/>
    <w:uiPriority w:val="9"/>
    <w:rPr>
      <w:b/>
      <w:bCs/>
      <w:kern w:val="2"/>
      <w:sz w:val="32"/>
      <w:szCs w:val="32"/>
    </w:rPr>
  </w:style>
  <w:style w:type="character" w:customStyle="1" w:styleId="30">
    <w:name w:val="未处理的提及1"/>
    <w:basedOn w:val="21"/>
    <w:semiHidden/>
    <w:unhideWhenUsed/>
    <w:qFormat/>
    <w:uiPriority w:val="99"/>
    <w:rPr>
      <w:color w:val="605E5C"/>
      <w:shd w:val="clear" w:color="auto" w:fill="E1DFDD"/>
    </w:rPr>
  </w:style>
  <w:style w:type="paragraph" w:styleId="31">
    <w:name w:val="List Paragraph"/>
    <w:basedOn w:val="1"/>
    <w:unhideWhenUsed/>
    <w:qFormat/>
    <w:uiPriority w:val="1"/>
    <w:pPr>
      <w:ind w:firstLine="420" w:firstLineChars="200"/>
    </w:pPr>
  </w:style>
  <w:style w:type="paragraph" w:customStyle="1" w:styleId="32">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3">
    <w:name w:val="页眉 字符"/>
    <w:basedOn w:val="21"/>
    <w:link w:val="13"/>
    <w:qFormat/>
    <w:uiPriority w:val="99"/>
    <w:rPr>
      <w:kern w:val="2"/>
      <w:sz w:val="18"/>
      <w:szCs w:val="18"/>
    </w:rPr>
  </w:style>
  <w:style w:type="character" w:customStyle="1" w:styleId="34">
    <w:name w:val="页脚 字符"/>
    <w:basedOn w:val="21"/>
    <w:link w:val="12"/>
    <w:qFormat/>
    <w:uiPriority w:val="99"/>
    <w:rPr>
      <w:kern w:val="2"/>
      <w:sz w:val="18"/>
      <w:szCs w:val="18"/>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标题 4 字符"/>
    <w:basedOn w:val="21"/>
    <w:link w:val="5"/>
    <w:qFormat/>
    <w:uiPriority w:val="9"/>
    <w:rPr>
      <w:rFonts w:ascii="Cambria" w:hAnsi="Cambria" w:eastAsia="宋体" w:cs="Times New Roman"/>
      <w:b/>
      <w:bCs/>
      <w:kern w:val="2"/>
      <w:sz w:val="28"/>
      <w:szCs w:val="28"/>
    </w:rPr>
  </w:style>
  <w:style w:type="character" w:customStyle="1" w:styleId="37">
    <w:name w:val="标题 5 字符"/>
    <w:basedOn w:val="21"/>
    <w:link w:val="6"/>
    <w:qFormat/>
    <w:uiPriority w:val="9"/>
    <w:rPr>
      <w:rFonts w:ascii="Calibri" w:hAnsi="Calibri" w:eastAsia="宋体" w:cs="Times New Roman"/>
      <w:b/>
      <w:bCs/>
      <w:kern w:val="2"/>
      <w:sz w:val="28"/>
      <w:szCs w:val="28"/>
    </w:rPr>
  </w:style>
  <w:style w:type="character" w:customStyle="1" w:styleId="38">
    <w:name w:val="纯文本 字符"/>
    <w:basedOn w:val="21"/>
    <w:semiHidden/>
    <w:qFormat/>
    <w:uiPriority w:val="99"/>
    <w:rPr>
      <w:rFonts w:ascii="宋体" w:hAnsi="Courier New" w:cs="Courier New"/>
    </w:rPr>
  </w:style>
  <w:style w:type="character" w:customStyle="1" w:styleId="39">
    <w:name w:val="纯文本 字符1"/>
    <w:link w:val="10"/>
    <w:qFormat/>
    <w:uiPriority w:val="0"/>
    <w:rPr>
      <w:rFonts w:ascii="宋体" w:hAnsi="Courier New" w:eastAsia="宋体"/>
    </w:rPr>
  </w:style>
  <w:style w:type="character" w:customStyle="1" w:styleId="40">
    <w:name w:val="未处理的提及11"/>
    <w:basedOn w:val="21"/>
    <w:unhideWhenUsed/>
    <w:qFormat/>
    <w:uiPriority w:val="99"/>
    <w:rPr>
      <w:color w:val="605E5C"/>
      <w:shd w:val="clear" w:color="auto" w:fill="E1DFDD"/>
    </w:rPr>
  </w:style>
  <w:style w:type="character" w:customStyle="1" w:styleId="41">
    <w:name w:val="重点内容 Char"/>
    <w:link w:val="42"/>
    <w:qFormat/>
    <w:uiPriority w:val="0"/>
    <w:rPr>
      <w:rFonts w:ascii="方正仿宋_GB2312" w:hAnsi="方正仿宋_GB2312" w:eastAsia="方正仿宋_GB2312" w:cs="方正仿宋_GB2312"/>
      <w:sz w:val="32"/>
      <w:szCs w:val="32"/>
      <w:u w:color="000000"/>
      <w:lang w:eastAsia="zh-Hans"/>
    </w:rPr>
  </w:style>
  <w:style w:type="paragraph" w:customStyle="1" w:styleId="42">
    <w:name w:val="重点内容"/>
    <w:basedOn w:val="1"/>
    <w:link w:val="41"/>
    <w:qFormat/>
    <w:uiPriority w:val="0"/>
    <w:pPr>
      <w:widowControl/>
      <w:ind w:firstLine="643" w:firstLineChars="200"/>
      <w:jc w:val="left"/>
    </w:pPr>
    <w:rPr>
      <w:rFonts w:ascii="方正仿宋_GB2312" w:hAnsi="方正仿宋_GB2312" w:eastAsia="方正仿宋_GB2312" w:cs="方正仿宋_GB2312"/>
      <w:kern w:val="0"/>
      <w:sz w:val="32"/>
      <w:szCs w:val="32"/>
      <w:u w:color="000000"/>
      <w:lang w:eastAsia="zh-Hans"/>
    </w:rPr>
  </w:style>
  <w:style w:type="character" w:customStyle="1" w:styleId="43">
    <w:name w:val="批注框文本 字符"/>
    <w:basedOn w:val="21"/>
    <w:link w:val="11"/>
    <w:qFormat/>
    <w:uiPriority w:val="99"/>
    <w:rPr>
      <w:sz w:val="18"/>
      <w:szCs w:val="18"/>
    </w:rPr>
  </w:style>
  <w:style w:type="character" w:customStyle="1" w:styleId="44">
    <w:name w:val="批注文字 字符1"/>
    <w:semiHidden/>
    <w:qFormat/>
    <w:uiPriority w:val="0"/>
    <w:rPr>
      <w:rFonts w:ascii="Times New Roman" w:hAnsi="Times New Roman" w:eastAsia="宋体" w:cs="Times New Roman"/>
      <w:szCs w:val="24"/>
    </w:rPr>
  </w:style>
  <w:style w:type="character" w:customStyle="1" w:styleId="45">
    <w:name w:val="正文文本 字符"/>
    <w:basedOn w:val="21"/>
    <w:link w:val="8"/>
    <w:qFormat/>
    <w:uiPriority w:val="1"/>
    <w:rPr>
      <w:rFonts w:ascii="宋体" w:hAnsi="Times New Roman" w:eastAsia="宋体" w:cs="宋体"/>
      <w:szCs w:val="21"/>
    </w:rPr>
  </w:style>
  <w:style w:type="character" w:customStyle="1" w:styleId="46">
    <w:name w:val="ca-7"/>
    <w:basedOn w:val="21"/>
    <w:qFormat/>
    <w:uiPriority w:val="0"/>
  </w:style>
  <w:style w:type="character" w:customStyle="1" w:styleId="47">
    <w:name w:val="页脚 Char1"/>
    <w:basedOn w:val="21"/>
    <w:semiHidden/>
    <w:qFormat/>
    <w:uiPriority w:val="99"/>
    <w:rPr>
      <w:rFonts w:ascii="Calibri" w:hAnsi="Calibri" w:eastAsia="宋体" w:cs="Times New Roman"/>
      <w:sz w:val="18"/>
      <w:szCs w:val="18"/>
    </w:rPr>
  </w:style>
  <w:style w:type="character" w:customStyle="1" w:styleId="48">
    <w:name w:val="批注文字 Char1"/>
    <w:basedOn w:val="21"/>
    <w:semiHidden/>
    <w:qFormat/>
    <w:uiPriority w:val="99"/>
    <w:rPr>
      <w:rFonts w:ascii="Calibri" w:hAnsi="Calibri" w:eastAsia="宋体" w:cs="Times New Roman"/>
    </w:rPr>
  </w:style>
  <w:style w:type="paragraph" w:customStyle="1" w:styleId="49">
    <w:name w:val="纯文本1"/>
    <w:basedOn w:val="1"/>
    <w:next w:val="10"/>
    <w:qFormat/>
    <w:uiPriority w:val="0"/>
    <w:rPr>
      <w:rFonts w:ascii="宋体" w:hAnsi="Courier New" w:eastAsia="宋体"/>
      <w:szCs w:val="22"/>
    </w:rPr>
  </w:style>
  <w:style w:type="character" w:customStyle="1" w:styleId="50">
    <w:name w:val="纯文本 Char1"/>
    <w:basedOn w:val="21"/>
    <w:semiHidden/>
    <w:qFormat/>
    <w:uiPriority w:val="99"/>
    <w:rPr>
      <w:rFonts w:ascii="宋体" w:hAnsi="Courier New" w:eastAsia="宋体" w:cs="Courier New"/>
      <w:szCs w:val="21"/>
    </w:rPr>
  </w:style>
  <w:style w:type="character" w:customStyle="1" w:styleId="51">
    <w:name w:val="正文文本 字符1"/>
    <w:basedOn w:val="21"/>
    <w:qFormat/>
    <w:uiPriority w:val="0"/>
    <w:rPr>
      <w:kern w:val="2"/>
      <w:sz w:val="21"/>
      <w:szCs w:val="24"/>
    </w:rPr>
  </w:style>
  <w:style w:type="character" w:customStyle="1" w:styleId="52">
    <w:name w:val="正文文本 Char1"/>
    <w:basedOn w:val="21"/>
    <w:semiHidden/>
    <w:qFormat/>
    <w:uiPriority w:val="99"/>
    <w:rPr>
      <w:rFonts w:ascii="Calibri" w:hAnsi="Calibri" w:eastAsia="宋体" w:cs="Times New Roman"/>
    </w:rPr>
  </w:style>
  <w:style w:type="paragraph" w:customStyle="1" w:styleId="53">
    <w:name w:val="批注框文本1"/>
    <w:basedOn w:val="1"/>
    <w:next w:val="11"/>
    <w:unhideWhenUsed/>
    <w:qFormat/>
    <w:uiPriority w:val="99"/>
    <w:rPr>
      <w:sz w:val="18"/>
      <w:szCs w:val="18"/>
    </w:rPr>
  </w:style>
  <w:style w:type="character" w:customStyle="1" w:styleId="54">
    <w:name w:val="批注框文本 Char1"/>
    <w:basedOn w:val="21"/>
    <w:semiHidden/>
    <w:qFormat/>
    <w:uiPriority w:val="99"/>
    <w:rPr>
      <w:rFonts w:ascii="Calibri" w:hAnsi="Calibri" w:eastAsia="宋体" w:cs="Times New Roman"/>
      <w:sz w:val="18"/>
      <w:szCs w:val="18"/>
    </w:rPr>
  </w:style>
  <w:style w:type="character" w:customStyle="1" w:styleId="55">
    <w:name w:val="批注主题 Char1"/>
    <w:basedOn w:val="48"/>
    <w:semiHidden/>
    <w:qFormat/>
    <w:uiPriority w:val="99"/>
    <w:rPr>
      <w:rFonts w:ascii="Calibri" w:hAnsi="Calibri" w:eastAsia="宋体" w:cs="Times New Roman"/>
      <w:b/>
      <w:bCs/>
    </w:rPr>
  </w:style>
  <w:style w:type="character" w:customStyle="1" w:styleId="56">
    <w:name w:val="页眉 Char1"/>
    <w:basedOn w:val="21"/>
    <w:semiHidden/>
    <w:qFormat/>
    <w:uiPriority w:val="99"/>
    <w:rPr>
      <w:rFonts w:ascii="Calibri" w:hAnsi="Calibri" w:eastAsia="宋体" w:cs="Times New Roman"/>
      <w:sz w:val="18"/>
      <w:szCs w:val="18"/>
    </w:rPr>
  </w:style>
  <w:style w:type="paragraph" w:customStyle="1" w:styleId="57">
    <w:name w:val="Table Paragraph"/>
    <w:basedOn w:val="1"/>
    <w:qFormat/>
    <w:uiPriority w:val="1"/>
    <w:pPr>
      <w:autoSpaceDE w:val="0"/>
      <w:autoSpaceDN w:val="0"/>
      <w:adjustRightInd w:val="0"/>
      <w:jc w:val="left"/>
    </w:pPr>
    <w:rPr>
      <w:rFonts w:ascii="宋体" w:hAnsi="Times New Roman" w:eastAsia="宋体" w:cs="宋体"/>
      <w:kern w:val="0"/>
      <w:sz w:val="24"/>
    </w:rPr>
  </w:style>
  <w:style w:type="paragraph" w:customStyle="1" w:styleId="58">
    <w:name w:val="修订11"/>
    <w:semiHidden/>
    <w:qFormat/>
    <w:uiPriority w:val="99"/>
    <w:rPr>
      <w:rFonts w:ascii="Calibri" w:hAnsi="Calibri" w:eastAsia="宋体" w:cs="Times New Roman"/>
      <w:kern w:val="2"/>
      <w:sz w:val="21"/>
      <w:szCs w:val="22"/>
      <w:lang w:val="en-US" w:eastAsia="zh-CN" w:bidi="ar-SA"/>
    </w:rPr>
  </w:style>
  <w:style w:type="table" w:customStyle="1" w:styleId="59">
    <w:name w:val="网格型1"/>
    <w:basedOn w:val="1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纯文本 字符2"/>
    <w:basedOn w:val="21"/>
    <w:qFormat/>
    <w:uiPriority w:val="0"/>
    <w:rPr>
      <w:rFonts w:hAnsi="Courier New" w:cs="Courier New" w:asciiTheme="minorEastAsia"/>
      <w:kern w:val="2"/>
      <w:sz w:val="21"/>
      <w:szCs w:val="24"/>
    </w:rPr>
  </w:style>
  <w:style w:type="character" w:customStyle="1" w:styleId="61">
    <w:name w:val="批注框文本 字符1"/>
    <w:basedOn w:val="21"/>
    <w:qFormat/>
    <w:uiPriority w:val="0"/>
    <w:rPr>
      <w:kern w:val="2"/>
      <w:sz w:val="18"/>
      <w:szCs w:val="18"/>
    </w:rPr>
  </w:style>
  <w:style w:type="paragraph" w:customStyle="1" w:styleId="62">
    <w:name w:val="Normal Indent1"/>
    <w:basedOn w:val="1"/>
    <w:qFormat/>
    <w:uiPriority w:val="0"/>
    <w:pPr>
      <w:widowControl/>
      <w:kinsoku w:val="0"/>
      <w:autoSpaceDE w:val="0"/>
      <w:autoSpaceDN w:val="0"/>
      <w:adjustRightInd w:val="0"/>
      <w:snapToGrid w:val="0"/>
      <w:spacing w:line="360" w:lineRule="auto"/>
      <w:ind w:firstLine="420"/>
      <w:jc w:val="left"/>
    </w:pPr>
    <w:rPr>
      <w:rFonts w:ascii="宋体" w:hAnsi="Times New Roman" w:eastAsia="Arial" w:cs="Arial"/>
      <w:color w:val="000000"/>
      <w:kern w:val="0"/>
      <w:sz w:val="20"/>
      <w:szCs w:val="20"/>
    </w:rPr>
  </w:style>
  <w:style w:type="table" w:customStyle="1" w:styleId="63">
    <w:name w:val="Table Normal"/>
    <w:semiHidden/>
    <w:qFormat/>
    <w:uiPriority w:val="0"/>
    <w:rPr>
      <w:rFonts w:ascii="Arial" w:hAnsi="Arial" w:eastAsia="Times New Roman" w:cs="Arial"/>
    </w:rPr>
    <w:tblPr>
      <w:tblCellMar>
        <w:top w:w="0" w:type="dxa"/>
        <w:left w:w="0" w:type="dxa"/>
        <w:bottom w:w="0" w:type="dxa"/>
        <w:right w:w="0" w:type="dxa"/>
      </w:tblCellMar>
    </w:tblPr>
  </w:style>
  <w:style w:type="character" w:customStyle="1" w:styleId="64">
    <w:name w:val="正文文本缩进 3 字符"/>
    <w:basedOn w:val="21"/>
    <w:link w:val="15"/>
    <w:qFormat/>
    <w:uiPriority w:val="0"/>
    <w:rPr>
      <w:kern w:val="2"/>
      <w:sz w:val="16"/>
      <w:szCs w:val="16"/>
    </w:rPr>
  </w:style>
  <w:style w:type="paragraph" w:customStyle="1" w:styleId="65">
    <w:name w:val="_Style 3"/>
    <w:basedOn w:val="1"/>
    <w:next w:val="15"/>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66">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67">
    <w:name w:val="Default"/>
    <w:basedOn w:val="68"/>
    <w:unhideWhenUsed/>
    <w:qFormat/>
    <w:uiPriority w:val="0"/>
    <w:pPr>
      <w:widowControl w:val="0"/>
      <w:autoSpaceDE w:val="0"/>
      <w:autoSpaceDN w:val="0"/>
      <w:adjustRightInd w:val="0"/>
    </w:pPr>
    <w:rPr>
      <w:rFonts w:hint="eastAsia" w:ascii="DEZBWU+FZY4JW--GB1-0" w:hAnsi="DEZBWU+FZY4JW--GB1-0" w:eastAsia="DEZBWU+FZY4JW--GB1-0"/>
      <w:color w:val="000000"/>
      <w:sz w:val="24"/>
      <w:lang w:val="en-US" w:eastAsia="zh-CN" w:bidi="ar-SA"/>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D8497-07C6-42DA-A073-4B9F8E6707F1}">
  <ds:schemaRefs/>
</ds:datastoreItem>
</file>

<file path=docProps/app.xml><?xml version="1.0" encoding="utf-8"?>
<Properties xmlns="http://schemas.openxmlformats.org/officeDocument/2006/extended-properties" xmlns:vt="http://schemas.openxmlformats.org/officeDocument/2006/docPropsVTypes">
  <Template>Normal</Template>
  <Pages>83</Pages>
  <Words>3551</Words>
  <Characters>3968</Characters>
  <Lines>87</Lines>
  <Paragraphs>124</Paragraphs>
  <TotalTime>10</TotalTime>
  <ScaleCrop>false</ScaleCrop>
  <LinksUpToDate>false</LinksUpToDate>
  <CharactersWithSpaces>4110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2024-10-08T07:20:00Z</dcterms:created>
  <dc:creator>gmgitc</dc:creator>
  <cp:lastModifiedBy>小糖</cp:lastModifiedBy>
  <cp:lastPrinted>2025-09-22T03:09:45Z</cp:lastPrinted>
  <dcterms:modified xsi:type="dcterms:W3CDTF">2025-09-22T03:31:39Z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E7AE6D449A5A46359FDEB5211C6571D9_13</vt:lpwstr>
  </property>
  <property fmtid="{D5CDD505-2E9C-101B-9397-08002B2CF9AE}" pid="4" name="KSOTemplateDocerSaveRecord">
    <vt:lpwstr>eyJoZGlkIjoiM2Q3NTYzNDA5MTZmY2Y2MDIyOGE2ZjFjYjNhNDMzYTciLCJ1c2VySWQiOiIzMjczMzk2ODMifQ==</vt:lpwstr>
  </property>
</Properties>
</file>