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440001-2025-28917</w:t>
      </w:r>
    </w:p>
    <w:p>
      <w:pPr>
        <w:pStyle w:val="null3"/>
        <w:jc w:val="center"/>
        <w:outlineLvl w:val="3"/>
      </w:pPr>
      <w:r>
        <w:rPr>
          <w:sz w:val="24"/>
          <w:b/>
        </w:rPr>
        <w:t>采购项目编号：</w:t>
      </w:r>
      <w:r>
        <w:rPr>
          <w:sz w:val="24"/>
          <w:b/>
        </w:rPr>
        <w:t>ZZ0250219</w:t>
      </w:r>
    </w:p>
    <w:p>
      <w:pPr>
        <w:pStyle w:val="null3"/>
        <w:jc w:val="center"/>
        <w:outlineLvl w:val="3"/>
      </w:pPr>
      <w:r>
        <w:rPr>
          <w:sz w:val="24"/>
          <w:b/>
        </w:rPr>
        <w:t>项目名称：</w:t>
      </w:r>
      <w:r>
        <w:rPr>
          <w:sz w:val="24"/>
          <w:b/>
        </w:rPr>
        <w:t>广东第二师范学院校史馆与校友之家展陈设计与布展服务项目</w:t>
      </w:r>
    </w:p>
    <w:p>
      <w:pPr>
        <w:pStyle w:val="null3"/>
        <w:jc w:val="center"/>
        <w:outlineLvl w:val="3"/>
      </w:pPr>
      <w:r>
        <w:rPr>
          <w:sz w:val="24"/>
          <w:b/>
        </w:rPr>
        <w:t>采购人：</w:t>
      </w:r>
      <w:r>
        <w:rPr>
          <w:sz w:val="24"/>
          <w:b/>
        </w:rPr>
        <w:t>广东第二师范学院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广东第二师范学院</w:t>
      </w:r>
      <w:r>
        <w:rPr/>
        <w:t>的委托，采用</w:t>
      </w:r>
      <w:r>
        <w:rPr/>
        <w:t>公开招标</w:t>
      </w:r>
      <w:r>
        <w:rPr/>
        <w:t>方式组织采购</w:t>
      </w:r>
      <w:r>
        <w:rPr/>
        <w:t>广东第二师范学院校史馆与校友之家展陈设计与布展服务项目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广东第二师范学院校史馆与校友之家展陈设计与布展服务项目</w:t>
      </w:r>
    </w:p>
    <w:p>
      <w:pPr>
        <w:pStyle w:val="null3"/>
        <w:ind w:firstLine="480"/>
      </w:pPr>
      <w:r>
        <w:rPr/>
        <w:t>采购计划编号：</w:t>
      </w:r>
      <w:r>
        <w:rPr/>
        <w:t>440001-2025-28917</w:t>
      </w:r>
    </w:p>
    <w:p>
      <w:pPr>
        <w:pStyle w:val="null3"/>
        <w:ind w:firstLine="480"/>
      </w:pPr>
      <w:r>
        <w:rPr/>
        <w:t>采购项目编号：</w:t>
      </w:r>
      <w:r>
        <w:rPr/>
        <w:t>ZZ0250219</w:t>
      </w:r>
    </w:p>
    <w:p>
      <w:pPr>
        <w:pStyle w:val="null3"/>
        <w:ind w:firstLine="480"/>
      </w:pPr>
      <w:r>
        <w:rPr/>
        <w:t>采购方式：</w:t>
      </w:r>
      <w:r>
        <w:rPr/>
        <w:t>公开招标</w:t>
      </w:r>
    </w:p>
    <w:p>
      <w:pPr>
        <w:pStyle w:val="null3"/>
        <w:ind w:firstLine="480"/>
      </w:pPr>
      <w:r>
        <w:rPr/>
        <w:t>预算金额：</w:t>
      </w:r>
      <w:r>
        <w:rPr/>
        <w:t>2,350,000.00</w:t>
      </w:r>
      <w:r>
        <w:rPr/>
        <w:t>元</w:t>
      </w:r>
    </w:p>
    <w:p>
      <w:pPr>
        <w:pStyle w:val="null3"/>
        <w:outlineLvl w:val="3"/>
      </w:pPr>
      <w:r>
        <w:rPr>
          <w:sz w:val="24"/>
          <w:b/>
        </w:rPr>
        <w:t>2.项目内容及需求情况（采购项目技术规格、参数及要求）</w:t>
      </w:r>
    </w:p>
    <w:p>
      <w:pPr>
        <w:pStyle w:val="null3"/>
      </w:pPr>
      <w:r>
        <w:rPr/>
        <w:t>采购包1(校史馆与校友之家展陈设计与布展服务项目):</w:t>
      </w:r>
    </w:p>
    <w:p>
      <w:pPr>
        <w:pStyle w:val="null3"/>
      </w:pPr>
      <w:r>
        <w:rPr/>
        <w:t>采购包预算金额：2,350,000.00元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其他展览服务</w:t>
            </w:r>
          </w:p>
        </w:tc>
        <w:tc>
          <w:tcPr>
            <w:tcW w:type="dxa" w:w="2136"/>
          </w:tcPr>
          <w:p>
            <w:pPr>
              <w:pStyle w:val="null3"/>
            </w:pPr>
            <w:r>
              <w:rPr/>
              <w:t>校史馆与校友之家展陈设计与布展服务项目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或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采购包1（校史馆与校友之家展陈设计与布展服务项目）：</w:t>
      </w:r>
      <w:r>
        <w:rPr/>
        <w:t>本项目专门面向中小企业采购。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采购包1（校史馆与校友之家展陈设计与布展服务项目）：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pPr>
      <w:r>
        <w:rPr/>
        <w:t>4)供应商必须具有有效期内的建筑工程施工总承包三级（或以上资质）或建筑装修装饰工程专业承包二级（或以上）资质。（注：提供证书复印件）</w:t>
      </w:r>
    </w:p>
    <w:p>
      <w:pPr>
        <w:pStyle w:val="null3"/>
      </w:pPr>
      <w:r>
        <w:rPr/>
        <w:t>5)供应商必须具有建设行政主管部门颁发的安全生产许可证。（注：提供证书复印件）</w:t>
      </w:r>
    </w:p>
    <w:p>
      <w:pPr>
        <w:pStyle w:val="null3"/>
      </w:pPr>
      <w:r>
        <w:rPr/>
        <w:t>6)供应商拟担任本工程项目负责人的人员：项目负责人应具备建筑工程专业二级（或以上）注册建造师执业资格，并持有项目负责人安全生产考核合格证（B类）或能够提供建筑施工企业管理人员安全生产考核信息系统安全生产管理人员证书信息的打印页； 注1：提供证书复印件等，建造师的专业及等级标准按《注册建造师执业管理办法（试行）》及《注册建造师执业工程规模标准（试行）》。 注2：项目负责人不得同时在其他在建工程项目担任项目负责人。（投标时提供承诺函）。注3：项目负责人需提供开标前6个月内任意1个月的社会保险证明材料。</w:t>
      </w:r>
    </w:p>
    <w:p>
      <w:pPr>
        <w:pStyle w:val="null3"/>
      </w:pPr>
      <w:r>
        <w:rPr/>
        <w:t>7)专职安全员须具有在有效期内的安全生产考核合格证(C类)或建筑施工企业专职安全生产管理人员安全生产考核合格证(综合类C3)。注1：提供证书复印件。注2：项目负责人在任职期间不得担任专职安全员，项目专职安全员在任职期间也不得担任项目负责人，项目负责人和安全员不为同一人。（投标时提供承诺函）。注3：专职安全员需提供开标前6个月内任意1个月的社会保险证明材料。</w:t>
      </w:r>
    </w:p>
    <w:p>
      <w:pPr>
        <w:pStyle w:val="null3"/>
      </w:pPr>
      <w:r>
        <w:rPr/>
        <w:t>8)供应商必须具有以下任一工程设计资质：1）工程设计综合资质，2）工程设计（建筑行业）资质，3）建筑行业（建筑工程）设计专业资质，4）建筑装饰工程设计专项资质或建筑装饰工程通用专业资质。（注：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广东第二师范学院</w:t>
      </w:r>
    </w:p>
    <w:p>
      <w:pPr>
        <w:pStyle w:val="null3"/>
        <w:ind w:firstLine="480"/>
      </w:pPr>
      <w:r>
        <w:rPr/>
        <w:t xml:space="preserve"> 地址：</w:t>
      </w:r>
      <w:r>
        <w:rPr/>
        <w:t>广州市新港中路351号</w:t>
      </w:r>
    </w:p>
    <w:p>
      <w:pPr>
        <w:pStyle w:val="null3"/>
        <w:ind w:firstLine="480"/>
      </w:pPr>
      <w:r>
        <w:rPr/>
        <w:t xml:space="preserve"> 联系方式：</w:t>
      </w:r>
      <w:r>
        <w:rPr/>
        <w:t>020-34115511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pPr>
      <w:r>
        <w:rPr>
          <w:sz w:val="21"/>
          <w:shd w:fill="FFFFFF" w:val="clear"/>
        </w:rPr>
        <w:t>2</w:t>
      </w:r>
      <w:r>
        <w:rPr>
          <w:sz w:val="21"/>
          <w:shd w:fill="FFFFFF" w:val="clear"/>
        </w:rPr>
        <w:t>）本招标文件中，凡标有</w:t>
      </w:r>
      <w:r>
        <w:rPr>
          <w:sz w:val="21"/>
          <w:shd w:fill="FFFFFF" w:val="clear"/>
        </w:rPr>
        <w:t>“★”</w:t>
      </w:r>
      <w:r>
        <w:rPr>
          <w:sz w:val="21"/>
          <w:shd w:fill="FFFFFF" w:val="clear"/>
        </w:rPr>
        <w:t>的地方，投标人要特别加以注意，必须对此作出一一响应。若有一项带</w:t>
      </w:r>
      <w:r>
        <w:rPr>
          <w:sz w:val="21"/>
          <w:shd w:fill="FFFFFF" w:val="clear"/>
        </w:rPr>
        <w:t>“★”</w:t>
      </w:r>
      <w:r>
        <w:rPr>
          <w:sz w:val="21"/>
          <w:shd w:fill="FFFFFF" w:val="clear"/>
        </w:rPr>
        <w:t>的指标未响应或不满足，将导致其废标或投标无效。</w:t>
      </w:r>
    </w:p>
    <w:p>
      <w:pPr>
        <w:pStyle w:val="null3"/>
      </w:pPr>
      <w:r>
        <w:rPr>
          <w:sz w:val="21"/>
          <w:shd w:fill="FFFFFF" w:val="clear"/>
        </w:rPr>
        <w:t>3</w:t>
      </w:r>
      <w:r>
        <w:rPr>
          <w:sz w:val="21"/>
          <w:shd w:fill="FFFFFF" w:val="clear"/>
        </w:rPr>
        <w:t>）本招标文件中，凡标有</w:t>
      </w:r>
      <w:r>
        <w:rPr>
          <w:sz w:val="21"/>
          <w:shd w:fill="FFFFFF" w:val="clear"/>
        </w:rPr>
        <w:t>“▲”</w:t>
      </w:r>
      <w:r>
        <w:rPr>
          <w:sz w:val="21"/>
          <w:shd w:fill="FFFFFF" w:val="clear"/>
        </w:rPr>
        <w:t>号条款为重要参数（如有），若有部分</w:t>
      </w:r>
      <w:r>
        <w:rPr>
          <w:sz w:val="21"/>
          <w:shd w:fill="FFFFFF" w:val="clear"/>
        </w:rPr>
        <w:t>“▲”</w:t>
      </w:r>
      <w:r>
        <w:rPr>
          <w:sz w:val="21"/>
          <w:shd w:fill="FFFFFF" w:val="clear"/>
        </w:rPr>
        <w:t>条款未响应或不满足，将根据评审要求影响其得分，但不作为无效投标条款。</w:t>
      </w:r>
    </w:p>
    <w:p>
      <w:pPr>
        <w:pStyle w:val="null3"/>
      </w:pPr>
      <w:r>
        <w:rPr>
          <w:sz w:val="21"/>
          <w:shd w:fill="FFFFFF" w:val="clear"/>
        </w:rPr>
        <w:t>4</w:t>
      </w:r>
      <w:r>
        <w:rPr>
          <w:sz w:val="21"/>
          <w:shd w:fill="FFFFFF" w:val="clear"/>
        </w:rPr>
        <w:t>）落实政府采购政策需满足的资格要求：本项目专门面向中小企业采购。投标人应为中小微企业。投标人应按要求出具《中小企业声明函》；属于监狱企业的，提供由省级以上监狱管理局、戒毒管理局</w:t>
      </w:r>
      <w:r>
        <w:rPr>
          <w:sz w:val="21"/>
          <w:shd w:fill="FFFFFF" w:val="clear"/>
        </w:rPr>
        <w:t>(</w:t>
      </w:r>
      <w:r>
        <w:rPr>
          <w:sz w:val="21"/>
          <w:shd w:fill="FFFFFF" w:val="clear"/>
        </w:rPr>
        <w:t>含新疆生产建设兵团</w:t>
      </w:r>
      <w:r>
        <w:rPr>
          <w:sz w:val="21"/>
          <w:shd w:fill="FFFFFF" w:val="clear"/>
        </w:rPr>
        <w:t>)</w:t>
      </w:r>
      <w:r>
        <w:rPr>
          <w:sz w:val="21"/>
          <w:shd w:fill="FFFFFF" w:val="clear"/>
        </w:rPr>
        <w:t>出具的属于监狱企业的证明文件；属于残疾人福利性单位的，提供《残疾人福利性单位声明函》。</w:t>
      </w:r>
    </w:p>
    <w:p>
      <w:pPr>
        <w:pStyle w:val="null3"/>
        <w:jc w:val="both"/>
      </w:pPr>
      <w:r>
        <w:rPr>
          <w:sz w:val="21"/>
          <w:shd w:fill="FFFFFF" w:val="clear"/>
        </w:rPr>
        <w:t>5</w:t>
      </w:r>
      <w:r>
        <w:rPr>
          <w:sz w:val="21"/>
          <w:shd w:fill="FFFFFF" w:val="clear"/>
        </w:rPr>
        <w:t>）</w:t>
      </w:r>
      <w:r>
        <w:rPr>
          <w:sz w:val="21"/>
          <w:shd w:fill="FFFFFF" w:val="clear"/>
        </w:rPr>
        <w:t>本项目对应的中小企业划分标准所属行业为：</w:t>
      </w:r>
      <w:r>
        <w:rPr>
          <w:sz w:val="21"/>
          <w:b/>
          <w:u w:val="single"/>
          <w:shd w:fill="FFFFFF" w:val="clear"/>
        </w:rPr>
        <w:t>租赁和商务服务业</w:t>
      </w:r>
      <w:r>
        <w:rPr>
          <w:sz w:val="21"/>
          <w:shd w:fill="FFFFFF" w:val="clear"/>
        </w:rPr>
        <w:t>。</w:t>
      </w:r>
    </w:p>
    <w:p>
      <w:pPr>
        <w:pStyle w:val="null3"/>
        <w:jc w:val="both"/>
      </w:pPr>
      <w:r>
        <w:rPr/>
        <w:t>采购包1（校史馆与校友之家展陈设计与布展服务项目）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合同签订之日起150个日历天内（具体交货时间以采购人根据现场条件发出指令为准）。具体时间划分： （1）前期筹备阶段，包含校史资料、图片、影音征集走访调研，同时通过学校资料库查阅校史资料；25天 （2）设计阶段，根据前期收集资料，深化空间方案设计、多媒体交互设计、施工图与预算报审；35天 （3）布展采购安装阶段，包含现场拆除、隔墙安装、地面铺设、顶部安装、展柜安装、艺术品定制、设备采购、灯具及声光电的安装；80天 （4）调试验收，包含联动压力测试、校方预验收；10天。</w:t>
            </w:r>
          </w:p>
        </w:tc>
      </w:tr>
      <w:tr>
        <w:tc>
          <w:tcPr>
            <w:tcW w:type="dxa" w:w="4153"/>
          </w:tcPr>
          <w:p>
            <w:pPr>
              <w:pStyle w:val="null3"/>
            </w:pPr>
            <w:r>
              <w:rPr/>
              <w:t>标的提供的地点</w:t>
            </w:r>
          </w:p>
        </w:tc>
        <w:tc>
          <w:tcPr>
            <w:tcW w:type="dxa" w:w="4153"/>
          </w:tcPr>
          <w:p>
            <w:pPr>
              <w:pStyle w:val="null3"/>
            </w:pPr>
            <w:r>
              <w:rPr/>
              <w:t>广东第二师范学院海珠校区综合楼A区8楼</w:t>
            </w:r>
          </w:p>
        </w:tc>
      </w:tr>
      <w:tr>
        <w:tc>
          <w:tcPr>
            <w:tcW w:type="dxa" w:w="4153"/>
          </w:tcPr>
          <w:p>
            <w:pPr>
              <w:pStyle w:val="null3"/>
            </w:pPr>
            <w:r>
              <w:rPr/>
              <w:t>付款方式</w:t>
            </w:r>
          </w:p>
        </w:tc>
        <w:tc>
          <w:tcPr>
            <w:tcW w:type="dxa" w:w="4153"/>
          </w:tcPr>
          <w:p>
            <w:pPr>
              <w:pStyle w:val="null3"/>
            </w:pPr>
            <w:r>
              <w:rPr/>
              <w:t>1期：支付比例30%,合同签订且收到供应商提交的等额发票后5个工作日内，采购人向供应商支付合同总金额的30%；</w:t>
            </w:r>
          </w:p>
          <w:p>
            <w:pPr>
              <w:pStyle w:val="null3"/>
            </w:pPr>
            <w:r>
              <w:rPr/>
              <w:t>2期：支付比例20%,基础装修完成约80%（不含布展），经采购人与监理签字确认，同时收到供应商提交的等额发票后5个工作日内，采购人向供应商支付合同总金额的20%；</w:t>
            </w:r>
          </w:p>
          <w:p>
            <w:pPr>
              <w:pStyle w:val="null3"/>
            </w:pPr>
            <w:r>
              <w:rPr/>
              <w:t>3期：支付比例20%,主要设备进场后，收到供应商提交的等额发票后5个工作日内，采购人向供应商支付合同总金额的20%；</w:t>
            </w:r>
          </w:p>
          <w:p>
            <w:pPr>
              <w:pStyle w:val="null3"/>
            </w:pPr>
            <w:r>
              <w:rPr/>
              <w:t>4期：支付比例10%,项目完工现场通过初步验收并投入试运行，收到供应商提交的等额发票后5个工作日内，采购人向供应商支付合同总金额的10%；</w:t>
            </w:r>
          </w:p>
          <w:p>
            <w:pPr>
              <w:pStyle w:val="null3"/>
            </w:pPr>
            <w:r>
              <w:rPr/>
              <w:t>5期：支付比例20%,项目竣工验收合格并结算经采购人审定，采购人自收到供应商提交的等额发票后5个工作日内，采购人向供应商支付合同总金额的20%。 注：1.每次付款前，供应商须提供支付所需的佐证材料（采购人自行提供的除外），每期付款由供应商提出书面申请并提供该期相应金额的合法有效发票，方可办理支付手续；收款方、出具发票方、合同方均必须与供应商名称一致，否则采购人有权顺延付款，供应商不得以此为由暂停项目实施或要求顺延工期。 2.上述付款时间规定为采购人向政府采购支付部门提出支付申请的时间（不含政府财政支付部门审查的时间），采购人在规定时间内提起申请的即视为采购人已履行付款义务。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1期：（一）初步验收 1.供应商在确定完成布展工作后，应向采购人提交完整的资料，提出初步验收申请。 2.收到供应商初步验收申请后监理单位需在3个工作日内组织相关人员进行初步验收工作，项目质量不合格或项目个别内容尚未完成者，由供应商在采购人通知的期限内进行修复，待整改完成后再进行初步验收，直至达到完全符合合同要求为止，由此产生的一切费用和责任均由供应商负责。 3.验收依据和标准：施工图纸，图纸说明，有关设计变更资料和图纸，国家颁布的验收规范、规定，以及专家委员会根据国家有关标准、规范制订的针对本项目特殊子项目的规范及验收标准。 4.项目初步验收合格后进入试运行期。 （二）竣工验收 1.采购人在收到供应商项目验收建议之日起7个工作日内按照合同的约定对履约情况进行验收。供应商需为验收提供必需的一切条件及相关费用，并提供本项目的相关文档和验收所需资料，积极配合采购人完成验收工作。 2.其他验收要求：/ 3.关于竣工验收程序的约定 (1)竣工验收程序启动条件：试运行不少于30天，且各项设备展项、系统等运行稳定、良好方可组织竣工验收。 (2)供应商向监理人报送竣工验收申请报告，监理人应在收到竣工验收申请报告后14天内完成审查并报送采购人。监理人审查后认为尚不具备验收条件的，应通知供应商在竣工验收前供应商还需完成的工作内容，供应商应在完成监理人通知的全部工作内容后，再次提交竣工验收申请报告。 (3)采购人收到经监理人审核的竣工验收申请报告后应及时审批并在确认工程已具备竣工验收条件后组织监理、供应商等有关单位分成若干个专业验收组进行竣工验收，监理工程师协助有关工作。采购人视实际需要可邀请行业相关专家参与验收（相关费用由供应商承担）。 (4)竣工验收时，对工程实体和竣工文件材料检查中提出的问题和缺陷，供应商还应对该部分继续补正完善并承担相应的费用。一般情况下，经采购人同意和供应商确认，需要补正完善的工作内容（不涉及结构、安全和使用的），可以在缺陷责任期内完成。项目验收合格则由验收小组出具验收情况报告，参与验收的人员在验收情况报告上签名，采购人确认后出具验收报告。 (5)竣工验收不合格的，监理人应按照验收意见发出指示，要求供应商对不合格工程返工、修复或采取其他补救措施，由此增加的费用和（或）延误的工期由供应商承担。供应商在完成不合格工程的返工、修复或采取其他补救措施后，应重新提交竣工验收申请报告，并按本项约定的程序重新进行验收。</w:t>
            </w:r>
          </w:p>
        </w:tc>
      </w:tr>
      <w:tr>
        <w:tc>
          <w:tcPr>
            <w:tcW w:type="dxa" w:w="4153"/>
          </w:tcPr>
          <w:p>
            <w:pPr>
              <w:pStyle w:val="null3"/>
            </w:pPr>
            <w:r>
              <w:rPr/>
              <w:t>履约保证金</w:t>
            </w:r>
          </w:p>
        </w:tc>
        <w:tc>
          <w:tcPr>
            <w:tcW w:type="dxa" w:w="4153"/>
          </w:tcPr>
          <w:p>
            <w:pPr>
              <w:pStyle w:val="null3"/>
            </w:pPr>
            <w:r>
              <w:rPr/>
              <w:t>交纳比例：3%</w:t>
            </w:r>
          </w:p>
          <w:p>
            <w:pPr>
              <w:pStyle w:val="null3"/>
            </w:pPr>
            <w:r>
              <w:rPr/>
              <w:t>缴费渠道：</w:t>
            </w:r>
            <w:r>
              <w:rPr/>
              <w:t>电子保函（保险）</w:t>
            </w:r>
            <w:r>
              <w:rPr/>
              <w:t>、支票（本票、汇票）</w:t>
            </w:r>
            <w:r>
              <w:rPr/>
              <w:t>、其他</w:t>
            </w:r>
          </w:p>
          <w:p>
            <w:pPr>
              <w:pStyle w:val="null3"/>
            </w:pPr>
            <w:r>
              <w:rPr/>
              <w:t>账号：-</w:t>
            </w:r>
          </w:p>
          <w:p>
            <w:pPr>
              <w:pStyle w:val="null3"/>
            </w:pPr>
            <w:r>
              <w:rPr/>
              <w:t>户名：-</w:t>
            </w:r>
          </w:p>
          <w:p>
            <w:pPr>
              <w:pStyle w:val="null3"/>
            </w:pPr>
            <w:r>
              <w:rPr/>
              <w:t>开户行：-</w:t>
            </w:r>
          </w:p>
          <w:p>
            <w:pPr>
              <w:pStyle w:val="null3"/>
            </w:pPr>
            <w:r>
              <w:rPr/>
              <w:t>支票提交方式：-</w:t>
            </w:r>
          </w:p>
          <w:p>
            <w:pPr>
              <w:pStyle w:val="null3"/>
            </w:pPr>
            <w:r>
              <w:rPr/>
              <w:t>汇票、本票提交方式：-</w:t>
            </w:r>
          </w:p>
          <w:p>
            <w:pPr>
              <w:pStyle w:val="null3"/>
            </w:pPr>
            <w:r>
              <w:rPr/>
              <w:t>说明：1.提交时间：自双方签订合同之日起5个工作日内，乙方提交履约保证金或银行出具的履约保函； 2.履约保证金金额：合同总价的3%； 3.提交方式：履约保证金应当以支票、汇票、本票，或由中国大陆地区商业银行开具的银行不可撤销履约保函等非现金形式提交； 4.有效期：履约担保的有效期为自开具之日起，至项目竣工验收完成止。 5.退还说明：本项目完成竣工验收且乙方无任何违约行为之日起【45】工作日甲方将履约保证金一次性无息退还。甲方逾期退还履约保证金的，每逾期一天按合同总价的万分之一向乙方支付违约金。 不予退还的情形：如在合同期内，中标人自行停止合约或违反合同有关规定被采购人终止合约的，则履约保证金全部归采购人所有。若中标人不履行或违反合同约定导致采购人蒙受损失的，采购人有权直接从履约保证金中扣除相应违约金或损失赔偿款项；违约金或给采购人造成的损失超过履约保证金数额的，中标人应对超出部分给予赔偿。其他违约责任按照合同约定执行。</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合同价款支付及调整</w:t>
            </w:r>
          </w:p>
        </w:tc>
        <w:tc>
          <w:tcPr>
            <w:tcW w:type="dxa" w:w="2076"/>
          </w:tcPr>
          <w:p>
            <w:pPr>
              <w:pStyle w:val="null3"/>
              <w:jc w:val="left"/>
            </w:pPr>
            <w:r>
              <w:rPr/>
              <w:t>（一）合同价款 合同价款已包含按本项目招标文件要求完成广东第二师范学院校史馆与校友之家展陈设计与布展服务所需费用，包括深化设计，装饰工程：主要包括天花、地面、隔墙和电气。展陈设施服务：展具（展柜、展台）、场景、部分展品（道具、模型、实物或复制件等）、雕塑、图文展板（含展板、灯箱、立体字等）、多媒体播放系统、专业照明系统、灯光控制系统、视觉导览系统等，确保实现整个展区各项功能使用的全部内容工程的采购、制作、陈列、安装、施工、调试及其配套服务。相关服务：协助采购人相关走访、资料收集、展品征集和整理、参与布展大纲编辑、售后服务、培训等相关服务，供应商原因导致的费用增加风险及供应商完成本项目服务的所有费用。 （二）支付方式 采购人通过对公转账的方式将费用汇入供应商指定账户。供应商确认供应商的账户信息为本合同书签署页记载的开户银行和账号。 采购人向上述账户汇出款项后，即视为已履行付款义务，在汇款过程中，因供应商账户的原因（包括但不限于账号被注销、被冻结等）导致其无法收取款项的，由供应商承担相应后果。非因采购人过错导致迟延付款的，采购人不承担任何责任。 二、价款调整 （一）限额设计及价款调整事项 1.供应商须按采购文件要求进行限额设计工作，并提交达到施工要求的设计成果文件及造价文件，设计成果文件和对应的预算经采购人确认后方可实施。供应商按照最终确定的施工图进行施工。 2.投标报价应为完成本项目招标文件、澄清文件及更正通知、国家及行业规范、技术文件标准、采购人需求等所有内容。项目在实施阶段只有因采购人的需求发生变化导致设计变更、工程签证所引起工程变更时，则该变更部分按采购人实际委托供应商完成的工作量进行结算，未实施内容则不予计量结算。最终结算金额不得超过本项目合同价，超出部分不予结算及支付。 （二）新增项目综合单价及主材价格确定方式按照如下约定执行： 1.综合单价执行原则： （1）若工程量清单有类似项目单价，可参照类似项目单价进行计价。 （2）市场询价法。 （3）非标成熟案例类比法。 （4）新增单价及工程量执行《广东省住房和城乡建设厅关于印发〈广东省建设工程计价依据（2018）〉的通知》（粤建市〔2019〕6号）、《建设工程工程量清单计价规范》(GB50500-2013)、《广东省房屋建筑与装饰工程综合定额（2018）》《广东省市政工程综合定额（2018）》《广东省通用安装工程综合定额（2018）》、广东省相关定额及计价的相关规定取定。 （5）陈列展品制作或创作项目的计价由供应商提出，须经采购人审核并同意。 （三）关于预算及结算有关要求及说明： 1.供应商以中标价作为上限进行设计并不得突破，且原则上供应商编制的预算送审价及结算价不得超出合同价，超出部分不予结算及支付。 2.深化设计（或施工图设计）完成后，供应商须根据采购人确认的深化设计成果及施工图编制项目预算，并由采购人委托的第三方造价咨询单位进行审核，审核的依据包括相关工程造价定额、同类项目价格、市场询价及供应商的投标报价中的综合单价等；采购人及第三方造价咨询单位有权对供应商的投标报价中的综合单价进行重新审核及认定，供应商须无条件服从；供应商对采购人委托的第三方造价咨询单位审核的结果有异议时，争议部分采购人可以直接认定或组织专家论证（相关费用由供应商支付），最终采购人认定的或专家论证的结果供应商须无条件服从，否则视为供应商违约。 3.施工图预算和结算的事项，装饰工程和安装工程执行《广东省住房和城乡建设厅关于印发〈广东省建设工程计价依据（2018）〉的通知》（粤建市〔2019〕6号）、《建设工程工程量清单计价规范》(GB50500-2013)、《广东省房屋建筑与装饰工程综合定额（2018）》《广东省市政工程综合定额（2018）》《广东省通用安装工程综合定额（2018）》、广东省相关定额及计价的相关规定取定。展柜及艺术品定制、展示版面部分、多媒体报价部分、家具定制部分中，施工图预算清单中需描述完整项目特征等内容。对于非标材料，需提供不少于三家供应商的询价单或者其他资料等。 4.项目竣工验收合格后，供应商编制项目结算书（送审结算价不得突破合同价），由采购人委托第三方造价咨询单位进行审核，供应商对采购人委托的第三方造价咨询单位审核的结果有异议时，争议部分采购人可以直接认定或组织专家论证（相关费用由供应商支付），最终采购人认定的或专家论证的结果供应商须无条件服从，否则视为供应商违约。</w:t>
            </w:r>
          </w:p>
        </w:tc>
      </w:tr>
      <w:tr>
        <w:tc>
          <w:tcPr>
            <w:tcW w:type="dxa" w:w="2076"/>
          </w:tcPr>
          <w:p/>
        </w:tc>
        <w:tc>
          <w:tcPr>
            <w:tcW w:type="dxa" w:w="2076"/>
          </w:tcPr>
          <w:p>
            <w:pPr>
              <w:pStyle w:val="null3"/>
              <w:jc w:val="center"/>
            </w:pPr>
            <w:r>
              <w:rPr/>
              <w:t>2</w:t>
            </w:r>
          </w:p>
        </w:tc>
        <w:tc>
          <w:tcPr>
            <w:tcW w:type="dxa" w:w="2076"/>
          </w:tcPr>
          <w:p>
            <w:pPr>
              <w:pStyle w:val="null3"/>
              <w:jc w:val="left"/>
            </w:pPr>
            <w:r>
              <w:rPr/>
              <w:t>售后服务要求</w:t>
            </w:r>
          </w:p>
        </w:tc>
        <w:tc>
          <w:tcPr>
            <w:tcW w:type="dxa" w:w="2076"/>
          </w:tcPr>
          <w:p>
            <w:pPr>
              <w:pStyle w:val="null3"/>
              <w:jc w:val="left"/>
            </w:pPr>
            <w:r>
              <w:rPr/>
              <w:t>（1）本项目整体质保期≥1年（自最终验收合格之日起计）。部分设备的质保期与服务厂商承诺质保期或国家相关强制标准不一致的，以较长期限为准。 （2）质保期内，质保范围内的所有硬件设备的维修费用均由中标单位承担。 （3）在维护保修期内，供应商应在收到采购人故障报修的4小时内做出响应并提供解决方案，并在24小时内到达现场排查并维修；在48小时内不能完成维修的，则供应商最迟应在15个日历天内无条件更换同样规格要求的新设备或替代品（但其新设备和替代品的数量和质量要求不得低于原设备）；如不能更换或提供维修，供应商应提供相关应急措施方案。 （4）质保期内，同一缺陷经三次维修、调换后仍无法达到质量标准的，则认定该类产品均不合格，采购人有权将该类产品无条件退货。由此造成的损失，全部由供应商承担。 （5）质量保修完成后，由甲乙双方组织验收。 （6）质保期内，所有设备维修服务均为上门服务，质保范围内产生的费用均不再收取。 （7）质保期结束后，供应商应提供终身售后服务，进行定期维护和修理；三年内设施设备等发生故障到现场维修只收差旅费及材料成件工本费。</w:t>
            </w:r>
          </w:p>
        </w:tc>
      </w:tr>
      <w:tr>
        <w:tc>
          <w:tcPr>
            <w:tcW w:type="dxa" w:w="2076"/>
          </w:tcP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免费给使用单位培训技术人员，直到使用单位受训人员熟练掌握原理、操作、维修保养技术，培训的费用由中标单位负责。</w:t>
            </w:r>
          </w:p>
        </w:tc>
      </w:tr>
      <w:tr>
        <w:tc>
          <w:tcPr>
            <w:tcW w:type="dxa" w:w="2076"/>
          </w:tcPr>
          <w:p/>
        </w:tc>
        <w:tc>
          <w:tcPr>
            <w:tcW w:type="dxa" w:w="2076"/>
          </w:tcPr>
          <w:p>
            <w:pPr>
              <w:pStyle w:val="null3"/>
              <w:jc w:val="center"/>
            </w:pPr>
            <w:r>
              <w:rPr/>
              <w:t>4</w:t>
            </w:r>
          </w:p>
        </w:tc>
        <w:tc>
          <w:tcPr>
            <w:tcW w:type="dxa" w:w="2076"/>
          </w:tcPr>
          <w:p>
            <w:pPr>
              <w:pStyle w:val="null3"/>
              <w:jc w:val="left"/>
            </w:pPr>
            <w:r>
              <w:rPr/>
              <w:t>报价要求</w:t>
            </w:r>
          </w:p>
        </w:tc>
        <w:tc>
          <w:tcPr>
            <w:tcW w:type="dxa" w:w="2076"/>
          </w:tcPr>
          <w:p>
            <w:pPr>
              <w:pStyle w:val="null3"/>
              <w:jc w:val="left"/>
            </w:pPr>
            <w:r>
              <w:rPr/>
              <w:t>1、报价超出预算金额或最高限价的，评标（审）委员会将对其文件作无效投标处理。 2、报价应为人民币含税全包价，包括测试、运输、安装调试、验收、培训等一切费用。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其他展览服务</w:t>
            </w:r>
          </w:p>
        </w:tc>
        <w:tc>
          <w:tcPr>
            <w:tcW w:type="dxa" w:w="933"/>
          </w:tcPr>
          <w:p>
            <w:pPr>
              <w:pStyle w:val="null3"/>
              <w:jc w:val="left"/>
            </w:pPr>
            <w:r>
              <w:rPr/>
              <w:t>校史馆与校友之家展陈设计与布展服务项目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2,350,000.00</w:t>
            </w:r>
          </w:p>
        </w:tc>
        <w:tc>
          <w:tcPr>
            <w:tcW w:type="dxa" w:w="933"/>
          </w:tcPr>
          <w:p>
            <w:pPr>
              <w:pStyle w:val="null3"/>
              <w:jc w:val="right"/>
            </w:pPr>
            <w:r>
              <w:rPr/>
              <w:t>2,350,000.00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校史馆与校友之家展陈设计与布展服务项目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 </w:t>
            </w:r>
          </w:p>
          <w:p>
            <w:pPr>
              <w:pStyle w:val="null3"/>
              <w:jc w:val="both"/>
            </w:pPr>
            <w:r>
              <w:rPr>
                <w:sz w:val="21"/>
                <w:b/>
              </w:rPr>
              <w:t>一、项目基本情况</w:t>
            </w:r>
          </w:p>
          <w:p>
            <w:pPr>
              <w:pStyle w:val="null3"/>
              <w:ind w:firstLine="420"/>
              <w:jc w:val="both"/>
            </w:pPr>
            <w:r>
              <w:rPr>
                <w:sz w:val="21"/>
              </w:rPr>
              <w:t>广东第二师范学院始办于</w:t>
            </w:r>
            <w:r>
              <w:rPr>
                <w:sz w:val="21"/>
              </w:rPr>
              <w:t>1955年，前身为广东教育行政学院，1960年更名为广东教育学院，同年，广东工农师范学院并入，1970年停办，迁往肇庆开办肇庆地区师范学校，1978年复办，1982年被确定为省属成人师范本科院校，并于同年开始举办成人师范本科教育，1985年开始举办普通专科教育，1990至2008年举办普通本科教育。2010年经教育部批准，改制为普通本科院校，更名为广东第二师范学院。2014年获得学士学位授予权，2018年通过教育部本科教学工作合格评估，2021年获批硕士学位立项建设单位，同年入选教育部第二批人工智能助推教师队伍建设试点高校。</w:t>
            </w:r>
          </w:p>
          <w:p>
            <w:pPr>
              <w:pStyle w:val="null3"/>
              <w:jc w:val="both"/>
            </w:pPr>
            <w:r>
              <w:rPr>
                <w:sz w:val="21"/>
              </w:rPr>
              <w:t>2025年学校将迎来建校70周年，为全面总结学校70年的发展历程和取得的各项成就，充分展示广大师生员工及校友的风采，传承和弘扬优秀传统文化，促进学校实现高质量发展，办好人民满意教育，学校将倾力打造校史馆与校友之家。</w:t>
            </w:r>
          </w:p>
        </w:tc>
      </w:tr>
      <w:tr>
        <w:tc>
          <w:tcPr>
            <w:tcW w:type="dxa" w:w="2076"/>
          </w:tcPr>
          <w:p/>
        </w:tc>
        <w:tc>
          <w:tcPr>
            <w:tcW w:type="dxa" w:w="415"/>
          </w:tcPr>
          <w:p>
            <w:pPr>
              <w:pStyle w:val="null3"/>
            </w:pPr>
            <w:r>
              <w:rPr/>
              <w:t>2</w:t>
            </w:r>
          </w:p>
        </w:tc>
        <w:tc>
          <w:tcPr>
            <w:tcW w:type="dxa" w:w="5814"/>
          </w:tcPr>
          <w:p>
            <w:pPr>
              <w:pStyle w:val="null3"/>
              <w:jc w:val="both"/>
            </w:pPr>
            <w:r>
              <w:rPr>
                <w:sz w:val="21"/>
                <w:b/>
              </w:rPr>
              <w:t>二、项目内容</w:t>
            </w:r>
          </w:p>
          <w:p>
            <w:pPr>
              <w:pStyle w:val="null3"/>
              <w:ind w:firstLine="420"/>
              <w:jc w:val="both"/>
            </w:pPr>
            <w:r>
              <w:rPr>
                <w:sz w:val="21"/>
              </w:rPr>
              <w:t>广东第二师范学院校史馆与校友之家展陈设计与布展服务项目，校史馆位于海珠校区综合楼</w:t>
            </w:r>
            <w:r>
              <w:rPr>
                <w:sz w:val="21"/>
              </w:rPr>
              <w:t>A区8楼，建设面积约为900平方米，包括整体方案设计、安装等工程的实施、保修、缺陷处理及后期服务等工作，具体实施内容包括但不限于：</w:t>
            </w:r>
          </w:p>
          <w:p>
            <w:pPr>
              <w:pStyle w:val="null3"/>
              <w:ind w:firstLine="420"/>
              <w:jc w:val="both"/>
            </w:pPr>
            <w:r>
              <w:rPr>
                <w:sz w:val="21"/>
              </w:rPr>
              <w:t>（</w:t>
            </w:r>
            <w:r>
              <w:rPr>
                <w:sz w:val="21"/>
              </w:rPr>
              <w:t>1）装饰工程：主要包括天花、地面、墙体和电气。</w:t>
            </w:r>
          </w:p>
          <w:p>
            <w:pPr>
              <w:pStyle w:val="null3"/>
              <w:ind w:firstLine="420"/>
              <w:jc w:val="both"/>
            </w:pPr>
            <w:r>
              <w:rPr>
                <w:sz w:val="21"/>
              </w:rPr>
              <w:t>（</w:t>
            </w:r>
            <w:r>
              <w:rPr>
                <w:sz w:val="21"/>
              </w:rPr>
              <w:t>2）展陈设施服务：展具（展柜、展台）、艺术场景、展品（道具、模型、艺术品、实物或复制件等）、图文展板（含展板、灯箱、立体字等）、多媒体系统、专业照明系统等，确保实现整个展区各项功能使用的全部内容工程的采购、制作、陈列、安装、施工、调试及其配套服务。</w:t>
            </w:r>
          </w:p>
          <w:p>
            <w:pPr>
              <w:pStyle w:val="null3"/>
              <w:ind w:firstLine="420"/>
              <w:jc w:val="both"/>
            </w:pPr>
            <w:r>
              <w:rPr>
                <w:sz w:val="21"/>
              </w:rPr>
              <w:t>（</w:t>
            </w:r>
            <w:r>
              <w:rPr>
                <w:sz w:val="21"/>
              </w:rPr>
              <w:t>3）相关服务：采访、资料、展品收集和整理、布展大纲、售后服务、培训等相关服务。</w:t>
            </w:r>
          </w:p>
        </w:tc>
      </w:tr>
      <w:tr>
        <w:tc>
          <w:tcPr>
            <w:tcW w:type="dxa" w:w="2076"/>
          </w:tcPr>
          <w:p/>
        </w:tc>
        <w:tc>
          <w:tcPr>
            <w:tcW w:type="dxa" w:w="415"/>
          </w:tcPr>
          <w:p>
            <w:pPr>
              <w:pStyle w:val="null3"/>
            </w:pPr>
            <w:r>
              <w:rPr/>
              <w:t>3</w:t>
            </w:r>
          </w:p>
        </w:tc>
        <w:tc>
          <w:tcPr>
            <w:tcW w:type="dxa" w:w="5814"/>
          </w:tcPr>
          <w:p>
            <w:pPr>
              <w:pStyle w:val="null3"/>
              <w:jc w:val="both"/>
            </w:pPr>
            <w:r>
              <w:rPr>
                <w:sz w:val="21"/>
                <w:b/>
              </w:rPr>
              <w:t>三</w:t>
            </w:r>
            <w:r>
              <w:rPr>
                <w:sz w:val="21"/>
                <w:b/>
              </w:rPr>
              <w:t>、项目实施场地情况</w:t>
            </w:r>
          </w:p>
          <w:p>
            <w:pPr>
              <w:pStyle w:val="null3"/>
              <w:ind w:firstLine="420"/>
              <w:jc w:val="both"/>
            </w:pPr>
            <w:r>
              <w:rPr>
                <w:sz w:val="21"/>
              </w:rPr>
              <w:t>本项目实施场地位于广东第二师范学院海珠校区综合楼</w:t>
            </w:r>
            <w:r>
              <w:rPr>
                <w:sz w:val="21"/>
              </w:rPr>
              <w:t>A区8楼，区域面积900㎡。</w:t>
            </w:r>
          </w:p>
          <w:p>
            <w:pPr>
              <w:pStyle w:val="null3"/>
              <w:ind w:firstLine="420"/>
              <w:jc w:val="both"/>
            </w:pPr>
            <w:r>
              <w:rPr>
                <w:sz w:val="21"/>
              </w:rPr>
              <w:t>实施用水、用电由采购人负责提供至现场，供应商自行考虑场地内布置铺设。供应商在项目实施过程中，必须严格遵守相关规定，若发生因违反此类规定而被罚款的事件，由供应商自行负责。</w:t>
            </w:r>
          </w:p>
        </w:tc>
      </w:tr>
      <w:tr>
        <w:tc>
          <w:tcPr>
            <w:tcW w:type="dxa" w:w="2076"/>
          </w:tcPr>
          <w:p/>
        </w:tc>
        <w:tc>
          <w:tcPr>
            <w:tcW w:type="dxa" w:w="415"/>
          </w:tcPr>
          <w:p>
            <w:pPr>
              <w:pStyle w:val="null3"/>
            </w:pPr>
            <w:r>
              <w:rPr/>
              <w:t>4</w:t>
            </w:r>
          </w:p>
        </w:tc>
        <w:tc>
          <w:tcPr>
            <w:tcW w:type="dxa" w:w="5814"/>
          </w:tcPr>
          <w:p>
            <w:pPr>
              <w:pStyle w:val="null3"/>
              <w:jc w:val="both"/>
            </w:pPr>
            <w:r>
              <w:rPr>
                <w:sz w:val="21"/>
                <w:b/>
              </w:rPr>
              <w:t>四、项目总体要求</w:t>
            </w:r>
          </w:p>
          <w:p>
            <w:pPr>
              <w:pStyle w:val="null3"/>
              <w:ind w:firstLine="420"/>
              <w:jc w:val="both"/>
            </w:pPr>
            <w:r>
              <w:rPr>
                <w:sz w:val="21"/>
              </w:rPr>
              <w:t>本项目要求充分理解校史馆与校友之家建设内涵，充分体现广东第二师范学院在发展历程、人才培养、教学科研和文化传承方面等各方面特色和优势。</w:t>
            </w:r>
          </w:p>
          <w:p>
            <w:pPr>
              <w:pStyle w:val="null3"/>
              <w:ind w:firstLine="420"/>
              <w:jc w:val="both"/>
            </w:pPr>
            <w:r>
              <w:rPr>
                <w:sz w:val="21"/>
              </w:rPr>
              <w:t>校史馆与校友之家建成后，将通过多样化的形式、渠道和平台扩大其作为</w:t>
            </w:r>
            <w:r>
              <w:rPr>
                <w:sz w:val="21"/>
              </w:rPr>
              <w:t>“文化育人的载体、展现学校教育气质与学术气质的平台、社会公众感受大学文明的窗口、校友互相交流的纽带”的影响力。校史馆与校友之家合理运用声光电、实景复原等技术和手段，遵循如下原则：</w:t>
            </w:r>
          </w:p>
          <w:p>
            <w:pPr>
              <w:pStyle w:val="null3"/>
              <w:ind w:firstLine="422"/>
              <w:jc w:val="both"/>
            </w:pPr>
            <w:r>
              <w:rPr>
                <w:sz w:val="21"/>
                <w:b/>
              </w:rPr>
              <w:t>（一）项目布展要求</w:t>
            </w:r>
          </w:p>
          <w:p>
            <w:pPr>
              <w:pStyle w:val="null3"/>
              <w:ind w:firstLine="420"/>
              <w:jc w:val="both"/>
            </w:pPr>
            <w:r>
              <w:rPr>
                <w:sz w:val="21"/>
              </w:rPr>
              <w:t>1.项目深化设计需根据采购人提供的展陈大纲及概念方案，充分理解展陈主题及内涵，使整体艺术设计与内容设计形成高度的和谐统一。</w:t>
            </w:r>
          </w:p>
          <w:p>
            <w:pPr>
              <w:pStyle w:val="null3"/>
              <w:ind w:firstLine="420"/>
              <w:jc w:val="both"/>
            </w:pPr>
            <w:r>
              <w:rPr>
                <w:sz w:val="21"/>
              </w:rPr>
              <w:t>2.遵循“适需设计的原则”，在展陈设计中以内容为纲，以展品为本，设计服务于内容，合理使用设计语言和形式，做到适度设计。空间形式与展陈主题内容及校史馆与校友之家的建筑风格紧密融合，充分利用空间，保持展览的连贯性和统一性。</w:t>
            </w:r>
          </w:p>
          <w:p>
            <w:pPr>
              <w:pStyle w:val="null3"/>
              <w:ind w:firstLine="420"/>
              <w:jc w:val="both"/>
            </w:pPr>
            <w:r>
              <w:rPr>
                <w:sz w:val="21"/>
              </w:rPr>
              <w:t>3.遵循“功能优先的原则”，按照现代展馆的功能要求，合理规划各功能区，平面动线布局设计应科学、通畅、以人为本，充分考虑参观方便与消防要求，并保障休息、体验等各种设施设置合理。</w:t>
            </w:r>
          </w:p>
          <w:p>
            <w:pPr>
              <w:pStyle w:val="null3"/>
              <w:ind w:firstLine="420"/>
              <w:jc w:val="both"/>
            </w:pPr>
            <w:r>
              <w:rPr>
                <w:sz w:val="21"/>
              </w:rPr>
              <w:t>4.注重精细化设计及制作，保证展品安全。对地面、天花、墙体、展柜、照明、展板展墙、展具、艺术品及装置、展品、辅助展项、多媒体软硬件等的材质、设备、制造工艺等坚持严格把控，装饰材料质量可靠、安全耐用，设备质量可靠、技术成熟，展柜、照明、展板展墙及展具等要确保展品安全。</w:t>
            </w:r>
          </w:p>
          <w:p>
            <w:pPr>
              <w:pStyle w:val="null3"/>
              <w:jc w:val="both"/>
            </w:pPr>
            <w:r>
              <w:rPr>
                <w:sz w:val="21"/>
                <w:b/>
              </w:rPr>
              <w:t>（二）项目实施</w:t>
            </w:r>
            <w:r>
              <w:rPr>
                <w:sz w:val="21"/>
                <w:b/>
              </w:rPr>
              <w:t>要求</w:t>
            </w:r>
          </w:p>
          <w:p>
            <w:pPr>
              <w:pStyle w:val="null3"/>
              <w:ind w:firstLine="420"/>
              <w:jc w:val="both"/>
            </w:pPr>
            <w:r>
              <w:rPr>
                <w:sz w:val="21"/>
              </w:rPr>
              <w:t>1.供应商应承诺：本项目的主体内容不得进行分包（另有约定的除外），在实施过程中如涉及专业工程内容（如结构加固等），供应商应具有承接相应专业工程内容所需资质和人员；如供应商不具有承接相应专业工程内容所需资质和人员，供应商须将专业工程内容分包，并取得采购人书面同意后方可实施，相关费用已包含在总报价中，采购人不另行支付。（首次报价响应文件提供承诺函，格式自拟）</w:t>
            </w:r>
          </w:p>
          <w:p>
            <w:pPr>
              <w:pStyle w:val="null3"/>
              <w:ind w:firstLine="420"/>
              <w:jc w:val="both"/>
            </w:pPr>
            <w:r>
              <w:rPr>
                <w:sz w:val="21"/>
              </w:rPr>
              <w:t>2.供应商应充分尊重采购人的布展实施需求，并保质保量完成采购人的布展实施要求。采购人有权对供应商提供的深化设计优化方案提出修改意见，供应商应根据采购人的要求或意见进行设计方案的调整和补充，经采购人最终确认后方可实施，并在采购人规定的时间内完成配套设备、设施、材料物资等的采购、创作、制作、运输、安装、摆放、调试。相关专业设备、设施、材料物资等的采购须满足采购人的需求，才能进入后续工作和实施。</w:t>
            </w:r>
          </w:p>
          <w:p>
            <w:pPr>
              <w:pStyle w:val="null3"/>
              <w:ind w:firstLine="420"/>
              <w:jc w:val="both"/>
            </w:pPr>
            <w:r>
              <w:rPr>
                <w:sz w:val="21"/>
              </w:rPr>
              <w:t>3.必须确保建筑物原有安全性、整体性，未经采购人同意，不得任意改变原建筑物的承重结构，不得破坏原建筑物外立面。</w:t>
            </w:r>
          </w:p>
          <w:p>
            <w:pPr>
              <w:pStyle w:val="null3"/>
              <w:ind w:firstLine="420"/>
              <w:jc w:val="both"/>
            </w:pPr>
            <w:r>
              <w:rPr>
                <w:sz w:val="21"/>
              </w:rPr>
              <w:t>4.材料物资、设施设备等的质量应符合产品有关标准的质量要求和设计要求。对使用有特殊规定的材料制品和设施设备应按其产品说明书的规定进行。</w:t>
            </w:r>
          </w:p>
          <w:p>
            <w:pPr>
              <w:pStyle w:val="null3"/>
              <w:ind w:firstLine="420"/>
              <w:jc w:val="both"/>
            </w:pPr>
            <w:r>
              <w:rPr>
                <w:sz w:val="21"/>
              </w:rPr>
              <w:t>5.供应商须保证信息安全，对所提供的项目资料（如档案、数据等隐私）负有守秘责任，未经授权，不得以任何形式泄露，更不得做商业用途。供应商须在成交后与采购人签订</w:t>
            </w:r>
            <w:r>
              <w:rPr>
                <w:sz w:val="21"/>
              </w:rPr>
              <w:t>守秘</w:t>
            </w:r>
            <w:r>
              <w:rPr>
                <w:sz w:val="21"/>
              </w:rPr>
              <w:t>协议，对参加本项目服务的所有工作人员进行</w:t>
            </w:r>
            <w:r>
              <w:rPr>
                <w:sz w:val="21"/>
              </w:rPr>
              <w:t>守秘</w:t>
            </w:r>
            <w:r>
              <w:rPr>
                <w:sz w:val="21"/>
              </w:rPr>
              <w:t>教育，履行</w:t>
            </w:r>
            <w:r>
              <w:rPr>
                <w:sz w:val="21"/>
              </w:rPr>
              <w:t>守秘</w:t>
            </w:r>
            <w:r>
              <w:rPr>
                <w:sz w:val="21"/>
              </w:rPr>
              <w:t>义务。布展实施期间严格履行展品的清点、交接等相关手续，确保展品的安全保护。重要展品须陈列在具有保护功能的展柜和橱窗内。</w:t>
            </w:r>
          </w:p>
          <w:p>
            <w:pPr>
              <w:pStyle w:val="null3"/>
              <w:ind w:firstLine="420"/>
              <w:jc w:val="both"/>
            </w:pPr>
            <w:r>
              <w:rPr>
                <w:sz w:val="21"/>
              </w:rPr>
              <w:t>6.供应商须制定和落实安全生产及文明布展措施，布展实施期间须严格管理布展实施人员，保护好已完工成品，发生一切安全事故均由供应商自行负责。供应商应确保布展实施现场的清洁卫生，建筑垃圾须当日清理干净，不得留在现场过夜。布展实施时应做好对建筑物内其他非项目实施范围的保护工作，已完工项目未交付采购人之前，供应商负责保护工作，保护期间发生损坏，供应商自行予以修复，由此造成的费用增加由供应商承担。</w:t>
            </w:r>
          </w:p>
        </w:tc>
      </w:tr>
      <w:tr>
        <w:tc>
          <w:tcPr>
            <w:tcW w:type="dxa" w:w="2076"/>
          </w:tcPr>
          <w:p/>
        </w:tc>
        <w:tc>
          <w:tcPr>
            <w:tcW w:type="dxa" w:w="415"/>
          </w:tcPr>
          <w:p>
            <w:pPr>
              <w:pStyle w:val="null3"/>
            </w:pPr>
            <w:r>
              <w:rPr/>
              <w:t>5</w:t>
            </w:r>
          </w:p>
        </w:tc>
        <w:tc>
          <w:tcPr>
            <w:tcW w:type="dxa" w:w="5814"/>
          </w:tcPr>
          <w:p>
            <w:pPr>
              <w:pStyle w:val="null3"/>
              <w:jc w:val="both"/>
            </w:pPr>
            <w:r>
              <w:rPr>
                <w:sz w:val="21"/>
                <w:b/>
              </w:rPr>
              <w:t>五、具体内容</w:t>
            </w:r>
          </w:p>
          <w:p>
            <w:pPr>
              <w:pStyle w:val="null3"/>
              <w:jc w:val="both"/>
            </w:pPr>
            <w:r>
              <w:rPr>
                <w:sz w:val="21"/>
              </w:rPr>
              <w:t>（一）展览展示区策划大纲</w:t>
            </w:r>
          </w:p>
          <w:tbl>
            <w:tblPr>
              <w:tblInd w:type="dxa" w:w="120"/>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序厅</w:t>
                  </w:r>
                </w:p>
                <w:p>
                  <w:pPr>
                    <w:pStyle w:val="null3"/>
                    <w:jc w:val="both"/>
                  </w:pPr>
                  <w:r>
                    <w:rPr>
                      <w:sz w:val="21"/>
                    </w:rPr>
                    <w:t>1、前言</w:t>
                  </w:r>
                </w:p>
                <w:p>
                  <w:pPr>
                    <w:pStyle w:val="null3"/>
                    <w:jc w:val="both"/>
                  </w:pPr>
                  <w:r>
                    <w:rPr>
                      <w:sz w:val="21"/>
                    </w:rPr>
                    <w:t>2、主题形象墙</w:t>
                  </w:r>
                </w:p>
                <w:p>
                  <w:pPr>
                    <w:pStyle w:val="null3"/>
                    <w:jc w:val="both"/>
                  </w:pPr>
                  <w:r>
                    <w:rPr>
                      <w:sz w:val="21"/>
                    </w:rPr>
                    <w:t>3、发展历程</w:t>
                  </w:r>
                </w:p>
                <w:p>
                  <w:pPr>
                    <w:pStyle w:val="null3"/>
                    <w:jc w:val="both"/>
                  </w:pPr>
                  <w:r>
                    <w:rPr>
                      <w:sz w:val="21"/>
                    </w:rPr>
                    <w:t>1955年：广东教育行政学院成立</w:t>
                  </w:r>
                </w:p>
                <w:p>
                  <w:pPr>
                    <w:pStyle w:val="null3"/>
                    <w:jc w:val="both"/>
                  </w:pPr>
                  <w:r>
                    <w:rPr>
                      <w:sz w:val="21"/>
                    </w:rPr>
                    <w:t>1960年：广东教育学院，开启师范本科教育。</w:t>
                  </w:r>
                </w:p>
                <w:p>
                  <w:pPr>
                    <w:pStyle w:val="null3"/>
                    <w:jc w:val="both"/>
                  </w:pPr>
                  <w:r>
                    <w:rPr>
                      <w:sz w:val="21"/>
                    </w:rPr>
                    <w:t>1960年，广东工农师范学院并入。</w:t>
                  </w:r>
                </w:p>
                <w:p>
                  <w:pPr>
                    <w:pStyle w:val="null3"/>
                    <w:jc w:val="both"/>
                  </w:pPr>
                  <w:r>
                    <w:rPr>
                      <w:sz w:val="21"/>
                    </w:rPr>
                    <w:t>1971年：下放肇庆，组成肇庆地区师范学校</w:t>
                  </w:r>
                </w:p>
                <w:p>
                  <w:pPr>
                    <w:pStyle w:val="null3"/>
                    <w:jc w:val="both"/>
                  </w:pPr>
                  <w:r>
                    <w:rPr>
                      <w:sz w:val="21"/>
                    </w:rPr>
                    <w:t>1975年，肇庆地区师范学校升格为肇庆五七师范学院。</w:t>
                  </w:r>
                </w:p>
                <w:p>
                  <w:pPr>
                    <w:pStyle w:val="null3"/>
                    <w:jc w:val="both"/>
                  </w:pPr>
                  <w:r>
                    <w:rPr>
                      <w:sz w:val="21"/>
                    </w:rPr>
                    <w:t>1977年，改办为肇庆师范专科学校。</w:t>
                  </w:r>
                </w:p>
                <w:p>
                  <w:pPr>
                    <w:pStyle w:val="null3"/>
                    <w:jc w:val="both"/>
                  </w:pPr>
                  <w:r>
                    <w:rPr>
                      <w:sz w:val="21"/>
                    </w:rPr>
                    <w:t>1978年：肇庆地区五七师范学院(部分资源)改建(复校)为广东教育学院。</w:t>
                  </w:r>
                </w:p>
                <w:p>
                  <w:pPr>
                    <w:pStyle w:val="null3"/>
                    <w:jc w:val="both"/>
                  </w:pPr>
                  <w:r>
                    <w:rPr>
                      <w:sz w:val="21"/>
                    </w:rPr>
                    <w:t>1982年被确定为省属成人师范本科院校，并于同年开始举办成人师范本科教育。</w:t>
                  </w:r>
                </w:p>
                <w:p>
                  <w:pPr>
                    <w:pStyle w:val="null3"/>
                    <w:jc w:val="both"/>
                  </w:pPr>
                  <w:r>
                    <w:rPr>
                      <w:sz w:val="21"/>
                    </w:rPr>
                    <w:t>1992年，学校被授予全国成人高等教育先进单位。</w:t>
                  </w:r>
                </w:p>
                <w:p>
                  <w:pPr>
                    <w:pStyle w:val="null3"/>
                    <w:jc w:val="both"/>
                  </w:pPr>
                  <w:r>
                    <w:rPr>
                      <w:sz w:val="21"/>
                    </w:rPr>
                    <w:t>2003年4月，广东省教育厅批复同意该院创造条件改制为普通本科院校。</w:t>
                  </w:r>
                </w:p>
                <w:p>
                  <w:pPr>
                    <w:pStyle w:val="null3"/>
                    <w:jc w:val="both"/>
                  </w:pPr>
                  <w:r>
                    <w:rPr>
                      <w:sz w:val="21"/>
                    </w:rPr>
                    <w:t>2008年，学校举行“中华文化传承基地”挂牌仪式，学校是广东省首批“中华文化传承基地”之一。</w:t>
                  </w:r>
                </w:p>
                <w:p>
                  <w:pPr>
                    <w:pStyle w:val="null3"/>
                    <w:jc w:val="both"/>
                  </w:pPr>
                  <w:r>
                    <w:rPr>
                      <w:sz w:val="21"/>
                    </w:rPr>
                    <w:t>2010年：升格为广东第二师范学院，开启本科教育新篇章。</w:t>
                  </w:r>
                </w:p>
                <w:p>
                  <w:pPr>
                    <w:pStyle w:val="null3"/>
                    <w:jc w:val="both"/>
                  </w:pPr>
                  <w:r>
                    <w:rPr>
                      <w:sz w:val="21"/>
                    </w:rPr>
                    <w:t>2014，获省教育厅批准，系广东省首批核准章程的四所试点高校之一。</w:t>
                  </w:r>
                </w:p>
                <w:p>
                  <w:pPr>
                    <w:pStyle w:val="null3"/>
                    <w:jc w:val="both"/>
                  </w:pPr>
                  <w:r>
                    <w:rPr>
                      <w:sz w:val="21"/>
                    </w:rPr>
                    <w:t>2014年获得学士学位授予权。</w:t>
                  </w:r>
                </w:p>
                <w:p>
                  <w:pPr>
                    <w:pStyle w:val="null3"/>
                    <w:jc w:val="both"/>
                  </w:pPr>
                  <w:r>
                    <w:rPr>
                      <w:sz w:val="21"/>
                    </w:rPr>
                    <w:t>2018年通过教育部本科教学工作合格评估。</w:t>
                  </w:r>
                </w:p>
                <w:p>
                  <w:pPr>
                    <w:pStyle w:val="null3"/>
                    <w:jc w:val="both"/>
                  </w:pPr>
                  <w:r>
                    <w:rPr>
                      <w:sz w:val="21"/>
                    </w:rPr>
                    <w:t>2021年获批硕士学位立项建设单位</w:t>
                  </w:r>
                </w:p>
                <w:p>
                  <w:pPr>
                    <w:pStyle w:val="null3"/>
                    <w:jc w:val="both"/>
                  </w:pPr>
                  <w:r>
                    <w:rPr>
                      <w:sz w:val="21"/>
                    </w:rPr>
                    <w:t>2021入选教育部第二批人工智能助推教师队伍建设试点高校。</w:t>
                  </w:r>
                </w:p>
                <w:p>
                  <w:pPr>
                    <w:pStyle w:val="null3"/>
                    <w:jc w:val="both"/>
                  </w:pPr>
                  <w:r>
                    <w:rPr>
                      <w:sz w:val="21"/>
                    </w:rPr>
                    <w:t>2023年：发起“粤港澳大湾区教师教育联盟”，迈向国际化新征程。</w:t>
                  </w:r>
                </w:p>
                <w:p>
                  <w:pPr>
                    <w:pStyle w:val="null3"/>
                    <w:jc w:val="both"/>
                  </w:pPr>
                  <w:r>
                    <w:rPr>
                      <w:sz w:val="21"/>
                    </w:rPr>
                    <w:t>4、办学理念</w:t>
                  </w:r>
                </w:p>
                <w:p>
                  <w:pPr>
                    <w:pStyle w:val="null3"/>
                    <w:jc w:val="both"/>
                  </w:pPr>
                  <w:r>
                    <w:rPr>
                      <w:sz w:val="21"/>
                    </w:rPr>
                    <w:t>因基础教育而生、应基础教育而兴、为基础教育而谋。</w:t>
                  </w:r>
                </w:p>
                <w:p>
                  <w:pPr>
                    <w:pStyle w:val="null3"/>
                    <w:jc w:val="both"/>
                  </w:pPr>
                  <w:r>
                    <w:rPr>
                      <w:sz w:val="21"/>
                    </w:rPr>
                    <w:t>5、办学特色</w:t>
                  </w:r>
                </w:p>
                <w:p>
                  <w:pPr>
                    <w:pStyle w:val="null3"/>
                    <w:jc w:val="both"/>
                  </w:pPr>
                  <w:r>
                    <w:rPr>
                      <w:sz w:val="21"/>
                      <w:b/>
                    </w:rPr>
                    <w:t>校友之家</w:t>
                  </w:r>
                </w:p>
                <w:p>
                  <w:pPr>
                    <w:pStyle w:val="null3"/>
                    <w:jc w:val="both"/>
                  </w:pPr>
                  <w:r>
                    <w:rPr>
                      <w:sz w:val="21"/>
                    </w:rPr>
                    <w:t>一、杰出校友</w:t>
                  </w:r>
                </w:p>
                <w:p>
                  <w:pPr>
                    <w:pStyle w:val="null3"/>
                    <w:jc w:val="both"/>
                  </w:pPr>
                  <w:r>
                    <w:rPr>
                      <w:sz w:val="21"/>
                    </w:rPr>
                    <w:t>二、校友组织</w:t>
                  </w:r>
                </w:p>
                <w:p>
                  <w:pPr>
                    <w:pStyle w:val="null3"/>
                    <w:jc w:val="both"/>
                  </w:pPr>
                  <w:r>
                    <w:rPr>
                      <w:sz w:val="21"/>
                    </w:rPr>
                    <w:t>三、学子寻根</w:t>
                  </w:r>
                </w:p>
                <w:p>
                  <w:pPr>
                    <w:pStyle w:val="null3"/>
                    <w:jc w:val="both"/>
                  </w:pPr>
                  <w:r>
                    <w:rPr>
                      <w:sz w:val="21"/>
                    </w:rPr>
                    <w:t>四、校友寄语</w:t>
                  </w:r>
                </w:p>
                <w:p>
                  <w:pPr>
                    <w:pStyle w:val="null3"/>
                    <w:jc w:val="both"/>
                  </w:pPr>
                  <w:r>
                    <w:rPr>
                      <w:sz w:val="21"/>
                      <w:b/>
                    </w:rPr>
                    <w:t>历史厅</w:t>
                  </w:r>
                </w:p>
                <w:p>
                  <w:pPr>
                    <w:pStyle w:val="null3"/>
                    <w:jc w:val="both"/>
                  </w:pPr>
                  <w:r>
                    <w:rPr>
                      <w:sz w:val="21"/>
                    </w:rPr>
                    <w:t>第一单元初创时期（</w:t>
                  </w:r>
                  <w:r>
                    <w:rPr>
                      <w:sz w:val="21"/>
                    </w:rPr>
                    <w:t>1955-1970）</w:t>
                  </w:r>
                </w:p>
                <w:p>
                  <w:pPr>
                    <w:pStyle w:val="null3"/>
                    <w:jc w:val="both"/>
                  </w:pPr>
                  <w:r>
                    <w:rPr>
                      <w:sz w:val="21"/>
                    </w:rPr>
                    <w:t>第一节创业初期（</w:t>
                  </w:r>
                  <w:r>
                    <w:rPr>
                      <w:sz w:val="21"/>
                    </w:rPr>
                    <w:t>1955-1960）</w:t>
                  </w:r>
                </w:p>
                <w:p>
                  <w:pPr>
                    <w:pStyle w:val="null3"/>
                    <w:jc w:val="both"/>
                  </w:pPr>
                  <w:r>
                    <w:rPr>
                      <w:sz w:val="21"/>
                    </w:rPr>
                    <w:t>1.学校成立</w:t>
                  </w:r>
                </w:p>
                <w:p>
                  <w:pPr>
                    <w:pStyle w:val="null3"/>
                    <w:jc w:val="both"/>
                  </w:pPr>
                  <w:r>
                    <w:rPr>
                      <w:sz w:val="21"/>
                    </w:rPr>
                    <w:t>2.艰难起步</w:t>
                  </w:r>
                </w:p>
                <w:p>
                  <w:pPr>
                    <w:pStyle w:val="null3"/>
                    <w:jc w:val="both"/>
                  </w:pPr>
                  <w:r>
                    <w:rPr>
                      <w:sz w:val="21"/>
                    </w:rPr>
                    <w:t>（</w:t>
                  </w:r>
                  <w:r>
                    <w:rPr>
                      <w:sz w:val="21"/>
                    </w:rPr>
                    <w:t>1）校舍选址</w:t>
                  </w:r>
                </w:p>
                <w:p>
                  <w:pPr>
                    <w:pStyle w:val="null3"/>
                    <w:jc w:val="both"/>
                  </w:pPr>
                  <w:r>
                    <w:rPr>
                      <w:sz w:val="21"/>
                    </w:rPr>
                    <w:t>（</w:t>
                  </w:r>
                  <w:r>
                    <w:rPr>
                      <w:sz w:val="21"/>
                    </w:rPr>
                    <w:t>2）奠基者雕塑</w:t>
                  </w:r>
                </w:p>
                <w:p>
                  <w:pPr>
                    <w:pStyle w:val="null3"/>
                    <w:jc w:val="both"/>
                  </w:pPr>
                  <w:r>
                    <w:rPr>
                      <w:sz w:val="21"/>
                    </w:rPr>
                    <w:t>（</w:t>
                  </w:r>
                  <w:r>
                    <w:rPr>
                      <w:sz w:val="21"/>
                    </w:rPr>
                    <w:t>3）学员合影、毕业证书</w:t>
                  </w:r>
                </w:p>
                <w:p>
                  <w:pPr>
                    <w:pStyle w:val="null3"/>
                    <w:jc w:val="both"/>
                  </w:pPr>
                  <w:r>
                    <w:rPr>
                      <w:sz w:val="21"/>
                    </w:rPr>
                    <w:t>3.初育英才</w:t>
                  </w:r>
                </w:p>
                <w:p>
                  <w:pPr>
                    <w:pStyle w:val="null3"/>
                    <w:jc w:val="both"/>
                  </w:pPr>
                  <w:r>
                    <w:rPr>
                      <w:sz w:val="21"/>
                    </w:rPr>
                    <w:t>（</w:t>
                  </w:r>
                  <w:r>
                    <w:rPr>
                      <w:sz w:val="21"/>
                    </w:rPr>
                    <w:t>1）开设课程</w:t>
                  </w:r>
                </w:p>
                <w:p>
                  <w:pPr>
                    <w:pStyle w:val="null3"/>
                    <w:jc w:val="both"/>
                  </w:pPr>
                  <w:r>
                    <w:rPr>
                      <w:sz w:val="21"/>
                    </w:rPr>
                    <w:t>（</w:t>
                  </w:r>
                  <w:r>
                    <w:rPr>
                      <w:sz w:val="21"/>
                    </w:rPr>
                    <w:t>2）改造运动</w:t>
                  </w:r>
                </w:p>
                <w:p>
                  <w:pPr>
                    <w:pStyle w:val="null3"/>
                    <w:jc w:val="both"/>
                  </w:pPr>
                  <w:r>
                    <w:rPr>
                      <w:sz w:val="21"/>
                    </w:rPr>
                    <w:t>第二节更名改制（</w:t>
                  </w:r>
                  <w:r>
                    <w:rPr>
                      <w:sz w:val="21"/>
                    </w:rPr>
                    <w:t>1960-1970）</w:t>
                  </w:r>
                </w:p>
                <w:p>
                  <w:pPr>
                    <w:pStyle w:val="null3"/>
                    <w:jc w:val="both"/>
                  </w:pPr>
                  <w:r>
                    <w:rPr>
                      <w:sz w:val="21"/>
                    </w:rPr>
                    <w:t>1.更名改制</w:t>
                  </w:r>
                </w:p>
                <w:p>
                  <w:pPr>
                    <w:pStyle w:val="null3"/>
                    <w:jc w:val="both"/>
                  </w:pPr>
                  <w:r>
                    <w:rPr>
                      <w:sz w:val="21"/>
                    </w:rPr>
                    <w:t>2.迁址升级</w:t>
                  </w:r>
                </w:p>
                <w:p>
                  <w:pPr>
                    <w:pStyle w:val="null3"/>
                    <w:jc w:val="both"/>
                  </w:pPr>
                  <w:r>
                    <w:rPr>
                      <w:sz w:val="21"/>
                    </w:rPr>
                    <w:t>（</w:t>
                  </w:r>
                  <w:r>
                    <w:rPr>
                      <w:sz w:val="21"/>
                    </w:rPr>
                    <w:t>1）1962年迁入广州新港中路（现海珠校区）</w:t>
                  </w:r>
                </w:p>
                <w:p>
                  <w:pPr>
                    <w:pStyle w:val="null3"/>
                    <w:jc w:val="both"/>
                  </w:pPr>
                  <w:r>
                    <w:rPr>
                      <w:sz w:val="21"/>
                    </w:rPr>
                    <w:t>（</w:t>
                  </w:r>
                  <w:r>
                    <w:rPr>
                      <w:sz w:val="21"/>
                    </w:rPr>
                    <w:t>2）第一个研究机构——教育科学研究室的成立。</w:t>
                  </w:r>
                </w:p>
                <w:p>
                  <w:pPr>
                    <w:pStyle w:val="null3"/>
                    <w:jc w:val="both"/>
                  </w:pPr>
                  <w:r>
                    <w:rPr>
                      <w:sz w:val="21"/>
                    </w:rPr>
                    <w:t>第二单元动荡时期（</w:t>
                  </w:r>
                  <w:r>
                    <w:rPr>
                      <w:sz w:val="21"/>
                    </w:rPr>
                    <w:t>1970-1978）</w:t>
                  </w:r>
                </w:p>
                <w:p>
                  <w:pPr>
                    <w:pStyle w:val="null3"/>
                    <w:jc w:val="both"/>
                  </w:pPr>
                  <w:r>
                    <w:rPr>
                      <w:sz w:val="21"/>
                    </w:rPr>
                    <w:t>1.“文革”磨难</w:t>
                  </w:r>
                </w:p>
                <w:p>
                  <w:pPr>
                    <w:pStyle w:val="null3"/>
                    <w:jc w:val="both"/>
                  </w:pPr>
                  <w:r>
                    <w:rPr>
                      <w:sz w:val="21"/>
                    </w:rPr>
                    <w:t>（</w:t>
                  </w:r>
                  <w:r>
                    <w:rPr>
                      <w:sz w:val="21"/>
                    </w:rPr>
                    <w:t>1）干校磨炼</w:t>
                  </w:r>
                </w:p>
                <w:p>
                  <w:pPr>
                    <w:pStyle w:val="null3"/>
                    <w:jc w:val="both"/>
                  </w:pPr>
                  <w:r>
                    <w:rPr>
                      <w:sz w:val="21"/>
                    </w:rPr>
                    <w:t>（</w:t>
                  </w:r>
                  <w:r>
                    <w:rPr>
                      <w:sz w:val="21"/>
                    </w:rPr>
                    <w:t>2）迫迁高村</w:t>
                  </w:r>
                </w:p>
                <w:p>
                  <w:pPr>
                    <w:pStyle w:val="null3"/>
                    <w:jc w:val="both"/>
                  </w:pPr>
                  <w:r>
                    <w:rPr>
                      <w:sz w:val="21"/>
                    </w:rPr>
                    <w:t>2.矿场创业</w:t>
                  </w:r>
                </w:p>
                <w:p>
                  <w:pPr>
                    <w:pStyle w:val="null3"/>
                    <w:jc w:val="both"/>
                  </w:pPr>
                  <w:r>
                    <w:rPr>
                      <w:sz w:val="21"/>
                    </w:rPr>
                    <w:t>（</w:t>
                  </w:r>
                  <w:r>
                    <w:rPr>
                      <w:sz w:val="21"/>
                    </w:rPr>
                    <w:t>1）创办读书班</w:t>
                  </w:r>
                </w:p>
                <w:p>
                  <w:pPr>
                    <w:pStyle w:val="null3"/>
                    <w:jc w:val="both"/>
                  </w:pPr>
                  <w:r>
                    <w:rPr>
                      <w:sz w:val="21"/>
                    </w:rPr>
                    <w:t>（</w:t>
                  </w:r>
                  <w:r>
                    <w:rPr>
                      <w:sz w:val="21"/>
                    </w:rPr>
                    <w:t>2）建立肇庆师范学校</w:t>
                  </w:r>
                </w:p>
                <w:p>
                  <w:pPr>
                    <w:pStyle w:val="null3"/>
                    <w:jc w:val="both"/>
                  </w:pPr>
                  <w:r>
                    <w:rPr>
                      <w:sz w:val="21"/>
                    </w:rPr>
                    <w:t>3.改制发展</w:t>
                  </w:r>
                </w:p>
                <w:p>
                  <w:pPr>
                    <w:pStyle w:val="null3"/>
                    <w:jc w:val="both"/>
                  </w:pPr>
                  <w:r>
                    <w:rPr>
                      <w:sz w:val="21"/>
                    </w:rPr>
                    <w:t>（</w:t>
                  </w:r>
                  <w:r>
                    <w:rPr>
                      <w:sz w:val="21"/>
                    </w:rPr>
                    <w:t>1）改办为肇庆地区五七师范学院</w:t>
                  </w:r>
                </w:p>
                <w:p>
                  <w:pPr>
                    <w:pStyle w:val="null3"/>
                    <w:jc w:val="both"/>
                  </w:pPr>
                  <w:r>
                    <w:rPr>
                      <w:sz w:val="21"/>
                    </w:rPr>
                    <w:t>（</w:t>
                  </w:r>
                  <w:r>
                    <w:rPr>
                      <w:sz w:val="21"/>
                    </w:rPr>
                    <w:t>2）再次改办为肇庆师范专科学校</w:t>
                  </w:r>
                </w:p>
                <w:p>
                  <w:pPr>
                    <w:pStyle w:val="null3"/>
                    <w:jc w:val="both"/>
                  </w:pPr>
                  <w:r>
                    <w:rPr>
                      <w:sz w:val="21"/>
                    </w:rPr>
                    <w:t>第三单元恢复发展时期（</w:t>
                  </w:r>
                  <w:r>
                    <w:rPr>
                      <w:sz w:val="21"/>
                    </w:rPr>
                    <w:t>1978-1990）</w:t>
                  </w:r>
                </w:p>
                <w:p>
                  <w:pPr>
                    <w:pStyle w:val="null3"/>
                    <w:jc w:val="both"/>
                  </w:pPr>
                  <w:r>
                    <w:rPr>
                      <w:sz w:val="21"/>
                    </w:rPr>
                    <w:t>1.重返广州（1979-1981）</w:t>
                  </w:r>
                </w:p>
                <w:p>
                  <w:pPr>
                    <w:pStyle w:val="null3"/>
                    <w:jc w:val="both"/>
                  </w:pPr>
                  <w:r>
                    <w:rPr>
                      <w:sz w:val="21"/>
                    </w:rPr>
                    <w:t>2.规范管理（1982-1989）</w:t>
                  </w:r>
                </w:p>
                <w:p>
                  <w:pPr>
                    <w:pStyle w:val="null3"/>
                    <w:jc w:val="both"/>
                  </w:pPr>
                  <w:r>
                    <w:rPr>
                      <w:sz w:val="21"/>
                    </w:rPr>
                    <w:t>第四单元大跨越时期（</w:t>
                  </w:r>
                  <w:r>
                    <w:rPr>
                      <w:sz w:val="21"/>
                    </w:rPr>
                    <w:t>1990-2010）</w:t>
                  </w:r>
                </w:p>
                <w:p>
                  <w:pPr>
                    <w:pStyle w:val="null3"/>
                    <w:jc w:val="both"/>
                  </w:pPr>
                  <w:r>
                    <w:rPr>
                      <w:sz w:val="21"/>
                    </w:rPr>
                    <w:t>第一节在改革中创新（</w:t>
                  </w:r>
                  <w:r>
                    <w:rPr>
                      <w:sz w:val="21"/>
                    </w:rPr>
                    <w:t>1990-1995）</w:t>
                  </w:r>
                </w:p>
                <w:p>
                  <w:pPr>
                    <w:pStyle w:val="null3"/>
                    <w:jc w:val="both"/>
                  </w:pPr>
                  <w:r>
                    <w:rPr>
                      <w:sz w:val="21"/>
                    </w:rPr>
                    <w:t>1.立根铸魂启新程</w:t>
                  </w:r>
                </w:p>
                <w:p>
                  <w:pPr>
                    <w:pStyle w:val="null3"/>
                    <w:jc w:val="both"/>
                  </w:pPr>
                  <w:r>
                    <w:rPr>
                      <w:sz w:val="21"/>
                    </w:rPr>
                    <w:t>2.强师筑基塑师魂</w:t>
                  </w:r>
                </w:p>
                <w:p>
                  <w:pPr>
                    <w:pStyle w:val="null3"/>
                    <w:jc w:val="both"/>
                  </w:pPr>
                  <w:r>
                    <w:rPr>
                      <w:sz w:val="21"/>
                    </w:rPr>
                    <w:t>第二节多元发展（</w:t>
                  </w:r>
                  <w:r>
                    <w:rPr>
                      <w:sz w:val="21"/>
                    </w:rPr>
                    <w:t>1996-2010）</w:t>
                  </w:r>
                </w:p>
                <w:p>
                  <w:pPr>
                    <w:pStyle w:val="null3"/>
                    <w:jc w:val="both"/>
                  </w:pPr>
                  <w:r>
                    <w:rPr>
                      <w:sz w:val="21"/>
                    </w:rPr>
                    <w:t>1.多元化结合</w:t>
                  </w:r>
                </w:p>
                <w:p>
                  <w:pPr>
                    <w:pStyle w:val="null3"/>
                    <w:jc w:val="both"/>
                  </w:pPr>
                  <w:r>
                    <w:rPr>
                      <w:sz w:val="21"/>
                    </w:rPr>
                    <w:t>2.学历教育</w:t>
                  </w:r>
                </w:p>
                <w:p>
                  <w:pPr>
                    <w:pStyle w:val="null3"/>
                    <w:jc w:val="both"/>
                  </w:pPr>
                  <w:r>
                    <w:rPr>
                      <w:sz w:val="21"/>
                    </w:rPr>
                    <w:t>3.内部转型</w:t>
                  </w:r>
                </w:p>
                <w:p>
                  <w:pPr>
                    <w:pStyle w:val="null3"/>
                    <w:jc w:val="both"/>
                  </w:pPr>
                  <w:r>
                    <w:rPr>
                      <w:sz w:val="21"/>
                    </w:rPr>
                    <w:t>4.艰难改制迈新程</w:t>
                  </w:r>
                </w:p>
                <w:p>
                  <w:pPr>
                    <w:pStyle w:val="null3"/>
                    <w:jc w:val="both"/>
                  </w:pPr>
                  <w:r>
                    <w:rPr>
                      <w:sz w:val="21"/>
                    </w:rPr>
                    <w:t>第五单元突破创新时期（</w:t>
                  </w:r>
                  <w:r>
                    <w:rPr>
                      <w:sz w:val="21"/>
                    </w:rPr>
                    <w:t>2010至今）</w:t>
                  </w:r>
                </w:p>
                <w:p>
                  <w:pPr>
                    <w:pStyle w:val="null3"/>
                    <w:jc w:val="both"/>
                  </w:pPr>
                  <w:r>
                    <w:rPr>
                      <w:sz w:val="21"/>
                    </w:rPr>
                    <w:t>1.升级本科</w:t>
                  </w:r>
                </w:p>
                <w:p>
                  <w:pPr>
                    <w:pStyle w:val="null3"/>
                    <w:jc w:val="both"/>
                  </w:pPr>
                  <w:r>
                    <w:rPr>
                      <w:sz w:val="21"/>
                    </w:rPr>
                    <w:t>2.校区拓疆</w:t>
                  </w:r>
                </w:p>
                <w:p>
                  <w:pPr>
                    <w:pStyle w:val="null3"/>
                    <w:jc w:val="both"/>
                  </w:pPr>
                  <w:r>
                    <w:rPr>
                      <w:sz w:val="21"/>
                    </w:rPr>
                    <w:t>3.育才体系</w:t>
                  </w:r>
                </w:p>
                <w:p>
                  <w:pPr>
                    <w:pStyle w:val="null3"/>
                    <w:jc w:val="both"/>
                  </w:pPr>
                  <w:r>
                    <w:rPr>
                      <w:sz w:val="21"/>
                    </w:rPr>
                    <w:t>4.大学文化</w:t>
                  </w:r>
                </w:p>
                <w:p>
                  <w:pPr>
                    <w:pStyle w:val="null3"/>
                    <w:jc w:val="both"/>
                  </w:pPr>
                  <w:r>
                    <w:rPr>
                      <w:sz w:val="21"/>
                      <w:b/>
                    </w:rPr>
                    <w:t>成果厅</w:t>
                  </w:r>
                </w:p>
                <w:p>
                  <w:pPr>
                    <w:pStyle w:val="null3"/>
                    <w:jc w:val="both"/>
                  </w:pPr>
                  <w:r>
                    <w:rPr>
                      <w:sz w:val="21"/>
                    </w:rPr>
                    <w:t>第一单元：党建引领</w:t>
                  </w:r>
                </w:p>
                <w:p>
                  <w:pPr>
                    <w:pStyle w:val="null3"/>
                    <w:jc w:val="both"/>
                  </w:pPr>
                  <w:r>
                    <w:rPr>
                      <w:sz w:val="21"/>
                    </w:rPr>
                    <w:t>一、现任领导班子</w:t>
                  </w:r>
                </w:p>
                <w:p>
                  <w:pPr>
                    <w:pStyle w:val="null3"/>
                    <w:jc w:val="both"/>
                  </w:pPr>
                  <w:r>
                    <w:rPr>
                      <w:sz w:val="21"/>
                    </w:rPr>
                    <w:t>二、党团活动</w:t>
                  </w:r>
                </w:p>
                <w:p>
                  <w:pPr>
                    <w:pStyle w:val="null3"/>
                    <w:jc w:val="both"/>
                  </w:pPr>
                  <w:r>
                    <w:rPr>
                      <w:sz w:val="21"/>
                    </w:rPr>
                    <w:t>三、思政协同</w:t>
                  </w:r>
                </w:p>
                <w:p>
                  <w:pPr>
                    <w:pStyle w:val="null3"/>
                    <w:jc w:val="both"/>
                  </w:pPr>
                  <w:r>
                    <w:rPr>
                      <w:sz w:val="21"/>
                    </w:rPr>
                    <w:t>第二单元：人才培养</w:t>
                  </w:r>
                </w:p>
                <w:p>
                  <w:pPr>
                    <w:pStyle w:val="null3"/>
                    <w:jc w:val="both"/>
                  </w:pPr>
                  <w:r>
                    <w:rPr>
                      <w:sz w:val="21"/>
                    </w:rPr>
                    <w:t>一、特色培养</w:t>
                  </w:r>
                </w:p>
                <w:p>
                  <w:pPr>
                    <w:pStyle w:val="null3"/>
                    <w:jc w:val="both"/>
                  </w:pPr>
                  <w:r>
                    <w:rPr>
                      <w:sz w:val="21"/>
                    </w:rPr>
                    <w:t>1、学历教育</w:t>
                  </w:r>
                </w:p>
                <w:p>
                  <w:pPr>
                    <w:pStyle w:val="null3"/>
                    <w:jc w:val="both"/>
                  </w:pPr>
                  <w:r>
                    <w:rPr>
                      <w:sz w:val="21"/>
                    </w:rPr>
                    <w:t>(一)坚持标准引领</w:t>
                  </w:r>
                </w:p>
                <w:p>
                  <w:pPr>
                    <w:pStyle w:val="null3"/>
                    <w:jc w:val="both"/>
                  </w:pPr>
                  <w:r>
                    <w:rPr>
                      <w:sz w:val="21"/>
                    </w:rPr>
                    <w:t>(二)深化产出导向</w:t>
                  </w:r>
                </w:p>
                <w:p>
                  <w:pPr>
                    <w:pStyle w:val="null3"/>
                    <w:jc w:val="both"/>
                  </w:pPr>
                  <w:r>
                    <w:rPr>
                      <w:sz w:val="21"/>
                    </w:rPr>
                    <w:t>(三)强化实践育人</w:t>
                  </w:r>
                </w:p>
                <w:p>
                  <w:pPr>
                    <w:pStyle w:val="null3"/>
                    <w:jc w:val="both"/>
                  </w:pPr>
                  <w:r>
                    <w:rPr>
                      <w:sz w:val="21"/>
                    </w:rPr>
                    <w:t>(四)注重技术赋能</w:t>
                  </w:r>
                </w:p>
                <w:p>
                  <w:pPr>
                    <w:pStyle w:val="null3"/>
                    <w:jc w:val="both"/>
                  </w:pPr>
                  <w:r>
                    <w:rPr>
                      <w:sz w:val="21"/>
                    </w:rPr>
                    <w:t>2、继续教育——成人教育学院</w:t>
                  </w:r>
                </w:p>
                <w:p>
                  <w:pPr>
                    <w:pStyle w:val="null3"/>
                    <w:jc w:val="both"/>
                  </w:pPr>
                  <w:r>
                    <w:rPr>
                      <w:sz w:val="21"/>
                    </w:rPr>
                    <w:t>3、网络教育——人工智能＋教育</w:t>
                  </w:r>
                </w:p>
                <w:p>
                  <w:pPr>
                    <w:pStyle w:val="null3"/>
                    <w:jc w:val="both"/>
                  </w:pPr>
                  <w:r>
                    <w:rPr>
                      <w:sz w:val="21"/>
                    </w:rPr>
                    <w:t>二、师资队伍</w:t>
                  </w:r>
                </w:p>
                <w:p>
                  <w:pPr>
                    <w:pStyle w:val="null3"/>
                    <w:jc w:val="both"/>
                  </w:pPr>
                  <w:r>
                    <w:rPr>
                      <w:sz w:val="21"/>
                    </w:rPr>
                    <w:t>1、师资情况</w:t>
                  </w:r>
                </w:p>
                <w:p>
                  <w:pPr>
                    <w:pStyle w:val="null3"/>
                    <w:jc w:val="both"/>
                  </w:pPr>
                  <w:r>
                    <w:rPr>
                      <w:sz w:val="21"/>
                    </w:rPr>
                    <w:t>2、院士名师</w:t>
                  </w:r>
                </w:p>
                <w:p>
                  <w:pPr>
                    <w:pStyle w:val="null3"/>
                    <w:jc w:val="both"/>
                  </w:pPr>
                  <w:r>
                    <w:rPr>
                      <w:sz w:val="21"/>
                    </w:rPr>
                    <w:t>3、青年学者</w:t>
                  </w:r>
                </w:p>
                <w:p>
                  <w:pPr>
                    <w:pStyle w:val="null3"/>
                    <w:jc w:val="both"/>
                  </w:pPr>
                  <w:r>
                    <w:rPr>
                      <w:sz w:val="21"/>
                    </w:rPr>
                    <w:t>三、竞赛风采</w:t>
                  </w:r>
                </w:p>
                <w:p>
                  <w:pPr>
                    <w:pStyle w:val="null3"/>
                    <w:jc w:val="both"/>
                  </w:pPr>
                  <w:r>
                    <w:rPr>
                      <w:sz w:val="21"/>
                    </w:rPr>
                    <w:t>第三单元：科研创新</w:t>
                  </w:r>
                </w:p>
                <w:p>
                  <w:pPr>
                    <w:pStyle w:val="null3"/>
                    <w:jc w:val="both"/>
                  </w:pPr>
                  <w:r>
                    <w:rPr>
                      <w:sz w:val="21"/>
                    </w:rPr>
                    <w:t>一、学科建设</w:t>
                  </w:r>
                </w:p>
                <w:p>
                  <w:pPr>
                    <w:pStyle w:val="null3"/>
                    <w:jc w:val="both"/>
                  </w:pPr>
                  <w:r>
                    <w:rPr>
                      <w:sz w:val="21"/>
                    </w:rPr>
                    <w:t>1、建设概况</w:t>
                  </w:r>
                </w:p>
                <w:p>
                  <w:pPr>
                    <w:pStyle w:val="null3"/>
                    <w:jc w:val="both"/>
                  </w:pPr>
                  <w:r>
                    <w:rPr>
                      <w:sz w:val="21"/>
                    </w:rPr>
                    <w:t>2、重点学科</w:t>
                  </w:r>
                </w:p>
                <w:p>
                  <w:pPr>
                    <w:pStyle w:val="null3"/>
                    <w:jc w:val="both"/>
                  </w:pPr>
                  <w:r>
                    <w:rPr>
                      <w:sz w:val="21"/>
                    </w:rPr>
                    <w:t>二、科研平台</w:t>
                  </w:r>
                </w:p>
                <w:p>
                  <w:pPr>
                    <w:pStyle w:val="null3"/>
                    <w:jc w:val="both"/>
                  </w:pPr>
                  <w:r>
                    <w:rPr>
                      <w:sz w:val="21"/>
                    </w:rPr>
                    <w:t>三、科研成果</w:t>
                  </w:r>
                </w:p>
                <w:p>
                  <w:pPr>
                    <w:pStyle w:val="null3"/>
                    <w:jc w:val="both"/>
                  </w:pPr>
                  <w:r>
                    <w:rPr>
                      <w:sz w:val="21"/>
                    </w:rPr>
                    <w:t>四、产教融合</w:t>
                  </w:r>
                </w:p>
                <w:p>
                  <w:pPr>
                    <w:pStyle w:val="null3"/>
                    <w:jc w:val="both"/>
                  </w:pPr>
                  <w:r>
                    <w:rPr>
                      <w:sz w:val="21"/>
                    </w:rPr>
                    <w:t>第四单元社会服务</w:t>
                  </w:r>
                </w:p>
                <w:p>
                  <w:pPr>
                    <w:pStyle w:val="null3"/>
                    <w:jc w:val="both"/>
                  </w:pPr>
                  <w:r>
                    <w:rPr>
                      <w:sz w:val="21"/>
                    </w:rPr>
                    <w:t>一、教育帮扶</w:t>
                  </w:r>
                </w:p>
                <w:p>
                  <w:pPr>
                    <w:pStyle w:val="null3"/>
                    <w:jc w:val="both"/>
                  </w:pPr>
                  <w:r>
                    <w:rPr>
                      <w:sz w:val="21"/>
                    </w:rPr>
                    <w:t>二、志愿公益</w:t>
                  </w:r>
                </w:p>
                <w:p>
                  <w:pPr>
                    <w:pStyle w:val="null3"/>
                    <w:jc w:val="both"/>
                  </w:pPr>
                  <w:r>
                    <w:rPr>
                      <w:sz w:val="21"/>
                    </w:rPr>
                    <w:t>三、产学研用</w:t>
                  </w:r>
                </w:p>
                <w:p>
                  <w:pPr>
                    <w:pStyle w:val="null3"/>
                    <w:jc w:val="both"/>
                  </w:pPr>
                  <w:r>
                    <w:rPr>
                      <w:sz w:val="21"/>
                    </w:rPr>
                    <w:t>第五单元辐射国际，开放办学</w:t>
                  </w:r>
                </w:p>
                <w:p>
                  <w:pPr>
                    <w:pStyle w:val="null3"/>
                    <w:jc w:val="both"/>
                  </w:pPr>
                  <w:r>
                    <w:rPr>
                      <w:sz w:val="21"/>
                    </w:rPr>
                    <w:t>一、国际交流</w:t>
                  </w:r>
                </w:p>
                <w:p>
                  <w:pPr>
                    <w:pStyle w:val="null3"/>
                    <w:jc w:val="both"/>
                  </w:pPr>
                  <w:r>
                    <w:rPr>
                      <w:sz w:val="21"/>
                    </w:rPr>
                    <w:t>二、国际合作</w:t>
                  </w:r>
                </w:p>
                <w:p>
                  <w:pPr>
                    <w:pStyle w:val="null3"/>
                    <w:jc w:val="both"/>
                  </w:pPr>
                  <w:r>
                    <w:rPr>
                      <w:sz w:val="21"/>
                    </w:rPr>
                    <w:t>第六单元校园文化</w:t>
                  </w:r>
                </w:p>
                <w:p>
                  <w:pPr>
                    <w:pStyle w:val="null3"/>
                    <w:jc w:val="both"/>
                  </w:pPr>
                  <w:r>
                    <w:rPr>
                      <w:sz w:val="21"/>
                    </w:rPr>
                    <w:t>一、校园风光</w:t>
                  </w:r>
                </w:p>
                <w:p>
                  <w:pPr>
                    <w:pStyle w:val="null3"/>
                    <w:jc w:val="both"/>
                  </w:pPr>
                  <w:r>
                    <w:rPr>
                      <w:sz w:val="21"/>
                    </w:rPr>
                    <w:t>二、文艺活动</w:t>
                  </w:r>
                </w:p>
                <w:p>
                  <w:pPr>
                    <w:pStyle w:val="null3"/>
                    <w:jc w:val="both"/>
                  </w:pPr>
                  <w:r>
                    <w:rPr>
                      <w:sz w:val="21"/>
                    </w:rPr>
                    <w:t>1.文艺晚会</w:t>
                  </w:r>
                </w:p>
                <w:p>
                  <w:pPr>
                    <w:pStyle w:val="null3"/>
                    <w:jc w:val="both"/>
                  </w:pPr>
                  <w:r>
                    <w:rPr>
                      <w:sz w:val="21"/>
                    </w:rPr>
                    <w:t>2.校运会风采</w:t>
                  </w:r>
                </w:p>
                <w:p>
                  <w:pPr>
                    <w:pStyle w:val="null3"/>
                    <w:jc w:val="both"/>
                  </w:pPr>
                  <w:r>
                    <w:rPr>
                      <w:sz w:val="21"/>
                    </w:rPr>
                    <w:t>3.社团展示</w:t>
                  </w:r>
                </w:p>
                <w:p>
                  <w:pPr>
                    <w:pStyle w:val="null3"/>
                    <w:jc w:val="both"/>
                  </w:pPr>
                  <w:r>
                    <w:rPr>
                      <w:sz w:val="21"/>
                    </w:rPr>
                    <w:t>4.升旗活动</w:t>
                  </w:r>
                </w:p>
                <w:p>
                  <w:pPr>
                    <w:pStyle w:val="null3"/>
                    <w:jc w:val="both"/>
                  </w:pPr>
                  <w:r>
                    <w:rPr>
                      <w:sz w:val="21"/>
                    </w:rPr>
                    <w:t>5.美育艺术节</w:t>
                  </w:r>
                </w:p>
                <w:p>
                  <w:pPr>
                    <w:pStyle w:val="null3"/>
                    <w:jc w:val="both"/>
                  </w:pPr>
                  <w:r>
                    <w:rPr>
                      <w:sz w:val="21"/>
                    </w:rPr>
                    <w:t>三、体育赛事</w:t>
                  </w:r>
                </w:p>
                <w:p>
                  <w:pPr>
                    <w:pStyle w:val="null3"/>
                    <w:jc w:val="both"/>
                  </w:pPr>
                  <w:r>
                    <w:rPr>
                      <w:sz w:val="21"/>
                    </w:rPr>
                    <w:t>1.游泳比赛</w:t>
                  </w:r>
                </w:p>
                <w:p>
                  <w:pPr>
                    <w:pStyle w:val="null3"/>
                    <w:jc w:val="both"/>
                  </w:pPr>
                  <w:r>
                    <w:rPr>
                      <w:sz w:val="21"/>
                    </w:rPr>
                    <w:t>2.足球赛事</w:t>
                  </w:r>
                </w:p>
                <w:p>
                  <w:pPr>
                    <w:pStyle w:val="null3"/>
                    <w:jc w:val="both"/>
                  </w:pPr>
                  <w:r>
                    <w:rPr>
                      <w:sz w:val="21"/>
                    </w:rPr>
                    <w:t>3.篮球赛事</w:t>
                  </w:r>
                </w:p>
                <w:p>
                  <w:pPr>
                    <w:pStyle w:val="null3"/>
                    <w:jc w:val="both"/>
                  </w:pPr>
                  <w:r>
                    <w:rPr>
                      <w:sz w:val="21"/>
                      <w:b/>
                    </w:rPr>
                    <w:t>尾厅</w:t>
                  </w:r>
                </w:p>
                <w:p>
                  <w:pPr>
                    <w:pStyle w:val="null3"/>
                    <w:jc w:val="both"/>
                  </w:pPr>
                  <w:r>
                    <w:rPr>
                      <w:sz w:val="21"/>
                    </w:rPr>
                    <w:t>1、未来规划</w:t>
                  </w:r>
                </w:p>
                <w:p>
                  <w:pPr>
                    <w:pStyle w:val="null3"/>
                    <w:jc w:val="both"/>
                  </w:pPr>
                  <w:r>
                    <w:rPr>
                      <w:sz w:val="21"/>
                    </w:rPr>
                    <w:t>2、沉浸式多媒体</w:t>
                  </w:r>
                </w:p>
                <w:p>
                  <w:pPr>
                    <w:pStyle w:val="null3"/>
                    <w:jc w:val="both"/>
                  </w:pPr>
                  <w:r>
                    <w:rPr>
                      <w:sz w:val="21"/>
                    </w:rPr>
                    <w:t>3、结语</w:t>
                  </w:r>
                </w:p>
              </w:tc>
            </w:tr>
          </w:tbl>
          <w:p/>
        </w:tc>
      </w:tr>
      <w:tr>
        <w:tc>
          <w:tcPr>
            <w:tcW w:type="dxa" w:w="2076"/>
          </w:tcPr>
          <w:p/>
        </w:tc>
        <w:tc>
          <w:tcPr>
            <w:tcW w:type="dxa" w:w="415"/>
          </w:tcPr>
          <w:p>
            <w:pPr>
              <w:pStyle w:val="null3"/>
            </w:pPr>
            <w:r>
              <w:rPr/>
              <w:t>6</w:t>
            </w:r>
          </w:p>
        </w:tc>
        <w:tc>
          <w:tcPr>
            <w:tcW w:type="dxa" w:w="5814"/>
          </w:tcPr>
          <w:p>
            <w:pPr>
              <w:pStyle w:val="null3"/>
              <w:jc w:val="both"/>
            </w:pPr>
            <w:r>
              <w:rPr>
                <w:sz w:val="21"/>
                <w:b/>
              </w:rPr>
              <w:t>六、空间布局规划</w:t>
            </w:r>
          </w:p>
          <w:p>
            <w:pPr>
              <w:pStyle w:val="null3"/>
              <w:jc w:val="both"/>
            </w:pPr>
            <w:r>
              <w:rPr>
                <w:sz w:val="21"/>
              </w:rPr>
              <w:t>（一）校史馆与校友之家内部建筑面积约</w:t>
            </w:r>
            <w:r>
              <w:rPr>
                <w:sz w:val="21"/>
              </w:rPr>
              <w:t>900m²（校史馆740m²含走廊、电梯井，校友之家160m²）。平面图如下：</w:t>
            </w:r>
          </w:p>
          <w:p>
            <w:pPr>
              <w:pStyle w:val="null3"/>
              <w:jc w:val="both"/>
            </w:pPr>
            <w:r>
              <w:drawing>
                <wp:inline distT="0" distR="0" distB="0" distL="0">
                  <wp:extent cx="3554730" cy="80674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806747"/>
                          </a:xfrm>
                          <a:prstGeom prst="rect">
                            <a:avLst/>
                          </a:prstGeom>
                        </pic:spPr>
                      </pic:pic>
                    </a:graphicData>
                  </a:graphic>
                </wp:inline>
              </w:drawing>
            </w:r>
          </w:p>
          <w:p>
            <w:pPr>
              <w:pStyle w:val="null3"/>
              <w:jc w:val="both"/>
            </w:pPr>
            <w:r>
              <w:rPr>
                <w:sz w:val="21"/>
                <w:b/>
              </w:rPr>
              <w:t>（二）展陈</w:t>
            </w:r>
            <w:r>
              <w:rPr>
                <w:sz w:val="21"/>
                <w:b/>
              </w:rPr>
              <w:t>空间</w:t>
            </w:r>
          </w:p>
          <w:p>
            <w:pPr>
              <w:pStyle w:val="null3"/>
              <w:jc w:val="both"/>
            </w:pPr>
            <w:r>
              <w:rPr>
                <w:sz w:val="21"/>
              </w:rPr>
              <w:t>1.实施范围</w:t>
            </w:r>
          </w:p>
          <w:tbl>
            <w:tblPr>
              <w:tblBorders>
                <w:top w:val="none" w:color="000000" w:sz="4"/>
                <w:left w:val="none" w:color="000000" w:sz="4"/>
                <w:bottom w:val="none" w:color="000000" w:sz="4"/>
                <w:right w:val="none" w:color="000000" w:sz="4"/>
                <w:insideH w:val="none"/>
                <w:insideV w:val="none"/>
              </w:tblBorders>
            </w:tblPr>
            <w:tblGrid>
              <w:gridCol w:w="1031"/>
              <w:gridCol w:w="605"/>
              <w:gridCol w:w="838"/>
              <w:gridCol w:w="3119"/>
            </w:tblGrid>
            <w:tr>
              <w:tc>
                <w:tcPr>
                  <w:tcW w:type="dxa" w:w="103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名称</w:t>
                  </w:r>
                </w:p>
              </w:tc>
              <w:tc>
                <w:tcPr>
                  <w:tcW w:type="dxa" w:w="60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楼层</w:t>
                  </w:r>
                </w:p>
              </w:tc>
              <w:tc>
                <w:tcPr>
                  <w:tcW w:type="dxa" w:w="83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面积</w:t>
                  </w:r>
                </w:p>
                <w:p>
                  <w:pPr>
                    <w:pStyle w:val="null3"/>
                    <w:jc w:val="both"/>
                  </w:pPr>
                  <w:r>
                    <w:rPr>
                      <w:sz w:val="21"/>
                    </w:rPr>
                    <w:t>（㎡）</w:t>
                  </w:r>
                </w:p>
              </w:tc>
              <w:tc>
                <w:tcPr>
                  <w:tcW w:type="dxa" w:w="311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实施内容</w:t>
                  </w:r>
                </w:p>
              </w:tc>
            </w:tr>
            <w:tr>
              <w:tc>
                <w:tcPr>
                  <w:tcW w:type="dxa" w:w="10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校史馆（含走廊、电梯井）</w:t>
                  </w:r>
                </w:p>
              </w:tc>
              <w:tc>
                <w:tcPr>
                  <w:tcW w:type="dxa" w:w="6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8楼</w:t>
                  </w:r>
                </w:p>
              </w:tc>
              <w:tc>
                <w:tcPr>
                  <w:tcW w:type="dxa" w:w="83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740</w:t>
                  </w:r>
                </w:p>
              </w:tc>
              <w:tc>
                <w:tcPr>
                  <w:tcW w:type="dxa" w:w="311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①展厅基础装修深化设计方案优化；</w:t>
                  </w:r>
                </w:p>
                <w:p>
                  <w:pPr>
                    <w:pStyle w:val="null3"/>
                    <w:jc w:val="both"/>
                  </w:pPr>
                  <w:r>
                    <w:rPr>
                      <w:sz w:val="21"/>
                    </w:rPr>
                    <w:t>②基础装修工程的深化设计与落地制作，包括但不限于顶地墙及门窗等内部装饰制作，水电安装、弱电改造与建设；</w:t>
                  </w:r>
                </w:p>
                <w:p>
                  <w:pPr>
                    <w:pStyle w:val="null3"/>
                    <w:jc w:val="both"/>
                  </w:pPr>
                  <w:r>
                    <w:rPr>
                      <w:sz w:val="21"/>
                    </w:rPr>
                    <w:t>③基础陈列布展工作的实施制作，包括但不限于展览设备（含展柜、悬挂式移动展板、照明、展具等）、多媒体系统（含硬件设备、软件内容等）等的深化设计、购置、制作、安装、调试、集成。</w:t>
                  </w:r>
                </w:p>
                <w:p>
                  <w:pPr>
                    <w:pStyle w:val="null3"/>
                    <w:jc w:val="both"/>
                  </w:pPr>
                  <w:r>
                    <w:rPr>
                      <w:sz w:val="21"/>
                    </w:rPr>
                    <w:t>④布展陈列设计与布展制作，包括但不限于空间设计、平面设计（含展标、标题版、图文版面、展示说明牌等）、辅助展品、辅助展项、多媒体展项（含硬件设备、软件内容）、展具、宣传视频及物料等的设计、创作、购置、制作、安装、调试、集成。</w:t>
                  </w:r>
                </w:p>
              </w:tc>
            </w:tr>
          </w:tbl>
          <w:p>
            <w:pPr>
              <w:pStyle w:val="null3"/>
              <w:jc w:val="both"/>
            </w:pPr>
            <w:r>
              <w:rPr>
                <w:sz w:val="21"/>
                <w:b/>
              </w:rPr>
              <w:t>（</w:t>
            </w:r>
            <w:r>
              <w:rPr>
                <w:sz w:val="21"/>
                <w:b/>
              </w:rPr>
              <w:t>三</w:t>
            </w:r>
            <w:r>
              <w:rPr>
                <w:sz w:val="21"/>
                <w:b/>
              </w:rPr>
              <w:t>）功能区域</w:t>
            </w:r>
          </w:p>
          <w:p>
            <w:pPr>
              <w:pStyle w:val="null3"/>
              <w:jc w:val="both"/>
            </w:pPr>
            <w:r>
              <w:rPr>
                <w:sz w:val="21"/>
              </w:rPr>
              <w:t>1.实施范围</w:t>
            </w:r>
          </w:p>
          <w:tbl>
            <w:tblPr>
              <w:tblBorders>
                <w:top w:val="none" w:color="000000" w:sz="4"/>
                <w:left w:val="none" w:color="000000" w:sz="4"/>
                <w:bottom w:val="none" w:color="000000" w:sz="4"/>
                <w:right w:val="none" w:color="000000" w:sz="4"/>
                <w:insideH w:val="none"/>
                <w:insideV w:val="none"/>
              </w:tblBorders>
            </w:tblPr>
            <w:tblGrid>
              <w:gridCol w:w="1033"/>
              <w:gridCol w:w="592"/>
              <w:gridCol w:w="840"/>
              <w:gridCol w:w="3127"/>
            </w:tblGrid>
            <w:tr>
              <w:tc>
                <w:tcPr>
                  <w:tcW w:type="dxa" w:w="103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名称</w:t>
                  </w:r>
                </w:p>
              </w:tc>
              <w:tc>
                <w:tcPr>
                  <w:tcW w:type="dxa" w:w="59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楼层</w:t>
                  </w:r>
                </w:p>
              </w:tc>
              <w:tc>
                <w:tcPr>
                  <w:tcW w:type="dxa" w:w="84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面积（㎡）</w:t>
                  </w:r>
                </w:p>
              </w:tc>
              <w:tc>
                <w:tcPr>
                  <w:tcW w:type="dxa" w:w="312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实施内容</w:t>
                  </w:r>
                </w:p>
              </w:tc>
            </w:tr>
            <w:tr>
              <w:tc>
                <w:tcPr>
                  <w:tcW w:type="dxa" w:w="103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校友之家</w:t>
                  </w:r>
                </w:p>
              </w:tc>
              <w:tc>
                <w:tcPr>
                  <w:tcW w:type="dxa" w:w="5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8楼</w:t>
                  </w:r>
                </w:p>
              </w:tc>
              <w:tc>
                <w:tcPr>
                  <w:tcW w:type="dxa" w:w="8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160</w:t>
                  </w:r>
                </w:p>
              </w:tc>
              <w:tc>
                <w:tcPr>
                  <w:tcW w:type="dxa" w:w="31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①深化设计方案优化；</w:t>
                  </w:r>
                </w:p>
                <w:p>
                  <w:pPr>
                    <w:pStyle w:val="null3"/>
                    <w:jc w:val="both"/>
                  </w:pPr>
                  <w:r>
                    <w:rPr>
                      <w:sz w:val="21"/>
                    </w:rPr>
                    <w:t>②基础装修工程的深化设计与落地制作，包括但不限于顶地墙及门窗等内部装饰制作，水电安装、弱电改造，与项目实施相关的家具定制（如定制墙柜等）深化设计、创作、购置、制作、安装、调试、集成。</w:t>
                  </w:r>
                </w:p>
              </w:tc>
            </w:tr>
          </w:tbl>
          <w:p/>
        </w:tc>
      </w:tr>
      <w:tr>
        <w:tc>
          <w:tcPr>
            <w:tcW w:type="dxa" w:w="2076"/>
          </w:tcPr>
          <w:p/>
        </w:tc>
        <w:tc>
          <w:tcPr>
            <w:tcW w:type="dxa" w:w="415"/>
          </w:tcPr>
          <w:p>
            <w:pPr>
              <w:pStyle w:val="null3"/>
            </w:pPr>
            <w:r>
              <w:rPr/>
              <w:t>7</w:t>
            </w:r>
          </w:p>
        </w:tc>
        <w:tc>
          <w:tcPr>
            <w:tcW w:type="dxa" w:w="5814"/>
          </w:tcPr>
          <w:p>
            <w:pPr>
              <w:pStyle w:val="null3"/>
              <w:jc w:val="both"/>
            </w:pPr>
            <w:r>
              <w:rPr>
                <w:sz w:val="21"/>
                <w:b/>
              </w:rPr>
              <w:t>七、深化设计方案要求</w:t>
            </w:r>
          </w:p>
          <w:p>
            <w:pPr>
              <w:pStyle w:val="null3"/>
              <w:ind w:firstLine="420"/>
              <w:jc w:val="both"/>
            </w:pPr>
            <w:r>
              <w:rPr>
                <w:sz w:val="21"/>
              </w:rPr>
              <w:t>深化设计方案需符合受众需求，忠实于展陈大纲及展陈文本，应准确、深刻理解展览主题和内容，体现先进的展陈设计理念。深化设计方案应包括设计说明、校史馆与校友之家深化设计、设计工作评审三项。</w:t>
            </w:r>
          </w:p>
          <w:p>
            <w:pPr>
              <w:pStyle w:val="null3"/>
              <w:jc w:val="both"/>
            </w:pPr>
            <w:r>
              <w:rPr>
                <w:sz w:val="21"/>
                <w:b/>
              </w:rPr>
              <w:t>（一）设计说明</w:t>
            </w:r>
          </w:p>
          <w:p>
            <w:pPr>
              <w:pStyle w:val="null3"/>
              <w:ind w:firstLine="420"/>
              <w:jc w:val="both"/>
            </w:pPr>
            <w:r>
              <w:rPr>
                <w:sz w:val="21"/>
              </w:rPr>
              <w:t>1.总体原则</w:t>
            </w:r>
          </w:p>
          <w:p>
            <w:pPr>
              <w:pStyle w:val="null3"/>
              <w:ind w:firstLine="420"/>
              <w:jc w:val="both"/>
            </w:pPr>
            <w:r>
              <w:rPr>
                <w:sz w:val="21"/>
              </w:rPr>
              <w:t>（</w:t>
            </w:r>
            <w:r>
              <w:rPr>
                <w:sz w:val="21"/>
              </w:rPr>
              <w:t>1）展陈空间及功能区域的设计应主题鲜明、重点突出、结构合理、布局协调、动线流畅、制作精良，需以人为本，充分考虑受众的基本需求。</w:t>
            </w:r>
          </w:p>
          <w:p>
            <w:pPr>
              <w:pStyle w:val="null3"/>
              <w:ind w:firstLine="420"/>
              <w:jc w:val="both"/>
            </w:pPr>
            <w:r>
              <w:rPr>
                <w:sz w:val="21"/>
              </w:rPr>
              <w:t>（</w:t>
            </w:r>
            <w:r>
              <w:rPr>
                <w:sz w:val="21"/>
              </w:rPr>
              <w:t>2）在充分考虑经济合理、耐用性的前提下，合理运用声、光、电和影视合成、计算机等现代技术及多种先进表现手法，加强内容的表现力和感染力，适当运用多媒体、场景复原、艺术造型、互动装置等高技术手段打造令人耳目一新的展项，增强观众的参与感与体验感。</w:t>
            </w:r>
          </w:p>
          <w:p>
            <w:pPr>
              <w:pStyle w:val="null3"/>
              <w:ind w:firstLine="420"/>
              <w:jc w:val="both"/>
            </w:pPr>
            <w:r>
              <w:rPr>
                <w:sz w:val="21"/>
              </w:rPr>
              <w:t>（</w:t>
            </w:r>
            <w:r>
              <w:rPr>
                <w:sz w:val="21"/>
              </w:rPr>
              <w:t>3）对展陈空间及重点功能区域的照明灯光进行设计，在大幅度提高展示形式与内容感染力的同时，平衡展示效果与观众参观舒适度二者间的关系。</w:t>
            </w:r>
          </w:p>
          <w:p>
            <w:pPr>
              <w:pStyle w:val="null3"/>
              <w:ind w:firstLine="420"/>
              <w:jc w:val="both"/>
            </w:pPr>
            <w:r>
              <w:rPr>
                <w:sz w:val="21"/>
              </w:rPr>
              <w:t>（</w:t>
            </w:r>
            <w:r>
              <w:rPr>
                <w:sz w:val="21"/>
              </w:rPr>
              <w:t>4）在实现基本需求的基础上，应力求实现功能的创新突破，但所采用的技术应为成熟可靠技术以及成熟产品设备，降低新技术带来的风险。充分考虑售后维修的便捷，并提供维修保养方案。设计制作材料和工艺选择应成熟合理、安全、经久耐用并符合文物安全及环境保护要求，具有环保性和节能性，兼顾展览后期日常维护和适当调整的便利性，部分空间及展品要能够根据不同的需要进行可操作性的调整。</w:t>
            </w:r>
          </w:p>
          <w:p>
            <w:pPr>
              <w:pStyle w:val="null3"/>
              <w:ind w:firstLine="420"/>
              <w:jc w:val="both"/>
            </w:pPr>
            <w:r>
              <w:rPr>
                <w:sz w:val="21"/>
              </w:rPr>
              <w:t>（</w:t>
            </w:r>
            <w:r>
              <w:rPr>
                <w:sz w:val="21"/>
              </w:rPr>
              <w:t>5）深化设计方案应包含清晰详尽的设计说明，包括但不限于：项目背景、设计理念、展陈主题、展陈内容体系、空间布局规划及参观动线、创意亮点、空间效果及展项描述、空间材料与工艺运用说明，及其它必要说明。</w:t>
            </w:r>
          </w:p>
          <w:p>
            <w:pPr>
              <w:pStyle w:val="null3"/>
              <w:ind w:firstLine="420"/>
              <w:jc w:val="both"/>
            </w:pPr>
            <w:r>
              <w:rPr>
                <w:sz w:val="21"/>
              </w:rPr>
              <w:t>2.空间规划</w:t>
            </w:r>
          </w:p>
          <w:p>
            <w:pPr>
              <w:pStyle w:val="null3"/>
              <w:jc w:val="both"/>
            </w:pPr>
            <w:r>
              <w:rPr>
                <w:sz w:val="21"/>
              </w:rPr>
              <w:t>空间效果的体现要与设计内容相一致，符合展览主题，适合观众审美取向；充分利用现有场馆面积，科学合理地划分公共空间，将各部分内容的平面布局和面积分配；做到展厅平面设计与参观流线设计的规划设计合理。</w:t>
            </w:r>
          </w:p>
          <w:p>
            <w:pPr>
              <w:pStyle w:val="null3"/>
              <w:ind w:firstLine="420"/>
              <w:jc w:val="both"/>
            </w:pPr>
            <w:r>
              <w:rPr>
                <w:sz w:val="21"/>
              </w:rPr>
              <w:t>3.重点</w:t>
            </w:r>
          </w:p>
          <w:p>
            <w:pPr>
              <w:pStyle w:val="null3"/>
              <w:jc w:val="both"/>
            </w:pPr>
            <w:r>
              <w:rPr>
                <w:sz w:val="21"/>
              </w:rPr>
              <w:t>通过对展览传播目的、主题和内容分析，准确理解和把握展览的重点和亮点，通过数字化展示的艺术表现手段体现展览的知识点和信息点。</w:t>
            </w:r>
          </w:p>
          <w:p>
            <w:pPr>
              <w:pStyle w:val="null3"/>
              <w:ind w:firstLine="420"/>
              <w:jc w:val="both"/>
            </w:pPr>
            <w:r>
              <w:rPr>
                <w:sz w:val="21"/>
              </w:rPr>
              <w:t>4.陈列设备</w:t>
            </w:r>
          </w:p>
          <w:p>
            <w:pPr>
              <w:pStyle w:val="null3"/>
              <w:ind w:firstLine="420"/>
              <w:jc w:val="both"/>
            </w:pPr>
            <w:r>
              <w:rPr>
                <w:sz w:val="21"/>
              </w:rPr>
              <w:t>设计展具、数字化展示等陈列用设施设备，应具备前瞻性、科学性、安全性和稳定性，技术成熟，维护便捷，造价合理，应达到国内先进水平。</w:t>
            </w:r>
          </w:p>
          <w:p>
            <w:pPr>
              <w:pStyle w:val="null3"/>
              <w:jc w:val="both"/>
            </w:pPr>
            <w:r>
              <w:rPr>
                <w:sz w:val="21"/>
                <w:b/>
              </w:rPr>
              <w:t>（二）校史馆与校友之家深化设计</w:t>
            </w:r>
          </w:p>
          <w:p>
            <w:pPr>
              <w:pStyle w:val="null3"/>
              <w:ind w:firstLine="420"/>
              <w:jc w:val="both"/>
            </w:pPr>
            <w:r>
              <w:rPr>
                <w:sz w:val="21"/>
              </w:rPr>
              <w:t>1.深化设计是对已有概念设计方案的优化、完善和具体化，包括环境造型、色彩材质、视觉传达设计（平面设计）、展柜、照明、展板展墙、展品及辅助展品、辅助展项、场景、艺术品及装置、展具、多媒体系统（含软硬件）等，其设计应符合人体工程学的要求。</w:t>
            </w:r>
          </w:p>
          <w:p>
            <w:pPr>
              <w:pStyle w:val="null3"/>
              <w:ind w:firstLine="420"/>
              <w:jc w:val="both"/>
            </w:pPr>
            <w:r>
              <w:rPr>
                <w:sz w:val="21"/>
              </w:rPr>
              <w:t>2.供应商根据采购人提供的布展大纲，进行内容扩充；供应商应通过（不限于）采购人的图书馆、档案馆、社会流通平台等方式，去挖掘学校图片、史料、实物；填充布展大纲，达到逻辑严谨、图文清晰、内容填充合理的平面设计要求；</w:t>
            </w:r>
          </w:p>
          <w:p>
            <w:pPr>
              <w:pStyle w:val="null3"/>
              <w:ind w:firstLine="420"/>
              <w:jc w:val="both"/>
            </w:pPr>
            <w:r>
              <w:rPr>
                <w:sz w:val="21"/>
              </w:rPr>
              <w:t>3.深化设计图纸包括表现性图纸和施工图纸，需根据国家及地区相关法律法规、行业规范标准、建筑制图标准进行施工图编制，达到国家室内装修和施工图设计深度，并可用于直接指导实施建设。</w:t>
            </w:r>
          </w:p>
          <w:p>
            <w:pPr>
              <w:pStyle w:val="null3"/>
              <w:jc w:val="both"/>
            </w:pPr>
            <w:r>
              <w:rPr>
                <w:sz w:val="21"/>
              </w:rPr>
              <w:t>应提供包括但不限于以下各种材料：</w:t>
            </w:r>
          </w:p>
          <w:p>
            <w:pPr>
              <w:pStyle w:val="null3"/>
              <w:ind w:firstLine="420"/>
              <w:jc w:val="both"/>
            </w:pPr>
            <w:r>
              <w:rPr>
                <w:sz w:val="21"/>
              </w:rPr>
              <w:t>（</w:t>
            </w:r>
            <w:r>
              <w:rPr>
                <w:sz w:val="21"/>
              </w:rPr>
              <w:t>1）设计总说明书、各专业设计说明书、设备材料表和技术要求书、工程量清单及时间计划表、施工图预算书；</w:t>
            </w:r>
          </w:p>
          <w:p>
            <w:pPr>
              <w:pStyle w:val="null3"/>
              <w:ind w:firstLine="420"/>
              <w:jc w:val="both"/>
            </w:pPr>
            <w:r>
              <w:rPr>
                <w:sz w:val="21"/>
              </w:rPr>
              <w:t>（</w:t>
            </w:r>
            <w:r>
              <w:rPr>
                <w:sz w:val="21"/>
              </w:rPr>
              <w:t>2）展陈空间功能流线分析图、平面布置图、天花图、室内立面图、构造大样图等；</w:t>
            </w:r>
          </w:p>
          <w:p>
            <w:pPr>
              <w:pStyle w:val="null3"/>
              <w:ind w:firstLine="420"/>
              <w:jc w:val="both"/>
            </w:pPr>
            <w:r>
              <w:rPr>
                <w:sz w:val="21"/>
              </w:rPr>
              <w:t>（</w:t>
            </w:r>
            <w:r>
              <w:rPr>
                <w:sz w:val="21"/>
              </w:rPr>
              <w:t>3）展陈空间重要位置的剖面图、立面图，以及其它能清晰反映思路和形式的相关图纸；</w:t>
            </w:r>
          </w:p>
          <w:p>
            <w:pPr>
              <w:pStyle w:val="null3"/>
              <w:ind w:firstLine="420"/>
              <w:jc w:val="both"/>
            </w:pPr>
            <w:r>
              <w:rPr>
                <w:sz w:val="21"/>
              </w:rPr>
              <w:t>（</w:t>
            </w:r>
            <w:r>
              <w:rPr>
                <w:sz w:val="21"/>
              </w:rPr>
              <w:t>4）节点大样图（应真实反映材料、色彩及空间环境、基底构造说明和详细构造图）；</w:t>
            </w:r>
          </w:p>
          <w:p>
            <w:pPr>
              <w:pStyle w:val="null3"/>
              <w:ind w:firstLine="420"/>
              <w:jc w:val="both"/>
            </w:pPr>
            <w:r>
              <w:rPr>
                <w:sz w:val="21"/>
              </w:rPr>
              <w:t>（</w:t>
            </w:r>
            <w:r>
              <w:rPr>
                <w:sz w:val="21"/>
              </w:rPr>
              <w:t>5）展柜、展架、展台等构造详图；</w:t>
            </w:r>
          </w:p>
          <w:p>
            <w:pPr>
              <w:pStyle w:val="null3"/>
              <w:ind w:firstLine="420"/>
              <w:jc w:val="both"/>
            </w:pPr>
            <w:r>
              <w:rPr>
                <w:sz w:val="21"/>
              </w:rPr>
              <w:t>（</w:t>
            </w:r>
            <w:r>
              <w:rPr>
                <w:sz w:val="21"/>
              </w:rPr>
              <w:t>6）辅助展项、艺术品及装置设计、制作图纸及技术说明，需要设计小稿和（或）实物小样供确认；</w:t>
            </w:r>
          </w:p>
          <w:p>
            <w:pPr>
              <w:pStyle w:val="null3"/>
              <w:ind w:firstLine="420"/>
              <w:jc w:val="both"/>
            </w:pPr>
            <w:r>
              <w:rPr>
                <w:sz w:val="21"/>
              </w:rPr>
              <w:t>（</w:t>
            </w:r>
            <w:r>
              <w:rPr>
                <w:sz w:val="21"/>
              </w:rPr>
              <w:t>7）电气设计图，含配电系统图、线路图、末端设备定位图、照明系统图、设备清单表等；</w:t>
            </w:r>
          </w:p>
          <w:p>
            <w:pPr>
              <w:pStyle w:val="null3"/>
              <w:ind w:firstLine="420"/>
              <w:jc w:val="both"/>
            </w:pPr>
            <w:r>
              <w:rPr>
                <w:sz w:val="21"/>
              </w:rPr>
              <w:t>（</w:t>
            </w:r>
            <w:r>
              <w:rPr>
                <w:sz w:val="21"/>
              </w:rPr>
              <w:t>8）多媒体展项设计图，含系统图、线路图、末端设备定位图、设备清单表等；</w:t>
            </w:r>
          </w:p>
          <w:p>
            <w:pPr>
              <w:pStyle w:val="null3"/>
              <w:ind w:firstLine="420"/>
              <w:jc w:val="both"/>
            </w:pPr>
            <w:r>
              <w:rPr>
                <w:sz w:val="21"/>
              </w:rPr>
              <w:t>（</w:t>
            </w:r>
            <w:r>
              <w:rPr>
                <w:sz w:val="21"/>
              </w:rPr>
              <w:t>9）版式设计图，含展板位置平面图、版式设计构造大样图、版式总体图、各版式图、版式清单（含展板版面编号、规格大小、材质说明等具体信息说明）；</w:t>
            </w:r>
          </w:p>
          <w:p>
            <w:pPr>
              <w:pStyle w:val="null3"/>
              <w:ind w:firstLine="420"/>
              <w:jc w:val="both"/>
            </w:pPr>
            <w:r>
              <w:rPr>
                <w:sz w:val="21"/>
              </w:rPr>
              <w:t>（</w:t>
            </w:r>
            <w:r>
              <w:rPr>
                <w:sz w:val="21"/>
              </w:rPr>
              <w:t>10）多媒体数字内容设计书，含影片分镜脚本、互动脚本、UI界面设计图、设备清单图等；</w:t>
            </w:r>
          </w:p>
          <w:p>
            <w:pPr>
              <w:pStyle w:val="null3"/>
              <w:ind w:firstLine="420"/>
              <w:jc w:val="both"/>
            </w:pPr>
            <w:r>
              <w:rPr>
                <w:sz w:val="21"/>
              </w:rPr>
              <w:t>（</w:t>
            </w:r>
            <w:r>
              <w:rPr>
                <w:sz w:val="21"/>
              </w:rPr>
              <w:t>11）展具设计、制作图纸及技术说明；</w:t>
            </w:r>
          </w:p>
          <w:p>
            <w:pPr>
              <w:pStyle w:val="null3"/>
              <w:ind w:firstLine="420"/>
              <w:jc w:val="both"/>
            </w:pPr>
            <w:r>
              <w:rPr>
                <w:sz w:val="21"/>
              </w:rPr>
              <w:t>（</w:t>
            </w:r>
            <w:r>
              <w:rPr>
                <w:sz w:val="21"/>
              </w:rPr>
              <w:t>12）深化设计结束后，提供完整版的设计成果图纸，包含：空间效果图、施工图、预算编制书（同步提供相对应的电子版文件，文件以</w:t>
            </w:r>
            <w:r>
              <w:rPr>
                <w:sz w:val="21"/>
              </w:rPr>
              <w:t>AutoCAD</w:t>
            </w:r>
            <w:r>
              <w:rPr>
                <w:sz w:val="21"/>
              </w:rPr>
              <w:t>版本、</w:t>
            </w:r>
            <w:r>
              <w:rPr>
                <w:sz w:val="21"/>
              </w:rPr>
              <w:t>文本以</w:t>
            </w:r>
            <w:r>
              <w:rPr>
                <w:sz w:val="21"/>
              </w:rPr>
              <w:t>doc格式</w:t>
            </w:r>
            <w:r>
              <w:rPr>
                <w:sz w:val="21"/>
              </w:rPr>
              <w:t>、</w:t>
            </w:r>
            <w:r>
              <w:rPr>
                <w:sz w:val="21"/>
              </w:rPr>
              <w:t>图片以</w:t>
            </w:r>
            <w:r>
              <w:rPr>
                <w:sz w:val="21"/>
              </w:rPr>
              <w:t>jpg格式</w:t>
            </w:r>
            <w:r>
              <w:rPr>
                <w:sz w:val="21"/>
              </w:rPr>
              <w:t>、预算以广联达</w:t>
            </w:r>
            <w:r>
              <w:rPr>
                <w:sz w:val="21"/>
              </w:rPr>
              <w:t>GBQ格式）内容提交于采购人审核。</w:t>
            </w:r>
          </w:p>
          <w:p>
            <w:pPr>
              <w:pStyle w:val="null3"/>
              <w:jc w:val="both"/>
            </w:pPr>
            <w:r>
              <w:rPr>
                <w:sz w:val="21"/>
                <w:b/>
              </w:rPr>
              <w:t>（三）设计工作评审</w:t>
            </w:r>
          </w:p>
          <w:p>
            <w:pPr>
              <w:pStyle w:val="null3"/>
              <w:ind w:firstLine="420"/>
              <w:jc w:val="both"/>
            </w:pPr>
            <w:r>
              <w:rPr>
                <w:sz w:val="21"/>
              </w:rPr>
              <w:t>设计内容、效果及可行性方面，按照采购人要求，由采购人组织会审，并根据采购人会审意见进行修改和完善。如需根据有关部门要求进行各类审查，供应商需配合采购人进行方案报审，并根据要求修改完善设计方案。设计图纸和施工图纸及相关审查文件经采购人确认后，方可实施，供应商按照最终确定的设计图和施工图进行实施，合同总价不因此而调整。</w:t>
            </w:r>
          </w:p>
        </w:tc>
      </w:tr>
      <w:tr>
        <w:tc>
          <w:tcPr>
            <w:tcW w:type="dxa" w:w="2076"/>
          </w:tcPr>
          <w:p/>
        </w:tc>
        <w:tc>
          <w:tcPr>
            <w:tcW w:type="dxa" w:w="415"/>
          </w:tcPr>
          <w:p>
            <w:pPr>
              <w:pStyle w:val="null3"/>
            </w:pPr>
            <w:r>
              <w:rPr/>
              <w:t>8</w:t>
            </w:r>
          </w:p>
        </w:tc>
        <w:tc>
          <w:tcPr>
            <w:tcW w:type="dxa" w:w="5814"/>
          </w:tcPr>
          <w:p>
            <w:pPr>
              <w:pStyle w:val="null3"/>
              <w:jc w:val="both"/>
            </w:pPr>
            <w:r>
              <w:rPr>
                <w:sz w:val="21"/>
                <w:b/>
              </w:rPr>
              <w:t>八、技术要求</w:t>
            </w:r>
          </w:p>
          <w:p>
            <w:pPr>
              <w:pStyle w:val="null3"/>
              <w:ind w:firstLine="420"/>
              <w:jc w:val="both"/>
            </w:pPr>
            <w:r>
              <w:rPr>
                <w:sz w:val="21"/>
              </w:rPr>
              <w:t>在装饰材料、展柜、展板展墙、展品及辅助展品、辅助展项、展具、灯光、多媒体系统等主要材料物质和设施设备的选用时，使用质量可靠、技术成熟的材料物质与设施设备，并提供相应的质检报告和环保检测报告。</w:t>
            </w:r>
          </w:p>
          <w:p>
            <w:pPr>
              <w:pStyle w:val="null3"/>
              <w:ind w:firstLine="420"/>
              <w:jc w:val="both"/>
            </w:pPr>
            <w:r>
              <w:rPr>
                <w:sz w:val="21"/>
              </w:rPr>
              <w:t>视觉传达设计（平面设计）制作、艺术品与装置制作、场景复原及创作、展品与辅助展品采购及制作、辅助展项制作、多媒体数字内容制作等内容实施前，供应商须提供设计制作文件和（或）实体样品并经过采购人审核确认后，方可实施。</w:t>
            </w:r>
          </w:p>
          <w:p>
            <w:pPr>
              <w:pStyle w:val="null3"/>
              <w:ind w:firstLine="420"/>
              <w:jc w:val="both"/>
            </w:pPr>
            <w:r>
              <w:rPr>
                <w:sz w:val="21"/>
              </w:rPr>
              <w:t>在项目实施过程中，供应商应按照合同签订时要求的国家标准和规范以及采购人、供应商及行业、企业等有效的标准、规范执行（没有国家标准、规范但有行业标准、规范的，执行约定适用行业标准、规范；没有国家和行业标准、规范的，执行约定适用项目所在地地方标准、规范），相关的标准、规范与经批准的项目设计文件规定存在不一致时，以标准、规范中最高者为准。项目质量要求需达到同类型项目专业技术的最高质量要求。为达到整个项目的高水平，应首先考虑采用该类产品、材料的最高质量标准。</w:t>
            </w:r>
          </w:p>
        </w:tc>
      </w:tr>
      <w:tr>
        <w:tc>
          <w:tcPr>
            <w:tcW w:type="dxa" w:w="2076"/>
          </w:tcPr>
          <w:p/>
        </w:tc>
        <w:tc>
          <w:tcPr>
            <w:tcW w:type="dxa" w:w="415"/>
          </w:tcPr>
          <w:p>
            <w:pPr>
              <w:pStyle w:val="null3"/>
            </w:pPr>
            <w:r>
              <w:rPr/>
              <w:t>9</w:t>
            </w:r>
          </w:p>
        </w:tc>
        <w:tc>
          <w:tcPr>
            <w:tcW w:type="dxa" w:w="5814"/>
          </w:tcPr>
          <w:p>
            <w:pPr>
              <w:pStyle w:val="null3"/>
              <w:jc w:val="both"/>
            </w:pPr>
            <w:r>
              <w:rPr>
                <w:sz w:val="21"/>
                <w:b/>
              </w:rPr>
              <w:t>九、</w:t>
            </w:r>
            <w:r>
              <w:rPr>
                <w:sz w:val="21"/>
                <w:b/>
              </w:rPr>
              <w:t>施工要求</w:t>
            </w:r>
          </w:p>
          <w:p>
            <w:pPr>
              <w:pStyle w:val="null3"/>
              <w:jc w:val="both"/>
            </w:pPr>
            <w:r>
              <w:rPr>
                <w:sz w:val="21"/>
                <w:b/>
              </w:rPr>
              <w:t>（一）项目实施场地情况及要求</w:t>
            </w:r>
          </w:p>
          <w:p>
            <w:pPr>
              <w:pStyle w:val="null3"/>
              <w:ind w:firstLine="420"/>
              <w:jc w:val="both"/>
            </w:pPr>
            <w:r>
              <w:rPr>
                <w:sz w:val="21"/>
              </w:rPr>
              <w:t>1.材料堆场设置：材料堆场应设置在供应商的承包区域范围内。室外临时堆放场的设置应服从采购人或监理单位管理。</w:t>
            </w:r>
          </w:p>
          <w:p>
            <w:pPr>
              <w:pStyle w:val="null3"/>
              <w:ind w:firstLine="420"/>
              <w:jc w:val="both"/>
            </w:pPr>
            <w:r>
              <w:rPr>
                <w:sz w:val="21"/>
              </w:rPr>
              <w:t>2.服从采购人或监理单位的总体协调管理，做好与其他专业单位的交叉施工与协调管理工作，按各专业工种界面做到有序施工。</w:t>
            </w:r>
          </w:p>
          <w:p>
            <w:pPr>
              <w:pStyle w:val="null3"/>
              <w:ind w:firstLine="420"/>
              <w:jc w:val="both"/>
            </w:pPr>
            <w:r>
              <w:rPr>
                <w:sz w:val="21"/>
              </w:rPr>
              <w:t>3.成品保护，在施工过程中，对于由土建总包单位及其他专业单位已完成的工程，供应商需要对成品采取妥善保护措施，供应商的承包区域范围内供应商承担成品保护责任，避免造成损毁或破坏，影响结构和观感质量。若因布展工程实施对成品造成损毁或破坏的，相应损失由布展实施单位承担。</w:t>
            </w:r>
          </w:p>
          <w:p>
            <w:pPr>
              <w:pStyle w:val="null3"/>
              <w:ind w:firstLine="420"/>
              <w:jc w:val="both"/>
            </w:pPr>
            <w:r>
              <w:rPr>
                <w:sz w:val="21"/>
              </w:rPr>
              <w:t>4.项目移交工作中，除按相关工程移交管理办法执行外，展陈实施单位须向业主进行全面的技术交底，包括以下但不限于设备使用和维护培训、易损及应急材料配备、较易发生各类安全隐患部位及防范措施等。</w:t>
            </w:r>
          </w:p>
          <w:p>
            <w:pPr>
              <w:pStyle w:val="null3"/>
              <w:jc w:val="both"/>
            </w:pPr>
            <w:r>
              <w:rPr>
                <w:sz w:val="21"/>
                <w:b/>
              </w:rPr>
              <w:t>（二）确保工程质量的措施</w:t>
            </w:r>
          </w:p>
          <w:p>
            <w:pPr>
              <w:pStyle w:val="null3"/>
              <w:ind w:firstLine="420"/>
              <w:jc w:val="both"/>
            </w:pPr>
            <w:r>
              <w:rPr>
                <w:sz w:val="21"/>
              </w:rPr>
              <w:t>1.建立健全结构，装修从材料、半成品、成品进场，施工安装直至交付验收的质量保证体系，并落实到人。</w:t>
            </w:r>
          </w:p>
          <w:p>
            <w:pPr>
              <w:pStyle w:val="null3"/>
              <w:ind w:firstLine="420"/>
              <w:jc w:val="both"/>
            </w:pPr>
            <w:r>
              <w:rPr>
                <w:sz w:val="21"/>
              </w:rPr>
              <w:t>2.严格贯彻“把关”和“积极预防”相结合的质量管理方法，坚持预先定标准、定样板、定材料、定做法，手续要齐全。凡进场材料、半成品和加工品都要实行验收手续，索要合格证或检测报告书，无合格证或外观不符合标准者不得进场。</w:t>
            </w:r>
          </w:p>
          <w:p>
            <w:pPr>
              <w:pStyle w:val="null3"/>
              <w:ind w:firstLine="420"/>
              <w:jc w:val="both"/>
            </w:pPr>
            <w:r>
              <w:rPr>
                <w:sz w:val="21"/>
              </w:rPr>
              <w:t>3.以工艺卡、大样图和样板作为技术交底的主要手段，凡是无工艺卡或书面交底的项目，施工员可拒绝施工。</w:t>
            </w:r>
          </w:p>
          <w:p>
            <w:pPr>
              <w:pStyle w:val="null3"/>
              <w:ind w:firstLine="420"/>
              <w:jc w:val="both"/>
            </w:pPr>
            <w:r>
              <w:rPr>
                <w:sz w:val="21"/>
              </w:rPr>
              <w:t>4.所有参加装修施工的技术员、施工员都要预审和熟悉图纸及洽商记录。</w:t>
            </w:r>
          </w:p>
          <w:p>
            <w:pPr>
              <w:pStyle w:val="null3"/>
              <w:ind w:firstLine="420"/>
              <w:jc w:val="both"/>
            </w:pPr>
            <w:r>
              <w:rPr>
                <w:sz w:val="21"/>
              </w:rPr>
              <w:t>5.实行全面质量管理、文明施工，整个工程提前组织培训，统一思想，熟悉操作。</w:t>
            </w:r>
          </w:p>
          <w:p>
            <w:pPr>
              <w:pStyle w:val="null3"/>
              <w:ind w:firstLine="420"/>
              <w:jc w:val="both"/>
            </w:pPr>
            <w:r>
              <w:rPr>
                <w:sz w:val="21"/>
              </w:rPr>
              <w:t>6.按进度计划施工，严格技术管理，当进度与质量发生矛盾时，要服从质量。</w:t>
            </w:r>
          </w:p>
          <w:p>
            <w:pPr>
              <w:pStyle w:val="null3"/>
              <w:ind w:firstLine="420"/>
              <w:jc w:val="both"/>
            </w:pPr>
            <w:r>
              <w:rPr>
                <w:sz w:val="21"/>
              </w:rPr>
              <w:t>7.强调装修项目的基层施工质量，基层要做到平整、垂直和阴阳角方正，保证饰面层质量。</w:t>
            </w:r>
          </w:p>
          <w:p>
            <w:pPr>
              <w:pStyle w:val="null3"/>
              <w:ind w:firstLine="420"/>
              <w:jc w:val="both"/>
            </w:pPr>
            <w:r>
              <w:rPr>
                <w:sz w:val="21"/>
              </w:rPr>
              <w:t>8.加强质量监督检查，采取专业检查与自检相结合的检查方法，并以自检为主，坚持贯彻执行自检、互检、交接检的三检制度与挂牌制度，对工程质量要求一丝不苟。</w:t>
            </w:r>
          </w:p>
          <w:p>
            <w:pPr>
              <w:pStyle w:val="null3"/>
              <w:jc w:val="both"/>
            </w:pPr>
            <w:r>
              <w:rPr>
                <w:sz w:val="21"/>
                <w:b/>
              </w:rPr>
              <w:t>（三）确保工期的措施</w:t>
            </w:r>
          </w:p>
          <w:p>
            <w:pPr>
              <w:pStyle w:val="null3"/>
              <w:ind w:firstLine="420"/>
              <w:jc w:val="both"/>
            </w:pPr>
            <w:r>
              <w:rPr>
                <w:sz w:val="21"/>
              </w:rPr>
              <w:t>因本项设计除装饰装修还有多专业的协同配合，在确保质量的要求下对工期进度的控制不但是在本布展服务的阶段性工期中，对场外加工进度亦有同样要求，要在保证安全的基础上，确保施工进度，以总进度网络图为依据，按不同施工阶段、不同专业工种分解为不同的进度分目标，以各项技术、管理措施为保证手段，进行施工全过程的动态控制。</w:t>
            </w:r>
          </w:p>
          <w:p>
            <w:pPr>
              <w:pStyle w:val="null3"/>
              <w:ind w:firstLine="420"/>
              <w:jc w:val="both"/>
            </w:pPr>
            <w:r>
              <w:rPr>
                <w:sz w:val="21"/>
              </w:rPr>
              <w:t>1.进度控制的方法</w:t>
            </w:r>
          </w:p>
          <w:p>
            <w:pPr>
              <w:pStyle w:val="null3"/>
              <w:ind w:firstLine="420"/>
              <w:jc w:val="both"/>
            </w:pPr>
            <w:r>
              <w:rPr>
                <w:sz w:val="21"/>
              </w:rPr>
              <w:t>（</w:t>
            </w:r>
            <w:r>
              <w:rPr>
                <w:sz w:val="21"/>
              </w:rPr>
              <w:t>1</w:t>
            </w:r>
            <w:r>
              <w:rPr>
                <w:sz w:val="21"/>
              </w:rPr>
              <w:t>）</w:t>
            </w:r>
            <w:r>
              <w:rPr>
                <w:sz w:val="21"/>
              </w:rPr>
              <w:t>按施工阶段分解，突出控制节点以关键线路和次关键线路为线索，以网格计划中的起止点、日程为控制点，在不同施工阶段确定重点控制对象，制定施工细则，达到保证控制节点的实现</w:t>
            </w:r>
          </w:p>
          <w:p>
            <w:pPr>
              <w:pStyle w:val="null3"/>
              <w:ind w:firstLine="420"/>
              <w:jc w:val="both"/>
            </w:pPr>
            <w:r>
              <w:rPr>
                <w:sz w:val="21"/>
              </w:rPr>
              <w:t>（</w:t>
            </w:r>
            <w:r>
              <w:rPr>
                <w:sz w:val="21"/>
              </w:rPr>
              <w:t>2）</w:t>
            </w:r>
            <w:r>
              <w:rPr>
                <w:sz w:val="21"/>
              </w:rPr>
              <w:t>明确分部目标以总进度网格为依据，明确各个单位的工作目标，通过全面责任书落实责任，以分头实现稳中有降的分部目标来确保总目标的实现。</w:t>
            </w:r>
          </w:p>
          <w:p>
            <w:pPr>
              <w:pStyle w:val="null3"/>
              <w:ind w:firstLine="420"/>
              <w:jc w:val="both"/>
            </w:pPr>
            <w:r>
              <w:rPr>
                <w:sz w:val="21"/>
              </w:rPr>
              <w:t>（</w:t>
            </w:r>
            <w:r>
              <w:rPr>
                <w:sz w:val="21"/>
              </w:rPr>
              <w:t>3</w:t>
            </w:r>
            <w:r>
              <w:rPr>
                <w:sz w:val="21"/>
              </w:rPr>
              <w:t>）</w:t>
            </w:r>
            <w:r>
              <w:rPr>
                <w:sz w:val="21"/>
              </w:rPr>
              <w:t>按专业工程上分解，确定交接时间在不同专业和不同工程的任务之间要进行综合平衡，并强调相互间的衔接配合，确定相互交接的日期，强化工期的严肃性，保证工程进度不在本工序造成延误。通过对各道工序完成的质量与时间的控制达到保证各分部工程进度的实现。按总进度网络计划的时间要求将施工总进度计划分解为月度、旬期和周度进度计划。</w:t>
            </w:r>
          </w:p>
          <w:p>
            <w:pPr>
              <w:pStyle w:val="null3"/>
              <w:ind w:firstLine="420"/>
              <w:jc w:val="both"/>
            </w:pPr>
            <w:r>
              <w:rPr>
                <w:sz w:val="21"/>
              </w:rPr>
              <w:t>2.强化进度计划管理</w:t>
            </w:r>
          </w:p>
          <w:p>
            <w:pPr>
              <w:pStyle w:val="null3"/>
              <w:ind w:firstLine="420"/>
              <w:jc w:val="both"/>
            </w:pPr>
            <w:r>
              <w:rPr>
                <w:sz w:val="21"/>
              </w:rPr>
              <w:t>（</w:t>
            </w:r>
            <w:r>
              <w:rPr>
                <w:sz w:val="21"/>
              </w:rPr>
              <w:t>1</w:t>
            </w:r>
            <w:r>
              <w:rPr>
                <w:sz w:val="21"/>
              </w:rPr>
              <w:t>）</w:t>
            </w:r>
            <w:r>
              <w:rPr>
                <w:sz w:val="21"/>
              </w:rPr>
              <w:t>开工前，必须严格根据合同的工期要求，提出总进度计划，并对其是否科学、合理，能否满足全面规定工期要求等问题进行认真细致论证。</w:t>
            </w:r>
          </w:p>
          <w:p>
            <w:pPr>
              <w:pStyle w:val="null3"/>
              <w:ind w:firstLine="420"/>
              <w:jc w:val="both"/>
            </w:pPr>
            <w:r>
              <w:rPr>
                <w:sz w:val="21"/>
              </w:rPr>
              <w:t>（</w:t>
            </w:r>
            <w:r>
              <w:rPr>
                <w:sz w:val="21"/>
              </w:rPr>
              <w:t>2）在总进度计划的控制下，施工过程，坚持逐月（周）编制出具体的计划和工作安排，并对其科学性，可行性进行认真地推敲。</w:t>
            </w:r>
          </w:p>
          <w:p>
            <w:pPr>
              <w:pStyle w:val="null3"/>
              <w:ind w:firstLine="420"/>
              <w:jc w:val="both"/>
            </w:pPr>
            <w:r>
              <w:rPr>
                <w:sz w:val="21"/>
              </w:rPr>
              <w:t>（</w:t>
            </w:r>
            <w:r>
              <w:rPr>
                <w:sz w:val="21"/>
              </w:rPr>
              <w:t>3</w:t>
            </w:r>
            <w:r>
              <w:rPr>
                <w:sz w:val="21"/>
              </w:rPr>
              <w:t>）</w:t>
            </w:r>
            <w:r>
              <w:rPr>
                <w:sz w:val="21"/>
              </w:rPr>
              <w:t>计划执行过程，如发现未能按期完成计划，必须及时检查分析原因立即调整计划和采取补救措施，以保证工作进度计划的实现。</w:t>
            </w:r>
          </w:p>
          <w:p>
            <w:pPr>
              <w:pStyle w:val="null3"/>
              <w:ind w:firstLine="420"/>
              <w:jc w:val="both"/>
            </w:pPr>
            <w:r>
              <w:rPr>
                <w:sz w:val="21"/>
              </w:rPr>
              <w:t>3.施工进度的控制</w:t>
            </w:r>
          </w:p>
          <w:p>
            <w:pPr>
              <w:pStyle w:val="null3"/>
              <w:ind w:firstLine="420"/>
              <w:jc w:val="both"/>
            </w:pPr>
            <w:r>
              <w:rPr>
                <w:sz w:val="21"/>
              </w:rPr>
              <w:t>（</w:t>
            </w:r>
            <w:r>
              <w:rPr>
                <w:sz w:val="21"/>
              </w:rPr>
              <w:t>1</w:t>
            </w:r>
            <w:r>
              <w:rPr>
                <w:sz w:val="21"/>
              </w:rPr>
              <w:t>）</w:t>
            </w:r>
            <w:r>
              <w:rPr>
                <w:sz w:val="21"/>
              </w:rPr>
              <w:t>施工进度计划的控制是一个循序渐进的动态控制过程，施工现场的条件和情况千变万化，施工管理团队要及时了解和掌握与施工进度有关的各种信息不断将实际进度与计划进度进行比较，一旦发现进度拖后，要分析原因，并系统分析对后续工作会产生的影响；调整有施工管理经验的人员担任管理工作并针对技术、质量、安全、文明施工，后勤保障工作配置技术负责人主抓分项工作。</w:t>
            </w:r>
          </w:p>
          <w:p>
            <w:pPr>
              <w:pStyle w:val="null3"/>
              <w:ind w:firstLine="420"/>
              <w:jc w:val="both"/>
            </w:pPr>
            <w:r>
              <w:rPr>
                <w:sz w:val="21"/>
              </w:rPr>
              <w:t>（</w:t>
            </w:r>
            <w:r>
              <w:rPr>
                <w:sz w:val="21"/>
              </w:rPr>
              <w:t>2）</w:t>
            </w:r>
            <w:r>
              <w:rPr>
                <w:sz w:val="21"/>
              </w:rPr>
              <w:t>建立严格的工序施工日记制度，逐日详细记录工程进度，质量、设计修改，以及工程施工过程必须记录的有关问题。</w:t>
            </w:r>
          </w:p>
          <w:p>
            <w:pPr>
              <w:pStyle w:val="null3"/>
              <w:ind w:firstLine="420"/>
              <w:jc w:val="both"/>
            </w:pPr>
            <w:r>
              <w:rPr>
                <w:sz w:val="21"/>
              </w:rPr>
              <w:t>（</w:t>
            </w:r>
            <w:r>
              <w:rPr>
                <w:sz w:val="21"/>
              </w:rPr>
              <w:t>3</w:t>
            </w:r>
            <w:r>
              <w:rPr>
                <w:sz w:val="21"/>
              </w:rPr>
              <w:t>）</w:t>
            </w:r>
            <w:r>
              <w:rPr>
                <w:sz w:val="21"/>
              </w:rPr>
              <w:t>坚持每周定期召开一次由项目总负责人主持，各专业负责人参加的协调会议，听取关于施工进度问题的汇报，协调工程施工外部关系，解决工程施工内部矛盾，对其中有关施工的问题，提出明确的计划调整意见。</w:t>
            </w:r>
          </w:p>
          <w:p>
            <w:pPr>
              <w:pStyle w:val="null3"/>
              <w:ind w:firstLine="420"/>
              <w:jc w:val="both"/>
            </w:pPr>
            <w:r>
              <w:rPr>
                <w:sz w:val="21"/>
              </w:rPr>
              <w:t>（</w:t>
            </w:r>
            <w:r>
              <w:rPr>
                <w:sz w:val="21"/>
              </w:rPr>
              <w:t>4</w:t>
            </w:r>
            <w:r>
              <w:rPr>
                <w:sz w:val="21"/>
              </w:rPr>
              <w:t>）</w:t>
            </w:r>
            <w:r>
              <w:rPr>
                <w:sz w:val="21"/>
              </w:rPr>
              <w:t>各级管理人员必须提前为下道工序的施工，做好人力、物力和机械设备的准备，确保工程一环扣一环地紧凑有序地施工。对于影响施工进度的关键项目关键工序，主要领导和有关管理人员必须跟班作业，必要时组织有效力量，加班加点突破难点，以确保总进度计划的实现。</w:t>
            </w:r>
          </w:p>
          <w:p>
            <w:pPr>
              <w:pStyle w:val="null3"/>
              <w:jc w:val="both"/>
            </w:pPr>
            <w:r>
              <w:rPr>
                <w:sz w:val="21"/>
                <w:b/>
              </w:rPr>
              <w:t>（四）布展实施基本要求</w:t>
            </w:r>
          </w:p>
          <w:p>
            <w:pPr>
              <w:pStyle w:val="null3"/>
              <w:ind w:firstLine="420"/>
              <w:jc w:val="both"/>
            </w:pPr>
            <w:r>
              <w:rPr>
                <w:sz w:val="21"/>
              </w:rPr>
              <w:t>1.实施原则：结合设计方案做出以具体实施为目的、并具有可操作性的方案文件。</w:t>
            </w:r>
          </w:p>
          <w:p>
            <w:pPr>
              <w:pStyle w:val="null3"/>
              <w:ind w:firstLine="420"/>
              <w:jc w:val="both"/>
            </w:pPr>
            <w:r>
              <w:rPr>
                <w:sz w:val="21"/>
              </w:rPr>
              <w:t>供应商需要对本项目背景的解读与理解程度的深度、针对性及准确性等作出阐述；对本项目的关键性问题和重点问题的理解和把握；投入与本项目相匹配的整体技术水平与技术力量；项目实施组织设计；对本项目的建设性意见与建议评价。</w:t>
            </w:r>
          </w:p>
          <w:p>
            <w:pPr>
              <w:pStyle w:val="null3"/>
              <w:ind w:firstLine="420"/>
              <w:jc w:val="both"/>
            </w:pPr>
            <w:r>
              <w:rPr>
                <w:sz w:val="21"/>
              </w:rPr>
              <w:t>2.技术规范：本项目采用国家（行业）、省、市现行最新相关规范和标准若无国家标准，而采用企业、行业标准的，必须提供企业、行业标准的文本文件，及本项目设计图纸及设计说明书作为投入本项目的技术规范。</w:t>
            </w:r>
          </w:p>
          <w:p>
            <w:pPr>
              <w:pStyle w:val="null3"/>
              <w:ind w:firstLine="420"/>
              <w:jc w:val="both"/>
            </w:pPr>
            <w:r>
              <w:rPr>
                <w:sz w:val="21"/>
              </w:rPr>
              <w:t>3.知识产权要求</w:t>
            </w:r>
          </w:p>
          <w:p>
            <w:pPr>
              <w:pStyle w:val="null3"/>
              <w:ind w:firstLine="420"/>
              <w:jc w:val="both"/>
            </w:pPr>
            <w:r>
              <w:rPr>
                <w:sz w:val="21"/>
              </w:rPr>
              <w:t>供应商应保证其提供的工作成果未侵犯第三方的知识产权及其他权利，否则必须承担由此而引起的全部法律责任；供应商不得以任何形式向采购人及项目使用单位以外的任何单位或个人提供涉及本服务项目的任何资料（包括但不限于电子档案、图纸、技术和设计创意等），如有违反，必须赔偿采购人的损失并承担相应的法律责任。</w:t>
            </w:r>
          </w:p>
          <w:p>
            <w:pPr>
              <w:pStyle w:val="null3"/>
              <w:jc w:val="both"/>
            </w:pPr>
            <w:r>
              <w:rPr>
                <w:sz w:val="21"/>
                <w:b/>
              </w:rPr>
              <w:t>（五）布展实施的作业要求</w:t>
            </w:r>
          </w:p>
          <w:p>
            <w:pPr>
              <w:pStyle w:val="null3"/>
              <w:ind w:firstLine="420"/>
              <w:jc w:val="both"/>
            </w:pPr>
            <w:r>
              <w:rPr>
                <w:sz w:val="21"/>
              </w:rPr>
              <w:t>1.布展实施所使用材料的品种、规格、设备品牌和质量应符合施工图设计（深化设计）和现行的国家标准的规定，严禁使用国家明令淘汰的材料。所有材料物资、设施设备、展项等须经采购人及监理单位确认方可采购或实施。</w:t>
            </w:r>
          </w:p>
          <w:p>
            <w:pPr>
              <w:pStyle w:val="null3"/>
              <w:ind w:firstLine="420"/>
              <w:jc w:val="both"/>
            </w:pPr>
            <w:r>
              <w:rPr>
                <w:sz w:val="21"/>
              </w:rPr>
              <w:t>2.布展实施过程中，严禁擅自改动建筑主体，承重结构或主要使用功能严禁未经设计确认和有关部门的批准擅自拆改水、电、气、通讯等配套设施。</w:t>
            </w:r>
          </w:p>
          <w:p>
            <w:pPr>
              <w:pStyle w:val="null3"/>
              <w:ind w:firstLine="420"/>
              <w:jc w:val="both"/>
            </w:pPr>
            <w:r>
              <w:rPr>
                <w:sz w:val="21"/>
              </w:rPr>
              <w:t>3.布展实施应遵守有关环境保护的法律法规，并应采取有效措施控制实施现场的各种粉尘、废弃物、噪声、振动等对周围环境造成的污染和危害。</w:t>
            </w:r>
          </w:p>
          <w:p>
            <w:pPr>
              <w:pStyle w:val="null3"/>
              <w:ind w:firstLine="420"/>
              <w:jc w:val="both"/>
            </w:pPr>
            <w:r>
              <w:rPr>
                <w:sz w:val="21"/>
              </w:rPr>
              <w:t>4.供应商应遵守有关安全劳动保护防火和防毒的法律法规应建立相应的管理制度并应配备必要的设备器具和标识。</w:t>
            </w:r>
          </w:p>
          <w:p>
            <w:pPr>
              <w:pStyle w:val="null3"/>
              <w:ind w:firstLine="420"/>
              <w:jc w:val="both"/>
            </w:pPr>
            <w:r>
              <w:rPr>
                <w:sz w:val="21"/>
              </w:rPr>
              <w:t>5.布展实施过程中，利用建筑结构作为起吊、搬运的承力点时大构件，应对结构的承载力进行核算，经采购人及相关设计单位书面同意，方可利用。</w:t>
            </w:r>
          </w:p>
          <w:p>
            <w:pPr>
              <w:pStyle w:val="null3"/>
              <w:ind w:firstLine="420"/>
              <w:jc w:val="both"/>
            </w:pPr>
            <w:r>
              <w:rPr>
                <w:sz w:val="21"/>
              </w:rPr>
              <w:t>6.凡列为质量监理控制点（包括文件见证点、现场见证点、停止见证点、隐蔽验收）的监理对象，如达不到质量要求，监理工程师有权责令发出整改通知单要求返工，如不执行将按违约处理。</w:t>
            </w:r>
          </w:p>
          <w:p>
            <w:pPr>
              <w:pStyle w:val="null3"/>
              <w:jc w:val="both"/>
            </w:pPr>
            <w:r>
              <w:rPr>
                <w:sz w:val="21"/>
                <w:b/>
              </w:rPr>
              <w:t>（六）布展实施的其他要求</w:t>
            </w:r>
          </w:p>
          <w:p>
            <w:pPr>
              <w:pStyle w:val="null3"/>
              <w:ind w:firstLine="420"/>
              <w:jc w:val="both"/>
            </w:pPr>
            <w:r>
              <w:rPr>
                <w:sz w:val="21"/>
              </w:rPr>
              <w:t>供应商在进行项目实施过程中必须遵循国家相关通用标准和行业规范；遵循相关防火、环保要求；遵循优化、深化、展陈（实体及多媒体数字）内容创作成果与采购人要求的原则进行；供应商必须协助采购人办理项目竣工后的消防验收及环评手续（如有），并承担相关费用；供应商必须协助采购人办理公共防疫的相关手续，并承担相关费用；供应商必须负责布展实施过程中产生的垃圾处理及相关费用。</w:t>
            </w:r>
            <w:r>
              <w:rPr/>
              <w:t xml:space="preserve"> </w:t>
            </w:r>
          </w:p>
          <w:p>
            <w:pPr>
              <w:pStyle w:val="null3"/>
              <w:ind w:firstLine="420"/>
              <w:jc w:val="both"/>
            </w:pPr>
            <w:r>
              <w:rPr>
                <w:sz w:val="21"/>
              </w:rPr>
              <w:t>1.与深化设计成果图纸一致性原则；</w:t>
            </w:r>
          </w:p>
          <w:p>
            <w:pPr>
              <w:pStyle w:val="null3"/>
              <w:ind w:firstLine="420"/>
              <w:jc w:val="both"/>
            </w:pPr>
            <w:r>
              <w:rPr>
                <w:sz w:val="21"/>
              </w:rPr>
              <w:t>2.供应商应有完善的质量保证体系，有明确的质量方针、切实可行的程序文件和质量保证手册，确保质量体系有效期的运行，并具备完整的质量体系运行记录；</w:t>
            </w:r>
          </w:p>
          <w:p>
            <w:pPr>
              <w:pStyle w:val="null3"/>
              <w:ind w:firstLine="420"/>
              <w:jc w:val="both"/>
            </w:pPr>
            <w:r>
              <w:rPr>
                <w:sz w:val="21"/>
              </w:rPr>
              <w:t>3.布展实施技术文件准备；</w:t>
            </w:r>
          </w:p>
          <w:p>
            <w:pPr>
              <w:pStyle w:val="null3"/>
              <w:ind w:firstLine="420"/>
              <w:jc w:val="both"/>
            </w:pPr>
            <w:r>
              <w:rPr>
                <w:sz w:val="21"/>
              </w:rPr>
              <w:t>4.布展实施现场作业环境的技术准备；</w:t>
            </w:r>
          </w:p>
          <w:p>
            <w:pPr>
              <w:pStyle w:val="null3"/>
              <w:ind w:firstLine="420"/>
              <w:jc w:val="both"/>
            </w:pPr>
            <w:r>
              <w:rPr>
                <w:sz w:val="21"/>
              </w:rPr>
              <w:t>5.参与监理方组织的图纸会审和相关专业的技术交底；</w:t>
            </w:r>
          </w:p>
          <w:p>
            <w:pPr>
              <w:pStyle w:val="null3"/>
              <w:ind w:firstLine="420"/>
              <w:jc w:val="both"/>
            </w:pPr>
            <w:r>
              <w:rPr>
                <w:sz w:val="21"/>
              </w:rPr>
              <w:t>6.编制材料、加工机具、检测器具的使用计划提交监理单位审批。</w:t>
            </w:r>
          </w:p>
          <w:p>
            <w:pPr>
              <w:pStyle w:val="null3"/>
              <w:jc w:val="both"/>
            </w:pPr>
            <w:r>
              <w:rPr>
                <w:sz w:val="21"/>
                <w:b/>
              </w:rPr>
              <w:t>（七）质量标准</w:t>
            </w:r>
          </w:p>
          <w:p>
            <w:pPr>
              <w:pStyle w:val="null3"/>
              <w:ind w:firstLine="420"/>
              <w:jc w:val="both"/>
            </w:pPr>
            <w:r>
              <w:rPr>
                <w:sz w:val="21"/>
              </w:rPr>
              <w:t>工程质量应符合以下相关国家规范要求，直至验收合格为止：设计要求的质量标准：本项目的深化设计过程和成果必须符合国家、广东省、广州市颁布的有关设计方面的现行标准、规范、规程、定额、办法，满足采购人的相关功能需求，并通过采购人及有关部门或专业审图机构的审查。在深化设计过程中，如果国家或有关部门颁发了新的技术标准或规范，应采用新的标准或规范进行设计。</w:t>
            </w:r>
          </w:p>
          <w:p>
            <w:pPr>
              <w:pStyle w:val="null3"/>
              <w:jc w:val="both"/>
            </w:pPr>
            <w:r>
              <w:rPr>
                <w:sz w:val="21"/>
              </w:rPr>
              <w:t>施工要求的质量标准：符合深化设计图纸要求，执行国家、广东省、广州市或行业现行的工程建设质量验收标准及规范，工程质量须达到</w:t>
            </w:r>
            <w:r>
              <w:rPr>
                <w:sz w:val="21"/>
              </w:rPr>
              <w:t>100%标准。</w:t>
            </w:r>
          </w:p>
        </w:tc>
      </w:tr>
      <w:tr>
        <w:tc>
          <w:tcPr>
            <w:tcW w:type="dxa" w:w="2076"/>
          </w:tcPr>
          <w:p/>
        </w:tc>
        <w:tc>
          <w:tcPr>
            <w:tcW w:type="dxa" w:w="415"/>
          </w:tcPr>
          <w:p>
            <w:pPr>
              <w:pStyle w:val="null3"/>
            </w:pPr>
            <w:r>
              <w:rPr/>
              <w:t>10</w:t>
            </w:r>
          </w:p>
        </w:tc>
        <w:tc>
          <w:tcPr>
            <w:tcW w:type="dxa" w:w="5814"/>
          </w:tcPr>
          <w:p>
            <w:pPr>
              <w:pStyle w:val="null3"/>
              <w:jc w:val="both"/>
            </w:pPr>
            <w:r>
              <w:rPr>
                <w:sz w:val="21"/>
                <w:b/>
              </w:rPr>
              <w:t>十、</w:t>
            </w:r>
            <w:r>
              <w:rPr>
                <w:sz w:val="21"/>
                <w:b/>
              </w:rPr>
              <w:t>安全文明布展施工</w:t>
            </w:r>
          </w:p>
          <w:p>
            <w:pPr>
              <w:pStyle w:val="null3"/>
              <w:jc w:val="both"/>
            </w:pPr>
            <w:r>
              <w:rPr>
                <w:sz w:val="21"/>
              </w:rPr>
              <w:t>（一）安全文明布展</w:t>
            </w:r>
          </w:p>
          <w:p>
            <w:pPr>
              <w:pStyle w:val="null3"/>
              <w:ind w:firstLine="420"/>
              <w:jc w:val="both"/>
            </w:pPr>
            <w:r>
              <w:rPr>
                <w:sz w:val="21"/>
              </w:rPr>
              <w:t>1.项目安全生产的达标目标及相应事项的约定：</w:t>
            </w:r>
          </w:p>
          <w:p>
            <w:pPr>
              <w:pStyle w:val="null3"/>
              <w:ind w:firstLine="420"/>
              <w:jc w:val="both"/>
            </w:pPr>
            <w:r>
              <w:rPr>
                <w:sz w:val="21"/>
              </w:rPr>
              <w:t>①进入施工现场的各类安全防护由供应商统一协调管理，安全责任由供应商承担，费用含在合同总价中；</w:t>
            </w:r>
          </w:p>
          <w:p>
            <w:pPr>
              <w:pStyle w:val="null3"/>
              <w:ind w:firstLine="420"/>
              <w:jc w:val="both"/>
            </w:pPr>
            <w:r>
              <w:rPr>
                <w:sz w:val="21"/>
              </w:rPr>
              <w:t>②供应商负责进入施工现场施工人员及财物安全，发生任何伤亡事故与采购人无关，供应商自行解决；</w:t>
            </w:r>
          </w:p>
          <w:p>
            <w:pPr>
              <w:pStyle w:val="null3"/>
              <w:ind w:firstLine="420"/>
              <w:jc w:val="both"/>
            </w:pPr>
            <w:r>
              <w:rPr>
                <w:sz w:val="21"/>
              </w:rPr>
              <w:t>③供应商应合理安排、安全使用水、电设施，否则引起的一切责任由供应商承担。供应商应负责保管水、电设施，若发生丢失或损坏，由供应商赔偿；</w:t>
            </w:r>
          </w:p>
          <w:p>
            <w:pPr>
              <w:pStyle w:val="null3"/>
              <w:ind w:firstLine="420"/>
              <w:jc w:val="both"/>
            </w:pPr>
            <w:r>
              <w:rPr>
                <w:sz w:val="21"/>
              </w:rPr>
              <w:t>④严格执行《中华人民共和国安全生产法》《建设工程安全生产管理条例》（国务院第393号令）等相关法律法规（如有政府部门最新规定，按照最新规定执行）、双方签订的《安全施工协议》。供应商在施工现场的安全管理、安全教育和安全事故责任及所发生的费用均由承包方承担。由供应商按规范施工并对安全生产负全责，除执行合同的相关规定外，供应商应严格按照施工组织设计组织施工，在安全管理方面除正常进行安全学习、安全教育外，同时应高度重视全部施工期间的安全工作，安全措施要落实到位，应急措施要跟上，并配备专职安全人员，全面负责施工现场的安全及周边设施的安全和第三方人身安全，并承担所有责任及相应赔偿费用；</w:t>
            </w:r>
          </w:p>
          <w:p>
            <w:pPr>
              <w:pStyle w:val="null3"/>
              <w:ind w:firstLine="420"/>
              <w:jc w:val="both"/>
            </w:pPr>
            <w:r>
              <w:rPr>
                <w:sz w:val="21"/>
              </w:rPr>
              <w:t>⑤供应商应当遵守工程建设安全生产有关管理规定，严格按安全标准组织施工并随时接受采购人及行业安全检查人员依法实施的监督检查，采取必要的安全防护措施，消除事故隐患，安全防护费用已含在合同总价内。供应商在施工现场的安全管理、教育和安全事故责任由供应商承担。在供应商施工范围内发生或因供应商施工活动有关的安全事故由供应商负责处理并承担责任；⑥供应商应合理安全使用水、电设施。</w:t>
            </w:r>
          </w:p>
          <w:p>
            <w:pPr>
              <w:pStyle w:val="null3"/>
              <w:ind w:firstLine="420"/>
              <w:jc w:val="both"/>
            </w:pPr>
            <w:r>
              <w:rPr>
                <w:sz w:val="21"/>
              </w:rPr>
              <w:t>（</w:t>
            </w:r>
            <w:r>
              <w:rPr>
                <w:sz w:val="21"/>
              </w:rPr>
              <w:t>2）关于治安保卫的特别约定：供应商应自觉遵守采购人门卫的出入制度。关于编制施工场地治安管理计划的约定：开工前7天，由供应商制订，采购人协助。供应商必须认真做好施工现场的安全防护工作（包括照明、安全设施等）和施工人员的治安教育及管理工作，对于施工现场可能出现的任何安全事故承担全部责任并承担全部费用。对非施工人员不准其进入现场，落实安全责任制保证做到绝对安全如因供应商安全文明施工或照明等措施不到位，造成施工无关人员进入施工范围并发生事故，所有责任由供应商承担。</w:t>
            </w:r>
          </w:p>
          <w:p>
            <w:pPr>
              <w:pStyle w:val="null3"/>
              <w:jc w:val="both"/>
            </w:pPr>
            <w:r>
              <w:rPr>
                <w:sz w:val="21"/>
                <w:b/>
              </w:rPr>
              <w:t>（二）安全防护</w:t>
            </w:r>
          </w:p>
          <w:p>
            <w:pPr>
              <w:pStyle w:val="null3"/>
              <w:ind w:firstLine="420"/>
              <w:jc w:val="both"/>
            </w:pPr>
            <w:r>
              <w:rPr>
                <w:sz w:val="21"/>
              </w:rPr>
              <w:t>供应商采取严格的安全防护措施，在布展、完工及修补缺陷的整个过程中，都应当做到：</w:t>
            </w:r>
          </w:p>
          <w:p>
            <w:pPr>
              <w:pStyle w:val="null3"/>
              <w:ind w:firstLine="420"/>
              <w:jc w:val="both"/>
            </w:pPr>
            <w:r>
              <w:rPr>
                <w:sz w:val="21"/>
              </w:rPr>
              <w:t>1.全面关照所有留在现场上的人员的安全，保护其管辖范围内的现场以及尚未完工的和采购人尚未占用的工作处于有条不紊和良好的状态。</w:t>
            </w:r>
          </w:p>
          <w:p>
            <w:pPr>
              <w:pStyle w:val="null3"/>
              <w:ind w:firstLine="420"/>
              <w:jc w:val="both"/>
            </w:pPr>
            <w:r>
              <w:rPr>
                <w:sz w:val="21"/>
              </w:rPr>
              <w:t>2.供应商根据项目现场的实际要求，提供和维持所有的照明灯光、护板、围墙、栅栏、警告信号标志和值班人员，对布展进行保护和为公众提供安全和方便。</w:t>
            </w:r>
          </w:p>
          <w:p>
            <w:pPr>
              <w:pStyle w:val="null3"/>
              <w:jc w:val="both"/>
            </w:pPr>
            <w:r>
              <w:rPr>
                <w:sz w:val="21"/>
                <w:b/>
              </w:rPr>
              <w:t>（三）事故处理</w:t>
            </w:r>
          </w:p>
          <w:p>
            <w:pPr>
              <w:pStyle w:val="null3"/>
              <w:ind w:firstLine="420"/>
              <w:jc w:val="both"/>
            </w:pPr>
            <w:r>
              <w:rPr>
                <w:sz w:val="21"/>
              </w:rPr>
              <w:t>1.因供应商责任造成质量安全事故的，按照国家规定由行业主管部门给予供应商处罚。</w:t>
            </w:r>
          </w:p>
          <w:p>
            <w:pPr>
              <w:pStyle w:val="null3"/>
              <w:ind w:firstLine="420"/>
              <w:jc w:val="both"/>
            </w:pPr>
            <w:r>
              <w:rPr>
                <w:sz w:val="21"/>
              </w:rPr>
              <w:t>2.供应商应保证采购人免于受到或承担应由供应商负责的因供应商现场布展所引起的或与之有关的索赔、诉讼以及其他开支。若有证据证实采购人因此发生了索赔、诉讼以及其他开支，供应商必须在接到采购人通知后2个工作日内据实补偿采购人因此所受到的所有损失，采购人亦有权要求供应商在接到采购人通知后2个工作日内直接向其他索赔方支付相关费用。</w:t>
            </w:r>
          </w:p>
        </w:tc>
      </w:tr>
      <w:tr>
        <w:tc>
          <w:tcPr>
            <w:tcW w:type="dxa" w:w="2076"/>
          </w:tcPr>
          <w:p/>
        </w:tc>
        <w:tc>
          <w:tcPr>
            <w:tcW w:type="dxa" w:w="415"/>
          </w:tcPr>
          <w:p>
            <w:pPr>
              <w:pStyle w:val="null3"/>
            </w:pPr>
            <w:r>
              <w:rPr/>
              <w:t>11</w:t>
            </w:r>
          </w:p>
        </w:tc>
        <w:tc>
          <w:tcPr>
            <w:tcW w:type="dxa" w:w="5814"/>
          </w:tcPr>
          <w:p>
            <w:pPr>
              <w:pStyle w:val="null3"/>
              <w:jc w:val="both"/>
            </w:pPr>
            <w:r>
              <w:rPr>
                <w:sz w:val="21"/>
                <w:b/>
              </w:rPr>
              <w:t>十一</w:t>
            </w:r>
            <w:r>
              <w:rPr>
                <w:sz w:val="21"/>
                <w:b/>
              </w:rPr>
              <w:t>、制作要求</w:t>
            </w:r>
          </w:p>
          <w:p>
            <w:pPr>
              <w:pStyle w:val="null3"/>
              <w:jc w:val="both"/>
            </w:pPr>
            <w:r>
              <w:rPr>
                <w:sz w:val="21"/>
                <w:b/>
              </w:rPr>
              <w:t>（一）装饰结构</w:t>
            </w:r>
          </w:p>
          <w:p>
            <w:pPr>
              <w:pStyle w:val="null3"/>
              <w:ind w:firstLine="420"/>
              <w:jc w:val="both"/>
            </w:pPr>
            <w:r>
              <w:rPr>
                <w:sz w:val="21"/>
              </w:rPr>
              <w:t>1.应符合设计要求和国家现行标准的规定，保障展品展示安全和参观安全。</w:t>
            </w:r>
          </w:p>
          <w:p>
            <w:pPr>
              <w:pStyle w:val="null3"/>
              <w:ind w:firstLine="420"/>
              <w:jc w:val="both"/>
            </w:pPr>
            <w:r>
              <w:rPr>
                <w:sz w:val="21"/>
              </w:rPr>
              <w:t>2.应确保结构及安装方式安全可靠、科学合理，并保证其强度、稳定性和可靠性达到采购人的要求；符合建筑荷载要求及环保要求。</w:t>
            </w:r>
          </w:p>
          <w:p>
            <w:pPr>
              <w:pStyle w:val="null3"/>
              <w:ind w:firstLine="420"/>
              <w:jc w:val="both"/>
            </w:pPr>
            <w:r>
              <w:rPr>
                <w:sz w:val="21"/>
              </w:rPr>
              <w:t>3.展陈空间的装饰结构应与展示主题以及各展项的展示设计要求相结合，功能区域的装饰结构应与空间用途以及设计要求相适应。</w:t>
            </w:r>
          </w:p>
          <w:p>
            <w:pPr>
              <w:pStyle w:val="null3"/>
              <w:jc w:val="both"/>
            </w:pPr>
            <w:r>
              <w:rPr>
                <w:sz w:val="21"/>
                <w:b/>
              </w:rPr>
              <w:t>（二）材料</w:t>
            </w:r>
          </w:p>
          <w:p>
            <w:pPr>
              <w:pStyle w:val="null3"/>
              <w:ind w:firstLine="420"/>
              <w:jc w:val="both"/>
            </w:pPr>
            <w:r>
              <w:rPr>
                <w:sz w:val="21"/>
              </w:rPr>
              <w:t>1.建筑装饰装修所用材料的品种、规格和质量应符合设计要求和国家现行标准的规定。当设计无要求时应符合国家现行标准的规定，严禁使用国家明令淘汰的材料。</w:t>
            </w:r>
          </w:p>
          <w:p>
            <w:pPr>
              <w:pStyle w:val="null3"/>
              <w:ind w:firstLine="420"/>
              <w:jc w:val="both"/>
            </w:pPr>
            <w:r>
              <w:rPr>
                <w:sz w:val="21"/>
              </w:rPr>
              <w:t>建筑装饰装修所用材料均应满足相应的防火等级要求，应符合现行国家标准《建筑内部装修设计防火规范》（</w:t>
            </w:r>
            <w:r>
              <w:rPr>
                <w:sz w:val="21"/>
              </w:rPr>
              <w:t>GB50222-2017）、《建筑设计防火规范》（GB50016-2014）。</w:t>
            </w:r>
          </w:p>
          <w:p>
            <w:pPr>
              <w:pStyle w:val="null3"/>
              <w:ind w:firstLine="420"/>
              <w:jc w:val="both"/>
            </w:pPr>
            <w:r>
              <w:rPr>
                <w:sz w:val="21"/>
              </w:rPr>
              <w:t>2.建筑装饰装修所用材料应严格执行《民用建筑工程室内环境污染控制标准》（GB50325-2020），且符合国家有关建筑装饰装修材料有害物质限量标准的规定。</w:t>
            </w:r>
          </w:p>
          <w:p>
            <w:pPr>
              <w:pStyle w:val="null3"/>
              <w:ind w:firstLine="420"/>
              <w:jc w:val="both"/>
            </w:pPr>
            <w:r>
              <w:rPr>
                <w:sz w:val="21"/>
              </w:rPr>
              <w:t>3.建筑装饰装修所用材料需采用符合国家标准并具有环保认证的材料（国家未制定环保认证标准的除外）。</w:t>
            </w:r>
          </w:p>
          <w:p>
            <w:pPr>
              <w:pStyle w:val="null3"/>
              <w:ind w:firstLine="420"/>
              <w:jc w:val="both"/>
            </w:pPr>
            <w:r>
              <w:rPr>
                <w:sz w:val="21"/>
              </w:rPr>
              <w:t>4.建筑装饰装修所使用的材料在运输、储存和实施过程中，必须采取有效措施防止损坏、变质和污染环境，并应按设计要求进行防火、防腐和防虫处理。</w:t>
            </w:r>
          </w:p>
          <w:p>
            <w:pPr>
              <w:pStyle w:val="null3"/>
              <w:ind w:firstLine="420"/>
              <w:jc w:val="both"/>
            </w:pPr>
            <w:r>
              <w:rPr>
                <w:sz w:val="21"/>
              </w:rPr>
              <w:t>5.所有材料进场时应对品种、规格、外观和尺寸进行验收。材料包装应完好，应具备产品合格证书、中文说明书及相关性能的检验报告；产品应按规定进行商品检验。现场配制的材料如砂浆、胶粘剂等，应按设计要求或产品说明书配制。</w:t>
            </w:r>
          </w:p>
          <w:p>
            <w:pPr>
              <w:pStyle w:val="null3"/>
              <w:ind w:firstLine="420"/>
              <w:jc w:val="both"/>
            </w:pPr>
            <w:r>
              <w:rPr>
                <w:sz w:val="21"/>
              </w:rPr>
              <w:t>6.如国家规定或合同约定应对材料进行见证检测，或对材料的质量发生争议时，应进行见证检测。承担建筑装饰装修材料检测的单位应具备相应的资质，并应建立质量管理体系。</w:t>
            </w:r>
          </w:p>
          <w:p>
            <w:pPr>
              <w:pStyle w:val="null3"/>
              <w:jc w:val="both"/>
            </w:pPr>
            <w:r>
              <w:rPr>
                <w:sz w:val="21"/>
                <w:b/>
              </w:rPr>
              <w:t>（三）管线系统</w:t>
            </w:r>
          </w:p>
          <w:p>
            <w:pPr>
              <w:pStyle w:val="null3"/>
              <w:ind w:firstLine="420"/>
              <w:jc w:val="both"/>
            </w:pPr>
            <w:r>
              <w:rPr>
                <w:sz w:val="21"/>
              </w:rPr>
              <w:t>1.综合布线系统电源、防护及接地的设计要符合国家的最新规定。</w:t>
            </w:r>
          </w:p>
          <w:p>
            <w:pPr>
              <w:pStyle w:val="null3"/>
              <w:ind w:firstLine="420"/>
              <w:jc w:val="both"/>
            </w:pPr>
            <w:r>
              <w:rPr>
                <w:sz w:val="21"/>
              </w:rPr>
              <w:t>2.线路、管道敷设要求美观整齐、合理，明敷塑料导线应穿管或加线槽板保护，吊顶内的导线应穿金属管保护。空间内所有外露的管线、导线需进行装饰美化，不得裸露。</w:t>
            </w:r>
          </w:p>
          <w:p>
            <w:pPr>
              <w:pStyle w:val="null3"/>
              <w:jc w:val="both"/>
            </w:pPr>
            <w:r>
              <w:rPr>
                <w:sz w:val="21"/>
                <w:b/>
              </w:rPr>
              <w:t>（四）展柜</w:t>
            </w:r>
          </w:p>
          <w:p>
            <w:pPr>
              <w:pStyle w:val="null3"/>
              <w:ind w:firstLine="420"/>
              <w:jc w:val="both"/>
            </w:pPr>
            <w:r>
              <w:rPr>
                <w:sz w:val="21"/>
              </w:rPr>
              <w:t>1.总体要求</w:t>
            </w:r>
          </w:p>
          <w:p>
            <w:pPr>
              <w:pStyle w:val="null3"/>
              <w:ind w:firstLine="420"/>
              <w:jc w:val="both"/>
            </w:pPr>
            <w:r>
              <w:rPr>
                <w:sz w:val="21"/>
              </w:rPr>
              <w:t>（</w:t>
            </w:r>
            <w:r>
              <w:rPr>
                <w:sz w:val="21"/>
              </w:rPr>
              <w:t>1）展柜外形应充分考虑展品的体量、形制，并与展陈空间设计、展品陈列设计风格相协调，工艺精致，外观、面材及尺寸在设计图纸中有清晰反映；在满足文物保护和展示效果的前提下，应同时具备一定的通用性，并考虑到不同受众参观需求。</w:t>
            </w:r>
          </w:p>
          <w:p>
            <w:pPr>
              <w:pStyle w:val="null3"/>
              <w:ind w:firstLine="420"/>
              <w:jc w:val="both"/>
            </w:pPr>
            <w:r>
              <w:rPr>
                <w:sz w:val="21"/>
              </w:rPr>
              <w:t>（</w:t>
            </w:r>
            <w:r>
              <w:rPr>
                <w:sz w:val="21"/>
              </w:rPr>
              <w:t>2）展柜具有良好的安全性，结构稳固、安全，锁闭功能设计安全、合理，具有良好的防盗和防破坏性能；开闭方式满足展陈布置和安保需求，维护方便。</w:t>
            </w:r>
          </w:p>
          <w:p>
            <w:pPr>
              <w:pStyle w:val="null3"/>
              <w:ind w:firstLine="420"/>
              <w:jc w:val="both"/>
            </w:pPr>
            <w:r>
              <w:rPr>
                <w:sz w:val="21"/>
              </w:rPr>
              <w:t>（</w:t>
            </w:r>
            <w:r>
              <w:rPr>
                <w:sz w:val="21"/>
              </w:rPr>
              <w:t>3）展柜具有良好的密闭性；温湿度、污染物浓度、照明等环境质量须满足相应展品对展示环境控制的规定要求。</w:t>
            </w:r>
          </w:p>
          <w:p>
            <w:pPr>
              <w:pStyle w:val="null3"/>
              <w:ind w:firstLine="420"/>
              <w:jc w:val="both"/>
            </w:pPr>
            <w:r>
              <w:rPr>
                <w:sz w:val="21"/>
              </w:rPr>
              <w:t>（</w:t>
            </w:r>
            <w:r>
              <w:rPr>
                <w:sz w:val="21"/>
              </w:rPr>
              <w:t>4）所有展柜（除特别注明外）的展示区域和设备区域应分开，并具有安全可靠的物理隔离，根据展柜形式可在展柜上部和下部区域设置设备层，并满足文物保护和展示的要求。应为各类配套设备检修及维护预留合理检修口，展柜展板须方便后期维护、调整及更换。</w:t>
            </w:r>
          </w:p>
          <w:p>
            <w:pPr>
              <w:pStyle w:val="null3"/>
              <w:ind w:firstLine="420"/>
              <w:jc w:val="both"/>
            </w:pPr>
            <w:r>
              <w:rPr>
                <w:sz w:val="21"/>
              </w:rPr>
              <w:t>（</w:t>
            </w:r>
            <w:r>
              <w:rPr>
                <w:sz w:val="21"/>
              </w:rPr>
              <w:t>5）柜内各类设备的布线需合理隐蔽，符合安全标准。独立电源控制并配备漏电保护器，预留弱电接口，电容量及布线考虑增加设备及日后升级需求。</w:t>
            </w:r>
          </w:p>
          <w:p>
            <w:pPr>
              <w:pStyle w:val="null3"/>
              <w:ind w:firstLine="420"/>
              <w:jc w:val="both"/>
            </w:pPr>
            <w:r>
              <w:rPr>
                <w:sz w:val="21"/>
              </w:rPr>
              <w:t>2.形式及外观要求</w:t>
            </w:r>
          </w:p>
          <w:p>
            <w:pPr>
              <w:pStyle w:val="null3"/>
              <w:ind w:firstLine="420"/>
              <w:jc w:val="both"/>
            </w:pPr>
            <w:r>
              <w:rPr>
                <w:sz w:val="21"/>
              </w:rPr>
              <w:t>（</w:t>
            </w:r>
            <w:r>
              <w:rPr>
                <w:sz w:val="21"/>
              </w:rPr>
              <w:t>1）本项目采用的展柜需根据采购人认可的相关设计方案、图纸和实施方案进行采购、配备、安装和调试。</w:t>
            </w:r>
          </w:p>
          <w:p>
            <w:pPr>
              <w:pStyle w:val="null3"/>
              <w:ind w:firstLine="420"/>
              <w:jc w:val="both"/>
            </w:pPr>
            <w:r>
              <w:rPr>
                <w:sz w:val="21"/>
              </w:rPr>
              <w:t>（</w:t>
            </w:r>
            <w:r>
              <w:rPr>
                <w:sz w:val="21"/>
              </w:rPr>
              <w:t>2）展柜应贴合展陈设计，与展陈空间整体风格相协调，视觉效果好。展柜外观线条挺拔顺直，表面光滑平整，涂层色泽均匀一致，无划伤、露底、变形等明显缺陷，锁闭功能设计美观且隐藏性好。</w:t>
            </w:r>
          </w:p>
          <w:p>
            <w:pPr>
              <w:pStyle w:val="null3"/>
              <w:ind w:firstLine="420"/>
              <w:jc w:val="both"/>
            </w:pPr>
            <w:r>
              <w:rPr>
                <w:sz w:val="21"/>
              </w:rPr>
              <w:t>3.技术要求（应满足以下指标）</w:t>
            </w:r>
          </w:p>
          <w:tbl>
            <w:tblPr>
              <w:tblBorders>
                <w:top w:val="none" w:color="000000" w:sz="4"/>
                <w:left w:val="none" w:color="000000" w:sz="4"/>
                <w:bottom w:val="none" w:color="000000" w:sz="4"/>
                <w:right w:val="none" w:color="000000" w:sz="4"/>
                <w:insideH w:val="none"/>
                <w:insideV w:val="none"/>
              </w:tblBorders>
            </w:tblPr>
            <w:tblGrid>
              <w:gridCol w:w="1389"/>
              <w:gridCol w:w="4208"/>
            </w:tblGrid>
            <w:tr>
              <w:tc>
                <w:tcPr>
                  <w:tcW w:type="dxa" w:w="138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材料名称</w:t>
                  </w:r>
                </w:p>
              </w:tc>
              <w:tc>
                <w:tcPr>
                  <w:tcW w:type="dxa" w:w="420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指标要求</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定制展柜</w:t>
                  </w:r>
                  <w:r>
                    <w:rPr>
                      <w:sz w:val="21"/>
                    </w:rPr>
                    <w:t>（长</w:t>
                  </w:r>
                  <w:r>
                    <w:rPr>
                      <w:sz w:val="21"/>
                    </w:rPr>
                    <w:t>*</w:t>
                  </w:r>
                  <w:r>
                    <w:rPr>
                      <w:sz w:val="21"/>
                    </w:rPr>
                    <w:t>宽</w:t>
                  </w:r>
                  <w:r>
                    <w:rPr>
                      <w:sz w:val="21"/>
                    </w:rPr>
                    <w:t>*</w:t>
                  </w:r>
                  <w:r>
                    <w:rPr>
                      <w:sz w:val="21"/>
                    </w:rPr>
                    <w:t>高</w:t>
                  </w:r>
                </w:p>
                <w:p>
                  <w:pPr>
                    <w:pStyle w:val="null3"/>
                    <w:jc w:val="both"/>
                  </w:pPr>
                  <w:r>
                    <w:rPr>
                      <w:sz w:val="21"/>
                    </w:rPr>
                    <w:t>2600*1600*800mm</w:t>
                  </w:r>
                  <w:r>
                    <w:rPr>
                      <w:sz w:val="21"/>
                    </w:rPr>
                    <w:t>）</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灰色钢板，表面静电粉末喷涂；酸洗磷化高温静电喷涂，颜色定制</w:t>
                  </w:r>
                  <w:r>
                    <w:rPr>
                      <w:sz w:val="21"/>
                    </w:rPr>
                    <w:t>；</w:t>
                  </w:r>
                  <w:r>
                    <w:rPr>
                      <w:sz w:val="21"/>
                    </w:rPr>
                    <w:t>主龙骨</w:t>
                  </w:r>
                  <w:r>
                    <w:rPr>
                      <w:sz w:val="21"/>
                    </w:rPr>
                    <w:t>40*40*1.5</w:t>
                  </w:r>
                  <w:r>
                    <w:rPr>
                      <w:sz w:val="21"/>
                    </w:rPr>
                    <w:t>方管焊接装配；采用</w:t>
                  </w:r>
                  <w:r>
                    <w:rPr>
                      <w:sz w:val="21"/>
                    </w:rPr>
                    <w:t>8mm</w:t>
                  </w:r>
                  <w:r>
                    <w:rPr>
                      <w:sz w:val="21"/>
                    </w:rPr>
                    <w:t>厚超白钢化夹胶玻璃；透光率</w:t>
                  </w:r>
                  <w:r>
                    <w:rPr>
                      <w:sz w:val="21"/>
                    </w:rPr>
                    <w:t>≥92</w:t>
                  </w:r>
                  <w:r>
                    <w:rPr>
                      <w:sz w:val="21"/>
                    </w:rPr>
                    <w:t>％隔绝紫外线</w:t>
                  </w:r>
                  <w:r>
                    <w:rPr>
                      <w:sz w:val="21"/>
                    </w:rPr>
                    <w:t>；</w:t>
                  </w:r>
                  <w:r>
                    <w:rPr>
                      <w:sz w:val="21"/>
                    </w:rPr>
                    <w:t>≥95%</w:t>
                  </w:r>
                  <w:r>
                    <w:rPr>
                      <w:sz w:val="21"/>
                    </w:rPr>
                    <w:t>玻璃</w:t>
                  </w:r>
                  <w:r>
                    <w:rPr>
                      <w:sz w:val="21"/>
                    </w:rPr>
                    <w:t>45°</w:t>
                  </w:r>
                  <w:r>
                    <w:rPr>
                      <w:sz w:val="21"/>
                    </w:rPr>
                    <w:t>拼角工艺</w:t>
                  </w:r>
                  <w:r>
                    <w:rPr>
                      <w:sz w:val="21"/>
                    </w:rPr>
                    <w:t>；</w:t>
                  </w:r>
                  <w:r>
                    <w:rPr>
                      <w:sz w:val="21"/>
                    </w:rPr>
                    <w:t>“O”</w:t>
                  </w:r>
                  <w:r>
                    <w:rPr>
                      <w:sz w:val="21"/>
                    </w:rPr>
                    <w:t>型有机硅不含任何酸性物质，无机械杂质</w:t>
                  </w:r>
                  <w:r>
                    <w:rPr>
                      <w:sz w:val="21"/>
                    </w:rPr>
                    <w:t>；</w:t>
                  </w:r>
                  <w:r>
                    <w:rPr>
                      <w:sz w:val="21"/>
                    </w:rPr>
                    <w:t>15mm</w:t>
                  </w:r>
                  <w:r>
                    <w:rPr>
                      <w:sz w:val="21"/>
                    </w:rPr>
                    <w:t>厚无机不燃板</w:t>
                  </w:r>
                  <w:r>
                    <w:rPr>
                      <w:sz w:val="21"/>
                    </w:rPr>
                    <w:t>,</w:t>
                  </w:r>
                  <w:r>
                    <w:rPr>
                      <w:sz w:val="21"/>
                    </w:rPr>
                    <w:t>环保等级</w:t>
                  </w:r>
                  <w:r>
                    <w:rPr>
                      <w:sz w:val="21"/>
                    </w:rPr>
                    <w:t>E0</w:t>
                  </w:r>
                  <w:r>
                    <w:rPr>
                      <w:sz w:val="21"/>
                    </w:rPr>
                    <w:t>级、外包亚麻布，颜色可定制</w:t>
                  </w:r>
                  <w:r>
                    <w:rPr>
                      <w:sz w:val="21"/>
                    </w:rPr>
                    <w:t>；</w:t>
                  </w:r>
                  <w:r>
                    <w:rPr>
                      <w:sz w:val="21"/>
                    </w:rPr>
                    <w:t>气支撑辅助半自动上掀开启</w:t>
                  </w:r>
                  <w:r>
                    <w:rPr>
                      <w:sz w:val="21"/>
                    </w:rPr>
                    <w:t>；</w:t>
                  </w:r>
                  <w:r>
                    <w:rPr>
                      <w:sz w:val="21"/>
                    </w:rPr>
                    <w:t>LED</w:t>
                  </w:r>
                  <w:r>
                    <w:rPr>
                      <w:sz w:val="21"/>
                    </w:rPr>
                    <w:t>门型灯</w:t>
                  </w:r>
                  <w:r>
                    <w:rPr>
                      <w:sz w:val="21"/>
                    </w:rPr>
                    <w:t>；</w:t>
                  </w:r>
                  <w:r>
                    <w:rPr>
                      <w:sz w:val="21"/>
                    </w:rPr>
                    <w:t>博物馆展柜专用锁具开启次数为</w:t>
                  </w:r>
                  <w:r>
                    <w:rPr>
                      <w:sz w:val="21"/>
                    </w:rPr>
                    <w:t>15</w:t>
                  </w:r>
                  <w:r>
                    <w:rPr>
                      <w:sz w:val="21"/>
                    </w:rPr>
                    <w:t>万次</w:t>
                  </w:r>
                  <w:r>
                    <w:rPr>
                      <w:sz w:val="21"/>
                    </w:rPr>
                    <w:t>；</w:t>
                  </w:r>
                  <w:r>
                    <w:rPr>
                      <w:sz w:val="21"/>
                    </w:rPr>
                    <w:t>水平调节支撑脚；要求展柜空气交换率</w:t>
                  </w:r>
                  <w:r>
                    <w:rPr>
                      <w:sz w:val="21"/>
                    </w:rPr>
                    <w:t>≤0.2-1d-1</w:t>
                  </w:r>
                  <w:r>
                    <w:rPr>
                      <w:sz w:val="21"/>
                    </w:rPr>
                    <w:t>的技术</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活动展柜（长</w:t>
                  </w:r>
                  <w:r>
                    <w:rPr>
                      <w:sz w:val="21"/>
                    </w:rPr>
                    <w:t>*</w:t>
                  </w:r>
                  <w:r>
                    <w:rPr>
                      <w:sz w:val="21"/>
                    </w:rPr>
                    <w:t>宽</w:t>
                  </w:r>
                  <w:r>
                    <w:rPr>
                      <w:sz w:val="21"/>
                    </w:rPr>
                    <w:t>*</w:t>
                  </w:r>
                  <w:r>
                    <w:rPr>
                      <w:sz w:val="21"/>
                    </w:rPr>
                    <w:t>高</w:t>
                  </w:r>
                  <w:r>
                    <w:rPr>
                      <w:sz w:val="21"/>
                    </w:rPr>
                    <w:t>2400*550*850mm</w:t>
                  </w:r>
                  <w:r>
                    <w:rPr>
                      <w:sz w:val="21"/>
                    </w:rPr>
                    <w:t>）</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灰色钢板，表面静电粉末喷涂；酸洗磷化高温静电喷涂，颜色定制</w:t>
                  </w:r>
                  <w:r>
                    <w:rPr>
                      <w:sz w:val="21"/>
                    </w:rPr>
                    <w:t>；</w:t>
                  </w:r>
                  <w:r>
                    <w:rPr>
                      <w:sz w:val="21"/>
                    </w:rPr>
                    <w:t>主龙骨</w:t>
                  </w:r>
                  <w:r>
                    <w:rPr>
                      <w:sz w:val="21"/>
                    </w:rPr>
                    <w:t>40*40*1.5</w:t>
                  </w:r>
                  <w:r>
                    <w:rPr>
                      <w:sz w:val="21"/>
                    </w:rPr>
                    <w:t>方管焊接装配；采用</w:t>
                  </w:r>
                  <w:r>
                    <w:rPr>
                      <w:sz w:val="21"/>
                    </w:rPr>
                    <w:t>8mm</w:t>
                  </w:r>
                  <w:r>
                    <w:rPr>
                      <w:sz w:val="21"/>
                    </w:rPr>
                    <w:t>厚超白钢化夹胶玻璃；透光率</w:t>
                  </w:r>
                  <w:r>
                    <w:rPr>
                      <w:sz w:val="21"/>
                    </w:rPr>
                    <w:t>≥92</w:t>
                  </w:r>
                  <w:r>
                    <w:rPr>
                      <w:sz w:val="21"/>
                    </w:rPr>
                    <w:t>％隔绝紫外线</w:t>
                  </w:r>
                  <w:r>
                    <w:rPr>
                      <w:sz w:val="21"/>
                    </w:rPr>
                    <w:t>≥95%</w:t>
                  </w:r>
                  <w:r>
                    <w:rPr>
                      <w:sz w:val="21"/>
                    </w:rPr>
                    <w:t>玻璃</w:t>
                  </w:r>
                  <w:r>
                    <w:rPr>
                      <w:sz w:val="21"/>
                    </w:rPr>
                    <w:t>45°</w:t>
                  </w:r>
                  <w:r>
                    <w:rPr>
                      <w:sz w:val="21"/>
                    </w:rPr>
                    <w:t>拼角工艺</w:t>
                  </w:r>
                  <w:r>
                    <w:rPr>
                      <w:sz w:val="21"/>
                    </w:rPr>
                    <w:t>；</w:t>
                  </w:r>
                  <w:r>
                    <w:rPr>
                      <w:sz w:val="21"/>
                    </w:rPr>
                    <w:t>“O”</w:t>
                  </w:r>
                  <w:r>
                    <w:rPr>
                      <w:sz w:val="21"/>
                    </w:rPr>
                    <w:t>型有机硅不含任何酸性物质，无机械杂质</w:t>
                  </w:r>
                  <w:r>
                    <w:rPr>
                      <w:sz w:val="21"/>
                    </w:rPr>
                    <w:t>；</w:t>
                  </w:r>
                  <w:r>
                    <w:rPr>
                      <w:sz w:val="21"/>
                    </w:rPr>
                    <w:t>15mm</w:t>
                  </w:r>
                  <w:r>
                    <w:rPr>
                      <w:sz w:val="21"/>
                    </w:rPr>
                    <w:t>厚无机不燃板</w:t>
                  </w:r>
                  <w:r>
                    <w:rPr>
                      <w:sz w:val="21"/>
                    </w:rPr>
                    <w:t>,</w:t>
                  </w:r>
                  <w:r>
                    <w:rPr>
                      <w:sz w:val="21"/>
                    </w:rPr>
                    <w:t>环保等级</w:t>
                  </w:r>
                  <w:r>
                    <w:rPr>
                      <w:sz w:val="21"/>
                    </w:rPr>
                    <w:t>E0</w:t>
                  </w:r>
                  <w:r>
                    <w:rPr>
                      <w:sz w:val="21"/>
                    </w:rPr>
                    <w:t>级、外包亚麻布，颜色可定制</w:t>
                  </w:r>
                  <w:r>
                    <w:rPr>
                      <w:sz w:val="21"/>
                    </w:rPr>
                    <w:t>；</w:t>
                  </w:r>
                  <w:r>
                    <w:rPr>
                      <w:sz w:val="21"/>
                    </w:rPr>
                    <w:t>气支撑辅助半自动上掀开启</w:t>
                  </w:r>
                  <w:r>
                    <w:rPr>
                      <w:sz w:val="21"/>
                    </w:rPr>
                    <w:t>；</w:t>
                  </w:r>
                  <w:r>
                    <w:rPr>
                      <w:sz w:val="21"/>
                    </w:rPr>
                    <w:t>LED</w:t>
                  </w:r>
                  <w:r>
                    <w:rPr>
                      <w:sz w:val="21"/>
                    </w:rPr>
                    <w:t>门型灯</w:t>
                  </w:r>
                  <w:r>
                    <w:rPr>
                      <w:sz w:val="21"/>
                    </w:rPr>
                    <w:t>；</w:t>
                  </w:r>
                  <w:r>
                    <w:rPr>
                      <w:sz w:val="21"/>
                    </w:rPr>
                    <w:t>博物馆展柜专用锁具开启次数为</w:t>
                  </w:r>
                  <w:r>
                    <w:rPr>
                      <w:sz w:val="21"/>
                    </w:rPr>
                    <w:t>15</w:t>
                  </w:r>
                  <w:r>
                    <w:rPr>
                      <w:sz w:val="21"/>
                    </w:rPr>
                    <w:t>万次</w:t>
                  </w:r>
                  <w:r>
                    <w:rPr>
                      <w:sz w:val="21"/>
                    </w:rPr>
                    <w:t>；</w:t>
                  </w:r>
                  <w:r>
                    <w:rPr>
                      <w:sz w:val="21"/>
                    </w:rPr>
                    <w:t>水平调节支撑脚，万向轮；要求展柜空气交换率</w:t>
                  </w:r>
                  <w:r>
                    <w:rPr>
                      <w:sz w:val="21"/>
                    </w:rPr>
                    <w:t>≤0.2-1d-1</w:t>
                  </w:r>
                  <w:r>
                    <w:rPr>
                      <w:sz w:val="21"/>
                    </w:rPr>
                    <w:t>的技术指标</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内嵌橱窗式展柜</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采用</w:t>
                  </w:r>
                  <w:r>
                    <w:rPr>
                      <w:sz w:val="21"/>
                    </w:rPr>
                    <w:t>8mm</w:t>
                  </w:r>
                  <w:r>
                    <w:rPr>
                      <w:sz w:val="21"/>
                    </w:rPr>
                    <w:t>厚超白钢化玻璃；透光率</w:t>
                  </w:r>
                  <w:r>
                    <w:rPr>
                      <w:sz w:val="21"/>
                    </w:rPr>
                    <w:t>≥92</w:t>
                  </w:r>
                  <w:r>
                    <w:rPr>
                      <w:sz w:val="21"/>
                    </w:rPr>
                    <w:t>％隔绝紫外线</w:t>
                  </w:r>
                  <w:r>
                    <w:rPr>
                      <w:sz w:val="21"/>
                    </w:rPr>
                    <w:t>≥95</w:t>
                  </w:r>
                  <w:r>
                    <w:rPr>
                      <w:sz w:val="21"/>
                    </w:rPr>
                    <w:t>％</w:t>
                  </w:r>
                  <w:r>
                    <w:rPr>
                      <w:sz w:val="21"/>
                    </w:rPr>
                    <w:t>，</w:t>
                  </w:r>
                  <w:r>
                    <w:rPr>
                      <w:sz w:val="21"/>
                    </w:rPr>
                    <w:t>玻璃</w:t>
                  </w:r>
                  <w:r>
                    <w:rPr>
                      <w:sz w:val="21"/>
                    </w:rPr>
                    <w:t>45°</w:t>
                  </w:r>
                  <w:r>
                    <w:rPr>
                      <w:sz w:val="21"/>
                    </w:rPr>
                    <w:t>拼角工艺</w:t>
                  </w:r>
                  <w:r>
                    <w:rPr>
                      <w:sz w:val="21"/>
                    </w:rPr>
                    <w:t>；</w:t>
                  </w:r>
                  <w:r>
                    <w:rPr>
                      <w:sz w:val="21"/>
                    </w:rPr>
                    <w:t>“O”</w:t>
                  </w:r>
                  <w:r>
                    <w:rPr>
                      <w:sz w:val="21"/>
                    </w:rPr>
                    <w:t>型有机硅不含任何酸性物质，无机械杂质</w:t>
                  </w:r>
                  <w:r>
                    <w:rPr>
                      <w:sz w:val="21"/>
                    </w:rPr>
                    <w:t>；</w:t>
                  </w:r>
                  <w:r>
                    <w:rPr>
                      <w:sz w:val="21"/>
                    </w:rPr>
                    <w:t>15mm</w:t>
                  </w:r>
                  <w:r>
                    <w:rPr>
                      <w:sz w:val="21"/>
                    </w:rPr>
                    <w:t>厚无机不燃板</w:t>
                  </w:r>
                  <w:r>
                    <w:rPr>
                      <w:sz w:val="21"/>
                    </w:rPr>
                    <w:t>,</w:t>
                  </w:r>
                  <w:r>
                    <w:rPr>
                      <w:sz w:val="21"/>
                    </w:rPr>
                    <w:t>环保等级</w:t>
                  </w:r>
                  <w:r>
                    <w:rPr>
                      <w:sz w:val="21"/>
                    </w:rPr>
                    <w:t>E0</w:t>
                  </w:r>
                  <w:r>
                    <w:rPr>
                      <w:sz w:val="21"/>
                    </w:rPr>
                    <w:t>级、外包米白色壁布硬包展台，颜色可定制</w:t>
                  </w:r>
                  <w:r>
                    <w:rPr>
                      <w:sz w:val="21"/>
                    </w:rPr>
                    <w:t>；</w:t>
                  </w:r>
                  <w:r>
                    <w:rPr>
                      <w:sz w:val="21"/>
                    </w:rPr>
                    <w:t>展柜专用灯</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台上固定展柜（长</w:t>
                  </w:r>
                  <w:r>
                    <w:rPr>
                      <w:sz w:val="21"/>
                    </w:rPr>
                    <w:t>*</w:t>
                  </w:r>
                  <w:r>
                    <w:rPr>
                      <w:sz w:val="21"/>
                    </w:rPr>
                    <w:t>宽</w:t>
                  </w:r>
                  <w:r>
                    <w:rPr>
                      <w:sz w:val="21"/>
                    </w:rPr>
                    <w:t>*</w:t>
                  </w:r>
                  <w:r>
                    <w:rPr>
                      <w:sz w:val="21"/>
                    </w:rPr>
                    <w:t>高</w:t>
                  </w:r>
                  <w:r>
                    <w:rPr>
                      <w:sz w:val="21"/>
                    </w:rPr>
                    <w:t>1100*380*165mm</w:t>
                  </w:r>
                  <w:r>
                    <w:rPr>
                      <w:sz w:val="21"/>
                    </w:rPr>
                    <w:t>）</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灰色钢板，表面静电粉末喷涂；酸洗磷化高温静电喷涂，颜色定制</w:t>
                  </w:r>
                  <w:r>
                    <w:rPr>
                      <w:sz w:val="21"/>
                    </w:rPr>
                    <w:t>；</w:t>
                  </w:r>
                  <w:r>
                    <w:rPr>
                      <w:sz w:val="21"/>
                    </w:rPr>
                    <w:t>主龙骨</w:t>
                  </w:r>
                  <w:r>
                    <w:rPr>
                      <w:sz w:val="21"/>
                    </w:rPr>
                    <w:t>40*40*1.5</w:t>
                  </w:r>
                  <w:r>
                    <w:rPr>
                      <w:sz w:val="21"/>
                    </w:rPr>
                    <w:t>方管焊接装配；采用</w:t>
                  </w:r>
                  <w:r>
                    <w:rPr>
                      <w:sz w:val="21"/>
                    </w:rPr>
                    <w:t>8mm</w:t>
                  </w:r>
                  <w:r>
                    <w:rPr>
                      <w:sz w:val="21"/>
                    </w:rPr>
                    <w:t>厚超白钢化夹胶玻璃；透光率</w:t>
                  </w:r>
                  <w:r>
                    <w:rPr>
                      <w:sz w:val="21"/>
                    </w:rPr>
                    <w:t>≥92</w:t>
                  </w:r>
                  <w:r>
                    <w:rPr>
                      <w:sz w:val="21"/>
                    </w:rPr>
                    <w:t>％隔绝紫外线</w:t>
                  </w:r>
                  <w:r>
                    <w:rPr>
                      <w:sz w:val="21"/>
                    </w:rPr>
                    <w:t>≥95%</w:t>
                  </w:r>
                  <w:r>
                    <w:rPr>
                      <w:sz w:val="21"/>
                    </w:rPr>
                    <w:t>玻璃</w:t>
                  </w:r>
                  <w:r>
                    <w:rPr>
                      <w:sz w:val="21"/>
                    </w:rPr>
                    <w:t>45°</w:t>
                  </w:r>
                  <w:r>
                    <w:rPr>
                      <w:sz w:val="21"/>
                    </w:rPr>
                    <w:t>拼角工艺</w:t>
                  </w:r>
                  <w:r>
                    <w:rPr>
                      <w:sz w:val="21"/>
                    </w:rPr>
                    <w:t>；</w:t>
                  </w:r>
                  <w:r>
                    <w:rPr>
                      <w:sz w:val="21"/>
                    </w:rPr>
                    <w:t>“O”</w:t>
                  </w:r>
                  <w:r>
                    <w:rPr>
                      <w:sz w:val="21"/>
                    </w:rPr>
                    <w:t>型有机硅不含任何酸性物质，无机械杂质</w:t>
                  </w:r>
                  <w:r>
                    <w:rPr>
                      <w:sz w:val="21"/>
                    </w:rPr>
                    <w:t>；</w:t>
                  </w:r>
                  <w:r>
                    <w:rPr>
                      <w:sz w:val="21"/>
                    </w:rPr>
                    <w:t>15mm</w:t>
                  </w:r>
                  <w:r>
                    <w:rPr>
                      <w:sz w:val="21"/>
                    </w:rPr>
                    <w:t>厚无机不燃板</w:t>
                  </w:r>
                  <w:r>
                    <w:rPr>
                      <w:sz w:val="21"/>
                    </w:rPr>
                    <w:t>,</w:t>
                  </w:r>
                  <w:r>
                    <w:rPr>
                      <w:sz w:val="21"/>
                    </w:rPr>
                    <w:t>环保等级</w:t>
                  </w:r>
                  <w:r>
                    <w:rPr>
                      <w:sz w:val="21"/>
                    </w:rPr>
                    <w:t>E0</w:t>
                  </w:r>
                  <w:r>
                    <w:rPr>
                      <w:sz w:val="21"/>
                    </w:rPr>
                    <w:t>级、外包亚麻布，颜色可定制</w:t>
                  </w:r>
                  <w:r>
                    <w:rPr>
                      <w:sz w:val="21"/>
                    </w:rPr>
                    <w:t>；</w:t>
                  </w:r>
                  <w:r>
                    <w:rPr>
                      <w:sz w:val="21"/>
                    </w:rPr>
                    <w:t>气支撑辅助半自动上掀开启</w:t>
                  </w:r>
                  <w:r>
                    <w:rPr>
                      <w:sz w:val="21"/>
                    </w:rPr>
                    <w:t>；</w:t>
                  </w:r>
                  <w:r>
                    <w:rPr>
                      <w:sz w:val="21"/>
                    </w:rPr>
                    <w:t>LED</w:t>
                  </w:r>
                  <w:r>
                    <w:rPr>
                      <w:sz w:val="21"/>
                    </w:rPr>
                    <w:t>门型灯</w:t>
                  </w:r>
                  <w:r>
                    <w:rPr>
                      <w:sz w:val="21"/>
                    </w:rPr>
                    <w:t>；</w:t>
                  </w:r>
                  <w:r>
                    <w:rPr>
                      <w:sz w:val="21"/>
                    </w:rPr>
                    <w:t>博物馆展柜专用锁具开启次数为</w:t>
                  </w:r>
                  <w:r>
                    <w:rPr>
                      <w:sz w:val="21"/>
                    </w:rPr>
                    <w:t>15</w:t>
                  </w:r>
                  <w:r>
                    <w:rPr>
                      <w:sz w:val="21"/>
                    </w:rPr>
                    <w:t>万次</w:t>
                  </w:r>
                  <w:r>
                    <w:rPr>
                      <w:sz w:val="21"/>
                    </w:rPr>
                    <w:t>；</w:t>
                  </w:r>
                  <w:r>
                    <w:rPr>
                      <w:sz w:val="21"/>
                    </w:rPr>
                    <w:t>水平调节支撑脚；要求展柜空气交换率</w:t>
                  </w:r>
                  <w:r>
                    <w:rPr>
                      <w:sz w:val="21"/>
                    </w:rPr>
                    <w:t>≤0.2-1d-1</w:t>
                  </w:r>
                  <w:r>
                    <w:rPr>
                      <w:sz w:val="21"/>
                    </w:rPr>
                    <w:t>的技术指标</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组合式展台展架</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灰色钢板展架，表面静电粉末喷涂；表面颜色：酸洗磷化高温静电喷涂，颜色定制；骨架结构：</w:t>
                  </w:r>
                  <w:r>
                    <w:rPr>
                      <w:sz w:val="21"/>
                    </w:rPr>
                    <w:t>50mm</w:t>
                  </w:r>
                  <w:r>
                    <w:rPr>
                      <w:sz w:val="21"/>
                    </w:rPr>
                    <w:t>灰色钢管立柱焊接装配、主龙骨</w:t>
                  </w:r>
                  <w:r>
                    <w:rPr>
                      <w:sz w:val="21"/>
                    </w:rPr>
                    <w:t>40*40*1.5</w:t>
                  </w:r>
                  <w:r>
                    <w:rPr>
                      <w:sz w:val="21"/>
                    </w:rPr>
                    <w:t>方管焊接装配；</w:t>
                  </w:r>
                  <w:r>
                    <w:rPr>
                      <w:sz w:val="21"/>
                    </w:rPr>
                    <w:t>15mm</w:t>
                  </w:r>
                  <w:r>
                    <w:rPr>
                      <w:sz w:val="21"/>
                    </w:rPr>
                    <w:t>厚无机不燃板灰色钢质展架</w:t>
                  </w:r>
                  <w:r>
                    <w:rPr>
                      <w:sz w:val="21"/>
                    </w:rPr>
                    <w:t>,</w:t>
                  </w:r>
                  <w:r>
                    <w:rPr>
                      <w:sz w:val="21"/>
                    </w:rPr>
                    <w:t>颜色可定制</w:t>
                  </w:r>
                  <w:r>
                    <w:rPr>
                      <w:sz w:val="21"/>
                    </w:rPr>
                    <w:t>；</w:t>
                  </w:r>
                  <w:r>
                    <w:rPr>
                      <w:sz w:val="21"/>
                    </w:rPr>
                    <w:t>水平调节支撑；</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定制</w:t>
                  </w:r>
                </w:p>
                <w:p>
                  <w:pPr>
                    <w:pStyle w:val="null3"/>
                    <w:jc w:val="both"/>
                  </w:pPr>
                  <w:r>
                    <w:rPr>
                      <w:sz w:val="21"/>
                    </w:rPr>
                    <w:t>1000*300*840mm1.5mm</w:t>
                  </w:r>
                </w:p>
                <w:p>
                  <w:pPr>
                    <w:pStyle w:val="null3"/>
                    <w:jc w:val="both"/>
                  </w:pPr>
                  <w:r>
                    <w:rPr>
                      <w:sz w:val="21"/>
                    </w:rPr>
                    <w:t>厚铝型材展架</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灰色钢质展架，表面静电粉末喷涂；酸洗磷化高温静电喷涂，颜色定制；</w:t>
                  </w:r>
                  <w:r>
                    <w:rPr>
                      <w:sz w:val="21"/>
                    </w:rPr>
                    <w:t>50mm</w:t>
                  </w:r>
                  <w:r>
                    <w:rPr>
                      <w:sz w:val="21"/>
                    </w:rPr>
                    <w:t>灰色钢管立柱焊接装配、主龙骨</w:t>
                  </w:r>
                  <w:r>
                    <w:rPr>
                      <w:sz w:val="21"/>
                    </w:rPr>
                    <w:t>40*40*1.5</w:t>
                  </w:r>
                  <w:r>
                    <w:rPr>
                      <w:sz w:val="21"/>
                    </w:rPr>
                    <w:t>方管焊接装配；展台上展架背板：</w:t>
                  </w:r>
                  <w:r>
                    <w:rPr>
                      <w:sz w:val="21"/>
                    </w:rPr>
                    <w:t>15mm</w:t>
                  </w:r>
                  <w:r>
                    <w:rPr>
                      <w:sz w:val="21"/>
                    </w:rPr>
                    <w:t>厚无机不燃板灰色钢质展架</w:t>
                  </w:r>
                  <w:r>
                    <w:rPr>
                      <w:sz w:val="21"/>
                    </w:rPr>
                    <w:t>,</w:t>
                  </w:r>
                  <w:r>
                    <w:rPr>
                      <w:sz w:val="21"/>
                    </w:rPr>
                    <w:t>颜色可定制</w:t>
                  </w:r>
                  <w:r>
                    <w:rPr>
                      <w:sz w:val="21"/>
                    </w:rPr>
                    <w:t>；</w:t>
                  </w:r>
                  <w:r>
                    <w:rPr>
                      <w:sz w:val="21"/>
                    </w:rPr>
                    <w:t>展柜支撑：水平调节支撑；</w:t>
                  </w:r>
                </w:p>
              </w:tc>
            </w:tr>
          </w:tbl>
          <w:p>
            <w:pPr>
              <w:pStyle w:val="null3"/>
              <w:jc w:val="both"/>
            </w:pPr>
            <w:r>
              <w:rPr>
                <w:sz w:val="21"/>
                <w:b/>
              </w:rPr>
              <w:t>（六）展具</w:t>
            </w:r>
          </w:p>
          <w:p>
            <w:pPr>
              <w:pStyle w:val="null3"/>
              <w:ind w:firstLine="420"/>
              <w:jc w:val="both"/>
            </w:pPr>
            <w:r>
              <w:rPr>
                <w:sz w:val="21"/>
              </w:rPr>
              <w:t>1.展具的设计、制作与使用应确保展品安全，不破坏展品的真实性与完整性。制作材料与成型工艺应具备安全耐久性，减少对展品本体的按压或不当接触，便于从展品上拆解且不在展品表面遗留痕迹。</w:t>
            </w:r>
          </w:p>
          <w:p>
            <w:pPr>
              <w:pStyle w:val="null3"/>
              <w:ind w:firstLine="420"/>
              <w:jc w:val="both"/>
            </w:pPr>
            <w:r>
              <w:rPr>
                <w:sz w:val="21"/>
              </w:rPr>
              <w:t>2.展具的形式设计应起到烘托展品的作用，在色彩搭配及材质质感选择上应与展品及展陈空间环境相协调，与展陈空间及柜内照明环境相配合，通过多样化的展具使观众获得均衡的视觉感受及有效的信息传递。</w:t>
            </w:r>
          </w:p>
          <w:p>
            <w:pPr>
              <w:pStyle w:val="null3"/>
              <w:ind w:firstLine="420"/>
              <w:jc w:val="both"/>
            </w:pPr>
            <w:r>
              <w:rPr>
                <w:sz w:val="21"/>
              </w:rPr>
              <w:t>3.为配合教学展示需要，部分展具需具备防盗功能。防盗功能设计和（或）配套防盗装置应防盗性能强，牢固耐用，隐蔽性较好，易于更换。</w:t>
            </w:r>
          </w:p>
          <w:p>
            <w:pPr>
              <w:pStyle w:val="null3"/>
              <w:jc w:val="both"/>
            </w:pPr>
            <w:r>
              <w:rPr>
                <w:sz w:val="21"/>
                <w:b/>
              </w:rPr>
              <w:t>（七）场景复原及创作</w:t>
            </w:r>
          </w:p>
          <w:p>
            <w:pPr>
              <w:pStyle w:val="null3"/>
              <w:ind w:firstLine="420"/>
              <w:jc w:val="both"/>
            </w:pPr>
            <w:r>
              <w:rPr>
                <w:sz w:val="21"/>
              </w:rPr>
              <w:t>1.场景复原及创作必须以真实可查的资料为依据，达到还原科学事实的目的；</w:t>
            </w:r>
          </w:p>
          <w:p>
            <w:pPr>
              <w:pStyle w:val="null3"/>
              <w:ind w:firstLine="420"/>
              <w:jc w:val="both"/>
            </w:pPr>
            <w:r>
              <w:rPr>
                <w:sz w:val="21"/>
              </w:rPr>
              <w:t>2.场景复原及创作必须采用绿色环保材料，达到比例合理、生动逼真、细节有棱有角的实施效果。</w:t>
            </w:r>
          </w:p>
          <w:p>
            <w:pPr>
              <w:pStyle w:val="null3"/>
              <w:ind w:firstLine="420"/>
              <w:jc w:val="both"/>
            </w:pPr>
            <w:r>
              <w:rPr>
                <w:sz w:val="21"/>
              </w:rPr>
              <w:t>3.技术要求（应满足以下指标）</w:t>
            </w:r>
          </w:p>
          <w:tbl>
            <w:tblPr>
              <w:tblBorders>
                <w:top w:val="none" w:color="000000" w:sz="4"/>
                <w:left w:val="none" w:color="000000" w:sz="4"/>
                <w:bottom w:val="none" w:color="000000" w:sz="4"/>
                <w:right w:val="none" w:color="000000" w:sz="4"/>
                <w:insideH w:val="none"/>
                <w:insideV w:val="none"/>
              </w:tblBorders>
            </w:tblPr>
            <w:tblGrid>
              <w:gridCol w:w="1389"/>
              <w:gridCol w:w="4208"/>
            </w:tblGrid>
            <w:tr>
              <w:tc>
                <w:tcPr>
                  <w:tcW w:type="dxa" w:w="138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材料名称</w:t>
                  </w:r>
                </w:p>
              </w:tc>
              <w:tc>
                <w:tcPr>
                  <w:tcW w:type="dxa" w:w="420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指标要求</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层板画艺术场景创作</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场景艺术创作、小稿稿样艺术绘制、经甲方确认；层板画艺术</w:t>
                  </w:r>
                  <w:r>
                    <w:rPr>
                      <w:sz w:val="21"/>
                    </w:rPr>
                    <w:t>3D扫描、专业板材机器激光艺术雕刻；边缘打磨、修正处理、现场层板画位置无痕固定、安装;</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半景画场景制作</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地台砌筑、仿旧纹理地面塑性复原创作</w:t>
                  </w:r>
                  <w:r>
                    <w:rPr>
                      <w:sz w:val="21"/>
                    </w:rPr>
                    <w:t>；</w:t>
                  </w:r>
                  <w:r>
                    <w:rPr>
                      <w:sz w:val="21"/>
                    </w:rPr>
                    <w:t>场景新建轻钢龙骨隔墙、墙面</w:t>
                  </w:r>
                  <w:r>
                    <w:rPr>
                      <w:sz w:val="21"/>
                    </w:rPr>
                    <w:t>12mm厚硅酸钙板基层制作、做旧材料塑形挂网、造型制作</w:t>
                  </w:r>
                </w:p>
                <w:p>
                  <w:pPr>
                    <w:pStyle w:val="null3"/>
                    <w:jc w:val="both"/>
                  </w:pPr>
                  <w:r>
                    <w:rPr>
                      <w:sz w:val="21"/>
                    </w:rPr>
                    <w:t>；</w:t>
                  </w:r>
                  <w:r>
                    <w:rPr>
                      <w:sz w:val="21"/>
                    </w:rPr>
                    <w:t>表面</w:t>
                  </w:r>
                  <w:r>
                    <w:rPr>
                      <w:sz w:val="21"/>
                    </w:rPr>
                    <w:t>32.5型号水泥固形、批灰肌理艺术做工</w:t>
                  </w:r>
                  <w:r>
                    <w:rPr>
                      <w:sz w:val="21"/>
                    </w:rPr>
                    <w:t>；</w:t>
                  </w:r>
                  <w:r>
                    <w:rPr>
                      <w:sz w:val="21"/>
                    </w:rPr>
                    <w:t>墙面、柱子及管道表面丙烯颜料仿古艺术做旧处理</w:t>
                  </w:r>
                  <w:r>
                    <w:rPr>
                      <w:sz w:val="21"/>
                    </w:rPr>
                    <w:t>；仿旧实物</w:t>
                  </w:r>
                  <w:r>
                    <w:rPr>
                      <w:sz w:val="21"/>
                    </w:rPr>
                    <w:t>复原</w:t>
                  </w:r>
                  <w:r>
                    <w:rPr>
                      <w:sz w:val="21"/>
                    </w:rPr>
                    <w:t>；</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场景复原创作</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新建钢架龙骨框架、墙面</w:t>
                  </w:r>
                  <w:r>
                    <w:rPr>
                      <w:sz w:val="21"/>
                    </w:rPr>
                    <w:t>12mm厚硅酸钙板基层制作、做旧材料塑形挂网、仿旧砖墙砌筑造型制作</w:t>
                  </w:r>
                  <w:r>
                    <w:rPr>
                      <w:sz w:val="21"/>
                    </w:rPr>
                    <w:t>；</w:t>
                  </w:r>
                  <w:r>
                    <w:rPr>
                      <w:sz w:val="21"/>
                    </w:rPr>
                    <w:t>表面</w:t>
                  </w:r>
                  <w:r>
                    <w:rPr>
                      <w:sz w:val="21"/>
                    </w:rPr>
                    <w:t>32.5型号水泥固形、批灰肌理艺术</w:t>
                  </w:r>
                  <w:r>
                    <w:rPr>
                      <w:sz w:val="21"/>
                    </w:rPr>
                    <w:t>；</w:t>
                  </w:r>
                  <w:r>
                    <w:rPr>
                      <w:sz w:val="21"/>
                    </w:rPr>
                    <w:t>造型柱表面丙烯颜料仿古做旧处理</w:t>
                  </w:r>
                  <w:r>
                    <w:rPr>
                      <w:sz w:val="21"/>
                    </w:rPr>
                    <w:t>；</w:t>
                  </w:r>
                  <w:r>
                    <w:rPr>
                      <w:sz w:val="21"/>
                    </w:rPr>
                    <w:t>背景新建隔墙仿油画创作场景画</w:t>
                  </w:r>
                  <w:r>
                    <w:rPr>
                      <w:sz w:val="21"/>
                    </w:rPr>
                    <w:t>；面层</w:t>
                  </w:r>
                  <w:r>
                    <w:rPr>
                      <w:sz w:val="21"/>
                    </w:rPr>
                    <w:t>上烤漆方管桁架固定定制</w:t>
                  </w:r>
                  <w:r>
                    <w:rPr>
                      <w:sz w:val="21"/>
                    </w:rPr>
                    <w:t>3D立体雕刻艺术字</w:t>
                  </w:r>
                  <w:r>
                    <w:rPr>
                      <w:sz w:val="21"/>
                    </w:rPr>
                    <w:t>；</w:t>
                  </w:r>
                </w:p>
              </w:tc>
            </w:tr>
          </w:tbl>
          <w:p>
            <w:pPr>
              <w:pStyle w:val="null3"/>
              <w:jc w:val="both"/>
            </w:pPr>
            <w:r>
              <w:rPr>
                <w:sz w:val="21"/>
                <w:b/>
              </w:rPr>
              <w:t>（八）艺术品及装置</w:t>
            </w:r>
          </w:p>
          <w:p>
            <w:pPr>
              <w:pStyle w:val="null3"/>
              <w:ind w:firstLine="420"/>
              <w:jc w:val="both"/>
            </w:pPr>
            <w:r>
              <w:rPr>
                <w:sz w:val="21"/>
              </w:rPr>
              <w:t>1.主题鲜明，比例合理，色彩层次分明，细节有棱有角，可采用雕塑、油画等多种形式，使用多样化材料进行创作、制作。</w:t>
            </w:r>
          </w:p>
          <w:p>
            <w:pPr>
              <w:pStyle w:val="null3"/>
              <w:ind w:firstLine="420"/>
              <w:jc w:val="both"/>
            </w:pPr>
            <w:r>
              <w:rPr>
                <w:sz w:val="21"/>
              </w:rPr>
              <w:t>2.结合空间环境及观众参观感受进行艺术创作设计，置于参观节点、焦点，突出重点和亮点，以产生高潮迭起的艺术效果，形成立体化、人性化、趣味化的设计效果，及具有韵律感、节奏感的参观效果，避免平铺直叙。</w:t>
            </w:r>
          </w:p>
          <w:p>
            <w:pPr>
              <w:pStyle w:val="null3"/>
              <w:ind w:firstLine="420"/>
              <w:jc w:val="both"/>
            </w:pPr>
            <w:r>
              <w:rPr>
                <w:sz w:val="21"/>
              </w:rPr>
              <w:t>3.充分发挥材料特点，巧妙运用材料纹理、色泽、质感等特征，围绕实用、美观和安全的原则进行综合对比选材，尽可能使用环保的木、石、棉、麻等天然材质，避免异味及辐射等有害物质的排放，充分考虑展品保护和人员健康。</w:t>
            </w:r>
          </w:p>
          <w:p>
            <w:pPr>
              <w:pStyle w:val="null3"/>
              <w:ind w:firstLine="420"/>
              <w:jc w:val="both"/>
            </w:pPr>
            <w:r>
              <w:rPr>
                <w:sz w:val="21"/>
              </w:rPr>
              <w:t>4.技术要求（应满足以下指标）</w:t>
            </w:r>
          </w:p>
          <w:tbl>
            <w:tblPr>
              <w:tblBorders>
                <w:top w:val="none" w:color="000000" w:sz="4"/>
                <w:left w:val="none" w:color="000000" w:sz="4"/>
                <w:bottom w:val="none" w:color="000000" w:sz="4"/>
                <w:right w:val="none" w:color="000000" w:sz="4"/>
                <w:insideH w:val="none"/>
                <w:insideV w:val="none"/>
              </w:tblBorders>
            </w:tblPr>
            <w:tblGrid>
              <w:gridCol w:w="1636"/>
              <w:gridCol w:w="3960"/>
            </w:tblGrid>
            <w:tr>
              <w:tc>
                <w:tcPr>
                  <w:tcW w:type="dxa" w:w="163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材料名称</w:t>
                  </w:r>
                </w:p>
              </w:tc>
              <w:tc>
                <w:tcPr>
                  <w:tcW w:type="dxa" w:w="396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指标要求</w:t>
                  </w:r>
                </w:p>
              </w:tc>
            </w:tr>
            <w:tr>
              <w:tc>
                <w:tcPr>
                  <w:tcW w:type="dxa" w:w="163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雕塑艺术创作</w:t>
                  </w:r>
                </w:p>
              </w:tc>
              <w:tc>
                <w:tcPr>
                  <w:tcW w:type="dxa" w:w="39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设计与构思：雕塑师根据甲方需求和要求，进行雕塑品的设计；初步制作（泥稿）：使用雕塑专用油泥在木块或铁丝骨架上塑形，形成雕塑的基本形态，这个过程需要精确把握雕塑的动态和特征；翻模制作：将泥稿翻制成仿铜材质的雕塑模型（工序涉及到石膏模具的制作和脱模过程）；放大与细化：根据需要将小稿放大至需要的尺寸，并进行细节的精细雕刻；翻模与铸造：使用玻璃钢制作模具，浇筑形成雕塑的实体；表面处理与修饰：对铸造后的雕塑进行打磨、抛光、上色等处理；安装与维护：雕塑被安装到预定的位置，并进行定期的维护保养；雕塑高度：成人</w:t>
                  </w:r>
                  <w:r>
                    <w:rPr>
                      <w:sz w:val="21"/>
                    </w:rPr>
                    <w:t>1:1高度还原；</w:t>
                  </w:r>
                </w:p>
              </w:tc>
            </w:tr>
            <w:tr>
              <w:tc>
                <w:tcPr>
                  <w:tcW w:type="dxa" w:w="163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仿浮雕艺术墙创作造型</w:t>
                  </w:r>
                </w:p>
              </w:tc>
              <w:tc>
                <w:tcPr>
                  <w:tcW w:type="dxa" w:w="39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艺术造型创作、</w:t>
                  </w:r>
                  <w:r>
                    <w:rPr>
                      <w:sz w:val="21"/>
                    </w:rPr>
                    <w:t>3D立体雕刻艺术造型制作</w:t>
                  </w:r>
                </w:p>
              </w:tc>
            </w:tr>
          </w:tbl>
          <w:p>
            <w:pPr>
              <w:pStyle w:val="null3"/>
              <w:jc w:val="both"/>
            </w:pPr>
            <w:r>
              <w:rPr>
                <w:sz w:val="21"/>
                <w:b/>
              </w:rPr>
              <w:t>（九）展品</w:t>
            </w:r>
            <w:r>
              <w:rPr>
                <w:sz w:val="21"/>
                <w:b/>
              </w:rPr>
              <w:t>及辅助展品</w:t>
            </w:r>
          </w:p>
          <w:p>
            <w:pPr>
              <w:pStyle w:val="null3"/>
              <w:ind w:firstLine="420"/>
              <w:jc w:val="both"/>
            </w:pPr>
            <w:r>
              <w:rPr>
                <w:sz w:val="21"/>
              </w:rPr>
              <w:t>所有展品及辅助展品应满足采购人教学展示需求、经久耐用、安全性好，经采购人确认后方可实施。</w:t>
            </w:r>
          </w:p>
          <w:p>
            <w:pPr>
              <w:pStyle w:val="null3"/>
              <w:jc w:val="both"/>
            </w:pPr>
            <w:r>
              <w:rPr>
                <w:sz w:val="21"/>
                <w:b/>
              </w:rPr>
              <w:t>（十）辅助展项</w:t>
            </w:r>
          </w:p>
          <w:p>
            <w:pPr>
              <w:pStyle w:val="null3"/>
              <w:ind w:firstLine="420"/>
              <w:jc w:val="both"/>
            </w:pPr>
            <w:r>
              <w:rPr>
                <w:sz w:val="21"/>
              </w:rPr>
              <w:t>1.辅助展项设计应贴合展陈内容，主题鲜明，比例合理，色彩层次分明，细节有棱有角，使用多样化材料进行创作、制作；</w:t>
            </w:r>
          </w:p>
          <w:p>
            <w:pPr>
              <w:pStyle w:val="null3"/>
              <w:ind w:firstLine="420"/>
              <w:jc w:val="both"/>
            </w:pPr>
            <w:r>
              <w:rPr>
                <w:sz w:val="21"/>
              </w:rPr>
              <w:t>2.配合多媒体声光电技术的辅助展项，在保证整体展示、互动效果的前提下，必须充分考虑安全性、美观性、耐久性以及维护的便利性。</w:t>
            </w:r>
          </w:p>
          <w:p>
            <w:pPr>
              <w:pStyle w:val="null3"/>
              <w:jc w:val="both"/>
            </w:pPr>
            <w:r>
              <w:rPr>
                <w:sz w:val="21"/>
                <w:b/>
              </w:rPr>
              <w:t>（十一）照明</w:t>
            </w:r>
          </w:p>
          <w:p>
            <w:pPr>
              <w:pStyle w:val="null3"/>
              <w:ind w:firstLine="420"/>
              <w:jc w:val="both"/>
            </w:pPr>
            <w:r>
              <w:rPr>
                <w:sz w:val="21"/>
              </w:rPr>
              <w:t>所采用光源（以</w:t>
            </w:r>
            <w:r>
              <w:rPr>
                <w:sz w:val="21"/>
              </w:rPr>
              <w:t>LED光源为主）照度满足国家现行规范的要求。</w:t>
            </w:r>
          </w:p>
          <w:p>
            <w:pPr>
              <w:pStyle w:val="null3"/>
              <w:ind w:firstLine="420"/>
              <w:jc w:val="both"/>
            </w:pPr>
            <w:r>
              <w:rPr>
                <w:sz w:val="21"/>
              </w:rPr>
              <w:t>1.展陈照明技术要求</w:t>
            </w:r>
          </w:p>
          <w:p>
            <w:pPr>
              <w:pStyle w:val="null3"/>
              <w:ind w:firstLine="420"/>
              <w:jc w:val="both"/>
            </w:pPr>
            <w:r>
              <w:rPr>
                <w:sz w:val="21"/>
              </w:rPr>
              <w:t>展柜、展板、场景灯光光源选用科学合理，照射角度、显色指数、色温等参数齐全，光源位置明确，能充分体现设计原创性。</w:t>
            </w:r>
          </w:p>
          <w:p>
            <w:pPr>
              <w:pStyle w:val="null3"/>
              <w:ind w:firstLine="420"/>
              <w:jc w:val="both"/>
            </w:pPr>
            <w:r>
              <w:rPr>
                <w:sz w:val="21"/>
              </w:rPr>
              <w:t>2.专业展示照明轨道灯具要求</w:t>
            </w:r>
          </w:p>
          <w:p>
            <w:pPr>
              <w:pStyle w:val="null3"/>
              <w:ind w:firstLine="420"/>
              <w:jc w:val="both"/>
            </w:pPr>
            <w:r>
              <w:rPr>
                <w:sz w:val="21"/>
              </w:rPr>
              <w:t>（</w:t>
            </w:r>
            <w:r>
              <w:rPr>
                <w:sz w:val="21"/>
              </w:rPr>
              <w:t>1）应根据陈列对象及环境对照明的要求选择灯具。灯具应具有高显色性，色温适中，灯体材料及设计应利于散热，手动调节灵活，拆装方便，操作便捷，性能稳定。</w:t>
            </w:r>
          </w:p>
          <w:p>
            <w:pPr>
              <w:pStyle w:val="null3"/>
              <w:ind w:firstLine="420"/>
              <w:jc w:val="both"/>
            </w:pPr>
            <w:r>
              <w:rPr>
                <w:sz w:val="21"/>
              </w:rPr>
              <w:t>（</w:t>
            </w:r>
            <w:r>
              <w:rPr>
                <w:sz w:val="21"/>
              </w:rPr>
              <w:t>2）应针对不同尺寸的展品，辅以不同的光学措施，以达到在不增加灯具数量的情况下，满足不同展陈的照明要求，且应操作简便易行。</w:t>
            </w:r>
          </w:p>
          <w:p>
            <w:pPr>
              <w:pStyle w:val="null3"/>
              <w:ind w:firstLine="420"/>
              <w:jc w:val="both"/>
            </w:pPr>
            <w:r>
              <w:rPr>
                <w:sz w:val="21"/>
              </w:rPr>
              <w:t>（</w:t>
            </w:r>
            <w:r>
              <w:rPr>
                <w:sz w:val="21"/>
              </w:rPr>
              <w:t>3）在同一展厅内，为了整体美观和安装维护方便,同一光源类型的灯具须使用同一系列灯具。</w:t>
            </w:r>
          </w:p>
          <w:p>
            <w:pPr>
              <w:pStyle w:val="null3"/>
              <w:ind w:firstLine="420"/>
              <w:jc w:val="both"/>
            </w:pPr>
            <w:r>
              <w:rPr>
                <w:sz w:val="21"/>
              </w:rPr>
              <w:t>3.专业展示照明轨道要求</w:t>
            </w:r>
          </w:p>
          <w:p>
            <w:pPr>
              <w:pStyle w:val="null3"/>
              <w:ind w:firstLine="420"/>
              <w:jc w:val="both"/>
            </w:pPr>
            <w:r>
              <w:rPr>
                <w:sz w:val="21"/>
              </w:rPr>
              <w:t>（</w:t>
            </w:r>
            <w:r>
              <w:rPr>
                <w:sz w:val="21"/>
              </w:rPr>
              <w:t>1）轨道及其灯具，应适用于校史馆与校友之家内所有区域。</w:t>
            </w:r>
          </w:p>
          <w:p>
            <w:pPr>
              <w:pStyle w:val="null3"/>
              <w:ind w:firstLine="420"/>
              <w:jc w:val="both"/>
            </w:pPr>
            <w:r>
              <w:rPr>
                <w:sz w:val="21"/>
              </w:rPr>
              <w:t>（</w:t>
            </w:r>
            <w:r>
              <w:rPr>
                <w:sz w:val="21"/>
              </w:rPr>
              <w:t>2）配件齐全，并能够通过配件灵活调整长度。</w:t>
            </w:r>
          </w:p>
          <w:p>
            <w:pPr>
              <w:pStyle w:val="null3"/>
              <w:ind w:firstLine="420"/>
              <w:jc w:val="both"/>
            </w:pPr>
            <w:r>
              <w:rPr>
                <w:sz w:val="21"/>
              </w:rPr>
              <w:t>（</w:t>
            </w:r>
            <w:r>
              <w:rPr>
                <w:sz w:val="21"/>
              </w:rPr>
              <w:t>3）承重性良好，不易变形，安装简单灵活，使用安全，使用寿命长。</w:t>
            </w:r>
          </w:p>
          <w:p>
            <w:pPr>
              <w:pStyle w:val="null3"/>
              <w:ind w:firstLine="420"/>
              <w:jc w:val="both"/>
            </w:pPr>
            <w:r>
              <w:rPr>
                <w:sz w:val="21"/>
              </w:rPr>
              <w:t>（</w:t>
            </w:r>
            <w:r>
              <w:rPr>
                <w:sz w:val="21"/>
              </w:rPr>
              <w:t>4）可接入照明控制系统，且信号导线与电力导线应分离布置，以避免施工误操作的各类隐患。</w:t>
            </w:r>
          </w:p>
          <w:p>
            <w:pPr>
              <w:pStyle w:val="null3"/>
              <w:jc w:val="both"/>
            </w:pPr>
            <w:r>
              <w:rPr>
                <w:sz w:val="21"/>
                <w:b/>
              </w:rPr>
              <w:t>（十二）多媒体展项</w:t>
            </w:r>
          </w:p>
          <w:p>
            <w:pPr>
              <w:pStyle w:val="null3"/>
              <w:ind w:firstLine="420"/>
              <w:jc w:val="both"/>
            </w:pPr>
            <w:r>
              <w:rPr>
                <w:sz w:val="21"/>
              </w:rPr>
              <w:t>1.展项的设备产品，满足使用寿命长，且每日的连续使用时长须达到10小时或以上，技术成熟及市场保有量多的设备，最低标准须满足技术参数，不得偏离；</w:t>
            </w:r>
          </w:p>
          <w:p>
            <w:pPr>
              <w:pStyle w:val="null3"/>
              <w:ind w:firstLine="420"/>
              <w:jc w:val="both"/>
            </w:pPr>
            <w:r>
              <w:rPr>
                <w:sz w:val="21"/>
              </w:rPr>
              <w:t>2.系统集成软件的开发须达到运行稳定，人性化的控制，满足硬件的需求均需稳定、安全、合法等要求；</w:t>
            </w:r>
          </w:p>
          <w:p>
            <w:pPr>
              <w:pStyle w:val="null3"/>
              <w:ind w:firstLine="420"/>
              <w:jc w:val="both"/>
            </w:pPr>
            <w:r>
              <w:rPr>
                <w:sz w:val="21"/>
              </w:rPr>
              <w:t>3.完成强弱电布管布线工作并投入使用移动便携式的强弱电、完成强弱电布管布线工作并投入使用移动便携式的强弱电、灯光、音响中央控制系统，实现智能化控制，集成度高，技术成熟、安全可靠，做到环保节能标准。</w:t>
            </w:r>
          </w:p>
          <w:p>
            <w:pPr>
              <w:pStyle w:val="null3"/>
              <w:ind w:firstLine="420"/>
              <w:jc w:val="both"/>
            </w:pPr>
            <w:r>
              <w:rPr>
                <w:sz w:val="21"/>
              </w:rPr>
              <w:t>4.制作展项中多媒体及数字化设备涉及的所有视频播放内容的拍摄和制作需满足采购人的要求。</w:t>
            </w:r>
          </w:p>
          <w:p>
            <w:pPr>
              <w:pStyle w:val="null3"/>
              <w:jc w:val="both"/>
            </w:pPr>
            <w:r>
              <w:rPr>
                <w:sz w:val="21"/>
                <w:b/>
              </w:rPr>
              <w:t>（十三）平面设计与制作</w:t>
            </w:r>
          </w:p>
          <w:p>
            <w:pPr>
              <w:pStyle w:val="null3"/>
              <w:ind w:firstLine="420"/>
              <w:jc w:val="both"/>
            </w:pPr>
            <w:r>
              <w:rPr>
                <w:sz w:val="21"/>
              </w:rPr>
              <w:t>1.平面制作和安装，需高精度直印彩绘、UV直喷打印等制造工艺，并选用PVC板、防水无纺布、高质量油画布等易清洁、防水、使用寿命长并易于更换的材料，做到收口平整、不起泡、无色差，安装方便、更新便利。</w:t>
            </w:r>
          </w:p>
          <w:p>
            <w:pPr>
              <w:pStyle w:val="null3"/>
              <w:ind w:firstLine="420"/>
              <w:jc w:val="both"/>
            </w:pPr>
            <w:r>
              <w:rPr>
                <w:sz w:val="21"/>
              </w:rPr>
              <w:t>2.设计应符合展示及参观需求：文字科学性定义准确，排版格式正确，图片清晰，版面大小、色彩符合设计要求，肉眼观看舒适，与展示内容及空间设计风格统一，安装高度必须符合人体工学，适合各身高人士观看。</w:t>
            </w:r>
          </w:p>
        </w:tc>
      </w:tr>
      <w:tr>
        <w:tc>
          <w:tcPr>
            <w:tcW w:type="dxa" w:w="2076"/>
          </w:tcPr>
          <w:p/>
        </w:tc>
        <w:tc>
          <w:tcPr>
            <w:tcW w:type="dxa" w:w="415"/>
          </w:tcPr>
          <w:p>
            <w:pPr>
              <w:pStyle w:val="null3"/>
            </w:pPr>
            <w:r>
              <w:rPr/>
              <w:t>12</w:t>
            </w:r>
          </w:p>
        </w:tc>
        <w:tc>
          <w:tcPr>
            <w:tcW w:type="dxa" w:w="5814"/>
          </w:tcPr>
          <w:p>
            <w:pPr>
              <w:pStyle w:val="null3"/>
              <w:jc w:val="both"/>
            </w:pPr>
            <w:r>
              <w:rPr>
                <w:sz w:val="21"/>
                <w:b/>
              </w:rPr>
              <w:t>十二</w:t>
            </w:r>
            <w:r>
              <w:rPr>
                <w:sz w:val="21"/>
                <w:b/>
              </w:rPr>
              <w:t>、技术规范依据</w:t>
            </w:r>
          </w:p>
          <w:p>
            <w:pPr>
              <w:pStyle w:val="null3"/>
              <w:ind w:firstLine="420"/>
              <w:jc w:val="both"/>
            </w:pPr>
            <w:r>
              <w:rPr>
                <w:sz w:val="21"/>
              </w:rPr>
              <w:t>本项目采用国家（行业）、省、市现行最新相关规范和标准，若无国家标准，而采用企业、行业标准的，必须提供企业、行业标准的文本文件，及本项目设计图纸及设计说明书作为投入本项目的技术规范。在项目履约期间，如有新的标准实施，应按照最新的标准执行。相关技术规范依据包括但不限于：</w:t>
            </w:r>
          </w:p>
          <w:p>
            <w:pPr>
              <w:pStyle w:val="null3"/>
              <w:ind w:firstLine="420"/>
              <w:jc w:val="both"/>
            </w:pPr>
            <w:r>
              <w:rPr>
                <w:sz w:val="21"/>
              </w:rPr>
              <w:t>1.国家现行的有关政策、法规和相关规范</w:t>
            </w:r>
          </w:p>
          <w:p>
            <w:pPr>
              <w:pStyle w:val="null3"/>
              <w:ind w:firstLine="420"/>
              <w:jc w:val="both"/>
            </w:pPr>
            <w:r>
              <w:rPr>
                <w:sz w:val="21"/>
              </w:rPr>
              <w:t>（</w:t>
            </w:r>
            <w:r>
              <w:rPr>
                <w:sz w:val="21"/>
              </w:rPr>
              <w:t>1）《博物馆建筑设计规范》（JGJ66-2015）</w:t>
            </w:r>
          </w:p>
          <w:p>
            <w:pPr>
              <w:pStyle w:val="null3"/>
              <w:ind w:firstLine="420"/>
              <w:jc w:val="both"/>
            </w:pPr>
            <w:r>
              <w:rPr>
                <w:sz w:val="21"/>
              </w:rPr>
              <w:t>（</w:t>
            </w:r>
            <w:r>
              <w:rPr>
                <w:sz w:val="21"/>
              </w:rPr>
              <w:t>2）《博物馆建设标准》</w:t>
            </w:r>
          </w:p>
          <w:p>
            <w:pPr>
              <w:pStyle w:val="null3"/>
              <w:ind w:firstLine="420"/>
              <w:jc w:val="both"/>
            </w:pPr>
            <w:r>
              <w:rPr>
                <w:sz w:val="21"/>
              </w:rPr>
              <w:t>（</w:t>
            </w:r>
            <w:r>
              <w:rPr>
                <w:sz w:val="21"/>
              </w:rPr>
              <w:t>3）《展览建筑设计规范》（JGJ218-2010）</w:t>
            </w:r>
          </w:p>
          <w:p>
            <w:pPr>
              <w:pStyle w:val="null3"/>
              <w:ind w:firstLine="420"/>
              <w:jc w:val="both"/>
            </w:pPr>
            <w:r>
              <w:rPr>
                <w:sz w:val="21"/>
              </w:rPr>
              <w:t>（</w:t>
            </w:r>
            <w:r>
              <w:rPr>
                <w:sz w:val="21"/>
              </w:rPr>
              <w:t>4）《建筑防火通用规范》（GB55037-2022）</w:t>
            </w:r>
          </w:p>
          <w:p>
            <w:pPr>
              <w:pStyle w:val="null3"/>
              <w:ind w:firstLine="420"/>
              <w:jc w:val="both"/>
            </w:pPr>
            <w:r>
              <w:rPr>
                <w:sz w:val="21"/>
              </w:rPr>
              <w:t>2.其他相关规范与要求</w:t>
            </w:r>
          </w:p>
          <w:p>
            <w:pPr>
              <w:pStyle w:val="null3"/>
              <w:ind w:firstLine="420"/>
              <w:jc w:val="both"/>
            </w:pPr>
            <w:r>
              <w:rPr>
                <w:sz w:val="21"/>
              </w:rPr>
              <w:t>（</w:t>
            </w:r>
            <w:r>
              <w:rPr>
                <w:sz w:val="21"/>
              </w:rPr>
              <w:t>1）建筑工程设计依据</w:t>
            </w:r>
          </w:p>
          <w:p>
            <w:pPr>
              <w:pStyle w:val="null3"/>
              <w:ind w:firstLine="420"/>
              <w:jc w:val="both"/>
            </w:pPr>
            <w:r>
              <w:rPr>
                <w:sz w:val="21"/>
              </w:rPr>
              <w:t>1）《建筑防火通用规范》（GB55037-2022）</w:t>
            </w:r>
          </w:p>
          <w:p>
            <w:pPr>
              <w:pStyle w:val="null3"/>
              <w:ind w:firstLine="420"/>
              <w:jc w:val="both"/>
            </w:pPr>
            <w:r>
              <w:rPr>
                <w:sz w:val="21"/>
              </w:rPr>
              <w:t>2）《公共建筑节能设计标准》DB11/687-2015</w:t>
            </w:r>
          </w:p>
          <w:p>
            <w:pPr>
              <w:pStyle w:val="null3"/>
              <w:ind w:firstLine="420"/>
              <w:jc w:val="both"/>
            </w:pPr>
            <w:r>
              <w:rPr>
                <w:sz w:val="21"/>
              </w:rPr>
              <w:t>3）《展览建筑设计规范》（JGJ218-2010）</w:t>
            </w:r>
          </w:p>
          <w:p>
            <w:pPr>
              <w:pStyle w:val="null3"/>
              <w:ind w:firstLine="420"/>
              <w:jc w:val="both"/>
            </w:pPr>
            <w:r>
              <w:rPr>
                <w:sz w:val="21"/>
              </w:rPr>
              <w:t>（</w:t>
            </w:r>
            <w:r>
              <w:rPr>
                <w:sz w:val="21"/>
              </w:rPr>
              <w:t>2）给排水工程设计依据</w:t>
            </w:r>
          </w:p>
          <w:p>
            <w:pPr>
              <w:pStyle w:val="null3"/>
              <w:ind w:firstLine="420"/>
              <w:jc w:val="both"/>
            </w:pPr>
            <w:r>
              <w:rPr>
                <w:sz w:val="21"/>
              </w:rPr>
              <w:t>《建筑给水排水设计规范》</w:t>
            </w:r>
            <w:r>
              <w:rPr>
                <w:sz w:val="21"/>
              </w:rPr>
              <w:t>GB50015-2019</w:t>
            </w:r>
          </w:p>
          <w:p>
            <w:pPr>
              <w:pStyle w:val="null3"/>
              <w:ind w:firstLine="420"/>
              <w:jc w:val="both"/>
            </w:pPr>
            <w:r>
              <w:rPr>
                <w:sz w:val="21"/>
              </w:rPr>
              <w:t>（</w:t>
            </w:r>
            <w:r>
              <w:rPr>
                <w:sz w:val="21"/>
              </w:rPr>
              <w:t>3）电气工程设计依据</w:t>
            </w:r>
          </w:p>
          <w:p>
            <w:pPr>
              <w:pStyle w:val="null3"/>
              <w:ind w:firstLine="420"/>
              <w:jc w:val="both"/>
            </w:pPr>
            <w:r>
              <w:rPr>
                <w:sz w:val="21"/>
              </w:rPr>
              <w:t>1）《民用建筑电气设计规范》（JGJ16-2020）</w:t>
            </w:r>
          </w:p>
          <w:p>
            <w:pPr>
              <w:pStyle w:val="null3"/>
              <w:ind w:firstLine="420"/>
              <w:jc w:val="both"/>
            </w:pPr>
            <w:r>
              <w:rPr>
                <w:sz w:val="21"/>
              </w:rPr>
              <w:t>2）《供配电系统设计规范》（GB50052-2009）</w:t>
            </w:r>
          </w:p>
          <w:p>
            <w:pPr>
              <w:pStyle w:val="null3"/>
              <w:ind w:firstLine="420"/>
              <w:jc w:val="both"/>
            </w:pPr>
            <w:r>
              <w:rPr>
                <w:sz w:val="21"/>
              </w:rPr>
              <w:t>3）《低压配电设计规范》（GB50054-2011）</w:t>
            </w:r>
          </w:p>
          <w:p>
            <w:pPr>
              <w:pStyle w:val="null3"/>
              <w:ind w:firstLine="420"/>
              <w:jc w:val="both"/>
            </w:pPr>
            <w:r>
              <w:rPr>
                <w:sz w:val="21"/>
              </w:rPr>
              <w:t>4）《综合布线系统工程设计规范》（GB50311-2016）</w:t>
            </w:r>
          </w:p>
          <w:p>
            <w:pPr>
              <w:pStyle w:val="null3"/>
              <w:ind w:firstLine="420"/>
              <w:jc w:val="both"/>
            </w:pPr>
            <w:r>
              <w:rPr>
                <w:sz w:val="21"/>
              </w:rPr>
              <w:t>5）《建筑照明设计标准》（GB50034-2013）</w:t>
            </w:r>
          </w:p>
          <w:p>
            <w:pPr>
              <w:pStyle w:val="null3"/>
              <w:ind w:firstLine="420"/>
              <w:jc w:val="both"/>
            </w:pPr>
            <w:r>
              <w:rPr>
                <w:sz w:val="21"/>
              </w:rPr>
              <w:t>6）《展览建筑设计规范》（JGJ218-2010）</w:t>
            </w:r>
          </w:p>
          <w:p>
            <w:pPr>
              <w:pStyle w:val="null3"/>
              <w:ind w:firstLine="420"/>
              <w:jc w:val="both"/>
            </w:pPr>
            <w:r>
              <w:rPr>
                <w:sz w:val="21"/>
              </w:rPr>
              <w:t>7）《智能建筑设计标准》（GB／T50314-2015）</w:t>
            </w:r>
          </w:p>
          <w:p>
            <w:pPr>
              <w:pStyle w:val="null3"/>
              <w:ind w:firstLine="420"/>
              <w:jc w:val="both"/>
            </w:pPr>
            <w:r>
              <w:rPr>
                <w:sz w:val="21"/>
              </w:rPr>
              <w:t>8）《民用建筑电气设计规范》（JGJ16-2008）</w:t>
            </w:r>
          </w:p>
          <w:p>
            <w:pPr>
              <w:pStyle w:val="null3"/>
              <w:ind w:firstLine="420"/>
              <w:jc w:val="both"/>
            </w:pPr>
            <w:r>
              <w:rPr>
                <w:sz w:val="21"/>
              </w:rPr>
              <w:t>9</w:t>
            </w:r>
            <w:r>
              <w:rPr>
                <w:sz w:val="21"/>
              </w:rPr>
              <w:t>）《安全防范工程技术标准》（</w:t>
            </w:r>
            <w:r>
              <w:rPr>
                <w:sz w:val="21"/>
              </w:rPr>
              <w:t>GB50348-2018）</w:t>
            </w:r>
          </w:p>
        </w:tc>
      </w:tr>
      <w:tr>
        <w:tc>
          <w:tcPr>
            <w:tcW w:type="dxa" w:w="2076"/>
          </w:tcPr>
          <w:p/>
        </w:tc>
        <w:tc>
          <w:tcPr>
            <w:tcW w:type="dxa" w:w="415"/>
          </w:tcPr>
          <w:p>
            <w:pPr>
              <w:pStyle w:val="null3"/>
            </w:pPr>
            <w:r>
              <w:rPr/>
              <w:t>13</w:t>
            </w:r>
          </w:p>
        </w:tc>
        <w:tc>
          <w:tcPr>
            <w:tcW w:type="dxa" w:w="5814"/>
          </w:tcPr>
          <w:p>
            <w:pPr>
              <w:pStyle w:val="null3"/>
              <w:jc w:val="both"/>
            </w:pPr>
            <w:r>
              <w:rPr>
                <w:sz w:val="21"/>
                <w:b/>
              </w:rPr>
              <w:t>十三、</w:t>
            </w:r>
            <w:r>
              <w:rPr>
                <w:sz w:val="21"/>
                <w:b/>
              </w:rPr>
              <w:t>知识产权要求</w:t>
            </w:r>
          </w:p>
          <w:p>
            <w:pPr>
              <w:pStyle w:val="null3"/>
              <w:ind w:firstLine="420"/>
              <w:jc w:val="both"/>
            </w:pPr>
            <w:r>
              <w:rPr>
                <w:sz w:val="21"/>
              </w:rPr>
              <w:t>中标单位应保证其提供的工作成果未侵犯第三方的知识产权及其他权利，否则必须承担由此而引起的全部法律责任；中标单位不得以任何形式向发包人及项目使用单位以外的任何单位或个人提供涉及本服务项目的任何资料（包括但不限于电子档案、图纸、技术和设计创意等），如有违反，必须赔偿发包人及项目使用单位的损失并承担相应的法律责任。</w:t>
            </w:r>
          </w:p>
        </w:tc>
      </w:tr>
      <w:tr>
        <w:tc>
          <w:tcPr>
            <w:tcW w:type="dxa" w:w="2076"/>
          </w:tcPr>
          <w:p/>
        </w:tc>
        <w:tc>
          <w:tcPr>
            <w:tcW w:type="dxa" w:w="415"/>
          </w:tcPr>
          <w:p>
            <w:pPr>
              <w:pStyle w:val="null3"/>
            </w:pPr>
            <w:r>
              <w:rPr/>
              <w:t>14</w:t>
            </w:r>
          </w:p>
        </w:tc>
        <w:tc>
          <w:tcPr>
            <w:tcW w:type="dxa" w:w="5814"/>
          </w:tcPr>
          <w:p>
            <w:pPr>
              <w:pStyle w:val="null3"/>
              <w:jc w:val="both"/>
            </w:pPr>
            <w:r>
              <w:rPr>
                <w:sz w:val="21"/>
                <w:b/>
              </w:rPr>
              <w:t>十四</w:t>
            </w:r>
            <w:r>
              <w:rPr>
                <w:sz w:val="21"/>
                <w:b/>
              </w:rPr>
              <w:t>、人员要求</w:t>
            </w:r>
          </w:p>
          <w:p>
            <w:pPr>
              <w:pStyle w:val="null3"/>
              <w:ind w:firstLine="420"/>
              <w:jc w:val="both"/>
            </w:pPr>
            <w:r>
              <w:rPr>
                <w:sz w:val="21"/>
              </w:rPr>
              <w:t>1、项目负责人须具有建筑工程工程师职称，设计负责人具有装饰设计中级工程师职称。</w:t>
            </w:r>
          </w:p>
          <w:p>
            <w:pPr>
              <w:pStyle w:val="null3"/>
              <w:jc w:val="both"/>
            </w:pPr>
            <w:r>
              <w:rPr>
                <w:sz w:val="21"/>
              </w:rPr>
              <w:t xml:space="preserve">       2、项目部人员中除项目负责人、设计负责人外，还应配备关键岗位人员，包括但不限于：质量员、施工员、安全员、材料员、资料员。</w:t>
            </w:r>
          </w:p>
          <w:p>
            <w:pPr>
              <w:pStyle w:val="null3"/>
              <w:jc w:val="both"/>
            </w:pPr>
          </w:p>
        </w:tc>
      </w:tr>
      <w:tr>
        <w:tc>
          <w:tcPr>
            <w:tcW w:type="dxa" w:w="2076"/>
          </w:tcPr>
          <w:p/>
        </w:tc>
        <w:tc>
          <w:tcPr>
            <w:tcW w:type="dxa" w:w="415"/>
          </w:tcPr>
          <w:p>
            <w:pPr>
              <w:pStyle w:val="null3"/>
            </w:pPr>
            <w:r>
              <w:rPr/>
              <w:t>15</w:t>
            </w:r>
          </w:p>
        </w:tc>
        <w:tc>
          <w:tcPr>
            <w:tcW w:type="dxa" w:w="5814"/>
          </w:tcPr>
          <w:p>
            <w:pPr>
              <w:pStyle w:val="null3"/>
              <w:jc w:val="both"/>
            </w:pPr>
            <w:r>
              <w:rPr>
                <w:sz w:val="21"/>
                <w:b/>
              </w:rPr>
              <w:t>十五</w:t>
            </w:r>
            <w:r>
              <w:rPr>
                <w:sz w:val="21"/>
                <w:b/>
              </w:rPr>
              <w:t>、</w:t>
            </w:r>
            <w:r>
              <w:rPr>
                <w:sz w:val="21"/>
                <w:b/>
              </w:rPr>
              <w:t>附件</w:t>
            </w:r>
          </w:p>
          <w:p>
            <w:pPr>
              <w:pStyle w:val="null3"/>
              <w:ind w:firstLine="420"/>
              <w:jc w:val="both"/>
            </w:pPr>
            <w:r>
              <w:rPr>
                <w:sz w:val="21"/>
              </w:rPr>
              <w:t>附件</w:t>
            </w:r>
            <w:r>
              <w:rPr>
                <w:sz w:val="21"/>
              </w:rPr>
              <w:t>1：校史馆与校友之家设备内容制作技术要求</w:t>
            </w:r>
          </w:p>
          <w:p>
            <w:pPr>
              <w:pStyle w:val="null3"/>
              <w:ind w:firstLine="420"/>
              <w:jc w:val="both"/>
            </w:pPr>
            <w:r>
              <w:rPr>
                <w:sz w:val="21"/>
              </w:rPr>
              <w:t>附件</w:t>
            </w:r>
            <w:r>
              <w:rPr>
                <w:sz w:val="21"/>
              </w:rPr>
              <w:t>2：广东第二师范学院校史馆与校友之家初步设计方案</w:t>
            </w:r>
          </w:p>
          <w:p>
            <w:pPr>
              <w:pStyle w:val="null3"/>
              <w:ind w:firstLine="420"/>
              <w:jc w:val="both"/>
            </w:pPr>
            <w:r>
              <w:rPr>
                <w:sz w:val="21"/>
              </w:rPr>
              <w:t>附件</w:t>
            </w:r>
            <w:r>
              <w:rPr>
                <w:sz w:val="21"/>
              </w:rPr>
              <w:t>3：校史馆与校友之家建筑现状图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广东第二师范学院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 （1）以项目预算金额作为招标代理服务费的计算基数；（2）招标代理服务费采用差额定率累进法进行计算，按照以下标准计取：100万元以下的部分，按照1.5%计取；100-500万元的部分，按照0.8%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政府采购合同融资，投标人在中标（成交）后需要融资时可以申请政府采购合同融资。详情请见《广东省财政厅广东省地方金融监督管理局中国人民银行广州分行关于开展省级政府采购合同融资工作的通知》（粤财采购〔2020〕6号）（查询网址：http：//czt.gd.gov.cn/gkmlpt/content/2/2998/post_2998457.html#86）。</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校史馆与校友之家展陈设计与布展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采购包1（校史馆与校友之家展陈设计与布展服务项目）：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采购包1（校史馆与校友之家展陈设计与布展服务项目）：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建筑工程施工总承包三级（或以上资质）或建筑装修装饰工程专业承包二级（或以上资质）资质</w:t>
            </w:r>
          </w:p>
        </w:tc>
        <w:tc>
          <w:tcPr>
            <w:tcW w:type="dxa" w:w="4238"/>
          </w:tcPr>
          <w:p>
            <w:pPr>
              <w:pStyle w:val="null3"/>
            </w:pPr>
            <w:r>
              <w:rPr/>
              <w:t>供应商必须具有有效期内的建筑工程施工总承包三级（或以上资质）或建筑装修装饰工程专业承包二级（或以上）资质。（注：提供证书复印件）</w:t>
            </w:r>
          </w:p>
        </w:tc>
      </w:tr>
      <w:tr>
        <w:tc>
          <w:tcPr>
            <w:tcW w:type="dxa" w:w="890"/>
          </w:tcPr>
          <w:p>
            <w:pPr>
              <w:pStyle w:val="null3"/>
            </w:pPr>
            <w:r>
              <w:rPr/>
              <w:t>10</w:t>
            </w:r>
          </w:p>
        </w:tc>
        <w:tc>
          <w:tcPr>
            <w:tcW w:type="dxa" w:w="3178"/>
          </w:tcPr>
          <w:p>
            <w:pPr>
              <w:pStyle w:val="null3"/>
            </w:pPr>
            <w:r>
              <w:rPr/>
              <w:t>安全生产许可证</w:t>
            </w:r>
          </w:p>
        </w:tc>
        <w:tc>
          <w:tcPr>
            <w:tcW w:type="dxa" w:w="4238"/>
          </w:tcPr>
          <w:p>
            <w:pPr>
              <w:pStyle w:val="null3"/>
            </w:pPr>
            <w:r>
              <w:rPr/>
              <w:t>供应商必须具有建设行政主管部门颁发的安全生产许可证。（注：提供证书复印件）</w:t>
            </w:r>
          </w:p>
        </w:tc>
      </w:tr>
      <w:tr>
        <w:tc>
          <w:tcPr>
            <w:tcW w:type="dxa" w:w="890"/>
          </w:tcPr>
          <w:p>
            <w:pPr>
              <w:pStyle w:val="null3"/>
            </w:pPr>
            <w:r>
              <w:rPr/>
              <w:t>11</w:t>
            </w:r>
          </w:p>
        </w:tc>
        <w:tc>
          <w:tcPr>
            <w:tcW w:type="dxa" w:w="3178"/>
          </w:tcPr>
          <w:p>
            <w:pPr>
              <w:pStyle w:val="null3"/>
            </w:pPr>
            <w:r>
              <w:rPr/>
              <w:t>项目负责人</w:t>
            </w:r>
          </w:p>
        </w:tc>
        <w:tc>
          <w:tcPr>
            <w:tcW w:type="dxa" w:w="4238"/>
          </w:tcPr>
          <w:p>
            <w:pPr>
              <w:pStyle w:val="null3"/>
            </w:pPr>
            <w:r>
              <w:rPr/>
              <w:t>供应商拟担任本工程项目负责人的人员：项目负责人应具备建筑工程专业二级（或以上）注册建造师执业资格，并持有项目负责人安全生产考核合格证（B类）或能够提供建筑施工企业管理人员安全生产考核信息系统安全生产管理人员证书信息的打印页； 注1：提供证书复印件等，建造师的专业及等级标准按《注册建造师执业管理办法（试行）》及《注册建造师执业工程规模标准（试行）》。 注2：项目负责人不得同时在其他在建工程项目担任项目负责人。（投标时提供承诺函）。注3：项目负责人需提供开标前6个月内任意1个月的社会保险证明材料。</w:t>
            </w:r>
          </w:p>
        </w:tc>
      </w:tr>
      <w:tr>
        <w:tc>
          <w:tcPr>
            <w:tcW w:type="dxa" w:w="890"/>
          </w:tcPr>
          <w:p>
            <w:pPr>
              <w:pStyle w:val="null3"/>
            </w:pPr>
            <w:r>
              <w:rPr/>
              <w:t>12</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注1：提供证书复印件。注2：项目负责人在任职期间不得担任专职安全员，项目专职安全员在任职期间也不得担任项目负责人，项目负责人和安全员不为同一人。（投标时提供承诺函）。注3：专职安全员需提供开标前6个月内任意1个月的社会保险证明材料。</w:t>
            </w:r>
          </w:p>
        </w:tc>
      </w:tr>
      <w:tr>
        <w:tc>
          <w:tcPr>
            <w:tcW w:type="dxa" w:w="890"/>
          </w:tcPr>
          <w:p>
            <w:pPr>
              <w:pStyle w:val="null3"/>
            </w:pPr>
            <w:r>
              <w:rPr/>
              <w:t>13</w:t>
            </w:r>
          </w:p>
        </w:tc>
        <w:tc>
          <w:tcPr>
            <w:tcW w:type="dxa" w:w="3178"/>
          </w:tcPr>
          <w:p>
            <w:pPr>
              <w:pStyle w:val="null3"/>
            </w:pPr>
            <w:r>
              <w:rPr/>
              <w:t>工程设计资质</w:t>
            </w:r>
          </w:p>
        </w:tc>
        <w:tc>
          <w:tcPr>
            <w:tcW w:type="dxa" w:w="4238"/>
          </w:tcPr>
          <w:p>
            <w:pPr>
              <w:pStyle w:val="null3"/>
            </w:pPr>
            <w:r>
              <w:rPr/>
              <w:t>供应商必须具有以下任一工程设计资质：1）工程设计综合资质，2）工程设计（建筑行业）资质，3）建筑行业（建筑工程）设计专业资质，4）建筑装饰工程设计专项资质或建筑装饰工程通用专业资质。（注：提供证书复印件）</w:t>
            </w:r>
          </w:p>
        </w:tc>
      </w:tr>
      <w:tr>
        <w:tc>
          <w:tcPr>
            <w:tcW w:type="dxa" w:w="890"/>
          </w:tcPr>
          <w:p>
            <w:pPr>
              <w:pStyle w:val="null3"/>
            </w:pPr>
            <w:r>
              <w:rPr/>
              <w:t>14</w:t>
            </w:r>
          </w:p>
        </w:tc>
        <w:tc>
          <w:tcPr>
            <w:tcW w:type="dxa" w:w="3178"/>
          </w:tcPr>
          <w:p>
            <w:pPr>
              <w:pStyle w:val="null3"/>
            </w:pPr>
            <w:r>
              <w:rPr/>
              <w:t>本采购包专门面向中小企业采购</w:t>
            </w:r>
          </w:p>
        </w:tc>
        <w:tc>
          <w:tcPr>
            <w:tcW w:type="dxa" w:w="4238"/>
          </w:tcPr>
          <w:p>
            <w:pPr>
              <w:pStyle w:val="null3"/>
            </w:pPr>
            <w:r>
              <w:rPr/>
              <w:t>本项目专门面向中小企业采购。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采购包1（校史馆与校友之家展陈设计与布展服务项目）：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采购包1(校史馆与校友之家展陈设计与布展服务项目):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整体设计方案 (12.0分)</w:t>
            </w:r>
          </w:p>
        </w:tc>
        <w:tc>
          <w:tcPr>
            <w:tcW w:type="dxa" w:w="5076"/>
          </w:tcPr>
          <w:p>
            <w:pPr>
              <w:pStyle w:val="null3"/>
              <w:jc w:val="left"/>
            </w:pPr>
            <w:r>
              <w:rPr/>
              <w:t>根据投标人提供的整体设计方案（包括但不限于：①设计展示目标、理念、主题；②整体功能布局；③参观路线等）进行评审： （1）对展示目标、理念、主题能够完善并提高，整体功能布局根据展陈大纲内容能够做到面积大小得当，紧扣广东第二师范学院特色，展项亮点、燃点、共情点，能与观众极好互动，流线设计一气呵成、不回流、不对碰、不留死角，展区之间的内容过渡不突兀，参观路线富有节奏感、张弛有度的，得12分； （2）对展示目标、理念、主题有一定体现但深度不足，功能布局基本合理但局部区域面积分配与展陈大纲略有偏差，学院特色有所呈现但缺乏亮点提炼，展项互动性较弱或仅部分展项具备吸引力，流线设计存在少量回流或局部交叉，展区过渡稍显生硬，参观节奏较平缓的，得9分； （3）展示目标、理念、主题模糊或与展陈大纲关联性弱，功能布局松散且面积分配失衡，学院特色表达肤浅，展项互动性差、缺乏共情设计，流线设计存在明显对碰或死角，展区内容割裂无衔接，参观节奏混乱的，得6分； （4）展示目标、理念、主题与展陈大纲严重脱节，功能布局混乱且面积分配失当，完全脱离学院特色，展项静态陈列为主且无互动设计，流线设计频繁回流、对碰或存在安全隐患，展区内容跳跃无逻辑，参观节奏冗长拖沓的，得3分； （5）未提供整体设计方案，得0分。</w:t>
            </w:r>
          </w:p>
        </w:tc>
      </w:tr>
      <w:tr>
        <w:tc>
          <w:tcPr>
            <w:tcW w:type="dxa" w:w="922"/>
            <w:gridSpan w:val="2"/>
            <w:vMerge/>
          </w:tcPr>
          <w:p/>
        </w:tc>
        <w:tc>
          <w:tcPr>
            <w:tcW w:type="dxa" w:w="2307"/>
          </w:tcPr>
          <w:p>
            <w:pPr>
              <w:pStyle w:val="null3"/>
              <w:jc w:val="left"/>
            </w:pPr>
            <w:r>
              <w:rPr/>
              <w:t>设计展示效果1 (5.0分)</w:t>
            </w:r>
          </w:p>
        </w:tc>
        <w:tc>
          <w:tcPr>
            <w:tcW w:type="dxa" w:w="5076"/>
          </w:tcPr>
          <w:p>
            <w:pPr>
              <w:pStyle w:val="null3"/>
              <w:jc w:val="left"/>
            </w:pPr>
            <w:r>
              <w:rPr/>
              <w:t>根据投标人提供的空间方案（包括但不限于：①展示方案；②展览空间设计；③布置展品展项创意等）进行评审： （1）展示方案重点突出，展览空间设计与整体建筑内部构造相得益彰，能够按照建筑每部分的结构特点且很好结合大纲进行创意，布置展品展项创意独到且可执行性强；视觉新颖，有很强的创意性和思想性，且落地性强的，得5分； （2）展示方案重点较为突出，展览空间设计与建筑内部构造基本协调，能结合部分建筑结构特点但创意融合深度不足，展项布置有一定创意但局部可执行性较强；视觉表现尚可但创新性与思想性较为常规，落地性整体可行但细节需优化的，得3.5分； （3）展示方案重点分散或与建筑结构关联性弱，空间设计未能充分利用建筑特点且偏离大纲核心，展项布置创意平淡、可执行性一般；视觉表现缺乏新意，思想性单薄，落地性存在明显技术或成本障碍的，得2分； （4）展示方案与建筑构造冲突或完全忽视结构特点，空间设计与大纲脱节，展项布置缺乏创意且不可行；视觉陈旧、无创新表达，思想性缺失，落地性极差或脱离实际条件的，得1分； （5）不提供方案的，得0分。 注：空间方案不少于20张。</w:t>
            </w:r>
          </w:p>
        </w:tc>
      </w:tr>
      <w:tr>
        <w:tc>
          <w:tcPr>
            <w:tcW w:type="dxa" w:w="922"/>
            <w:gridSpan w:val="2"/>
            <w:vMerge/>
          </w:tcPr>
          <w:p/>
        </w:tc>
        <w:tc>
          <w:tcPr>
            <w:tcW w:type="dxa" w:w="2307"/>
          </w:tcPr>
          <w:p>
            <w:pPr>
              <w:pStyle w:val="null3"/>
              <w:jc w:val="left"/>
            </w:pPr>
            <w:r>
              <w:rPr/>
              <w:t>设计展示效果2 (5.0分)</w:t>
            </w:r>
          </w:p>
        </w:tc>
        <w:tc>
          <w:tcPr>
            <w:tcW w:type="dxa" w:w="5076"/>
          </w:tcPr>
          <w:p>
            <w:pPr>
              <w:pStyle w:val="null3"/>
              <w:jc w:val="left"/>
            </w:pPr>
            <w:r>
              <w:rPr/>
              <w:t>根据投标人提供的平面方案（包括但不限于：①立面设计风格；②如何契合学校特点等）进行评审： （1）立面设计风格统一；色彩和谐、能够彰显各个时期的时代背景；合理运用并突出重点元素，契合学校特点与各单元内容；体现学校的文化底蕴与特点，高度符合学校形象的，得5分； （2）立面设计风格较为统一，色彩搭配基本和谐但对各时期时代背景的呈现较鲜明，元素运用较为合理但重点较突出，与学校特点及单元内容的契合度存在部分偏差，文化底蕴表达尚可但缺乏深度的，得3.5分； （3）立面设计风格统一性不足，色彩搭配平淡或存在冲突，时代背景特征模糊，元素运用分散且与学校特点关联性较弱，单元内容契合度较低，文化底蕴表达流于表面化的，得2分； （4）立面设计风格混乱、色彩搭配失调，完全脱离各时期时代背景特征，元素堆砌无重点且与学校特点严重不符，单元内容割裂无逻辑，文化底蕴缺失或与学校形象矛盾的，得1分； （5）不提供方案的，得0分。 注：立面方案不少于12张。</w:t>
            </w:r>
          </w:p>
        </w:tc>
      </w:tr>
      <w:tr>
        <w:tc>
          <w:tcPr>
            <w:tcW w:type="dxa" w:w="922"/>
            <w:gridSpan w:val="2"/>
            <w:vMerge/>
          </w:tcPr>
          <w:p/>
        </w:tc>
        <w:tc>
          <w:tcPr>
            <w:tcW w:type="dxa" w:w="2307"/>
          </w:tcPr>
          <w:p>
            <w:pPr>
              <w:pStyle w:val="null3"/>
              <w:jc w:val="left"/>
            </w:pPr>
            <w:r>
              <w:rPr/>
              <w:t>设计展示效果3 (5.0分)</w:t>
            </w:r>
          </w:p>
        </w:tc>
        <w:tc>
          <w:tcPr>
            <w:tcW w:type="dxa" w:w="5076"/>
          </w:tcPr>
          <w:p>
            <w:pPr>
              <w:pStyle w:val="null3"/>
              <w:jc w:val="left"/>
            </w:pPr>
            <w:r>
              <w:rPr/>
              <w:t>根据投标人提供的场景艺术设计（包括但不限于：①场景设计；②构思立意等）进行评审： （1）场景设计以各历史时期重要事件、典型人物、重要建筑等反映学校精神和成就为主，构思立意准确，构图布局合理，时代特征明显，艺术感染力强，和参观流线及整体效果结合完美的，得5分； （2）场景设计基本围绕学校历史事件、人物及建筑展开，但部分内容对学校精神的诠释深度不足；构思立意总体较为准确，构图布局大体合理但重点区域表现力欠佳，时代特征存在但稍欠鲜明，艺术感染力尚可，参观流线基本顺畅，整体效果结合较完美的，得3.5分； （3）场景设计对历史事件或人物的选取与学校精神关联性不强，构思立意存在偏差，构图布局松散或重点不突出，时代特征模糊或细节失真，艺术感染力较弱，参观流线存在冲突或部分区域引导缺失的，得2分； （4）场景设计与学校历史脱节，构思立意偏离核心主题，构图布局混乱无逻辑，时代特征错乱或完全失实，艺术表达生硬粗糙，参观流线断裂或与整体效果严重割裂的，得1分； （5）不提供方案的，得0分。 注：场景设计不少于6项。</w:t>
            </w:r>
          </w:p>
        </w:tc>
      </w:tr>
      <w:tr>
        <w:tc>
          <w:tcPr>
            <w:tcW w:type="dxa" w:w="922"/>
            <w:gridSpan w:val="2"/>
            <w:vMerge/>
          </w:tcPr>
          <w:p/>
        </w:tc>
        <w:tc>
          <w:tcPr>
            <w:tcW w:type="dxa" w:w="2307"/>
          </w:tcPr>
          <w:p>
            <w:pPr>
              <w:pStyle w:val="null3"/>
              <w:jc w:val="left"/>
            </w:pPr>
            <w:r>
              <w:rPr/>
              <w:t>展陈深化 (10.0分)</w:t>
            </w:r>
          </w:p>
        </w:tc>
        <w:tc>
          <w:tcPr>
            <w:tcW w:type="dxa" w:w="5076"/>
          </w:tcPr>
          <w:p>
            <w:pPr>
              <w:pStyle w:val="null3"/>
              <w:jc w:val="left"/>
            </w:pPr>
            <w:r>
              <w:rPr/>
              <w:t>根据投标人提供的展陈深化（包括但不限于：①展览大纲；②各单元板块展示内容等）进行评审： （1）展览大纲的梳理、提炼、文案包装，高度契合学校发展历史；大纲逻辑脉络清晰、行文规范、图文并茂；各级标题凝练准确、鲜明、有特色；史料收集丰富、对历史解读深刻，各单元板块重点展示内容把握精准；展开故事性提炼与转化，生动且具有感染力的，得10分； （2）展览大纲的梳理、提炼、文案包装，较契合学校发展历史；大纲逻辑脉络较清晰但局部存在跳跃、行文较规范、图文配比基本平衡；各级标题凝练较准确、鲜明、较有特色；史料收集较丰富但对历史解读深度有限，各单元板块重点展示内容把握较精准；展开故事性提炼与转化，较生动且具有感染力的的，得7分； （3）展览大纲与学校历史关联性一般，逻辑脉络松散、行文平淡；标题表述笼统或存在偏差，史料收集不完整、历史解读流于表面，单元板块重点内容模糊；故事性转化生硬或缺乏连贯性的，得4分； （4）展览大纲偏离学校发展主线，逻辑混乱、行文粗糙；标题不准确或与内容脱节，史料缺失严重、历史解读肤浅甚至存在错误，单元内容堆砌无重点；故事性提炼缺失或表述机械化的，得1分； （5）不提供方案的，得0分。</w:t>
            </w:r>
          </w:p>
        </w:tc>
      </w:tr>
      <w:tr>
        <w:tc>
          <w:tcPr>
            <w:tcW w:type="dxa" w:w="922"/>
            <w:gridSpan w:val="2"/>
            <w:vMerge/>
          </w:tcPr>
          <w:p/>
        </w:tc>
        <w:tc>
          <w:tcPr>
            <w:tcW w:type="dxa" w:w="2307"/>
          </w:tcPr>
          <w:p>
            <w:pPr>
              <w:pStyle w:val="null3"/>
              <w:jc w:val="left"/>
            </w:pPr>
            <w:r>
              <w:rPr/>
              <w:t>项目设计重难点分析 (5.0分)</w:t>
            </w:r>
          </w:p>
        </w:tc>
        <w:tc>
          <w:tcPr>
            <w:tcW w:type="dxa" w:w="5076"/>
          </w:tcPr>
          <w:p>
            <w:pPr>
              <w:pStyle w:val="null3"/>
              <w:jc w:val="left"/>
            </w:pPr>
            <w:r>
              <w:rPr/>
              <w:t>根据投标人提供的项目设计重难点分析（包括但不限于：①针对空间特点，解析项目设计中的难点、痛点；②根据空间设计条件，进行方案优化，提出创新并能够效果落地等）进行评审： （1）能够全面解析空间设计其中的难点，提出的创新方案切实可行，效果展示落地性强，得5分。 （2）基本能够解析空间设计难点，提出的创新方案较切实可行，效果展示落地性较强，得3.5分。 （3）对空间设计难点解析基本满足但不全面，提出的创新方案执行性不强，效果展示落地性基本可行，得2分。 （4）对空间设计难点不满足不全面不到位，提出的创新方案不可行，效果展示落地不理想，得1分。 （5）不提供方案的，得0分</w:t>
            </w:r>
          </w:p>
        </w:tc>
      </w:tr>
      <w:tr>
        <w:tc>
          <w:tcPr>
            <w:tcW w:type="dxa" w:w="922"/>
            <w:gridSpan w:val="2"/>
            <w:vMerge/>
          </w:tcPr>
          <w:p/>
        </w:tc>
        <w:tc>
          <w:tcPr>
            <w:tcW w:type="dxa" w:w="2307"/>
          </w:tcPr>
          <w:p>
            <w:pPr>
              <w:pStyle w:val="null3"/>
              <w:jc w:val="left"/>
            </w:pPr>
            <w:r>
              <w:rPr/>
              <w:t>现场阐述 (8.0分)</w:t>
            </w:r>
          </w:p>
        </w:tc>
        <w:tc>
          <w:tcPr>
            <w:tcW w:type="dxa" w:w="5076"/>
          </w:tcPr>
          <w:p>
            <w:pPr>
              <w:pStyle w:val="null3"/>
              <w:jc w:val="left"/>
            </w:pPr>
            <w:r>
              <w:rPr/>
              <w:t>供应商现场阐述方案（15分钟以内，以PPT或者视频等形式），结合供应商现场阐述考核其方案情况、对设计构思、设计方案、其他需说明的有关内容等进行综合评分： （1）设计构思表述完整、内容解读清晰全面、能很好体现设计方案的特色，主题突出，设计方案表现力、感染力强、有深度，对内容挖掘到位，表述清晰，讲解到位的，得8分； （2）设计构思表述较完整、内容解读较清晰全面、较能很好体现设计方案的特色，主题较突出，设计方案表现力、感染力较强、较有深度，对内容挖掘较到位，表述较清晰，讲解较到位的，得5分； （3）设计构思表述基本完整但存在局部遗漏，内容解读较为清晰全面但未能全面覆盖设计亮点，主题表达尚可但缺乏独特性，设计方案表现力与感染力一般，对内容挖掘停留在表层，讲解过程中存在部分表述模糊或逻辑跳跃的，得3分； （4）设计构思表述零散、关键环节缺失，内容解读片面或偏离核心设计意图，主题模糊不突出，设计方案表现力弱、缺乏感染力，内容挖掘肤浅且逻辑混乱，讲解含混不清或重点不明的，得1分； （5）不提供或其他的，得0分。 注：演示人员需出具有效身份证及在投标截止之日前六个月任意一个月在投标人单位购买的社保证明复印件，未按要求出具的其演示分作零分处理。现场阐述地点为：广州市天河区龙怡路117号银汇大厦5楼广东志正招标有限公司会议室。</w:t>
            </w:r>
          </w:p>
        </w:tc>
      </w:tr>
      <w:tr>
        <w:tc>
          <w:tcPr>
            <w:tcW w:type="dxa" w:w="922"/>
            <w:gridSpan w:val="2"/>
            <w:vMerge/>
          </w:tcPr>
          <w:p/>
        </w:tc>
        <w:tc>
          <w:tcPr>
            <w:tcW w:type="dxa" w:w="2307"/>
          </w:tcPr>
          <w:p>
            <w:pPr>
              <w:pStyle w:val="null3"/>
              <w:jc w:val="left"/>
            </w:pPr>
            <w:r>
              <w:rPr/>
              <w:t>施工组织设计方案 (10.0分)</w:t>
            </w:r>
          </w:p>
        </w:tc>
        <w:tc>
          <w:tcPr>
            <w:tcW w:type="dxa" w:w="5076"/>
          </w:tcPr>
          <w:p>
            <w:pPr>
              <w:pStyle w:val="null3"/>
              <w:jc w:val="left"/>
            </w:pPr>
            <w:r>
              <w:rPr/>
              <w:t>根据投标人提供的施工组织设计方案（包括但不限于：①项目管理机构设置；②管理人员安排；③装修材料进场计划；④质量保证措施等）进行评审： （1）施工组织设计方案全面、具体，针对性强，可行性高的，得10分； （2）施工组织设计方案较全面，较具体，针对性较强，可行性较高的，得7分； （3）施工组织设计方案基本全面，基本具体、针对性一般，可行性一般的，得4分。 （4）施工组织设计方案不够全面，不够具体、针对性欠缺，可行性低的，得1分。 （5）不提供方案的，得0分。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投标人具有以下有效期内的认证证书： (1)质量管理体系认证证书 (2)环境管理体系认证证书 (3)职业健康安全管理体系认证证书 每具有一个得2分，最多得6分。 注：①提供认证证书复印件和打印网站公布的链接信息资料【以http://www.cnca.gov.cn/网站公布为准，证书必须处于“有效”状态】,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无或缺项或未按要求递交证明材料的不得分。②上述证书如因投标人成立时间不足3个月的原因未能获得的，视可对应得分。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投标人自2022年1月1日至今完成同类业绩（相关展馆布展类）项目情况，每提供一个同类项目业绩得2分，本项最高得10分， 注：以合同签订时间为准，提供合同及中标通知书复印件，同一单位不重复计分，无法认定或不提供不得分。</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根据拟派项目负责人进行评审： （1）项目负责人具有建筑工程高级工程师职称的得3分，具有建筑工程中级工程师职称的得1分；本项最高得3分。项目负责人具有多个职称的，按最高职称计分，不重复计分。 注：①提供证书复印件；②提供上述人员在投标截止之日前六个月任意一个月在投标人单位购买的社保证明复印件；③职称证书提供官网证书查验截图（访问www.12333.gov.cn网页，进入“在线服务”的“人才人事”板块使用职称查询平台）；提供不全或未提供不得分。</w:t>
            </w:r>
          </w:p>
        </w:tc>
      </w:tr>
      <w:tr>
        <w:tc>
          <w:tcPr>
            <w:tcW w:type="dxa" w:w="922"/>
            <w:gridSpan w:val="2"/>
            <w:vMerge/>
          </w:tcPr>
          <w:p/>
        </w:tc>
        <w:tc>
          <w:tcPr>
            <w:tcW w:type="dxa" w:w="2307"/>
          </w:tcPr>
          <w:p>
            <w:pPr>
              <w:pStyle w:val="null3"/>
              <w:jc w:val="left"/>
            </w:pPr>
            <w:r>
              <w:rPr/>
              <w:t>设计负责人 (3.0分)</w:t>
            </w:r>
          </w:p>
        </w:tc>
        <w:tc>
          <w:tcPr>
            <w:tcW w:type="dxa" w:w="5076"/>
          </w:tcPr>
          <w:p>
            <w:pPr>
              <w:pStyle w:val="null3"/>
              <w:jc w:val="left"/>
            </w:pPr>
            <w:r>
              <w:rPr/>
              <w:t>设计负责人具有装饰设计中级工程师证书，得3分。 注：①提供证书复印件；②提供上述人员在投标截止之日前六个月任意一个月在投标人单位购买的社保证明复印件；提供不全或未提供不得分。</w:t>
            </w:r>
          </w:p>
        </w:tc>
      </w:tr>
      <w:tr>
        <w:tc>
          <w:tcPr>
            <w:tcW w:type="dxa" w:w="922"/>
            <w:gridSpan w:val="2"/>
            <w:vMerge/>
          </w:tcPr>
          <w:p/>
        </w:tc>
        <w:tc>
          <w:tcPr>
            <w:tcW w:type="dxa" w:w="2307"/>
          </w:tcPr>
          <w:p>
            <w:pPr>
              <w:pStyle w:val="null3"/>
              <w:jc w:val="left"/>
            </w:pPr>
            <w:r>
              <w:rPr/>
              <w:t>项目团队 (5.0分)</w:t>
            </w:r>
          </w:p>
        </w:tc>
        <w:tc>
          <w:tcPr>
            <w:tcW w:type="dxa" w:w="5076"/>
          </w:tcPr>
          <w:p>
            <w:pPr>
              <w:pStyle w:val="null3"/>
              <w:jc w:val="left"/>
            </w:pPr>
            <w:r>
              <w:rPr/>
              <w:t>项目部人员中除项目负责人、设计负责人外，关键岗位人员（质量员、施工员、安全员、材料员、资料员）每配备一个得1分，最高得5分。以上人员不得兼任。 注：①提供证书复印件；②提供上述人员在投标截止之日前六个月任意一个月在投标人单位购买的社保证明复印件；③项目部人员证书需提供查询页面截图（其中，安全员访问全国工程质量安全监管信息平台（https://zlaq.mohurd.gov.cn/），进入“安全生产管理人员考核合作证书信息”查询；其余人员访问住房城乡建设行业从业人员培训管理信息系统http://admin.zhujianpeixun.com/网页，进入“施工现场专业人员查询”板块查询截图）；提供不全或未提供不得分。</w:t>
            </w:r>
          </w:p>
        </w:tc>
      </w:tr>
      <w:tr>
        <w:tc>
          <w:tcPr>
            <w:tcW w:type="dxa" w:w="922"/>
            <w:gridSpan w:val="2"/>
            <w:vMerge/>
          </w:tcPr>
          <w:p/>
        </w:tc>
        <w:tc>
          <w:tcPr>
            <w:tcW w:type="dxa" w:w="2307"/>
          </w:tcPr>
          <w:p>
            <w:pPr>
              <w:pStyle w:val="null3"/>
              <w:jc w:val="left"/>
            </w:pPr>
            <w:r>
              <w:rPr/>
              <w:t>服务响应时间 (3.0分)</w:t>
            </w:r>
          </w:p>
        </w:tc>
        <w:tc>
          <w:tcPr>
            <w:tcW w:type="dxa" w:w="5076"/>
          </w:tcPr>
          <w:p>
            <w:pPr>
              <w:pStyle w:val="null3"/>
              <w:jc w:val="left"/>
            </w:pPr>
            <w:r>
              <w:rPr/>
              <w:t>（1）质保期内，中标人在收到采购人故障报修的4小时内做出响应并提供解决方案，并在24小时内到达现场排查并维修的，得3分； （2）质保期内，中标人在收到采购人故障报修的6小时内做出响应并提供解决方案，并在36小时内到达现场排查并维修的，得2分； （3）质保期内，中标人在收到采购人故障报修的8小时内做出响应并提供解决方案，并在48小时内到达现场排查并维修的，得1分； （4）质保期内，中标人在收到采购人故障报修的10小时内做出响应并提供解决方案，并在60小时内到达现场排查并维修的，得0分； 注：提供承诺函，格式自拟。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合同编号：</w:t>
      </w:r>
    </w:p>
    <w:p>
      <w:pPr>
        <w:pStyle w:val="null3"/>
        <w:spacing w:before="150" w:after="150"/>
        <w:jc w:val="both"/>
      </w:pPr>
      <w:r>
        <w:rPr>
          <w:sz w:val="44"/>
          <w:b/>
        </w:rPr>
        <w:t>广东第二师范学院</w:t>
      </w:r>
    </w:p>
    <w:p>
      <w:pPr>
        <w:pStyle w:val="null3"/>
        <w:spacing w:before="150" w:after="150"/>
        <w:jc w:val="center"/>
      </w:pPr>
      <w:r>
        <w:rPr>
          <w:sz w:val="44"/>
          <w:b/>
        </w:rPr>
        <w:t>校史馆与校友之家展陈设计与布展服务</w:t>
      </w:r>
    </w:p>
    <w:p>
      <w:pPr>
        <w:pStyle w:val="null3"/>
        <w:spacing w:before="150" w:after="150"/>
        <w:jc w:val="both"/>
      </w:pPr>
      <w:r>
        <w:rPr>
          <w:sz w:val="44"/>
          <w:b/>
        </w:rPr>
        <w:t>合</w:t>
      </w:r>
    </w:p>
    <w:p>
      <w:pPr>
        <w:pStyle w:val="null3"/>
        <w:spacing w:before="150" w:after="150"/>
        <w:ind w:left="150"/>
        <w:jc w:val="center"/>
      </w:pPr>
      <w:r>
        <w:rPr>
          <w:sz w:val="44"/>
          <w:b/>
        </w:rPr>
        <w:t>同</w:t>
      </w:r>
    </w:p>
    <w:p>
      <w:pPr>
        <w:pStyle w:val="null3"/>
        <w:spacing w:before="150" w:after="150"/>
        <w:ind w:left="150"/>
        <w:jc w:val="center"/>
      </w:pPr>
      <w:r>
        <w:rPr>
          <w:sz w:val="44"/>
          <w:b/>
        </w:rPr>
        <w:t>书</w:t>
      </w:r>
    </w:p>
    <w:p>
      <w:pPr>
        <w:pStyle w:val="null3"/>
        <w:spacing w:before="150" w:after="150"/>
        <w:ind w:right="2475"/>
        <w:jc w:val="both"/>
      </w:pPr>
      <w:r>
        <w:rPr>
          <w:sz w:val="28"/>
        </w:rPr>
        <w:t>甲方：广东第二师范学院</w:t>
      </w:r>
    </w:p>
    <w:p>
      <w:pPr>
        <w:pStyle w:val="null3"/>
        <w:spacing w:before="150" w:after="150"/>
        <w:ind w:right="2475" w:firstLine="1960"/>
        <w:jc w:val="both"/>
      </w:pPr>
      <w:r>
        <w:rPr>
          <w:sz w:val="28"/>
        </w:rPr>
        <w:t>乙方：</w:t>
      </w:r>
      <w:r>
        <w:rPr>
          <w:sz w:val="28"/>
        </w:rPr>
        <w:t>xxxxxxx</w:t>
      </w:r>
    </w:p>
    <w:p>
      <w:pPr>
        <w:pStyle w:val="null3"/>
        <w:spacing w:before="150" w:after="150"/>
        <w:ind w:right="2475" w:firstLine="1960"/>
        <w:jc w:val="both"/>
      </w:pPr>
      <w:r>
        <w:rPr>
          <w:sz w:val="28"/>
        </w:rPr>
        <w:t>项目编号：</w:t>
      </w:r>
    </w:p>
    <w:p>
      <w:pPr>
        <w:pStyle w:val="null3"/>
        <w:ind w:right="2475" w:firstLine="1960"/>
        <w:jc w:val="both"/>
      </w:pPr>
      <w:r>
        <w:rPr>
          <w:sz w:val="28"/>
        </w:rPr>
        <w:t>签订日期：</w:t>
      </w:r>
      <w:r>
        <w:rPr>
          <w:sz w:val="28"/>
        </w:rPr>
        <w:t xml:space="preserve">2025  年   月   日   </w:t>
      </w:r>
    </w:p>
    <w:p>
      <w:pPr>
        <w:pStyle w:val="null3"/>
        <w:ind w:right="2475" w:firstLine="1960"/>
        <w:jc w:val="both"/>
      </w:pPr>
      <w:r>
        <w:rPr/>
        <w:t xml:space="preserve"> </w:t>
      </w:r>
    </w:p>
    <w:p>
      <w:pPr>
        <w:pStyle w:val="null3"/>
        <w:spacing w:before="150" w:after="150"/>
        <w:ind w:left="120" w:right="90"/>
        <w:jc w:val="both"/>
      </w:pPr>
      <w:r>
        <w:rPr>
          <w:sz w:val="21"/>
        </w:rPr>
        <w:t>甲方（全称）：广东第二师范学院</w:t>
      </w:r>
    </w:p>
    <w:p>
      <w:pPr>
        <w:pStyle w:val="null3"/>
        <w:spacing w:before="150" w:after="150"/>
        <w:ind w:left="120" w:right="-465"/>
        <w:jc w:val="both"/>
      </w:pPr>
      <w:r>
        <w:rPr>
          <w:sz w:val="21"/>
        </w:rPr>
        <w:t>乙方（全称）：</w:t>
      </w:r>
    </w:p>
    <w:p>
      <w:pPr>
        <w:pStyle w:val="null3"/>
        <w:spacing w:before="150" w:after="150"/>
        <w:ind w:left="120" w:right="135" w:firstLine="516"/>
        <w:jc w:val="both"/>
      </w:pPr>
      <w:r>
        <w:rPr>
          <w:sz w:val="21"/>
        </w:rPr>
        <w:t>根据</w:t>
      </w:r>
      <w:r>
        <w:rPr>
          <w:sz w:val="21"/>
          <w:u w:val="single"/>
        </w:rPr>
        <w:t>广东第二师范学院校史馆与校友之家展陈设计与布展服务项目（项目编号：</w:t>
      </w:r>
      <w:r>
        <w:rPr>
          <w:sz w:val="21"/>
          <w:u w:val="single"/>
        </w:rPr>
        <w:t>ZZ0250219）</w:t>
      </w:r>
      <w:r>
        <w:rPr>
          <w:sz w:val="21"/>
        </w:rPr>
        <w:t>的招标内容及中标结果，服务依据《中华人民共和国民法典》《中华人民共和国政府采购法》及其他有关法律、行政法规的规定，遵循平等、自愿、公平和诚实信用的原则，就甲方委托乙方为其</w:t>
      </w:r>
      <w:r>
        <w:rPr>
          <w:sz w:val="21"/>
          <w:u w:val="single"/>
        </w:rPr>
        <w:t>广东第二师范学院校史馆与校友之家展陈设计与布展服务项目</w:t>
      </w:r>
      <w:r>
        <w:rPr>
          <w:sz w:val="21"/>
        </w:rPr>
        <w:t>提供实施及相关服务事宜，双方协调一致，订立本合同，双方共同履行。</w:t>
      </w:r>
    </w:p>
    <w:p>
      <w:pPr>
        <w:pStyle w:val="null3"/>
        <w:jc w:val="both"/>
      </w:pPr>
      <w:r>
        <w:rPr>
          <w:sz w:val="21"/>
          <w:b/>
        </w:rPr>
        <w:t>一、项目概况</w:t>
      </w:r>
    </w:p>
    <w:p>
      <w:pPr>
        <w:pStyle w:val="null3"/>
        <w:ind w:firstLine="420"/>
        <w:jc w:val="both"/>
      </w:pPr>
      <w:r>
        <w:rPr>
          <w:sz w:val="21"/>
        </w:rPr>
        <w:t>（一）项目概述</w:t>
      </w:r>
    </w:p>
    <w:p>
      <w:pPr>
        <w:pStyle w:val="null3"/>
        <w:ind w:firstLine="420"/>
        <w:jc w:val="both"/>
      </w:pPr>
      <w:r>
        <w:rPr>
          <w:sz w:val="21"/>
        </w:rPr>
        <w:t>1.项目业主：广东第二师范学院，系依据招标文件、中标通知书文件的项目业主，具有签署本合同的主体资格。</w:t>
      </w:r>
    </w:p>
    <w:p>
      <w:pPr>
        <w:pStyle w:val="null3"/>
        <w:ind w:firstLine="420"/>
        <w:jc w:val="both"/>
      </w:pPr>
      <w:r>
        <w:rPr>
          <w:sz w:val="21"/>
        </w:rPr>
        <w:t>2.项目名称：广东第二师范学院校史馆与校友之家展陈设计与布展服务。</w:t>
      </w:r>
    </w:p>
    <w:p>
      <w:pPr>
        <w:pStyle w:val="null3"/>
        <w:ind w:firstLine="420"/>
        <w:jc w:val="both"/>
      </w:pPr>
      <w:r>
        <w:rPr>
          <w:sz w:val="21"/>
        </w:rPr>
        <w:t>3.项目地点：广州市海珠区新港中路351号广东第二师范学院海珠校区综合大楼A区8楼</w:t>
      </w:r>
    </w:p>
    <w:p>
      <w:pPr>
        <w:pStyle w:val="null3"/>
        <w:ind w:firstLine="420"/>
        <w:jc w:val="both"/>
      </w:pPr>
      <w:r>
        <w:rPr>
          <w:sz w:val="21"/>
        </w:rPr>
        <w:t>4.项目描述：见本项目招标文件。</w:t>
      </w:r>
    </w:p>
    <w:p>
      <w:pPr>
        <w:pStyle w:val="null3"/>
        <w:ind w:firstLine="420"/>
        <w:jc w:val="both"/>
      </w:pPr>
      <w:r>
        <w:rPr>
          <w:sz w:val="21"/>
        </w:rPr>
        <w:t>5.承包范围包括以下方面的内容：</w:t>
      </w:r>
    </w:p>
    <w:p>
      <w:pPr>
        <w:pStyle w:val="null3"/>
        <w:ind w:firstLine="420"/>
        <w:jc w:val="both"/>
      </w:pPr>
      <w:r>
        <w:rPr>
          <w:sz w:val="21"/>
        </w:rPr>
        <w:t>（</w:t>
      </w:r>
      <w:r>
        <w:rPr>
          <w:sz w:val="21"/>
        </w:rPr>
        <w:t>1）校史馆与校友之家深化设计、布展实施、试运行、验收维护及相关服务，包括设施设备及材料采购、展品征集与制作、专业照明定制、展柜定制、艺术品及场景装置制作、多媒体数字内容策划与制作、中控与多媒体集成（含照明、供电及各受控系统的控制接入等）的设计与实现；</w:t>
      </w:r>
    </w:p>
    <w:p>
      <w:pPr>
        <w:pStyle w:val="null3"/>
        <w:ind w:firstLine="420"/>
        <w:jc w:val="both"/>
      </w:pPr>
      <w:r>
        <w:rPr>
          <w:sz w:val="21"/>
        </w:rPr>
        <w:t>（</w:t>
      </w:r>
      <w:r>
        <w:rPr>
          <w:sz w:val="21"/>
        </w:rPr>
        <w:t>2）垃圾清运等相关服务；</w:t>
      </w:r>
    </w:p>
    <w:p>
      <w:pPr>
        <w:pStyle w:val="null3"/>
        <w:ind w:firstLine="420"/>
        <w:jc w:val="both"/>
      </w:pPr>
      <w:r>
        <w:rPr>
          <w:sz w:val="21"/>
        </w:rPr>
        <w:t>（</w:t>
      </w:r>
      <w:r>
        <w:rPr>
          <w:sz w:val="21"/>
        </w:rPr>
        <w:t>3）质保期内维护保养工作等；</w:t>
      </w:r>
    </w:p>
    <w:p>
      <w:pPr>
        <w:pStyle w:val="null3"/>
        <w:ind w:firstLine="420"/>
        <w:jc w:val="both"/>
      </w:pPr>
      <w:r>
        <w:rPr>
          <w:sz w:val="21"/>
        </w:rPr>
        <w:t>（</w:t>
      </w:r>
      <w:r>
        <w:rPr>
          <w:sz w:val="21"/>
        </w:rPr>
        <w:t>4）招标文件确定的其他内容。</w:t>
      </w:r>
    </w:p>
    <w:p>
      <w:pPr>
        <w:pStyle w:val="null3"/>
        <w:ind w:firstLine="420"/>
        <w:jc w:val="both"/>
      </w:pPr>
      <w:r>
        <w:rPr>
          <w:sz w:val="21"/>
        </w:rPr>
        <w:t>（二）质量要求</w:t>
      </w:r>
    </w:p>
    <w:p>
      <w:pPr>
        <w:pStyle w:val="null3"/>
        <w:ind w:firstLine="420"/>
        <w:jc w:val="both"/>
      </w:pPr>
      <w:r>
        <w:rPr>
          <w:sz w:val="21"/>
        </w:rPr>
        <w:t>本项目必须符合中国国家和地方有关法律、行政法规和相关的技术规范、规定及标准的要求，且必须执行国家规定的相关布展标准和强制性条文要求；必须符合相关法律法规、政策，严格保护建筑结构、形制、外观等。</w:t>
      </w:r>
    </w:p>
    <w:p>
      <w:pPr>
        <w:pStyle w:val="null3"/>
        <w:jc w:val="both"/>
      </w:pPr>
      <w:r>
        <w:rPr>
          <w:sz w:val="21"/>
          <w:b/>
        </w:rPr>
        <w:t>二、合同工期</w:t>
      </w:r>
    </w:p>
    <w:p>
      <w:pPr>
        <w:pStyle w:val="null3"/>
        <w:ind w:firstLine="420"/>
        <w:jc w:val="both"/>
      </w:pPr>
      <w:r>
        <w:rPr>
          <w:sz w:val="21"/>
        </w:rPr>
        <w:t>（一）本合同的工期</w:t>
      </w:r>
    </w:p>
    <w:p>
      <w:pPr>
        <w:pStyle w:val="null3"/>
        <w:ind w:firstLine="420"/>
        <w:jc w:val="both"/>
      </w:pPr>
      <w:r>
        <w:rPr>
          <w:sz w:val="21"/>
        </w:rPr>
        <w:t>项目总工期</w:t>
      </w:r>
      <w:r>
        <w:rPr>
          <w:sz w:val="21"/>
        </w:rPr>
        <w:t>150 日历天，开工日期以监理根据现场条件签发的开工令为准。</w:t>
      </w:r>
    </w:p>
    <w:p>
      <w:pPr>
        <w:pStyle w:val="null3"/>
        <w:ind w:firstLine="420"/>
        <w:jc w:val="both"/>
      </w:pPr>
      <w:r>
        <w:rPr>
          <w:sz w:val="21"/>
        </w:rPr>
        <w:t>（二）关键工期节点</w:t>
      </w:r>
    </w:p>
    <w:p>
      <w:pPr>
        <w:pStyle w:val="null3"/>
        <w:ind w:firstLine="420"/>
        <w:jc w:val="both"/>
      </w:pPr>
      <w:r>
        <w:rPr>
          <w:sz w:val="21"/>
        </w:rPr>
        <w:t>（</w:t>
      </w:r>
      <w:r>
        <w:rPr>
          <w:sz w:val="21"/>
        </w:rPr>
        <w:t>1）前期筹备阶段，包含校史资料、图片、影音征集走访调研，同时通过学校资料库查阅校史资料；25天</w:t>
      </w:r>
    </w:p>
    <w:p>
      <w:pPr>
        <w:pStyle w:val="null3"/>
        <w:ind w:firstLine="420"/>
        <w:jc w:val="both"/>
      </w:pPr>
      <w:r>
        <w:rPr>
          <w:sz w:val="21"/>
        </w:rPr>
        <w:t>（</w:t>
      </w:r>
      <w:r>
        <w:rPr>
          <w:sz w:val="21"/>
        </w:rPr>
        <w:t>2）设计阶段，根据前期收集资料，深化空间方案设计、多媒体交互设计、施工图与预算报审；35天</w:t>
      </w:r>
    </w:p>
    <w:p>
      <w:pPr>
        <w:pStyle w:val="null3"/>
        <w:ind w:firstLine="420"/>
        <w:jc w:val="both"/>
      </w:pPr>
      <w:r>
        <w:rPr>
          <w:sz w:val="21"/>
        </w:rPr>
        <w:t>（</w:t>
      </w:r>
      <w:r>
        <w:rPr>
          <w:sz w:val="21"/>
        </w:rPr>
        <w:t>3）布展采购安装阶段，包含现场拆除、隔墙安装、地面铺设、顶部安装、展柜安装、艺术品定制、设备采购、灯具及声光电的安装；80天</w:t>
      </w:r>
    </w:p>
    <w:p>
      <w:pPr>
        <w:pStyle w:val="null3"/>
        <w:ind w:firstLine="420"/>
        <w:jc w:val="both"/>
      </w:pPr>
      <w:r>
        <w:rPr>
          <w:sz w:val="21"/>
        </w:rPr>
        <w:t>（</w:t>
      </w:r>
      <w:r>
        <w:rPr>
          <w:sz w:val="21"/>
        </w:rPr>
        <w:t>4）调试验收，包含联动压力测试、校方预验收；10天。</w:t>
      </w:r>
    </w:p>
    <w:p>
      <w:pPr>
        <w:pStyle w:val="null3"/>
        <w:ind w:firstLine="420"/>
        <w:jc w:val="both"/>
      </w:pPr>
      <w:r>
        <w:rPr>
          <w:sz w:val="21"/>
        </w:rPr>
        <w:t>（三）工期顺延</w:t>
      </w:r>
    </w:p>
    <w:p>
      <w:pPr>
        <w:pStyle w:val="null3"/>
        <w:ind w:firstLine="420"/>
        <w:jc w:val="both"/>
      </w:pPr>
      <w:r>
        <w:rPr>
          <w:sz w:val="21"/>
        </w:rPr>
        <w:t>由于以下原因（且仅限于以下原因）直接造成工期延误，经甲方代表及监理单位书面确认，工期相应顺延。否则，项目不能按合同工期完成阶段性工作和竣工的，乙方应承担延期违约责任。</w:t>
      </w:r>
    </w:p>
    <w:p>
      <w:pPr>
        <w:pStyle w:val="null3"/>
        <w:ind w:firstLine="420"/>
        <w:jc w:val="both"/>
      </w:pPr>
      <w:r>
        <w:rPr>
          <w:sz w:val="21"/>
        </w:rPr>
        <w:t>1.发生不可抗力事件，乙方采取了必要的补救措施的，可顺延不可抗力事件所造成的延误天数。</w:t>
      </w:r>
    </w:p>
    <w:p>
      <w:pPr>
        <w:pStyle w:val="null3"/>
        <w:ind w:firstLine="420"/>
        <w:jc w:val="both"/>
      </w:pPr>
      <w:r>
        <w:rPr>
          <w:sz w:val="21"/>
        </w:rPr>
        <w:t>2.经甲方代表及监理单位书面确认，由非乙方原因导致的其他事件所造成的延误。乙方在以上情况发生后3个工作日内，就延误的内容向甲方代表及监理单位提出报告，甲方代表及监理单位在收到报告后3个工作日内予以确认、答复，逾期不予答复，乙方可视为延期及要求已被确认。如乙方在其违约后发生以上情况的，乙方无权要求顺延，并且仍应按协议条款约定承担违约责任。</w:t>
      </w:r>
    </w:p>
    <w:p>
      <w:pPr>
        <w:pStyle w:val="null3"/>
        <w:jc w:val="both"/>
      </w:pPr>
      <w:r>
        <w:rPr>
          <w:sz w:val="21"/>
          <w:b/>
        </w:rPr>
        <w:t>三、项目施工要求</w:t>
      </w:r>
    </w:p>
    <w:p>
      <w:pPr>
        <w:pStyle w:val="null3"/>
        <w:ind w:firstLine="210"/>
        <w:jc w:val="both"/>
      </w:pPr>
      <w:r>
        <w:rPr>
          <w:sz w:val="21"/>
        </w:rPr>
        <w:t>（一）项目实施场地情况及要求</w:t>
      </w:r>
    </w:p>
    <w:p>
      <w:pPr>
        <w:pStyle w:val="null3"/>
        <w:ind w:firstLine="420"/>
        <w:jc w:val="both"/>
      </w:pPr>
      <w:r>
        <w:rPr>
          <w:sz w:val="21"/>
        </w:rPr>
        <w:t>1.材料堆场设置：材料堆场应设置在乙方的承包区域范围内。室外临时堆放场的设置应服从甲方或监理单位管理。</w:t>
      </w:r>
    </w:p>
    <w:p>
      <w:pPr>
        <w:pStyle w:val="null3"/>
        <w:ind w:firstLine="420"/>
        <w:jc w:val="both"/>
      </w:pPr>
      <w:r>
        <w:rPr>
          <w:sz w:val="21"/>
        </w:rPr>
        <w:t>2.服从甲方或监理单位的总体协调管理，做好与其他专业单位的交叉施工与协调管理工作，按各专业工种界面做到有序施工。</w:t>
      </w:r>
    </w:p>
    <w:p>
      <w:pPr>
        <w:pStyle w:val="null3"/>
        <w:ind w:firstLine="420"/>
        <w:jc w:val="both"/>
      </w:pPr>
      <w:r>
        <w:rPr>
          <w:sz w:val="21"/>
        </w:rPr>
        <w:t>3.成品保护，在施工过程中，对于由土建总包单位及其他专业单位已完成的工程，乙方需要对成品采取妥善保护措施，乙方的承包区域范围内乙方承担成品保护责任，避免造成损毁或破坏，影响结构和观感质量。若因布展工程实施对成品造成损毁或破坏的，相应损失由布展实施单位承担。</w:t>
      </w:r>
    </w:p>
    <w:p>
      <w:pPr>
        <w:pStyle w:val="null3"/>
        <w:ind w:firstLine="420"/>
        <w:jc w:val="both"/>
      </w:pPr>
      <w:r>
        <w:rPr>
          <w:sz w:val="21"/>
        </w:rPr>
        <w:t>4.项目移交工作中，除按相关工程移交管理办法执行外，展陈实施单位须向业主进行全面的技术交底，包括以下但不限于设备使用和维护培训、易损及应急材料配备、较易发生各类安全隐患部位及防范措施等。</w:t>
      </w:r>
    </w:p>
    <w:p>
      <w:pPr>
        <w:pStyle w:val="null3"/>
        <w:ind w:firstLine="210"/>
        <w:jc w:val="both"/>
      </w:pPr>
      <w:r>
        <w:rPr>
          <w:sz w:val="21"/>
        </w:rPr>
        <w:t>（二）确保工程质量的措施</w:t>
      </w:r>
    </w:p>
    <w:p>
      <w:pPr>
        <w:pStyle w:val="null3"/>
        <w:ind w:firstLine="420"/>
        <w:jc w:val="both"/>
      </w:pPr>
      <w:r>
        <w:rPr>
          <w:sz w:val="21"/>
        </w:rPr>
        <w:t>1.建立健全结构，装修从材料、半成品、成品进场，施工安装直至交付验收的质量保证体系，并落实到人。</w:t>
      </w:r>
    </w:p>
    <w:p>
      <w:pPr>
        <w:pStyle w:val="null3"/>
        <w:ind w:firstLine="420"/>
        <w:jc w:val="both"/>
      </w:pPr>
      <w:r>
        <w:rPr>
          <w:sz w:val="21"/>
        </w:rPr>
        <w:t>2.严格贯彻“把关”和“积极预防”相结合的质量管理方法，坚持预先定标准、定样板、定材料、定做法，手续要齐全。凡进场材料、半成品和加工品都要实行验收手续，索要合格证或检测报告书，无合格证或外观不符合标准者不得进场。</w:t>
      </w:r>
    </w:p>
    <w:p>
      <w:pPr>
        <w:pStyle w:val="null3"/>
        <w:ind w:firstLine="420"/>
        <w:jc w:val="both"/>
      </w:pPr>
      <w:r>
        <w:rPr>
          <w:sz w:val="21"/>
        </w:rPr>
        <w:t>3.以工艺卡、大样图和样板作为技术交底的主要手段，凡是无工艺卡或书面交底的项目，施工员可拒绝施工。在具体展陈项目施工前，必须按照1:1尺寸比例将效果图打印出来在相应位置预挂。</w:t>
      </w:r>
    </w:p>
    <w:p>
      <w:pPr>
        <w:pStyle w:val="null3"/>
        <w:ind w:firstLine="420"/>
        <w:jc w:val="both"/>
      </w:pPr>
      <w:r>
        <w:rPr>
          <w:sz w:val="21"/>
        </w:rPr>
        <w:t>4.所有参加装修施工的技术员、施工员都要预审和熟悉图纸及洽商记录。</w:t>
      </w:r>
    </w:p>
    <w:p>
      <w:pPr>
        <w:pStyle w:val="null3"/>
        <w:ind w:firstLine="420"/>
        <w:jc w:val="both"/>
      </w:pPr>
      <w:r>
        <w:rPr>
          <w:sz w:val="21"/>
        </w:rPr>
        <w:t>5.实行全面质量管理、文明施工，整个工程提前组织培训，统一思想，熟悉操作。</w:t>
      </w:r>
    </w:p>
    <w:p>
      <w:pPr>
        <w:pStyle w:val="null3"/>
        <w:ind w:firstLine="420"/>
        <w:jc w:val="both"/>
      </w:pPr>
      <w:r>
        <w:rPr>
          <w:sz w:val="21"/>
        </w:rPr>
        <w:t>6.按进度计划施工，严格技术管理，当进度与质量发生矛盾时，要服从质量。</w:t>
      </w:r>
    </w:p>
    <w:p>
      <w:pPr>
        <w:pStyle w:val="null3"/>
        <w:ind w:firstLine="420"/>
        <w:jc w:val="both"/>
      </w:pPr>
      <w:r>
        <w:rPr>
          <w:sz w:val="21"/>
        </w:rPr>
        <w:t>7.强调装修项目的基层施工质量，基层要做到平整、垂直和阴阳角方正，保证饰面层质量。</w:t>
      </w:r>
    </w:p>
    <w:p>
      <w:pPr>
        <w:pStyle w:val="null3"/>
        <w:ind w:firstLine="420"/>
        <w:jc w:val="both"/>
      </w:pPr>
      <w:r>
        <w:rPr>
          <w:sz w:val="21"/>
        </w:rPr>
        <w:t>8.加强质量监督检查，采取专业检查与自检相结合的检查方法，并以自检为主，坚持贯彻执行自检、互检、交接检的三检制度与挂牌制度，对工程质量要求一丝不苟。</w:t>
      </w:r>
    </w:p>
    <w:p>
      <w:pPr>
        <w:pStyle w:val="null3"/>
        <w:ind w:firstLine="210"/>
        <w:jc w:val="both"/>
      </w:pPr>
      <w:r>
        <w:rPr>
          <w:sz w:val="21"/>
        </w:rPr>
        <w:t>（三）确保工期的措施</w:t>
      </w:r>
    </w:p>
    <w:p>
      <w:pPr>
        <w:pStyle w:val="null3"/>
        <w:ind w:firstLine="420"/>
        <w:jc w:val="both"/>
      </w:pPr>
      <w:r>
        <w:rPr>
          <w:sz w:val="21"/>
        </w:rPr>
        <w:t>因本项设计除装饰装修还有多专业的协同配合，在确保质量的要求下对工期进度的控制不但是在本布展服务的阶段性工期中，对场外加工进度亦有同样要求，要在保证安全的基础上，确保施工进度，以总进度网络图为依据，按不同施工阶段、不同专业工种分解为不同的进度分目标，以各项技术、管理措施为保证手段，进行施工全过程的动态控制。</w:t>
      </w:r>
    </w:p>
    <w:p>
      <w:pPr>
        <w:pStyle w:val="null3"/>
        <w:ind w:firstLine="420"/>
        <w:jc w:val="both"/>
      </w:pPr>
      <w:r>
        <w:rPr>
          <w:sz w:val="21"/>
        </w:rPr>
        <w:t>1.进度控制的方法</w:t>
      </w:r>
    </w:p>
    <w:p>
      <w:pPr>
        <w:pStyle w:val="null3"/>
        <w:ind w:firstLine="420"/>
        <w:jc w:val="both"/>
      </w:pPr>
      <w:r>
        <w:rPr>
          <w:sz w:val="21"/>
        </w:rPr>
        <w:t>(1)按施工阶段分解，突出控制节点以关键线路和次关键线路为线索，以网格计划中的起止点、日程为控制点，在不同施工阶段确定重点控制对象，制定施工细则，达到保证控制节点的实现</w:t>
      </w:r>
    </w:p>
    <w:p>
      <w:pPr>
        <w:pStyle w:val="null3"/>
        <w:ind w:firstLine="420"/>
        <w:jc w:val="both"/>
      </w:pPr>
      <w:r>
        <w:rPr>
          <w:sz w:val="21"/>
        </w:rPr>
        <w:t>(2)明确分部目标以总进度网格为依据，明确各个单位的工作目标，通过全面责任书落实责任，以分头实现稳中有降的分部目标来确保总目标的实现。</w:t>
      </w:r>
    </w:p>
    <w:p>
      <w:pPr>
        <w:pStyle w:val="null3"/>
        <w:ind w:firstLine="420"/>
        <w:jc w:val="both"/>
      </w:pPr>
      <w:r>
        <w:rPr>
          <w:sz w:val="21"/>
        </w:rPr>
        <w:t>(3)按专业工程上分解，确定交接时间在不同专业和不同工程的任务之间要进行综合平衡，并强调相互间的衔接配合，确定相互交接的日期，强化工期的严肃性，保证工程进度不在本工序造成延误。通过对各道工序完成的质量与时间的控制达到保证各分部工程进度的实现。按总进度网络计划的时间要求将施工总进度计划分解为月度、旬期和周度进度计划。</w:t>
      </w:r>
    </w:p>
    <w:p>
      <w:pPr>
        <w:pStyle w:val="null3"/>
        <w:ind w:firstLine="420"/>
        <w:jc w:val="both"/>
      </w:pPr>
      <w:r>
        <w:rPr>
          <w:sz w:val="21"/>
        </w:rPr>
        <w:t>2.强化进度计划管理</w:t>
      </w:r>
    </w:p>
    <w:p>
      <w:pPr>
        <w:pStyle w:val="null3"/>
        <w:ind w:firstLine="420"/>
        <w:jc w:val="both"/>
      </w:pPr>
      <w:r>
        <w:rPr>
          <w:sz w:val="21"/>
        </w:rPr>
        <w:t>（</w:t>
      </w:r>
      <w:r>
        <w:rPr>
          <w:sz w:val="21"/>
        </w:rPr>
        <w:t>1）</w:t>
      </w:r>
      <w:r>
        <w:rPr>
          <w:sz w:val="21"/>
        </w:rPr>
        <w:t>开工前，必须严格根据合同的工期要求，提出总进度计划，并对其是否科学、合理，能否满足全面规定工期要求等问题进行认真细致论证。</w:t>
      </w:r>
    </w:p>
    <w:p>
      <w:pPr>
        <w:pStyle w:val="null3"/>
        <w:ind w:firstLine="420"/>
        <w:jc w:val="both"/>
      </w:pPr>
      <w:r>
        <w:rPr>
          <w:sz w:val="21"/>
        </w:rPr>
        <w:t>（</w:t>
      </w:r>
      <w:r>
        <w:rPr>
          <w:sz w:val="21"/>
        </w:rPr>
        <w:t>2）</w:t>
      </w:r>
      <w:r>
        <w:rPr>
          <w:sz w:val="21"/>
        </w:rPr>
        <w:t>在总进度计划的控制下，施工过程，坚持逐月（周）编制出具体的计划和工作安排，并对其科学性，可行性进行认真地推敲。</w:t>
      </w:r>
    </w:p>
    <w:p>
      <w:pPr>
        <w:pStyle w:val="null3"/>
        <w:ind w:firstLine="420"/>
        <w:jc w:val="both"/>
      </w:pPr>
      <w:r>
        <w:rPr>
          <w:sz w:val="21"/>
        </w:rPr>
        <w:t>（</w:t>
      </w:r>
      <w:r>
        <w:rPr>
          <w:sz w:val="21"/>
        </w:rPr>
        <w:t>3）</w:t>
      </w:r>
      <w:r>
        <w:rPr>
          <w:sz w:val="21"/>
        </w:rPr>
        <w:t>计划执行过程，如发现未能按期完成计划，必须及时检查分析原因立即调整计划和采取补救措施，以保证工作进度计划的实现。</w:t>
      </w:r>
    </w:p>
    <w:p>
      <w:pPr>
        <w:pStyle w:val="null3"/>
        <w:ind w:firstLine="420"/>
        <w:jc w:val="both"/>
      </w:pPr>
      <w:r>
        <w:rPr>
          <w:sz w:val="21"/>
        </w:rPr>
        <w:t>3.施工进度的控制</w:t>
      </w:r>
    </w:p>
    <w:p>
      <w:pPr>
        <w:pStyle w:val="null3"/>
        <w:ind w:firstLine="420"/>
        <w:jc w:val="both"/>
      </w:pPr>
      <w:r>
        <w:rPr>
          <w:sz w:val="21"/>
        </w:rPr>
        <w:t>(1)施工进度计划的控制是一个循序渐进的动态控制过程，施工现场的条件和情况千变万化，施工管理团队要及时了解和掌握与施工进度有关的各种信息不断将实际进度与计划进度进行比较，一旦发现进度拖后，要分析原因，并系统分析对后续工作会产生的影响；调整有施工管理经验的人员担任管理工作并针对技术、质量、安全、文明施工，后勤保障工作配置技术负责人主抓分项工作。</w:t>
      </w:r>
    </w:p>
    <w:p>
      <w:pPr>
        <w:pStyle w:val="null3"/>
        <w:ind w:firstLine="420"/>
        <w:jc w:val="both"/>
      </w:pPr>
      <w:r>
        <w:rPr>
          <w:sz w:val="21"/>
        </w:rPr>
        <w:t>(2)建立严格的工序施工日记制度，逐日详细记录工程进度，质量、设计修改，以及工程施工过程必须记录的有关问题。</w:t>
      </w:r>
    </w:p>
    <w:p>
      <w:pPr>
        <w:pStyle w:val="null3"/>
        <w:ind w:firstLine="420"/>
        <w:jc w:val="both"/>
      </w:pPr>
      <w:r>
        <w:rPr>
          <w:sz w:val="21"/>
        </w:rPr>
        <w:t>(3)坚持每周定期召开一次由项目总负责人主持，各专业负责人参加的协调会议，听取关于施工进度问题的汇报，协调工程施工外部关系，解决工程施工内部矛盾，对其中有关施工的问题，提出明确的计划调整意见。</w:t>
      </w:r>
    </w:p>
    <w:p>
      <w:pPr>
        <w:pStyle w:val="null3"/>
        <w:ind w:firstLine="420"/>
        <w:jc w:val="both"/>
      </w:pPr>
      <w:r>
        <w:rPr>
          <w:sz w:val="21"/>
        </w:rPr>
        <w:t>(4)各级管理人员必须提前为下道工序的施工，做好人力、物力和机械设备的准备，确保工程一环扣一环地紧凑有序地施工。对于影响施工进度的关键项目关键工序，主要领导和有关管理人员必须跟班作业，必要时组织有效力量，加班加点突破难点，以确保总进度计划的实现。</w:t>
      </w:r>
    </w:p>
    <w:p>
      <w:pPr>
        <w:pStyle w:val="null3"/>
        <w:ind w:firstLine="210"/>
        <w:jc w:val="both"/>
      </w:pPr>
      <w:r>
        <w:rPr>
          <w:sz w:val="21"/>
        </w:rPr>
        <w:t>（四）布展实施基本要求</w:t>
      </w:r>
    </w:p>
    <w:p>
      <w:pPr>
        <w:pStyle w:val="null3"/>
        <w:ind w:firstLine="420"/>
        <w:jc w:val="both"/>
      </w:pPr>
      <w:r>
        <w:rPr>
          <w:sz w:val="21"/>
        </w:rPr>
        <w:t>1.实施原则：结合设计方案做出以具体实施为目的、并具有可操作性的方案文件。</w:t>
      </w:r>
    </w:p>
    <w:p>
      <w:pPr>
        <w:pStyle w:val="null3"/>
        <w:ind w:firstLine="420"/>
        <w:jc w:val="both"/>
      </w:pPr>
      <w:r>
        <w:rPr>
          <w:sz w:val="21"/>
        </w:rPr>
        <w:t>乙方需要对本项目背景的解读与理解程度的深度、针对性及准确性等作出阐述；对本项目的关键性问题和重点问题的理解和把握；投入与本项目相匹配的整体技术水平与技术力量；项目实施组织设计；对本项目的建设性意见与建议评价。</w:t>
      </w:r>
    </w:p>
    <w:p>
      <w:pPr>
        <w:pStyle w:val="null3"/>
        <w:ind w:firstLine="420"/>
        <w:jc w:val="both"/>
      </w:pPr>
      <w:r>
        <w:rPr>
          <w:sz w:val="21"/>
        </w:rPr>
        <w:t>2.技术规范：本项目采用国家（行业）、省、市现行最新相关规范和标准若无国家标准，而采用企业、行业标准的，必须提供企业、行业标准的文本文件，及本项目设计图纸及设计说明书作为投入本项目的技术规范。</w:t>
      </w:r>
    </w:p>
    <w:p>
      <w:pPr>
        <w:pStyle w:val="null3"/>
        <w:ind w:firstLine="420"/>
        <w:jc w:val="both"/>
      </w:pPr>
      <w:r>
        <w:rPr>
          <w:sz w:val="21"/>
        </w:rPr>
        <w:t>3.知识产权要求</w:t>
      </w:r>
    </w:p>
    <w:p>
      <w:pPr>
        <w:pStyle w:val="null3"/>
        <w:ind w:firstLine="420"/>
        <w:jc w:val="both"/>
      </w:pPr>
      <w:r>
        <w:rPr>
          <w:sz w:val="21"/>
        </w:rPr>
        <w:t>乙方应保证其提供的工作成果未侵犯第三方的知识产权及其他权利，否则必须承担由此而引起的全部法律责任；乙方不得以任何形式向甲方及项目使用单位以外的任何单位或个人提供涉及本服务项目的任何资料（包括但不限于电子档案、图纸、技术和设计创意等），如有违反，必须赔偿甲方的损失并承担相应的法律责任。</w:t>
      </w:r>
    </w:p>
    <w:p>
      <w:pPr>
        <w:pStyle w:val="null3"/>
        <w:ind w:firstLine="210"/>
        <w:jc w:val="both"/>
      </w:pPr>
      <w:r>
        <w:rPr>
          <w:sz w:val="21"/>
        </w:rPr>
        <w:t>（五）布展实施的作业要求</w:t>
      </w:r>
    </w:p>
    <w:p>
      <w:pPr>
        <w:pStyle w:val="null3"/>
        <w:ind w:firstLine="420"/>
        <w:jc w:val="both"/>
      </w:pPr>
      <w:r>
        <w:rPr>
          <w:sz w:val="21"/>
        </w:rPr>
        <w:t>1.布展实施所使用材料的品种、规格、设备品牌和质量应符合施工图设计（深化设计）和现行的国家标准的规定，严禁使用国家明令淘汰的材料。所有材料物资、设施设备、展项等须经甲方及监理单位确认方可采购或实施。</w:t>
      </w:r>
    </w:p>
    <w:p>
      <w:pPr>
        <w:pStyle w:val="null3"/>
        <w:ind w:firstLine="420"/>
        <w:jc w:val="both"/>
      </w:pPr>
      <w:r>
        <w:rPr>
          <w:sz w:val="21"/>
        </w:rPr>
        <w:t>2.布展实施过程中，严禁擅自改动建筑主体，承重结构或主要使用功能严禁未经设计确认和有关部门的批准擅自拆改水、电、气、通讯等配套设施。</w:t>
      </w:r>
    </w:p>
    <w:p>
      <w:pPr>
        <w:pStyle w:val="null3"/>
        <w:ind w:firstLine="420"/>
        <w:jc w:val="both"/>
      </w:pPr>
      <w:r>
        <w:rPr>
          <w:sz w:val="21"/>
        </w:rPr>
        <w:t>3.布展实施应遵守有关环境保护的法律法规，并应采取有效措施控制实施现场的各种粉尘、废弃物、噪声、振动等对周围环境造成的污染和危害。</w:t>
      </w:r>
    </w:p>
    <w:p>
      <w:pPr>
        <w:pStyle w:val="null3"/>
        <w:ind w:firstLine="420"/>
        <w:jc w:val="both"/>
      </w:pPr>
      <w:r>
        <w:rPr>
          <w:sz w:val="21"/>
        </w:rPr>
        <w:t>4.乙方应遵守有关安全劳动保护防火和防毒的法律法规应建立相应的管理制度并应配备必要的设备器具和标识。</w:t>
      </w:r>
    </w:p>
    <w:p>
      <w:pPr>
        <w:pStyle w:val="null3"/>
        <w:ind w:firstLine="420"/>
        <w:jc w:val="both"/>
      </w:pPr>
      <w:r>
        <w:rPr>
          <w:sz w:val="21"/>
        </w:rPr>
        <w:t>5.布展实施过程中，利用建筑结构作为起吊、搬运的承力点时大构件，应对结构的承载力进行核算，经甲方及相关设计单位书面同意，方可利用。</w:t>
      </w:r>
    </w:p>
    <w:p>
      <w:pPr>
        <w:pStyle w:val="null3"/>
        <w:ind w:firstLine="420"/>
        <w:jc w:val="both"/>
      </w:pPr>
      <w:r>
        <w:rPr>
          <w:sz w:val="21"/>
        </w:rPr>
        <w:t>6.凡列为质量监理控制点（包括文件见证点、现场见证点、停止见证点、隐蔽验收）的监理对象，如达不到质量要求，监理工程师有权责令发出整改通知单要求返工，如不执行将按违约处理。</w:t>
      </w:r>
    </w:p>
    <w:p>
      <w:pPr>
        <w:pStyle w:val="null3"/>
        <w:ind w:firstLine="210"/>
        <w:jc w:val="both"/>
      </w:pPr>
      <w:r>
        <w:rPr>
          <w:sz w:val="21"/>
        </w:rPr>
        <w:t>（六）布展实施的其他要求</w:t>
      </w:r>
    </w:p>
    <w:p>
      <w:pPr>
        <w:pStyle w:val="null3"/>
        <w:ind w:firstLine="420"/>
        <w:jc w:val="both"/>
      </w:pPr>
      <w:r>
        <w:rPr>
          <w:sz w:val="21"/>
        </w:rPr>
        <w:t>乙方在进行项目实施过程中必须遵循国家相关通用标准和行业规范；遵循相关防火、环保要求；遵循优化、深化、展陈（实体及多媒体数字）内容创作成果与甲方要求的原则进行；乙方必须协助甲方办理项目竣工后的消防验收及环评手续（如有），并承担相关费用；乙方必须协助甲方办理公共防疫的相关手续，并承担相关费用；乙方必须负责布展实施过程中产生的垃圾处理及相关费用。</w:t>
      </w:r>
    </w:p>
    <w:p>
      <w:pPr>
        <w:pStyle w:val="null3"/>
        <w:ind w:firstLine="420"/>
        <w:jc w:val="both"/>
      </w:pPr>
      <w:r>
        <w:rPr>
          <w:sz w:val="21"/>
        </w:rPr>
        <w:t>1.与深化设计成果图纸一致性原则；</w:t>
      </w:r>
    </w:p>
    <w:p>
      <w:pPr>
        <w:pStyle w:val="null3"/>
        <w:ind w:firstLine="420"/>
        <w:jc w:val="both"/>
      </w:pPr>
      <w:r>
        <w:rPr>
          <w:sz w:val="21"/>
        </w:rPr>
        <w:t>2.乙方应有完善的质量保证体系，有明确的质量方针、切实可行的程序文件和质量保证手册，确保质量体系有效期的运行，并具备完整的质量体系运行记录；</w:t>
      </w:r>
    </w:p>
    <w:p>
      <w:pPr>
        <w:pStyle w:val="null3"/>
        <w:ind w:firstLine="420"/>
        <w:jc w:val="both"/>
      </w:pPr>
      <w:r>
        <w:rPr>
          <w:sz w:val="21"/>
        </w:rPr>
        <w:t>3.布展实施技术文件准备；</w:t>
      </w:r>
    </w:p>
    <w:p>
      <w:pPr>
        <w:pStyle w:val="null3"/>
        <w:ind w:firstLine="420"/>
        <w:jc w:val="both"/>
      </w:pPr>
      <w:r>
        <w:rPr>
          <w:sz w:val="21"/>
        </w:rPr>
        <w:t>4.布展实施现场作业环境的技术准备；</w:t>
      </w:r>
    </w:p>
    <w:p>
      <w:pPr>
        <w:pStyle w:val="null3"/>
        <w:ind w:firstLine="420"/>
        <w:jc w:val="both"/>
      </w:pPr>
      <w:r>
        <w:rPr>
          <w:sz w:val="21"/>
        </w:rPr>
        <w:t>5.参与监理方组织的图纸会审和相关专业的技术交底；</w:t>
      </w:r>
    </w:p>
    <w:p>
      <w:pPr>
        <w:pStyle w:val="null3"/>
        <w:ind w:firstLine="420"/>
        <w:jc w:val="both"/>
      </w:pPr>
      <w:r>
        <w:rPr>
          <w:sz w:val="21"/>
        </w:rPr>
        <w:t>6.编制材料、加工机具、检测器具的使用计划提交监理单位审批。</w:t>
      </w:r>
    </w:p>
    <w:p>
      <w:pPr>
        <w:pStyle w:val="null3"/>
        <w:ind w:firstLine="210"/>
        <w:jc w:val="both"/>
      </w:pPr>
      <w:r>
        <w:rPr>
          <w:sz w:val="21"/>
        </w:rPr>
        <w:t>（七）质量标准</w:t>
      </w:r>
    </w:p>
    <w:p>
      <w:pPr>
        <w:pStyle w:val="null3"/>
        <w:jc w:val="both"/>
      </w:pPr>
      <w:r>
        <w:rPr>
          <w:sz w:val="21"/>
        </w:rPr>
        <w:t>工程质量应符合以下相关国家规范要求，直至验收合格为止：</w:t>
      </w:r>
    </w:p>
    <w:p>
      <w:pPr>
        <w:pStyle w:val="null3"/>
        <w:ind w:firstLine="420"/>
        <w:jc w:val="both"/>
      </w:pPr>
      <w:r>
        <w:rPr>
          <w:sz w:val="21"/>
        </w:rPr>
        <w:t>设计要求的质量标准：本项目的深化设计过程和成果必须符合国家、广东省、广州市颁布的有关设计方面的现行标准、规范、规程、定额、办法，满足甲方的相关功能需求，并通过甲方及有关部门或专业审图机构的审查。在深化设计过程中，如果国家或有关部门颁发了新的技术标准或规范，应采用新的标准或规范进行设计。</w:t>
      </w:r>
    </w:p>
    <w:p>
      <w:pPr>
        <w:pStyle w:val="null3"/>
        <w:jc w:val="both"/>
      </w:pPr>
      <w:r>
        <w:rPr>
          <w:sz w:val="21"/>
        </w:rPr>
        <w:t>施工要求的质量标准：符合深化设计图纸要求，执行国家、广东省、广州市或行业现行的工程建设质量验收标准及规范，工程质量须达到</w:t>
      </w:r>
      <w:r>
        <w:rPr>
          <w:sz w:val="21"/>
        </w:rPr>
        <w:t>100%标准。</w:t>
      </w:r>
    </w:p>
    <w:p>
      <w:pPr>
        <w:pStyle w:val="null3"/>
        <w:jc w:val="both"/>
      </w:pPr>
      <w:r>
        <w:rPr>
          <w:sz w:val="21"/>
        </w:rPr>
        <w:t>四、初步验收及竣工验收</w:t>
      </w:r>
    </w:p>
    <w:p>
      <w:pPr>
        <w:pStyle w:val="null3"/>
        <w:ind w:firstLine="210"/>
        <w:jc w:val="both"/>
      </w:pPr>
      <w:r>
        <w:rPr>
          <w:sz w:val="21"/>
        </w:rPr>
        <w:t>（一）初步验收</w:t>
      </w:r>
    </w:p>
    <w:p>
      <w:pPr>
        <w:pStyle w:val="null3"/>
        <w:ind w:firstLine="420"/>
        <w:jc w:val="both"/>
      </w:pPr>
      <w:r>
        <w:rPr>
          <w:sz w:val="21"/>
        </w:rPr>
        <w:t>1.乙方在确定完成布展工作后，应向甲方提交完整的资料，提出初步验收申请。</w:t>
      </w:r>
    </w:p>
    <w:p>
      <w:pPr>
        <w:pStyle w:val="null3"/>
        <w:ind w:firstLine="420"/>
        <w:jc w:val="both"/>
      </w:pPr>
      <w:r>
        <w:rPr>
          <w:sz w:val="21"/>
        </w:rPr>
        <w:t>2.收到乙方初步验收申请后监理单位需在3个工作日内组织相关人员进行初步验收工作，项目质量不合格或项目个别内容尚未完成者，由乙方在甲方通知的期限内进行修复，待整改完成后再进行初步验收，直至达到完全符合合同要求为止，由此产生的一切费用和责任均由乙方负责。</w:t>
      </w:r>
    </w:p>
    <w:p>
      <w:pPr>
        <w:pStyle w:val="null3"/>
        <w:ind w:firstLine="420"/>
        <w:jc w:val="both"/>
      </w:pPr>
      <w:r>
        <w:rPr>
          <w:sz w:val="21"/>
        </w:rPr>
        <w:t>3.验收依据和标准：施工图纸，图纸说明，有关设计变更资料和图纸，国家颁布的验收规范、规定，以及专家委员会根据国家有关标准、规范制订的针对本项目特殊子项目的规范及验收标准。</w:t>
      </w:r>
    </w:p>
    <w:p>
      <w:pPr>
        <w:pStyle w:val="null3"/>
        <w:ind w:firstLine="420"/>
        <w:jc w:val="both"/>
      </w:pPr>
      <w:r>
        <w:rPr>
          <w:sz w:val="21"/>
        </w:rPr>
        <w:t>4.项目初步验收合格后进入试运行期。</w:t>
      </w:r>
    </w:p>
    <w:p>
      <w:pPr>
        <w:pStyle w:val="null3"/>
        <w:ind w:firstLine="210"/>
        <w:jc w:val="both"/>
      </w:pPr>
      <w:r>
        <w:rPr>
          <w:sz w:val="21"/>
        </w:rPr>
        <w:t>（二）竣工验收</w:t>
      </w:r>
    </w:p>
    <w:p>
      <w:pPr>
        <w:pStyle w:val="null3"/>
        <w:ind w:firstLine="420"/>
        <w:jc w:val="both"/>
      </w:pPr>
      <w:r>
        <w:rPr>
          <w:sz w:val="21"/>
        </w:rPr>
        <w:t>1.甲方在收到乙方项目验收建议之日起7个工作日内按照合同的约定对履约情况进行验收。乙方需为验收提供必需的一切条件及相关费用，并提供本项目的相关文档和验收所需资料，积极配合甲方完成验收工作。</w:t>
      </w:r>
    </w:p>
    <w:p>
      <w:pPr>
        <w:pStyle w:val="null3"/>
        <w:ind w:firstLine="420"/>
        <w:jc w:val="both"/>
      </w:pPr>
      <w:r>
        <w:rPr>
          <w:sz w:val="21"/>
        </w:rPr>
        <w:t>2.其他验收要求：/（补充内容不得对招标文件和投标/响应文件作实质性修改）</w:t>
      </w:r>
    </w:p>
    <w:p>
      <w:pPr>
        <w:pStyle w:val="null3"/>
        <w:ind w:firstLine="420"/>
        <w:jc w:val="both"/>
      </w:pPr>
      <w:r>
        <w:rPr>
          <w:sz w:val="21"/>
        </w:rPr>
        <w:t>3.关于竣工验收程序的约定</w:t>
      </w:r>
    </w:p>
    <w:p>
      <w:pPr>
        <w:pStyle w:val="null3"/>
        <w:ind w:firstLine="420"/>
        <w:jc w:val="both"/>
      </w:pPr>
      <w:r>
        <w:rPr>
          <w:sz w:val="21"/>
        </w:rPr>
        <w:t>(1)竣工验收程序启动条件：试运行不少于30天，且各项设备展项、系统等运行稳定、良好方可组织竣工验收。</w:t>
      </w:r>
    </w:p>
    <w:p>
      <w:pPr>
        <w:pStyle w:val="null3"/>
        <w:ind w:firstLine="420"/>
        <w:jc w:val="both"/>
      </w:pPr>
      <w:r>
        <w:rPr>
          <w:sz w:val="21"/>
        </w:rPr>
        <w:t>(2)乙方向监理人报送竣工验收申请报告，监理人应在收到竣工验收申请报告后14天内完成审查并报送甲方。监理人审查后认为尚不具备验收条件的，应通知乙方在竣工验收前乙方还需完成的工作内容，乙方应在完成监理人通知的全部工作内容后，再次提交竣工验收申请报告。</w:t>
      </w:r>
    </w:p>
    <w:p>
      <w:pPr>
        <w:pStyle w:val="null3"/>
        <w:ind w:firstLine="420"/>
        <w:jc w:val="both"/>
      </w:pPr>
      <w:r>
        <w:rPr>
          <w:sz w:val="21"/>
        </w:rPr>
        <w:t>(3)甲方收到经监理人审核的竣工验收申请报告后应及时审批并在确认工程已具备竣工验收条件后组织监理、乙方等有关单位分成若干个专业验收组进行竣工验收，监理工程师协助有关工作。甲方视实际需要可邀请行业相关专家参与验收（相关费用由乙方承担）。</w:t>
      </w:r>
    </w:p>
    <w:p>
      <w:pPr>
        <w:pStyle w:val="null3"/>
        <w:ind w:firstLine="420"/>
        <w:jc w:val="both"/>
      </w:pPr>
      <w:r>
        <w:rPr>
          <w:sz w:val="21"/>
        </w:rPr>
        <w:t>(4)竣工验收时，对工程实体和竣工文件材料检查中提出的问题和缺陷，乙方还应对该部分继续补正完善并承担相应的费用。一般情况下，经甲方同意和乙方确认，需要补正完善的工作内容（不涉及结构、安全和使用的），可以在缺陷责任期内完成。项目验收合格则由验收小组出具验收情况报告，参与验收的人员在验收情况报告上签名，甲方确认后出具验收报告。</w:t>
      </w:r>
    </w:p>
    <w:p>
      <w:pPr>
        <w:pStyle w:val="null3"/>
        <w:ind w:firstLine="420"/>
        <w:jc w:val="both"/>
      </w:pPr>
      <w:r>
        <w:rPr>
          <w:sz w:val="21"/>
        </w:rPr>
        <w:t>(5)竣工验收不合格的，监理人应按照验收意见发出指示，要求乙方对不合格工程返工、修复或采取其他补救措施，由此增加的费用和（或）延误的工期由乙方承担。乙方在完成不合格工程的返工、修复或采取其他补救措施后，应重新提交竣工验收申请报告，并按本项约定的程序重新进行验收。</w:t>
      </w:r>
    </w:p>
    <w:p>
      <w:pPr>
        <w:pStyle w:val="null3"/>
        <w:jc w:val="both"/>
      </w:pPr>
      <w:r>
        <w:rPr>
          <w:sz w:val="21"/>
        </w:rPr>
        <w:t>五、安全文明布展施工</w:t>
      </w:r>
    </w:p>
    <w:p>
      <w:pPr>
        <w:pStyle w:val="null3"/>
        <w:ind w:firstLine="210"/>
        <w:jc w:val="both"/>
      </w:pPr>
      <w:r>
        <w:rPr>
          <w:sz w:val="21"/>
        </w:rPr>
        <w:t>（一）安全文明布展</w:t>
      </w:r>
    </w:p>
    <w:p>
      <w:pPr>
        <w:pStyle w:val="null3"/>
        <w:ind w:firstLine="210"/>
        <w:jc w:val="both"/>
      </w:pPr>
      <w:r>
        <w:rPr>
          <w:sz w:val="21"/>
        </w:rPr>
        <w:t>1.项目安全生产的达标目标及相应事项的约定：</w:t>
      </w:r>
    </w:p>
    <w:p>
      <w:pPr>
        <w:pStyle w:val="null3"/>
        <w:ind w:firstLine="420"/>
        <w:jc w:val="both"/>
      </w:pPr>
      <w:r>
        <w:rPr>
          <w:sz w:val="21"/>
        </w:rPr>
        <w:t>①进入施工现场的各类安全防护由乙方统一协调管理，安全责任由乙方承担，费用含在合同总价中；</w:t>
      </w:r>
    </w:p>
    <w:p>
      <w:pPr>
        <w:pStyle w:val="null3"/>
        <w:ind w:firstLine="420"/>
        <w:jc w:val="both"/>
      </w:pPr>
      <w:r>
        <w:rPr>
          <w:sz w:val="21"/>
        </w:rPr>
        <w:t>②乙方负责进入施工现场施工人员及财物安全，发生任何伤亡事故与甲方无关，乙方自行解决；</w:t>
      </w:r>
    </w:p>
    <w:p>
      <w:pPr>
        <w:pStyle w:val="null3"/>
        <w:ind w:firstLine="420"/>
        <w:jc w:val="both"/>
      </w:pPr>
      <w:r>
        <w:rPr>
          <w:sz w:val="21"/>
        </w:rPr>
        <w:t>③乙方应合理安排、安全使用水、电设施，否则引起的一切责任由乙方承担。乙方应负责保管水、电设施，若发生丢失或损坏，由乙方赔偿；</w:t>
      </w:r>
    </w:p>
    <w:p>
      <w:pPr>
        <w:pStyle w:val="null3"/>
        <w:ind w:firstLine="420"/>
        <w:jc w:val="both"/>
      </w:pPr>
      <w:r>
        <w:rPr>
          <w:sz w:val="21"/>
        </w:rPr>
        <w:t>④严格执行《中华人民共和国安全生产法》《建设工程安全生产管理条例》（国务院第393号令）等相关法律法规（如有政府部门最新规定，按照最新规定执行）、双方签订的《安全施工协议》。乙方在施工现场的安全管理、安全教育和安全事故责任及所发生的费用均由承包方承担。由乙方按规范施工并对安全生产负全责，除执行合同的相关规定外，乙方应严格按照施工组织设计组织施工，在安全管理方面除正常进行安全学习、安全教育外，同时应高度重视全部施工期间的安全工作，安全措施要落实到位，应急措施要跟上，并配备专职安全人员，全面负责施工现场的安全及周边设施的安全和第三方人身安全，并承担所有责任及相应赔偿费用；</w:t>
      </w:r>
    </w:p>
    <w:p>
      <w:pPr>
        <w:pStyle w:val="null3"/>
        <w:ind w:firstLine="420"/>
        <w:jc w:val="both"/>
      </w:pPr>
      <w:r>
        <w:rPr>
          <w:sz w:val="21"/>
        </w:rPr>
        <w:t>⑤乙方应当遵守工程建设安全生产有关管理规定，严格按安全标准组织施工并随时接受甲方及行业安全检查人员依法实施的监督检查，采取必要的安全防护措施，消除事故隐患，安全防护费用已含在合同总价内。乙方在施工现场的安全管理、教育和安全事故责任由乙方承担。在乙方施工范围内发生或因乙方施工活动有关的安全事故由乙方负责处理并承担责任；</w:t>
      </w:r>
      <w:r>
        <w:rPr>
          <w:sz w:val="21"/>
        </w:rPr>
        <w:t xml:space="preserve">     </w:t>
      </w:r>
    </w:p>
    <w:p>
      <w:pPr>
        <w:pStyle w:val="null3"/>
        <w:ind w:firstLine="420"/>
        <w:jc w:val="both"/>
      </w:pPr>
      <w:r>
        <w:rPr>
          <w:sz w:val="21"/>
        </w:rPr>
        <w:t>⑥乙方应合理安全使用水、电设施。</w:t>
      </w:r>
    </w:p>
    <w:p>
      <w:pPr>
        <w:pStyle w:val="null3"/>
        <w:ind w:firstLine="420"/>
        <w:jc w:val="both"/>
      </w:pPr>
      <w:r>
        <w:rPr>
          <w:sz w:val="21"/>
        </w:rPr>
        <w:t>（</w:t>
      </w:r>
      <w:r>
        <w:rPr>
          <w:sz w:val="21"/>
        </w:rPr>
        <w:t>2）关于治安保卫的特别约定：乙方应自觉遵守甲方门卫的出入制度。关于编制施工场地治安管理计划的约定：开工前7天，由乙方制订，甲方协助。乙方必须认真做好施工现场的安全防护工作（包括照明、安全设施等）和施工人员的治安教育及管理工作，对于施工现场可能出现的任何安全事故承担全部责任并承担全部费用。对非施工人员不准其进入现场，落实安全责任制保证做到绝对安全如因乙方安全文明施工或照明等措施不到位，造成施工无关人员进入施工范围并发生事故，所有责任由乙方承担。</w:t>
      </w:r>
    </w:p>
    <w:p>
      <w:pPr>
        <w:pStyle w:val="null3"/>
        <w:ind w:firstLine="210"/>
        <w:jc w:val="both"/>
      </w:pPr>
      <w:r>
        <w:rPr>
          <w:sz w:val="21"/>
        </w:rPr>
        <w:t>（二）安全防护</w:t>
      </w:r>
    </w:p>
    <w:p>
      <w:pPr>
        <w:pStyle w:val="null3"/>
        <w:jc w:val="both"/>
      </w:pPr>
      <w:r>
        <w:rPr>
          <w:sz w:val="21"/>
        </w:rPr>
        <w:t>乙方采取严格的安全防护措施，在布展、完工及修补缺陷的整个过程中，都应当做到：</w:t>
      </w:r>
    </w:p>
    <w:p>
      <w:pPr>
        <w:pStyle w:val="null3"/>
        <w:ind w:firstLine="420"/>
        <w:jc w:val="both"/>
      </w:pPr>
      <w:r>
        <w:rPr>
          <w:sz w:val="21"/>
        </w:rPr>
        <w:t>1.全面关照所有留在现场上的人员的安全，保护其管辖范围内的现场以及尚未完工的和甲方尚未占用的工作处于有条不紊和良好的状态。</w:t>
      </w:r>
    </w:p>
    <w:p>
      <w:pPr>
        <w:pStyle w:val="null3"/>
        <w:ind w:firstLine="420"/>
        <w:jc w:val="both"/>
      </w:pPr>
      <w:r>
        <w:rPr>
          <w:sz w:val="21"/>
        </w:rPr>
        <w:t>2.乙方根据项目现场的实际要求，提供和维持所有的照明灯光、护板、围墙、栅栏、警告信号标志和值班人员，对布展进行保护和为公众提供安全和方便。</w:t>
      </w:r>
    </w:p>
    <w:p>
      <w:pPr>
        <w:pStyle w:val="null3"/>
        <w:ind w:firstLine="210"/>
        <w:jc w:val="both"/>
      </w:pPr>
      <w:r>
        <w:rPr>
          <w:sz w:val="21"/>
        </w:rPr>
        <w:t>（三）事故处理</w:t>
      </w:r>
    </w:p>
    <w:p>
      <w:pPr>
        <w:pStyle w:val="null3"/>
        <w:ind w:firstLine="420"/>
        <w:jc w:val="both"/>
      </w:pPr>
      <w:r>
        <w:rPr>
          <w:sz w:val="21"/>
        </w:rPr>
        <w:t>1.因乙方责任造成质量安全事故的，按照国家规定由行业主管部门给予乙方处罚。</w:t>
      </w:r>
    </w:p>
    <w:p>
      <w:pPr>
        <w:pStyle w:val="null3"/>
        <w:ind w:firstLine="420"/>
        <w:jc w:val="both"/>
      </w:pPr>
      <w:r>
        <w:rPr>
          <w:sz w:val="21"/>
        </w:rPr>
        <w:t>2.乙方应保证甲方免于受到或承担应由乙方负责的因乙方现场布展所引起的或与之有关的索赔、诉讼以及其他开支。若有证据证实甲方因此发生了索赔、诉讼以及其他开支，乙方必须在接到甲方通知后2个工作日内据实补偿甲方因此所受到的所有损失，甲方亦有权要求乙方在接到甲方通知后2个工作日内直接向其他索赔方支付相关费用。</w:t>
      </w:r>
    </w:p>
    <w:p>
      <w:pPr>
        <w:pStyle w:val="null3"/>
        <w:ind w:firstLine="210"/>
        <w:jc w:val="both"/>
      </w:pPr>
      <w:r>
        <w:rPr>
          <w:sz w:val="21"/>
        </w:rPr>
        <w:t>（四）违约与索赔</w:t>
      </w:r>
    </w:p>
    <w:p>
      <w:pPr>
        <w:pStyle w:val="null3"/>
        <w:ind w:firstLine="420"/>
        <w:jc w:val="both"/>
      </w:pPr>
      <w:r>
        <w:rPr>
          <w:sz w:val="21"/>
        </w:rPr>
        <w:t>当本合同任何一方未按本合同约定履行义务时，即构成违约。违约方须按本合同约定向守约方支付违约金，并赔偿损失。</w:t>
      </w:r>
    </w:p>
    <w:p>
      <w:pPr>
        <w:pStyle w:val="null3"/>
        <w:ind w:firstLine="420"/>
        <w:jc w:val="both"/>
      </w:pPr>
      <w:r>
        <w:rPr>
          <w:sz w:val="21"/>
        </w:rPr>
        <w:t>1.甲方的违约</w:t>
      </w:r>
    </w:p>
    <w:p>
      <w:pPr>
        <w:pStyle w:val="null3"/>
        <w:ind w:firstLine="420"/>
        <w:jc w:val="both"/>
      </w:pPr>
      <w:r>
        <w:rPr>
          <w:sz w:val="21"/>
        </w:rPr>
        <w:t>（</w:t>
      </w:r>
      <w:r>
        <w:rPr>
          <w:sz w:val="21"/>
        </w:rPr>
        <w:t>1）因甲方单方原因直接造成的工期顺延，甲方无权要求乙方承担对应工期延误的违约责任。</w:t>
      </w:r>
    </w:p>
    <w:p>
      <w:pPr>
        <w:pStyle w:val="null3"/>
        <w:ind w:firstLine="420"/>
        <w:jc w:val="both"/>
      </w:pPr>
      <w:r>
        <w:rPr>
          <w:sz w:val="21"/>
        </w:rPr>
        <w:t>2.乙方的违约</w:t>
      </w:r>
    </w:p>
    <w:p>
      <w:pPr>
        <w:pStyle w:val="null3"/>
        <w:ind w:firstLine="420"/>
        <w:jc w:val="both"/>
      </w:pPr>
      <w:r>
        <w:rPr>
          <w:sz w:val="21"/>
        </w:rPr>
        <w:t>（</w:t>
      </w:r>
      <w:r>
        <w:rPr>
          <w:sz w:val="21"/>
        </w:rPr>
        <w:t>1）乙方擅自对项目内容进行分包的，视为乙方根本违约。甲方有权解除合同，并要求乙方向甲方支付本合同总价的10%作为违约金，还应向甲方赔偿所有损失。</w:t>
      </w:r>
    </w:p>
    <w:p>
      <w:pPr>
        <w:pStyle w:val="null3"/>
        <w:ind w:firstLine="420"/>
        <w:jc w:val="both"/>
      </w:pPr>
      <w:r>
        <w:rPr>
          <w:sz w:val="21"/>
        </w:rPr>
        <w:t>（</w:t>
      </w:r>
      <w:r>
        <w:rPr>
          <w:sz w:val="21"/>
        </w:rPr>
        <w:t>2）工程组织管理方面的违约责任</w:t>
      </w:r>
    </w:p>
    <w:p>
      <w:pPr>
        <w:pStyle w:val="null3"/>
        <w:ind w:firstLine="420"/>
        <w:jc w:val="both"/>
      </w:pPr>
      <w:r>
        <w:rPr>
          <w:sz w:val="21"/>
        </w:rPr>
        <w:t>①乙方违反合同的约定，不服从甲方及监理人的管理，对甲方、监理人的指令和书面通知公开或变相拒不执行的，甲方视情节严重程度有权要求其承担1次一般违约责任或者1次严重违约责任，并由乙方承担由此造成的一切经济损失。情节较轻的，可给予书面警告；情节特别严重的，甲方有权单方面部分解除合同或解除合同。在项目实施过程中，乙方如有拖欠工人工资导致相关冲击甲方办公地点、上访、群体性事件或其他影响甲方和社会安定事件的，甲方有权根据事件影响的大小进行相应处罚，最高每次可罚至人民币5万元，并保留相关法律权利。</w:t>
      </w:r>
    </w:p>
    <w:p>
      <w:pPr>
        <w:pStyle w:val="null3"/>
        <w:ind w:firstLine="480"/>
        <w:jc w:val="both"/>
      </w:pPr>
      <w:r>
        <w:rPr>
          <w:sz w:val="21"/>
        </w:rPr>
        <w:t>②乙方不遵守甲方依据合同约定所制定的各项制度、规定的由乙方按所触犯制度、规定的有关规定承担违约责任。所触犯制度规定没有明确规定的，由甲方参照合同“乙方违约责任”的约定处理。</w:t>
      </w:r>
    </w:p>
    <w:p>
      <w:pPr>
        <w:pStyle w:val="null3"/>
        <w:ind w:firstLine="480"/>
        <w:jc w:val="both"/>
      </w:pPr>
      <w:r>
        <w:rPr>
          <w:sz w:val="21"/>
        </w:rPr>
        <w:t>③乙方不按合同的有关约定投入项目管理团队人员、现场组织管理人员、施工作业人员、施工机械设备，或者擅自变更资源投入计划或者擅自对已投入的资源进行调整的，乙方必须按照甲方或者总监理工程师的指令限期改正；乙方拒不限期改正的，甲方有权要求其承担1次严重违约责任并甲方有权单方面解除合同。因缺勤而被扣除现场组织实施管理费的人员不再给予违约处罚。经甲方或总监理工程师考核，乙方投入的项目管理团队人员和现场组织管理人员不能满足本项目要求的，乙方必须无条件按甲方的要求更换，直至满足本项目的要求为止。而且，不能满足本项目要求的项目管理团队人员和现场组织管理人员按缺勤处理。④质保期期间，乙方应履行质量保证和保养义务，并承担相应费用；如乙方不履行相关义务也不承担费用，甲方可直接在尾款中扣除相应的款项。</w:t>
      </w:r>
    </w:p>
    <w:p>
      <w:pPr>
        <w:pStyle w:val="null3"/>
        <w:ind w:firstLine="420"/>
        <w:jc w:val="both"/>
      </w:pPr>
      <w:r>
        <w:rPr>
          <w:sz w:val="21"/>
        </w:rPr>
        <w:t>⑤因乙方的制作安装、设备、材料、软件等的缺陷或质量原因经监理单位现场确认，导致甲方、合同第三方受到人身伤害或财产损失，由乙方承担全部的赔偿责任。在服务现场，因乙方操作不当造成安全事故，由乙方承担一切后果。上述安全事故发生在乙方服务期间的，甲方还有权解除合同，乙方需退还已收取的合同款项，并按照合同总价20%向甲方支付违约金，还应向甲方赔偿所有损失。</w:t>
      </w:r>
    </w:p>
    <w:p>
      <w:pPr>
        <w:pStyle w:val="null3"/>
        <w:ind w:firstLine="420"/>
        <w:jc w:val="both"/>
      </w:pPr>
      <w:r>
        <w:rPr>
          <w:sz w:val="21"/>
        </w:rPr>
        <w:t>⑥对于监理人或甲方通知乙方参加的会议（包括但不限于进场会议、现场问题处理会议、工程验收会议、结算问题处理会议、质保期工作的相关会议等），被通知人员（包括但不限于乙方法定代表人、经监理人或甲方书面批准同意的乙方法定代表人授权人、项目总负责人和项目设计负责人、项目施工负责人等）未经监理人或甲方书面同意自行缺席的，每缺席一人次乙方承担1次一般违约责任。</w:t>
      </w:r>
    </w:p>
    <w:p>
      <w:pPr>
        <w:pStyle w:val="null3"/>
        <w:ind w:firstLine="420"/>
        <w:jc w:val="both"/>
      </w:pPr>
      <w:r>
        <w:rPr>
          <w:sz w:val="21"/>
        </w:rPr>
        <w:t>⑦项目设计及工程实施过程中，项目总负责人、项目设计负责人、项目施工负责人必须阶段性驻场办公。项目负责人驻场时间每周不得少于两天；项目设计负责人和项目施工负责人在各自任务阶段必须每天驻场。以上每缺勤一人次，从工程款扣除2000元。未经甲方许可，乙方不得以任何理由提出更换项目总负责人、项目设计负责人、项目施工负责人，否则乙方将承担违约罚款。</w:t>
      </w:r>
    </w:p>
    <w:p>
      <w:pPr>
        <w:pStyle w:val="null3"/>
        <w:ind w:firstLine="420"/>
        <w:jc w:val="both"/>
      </w:pPr>
      <w:r>
        <w:rPr>
          <w:sz w:val="21"/>
        </w:rPr>
        <w:t>（</w:t>
      </w:r>
      <w:r>
        <w:rPr>
          <w:sz w:val="21"/>
        </w:rPr>
        <w:t>3）乙方违反合同约定竣工日期竣工的，应向甲方支付违约金：同时由甲方按照对本项目最有利的原则，按如下约定选择处理：</w:t>
      </w:r>
    </w:p>
    <w:p>
      <w:pPr>
        <w:pStyle w:val="null3"/>
        <w:ind w:firstLine="420"/>
        <w:jc w:val="both"/>
      </w:pPr>
      <w:r>
        <w:rPr>
          <w:sz w:val="21"/>
        </w:rPr>
        <w:t>①若由于乙方原因造成工期延误的，延误时间不超过20天时每延期一天甲方收取乙方违约金2万元；延误时间超过20天时则对超过20天部分按每延期一天甲方收取乙方违约金5万元执行。</w:t>
      </w:r>
    </w:p>
    <w:p>
      <w:pPr>
        <w:pStyle w:val="null3"/>
        <w:ind w:firstLine="420"/>
        <w:jc w:val="both"/>
      </w:pPr>
      <w:r>
        <w:rPr>
          <w:sz w:val="21"/>
        </w:rPr>
        <w:t>②乙方按上述约定向甲方支付违约金并在甲方限定的时间内竣工；如乙方仍不能在甲方限定的时间内竣工，乙方除按上述约定支付违约金外（直至本项目全部竣工为止），在结算时按本合同结算总价款下浮2%作为本合同的最终结算价款，同时乙方还应据实赔偿甲方的实际损失。</w:t>
      </w:r>
    </w:p>
    <w:p>
      <w:pPr>
        <w:pStyle w:val="null3"/>
        <w:ind w:firstLine="420"/>
        <w:jc w:val="both"/>
      </w:pPr>
      <w:r>
        <w:rPr>
          <w:sz w:val="21"/>
        </w:rPr>
        <w:t>③由甲方将未完工程量从本合同中分割，交由第三方完成，由此发生的费用全部从本合同价款中支付，同时由乙方向甲方支付未完工程量价款20%的违约金并赔偿甲方的实际损失。</w:t>
      </w:r>
    </w:p>
    <w:p>
      <w:pPr>
        <w:pStyle w:val="null3"/>
        <w:ind w:firstLine="420"/>
        <w:jc w:val="both"/>
      </w:pPr>
      <w:r>
        <w:rPr>
          <w:sz w:val="21"/>
        </w:rPr>
        <w:t>（</w:t>
      </w:r>
      <w:r>
        <w:rPr>
          <w:sz w:val="21"/>
        </w:rPr>
        <w:t>4）工程质量方面的违约责任</w:t>
      </w:r>
    </w:p>
    <w:p>
      <w:pPr>
        <w:pStyle w:val="null3"/>
        <w:ind w:firstLine="420"/>
        <w:jc w:val="both"/>
      </w:pPr>
      <w:r>
        <w:rPr>
          <w:sz w:val="21"/>
        </w:rPr>
        <w:t>①乙方必须对各工序报验核查质量控制点。乙方申请报验后，经总监理工程师或甲方检查发现存在较大质量问题（存在质量问题的部分超过检查部分工程的10%）的，则该工序质量为不合格，乙方必须对不合格部分进行返工，返工后经检查合格才准进入下一工序，工期不予顺延。复检的结果，按每一分项工程计算，总计发现3次或连续发现2次质量控制点不合格的，乙方承担1次一般违约责任；总计发现3次以上（不含本数）或连续发现2次以上（不含本数）质量控制点不合格的，乙方承担1次严重违约责任；乙方采取整改措施后效果仍不明显的，甲方有权部分解除合同，将该分项工程另行发包，且不免除乙方应承担的违约赔偿责任。</w:t>
      </w:r>
    </w:p>
    <w:p>
      <w:pPr>
        <w:pStyle w:val="null3"/>
        <w:ind w:firstLine="420"/>
        <w:jc w:val="both"/>
      </w:pPr>
      <w:r>
        <w:rPr>
          <w:sz w:val="21"/>
        </w:rPr>
        <w:t>②乙方所投入本项目使用的装饰材料必须为绿色环保材料，并提供检测机构出具材料检验报告方可用于本项目。乙方申请报验后经总监理工程师或甲方检查发现存在违反规定，发现1次，乙方承担1次一般违约责任。</w:t>
      </w:r>
    </w:p>
    <w:p>
      <w:pPr>
        <w:pStyle w:val="null3"/>
        <w:ind w:firstLine="420"/>
        <w:jc w:val="both"/>
      </w:pPr>
      <w:r>
        <w:rPr>
          <w:sz w:val="21"/>
        </w:rPr>
        <w:t>③工程竣工验收不符合国家强制性标准及规范要求或者未能实现一次验收合格的，乙方除应向甲方支付本合同总价的20%作为违约金并无偿采取补救措施及赔偿甲方的实际损失外，还应承担由此引起的一切责任。</w:t>
      </w:r>
    </w:p>
    <w:p>
      <w:pPr>
        <w:pStyle w:val="null3"/>
        <w:ind w:firstLine="420"/>
        <w:jc w:val="both"/>
      </w:pPr>
      <w:r>
        <w:rPr>
          <w:sz w:val="21"/>
        </w:rPr>
        <w:t>④在本项目质量保证期内发现有重大质量问题的（该重大质量问题应界定为达不到要求的质量标准，属质量保修的问题除外），乙方必须在规定的期限内返工达到合同约定的质量等级并赔偿由此给甲方造成的损失，同时按所在合同总价的5%向甲方支付违约金。</w:t>
      </w:r>
    </w:p>
    <w:p>
      <w:pPr>
        <w:pStyle w:val="null3"/>
        <w:ind w:firstLine="420"/>
        <w:jc w:val="both"/>
      </w:pPr>
      <w:r>
        <w:rPr>
          <w:sz w:val="21"/>
        </w:rPr>
        <w:t>⑤</w:t>
      </w:r>
      <w:r>
        <w:rPr>
          <w:sz w:val="21"/>
        </w:rPr>
        <w:t>由于乙方的原因发生工程质量事故的，乙方应全额赔偿甲方的损失并承担相关法律责任。</w:t>
      </w:r>
    </w:p>
    <w:p>
      <w:pPr>
        <w:pStyle w:val="null3"/>
        <w:ind w:firstLine="420"/>
        <w:jc w:val="both"/>
      </w:pPr>
      <w:r>
        <w:rPr>
          <w:sz w:val="21"/>
        </w:rPr>
        <w:t>（</w:t>
      </w:r>
      <w:r>
        <w:rPr>
          <w:sz w:val="21"/>
        </w:rPr>
        <w:t>5）安全生产方面的违约责任</w:t>
      </w:r>
    </w:p>
    <w:p>
      <w:pPr>
        <w:pStyle w:val="null3"/>
        <w:ind w:firstLine="420"/>
        <w:jc w:val="both"/>
      </w:pPr>
      <w:r>
        <w:rPr>
          <w:sz w:val="21"/>
        </w:rPr>
        <w:t>①乙方在政府行政主管部门组织的安全生产检查中，被发现存在严重的安全隐患，被通报批评，或被新闻媒体曝光造成不良影响的被通报或被曝光一次，乙方必须承担1次严重违约责任；造成严重社会影响或累计被通报或被曝光3次以上（含本数）的，甲方有权解除合同。</w:t>
      </w:r>
    </w:p>
    <w:p>
      <w:pPr>
        <w:pStyle w:val="null3"/>
        <w:ind w:firstLine="420"/>
        <w:jc w:val="both"/>
      </w:pPr>
      <w:r>
        <w:rPr>
          <w:sz w:val="21"/>
        </w:rPr>
        <w:t>②乙方在甲方、总监理工程师进行的日常安全生产检查中，被发现存在安全隐患的，乙方应限期改正。若同样问题被发现2次或累计类似问题被发现3次的，乙方必须承担1次一般违约责任。此类问题的认定，以甲方、总监理工程师书面通知、指令、通报或会议纪要为准。</w:t>
      </w:r>
    </w:p>
    <w:p>
      <w:pPr>
        <w:pStyle w:val="null3"/>
        <w:ind w:firstLine="420"/>
        <w:jc w:val="both"/>
      </w:pPr>
      <w:r>
        <w:rPr>
          <w:sz w:val="21"/>
        </w:rPr>
        <w:t>①乙方因自身原因造成安全事故的，除按国家规定由主管部门处罚外，乙方必须依照下列约定承担违约责任：</w:t>
      </w:r>
    </w:p>
    <w:p>
      <w:pPr>
        <w:pStyle w:val="null3"/>
        <w:ind w:firstLine="420"/>
        <w:jc w:val="both"/>
      </w:pPr>
      <w:r>
        <w:rPr>
          <w:sz w:val="21"/>
        </w:rPr>
        <w:t>a、</w:t>
      </w:r>
      <w:r>
        <w:rPr>
          <w:sz w:val="21"/>
        </w:rPr>
        <w:t>发生特别重大事故，乙方按事故所造成损失金额的</w:t>
      </w:r>
      <w:r>
        <w:rPr>
          <w:sz w:val="21"/>
        </w:rPr>
        <w:t>15%向甲方支付违约金，同时违约金的数额不得低于40万元；</w:t>
      </w:r>
    </w:p>
    <w:p>
      <w:pPr>
        <w:pStyle w:val="null3"/>
        <w:ind w:firstLine="420"/>
        <w:jc w:val="both"/>
      </w:pPr>
      <w:r>
        <w:rPr>
          <w:sz w:val="21"/>
        </w:rPr>
        <w:t>b、</w:t>
      </w:r>
      <w:r>
        <w:rPr>
          <w:sz w:val="21"/>
        </w:rPr>
        <w:t>发生重大事故，乙方按事故所造成损失金额的</w:t>
      </w:r>
      <w:r>
        <w:rPr>
          <w:sz w:val="21"/>
        </w:rPr>
        <w:t>12%向甲方支付违约金，同时违约金的数额不得低于30万元；</w:t>
      </w:r>
    </w:p>
    <w:p>
      <w:pPr>
        <w:pStyle w:val="null3"/>
        <w:ind w:firstLine="420"/>
        <w:jc w:val="both"/>
      </w:pPr>
      <w:r>
        <w:rPr>
          <w:sz w:val="21"/>
        </w:rPr>
        <w:t>c、</w:t>
      </w:r>
      <w:r>
        <w:rPr>
          <w:sz w:val="21"/>
        </w:rPr>
        <w:t>发生较大事故，乙方按事故所造成损失金额的</w:t>
      </w:r>
      <w:r>
        <w:rPr>
          <w:sz w:val="21"/>
        </w:rPr>
        <w:t>10%向甲方支付违约金，同时违约金数额不得低于20万元；</w:t>
      </w:r>
    </w:p>
    <w:p>
      <w:pPr>
        <w:pStyle w:val="null3"/>
        <w:ind w:firstLine="420"/>
        <w:jc w:val="both"/>
      </w:pPr>
      <w:r>
        <w:rPr>
          <w:sz w:val="21"/>
        </w:rPr>
        <w:t>d、</w:t>
      </w:r>
      <w:r>
        <w:rPr>
          <w:sz w:val="21"/>
        </w:rPr>
        <w:t>发生一般事故，乙方按事故所造成损失金额的</w:t>
      </w:r>
      <w:r>
        <w:rPr>
          <w:sz w:val="21"/>
        </w:rPr>
        <w:t>8%向甲方支付违约金，同时违约金数额不得低于10万元。</w:t>
      </w:r>
    </w:p>
    <w:p>
      <w:pPr>
        <w:pStyle w:val="null3"/>
        <w:ind w:firstLine="480"/>
        <w:jc w:val="both"/>
      </w:pPr>
      <w:r>
        <w:rPr>
          <w:sz w:val="21"/>
        </w:rPr>
        <w:t>发生上述安全事故，甲方给予乙方</w:t>
      </w:r>
      <w:r>
        <w:rPr>
          <w:sz w:val="21"/>
        </w:rPr>
        <w:t>1次严重违约处罚，直至部分或全部解除合同。情节较轻的，给予1次一般违约处罚。</w:t>
      </w:r>
    </w:p>
    <w:p>
      <w:pPr>
        <w:pStyle w:val="null3"/>
        <w:ind w:firstLine="480"/>
        <w:jc w:val="both"/>
      </w:pPr>
      <w:r>
        <w:rPr>
          <w:sz w:val="21"/>
        </w:rPr>
        <w:t>6）</w:t>
      </w:r>
      <w:r>
        <w:rPr>
          <w:sz w:val="21"/>
        </w:rPr>
        <w:t>乙方不按规定与施工人员签订劳动合同及不按时支付、拖欠、克扣工人工资，被施工人员投诉或上访属实的，乙方必须在</w:t>
      </w:r>
      <w:r>
        <w:rPr>
          <w:sz w:val="21"/>
        </w:rPr>
        <w:t>3天内发放拖欠的款项。若继续拖延被投诉2次及以上，经查实，乙方必须承担1次一般违约责任。若仍然不予整改并发放拖欠的款项，使施工人员采取停工、集聚围阻甲方办公地点甚至政府办公部门、阻塞交通要道、围堵或破坏、拆除已移交甲方的工程等过激行动的，乙方必须承担1次严重违约责任，并立即采取切实有效措施予以整改：拒不采取切实有效措施整改或整改效果不明显的，甲方有权部分或全部解除合同。</w:t>
      </w:r>
    </w:p>
    <w:p>
      <w:pPr>
        <w:pStyle w:val="null3"/>
        <w:ind w:firstLine="480"/>
        <w:jc w:val="both"/>
      </w:pPr>
      <w:r>
        <w:rPr>
          <w:sz w:val="21"/>
        </w:rPr>
        <w:t>7）</w:t>
      </w:r>
      <w:r>
        <w:rPr>
          <w:sz w:val="21"/>
        </w:rPr>
        <w:t>乙方不履行或不完全履行合同其他义务的，均构成违约应当承担</w:t>
      </w:r>
      <w:r>
        <w:rPr>
          <w:sz w:val="21"/>
        </w:rPr>
        <w:t>1次一般违约责任。情节较轻的，可给予书面警告；情节较重的，应当承担1次严重违约责任。</w:t>
      </w:r>
    </w:p>
    <w:p>
      <w:pPr>
        <w:pStyle w:val="null3"/>
        <w:jc w:val="both"/>
      </w:pPr>
      <w:r>
        <w:rPr>
          <w:sz w:val="21"/>
        </w:rPr>
        <w:t xml:space="preserve">    </w:t>
      </w:r>
      <w:r>
        <w:rPr>
          <w:sz w:val="21"/>
        </w:rPr>
        <w:t>3.乙方承担违约责任的方式包括但不限于：</w:t>
      </w:r>
    </w:p>
    <w:p>
      <w:pPr>
        <w:pStyle w:val="null3"/>
        <w:ind w:firstLine="420"/>
        <w:jc w:val="both"/>
      </w:pPr>
      <w:r>
        <w:rPr>
          <w:sz w:val="21"/>
        </w:rPr>
        <w:t>（</w:t>
      </w:r>
      <w:r>
        <w:rPr>
          <w:sz w:val="21"/>
        </w:rPr>
        <w:t>1）书面警告。乙方不履行或不完全履行合同约定的义务及责任，或者不执行总监理工程师或甲方（含主管人员）的指令时，甲方有权向乙方发出书面警告。乙方必须在书面警告限定的时间内改正逾期未改正的，甲方有权要求其指挥长驻场办公，直至改正为止。</w:t>
      </w:r>
    </w:p>
    <w:p>
      <w:pPr>
        <w:pStyle w:val="null3"/>
        <w:ind w:firstLine="420"/>
        <w:jc w:val="both"/>
      </w:pPr>
      <w:r>
        <w:rPr>
          <w:sz w:val="21"/>
        </w:rPr>
        <w:t>（</w:t>
      </w:r>
      <w:r>
        <w:rPr>
          <w:sz w:val="21"/>
        </w:rPr>
        <w:t>2）一般违约责任。乙方违反本合同的约定须承担一般违约责任时，必须向甲方交纳违约金20000元/次。</w:t>
      </w:r>
    </w:p>
    <w:p>
      <w:pPr>
        <w:pStyle w:val="null3"/>
        <w:ind w:firstLine="420"/>
        <w:jc w:val="both"/>
      </w:pPr>
      <w:r>
        <w:rPr>
          <w:sz w:val="21"/>
        </w:rPr>
        <w:t>（</w:t>
      </w:r>
      <w:r>
        <w:rPr>
          <w:sz w:val="21"/>
        </w:rPr>
        <w:t>3）严重违约责任。乙方违反本合同的约定须承担严重违约责任时，必须向甲方交纳违约金100000元/次。</w:t>
      </w:r>
    </w:p>
    <w:p>
      <w:pPr>
        <w:pStyle w:val="null3"/>
        <w:ind w:firstLine="420"/>
        <w:jc w:val="both"/>
      </w:pPr>
      <w:r>
        <w:rPr>
          <w:sz w:val="21"/>
        </w:rPr>
        <w:t>（</w:t>
      </w:r>
      <w:r>
        <w:rPr>
          <w:sz w:val="21"/>
        </w:rPr>
        <w:t>4）部分解除合同。当乙方违反本合同的约定符合部分解除合4）同的条件时，甲方有权向乙方发出书面部分解除合同的通知，该通知在送达乙方时即生效。甲方有权从本合同价款中直接扣除被解除部分工程所需的全部费用，同时，乙方应在部分解除合同之日起七日内向甲方支付被解除部分工程合同价款20%的违约金并赔偿甲方的实际损失。</w:t>
      </w:r>
    </w:p>
    <w:p>
      <w:pPr>
        <w:pStyle w:val="null3"/>
        <w:ind w:firstLine="420"/>
        <w:jc w:val="both"/>
      </w:pPr>
      <w:r>
        <w:rPr>
          <w:sz w:val="21"/>
        </w:rPr>
        <w:t>（</w:t>
      </w:r>
      <w:r>
        <w:rPr>
          <w:sz w:val="21"/>
        </w:rPr>
        <w:t>5）解除合同。当乙方违反本合同的约定符合解除合同的条件时，甲方有权向乙方发出书面解除合同的通知，该通知在送达乙方时即生效，乙方应在解除合同之日起七日内向甲方支付本合同价款20%的违约金并赔偿甲方的实际损失，</w:t>
      </w:r>
    </w:p>
    <w:p>
      <w:pPr>
        <w:pStyle w:val="null3"/>
        <w:ind w:firstLine="420"/>
        <w:jc w:val="both"/>
      </w:pPr>
      <w:r>
        <w:rPr>
          <w:sz w:val="21"/>
        </w:rPr>
        <w:t>（</w:t>
      </w:r>
      <w:r>
        <w:rPr>
          <w:sz w:val="21"/>
        </w:rPr>
        <w:t>6）赔偿损失。因乙方原因造成甲方经济损失的，乙方应赔偿甲方的经济损失。</w:t>
      </w:r>
    </w:p>
    <w:p>
      <w:pPr>
        <w:pStyle w:val="null3"/>
        <w:ind w:firstLine="420"/>
        <w:jc w:val="both"/>
      </w:pPr>
      <w:r>
        <w:rPr>
          <w:sz w:val="21"/>
        </w:rPr>
        <w:t>4.在本合同有效期内，乙方累计承担三次严重违约责任的，甲方有权单方面部分或全部解除合同。</w:t>
      </w:r>
    </w:p>
    <w:p>
      <w:pPr>
        <w:pStyle w:val="null3"/>
        <w:ind w:firstLine="420"/>
        <w:jc w:val="both"/>
      </w:pPr>
      <w:r>
        <w:rPr>
          <w:sz w:val="21"/>
        </w:rPr>
        <w:t>乙方违约须向甲方支付违约金或赔偿金时，甲方有权从应支付给乙方的项目款中直接抵扣，乙方不得有异议。如在项目款无法扣付，或扣除项目款会影响项目正常施工时，甲方将按实从履约保证金中扣除。乙方偿付的违约金不足以弥补甲方损失的，还应按甲方直接损失未弥补部分支付赔偿。乙方按本合同约定应交纳的违约金和赔偿金属于合同条款</w:t>
      </w:r>
      <w:r>
        <w:rPr>
          <w:sz w:val="21"/>
        </w:rPr>
        <w:t>“乙方违约责任”约定以外的其他违约责任的，甲方可决定暂不收取违约金和赔偿金，作为对乙方享有的应收款项债权，甲方将根据乙方履行合同的实际情况随时通知乙方交纳或在工程结算时予以扣除。若相关违约责任非乙方原因引起的，或相关违约责任对合同的履行未造成实质性影响的，或乙方在合同后续履行过程中已采取足够措施来弥补违约责任造成的损失的，由乙方提出申请，经监理人、甲方批准后，可予以免除。</w:t>
      </w:r>
    </w:p>
    <w:p>
      <w:pPr>
        <w:pStyle w:val="null3"/>
        <w:ind w:firstLine="420"/>
        <w:jc w:val="both"/>
      </w:pPr>
      <w:r>
        <w:rPr>
          <w:sz w:val="21"/>
        </w:rPr>
        <w:t>5.乙方违约责任的认定方式、送达程序及违约金的处理</w:t>
      </w:r>
    </w:p>
    <w:p>
      <w:pPr>
        <w:pStyle w:val="null3"/>
        <w:ind w:firstLine="420"/>
        <w:jc w:val="both"/>
      </w:pPr>
      <w:r>
        <w:rPr>
          <w:sz w:val="21"/>
        </w:rPr>
        <w:t>（</w:t>
      </w:r>
      <w:r>
        <w:rPr>
          <w:sz w:val="21"/>
        </w:rPr>
        <w:t>1）认定方式：以甲方发出的通知、通报、会议纪要等书面文件确定的内容为准</w:t>
      </w:r>
    </w:p>
    <w:p>
      <w:pPr>
        <w:pStyle w:val="null3"/>
        <w:ind w:firstLine="420"/>
        <w:jc w:val="both"/>
      </w:pPr>
      <w:r>
        <w:rPr>
          <w:sz w:val="21"/>
        </w:rPr>
        <w:t>（</w:t>
      </w:r>
      <w:r>
        <w:rPr>
          <w:sz w:val="21"/>
        </w:rPr>
        <w:t>2）送达程序：甲方以下列方式之一将书面违约处理决定送达乙方：</w:t>
      </w:r>
    </w:p>
    <w:p>
      <w:pPr>
        <w:pStyle w:val="null3"/>
        <w:ind w:firstLine="420"/>
        <w:jc w:val="both"/>
      </w:pPr>
      <w:r>
        <w:rPr>
          <w:sz w:val="21"/>
        </w:rPr>
        <w:t>①乙方现场管理机构工作人员签收。</w:t>
      </w:r>
    </w:p>
    <w:p>
      <w:pPr>
        <w:pStyle w:val="null3"/>
        <w:ind w:firstLine="420"/>
        <w:jc w:val="both"/>
      </w:pPr>
      <w:r>
        <w:rPr>
          <w:sz w:val="21"/>
        </w:rPr>
        <w:t>②乙方其他工作人员签收。</w:t>
      </w:r>
    </w:p>
    <w:p>
      <w:pPr>
        <w:pStyle w:val="null3"/>
        <w:ind w:firstLine="420"/>
        <w:jc w:val="both"/>
      </w:pPr>
      <w:r>
        <w:rPr>
          <w:sz w:val="21"/>
        </w:rPr>
        <w:t>③甲方邮寄送达。</w:t>
      </w:r>
    </w:p>
    <w:p>
      <w:pPr>
        <w:pStyle w:val="null3"/>
        <w:ind w:firstLine="420"/>
        <w:jc w:val="both"/>
      </w:pPr>
      <w:r>
        <w:rPr>
          <w:sz w:val="21"/>
        </w:rPr>
        <w:t>4）</w:t>
      </w:r>
      <w:r>
        <w:rPr>
          <w:sz w:val="21"/>
        </w:rPr>
        <w:t>甲方以书面形式作出的违约处理决定一经送达乙方立即生效。甲方邮寄送达文件一经投递即视为已送达乙方。乙方如有足够证据证明不应由其承担违约责任的，属不需支付违约金的，应在收到违约处理决定后</w:t>
      </w:r>
      <w:r>
        <w:rPr>
          <w:sz w:val="21"/>
        </w:rPr>
        <w:t>3天内以书面形式向甲方提出异议并附上有关证据属需要支付违约金的，应在工程结算报告送达监理人前以书面形式向甲方提出异议并附上有关证据。甲方在收到乙方的异议后15个工作日内审核完毕且作出书面决定并通知乙方。在异议审核期间，乙方须正常施工，不得以审核未确定为由拖延或者中止工程施工。</w:t>
      </w:r>
    </w:p>
    <w:p>
      <w:pPr>
        <w:pStyle w:val="null3"/>
        <w:ind w:left="240" w:firstLine="210"/>
        <w:jc w:val="both"/>
      </w:pPr>
      <w:r>
        <w:rPr>
          <w:sz w:val="21"/>
        </w:rPr>
        <w:t>6.乙方在合同履行过程中未能及时、足额地发放劳动者工资及相关费用，一经查实，甲方有权在乙方的工程进度款项或履约担保中扣留相应的费用，用于支付劳动者工资及相关费用，乙方不得有异议。</w:t>
      </w:r>
    </w:p>
    <w:p>
      <w:pPr>
        <w:pStyle w:val="null3"/>
        <w:ind w:firstLine="420"/>
        <w:jc w:val="both"/>
      </w:pPr>
      <w:r>
        <w:rPr>
          <w:sz w:val="21"/>
        </w:rPr>
        <w:t>7.其他违约责任按照《中华人民共和国民法典》处理。</w:t>
      </w:r>
    </w:p>
    <w:p>
      <w:pPr>
        <w:pStyle w:val="null3"/>
        <w:ind w:firstLine="420"/>
        <w:jc w:val="both"/>
      </w:pPr>
      <w:r>
        <w:rPr>
          <w:sz w:val="21"/>
        </w:rPr>
        <w:t>8.一方违约，守约方为追究违约方违约责任所支出的费用（包括但不限于诉讼费、保全费、律师费、鉴定费、公证费及差旅费等）由违约方承担。</w:t>
      </w:r>
    </w:p>
    <w:p>
      <w:pPr>
        <w:pStyle w:val="null3"/>
        <w:ind w:firstLine="420"/>
        <w:jc w:val="both"/>
      </w:pPr>
      <w:r>
        <w:rPr>
          <w:sz w:val="21"/>
        </w:rPr>
        <w:t>9.提出异议的时间和方法：</w:t>
      </w:r>
    </w:p>
    <w:p>
      <w:pPr>
        <w:pStyle w:val="null3"/>
        <w:ind w:firstLine="420"/>
        <w:jc w:val="both"/>
      </w:pPr>
      <w:r>
        <w:rPr>
          <w:sz w:val="21"/>
        </w:rPr>
        <w:t>（</w:t>
      </w:r>
      <w:r>
        <w:rPr>
          <w:sz w:val="21"/>
        </w:rPr>
        <w:t>1）甲方有异议时，应3天内向乙方提出书面异议。</w:t>
      </w:r>
    </w:p>
    <w:p>
      <w:pPr>
        <w:pStyle w:val="null3"/>
        <w:ind w:firstLine="420"/>
        <w:jc w:val="both"/>
      </w:pPr>
      <w:r>
        <w:rPr>
          <w:sz w:val="21"/>
        </w:rPr>
        <w:t>（</w:t>
      </w:r>
      <w:r>
        <w:rPr>
          <w:sz w:val="21"/>
        </w:rPr>
        <w:t>2）乙方在接到甲方书面异议后，应在3天内负责处理并函复甲方处理情况，否则，即视为默认甲方提出的异议和处理意见。</w:t>
      </w:r>
    </w:p>
    <w:p>
      <w:pPr>
        <w:pStyle w:val="null3"/>
        <w:ind w:firstLine="420"/>
        <w:jc w:val="both"/>
      </w:pPr>
      <w:r>
        <w:rPr>
          <w:sz w:val="21"/>
        </w:rPr>
        <w:t>（</w:t>
      </w:r>
      <w:r>
        <w:rPr>
          <w:sz w:val="21"/>
        </w:rPr>
        <w:t>3）乙方利用专业技术和行业信息优势之便，以不道德的手段，故意隐瞒和掩盖自身的缔约过失，违背投标（响应）承诺和未尽义务，损害了甲方的合法权益，甲方在任何时候均可追究乙方的违约责任并索取赔偿，且不受验收程序、服务期和合同时效的限制。</w:t>
      </w:r>
    </w:p>
    <w:p>
      <w:pPr>
        <w:pStyle w:val="null3"/>
        <w:ind w:firstLine="420"/>
        <w:jc w:val="both"/>
      </w:pPr>
      <w:r>
        <w:rPr>
          <w:sz w:val="21"/>
        </w:rPr>
        <w:t>10.争议的解决：</w:t>
      </w:r>
    </w:p>
    <w:p>
      <w:pPr>
        <w:pStyle w:val="null3"/>
        <w:ind w:firstLine="420"/>
        <w:jc w:val="both"/>
      </w:pPr>
      <w:r>
        <w:rPr>
          <w:sz w:val="21"/>
        </w:rPr>
        <w:t>（</w:t>
      </w:r>
      <w:r>
        <w:rPr>
          <w:sz w:val="21"/>
        </w:rPr>
        <w:t>1）合同履行过程中发生的任何争议，如双方未能通过友好协商解决，应向甲方所在地的人民法院提起诉讼。</w:t>
      </w:r>
    </w:p>
    <w:p>
      <w:pPr>
        <w:pStyle w:val="null3"/>
        <w:ind w:firstLine="420"/>
        <w:jc w:val="both"/>
      </w:pPr>
      <w:r>
        <w:rPr>
          <w:sz w:val="21"/>
        </w:rPr>
        <w:t>（</w:t>
      </w:r>
      <w:r>
        <w:rPr>
          <w:sz w:val="21"/>
        </w:rPr>
        <w:t>2）法院审理期间，除提交法院审理的事项外，其他无争议的事项和条款仍应继续履行。</w:t>
      </w:r>
    </w:p>
    <w:p>
      <w:pPr>
        <w:pStyle w:val="null3"/>
        <w:ind w:firstLine="420"/>
        <w:jc w:val="both"/>
      </w:pPr>
      <w:r>
        <w:rPr>
          <w:sz w:val="21"/>
        </w:rPr>
        <w:t>11.不可抗力：</w:t>
      </w:r>
    </w:p>
    <w:p>
      <w:pPr>
        <w:pStyle w:val="null3"/>
        <w:ind w:firstLine="42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w:t>
      </w:r>
      <w:r>
        <w:rPr>
          <w:sz w:val="21"/>
        </w:rPr>
        <w:t>五）组成合同的文件</w:t>
      </w:r>
    </w:p>
    <w:p>
      <w:pPr>
        <w:pStyle w:val="null3"/>
        <w:jc w:val="both"/>
      </w:pPr>
      <w:r>
        <w:rPr>
          <w:sz w:val="21"/>
        </w:rPr>
        <w:t>组成本合同的文件及优先解释顺序如下：</w:t>
      </w:r>
    </w:p>
    <w:p>
      <w:pPr>
        <w:pStyle w:val="null3"/>
        <w:ind w:firstLine="420"/>
        <w:jc w:val="both"/>
      </w:pPr>
      <w:r>
        <w:rPr>
          <w:sz w:val="21"/>
        </w:rPr>
        <w:t>1.本合同履行期间甲乙双方签订的补充合同（协议）或合同修正文件；</w:t>
      </w:r>
    </w:p>
    <w:p>
      <w:pPr>
        <w:pStyle w:val="null3"/>
        <w:ind w:firstLine="420"/>
        <w:jc w:val="both"/>
      </w:pPr>
      <w:r>
        <w:rPr>
          <w:sz w:val="21"/>
        </w:rPr>
        <w:t>2.本合同条款；</w:t>
      </w:r>
    </w:p>
    <w:p>
      <w:pPr>
        <w:pStyle w:val="null3"/>
        <w:ind w:firstLine="420"/>
        <w:jc w:val="both"/>
      </w:pPr>
      <w:r>
        <w:rPr>
          <w:sz w:val="21"/>
        </w:rPr>
        <w:t>3.中标通知书、招标文件（含修改文件、澄清文件、答疑会议纪要等）；</w:t>
      </w:r>
    </w:p>
    <w:p>
      <w:pPr>
        <w:pStyle w:val="null3"/>
        <w:ind w:firstLine="420"/>
        <w:jc w:val="both"/>
      </w:pPr>
      <w:r>
        <w:rPr>
          <w:sz w:val="21"/>
        </w:rPr>
        <w:t>4.投标文件及其附件；</w:t>
      </w:r>
    </w:p>
    <w:p>
      <w:pPr>
        <w:pStyle w:val="null3"/>
        <w:ind w:firstLine="420"/>
        <w:jc w:val="both"/>
      </w:pPr>
      <w:r>
        <w:rPr>
          <w:sz w:val="21"/>
        </w:rPr>
        <w:t>5.关于本合同的合同谈判备忘录和会议纪要；</w:t>
      </w:r>
    </w:p>
    <w:p>
      <w:pPr>
        <w:pStyle w:val="null3"/>
        <w:ind w:firstLine="420"/>
        <w:jc w:val="both"/>
      </w:pPr>
      <w:r>
        <w:rPr>
          <w:sz w:val="21"/>
        </w:rPr>
        <w:t>6.经甲方批准的技术图纸和项目预算；</w:t>
      </w:r>
    </w:p>
    <w:p>
      <w:pPr>
        <w:pStyle w:val="null3"/>
        <w:ind w:firstLine="210"/>
        <w:jc w:val="both"/>
      </w:pPr>
      <w:r>
        <w:rPr>
          <w:sz w:val="21"/>
        </w:rPr>
        <w:t>（六）合同终止与解除</w:t>
      </w:r>
    </w:p>
    <w:p>
      <w:pPr>
        <w:pStyle w:val="null3"/>
        <w:ind w:firstLine="420"/>
        <w:jc w:val="both"/>
      </w:pPr>
      <w:r>
        <w:rPr>
          <w:sz w:val="21"/>
        </w:rPr>
        <w:t>1.当甲乙双方均完成了合同中约定的责任和义务，合同即终止。</w:t>
      </w:r>
    </w:p>
    <w:p>
      <w:pPr>
        <w:pStyle w:val="null3"/>
        <w:ind w:firstLine="420"/>
        <w:jc w:val="both"/>
      </w:pPr>
      <w:r>
        <w:rPr>
          <w:sz w:val="21"/>
        </w:rPr>
        <w:t>2.一方依约解除合同，本合同终止，对于因其违约导致合同解除的一方，应当依照本合同的约定承担违约责任。</w:t>
      </w:r>
    </w:p>
    <w:p>
      <w:pPr>
        <w:pStyle w:val="null3"/>
        <w:jc w:val="both"/>
      </w:pPr>
      <w:r>
        <w:rPr>
          <w:sz w:val="21"/>
        </w:rPr>
        <w:t>六、质量保修</w:t>
      </w:r>
    </w:p>
    <w:p>
      <w:pPr>
        <w:pStyle w:val="null3"/>
        <w:ind w:firstLine="210"/>
        <w:jc w:val="both"/>
      </w:pPr>
      <w:r>
        <w:rPr>
          <w:sz w:val="21"/>
        </w:rPr>
        <w:t>（一）质保范围</w:t>
      </w:r>
    </w:p>
    <w:p>
      <w:pPr>
        <w:pStyle w:val="null3"/>
        <w:ind w:firstLine="420"/>
        <w:jc w:val="both"/>
      </w:pPr>
      <w:r>
        <w:rPr>
          <w:sz w:val="21"/>
        </w:rPr>
        <w:t>乙方在质量保修期内，按照有关法律法规、规章的管理规定和双方约定，承担本布展项目质量保修责任。质量保修范围包括广东第二师范学院校史馆与校友之家展陈设计与布展服务项目范围内全部项目。</w:t>
      </w:r>
    </w:p>
    <w:p>
      <w:pPr>
        <w:pStyle w:val="null3"/>
        <w:ind w:firstLine="210"/>
        <w:jc w:val="both"/>
      </w:pPr>
      <w:r>
        <w:rPr>
          <w:sz w:val="21"/>
        </w:rPr>
        <w:t>（二）质保期</w:t>
      </w:r>
    </w:p>
    <w:p>
      <w:pPr>
        <w:pStyle w:val="null3"/>
        <w:ind w:firstLine="420"/>
        <w:jc w:val="both"/>
      </w:pPr>
      <w:r>
        <w:rPr>
          <w:sz w:val="21"/>
        </w:rPr>
        <w:t>1.质保期从完成竣工验收合格交付使用之日算起</w:t>
      </w:r>
      <w:r>
        <w:rPr>
          <w:sz w:val="21"/>
          <w:u w:val="single"/>
        </w:rPr>
        <w:t xml:space="preserve">     </w:t>
      </w:r>
      <w:r>
        <w:rPr>
          <w:sz w:val="21"/>
        </w:rPr>
        <w:t>年。含整个项目所涉及的全部软件、硬件设备、设施、装置、装饰等，其中设备设施的质保期与乙方承诺质保期或国家相关强制标准不一致的，以较长期限为准。</w:t>
      </w:r>
    </w:p>
    <w:p>
      <w:pPr>
        <w:pStyle w:val="null3"/>
        <w:ind w:firstLine="420"/>
        <w:jc w:val="both"/>
      </w:pPr>
      <w:r>
        <w:rPr>
          <w:sz w:val="21"/>
        </w:rPr>
        <w:t>2.质保期内，所有内容的维修均为免费，乙方无偿提供保修服务。如供应商原厂质保期长于本合同约定质保期的，以原厂质保期为准。</w:t>
      </w:r>
    </w:p>
    <w:p>
      <w:pPr>
        <w:pStyle w:val="null3"/>
        <w:ind w:firstLine="210"/>
        <w:jc w:val="both"/>
      </w:pPr>
      <w:r>
        <w:rPr>
          <w:sz w:val="21"/>
        </w:rPr>
        <w:t>（三）质保责任</w:t>
      </w:r>
    </w:p>
    <w:p>
      <w:pPr>
        <w:pStyle w:val="null3"/>
        <w:ind w:firstLine="420"/>
        <w:jc w:val="both"/>
      </w:pPr>
      <w:r>
        <w:rPr>
          <w:sz w:val="21"/>
        </w:rPr>
        <w:t>质保期内，乙方须按约定完成以下工作：</w:t>
      </w:r>
    </w:p>
    <w:p>
      <w:pPr>
        <w:pStyle w:val="null3"/>
        <w:ind w:firstLine="420"/>
        <w:jc w:val="both"/>
      </w:pPr>
      <w:r>
        <w:rPr>
          <w:sz w:val="21"/>
        </w:rPr>
        <w:t>1.质保期内，乙方应在收到甲方故障报修的4小时内做出响应并提供解决方案，并在24小时内到达现场排查并维修；在48小时内不能完成维修的，则乙方最迟应在15个日历天内无条件更换同样规格要求的新设备或替代品（但其新设备和替代品的数量和质量要求不得低于原设备）；如不能更换或提供维修，乙方应提供相关应急措施方案。</w:t>
      </w:r>
    </w:p>
    <w:p>
      <w:pPr>
        <w:pStyle w:val="null3"/>
        <w:ind w:firstLine="420"/>
        <w:jc w:val="both"/>
      </w:pPr>
      <w:r>
        <w:rPr>
          <w:sz w:val="21"/>
        </w:rPr>
        <w:t>2.质保期内，同一缺陷经三次维修、调换后仍无法达到质量标准的，则认定该类产品均不合格，甲方有权将该类产品无条件退货。由此造成的损失，全部由乙方承担。</w:t>
      </w:r>
    </w:p>
    <w:p>
      <w:pPr>
        <w:pStyle w:val="null3"/>
        <w:ind w:firstLine="420"/>
        <w:jc w:val="both"/>
      </w:pPr>
      <w:r>
        <w:rPr>
          <w:sz w:val="21"/>
        </w:rPr>
        <w:t>3.质保期内，非甲方的人为原因而出现的产品质量及安装问题，由乙方负责包修、包换或包退，并承担因此而产生的一切费用。</w:t>
      </w:r>
    </w:p>
    <w:p>
      <w:pPr>
        <w:pStyle w:val="null3"/>
        <w:ind w:firstLine="420"/>
        <w:jc w:val="both"/>
      </w:pPr>
      <w:r>
        <w:rPr>
          <w:sz w:val="21"/>
        </w:rPr>
        <w:t>4.质量保修完成后，由甲乙双方组织验收。</w:t>
      </w:r>
    </w:p>
    <w:p>
      <w:pPr>
        <w:pStyle w:val="null3"/>
        <w:ind w:firstLine="420"/>
        <w:jc w:val="both"/>
      </w:pPr>
      <w:r>
        <w:rPr>
          <w:sz w:val="21"/>
        </w:rPr>
        <w:t>5.质保期内，乙方应定期对内容进行维护、检修和更换，产生的费用均包含在合同总价中，乙方不得另行要求甲方支付费用。且所有内容的维修服务均为乙方上门服务，由此产生的费用均由乙方负责。</w:t>
      </w:r>
    </w:p>
    <w:p>
      <w:pPr>
        <w:pStyle w:val="null3"/>
        <w:ind w:firstLine="210"/>
        <w:jc w:val="both"/>
      </w:pPr>
      <w:r>
        <w:rPr>
          <w:sz w:val="21"/>
        </w:rPr>
        <w:t>（四）质保期结束后，乙方应提供终身售后服务，进行定期维护和修理，三年内设施设备等发生故障到现场维修只收差旅费及材料成件工本费。</w:t>
      </w:r>
    </w:p>
    <w:p>
      <w:pPr>
        <w:pStyle w:val="null3"/>
        <w:jc w:val="both"/>
      </w:pPr>
      <w:r>
        <w:rPr>
          <w:sz w:val="21"/>
        </w:rPr>
        <w:t>七、保密责任</w:t>
      </w:r>
    </w:p>
    <w:p>
      <w:pPr>
        <w:pStyle w:val="null3"/>
        <w:ind w:firstLine="210"/>
        <w:jc w:val="both"/>
      </w:pPr>
      <w:r>
        <w:rPr>
          <w:sz w:val="21"/>
        </w:rPr>
        <w:t>（一）乙方在此承认并同意：甲乙双方签署或进行的包括但不限于本合同、其他协议、文件、陈述或乙方因履行本合同所接触或知晓的甲方工作秘密（包括但不限于甲方的商业秘密、任何技术性资料、办学信息以及甲方为完成本合同提供的任何其他信息资料并且在提供时未说明是公开信息的）均为本合同约定的保密信息。</w:t>
      </w:r>
    </w:p>
    <w:p>
      <w:pPr>
        <w:pStyle w:val="null3"/>
        <w:ind w:firstLine="210"/>
        <w:jc w:val="both"/>
      </w:pPr>
      <w:r>
        <w:rPr>
          <w:sz w:val="21"/>
        </w:rPr>
        <w:t>（二）乙方（包括但不限于雇员、代理人、顾问等人员，下同）保证采取有效的保密措施以避免泄露给任何第三方；在本合同有效存续期间及合同终止后，未经甲方事先的书面同意，不得以任何方式公布、发表、公开、披露、散播、复制此种保密信息的任何部分，或对其加以任何形式的利用或使用。</w:t>
      </w:r>
    </w:p>
    <w:p>
      <w:pPr>
        <w:pStyle w:val="null3"/>
        <w:ind w:firstLine="210"/>
        <w:jc w:val="both"/>
      </w:pPr>
      <w:r>
        <w:rPr>
          <w:sz w:val="21"/>
        </w:rPr>
        <w:t>（三）若乙方违反上述保密义务的，全部收益归甲方所有，并向甲方支付本合同总价款的</w:t>
      </w:r>
      <w:r>
        <w:rPr>
          <w:sz w:val="21"/>
        </w:rPr>
        <w:t>10%作为违约金，并另行赔偿甲方因此遭受的全部损失（包括但不限于：诉讼费、保全费、保全担保费、交通费、通讯费、鉴定费、律师费、因违约方违反本协议的义务引起的或与违约方违反本协议的义务有关的损失或损害）。</w:t>
      </w:r>
    </w:p>
    <w:p>
      <w:pPr>
        <w:pStyle w:val="null3"/>
        <w:ind w:firstLine="210"/>
        <w:jc w:val="both"/>
      </w:pPr>
      <w:r>
        <w:rPr>
          <w:sz w:val="21"/>
        </w:rPr>
        <w:t>（四）无论本合同是否切实得到履行或因任何原因变更、解除、终止、失效等，本条款均始终有效。</w:t>
      </w:r>
    </w:p>
    <w:p>
      <w:pPr>
        <w:pStyle w:val="null3"/>
        <w:jc w:val="both"/>
      </w:pPr>
      <w:r>
        <w:rPr>
          <w:sz w:val="21"/>
        </w:rPr>
        <w:t>八、争议</w:t>
      </w:r>
    </w:p>
    <w:p>
      <w:pPr>
        <w:pStyle w:val="null3"/>
        <w:ind w:firstLine="420"/>
        <w:jc w:val="both"/>
      </w:pPr>
      <w:r>
        <w:rPr>
          <w:sz w:val="21"/>
        </w:rPr>
        <w:t>因本合同或者履行本合同所产生的争议，甲乙双方协商解决；协商不成的，则提交甲方所在地人民法院诉讼解决。</w:t>
      </w:r>
    </w:p>
    <w:p>
      <w:pPr>
        <w:pStyle w:val="null3"/>
        <w:jc w:val="both"/>
      </w:pPr>
      <w:r>
        <w:rPr>
          <w:sz w:val="21"/>
        </w:rPr>
        <w:t>九、合同解除和终止</w:t>
      </w:r>
    </w:p>
    <w:p>
      <w:pPr>
        <w:pStyle w:val="null3"/>
        <w:ind w:firstLine="210"/>
        <w:jc w:val="both"/>
      </w:pPr>
      <w:r>
        <w:rPr>
          <w:sz w:val="21"/>
        </w:rPr>
        <w:t>（一）解除</w:t>
      </w:r>
    </w:p>
    <w:p>
      <w:pPr>
        <w:pStyle w:val="null3"/>
        <w:ind w:firstLine="420"/>
        <w:jc w:val="both"/>
      </w:pPr>
      <w:r>
        <w:rPr>
          <w:sz w:val="21"/>
        </w:rPr>
        <w:t>1.合同期间，乙方有下列违约行为之一者，视为严重违约行为，甲方有权即时解除合同，乙方应向甲方支付相当于合同费用总价20%的违约金，还应向甲方赔偿所有损失：</w:t>
      </w:r>
    </w:p>
    <w:p>
      <w:pPr>
        <w:pStyle w:val="null3"/>
        <w:ind w:firstLine="420"/>
        <w:jc w:val="both"/>
      </w:pPr>
      <w:r>
        <w:rPr>
          <w:sz w:val="21"/>
        </w:rPr>
        <w:t>（</w:t>
      </w:r>
      <w:r>
        <w:rPr>
          <w:sz w:val="21"/>
        </w:rPr>
        <w:t>1）乙方擅自对项目内容进行分包的；</w:t>
      </w:r>
    </w:p>
    <w:p>
      <w:pPr>
        <w:pStyle w:val="null3"/>
        <w:ind w:firstLine="420"/>
        <w:jc w:val="both"/>
      </w:pPr>
      <w:r>
        <w:rPr>
          <w:sz w:val="21"/>
        </w:rPr>
        <w:t>（</w:t>
      </w:r>
      <w:r>
        <w:rPr>
          <w:sz w:val="21"/>
        </w:rPr>
        <w:t>2）在乙方服务期间，因乙方的制作安装、设备、材料、软件等的缺陷或质量原因，导致甲方、合同第三方受到人身伤害或财产损失，或在服务现场因乙方操作不当造成安全事故的；</w:t>
      </w:r>
    </w:p>
    <w:p>
      <w:pPr>
        <w:pStyle w:val="null3"/>
        <w:ind w:firstLine="420"/>
        <w:jc w:val="both"/>
      </w:pPr>
      <w:r>
        <w:rPr>
          <w:sz w:val="21"/>
        </w:rPr>
        <w:t>（</w:t>
      </w:r>
      <w:r>
        <w:rPr>
          <w:sz w:val="21"/>
        </w:rPr>
        <w:t>3）乙方及乙方工作人员有违反知识产权条款之行为的；</w:t>
      </w:r>
    </w:p>
    <w:p>
      <w:pPr>
        <w:pStyle w:val="null3"/>
        <w:ind w:firstLine="420"/>
        <w:jc w:val="both"/>
      </w:pPr>
      <w:r>
        <w:rPr>
          <w:sz w:val="21"/>
        </w:rPr>
        <w:t>（</w:t>
      </w:r>
      <w:r>
        <w:rPr>
          <w:sz w:val="21"/>
        </w:rPr>
        <w:t>4）乙方有其他导致甲方形象及名誉受到损害的严重违约行为的；</w:t>
      </w:r>
    </w:p>
    <w:p>
      <w:pPr>
        <w:pStyle w:val="null3"/>
        <w:ind w:firstLine="420"/>
        <w:jc w:val="both"/>
      </w:pPr>
      <w:r>
        <w:rPr>
          <w:sz w:val="21"/>
        </w:rPr>
        <w:t>（</w:t>
      </w:r>
      <w:r>
        <w:rPr>
          <w:sz w:val="21"/>
        </w:rPr>
        <w:t>5）拒不接受甲方的整改通知的。</w:t>
      </w:r>
    </w:p>
    <w:p>
      <w:pPr>
        <w:pStyle w:val="null3"/>
        <w:ind w:firstLine="420"/>
        <w:jc w:val="both"/>
      </w:pPr>
      <w:r>
        <w:rPr>
          <w:sz w:val="21"/>
        </w:rPr>
        <w:t>2.签订合同后，甲方书面明确表示不履行合同或者不能履行合同的，乙方有权解除本合同。</w:t>
      </w:r>
    </w:p>
    <w:p>
      <w:pPr>
        <w:pStyle w:val="null3"/>
        <w:ind w:firstLine="420"/>
        <w:jc w:val="both"/>
      </w:pPr>
      <w:r>
        <w:rPr>
          <w:sz w:val="21"/>
        </w:rPr>
        <w:t>3.合同的解除不影响知识产权、争议解决、违约责任等条款的效力。</w:t>
      </w:r>
    </w:p>
    <w:p>
      <w:pPr>
        <w:pStyle w:val="null3"/>
        <w:ind w:firstLine="420"/>
        <w:jc w:val="both"/>
      </w:pPr>
      <w:r>
        <w:rPr>
          <w:sz w:val="21"/>
        </w:rPr>
        <w:t>4.如果一方严重违反合同，并在收到对方违约通知书后在15个工作日内仍未能改正违约的，另一方可立即终止本合同。</w:t>
      </w:r>
    </w:p>
    <w:p>
      <w:pPr>
        <w:pStyle w:val="null3"/>
        <w:ind w:firstLine="210"/>
        <w:jc w:val="both"/>
      </w:pPr>
      <w:r>
        <w:rPr>
          <w:sz w:val="21"/>
        </w:rPr>
        <w:t>（二）终止</w:t>
      </w:r>
    </w:p>
    <w:p>
      <w:pPr>
        <w:pStyle w:val="null3"/>
        <w:ind w:firstLine="420"/>
        <w:jc w:val="both"/>
      </w:pPr>
      <w:r>
        <w:rPr>
          <w:sz w:val="21"/>
        </w:rPr>
        <w:t>本合同约定的权利义务关系履行完毕后，合同自然终止。</w:t>
      </w:r>
    </w:p>
    <w:p>
      <w:pPr>
        <w:pStyle w:val="null3"/>
        <w:jc w:val="both"/>
      </w:pPr>
      <w:r>
        <w:rPr>
          <w:sz w:val="21"/>
        </w:rPr>
        <w:t>十、其他</w:t>
      </w:r>
    </w:p>
    <w:p>
      <w:pPr>
        <w:pStyle w:val="null3"/>
        <w:ind w:firstLine="210"/>
        <w:jc w:val="both"/>
      </w:pPr>
      <w:r>
        <w:rPr>
          <w:sz w:val="21"/>
        </w:rPr>
        <w:t>（一）本合同所有附件、采购文件、投标文件、中标通知书均为本合同的有效组成部分，与本合同具有同等法律效力。</w:t>
      </w:r>
    </w:p>
    <w:p>
      <w:pPr>
        <w:pStyle w:val="null3"/>
        <w:ind w:firstLine="210"/>
        <w:jc w:val="both"/>
      </w:pPr>
      <w:r>
        <w:rPr>
          <w:sz w:val="21"/>
        </w:rPr>
        <w:t>（二）在执行本合同的过程中，所有经双方签署确认的文件（包括会议纪要、补充协议、往来信函）即成为本合同的有效组成部分。</w:t>
      </w:r>
    </w:p>
    <w:p>
      <w:pPr>
        <w:pStyle w:val="null3"/>
        <w:ind w:firstLine="210"/>
        <w:jc w:val="both"/>
      </w:pPr>
      <w:r>
        <w:rPr>
          <w:sz w:val="21"/>
        </w:rPr>
        <w:t>（三）如一方地址、电话、传真号码有变更，应在变更当日内书面通知对方，否则，应承担相应责任。</w:t>
      </w:r>
    </w:p>
    <w:p>
      <w:pPr>
        <w:pStyle w:val="null3"/>
        <w:ind w:firstLine="210"/>
        <w:jc w:val="both"/>
      </w:pPr>
      <w:r>
        <w:rPr>
          <w:sz w:val="21"/>
        </w:rPr>
        <w:t>（四）除甲方事先书面同意外，乙方不得部分或全部转让其应履行的合同项下的义务。</w:t>
      </w:r>
    </w:p>
    <w:p>
      <w:pPr>
        <w:pStyle w:val="null3"/>
        <w:ind w:firstLine="210"/>
        <w:jc w:val="both"/>
      </w:pPr>
      <w:r>
        <w:rPr>
          <w:sz w:val="21"/>
        </w:rPr>
        <w:t>（五）未尽事宜，由双方共同协商确定或签订补充协议。</w:t>
      </w:r>
    </w:p>
    <w:p>
      <w:pPr>
        <w:pStyle w:val="null3"/>
        <w:jc w:val="both"/>
      </w:pPr>
      <w:r>
        <w:rPr>
          <w:sz w:val="21"/>
        </w:rPr>
        <w:t>十一、合同款的支付</w:t>
      </w:r>
    </w:p>
    <w:p>
      <w:pPr>
        <w:pStyle w:val="null3"/>
        <w:ind w:firstLine="210"/>
        <w:jc w:val="both"/>
      </w:pPr>
      <w:r>
        <w:rPr>
          <w:sz w:val="21"/>
        </w:rPr>
        <w:t>（一）合同价款</w:t>
      </w:r>
    </w:p>
    <w:p>
      <w:pPr>
        <w:pStyle w:val="null3"/>
        <w:jc w:val="both"/>
      </w:pPr>
      <w:r>
        <w:rPr>
          <w:sz w:val="21"/>
        </w:rPr>
        <w:t>本合同总价为：（大写）人民币</w:t>
      </w:r>
      <w:r>
        <w:rPr>
          <w:sz w:val="21"/>
        </w:rPr>
        <w:t xml:space="preserve">         </w:t>
      </w:r>
      <w:r>
        <w:rPr>
          <w:sz w:val="21"/>
        </w:rPr>
        <w:t>元，（小写）：</w:t>
      </w:r>
      <w:r>
        <w:rPr>
          <w:sz w:val="21"/>
        </w:rPr>
        <w:t xml:space="preserve">       </w:t>
      </w:r>
      <w:r>
        <w:rPr>
          <w:sz w:val="21"/>
        </w:rPr>
        <w:t>元。</w:t>
      </w:r>
    </w:p>
    <w:p>
      <w:pPr>
        <w:pStyle w:val="null3"/>
        <w:ind w:firstLine="420"/>
        <w:jc w:val="both"/>
      </w:pPr>
      <w:r>
        <w:rPr>
          <w:sz w:val="21"/>
        </w:rPr>
        <w:t>合同价款已包含按本项目招标文件要求完成广东第二师范学院校史馆与校友之家展陈设计与布展服务所需费用，包括深化设计，装饰工程：主要包括天花、地面、隔墙和电气。展陈工程：展具（展柜、展台）、场景、部分展品（道具、模型、实物或复制件等）、雕塑、图文展板（含展板、灯箱、立体字等）、多媒体播放系统、专业照明系统、灯光控制系统、中控系统、视觉导览系统等，确保实现整个展区各项功能使用的全部内容工程的采购、制作、陈列、安装、施工、调试及其配套服务。相关服务：协助甲方相关走访、资料收集、展品征集和整理、参与布展大纲编辑、售后服务、培训等相关服务，乙方原因导致的费用增加风险及乙方完成本项目服务的所有费用。</w:t>
      </w:r>
    </w:p>
    <w:p>
      <w:pPr>
        <w:pStyle w:val="null3"/>
        <w:ind w:firstLine="420"/>
        <w:jc w:val="both"/>
      </w:pPr>
      <w:r>
        <w:rPr>
          <w:sz w:val="21"/>
        </w:rPr>
        <w:t>（二）价款支付</w:t>
      </w:r>
    </w:p>
    <w:p>
      <w:pPr>
        <w:pStyle w:val="null3"/>
        <w:ind w:firstLine="420"/>
        <w:jc w:val="both"/>
      </w:pPr>
      <w:r>
        <w:rPr>
          <w:sz w:val="21"/>
        </w:rPr>
        <w:t>第</w:t>
      </w:r>
      <w:r>
        <w:rPr>
          <w:sz w:val="21"/>
        </w:rPr>
        <w:t>1期（预付款）：支付比例30%，合同签订且收到乙方提交的等额发票后5个工作日内，甲方向乙方支付合同总金额的30%；</w:t>
      </w:r>
    </w:p>
    <w:p>
      <w:pPr>
        <w:pStyle w:val="null3"/>
        <w:ind w:firstLine="420"/>
        <w:jc w:val="both"/>
      </w:pPr>
      <w:r>
        <w:rPr>
          <w:sz w:val="21"/>
        </w:rPr>
        <w:t>第</w:t>
      </w:r>
      <w:r>
        <w:rPr>
          <w:sz w:val="21"/>
        </w:rPr>
        <w:t>2期（进度款）：支付比例20%，基础装修完成约80%（不含布展），经甲方与监理签字确认，同时收到乙方提交的等额发票后5个工作日内，甲方向乙方支付合同总金额的20%；</w:t>
      </w:r>
    </w:p>
    <w:p>
      <w:pPr>
        <w:pStyle w:val="null3"/>
        <w:ind w:firstLine="420"/>
        <w:jc w:val="both"/>
      </w:pPr>
      <w:r>
        <w:rPr>
          <w:sz w:val="21"/>
        </w:rPr>
        <w:t>第</w:t>
      </w:r>
      <w:r>
        <w:rPr>
          <w:sz w:val="21"/>
        </w:rPr>
        <w:t>3期（进度款）：支付比例20%，主要设备进场后，收到乙方提交的等额发票后5个工作日内，甲方向乙方支付合同总金额的20%；</w:t>
      </w:r>
    </w:p>
    <w:p>
      <w:pPr>
        <w:pStyle w:val="null3"/>
        <w:ind w:firstLine="420"/>
        <w:jc w:val="both"/>
      </w:pPr>
      <w:r>
        <w:rPr>
          <w:sz w:val="21"/>
        </w:rPr>
        <w:t>第</w:t>
      </w:r>
      <w:r>
        <w:rPr>
          <w:sz w:val="21"/>
        </w:rPr>
        <w:t>4期（进度款）：支付比例10%，项目完工现场通过初步验收并投入试运行，收到乙方提交的等额发票后5个工作日内，甲方向乙方支付合同总金额的10%；</w:t>
      </w:r>
    </w:p>
    <w:p>
      <w:pPr>
        <w:pStyle w:val="null3"/>
        <w:ind w:firstLine="420"/>
        <w:jc w:val="both"/>
      </w:pPr>
      <w:r>
        <w:rPr>
          <w:sz w:val="21"/>
        </w:rPr>
        <w:t>第</w:t>
      </w:r>
      <w:r>
        <w:rPr>
          <w:sz w:val="21"/>
        </w:rPr>
        <w:t>5期（尾款）：支付比例20%，项目竣工验收合格并结算经甲方审定，甲方自收到乙方提交的等额发票后5个工作日内，甲方向乙方支付合同总金额的20%。</w:t>
      </w:r>
    </w:p>
    <w:p>
      <w:pPr>
        <w:pStyle w:val="null3"/>
        <w:ind w:firstLine="210"/>
        <w:jc w:val="both"/>
      </w:pPr>
      <w:r>
        <w:rPr>
          <w:sz w:val="21"/>
        </w:rPr>
        <w:t>（三）支付要求</w:t>
      </w:r>
    </w:p>
    <w:p>
      <w:pPr>
        <w:pStyle w:val="null3"/>
        <w:ind w:firstLine="420"/>
        <w:jc w:val="both"/>
      </w:pPr>
      <w:r>
        <w:rPr>
          <w:sz w:val="21"/>
        </w:rPr>
        <w:t>1.每次付款前，乙方须提供支付所需的佐证材料（甲方自行提供的除外），每期付款由乙方提出书面申请并提供该期相应金额的合法有效发票，方可办理支付手续；收款方、出具发票方、合同方均必须与乙方名称一致，否则甲方有权顺延付款，乙方不得以此为由暂停项目实施或要求顺延工期。</w:t>
      </w:r>
    </w:p>
    <w:p>
      <w:pPr>
        <w:pStyle w:val="null3"/>
        <w:ind w:firstLine="420"/>
        <w:jc w:val="both"/>
      </w:pPr>
      <w:r>
        <w:rPr>
          <w:sz w:val="21"/>
        </w:rPr>
        <w:t>2.上述付款时间规定为甲方向政府采购支付部门提出支付申请的时间（不含政府财政支付部门审查的时间），甲方在规定时间内提起申请的即视为甲方已履行付款义务。</w:t>
      </w:r>
    </w:p>
    <w:p>
      <w:pPr>
        <w:pStyle w:val="null3"/>
        <w:ind w:firstLine="210"/>
        <w:jc w:val="both"/>
      </w:pPr>
      <w:r>
        <w:rPr>
          <w:sz w:val="21"/>
        </w:rPr>
        <w:t>（四）支付方式</w:t>
      </w:r>
    </w:p>
    <w:p>
      <w:pPr>
        <w:pStyle w:val="null3"/>
        <w:ind w:firstLine="420"/>
        <w:jc w:val="both"/>
      </w:pPr>
      <w:r>
        <w:rPr>
          <w:sz w:val="21"/>
        </w:rPr>
        <w:t>甲方通过对公转账的方式将费用汇入乙方指定账户。乙方确认乙方的账户信息为本合同书签署页记载的开户银行和账号。</w:t>
      </w:r>
    </w:p>
    <w:p>
      <w:pPr>
        <w:pStyle w:val="null3"/>
        <w:ind w:firstLine="420"/>
        <w:jc w:val="both"/>
      </w:pPr>
      <w:r>
        <w:rPr>
          <w:sz w:val="21"/>
        </w:rPr>
        <w:t>甲方向上述账户汇出款项后，即视为已履行付款义务，在汇款过程中，因乙方账户的原因（包括但不限于账号被注销、被冻结等）导致其无法收取款项的，由乙方承担相应后果。非因甲方过错导致迟延付款的，甲方不承担任何责任。</w:t>
      </w:r>
    </w:p>
    <w:p>
      <w:pPr>
        <w:pStyle w:val="null3"/>
        <w:ind w:firstLine="210"/>
        <w:jc w:val="both"/>
      </w:pPr>
      <w:r>
        <w:rPr>
          <w:sz w:val="21"/>
        </w:rPr>
        <w:t>（五）履约保证金</w:t>
      </w:r>
    </w:p>
    <w:p>
      <w:pPr>
        <w:pStyle w:val="null3"/>
        <w:ind w:firstLine="420"/>
        <w:jc w:val="both"/>
      </w:pPr>
      <w:r>
        <w:rPr>
          <w:sz w:val="21"/>
        </w:rPr>
        <w:t>1.提交时间：自双方签订合同之日起5个工作日内，乙方提交履约保证金或银行出具的履约保函；</w:t>
      </w:r>
    </w:p>
    <w:p>
      <w:pPr>
        <w:pStyle w:val="null3"/>
        <w:ind w:firstLine="420"/>
        <w:jc w:val="both"/>
      </w:pPr>
      <w:r>
        <w:rPr>
          <w:sz w:val="21"/>
        </w:rPr>
        <w:t>2.履约保证金金额：合同总价的3%；</w:t>
      </w:r>
    </w:p>
    <w:p>
      <w:pPr>
        <w:pStyle w:val="null3"/>
        <w:ind w:firstLine="420"/>
        <w:jc w:val="both"/>
      </w:pPr>
      <w:r>
        <w:rPr>
          <w:sz w:val="21"/>
        </w:rPr>
        <w:t>3.提交方式：履约保证金应当以支票、汇票、本票，或由中国大陆地区商业银行开具的银行不可撤销履约保函等非现金形式提交；</w:t>
      </w:r>
    </w:p>
    <w:p>
      <w:pPr>
        <w:pStyle w:val="null3"/>
        <w:ind w:firstLine="420"/>
        <w:jc w:val="both"/>
      </w:pPr>
      <w:r>
        <w:rPr>
          <w:sz w:val="21"/>
        </w:rPr>
        <w:t>4.有效期：履约担保的有效期为自开具之日起，至项目竣工验收完成止。</w:t>
      </w:r>
    </w:p>
    <w:p>
      <w:pPr>
        <w:pStyle w:val="null3"/>
        <w:ind w:firstLine="420"/>
        <w:jc w:val="both"/>
      </w:pPr>
      <w:r>
        <w:rPr>
          <w:sz w:val="21"/>
        </w:rPr>
        <w:t>5.退还说明：本项目完成竣工验收且乙方无任何违约行为之日起【45】工作日甲方将履约保证金一次性无息退还。甲方逾期退还履约保证金的，每逾期一天按合同总价的万分之一向乙方支付违约金。</w:t>
      </w:r>
    </w:p>
    <w:p>
      <w:pPr>
        <w:pStyle w:val="null3"/>
        <w:jc w:val="both"/>
      </w:pPr>
      <w:r>
        <w:rPr>
          <w:sz w:val="21"/>
        </w:rPr>
        <w:t>十二、价款调整</w:t>
      </w:r>
    </w:p>
    <w:p>
      <w:pPr>
        <w:pStyle w:val="null3"/>
        <w:ind w:firstLine="210"/>
        <w:jc w:val="both"/>
      </w:pPr>
      <w:r>
        <w:rPr>
          <w:sz w:val="21"/>
        </w:rPr>
        <w:t>（一）限额设计及价款调整事项</w:t>
      </w:r>
    </w:p>
    <w:p>
      <w:pPr>
        <w:pStyle w:val="null3"/>
        <w:ind w:firstLine="420"/>
        <w:jc w:val="both"/>
      </w:pPr>
      <w:r>
        <w:rPr>
          <w:sz w:val="21"/>
        </w:rPr>
        <w:t>1.乙方须按采购文件要求进行限额设计工作，并提交达到施工要求的设计成果文件及造价文件，设计成果文件和对应的预算经甲方确认后方可实施。乙方按照最终确定的施工图进行施工。</w:t>
      </w:r>
    </w:p>
    <w:p>
      <w:pPr>
        <w:pStyle w:val="null3"/>
        <w:ind w:firstLine="420"/>
        <w:jc w:val="both"/>
      </w:pPr>
      <w:r>
        <w:rPr>
          <w:sz w:val="21"/>
        </w:rPr>
        <w:t>2.投标报价应为完成本项目招标文件、澄清文件及更正通知、国家及行业规范、技术文件标准、甲方需求等所有内容。项目在实施阶段只有因甲方的需求发生变化导致设计变更、工程签证所引起工程变更时，则该变更部分按甲方实际委托乙方完成的工作量进行结算，未实施内容则不予计量结算。最终结算金额不得超过本项目合同价，超出部分不予结算及支付。</w:t>
      </w:r>
    </w:p>
    <w:p>
      <w:pPr>
        <w:pStyle w:val="null3"/>
        <w:ind w:firstLine="210"/>
        <w:jc w:val="both"/>
      </w:pPr>
      <w:r>
        <w:rPr>
          <w:sz w:val="21"/>
        </w:rPr>
        <w:t>（二）</w:t>
      </w:r>
      <w:r>
        <w:rPr>
          <w:sz w:val="21"/>
        </w:rPr>
        <w:t>.新增项目综合单价及主材价格确定方式按照如下约定执行：</w:t>
      </w:r>
    </w:p>
    <w:p>
      <w:pPr>
        <w:pStyle w:val="null3"/>
        <w:ind w:firstLine="420"/>
        <w:jc w:val="both"/>
      </w:pPr>
      <w:r>
        <w:rPr>
          <w:sz w:val="21"/>
        </w:rPr>
        <w:t>1.综合单价执行原则：</w:t>
      </w:r>
    </w:p>
    <w:p>
      <w:pPr>
        <w:pStyle w:val="null3"/>
        <w:ind w:firstLine="420"/>
        <w:jc w:val="both"/>
      </w:pPr>
      <w:r>
        <w:rPr>
          <w:sz w:val="21"/>
        </w:rPr>
        <w:t>（</w:t>
      </w:r>
      <w:r>
        <w:rPr>
          <w:sz w:val="21"/>
        </w:rPr>
        <w:t>1）若工程量清单有类似项目单价，可参照类似项目单价进行计价。</w:t>
      </w:r>
    </w:p>
    <w:p>
      <w:pPr>
        <w:pStyle w:val="null3"/>
        <w:ind w:firstLine="420"/>
        <w:jc w:val="both"/>
      </w:pPr>
      <w:r>
        <w:rPr>
          <w:sz w:val="21"/>
        </w:rPr>
        <w:t>（</w:t>
      </w:r>
      <w:r>
        <w:rPr>
          <w:sz w:val="21"/>
        </w:rPr>
        <w:t>2）市场询价法。</w:t>
      </w:r>
    </w:p>
    <w:p>
      <w:pPr>
        <w:pStyle w:val="null3"/>
        <w:ind w:firstLine="420"/>
        <w:jc w:val="both"/>
      </w:pPr>
      <w:r>
        <w:rPr>
          <w:sz w:val="21"/>
        </w:rPr>
        <w:t>（</w:t>
      </w:r>
      <w:r>
        <w:rPr>
          <w:sz w:val="21"/>
        </w:rPr>
        <w:t>3）非标成熟案例类比法。</w:t>
      </w:r>
    </w:p>
    <w:p>
      <w:pPr>
        <w:pStyle w:val="null3"/>
        <w:ind w:firstLine="420"/>
        <w:jc w:val="both"/>
      </w:pPr>
      <w:r>
        <w:rPr>
          <w:sz w:val="21"/>
        </w:rPr>
        <w:t>（</w:t>
      </w:r>
      <w:r>
        <w:rPr>
          <w:sz w:val="21"/>
        </w:rPr>
        <w:t>4）新增单价及工程量执行《广东省住房和城乡建设厅关于印发〈广东省建设工程计价依据（2018）〉的通知》（粤建市〔2019〕6号）、《建设工程工程量清单计价规范》(GB50500-2013)、《广东省房屋建筑与装饰工程综合定额（2018）》《广东省市政工程综合定额（2018）》《广东省通用安装工程综合定额（2018）》、广东省相关定额及计价的相关规定取定。</w:t>
      </w:r>
    </w:p>
    <w:p>
      <w:pPr>
        <w:pStyle w:val="null3"/>
        <w:ind w:firstLine="420"/>
        <w:jc w:val="both"/>
      </w:pPr>
      <w:r>
        <w:rPr>
          <w:sz w:val="21"/>
        </w:rPr>
        <w:t>（</w:t>
      </w:r>
      <w:r>
        <w:rPr>
          <w:sz w:val="21"/>
        </w:rPr>
        <w:t>5）陈列展品制作或创作项目的计价由乙方提出，须经甲方审核并同意。</w:t>
      </w:r>
    </w:p>
    <w:p>
      <w:pPr>
        <w:pStyle w:val="null3"/>
        <w:ind w:firstLine="210"/>
        <w:jc w:val="both"/>
      </w:pPr>
      <w:r>
        <w:rPr>
          <w:sz w:val="21"/>
        </w:rPr>
        <w:t>（三）关于预算及结算有关要求及说明：</w:t>
      </w:r>
    </w:p>
    <w:p>
      <w:pPr>
        <w:pStyle w:val="null3"/>
        <w:ind w:firstLine="420"/>
        <w:jc w:val="both"/>
      </w:pPr>
      <w:r>
        <w:rPr>
          <w:sz w:val="21"/>
        </w:rPr>
        <w:t>1.乙方以中标价作为上限进行设计并不得突破，且原则上乙方编制的预算送审价及结算价不得超出合同价，超出部分不予结算及支付。</w:t>
      </w:r>
    </w:p>
    <w:p>
      <w:pPr>
        <w:pStyle w:val="null3"/>
        <w:ind w:firstLine="420"/>
        <w:jc w:val="both"/>
      </w:pPr>
      <w:r>
        <w:rPr>
          <w:sz w:val="21"/>
        </w:rPr>
        <w:t>2.深化设计（或施工图设计）完成后，乙方须根据甲方确认的深化设计成果及施工图编制项目预算，并由甲方委托的第三方造价咨询单位进行审核，审核的依据包括相关工程造价定额、同类项目价格、市场询价及乙方的投标报价中的综合单价等；甲方及第三方造价咨询单位有权对乙方的投标报价中的综合单价进行重新审核及认定，乙方须无条件服从；乙方对甲方委托的第三方造价咨询单位审核的结果有异议时，争议部分甲方可以直接认定或组织专家论证（相关费用由乙方支付），最终甲方认定的或专家论证的结果乙方须无条件服从，否则视为乙方违约。</w:t>
      </w:r>
    </w:p>
    <w:p>
      <w:pPr>
        <w:pStyle w:val="null3"/>
        <w:ind w:firstLine="420"/>
        <w:jc w:val="both"/>
      </w:pPr>
      <w:r>
        <w:rPr>
          <w:sz w:val="21"/>
        </w:rPr>
        <w:t>3.施工图预算和结算的事项，装饰工程和安装工程执行《广东省住房和城乡建设厅关于印发〈广东省建设工程计价依据（2018）〉的通知》（粤建市〔2019〕6号）、《建设工程工程量清单计价规范》(GB50500-2013)、《广东省房屋建筑与装饰工程综合定额（2018）》《广东省市政工程综合定额（2018）》《广东省通用安装工程综合定额（2018）》、广东省相关定额及计价的相关规定取定。展柜及艺术品定制、展示版面部分、多媒体报价部分 、家具定制部分中，施工图预算清单中需描述完整项目特征等内容。对于非标材料，需提供不少于三家供应商的询价单或者其他资料等。</w:t>
      </w:r>
    </w:p>
    <w:p>
      <w:pPr>
        <w:pStyle w:val="null3"/>
        <w:ind w:firstLine="420"/>
        <w:jc w:val="both"/>
      </w:pPr>
      <w:r>
        <w:rPr>
          <w:sz w:val="21"/>
        </w:rPr>
        <w:t>4.项目竣工验收合格后，乙方编制项目结算书（送审结算价不得突破合同价），由甲方委托第三方造价咨询单位进行审核，乙方对甲方委托的第三方造价咨询单位审核的结果有异议时，争议部分甲方可以直接认定或组织专家论证（相关费用由乙方支付），最终甲方认定的或专家论证的结果乙方须无条件服从，否则视为乙方违约。</w:t>
      </w:r>
    </w:p>
    <w:p>
      <w:pPr>
        <w:pStyle w:val="null3"/>
        <w:ind w:firstLine="420"/>
        <w:jc w:val="both"/>
      </w:pPr>
      <w:r>
        <w:rPr>
          <w:sz w:val="21"/>
        </w:rPr>
        <w:t>十三、权利与义务</w:t>
      </w:r>
    </w:p>
    <w:p>
      <w:pPr>
        <w:pStyle w:val="null3"/>
        <w:ind w:firstLine="210"/>
        <w:jc w:val="both"/>
      </w:pPr>
      <w:r>
        <w:rPr>
          <w:sz w:val="21"/>
        </w:rPr>
        <w:t>（一）甲方代表</w:t>
      </w:r>
    </w:p>
    <w:p>
      <w:pPr>
        <w:pStyle w:val="null3"/>
        <w:jc w:val="both"/>
      </w:pPr>
      <w:r>
        <w:rPr>
          <w:sz w:val="21"/>
        </w:rPr>
        <w:t>姓名：</w:t>
      </w:r>
      <w:r>
        <w:rPr>
          <w:sz w:val="21"/>
        </w:rPr>
        <w:t>职务：</w:t>
      </w:r>
      <w:r>
        <w:rPr>
          <w:sz w:val="21"/>
        </w:rPr>
        <w:t>；联系方式：</w:t>
      </w:r>
    </w:p>
    <w:p>
      <w:pPr>
        <w:pStyle w:val="null3"/>
        <w:jc w:val="both"/>
      </w:pPr>
      <w:r>
        <w:rPr>
          <w:sz w:val="21"/>
        </w:rPr>
        <w:t>职权：监督、管理、协调、服务项目实施。</w:t>
      </w:r>
    </w:p>
    <w:p>
      <w:pPr>
        <w:pStyle w:val="null3"/>
        <w:jc w:val="both"/>
      </w:pPr>
      <w:r>
        <w:rPr>
          <w:sz w:val="21"/>
        </w:rPr>
        <w:t>甲方可根据自身情况需要随时调整甲方代表人员。</w:t>
      </w:r>
    </w:p>
    <w:p>
      <w:pPr>
        <w:pStyle w:val="null3"/>
        <w:ind w:firstLine="210"/>
        <w:jc w:val="both"/>
      </w:pPr>
      <w:r>
        <w:rPr>
          <w:sz w:val="21"/>
        </w:rPr>
        <w:t>（二）乙方人员</w:t>
      </w:r>
    </w:p>
    <w:p>
      <w:pPr>
        <w:pStyle w:val="null3"/>
        <w:jc w:val="both"/>
      </w:pPr>
      <w:r>
        <w:rPr>
          <w:sz w:val="21"/>
        </w:rPr>
        <w:t>1.项目负责人</w:t>
      </w:r>
    </w:p>
    <w:p>
      <w:pPr>
        <w:pStyle w:val="null3"/>
        <w:jc w:val="both"/>
      </w:pPr>
      <w:r>
        <w:rPr>
          <w:sz w:val="21"/>
        </w:rPr>
        <w:t>姓名：</w:t>
      </w:r>
      <w:r>
        <w:rPr>
          <w:sz w:val="21"/>
        </w:rPr>
        <w:t>职务：</w:t>
      </w:r>
      <w:r>
        <w:rPr>
          <w:sz w:val="21"/>
        </w:rPr>
        <w:t>；联系方式：</w:t>
      </w:r>
    </w:p>
    <w:p>
      <w:pPr>
        <w:pStyle w:val="null3"/>
        <w:ind w:firstLine="210"/>
        <w:jc w:val="both"/>
      </w:pPr>
      <w:r>
        <w:rPr>
          <w:sz w:val="21"/>
        </w:rPr>
        <w:t>（三）甲方工作</w:t>
      </w:r>
    </w:p>
    <w:p>
      <w:pPr>
        <w:pStyle w:val="null3"/>
        <w:ind w:firstLine="420"/>
        <w:jc w:val="both"/>
      </w:pPr>
      <w:r>
        <w:rPr>
          <w:sz w:val="21"/>
        </w:rPr>
        <w:t>1.提供布展实施所需的场地，以及场地的现场图纸和数据。</w:t>
      </w:r>
    </w:p>
    <w:p>
      <w:pPr>
        <w:pStyle w:val="null3"/>
        <w:ind w:firstLine="420"/>
        <w:jc w:val="both"/>
      </w:pPr>
      <w:r>
        <w:rPr>
          <w:sz w:val="21"/>
        </w:rPr>
        <w:t>2.提供布展实施临时用水、用电、通讯等基础设施，但乙方需自备接驳电气等设备。水、电费的计价及额度按有关文件及物业管理部门规定办理，费用由乙方负责。</w:t>
      </w:r>
    </w:p>
    <w:p>
      <w:pPr>
        <w:pStyle w:val="null3"/>
        <w:ind w:firstLine="420"/>
        <w:jc w:val="both"/>
      </w:pPr>
      <w:r>
        <w:rPr>
          <w:sz w:val="21"/>
        </w:rPr>
        <w:t>3.负责本项目涉及的市政配套部门及当地各有关部门的联系和协调工作，办理布展所需的有关批件、证件和临时用地等的申请报批手续。</w:t>
      </w:r>
    </w:p>
    <w:p>
      <w:pPr>
        <w:pStyle w:val="null3"/>
        <w:ind w:firstLine="420"/>
        <w:jc w:val="both"/>
      </w:pPr>
      <w:r>
        <w:rPr>
          <w:sz w:val="21"/>
        </w:rPr>
        <w:t>4.协调布展场地内各交叉作业单位之间关系，保证乙方按合同的约定</w:t>
      </w:r>
    </w:p>
    <w:p>
      <w:pPr>
        <w:pStyle w:val="null3"/>
        <w:jc w:val="both"/>
      </w:pPr>
      <w:r>
        <w:rPr>
          <w:sz w:val="21"/>
        </w:rPr>
        <w:t>顺利实施。</w:t>
      </w:r>
    </w:p>
    <w:p>
      <w:pPr>
        <w:pStyle w:val="null3"/>
        <w:ind w:firstLine="420"/>
        <w:jc w:val="both"/>
      </w:pPr>
      <w:r>
        <w:rPr>
          <w:sz w:val="21"/>
        </w:rPr>
        <w:t>5.组织乙方进行设计交底、图纸审核和设计方案、布展版面签字。</w:t>
      </w:r>
    </w:p>
    <w:p>
      <w:pPr>
        <w:pStyle w:val="null3"/>
        <w:ind w:firstLine="420"/>
        <w:jc w:val="both"/>
      </w:pPr>
      <w:r>
        <w:rPr>
          <w:sz w:val="21"/>
        </w:rPr>
        <w:t>6.根据合同付款要求，给乙方办理合同款项。</w:t>
      </w:r>
    </w:p>
    <w:p>
      <w:pPr>
        <w:pStyle w:val="null3"/>
        <w:ind w:firstLine="210"/>
        <w:jc w:val="both"/>
      </w:pPr>
      <w:r>
        <w:rPr>
          <w:sz w:val="21"/>
        </w:rPr>
        <w:t>（四）乙方工作</w:t>
      </w:r>
    </w:p>
    <w:p>
      <w:pPr>
        <w:pStyle w:val="null3"/>
        <w:ind w:firstLine="420"/>
        <w:jc w:val="both"/>
      </w:pPr>
      <w:r>
        <w:rPr>
          <w:sz w:val="21"/>
        </w:rPr>
        <w:t>1.乙方应完成本合同约定的全部工作内容，乙方应采取一切可能的措施精心组织设计和布展，确保本项目的设计、布展、制造、安装、调试、维护等各个环节的质量达到验收要求。</w:t>
      </w:r>
    </w:p>
    <w:p>
      <w:pPr>
        <w:pStyle w:val="null3"/>
        <w:ind w:firstLine="420"/>
        <w:jc w:val="both"/>
      </w:pPr>
      <w:r>
        <w:rPr>
          <w:sz w:val="21"/>
        </w:rPr>
        <w:t>2.乙方应按合同约定的项目进度要求，保证本项目按照各关键节点的时间完工与竣工。</w:t>
      </w:r>
    </w:p>
    <w:p>
      <w:pPr>
        <w:pStyle w:val="null3"/>
        <w:ind w:firstLine="420"/>
        <w:jc w:val="both"/>
      </w:pPr>
      <w:r>
        <w:rPr>
          <w:sz w:val="21"/>
        </w:rPr>
        <w:t>3.乙方应接受和配合甲方及属地管理单位的管理和协调。</w:t>
      </w:r>
    </w:p>
    <w:p>
      <w:pPr>
        <w:pStyle w:val="null3"/>
        <w:ind w:firstLine="420"/>
        <w:jc w:val="both"/>
      </w:pPr>
      <w:r>
        <w:rPr>
          <w:sz w:val="21"/>
        </w:rPr>
        <w:t>4.乙方应在约定时间内向甲方提交布展设计、阶段性成果、初步验收资料和竣工验收资料。</w:t>
      </w:r>
    </w:p>
    <w:p>
      <w:pPr>
        <w:pStyle w:val="null3"/>
        <w:ind w:firstLine="420"/>
        <w:jc w:val="both"/>
      </w:pPr>
      <w:r>
        <w:rPr>
          <w:sz w:val="21"/>
        </w:rPr>
        <w:t>5.本项目不允许转包，乙方不得将本项目的主体内容进行分包（另有约定的除外）。本项目实施过程中，如涉及部分专业内容且乙方不具有承接相应专业内容所需资质和人员，在与甲方充分协商并经甲方事先书面同意，且不违反国家法律法规等相关规定的前提下，乙方可将专业内容分包给有实力有相应资质的分包商。乙方对分包商的行为负责，并承担连带责任。</w:t>
      </w:r>
    </w:p>
    <w:p>
      <w:pPr>
        <w:pStyle w:val="null3"/>
        <w:ind w:firstLine="420"/>
        <w:jc w:val="both"/>
      </w:pPr>
      <w:r>
        <w:rPr>
          <w:sz w:val="21"/>
        </w:rPr>
        <w:t>6.乙方在未取得甲方书面同意的情况下，不得将其从甲方所获得的任何技术或信息向第三方披露、出售、使用，亦不得将其为本合同之外的目的使用。</w:t>
      </w:r>
    </w:p>
    <w:p>
      <w:pPr>
        <w:pStyle w:val="null3"/>
        <w:ind w:firstLine="420"/>
        <w:jc w:val="both"/>
      </w:pPr>
      <w:r>
        <w:rPr>
          <w:sz w:val="21"/>
        </w:rPr>
        <w:t>7.乙方必须履行配合相关联合调试义务。</w:t>
      </w:r>
    </w:p>
    <w:p>
      <w:pPr>
        <w:pStyle w:val="null3"/>
        <w:ind w:firstLine="420"/>
        <w:jc w:val="both"/>
      </w:pPr>
      <w:r>
        <w:rPr>
          <w:sz w:val="21"/>
        </w:rPr>
        <w:t>8.展品展项及版面、艺术品及场景装置、装饰结构及材料、设施设备（含展柜、展具装具、照明、多媒体等）等的运输、现场安装、成品保护等由乙方自行解决。</w:t>
      </w:r>
    </w:p>
    <w:p>
      <w:pPr>
        <w:pStyle w:val="null3"/>
        <w:ind w:firstLine="420"/>
        <w:jc w:val="both"/>
      </w:pPr>
      <w:r>
        <w:rPr>
          <w:sz w:val="21"/>
        </w:rPr>
        <w:t>9.乙方派驻本项目现场的管理及实施人员在项目进行期间（含往返工作项目地点的路上以及在职工宿舍内）的人身或财产安全由乙方负责，甲方将不承担任何责任；如发生触电、雷击、失火、高空坠落、交通事故等各种安全意外事件的，因此产生的一切法律责任和经济损失全部由乙方承担并负责解决，甲方如因此垫付相关费用或遭受其他损失的，有权在应付乙方的费用中直接扣除。</w:t>
      </w:r>
    </w:p>
    <w:p>
      <w:pPr>
        <w:pStyle w:val="null3"/>
        <w:ind w:firstLine="420"/>
        <w:jc w:val="both"/>
      </w:pPr>
      <w:r>
        <w:rPr>
          <w:sz w:val="21"/>
        </w:rPr>
        <w:t>10.乙方对履约过程中甲方提交的展陈文本、设计素材、资料等不得用于本合同目的外的其他用途。</w:t>
      </w:r>
    </w:p>
    <w:p>
      <w:pPr>
        <w:pStyle w:val="null3"/>
        <w:ind w:firstLine="420"/>
        <w:jc w:val="both"/>
      </w:pPr>
      <w:r>
        <w:rPr>
          <w:sz w:val="21"/>
        </w:rPr>
        <w:t>11.在项目实施过程中由乙方责任所造成的一切损失，乙方责任自负。</w:t>
      </w:r>
    </w:p>
    <w:p>
      <w:pPr>
        <w:pStyle w:val="null3"/>
        <w:ind w:firstLine="420"/>
        <w:jc w:val="both"/>
      </w:pPr>
      <w:r>
        <w:rPr>
          <w:sz w:val="21"/>
        </w:rPr>
        <w:t>12.项目实施过程中，对于甲方要求整改的内容，乙方未能在合理整改期内整改到位的，甲方可自行委托第三方代为整改，由此所产生的一切损失、费用均由乙方承担。</w:t>
      </w:r>
    </w:p>
    <w:p>
      <w:pPr>
        <w:pStyle w:val="null3"/>
        <w:jc w:val="both"/>
      </w:pPr>
      <w:r>
        <w:rPr>
          <w:sz w:val="21"/>
        </w:rPr>
        <w:t>十四、合同份数</w:t>
      </w:r>
    </w:p>
    <w:p>
      <w:pPr>
        <w:pStyle w:val="null3"/>
        <w:ind w:firstLine="210"/>
        <w:jc w:val="both"/>
      </w:pPr>
      <w:r>
        <w:rPr>
          <w:sz w:val="21"/>
        </w:rPr>
        <w:t>（一）本合同一式</w:t>
      </w:r>
      <w:r>
        <w:rPr>
          <w:sz w:val="21"/>
        </w:rPr>
        <w:t xml:space="preserve">  </w:t>
      </w:r>
      <w:r>
        <w:rPr>
          <w:sz w:val="21"/>
        </w:rPr>
        <w:t>陆</w:t>
      </w:r>
      <w:r>
        <w:rPr>
          <w:sz w:val="21"/>
        </w:rPr>
        <w:t xml:space="preserve">  </w:t>
      </w:r>
      <w:r>
        <w:rPr>
          <w:sz w:val="21"/>
        </w:rPr>
        <w:t>份，甲方执</w:t>
      </w:r>
      <w:r>
        <w:rPr>
          <w:sz w:val="21"/>
        </w:rPr>
        <w:t xml:space="preserve">  </w:t>
      </w:r>
      <w:r>
        <w:rPr>
          <w:sz w:val="21"/>
        </w:rPr>
        <w:t>肆</w:t>
      </w:r>
      <w:r>
        <w:rPr>
          <w:sz w:val="21"/>
        </w:rPr>
        <w:t xml:space="preserve">  </w:t>
      </w:r>
      <w:r>
        <w:rPr>
          <w:sz w:val="21"/>
        </w:rPr>
        <w:t>份，乙方执</w:t>
      </w:r>
      <w:r>
        <w:rPr>
          <w:sz w:val="21"/>
        </w:rPr>
        <w:t xml:space="preserve">  </w:t>
      </w:r>
      <w:r>
        <w:rPr>
          <w:sz w:val="21"/>
        </w:rPr>
        <w:t>贰</w:t>
      </w:r>
      <w:r>
        <w:rPr>
          <w:sz w:val="21"/>
        </w:rPr>
        <w:t xml:space="preserve">  </w:t>
      </w:r>
      <w:r>
        <w:rPr>
          <w:sz w:val="21"/>
        </w:rPr>
        <w:t>份，自双方授权代表签字盖章之日起生效，均具有同等法律效力。</w:t>
      </w:r>
    </w:p>
    <w:p>
      <w:pPr>
        <w:pStyle w:val="null3"/>
        <w:ind w:firstLine="210"/>
        <w:jc w:val="both"/>
      </w:pPr>
      <w:r>
        <w:rPr>
          <w:sz w:val="21"/>
        </w:rPr>
        <w:t>（二）本合同未尽事宜，由甲乙双方协商解决并另行签署书面补充协议。</w:t>
      </w:r>
    </w:p>
    <w:p>
      <w:pPr>
        <w:pStyle w:val="null3"/>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915"/>
        <w:gridCol w:w="4389"/>
      </w:tblGrid>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甲方（盖章）：广东第二师范学院</w:t>
            </w:r>
          </w:p>
          <w:p>
            <w:pPr>
              <w:pStyle w:val="null3"/>
              <w:jc w:val="both"/>
            </w:pPr>
            <w:r>
              <w:rPr>
                <w:sz w:val="21"/>
                <w:b/>
              </w:rPr>
              <w:t xml:space="preserve"> </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法定代表人：（签字）</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法定代表人：（签字）</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委托代理人：（签字）</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委托代理人：（签字）</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通讯地址：</w:t>
            </w:r>
            <w:r>
              <w:rPr>
                <w:sz w:val="21"/>
              </w:rPr>
              <w:t>广州市海珠区新港中路</w:t>
            </w:r>
            <w:r>
              <w:rPr>
                <w:sz w:val="21"/>
              </w:rPr>
              <w:t>351号</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5040"/>
              <w:jc w:val="both"/>
            </w:pPr>
            <w:r>
              <w:rPr>
                <w:sz w:val="21"/>
              </w:rPr>
              <w:t>通讯地址：</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联系电话：</w:t>
            </w:r>
            <w:r>
              <w:rPr>
                <w:sz w:val="21"/>
              </w:rPr>
              <w:t>020-34113569</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联系电话：</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开户行名：工行广州大道支行</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5160"/>
              <w:jc w:val="both"/>
            </w:pPr>
            <w:r>
              <w:rPr>
                <w:sz w:val="21"/>
              </w:rPr>
              <w:t>开户行名：</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r>
              <w:rPr>
                <w:sz w:val="21"/>
              </w:rPr>
              <w:t>3602072209000428820</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组织机构代码：</w:t>
            </w:r>
            <w:r>
              <w:rPr>
                <w:sz w:val="21"/>
              </w:rPr>
              <w:t>12440000455862811X</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统一社会信用代码：</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r>
              <w:rPr>
                <w:sz w:val="21"/>
              </w:rPr>
              <w:t>2025年   月   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440001-2025-28917</w:t>
      </w:r>
    </w:p>
    <w:p>
      <w:pPr>
        <w:pStyle w:val="null3"/>
        <w:jc w:val="center"/>
        <w:outlineLvl w:val="3"/>
      </w:pPr>
      <w:r>
        <w:rPr>
          <w:sz w:val="24"/>
          <w:b/>
        </w:rPr>
        <w:t>采购项目编号：</w:t>
      </w:r>
      <w:r>
        <w:rPr>
          <w:sz w:val="24"/>
          <w:b/>
        </w:rPr>
        <w:t>ZZ0250219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广东第二师范学院校史馆与校友之家展陈设计与布展服务项目</w:t>
      </w:r>
      <w:r>
        <w:rPr>
          <w:u w:val="single"/>
        </w:rPr>
        <w:t>”</w:t>
      </w:r>
      <w:r>
        <w:rPr/>
        <w:t>项目的招标[采购项目编号为：</w:t>
      </w:r>
      <w:r>
        <w:rPr>
          <w:u w:val="single"/>
        </w:rPr>
        <w:t>ZZ0250219</w:t>
      </w:r>
      <w:r>
        <w:rPr/>
        <w:t>]，我方愿参与投标。</w:t>
      </w:r>
    </w:p>
    <w:p>
      <w:pPr>
        <w:pStyle w:val="null3"/>
        <w:ind w:firstLine="480"/>
      </w:pPr>
      <w:r>
        <w:rPr/>
        <w:t>我方确认收到贵方提供的</w:t>
      </w:r>
      <w:r>
        <w:rPr>
          <w:u w:val="single"/>
        </w:rPr>
        <w:t>“</w:t>
      </w:r>
      <w:r>
        <w:rPr>
          <w:u w:val="single"/>
        </w:rPr>
        <w:t>广东第二师范学院校史馆与校友之家展陈设计与布展服务项目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广东第二师范学院校史馆与校友之家展陈设计与布展服务项目</w:t>
      </w:r>
      <w:r>
        <w:rPr/>
        <w:t>”项目采购[采购项目编号为</w:t>
      </w:r>
      <w:r>
        <w:rPr/>
        <w:t>ZZ0250219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广东第二师范学院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广东第二师范学院校史馆与校友之家展陈设计与布展服务项目</w:t>
      </w:r>
      <w:r>
        <w:rPr/>
        <w:t>招标中获中标（采购项目编号：</w:t>
      </w:r>
      <w:r>
        <w:rPr/>
        <w:t>ZZ0250219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广东第二师范学院校史馆与校友之家展陈设计与布展服务项目</w:t>
      </w:r>
      <w:r>
        <w:rPr/>
        <w:t>”项目（采购项目编号：</w:t>
      </w:r>
      <w:r>
        <w:rPr/>
        <w:t>ZZ0250219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