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440001-2025-10216</w:t>
      </w:r>
    </w:p>
    <w:p>
      <w:pPr>
        <w:pStyle w:val="null3"/>
        <w:jc w:val="center"/>
        <w:outlineLvl w:val="3"/>
      </w:pPr>
      <w:r>
        <w:rPr>
          <w:sz w:val="24"/>
          <w:b/>
        </w:rPr>
        <w:t>采购项目编号：</w:t>
      </w:r>
      <w:r>
        <w:rPr>
          <w:sz w:val="24"/>
          <w:b/>
        </w:rPr>
        <w:t>440001-2025-10216</w:t>
      </w:r>
    </w:p>
    <w:p>
      <w:pPr>
        <w:pStyle w:val="null3"/>
        <w:jc w:val="center"/>
        <w:outlineLvl w:val="3"/>
      </w:pPr>
      <w:r>
        <w:rPr>
          <w:sz w:val="24"/>
          <w:b/>
        </w:rPr>
        <w:t>项目名称：</w:t>
      </w:r>
      <w:r>
        <w:rPr>
          <w:sz w:val="24"/>
          <w:b/>
        </w:rPr>
        <w:t>华南农业大学体育馆群众性文化体育活动设施改善项目—体育工艺设施改善工程</w:t>
      </w:r>
    </w:p>
    <w:p>
      <w:pPr>
        <w:pStyle w:val="null3"/>
        <w:jc w:val="center"/>
        <w:outlineLvl w:val="3"/>
      </w:pPr>
      <w:r>
        <w:rPr>
          <w:sz w:val="24"/>
          <w:b/>
        </w:rPr>
        <w:t>采购人：</w:t>
      </w:r>
      <w:r>
        <w:rPr>
          <w:sz w:val="24"/>
          <w:b/>
        </w:rPr>
        <w:t>华南农业大学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华南农业大学</w:t>
      </w:r>
      <w:r>
        <w:rPr/>
        <w:t>的委托，采用</w:t>
      </w:r>
      <w:r>
        <w:rPr/>
        <w:t>竞争性磋商</w:t>
      </w:r>
      <w:r>
        <w:rPr/>
        <w:t>方式组织采购</w:t>
      </w:r>
      <w:r>
        <w:rPr/>
        <w:t>华南农业大学体育馆群众性文化体育活动设施改善项目—体育工艺设施改善工程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华南农业大学体育馆群众性文化体育活动设施改善项目—体育工艺设施改善工程</w:t>
      </w:r>
    </w:p>
    <w:p>
      <w:pPr>
        <w:pStyle w:val="null3"/>
        <w:ind w:firstLine="480"/>
      </w:pPr>
      <w:r>
        <w:rPr/>
        <w:t>采购计划编号：</w:t>
      </w:r>
      <w:r>
        <w:rPr/>
        <w:t>440001-2025-10216</w:t>
      </w:r>
    </w:p>
    <w:p>
      <w:pPr>
        <w:pStyle w:val="null3"/>
        <w:ind w:firstLine="480"/>
      </w:pPr>
      <w:r>
        <w:rPr/>
        <w:t>采购项目编号：</w:t>
      </w:r>
      <w:r>
        <w:rPr/>
        <w:t>440001-2025-10216</w:t>
      </w:r>
    </w:p>
    <w:p>
      <w:pPr>
        <w:pStyle w:val="null3"/>
        <w:ind w:firstLine="480"/>
      </w:pPr>
      <w:r>
        <w:rPr/>
        <w:t>采购方式：</w:t>
      </w:r>
      <w:r>
        <w:rPr/>
        <w:t>竞争性磋商</w:t>
      </w:r>
    </w:p>
    <w:p>
      <w:pPr>
        <w:pStyle w:val="null3"/>
        <w:ind w:firstLine="480"/>
      </w:pPr>
      <w:r>
        <w:rPr/>
        <w:t>预算金额：</w:t>
      </w:r>
      <w:r>
        <w:rPr/>
        <w:t>1,148,248.30</w:t>
      </w:r>
      <w:r>
        <w:rPr/>
        <w:t>元</w:t>
      </w:r>
    </w:p>
    <w:p>
      <w:pPr>
        <w:pStyle w:val="null3"/>
        <w:outlineLvl w:val="3"/>
      </w:pPr>
      <w:r>
        <w:rPr>
          <w:sz w:val="24"/>
          <w:b/>
        </w:rPr>
        <w:t>2.项目内容及需求情况（采购项目技术规格、参数及要求）</w:t>
      </w:r>
    </w:p>
    <w:p>
      <w:pPr>
        <w:pStyle w:val="null3"/>
      </w:pPr>
      <w:r>
        <w:rPr/>
        <w:t>采购包1(华南农业大学体育馆群众性文化体育活动设施改善项目—体育工艺设施改善工程):</w:t>
      </w:r>
    </w:p>
    <w:p>
      <w:pPr>
        <w:pStyle w:val="null3"/>
      </w:pPr>
      <w:r>
        <w:rPr/>
        <w:t>采购包预算金额：1,148,248.30元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合同履行期限：按采购人签发开工通知之日起计，整个工程应于2025年5月30日完成施工。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采购包1（华南农业大学体育馆群众性文化体育活动设施改善项目—体育工艺设施改善工程）：</w:t>
      </w:r>
      <w:r>
        <w:rPr/>
        <w:t>采购包整体专门面向中小企业。中小企业划分标准所属行业为：建筑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采购包1（华南农业大学体育馆群众性文化体育活动设施改善项目—体育工艺设施改善工程）：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3)供应商必须具有政府建设行政主管部门颁发的房屋建筑工程施工总承包三级或以上资质，并具有有效期内的安全生产许可证；（提供复印件加盖供应商公章）</w:t>
      </w:r>
    </w:p>
    <w:p>
      <w:pPr>
        <w:pStyle w:val="null3"/>
      </w:pPr>
      <w:r>
        <w:rPr/>
        <w:t>4)供应商拟派项目负责人必须具有二级建造师或以上资质（建筑工程专业），并持有项目负责人安全培训考核合格证（B类）或建筑施工企业项目负责人安全生产考核合格证书，提供竞争性磋商公告发布之日起近半年内任意一个月由供应商购买的社保证明，并提供项目负责人身份证（提供复印件加盖供应商公章）；（注：1.根据广东省住建厅《关于明确二级建造师注册执业有关问题的通知》（粤建市函〔2023〕469号），二级建造师应在考试取得执业资格的省、自治区、直辖市申请注册，二级注册建造师可随注册企业在全国范围内执业；2.根据《广东省建设执业资格注册中心关于启用新版二级建造师注册证书电子证照的通知》、《广东省建设信息中心关于启用新版“广东省建设执业资格注册管理信息系统”的通知》、《住房和城乡建设部办公厅关于全面实行一级建造师电子注册证书的通知》（建办市〔2021〕40号），供应商应提供有效的注册建造师打印电子证书，若供应商提供的注册建造师电子证书超过使用有效期、未在个人签名处手写签名或手写签名应与签名图像笔迹存在差异的，资格性及符合性检查时应通过“全国建筑市场监管公共服务平台”或各省规定的查询渠道查询持证人注册建造师注册信息，注册信息与投标文件所附电子证书一致的，上述情形不影响供应商通过资格性及符合性检查。）</w:t>
      </w:r>
    </w:p>
    <w:p>
      <w:pPr>
        <w:pStyle w:val="null3"/>
      </w:pPr>
      <w:r>
        <w:rPr/>
        <w:t>5)专职安全员须具有在有效期内的安全生产考核合格证（C类）或建筑施工企业专职安全生产管理人员安全生产考核合格证书（C3）。（提供复印件加盖供应商公章），并提供竞争性磋商公告发布之日起近半年内任意一个月由供应商购买的社保证明。</w:t>
      </w:r>
    </w:p>
    <w:p>
      <w:pPr>
        <w:pStyle w:val="null3"/>
      </w:pPr>
      <w:r>
        <w:rPr/>
        <w:t>6)供应商未被列入拖欠农民工工资失信联合惩戒对象名单。（提供承诺函，格式自拟）</w:t>
      </w:r>
    </w:p>
    <w:p>
      <w:pPr>
        <w:pStyle w:val="null3"/>
      </w:pPr>
      <w:r>
        <w:rPr/>
        <w:t>7)本项目不接受联合体磋商。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华南农业大学</w:t>
      </w:r>
    </w:p>
    <w:p>
      <w:pPr>
        <w:pStyle w:val="null3"/>
        <w:ind w:firstLine="480"/>
      </w:pPr>
      <w:r>
        <w:rPr/>
        <w:t>地址：</w:t>
      </w:r>
      <w:r>
        <w:rPr/>
        <w:t>广州市天河区五山路483号</w:t>
      </w:r>
    </w:p>
    <w:p>
      <w:pPr>
        <w:pStyle w:val="null3"/>
        <w:ind w:firstLine="480"/>
      </w:pPr>
      <w:r>
        <w:rPr/>
        <w:t>联系方式：</w:t>
      </w:r>
      <w:r>
        <w:rPr/>
        <w:t>李老师 020-85280081</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2、磋商文件中，凡标有“★”的地方均为实质性响应条款，供应商若有一项带“★”的条款未响应或不满足，将按无效响应处理。</w:t>
      </w:r>
    </w:p>
    <w:p>
      <w:pPr>
        <w:pStyle w:val="null3"/>
        <w:ind w:firstLine="420"/>
        <w:jc w:val="both"/>
      </w:pPr>
      <w:r>
        <w:rPr>
          <w:sz w:val="21"/>
          <w:shd w:fill="FFFFFF" w:val="clear"/>
        </w:rPr>
        <w:t>3、</w:t>
      </w:r>
      <w:r>
        <w:rPr>
          <w:sz w:val="21"/>
          <w:shd w:fill="FFFFFF" w:val="clear"/>
        </w:rPr>
        <w:t>落实政府采购政策需满足的资格要求：本项目属于专门面向中小企业采购的项目。供应商应按要求出具《中小企业声明函》；属于监狱企业的，提供由省级以上监狱管理局、戒毒管理局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p>
    <w:p>
      <w:pPr>
        <w:pStyle w:val="null3"/>
        <w:ind w:firstLine="480"/>
        <w:jc w:val="both"/>
      </w:pPr>
      <w:r>
        <w:rPr>
          <w:sz w:val="21"/>
          <w:shd w:fill="FFFFFF" w:val="clear"/>
        </w:rPr>
        <w:t>4、本项目对应的中小企业划分标准所属行业为：</w:t>
      </w:r>
      <w:r>
        <w:rPr>
          <w:sz w:val="21"/>
          <w:b/>
          <w:u w:val="single"/>
          <w:shd w:fill="FFFFFF" w:val="clear"/>
        </w:rPr>
        <w:t>建筑业</w:t>
      </w:r>
      <w:r>
        <w:rPr>
          <w:sz w:val="21"/>
          <w:shd w:fill="FFFFFF" w:val="clear"/>
        </w:rPr>
        <w:t>。</w:t>
      </w:r>
    </w:p>
    <w:p>
      <w:pPr>
        <w:pStyle w:val="null3"/>
        <w:ind w:firstLine="480"/>
        <w:jc w:val="both"/>
      </w:pPr>
      <w:r>
        <w:rPr>
          <w:sz w:val="21"/>
          <w:shd w:fill="FFFFFF" w:val="clear"/>
        </w:rPr>
        <w:t>5、报价方式：本工程的报价采用工程量清单计价方式，并采用固定综合单价，供应商在采购文件、图纸及工程量清单等规定范围内自行报价。</w:t>
      </w:r>
    </w:p>
    <w:p>
      <w:pPr>
        <w:pStyle w:val="null3"/>
        <w:ind w:firstLine="480"/>
        <w:jc w:val="both"/>
      </w:pPr>
      <w:r>
        <w:rPr>
          <w:sz w:val="21"/>
          <w:shd w:fill="FFFFFF" w:val="clear"/>
        </w:rPr>
        <w:t>6、本项目采购控制价为人民币</w:t>
      </w:r>
      <w:r>
        <w:rPr>
          <w:sz w:val="21"/>
          <w:u w:val="single"/>
          <w:shd w:fill="FFFFFF" w:val="clear"/>
        </w:rPr>
        <w:t xml:space="preserve"> </w:t>
      </w:r>
      <w:r>
        <w:rPr>
          <w:sz w:val="21"/>
          <w:u w:val="single"/>
          <w:shd w:fill="FFFFFF" w:val="clear"/>
        </w:rPr>
        <w:t xml:space="preserve">1,148,248.30 </w:t>
      </w:r>
      <w:r>
        <w:rPr>
          <w:sz w:val="21"/>
          <w:shd w:fill="FFFFFF" w:val="clear"/>
        </w:rPr>
        <w:t>元，其中包括：</w:t>
      </w:r>
      <w:r>
        <w:rPr>
          <w:sz w:val="21"/>
          <w:shd w:fill="FFFFFF" w:val="clear"/>
        </w:rPr>
        <w:t>绿色施工防护措施费</w:t>
      </w:r>
      <w:r>
        <w:rPr>
          <w:sz w:val="21"/>
          <w:u w:val="single"/>
          <w:shd w:fill="FFFFFF" w:val="clear"/>
        </w:rPr>
        <w:t xml:space="preserve"> </w:t>
      </w:r>
      <w:r>
        <w:rPr>
          <w:sz w:val="21"/>
          <w:u w:val="single"/>
          <w:shd w:fill="FFFFFF" w:val="clear"/>
        </w:rPr>
        <w:t>26957.74</w:t>
      </w:r>
      <w:r>
        <w:rPr>
          <w:sz w:val="21"/>
          <w:shd w:fill="FFFFFF" w:val="clear"/>
        </w:rPr>
        <w:t>元，暂列金额</w:t>
      </w:r>
      <w:r>
        <w:rPr>
          <w:sz w:val="21"/>
          <w:u w:val="single"/>
          <w:shd w:fill="FFFFFF" w:val="clear"/>
        </w:rPr>
        <w:t xml:space="preserve"> </w:t>
      </w:r>
      <w:r>
        <w:rPr>
          <w:sz w:val="21"/>
          <w:u w:val="single"/>
          <w:shd w:fill="FFFFFF" w:val="clear"/>
        </w:rPr>
        <w:t xml:space="preserve">66590.92 </w:t>
      </w:r>
      <w:r>
        <w:rPr>
          <w:sz w:val="21"/>
          <w:shd w:fill="FFFFFF" w:val="clear"/>
        </w:rPr>
        <w:t>元</w:t>
      </w:r>
      <w:r>
        <w:rPr>
          <w:sz w:val="21"/>
          <w:shd w:fill="FFFFFF" w:val="clear"/>
        </w:rPr>
        <w:t>，绿色施工防护措施费、暂列金额不作为竞争性费用。（采购人提供的工程量清单或采购文件其他部分中有关绿色施工防护措施费、暂列金额、暂估价等非竞争性项目明列了单价或合价的金额的，供应商应按照明列的单价或合价的金额报价，未按照规定金额报价的，由磋商小组按照采购文件规定的金额进行修正。）</w:t>
      </w:r>
    </w:p>
    <w:p>
      <w:pPr>
        <w:pStyle w:val="null3"/>
        <w:ind w:firstLine="480"/>
        <w:jc w:val="both"/>
      </w:pPr>
      <w:r>
        <w:rPr>
          <w:sz w:val="21"/>
          <w:shd w:fill="FFFFFF" w:val="clear"/>
        </w:rPr>
        <w:t>7、</w:t>
      </w:r>
      <w:r>
        <w:rPr>
          <w:sz w:val="21"/>
          <w:shd w:fill="FFFFFF" w:val="clear"/>
        </w:rPr>
        <w:t>技术负责人</w:t>
      </w:r>
      <w:r>
        <w:rPr>
          <w:sz w:val="21"/>
          <w:shd w:fill="FFFFFF" w:val="clear"/>
        </w:rPr>
        <w:t>应</w:t>
      </w:r>
      <w:r>
        <w:rPr>
          <w:sz w:val="21"/>
          <w:shd w:fill="FFFFFF" w:val="clear"/>
        </w:rPr>
        <w:t>具备二级以上注册建造师证及建筑工程类相关专业</w:t>
      </w:r>
      <w:r>
        <w:rPr>
          <w:sz w:val="21"/>
          <w:shd w:fill="FFFFFF" w:val="clear"/>
        </w:rPr>
        <w:t>技术</w:t>
      </w:r>
      <w:r>
        <w:rPr>
          <w:sz w:val="21"/>
          <w:shd w:fill="FFFFFF" w:val="clear"/>
        </w:rPr>
        <w:t>职称</w:t>
      </w:r>
      <w:r>
        <w:rPr>
          <w:sz w:val="21"/>
          <w:shd w:fill="FFFFFF" w:val="clear"/>
        </w:rPr>
        <w:t>；</w:t>
      </w:r>
      <w:r>
        <w:rPr>
          <w:sz w:val="21"/>
          <w:shd w:fill="FFFFFF" w:val="clear"/>
        </w:rPr>
        <w:t>项目管理人员</w:t>
      </w:r>
      <w:r>
        <w:rPr>
          <w:sz w:val="21"/>
          <w:shd w:fill="FFFFFF" w:val="clear"/>
        </w:rPr>
        <w:t>应</w:t>
      </w:r>
      <w:r>
        <w:rPr>
          <w:sz w:val="21"/>
          <w:shd w:fill="FFFFFF" w:val="clear"/>
        </w:rPr>
        <w:t>包括注册造价工程师、施工员、劳务员、资料员、材料员、机械员</w:t>
      </w:r>
      <w:r>
        <w:rPr>
          <w:sz w:val="21"/>
          <w:shd w:fill="FFFFFF" w:val="clear"/>
        </w:rPr>
        <w:t>等</w:t>
      </w:r>
      <w:r>
        <w:rPr>
          <w:sz w:val="21"/>
          <w:shd w:fill="FFFFFF" w:val="clear"/>
        </w:rPr>
        <w:t>各一名</w:t>
      </w:r>
      <w:r>
        <w:rPr>
          <w:sz w:val="21"/>
          <w:shd w:fill="FFFFFF" w:val="clear"/>
        </w:rPr>
        <w:t>，</w:t>
      </w:r>
      <w:r>
        <w:rPr>
          <w:sz w:val="21"/>
          <w:shd w:fill="FFFFFF" w:val="clear"/>
        </w:rPr>
        <w:t>供应商保证实际投入的人员与响应时提供的人员信息一致，未经采购人书面批准不得更换项目管理人员</w:t>
      </w:r>
      <w:r>
        <w:rPr>
          <w:sz w:val="21"/>
          <w:shd w:fill="FFFFFF" w:val="clear"/>
        </w:rPr>
        <w:t>。</w:t>
      </w:r>
    </w:p>
    <w:p>
      <w:pPr>
        <w:pStyle w:val="null3"/>
        <w:ind w:firstLine="480"/>
        <w:jc w:val="both"/>
      </w:pPr>
      <w:r>
        <w:rPr>
          <w:sz w:val="21"/>
          <w:shd w:fill="FFFFFF" w:val="clear"/>
        </w:rPr>
        <w:t>8</w:t>
      </w:r>
      <w:r>
        <w:rPr>
          <w:sz w:val="21"/>
          <w:shd w:fill="FFFFFF" w:val="clear"/>
        </w:rPr>
        <w:t>、</w:t>
      </w:r>
      <w:r>
        <w:rPr>
          <w:sz w:val="21"/>
          <w:shd w:fill="FFFFFF" w:val="clear"/>
        </w:rPr>
        <w:t>★</w:t>
      </w:r>
      <w:r>
        <w:rPr>
          <w:sz w:val="21"/>
          <w:shd w:fill="FFFFFF" w:val="clear"/>
        </w:rPr>
        <w:t>项目负责人不得同时担任两个及以上建设工程施工项目负责人，否则成交结果无效，且成交供应商必须赔偿采购人因此所造成的损失。</w:t>
      </w:r>
      <w:r>
        <w:rPr>
          <w:sz w:val="21"/>
          <w:b/>
          <w:shd w:fill="FFFFFF" w:val="clear"/>
        </w:rPr>
        <w:t>（</w:t>
      </w:r>
      <w:r>
        <w:rPr>
          <w:sz w:val="21"/>
          <w:b/>
          <w:shd w:fill="FFFFFF" w:val="clear"/>
        </w:rPr>
        <w:t>需提供承诺函，格式自拟</w:t>
      </w:r>
      <w:r>
        <w:rPr>
          <w:sz w:val="21"/>
          <w:b/>
          <w:shd w:fill="FFFFFF" w:val="clear"/>
        </w:rPr>
        <w:t>）</w:t>
      </w:r>
    </w:p>
    <w:p>
      <w:pPr>
        <w:pStyle w:val="null3"/>
        <w:jc w:val="left"/>
      </w:pPr>
      <w:r>
        <w:rPr>
          <w:sz w:val="21"/>
          <w:b/>
          <w:shd w:fill="FFFFFF" w:val="clear"/>
        </w:rPr>
        <w:t>二、主要内容：（详见工程量清单、图纸）</w:t>
      </w:r>
    </w:p>
    <w:p>
      <w:pPr>
        <w:pStyle w:val="null3"/>
        <w:ind w:firstLine="420"/>
        <w:jc w:val="both"/>
      </w:pPr>
      <w:r>
        <w:rPr>
          <w:sz w:val="21"/>
        </w:rPr>
        <w:t>1、</w:t>
      </w:r>
      <w:r>
        <w:rPr>
          <w:sz w:val="21"/>
        </w:rPr>
        <w:t>使用硅酸钙板轻质墙间隔首层竞赛功能用房，墙面刮腻子刷油漆</w:t>
      </w:r>
      <w:r>
        <w:rPr>
          <w:sz w:val="21"/>
        </w:rPr>
        <w:t>。</w:t>
      </w:r>
    </w:p>
    <w:p>
      <w:pPr>
        <w:pStyle w:val="null3"/>
        <w:ind w:firstLine="420"/>
        <w:jc w:val="both"/>
      </w:pPr>
      <w:r>
        <w:rPr>
          <w:sz w:val="21"/>
        </w:rPr>
        <w:t>2、</w:t>
      </w:r>
      <w:r>
        <w:rPr>
          <w:sz w:val="21"/>
        </w:rPr>
        <w:t>★</w:t>
      </w:r>
      <w:r>
        <w:rPr>
          <w:sz w:val="21"/>
        </w:rPr>
        <w:t>原有场馆灯光设计为篮球模式，</w:t>
      </w:r>
      <w:r>
        <w:rPr>
          <w:sz w:val="21"/>
        </w:rPr>
        <w:t>IV级标准，采用广东北斗星体育设备有限公司制造的球场专用灯，该项目需对灯光进行改造，达到室内排球模式（V级），并符合“全运会场馆建设要求——排球、沙滩排球（第一版）”和“（十五运粤执场信〔2024〕25号）关于印发《第十五届全国运动会和全国第十二届残疾人运动会暨第九届特殊奥林匹克运动会广东赛区竞赛场馆场馆体育工艺验收指导意见》的通知”的要求，改造后需通过第三方机构的检测并出具合格报告以达到体育工艺验收的要求</w:t>
      </w:r>
      <w:r>
        <w:rPr>
          <w:sz w:val="21"/>
        </w:rPr>
        <w:t>。</w:t>
      </w:r>
      <w:r>
        <w:rPr>
          <w:sz w:val="21"/>
          <w:b/>
        </w:rPr>
        <w:t>（</w:t>
      </w:r>
      <w:r>
        <w:rPr>
          <w:sz w:val="21"/>
          <w:b/>
        </w:rPr>
        <w:t>需提供承诺函，格式自拟</w:t>
      </w:r>
      <w:r>
        <w:rPr>
          <w:sz w:val="21"/>
          <w:b/>
        </w:rPr>
        <w:t>）</w:t>
      </w:r>
    </w:p>
    <w:p>
      <w:pPr>
        <w:pStyle w:val="null3"/>
        <w:ind w:firstLine="420"/>
        <w:jc w:val="both"/>
      </w:pPr>
      <w:r>
        <w:rPr>
          <w:sz w:val="21"/>
        </w:rPr>
        <w:t>3、</w:t>
      </w:r>
      <w:r>
        <w:rPr>
          <w:sz w:val="21"/>
        </w:rPr>
        <w:t>球场专用灯技术参数</w:t>
      </w:r>
      <w:r>
        <w:rPr>
          <w:sz w:val="21"/>
        </w:rPr>
        <w:t>:球场专用灯额定功率</w:t>
      </w:r>
      <w:r>
        <w:rPr>
          <w:sz w:val="21"/>
        </w:rPr>
        <w:t>不低于</w:t>
      </w:r>
      <w:r>
        <w:rPr>
          <w:sz w:val="21"/>
        </w:rPr>
        <w:t>500W，输入功率500W±3%，球场专用灯光效≥120lm/W，功率因数≥0.97；色温5000K~6000K，色容差SDCM≤5，显色指数Ra≥80，R9≥0，输入电压： AC220V±5</w:t>
      </w:r>
      <w:r>
        <w:rPr>
          <w:sz w:val="21"/>
        </w:rPr>
        <w:t>%</w:t>
      </w:r>
      <w:r>
        <w:rPr>
          <w:sz w:val="21"/>
        </w:rPr>
        <w:t>；频率：</w:t>
      </w:r>
      <w:r>
        <w:rPr>
          <w:sz w:val="21"/>
        </w:rPr>
        <w:t>50HZ±2</w:t>
      </w:r>
      <w:r>
        <w:rPr>
          <w:sz w:val="21"/>
        </w:rPr>
        <w:t>%</w:t>
      </w:r>
      <w:r>
        <w:rPr>
          <w:sz w:val="21"/>
        </w:rPr>
        <w:t>；</w:t>
      </w:r>
    </w:p>
    <w:p>
      <w:pPr>
        <w:pStyle w:val="null3"/>
        <w:ind w:firstLine="420"/>
        <w:jc w:val="both"/>
      </w:pPr>
      <w:r>
        <w:rPr>
          <w:sz w:val="21"/>
        </w:rPr>
        <w:t>4、</w:t>
      </w:r>
      <w:r>
        <w:rPr>
          <w:sz w:val="21"/>
        </w:rPr>
        <w:t>球场专用灯采用</w:t>
      </w:r>
      <w:r>
        <w:rPr>
          <w:sz w:val="21"/>
        </w:rPr>
        <w:t>LED光源，采用SMD封装模式;</w:t>
      </w:r>
    </w:p>
    <w:p>
      <w:pPr>
        <w:pStyle w:val="null3"/>
        <w:ind w:firstLine="420"/>
        <w:jc w:val="both"/>
      </w:pPr>
      <w:r>
        <w:rPr>
          <w:sz w:val="21"/>
        </w:rPr>
        <w:t>5、</w:t>
      </w:r>
      <w:r>
        <w:rPr>
          <w:sz w:val="21"/>
        </w:rPr>
        <w:t>球场专用灯采用一体化结构球场专用灯，不得采用模块式拼装球场专用灯结构</w:t>
      </w:r>
      <w:r>
        <w:rPr>
          <w:sz w:val="21"/>
          <w:b/>
        </w:rPr>
        <w:t>（提供产品说明书或技术说明书</w:t>
      </w:r>
      <w:r>
        <w:rPr>
          <w:sz w:val="21"/>
          <w:b/>
        </w:rPr>
        <w:t>加盖供应商公章</w:t>
      </w:r>
      <w:r>
        <w:rPr>
          <w:sz w:val="21"/>
          <w:b/>
        </w:rPr>
        <w:t>）；</w:t>
      </w:r>
    </w:p>
    <w:p>
      <w:pPr>
        <w:pStyle w:val="null3"/>
        <w:ind w:firstLine="420"/>
        <w:jc w:val="both"/>
      </w:pPr>
      <w:r>
        <w:rPr>
          <w:sz w:val="21"/>
        </w:rPr>
        <w:t>6、</w:t>
      </w:r>
      <w:r>
        <w:rPr>
          <w:sz w:val="21"/>
        </w:rPr>
        <w:t>球场专用灯外置高防眩光反射罩，采用阳极氧化高纯铝，独立的光学级透镜，透镜采用棱镜设计，透光率</w:t>
      </w:r>
      <w:r>
        <w:rPr>
          <w:sz w:val="21"/>
        </w:rPr>
        <w:t>≥96%，透镜内置反射装置和外置防眩光装置结合，双重有效的抑制眩光与散射光</w:t>
      </w:r>
      <w:r>
        <w:rPr>
          <w:sz w:val="21"/>
          <w:b/>
        </w:rPr>
        <w:t>(提供产品结构图及技术说明</w:t>
      </w:r>
      <w:r>
        <w:rPr>
          <w:sz w:val="21"/>
          <w:b/>
        </w:rPr>
        <w:t>加盖供应商公章</w:t>
      </w:r>
      <w:r>
        <w:rPr>
          <w:sz w:val="21"/>
          <w:b/>
        </w:rPr>
        <w:t>）；</w:t>
      </w:r>
    </w:p>
    <w:p>
      <w:pPr>
        <w:pStyle w:val="null3"/>
        <w:ind w:firstLine="420"/>
        <w:jc w:val="both"/>
      </w:pPr>
      <w:r>
        <w:rPr>
          <w:sz w:val="21"/>
        </w:rPr>
        <w:t>7、</w:t>
      </w:r>
      <w:r>
        <w:rPr>
          <w:sz w:val="21"/>
        </w:rPr>
        <w:t>每套球场专用灯配置一套压铸铝质的角度调节装置，可实现水平方向</w:t>
      </w:r>
      <w:r>
        <w:rPr>
          <w:sz w:val="21"/>
        </w:rPr>
        <w:t>0度~180度和垂直方向0度~160度的调节，并可实现无极微调，微调角度≤1度，出厂前预设安装角度</w:t>
      </w:r>
      <w:r>
        <w:rPr>
          <w:sz w:val="21"/>
          <w:b/>
        </w:rPr>
        <w:t>(提供产品结构图及技术说明</w:t>
      </w:r>
      <w:r>
        <w:rPr>
          <w:sz w:val="21"/>
          <w:b/>
        </w:rPr>
        <w:t>加盖供应商公章</w:t>
      </w:r>
      <w:r>
        <w:rPr>
          <w:sz w:val="21"/>
          <w:b/>
        </w:rPr>
        <w:t>）；</w:t>
      </w:r>
    </w:p>
    <w:p>
      <w:pPr>
        <w:pStyle w:val="null3"/>
        <w:ind w:firstLine="420"/>
        <w:jc w:val="both"/>
      </w:pPr>
      <w:r>
        <w:rPr>
          <w:sz w:val="21"/>
        </w:rPr>
        <w:t>8、</w:t>
      </w:r>
      <w:r>
        <w:rPr>
          <w:sz w:val="21"/>
        </w:rPr>
        <w:t>▲球场专用灯采用强耐腐蚀材料，球场专用灯通中性盐雾测试，测试时间不低于1008小时，测试后球场专用灯主体无起泡、生锈、剥落、开裂现象；</w:t>
      </w:r>
    </w:p>
    <w:p>
      <w:pPr>
        <w:pStyle w:val="null3"/>
        <w:ind w:firstLine="420"/>
        <w:jc w:val="both"/>
      </w:pPr>
      <w:r>
        <w:rPr>
          <w:sz w:val="21"/>
        </w:rPr>
        <w:t>9、</w:t>
      </w:r>
      <w:r>
        <w:rPr>
          <w:sz w:val="21"/>
        </w:rPr>
        <w:t>▲球场专用灯通过恒定湿热试验，球场专用灯在高温42℃或以上，湿度90%以上的严酷等级环境工作不低于500小时；试验后，样品外观无损坏且能正常启动，恒定湿热试验前后光通量比值不低于98%；</w:t>
      </w:r>
    </w:p>
    <w:p>
      <w:pPr>
        <w:pStyle w:val="null3"/>
        <w:ind w:firstLine="420"/>
        <w:jc w:val="both"/>
      </w:pPr>
      <w:r>
        <w:rPr>
          <w:sz w:val="21"/>
        </w:rPr>
        <w:t>10、</w:t>
      </w:r>
      <w:r>
        <w:rPr>
          <w:sz w:val="21"/>
        </w:rPr>
        <w:t>▲球场专用灯防护等级不低于IP66，IK防护不低于IK08，防腐等级不低于WF2；</w:t>
      </w:r>
    </w:p>
    <w:p>
      <w:pPr>
        <w:pStyle w:val="null3"/>
        <w:ind w:firstLine="420"/>
        <w:jc w:val="both"/>
      </w:pPr>
      <w:r>
        <w:rPr>
          <w:sz w:val="21"/>
        </w:rPr>
        <w:t>11、</w:t>
      </w:r>
      <w:r>
        <w:rPr>
          <w:sz w:val="21"/>
        </w:rPr>
        <w:t>▲球场专用灯可通过冷热冲击或者高低温测试，低温-20℃或以下，高温70℃或以上环境下测试，测试不低于20个循环或不低于200小时，试验后，球场专用灯样品外观无变色、光泽异常、破损、开裂等不良现象，功能检查正常；</w:t>
      </w:r>
    </w:p>
    <w:p>
      <w:pPr>
        <w:pStyle w:val="null3"/>
        <w:ind w:firstLine="420"/>
        <w:jc w:val="both"/>
      </w:pPr>
      <w:r>
        <w:rPr>
          <w:sz w:val="21"/>
        </w:rPr>
        <w:t>12、</w:t>
      </w:r>
      <w:r>
        <w:rPr>
          <w:sz w:val="21"/>
        </w:rPr>
        <w:t>▲球场专用灯光通维持率稳定，依据GB/T 33721-2017《LED球场专用灯可靠性试验方法》标准，通过LED球场专用灯的光通维持率寿命（1000H验证法），检验结果球场专用灯样品光通维持率不低于97%，电源输入功率变化＜3%，球场专用灯内LED焊点温度变化值＜5℃；球场专用灯通过设备可靠性试验，</w:t>
      </w:r>
    </w:p>
    <w:p>
      <w:pPr>
        <w:pStyle w:val="null3"/>
        <w:ind w:firstLine="420"/>
        <w:jc w:val="both"/>
      </w:pPr>
      <w:r>
        <w:rPr>
          <w:sz w:val="21"/>
        </w:rPr>
        <w:t>13、</w:t>
      </w:r>
      <w:r>
        <w:rPr>
          <w:sz w:val="21"/>
        </w:rPr>
        <w:t>▲球场专用灯运行稳定可靠，可依据GB 5080.7-1986 标准进行设备可靠性试验，相同功率测试样品不低于10台，累计失效数r=0,球场专用灯未出现熄灭、闪烁，未出现短路跳闸现象，球场专用灯色温无明显变化且各项功能正常，平均无故障时间（MTBF)不低于30000小时。</w:t>
      </w:r>
    </w:p>
    <w:p>
      <w:pPr>
        <w:pStyle w:val="null3"/>
        <w:ind w:firstLine="422"/>
        <w:jc w:val="both"/>
      </w:pPr>
      <w:r>
        <w:rPr>
          <w:sz w:val="21"/>
          <w:b/>
        </w:rPr>
        <w:t>注：</w:t>
      </w:r>
      <w:r>
        <w:rPr>
          <w:sz w:val="21"/>
          <w:b/>
        </w:rPr>
        <w:t>以上</w:t>
      </w:r>
      <w:r>
        <w:rPr>
          <w:sz w:val="21"/>
          <w:b/>
        </w:rPr>
        <w:t>带“▲”项提供承诺函，格式自拟，验收时成交供应商需提供近三年有效的第三方检测机构出具带有CMA标识的检测报告复印件加盖公章；</w:t>
      </w:r>
    </w:p>
    <w:p>
      <w:pPr>
        <w:pStyle w:val="null3"/>
        <w:ind w:firstLine="420"/>
        <w:jc w:val="both"/>
      </w:pPr>
      <w:r>
        <w:rPr>
          <w:sz w:val="21"/>
        </w:rPr>
        <w:t>14</w:t>
      </w:r>
      <w:r>
        <w:rPr>
          <w:sz w:val="21"/>
        </w:rPr>
        <w:t>、</w:t>
      </w:r>
      <w:r>
        <w:rPr>
          <w:sz w:val="21"/>
        </w:rPr>
        <w:t>按赛事规定的时间要求，在首层训练场铺设专业木地板，木地板面层粘贴饰线</w:t>
      </w:r>
      <w:r>
        <w:rPr>
          <w:sz w:val="21"/>
        </w:rPr>
        <w:t>；</w:t>
      </w:r>
    </w:p>
    <w:p>
      <w:pPr>
        <w:pStyle w:val="null3"/>
        <w:ind w:firstLine="420"/>
        <w:jc w:val="both"/>
      </w:pPr>
      <w:r>
        <w:rPr>
          <w:sz w:val="21"/>
        </w:rPr>
        <w:t>15</w:t>
      </w:r>
      <w:r>
        <w:rPr>
          <w:sz w:val="21"/>
        </w:rPr>
        <w:t>、</w:t>
      </w:r>
      <w:r>
        <w:rPr>
          <w:sz w:val="21"/>
        </w:rPr>
        <w:t>按赛事规定的时间要求，在负一层训练场租赁专业木地板，木地板面层粘贴饰线</w:t>
      </w:r>
      <w:r>
        <w:rPr>
          <w:sz w:val="21"/>
        </w:rPr>
        <w:t>；</w:t>
      </w:r>
    </w:p>
    <w:p>
      <w:pPr>
        <w:pStyle w:val="null3"/>
        <w:jc w:val="both"/>
      </w:pPr>
      <w:r>
        <w:rPr>
          <w:sz w:val="21"/>
          <w:b/>
          <w:shd w:fill="FFFFFF" w:val="clear"/>
        </w:rPr>
        <w:t>三、合同价款及调整方式</w:t>
      </w:r>
    </w:p>
    <w:p>
      <w:pPr>
        <w:pStyle w:val="null3"/>
        <w:ind w:firstLine="480"/>
        <w:jc w:val="both"/>
      </w:pPr>
      <w:r>
        <w:rPr>
          <w:sz w:val="21"/>
          <w:shd w:fill="FFFFFF" w:val="clear"/>
        </w:rPr>
        <w:t>1、本合同价款采用</w:t>
      </w:r>
      <w:r>
        <w:rPr>
          <w:sz w:val="21"/>
          <w:b/>
          <w:shd w:fill="FFFFFF" w:val="clear"/>
        </w:rPr>
        <w:t>固定综合单价</w:t>
      </w:r>
      <w:r>
        <w:rPr>
          <w:sz w:val="21"/>
          <w:shd w:fill="FFFFFF" w:val="clear"/>
        </w:rPr>
        <w:t>合同方式确定。</w:t>
      </w:r>
    </w:p>
    <w:p>
      <w:pPr>
        <w:pStyle w:val="null3"/>
        <w:ind w:firstLine="480"/>
        <w:jc w:val="both"/>
      </w:pPr>
      <w:r>
        <w:rPr>
          <w:sz w:val="21"/>
          <w:shd w:fill="FFFFFF" w:val="clear"/>
        </w:rPr>
        <w:t>2、双方约定合同价款的其他调整因素：</w:t>
      </w:r>
    </w:p>
    <w:p>
      <w:pPr>
        <w:pStyle w:val="null3"/>
        <w:ind w:firstLine="480"/>
        <w:jc w:val="both"/>
      </w:pPr>
      <w:r>
        <w:rPr>
          <w:sz w:val="21"/>
          <w:shd w:fill="FFFFFF" w:val="clear"/>
        </w:rPr>
        <w:t>a、工程量清单内的项目，按结算综合单价、规费及税金等费用调整工程造价，工程量按实(监理单位和采购人签认的合格工程量)结算。</w:t>
      </w:r>
    </w:p>
    <w:p>
      <w:pPr>
        <w:pStyle w:val="null3"/>
        <w:ind w:firstLine="480"/>
        <w:jc w:val="both"/>
      </w:pPr>
      <w:r>
        <w:rPr>
          <w:sz w:val="21"/>
          <w:shd w:fill="FFFFFF" w:val="clear"/>
        </w:rPr>
        <w:t>b、工程量清单外的工程项目（含暂估价项目、漏项或因图纸修改和设计变更等情况出现的工程变更），按以下方法处理：</w:t>
      </w:r>
    </w:p>
    <w:p>
      <w:pPr>
        <w:pStyle w:val="null3"/>
        <w:ind w:firstLine="480"/>
        <w:jc w:val="both"/>
      </w:pPr>
      <w:r>
        <w:rPr>
          <w:sz w:val="21"/>
          <w:shd w:fill="FFFFFF" w:val="clear"/>
        </w:rPr>
        <w:t>①《工程量清单及报价表》中有工作内容相同的项目按结算综合单价、规费及税金等费用调整工程造价，工程量按实(监理单位和采购人签认的合格工程量)结算。</w:t>
      </w:r>
    </w:p>
    <w:p>
      <w:pPr>
        <w:pStyle w:val="null3"/>
        <w:ind w:firstLine="480"/>
        <w:jc w:val="both"/>
      </w:pPr>
      <w:r>
        <w:rPr>
          <w:sz w:val="21"/>
          <w:shd w:fill="FFFFFF" w:val="clear"/>
        </w:rPr>
        <w:t>②《工程量清单及报价表》中有工作内容相近，仅涉及按相关计价依据并且采购人确认需调整主材价格的，主材价格以采购人审定的价格为准，调整结算综合单价。</w:t>
      </w:r>
    </w:p>
    <w:p>
      <w:pPr>
        <w:pStyle w:val="null3"/>
        <w:ind w:firstLine="480"/>
        <w:jc w:val="both"/>
      </w:pPr>
      <w:r>
        <w:rPr>
          <w:sz w:val="21"/>
          <w:shd w:fill="FFFFFF" w:val="clear"/>
        </w:rPr>
        <w:t>③在工程量清单外的新增项目，如该项目在工程量清单中有工作内容相同，其综合单价套用结算综合单价；项目主材（包含规格）改变时，只调整相应项目的主材单价，其余一切费用不得调整。结算综合单价中已有的材料按结算综合单价中材料价作为结算材料价。结算综合单价中没有的材料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采购人审核的材料单价计算”。</w:t>
      </w:r>
    </w:p>
    <w:p>
      <w:pPr>
        <w:pStyle w:val="null3"/>
        <w:ind w:firstLine="480"/>
        <w:jc w:val="both"/>
      </w:pPr>
      <w:r>
        <w:rPr>
          <w:sz w:val="21"/>
          <w:shd w:fill="FFFFFF" w:val="clear"/>
        </w:rPr>
        <w:t>在工程量清单外的新增项目，如该项目在工程量清单中没有工作内容相同的项目，成交人则按如下计价办法：以相关定额为基数，按粤建市【</w:t>
      </w:r>
      <w:r>
        <w:rPr>
          <w:sz w:val="21"/>
          <w:shd w:fill="FFFFFF" w:val="clear"/>
        </w:rPr>
        <w:t>2019】6号及其相关建设工程计价文件中的定额计价程序计价，其中措施项目费不再计取；下浮率为成交价相对于采购控制价的下浮率（下浮率=(采购控制价-成交价)/采购控制价），下浮率为 10 %（小于10%的，按10%）。人工、材料和机械单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采购人审核的材料单价计算。</w:t>
      </w:r>
    </w:p>
    <w:p>
      <w:pPr>
        <w:pStyle w:val="null3"/>
        <w:ind w:firstLine="480"/>
        <w:jc w:val="both"/>
      </w:pPr>
      <w:r>
        <w:rPr>
          <w:sz w:val="21"/>
          <w:shd w:fill="FFFFFF" w:val="clear"/>
        </w:rPr>
        <w:t>增加及变更项目，成交人应按以上计价方法编制预算，报现场监理工程师和采购人作为增加或变更的审批依据。</w:t>
      </w:r>
    </w:p>
    <w:p>
      <w:pPr>
        <w:pStyle w:val="null3"/>
        <w:ind w:firstLine="480"/>
        <w:jc w:val="both"/>
      </w:pPr>
      <w:r>
        <w:rPr>
          <w:sz w:val="21"/>
          <w:shd w:fill="FFFFFF" w:val="clear"/>
        </w:rPr>
        <w:t>c、如采购人自行完成的部分弱电工程成交人不收取总包管理费；工程排污费、施工噪音排污费如实际发生时，暂按工程所在地规定的标准计算，结算时按实际发生费用计算；质监费用由采购人向有关部门交纳。</w:t>
      </w:r>
    </w:p>
    <w:p>
      <w:pPr>
        <w:pStyle w:val="null3"/>
        <w:ind w:firstLine="480"/>
        <w:jc w:val="both"/>
      </w:pPr>
      <w:r>
        <w:rPr>
          <w:sz w:val="21"/>
          <w:shd w:fill="FFFFFF" w:val="clear"/>
        </w:rPr>
        <w:t>d、设计变更、增减工程应于该变更工程完成一个月内办理签证，工程完工后工程量按实计算。</w:t>
      </w:r>
    </w:p>
    <w:p>
      <w:pPr>
        <w:pStyle w:val="null3"/>
        <w:ind w:firstLine="480"/>
        <w:jc w:val="both"/>
      </w:pPr>
      <w:r>
        <w:rPr>
          <w:sz w:val="21"/>
        </w:rPr>
        <w:t>e、最终工程结算价不得超过合同价的110%且不得超过采购控制价。</w:t>
      </w:r>
    </w:p>
    <w:p>
      <w:pPr>
        <w:pStyle w:val="null3"/>
      </w:pPr>
      <w:r>
        <w:rPr/>
        <w:t>采购包1（华南农业大学体育馆群众性文化体育活动设施改善项目—体育工艺设施改善工程）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按采购人签发开工通知之日起计，整个工程应于2025年5月30日完成施工。</w:t>
            </w:r>
          </w:p>
        </w:tc>
      </w:tr>
      <w:tr>
        <w:tc>
          <w:tcPr>
            <w:tcW w:type="dxa" w:w="4153"/>
          </w:tcPr>
          <w:p>
            <w:pPr>
              <w:pStyle w:val="null3"/>
            </w:pPr>
            <w:r>
              <w:rPr/>
              <w:t>标的提供的地点</w:t>
            </w:r>
          </w:p>
        </w:tc>
        <w:tc>
          <w:tcPr>
            <w:tcW w:type="dxa" w:w="4153"/>
          </w:tcPr>
          <w:p>
            <w:pPr>
              <w:pStyle w:val="null3"/>
            </w:pPr>
            <w:r>
              <w:rPr/>
              <w:t>广东省广州市天河区五山路483号(华南农业大学校内)</w:t>
            </w:r>
          </w:p>
        </w:tc>
      </w:tr>
      <w:tr/>
      <w:tr/>
      <w:tr>
        <w:tc>
          <w:tcPr>
            <w:tcW w:type="dxa" w:w="4153"/>
          </w:tcPr>
          <w:p>
            <w:pPr>
              <w:pStyle w:val="null3"/>
            </w:pPr>
            <w:r>
              <w:rPr/>
              <w:t>付款方式</w:t>
            </w:r>
          </w:p>
        </w:tc>
        <w:tc>
          <w:tcPr>
            <w:tcW w:type="dxa" w:w="4153"/>
          </w:tcPr>
          <w:p>
            <w:pPr>
              <w:pStyle w:val="null3"/>
            </w:pPr>
            <w:r>
              <w:rPr/>
              <w:t>第1期为(预付款)：支付比例30%，在成交人无任何违约行为的情况下，工程开工后五个工作日内，采购人按合同价的30%作为预付款拨给成交人。</w:t>
            </w:r>
          </w:p>
          <w:p>
            <w:pPr>
              <w:pStyle w:val="null3"/>
            </w:pPr>
            <w:r>
              <w:rPr/>
              <w:t>第2期为(进度款)：支付比例55%，工程全部完工并验收合格后七天内再支付55%（即支付至合同价的85%）。</w:t>
            </w:r>
          </w:p>
          <w:p>
            <w:pPr>
              <w:pStyle w:val="null3"/>
            </w:pPr>
            <w:r>
              <w:rPr/>
              <w:t>第3期为(尾款)：支付比例15%，工程结算经采购人书面审定办理完结算手续后七个工作日内支付工程款至结算价的100%并提供3%的银行保函作为工程质量保修金，在工程质量验收合格之日起满 贰 年后7天内退回给成交人。在采购人付款前，成交人应当向采购人提供等额合法发票，如因成交人未能及时提供前述发票而造成付款延误，不属采购人违约。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1期：（一）工程验收以施工图及说明书、图纸会审记录、有关变更的书面文件，按国家颁布的施工及验收规范和质量检验标准为依据。 （二）隐蔽工程在成交人自检后填制记录表（范围、数量、质量等），持表通知采购人进行检查。采购人接到通知后2天内到场验收，验收合格并符合设计要求时，经双方签字后进行下一工序的施工。隐蔽工程隐蔽前，采购人没有及时检查的，成交人可以要求办理顺延工期，无权自检。 （三）工程（包括单项工程）竣工前三天，由成交人通知采购人验收，采购人在成交人书面通知竣工后三天内验收完毕。工程内容及质量符合要求的，双方签字并盖章，同时成交人将全部真实有效图纸资料（包括分包工程的竣工验收资料）向采购人移交。如工程内容尚未完成或质量不合格的，由成交人在双方商定的期限内补建或返修后再进行验收，直到符合要求为止。并按最后验收合格的日期为实际竣工日期，由此发生的费用由成交人承担。工程（含单项工程）未验收，采购人提前使用或擅自动用，视为合格，由此而发生的质量或其他问题，由采购人负责。因成交人的原因致使工程在合理使用期内造成人身伤害（不管是否致命）和财产损失或损坏的，成交人应承担损失赔偿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1,148,248.30</w:t>
            </w:r>
          </w:p>
        </w:tc>
        <w:tc>
          <w:tcPr>
            <w:tcW w:type="dxa" w:w="933"/>
          </w:tcPr>
          <w:p>
            <w:pPr>
              <w:pStyle w:val="null3"/>
              <w:jc w:val="right"/>
            </w:pPr>
            <w:r>
              <w:rPr/>
              <w:t>1,148,248.30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详见《第二章采购需求》、工程量清单及图纸。</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华南农业大学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采购机构代理服务收费标准：成交供应商须向采购代理机构按如下标准和规定缴纳采购代理服务费（不含税）：（1）以项目中标金额作为采购代理服务费的计算基数； （2）采购代理服务费采用差额定率累进法进行计算，按照以下标准（下浮20%）计取：100万元以下的部分，按照1.0%计取；100-500万元的部分，按照0.7%计取。经计算得出成交服务费低于4000元按4000元定额收取。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华南农业大学体育馆群众性文化体育活动设施改善项目—体育工艺设施改善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采购包1（华南农业大学体育馆群众性文化体育活动设施改善项目—体育工艺设施改善工程）：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采购包1（华南农业大学体育馆群众性文化体育活动设施改善项目—体育工艺设施改善工程）：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施工资质</w:t>
            </w:r>
          </w:p>
        </w:tc>
        <w:tc>
          <w:tcPr>
            <w:tcW w:type="dxa" w:w="4238"/>
          </w:tcPr>
          <w:p>
            <w:pPr>
              <w:pStyle w:val="null3"/>
            </w:pPr>
            <w:r>
              <w:rPr/>
              <w:t>供应商必须具有政府建设行政主管部门颁发的房屋建筑工程施工总承包三级或以上资质，并具有有效期内的安全生产许可证；（提供复印件加盖供应商公章）</w:t>
            </w:r>
          </w:p>
        </w:tc>
      </w:tr>
      <w:tr>
        <w:tc>
          <w:tcPr>
            <w:tcW w:type="dxa" w:w="890"/>
          </w:tcPr>
          <w:p>
            <w:pPr>
              <w:pStyle w:val="null3"/>
            </w:pPr>
            <w:r>
              <w:rPr/>
              <w:t>9</w:t>
            </w:r>
          </w:p>
        </w:tc>
        <w:tc>
          <w:tcPr>
            <w:tcW w:type="dxa" w:w="3178"/>
          </w:tcPr>
          <w:p>
            <w:pPr>
              <w:pStyle w:val="null3"/>
            </w:pPr>
            <w:r>
              <w:rPr/>
              <w:t>拟派项目负责人</w:t>
            </w:r>
          </w:p>
        </w:tc>
        <w:tc>
          <w:tcPr>
            <w:tcW w:type="dxa" w:w="4238"/>
          </w:tcPr>
          <w:p>
            <w:pPr>
              <w:pStyle w:val="null3"/>
            </w:pPr>
            <w:r>
              <w:rPr/>
              <w:t>供应商拟派项目负责人必须具有二级建造师或以上资质（建筑工程专业），并持有项目负责人安全培训考核合格证（B类）或建筑施工企业项目负责人安全生产考核合格证书，提供竞争性磋商公告发布之日起近半年内任意一个月由供应商购买的社保证明，并提供项目负责人身份证（提供复印件加盖供应商公章）；（注：1.根据广东省住建厅《关于明确二级建造师注册执业有关问题的通知》（粤建市函〔2023〕469号），二级建造师应在考试取得执业资格的省、自治区、直辖市申请注册，二级注册建造师可随注册企业在全国范围内执业；2.根据《广东省建设执业资格注册中心关于启用新版二级建造师注册证书电子证照的通知》、《广东省建设信息中心关于启用新版“广东省建设执业资格注册管理信息系统”的通知》、《住房和城乡建设部办公厅关于全面实行一级建造师电子注册证书的通知》（建办市〔2021〕40号），供应商应提供有效的注册建造师打印电子证书，若供应商提供的注册建造师电子证书超过使用有效期、未在个人签名处手写签名或手写签名应与签名图像笔迹存在差异的，资格性及符合性检查时应通过“全国建筑市场监管公共服务平台”或各省规定的查询渠道查询持证人注册建造师注册信息，注册信息与投标文件所附电子证书一致的，上述情形不影响供应商通过资格性及符合性检查。）</w:t>
            </w:r>
          </w:p>
        </w:tc>
      </w:tr>
      <w:tr>
        <w:tc>
          <w:tcPr>
            <w:tcW w:type="dxa" w:w="890"/>
          </w:tcPr>
          <w:p>
            <w:pPr>
              <w:pStyle w:val="null3"/>
            </w:pPr>
            <w:r>
              <w:rPr/>
              <w:t>10</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书（C3）。（提供复印件加盖供应商公章），并提供竞争性磋商公告发布之日起近半年内任意一个月由供应商购买的社保证明。</w:t>
            </w:r>
          </w:p>
        </w:tc>
      </w:tr>
      <w:tr>
        <w:tc>
          <w:tcPr>
            <w:tcW w:type="dxa" w:w="890"/>
          </w:tcPr>
          <w:p>
            <w:pPr>
              <w:pStyle w:val="null3"/>
            </w:pPr>
            <w:r>
              <w:rPr/>
              <w:t>11</w:t>
            </w:r>
          </w:p>
        </w:tc>
        <w:tc>
          <w:tcPr>
            <w:tcW w:type="dxa" w:w="3178"/>
          </w:tcPr>
          <w:p>
            <w:pPr>
              <w:pStyle w:val="null3"/>
            </w:pPr>
            <w:r>
              <w:rPr/>
              <w:t>其他</w:t>
            </w:r>
          </w:p>
        </w:tc>
        <w:tc>
          <w:tcPr>
            <w:tcW w:type="dxa" w:w="4238"/>
          </w:tcPr>
          <w:p>
            <w:pPr>
              <w:pStyle w:val="null3"/>
            </w:pPr>
            <w:r>
              <w:rPr/>
              <w:t>供应商未被列入拖欠农民工工资失信联合惩戒对象名单。（提供承诺函，格式自拟）</w:t>
            </w:r>
          </w:p>
        </w:tc>
      </w:tr>
      <w:tr>
        <w:tc>
          <w:tcPr>
            <w:tcW w:type="dxa" w:w="890"/>
          </w:tcPr>
          <w:p>
            <w:pPr>
              <w:pStyle w:val="null3"/>
            </w:pPr>
            <w:r>
              <w:rPr/>
              <w:t>12</w:t>
            </w:r>
          </w:p>
        </w:tc>
        <w:tc>
          <w:tcPr>
            <w:tcW w:type="dxa" w:w="3178"/>
          </w:tcPr>
          <w:p>
            <w:pPr>
              <w:pStyle w:val="null3"/>
            </w:pPr>
            <w:r>
              <w:rPr/>
              <w:t>本项目不接受联合体响应。</w:t>
            </w:r>
          </w:p>
        </w:tc>
        <w:tc>
          <w:tcPr>
            <w:tcW w:type="dxa" w:w="4238"/>
          </w:tcPr>
          <w:p>
            <w:pPr>
              <w:pStyle w:val="null3"/>
            </w:pPr>
            <w:r>
              <w:rPr/>
              <w:t>本项目不接受联合体磋商。</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采购包整体专门面向中小企业。中小企业划分标准所属行业为：建筑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采购包1（华南农业大学体育馆群众性文化体育活动设施改善项目—体育工艺设施改善工程）：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采购包1(华南农业大学体育馆群众性文化体育活动设施改善项目—体育工艺设施改善工程):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(12.0分)</w:t>
            </w:r>
          </w:p>
        </w:tc>
        <w:tc>
          <w:tcPr>
            <w:tcW w:type="dxa" w:w="5076"/>
          </w:tcPr>
          <w:p>
            <w:pPr>
              <w:pStyle w:val="null3"/>
              <w:jc w:val="left"/>
            </w:pPr>
            <w:r>
              <w:rPr/>
              <w:t>对用户需求书中标注“▲”的重要技术参数的响应情况进行评审：（共6项）标注“▲”的重要技术参数每项得2分，最高得12分。响应为“正偏离”或“符合”的该项得2分；响应为“负偏离”的，该项不得分。 注：如采购需求有要求提供证明材料的，则以采购需求要求的为准。否则以供应商《技术和服务要求响应表》的响应情况为准。</w:t>
            </w:r>
          </w:p>
        </w:tc>
      </w:tr>
      <w:tr>
        <w:tc>
          <w:tcPr>
            <w:tcW w:type="dxa" w:w="922"/>
            <w:gridSpan w:val="2"/>
            <w:vMerge/>
          </w:tcPr>
          <w:p/>
        </w:tc>
        <w:tc>
          <w:tcPr>
            <w:tcW w:type="dxa" w:w="2307"/>
          </w:tcPr>
          <w:p>
            <w:pPr>
              <w:pStyle w:val="null3"/>
              <w:jc w:val="left"/>
            </w:pPr>
            <w:r>
              <w:rPr/>
              <w:t>管理人员配备 (15.0分)</w:t>
            </w:r>
          </w:p>
        </w:tc>
        <w:tc>
          <w:tcPr>
            <w:tcW w:type="dxa" w:w="5076"/>
          </w:tcPr>
          <w:p>
            <w:pPr>
              <w:pStyle w:val="null3"/>
              <w:jc w:val="left"/>
            </w:pPr>
            <w:r>
              <w:rPr/>
              <w:t>1.拟担任本工程项目负责人具备建筑工程类相关专业高级工程师职称的得5分，中级职称的得2分，其他不得分。 2.拟委派至本项目的技术负责人具备二级以上注册建造师证及建筑工程类相关专业高级工程师职称的得5分，中级职称的得2分，其他不得分。 3.拟派项目管理人员（不含项目负责人、技术负责人）包括注册造价工程师、施工员、劳务员、资料员、材料员、机械员各一名： 1）具备6名项目管理人员，其中3人拥有中级或以上职称，得5分； 2）具备4名项目管理人员，其中2人拥有中级或以上职称，得3分； 3）具备2名项目管理人员，其中1人拥有中级或以上职称人数，得1分； 4）不提供不得分。 【提供身份证、职称证书扫描件、响应截止时间近半年内任意一个月在供应商单位缴纳社保的证明材料，否则不得分】。</w:t>
            </w:r>
          </w:p>
        </w:tc>
      </w:tr>
      <w:tr>
        <w:tc>
          <w:tcPr>
            <w:tcW w:type="dxa" w:w="922"/>
            <w:gridSpan w:val="2"/>
            <w:vMerge/>
          </w:tcPr>
          <w:p/>
        </w:tc>
        <w:tc>
          <w:tcPr>
            <w:tcW w:type="dxa" w:w="2307"/>
          </w:tcPr>
          <w:p>
            <w:pPr>
              <w:pStyle w:val="null3"/>
              <w:jc w:val="left"/>
            </w:pPr>
            <w:r>
              <w:rPr/>
              <w:t>项目实施方案与技术措施 (8.0分)</w:t>
            </w:r>
          </w:p>
        </w:tc>
        <w:tc>
          <w:tcPr>
            <w:tcW w:type="dxa" w:w="5076"/>
          </w:tcPr>
          <w:p>
            <w:pPr>
              <w:pStyle w:val="null3"/>
              <w:jc w:val="left"/>
            </w:pPr>
            <w:r>
              <w:rPr/>
              <w:t>（1）供应商响应文件有提供项目实施方案与技术措施，得2分；无相关内容，得0分。 （2）根据本工程的特点，从施工总体部署、重点难点分析、施工总体流程、施工总平面布置和各分部分项工程的施工等各方面提出详细的项目实施方案与技术措施。 1）方案措施全面详实、合理，方案陈述详细完整，可操作性高，能充分保障项目推进，得6分； 2）方案措施基本合理、基本满足项目要求得4分； 3）方案措施不合理、不全面，无法满足项目要求，得2分； 4）其他情况得0分。</w:t>
            </w:r>
          </w:p>
        </w:tc>
      </w:tr>
      <w:tr>
        <w:tc>
          <w:tcPr>
            <w:tcW w:type="dxa" w:w="922"/>
            <w:gridSpan w:val="2"/>
            <w:vMerge/>
          </w:tcPr>
          <w:p/>
        </w:tc>
        <w:tc>
          <w:tcPr>
            <w:tcW w:type="dxa" w:w="2307"/>
          </w:tcPr>
          <w:p>
            <w:pPr>
              <w:pStyle w:val="null3"/>
              <w:jc w:val="left"/>
            </w:pPr>
            <w:r>
              <w:rPr/>
              <w:t>质量、安全文明、进度计划等保证措施 (8.0分)</w:t>
            </w:r>
          </w:p>
        </w:tc>
        <w:tc>
          <w:tcPr>
            <w:tcW w:type="dxa" w:w="5076"/>
          </w:tcPr>
          <w:p>
            <w:pPr>
              <w:pStyle w:val="null3"/>
              <w:jc w:val="left"/>
            </w:pPr>
            <w:r>
              <w:rPr/>
              <w:t>（1）供应商响应文件有提供质量、安全文明、进度计划等保证措施，得2分；无相关内容，得0分。 （2）根据本工程的特点，从安全生产保证体系、施工人员安全培训、进度计划及其管理、现场安全生产管理、文明施工管理制度、现场文明施工管理、环境保护等方面提出详细的质量、安全文明、进度计划等保证措施。 1）措施全面详实、合理，方案陈述详细完整，可操作性高，能充分保障项目推进，得6分； 2)措施基本合理、基本满足项目要求得4分； 3)措施不合理、不全面，无法满足项目要求，得2分； 4)其他情况得0分。</w:t>
            </w:r>
          </w:p>
        </w:tc>
      </w:tr>
      <w:tr>
        <w:tc>
          <w:tcPr>
            <w:tcW w:type="dxa" w:w="922"/>
            <w:gridSpan w:val="2"/>
            <w:vMerge/>
          </w:tcPr>
          <w:p/>
        </w:tc>
        <w:tc>
          <w:tcPr>
            <w:tcW w:type="dxa" w:w="2307"/>
          </w:tcPr>
          <w:p>
            <w:pPr>
              <w:pStyle w:val="null3"/>
              <w:jc w:val="left"/>
            </w:pPr>
            <w:r>
              <w:rPr/>
              <w:t>售后服务及应急响应维护计划 (7.0分)</w:t>
            </w:r>
          </w:p>
        </w:tc>
        <w:tc>
          <w:tcPr>
            <w:tcW w:type="dxa" w:w="5076"/>
          </w:tcPr>
          <w:p>
            <w:pPr>
              <w:pStyle w:val="null3"/>
              <w:jc w:val="left"/>
            </w:pPr>
            <w:r>
              <w:rPr/>
              <w:t>（1）供应商响应文件有提供售后服务及应急响应维护计划，得2分；无相关内容，得0分。 （2）供应商根据本工程特点，提供的售后服务及应急响应维护计划包括但不限于保修响应时间、到场维修维护时间、各类工程保修处理措施。 1）方案内容完整全面，方案陈述详细完整，可操作性高，能充分保障项目推进，得5分； 2）方案内容基本合理、基本满足项目需求的，得3分； 3）方案内容不合理、不全面，无法满足项目需求的，得1分；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供应商自2022年3月1日以来（以竣工验收证明文件时间为准），完成过同类项目且质量合格的施工业绩，每个得1分，最高得10分。 备注：需同时提供承包合同（首页、合同项目名称、合同内容、合同金额、签订合同双方的落款盖章的页面）和竣工验收证明文件，不提供不得分。</w:t>
            </w:r>
          </w:p>
        </w:tc>
      </w:tr>
      <w:tr>
        <w:tc>
          <w:tcPr>
            <w:tcW w:type="dxa" w:w="922"/>
            <w:gridSpan w:val="2"/>
            <w:vMerge/>
          </w:tcPr>
          <w:p/>
        </w:tc>
        <w:tc>
          <w:tcPr>
            <w:tcW w:type="dxa" w:w="2307"/>
          </w:tcPr>
          <w:p>
            <w:pPr>
              <w:pStyle w:val="null3"/>
              <w:jc w:val="left"/>
            </w:pPr>
            <w:r>
              <w:rPr/>
              <w:t>满意度评价 (4.0分)</w:t>
            </w:r>
          </w:p>
        </w:tc>
        <w:tc>
          <w:tcPr>
            <w:tcW w:type="dxa" w:w="5076"/>
          </w:tcPr>
          <w:p>
            <w:pPr>
              <w:pStyle w:val="null3"/>
              <w:jc w:val="left"/>
            </w:pPr>
            <w:r>
              <w:rPr/>
              <w:t>对应上一评分项（有效的同类业绩），每提供一份客户满意度评价为“优、优秀、或等同评价”的，得1分，最高得4分。（提供满意度评价证明文件复印件需加盖用户方公章，无提供或提供的证明文件不符合要求与上一项评分不对应的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供应商具有有效的：①质量管理体系认证证书；②环境管理体系认证证书；③职业健康安全管理体系认证证书； 每项证书得2分，最高6分。 注:提供证书扫描件及在全国认证认可信息公共服务平台（http://cx.cnca.cn）上对证书的查询结果截图为证明材料。成立不满3个月未能取得证书的，视为具备该项证书。</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24"/>
          <w:b/>
        </w:rPr>
        <w:t>（本合同仅为合同的参考文本，合同签订双方可根据项目的具体要求进行修订。）</w:t>
      </w:r>
    </w:p>
    <w:p>
      <w:pPr>
        <w:pStyle w:val="null3"/>
        <w:jc w:val="center"/>
      </w:pPr>
      <w:r>
        <w:rPr>
          <w:sz w:val="72"/>
          <w:b/>
        </w:rPr>
        <w:t>工程施工合同</w:t>
      </w:r>
    </w:p>
    <w:p>
      <w:pPr>
        <w:pStyle w:val="null3"/>
        <w:jc w:val="center"/>
      </w:pPr>
      <w:r>
        <w:rPr>
          <w:sz w:val="32"/>
          <w:b/>
        </w:rPr>
        <w:t>合同编号：</w:t>
      </w:r>
    </w:p>
    <w:p>
      <w:pPr>
        <w:pStyle w:val="null3"/>
        <w:ind w:firstLine="2595"/>
        <w:jc w:val="center"/>
      </w:pPr>
      <w:r>
        <w:rPr>
          <w:sz w:val="28"/>
          <w:b/>
        </w:rPr>
        <w:t>发</w:t>
      </w:r>
      <w:r>
        <w:rPr>
          <w:sz w:val="21"/>
          <w:b/>
        </w:rPr>
        <w:t xml:space="preserve"> </w:t>
      </w:r>
      <w:r>
        <w:rPr>
          <w:sz w:val="28"/>
          <w:b/>
        </w:rPr>
        <w:t>包</w:t>
      </w:r>
      <w:r>
        <w:rPr>
          <w:sz w:val="21"/>
          <w:b/>
        </w:rPr>
        <w:t xml:space="preserve"> </w:t>
      </w:r>
      <w:r>
        <w:rPr>
          <w:sz w:val="28"/>
          <w:b/>
        </w:rPr>
        <w:t>方：</w:t>
      </w:r>
      <w:r>
        <w:rPr>
          <w:sz w:val="24"/>
          <w:b/>
        </w:rPr>
        <w:t>华南农业大学</w:t>
      </w:r>
      <w:r>
        <w:rPr>
          <w:sz w:val="21"/>
          <w:b/>
        </w:rPr>
        <w:t xml:space="preserve"> </w:t>
      </w:r>
    </w:p>
    <w:p>
      <w:pPr>
        <w:pStyle w:val="null3"/>
        <w:jc w:val="both"/>
      </w:pPr>
      <w:r>
        <w:rPr>
          <w:sz w:val="28"/>
          <w:b/>
        </w:rPr>
        <w:t>承</w:t>
      </w:r>
      <w:r>
        <w:rPr>
          <w:sz w:val="21"/>
          <w:b/>
        </w:rPr>
        <w:t xml:space="preserve"> </w:t>
      </w:r>
      <w:r>
        <w:rPr>
          <w:sz w:val="28"/>
          <w:b/>
        </w:rPr>
        <w:t>包</w:t>
      </w:r>
      <w:r>
        <w:rPr>
          <w:sz w:val="21"/>
          <w:b/>
        </w:rPr>
        <w:t xml:space="preserve"> </w:t>
      </w:r>
      <w:r>
        <w:rPr>
          <w:sz w:val="28"/>
          <w:b/>
        </w:rPr>
        <w:t>方：</w:t>
      </w:r>
      <w:r>
        <w:rPr>
          <w:sz w:val="21"/>
          <w:b/>
        </w:rPr>
        <w:t xml:space="preserve"> </w:t>
      </w:r>
    </w:p>
    <w:p>
      <w:pPr>
        <w:pStyle w:val="null3"/>
        <w:jc w:val="both"/>
      </w:pPr>
      <w:r>
        <w:rPr>
          <w:sz w:val="28"/>
          <w:b/>
        </w:rPr>
        <w:t>工程名称：</w:t>
      </w:r>
      <w:r>
        <w:rPr>
          <w:sz w:val="21"/>
          <w:b/>
        </w:rPr>
        <w:t xml:space="preserve"> </w:t>
      </w:r>
    </w:p>
    <w:p>
      <w:pPr>
        <w:pStyle w:val="null3"/>
        <w:jc w:val="both"/>
      </w:pPr>
      <w:r>
        <w:rPr>
          <w:sz w:val="28"/>
          <w:b/>
        </w:rPr>
        <w:t>工程地点：</w:t>
      </w:r>
      <w:r>
        <w:rPr>
          <w:sz w:val="24"/>
          <w:b/>
        </w:rPr>
        <w:t>华南农业大学校内</w:t>
      </w:r>
    </w:p>
    <w:p>
      <w:pPr>
        <w:pStyle w:val="null3"/>
        <w:jc w:val="both"/>
      </w:pPr>
      <w:r>
        <w:rPr/>
        <w:t xml:space="preserve"> </w:t>
      </w:r>
    </w:p>
    <w:p>
      <w:pPr>
        <w:pStyle w:val="null3"/>
        <w:jc w:val="center"/>
      </w:pPr>
      <w:r>
        <w:rPr>
          <w:sz w:val="28"/>
          <w:b/>
        </w:rPr>
        <w:t>工程施工合同</w:t>
      </w:r>
    </w:p>
    <w:p>
      <w:pPr>
        <w:pStyle w:val="null3"/>
        <w:ind w:firstLine="420"/>
        <w:jc w:val="both"/>
      </w:pPr>
      <w:r>
        <w:rPr>
          <w:sz w:val="21"/>
        </w:rPr>
        <w:t>根据《中华人民共和国民法典》和《中华人民共和国建筑法》及有关规定，结合工程的具体情况，签订本合同。</w:t>
      </w:r>
    </w:p>
    <w:p>
      <w:pPr>
        <w:pStyle w:val="null3"/>
        <w:ind w:firstLine="413"/>
        <w:jc w:val="both"/>
      </w:pPr>
      <w:r>
        <w:rPr>
          <w:sz w:val="21"/>
          <w:b/>
        </w:rPr>
        <w:t>发包方（甲方）：</w:t>
      </w:r>
      <w:r>
        <w:rPr>
          <w:sz w:val="21"/>
        </w:rPr>
        <w:t>华南农业大学</w:t>
      </w:r>
    </w:p>
    <w:p>
      <w:pPr>
        <w:pStyle w:val="null3"/>
        <w:ind w:firstLine="420"/>
        <w:jc w:val="both"/>
      </w:pPr>
      <w:r>
        <w:rPr>
          <w:sz w:val="21"/>
        </w:rPr>
        <w:t>通讯地址：</w:t>
      </w:r>
      <w:r>
        <w:rPr>
          <w:sz w:val="21"/>
        </w:rPr>
        <w:t>广州市天河区五山路</w:t>
      </w:r>
      <w:r>
        <w:rPr>
          <w:sz w:val="21"/>
        </w:rPr>
        <w:t>483号华南农业大学</w:t>
      </w:r>
    </w:p>
    <w:p>
      <w:pPr>
        <w:pStyle w:val="null3"/>
        <w:ind w:firstLine="420"/>
        <w:jc w:val="both"/>
      </w:pPr>
      <w:r>
        <w:rPr>
          <w:sz w:val="21"/>
        </w:rPr>
        <w:t>联络人：</w:t>
      </w:r>
      <w:r>
        <w:rPr>
          <w:sz w:val="21"/>
        </w:rPr>
        <w:t xml:space="preserve">    </w:t>
      </w:r>
    </w:p>
    <w:p>
      <w:pPr>
        <w:pStyle w:val="null3"/>
        <w:ind w:firstLine="420"/>
        <w:jc w:val="both"/>
      </w:pPr>
      <w:r>
        <w:rPr>
          <w:sz w:val="21"/>
        </w:rPr>
        <w:t>联系电话：</w:t>
      </w:r>
      <w:r>
        <w:rPr>
          <w:sz w:val="21"/>
        </w:rPr>
        <w:t xml:space="preserve">        </w:t>
      </w:r>
    </w:p>
    <w:p>
      <w:pPr>
        <w:pStyle w:val="null3"/>
        <w:ind w:firstLine="420"/>
        <w:jc w:val="both"/>
      </w:pPr>
      <w:r>
        <w:rPr>
          <w:sz w:val="21"/>
        </w:rPr>
        <w:t>电子邮箱：</w:t>
      </w:r>
      <w:r>
        <w:rPr>
          <w:sz w:val="21"/>
        </w:rPr>
        <w:t xml:space="preserve">         </w:t>
      </w:r>
    </w:p>
    <w:p>
      <w:pPr>
        <w:pStyle w:val="null3"/>
        <w:ind w:firstLine="413"/>
        <w:jc w:val="both"/>
      </w:pPr>
      <w:r>
        <w:rPr>
          <w:sz w:val="21"/>
          <w:b/>
        </w:rPr>
        <w:t>承包方（乙方）：</w:t>
      </w:r>
      <w:r>
        <w:rPr>
          <w:sz w:val="21"/>
        </w:rPr>
        <w:t xml:space="preserve">  </w:t>
      </w:r>
    </w:p>
    <w:p>
      <w:pPr>
        <w:pStyle w:val="null3"/>
        <w:ind w:firstLine="411"/>
        <w:jc w:val="both"/>
      </w:pPr>
      <w:r>
        <w:rPr>
          <w:sz w:val="21"/>
        </w:rPr>
        <w:t>通讯地址：</w:t>
      </w:r>
      <w:r>
        <w:rPr>
          <w:sz w:val="21"/>
        </w:rPr>
        <w:t xml:space="preserve"> </w:t>
      </w:r>
    </w:p>
    <w:p>
      <w:pPr>
        <w:pStyle w:val="null3"/>
        <w:ind w:firstLine="411"/>
        <w:jc w:val="both"/>
      </w:pPr>
      <w:r>
        <w:rPr>
          <w:sz w:val="21"/>
        </w:rPr>
        <w:t>联络人：</w:t>
      </w:r>
      <w:r>
        <w:rPr>
          <w:sz w:val="21"/>
        </w:rPr>
        <w:t xml:space="preserve">      </w:t>
      </w:r>
    </w:p>
    <w:p>
      <w:pPr>
        <w:pStyle w:val="null3"/>
        <w:ind w:firstLine="411"/>
        <w:jc w:val="both"/>
      </w:pPr>
      <w:r>
        <w:rPr>
          <w:sz w:val="21"/>
        </w:rPr>
        <w:t>联系电话：</w:t>
      </w:r>
      <w:r>
        <w:rPr>
          <w:sz w:val="21"/>
        </w:rPr>
        <w:t xml:space="preserve">         </w:t>
      </w:r>
    </w:p>
    <w:p>
      <w:pPr>
        <w:pStyle w:val="null3"/>
        <w:ind w:firstLine="411"/>
        <w:jc w:val="both"/>
      </w:pPr>
      <w:r>
        <w:rPr>
          <w:sz w:val="21"/>
        </w:rPr>
        <w:t>电子邮箱：</w:t>
      </w:r>
      <w:r>
        <w:rPr>
          <w:sz w:val="21"/>
        </w:rPr>
        <w:t xml:space="preserve">          </w:t>
      </w:r>
    </w:p>
    <w:p>
      <w:pPr>
        <w:pStyle w:val="null3"/>
        <w:ind w:firstLine="411"/>
        <w:jc w:val="both"/>
      </w:pPr>
      <w:r>
        <w:rPr>
          <w:sz w:val="21"/>
          <w:b/>
        </w:rPr>
        <w:t>第一条</w:t>
      </w:r>
      <w:r>
        <w:rPr>
          <w:sz w:val="21"/>
          <w:b/>
        </w:rPr>
        <w:t xml:space="preserve">  </w:t>
      </w:r>
      <w:r>
        <w:rPr>
          <w:sz w:val="21"/>
          <w:b/>
        </w:rPr>
        <w:t>工程项目</w:t>
      </w:r>
    </w:p>
    <w:p>
      <w:pPr>
        <w:pStyle w:val="null3"/>
        <w:ind w:firstLine="480"/>
        <w:jc w:val="both"/>
      </w:pPr>
      <w:r>
        <w:rPr>
          <w:sz w:val="21"/>
        </w:rPr>
        <w:t>（一）工程名称：</w:t>
      </w:r>
      <w:r>
        <w:rPr>
          <w:sz w:val="21"/>
        </w:rPr>
        <w:t xml:space="preserve">                                 </w:t>
      </w:r>
    </w:p>
    <w:p>
      <w:pPr>
        <w:pStyle w:val="null3"/>
        <w:ind w:firstLine="480"/>
        <w:jc w:val="both"/>
      </w:pPr>
      <w:r>
        <w:rPr>
          <w:sz w:val="21"/>
        </w:rPr>
        <w:t>（二）工程地点：</w:t>
      </w:r>
      <w:r>
        <w:rPr>
          <w:sz w:val="21"/>
        </w:rPr>
        <w:t xml:space="preserve"> </w:t>
      </w:r>
      <w:r>
        <w:rPr>
          <w:sz w:val="21"/>
        </w:rPr>
        <w:t>华南农业大学</w:t>
      </w:r>
      <w:r>
        <w:rPr>
          <w:sz w:val="21"/>
        </w:rPr>
        <w:t>校内</w:t>
      </w:r>
    </w:p>
    <w:p>
      <w:pPr>
        <w:pStyle w:val="null3"/>
        <w:ind w:firstLine="430"/>
        <w:jc w:val="both"/>
      </w:pPr>
      <w:r>
        <w:rPr>
          <w:sz w:val="21"/>
        </w:rPr>
        <w:t>（三）工程内容：</w:t>
      </w:r>
      <w:r>
        <w:rPr>
          <w:sz w:val="21"/>
        </w:rPr>
        <w:t xml:space="preserve">                       </w:t>
      </w:r>
    </w:p>
    <w:p>
      <w:pPr>
        <w:pStyle w:val="null3"/>
        <w:ind w:firstLine="430"/>
        <w:jc w:val="both"/>
      </w:pPr>
      <w:r>
        <w:rPr>
          <w:sz w:val="21"/>
        </w:rPr>
        <w:t>（四）承包方式：由乙方包工、包料、包质量、包工期、包安全、包文明施工，达到验收规范标准，不准转包。</w:t>
      </w:r>
    </w:p>
    <w:p>
      <w:pPr>
        <w:pStyle w:val="null3"/>
        <w:ind w:firstLine="430"/>
        <w:jc w:val="both"/>
      </w:pPr>
      <w:r>
        <w:rPr>
          <w:sz w:val="21"/>
        </w:rPr>
        <w:t>（五）经费来源：</w:t>
      </w:r>
      <w:r>
        <w:rPr>
          <w:sz w:val="21"/>
        </w:rPr>
        <w:t xml:space="preserve"> </w:t>
      </w:r>
    </w:p>
    <w:p>
      <w:pPr>
        <w:pStyle w:val="null3"/>
        <w:jc w:val="both"/>
      </w:pPr>
      <w:r>
        <w:rPr>
          <w:sz w:val="21"/>
          <w:b/>
        </w:rPr>
        <w:t>第二条</w:t>
      </w:r>
      <w:r>
        <w:rPr>
          <w:sz w:val="21"/>
          <w:b/>
        </w:rPr>
        <w:t xml:space="preserve">  </w:t>
      </w:r>
      <w:r>
        <w:rPr>
          <w:sz w:val="21"/>
          <w:b/>
        </w:rPr>
        <w:t>工期</w:t>
      </w:r>
    </w:p>
    <w:p>
      <w:pPr>
        <w:pStyle w:val="null3"/>
        <w:ind w:firstLine="435"/>
        <w:jc w:val="both"/>
      </w:pPr>
      <w:r>
        <w:rPr>
          <w:sz w:val="21"/>
        </w:rPr>
        <w:t>（一）本工程总工期为</w:t>
      </w:r>
      <w:r>
        <w:rPr>
          <w:sz w:val="21"/>
          <w:u w:val="single"/>
        </w:rPr>
        <w:t xml:space="preserve">     </w:t>
      </w:r>
      <w:r>
        <w:rPr>
          <w:sz w:val="21"/>
        </w:rPr>
        <w:t>日历天，实际开工日期以甲方代表签字为准，从签字的第二天开始起算。</w:t>
      </w:r>
    </w:p>
    <w:p>
      <w:pPr>
        <w:pStyle w:val="null3"/>
        <w:ind w:firstLine="435"/>
        <w:jc w:val="both"/>
      </w:pPr>
      <w:r>
        <w:rPr>
          <w:sz w:val="21"/>
        </w:rPr>
        <w:t>（二）在具备工程施工条件下，乙方向甲方提交书面的开工报告。</w:t>
      </w:r>
    </w:p>
    <w:p>
      <w:pPr>
        <w:pStyle w:val="null3"/>
        <w:ind w:firstLine="435"/>
        <w:jc w:val="both"/>
      </w:pPr>
      <w:r>
        <w:rPr>
          <w:sz w:val="21"/>
        </w:rPr>
        <w:t>（三）在履约过程中，若发生设计变更所影响的工期或因甲方责任、不可抗力等因素所延误的工期，经甲乙双方书面签证认可后调整，以此确定竣工日期。</w:t>
      </w:r>
    </w:p>
    <w:p>
      <w:pPr>
        <w:pStyle w:val="null3"/>
        <w:jc w:val="both"/>
      </w:pPr>
      <w:r>
        <w:rPr>
          <w:sz w:val="21"/>
          <w:b/>
        </w:rPr>
        <w:t>第三条</w:t>
      </w:r>
      <w:r>
        <w:rPr>
          <w:sz w:val="21"/>
          <w:b/>
        </w:rPr>
        <w:t xml:space="preserve">  </w:t>
      </w:r>
      <w:r>
        <w:rPr>
          <w:sz w:val="21"/>
          <w:b/>
        </w:rPr>
        <w:t>工程造价、结算原则和付款方式</w:t>
      </w:r>
    </w:p>
    <w:p>
      <w:pPr>
        <w:pStyle w:val="null3"/>
        <w:ind w:firstLine="480"/>
        <w:jc w:val="both"/>
      </w:pPr>
      <w:r>
        <w:rPr>
          <w:sz w:val="21"/>
        </w:rPr>
        <w:t>（一）本工程合同造价为人民币</w:t>
      </w:r>
      <w:r>
        <w:rPr>
          <w:sz w:val="21"/>
        </w:rPr>
        <w:t xml:space="preserve">    </w:t>
      </w:r>
      <w:r>
        <w:rPr>
          <w:sz w:val="21"/>
          <w:u w:val="single"/>
        </w:rPr>
        <w:t>（￥</w:t>
      </w:r>
      <w:r>
        <w:rPr>
          <w:sz w:val="21"/>
          <w:u w:val="single"/>
        </w:rPr>
        <w:t xml:space="preserve">   </w:t>
      </w:r>
      <w:r>
        <w:rPr>
          <w:sz w:val="21"/>
          <w:u w:val="single"/>
        </w:rPr>
        <w:t>元）</w:t>
      </w:r>
      <w:r>
        <w:rPr>
          <w:sz w:val="21"/>
        </w:rPr>
        <w:t>，其中暂列金额为人民币</w:t>
      </w:r>
      <w:r>
        <w:rPr>
          <w:sz w:val="21"/>
        </w:rPr>
        <w:t xml:space="preserve">    </w:t>
      </w:r>
      <w:r>
        <w:rPr>
          <w:sz w:val="21"/>
        </w:rPr>
        <w:t>（￥</w:t>
      </w:r>
      <w:r>
        <w:rPr>
          <w:sz w:val="21"/>
        </w:rPr>
        <w:t xml:space="preserve">   </w:t>
      </w:r>
      <w:r>
        <w:rPr>
          <w:sz w:val="21"/>
        </w:rPr>
        <w:t>元），最终造价以工程竣工验收后审定的结算为准。</w:t>
      </w:r>
    </w:p>
    <w:p>
      <w:pPr>
        <w:pStyle w:val="null3"/>
        <w:ind w:firstLine="480"/>
        <w:jc w:val="both"/>
      </w:pPr>
      <w:r>
        <w:rPr>
          <w:sz w:val="21"/>
        </w:rPr>
        <w:t>该工程款项包括但不限于完成本项工作所需的人工、材料、水电、管理、维护、保险、利润、税金、政策性文件规定及合同包含的所有风险、责任等各项费用。除本合同明确约定的费用外，甲方无需支付任何额外费用和承担任何额外义务。</w:t>
      </w:r>
    </w:p>
    <w:p>
      <w:pPr>
        <w:pStyle w:val="null3"/>
        <w:ind w:firstLine="420"/>
        <w:jc w:val="both"/>
      </w:pPr>
      <w:r>
        <w:rPr>
          <w:sz w:val="21"/>
        </w:rPr>
        <w:t>（二）工程造价结算原则：</w:t>
      </w:r>
      <w:r>
        <w:rPr>
          <w:sz w:val="21"/>
        </w:rPr>
        <w:t xml:space="preserve"> </w:t>
      </w:r>
    </w:p>
    <w:p>
      <w:pPr>
        <w:pStyle w:val="null3"/>
        <w:ind w:firstLine="420"/>
        <w:jc w:val="both"/>
      </w:pPr>
      <w:r>
        <w:rPr>
          <w:sz w:val="21"/>
        </w:rPr>
        <w:t>1、本合同价款采用固定综合单价合同方式确定。</w:t>
      </w:r>
    </w:p>
    <w:p>
      <w:pPr>
        <w:pStyle w:val="null3"/>
        <w:ind w:firstLine="420"/>
        <w:jc w:val="left"/>
      </w:pPr>
      <w:r>
        <w:rPr>
          <w:sz w:val="21"/>
        </w:rPr>
        <w:t>根据竞争性磋商的成交供应商的最终报价（总价），调整工程量清单的成交综合单价</w:t>
      </w:r>
      <w:r>
        <w:rPr>
          <w:sz w:val="21"/>
        </w:rPr>
        <w:t>=第一轮报价的单价×（竞争性磋商最终报价-不参与调价项目合计）/（第一轮报价-不参与调价项目合计）×100%；不参与调价项目包括：暂列金额、按系数计算的绿色施工安全防护措施费、按措施项目清单综合单价报价的绿色施工安全防护措施费等，项目范围和计费按国家、省市相关文件和采购文件的约定执行。</w:t>
      </w:r>
    </w:p>
    <w:p>
      <w:pPr>
        <w:pStyle w:val="null3"/>
        <w:ind w:firstLine="420"/>
        <w:jc w:val="left"/>
      </w:pPr>
      <w:r>
        <w:rPr>
          <w:sz w:val="21"/>
        </w:rPr>
        <w:t>2、综合单价包含的风险范围：</w:t>
      </w:r>
      <w:r>
        <w:rPr>
          <w:sz w:val="21"/>
          <w:u w:val="single"/>
        </w:rPr>
        <w:t xml:space="preserve"> </w:t>
      </w:r>
      <w:r>
        <w:rPr>
          <w:sz w:val="21"/>
          <w:u w:val="single"/>
        </w:rPr>
        <w:t>市场价格波动</w:t>
      </w:r>
      <w:r>
        <w:rPr>
          <w:sz w:val="21"/>
        </w:rPr>
        <w:t>。</w:t>
      </w:r>
    </w:p>
    <w:p>
      <w:pPr>
        <w:pStyle w:val="null3"/>
        <w:ind w:firstLine="420"/>
        <w:jc w:val="left"/>
      </w:pPr>
      <w:r>
        <w:rPr>
          <w:sz w:val="21"/>
        </w:rPr>
        <w:t>风险费用的计算方法：</w:t>
      </w:r>
      <w:r>
        <w:rPr>
          <w:sz w:val="21"/>
          <w:u w:val="single"/>
        </w:rPr>
        <w:t xml:space="preserve">  </w:t>
      </w:r>
      <w:r>
        <w:rPr>
          <w:sz w:val="21"/>
          <w:u w:val="single"/>
        </w:rPr>
        <w:t>不予调整</w:t>
      </w:r>
      <w:r>
        <w:rPr>
          <w:sz w:val="21"/>
          <w:u w:val="single"/>
        </w:rPr>
        <w:t xml:space="preserve">  </w:t>
      </w:r>
      <w:r>
        <w:rPr>
          <w:sz w:val="21"/>
        </w:rPr>
        <w:t>。</w:t>
      </w:r>
    </w:p>
    <w:p>
      <w:pPr>
        <w:pStyle w:val="null3"/>
        <w:ind w:firstLine="422"/>
        <w:jc w:val="both"/>
      </w:pPr>
      <w:r>
        <w:rPr>
          <w:sz w:val="21"/>
          <w:b/>
        </w:rPr>
        <w:t>风险范围以外合同价格的调整方法：</w:t>
      </w:r>
    </w:p>
    <w:p>
      <w:pPr>
        <w:pStyle w:val="null3"/>
        <w:ind w:firstLine="420"/>
        <w:jc w:val="both"/>
      </w:pPr>
      <w:r>
        <w:rPr>
          <w:sz w:val="21"/>
        </w:rPr>
        <w:t>a、工程量清单内的项目，按投标报价单价、规费及税金等费用调整工程造价，工程量按实(监理单位和发包人签认的合格工程量)结算。</w:t>
      </w:r>
    </w:p>
    <w:p>
      <w:pPr>
        <w:pStyle w:val="null3"/>
        <w:ind w:firstLine="420"/>
        <w:jc w:val="both"/>
      </w:pPr>
      <w:r>
        <w:rPr>
          <w:sz w:val="21"/>
        </w:rPr>
        <w:t>b、工程量清单外的工程项目（含暂定价项目、漏项或因图纸修改和设计变更等情况出现的工程变更），按以下方法处理：</w:t>
      </w:r>
    </w:p>
    <w:p>
      <w:pPr>
        <w:pStyle w:val="null3"/>
        <w:ind w:left="-15" w:firstLine="540"/>
        <w:jc w:val="both"/>
      </w:pPr>
      <w:r>
        <w:rPr>
          <w:sz w:val="21"/>
        </w:rPr>
        <w:t>①《工程量清单及投标报价表》中有工作内容相同的项目按投标报价单价、规费及税金等费用调整工程造价，工程量按实(监理单位和发包人签认的合格工程量)结算。</w:t>
      </w:r>
    </w:p>
    <w:p>
      <w:pPr>
        <w:pStyle w:val="null3"/>
        <w:ind w:firstLine="506"/>
        <w:jc w:val="both"/>
      </w:pPr>
      <w:r>
        <w:rPr>
          <w:sz w:val="21"/>
        </w:rPr>
        <w:t>②《工程量清单及投标报价表》中有工作内容相近，仅涉及按相关计价依据并且发包人确认确需调整主材价格的，主材价格以发包人审定的价格为准，与相应投标材料价格的差额调整材料价差。</w:t>
      </w:r>
    </w:p>
    <w:p>
      <w:pPr>
        <w:pStyle w:val="null3"/>
        <w:ind w:firstLine="420"/>
        <w:jc w:val="both"/>
      </w:pPr>
      <w:r>
        <w:rPr>
          <w:sz w:val="21"/>
        </w:rPr>
        <w:t>③在工程量清单外的新增项目，如该项目在工程量清单中有工作内容相同，其综合单价沿用原工程量清单单价；项目主材（包含规格）改变时，只调整相应项目的主材单价，其余一切费用不得调整。投标报价中已有的材料按投标报价中材料价作为结算材料价。投标报价中没有的材料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发包人审核的材料单价计算。</w:t>
      </w:r>
    </w:p>
    <w:p>
      <w:pPr>
        <w:pStyle w:val="null3"/>
        <w:ind w:firstLine="524"/>
        <w:jc w:val="both"/>
      </w:pPr>
      <w:r>
        <w:rPr>
          <w:sz w:val="21"/>
        </w:rPr>
        <w:t>在工程量清单外的新增项目，如该项目在工程量清单中没有工作内容相同的项目，承包人则按如下计价办法：以相关定额为基数，按粤建市</w:t>
      </w:r>
      <w:r>
        <w:rPr>
          <w:sz w:val="21"/>
        </w:rPr>
        <w:t>[2019]6 号文及省市有关工程计价办法中的定额计价程序计价，其中措施项目费不再计取；下浮率为中标价相对于招标控制价的下浮率（下浮率=(招标控制价-中标价)/招标控制价），下浮率为</w:t>
      </w:r>
      <w:r>
        <w:rPr>
          <w:sz w:val="21"/>
          <w:u w:val="single"/>
        </w:rPr>
        <w:t>10</w:t>
      </w:r>
      <w:r>
        <w:rPr>
          <w:sz w:val="21"/>
        </w:rPr>
        <w:t>%（若小于10%的，按10%）。人工、材料和机械单价按照投标文件中相关专业综合单价分析表中的单价套用；投标报价中已有的材料按投标报价中材料价作为结算材料价。投标报价中没有的材料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发包人审核的材料单价计算。</w:t>
      </w:r>
    </w:p>
    <w:p>
      <w:pPr>
        <w:pStyle w:val="null3"/>
        <w:ind w:firstLine="420"/>
        <w:jc w:val="both"/>
      </w:pPr>
      <w:r>
        <w:rPr>
          <w:sz w:val="21"/>
        </w:rPr>
        <w:t>增加及变更项目，承包人应按以上计价方法编制预算，报现场监理工程师和发包人作为增加或变更的审批依据。</w:t>
      </w:r>
    </w:p>
    <w:p>
      <w:pPr>
        <w:pStyle w:val="null3"/>
        <w:ind w:firstLine="538"/>
        <w:jc w:val="both"/>
      </w:pPr>
      <w:r>
        <w:rPr>
          <w:sz w:val="21"/>
        </w:rPr>
        <w:t>c、设计变更、增减工程应于该变更工程完成一个月内办理签证，工程完工后工程量按实计算。</w:t>
      </w:r>
    </w:p>
    <w:p>
      <w:pPr>
        <w:pStyle w:val="null3"/>
        <w:ind w:firstLine="420"/>
        <w:jc w:val="both"/>
      </w:pPr>
      <w:r>
        <w:rPr>
          <w:sz w:val="21"/>
        </w:rPr>
        <w:t xml:space="preserve">3、最终工程结算价不得超过合同价的110%且不得超过采购控制价。  </w:t>
      </w:r>
      <w:r>
        <w:rPr>
          <w:sz w:val="21"/>
        </w:rPr>
        <w:t xml:space="preserve">            </w:t>
      </w:r>
    </w:p>
    <w:p>
      <w:pPr>
        <w:pStyle w:val="null3"/>
        <w:ind w:firstLine="435"/>
        <w:jc w:val="both"/>
      </w:pPr>
      <w:r>
        <w:rPr>
          <w:sz w:val="21"/>
        </w:rPr>
        <w:t>（三）工程付款方式：在乙方无任何违约行为的情况下，工程开工后</w:t>
      </w:r>
      <w:r>
        <w:rPr>
          <w:sz w:val="21"/>
        </w:rPr>
        <w:t>五个工作日</w:t>
      </w:r>
      <w:r>
        <w:rPr>
          <w:sz w:val="21"/>
        </w:rPr>
        <w:t>内</w:t>
      </w:r>
      <w:r>
        <w:rPr>
          <w:sz w:val="21"/>
        </w:rPr>
        <w:t>，甲方按合同价的</w:t>
      </w:r>
      <w:r>
        <w:rPr>
          <w:sz w:val="21"/>
        </w:rPr>
        <w:t>30%</w:t>
      </w:r>
      <w:r>
        <w:rPr>
          <w:sz w:val="21"/>
        </w:rPr>
        <w:t>作为预付款拨给乙方，工程全部完工并验收合格后七天内再支付</w:t>
      </w:r>
      <w:r>
        <w:rPr>
          <w:sz w:val="21"/>
        </w:rPr>
        <w:t>_</w:t>
      </w:r>
      <w:r>
        <w:rPr>
          <w:sz w:val="21"/>
          <w:u w:val="single"/>
        </w:rPr>
        <w:t>55_</w:t>
      </w:r>
      <w:r>
        <w:rPr>
          <w:sz w:val="21"/>
        </w:rPr>
        <w:t>%</w:t>
      </w:r>
      <w:r>
        <w:rPr>
          <w:sz w:val="21"/>
        </w:rPr>
        <w:t>（即支付至合同价的</w:t>
      </w:r>
      <w:r>
        <w:rPr>
          <w:sz w:val="21"/>
        </w:rPr>
        <w:t>_85_%</w:t>
      </w:r>
      <w:r>
        <w:rPr>
          <w:sz w:val="21"/>
        </w:rPr>
        <w:t>），</w:t>
      </w:r>
      <w:r>
        <w:rPr>
          <w:sz w:val="21"/>
        </w:rPr>
        <w:t>工程结算经甲方书面审定办理完结算手续后七个工作日内，乙方提交结算价的</w:t>
      </w:r>
      <w:r>
        <w:rPr>
          <w:sz w:val="21"/>
        </w:rPr>
        <w:t>3%为质量保证金（保函），甲方支付工程款至结算价的100%。工程质量保修金（保函）在工程质量验收合格之日起满贰年后7天内一次性退还给乙方。</w:t>
      </w:r>
    </w:p>
    <w:p>
      <w:pPr>
        <w:pStyle w:val="null3"/>
        <w:ind w:firstLine="435"/>
        <w:jc w:val="both"/>
      </w:pPr>
      <w:r>
        <w:rPr>
          <w:sz w:val="21"/>
        </w:rPr>
        <w:t>在</w:t>
      </w:r>
      <w:r>
        <w:rPr>
          <w:sz w:val="21"/>
        </w:rPr>
        <w:t>甲方</w:t>
      </w:r>
      <w:r>
        <w:rPr>
          <w:sz w:val="21"/>
        </w:rPr>
        <w:t>付款前，乙方应当向甲方提供等额合法发票，如因乙方未能及时提供前述发票而造成付款延误，不属甲方违约。</w:t>
      </w:r>
    </w:p>
    <w:p>
      <w:pPr>
        <w:pStyle w:val="null3"/>
        <w:ind w:firstLine="435"/>
        <w:jc w:val="both"/>
      </w:pPr>
      <w:r>
        <w:rPr>
          <w:sz w:val="21"/>
          <w:b/>
        </w:rPr>
        <w:t>注：预付款及进度款支付时，合同价需扣除暂列金额。</w:t>
      </w:r>
    </w:p>
    <w:p>
      <w:pPr>
        <w:pStyle w:val="null3"/>
        <w:ind w:firstLine="435"/>
        <w:jc w:val="both"/>
      </w:pPr>
      <w:r>
        <w:rPr>
          <w:sz w:val="21"/>
        </w:rPr>
        <w:t>乙方指定以下账户为唯一收款账户：</w:t>
      </w:r>
    </w:p>
    <w:p>
      <w:pPr>
        <w:pStyle w:val="null3"/>
        <w:ind w:firstLine="420"/>
        <w:jc w:val="both"/>
      </w:pPr>
      <w:r>
        <w:rPr>
          <w:sz w:val="21"/>
        </w:rPr>
        <w:t>账户名称：</w:t>
      </w:r>
      <w:r>
        <w:rPr>
          <w:sz w:val="21"/>
        </w:rPr>
        <w:t xml:space="preserve"> </w:t>
      </w:r>
    </w:p>
    <w:p>
      <w:pPr>
        <w:pStyle w:val="null3"/>
        <w:ind w:firstLine="420"/>
        <w:jc w:val="both"/>
      </w:pPr>
      <w:r>
        <w:rPr>
          <w:sz w:val="21"/>
        </w:rPr>
        <w:t>开户银行：</w:t>
      </w:r>
      <w:r>
        <w:rPr>
          <w:sz w:val="21"/>
        </w:rPr>
        <w:t xml:space="preserve"> </w:t>
      </w:r>
    </w:p>
    <w:p>
      <w:pPr>
        <w:pStyle w:val="null3"/>
        <w:ind w:firstLine="420"/>
        <w:jc w:val="both"/>
      </w:pPr>
      <w:r>
        <w:rPr>
          <w:sz w:val="21"/>
        </w:rPr>
        <w:t>银行账号：</w:t>
      </w:r>
      <w:r>
        <w:rPr>
          <w:sz w:val="21"/>
        </w:rPr>
        <w:t xml:space="preserve"> </w:t>
      </w:r>
    </w:p>
    <w:p>
      <w:pPr>
        <w:pStyle w:val="null3"/>
        <w:ind w:firstLine="435"/>
        <w:jc w:val="both"/>
      </w:pPr>
      <w:r>
        <w:rPr>
          <w:sz w:val="21"/>
        </w:rPr>
        <w:t>甲方向上述账户汇出款项后，即视为已履行付款义务，在汇款过程中，因乙方账户的原因（包括但不限于账号被注销、被冻结等）导致其无法收取款项的，由乙方承担相应后果。甲方有权直接在应付款项中扣除乙方应承担违约金或赔偿金等。</w:t>
      </w:r>
    </w:p>
    <w:p>
      <w:pPr>
        <w:pStyle w:val="null3"/>
        <w:jc w:val="both"/>
      </w:pPr>
      <w:r>
        <w:rPr>
          <w:sz w:val="21"/>
          <w:b/>
        </w:rPr>
        <w:t>第四条</w:t>
      </w:r>
      <w:r>
        <w:rPr>
          <w:sz w:val="21"/>
          <w:b/>
        </w:rPr>
        <w:t xml:space="preserve">  </w:t>
      </w:r>
      <w:r>
        <w:rPr>
          <w:sz w:val="21"/>
          <w:b/>
        </w:rPr>
        <w:t>材料设备供应</w:t>
      </w:r>
    </w:p>
    <w:p>
      <w:pPr>
        <w:pStyle w:val="null3"/>
        <w:ind w:firstLine="420"/>
        <w:jc w:val="both"/>
      </w:pPr>
      <w:r>
        <w:rPr>
          <w:sz w:val="21"/>
        </w:rPr>
        <w:t>（一）工程所需材料设备必须经甲方确认后由乙方自行采购并运至施工现场。</w:t>
      </w:r>
    </w:p>
    <w:p>
      <w:pPr>
        <w:pStyle w:val="null3"/>
        <w:ind w:firstLine="420"/>
        <w:jc w:val="both"/>
      </w:pPr>
      <w:r>
        <w:rPr>
          <w:sz w:val="21"/>
        </w:rPr>
        <w:t>（二）材料设备应附有符合国家标准的出厂合格证明。如一方对材料设备有异议，应提交甲方指定鉴定机构进行检验。如检验合格，检验费由提出异议一方负责；如检验不合格，检验费由乙方负责。</w:t>
      </w:r>
    </w:p>
    <w:p>
      <w:pPr>
        <w:pStyle w:val="null3"/>
        <w:ind w:firstLine="420"/>
        <w:jc w:val="both"/>
      </w:pPr>
      <w:r>
        <w:rPr>
          <w:sz w:val="21"/>
        </w:rPr>
        <w:t>（三）在施工中，由于甲方原因工程设计变更造成乙方采购的材料、设备不适用，甲方需按先前已确认的材料设备的实际采购价格，回收全部不适用的材料设备。或经乙方同意，由甲方给予乙方适当的补偿后，不适用的材料设备由乙方自行处理。</w:t>
      </w:r>
    </w:p>
    <w:p>
      <w:pPr>
        <w:pStyle w:val="null3"/>
        <w:jc w:val="both"/>
      </w:pPr>
      <w:r>
        <w:rPr>
          <w:sz w:val="21"/>
          <w:b/>
        </w:rPr>
        <w:t>第五条</w:t>
      </w:r>
      <w:r>
        <w:rPr>
          <w:sz w:val="21"/>
          <w:b/>
        </w:rPr>
        <w:t xml:space="preserve">  </w:t>
      </w:r>
      <w:r>
        <w:rPr>
          <w:sz w:val="21"/>
          <w:b/>
        </w:rPr>
        <w:t>工程质量标准和保修期</w:t>
      </w:r>
    </w:p>
    <w:p>
      <w:pPr>
        <w:pStyle w:val="null3"/>
        <w:ind w:firstLine="420"/>
        <w:jc w:val="both"/>
      </w:pPr>
      <w:r>
        <w:rPr>
          <w:sz w:val="21"/>
        </w:rPr>
        <w:t>（一）工程质量标准按国家现行施工及验收规范、工程质量标准为合格。</w:t>
      </w:r>
    </w:p>
    <w:p>
      <w:pPr>
        <w:pStyle w:val="null3"/>
        <w:ind w:firstLine="420"/>
        <w:jc w:val="both"/>
      </w:pPr>
      <w:r>
        <w:rPr>
          <w:sz w:val="21"/>
        </w:rPr>
        <w:t>（二）施工中如甲方发现工程上存在问题时，应及时通知乙方，乙方在收到通知二天内采取有效措施纠正。否则，甲方有权采取措施，直至终止合同，由此造成的损失由乙方承担。</w:t>
      </w:r>
    </w:p>
    <w:p>
      <w:pPr>
        <w:pStyle w:val="null3"/>
        <w:ind w:firstLine="420"/>
        <w:jc w:val="both"/>
      </w:pPr>
      <w:r>
        <w:rPr>
          <w:sz w:val="21"/>
        </w:rPr>
        <w:t>（三）保修期按中华人民共和国国务院令第</w:t>
      </w:r>
      <w:r>
        <w:rPr>
          <w:sz w:val="21"/>
        </w:rPr>
        <w:t>279号《建设工程质量管理条例》执行，在正常使用条件下，建设工程的最低保修期自竣工验收合格双方签字确认之日起：</w:t>
      </w:r>
    </w:p>
    <w:p>
      <w:pPr>
        <w:pStyle w:val="null3"/>
        <w:ind w:firstLine="420"/>
        <w:jc w:val="both"/>
      </w:pPr>
      <w:r>
        <w:rPr>
          <w:sz w:val="21"/>
        </w:rPr>
        <w:t>（</w:t>
      </w:r>
      <w:r>
        <w:rPr>
          <w:sz w:val="21"/>
        </w:rPr>
        <w:t>1）基础设施工程、房屋建筑的地基基础工程和主体结构工程，为设计文件规定的该工程的合理使用年限；如无规定，则保修期为2年。</w:t>
      </w:r>
    </w:p>
    <w:p>
      <w:pPr>
        <w:pStyle w:val="null3"/>
        <w:ind w:firstLine="420"/>
        <w:jc w:val="both"/>
      </w:pPr>
      <w:r>
        <w:rPr>
          <w:sz w:val="21"/>
        </w:rPr>
        <w:t>（</w:t>
      </w:r>
      <w:r>
        <w:rPr>
          <w:sz w:val="21"/>
        </w:rPr>
        <w:t>2）</w:t>
      </w:r>
      <w:r>
        <w:rPr>
          <w:sz w:val="21"/>
          <w:u w:val="single"/>
        </w:rPr>
        <w:t>屋面防水工程</w:t>
      </w:r>
      <w:r>
        <w:rPr>
          <w:sz w:val="21"/>
        </w:rPr>
        <w:t>、有防水要求的卫生间、房间和外墙面的防渗漏，为</w:t>
      </w:r>
      <w:r>
        <w:rPr>
          <w:sz w:val="21"/>
        </w:rPr>
        <w:t>5年；</w:t>
      </w:r>
    </w:p>
    <w:p>
      <w:pPr>
        <w:pStyle w:val="null3"/>
        <w:ind w:firstLine="420"/>
        <w:jc w:val="both"/>
      </w:pPr>
      <w:r>
        <w:rPr>
          <w:sz w:val="21"/>
        </w:rPr>
        <w:t>（</w:t>
      </w:r>
      <w:r>
        <w:rPr>
          <w:sz w:val="21"/>
        </w:rPr>
        <w:t>3）供热与供冷系统，为2个采暖期、供冷期；</w:t>
      </w:r>
    </w:p>
    <w:p>
      <w:pPr>
        <w:pStyle w:val="null3"/>
        <w:ind w:firstLine="420"/>
        <w:jc w:val="both"/>
      </w:pPr>
      <w:r>
        <w:rPr>
          <w:sz w:val="21"/>
        </w:rPr>
        <w:t>（</w:t>
      </w:r>
      <w:r>
        <w:rPr>
          <w:sz w:val="21"/>
        </w:rPr>
        <w:t>4）电气管线、给排水管道、设备安装和装修工程，为2年。保修期限内出现的质量问题，乙方在接到甲方通知后两天内进行检查，经双方鉴定，属乙方施工或材料质量问题，由乙方即进行修复，修复费由乙方负责；属甲方使用不当造成的，修复费用由甲方负责。如对质量问题有争议，由相关质监部门裁定。</w:t>
      </w:r>
    </w:p>
    <w:p>
      <w:pPr>
        <w:pStyle w:val="null3"/>
        <w:jc w:val="both"/>
      </w:pPr>
      <w:r>
        <w:rPr>
          <w:sz w:val="21"/>
          <w:b/>
        </w:rPr>
        <w:t>第六条</w:t>
      </w:r>
      <w:r>
        <w:rPr>
          <w:sz w:val="21"/>
          <w:b/>
        </w:rPr>
        <w:t xml:space="preserve">  </w:t>
      </w:r>
      <w:r>
        <w:rPr>
          <w:sz w:val="21"/>
          <w:b/>
        </w:rPr>
        <w:t>工程验收</w:t>
      </w:r>
    </w:p>
    <w:p>
      <w:pPr>
        <w:pStyle w:val="null3"/>
        <w:ind w:firstLine="420"/>
        <w:jc w:val="both"/>
      </w:pPr>
      <w:r>
        <w:rPr>
          <w:sz w:val="21"/>
        </w:rPr>
        <w:t>（一）工程验收以施工图及说明书、图纸会审记录、有关变更的书面文件，按国家颁布的施工及验收规范和质量检验标准为依据。</w:t>
      </w:r>
    </w:p>
    <w:p>
      <w:pPr>
        <w:pStyle w:val="null3"/>
        <w:ind w:firstLine="420"/>
        <w:jc w:val="both"/>
      </w:pPr>
      <w:r>
        <w:rPr>
          <w:sz w:val="21"/>
        </w:rPr>
        <w:t>（二）隐蔽工程在乙方自检后填制记录表（范围、数量、质量等），持表通知甲方进行检查。甲方接到通知后</w:t>
      </w:r>
      <w:r>
        <w:rPr>
          <w:sz w:val="21"/>
        </w:rPr>
        <w:t>2天内到场验收，验收合格并符合设计要求时，经双方签字后进行下一工序的施工。隐蔽工程隐蔽前，甲方没有及时检查的，乙方可以要求办理顺延工期，无权自检。</w:t>
      </w:r>
    </w:p>
    <w:p>
      <w:pPr>
        <w:pStyle w:val="null3"/>
        <w:ind w:firstLine="420"/>
        <w:jc w:val="both"/>
      </w:pPr>
      <w:r>
        <w:rPr>
          <w:sz w:val="21"/>
        </w:rPr>
        <w:t>（三）工程（包括单项工程）竣工前三天，由乙方通知甲方验收，甲方在乙方书面通知竣工后三天内验收完毕。工程内容及质量符合要求的，双方签字并盖章，同时乙方将全部真实有效图纸资料（包括分包工程的竣工验收资料）向甲方移交。如工程内容尚未完成或质量不合格的，由乙方在甲乙双方商定的期限内补建或返修后再进行验收，直到符合要求为止。并按最后验收合格的日期为实际竣工日期，由此发生的费用由乙方承担。</w:t>
      </w:r>
      <w:r>
        <w:rPr>
          <w:sz w:val="21"/>
        </w:rPr>
        <w:t>工程（含单项工程）未验收，甲方提前使用或擅自动用，视为合格，由此而发生的质量或其他问题，由甲方负责。</w:t>
      </w:r>
      <w:r>
        <w:rPr>
          <w:sz w:val="21"/>
        </w:rPr>
        <w:t>因乙方的原因致使工程在合理使用期内造成人身伤害（不管是否致命）和财产损失或损坏的，乙方应承担损失赔偿责任。</w:t>
      </w:r>
    </w:p>
    <w:p>
      <w:pPr>
        <w:pStyle w:val="null3"/>
        <w:jc w:val="both"/>
      </w:pPr>
      <w:r>
        <w:rPr>
          <w:sz w:val="21"/>
          <w:b/>
        </w:rPr>
        <w:t>第七条</w:t>
      </w:r>
      <w:r>
        <w:rPr>
          <w:sz w:val="21"/>
          <w:b/>
        </w:rPr>
        <w:t xml:space="preserve">  </w:t>
      </w:r>
      <w:r>
        <w:rPr>
          <w:sz w:val="21"/>
          <w:b/>
        </w:rPr>
        <w:t>奖与罚</w:t>
      </w:r>
    </w:p>
    <w:p>
      <w:pPr>
        <w:pStyle w:val="null3"/>
        <w:ind w:firstLine="420"/>
        <w:jc w:val="both"/>
      </w:pPr>
      <w:r>
        <w:rPr>
          <w:sz w:val="21"/>
        </w:rPr>
        <w:t>（一）按合同期竣工不奖不罚。延期竣工（工期延误）的，每逾期</w:t>
      </w:r>
      <w:r>
        <w:rPr>
          <w:sz w:val="21"/>
        </w:rPr>
        <w:t>1天，由乙方按工程结算总造价的万分之四向甲方支付违约金。延期竣工超过30天的，甲方有权解除合同，因此造成的一切损失由乙方承担。</w:t>
      </w:r>
    </w:p>
    <w:p>
      <w:pPr>
        <w:pStyle w:val="null3"/>
        <w:ind w:firstLine="420"/>
        <w:jc w:val="both"/>
      </w:pPr>
      <w:r>
        <w:rPr>
          <w:sz w:val="21"/>
        </w:rPr>
        <w:t>（二）奖罚应在竣工结算时办理。</w:t>
      </w:r>
    </w:p>
    <w:p>
      <w:pPr>
        <w:pStyle w:val="null3"/>
        <w:jc w:val="both"/>
      </w:pPr>
      <w:r>
        <w:rPr>
          <w:sz w:val="21"/>
          <w:b/>
        </w:rPr>
        <w:t>第八条</w:t>
      </w:r>
      <w:r>
        <w:rPr>
          <w:sz w:val="21"/>
        </w:rPr>
        <w:t xml:space="preserve">  </w:t>
      </w:r>
      <w:r>
        <w:rPr>
          <w:sz w:val="21"/>
        </w:rPr>
        <w:t>本合同自甲乙双方法定代表人或授权代表签字并盖双方公章或合同专用章后生效，正本</w:t>
      </w:r>
      <w:r>
        <w:rPr>
          <w:sz w:val="21"/>
          <w:u w:val="single"/>
        </w:rPr>
        <w:t xml:space="preserve"> </w:t>
      </w:r>
      <w:r>
        <w:rPr>
          <w:sz w:val="21"/>
          <w:u w:val="single"/>
        </w:rPr>
        <w:t>两</w:t>
      </w:r>
      <w:r>
        <w:rPr>
          <w:sz w:val="21"/>
        </w:rPr>
        <w:t>份，双方各执</w:t>
      </w:r>
      <w:r>
        <w:rPr>
          <w:sz w:val="21"/>
          <w:u w:val="single"/>
        </w:rPr>
        <w:t xml:space="preserve"> </w:t>
      </w:r>
      <w:r>
        <w:rPr>
          <w:sz w:val="21"/>
          <w:u w:val="single"/>
        </w:rPr>
        <w:t>一</w:t>
      </w:r>
      <w:r>
        <w:rPr>
          <w:sz w:val="21"/>
          <w:u w:val="single"/>
        </w:rPr>
        <w:t xml:space="preserve"> </w:t>
      </w:r>
      <w:r>
        <w:rPr>
          <w:sz w:val="21"/>
        </w:rPr>
        <w:t>份，副本</w:t>
      </w:r>
      <w:r>
        <w:rPr>
          <w:sz w:val="21"/>
          <w:u w:val="single"/>
        </w:rPr>
        <w:t xml:space="preserve"> </w:t>
      </w:r>
      <w:r>
        <w:rPr>
          <w:sz w:val="21"/>
          <w:u w:val="single"/>
        </w:rPr>
        <w:t>八</w:t>
      </w:r>
      <w:r>
        <w:rPr>
          <w:sz w:val="21"/>
        </w:rPr>
        <w:t>份，双方各执</w:t>
      </w:r>
      <w:r>
        <w:rPr>
          <w:sz w:val="21"/>
          <w:u w:val="single"/>
        </w:rPr>
        <w:t xml:space="preserve"> </w:t>
      </w:r>
      <w:r>
        <w:rPr>
          <w:sz w:val="21"/>
          <w:u w:val="single"/>
        </w:rPr>
        <w:t>四</w:t>
      </w:r>
      <w:r>
        <w:rPr>
          <w:sz w:val="21"/>
        </w:rPr>
        <w:t>份。</w:t>
      </w:r>
    </w:p>
    <w:p>
      <w:pPr>
        <w:pStyle w:val="null3"/>
        <w:jc w:val="both"/>
      </w:pPr>
      <w:r>
        <w:rPr>
          <w:sz w:val="21"/>
          <w:b/>
        </w:rPr>
        <w:t>第九条</w:t>
      </w:r>
      <w:r>
        <w:rPr>
          <w:sz w:val="21"/>
          <w:b/>
        </w:rPr>
        <w:t xml:space="preserve">  </w:t>
      </w:r>
      <w:r>
        <w:rPr>
          <w:sz w:val="21"/>
          <w:b/>
        </w:rPr>
        <w:t>其它约定条款</w:t>
      </w:r>
    </w:p>
    <w:p>
      <w:pPr>
        <w:pStyle w:val="null3"/>
        <w:ind w:firstLine="420"/>
        <w:jc w:val="both"/>
      </w:pPr>
      <w:r>
        <w:rPr>
          <w:sz w:val="21"/>
        </w:rPr>
        <w:t>（一）现场施工用水用电按华南农业大学水电管理办法执行。</w:t>
      </w:r>
    </w:p>
    <w:p>
      <w:pPr>
        <w:pStyle w:val="null3"/>
        <w:ind w:firstLine="420"/>
        <w:jc w:val="both"/>
      </w:pPr>
      <w:r>
        <w:rPr>
          <w:sz w:val="21"/>
        </w:rPr>
        <w:t>（二）乙方必须在工程竣工后两天内撤离现场。</w:t>
      </w:r>
    </w:p>
    <w:p>
      <w:pPr>
        <w:pStyle w:val="null3"/>
        <w:ind w:firstLine="420"/>
        <w:jc w:val="both"/>
      </w:pPr>
      <w:r>
        <w:rPr>
          <w:sz w:val="21"/>
        </w:rPr>
        <w:t>（三）本合同未尽或者争议事宜，双方友好协商解决。协商不成的，任意一方均可向甲方所在地人民法院提起诉讼。</w:t>
      </w:r>
    </w:p>
    <w:p>
      <w:pPr>
        <w:pStyle w:val="null3"/>
        <w:ind w:firstLine="420"/>
        <w:jc w:val="both"/>
      </w:pPr>
      <w:r>
        <w:rPr>
          <w:sz w:val="21"/>
        </w:rPr>
        <w:t>（四）乙方承诺具备履行本合同所必须的资质和条件，该资质和条件指的是工程所在地所要求的资质和条件。若因乙方的资质和条件问题导致本合同不能完全履行，甲方所受到的一切损失由乙方承担。</w:t>
      </w:r>
    </w:p>
    <w:p>
      <w:pPr>
        <w:pStyle w:val="null3"/>
        <w:ind w:firstLine="420"/>
        <w:jc w:val="both"/>
      </w:pPr>
      <w:r>
        <w:rPr>
          <w:sz w:val="21"/>
        </w:rPr>
        <w:t>（五）所有乙方应当承担的违约金、赔偿金等责任，甲方均有权在应支付给乙方的款项中直接扣除，不足以扣除的，甲方有权继续要求乙方支付或赔偿。</w:t>
      </w:r>
    </w:p>
    <w:p>
      <w:pPr>
        <w:pStyle w:val="null3"/>
        <w:ind w:firstLine="420"/>
        <w:jc w:val="both"/>
      </w:pPr>
      <w:r>
        <w:rPr>
          <w:sz w:val="21"/>
        </w:rPr>
        <w:t>（六）除本合同另有约定外，一方在本合同履行过程中向另一方发出或者提供的所有通知、文件、文书、资料等，均可以本合同所列明的地址送达；一方如果迁址或者变更电话，应当及时书面通知另一方，未履行通知义务的，另一方按原地址邮寄相关材料即视为已履行送达义务；当面交付上述材料的，在交付之时视为送达。</w:t>
      </w:r>
    </w:p>
    <w:p>
      <w:pPr>
        <w:pStyle w:val="null3"/>
        <w:ind w:firstLine="420"/>
        <w:jc w:val="both"/>
      </w:pPr>
      <w:r>
        <w:rPr>
          <w:sz w:val="21"/>
        </w:rPr>
        <w:t>（七）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w:t>
      </w:r>
      <w:r>
        <w:rPr>
          <w:sz w:val="21"/>
        </w:rPr>
        <w:t>15日内将有关机构出具的不可抗力事件的证明寄交对方。未提供以上证明的，不能免除违约责任。</w:t>
      </w:r>
    </w:p>
    <w:p>
      <w:pPr>
        <w:pStyle w:val="null3"/>
        <w:ind w:firstLine="420"/>
        <w:jc w:val="both"/>
      </w:pPr>
      <w:r>
        <w:rPr>
          <w:sz w:val="21"/>
        </w:rPr>
        <w:t>（八）本合同甲方损失包括但不限于甲方及相关方的实际损失、可得利益损失、甲方为处理违约事件所发生的包括调查费、评估费、公证费、仲裁费、诉讼费、律师费、交通费、差旅费等费用在内的费用和开支等；若乙方违约行为导致甲方遭受第三方的指控时，损失亦包括甲方为应诉等行为和承担其他不利义务而支付的一切费用。</w:t>
      </w:r>
    </w:p>
    <w:p>
      <w:pPr>
        <w:pStyle w:val="null3"/>
        <w:ind w:firstLine="480"/>
        <w:jc w:val="both"/>
      </w:pPr>
      <w:r>
        <w:rPr>
          <w:sz w:val="21"/>
          <w:b/>
        </w:rPr>
        <w:t>（以下无正文）</w:t>
      </w:r>
    </w:p>
    <w:p>
      <w:pPr>
        <w:pStyle w:val="null3"/>
        <w:jc w:val="both"/>
      </w:pPr>
      <w:r>
        <w:rPr>
          <w:sz w:val="21"/>
        </w:rPr>
        <w:t>发</w:t>
      </w:r>
      <w:r>
        <w:rPr>
          <w:sz w:val="21"/>
        </w:rPr>
        <w:t>包</w:t>
      </w:r>
      <w:r>
        <w:rPr>
          <w:sz w:val="21"/>
        </w:rPr>
        <w:t>方（盖章）：华南农业大学（甲方）</w:t>
      </w:r>
    </w:p>
    <w:p>
      <w:pPr>
        <w:pStyle w:val="null3"/>
        <w:jc w:val="both"/>
      </w:pPr>
      <w:r>
        <w:rPr>
          <w:sz w:val="21"/>
        </w:rPr>
        <w:t>法定代表（签字）：</w:t>
      </w:r>
    </w:p>
    <w:p>
      <w:pPr>
        <w:pStyle w:val="null3"/>
        <w:jc w:val="both"/>
      </w:pPr>
      <w:r>
        <w:rPr>
          <w:sz w:val="21"/>
        </w:rPr>
        <w:t>签约代表（签字）：</w:t>
      </w:r>
      <w:r>
        <w:rPr>
          <w:sz w:val="21"/>
        </w:rPr>
        <w:t xml:space="preserve">              </w:t>
      </w:r>
    </w:p>
    <w:p>
      <w:pPr>
        <w:pStyle w:val="null3"/>
        <w:jc w:val="both"/>
      </w:pPr>
      <w:r>
        <w:rPr>
          <w:sz w:val="21"/>
        </w:rPr>
        <w:t>签约日期：</w:t>
      </w:r>
      <w:r>
        <w:rPr>
          <w:sz w:val="21"/>
        </w:rPr>
        <w:t xml:space="preserve">                       </w:t>
      </w:r>
    </w:p>
    <w:p>
      <w:pPr>
        <w:pStyle w:val="null3"/>
        <w:jc w:val="both"/>
      </w:pPr>
      <w:r>
        <w:rPr>
          <w:sz w:val="21"/>
        </w:rPr>
        <w:t>承包方（盖章）：</w:t>
      </w:r>
      <w:r>
        <w:rPr>
          <w:sz w:val="21"/>
        </w:rPr>
        <w:t xml:space="preserve">        </w:t>
      </w:r>
      <w:r>
        <w:rPr>
          <w:sz w:val="21"/>
        </w:rPr>
        <w:t>（乙方）</w:t>
      </w:r>
    </w:p>
    <w:p>
      <w:pPr>
        <w:pStyle w:val="null3"/>
        <w:jc w:val="both"/>
      </w:pPr>
      <w:r>
        <w:rPr>
          <w:sz w:val="21"/>
        </w:rPr>
        <w:t>法定代表（签字）：</w:t>
      </w:r>
    </w:p>
    <w:p>
      <w:pPr>
        <w:pStyle w:val="null3"/>
        <w:jc w:val="both"/>
      </w:pPr>
      <w:r>
        <w:rPr>
          <w:sz w:val="21"/>
        </w:rPr>
        <w:t>签约代表（签字）：</w:t>
      </w:r>
    </w:p>
    <w:p>
      <w:pPr>
        <w:pStyle w:val="null3"/>
        <w:jc w:val="both"/>
      </w:pPr>
      <w:r>
        <w:rPr>
          <w:sz w:val="21"/>
        </w:rPr>
        <w:t>签约日期：</w:t>
      </w:r>
    </w:p>
    <w:p>
      <w:pPr>
        <w:pStyle w:val="null3"/>
        <w:jc w:val="left"/>
      </w:pPr>
      <w:r>
        <w:rPr>
          <w:sz w:val="21"/>
          <w:b/>
        </w:rPr>
        <w:t>注：此为合同草案，可根据磋商情况进行变更！</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440001-2025-10216</w:t>
      </w:r>
    </w:p>
    <w:p>
      <w:pPr>
        <w:pStyle w:val="null3"/>
        <w:jc w:val="center"/>
        <w:outlineLvl w:val="3"/>
      </w:pPr>
      <w:r>
        <w:rPr>
          <w:sz w:val="24"/>
          <w:b/>
        </w:rPr>
        <w:t>采购项目编号：</w:t>
      </w:r>
      <w:r>
        <w:rPr>
          <w:sz w:val="24"/>
          <w:b/>
        </w:rPr>
        <w:t>440001-2025-10216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华南农业大学体育馆群众性文化体育活动设施改善项目—体育工艺设施改善工程</w:t>
      </w:r>
      <w:r>
        <w:rPr>
          <w:u w:val="single"/>
        </w:rPr>
        <w:t>”</w:t>
      </w:r>
      <w:r>
        <w:rPr/>
        <w:t>项目的竞争性磋商[采购项目编号为：</w:t>
      </w:r>
      <w:r>
        <w:rPr>
          <w:u w:val="single"/>
        </w:rPr>
        <w:t>440001-2025-10216</w:t>
      </w:r>
      <w:r>
        <w:rPr/>
        <w:t>]，我方愿参与响应。</w:t>
      </w:r>
    </w:p>
    <w:p>
      <w:pPr>
        <w:pStyle w:val="null3"/>
        <w:ind w:firstLine="480"/>
      </w:pPr>
      <w:r>
        <w:rPr/>
        <w:t>我方确认收到贵方提供的</w:t>
      </w:r>
      <w:r>
        <w:rPr>
          <w:u w:val="single"/>
        </w:rPr>
        <w:t>“</w:t>
      </w:r>
      <w:r>
        <w:rPr>
          <w:u w:val="single"/>
        </w:rPr>
        <w:t>华南农业大学体育馆群众性文化体育活动设施改善项目—体育工艺设施改善工程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华南农业大学体育馆群众性文化体育活动设施改善项目—体育工艺设施改善工程</w:t>
      </w:r>
      <w:r>
        <w:rPr/>
        <w:t>”项目采购[采购项目编号为</w:t>
      </w:r>
      <w:r>
        <w:rPr/>
        <w:t>440001-2025-10216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华南农业大学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华南农业大学体育馆群众性文化体育活动设施改善项目—体育工艺设施改善工程</w:t>
      </w:r>
      <w:r>
        <w:rPr/>
        <w:t>（采购项目编号：</w:t>
      </w:r>
      <w:r>
        <w:rPr/>
        <w:t>440001-2025-10216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华南农业大学体育馆群众性文化体育活动设施改善项目—体育工艺设施改善工程</w:t>
      </w:r>
      <w:r>
        <w:rPr/>
        <w:t>”项目（采购项目编号：</w:t>
      </w:r>
      <w:r>
        <w:rPr/>
        <w:t>440001-2025-10216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