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440101-2025-04921</w:t>
      </w:r>
    </w:p>
    <w:p>
      <w:pPr>
        <w:pStyle w:val="null3"/>
        <w:jc w:val="center"/>
        <w:outlineLvl w:val="3"/>
      </w:pPr>
      <w:r>
        <w:rPr>
          <w:sz w:val="24"/>
          <w:b/>
        </w:rPr>
        <w:t>采购项目编号：</w:t>
      </w:r>
      <w:r>
        <w:rPr>
          <w:sz w:val="24"/>
          <w:b/>
        </w:rPr>
        <w:t>440101-2025-04921</w:t>
      </w:r>
    </w:p>
    <w:p>
      <w:pPr>
        <w:pStyle w:val="null3"/>
        <w:jc w:val="center"/>
        <w:outlineLvl w:val="3"/>
      </w:pPr>
      <w:r>
        <w:rPr>
          <w:sz w:val="24"/>
          <w:b/>
        </w:rPr>
        <w:t>项目名称：</w:t>
      </w:r>
      <w:r>
        <w:rPr>
          <w:sz w:val="24"/>
          <w:b/>
        </w:rPr>
        <w:t>广州市工贸技师学院城市轨道交通服务员实训系统购置项目</w:t>
      </w:r>
    </w:p>
    <w:p>
      <w:pPr>
        <w:pStyle w:val="null3"/>
        <w:jc w:val="center"/>
        <w:outlineLvl w:val="3"/>
      </w:pPr>
      <w:r>
        <w:rPr>
          <w:sz w:val="24"/>
          <w:b/>
        </w:rPr>
        <w:t>采购人：</w:t>
      </w:r>
      <w:r>
        <w:rPr>
          <w:sz w:val="24"/>
          <w:b/>
        </w:rPr>
        <w:t>广州市工贸技师学院</w:t>
      </w:r>
    </w:p>
    <w:p>
      <w:pPr>
        <w:pStyle w:val="null3"/>
        <w:jc w:val="center"/>
        <w:outlineLvl w:val="3"/>
      </w:pPr>
      <w:r>
        <w:rPr>
          <w:sz w:val="24"/>
          <w:b/>
        </w:rPr>
        <w:t>采购代理机构：</w:t>
      </w:r>
      <w:r>
        <w:rPr>
          <w:sz w:val="24"/>
          <w:b/>
        </w:rPr>
        <w:t>广东志正招标有限公司</w:t>
      </w:r>
    </w:p>
    <w:p>
      <w:pPr>
        <w:pStyle w:val="null3"/>
        <w:ind w:firstLine="480"/>
      </w:pPr>
      <w:r>
        <w:rPr/>
        <w:t xml:space="preserve">  </w:t>
      </w:r>
    </w:p>
    <w:p>
      <w:pPr>
        <w:pStyle w:val="null3"/>
        <w:jc w:val="center"/>
        <w:outlineLvl w:val="1"/>
      </w:pPr>
      <w:r>
        <w:rPr>
          <w:sz w:val="36"/>
          <w:b/>
        </w:rPr>
        <w:t>第一章投标邀请</w:t>
      </w:r>
    </w:p>
    <w:p>
      <w:pPr>
        <w:pStyle w:val="null3"/>
        <w:ind w:firstLine="480"/>
      </w:pPr>
      <w:r>
        <w:rPr/>
        <w:t>广东志正招标有限公司</w:t>
      </w:r>
      <w:r>
        <w:rPr/>
        <w:t>受</w:t>
      </w:r>
      <w:r>
        <w:rPr/>
        <w:t>广州市工贸技师学院</w:t>
      </w:r>
      <w:r>
        <w:rPr/>
        <w:t>的委托，采用</w:t>
      </w:r>
      <w:r>
        <w:rPr/>
        <w:t>公开招标</w:t>
      </w:r>
      <w:r>
        <w:rPr/>
        <w:t>方式组织采购</w:t>
      </w:r>
      <w:r>
        <w:rPr/>
        <w:t>广州市工贸技师学院城市轨道交通服务员实训系统购置项目</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广州市工贸技师学院城市轨道交通服务员实训系统购置项目</w:t>
      </w:r>
    </w:p>
    <w:p>
      <w:pPr>
        <w:pStyle w:val="null3"/>
        <w:ind w:firstLine="480"/>
      </w:pPr>
      <w:r>
        <w:rPr/>
        <w:t>采购计划编号：</w:t>
      </w:r>
      <w:r>
        <w:rPr/>
        <w:t>440101-2025-04921</w:t>
      </w:r>
    </w:p>
    <w:p>
      <w:pPr>
        <w:pStyle w:val="null3"/>
        <w:ind w:firstLine="480"/>
      </w:pPr>
      <w:r>
        <w:rPr/>
        <w:t>采购项目编号：</w:t>
      </w:r>
      <w:r>
        <w:rPr/>
        <w:t>440101-2025-04921</w:t>
      </w:r>
    </w:p>
    <w:p>
      <w:pPr>
        <w:pStyle w:val="null3"/>
        <w:ind w:firstLine="480"/>
      </w:pPr>
      <w:r>
        <w:rPr/>
        <w:t>采购方式：</w:t>
      </w:r>
      <w:r>
        <w:rPr/>
        <w:t>公开招标</w:t>
      </w:r>
    </w:p>
    <w:p>
      <w:pPr>
        <w:pStyle w:val="null3"/>
        <w:ind w:firstLine="480"/>
      </w:pPr>
      <w:r>
        <w:rPr/>
        <w:t>预算金额：</w:t>
      </w:r>
      <w:r>
        <w:rPr/>
        <w:t>1,500,000.00</w:t>
      </w:r>
      <w:r>
        <w:rPr/>
        <w:t>元</w:t>
      </w:r>
    </w:p>
    <w:p>
      <w:pPr>
        <w:pStyle w:val="null3"/>
        <w:outlineLvl w:val="3"/>
      </w:pPr>
      <w:r>
        <w:rPr>
          <w:sz w:val="24"/>
          <w:b/>
        </w:rPr>
        <w:t>2.项目内容及需求情况（采购项目技术规格、参数及要求）</w:t>
      </w:r>
    </w:p>
    <w:p>
      <w:pPr>
        <w:pStyle w:val="null3"/>
      </w:pPr>
      <w:r>
        <w:rPr/>
        <w:t>采购包1(城市轨道交通服务员实训系统购置项目):</w:t>
      </w:r>
    </w:p>
    <w:p>
      <w:pPr>
        <w:pStyle w:val="null3"/>
      </w:pPr>
      <w:r>
        <w:rPr/>
        <w:t>采购包预算金额：1,500,000.00元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1-1</w:t>
            </w:r>
          </w:p>
        </w:tc>
        <w:tc>
          <w:tcPr>
            <w:tcW w:type="dxa" w:w="1368"/>
          </w:tcPr>
          <w:p>
            <w:pPr>
              <w:pStyle w:val="null3"/>
            </w:pPr>
            <w:r>
              <w:rPr/>
              <w:t>教学仪器</w:t>
            </w:r>
          </w:p>
        </w:tc>
        <w:tc>
          <w:tcPr>
            <w:tcW w:type="dxa" w:w="2052"/>
          </w:tcPr>
          <w:p>
            <w:pPr>
              <w:pStyle w:val="null3"/>
            </w:pPr>
            <w:r>
              <w:rPr/>
              <w:t>车站控制室设备</w:t>
            </w:r>
          </w:p>
        </w:tc>
        <w:tc>
          <w:tcPr>
            <w:tcW w:type="dxa" w:w="977"/>
          </w:tcPr>
          <w:p>
            <w:pPr>
              <w:pStyle w:val="null3"/>
            </w:pPr>
            <w:r>
              <w:rPr/>
              <w:t>1(套)</w:t>
            </w:r>
          </w:p>
        </w:tc>
        <w:tc>
          <w:tcPr>
            <w:tcW w:type="dxa" w:w="977"/>
          </w:tcPr>
          <w:p>
            <w:pPr>
              <w:pStyle w:val="null3"/>
            </w:pPr>
            <w:r>
              <w:rPr/>
              <w:t>详见第二章</w:t>
            </w:r>
          </w:p>
        </w:tc>
        <w:tc>
          <w:tcPr>
            <w:tcW w:type="dxa" w:w="977"/>
          </w:tcPr>
          <w:p>
            <w:pPr>
              <w:pStyle w:val="null3"/>
            </w:pPr>
            <w:r>
              <w:rPr/>
              <w:t>374,200.00</w:t>
            </w:r>
          </w:p>
        </w:tc>
        <w:tc>
          <w:tcPr>
            <w:tcW w:type="dxa" w:w="977"/>
          </w:tcPr>
          <w:p>
            <w:pPr>
              <w:pStyle w:val="null3"/>
            </w:pPr>
            <w:r>
              <w:rPr/>
              <w:t>否</w:t>
            </w:r>
          </w:p>
        </w:tc>
      </w:tr>
      <w:tr>
        <w:tc>
          <w:tcPr>
            <w:tcW w:type="dxa" w:w="977"/>
          </w:tcPr>
          <w:p>
            <w:pPr>
              <w:pStyle w:val="null3"/>
            </w:pPr>
            <w:r>
              <w:rPr/>
              <w:t>1-2</w:t>
            </w:r>
          </w:p>
        </w:tc>
        <w:tc>
          <w:tcPr>
            <w:tcW w:type="dxa" w:w="1368"/>
          </w:tcPr>
          <w:p>
            <w:pPr>
              <w:pStyle w:val="null3"/>
            </w:pPr>
            <w:r>
              <w:rPr/>
              <w:t>教学仪器</w:t>
            </w:r>
          </w:p>
        </w:tc>
        <w:tc>
          <w:tcPr>
            <w:tcW w:type="dxa" w:w="2052"/>
          </w:tcPr>
          <w:p>
            <w:pPr>
              <w:pStyle w:val="null3"/>
            </w:pPr>
            <w:r>
              <w:rPr/>
              <w:t>站台门设备</w:t>
            </w:r>
          </w:p>
        </w:tc>
        <w:tc>
          <w:tcPr>
            <w:tcW w:type="dxa" w:w="977"/>
          </w:tcPr>
          <w:p>
            <w:pPr>
              <w:pStyle w:val="null3"/>
            </w:pPr>
            <w:r>
              <w:rPr/>
              <w:t>1(套)</w:t>
            </w:r>
          </w:p>
        </w:tc>
        <w:tc>
          <w:tcPr>
            <w:tcW w:type="dxa" w:w="977"/>
          </w:tcPr>
          <w:p>
            <w:pPr>
              <w:pStyle w:val="null3"/>
            </w:pPr>
            <w:r>
              <w:rPr/>
              <w:t>详见第二章</w:t>
            </w:r>
          </w:p>
        </w:tc>
        <w:tc>
          <w:tcPr>
            <w:tcW w:type="dxa" w:w="977"/>
          </w:tcPr>
          <w:p>
            <w:pPr>
              <w:pStyle w:val="null3"/>
            </w:pPr>
            <w:r>
              <w:rPr/>
              <w:t>211,000.00</w:t>
            </w:r>
          </w:p>
        </w:tc>
        <w:tc>
          <w:tcPr>
            <w:tcW w:type="dxa" w:w="977"/>
          </w:tcPr>
          <w:p>
            <w:pPr>
              <w:pStyle w:val="null3"/>
            </w:pPr>
            <w:r>
              <w:rPr/>
              <w:t>否</w:t>
            </w:r>
          </w:p>
        </w:tc>
      </w:tr>
      <w:tr>
        <w:tc>
          <w:tcPr>
            <w:tcW w:type="dxa" w:w="977"/>
          </w:tcPr>
          <w:p>
            <w:pPr>
              <w:pStyle w:val="null3"/>
            </w:pPr>
            <w:r>
              <w:rPr/>
              <w:t>1-3</w:t>
            </w:r>
          </w:p>
        </w:tc>
        <w:tc>
          <w:tcPr>
            <w:tcW w:type="dxa" w:w="1368"/>
          </w:tcPr>
          <w:p>
            <w:pPr>
              <w:pStyle w:val="null3"/>
            </w:pPr>
            <w:r>
              <w:rPr/>
              <w:t>教学仪器</w:t>
            </w:r>
          </w:p>
        </w:tc>
        <w:tc>
          <w:tcPr>
            <w:tcW w:type="dxa" w:w="2052"/>
          </w:tcPr>
          <w:p>
            <w:pPr>
              <w:pStyle w:val="null3"/>
            </w:pPr>
            <w:r>
              <w:rPr/>
              <w:t>自动售检票设备</w:t>
            </w:r>
          </w:p>
        </w:tc>
        <w:tc>
          <w:tcPr>
            <w:tcW w:type="dxa" w:w="977"/>
          </w:tcPr>
          <w:p>
            <w:pPr>
              <w:pStyle w:val="null3"/>
            </w:pPr>
            <w:r>
              <w:rPr/>
              <w:t>1(套)</w:t>
            </w:r>
          </w:p>
        </w:tc>
        <w:tc>
          <w:tcPr>
            <w:tcW w:type="dxa" w:w="977"/>
          </w:tcPr>
          <w:p>
            <w:pPr>
              <w:pStyle w:val="null3"/>
            </w:pPr>
            <w:r>
              <w:rPr/>
              <w:t>详见第二章</w:t>
            </w:r>
          </w:p>
        </w:tc>
        <w:tc>
          <w:tcPr>
            <w:tcW w:type="dxa" w:w="977"/>
          </w:tcPr>
          <w:p>
            <w:pPr>
              <w:pStyle w:val="null3"/>
            </w:pPr>
            <w:r>
              <w:rPr/>
              <w:t>867,300.00</w:t>
            </w:r>
          </w:p>
        </w:tc>
        <w:tc>
          <w:tcPr>
            <w:tcW w:type="dxa" w:w="977"/>
          </w:tcPr>
          <w:p>
            <w:pPr>
              <w:pStyle w:val="null3"/>
            </w:pPr>
            <w:r>
              <w:rPr/>
              <w:t>否</w:t>
            </w:r>
          </w:p>
        </w:tc>
      </w:tr>
      <w:tr>
        <w:tc>
          <w:tcPr>
            <w:tcW w:type="dxa" w:w="977"/>
          </w:tcPr>
          <w:p>
            <w:pPr>
              <w:pStyle w:val="null3"/>
            </w:pPr>
            <w:r>
              <w:rPr/>
              <w:t>1-4</w:t>
            </w:r>
          </w:p>
        </w:tc>
        <w:tc>
          <w:tcPr>
            <w:tcW w:type="dxa" w:w="1368"/>
          </w:tcPr>
          <w:p>
            <w:pPr>
              <w:pStyle w:val="null3"/>
            </w:pPr>
            <w:r>
              <w:rPr/>
              <w:t>教学仪器</w:t>
            </w:r>
          </w:p>
        </w:tc>
        <w:tc>
          <w:tcPr>
            <w:tcW w:type="dxa" w:w="2052"/>
          </w:tcPr>
          <w:p>
            <w:pPr>
              <w:pStyle w:val="null3"/>
            </w:pPr>
            <w:r>
              <w:rPr/>
              <w:t>安检实训设备</w:t>
            </w:r>
          </w:p>
        </w:tc>
        <w:tc>
          <w:tcPr>
            <w:tcW w:type="dxa" w:w="977"/>
          </w:tcPr>
          <w:p>
            <w:pPr>
              <w:pStyle w:val="null3"/>
            </w:pPr>
            <w:r>
              <w:rPr/>
              <w:t>1(套)</w:t>
            </w:r>
          </w:p>
        </w:tc>
        <w:tc>
          <w:tcPr>
            <w:tcW w:type="dxa" w:w="977"/>
          </w:tcPr>
          <w:p>
            <w:pPr>
              <w:pStyle w:val="null3"/>
            </w:pPr>
            <w:r>
              <w:rPr/>
              <w:t>详见第二章</w:t>
            </w:r>
          </w:p>
        </w:tc>
        <w:tc>
          <w:tcPr>
            <w:tcW w:type="dxa" w:w="977"/>
          </w:tcPr>
          <w:p>
            <w:pPr>
              <w:pStyle w:val="null3"/>
            </w:pPr>
            <w:r>
              <w:rPr/>
              <w:t>47,500.00</w:t>
            </w:r>
          </w:p>
        </w:tc>
        <w:tc>
          <w:tcPr>
            <w:tcW w:type="dxa" w:w="97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合同履行期限：合同签订后30天内完成</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投标（响应）时提交有效的营业执照（或事业法人登记证或身份证等相关证明）副本复印件。分支机构投标的，须提供总公司和分公司营业执照副本复印件，总公司出具给分支机构的授权书。</w:t>
      </w:r>
    </w:p>
    <w:p>
      <w:pPr>
        <w:pStyle w:val="null3"/>
      </w:pPr>
      <w:r>
        <w:rPr/>
        <w:t>2）有依法缴纳税收和社会保障资金的良好记录：提供签署及盖章合格的投标函。</w:t>
      </w:r>
    </w:p>
    <w:p>
      <w:pPr>
        <w:pStyle w:val="null3"/>
      </w:pPr>
      <w:r>
        <w:rPr/>
        <w:t>3）具有良好的商业信誉和健全的财务会计制度：提供签署及盖章合格的投标函。</w:t>
      </w:r>
    </w:p>
    <w:p>
      <w:pPr>
        <w:pStyle w:val="null3"/>
      </w:pPr>
      <w:r>
        <w:rPr/>
        <w:t>4）履行合同所必需的设备和专业技术能力：提供签署及盖章合格的投标函。</w:t>
      </w:r>
    </w:p>
    <w:p>
      <w:pPr>
        <w:pStyle w:val="null3"/>
      </w:pPr>
      <w:r>
        <w:rPr/>
        <w:t>5）参加采购活动前3年内，在经营活动中没有重大违法记录：提供签署及盖章合格的投标函。【重大违法记录，是指投标人因违法经营受到刑事处罚或者责令停产停业、吊销许可证或者执照、较大数额罚款等行政处罚。（根据财库〔2022〕3 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采购包1（城市轨道交通服务员实训系统购置项目）：</w:t>
      </w:r>
      <w:r>
        <w:rPr/>
        <w:t>本采购包专门面向中小企业采购，所有货物的制造商均须为符合本采购包采购标的所属行业政策划分标准的中小微企业，供应商应按规定提供《中小企业声明函》。监狱企业、残疾人福利单位视同小型、微型企业。（注：中小微企业以供应商填写的《中小企业声明函》（见投标（响应）格式）为判定标准，残疾人福利性单位以供应商填写的《残疾人福利性单位声明函》（见投标（响应）格式）为判定标准，监狱企业须投标人提供由省级以上监狱管理局、戒毒管理局（含新疆生产建设兵团）出具的属于监狱企业的证明文件，否则不予认定。）</w:t>
      </w:r>
    </w:p>
    <w:p>
      <w:pPr>
        <w:pStyle w:val="null3"/>
        <w:outlineLvl w:val="3"/>
      </w:pPr>
      <w:r>
        <w:rPr>
          <w:sz w:val="24"/>
          <w:b/>
        </w:rPr>
        <w:t>3.本项目特定的资格要求：</w:t>
      </w:r>
    </w:p>
    <w:p>
      <w:pPr>
        <w:pStyle w:val="null3"/>
      </w:pPr>
      <w:r>
        <w:rPr/>
        <w:t>采购包1（城市轨道交通服务员实训系统购置项目）：</w:t>
      </w:r>
    </w:p>
    <w:p>
      <w:pPr>
        <w:pStyle w:val="null3"/>
      </w:pPr>
      <w:r>
        <w:rPr/>
        <w:t>1)投标人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截止时间当天在“信用中国”网站（www.creditchina.gov.cn）及中国政府采购网（http：//www.ccgp.gov.cn/）查询结果为准，如相关失信记录已失效，投标人需提供相关证明资料）。</w:t>
      </w:r>
    </w:p>
    <w:p>
      <w:pPr>
        <w:pStyle w:val="null3"/>
      </w:pPr>
      <w:r>
        <w:rPr/>
        <w:t>2)单位负责人为同一人或者存在直接控股、管理关系的不同投标人，不得同时参加本采购项目（或采购包）投标（响应）。为本项目提供整体设计、规范编制或者项目管理、监理、检测等服务的投标人，不得再参与本项目投标（响应）。投标函相关承诺要求内容。</w:t>
      </w:r>
    </w:p>
    <w:p>
      <w:pPr>
        <w:pStyle w:val="null3"/>
      </w:pPr>
      <w:r>
        <w:rPr/>
        <w:t>3)本采购包不接受联合体投标。</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r>
        <w:rPr/>
        <w:t>，广东志正招标有限公司（https://www.zztender.com/）</w:t>
      </w:r>
      <w:r>
        <w:rPr/>
        <w:t>。</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广州市工贸技师学院</w:t>
      </w:r>
    </w:p>
    <w:p>
      <w:pPr>
        <w:pStyle w:val="null3"/>
        <w:ind w:firstLine="480"/>
      </w:pPr>
      <w:r>
        <w:rPr/>
        <w:t xml:space="preserve"> 地址：</w:t>
      </w:r>
      <w:r>
        <w:rPr/>
        <w:t>广州市增城区朱村街科教大道86号</w:t>
      </w:r>
    </w:p>
    <w:p>
      <w:pPr>
        <w:pStyle w:val="null3"/>
        <w:ind w:firstLine="480"/>
      </w:pPr>
      <w:r>
        <w:rPr/>
        <w:t xml:space="preserve"> 联系方式：</w:t>
      </w:r>
      <w:r>
        <w:rPr/>
        <w:t>020-39720326</w:t>
      </w:r>
    </w:p>
    <w:p>
      <w:pPr>
        <w:pStyle w:val="null3"/>
        <w:outlineLvl w:val="3"/>
      </w:pPr>
      <w:r>
        <w:rPr>
          <w:sz w:val="24"/>
          <w:b/>
        </w:rPr>
        <w:t xml:space="preserve"> 2.采购代理机构信息</w:t>
      </w:r>
    </w:p>
    <w:p>
      <w:pPr>
        <w:pStyle w:val="null3"/>
        <w:ind w:firstLine="480"/>
      </w:pPr>
      <w:r>
        <w:rPr/>
        <w:t xml:space="preserve"> 名称：</w:t>
      </w:r>
      <w:r>
        <w:rPr/>
        <w:t>广东志正招标有限公司</w:t>
      </w:r>
    </w:p>
    <w:p>
      <w:pPr>
        <w:pStyle w:val="null3"/>
        <w:ind w:firstLine="480"/>
      </w:pPr>
      <w:r>
        <w:rPr/>
        <w:t xml:space="preserve"> 地址：</w:t>
      </w:r>
      <w:r>
        <w:rPr/>
        <w:t>广东省广州市天河区龙怡路117号501、503、504、505、506房</w:t>
      </w:r>
    </w:p>
    <w:p>
      <w:pPr>
        <w:pStyle w:val="null3"/>
        <w:ind w:firstLine="480"/>
      </w:pPr>
      <w:r>
        <w:rPr/>
        <w:t xml:space="preserve"> 联系方式：</w:t>
      </w:r>
      <w:r>
        <w:rPr/>
        <w:t>020-87554238</w:t>
      </w:r>
    </w:p>
    <w:p>
      <w:pPr>
        <w:pStyle w:val="null3"/>
        <w:outlineLvl w:val="3"/>
      </w:pPr>
      <w:r>
        <w:rPr>
          <w:sz w:val="24"/>
          <w:b/>
        </w:rPr>
        <w:t xml:space="preserve"> 3.项目联系方式</w:t>
      </w:r>
    </w:p>
    <w:p>
      <w:pPr>
        <w:pStyle w:val="null3"/>
        <w:ind w:firstLine="480"/>
      </w:pPr>
      <w:r>
        <w:rPr/>
        <w:t xml:space="preserve"> 项目联系人：</w:t>
      </w:r>
      <w:r>
        <w:rPr/>
        <w:t>余先生、潘先生</w:t>
      </w:r>
    </w:p>
    <w:p>
      <w:pPr>
        <w:pStyle w:val="null3"/>
        <w:ind w:firstLine="480"/>
      </w:pPr>
      <w:r>
        <w:rPr/>
        <w:t xml:space="preserve"> 电话：</w:t>
      </w:r>
      <w:r>
        <w:rPr/>
        <w:t>020-87554238</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广东志正招标有限公司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b/>
        </w:rPr>
        <w:t>1、说明</w:t>
      </w:r>
    </w:p>
    <w:p>
      <w:pPr>
        <w:pStyle w:val="null3"/>
        <w:ind w:firstLine="420"/>
        <w:jc w:val="both"/>
      </w:pPr>
      <w:r>
        <w:rPr>
          <w:sz w:val="21"/>
        </w:rPr>
        <w:t>1）投标人须对本项目为单位（有划分包组的，则以包组为单位）的标的物进行整体投标，任何只对其中一部分内容进行的投标都被视为无效投标。</w:t>
      </w:r>
    </w:p>
    <w:p>
      <w:pPr>
        <w:pStyle w:val="null3"/>
        <w:ind w:firstLine="420"/>
        <w:jc w:val="both"/>
      </w:pPr>
      <w:r>
        <w:rPr>
          <w:sz w:val="21"/>
        </w:rPr>
        <w:t>2）本招标文件中，凡标有“★”的地方，投标人要特别加以注意，必须对此作出一一响应。若有一项带“★”的指标未响应或不满足，将导致其废标或投标无效。</w:t>
      </w:r>
    </w:p>
    <w:p>
      <w:pPr>
        <w:pStyle w:val="null3"/>
        <w:ind w:firstLine="420"/>
        <w:jc w:val="both"/>
      </w:pPr>
      <w:r>
        <w:rPr>
          <w:sz w:val="21"/>
        </w:rPr>
        <w:t>3）本招标文件中，凡标有“▲”号条款为重要参数（如有），若有部分“▲”条款未响应或不满足，将根据评审要求影响其得分，但不作为无效投标条款。</w:t>
      </w:r>
    </w:p>
    <w:p>
      <w:pPr>
        <w:pStyle w:val="null3"/>
        <w:ind w:firstLine="420"/>
        <w:jc w:val="both"/>
      </w:pPr>
      <w:r>
        <w:rPr>
          <w:sz w:val="21"/>
        </w:rPr>
        <w:t>4）无论招标文件中是否有具体要求，投标人所投的货物及伴随的服务和工程均应符合国家的强制性标准。同时，所投产品的生产制造商应遵守国家关于生产许可的强制规定。</w:t>
      </w:r>
    </w:p>
    <w:p>
      <w:pPr>
        <w:pStyle w:val="null3"/>
        <w:ind w:firstLine="420"/>
        <w:jc w:val="both"/>
      </w:pPr>
      <w:r>
        <w:rPr>
          <w:sz w:val="21"/>
        </w:rPr>
        <w:t>5）本项目采购包1（广州市工贸技师学院城市轨道交通服务员实训系统购置项目）</w:t>
      </w:r>
      <w:r>
        <w:rPr>
          <w:sz w:val="21"/>
          <w:b/>
        </w:rPr>
        <w:t>各采购标的对应的中小企业划分标准所属行业详见本章</w:t>
      </w:r>
      <w:r>
        <w:rPr>
          <w:sz w:val="21"/>
          <w:b/>
        </w:rPr>
        <w:t>“技术标准与要求”。</w:t>
      </w:r>
    </w:p>
    <w:p>
      <w:pPr>
        <w:pStyle w:val="null3"/>
        <w:ind w:firstLine="420"/>
        <w:jc w:val="both"/>
      </w:pPr>
      <w:r>
        <w:rPr>
          <w:sz w:val="21"/>
        </w:rPr>
        <w:t>6）本项目采购包1（广州市工贸技师学院城市轨道交通服务员实训系统购置项目）的</w:t>
      </w:r>
      <w:r>
        <w:rPr>
          <w:sz w:val="21"/>
          <w:b/>
        </w:rPr>
        <w:t>核心产品为：自动售检票设备。</w:t>
      </w:r>
    </w:p>
    <w:p>
      <w:pPr>
        <w:pStyle w:val="null3"/>
        <w:ind w:firstLine="420"/>
        <w:jc w:val="both"/>
      </w:pPr>
      <w:r>
        <w:rPr>
          <w:sz w:val="21"/>
        </w:rPr>
        <w:t>投标人需在投标文件中列明所投产品的品牌。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ind w:firstLine="420"/>
        <w:jc w:val="both"/>
      </w:pPr>
      <w:r>
        <w:rPr>
          <w:sz w:val="21"/>
        </w:rPr>
        <w:t>7）落实政府采购政策需满足的资格要求：采购包1（广州市工贸技师学院城市轨道交通服务员实训系统购置项目）：详见“第一章/投标人的资格要求”。</w:t>
      </w:r>
    </w:p>
    <w:p>
      <w:pPr>
        <w:pStyle w:val="null3"/>
        <w:ind w:firstLine="420"/>
        <w:jc w:val="both"/>
      </w:pPr>
      <w:r>
        <w:rPr>
          <w:sz w:val="21"/>
        </w:rPr>
        <w:t>8）★本次采购产品为非进口产品（进口产品指通过中国海关报关验放进入中国境内且产自关境外的产品）。</w:t>
      </w:r>
    </w:p>
    <w:p>
      <w:pPr>
        <w:pStyle w:val="null3"/>
        <w:ind w:firstLine="420"/>
        <w:jc w:val="both"/>
      </w:pPr>
      <w:r>
        <w:rPr>
          <w:sz w:val="21"/>
          <w:color w:val="000000"/>
        </w:rPr>
        <w:t>9）★凡属于《中华人民共和国实施强制性产品认证的产品目录》的产品，请投标人在投标文件中承诺在交货时提供该产品的“中国强制性产品认证”（CCC认证）证书。</w:t>
      </w:r>
    </w:p>
    <w:p>
      <w:pPr>
        <w:pStyle w:val="null3"/>
        <w:ind w:firstLine="420"/>
        <w:jc w:val="both"/>
      </w:pPr>
      <w:r>
        <w:rPr>
          <w:sz w:val="21"/>
        </w:rPr>
        <w:t>10）演示要求：本项目需求内容有演示要求，建议提供演示的投标人在提交投标文件截止时间到达采购代理机构等候现场演示。演示开始时间由评标委员会确定，如投标人未在评标委员会进行演示评审期间到达演示地点等候进行演示，评标委员会有权视其放弃演示。等候地点：广州市天河区龙怡路117号银汇大厦五楼。</w:t>
      </w:r>
    </w:p>
    <w:p>
      <w:pPr>
        <w:pStyle w:val="null3"/>
        <w:ind w:firstLine="420"/>
        <w:jc w:val="both"/>
      </w:pPr>
      <w:r>
        <w:rPr>
          <w:sz w:val="21"/>
        </w:rPr>
        <w:t>（</w:t>
      </w:r>
      <w:r>
        <w:rPr>
          <w:sz w:val="21"/>
        </w:rPr>
        <w:t>1）本项目由通过资格、符合性审查的有效投标人于评标过程中进行现场演示，请投标人自行准备相关文件、资料、设备，演示顺序由评标委员会按照智慧云平台系统内先后顺序。</w:t>
      </w:r>
    </w:p>
    <w:p>
      <w:pPr>
        <w:pStyle w:val="null3"/>
        <w:ind w:firstLine="420"/>
        <w:jc w:val="both"/>
      </w:pPr>
      <w:r>
        <w:rPr>
          <w:sz w:val="21"/>
        </w:rPr>
        <w:t>（</w:t>
      </w:r>
      <w:r>
        <w:rPr>
          <w:sz w:val="21"/>
        </w:rPr>
        <w:t>2）授权委托代理人须凭身份证原件参加现场演示，参加人数不超过3人（含授权委托代理人在内）。</w:t>
      </w:r>
    </w:p>
    <w:p>
      <w:pPr>
        <w:pStyle w:val="null3"/>
        <w:ind w:firstLine="420"/>
        <w:jc w:val="both"/>
      </w:pPr>
      <w:r>
        <w:rPr>
          <w:sz w:val="21"/>
        </w:rPr>
        <w:t>（</w:t>
      </w:r>
      <w:r>
        <w:rPr>
          <w:sz w:val="21"/>
        </w:rPr>
        <w:t>3）如演示过程中需要用到其他专业设备，请投标人自带，评标现场采购代理机构仅提供电源和投影设备（HDMI接口）。</w:t>
      </w:r>
    </w:p>
    <w:p>
      <w:pPr>
        <w:pStyle w:val="null3"/>
        <w:ind w:firstLine="420"/>
        <w:jc w:val="both"/>
      </w:pPr>
      <w:r>
        <w:rPr>
          <w:sz w:val="21"/>
        </w:rPr>
        <w:t>（</w:t>
      </w:r>
      <w:r>
        <w:rPr>
          <w:sz w:val="21"/>
        </w:rPr>
        <w:t>4）演示时间不超过15分钟（不含投标人连接设备以及专家提问的时间，采购代理机构确认后开始计时）。</w:t>
      </w:r>
    </w:p>
    <w:p>
      <w:pPr>
        <w:pStyle w:val="null3"/>
        <w:ind w:firstLine="420"/>
        <w:jc w:val="both"/>
      </w:pPr>
      <w:r>
        <w:rPr>
          <w:sz w:val="21"/>
        </w:rPr>
        <w:t>（</w:t>
      </w:r>
      <w:r>
        <w:rPr>
          <w:sz w:val="21"/>
        </w:rPr>
        <w:t>5）演示的内容为：详见采购需求及评审办法载明的演示内容。</w:t>
      </w:r>
    </w:p>
    <w:p>
      <w:pPr>
        <w:pStyle w:val="null3"/>
        <w:jc w:val="both"/>
      </w:pPr>
      <w:r>
        <w:rPr>
          <w:sz w:val="21"/>
          <w:b/>
        </w:rPr>
        <w:t>2、采购清单</w:t>
      </w:r>
    </w:p>
    <w:tbl>
      <w:tblPr>
        <w:tblW w:w="0" w:type="auto"/>
        <w:tblInd w:type="dxa" w:w="105"/>
        <w:tblBorders>
          <w:top w:val="none" w:color="000000" w:sz="4"/>
          <w:left w:val="none" w:color="000000" w:sz="4"/>
          <w:bottom w:val="none" w:color="000000" w:sz="4"/>
          <w:right w:val="none" w:color="000000" w:sz="4"/>
          <w:insideH w:val="none"/>
          <w:insideV w:val="none"/>
        </w:tblBorders>
      </w:tblPr>
      <w:tblGrid>
        <w:gridCol w:w="1145"/>
        <w:gridCol w:w="5266"/>
        <w:gridCol w:w="1005"/>
        <w:gridCol w:w="887"/>
      </w:tblGrid>
      <w:tr>
        <w:tc>
          <w:tcPr>
            <w:tcW w:type="dxa" w:w="114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序号</w:t>
            </w:r>
          </w:p>
        </w:tc>
        <w:tc>
          <w:tcPr>
            <w:tcW w:type="dxa" w:w="5266"/>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标的名称</w:t>
            </w:r>
          </w:p>
        </w:tc>
        <w:tc>
          <w:tcPr>
            <w:tcW w:type="dxa" w:w="1005"/>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单位</w:t>
            </w:r>
          </w:p>
        </w:tc>
        <w:tc>
          <w:tcPr>
            <w:tcW w:type="dxa" w:w="887"/>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数量</w:t>
            </w:r>
          </w:p>
        </w:tc>
      </w:tr>
      <w:tr>
        <w:tc>
          <w:tcPr>
            <w:tcW w:type="dxa" w:w="11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w:t>
            </w:r>
          </w:p>
        </w:tc>
        <w:tc>
          <w:tcPr>
            <w:tcW w:type="dxa" w:w="526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color w:val="000000"/>
              </w:rPr>
              <w:t>车站控制室设备</w:t>
            </w:r>
          </w:p>
        </w:tc>
        <w:tc>
          <w:tcPr>
            <w:tcW w:type="dxa" w:w="100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套</w:t>
            </w:r>
          </w:p>
        </w:tc>
        <w:tc>
          <w:tcPr>
            <w:tcW w:type="dxa" w:w="88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w:t>
            </w:r>
          </w:p>
        </w:tc>
      </w:tr>
      <w:tr>
        <w:tc>
          <w:tcPr>
            <w:tcW w:type="dxa" w:w="11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2</w:t>
            </w:r>
          </w:p>
        </w:tc>
        <w:tc>
          <w:tcPr>
            <w:tcW w:type="dxa" w:w="526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color w:val="000000"/>
              </w:rPr>
              <w:t>站台门设备</w:t>
            </w:r>
          </w:p>
        </w:tc>
        <w:tc>
          <w:tcPr>
            <w:tcW w:type="dxa" w:w="100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套</w:t>
            </w:r>
          </w:p>
        </w:tc>
        <w:tc>
          <w:tcPr>
            <w:tcW w:type="dxa" w:w="88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w:t>
            </w:r>
          </w:p>
        </w:tc>
      </w:tr>
      <w:tr>
        <w:tc>
          <w:tcPr>
            <w:tcW w:type="dxa" w:w="11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3</w:t>
            </w:r>
          </w:p>
        </w:tc>
        <w:tc>
          <w:tcPr>
            <w:tcW w:type="dxa" w:w="526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color w:val="000000"/>
              </w:rPr>
              <w:t>自动售检票设备</w:t>
            </w:r>
          </w:p>
        </w:tc>
        <w:tc>
          <w:tcPr>
            <w:tcW w:type="dxa" w:w="100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套</w:t>
            </w:r>
          </w:p>
        </w:tc>
        <w:tc>
          <w:tcPr>
            <w:tcW w:type="dxa" w:w="88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w:t>
            </w:r>
          </w:p>
        </w:tc>
      </w:tr>
      <w:tr>
        <w:tc>
          <w:tcPr>
            <w:tcW w:type="dxa" w:w="11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4</w:t>
            </w:r>
          </w:p>
        </w:tc>
        <w:tc>
          <w:tcPr>
            <w:tcW w:type="dxa" w:w="526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color w:val="000000"/>
              </w:rPr>
              <w:t>安检实训设备</w:t>
            </w:r>
          </w:p>
        </w:tc>
        <w:tc>
          <w:tcPr>
            <w:tcW w:type="dxa" w:w="100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套</w:t>
            </w:r>
          </w:p>
        </w:tc>
        <w:tc>
          <w:tcPr>
            <w:tcW w:type="dxa" w:w="88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w:t>
            </w:r>
          </w:p>
        </w:tc>
      </w:tr>
    </w:tbl>
    <w:p>
      <w:pPr>
        <w:pStyle w:val="null3"/>
        <w:jc w:val="both"/>
      </w:pPr>
      <w:r>
        <w:rPr>
          <w:sz w:val="21"/>
          <w:b/>
        </w:rPr>
        <w:t>3、具体技术（参数）要求</w:t>
      </w:r>
    </w:p>
    <w:tbl>
      <w:tblPr>
        <w:tblW w:w="0" w:type="auto"/>
        <w:tblBorders>
          <w:top w:val="none" w:color="000000" w:sz="4"/>
          <w:left w:val="none" w:color="000000" w:sz="4"/>
          <w:bottom w:val="none" w:color="000000" w:sz="4"/>
          <w:right w:val="none" w:color="000000" w:sz="4"/>
          <w:insideH w:val="none"/>
          <w:insideV w:val="none"/>
        </w:tblBorders>
      </w:tblPr>
      <w:tblGrid>
        <w:gridCol w:w="663"/>
        <w:gridCol w:w="1388"/>
        <w:gridCol w:w="6252"/>
      </w:tblGrid>
      <w:tr>
        <w:tc>
          <w:tcPr>
            <w:tcW w:type="dxa" w:w="66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序号</w:t>
            </w:r>
          </w:p>
        </w:tc>
        <w:tc>
          <w:tcPr>
            <w:tcW w:type="dxa" w:w="138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标的名称</w:t>
            </w:r>
          </w:p>
        </w:tc>
        <w:tc>
          <w:tcPr>
            <w:tcW w:type="dxa" w:w="625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具体技术（参数）要求</w:t>
            </w:r>
          </w:p>
        </w:tc>
      </w:tr>
      <w:tr>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13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车站控制室设备</w:t>
            </w:r>
          </w:p>
        </w:tc>
        <w:tc>
          <w:tcPr>
            <w:tcW w:type="dxa" w:w="62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1、按照地铁车控室的IBP综合后备控制盘（</w:t>
            </w:r>
            <w:r>
              <w:rPr>
                <w:sz w:val="21"/>
                <w:b/>
                <w:color w:val="000000"/>
              </w:rPr>
              <w:t>▲投标人须在投标文件中提供IBP一体化操作台设备的三维效果图和带有详细尺寸的设计图</w:t>
            </w:r>
            <w:r>
              <w:rPr>
                <w:sz w:val="21"/>
                <w:color w:val="000000"/>
              </w:rPr>
              <w:t>）进行仿真制作，</w:t>
            </w:r>
            <w:r>
              <w:rPr>
                <w:sz w:val="21"/>
                <w:color w:val="000000"/>
              </w:rPr>
              <w:t>IBP发出的控制信号输入IBP盘控制单元，由控制单元发出联动控制指令和某些设备的远程控制指令，可联动其他各实训系统真实设备。设备由四部分组成：IBP屏柜、综合操作台、马赛克盘面、临窗工作台以及电气控制显示元件。IBP盘与摆放显示器的连接箱体一体化设计，柜体采用全钢结构制作；IBP盘面由</w:t>
            </w:r>
            <w:r>
              <w:rPr>
                <w:sz w:val="21"/>
                <w:color w:val="000000"/>
              </w:rPr>
              <w:t>≥</w:t>
            </w:r>
            <w:r>
              <w:rPr>
                <w:sz w:val="21"/>
                <w:color w:val="000000"/>
              </w:rPr>
              <w:t>25X25mm的马赛克模块镶嵌单元组成，其表面平滑、无缝、无反射。操作台台面采用</w:t>
            </w:r>
            <w:r>
              <w:rPr>
                <w:sz w:val="21"/>
                <w:color w:val="000000"/>
              </w:rPr>
              <w:t>≥</w:t>
            </w:r>
            <w:r>
              <w:rPr>
                <w:sz w:val="21"/>
                <w:color w:val="000000"/>
              </w:rPr>
              <w:t>20mm厚金属制作，台面连接处缝隙小于2mm，并均匀一致，台面前沿为自然圆弧，后沿为相匹配的5度直角圆弧，台面具有坚固、耐冲击、防水、耐潮湿等特性；盘面喷绘工艺采用UV平板喷绘，使用UV油墨，面板四周采用铝合金边框作为盘面与屏体的连接件。柜体主体采用SPCC优质冷轧钢板作，安装板厚度</w:t>
            </w:r>
            <w:r>
              <w:rPr>
                <w:sz w:val="21"/>
                <w:color w:val="000000"/>
              </w:rPr>
              <w:t>≥</w:t>
            </w:r>
            <w:r>
              <w:rPr>
                <w:sz w:val="21"/>
                <w:color w:val="000000"/>
              </w:rPr>
              <w:t>2mm，其他1.0-1.5mm。操作台满足ISCS工作站和ATS工作站、以及通信设备的放置。参照《职业健康安全管理体系规范》、《铁路工程劳动安全卫生设计规范》（TB 10061-2019）和我国现行有关安全保护法律、法规及其它相关要求标准设计。须满足以下功能：（1）SIG的紧急停车、扣车和放行；（2）环控通风排烟系统以及阻塞模式下的控制；（3）PSD紧急开门控制；（4）AFC闸机释放控制；（5）扶梯停止控制；（6）门禁释放控制；（7）自动扶梯及电梯的手动控制；（8）同时还设置重要系统的报警音响指示以及指示灯测试等。</w:t>
            </w:r>
          </w:p>
          <w:p>
            <w:pPr>
              <w:pStyle w:val="null3"/>
              <w:jc w:val="left"/>
            </w:pPr>
            <w:r>
              <w:rPr>
                <w:sz w:val="21"/>
                <w:color w:val="000000"/>
              </w:rPr>
              <w:t>2、通过车站级ISCS综合监控工作站可完成对本站车站设备的监视和不同模式下的控制，以及实时监控车站场景，为行车值班员岗位提供了全面、稳定的实训环境。</w:t>
            </w:r>
          </w:p>
          <w:p>
            <w:pPr>
              <w:pStyle w:val="null3"/>
              <w:jc w:val="left"/>
            </w:pPr>
            <w:r>
              <w:rPr>
                <w:sz w:val="21"/>
                <w:color w:val="000000"/>
              </w:rPr>
              <w:t>3、通过车站级ATS列车监控工作站监视本联锁区轨道线路图，以及本联锁区内虚拟列车的实时运行情况，掌握联锁相关命令的操作。</w:t>
            </w:r>
          </w:p>
          <w:p>
            <w:pPr>
              <w:pStyle w:val="null3"/>
              <w:jc w:val="left"/>
            </w:pPr>
            <w:r>
              <w:rPr>
                <w:sz w:val="21"/>
                <w:color w:val="000000"/>
              </w:rPr>
              <w:t>4、支持信号机封锁功能；支持信号机的自动进路排列功能；提供包括排列进路、取消列车进路、人解列车进路、设置/取消自动通过进路、信号重开、限速特殊开放、封锁、解封、引导、进路交人工控、进路交自动控。</w:t>
            </w:r>
          </w:p>
        </w:tc>
      </w:tr>
      <w:tr>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13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站台门设备</w:t>
            </w:r>
          </w:p>
        </w:tc>
        <w:tc>
          <w:tcPr>
            <w:tcW w:type="dxa" w:w="62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滑动门部件包括框架、下导轨、玻璃、前档密封胶条、手动解锁装置和防踏斜面板等零部件。固定门设置在站台侧位于滑动门之间，其主要作用是实现门扇与框架的连接以形成幕墙功能，在站台公共区域与轨道区域之间起隔离作用。作为整个站台门的支撑骨架，可承受站台门的垂直荷载（自重荷载）、水平负载（人群负载、风压负载、冲击载荷）和地震荷载等外界负荷。门机传动系统由驱动装置（电机、减速机等）、传动装置、锁紧装置及解锁装置、限位开关等部件组成，该门机系统运行平顺、易于调换，无窜动等现象，能够保证两扇滑动门同步、稳定，该门机设计易于维护，电机、传动装置、DCU等部件可在站台侧进行维修。</w:t>
            </w:r>
          </w:p>
          <w:p>
            <w:pPr>
              <w:pStyle w:val="null3"/>
              <w:jc w:val="left"/>
            </w:pPr>
            <w:r>
              <w:rPr>
                <w:sz w:val="21"/>
                <w:color w:val="000000"/>
              </w:rPr>
              <w:t>2、门机系统各部件及其作用如下：</w:t>
            </w:r>
          </w:p>
          <w:p>
            <w:pPr>
              <w:pStyle w:val="null3"/>
              <w:jc w:val="left"/>
            </w:pPr>
            <w:r>
              <w:rPr>
                <w:sz w:val="21"/>
                <w:color w:val="000000"/>
              </w:rPr>
              <w:t>DCU：门控单元，由控制单元发送动作命令给DCU执行。</w:t>
            </w:r>
          </w:p>
          <w:p>
            <w:pPr>
              <w:pStyle w:val="null3"/>
              <w:jc w:val="left"/>
            </w:pPr>
            <w:r>
              <w:rPr>
                <w:sz w:val="21"/>
                <w:color w:val="000000"/>
              </w:rPr>
              <w:t>电机：带动皮带作往返运动的动力系统。</w:t>
            </w:r>
          </w:p>
          <w:p>
            <w:pPr>
              <w:pStyle w:val="null3"/>
              <w:jc w:val="left"/>
            </w:pPr>
            <w:r>
              <w:rPr>
                <w:sz w:val="21"/>
                <w:color w:val="000000"/>
              </w:rPr>
              <w:t>电磁锁：控制和检测滑动门的开关状态，在没有接收到开门命令时，电磁锁将不会动作，从而不会打开滑动门。由不锈钢门框和钢化玻璃组合而成，端门安装在站台门两端，使之能分隔站台区域和工作区域。端门的站台侧钥匙手动解锁装置，而在另一侧设有手动解锁推杆，方便工作人员进出。</w:t>
            </w:r>
          </w:p>
        </w:tc>
      </w:tr>
      <w:tr>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13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自动售检票设备</w:t>
            </w:r>
          </w:p>
        </w:tc>
        <w:tc>
          <w:tcPr>
            <w:tcW w:type="dxa" w:w="62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1、地铁真实自动售检票设备，非模拟仿真设备，符合国内城轨线路对于自动售检票机的外型技术要求。</w:t>
            </w:r>
          </w:p>
          <w:p>
            <w:pPr>
              <w:pStyle w:val="null3"/>
              <w:jc w:val="left"/>
            </w:pPr>
            <w:r>
              <w:rPr>
                <w:sz w:val="21"/>
                <w:color w:val="000000"/>
              </w:rPr>
              <w:t>2、自动售票机技术参数：材质外壳使用≧2.0mm厚不锈钢材料表面拉丝不允许有毛刺；输入电源：220V+10%-15%，50Hz±4%；功率：≤800W；工作环境：-10℃～65℃,25～95%RH，单张单程票发售速度：≤1秒/张；硬币检测准确率：≥99.9%；纸币检测准确率：≥99.9%；单程票票箱存储容量：≥2×750张；废票箱容量：≥50张；硬币循环找零器容量：≥1×300枚；硬币备用钱箱容量：≥1×700枚；硬币回收箱容量：≥2000枚；纸币回收箱容量：≥600张；</w:t>
            </w:r>
          </w:p>
          <w:p>
            <w:pPr>
              <w:pStyle w:val="null3"/>
              <w:jc w:val="left"/>
            </w:pPr>
            <w:r>
              <w:rPr>
                <w:sz w:val="21"/>
                <w:b/>
                <w:color w:val="000000"/>
              </w:rPr>
              <w:t>▲为保证系统的易用性，自动售票机系统应能支持教员系统自动下发故障，满足智能评判要求，投标文件中应提供详细的截图进行说明。</w:t>
            </w:r>
          </w:p>
          <w:p>
            <w:pPr>
              <w:pStyle w:val="null3"/>
              <w:jc w:val="left"/>
            </w:pPr>
            <w:r>
              <w:rPr>
                <w:sz w:val="21"/>
                <w:color w:val="000000"/>
              </w:rPr>
              <w:t>3、半自动售票机BOM设备参数：输入电源：220V+10%～-15%，50Hz±4％；发卡速度：约60张/分钟（不含车票读写时间）；发票箱容量：≥750张；废票箱容量：≥50张；可靠性：MCBF≥10万次，MTTR≤30min。</w:t>
            </w:r>
          </w:p>
          <w:p>
            <w:pPr>
              <w:pStyle w:val="null3"/>
              <w:jc w:val="left"/>
            </w:pPr>
            <w:r>
              <w:rPr>
                <w:sz w:val="21"/>
                <w:b/>
                <w:color w:val="000000"/>
              </w:rPr>
              <w:t>▲为保证系统的易用性，半自动售票机系统应能支持教员系统自动下发故障，故障内容应包含非正常票务作业场景及问询等内容，满足智能评判要求，投标人在投标文件中应提供相关的系统截图进行说明。</w:t>
            </w:r>
          </w:p>
          <w:p>
            <w:pPr>
              <w:pStyle w:val="null3"/>
              <w:jc w:val="left"/>
            </w:pPr>
            <w:r>
              <w:rPr>
                <w:sz w:val="21"/>
                <w:color w:val="000000"/>
              </w:rPr>
              <w:t>4、自动检票机将车站的站厅分成付费区和非付费区。乘客在进入和离开付费区时，自动检票机对车票的有效性进行检查，给持有效车票的乘客放行，阻挡并指示持无效车票的乘客到售票亭处理。自动检票机采用地铁真实设备，结构功能与地铁公司使用产品保持一致，可与车站综合监控ISCS系统进行通讯，同时在紧急情况下，可以通过综合后备IBP盘设备，对闸机进行全开或全关处理，紧急状态解除，再恢复常态。自动检票机包含一进一出两通道，主要由主控单元、传感器（对射）、电源模块、车票回收模块、维修面板、乘客显示器（VGA）、扇门结构等组成。</w:t>
            </w:r>
          </w:p>
          <w:p>
            <w:pPr>
              <w:pStyle w:val="null3"/>
              <w:jc w:val="left"/>
            </w:pPr>
            <w:r>
              <w:rPr>
                <w:sz w:val="21"/>
                <w:color w:val="000000"/>
              </w:rPr>
              <w:t>5、票亭设在非付费区与付费区交界处。包含2个工位；1米高以下采用304不锈钢制作，上半部采用≥8毫米厚钢化玻璃围起来，坚固耐用；外形尺寸：长2.4米，宽2米，高2.2米（长宽高±5CM）；主材：不锈钢方管（≥1.2毫米厚）；下侧面：材料为外立面304不锈钢面板。工艺要求：不锈钢焊接处无明显焊点，表面无毛刺、锐角、刮手等。</w:t>
            </w:r>
          </w:p>
          <w:p>
            <w:pPr>
              <w:pStyle w:val="null3"/>
              <w:jc w:val="left"/>
            </w:pPr>
            <w:r>
              <w:rPr>
                <w:sz w:val="21"/>
                <w:color w:val="000000"/>
              </w:rPr>
              <w:t>6、乘客导向标识设计原则：采用简单明了的名称和编号系统；采用标准图像、文字和颜色；每个标识种类均采用统一的图形和布置，结合地下空间的环境特点、乘客的心理及视觉要求进行科学的设计，满足引导乘客的主要功能需求。材质：不锈钢管；高≥0.9米；外管直径≥38mm，内管直径≥20mm；长度根据项目需要定制5米以内；护栏间制作≥0.8米员工通道；通道高度与护栏高度一致，符合教学实训需要；工艺：不锈钢焊接处无明显焊点，表面无毛刺、锐角、刮手等。</w:t>
            </w:r>
          </w:p>
        </w:tc>
      </w:tr>
      <w:tr>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13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安检实训设备</w:t>
            </w:r>
          </w:p>
        </w:tc>
        <w:tc>
          <w:tcPr>
            <w:tcW w:type="dxa" w:w="62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1、安检机基本参数：通道尺寸：500（宽）×300（高）mm（误差±10mm）；传送带速度：0.2±0.02m/s（可调节）；传送带额定负荷：160 kg；单次检查剂量：＜1µGy；穿透力：10mm钢板；泄漏剂量:＜0.1µGy/h；射线束方向：底照式；管电流 ：0.3~1.2mA（可调）；射线束发散角 ：60°；冷却／工作周期:密封式油冷／100％。</w:t>
            </w:r>
          </w:p>
          <w:p>
            <w:pPr>
              <w:pStyle w:val="null3"/>
              <w:jc w:val="left"/>
            </w:pPr>
            <w:r>
              <w:rPr>
                <w:sz w:val="21"/>
                <w:color w:val="000000"/>
              </w:rPr>
              <w:t>2.安检门基本参数指标：电源：AC100V-240V，50HZ-60HZ；功率：＜35W；外形尺寸：2200mm（高）800mm（宽）500mm（深）（高宽深±10mm）；通道尺寸：2010mm（高）700mm（宽）500mm（深）（高宽深±10mm）；外观颜色：黑色、银灰；整机重量：约70kg；工作环境：-20℃～45℃；符合标准：GB 15210-2018《通过式金属探测门通用技术规范》国家标准。</w:t>
            </w:r>
          </w:p>
          <w:p>
            <w:pPr>
              <w:pStyle w:val="null3"/>
              <w:jc w:val="left"/>
            </w:pPr>
            <w:r>
              <w:rPr>
                <w:sz w:val="21"/>
                <w:color w:val="000000"/>
              </w:rPr>
              <w:t>3.手持金属探测器技术参数：外形尺寸：长410mm×宽85mm×厚度45mm（长宽高±5mm）；电源: 标准6F22 9V电池或可充电电池（选配）；频率: 约25Hz；电压: 9V（6F22）；净重: 约400G（不含电池）；使用温度: -15℃～55℃。</w:t>
            </w:r>
          </w:p>
        </w:tc>
      </w:tr>
    </w:tbl>
    <w:p>
      <w:pPr>
        <w:pStyle w:val="null3"/>
        <w:jc w:val="both"/>
      </w:pPr>
      <w:r>
        <w:rPr>
          <w:sz w:val="21"/>
          <w:b/>
        </w:rPr>
        <w:t>4、视频演示要求</w:t>
      </w:r>
    </w:p>
    <w:p>
      <w:pPr>
        <w:pStyle w:val="null3"/>
        <w:ind w:firstLine="420"/>
        <w:jc w:val="both"/>
      </w:pPr>
      <w:r>
        <w:rPr>
          <w:sz w:val="21"/>
          <w:color w:val="000000"/>
        </w:rPr>
        <w:t>1、车站控制室设备功能视频演示</w:t>
      </w:r>
    </w:p>
    <w:p>
      <w:pPr>
        <w:pStyle w:val="null3"/>
        <w:ind w:firstLine="420"/>
        <w:jc w:val="both"/>
      </w:pPr>
      <w:r>
        <w:rPr>
          <w:sz w:val="21"/>
          <w:color w:val="000000"/>
        </w:rPr>
        <w:t>投标人需提供车站控制室设备功能的实物操作演示视频，详细演示内容如下：</w:t>
      </w:r>
    </w:p>
    <w:p>
      <w:pPr>
        <w:pStyle w:val="null3"/>
        <w:ind w:firstLine="420"/>
        <w:jc w:val="both"/>
      </w:pPr>
      <w:r>
        <w:rPr>
          <w:sz w:val="21"/>
          <w:color w:val="000000"/>
        </w:rPr>
        <w:t>（</w:t>
      </w:r>
      <w:r>
        <w:rPr>
          <w:sz w:val="21"/>
          <w:color w:val="000000"/>
        </w:rPr>
        <w:t>1）投标人需演示行车值班员确认车控室设备状态及站务员确认站台门工作状态的完整处置流程，可播放提前录制的视频，视频中需呈现清晰的行车值班员的手指口呼及完整处置过程，处置流程中应包含行车值班员确认车站ATS信号设备状态和IBP盘相关设备状态。</w:t>
      </w:r>
    </w:p>
    <w:p>
      <w:pPr>
        <w:pStyle w:val="null3"/>
        <w:ind w:firstLine="420"/>
        <w:jc w:val="both"/>
      </w:pPr>
      <w:r>
        <w:rPr>
          <w:sz w:val="21"/>
          <w:color w:val="000000"/>
        </w:rPr>
        <w:t>（</w:t>
      </w:r>
      <w:r>
        <w:rPr>
          <w:sz w:val="21"/>
          <w:color w:val="000000"/>
        </w:rPr>
        <w:t>2）投标人需演示接收控制权和组织列车按计划运行故障的完整处置流程，可播放提前录制的视频，视频中需呈现清晰的行车值班员的完整处置过程，处置过程需清晰体现行车值班员通过电话进行联控，行车值班员接受到调度任务后需对车站级ATS进行设备状态确认，随后视频中应清晰的展示出行车值班员接受控制权的相关操作，操作完成后行车值班员应向调度进行汇报，汇报后应清晰展示行车值班员组织管辖车站范围内图定列车按计划运行的详细操作，整个处置过程中操作视频应清晰的展示行车值班员手指口呼相关操作。</w:t>
      </w:r>
    </w:p>
    <w:p>
      <w:pPr>
        <w:pStyle w:val="null3"/>
        <w:ind w:firstLine="420"/>
        <w:jc w:val="both"/>
      </w:pPr>
      <w:r>
        <w:rPr>
          <w:sz w:val="21"/>
          <w:color w:val="000000"/>
        </w:rPr>
        <w:t>2、售检票系统虚拟拆装功能视频演示</w:t>
      </w:r>
    </w:p>
    <w:p>
      <w:pPr>
        <w:pStyle w:val="null3"/>
        <w:ind w:firstLine="420"/>
        <w:jc w:val="both"/>
      </w:pPr>
      <w:r>
        <w:rPr>
          <w:sz w:val="21"/>
          <w:color w:val="000000"/>
        </w:rPr>
        <w:t>投标人需提供售检票系统虚拟拆装功能的实物操作演示视频，详细演示内容如下：</w:t>
      </w:r>
    </w:p>
    <w:p>
      <w:pPr>
        <w:pStyle w:val="null3"/>
        <w:ind w:firstLine="420"/>
        <w:jc w:val="both"/>
      </w:pPr>
      <w:r>
        <w:rPr>
          <w:sz w:val="21"/>
          <w:color w:val="000000"/>
        </w:rPr>
        <w:t>（</w:t>
      </w:r>
      <w:r>
        <w:rPr>
          <w:sz w:val="21"/>
          <w:color w:val="000000"/>
        </w:rPr>
        <w:t>1）要求系统构建全三维自动售票机的高精度模型，不同方位进行展示。</w:t>
      </w:r>
    </w:p>
    <w:p>
      <w:pPr>
        <w:pStyle w:val="null3"/>
        <w:ind w:firstLine="420"/>
        <w:jc w:val="both"/>
      </w:pPr>
      <w:r>
        <w:rPr>
          <w:sz w:val="21"/>
          <w:color w:val="000000"/>
        </w:rPr>
        <w:t>（</w:t>
      </w:r>
      <w:r>
        <w:rPr>
          <w:sz w:val="21"/>
          <w:color w:val="000000"/>
        </w:rPr>
        <w:t>2）系统应包含拆装工序编辑与管理、虚拟拆装自动展示及虚拟拆装交互演练三大模块。</w:t>
      </w:r>
    </w:p>
    <w:p>
      <w:pPr>
        <w:pStyle w:val="null3"/>
        <w:ind w:firstLine="420"/>
        <w:jc w:val="both"/>
      </w:pPr>
      <w:r>
        <w:rPr>
          <w:sz w:val="21"/>
          <w:color w:val="000000"/>
        </w:rPr>
        <w:t>（</w:t>
      </w:r>
      <w:r>
        <w:rPr>
          <w:sz w:val="21"/>
          <w:color w:val="000000"/>
        </w:rPr>
        <w:t>3）系统展示通过拆装操作台，选择工序和应使用的工具进行拆分或组装，系统提示拆装的零部件名称；</w:t>
      </w:r>
    </w:p>
    <w:p>
      <w:pPr>
        <w:pStyle w:val="null3"/>
        <w:ind w:firstLine="420"/>
        <w:jc w:val="both"/>
      </w:pPr>
      <w:r>
        <w:rPr>
          <w:sz w:val="21"/>
          <w:color w:val="000000"/>
        </w:rPr>
        <w:t>（</w:t>
      </w:r>
      <w:r>
        <w:rPr>
          <w:sz w:val="21"/>
          <w:color w:val="000000"/>
        </w:rPr>
        <w:t>4）要求通过设备爆炸合成图，直观地显示设备的各个部件，点击部件有对应的文字和语音介绍。</w:t>
      </w:r>
    </w:p>
    <w:p>
      <w:pPr>
        <w:pStyle w:val="null3"/>
        <w:ind w:firstLine="420"/>
        <w:jc w:val="both"/>
      </w:pPr>
      <w:r>
        <w:rPr>
          <w:sz w:val="21"/>
          <w:color w:val="000000"/>
        </w:rPr>
        <w:t>（</w:t>
      </w:r>
      <w:r>
        <w:rPr>
          <w:sz w:val="21"/>
          <w:color w:val="000000"/>
        </w:rPr>
        <w:t>5）要求展示练习模式有步骤提示，考核模式没有步骤提示的现象。</w:t>
      </w:r>
    </w:p>
    <w:p>
      <w:pPr>
        <w:pStyle w:val="null3"/>
        <w:ind w:firstLine="420"/>
        <w:jc w:val="both"/>
      </w:pPr>
      <w:r>
        <w:rPr>
          <w:sz w:val="21"/>
          <w:color w:val="000000"/>
        </w:rPr>
        <w:t>3、人工评分系统功能视频演示</w:t>
      </w:r>
    </w:p>
    <w:p>
      <w:pPr>
        <w:pStyle w:val="null3"/>
        <w:ind w:firstLine="420"/>
        <w:jc w:val="both"/>
      </w:pPr>
      <w:r>
        <w:rPr>
          <w:sz w:val="21"/>
          <w:color w:val="000000"/>
        </w:rPr>
        <w:t>投标人需提供</w:t>
      </w:r>
      <w:r>
        <w:rPr>
          <w:sz w:val="21"/>
          <w:color w:val="000000"/>
        </w:rPr>
        <w:t>人工评分系统功能</w:t>
      </w:r>
      <w:r>
        <w:rPr>
          <w:sz w:val="21"/>
          <w:color w:val="000000"/>
        </w:rPr>
        <w:t>的实物操作演示视频，详细演示内容如下：</w:t>
      </w:r>
    </w:p>
    <w:p>
      <w:pPr>
        <w:pStyle w:val="null3"/>
        <w:ind w:firstLine="420"/>
        <w:jc w:val="both"/>
      </w:pPr>
      <w:r>
        <w:rPr>
          <w:sz w:val="21"/>
          <w:color w:val="000000"/>
        </w:rPr>
        <w:t>（</w:t>
      </w:r>
      <w:r>
        <w:rPr>
          <w:sz w:val="21"/>
          <w:color w:val="000000"/>
        </w:rPr>
        <w:t>1）</w:t>
      </w:r>
      <w:r>
        <w:rPr>
          <w:sz w:val="21"/>
          <w:color w:val="000000"/>
        </w:rPr>
        <w:t>评分成绩上传：点击上传，弹出提示并上传后，上传选手所有成绩（上传后，分数无法修改，可查看）（上传不显示标记内容）。</w:t>
      </w:r>
    </w:p>
    <w:p>
      <w:pPr>
        <w:pStyle w:val="null3"/>
        <w:ind w:firstLine="420"/>
        <w:jc w:val="both"/>
      </w:pPr>
      <w:r>
        <w:rPr>
          <w:sz w:val="21"/>
          <w:color w:val="000000"/>
        </w:rPr>
        <w:t>（</w:t>
      </w:r>
      <w:r>
        <w:rPr>
          <w:sz w:val="21"/>
          <w:color w:val="000000"/>
        </w:rPr>
        <w:t>2）定位标记功能：点击定位标记，自动定位到标记区域，可对作业内容进行标记，和取消标记，可对学员的错误项点进行标记和批注。</w:t>
      </w:r>
    </w:p>
    <w:p>
      <w:pPr>
        <w:pStyle w:val="null3"/>
        <w:ind w:firstLine="420"/>
        <w:jc w:val="both"/>
      </w:pPr>
      <w:r>
        <w:rPr>
          <w:sz w:val="21"/>
          <w:color w:val="000000"/>
        </w:rPr>
        <w:t>（</w:t>
      </w:r>
      <w:r>
        <w:rPr>
          <w:sz w:val="21"/>
          <w:color w:val="000000"/>
        </w:rPr>
        <w:t>3）评分修改功能：若成绩上传之后，又对步骤评判结果进行了更改，则本步骤扣分数值、总扣分数值和总得分数值自动进行对应更改。</w:t>
      </w:r>
    </w:p>
    <w:p>
      <w:pPr>
        <w:pStyle w:val="null3"/>
      </w:pPr>
      <w:r>
        <w:rPr/>
        <w:t>采购包1（城市轨道交通服务员实训系统购置项目）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合同签订后30天内完成</w:t>
            </w:r>
          </w:p>
        </w:tc>
      </w:tr>
      <w:tr>
        <w:tc>
          <w:tcPr>
            <w:tcW w:type="dxa" w:w="4153"/>
          </w:tcPr>
          <w:p>
            <w:pPr>
              <w:pStyle w:val="null3"/>
            </w:pPr>
            <w:r>
              <w:rPr/>
              <w:t>标的提供的地点</w:t>
            </w:r>
          </w:p>
        </w:tc>
        <w:tc>
          <w:tcPr>
            <w:tcW w:type="dxa" w:w="4153"/>
          </w:tcPr>
          <w:p>
            <w:pPr>
              <w:pStyle w:val="null3"/>
            </w:pPr>
            <w:r>
              <w:rPr/>
              <w:t>采购人指定地点</w:t>
            </w:r>
          </w:p>
        </w:tc>
      </w:tr>
      <w:tr/>
      <w:tr/>
      <w:tr>
        <w:tc>
          <w:tcPr>
            <w:tcW w:type="dxa" w:w="4153"/>
          </w:tcPr>
          <w:p>
            <w:pPr>
              <w:pStyle w:val="null3"/>
            </w:pPr>
            <w:r>
              <w:rPr/>
              <w:t>付款方式</w:t>
            </w:r>
          </w:p>
        </w:tc>
        <w:tc>
          <w:tcPr>
            <w:tcW w:type="dxa" w:w="4153"/>
          </w:tcPr>
          <w:p>
            <w:pPr>
              <w:pStyle w:val="null3"/>
            </w:pPr>
            <w:r>
              <w:rPr/>
              <w:t>第1期为(预付款)：支付比例50%，合同签订后，采购人于收到中标（成交）供应商开具的正式发票后5个工作日内办理支付手续，10个工作日内支付合同总价的50%作为预付款。</w:t>
            </w:r>
          </w:p>
          <w:p>
            <w:pPr>
              <w:pStyle w:val="null3"/>
            </w:pPr>
            <w:r>
              <w:rPr/>
              <w:t>第2期为(尾款)：支付比例50%，中标（成交）人全部交付合同标的并通过采购人验收合格后，采购人于收到中标（成交）供应商开具的正式发票后5个工作日内办理支付手续，10个工作日内支付合同总价的50%。 注：1）款项支付前，中标人需向采购人提供相应金额的正式发票（含货物款发票、货物安装费发票及有关服务发票等）。2）上述付款时间规定为采购人向政府采购支付部门提出支付申请的时间（不含政府财政支付部门审查的时间），采购人在规定时间内提起申请的即视为采购人已履行付款义务。</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一）在设备安装调试结束后，由中标人在设备安装场地进行设备的运用试验，以保证设备的安装、调试及使用质量。试验成功后，中标人提出设备的验收测试申请，采购人组织专家组成测试组对设备进行验收测试，验收测试项目及方案由采购人根据行业标准、技术规格书的要求等提出，测试组审定，试验通过后参加单位在验收证书上签认。 （二）设备验收合格后，中标人应在一月内将完整的技术资料移交给采购人，技术资料应包括纸制文本三套和电子版，主要内容有：产品合格证；产品结构、电气控制原理图；设备的基础安装图；设备使用说明书、操作手册和维护指导书；配备的产品易耗件目录清单；配备的专用工具清单；配备的随机备品备件清单。 （三）所有技术资料和图纸必须内容完整、描述清晰，必须使用中文，图表、符号及单位采用国际标准。所有文件必须是正本。</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p>
        </w:tc>
      </w:tr>
    </w:tbl>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tc>
        <w:tc>
          <w:tcPr>
            <w:tcW w:type="dxa" w:w="2076"/>
          </w:tcPr>
          <w:p>
            <w:pPr>
              <w:pStyle w:val="null3"/>
              <w:jc w:val="center"/>
            </w:pPr>
            <w:r>
              <w:rPr/>
              <w:t>1</w:t>
            </w:r>
          </w:p>
        </w:tc>
        <w:tc>
          <w:tcPr>
            <w:tcW w:type="dxa" w:w="2076"/>
          </w:tcPr>
          <w:p>
            <w:pPr>
              <w:pStyle w:val="null3"/>
              <w:jc w:val="left"/>
            </w:pPr>
            <w:r>
              <w:rPr/>
              <w:t>供货要求</w:t>
            </w:r>
          </w:p>
        </w:tc>
        <w:tc>
          <w:tcPr>
            <w:tcW w:type="dxa" w:w="2076"/>
          </w:tcPr>
          <w:p>
            <w:pPr>
              <w:pStyle w:val="null3"/>
              <w:jc w:val="left"/>
            </w:pPr>
            <w:r>
              <w:rPr/>
              <w:t>设备材料的包装必须是制造商原厂包装的全新设备，其包装均应有良好的防湿、防锈、防潮、防雨、防腐及防碰撞的措施。凡由于包装不良造成的损失和由此产生的费用均由中标人承担。</w:t>
            </w:r>
          </w:p>
        </w:tc>
      </w:tr>
      <w:tr>
        <w:tc>
          <w:tcPr>
            <w:tcW w:type="dxa" w:w="2076"/>
          </w:tcPr>
          <w:p/>
        </w:tc>
        <w:tc>
          <w:tcPr>
            <w:tcW w:type="dxa" w:w="2076"/>
          </w:tcPr>
          <w:p>
            <w:pPr>
              <w:pStyle w:val="null3"/>
              <w:jc w:val="center"/>
            </w:pPr>
            <w:r>
              <w:rPr/>
              <w:t>2</w:t>
            </w:r>
          </w:p>
        </w:tc>
        <w:tc>
          <w:tcPr>
            <w:tcW w:type="dxa" w:w="2076"/>
          </w:tcPr>
          <w:p>
            <w:pPr>
              <w:pStyle w:val="null3"/>
              <w:jc w:val="left"/>
            </w:pPr>
            <w:r>
              <w:rPr/>
              <w:t>发运货物时随机技术资料要求</w:t>
            </w:r>
          </w:p>
        </w:tc>
        <w:tc>
          <w:tcPr>
            <w:tcW w:type="dxa" w:w="2076"/>
          </w:tcPr>
          <w:p>
            <w:pPr>
              <w:pStyle w:val="null3"/>
              <w:jc w:val="left"/>
            </w:pPr>
            <w:r>
              <w:rPr/>
              <w:t>1）中标人负责将设备材料货到现场过程中的全部运输，包括装卸车、货物现场的搬运。各种设备必须提供装箱清单，按装箱清单验收货物。设备至采购人指定的使用现场的包装、保险及发运等环节和费用均由中标人负责。 2）中标人应提供设备所有图纸、说明书及相关软件。设备验收合格后，中标人应在一月内将完整的技术资料移交给采购人，技术资料应包括纸制文本三套和电子版，主要内容有：产品合格证；产品结构、电气控制原理图；设备的基础安装图、布置图；设备使用手册、维护手册；配备的产品易耗件目录清单；配备的专用工具清单；配备的随机备品备件清单。 3）所有技术资料和图纸必须内容完整、描述清晰，必须使用中文，图表、符号及单位采用国际标准。所有文件必须是正本。</w:t>
            </w:r>
          </w:p>
        </w:tc>
      </w:tr>
      <w:tr>
        <w:tc>
          <w:tcPr>
            <w:tcW w:type="dxa" w:w="2076"/>
          </w:tcPr>
          <w:p/>
        </w:tc>
        <w:tc>
          <w:tcPr>
            <w:tcW w:type="dxa" w:w="2076"/>
          </w:tcPr>
          <w:p>
            <w:pPr>
              <w:pStyle w:val="null3"/>
              <w:jc w:val="center"/>
            </w:pPr>
            <w:r>
              <w:rPr/>
              <w:t>3</w:t>
            </w:r>
          </w:p>
        </w:tc>
        <w:tc>
          <w:tcPr>
            <w:tcW w:type="dxa" w:w="2076"/>
          </w:tcPr>
          <w:p>
            <w:pPr>
              <w:pStyle w:val="null3"/>
              <w:jc w:val="left"/>
            </w:pPr>
            <w:r>
              <w:rPr/>
              <w:t>技术培训</w:t>
            </w:r>
          </w:p>
        </w:tc>
        <w:tc>
          <w:tcPr>
            <w:tcW w:type="dxa" w:w="2076"/>
          </w:tcPr>
          <w:p>
            <w:pPr>
              <w:pStyle w:val="null3"/>
              <w:jc w:val="left"/>
            </w:pPr>
            <w:r>
              <w:rPr/>
              <w:t>中标人应对采购人进行设备及系统操作培训不低于2次（费用包含在投标报价中）。投标人须在投标文件中详细描述培训方案。在设备安装调试后，中标人需要派出人员就设备的操作和维护对用户进行现场培训，培训地点为采购人的设备安装地点，总培训人数不少于5人，总培训时间不少于2天，培训教师应为熟悉系统机械及电气原理、调试和检修技术的工程师。通过培训，使接受培训的人员能基本了解合同内设备的基本结构、性能，并掌握设备的操作、使用和维护保养的方法。对采购人的培训，中标人应提供相应教材和资料（中文），对参加培训的人员应提供纸质文本教材。所有培训文件应为Microsoft Office 2007 for Windows（或以上版本）的形式。</w:t>
            </w:r>
          </w:p>
        </w:tc>
      </w:tr>
      <w:tr>
        <w:tc>
          <w:tcPr>
            <w:tcW w:type="dxa" w:w="2076"/>
          </w:tcPr>
          <w:p/>
        </w:tc>
        <w:tc>
          <w:tcPr>
            <w:tcW w:type="dxa" w:w="2076"/>
          </w:tcPr>
          <w:p>
            <w:pPr>
              <w:pStyle w:val="null3"/>
              <w:jc w:val="center"/>
            </w:pPr>
            <w:r>
              <w:rPr/>
              <w:t>4</w:t>
            </w:r>
          </w:p>
        </w:tc>
        <w:tc>
          <w:tcPr>
            <w:tcW w:type="dxa" w:w="2076"/>
          </w:tcPr>
          <w:p>
            <w:pPr>
              <w:pStyle w:val="null3"/>
              <w:jc w:val="left"/>
            </w:pPr>
            <w:r>
              <w:rPr/>
              <w:t>安装调试</w:t>
            </w:r>
          </w:p>
        </w:tc>
        <w:tc>
          <w:tcPr>
            <w:tcW w:type="dxa" w:w="2076"/>
          </w:tcPr>
          <w:p>
            <w:pPr>
              <w:pStyle w:val="null3"/>
              <w:jc w:val="left"/>
            </w:pPr>
            <w:r>
              <w:rPr/>
              <w:t>1）中标人负责将设备材料货到现场过程中的全部运输，包括装卸车、货物现场的搬运。 2）各种设备必须提供装箱清单，按装箱清单验收货物。 3）货物在现场的保管由中标人负责，直至项目安装、验收完毕。货物在系统安装调试验收合格前的保险由中标人负责，中标人负责其派出的现场服务人员人身意外保险。</w:t>
            </w:r>
          </w:p>
        </w:tc>
      </w:tr>
      <w:tr>
        <w:tc>
          <w:tcPr>
            <w:tcW w:type="dxa" w:w="2076"/>
          </w:tcPr>
          <w:p/>
        </w:tc>
        <w:tc>
          <w:tcPr>
            <w:tcW w:type="dxa" w:w="2076"/>
          </w:tcPr>
          <w:p>
            <w:pPr>
              <w:pStyle w:val="null3"/>
              <w:jc w:val="center"/>
            </w:pPr>
            <w:r>
              <w:rPr/>
              <w:t>5</w:t>
            </w:r>
          </w:p>
        </w:tc>
        <w:tc>
          <w:tcPr>
            <w:tcW w:type="dxa" w:w="2076"/>
          </w:tcPr>
          <w:p>
            <w:pPr>
              <w:pStyle w:val="null3"/>
              <w:jc w:val="left"/>
            </w:pPr>
            <w:r>
              <w:rPr/>
              <w:t>售后服务要求</w:t>
            </w:r>
          </w:p>
        </w:tc>
        <w:tc>
          <w:tcPr>
            <w:tcW w:type="dxa" w:w="2076"/>
          </w:tcPr>
          <w:p>
            <w:pPr>
              <w:pStyle w:val="null3"/>
              <w:jc w:val="left"/>
            </w:pPr>
            <w:r>
              <w:rPr/>
              <w:t>质保期不少于1年。 1）质保期内，中标人须为采购人提供售后服务（费用包含在投标报价中），对所供货物实行包修、包换、包退、包维护保养，期满后可同时提供终身维修保养服务（费用包含在投标报价中）。质保期内，如设备或零部件因非人为因素出现故障而造成短期停用时，则质保期和免费维修期相应顺延。如停用时间累计超过60天则质保期重新计算。在设备寿命期内，中标人须提供技术支持、维修支持。 2）中标人须挑选身体健康、技术熟练和能胜任工作的人员，成立售后服务小组。在质保期内，对采购人的服务通知，中标人在接报后2小时内响应，24小时内到达现场，48小时内处理完毕。若在48小时内仍未能有效解决，中标人须提供同类型的设备予采购人临时使用（费用包含在投标报价中）。 3）在售后服务期间，中标人须对采购人的技术人员、管理人员、操作人员详细讲解技术资料、进行必要的示范操作，并随时解答采购人提出的技术问题。 4）质保期后，中标人应提供适当的技术支持和备品备件的长期供货支持，当某些零部件的型号停产后，中标人应协助采购人找到替代品。</w:t>
            </w:r>
          </w:p>
        </w:tc>
      </w:tr>
    </w:tbl>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 xml:space="preserve"> 打“★”号条款为实质性条款，若有任何一条负偏离或不满足则导致投标（响应）无效。 </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 xml:space="preserve"> 核心产品要求（“△”）</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tc>
        <w:tc>
          <w:tcPr>
            <w:tcW w:type="dxa" w:w="831"/>
          </w:tcPr>
          <w:p>
            <w:pPr>
              <w:pStyle w:val="null3"/>
              <w:jc w:val="left"/>
            </w:pPr>
            <w:r>
              <w:rPr/>
              <w:t>教学仪器</w:t>
            </w:r>
          </w:p>
        </w:tc>
        <w:tc>
          <w:tcPr>
            <w:tcW w:type="dxa" w:w="831"/>
          </w:tcPr>
          <w:p>
            <w:pPr>
              <w:pStyle w:val="null3"/>
              <w:jc w:val="left"/>
            </w:pPr>
            <w:r>
              <w:rPr/>
              <w:t>车站控制室设备</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jc w:val="right"/>
            </w:pPr>
            <w:r>
              <w:rPr/>
              <w:t>374,200.00</w:t>
            </w:r>
          </w:p>
        </w:tc>
        <w:tc>
          <w:tcPr>
            <w:tcW w:type="dxa" w:w="831"/>
          </w:tcPr>
          <w:p>
            <w:pPr>
              <w:pStyle w:val="null3"/>
              <w:jc w:val="right"/>
            </w:pPr>
            <w:r>
              <w:rPr/>
              <w:t>374,200.00</w:t>
            </w:r>
          </w:p>
        </w:tc>
        <w:tc>
          <w:tcPr>
            <w:tcW w:type="dxa" w:w="831"/>
          </w:tcPr>
          <w:p>
            <w:pPr>
              <w:pStyle w:val="null3"/>
            </w:pPr>
            <w:r>
              <w:rPr/>
              <w:t>工业</w:t>
            </w:r>
          </w:p>
        </w:tc>
        <w:tc>
          <w:tcPr>
            <w:tcW w:type="dxa" w:w="831"/>
          </w:tcPr>
          <w:p>
            <w:pPr>
              <w:pStyle w:val="null3"/>
            </w:pPr>
            <w:r>
              <w:rPr/>
              <w:t>详见附表一</w:t>
            </w:r>
          </w:p>
        </w:tc>
      </w:tr>
      <w:tr>
        <w:tc>
          <w:tcPr>
            <w:tcW w:type="dxa" w:w="831"/>
          </w:tcPr>
          <w:p>
            <w:pPr>
              <w:pStyle w:val="null3"/>
              <w:jc w:val="center"/>
            </w:pPr>
            <w:r>
              <w:rPr/>
              <w:t>2</w:t>
            </w:r>
          </w:p>
        </w:tc>
        <w:tc>
          <w:tcPr>
            <w:tcW w:type="dxa" w:w="831"/>
          </w:tcPr>
          <w:p/>
        </w:tc>
        <w:tc>
          <w:tcPr>
            <w:tcW w:type="dxa" w:w="831"/>
          </w:tcPr>
          <w:p>
            <w:pPr>
              <w:pStyle w:val="null3"/>
              <w:jc w:val="left"/>
            </w:pPr>
            <w:r>
              <w:rPr/>
              <w:t>教学仪器</w:t>
            </w:r>
          </w:p>
        </w:tc>
        <w:tc>
          <w:tcPr>
            <w:tcW w:type="dxa" w:w="831"/>
          </w:tcPr>
          <w:p>
            <w:pPr>
              <w:pStyle w:val="null3"/>
              <w:jc w:val="left"/>
            </w:pPr>
            <w:r>
              <w:rPr/>
              <w:t>站台门设备</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jc w:val="right"/>
            </w:pPr>
            <w:r>
              <w:rPr/>
              <w:t>211,000.00</w:t>
            </w:r>
          </w:p>
        </w:tc>
        <w:tc>
          <w:tcPr>
            <w:tcW w:type="dxa" w:w="831"/>
          </w:tcPr>
          <w:p>
            <w:pPr>
              <w:pStyle w:val="null3"/>
              <w:jc w:val="right"/>
            </w:pPr>
            <w:r>
              <w:rPr/>
              <w:t>211,000.00</w:t>
            </w:r>
          </w:p>
        </w:tc>
        <w:tc>
          <w:tcPr>
            <w:tcW w:type="dxa" w:w="831"/>
          </w:tcPr>
          <w:p>
            <w:pPr>
              <w:pStyle w:val="null3"/>
            </w:pPr>
            <w:r>
              <w:rPr/>
              <w:t>工业</w:t>
            </w:r>
          </w:p>
        </w:tc>
        <w:tc>
          <w:tcPr>
            <w:tcW w:type="dxa" w:w="831"/>
          </w:tcPr>
          <w:p>
            <w:pPr>
              <w:pStyle w:val="null3"/>
            </w:pPr>
            <w:r>
              <w:rPr/>
              <w:t>详见附表二</w:t>
            </w:r>
          </w:p>
        </w:tc>
      </w:tr>
      <w:tr>
        <w:tc>
          <w:tcPr>
            <w:tcW w:type="dxa" w:w="831"/>
          </w:tcPr>
          <w:p>
            <w:pPr>
              <w:pStyle w:val="null3"/>
              <w:jc w:val="center"/>
            </w:pPr>
            <w:r>
              <w:rPr/>
              <w:t>3</w:t>
            </w:r>
          </w:p>
        </w:tc>
        <w:tc>
          <w:tcPr>
            <w:tcW w:type="dxa" w:w="831"/>
          </w:tcPr>
          <w:p>
            <w:pPr>
              <w:pStyle w:val="null3"/>
              <w:jc w:val="center"/>
            </w:pPr>
            <w:r>
              <w:rPr/>
              <w:t>△</w:t>
            </w:r>
          </w:p>
        </w:tc>
        <w:tc>
          <w:tcPr>
            <w:tcW w:type="dxa" w:w="831"/>
          </w:tcPr>
          <w:p>
            <w:pPr>
              <w:pStyle w:val="null3"/>
              <w:jc w:val="left"/>
            </w:pPr>
            <w:r>
              <w:rPr/>
              <w:t>教学仪器</w:t>
            </w:r>
          </w:p>
        </w:tc>
        <w:tc>
          <w:tcPr>
            <w:tcW w:type="dxa" w:w="831"/>
          </w:tcPr>
          <w:p>
            <w:pPr>
              <w:pStyle w:val="null3"/>
              <w:jc w:val="left"/>
            </w:pPr>
            <w:r>
              <w:rPr/>
              <w:t>自动售检票设备</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jc w:val="right"/>
            </w:pPr>
            <w:r>
              <w:rPr/>
              <w:t>867,300.00</w:t>
            </w:r>
          </w:p>
        </w:tc>
        <w:tc>
          <w:tcPr>
            <w:tcW w:type="dxa" w:w="831"/>
          </w:tcPr>
          <w:p>
            <w:pPr>
              <w:pStyle w:val="null3"/>
              <w:jc w:val="right"/>
            </w:pPr>
            <w:r>
              <w:rPr/>
              <w:t>867,300.00</w:t>
            </w:r>
          </w:p>
        </w:tc>
        <w:tc>
          <w:tcPr>
            <w:tcW w:type="dxa" w:w="831"/>
          </w:tcPr>
          <w:p>
            <w:pPr>
              <w:pStyle w:val="null3"/>
            </w:pPr>
            <w:r>
              <w:rPr/>
              <w:t>工业</w:t>
            </w:r>
          </w:p>
        </w:tc>
        <w:tc>
          <w:tcPr>
            <w:tcW w:type="dxa" w:w="831"/>
          </w:tcPr>
          <w:p>
            <w:pPr>
              <w:pStyle w:val="null3"/>
            </w:pPr>
            <w:r>
              <w:rPr/>
              <w:t>详见附表三</w:t>
            </w:r>
          </w:p>
        </w:tc>
      </w:tr>
      <w:tr>
        <w:tc>
          <w:tcPr>
            <w:tcW w:type="dxa" w:w="831"/>
          </w:tcPr>
          <w:p>
            <w:pPr>
              <w:pStyle w:val="null3"/>
              <w:jc w:val="center"/>
            </w:pPr>
            <w:r>
              <w:rPr/>
              <w:t>4</w:t>
            </w:r>
          </w:p>
        </w:tc>
        <w:tc>
          <w:tcPr>
            <w:tcW w:type="dxa" w:w="831"/>
          </w:tcPr>
          <w:p/>
        </w:tc>
        <w:tc>
          <w:tcPr>
            <w:tcW w:type="dxa" w:w="831"/>
          </w:tcPr>
          <w:p>
            <w:pPr>
              <w:pStyle w:val="null3"/>
              <w:jc w:val="left"/>
            </w:pPr>
            <w:r>
              <w:rPr/>
              <w:t>教学仪器</w:t>
            </w:r>
          </w:p>
        </w:tc>
        <w:tc>
          <w:tcPr>
            <w:tcW w:type="dxa" w:w="831"/>
          </w:tcPr>
          <w:p>
            <w:pPr>
              <w:pStyle w:val="null3"/>
              <w:jc w:val="left"/>
            </w:pPr>
            <w:r>
              <w:rPr/>
              <w:t>安检实训设备</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jc w:val="right"/>
            </w:pPr>
            <w:r>
              <w:rPr/>
              <w:t>47,500.00</w:t>
            </w:r>
          </w:p>
        </w:tc>
        <w:tc>
          <w:tcPr>
            <w:tcW w:type="dxa" w:w="831"/>
          </w:tcPr>
          <w:p>
            <w:pPr>
              <w:pStyle w:val="null3"/>
              <w:jc w:val="right"/>
            </w:pPr>
            <w:r>
              <w:rPr/>
              <w:t>47,500.00</w:t>
            </w:r>
          </w:p>
        </w:tc>
        <w:tc>
          <w:tcPr>
            <w:tcW w:type="dxa" w:w="831"/>
          </w:tcPr>
          <w:p>
            <w:pPr>
              <w:pStyle w:val="null3"/>
            </w:pPr>
            <w:r>
              <w:rPr/>
              <w:t>工业</w:t>
            </w:r>
          </w:p>
        </w:tc>
        <w:tc>
          <w:tcPr>
            <w:tcW w:type="dxa" w:w="831"/>
          </w:tcPr>
          <w:p>
            <w:pPr>
              <w:pStyle w:val="null3"/>
            </w:pPr>
            <w:r>
              <w:rPr/>
              <w:t>详见附表四</w:t>
            </w:r>
          </w:p>
        </w:tc>
      </w:tr>
    </w:tbl>
    <w:p>
      <w:pPr>
        <w:pStyle w:val="null3"/>
      </w:pPr>
      <w:r>
        <w:rPr>
          <w:b/>
        </w:rPr>
        <w:t>附表</w:t>
      </w:r>
      <w:r>
        <w:rPr>
          <w:b/>
        </w:rPr>
        <w:t>一</w:t>
      </w:r>
      <w:r>
        <w:rPr>
          <w:b/>
        </w:rPr>
        <w:t>：</w:t>
      </w:r>
      <w:r>
        <w:rPr>
          <w:b/>
        </w:rPr>
        <w:t>车站控制室设备</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color w:val="000000"/>
              </w:rPr>
              <w:t>详见</w:t>
            </w:r>
            <w:r>
              <w:rPr>
                <w:sz w:val="21"/>
                <w:color w:val="000000"/>
              </w:rPr>
              <w:t>“第二章 采购需求/一、项目概况/</w:t>
            </w:r>
            <w:r>
              <w:rPr>
                <w:sz w:val="21"/>
                <w:color w:val="000000"/>
              </w:rPr>
              <w:t>3</w:t>
            </w:r>
            <w:r>
              <w:rPr>
                <w:sz w:val="21"/>
                <w:color w:val="000000"/>
              </w:rPr>
              <w:t>、具体技术（参数）要求</w:t>
            </w:r>
            <w:r>
              <w:rPr>
                <w:sz w:val="21"/>
                <w:color w:val="000000"/>
              </w:rPr>
              <w:t>”</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w:t>
      </w:r>
      <w:r>
        <w:rPr>
          <w:b/>
        </w:rPr>
        <w:t>：</w:t>
      </w:r>
      <w:r>
        <w:rPr>
          <w:b/>
        </w:rPr>
        <w:t>站台门设备</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color w:val="000000"/>
              </w:rPr>
              <w:t>详见</w:t>
            </w:r>
            <w:r>
              <w:rPr>
                <w:sz w:val="21"/>
                <w:color w:val="000000"/>
              </w:rPr>
              <w:t>“第二章 采购需求/一、项目概况/</w:t>
            </w:r>
            <w:r>
              <w:rPr>
                <w:sz w:val="21"/>
                <w:color w:val="000000"/>
              </w:rPr>
              <w:t>3</w:t>
            </w:r>
            <w:r>
              <w:rPr>
                <w:sz w:val="21"/>
                <w:color w:val="000000"/>
              </w:rPr>
              <w:t>、具体技术（参数）要求</w:t>
            </w:r>
            <w:r>
              <w:rPr>
                <w:sz w:val="21"/>
                <w:color w:val="000000"/>
              </w:rPr>
              <w:t>”</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三</w:t>
      </w:r>
      <w:r>
        <w:rPr>
          <w:b/>
        </w:rPr>
        <w:t>：</w:t>
      </w:r>
      <w:r>
        <w:rPr>
          <w:b/>
        </w:rPr>
        <w:t>自动售检票设备</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color w:val="000000"/>
              </w:rPr>
              <w:t>详见</w:t>
            </w:r>
            <w:r>
              <w:rPr>
                <w:sz w:val="21"/>
                <w:color w:val="000000"/>
              </w:rPr>
              <w:t>“第二章 采购需求/一、项目概况/</w:t>
            </w:r>
            <w:r>
              <w:rPr>
                <w:sz w:val="21"/>
                <w:color w:val="000000"/>
              </w:rPr>
              <w:t>3</w:t>
            </w:r>
            <w:r>
              <w:rPr>
                <w:sz w:val="21"/>
                <w:color w:val="000000"/>
              </w:rPr>
              <w:t>、具体技术（参数）要求</w:t>
            </w:r>
            <w:r>
              <w:rPr>
                <w:sz w:val="21"/>
                <w:color w:val="000000"/>
              </w:rPr>
              <w:t>”</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四</w:t>
      </w:r>
      <w:r>
        <w:rPr>
          <w:b/>
        </w:rPr>
        <w:t>：</w:t>
      </w:r>
      <w:r>
        <w:rPr>
          <w:b/>
        </w:rPr>
        <w:t>安检实训设备</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color w:val="000000"/>
              </w:rPr>
              <w:t>详见</w:t>
            </w:r>
            <w:r>
              <w:rPr>
                <w:sz w:val="21"/>
                <w:color w:val="000000"/>
              </w:rPr>
              <w:t>“第二章 采购需求/一、项目概况/</w:t>
            </w:r>
            <w:r>
              <w:rPr>
                <w:sz w:val="21"/>
                <w:color w:val="000000"/>
              </w:rPr>
              <w:t>3</w:t>
            </w:r>
            <w:r>
              <w:rPr>
                <w:sz w:val="21"/>
                <w:color w:val="000000"/>
              </w:rPr>
              <w:t>、具体技术（参数）要求</w:t>
            </w:r>
            <w:r>
              <w:rPr>
                <w:sz w:val="21"/>
                <w:color w:val="000000"/>
              </w:rPr>
              <w:t>”</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1.采购代理机构：本项目是指广东志正招标有限公司，负责整个采购活动的组织，依法负责编制和发布招标文件，对招标文件拥有最终的解释权，不以任何身份出任评标委员会成员。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广州市工贸技师学院</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ind w:firstLine="480"/>
      </w:pPr>
      <w:r>
        <w:rPr/>
        <w:t>（温馨提示：采购人与代理机构在制定采购文件内容时应与上述条款保持一致，以避免采购文件内容前后不一致，出现歧义。）</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采购包1：单价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2家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项目兼投兼中规则</w:t>
            </w:r>
          </w:p>
        </w:tc>
        <w:tc>
          <w:tcPr>
            <w:tcW w:type="dxa" w:w="5004"/>
          </w:tcPr>
          <w:p>
            <w:pPr>
              <w:pStyle w:val="null3"/>
            </w:pPr>
            <w:r>
              <w:rPr/>
              <w:t>兼投兼中：-</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r>
              <w:rPr/>
              <w:t>采购机构代理服务收费标准：中标人按如下标准和规定缴纳招标代理服务费：（1）以项目预算金额作为招标代理服务费的计算基数；（2）招标代理服务费采用差额定率累进法进行计算，按照以下标准计算后计取：100万元以下的部分，按照1.5%计取；100-500万元的部分，按照1.1%计取。（3）增值税另行计入招标代理服务费中。</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1，综合信用得分，（一）本项目商务部分评分的综合信用得分运用广州公共资源交易政府采购领域信用评价体系3.0（以下简称“政府采购信用3.0”）。投标人应在投标响应前通过广州交易集团有限公司网站完成企业信用档案登记，并确认成功，以免出现企业信用评价分无法使用等情况，登记手册可查阅http：//www.gzggzy.cn/fwznxtbzczsc/951149.jhtml。（二）综合信用得分运用“政府采购信用3.0”评价分进行计算，综合信用评价得分=投标人在广州公共资源交易信用评价（政府采购供应商信用评价分）×5%。投标人的信用评价分以开标当天广州交易集团有限公司网站公布的分值为准【通过“广州公共资源交易公共服务平台-信用信息-广州公共资源交易信用平台3.0”进行核实，未能在网站查询到供应商信用评价分的，以信用评价基准分（93.4分）计算】。</w:t>
            </w:r>
          </w:p>
          <w:p>
            <w:pPr>
              <w:pStyle w:val="null3"/>
              <w:jc w:val="left"/>
            </w:pPr>
            <w:r>
              <w:rPr/>
              <w:t>2，政府采购合同融资，根据《广州市财政局关于推广应用政府采购金融服务中心促进中小微企业发展的通知》（网址：https://gdgpo.czt.gd.gov.cn/freecms/site/guangdong/tz/info/2023/11566856.html），符合条件且有电子履约保函和政府采购合同融资需求的投标人可登录金融服务中心（https://gdgpo.czt.gd.gov.cn/zcdservice/zcd/guangdong/）了解和办理相关金融业务。</w:t>
            </w:r>
          </w:p>
          <w:p>
            <w:pPr>
              <w:pStyle w:val="null3"/>
              <w:jc w:val="left"/>
            </w:pPr>
            <w:r>
              <w:rPr/>
              <w:t>3，履约评价，采购人负责对中标人的履约行为进行评价。采购人在合同备案后可通过广东政府采购智慧云平台-诚信管理-评价管理进行评价。评价结果会影响投标人的综合信用得分。</w:t>
            </w:r>
          </w:p>
          <w:p>
            <w:pPr>
              <w:pStyle w:val="null3"/>
              <w:jc w:val="left"/>
            </w:pPr>
            <w:r>
              <w:rPr/>
              <w:t>4，关于提供前期服务的投标人，为采购项目提供整体设计、规范编制或者项目管理、监理、检测等服务的投标人，不得再参加该采购项目的其他采购活动。</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30分钟</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采购包1：面向中小企业，采购包专门预留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3"/>
      </w:pPr>
      <w:r>
        <w:rPr>
          <w:sz w:val="24"/>
          <w:b/>
        </w:rPr>
        <w:t>11.关于分支机构投标</w:t>
      </w:r>
    </w:p>
    <w:p>
      <w:pPr>
        <w:pStyle w:val="null3"/>
        <w:ind w:firstLine="480"/>
      </w:pPr>
      <w:r>
        <w:rPr/>
        <w:t xml:space="preserve"> 对接受分支机构投标的项目，分支机构投标的，须提供分支机构的营业执照（执业许可证）扫描件及总公司（总所）出具给分支机构的授权书，授权书须加盖总公司（总所）公章。总公司（总所）可就本项目或此类项目在一定范围或时间内出具授权书。已由总公司（总所）授权的，总公司（总所）取得的相关资质证书对分支机构有效，法律法规或者行业另有规定的除外。依法设立登记的分支机构以自己的名义参加政府采购活动，产生的民事责任由法人承担。（保险类项目则为：本项目只接受保险分公司或中心支公司以上的保险机构投标；分公司或中心支公司的保险机构投标的，还须提供分公司或中心支公司的保险机构的营业执照。依法设立登记的分支机构以自己的名义参加政府采购活动，产生的民事责任由法人承担。 ）</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本项目不收取投标保证金</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w:t>
      </w:r>
      <w:r>
        <w:rPr/>
        <w:t>，广东志正招标有限公司（https://www.zztender.com/）</w:t>
      </w:r>
      <w:r>
        <w:rPr/>
        <w:t>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pPr>
      <w:r>
        <w:rPr/>
        <w:t>3.3项目废标处理：</w:t>
      </w:r>
    </w:p>
    <w:p>
      <w:pPr>
        <w:pStyle w:val="null3"/>
        <w:ind w:firstLine="480"/>
      </w:pPr>
      <w:r>
        <w:rPr/>
        <w:t>根据《中华人民共和国政府采购法》第三十六条及招标文件的约定，本项目或分包下列情况出现将作废标处理：</w:t>
      </w:r>
    </w:p>
    <w:p>
      <w:pPr>
        <w:pStyle w:val="null3"/>
        <w:ind w:firstLine="480"/>
      </w:pPr>
      <w:r>
        <w:rPr/>
        <w:t>（1）符合专业资格条件的投标人或者对招标文件作实质响应的有效投标人不足三家的（说明：使用综合评分法的采购项目，提供相同品牌产品且通过资格审查、符合性审查的不同投标人参加同一合同项下投标的，按一家投标人计算） 。</w:t>
      </w:r>
    </w:p>
    <w:p>
      <w:pPr>
        <w:pStyle w:val="null3"/>
        <w:ind w:firstLine="480"/>
      </w:pPr>
      <w:r>
        <w:rPr/>
        <w:t>（2）出现影响采购公正的违法、违规行为的。</w:t>
      </w:r>
    </w:p>
    <w:p>
      <w:pPr>
        <w:pStyle w:val="null3"/>
        <w:ind w:firstLine="480"/>
      </w:pPr>
      <w:r>
        <w:rPr/>
        <w:t>（3）投标人的报价均超过了采购预算，采购人不能支付的。</w:t>
      </w:r>
    </w:p>
    <w:p>
      <w:pPr>
        <w:pStyle w:val="null3"/>
        <w:ind w:firstLine="480"/>
      </w:pPr>
      <w:r>
        <w:rPr/>
        <w:t>（4）因重大变故，采购任务取消的。</w:t>
      </w:r>
    </w:p>
    <w:p>
      <w:pPr>
        <w:pStyle w:val="null3"/>
        <w:ind w:firstLine="480"/>
      </w:pPr>
      <w:r>
        <w:rPr/>
        <w:t>对废标的采购项目，评标委员会应出具采购文件是否存在不合理条款的论证意见。</w:t>
      </w:r>
    </w:p>
    <w:p>
      <w:pPr>
        <w:pStyle w:val="null3"/>
        <w:ind w:firstLine="480"/>
      </w:pPr>
      <w:r>
        <w:rPr/>
        <w:t>3.4终止公告：</w:t>
      </w:r>
    </w:p>
    <w:p>
      <w:pPr>
        <w:pStyle w:val="null3"/>
        <w:ind w:firstLine="480"/>
      </w:pPr>
      <w:r>
        <w:rPr/>
        <w:t xml:space="preserve"> 项目废标后，采购人或采购代理机构将在中国政府采购网(www.ccgp.gov.cn)、广东省政府采购网(https://gdgpo.czt.gd.gov.cn/)、</w:t>
      </w:r>
      <w:r>
        <w:rPr/>
        <w:t>，广东志正招标有限公司（https://www.zztender.com/）</w:t>
      </w:r>
      <w:r>
        <w:rPr/>
        <w:t>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内控部</w:t>
      </w:r>
    </w:p>
    <w:p>
      <w:pPr>
        <w:pStyle w:val="null3"/>
        <w:ind w:firstLine="480"/>
      </w:pPr>
      <w:r>
        <w:rPr/>
        <w:t>电话：</w:t>
      </w:r>
      <w:r>
        <w:rPr/>
        <w:t>02087512543</w:t>
      </w:r>
    </w:p>
    <w:p>
      <w:pPr>
        <w:pStyle w:val="null3"/>
        <w:ind w:firstLine="480"/>
      </w:pPr>
      <w:r>
        <w:rPr/>
        <w:t>传真：</w:t>
      </w:r>
      <w:r>
        <w:rPr/>
        <w:t>87554028</w:t>
      </w:r>
    </w:p>
    <w:p>
      <w:pPr>
        <w:pStyle w:val="null3"/>
        <w:ind w:firstLine="480"/>
      </w:pPr>
      <w:r>
        <w:rPr/>
        <w:t>邮箱：</w:t>
      </w:r>
      <w:r>
        <w:rPr/>
        <w:t>nkb@zztender.com</w:t>
      </w:r>
    </w:p>
    <w:p>
      <w:pPr>
        <w:pStyle w:val="null3"/>
        <w:ind w:firstLine="480"/>
      </w:pPr>
      <w:r>
        <w:rPr/>
        <w:t>地址：</w:t>
      </w:r>
      <w:r>
        <w:rPr/>
        <w:t>广东省广州市天河区龙怡路117号银汇大厦5楼</w:t>
      </w:r>
    </w:p>
    <w:p>
      <w:pPr>
        <w:pStyle w:val="null3"/>
        <w:ind w:firstLine="480"/>
      </w:pPr>
      <w:r>
        <w:rPr/>
        <w:t>邮编：</w:t>
      </w:r>
      <w:r>
        <w:rPr/>
        <w:t>510640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政府采购监督管理机构名称：广州市财政局政府采购监管处</w:t>
      </w:r>
    </w:p>
    <w:p>
      <w:pPr>
        <w:pStyle w:val="null3"/>
      </w:pPr>
      <w:r>
        <w:rPr/>
        <w:t>地 址：广州市天河区华利路61号1506室</w:t>
      </w:r>
    </w:p>
    <w:p>
      <w:pPr>
        <w:pStyle w:val="null3"/>
      </w:pPr>
      <w:r>
        <w:rPr/>
        <w:t>电 话：020-38923575</w:t>
      </w:r>
    </w:p>
    <w:p>
      <w:pPr>
        <w:pStyle w:val="null3"/>
      </w:pPr>
      <w:r>
        <w:rPr/>
        <w:t>邮 编：510030</w:t>
      </w:r>
    </w:p>
    <w:p>
      <w:pPr>
        <w:pStyle w:val="null3"/>
      </w:pPr>
      <w:r>
        <w:rPr/>
        <w:t>传 真： /</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二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pStyle w:val="null3"/>
        <w:ind w:firstLine="480"/>
      </w:pPr>
      <w:r>
        <w:rPr/>
        <w:t>2.3有融资要求的中标供应商可根据自身情况，在广东省政府采购网上自行选择金融机构及其融资产品，凭政府采购中标通知书或政府采购合同向金融机构提出融资申请。</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城市轨道交通服务员实训系统购置项目)：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广东志正招标有限公司</w:t>
      </w:r>
      <w:r>
        <w:rPr/>
        <w:t>统一对外发布。</w:t>
      </w:r>
    </w:p>
    <w:p>
      <w:pPr>
        <w:pStyle w:val="null3"/>
        <w:ind w:firstLine="480"/>
      </w:pPr>
      <w:r>
        <w:rPr/>
        <w:t>（2）对</w:t>
      </w:r>
      <w:r>
        <w:rPr/>
        <w:t>广东志正招标有限公司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4.7投标人上传的电子投标文件使用该项目其他投标人的数字证书加密的或加盖该项目的其他投标人的电子印章的。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第二中标候选人报价高于第一中标候选人报价20％以上的，只推荐1名中标候选人。（下浮率报价为:设 M= (1-下浮率)，第二中标候选人的 M值高于第一中标候选人 M 值 20%以上的，只推荐 1名中标候选人。)。 第一中标候选人无正当理由不得随意放弃中标资格。中标候选人放弃中标资格的，采购人可以按照评审报告推荐的中标候选人名单排序，确定下一候选人为中标人，也可以重新开展政府采购活动。</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采购包1（城市轨道交通服务员实训系统购置项目）：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节能、环保产品</w:t>
            </w:r>
          </w:p>
        </w:tc>
        <w:tc>
          <w:tcPr>
            <w:tcW w:type="dxa" w:w="2160"/>
          </w:tcPr>
          <w:p>
            <w:pPr>
              <w:pStyle w:val="null3"/>
            </w:pPr>
            <w:r>
              <w:rPr/>
              <w:t xml:space="preserve"> ——</w:t>
            </w:r>
          </w:p>
        </w:tc>
        <w:tc>
          <w:tcPr>
            <w:tcW w:type="dxa" w:w="1246"/>
          </w:tcPr>
          <w:p>
            <w:pPr>
              <w:pStyle w:val="null3"/>
            </w:pPr>
            <w:r>
              <w:rPr/>
              <w:t>2%</w:t>
            </w:r>
          </w:p>
        </w:tc>
        <w:tc>
          <w:tcPr>
            <w:tcW w:type="dxa" w:w="2160"/>
          </w:tcPr>
          <w:p>
            <w:pPr>
              <w:pStyle w:val="null3"/>
              <w:jc w:val="left"/>
            </w:pPr>
            <w:r>
              <w:rPr/>
              <w:t>节能产品、环境标志产品价格扣除： 1.投标产品（针对非政府强制采购产品）获得有效期内的节能产品认证证书的，对节能产品的价格给予2%的扣除，用扣除后的价格参与评审。（提供节能产品认证证书）。 2.投标产品（针对非政府强制采购产品）获得有效期内的环境标志产品认证证书的，对环境标志产品的价格给予2%的扣除，用扣除后的价格参与评审。（提供环境标志产品认证证书）。 3.对属于强制采购的节能产品，节能要求作为实质性响应指标，不再享受评审优惠。</w:t>
            </w:r>
          </w:p>
        </w:tc>
      </w:tr>
      <w:tr>
        <w:tc>
          <w:tcPr>
            <w:tcW w:type="dxa" w:w="8307"/>
            <w:gridSpan w:val="5"/>
          </w:tcPr>
          <w:p>
            <w:pPr>
              <w:pStyle w:val="null3"/>
              <w:jc w:val="left"/>
            </w:pPr>
            <w:r>
              <w:rPr/>
              <w:t>注：（1）上述评标价仅用于计算价格评分，成交金额以实际投标（响应）价为准。 （2）组成联合体或者接受分包的小微企业与联合体内其他企业、分包企业之间存在直接控股、管理关系的，不享受价格扣除优惠政策。</w:t>
            </w:r>
          </w:p>
        </w:tc>
      </w:tr>
    </w:tbl>
    <w:p>
      <w:pPr>
        <w:pStyle w:val="null3"/>
      </w:pP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对各投标人进行资格审查和符合性审查过程中，对初步被认定为无效投标者，由评标委员会组长或采购人代表将集体意见及时告知投标当事人。采购代理机构应在评标报告中以书面形式解释其排除的具体原因</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采购包1（城市轨道交通服务员实训系统购置项目）：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投标（响应）时提交有效的营业执照（或事业法人登记证或身份证等相关证明）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提供签署及盖章合格的投标函。</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提供签署及盖章合格的投标函。</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提供签署及盖章合格的投标函。</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提供签署及盖章合格的投标函。【重大违法记录，是指投标人因违法经营受到刑事处罚或者责令停产停业、吊销许可证或者执照、较大数额罚款等行政处罚。（根据财库〔2022〕3 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投标人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截止时间当天在“信用中国”网站（www.creditchina.gov.cn）及中国政府采购网（http：//www.ccgp.gov.cn/）查询结果为准，如相关失信记录已失效，投标人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管理关系的不同投标人，不得同时参加本采购项目（或采购包）投标（响应）。为本项目提供整体设计、规范编制或者项目管理、监理、检测等服务的投标人，不得再参与本项目投标（响应）。投标函相关承诺要求内容。</w:t>
            </w:r>
          </w:p>
        </w:tc>
      </w:tr>
      <w:tr>
        <w:tc>
          <w:tcPr>
            <w:tcW w:type="dxa" w:w="890"/>
          </w:tcPr>
          <w:p>
            <w:pPr>
              <w:pStyle w:val="null3"/>
            </w:pPr>
            <w:r>
              <w:rPr/>
              <w:t>8</w:t>
            </w:r>
          </w:p>
        </w:tc>
        <w:tc>
          <w:tcPr>
            <w:tcW w:type="dxa" w:w="3178"/>
          </w:tcPr>
          <w:p>
            <w:pPr>
              <w:pStyle w:val="null3"/>
            </w:pPr>
            <w:r>
              <w:rPr/>
              <w:t>本采购包不接受联合体投标</w:t>
            </w:r>
          </w:p>
        </w:tc>
        <w:tc>
          <w:tcPr>
            <w:tcW w:type="dxa" w:w="4238"/>
          </w:tcPr>
          <w:p>
            <w:pPr>
              <w:pStyle w:val="null3"/>
            </w:pPr>
            <w:r>
              <w:rPr/>
              <w:t>本采购包不接受联合体投标。</w:t>
            </w:r>
          </w:p>
        </w:tc>
      </w:tr>
      <w:tr>
        <w:tc>
          <w:tcPr>
            <w:tcW w:type="dxa" w:w="890"/>
          </w:tcPr>
          <w:p>
            <w:pPr>
              <w:pStyle w:val="null3"/>
            </w:pPr>
            <w:r>
              <w:rPr/>
              <w:t>9</w:t>
            </w:r>
          </w:p>
        </w:tc>
        <w:tc>
          <w:tcPr>
            <w:tcW w:type="dxa" w:w="3178"/>
          </w:tcPr>
          <w:p>
            <w:pPr>
              <w:pStyle w:val="null3"/>
            </w:pPr>
            <w:r>
              <w:rPr/>
              <w:t>本采购包专门面向中小企业采购</w:t>
            </w:r>
          </w:p>
        </w:tc>
        <w:tc>
          <w:tcPr>
            <w:tcW w:type="dxa" w:w="4238"/>
          </w:tcPr>
          <w:p>
            <w:pPr>
              <w:pStyle w:val="null3"/>
            </w:pPr>
            <w:r>
              <w:rPr/>
              <w:t>本采购包专门面向中小企业采购，所有货物的制造商均须为符合本采购包采购标的所属行业政策划分标准的中小微企业，供应商应按规定提供《中小企业声明函》。监狱企业、残疾人福利单位视同小型、微型企业。（注：中小微企业以供应商填写的《中小企业声明函》（见投标（响应）格式）为判定标准，残疾人福利性单位以供应商填写的《残疾人福利性单位声明函》（见投标（响应）格式）为判定标准，监狱企业须投标人提供由省级以上监狱管理局、戒毒管理局（含新疆生产建设兵团）出具的属于监狱企业的证明文件，否则不予认定。）</w:t>
            </w:r>
          </w:p>
        </w:tc>
      </w:tr>
    </w:tbl>
    <w:p>
      <w:pPr>
        <w:pStyle w:val="null3"/>
        <w:ind w:firstLine="480"/>
      </w:pPr>
      <w:r>
        <w:rPr/>
        <w:t>表二符合性审查表：</w:t>
      </w:r>
    </w:p>
    <w:p>
      <w:pPr>
        <w:pStyle w:val="null3"/>
      </w:pPr>
      <w:r>
        <w:rPr/>
        <w:t>采购包1（城市轨道交通服务员实训系统购置项目）：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投标有效期</w:t>
            </w:r>
          </w:p>
        </w:tc>
        <w:tc>
          <w:tcPr>
            <w:tcW w:type="dxa" w:w="4238"/>
          </w:tcPr>
          <w:p>
            <w:pPr>
              <w:pStyle w:val="null3"/>
            </w:pPr>
            <w:r>
              <w:rPr/>
              <w:t>符合投标有效期</w:t>
            </w:r>
          </w:p>
        </w:tc>
      </w:tr>
      <w:tr>
        <w:tc>
          <w:tcPr>
            <w:tcW w:type="dxa" w:w="890"/>
          </w:tcPr>
          <w:p>
            <w:pPr>
              <w:pStyle w:val="null3"/>
            </w:pPr>
            <w:r>
              <w:rPr/>
              <w:t>2</w:t>
            </w:r>
          </w:p>
        </w:tc>
        <w:tc>
          <w:tcPr>
            <w:tcW w:type="dxa" w:w="3178"/>
          </w:tcPr>
          <w:p>
            <w:pPr>
              <w:pStyle w:val="null3"/>
            </w:pPr>
            <w:r>
              <w:rPr/>
              <w:t>投标文件按照招标文件规定要求签署、盖章</w:t>
            </w:r>
          </w:p>
        </w:tc>
        <w:tc>
          <w:tcPr>
            <w:tcW w:type="dxa" w:w="4238"/>
          </w:tcPr>
          <w:p>
            <w:pPr>
              <w:pStyle w:val="null3"/>
            </w:pPr>
            <w:r>
              <w:rPr/>
              <w:t>投标文件按照招标文件规定要求签署、盖章，包含：①投标函；②法定代表人证明书或法定代表人授权书；③开标一览表；④分项报价表</w:t>
            </w:r>
          </w:p>
        </w:tc>
      </w:tr>
      <w:tr>
        <w:tc>
          <w:tcPr>
            <w:tcW w:type="dxa" w:w="890"/>
          </w:tcPr>
          <w:p>
            <w:pPr>
              <w:pStyle w:val="null3"/>
            </w:pPr>
            <w:r>
              <w:rPr/>
              <w:t>3</w:t>
            </w:r>
          </w:p>
        </w:tc>
        <w:tc>
          <w:tcPr>
            <w:tcW w:type="dxa" w:w="3178"/>
          </w:tcPr>
          <w:p>
            <w:pPr>
              <w:pStyle w:val="null3"/>
            </w:pPr>
            <w:r>
              <w:rPr/>
              <w:t>投标报价</w:t>
            </w:r>
          </w:p>
        </w:tc>
        <w:tc>
          <w:tcPr>
            <w:tcW w:type="dxa" w:w="4238"/>
          </w:tcPr>
          <w:p>
            <w:pPr>
              <w:pStyle w:val="null3"/>
            </w:pPr>
            <w:r>
              <w:rPr/>
              <w:t>投标报价没有超出预算金额或最高限价</w:t>
            </w:r>
          </w:p>
        </w:tc>
      </w:tr>
      <w:tr>
        <w:tc>
          <w:tcPr>
            <w:tcW w:type="dxa" w:w="890"/>
          </w:tcPr>
          <w:p>
            <w:pPr>
              <w:pStyle w:val="null3"/>
            </w:pPr>
            <w:r>
              <w:rPr/>
              <w:t>4</w:t>
            </w:r>
          </w:p>
        </w:tc>
        <w:tc>
          <w:tcPr>
            <w:tcW w:type="dxa" w:w="3178"/>
          </w:tcPr>
          <w:p>
            <w:pPr>
              <w:pStyle w:val="null3"/>
            </w:pPr>
            <w:r>
              <w:rPr/>
              <w:t>标注“★”的条款的满足情况</w:t>
            </w:r>
          </w:p>
        </w:tc>
        <w:tc>
          <w:tcPr>
            <w:tcW w:type="dxa" w:w="4238"/>
          </w:tcPr>
          <w:p>
            <w:pPr>
              <w:pStyle w:val="null3"/>
            </w:pPr>
            <w:r>
              <w:rPr/>
              <w:t>完全满足招标文件中标注“★”的条款</w:t>
            </w:r>
          </w:p>
        </w:tc>
      </w:tr>
      <w:tr>
        <w:tc>
          <w:tcPr>
            <w:tcW w:type="dxa" w:w="890"/>
          </w:tcPr>
          <w:p>
            <w:pPr>
              <w:pStyle w:val="null3"/>
            </w:pPr>
            <w:r>
              <w:rPr/>
              <w:t>5</w:t>
            </w:r>
          </w:p>
        </w:tc>
        <w:tc>
          <w:tcPr>
            <w:tcW w:type="dxa" w:w="3178"/>
          </w:tcPr>
          <w:p>
            <w:pPr>
              <w:pStyle w:val="null3"/>
            </w:pPr>
            <w:r>
              <w:rPr/>
              <w:t>未出现有关法律、法规、规章或招标文件规定的属于投标无效的情形</w:t>
            </w:r>
          </w:p>
        </w:tc>
        <w:tc>
          <w:tcPr>
            <w:tcW w:type="dxa" w:w="4238"/>
          </w:tcPr>
          <w:p>
            <w:pPr>
              <w:pStyle w:val="null3"/>
            </w:pPr>
            <w:r>
              <w:rPr/>
              <w:t>未出现有关法律、法规、规章或招标文件规定的属于投标无效的情形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采购包1(城市轨道交通服务员实训系统购置项目):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商务部分16.0分</w:t>
            </w:r>
          </w:p>
          <w:p>
            <w:pPr>
              <w:pStyle w:val="null3"/>
            </w:pPr>
            <w:r>
              <w:rPr/>
              <w:t>技术部分49.0分</w:t>
            </w:r>
          </w:p>
          <w:p>
            <w:pPr>
              <w:pStyle w:val="null3"/>
            </w:pPr>
            <w:r>
              <w:rPr/>
              <w:t>综合信用分5.0分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重要技术指标响应情况 (12.0分)</w:t>
            </w:r>
          </w:p>
        </w:tc>
        <w:tc>
          <w:tcPr>
            <w:tcW w:type="dxa" w:w="5076"/>
          </w:tcPr>
          <w:p>
            <w:pPr>
              <w:pStyle w:val="null3"/>
              <w:jc w:val="left"/>
            </w:pPr>
            <w:r>
              <w:rPr/>
              <w:t>根据投标人投标产品的“▲”号重要技术参数响应程度进行评审(共计3条)。重要技术参数完全满足，得12分，有1条负偏离得8分，有2条负偏离得4分，有3条负偏离不得分。 注:如采购需求中有明确提供的证明资料，则以采购需求要求为准，无或未按要求提供证明材料的不得分；如采购需求中无明确证明材料的，以投标人的投标文件《技术和服务要求响应表》中的响应情况填写内容为准，未填写或不满足的视为负偏离。</w:t>
            </w:r>
          </w:p>
        </w:tc>
      </w:tr>
      <w:tr>
        <w:tc>
          <w:tcPr>
            <w:tcW w:type="dxa" w:w="922"/>
            <w:gridSpan w:val="2"/>
            <w:vMerge/>
          </w:tcPr>
          <w:p/>
        </w:tc>
        <w:tc>
          <w:tcPr>
            <w:tcW w:type="dxa" w:w="2307"/>
          </w:tcPr>
          <w:p>
            <w:pPr>
              <w:pStyle w:val="null3"/>
              <w:jc w:val="left"/>
            </w:pPr>
            <w:r>
              <w:rPr/>
              <w:t>一般条款的响应情况 (6.0分)</w:t>
            </w:r>
          </w:p>
        </w:tc>
        <w:tc>
          <w:tcPr>
            <w:tcW w:type="dxa" w:w="5076"/>
          </w:tcPr>
          <w:p>
            <w:pPr>
              <w:pStyle w:val="null3"/>
              <w:jc w:val="left"/>
            </w:pPr>
            <w:r>
              <w:rPr/>
              <w:t>根据投标人对采购需求的具体技术（参数）要求中除“★”和“▲”和“演示项”的一般参数条款项响应情况进行评审。每全部满足一个产品的所有非“★”和非“▲”和非“演示项”技术参数该产品得1.5分（如有一项（或以上）参数负偏离，则对应产品不得分），本项评分最高得6分(共有4个产品，每个产品占1.5分)。 注：如采购需求中有明确提供的证明资料，则以采购需求要求为准，无或未按要求提供证明材料的不得分；如采购需求中无明确证明材料的，以投标人的投标文件《技术和服务要求响应表》中的响应情况填写内容为推，未填写或不满足的视为负偏离。</w:t>
            </w:r>
          </w:p>
        </w:tc>
      </w:tr>
      <w:tr>
        <w:tc>
          <w:tcPr>
            <w:tcW w:type="dxa" w:w="922"/>
            <w:gridSpan w:val="2"/>
            <w:vMerge/>
          </w:tcPr>
          <w:p/>
        </w:tc>
        <w:tc>
          <w:tcPr>
            <w:tcW w:type="dxa" w:w="2307"/>
          </w:tcPr>
          <w:p>
            <w:pPr>
              <w:pStyle w:val="null3"/>
              <w:jc w:val="left"/>
            </w:pPr>
            <w:r>
              <w:rPr/>
              <w:t>项目整体实施方案1 (2.0分)</w:t>
            </w:r>
          </w:p>
        </w:tc>
        <w:tc>
          <w:tcPr>
            <w:tcW w:type="dxa" w:w="5076"/>
          </w:tcPr>
          <w:p>
            <w:pPr>
              <w:pStyle w:val="null3"/>
              <w:jc w:val="left"/>
            </w:pPr>
            <w:r>
              <w:rPr/>
              <w:t>根据投标人提供的项目整体实施方案进行评分（包括但不限于以下内容：①供货方案；②发运货物时随机技术资料要求；③技术培训方案；④安装调试方案等）： 有提供整体实施方案(包含①供货方案；②发运货物时随机技术资料要求；③技术培训方案；④安装调试方案)，得 2分，不提供或内容不全不得分；如未能提供整体实施方案或内容不全的，项目整体实施方案2均不得分。</w:t>
            </w:r>
          </w:p>
        </w:tc>
      </w:tr>
      <w:tr>
        <w:tc>
          <w:tcPr>
            <w:tcW w:type="dxa" w:w="922"/>
            <w:gridSpan w:val="2"/>
            <w:vMerge/>
          </w:tcPr>
          <w:p/>
        </w:tc>
        <w:tc>
          <w:tcPr>
            <w:tcW w:type="dxa" w:w="2307"/>
          </w:tcPr>
          <w:p>
            <w:pPr>
              <w:pStyle w:val="null3"/>
              <w:jc w:val="left"/>
            </w:pPr>
            <w:r>
              <w:rPr/>
              <w:t>项目整体实施方案2 (6.0分)</w:t>
            </w:r>
          </w:p>
        </w:tc>
        <w:tc>
          <w:tcPr>
            <w:tcW w:type="dxa" w:w="5076"/>
          </w:tcPr>
          <w:p>
            <w:pPr>
              <w:pStyle w:val="null3"/>
              <w:jc w:val="left"/>
            </w:pPr>
            <w:r>
              <w:rPr/>
              <w:t>根据投标人提供的项目整体实施方案进行评分（包括但不限于以下内容：①供货方案；②发运货物时随机技术资料要求；③技术培训方案；④安装调试方案等）： （1）项目整体实施方案完整合理、可行性高、针对性强，对项目情况有充分理解，供货效率高的，得6分； （2）项目整体实施方案基本合理、具备一定可行性和针对性，供货效率中等的，得4分； （3）项目整体实施方案可行性、针对性弱，对项目情况不够全面，得2分； （4）未能提供整体实施方案或内容不全的，得0分。</w:t>
            </w:r>
          </w:p>
        </w:tc>
      </w:tr>
      <w:tr>
        <w:tc>
          <w:tcPr>
            <w:tcW w:type="dxa" w:w="922"/>
            <w:gridSpan w:val="2"/>
            <w:vMerge/>
          </w:tcPr>
          <w:p/>
        </w:tc>
        <w:tc>
          <w:tcPr>
            <w:tcW w:type="dxa" w:w="2307"/>
          </w:tcPr>
          <w:p>
            <w:pPr>
              <w:pStyle w:val="null3"/>
              <w:jc w:val="left"/>
            </w:pPr>
            <w:r>
              <w:rPr/>
              <w:t>售后服务方案1 (2.0分)</w:t>
            </w:r>
          </w:p>
        </w:tc>
        <w:tc>
          <w:tcPr>
            <w:tcW w:type="dxa" w:w="5076"/>
          </w:tcPr>
          <w:p>
            <w:pPr>
              <w:pStyle w:val="null3"/>
              <w:jc w:val="left"/>
            </w:pPr>
            <w:r>
              <w:rPr/>
              <w:t>根据投标人提供的项目售后服务方案进行评分： 有提供售后服务方案得2分，不提供不得分；如未能提售后服务方案的，售后服务方案2均不得分。</w:t>
            </w:r>
          </w:p>
        </w:tc>
      </w:tr>
      <w:tr>
        <w:tc>
          <w:tcPr>
            <w:tcW w:type="dxa" w:w="922"/>
            <w:gridSpan w:val="2"/>
            <w:vMerge/>
          </w:tcPr>
          <w:p/>
        </w:tc>
        <w:tc>
          <w:tcPr>
            <w:tcW w:type="dxa" w:w="2307"/>
          </w:tcPr>
          <w:p>
            <w:pPr>
              <w:pStyle w:val="null3"/>
              <w:jc w:val="left"/>
            </w:pPr>
            <w:r>
              <w:rPr/>
              <w:t>售后服务方案2 (4.0分)</w:t>
            </w:r>
          </w:p>
        </w:tc>
        <w:tc>
          <w:tcPr>
            <w:tcW w:type="dxa" w:w="5076"/>
          </w:tcPr>
          <w:p>
            <w:pPr>
              <w:pStyle w:val="null3"/>
              <w:jc w:val="left"/>
            </w:pPr>
            <w:r>
              <w:rPr/>
              <w:t>根据投标人提供的项目售后服务方案，包括但不限于以下内容：售后服务保障措施、技术支持、售后服务响应、应急保障措施、人员培训计划、备品备件情况等方面进行评分： （1）项目售后服务方案与本项目的具体特点和实际需要适应度高，利于项目实施，针对性强，得4分； （2）项目售后服务方案与本项目的具体特点和实际需要基本适应，有针对性，得2分； （3）项目售后服务方案与本项目的具体特点以及项目实际需要适应程度较弱，针对性较差，得1分； （4）不提供售后服务方案的，得0分。</w:t>
            </w:r>
          </w:p>
        </w:tc>
      </w:tr>
      <w:tr>
        <w:tc>
          <w:tcPr>
            <w:tcW w:type="dxa" w:w="922"/>
            <w:gridSpan w:val="2"/>
            <w:vMerge/>
          </w:tcPr>
          <w:p/>
        </w:tc>
        <w:tc>
          <w:tcPr>
            <w:tcW w:type="dxa" w:w="2307"/>
          </w:tcPr>
          <w:p>
            <w:pPr>
              <w:pStyle w:val="null3"/>
              <w:jc w:val="left"/>
            </w:pPr>
            <w:r>
              <w:rPr/>
              <w:t>质保期承诺响应 (2.0分)</w:t>
            </w:r>
          </w:p>
        </w:tc>
        <w:tc>
          <w:tcPr>
            <w:tcW w:type="dxa" w:w="5076"/>
          </w:tcPr>
          <w:p>
            <w:pPr>
              <w:pStyle w:val="null3"/>
              <w:jc w:val="left"/>
            </w:pPr>
            <w:r>
              <w:rPr/>
              <w:t>在满足本项目招标文件规定的质保期的基础上，投标人每增加一年免费质保期，得1分（质保期限增加时间不满一个整年度的不计分），最多得2分。 注：1、本采购包中若有多个产品，评分时以多个产品中质保期限最短的作为计分依据。2、投标人提供承诺函，格式自拟并加盖公章，未提供或承诺的内容不符合不得分。</w:t>
            </w:r>
          </w:p>
        </w:tc>
      </w:tr>
      <w:tr>
        <w:tc>
          <w:tcPr>
            <w:tcW w:type="dxa" w:w="922"/>
            <w:gridSpan w:val="2"/>
            <w:vMerge/>
          </w:tcPr>
          <w:p/>
        </w:tc>
        <w:tc>
          <w:tcPr>
            <w:tcW w:type="dxa" w:w="2307"/>
          </w:tcPr>
          <w:p>
            <w:pPr>
              <w:pStyle w:val="null3"/>
              <w:jc w:val="left"/>
            </w:pPr>
            <w:r>
              <w:rPr/>
              <w:t>功能演示 (15.0分)</w:t>
            </w:r>
          </w:p>
        </w:tc>
        <w:tc>
          <w:tcPr>
            <w:tcW w:type="dxa" w:w="5076"/>
          </w:tcPr>
          <w:p>
            <w:pPr>
              <w:pStyle w:val="null3"/>
              <w:jc w:val="left"/>
            </w:pPr>
            <w:r>
              <w:rPr/>
              <w:t>1、车站控制室设备功能视频演示（共计4分） 投标人需提供车站控制室设备功能的实物操作演示视频，详细演示内容如下： （1）投标人需演示行车值班员确认车控室设备状态及站务员确认站台门工作状态的完整处置流程，可播放提前录制的视频，视频中需呈现清晰的行车值班员的手指口呼及完整处置过程，处置流程中应包含行车值班员确认车站ATS信号设备状态和IBP盘相关设备状态。 演示内容完整、功能齐全、播放流程流畅的得2分；功能、流程不能完全展示的得0分； （2）投标人需演示接收控制权和组织列车按计划运行故障的完整处置流程，可播放提前录制的视频，视频中需呈现清晰的行车值班员的完整处置过程，处置过程需清晰体现行车值班员通过电话进行联控，行车值班员接受到调度任务后需对车站级ATS进行设备状态确认，随后视频中应清晰的展示出行车值班员接受控制权的相关操作，操作完成后行车值班员应向调度进行汇报，汇报后应清晰展示行车值班员组织管辖车站范围内图定列车按计划运行的详细操作，整个处置过程中操作视频应清晰的展示行车值班员手指口呼相关操作。 演示内容完整、功能齐全、播放流程流畅的得2分；功能、流程不能完全展示的得0分； 2、售检票系统功能视频演示（共计8分） 投标人需提供售检票系统虚拟拆装功能的实物操作演示视频，详细演示内容如下： （1）要求系统构建全三维自动售票机的高精度模型，不同方位进行展示。完整展示得2分；功能不能完全展示的得0分； （2）系统应包含拆装工序编辑与管理、虚拟拆装自动展示及虚拟拆装交互演练三大模块。完整展示得2分；功能、流程不能完全展示的得0分； （3）系统展示通过拆装操作台，选择工序和应使用的工具进行拆分或组装，系统提示拆装的零部件名称；完整展示得2分；功能、流程不能完全展示的得0分； （4）要求通过设备爆炸合成图，直观地显示设备的各个部件，点击部件有对应的文字和语音介绍。完整展示得1分；功能不能完全展示的得0分； （5）要求展示练习模式有步骤提示，考核模式没有步骤提示的现象。完整展示得1分；功能、流程不能完全展示的得0分； 3、人工评分系统功能视频演示（共计3分） 投标人需提供人工评分系统功能的实物操作演示视频，详细演示内容如下： （1）评分成绩上传：点击上传，弹出提示并上传后，上传选手所有成绩（上传后，分数无法修改，可查看）（上传不显示标记内容）。 （2）定位标记功能：点击定位标记，自动定位到标记区域，可对作业内容进行标记，和取消标记，可对学员的错误项点进行标记和批注。 （3）评分修改功能：若成绩上传之后，又对步骤评判结果进行了更改，则本步骤扣分数值、总扣分数值和总得分数值自动进行对应更改。 该项内三小点演示内容完整、功能齐全、播放流程流畅的得3分；如有一项或多项功能、流程不能完全展示的得0分。</w:t>
            </w:r>
          </w:p>
        </w:tc>
      </w:tr>
      <w:tr>
        <w:tc>
          <w:tcPr>
            <w:tcW w:type="dxa" w:w="922"/>
            <w:gridSpan w:val="2"/>
            <w:vMerge w:val="restart"/>
          </w:tcPr>
          <w:p>
            <w:pPr>
              <w:pStyle w:val="null3"/>
              <w:jc w:val="center"/>
            </w:pPr>
            <w:r>
              <w:rPr/>
              <w:t>商务部分</w:t>
            </w:r>
          </w:p>
        </w:tc>
        <w:tc>
          <w:tcPr>
            <w:tcW w:type="dxa" w:w="2307"/>
          </w:tcPr>
          <w:p>
            <w:pPr>
              <w:pStyle w:val="null3"/>
              <w:jc w:val="left"/>
            </w:pPr>
            <w:r>
              <w:rPr/>
              <w:t>投标人同类项目业绩情况 (4.0分)</w:t>
            </w:r>
          </w:p>
        </w:tc>
        <w:tc>
          <w:tcPr>
            <w:tcW w:type="dxa" w:w="5076"/>
          </w:tcPr>
          <w:p>
            <w:pPr>
              <w:pStyle w:val="null3"/>
              <w:jc w:val="left"/>
            </w:pPr>
            <w:r>
              <w:rPr/>
              <w:t>投标人提供自2021年1月1日以来（以合同签订时间为准）具有同类（同类指虚拟仿真或实训室建设类）经验的业绩，每提供1个得1分，最多得4分。 注：以合同签订时间为准。提供合同关键页扫描件（关键页包括签订时间、项目名称、双方盖章、服务内容等），否则不得分。</w:t>
            </w:r>
          </w:p>
        </w:tc>
      </w:tr>
      <w:tr>
        <w:tc>
          <w:tcPr>
            <w:tcW w:type="dxa" w:w="922"/>
            <w:gridSpan w:val="2"/>
            <w:vMerge/>
          </w:tcPr>
          <w:p/>
        </w:tc>
        <w:tc>
          <w:tcPr>
            <w:tcW w:type="dxa" w:w="2307"/>
          </w:tcPr>
          <w:p>
            <w:pPr>
              <w:pStyle w:val="null3"/>
              <w:jc w:val="left"/>
            </w:pPr>
            <w:r>
              <w:rPr/>
              <w:t>企业资质 (6.0分)</w:t>
            </w:r>
          </w:p>
        </w:tc>
        <w:tc>
          <w:tcPr>
            <w:tcW w:type="dxa" w:w="5076"/>
          </w:tcPr>
          <w:p>
            <w:pPr>
              <w:pStyle w:val="null3"/>
              <w:jc w:val="left"/>
            </w:pPr>
            <w:r>
              <w:rPr/>
              <w:t>投标人具有质量管理体系认证得2分； 投标人具有职业健康安全管理体系认证得2分； 投标人具有环境管理体系认证得2分。 注：同时提供上述认证证书复印件和打印网站公布的链接信息资料【以http://www.cnca.gov.cn/网站公布为准，证书必须处于“有效”状态】。公开信息中无法查询或与公开信息不一致的，投标人必须提供发证机构出具的证明函。无或缺项或未按要求递交证明材料的不得分。上述证书如因投标人成立时间不足3个月的原因未能获得的，视可对应得分。</w:t>
            </w:r>
          </w:p>
        </w:tc>
      </w:tr>
      <w:tr>
        <w:tc>
          <w:tcPr>
            <w:tcW w:type="dxa" w:w="922"/>
            <w:gridSpan w:val="2"/>
            <w:vMerge/>
          </w:tcPr>
          <w:p/>
        </w:tc>
        <w:tc>
          <w:tcPr>
            <w:tcW w:type="dxa" w:w="2307"/>
          </w:tcPr>
          <w:p>
            <w:pPr>
              <w:pStyle w:val="null3"/>
              <w:jc w:val="left"/>
            </w:pPr>
            <w:r>
              <w:rPr/>
              <w:t>拟投入本项目管理人员情况 (3.0分)</w:t>
            </w:r>
          </w:p>
        </w:tc>
        <w:tc>
          <w:tcPr>
            <w:tcW w:type="dxa" w:w="5076"/>
          </w:tcPr>
          <w:p>
            <w:pPr>
              <w:pStyle w:val="null3"/>
              <w:jc w:val="left"/>
            </w:pPr>
            <w:r>
              <w:rPr/>
              <w:t>项目管理人员（项目经理）资质情况：投标人拟投入本项目的项目经理具有信息系统项目管理师资格证书得3分，不提供不得分。 【注：须提供以上资质证明材料复印件以及以上人员在投标人或投标人服务的外部证明材料或扫描件，如投标截止日之前六个月以内任意一个月份的代缴个税税单或参加社会保险的《投保单》或《社会保险参保人员证明》，或免税或免缴社保的证明等。】</w:t>
            </w:r>
          </w:p>
        </w:tc>
      </w:tr>
      <w:tr>
        <w:tc>
          <w:tcPr>
            <w:tcW w:type="dxa" w:w="922"/>
            <w:gridSpan w:val="2"/>
            <w:vMerge/>
          </w:tcPr>
          <w:p/>
        </w:tc>
        <w:tc>
          <w:tcPr>
            <w:tcW w:type="dxa" w:w="2307"/>
          </w:tcPr>
          <w:p>
            <w:pPr>
              <w:pStyle w:val="null3"/>
              <w:jc w:val="left"/>
            </w:pPr>
            <w:r>
              <w:rPr/>
              <w:t>拟投入本项目技术人员情况 (3.0分)</w:t>
            </w:r>
          </w:p>
        </w:tc>
        <w:tc>
          <w:tcPr>
            <w:tcW w:type="dxa" w:w="5076"/>
          </w:tcPr>
          <w:p>
            <w:pPr>
              <w:pStyle w:val="null3"/>
              <w:jc w:val="left"/>
            </w:pPr>
            <w:r>
              <w:rPr/>
              <w:t>1.技术服务人员资质情况（项目经理除外）：投标人拟投入本项目的技术服务人员具有中级或以上注册电气工程师证书，每提供一个得1.5分，最高得1.5分，不提供不得分。 2.售后技术服务人员资质情况（项目经理除外）：投标人拟投入本项目的售后技术服务人员具有软件设计师资格证书，每提供一个得1.5分，最高得1.5分，不提供不得分。 【注：须提供以上资质证明材料复印件及以上人员在投标人或投标人服务的外部证明材料或扫描件，如投标截止日之前六个月以内任意一个月份的代缴个税税单或参加社会保险的《投保单》或《社会保险参保人员证明》，或免税或免缴社保的证明等。】</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r>
        <w:tc>
          <w:tcPr>
            <w:tcW w:type="dxa" w:w="922"/>
            <w:gridSpan w:val="2"/>
          </w:tcPr>
          <w:p>
            <w:pPr>
              <w:pStyle w:val="null3"/>
              <w:jc w:val="center"/>
            </w:pPr>
            <w:r>
              <w:rPr/>
              <w:t>综合信用分</w:t>
            </w:r>
          </w:p>
        </w:tc>
        <w:tc>
          <w:tcPr>
            <w:tcW w:type="dxa" w:w="2307"/>
          </w:tcPr>
          <w:p>
            <w:pPr>
              <w:pStyle w:val="null3"/>
              <w:jc w:val="left"/>
            </w:pPr>
            <w:r>
              <w:rPr/>
              <w:t>综合信用评价 (5.0分)</w:t>
            </w:r>
          </w:p>
        </w:tc>
        <w:tc>
          <w:tcPr>
            <w:tcW w:type="dxa" w:w="5076"/>
          </w:tcPr>
          <w:p>
            <w:pPr>
              <w:pStyle w:val="null3"/>
              <w:jc w:val="left"/>
            </w:pPr>
            <w:r>
              <w:rPr/>
              <w:t>综合信用评价得分=综合信用评价得分(属于商务部分的一部分)=投标人的广州公共资源交易信用评价（政府采购供应商信用评价分）×5%。 投标人的信用评价分以开标当天广州交易集团有限公司网站公布的分值为准（通过“广州交易集团有限公司网站-信用信息-广州公共资源交易信用平台3.0” 进行核实，未能在网站查询到供应商信用评价分的，以当天信用评价基准分计算）。供应商为联合体的，以牵头方信用评价分计算。</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第二中标候选人报价高于第一中标候选人报价20%以上的，只推荐1名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44"/>
        </w:rPr>
        <w:t>广东省政府采购</w:t>
      </w:r>
    </w:p>
    <w:p>
      <w:pPr>
        <w:pStyle w:val="null3"/>
        <w:jc w:val="center"/>
      </w:pPr>
      <w:r>
        <w:rPr>
          <w:sz w:val="24"/>
        </w:rPr>
        <w:t>（本合同为中小企业预留合同）</w:t>
      </w:r>
    </w:p>
    <w:p>
      <w:pPr>
        <w:pStyle w:val="null3"/>
        <w:jc w:val="center"/>
      </w:pPr>
      <w:r>
        <w:rPr>
          <w:sz w:val="44"/>
        </w:rPr>
        <w:t>合</w:t>
      </w:r>
      <w:r>
        <w:rPr>
          <w:sz w:val="44"/>
        </w:rPr>
        <w:t>同</w:t>
      </w:r>
      <w:r>
        <w:rPr>
          <w:sz w:val="44"/>
        </w:rPr>
        <w:t>书</w:t>
      </w:r>
    </w:p>
    <w:p>
      <w:pPr>
        <w:pStyle w:val="null3"/>
        <w:jc w:val="both"/>
      </w:pPr>
      <w:r>
        <w:rPr>
          <w:sz w:val="21"/>
        </w:rPr>
        <w:t xml:space="preserve">  </w:t>
      </w:r>
      <w:r>
        <w:rPr>
          <w:sz w:val="24"/>
        </w:rPr>
        <w:t xml:space="preserve"> </w:t>
      </w:r>
      <w:r>
        <w:rPr>
          <w:sz w:val="24"/>
        </w:rPr>
        <w:t>采购计划编号：</w:t>
      </w:r>
      <w:r>
        <w:rPr>
          <w:sz w:val="21"/>
          <w:u w:val="single"/>
        </w:rPr>
        <w:t xml:space="preserve"> </w:t>
      </w:r>
      <w:r>
        <w:rPr>
          <w:sz w:val="21"/>
          <w:u w:val="single"/>
        </w:rPr>
        <w:t xml:space="preserve">                                   </w:t>
      </w:r>
    </w:p>
    <w:p>
      <w:pPr>
        <w:pStyle w:val="null3"/>
        <w:jc w:val="both"/>
      </w:pPr>
      <w:r>
        <w:rPr>
          <w:sz w:val="24"/>
        </w:rPr>
        <w:t>　　项目编号：</w:t>
      </w:r>
      <w:r>
        <w:rPr>
          <w:sz w:val="21"/>
          <w:u w:val="single"/>
        </w:rPr>
        <w:t xml:space="preserve"> </w:t>
      </w:r>
      <w:r>
        <w:rPr>
          <w:sz w:val="21"/>
          <w:u w:val="single"/>
        </w:rPr>
        <w:t xml:space="preserve">         </w:t>
      </w:r>
      <w:r>
        <w:rPr>
          <w:sz w:val="21"/>
          <w:u w:val="single"/>
        </w:rPr>
        <w:t xml:space="preserve">        </w:t>
      </w:r>
      <w:r>
        <w:rPr>
          <w:sz w:val="21"/>
          <w:u w:val="single"/>
        </w:rPr>
        <w:t xml:space="preserve">                      </w:t>
      </w:r>
    </w:p>
    <w:p>
      <w:pPr>
        <w:pStyle w:val="null3"/>
        <w:jc w:val="both"/>
      </w:pPr>
      <w:r>
        <w:rPr>
          <w:sz w:val="24"/>
        </w:rPr>
        <w:t>　　项目名称：</w:t>
      </w:r>
      <w:r>
        <w:rPr>
          <w:sz w:val="21"/>
          <w:u w:val="single"/>
        </w:rPr>
        <w:t xml:space="preserve"> </w:t>
      </w:r>
      <w:r>
        <w:rPr>
          <w:sz w:val="21"/>
          <w:u w:val="single"/>
        </w:rPr>
        <w:t xml:space="preserve">              </w:t>
      </w:r>
      <w:r>
        <w:rPr>
          <w:sz w:val="21"/>
          <w:u w:val="single"/>
        </w:rPr>
        <w:t xml:space="preserve">    </w:t>
      </w:r>
      <w:r>
        <w:rPr>
          <w:sz w:val="21"/>
          <w:u w:val="single"/>
        </w:rPr>
        <w:t xml:space="preserve">                     </w:t>
      </w:r>
    </w:p>
    <w:p>
      <w:pPr>
        <w:pStyle w:val="null3"/>
        <w:jc w:val="both"/>
      </w:pPr>
      <w:r>
        <w:rPr/>
        <w:t xml:space="preserve"> </w:t>
      </w:r>
    </w:p>
    <w:p>
      <w:pPr>
        <w:pStyle w:val="null3"/>
        <w:jc w:val="both"/>
      </w:pPr>
      <w:r>
        <w:rPr>
          <w:sz w:val="24"/>
        </w:rPr>
        <w:t>甲</w:t>
      </w:r>
      <w:r>
        <w:rPr>
          <w:sz w:val="24"/>
        </w:rPr>
        <w:t xml:space="preserve">    </w:t>
      </w:r>
      <w:r>
        <w:rPr>
          <w:sz w:val="24"/>
        </w:rPr>
        <w:t>方（采购人）：</w:t>
      </w:r>
    </w:p>
    <w:p>
      <w:pPr>
        <w:pStyle w:val="null3"/>
        <w:jc w:val="both"/>
      </w:pPr>
      <w:r>
        <w:rPr>
          <w:sz w:val="24"/>
        </w:rPr>
        <w:t>法定代表人：</w:t>
      </w:r>
    </w:p>
    <w:p>
      <w:pPr>
        <w:pStyle w:val="null3"/>
        <w:jc w:val="both"/>
      </w:pPr>
      <w:r>
        <w:rPr>
          <w:sz w:val="24"/>
        </w:rPr>
        <w:t>通讯地址：</w:t>
      </w:r>
    </w:p>
    <w:p>
      <w:pPr>
        <w:pStyle w:val="null3"/>
        <w:jc w:val="both"/>
      </w:pPr>
      <w:r>
        <w:rPr>
          <w:sz w:val="24"/>
        </w:rPr>
        <w:t>联系人：</w:t>
      </w:r>
    </w:p>
    <w:p>
      <w:pPr>
        <w:pStyle w:val="null3"/>
        <w:jc w:val="both"/>
      </w:pPr>
      <w:r>
        <w:rPr>
          <w:sz w:val="24"/>
        </w:rPr>
        <w:t>联系方式：</w:t>
      </w:r>
    </w:p>
    <w:p>
      <w:pPr>
        <w:pStyle w:val="null3"/>
        <w:jc w:val="both"/>
      </w:pPr>
      <w:r>
        <w:rPr>
          <w:sz w:val="24"/>
        </w:rPr>
        <w:t>乙</w:t>
      </w:r>
      <w:r>
        <w:rPr>
          <w:sz w:val="24"/>
        </w:rPr>
        <w:t xml:space="preserve">    </w:t>
      </w:r>
      <w:r>
        <w:rPr>
          <w:sz w:val="24"/>
        </w:rPr>
        <w:t>方（中标供应商）：</w:t>
      </w:r>
    </w:p>
    <w:p>
      <w:pPr>
        <w:pStyle w:val="null3"/>
        <w:jc w:val="both"/>
      </w:pPr>
      <w:r>
        <w:rPr>
          <w:sz w:val="24"/>
        </w:rPr>
        <w:t>法定代表人：</w:t>
      </w:r>
    </w:p>
    <w:p>
      <w:pPr>
        <w:pStyle w:val="null3"/>
        <w:jc w:val="both"/>
      </w:pPr>
      <w:r>
        <w:rPr>
          <w:sz w:val="24"/>
        </w:rPr>
        <w:t>通讯地址：</w:t>
      </w:r>
    </w:p>
    <w:p>
      <w:pPr>
        <w:pStyle w:val="null3"/>
        <w:jc w:val="both"/>
      </w:pPr>
      <w:r>
        <w:rPr>
          <w:sz w:val="24"/>
        </w:rPr>
        <w:t>联系人：</w:t>
      </w:r>
    </w:p>
    <w:p>
      <w:pPr>
        <w:pStyle w:val="null3"/>
        <w:jc w:val="both"/>
      </w:pPr>
      <w:r>
        <w:rPr>
          <w:sz w:val="24"/>
        </w:rPr>
        <w:t>联系方式：</w:t>
      </w:r>
    </w:p>
    <w:p>
      <w:pPr>
        <w:pStyle w:val="null3"/>
        <w:jc w:val="both"/>
      </w:pPr>
      <w:r>
        <w:rPr>
          <w:sz w:val="24"/>
        </w:rPr>
        <w:t>根据</w:t>
      </w:r>
      <w:r>
        <w:rPr>
          <w:sz w:val="24"/>
          <w:u w:val="single"/>
        </w:rPr>
        <w:t xml:space="preserve">  </w:t>
      </w:r>
      <w:r>
        <w:rPr>
          <w:sz w:val="24"/>
          <w:u w:val="single"/>
        </w:rPr>
        <w:t>（项目名称）</w:t>
      </w:r>
      <w:r>
        <w:rPr>
          <w:sz w:val="24"/>
        </w:rPr>
        <w:t>（项目编号：（项目编号））的采购结果，按照《中华人民共和国政府采购法》及其实施条例、《中华人民共和国民法典》的规定，经双方协商，本着平等互利和诚实信用的原则，一致同意签订本合同如下。</w:t>
      </w:r>
    </w:p>
    <w:p>
      <w:pPr>
        <w:pStyle w:val="null3"/>
        <w:jc w:val="both"/>
      </w:pPr>
      <w:r>
        <w:rPr>
          <w:sz w:val="24"/>
          <w:b/>
        </w:rPr>
        <w:t>一、合同金额</w:t>
      </w:r>
    </w:p>
    <w:p>
      <w:pPr>
        <w:pStyle w:val="null3"/>
        <w:ind w:firstLine="480"/>
        <w:jc w:val="both"/>
      </w:pPr>
      <w:r>
        <w:rPr>
          <w:sz w:val="24"/>
        </w:rPr>
        <w:t>合同金额为</w:t>
      </w:r>
      <w:r>
        <w:rPr>
          <w:sz w:val="24"/>
        </w:rPr>
        <w:t>¥</w:t>
      </w:r>
      <w:r>
        <w:rPr>
          <w:sz w:val="21"/>
          <w:u w:val="single"/>
        </w:rPr>
        <w:t xml:space="preserve">           </w:t>
      </w:r>
      <w:r>
        <w:rPr>
          <w:sz w:val="24"/>
        </w:rPr>
        <w:t>元；大写：</w:t>
      </w:r>
      <w:r>
        <w:rPr>
          <w:sz w:val="21"/>
          <w:u w:val="single"/>
        </w:rPr>
        <w:t xml:space="preserve">            </w:t>
      </w:r>
    </w:p>
    <w:p>
      <w:pPr>
        <w:pStyle w:val="null3"/>
        <w:jc w:val="both"/>
      </w:pPr>
      <w:r>
        <w:rPr>
          <w:sz w:val="24"/>
          <w:b/>
        </w:rPr>
        <w:t>二、货物内容</w:t>
      </w:r>
    </w:p>
    <w:tbl>
      <w:tblPr>
        <w:tblW w:w="0" w:type="auto"/>
        <w:tblBorders>
          <w:top w:val="none" w:color="000000" w:sz="4"/>
          <w:left w:val="none" w:color="000000" w:sz="4"/>
          <w:bottom w:val="none" w:color="000000" w:sz="4"/>
          <w:right w:val="none" w:color="000000" w:sz="4"/>
          <w:insideH w:val="none"/>
          <w:insideV w:val="none"/>
        </w:tblBorders>
      </w:tblPr>
      <w:tblGrid>
        <w:gridCol w:w="635"/>
        <w:gridCol w:w="1005"/>
        <w:gridCol w:w="3280"/>
        <w:gridCol w:w="635"/>
        <w:gridCol w:w="635"/>
        <w:gridCol w:w="1057"/>
        <w:gridCol w:w="1057"/>
      </w:tblGrid>
      <w:tr>
        <w:tc>
          <w:tcPr>
            <w:tcW w:type="dxa" w:w="635"/>
            <w:tcBorders>
              <w:top w:val="single" w:color="000000" w:sz="8"/>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sz w:val="24"/>
              </w:rPr>
              <w:t>序号</w:t>
            </w:r>
          </w:p>
        </w:tc>
        <w:tc>
          <w:tcPr>
            <w:tcW w:type="dxa" w:w="1005"/>
            <w:tcBorders>
              <w:top w:val="single" w:color="000000" w:sz="8"/>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商品名称</w:t>
            </w:r>
          </w:p>
        </w:tc>
        <w:tc>
          <w:tcPr>
            <w:tcW w:type="dxa" w:w="3280"/>
            <w:tcBorders>
              <w:top w:val="single" w:color="000000" w:sz="8"/>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品牌、规格型号、配置（性能参数）</w:t>
            </w:r>
          </w:p>
        </w:tc>
        <w:tc>
          <w:tcPr>
            <w:tcW w:type="dxa" w:w="635"/>
            <w:tcBorders>
              <w:top w:val="single" w:color="000000" w:sz="8"/>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产地</w:t>
            </w:r>
          </w:p>
        </w:tc>
        <w:tc>
          <w:tcPr>
            <w:tcW w:type="dxa" w:w="635"/>
            <w:tcBorders>
              <w:top w:val="single" w:color="000000" w:sz="8"/>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数量</w:t>
            </w:r>
          </w:p>
        </w:tc>
        <w:tc>
          <w:tcPr>
            <w:tcW w:type="dxa" w:w="1057"/>
            <w:tcBorders>
              <w:top w:val="single" w:color="000000" w:sz="8"/>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单价</w:t>
            </w:r>
            <w:r>
              <w:rPr>
                <w:sz w:val="24"/>
              </w:rPr>
              <w:t>(元)</w:t>
            </w:r>
          </w:p>
        </w:tc>
        <w:tc>
          <w:tcPr>
            <w:tcW w:type="dxa" w:w="1057"/>
            <w:tcBorders>
              <w:top w:val="single" w:color="000000" w:sz="8"/>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sz w:val="24"/>
              </w:rPr>
              <w:t>金额</w:t>
            </w:r>
            <w:r>
              <w:rPr>
                <w:sz w:val="24"/>
              </w:rPr>
              <w:t>(元)</w:t>
            </w:r>
          </w:p>
        </w:tc>
      </w:tr>
      <w:tr>
        <w:tc>
          <w:tcPr>
            <w:tcW w:type="dxa" w:w="635"/>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100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32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63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63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05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057"/>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tc>
      </w:tr>
      <w:tr>
        <w:tc>
          <w:tcPr>
            <w:tcW w:type="dxa" w:w="635"/>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sz w:val="24"/>
              </w:rPr>
              <w:t>2</w:t>
            </w:r>
          </w:p>
        </w:tc>
        <w:tc>
          <w:tcPr>
            <w:tcW w:type="dxa" w:w="100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32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63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63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05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057"/>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tc>
      </w:tr>
      <w:tr>
        <w:tc>
          <w:tcPr>
            <w:tcW w:type="dxa" w:w="635"/>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sz w:val="24"/>
              </w:rPr>
              <w:t>3</w:t>
            </w:r>
          </w:p>
        </w:tc>
        <w:tc>
          <w:tcPr>
            <w:tcW w:type="dxa" w:w="100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32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63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63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05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057"/>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tc>
      </w:tr>
      <w:tr>
        <w:tc>
          <w:tcPr>
            <w:tcW w:type="dxa" w:w="635"/>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sz w:val="24"/>
              </w:rPr>
              <w:t>4</w:t>
            </w:r>
          </w:p>
        </w:tc>
        <w:tc>
          <w:tcPr>
            <w:tcW w:type="dxa" w:w="100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32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63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63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05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057"/>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tc>
      </w:tr>
      <w:tr>
        <w:tc>
          <w:tcPr>
            <w:tcW w:type="dxa" w:w="635"/>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sz w:val="24"/>
              </w:rPr>
              <w:t>5</w:t>
            </w:r>
          </w:p>
        </w:tc>
        <w:tc>
          <w:tcPr>
            <w:tcW w:type="dxa" w:w="100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32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63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63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05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057"/>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tc>
      </w:tr>
      <w:tr>
        <w:tc>
          <w:tcPr>
            <w:tcW w:type="dxa" w:w="8304"/>
            <w:gridSpan w:val="7"/>
            <w:tcBorders>
              <w:top w:val="singl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both"/>
            </w:pPr>
            <w:r>
              <w:rPr>
                <w:sz w:val="24"/>
              </w:rPr>
              <w:t>合计总额：</w:t>
            </w:r>
            <w:r>
              <w:rPr>
                <w:sz w:val="24"/>
              </w:rPr>
              <w:t>¥</w:t>
            </w:r>
            <w:r>
              <w:rPr>
                <w:sz w:val="21"/>
                <w:u w:val="single"/>
              </w:rPr>
              <w:t xml:space="preserve">           </w:t>
            </w:r>
            <w:r>
              <w:rPr>
                <w:sz w:val="24"/>
              </w:rPr>
              <w:t>元；</w:t>
            </w:r>
            <w:r>
              <w:rPr>
                <w:sz w:val="24"/>
              </w:rPr>
              <w:t xml:space="preserve">    </w:t>
            </w:r>
            <w:r>
              <w:rPr>
                <w:sz w:val="24"/>
              </w:rPr>
              <w:t>大写：</w:t>
            </w:r>
            <w:r>
              <w:rPr>
                <w:sz w:val="21"/>
                <w:u w:val="single"/>
              </w:rPr>
              <w:t xml:space="preserve">            </w:t>
            </w:r>
          </w:p>
        </w:tc>
      </w:tr>
    </w:tbl>
    <w:p>
      <w:pPr>
        <w:pStyle w:val="null3"/>
        <w:ind w:firstLine="480"/>
        <w:jc w:val="both"/>
      </w:pPr>
      <w:r>
        <w:rPr>
          <w:sz w:val="24"/>
        </w:rPr>
        <w:t>合同总额包括乙方设计、安装（包括满足安装环境所需配件）、随机零配件、标配工具、运输保险、调试、培训、质保期服务、各项税费及合同实施过程中不可预见费用等。</w:t>
      </w:r>
    </w:p>
    <w:p>
      <w:pPr>
        <w:pStyle w:val="null3"/>
        <w:jc w:val="both"/>
      </w:pPr>
      <w:r>
        <w:rPr>
          <w:sz w:val="24"/>
          <w:b/>
        </w:rPr>
        <w:t>三、设备要求</w:t>
      </w:r>
    </w:p>
    <w:p>
      <w:pPr>
        <w:pStyle w:val="null3"/>
        <w:ind w:firstLine="480"/>
        <w:jc w:val="both"/>
      </w:pPr>
      <w:r>
        <w:rPr>
          <w:sz w:val="24"/>
        </w:rPr>
        <w:t>1.货物为原制造商制造的全新产品，整机无污染，无侵权行为、表面无划损、无任何缺陷隐患，在中国境内可依常规安全合法使用。</w:t>
      </w:r>
    </w:p>
    <w:p>
      <w:pPr>
        <w:pStyle w:val="null3"/>
        <w:ind w:firstLine="480"/>
        <w:jc w:val="both"/>
      </w:pPr>
      <w:r>
        <w:rPr>
          <w:sz w:val="24"/>
        </w:rPr>
        <w:t>2.货物为原厂商未启封全新包装，具出厂合格证，授权、序列号、包装箱号与出厂批号一致，并可追索查阅。</w:t>
      </w:r>
    </w:p>
    <w:p>
      <w:pPr>
        <w:pStyle w:val="null3"/>
        <w:ind w:firstLine="480"/>
        <w:jc w:val="both"/>
      </w:pPr>
      <w:r>
        <w:rPr>
          <w:sz w:val="24"/>
        </w:rPr>
        <w:t>3.有关键主机设备的用户手册、保修手册、有关单证资料及配备件、随机工具等，使用操作及安全须知等重要资料应附有中文说明。</w:t>
      </w:r>
    </w:p>
    <w:p>
      <w:pPr>
        <w:pStyle w:val="null3"/>
        <w:jc w:val="both"/>
      </w:pPr>
      <w:r>
        <w:rPr>
          <w:sz w:val="24"/>
          <w:b/>
        </w:rPr>
        <w:t>四、服务要求</w:t>
      </w:r>
    </w:p>
    <w:p>
      <w:pPr>
        <w:pStyle w:val="null3"/>
        <w:ind w:firstLine="480"/>
        <w:jc w:val="both"/>
      </w:pPr>
      <w:r>
        <w:rPr>
          <w:sz w:val="24"/>
        </w:rPr>
        <w:t>1.培训要求</w:t>
      </w:r>
    </w:p>
    <w:p>
      <w:pPr>
        <w:pStyle w:val="null3"/>
        <w:ind w:firstLine="480"/>
        <w:jc w:val="both"/>
      </w:pPr>
      <w:r>
        <w:rPr>
          <w:sz w:val="24"/>
        </w:rPr>
        <w:t>（</w:t>
      </w:r>
      <w:r>
        <w:rPr>
          <w:sz w:val="24"/>
        </w:rPr>
        <w:t>1）在设备安装和调试完成后，乙方应提供培训服务，提供专业技术人员对甲方科室使用设备人员和相关管理人员进行培训，并保证两名以上操作人员熟练掌握操作技术为止。</w:t>
      </w:r>
    </w:p>
    <w:p>
      <w:pPr>
        <w:pStyle w:val="null3"/>
        <w:ind w:firstLine="480"/>
        <w:jc w:val="both"/>
      </w:pPr>
      <w:r>
        <w:rPr>
          <w:sz w:val="24"/>
        </w:rPr>
        <w:t>（</w:t>
      </w:r>
      <w:r>
        <w:rPr>
          <w:sz w:val="24"/>
        </w:rPr>
        <w:t>2）乙方需制定不少于</w:t>
      </w:r>
      <w:r>
        <w:rPr>
          <w:sz w:val="21"/>
          <w:u w:val="single"/>
        </w:rPr>
        <w:t xml:space="preserve">   </w:t>
      </w:r>
      <w:r>
        <w:rPr>
          <w:sz w:val="24"/>
        </w:rPr>
        <w:t>个工作日的培训方案，为甲方提供高水平的培训，乙方应具有专业的培训师资力量、明确培训目标，培训内容应包括设备的安装和维护、常见故障现象及诊断、常见的问题及解决办法、软硬件管理、操作手册等。</w:t>
      </w:r>
    </w:p>
    <w:p>
      <w:pPr>
        <w:pStyle w:val="null3"/>
        <w:ind w:firstLine="480"/>
        <w:jc w:val="both"/>
      </w:pPr>
      <w:r>
        <w:rPr>
          <w:sz w:val="24"/>
        </w:rPr>
        <w:t>（</w:t>
      </w:r>
      <w:r>
        <w:rPr>
          <w:sz w:val="24"/>
        </w:rPr>
        <w:t>3）如遇设备升级更新，乙方需及时提供更新操作指导。</w:t>
      </w:r>
    </w:p>
    <w:p>
      <w:pPr>
        <w:pStyle w:val="null3"/>
        <w:ind w:firstLine="480"/>
        <w:jc w:val="both"/>
      </w:pPr>
      <w:r>
        <w:rPr>
          <w:sz w:val="24"/>
        </w:rPr>
        <w:t>2.包装与运输</w:t>
      </w:r>
    </w:p>
    <w:p>
      <w:pPr>
        <w:pStyle w:val="null3"/>
        <w:ind w:firstLine="480"/>
        <w:jc w:val="both"/>
      </w:pPr>
      <w:r>
        <w:rPr>
          <w:sz w:val="24"/>
        </w:rPr>
        <w:t>（</w:t>
      </w:r>
      <w:r>
        <w:rPr>
          <w:sz w:val="24"/>
        </w:rPr>
        <w:t>1）乙方应提供运至交付地点所需要的包装，包装应符合经济、牢固、美观的要求，采取防潮、防晒、防锈、防震及防止其它损坏的必要措施，以防止货物在运转中损坏或变质。</w:t>
      </w:r>
    </w:p>
    <w:p>
      <w:pPr>
        <w:pStyle w:val="null3"/>
        <w:ind w:firstLine="480"/>
        <w:jc w:val="both"/>
      </w:pPr>
      <w:r>
        <w:rPr>
          <w:sz w:val="24"/>
        </w:rPr>
        <w:t>（</w:t>
      </w:r>
      <w:r>
        <w:rPr>
          <w:sz w:val="24"/>
        </w:rPr>
        <w:t>2）包装必须要符合相关法律、法规的要求，包括与环境、职业健康和安全有关的法律、法规标准。</w:t>
      </w:r>
    </w:p>
    <w:p>
      <w:pPr>
        <w:pStyle w:val="null3"/>
        <w:ind w:firstLine="480"/>
        <w:jc w:val="both"/>
      </w:pPr>
      <w:r>
        <w:rPr>
          <w:sz w:val="24"/>
        </w:rPr>
        <w:t>（</w:t>
      </w:r>
      <w:r>
        <w:rPr>
          <w:sz w:val="24"/>
        </w:rPr>
        <w:t>3）运输包装应根据产品的特点及国家相关标准标注有相应的运输标志。</w:t>
      </w:r>
    </w:p>
    <w:p>
      <w:pPr>
        <w:pStyle w:val="null3"/>
        <w:ind w:firstLine="480"/>
        <w:jc w:val="both"/>
      </w:pPr>
      <w:r>
        <w:rPr>
          <w:sz w:val="24"/>
        </w:rPr>
        <w:t>（</w:t>
      </w:r>
      <w:r>
        <w:rPr>
          <w:sz w:val="24"/>
        </w:rPr>
        <w:t>4）乙方负责将货物运输并卸载到甲方指定地点。</w:t>
      </w:r>
    </w:p>
    <w:p>
      <w:pPr>
        <w:pStyle w:val="null3"/>
        <w:ind w:firstLine="480"/>
        <w:jc w:val="both"/>
      </w:pPr>
      <w:r>
        <w:rPr>
          <w:sz w:val="24"/>
        </w:rPr>
        <w:t>3.其他：</w:t>
      </w:r>
      <w:r>
        <w:rPr>
          <w:sz w:val="21"/>
          <w:u w:val="single"/>
        </w:rPr>
        <w:t xml:space="preserve">                                     </w:t>
      </w:r>
      <w:r>
        <w:rPr>
          <w:sz w:val="24"/>
        </w:rPr>
        <w:t>。</w:t>
      </w:r>
    </w:p>
    <w:p>
      <w:pPr>
        <w:pStyle w:val="null3"/>
        <w:jc w:val="both"/>
      </w:pPr>
      <w:r>
        <w:rPr>
          <w:sz w:val="24"/>
          <w:b/>
        </w:rPr>
        <w:t>五、知识产权</w:t>
      </w:r>
    </w:p>
    <w:p>
      <w:pPr>
        <w:pStyle w:val="null3"/>
        <w:ind w:firstLine="480"/>
        <w:jc w:val="both"/>
      </w:pPr>
      <w:r>
        <w:rPr>
          <w:sz w:val="24"/>
        </w:rPr>
        <w:t>乙方保证合同项下提供的货物不侵犯任何第三方的专利权、商标权或其它知识产权。否则，乙方须承担对第三方的专利权、商标权或其它知识产权的侵权责任并承担因此而发生的所有费用及给甲方造成的损失。</w:t>
      </w:r>
    </w:p>
    <w:p>
      <w:pPr>
        <w:pStyle w:val="null3"/>
        <w:jc w:val="both"/>
      </w:pPr>
      <w:r>
        <w:rPr>
          <w:sz w:val="24"/>
          <w:b/>
        </w:rPr>
        <w:t>六、采购项目交付（实施）的时间（期限）和地点（范围）</w:t>
      </w:r>
    </w:p>
    <w:p>
      <w:pPr>
        <w:pStyle w:val="null3"/>
        <w:ind w:firstLine="480"/>
        <w:jc w:val="both"/>
      </w:pPr>
      <w:r>
        <w:rPr>
          <w:sz w:val="24"/>
        </w:rPr>
        <w:t>1.交货期：</w:t>
      </w:r>
      <w:r>
        <w:rPr>
          <w:sz w:val="21"/>
          <w:u w:val="single"/>
        </w:rPr>
        <w:t xml:space="preserve">                                          </w:t>
      </w:r>
    </w:p>
    <w:p>
      <w:pPr>
        <w:pStyle w:val="null3"/>
        <w:ind w:firstLine="480"/>
        <w:jc w:val="both"/>
      </w:pPr>
      <w:r>
        <w:rPr>
          <w:sz w:val="24"/>
        </w:rPr>
        <w:t>2.交货方式：</w:t>
      </w:r>
      <w:r>
        <w:rPr>
          <w:sz w:val="21"/>
          <w:u w:val="single"/>
        </w:rPr>
        <w:t xml:space="preserve">                                        </w:t>
      </w:r>
    </w:p>
    <w:p>
      <w:pPr>
        <w:pStyle w:val="null3"/>
        <w:ind w:firstLine="480"/>
        <w:jc w:val="both"/>
      </w:pPr>
      <w:r>
        <w:rPr>
          <w:sz w:val="24"/>
        </w:rPr>
        <w:t>3.交货地点：</w:t>
      </w:r>
      <w:r>
        <w:rPr>
          <w:sz w:val="21"/>
          <w:u w:val="single"/>
        </w:rPr>
        <w:t xml:space="preserve">                                        </w:t>
      </w:r>
    </w:p>
    <w:p>
      <w:pPr>
        <w:pStyle w:val="null3"/>
        <w:ind w:firstLine="480"/>
        <w:jc w:val="both"/>
      </w:pPr>
      <w:r>
        <w:rPr>
          <w:sz w:val="24"/>
        </w:rPr>
        <w:t>4.甲方项目负责人及联系电话：</w:t>
      </w:r>
      <w:r>
        <w:rPr>
          <w:sz w:val="21"/>
          <w:u w:val="single"/>
        </w:rPr>
        <w:t xml:space="preserve">                                        </w:t>
      </w:r>
    </w:p>
    <w:p>
      <w:pPr>
        <w:pStyle w:val="null3"/>
        <w:ind w:firstLine="480"/>
        <w:jc w:val="both"/>
      </w:pPr>
      <w:r>
        <w:rPr>
          <w:sz w:val="24"/>
        </w:rPr>
        <w:t>5.乙方项目负责人及联系电话：</w:t>
      </w:r>
      <w:r>
        <w:rPr>
          <w:sz w:val="21"/>
          <w:i/>
          <w:u w:val="single"/>
        </w:rPr>
        <w:t xml:space="preserve">                                        </w:t>
      </w:r>
    </w:p>
    <w:p>
      <w:pPr>
        <w:pStyle w:val="null3"/>
        <w:jc w:val="both"/>
      </w:pPr>
      <w:r>
        <w:rPr>
          <w:sz w:val="24"/>
          <w:b/>
        </w:rPr>
        <w:t>七、付款方式：</w:t>
      </w:r>
    </w:p>
    <w:p>
      <w:pPr>
        <w:pStyle w:val="null3"/>
        <w:ind w:firstLine="480"/>
        <w:jc w:val="both"/>
      </w:pPr>
      <w:r>
        <w:rPr>
          <w:sz w:val="24"/>
        </w:rPr>
        <w:t>由甲方按下列程序</w:t>
      </w:r>
      <w:r>
        <w:rPr>
          <w:sz w:val="21"/>
          <w:u w:val="single"/>
        </w:rPr>
        <w:t xml:space="preserve">         </w:t>
      </w:r>
      <w:r>
        <w:rPr>
          <w:sz w:val="24"/>
        </w:rPr>
        <w:t>方式付款：</w:t>
      </w:r>
    </w:p>
    <w:p>
      <w:pPr>
        <w:pStyle w:val="null3"/>
        <w:ind w:firstLine="480"/>
        <w:jc w:val="both"/>
      </w:pPr>
      <w:r>
        <w:rPr>
          <w:sz w:val="24"/>
        </w:rPr>
        <w:t>1.预付款：签订合同后，甲方于收到乙方开具的正式发票后</w:t>
      </w:r>
      <w:r>
        <w:rPr>
          <w:sz w:val="21"/>
          <w:u w:val="single"/>
        </w:rPr>
        <w:t xml:space="preserve">   </w:t>
      </w:r>
      <w:r>
        <w:rPr>
          <w:sz w:val="24"/>
        </w:rPr>
        <w:t>个工作日内支付合同总价的</w:t>
      </w:r>
      <w:r>
        <w:rPr>
          <w:sz w:val="21"/>
          <w:u w:val="single"/>
        </w:rPr>
        <w:t xml:space="preserve">     </w:t>
      </w:r>
      <w:r>
        <w:rPr>
          <w:sz w:val="24"/>
          <w:u w:val="single"/>
        </w:rPr>
        <w:t>%</w:t>
      </w:r>
      <w:r>
        <w:rPr>
          <w:sz w:val="21"/>
          <w:u w:val="single"/>
        </w:rPr>
        <w:t xml:space="preserve"> </w:t>
      </w:r>
      <w:r>
        <w:rPr>
          <w:sz w:val="24"/>
        </w:rPr>
        <w:t>预付款。</w:t>
      </w:r>
    </w:p>
    <w:p>
      <w:pPr>
        <w:pStyle w:val="null3"/>
        <w:ind w:firstLine="480"/>
        <w:jc w:val="both"/>
      </w:pPr>
      <w:r>
        <w:rPr>
          <w:sz w:val="24"/>
        </w:rPr>
        <w:t>2.乙方全部交付合同标的并通过甲方验收合格后，甲方于收到乙方开具的正式发票后</w:t>
      </w:r>
      <w:r>
        <w:rPr>
          <w:sz w:val="21"/>
          <w:u w:val="single"/>
        </w:rPr>
        <w:t xml:space="preserve">   </w:t>
      </w:r>
      <w:r>
        <w:rPr>
          <w:sz w:val="24"/>
        </w:rPr>
        <w:t>个工作日内支付合同总价的</w:t>
      </w:r>
      <w:r>
        <w:rPr>
          <w:sz w:val="24"/>
          <w:u w:val="single"/>
        </w:rPr>
        <w:t xml:space="preserve">    </w:t>
      </w:r>
      <w:r>
        <w:rPr>
          <w:sz w:val="24"/>
          <w:u w:val="single"/>
        </w:rPr>
        <w:t xml:space="preserve">% </w:t>
      </w:r>
      <w:r>
        <w:rPr>
          <w:sz w:val="24"/>
        </w:rPr>
        <w:t>，同时无息退还乙方的合同履约保证金（如有）。</w:t>
      </w:r>
    </w:p>
    <w:p>
      <w:pPr>
        <w:pStyle w:val="null3"/>
        <w:ind w:firstLine="480"/>
        <w:jc w:val="both"/>
      </w:pPr>
      <w:r>
        <w:rPr>
          <w:sz w:val="24"/>
        </w:rPr>
        <w:t>3.其他：</w:t>
      </w:r>
      <w:r>
        <w:rPr>
          <w:sz w:val="21"/>
          <w:u w:val="single"/>
        </w:rPr>
        <w:t xml:space="preserve">                                                 </w:t>
      </w:r>
      <w:r>
        <w:rPr>
          <w:sz w:val="24"/>
        </w:rPr>
        <w:t>。</w:t>
      </w:r>
    </w:p>
    <w:p>
      <w:pPr>
        <w:pStyle w:val="null3"/>
        <w:ind w:firstLine="480"/>
        <w:jc w:val="both"/>
      </w:pPr>
      <w:r>
        <w:rPr>
          <w:sz w:val="24"/>
        </w:rPr>
        <w:t>（</w:t>
      </w:r>
      <w:r>
        <w:rPr>
          <w:sz w:val="24"/>
        </w:rPr>
        <w:t>1）每次按合同支付款项前，乙方应向甲方提供与支付金额相符的有效发票，且收款方、出具发票方、合同乙方均必须与乙方名称一致；</w:t>
      </w:r>
    </w:p>
    <w:p>
      <w:pPr>
        <w:pStyle w:val="null3"/>
        <w:ind w:firstLine="480"/>
        <w:jc w:val="both"/>
      </w:pPr>
      <w:r>
        <w:rPr>
          <w:sz w:val="24"/>
        </w:rPr>
        <w:t>（</w:t>
      </w:r>
      <w:r>
        <w:rPr>
          <w:sz w:val="24"/>
        </w:rPr>
        <w:t>2）违约责任：甲方逾期支付合同款项的，除应当支付合同款项外，还应当每日按合同总价的</w:t>
      </w:r>
      <w:r>
        <w:rPr>
          <w:sz w:val="21"/>
          <w:u w:val="single"/>
        </w:rPr>
        <w:t xml:space="preserve">   </w:t>
      </w:r>
      <w:r>
        <w:rPr>
          <w:sz w:val="24"/>
        </w:rPr>
        <w:t>‰向乙方偿付违约金，但因乙方自身原因导致无法及时支付的除外。</w:t>
      </w:r>
    </w:p>
    <w:p>
      <w:pPr>
        <w:pStyle w:val="null3"/>
        <w:ind w:firstLine="480"/>
        <w:jc w:val="both"/>
      </w:pPr>
      <w:r>
        <w:rPr>
          <w:sz w:val="24"/>
        </w:rPr>
        <w:t>（</w:t>
      </w:r>
      <w:r>
        <w:rPr>
          <w:sz w:val="24"/>
        </w:rPr>
        <w:t>3）付款方式：采用支票、银行汇票、银行转账、电汇等形式。</w:t>
      </w:r>
    </w:p>
    <w:p>
      <w:pPr>
        <w:pStyle w:val="null3"/>
        <w:ind w:firstLine="480"/>
        <w:jc w:val="both"/>
      </w:pPr>
      <w:r>
        <w:rPr>
          <w:sz w:val="24"/>
        </w:rPr>
        <w:t>4.对于满足合同约定支付条件的，甲方应当自收到正规发票（发票信息，名称：</w:t>
      </w:r>
      <w:r>
        <w:rPr>
          <w:sz w:val="21"/>
          <w:u w:val="single"/>
        </w:rPr>
        <w:t xml:space="preserve">     </w:t>
      </w:r>
      <w:r>
        <w:rPr>
          <w:sz w:val="24"/>
        </w:rPr>
        <w:t>纳税人识别号：</w:t>
      </w:r>
      <w:r>
        <w:rPr>
          <w:sz w:val="21"/>
          <w:u w:val="single"/>
        </w:rPr>
        <w:t xml:space="preserve">        </w:t>
      </w:r>
      <w:r>
        <w:rPr>
          <w:sz w:val="24"/>
        </w:rPr>
        <w:t>）后</w:t>
      </w:r>
      <w:r>
        <w:rPr>
          <w:sz w:val="21"/>
          <w:u w:val="single"/>
        </w:rPr>
        <w:t xml:space="preserve">   </w:t>
      </w:r>
      <w:r>
        <w:rPr>
          <w:sz w:val="24"/>
        </w:rPr>
        <w:t>日内将资金支付到合同约定的乙方账户（开户名称：</w:t>
      </w:r>
      <w:r>
        <w:rPr>
          <w:sz w:val="21"/>
          <w:u w:val="single"/>
        </w:rPr>
        <w:t xml:space="preserve">        </w:t>
      </w:r>
      <w:r>
        <w:rPr>
          <w:sz w:val="24"/>
        </w:rPr>
        <w:t>乙方银行帐号：</w:t>
      </w:r>
      <w:r>
        <w:rPr>
          <w:sz w:val="21"/>
          <w:u w:val="single"/>
        </w:rPr>
        <w:t xml:space="preserve">        </w:t>
      </w:r>
      <w:r>
        <w:rPr>
          <w:sz w:val="24"/>
        </w:rPr>
        <w:t>乙方开户行：</w:t>
      </w:r>
      <w:r>
        <w:rPr>
          <w:sz w:val="21"/>
          <w:u w:val="single"/>
        </w:rPr>
        <w:t xml:space="preserve">           </w:t>
      </w:r>
      <w:r>
        <w:rPr>
          <w:sz w:val="24"/>
        </w:rPr>
        <w:t>纳税人识别号：</w:t>
      </w:r>
      <w:r>
        <w:rPr>
          <w:sz w:val="21"/>
          <w:u w:val="single"/>
        </w:rPr>
        <w:t xml:space="preserve">              </w:t>
      </w:r>
      <w:r>
        <w:rPr>
          <w:sz w:val="24"/>
        </w:rPr>
        <w:t>所在区域：</w:t>
      </w:r>
      <w:r>
        <w:rPr>
          <w:sz w:val="21"/>
          <w:u w:val="single"/>
        </w:rPr>
        <w:t xml:space="preserve">      </w:t>
      </w:r>
      <w:r>
        <w:rPr>
          <w:sz w:val="24"/>
        </w:rPr>
        <w:t>），不得以机构变动、人员更替等为由延迟付款，不得将采购文件和合同中未规定的义务作为向乙方付款的条件。上述付款时间为项目获得财政拨款、并由甲方向政府采购支付部门提出支付申请的时间，项目所有款项相关经费如受政府财政部门审查、财政支付管理流程、预算下达及拨款进度导致支付延期，支付期限自动顺延，甲方不承担责任，乙方不得以此为由延迟履行或不履行合同义务。如本项目涉及工程部分的，按工程造价行业标准和规范组织审查评审，项目评审结果作为本项目价款结算的依据。</w:t>
      </w:r>
    </w:p>
    <w:p>
      <w:pPr>
        <w:pStyle w:val="null3"/>
        <w:jc w:val="both"/>
      </w:pPr>
      <w:r>
        <w:rPr>
          <w:sz w:val="24"/>
          <w:b/>
        </w:rPr>
        <w:t>八、质保期及售后服务要求</w:t>
      </w:r>
    </w:p>
    <w:p>
      <w:pPr>
        <w:pStyle w:val="null3"/>
        <w:ind w:firstLine="480"/>
        <w:jc w:val="both"/>
      </w:pPr>
      <w:r>
        <w:rPr>
          <w:sz w:val="24"/>
        </w:rPr>
        <w:t>1.保修范围：由于材料、工艺等问题而导致的产品功能失效、性能下降等缺陷(属于自然力或战争等不可抗拒力、人为因素等造成的除外)。</w:t>
      </w:r>
    </w:p>
    <w:p>
      <w:pPr>
        <w:pStyle w:val="null3"/>
        <w:ind w:firstLine="480"/>
        <w:jc w:val="both"/>
      </w:pPr>
      <w:r>
        <w:rPr>
          <w:sz w:val="24"/>
        </w:rPr>
        <w:t>2.本合同所有设备的质量保证期（简称“质保期”）为</w:t>
      </w:r>
      <w:r>
        <w:rPr>
          <w:sz w:val="21"/>
          <w:u w:val="single"/>
        </w:rPr>
        <w:t xml:space="preserve">     </w:t>
      </w:r>
      <w:r>
        <w:rPr>
          <w:sz w:val="24"/>
        </w:rPr>
        <w:t>年，质保期自货物最终验收合格之日起算，质保期内乙方对所供货物实行包修、包换、包退及合同约定的其它事项，期满后可同时提供终身</w:t>
      </w:r>
      <w:r>
        <w:rPr>
          <w:sz w:val="24"/>
        </w:rPr>
        <w:t>(免费/有偿)维修保养服务。</w:t>
      </w:r>
    </w:p>
    <w:p>
      <w:pPr>
        <w:pStyle w:val="null3"/>
        <w:ind w:firstLine="480"/>
        <w:jc w:val="both"/>
      </w:pPr>
      <w:r>
        <w:rPr>
          <w:sz w:val="24"/>
        </w:rPr>
        <w:t>3.质保期内，如设备或零部件因质量原因出现故障而造成短期停用时，则质保期和免费维修期相应顺延。如停用时间累计超过</w:t>
      </w:r>
      <w:r>
        <w:rPr>
          <w:sz w:val="21"/>
          <w:u w:val="single"/>
        </w:rPr>
        <w:t xml:space="preserve">    </w:t>
      </w:r>
      <w:r>
        <w:rPr>
          <w:sz w:val="24"/>
        </w:rPr>
        <w:t>天则质保期重新计算。</w:t>
      </w:r>
    </w:p>
    <w:p>
      <w:pPr>
        <w:pStyle w:val="null3"/>
        <w:ind w:firstLine="480"/>
        <w:jc w:val="both"/>
      </w:pPr>
      <w:r>
        <w:rPr>
          <w:sz w:val="24"/>
        </w:rPr>
        <w:t>4.对甲方的服务通知，乙方在接报后</w:t>
      </w:r>
      <w:r>
        <w:rPr>
          <w:sz w:val="21"/>
          <w:u w:val="single"/>
        </w:rPr>
        <w:t xml:space="preserve">    </w:t>
      </w:r>
      <w:r>
        <w:rPr>
          <w:sz w:val="24"/>
        </w:rPr>
        <w:t>小时内响应，</w:t>
      </w:r>
      <w:r>
        <w:rPr>
          <w:sz w:val="21"/>
          <w:u w:val="single"/>
        </w:rPr>
        <w:t xml:space="preserve">    </w:t>
      </w:r>
      <w:r>
        <w:rPr>
          <w:sz w:val="24"/>
        </w:rPr>
        <w:t>小时内到达现场，</w:t>
      </w:r>
      <w:r>
        <w:rPr>
          <w:sz w:val="21"/>
          <w:u w:val="single"/>
        </w:rPr>
        <w:t xml:space="preserve">    </w:t>
      </w:r>
      <w:r>
        <w:rPr>
          <w:sz w:val="24"/>
        </w:rPr>
        <w:t>小时内处理完毕。若在</w:t>
      </w:r>
      <w:r>
        <w:rPr>
          <w:sz w:val="21"/>
          <w:u w:val="single"/>
        </w:rPr>
        <w:t xml:space="preserve">    </w:t>
      </w:r>
      <w:r>
        <w:rPr>
          <w:sz w:val="24"/>
        </w:rPr>
        <w:t>小时内仍未能有效解决，乙方须提供同档次的设备给予甲方临时使用。</w:t>
      </w:r>
    </w:p>
    <w:p>
      <w:pPr>
        <w:pStyle w:val="null3"/>
        <w:jc w:val="both"/>
      </w:pPr>
      <w:r>
        <w:rPr>
          <w:sz w:val="24"/>
          <w:b/>
        </w:rPr>
        <w:t>九、安装与调试</w:t>
      </w:r>
    </w:p>
    <w:p>
      <w:pPr>
        <w:pStyle w:val="null3"/>
        <w:ind w:firstLine="480"/>
        <w:jc w:val="both"/>
      </w:pPr>
      <w:r>
        <w:rPr>
          <w:sz w:val="24"/>
        </w:rPr>
        <w:t>1.乙方必须依照招标文件的要求和报价文件的承诺，将设备、系统安装并调试至正常运行的最佳状态。</w:t>
      </w:r>
    </w:p>
    <w:p>
      <w:pPr>
        <w:pStyle w:val="null3"/>
        <w:ind w:firstLine="480"/>
        <w:jc w:val="both"/>
      </w:pPr>
      <w:r>
        <w:rPr>
          <w:sz w:val="24"/>
        </w:rPr>
        <w:t>2.合同设备安装：乙方负责合同设备的安装，一切费用由乙方负责。乙方安装时须对各安装场地内的其他设备、设施有良好保护措施。</w:t>
      </w:r>
    </w:p>
    <w:p>
      <w:pPr>
        <w:pStyle w:val="null3"/>
        <w:jc w:val="both"/>
      </w:pPr>
      <w:r>
        <w:rPr>
          <w:sz w:val="24"/>
          <w:b/>
        </w:rPr>
        <w:t>十、验收</w:t>
      </w:r>
    </w:p>
    <w:p>
      <w:pPr>
        <w:pStyle w:val="null3"/>
        <w:ind w:firstLine="480"/>
        <w:jc w:val="both"/>
      </w:pPr>
      <w:r>
        <w:rPr>
          <w:sz w:val="24"/>
        </w:rPr>
        <w:t>1.乙方必须依照招标文件的要求和投标文件的承诺，将设备、系统安装并调试至正常运行的最佳状态。</w:t>
      </w:r>
    </w:p>
    <w:p>
      <w:pPr>
        <w:pStyle w:val="null3"/>
        <w:ind w:firstLine="480"/>
        <w:jc w:val="both"/>
      </w:pPr>
      <w:r>
        <w:rPr>
          <w:sz w:val="24"/>
        </w:rPr>
        <w:t>2.交付验收标准依次序对照适用标准为：①符合中华人民共和国国家安全质量标准、环保标准或行业标准；②符合招标文件和响应承诺中甲方认可的合理最佳配置、参数及各项要求；③货物来源国官方标准。</w:t>
      </w:r>
    </w:p>
    <w:p>
      <w:pPr>
        <w:pStyle w:val="null3"/>
        <w:ind w:firstLine="480"/>
        <w:jc w:val="both"/>
      </w:pPr>
      <w:r>
        <w:rPr>
          <w:sz w:val="24"/>
        </w:rPr>
        <w:t>3.进口产品必须具备原产地证明和商检局的检验证明及合法进货渠道证明。（如有）</w:t>
      </w:r>
    </w:p>
    <w:p>
      <w:pPr>
        <w:pStyle w:val="null3"/>
        <w:ind w:firstLine="480"/>
        <w:jc w:val="both"/>
      </w:pPr>
      <w:r>
        <w:rPr>
          <w:sz w:val="24"/>
        </w:rPr>
        <w:t>4.货物为原厂商未启封全新包装，具出厂合格证，序列号、包装箱号与出厂批号一致，并可追索查阅。所有随设备的附件必须齐全。</w:t>
      </w:r>
    </w:p>
    <w:p>
      <w:pPr>
        <w:pStyle w:val="null3"/>
        <w:ind w:firstLine="480"/>
        <w:jc w:val="both"/>
      </w:pPr>
      <w:r>
        <w:rPr>
          <w:sz w:val="24"/>
        </w:rPr>
        <w:t>5.乙方应将关键设备的用户手册、保修手册、有关单证资料及配备件、随机工具等交付给甲方，使用操作及安全须知等重要资料应附有中文说明。</w:t>
      </w:r>
    </w:p>
    <w:p>
      <w:pPr>
        <w:pStyle w:val="null3"/>
        <w:ind w:firstLine="480"/>
        <w:jc w:val="both"/>
      </w:pPr>
      <w:r>
        <w:rPr>
          <w:sz w:val="24"/>
        </w:rPr>
        <w:t>6.验收工作由甲方组织，必要时邀请相关的专业人员或机构参与验收。甲方收到乙方项目验收建议之日起</w:t>
      </w:r>
      <w:r>
        <w:rPr>
          <w:sz w:val="21"/>
          <w:u w:val="single"/>
        </w:rPr>
        <w:t xml:space="preserve">   </w:t>
      </w:r>
      <w:r>
        <w:rPr>
          <w:sz w:val="24"/>
        </w:rPr>
        <w:t>日内按照合同的约定对履约情况进行验收，对每一项技术、服务、安全标准的履约情况进行确认。因货物质量问题发生争议时，由本地质量技术监督部门鉴定。货物符合质量技术标准的，鉴定费由甲方承担；否则鉴定费由乙方承担。</w:t>
      </w:r>
    </w:p>
    <w:p>
      <w:pPr>
        <w:pStyle w:val="null3"/>
        <w:ind w:firstLine="480"/>
        <w:jc w:val="both"/>
      </w:pPr>
      <w:r>
        <w:rPr>
          <w:sz w:val="24"/>
        </w:rPr>
        <w:t>7.其他：</w:t>
      </w:r>
      <w:r>
        <w:rPr>
          <w:sz w:val="21"/>
          <w:u w:val="single"/>
        </w:rPr>
        <w:t xml:space="preserve">                                                 </w:t>
      </w:r>
      <w:r>
        <w:rPr>
          <w:sz w:val="24"/>
        </w:rPr>
        <w:t>。</w:t>
      </w:r>
    </w:p>
    <w:p>
      <w:pPr>
        <w:pStyle w:val="null3"/>
        <w:jc w:val="both"/>
      </w:pPr>
      <w:r>
        <w:rPr>
          <w:sz w:val="24"/>
          <w:b/>
        </w:rPr>
        <w:t>十一、违约责任与赔偿损失</w:t>
      </w:r>
    </w:p>
    <w:p>
      <w:pPr>
        <w:pStyle w:val="null3"/>
        <w:ind w:firstLine="480"/>
        <w:jc w:val="both"/>
      </w:pPr>
      <w:r>
        <w:rPr>
          <w:sz w:val="24"/>
        </w:rPr>
        <w:t>1.乙方交付的货物、工程/提供的服务不符合本合同规定的，甲方有权拒收，并且乙方须向甲方支付本合同总价5%的违约金。</w:t>
      </w:r>
    </w:p>
    <w:p>
      <w:pPr>
        <w:pStyle w:val="null3"/>
        <w:ind w:firstLine="480"/>
        <w:jc w:val="both"/>
      </w:pPr>
      <w:r>
        <w:rPr>
          <w:sz w:val="24"/>
        </w:rPr>
        <w:t>2.乙方未能按本合同规定的交货时间交付货物的/提供服务，从逾期之日起每日按本合同总价3‰的数额向甲方支付违约金；逾期半个月以上的，甲方有权终止合同，由此造成的甲方经济损失由乙方承担。</w:t>
      </w:r>
    </w:p>
    <w:p>
      <w:pPr>
        <w:pStyle w:val="null3"/>
        <w:ind w:firstLine="480"/>
        <w:jc w:val="both"/>
      </w:pPr>
      <w:r>
        <w:rPr>
          <w:sz w:val="24"/>
        </w:rPr>
        <w:t>3.甲方无正当理由拒收货物/接受服务，到期拒付货物/服务款项的，甲方向乙方偿付本合同总的5%的违约金。甲方人逾期付款，则每日按本合同总价的3‰向乙方偿付违约金。</w:t>
      </w:r>
    </w:p>
    <w:p>
      <w:pPr>
        <w:pStyle w:val="null3"/>
        <w:ind w:firstLine="480"/>
        <w:jc w:val="both"/>
      </w:pPr>
      <w:r>
        <w:rPr>
          <w:sz w:val="24"/>
        </w:rPr>
        <w:t>4.对于因甲方原因导致变更、中止或者终止政府采购合同的，甲方应当依照以下合同约定对供应商受到的损失予以赔偿或者补偿：</w:t>
      </w:r>
      <w:r>
        <w:rPr>
          <w:sz w:val="21"/>
          <w:u w:val="single"/>
        </w:rPr>
        <w:t xml:space="preserve">                                                           </w:t>
      </w:r>
      <w:r>
        <w:rPr>
          <w:sz w:val="24"/>
        </w:rPr>
        <w:t>。</w:t>
      </w:r>
    </w:p>
    <w:p>
      <w:pPr>
        <w:pStyle w:val="null3"/>
        <w:jc w:val="both"/>
      </w:pPr>
      <w:r>
        <w:rPr>
          <w:sz w:val="24"/>
          <w:b/>
        </w:rPr>
        <w:t>十二、争议的解决</w:t>
      </w:r>
    </w:p>
    <w:p>
      <w:pPr>
        <w:pStyle w:val="null3"/>
        <w:ind w:firstLine="480"/>
        <w:jc w:val="both"/>
      </w:pPr>
      <w:r>
        <w:rPr>
          <w:sz w:val="24"/>
        </w:rPr>
        <w:t>合同执行过程中发生的任何争议，如双方不能通过友好协商解决，任何一方可向甲方所在地人民法院提起诉讼，守约方有权要求违约方承担因维权产生的诉讼费、保全费、保函费、律师费等支出。</w:t>
      </w:r>
    </w:p>
    <w:p>
      <w:pPr>
        <w:pStyle w:val="null3"/>
        <w:jc w:val="both"/>
      </w:pPr>
      <w:r>
        <w:rPr>
          <w:sz w:val="24"/>
          <w:b/>
        </w:rPr>
        <w:t>十三、不可抗力</w:t>
      </w:r>
    </w:p>
    <w:p>
      <w:pPr>
        <w:pStyle w:val="null3"/>
        <w:ind w:firstLine="480"/>
        <w:jc w:val="both"/>
      </w:pPr>
      <w:r>
        <w:rPr>
          <w:sz w:val="24"/>
        </w:rPr>
        <w:t>任何一方由于不可抗力原因不能履行合同时，应在不可抗力事件结束后</w:t>
      </w:r>
      <w:r>
        <w:rPr>
          <w:sz w:val="24"/>
        </w:rPr>
        <w:t>1日内书面向对方通报，以减轻可能给对方造成的损失，在取得有关机构的不可抗力证明或双方谅解确认后，允许延期履行或修订合同，并根据情况可部分或全部免于承担违约责任。</w:t>
      </w:r>
    </w:p>
    <w:p>
      <w:pPr>
        <w:pStyle w:val="null3"/>
        <w:jc w:val="both"/>
      </w:pPr>
      <w:r>
        <w:rPr>
          <w:sz w:val="24"/>
          <w:b/>
        </w:rPr>
        <w:t>十四、税费</w:t>
      </w:r>
    </w:p>
    <w:p>
      <w:pPr>
        <w:pStyle w:val="null3"/>
        <w:ind w:firstLine="480"/>
        <w:jc w:val="both"/>
      </w:pPr>
      <w:r>
        <w:rPr>
          <w:sz w:val="24"/>
        </w:rPr>
        <w:t>在中国境内、外发生的与本合同执行有关的一切税费均由乙方负担。</w:t>
      </w:r>
    </w:p>
    <w:p>
      <w:pPr>
        <w:pStyle w:val="null3"/>
        <w:jc w:val="both"/>
      </w:pPr>
      <w:r>
        <w:rPr>
          <w:sz w:val="24"/>
          <w:b/>
        </w:rPr>
        <w:t>十五、其它</w:t>
      </w:r>
    </w:p>
    <w:p>
      <w:pPr>
        <w:pStyle w:val="null3"/>
        <w:ind w:firstLine="480"/>
        <w:jc w:val="both"/>
      </w:pPr>
      <w:r>
        <w:rPr>
          <w:sz w:val="24"/>
        </w:rPr>
        <w:t>1.本合同所有附件、招标文件、投标文件、中标通知书均为合同的有效组成部分，与本合同具有同等法律效力。</w:t>
      </w:r>
    </w:p>
    <w:p>
      <w:pPr>
        <w:pStyle w:val="null3"/>
        <w:ind w:firstLine="480"/>
        <w:jc w:val="both"/>
      </w:pPr>
      <w:r>
        <w:rPr>
          <w:sz w:val="24"/>
        </w:rPr>
        <w:t>2.在执行本合同的过程中，所有经双方签署确认的文件（包括会议纪要、补充协议、往来信函）即成为本合同的有效组成部分。</w:t>
      </w:r>
    </w:p>
    <w:p>
      <w:pPr>
        <w:pStyle w:val="null3"/>
        <w:ind w:firstLine="480"/>
        <w:jc w:val="both"/>
      </w:pPr>
      <w:r>
        <w:rPr>
          <w:sz w:val="24"/>
        </w:rPr>
        <w:t>3.如一方地址、电话、传真号码有变更，应在变更当日内书面通知对方，否则，应承担相应责任。</w:t>
      </w:r>
    </w:p>
    <w:p>
      <w:pPr>
        <w:pStyle w:val="null3"/>
        <w:ind w:firstLine="480"/>
        <w:jc w:val="both"/>
      </w:pPr>
      <w:r>
        <w:rPr>
          <w:sz w:val="24"/>
        </w:rPr>
        <w:t>4.除甲方事先书面同意外，乙方不得部分或全部转让其应履行的合同项下的义务，否则甲方有权单方解除合同，并要求乙方承担本合同价款20%的违约金。</w:t>
      </w:r>
    </w:p>
    <w:p>
      <w:pPr>
        <w:pStyle w:val="null3"/>
        <w:jc w:val="both"/>
      </w:pPr>
      <w:r>
        <w:rPr>
          <w:sz w:val="24"/>
          <w:b/>
        </w:rPr>
        <w:t>十六、合同生效</w:t>
      </w:r>
    </w:p>
    <w:p>
      <w:pPr>
        <w:pStyle w:val="null3"/>
        <w:ind w:firstLine="480"/>
        <w:jc w:val="both"/>
      </w:pPr>
      <w:r>
        <w:rPr>
          <w:sz w:val="24"/>
        </w:rPr>
        <w:t>1.本合同在甲乙双方法人代表或其授权代表签字盖章后生效。</w:t>
      </w:r>
    </w:p>
    <w:p>
      <w:pPr>
        <w:pStyle w:val="null3"/>
        <w:ind w:firstLine="480"/>
        <w:jc w:val="both"/>
      </w:pPr>
      <w:r>
        <w:rPr>
          <w:sz w:val="24"/>
        </w:rPr>
        <w:t>2.合同履约期限时间：</w:t>
      </w:r>
      <w:r>
        <w:rPr>
          <w:sz w:val="21"/>
          <w:u w:val="single"/>
        </w:rPr>
        <w:t xml:space="preserve">               </w:t>
      </w:r>
      <w:r>
        <w:rPr>
          <w:sz w:val="24"/>
        </w:rPr>
        <w:t>至</w:t>
      </w:r>
      <w:r>
        <w:rPr>
          <w:sz w:val="21"/>
          <w:u w:val="single"/>
        </w:rPr>
        <w:t xml:space="preserve">               </w:t>
      </w:r>
      <w:r>
        <w:rPr>
          <w:sz w:val="24"/>
        </w:rPr>
        <w:t>。</w:t>
      </w:r>
    </w:p>
    <w:p>
      <w:pPr>
        <w:pStyle w:val="null3"/>
        <w:ind w:firstLine="480"/>
        <w:jc w:val="both"/>
      </w:pPr>
      <w:r>
        <w:rPr>
          <w:sz w:val="24"/>
        </w:rPr>
        <w:t>3.合同一式</w:t>
      </w:r>
      <w:r>
        <w:rPr>
          <w:sz w:val="21"/>
          <w:u w:val="single"/>
        </w:rPr>
        <w:t xml:space="preserve">     </w:t>
      </w:r>
      <w:r>
        <w:rPr>
          <w:sz w:val="24"/>
        </w:rPr>
        <w:t>份，甲方执</w:t>
      </w:r>
      <w:r>
        <w:rPr>
          <w:sz w:val="21"/>
          <w:u w:val="single"/>
        </w:rPr>
        <w:t xml:space="preserve">     </w:t>
      </w:r>
      <w:r>
        <w:rPr>
          <w:sz w:val="24"/>
        </w:rPr>
        <w:t>份、乙方执</w:t>
      </w:r>
      <w:r>
        <w:rPr>
          <w:sz w:val="21"/>
          <w:u w:val="single"/>
        </w:rPr>
        <w:t xml:space="preserve">     </w:t>
      </w:r>
      <w:r>
        <w:rPr>
          <w:sz w:val="24"/>
        </w:rPr>
        <w:t>份。</w:t>
      </w:r>
    </w:p>
    <w:p>
      <w:pPr>
        <w:pStyle w:val="null3"/>
        <w:jc w:val="both"/>
      </w:pPr>
      <w:r>
        <w:rPr>
          <w:sz w:val="24"/>
        </w:rPr>
        <w:t>以下无正文</w:t>
      </w:r>
    </w:p>
    <w:p>
      <w:pPr>
        <w:pStyle w:val="null3"/>
        <w:jc w:val="both"/>
      </w:pPr>
      <w:r>
        <w:rPr>
          <w:sz w:val="24"/>
        </w:rPr>
        <w:t>甲方（盖章）：</w:t>
      </w:r>
      <w:r>
        <w:rPr>
          <w:sz w:val="24"/>
        </w:rPr>
        <w:t xml:space="preserve">                          </w:t>
      </w:r>
      <w:r>
        <w:rPr>
          <w:sz w:val="24"/>
        </w:rPr>
        <w:t>乙方（盖章）：</w:t>
      </w:r>
    </w:p>
    <w:p>
      <w:pPr>
        <w:pStyle w:val="null3"/>
        <w:jc w:val="both"/>
      </w:pPr>
      <w:r>
        <w:rPr>
          <w:sz w:val="24"/>
        </w:rPr>
        <w:t>签约代表：</w:t>
      </w:r>
      <w:r>
        <w:rPr>
          <w:sz w:val="24"/>
        </w:rPr>
        <w:t xml:space="preserve">                                  </w:t>
      </w:r>
      <w:r>
        <w:rPr>
          <w:sz w:val="24"/>
        </w:rPr>
        <w:t>签约代表：</w:t>
      </w:r>
    </w:p>
    <w:p>
      <w:pPr>
        <w:pStyle w:val="null3"/>
        <w:jc w:val="both"/>
      </w:pPr>
      <w:r>
        <w:rPr>
          <w:sz w:val="24"/>
        </w:rPr>
        <w:t>日期：</w:t>
      </w:r>
      <w:r>
        <w:rPr>
          <w:sz w:val="24"/>
        </w:rPr>
        <w:t xml:space="preserve">       </w:t>
      </w:r>
      <w:r>
        <w:rPr>
          <w:sz w:val="24"/>
        </w:rPr>
        <w:t>年</w:t>
      </w:r>
      <w:r>
        <w:rPr>
          <w:sz w:val="24"/>
        </w:rPr>
        <w:t xml:space="preserve">     </w:t>
      </w:r>
      <w:r>
        <w:rPr>
          <w:sz w:val="24"/>
        </w:rPr>
        <w:t>月</w:t>
      </w:r>
      <w:r>
        <w:rPr>
          <w:sz w:val="24"/>
        </w:rPr>
        <w:t xml:space="preserve">    </w:t>
      </w:r>
      <w:r>
        <w:rPr>
          <w:sz w:val="24"/>
        </w:rPr>
        <w:t>日</w:t>
      </w:r>
      <w:r>
        <w:rPr>
          <w:sz w:val="24"/>
        </w:rPr>
        <w:t xml:space="preserve">       </w:t>
      </w:r>
      <w:r>
        <w:rPr>
          <w:sz w:val="24"/>
        </w:rPr>
        <w:t>日期：</w:t>
      </w:r>
      <w:r>
        <w:rPr>
          <w:sz w:val="24"/>
        </w:rPr>
        <w:t xml:space="preserve">     </w:t>
      </w:r>
      <w:r>
        <w:rPr>
          <w:sz w:val="24"/>
        </w:rPr>
        <w:t>年</w:t>
      </w:r>
      <w:r>
        <w:rPr>
          <w:sz w:val="24"/>
        </w:rPr>
        <w:t xml:space="preserve">     </w:t>
      </w:r>
      <w:r>
        <w:rPr>
          <w:sz w:val="24"/>
        </w:rPr>
        <w:t>月</w:t>
      </w:r>
      <w:r>
        <w:rPr>
          <w:sz w:val="24"/>
        </w:rPr>
        <w:t xml:space="preserve">     </w:t>
      </w:r>
      <w:r>
        <w:rPr>
          <w:sz w:val="24"/>
        </w:rPr>
        <w:t>日</w:t>
      </w:r>
      <w:r>
        <w:rPr>
          <w:sz w:val="24"/>
        </w:rPr>
        <w:t xml:space="preserve">    </w:t>
      </w:r>
    </w:p>
    <w:p>
      <w:pPr>
        <w:pStyle w:val="null3"/>
        <w:ind w:firstLine="480"/>
        <w:jc w:val="left"/>
      </w:pPr>
      <w:r>
        <w:rPr>
          <w:sz w:val="24"/>
        </w:rPr>
        <w:t>签订地点：</w:t>
      </w:r>
      <w:r>
        <w:rPr>
          <w:sz w:val="24"/>
        </w:rPr>
        <w:t xml:space="preserve">                    </w:t>
      </w:r>
    </w:p>
    <w:p>
      <w:pPr>
        <w:pStyle w:val="null3"/>
        <w:ind w:firstLine="480"/>
        <w:jc w:val="left"/>
      </w:pPr>
      <w:r>
        <w:rPr>
          <w:sz w:val="24"/>
        </w:rPr>
        <w:t>乙方规模：中型企业</w:t>
      </w:r>
      <w:r>
        <w:rPr>
          <w:sz w:val="24"/>
        </w:rPr>
        <w:t>/小型企业/微型企业/其他</w:t>
      </w:r>
    </w:p>
    <w:p>
      <w:pPr>
        <w:pStyle w:val="null3"/>
        <w:jc w:val="both"/>
      </w:pPr>
      <w:r>
        <w:rPr>
          <w:sz w:val="24"/>
        </w:rPr>
        <w:t xml:space="preserve">       乙方特殊性质：监狱企业</w:t>
      </w:r>
      <w:r>
        <w:rPr>
          <w:sz w:val="24"/>
        </w:rPr>
        <w:t>/残疾人福利性单位/其他</w:t>
      </w:r>
    </w:p>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440101-2025-04921</w:t>
      </w:r>
    </w:p>
    <w:p>
      <w:pPr>
        <w:pStyle w:val="null3"/>
        <w:jc w:val="center"/>
        <w:outlineLvl w:val="3"/>
      </w:pPr>
      <w:r>
        <w:rPr>
          <w:sz w:val="24"/>
          <w:b/>
        </w:rPr>
        <w:t>采购项目编号：</w:t>
      </w:r>
      <w:r>
        <w:rPr>
          <w:sz w:val="24"/>
          <w:b/>
        </w:rPr>
        <w:t>440101-2025-04921</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五、实质性响应一览表</w:t>
      </w:r>
    </w:p>
    <w:p>
      <w:pPr>
        <w:pStyle w:val="null3"/>
        <w:ind w:firstLine="480"/>
      </w:pPr>
      <w:r>
        <w:rPr/>
        <w:t>六、法定代表人证明书</w:t>
      </w:r>
    </w:p>
    <w:p>
      <w:pPr>
        <w:pStyle w:val="null3"/>
        <w:ind w:firstLine="480"/>
      </w:pPr>
      <w:r>
        <w:rPr/>
        <w:t>七、法定代表人授权书</w:t>
      </w:r>
    </w:p>
    <w:p>
      <w:pPr>
        <w:pStyle w:val="null3"/>
        <w:ind w:firstLine="480"/>
      </w:pPr>
      <w:r>
        <w:rPr/>
        <w:t>八、提供具有独立承担民事责任的能力的证明材料</w:t>
      </w:r>
    </w:p>
    <w:p>
      <w:pPr>
        <w:pStyle w:val="null3"/>
        <w:ind w:firstLine="480"/>
      </w:pPr>
      <w:r>
        <w:rPr/>
        <w:t>九、承诺函</w:t>
      </w:r>
    </w:p>
    <w:p>
      <w:pPr>
        <w:pStyle w:val="null3"/>
        <w:ind w:firstLine="480"/>
      </w:pPr>
      <w:r>
        <w:rPr/>
        <w:t>十、中小企业声明函</w:t>
      </w:r>
    </w:p>
    <w:p>
      <w:pPr>
        <w:pStyle w:val="null3"/>
        <w:ind w:firstLine="480"/>
      </w:pPr>
      <w:r>
        <w:rPr/>
        <w:t>十一、监狱企业</w:t>
      </w:r>
    </w:p>
    <w:p>
      <w:pPr>
        <w:pStyle w:val="null3"/>
        <w:ind w:firstLine="480"/>
      </w:pPr>
      <w:r>
        <w:rPr/>
        <w:t>十二、残疾人福利性单位声明函</w:t>
      </w:r>
    </w:p>
    <w:p>
      <w:pPr>
        <w:pStyle w:val="null3"/>
        <w:ind w:firstLine="480"/>
      </w:pPr>
      <w:r>
        <w:rPr/>
        <w:t>十三、联合体共同投标协议书</w:t>
      </w:r>
    </w:p>
    <w:p>
      <w:pPr>
        <w:pStyle w:val="null3"/>
        <w:ind w:firstLine="480"/>
      </w:pPr>
      <w:r>
        <w:rPr/>
        <w:t>十四、投标人业绩情况表</w:t>
      </w:r>
    </w:p>
    <w:p>
      <w:pPr>
        <w:pStyle w:val="null3"/>
        <w:ind w:firstLine="480"/>
      </w:pPr>
      <w:r>
        <w:rPr/>
        <w:t>十五、技术和服务要求响应表</w:t>
      </w:r>
    </w:p>
    <w:p>
      <w:pPr>
        <w:pStyle w:val="null3"/>
        <w:ind w:firstLine="480"/>
      </w:pPr>
      <w:r>
        <w:rPr/>
        <w:t>十六、商务条件响应表</w:t>
      </w:r>
    </w:p>
    <w:p>
      <w:pPr>
        <w:pStyle w:val="null3"/>
        <w:ind w:firstLine="480"/>
      </w:pPr>
      <w:r>
        <w:rPr/>
        <w:t>十七、履约进度计划表</w:t>
      </w:r>
    </w:p>
    <w:p>
      <w:pPr>
        <w:pStyle w:val="null3"/>
        <w:ind w:firstLine="480"/>
      </w:pPr>
      <w:r>
        <w:rPr/>
        <w:t>十八、各类证明材料</w:t>
      </w:r>
    </w:p>
    <w:p>
      <w:pPr>
        <w:pStyle w:val="null3"/>
        <w:ind w:firstLine="480"/>
      </w:pPr>
      <w:r>
        <w:rPr/>
        <w:t>十九、采购代理服务费支付承诺书</w:t>
      </w:r>
    </w:p>
    <w:p>
      <w:pPr>
        <w:pStyle w:val="null3"/>
        <w:ind w:firstLine="480"/>
      </w:pPr>
      <w:r>
        <w:rPr/>
        <w:t>二十、需要采购人提供的附加条件</w:t>
      </w:r>
    </w:p>
    <w:p>
      <w:pPr>
        <w:pStyle w:val="null3"/>
        <w:ind w:firstLine="480"/>
      </w:pPr>
      <w:r>
        <w:rPr/>
        <w:t>二十一、项目实施方案、质量保证及售后服务承诺等</w:t>
      </w:r>
    </w:p>
    <w:p>
      <w:pPr>
        <w:pStyle w:val="null3"/>
        <w:ind w:firstLine="480"/>
      </w:pPr>
      <w:r>
        <w:rPr/>
        <w:t>二十二、附件</w:t>
      </w:r>
    </w:p>
    <w:p>
      <w:pPr>
        <w:pStyle w:val="null3"/>
        <w:ind w:firstLine="480"/>
      </w:pPr>
      <w:r>
        <w:rPr/>
        <w:t>二十三、政府采购履约担保函、采购合同履约保险凭证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广东志正招标有限公司</w:t>
      </w:r>
    </w:p>
    <w:p>
      <w:pPr>
        <w:pStyle w:val="null3"/>
        <w:ind w:firstLine="480"/>
      </w:pPr>
      <w:r>
        <w:rPr/>
        <w:t xml:space="preserve"> 你方组织的</w:t>
      </w:r>
      <w:r>
        <w:rPr>
          <w:u w:val="single"/>
        </w:rPr>
        <w:t>“</w:t>
      </w:r>
      <w:r>
        <w:rPr>
          <w:u w:val="single"/>
        </w:rPr>
        <w:t>广州市工贸技师学院城市轨道交通服务员实训系统购置项目</w:t>
      </w:r>
      <w:r>
        <w:rPr>
          <w:u w:val="single"/>
        </w:rPr>
        <w:t>”</w:t>
      </w:r>
      <w:r>
        <w:rPr/>
        <w:t>项目的招标[采购项目编号为：</w:t>
      </w:r>
      <w:r>
        <w:rPr>
          <w:u w:val="single"/>
        </w:rPr>
        <w:t>440101-2025-04921</w:t>
      </w:r>
      <w:r>
        <w:rPr/>
        <w:t>]，我方愿参与投标。</w:t>
      </w:r>
    </w:p>
    <w:p>
      <w:pPr>
        <w:pStyle w:val="null3"/>
        <w:ind w:firstLine="480"/>
      </w:pPr>
      <w:r>
        <w:rPr/>
        <w:t>我方确认收到贵方提供的</w:t>
      </w:r>
      <w:r>
        <w:rPr>
          <w:u w:val="single"/>
        </w:rPr>
        <w:t>“</w:t>
      </w:r>
      <w:r>
        <w:rPr>
          <w:u w:val="single"/>
        </w:rPr>
        <w:t>广州市工贸技师学院城市轨道交通服务员实训系统购置项目</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利。</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（三）我方愿意向贵方提供任何与本项报价有关的数据、情况和技术资料。若贵方需要，我方愿意提供我方作出的一切承诺的证明材料。</w:t>
      </w:r>
    </w:p>
    <w:p>
      <w:pPr>
        <w:pStyle w:val="null3"/>
        <w:ind w:firstLine="480"/>
      </w:pPr>
      <w:r>
        <w:rPr/>
        <w:t xml:space="preserve"> （四）我方理解贵方不一定接受最低投标价或任何贵方可能收到的投标。</w:t>
      </w:r>
    </w:p>
    <w:p>
      <w:pPr>
        <w:pStyle w:val="null3"/>
        <w:ind w:firstLine="480"/>
      </w:pPr>
      <w:r>
        <w:rPr/>
        <w:t xml:space="preserve"> （五）我方如果中标，将保证履行招标文件及其澄清、修改文件（如果有）中的全部责任和义务，按质、按量、按期完成《采购需求》及《合同书》中的全部任务。</w:t>
      </w:r>
    </w:p>
    <w:p>
      <w:pPr>
        <w:pStyle w:val="null3"/>
        <w:ind w:firstLine="480"/>
      </w:pPr>
      <w:r>
        <w:rPr/>
        <w:t xml:space="preserve"> （六）我方作为法律、财务和运作上独立于采购人、采购代理机构的投标人，在此保证所提交的所有文件和全部说明是真实的和正确的。</w:t>
      </w:r>
    </w:p>
    <w:p>
      <w:pPr>
        <w:pStyle w:val="null3"/>
        <w:ind w:firstLine="480"/>
      </w:pPr>
      <w:r>
        <w:rPr/>
        <w:t xml:space="preserve"> （七）我方投标报价已包含应向知识产权所有权人支付的所有相关税费，并保证采购人在中国使用我方提供的货物或服务时，如有第三方提出侵犯其知识产权主张的，责任由我方承担。</w:t>
      </w:r>
    </w:p>
    <w:p>
      <w:pPr>
        <w:pStyle w:val="null3"/>
        <w:ind w:firstLine="480"/>
      </w:pPr>
      <w:r>
        <w:rPr/>
        <w:t xml:space="preserve"> （八）我方接受采购人委托向贵方支付代理服务费，项目总报价已包含代理服务费，如果被确定为中标供应商，承诺向贵方足额支付。（若采购人支付代理服务费，则此条不适用）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（九）我方与其他投标人不存在法定代表人或单位负责人为同一人或者存在直接控股、管理关系。</w:t>
      </w:r>
    </w:p>
    <w:p>
      <w:pPr>
        <w:pStyle w:val="null3"/>
        <w:ind w:firstLine="480"/>
      </w:pPr>
      <w:r>
        <w:rPr/>
        <w:t xml:space="preserve"> （十）我方承诺未为本项目提供整体设计、规范编制或者项目管理、监理、检测等服务。</w:t>
      </w:r>
    </w:p>
    <w:p>
      <w:pPr>
        <w:pStyle w:val="null3"/>
        <w:ind w:firstLine="480"/>
      </w:pPr>
      <w:r>
        <w:rPr/>
        <w:t>（十一）我方未被列入法院失信被执行人名单中。</w:t>
      </w:r>
    </w:p>
    <w:p>
      <w:pPr>
        <w:pStyle w:val="null3"/>
        <w:ind w:firstLine="480"/>
      </w:pPr>
      <w:r>
        <w:rPr/>
        <w:t>（十二）我方承诺遵守《中华人民共和国民法典》有关规定和《中华人民共和国妇女权益保障法》中关于“劳动和社会保障权益”的有关要求。</w:t>
      </w:r>
    </w:p>
    <w:p>
      <w:pPr>
        <w:pStyle w:val="null3"/>
        <w:ind w:firstLine="480"/>
      </w:pPr>
      <w:r>
        <w:rPr/>
        <w:t xml:space="preserve"> （十三）我方具备《中华人民共和国政府采购法》第二十二条规定的条件，承诺如下：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（十四）我方对在本函及投标文件中所作的所有承诺承担法律责任。</w:t>
      </w:r>
    </w:p>
    <w:p>
      <w:pPr>
        <w:pStyle w:val="null3"/>
        <w:ind w:firstLine="480"/>
      </w:pPr>
      <w:r>
        <w:rPr/>
        <w:t xml:space="preserve"> （十五）所有与本招标有关的函件请发往下列地址：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jc w:val="center"/>
        <w:outlineLvl w:val="3"/>
      </w:pPr>
      <w:r>
        <w:rPr>
          <w:sz w:val="24"/>
          <w:b/>
        </w:rPr>
        <w:t>实质性响应一览表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实质性响应条款</w:t>
            </w:r>
          </w:p>
        </w:tc>
        <w:tc>
          <w:tcPr>
            <w:tcW w:type="dxa" w:w="2076"/>
          </w:tcPr>
          <w:p>
            <w:pPr>
              <w:pStyle w:val="null3"/>
            </w:pPr>
            <w:r>
              <w:rPr/>
              <w:t>投标人响应情况</w:t>
            </w:r>
          </w:p>
        </w:tc>
        <w:tc>
          <w:tcPr>
            <w:tcW w:type="dxa" w:w="2076"/>
          </w:tcPr>
          <w:p>
            <w:pPr>
              <w:pStyle w:val="null3"/>
            </w:pPr>
            <w:r>
              <w:rPr/>
              <w:t>差异</w:t>
            </w:r>
          </w:p>
        </w:tc>
      </w:tr>
      <w:tr>
        <w:tc>
          <w:tcPr>
            <w:tcW w:type="dxa" w:w="2076"/>
          </w:tcPr>
          <w:p>
            <w:pPr>
              <w:pStyle w:val="null3"/>
            </w:pPr>
            <w:r>
              <w:rPr/>
              <w:t>1</w:t>
            </w:r>
          </w:p>
        </w:tc>
        <w:tc>
          <w:tcPr>
            <w:tcW w:type="dxa" w:w="2076"/>
          </w:tcPr>
          <w:p/>
        </w:tc>
        <w:tc>
          <w:tcPr>
            <w:tcW w:type="dxa" w:w="2076"/>
          </w:tcPr>
          <w:p/>
        </w:tc>
        <w:tc>
          <w:tcPr>
            <w:tcW w:type="dxa" w:w="2076"/>
          </w:tcPr>
          <w:p/>
        </w:tc>
      </w:tr>
      <w:tr>
        <w:tc>
          <w:tcPr>
            <w:tcW w:type="dxa" w:w="2076"/>
          </w:tcPr>
          <w:p>
            <w:pPr>
              <w:pStyle w:val="null3"/>
            </w:pPr>
            <w:r>
              <w:rPr/>
              <w:t xml:space="preserve"> 2</w:t>
            </w:r>
          </w:p>
        </w:tc>
        <w:tc>
          <w:tcPr>
            <w:tcW w:type="dxa" w:w="2076"/>
          </w:tcPr>
          <w:p/>
        </w:tc>
        <w:tc>
          <w:tcPr>
            <w:tcW w:type="dxa" w:w="2076"/>
          </w:tcPr>
          <w:p/>
        </w:tc>
        <w:tc>
          <w:tcPr>
            <w:tcW w:type="dxa" w:w="2076"/>
          </w:tcPr>
          <w:p/>
        </w:tc>
      </w:tr>
      <w:tr>
        <w:tc>
          <w:tcPr>
            <w:tcW w:type="dxa" w:w="2076"/>
          </w:tcPr>
          <w:p>
            <w:pPr>
              <w:pStyle w:val="null3"/>
            </w:pPr>
            <w:r>
              <w:rPr/>
              <w:t xml:space="preserve"> 3</w:t>
            </w:r>
          </w:p>
        </w:tc>
        <w:tc>
          <w:tcPr>
            <w:tcW w:type="dxa" w:w="2076"/>
          </w:tcPr>
          <w:p/>
        </w:tc>
        <w:tc>
          <w:tcPr>
            <w:tcW w:type="dxa" w:w="2076"/>
          </w:tcPr>
          <w:p/>
        </w:tc>
        <w:tc>
          <w:tcPr>
            <w:tcW w:type="dxa" w:w="2076"/>
          </w:tcPr>
          <w:p/>
        </w:tc>
      </w:tr>
      <w:tr>
        <w:tc>
          <w:tcPr>
            <w:tcW w:type="dxa" w:w="2076"/>
          </w:tcPr>
          <w:p>
            <w:pPr>
              <w:pStyle w:val="null3"/>
            </w:pPr>
            <w:r>
              <w:rPr/>
              <w:t xml:space="preserve"> 4</w:t>
            </w:r>
          </w:p>
        </w:tc>
        <w:tc>
          <w:tcPr>
            <w:tcW w:type="dxa" w:w="2076"/>
          </w:tcPr>
          <w:p/>
        </w:tc>
        <w:tc>
          <w:tcPr>
            <w:tcW w:type="dxa" w:w="2076"/>
          </w:tcPr>
          <w:p/>
        </w:tc>
        <w:tc>
          <w:tcPr>
            <w:tcW w:type="dxa" w:w="2076"/>
          </w:tcPr>
          <w:p/>
        </w:tc>
      </w:tr>
      <w:tr>
        <w:tc>
          <w:tcPr>
            <w:tcW w:type="dxa" w:w="2076"/>
          </w:tcPr>
          <w:p>
            <w:pPr>
              <w:pStyle w:val="null3"/>
            </w:pPr>
            <w:r>
              <w:rPr/>
              <w:t xml:space="preserve"> …</w:t>
            </w:r>
          </w:p>
        </w:tc>
        <w:tc>
          <w:tcPr>
            <w:tcW w:type="dxa" w:w="2076"/>
          </w:tcPr>
          <w:p/>
        </w:tc>
        <w:tc>
          <w:tcPr>
            <w:tcW w:type="dxa" w:w="2076"/>
          </w:tcPr>
          <w:p/>
        </w:tc>
        <w:tc>
          <w:tcPr>
            <w:tcW w:type="dxa" w:w="2076"/>
          </w:tcPr>
          <w:p/>
        </w:tc>
      </w:tr>
      <w:tr>
        <w:tc>
          <w:tcPr>
            <w:tcW w:type="dxa" w:w="2076"/>
          </w:tcPr>
          <w:p>
            <w:pPr>
              <w:pStyle w:val="null3"/>
            </w:pPr>
            <w:r>
              <w:rPr/>
              <w:t xml:space="preserve"> …</w:t>
            </w:r>
          </w:p>
        </w:tc>
        <w:tc>
          <w:tcPr>
            <w:tcW w:type="dxa" w:w="2076"/>
          </w:tcPr>
          <w:p/>
        </w:tc>
        <w:tc>
          <w:tcPr>
            <w:tcW w:type="dxa" w:w="2076"/>
          </w:tcPr>
          <w:p/>
        </w:tc>
        <w:tc>
          <w:tcPr>
            <w:tcW w:type="dxa" w:w="2076"/>
          </w:tcPr>
          <w:p/>
        </w:tc>
      </w:tr>
    </w:tbl>
    <w:p>
      <w:pPr>
        <w:pStyle w:val="null3"/>
        <w:ind w:firstLine="480"/>
      </w:pPr>
      <w:r>
        <w:rPr/>
        <w:t>说明：</w:t>
      </w:r>
    </w:p>
    <w:p>
      <w:pPr>
        <w:pStyle w:val="null3"/>
        <w:ind w:firstLine="480"/>
      </w:pPr>
      <w:r>
        <w:rPr/>
        <w:t>1.实质性响应条款一览表后续内容请根据第二章采购需求★号条款详细列举</w:t>
      </w:r>
    </w:p>
    <w:p>
      <w:pPr>
        <w:pStyle w:val="null3"/>
        <w:ind w:firstLine="480"/>
      </w:pPr>
      <w:r>
        <w:rPr/>
        <w:t xml:space="preserve"> 2.本表所列条款必须一一予以响应，“投标人响应情况”一栏应填写具体的响应内容，有差异的要具体说明。</w:t>
      </w:r>
    </w:p>
    <w:p>
      <w:pPr>
        <w:pStyle w:val="null3"/>
        <w:ind w:firstLine="480"/>
      </w:pPr>
      <w:r>
        <w:rPr/>
        <w:t>3.请投标人认真填写本表内容，如填写错误将可能导致投标无效。</w:t>
      </w:r>
    </w:p>
    <w:p>
      <w:pPr>
        <w:pStyle w:val="null3"/>
        <w:ind w:firstLine="480"/>
      </w:pPr>
      <w:r>
        <w:rPr/>
        <w:t xml:space="preserve">  </w:t>
      </w:r>
    </w:p>
    <w:p>
      <w:pPr>
        <w:pStyle w:val="null3"/>
        <w:outlineLvl w:val="2"/>
      </w:pPr>
      <w:r>
        <w:rPr>
          <w:sz w:val="28"/>
          <w:b/>
        </w:rPr>
        <w:t>格式六：</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广东志正招标有限公司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广州市工贸技师学院城市轨道交通服务员实训系统购置项目</w:t>
      </w:r>
      <w:r>
        <w:rPr/>
        <w:t>”项目采购[采购项目编号为</w:t>
      </w:r>
      <w:r>
        <w:rPr/>
        <w:t>440101-2025-04921</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提供以下相关证照的扫描件之一：1.企业法人提供企业法人营业执照；2.事业法人提供事业法人登记证；3.其他组织提供其他组织的营业执照或执业许可证；4.自然人提供居民身份证等；</w:t>
      </w:r>
    </w:p>
    <w:p>
      <w:pPr>
        <w:pStyle w:val="null3"/>
        <w:ind w:firstLine="480"/>
      </w:pPr>
      <w:r>
        <w:rPr/>
        <w:t xml:space="preserve">  </w:t>
      </w:r>
    </w:p>
    <w:p>
      <w:pPr>
        <w:pStyle w:val="null3"/>
        <w:outlineLvl w:val="2"/>
      </w:pPr>
      <w:r>
        <w:rPr>
          <w:sz w:val="28"/>
          <w:b/>
        </w:rPr>
        <w:t>格式九：</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广州市工贸技师学院</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w:t>
      </w:r>
    </w:p>
    <w:p>
      <w:pPr>
        <w:pStyle w:val="null3"/>
        <w:ind w:firstLine="480"/>
      </w:pPr>
      <w:r>
        <w:rPr/>
        <w:t>（以下格式文件由供应商根据需要选用）</w:t>
      </w:r>
    </w:p>
    <w:p>
      <w:pPr>
        <w:pStyle w:val="null3"/>
        <w:ind w:firstLine="480"/>
      </w:pPr>
      <w:r>
        <w:rPr>
          <w:b/>
        </w:rPr>
        <w:t>温馨提示：</w:t>
      </w:r>
    </w:p>
    <w:p>
      <w:pPr>
        <w:pStyle w:val="null3"/>
        <w:ind w:firstLine="480"/>
      </w:pPr>
      <w:r>
        <w:rPr/>
        <w:t>根据《广州市财政局 广州市工业和信息化局转发广东省财政厅 广东省发展和改革委员会 广东省工业和信息化厅 广东省地方 金融监督管理局关于印发《广东省政府采购促进中小企业发展实施 细则（试行）》的通知》、《广州市财政局关于进一步规范政府采购供应商资格审查及中小企业声明函管理的通知》的精神，投标人需根据以下要求对其出具的《中小企业声明函》的信息进行完善和规范。</w:t>
      </w:r>
    </w:p>
    <w:p>
      <w:pPr>
        <w:pStyle w:val="null3"/>
        <w:ind w:firstLine="480"/>
      </w:pPr>
      <w:r>
        <w:rPr/>
        <w:t>（一）对于已纳入统计部门统计范围的企业，所属行业、从业人员、营业收入、资产总额、规模类型应与统计部门报表保持一致。</w:t>
      </w:r>
    </w:p>
    <w:p>
      <w:pPr>
        <w:pStyle w:val="null3"/>
        <w:ind w:firstLine="480"/>
      </w:pPr>
      <w:r>
        <w:rPr/>
        <w:t>（二）对于未纳入统计部门统计范围的企业，应对照《国民经济行业分类》确定所属行业，当企业从事两种以上的经济活动时，则按照主要活动确定其所属行业；从业人数可以社会保险参保人数为准；营业收入、资产总额可以第三方出具的报告为准。</w:t>
      </w:r>
    </w:p>
    <w:p>
      <w:pPr>
        <w:pStyle w:val="null3"/>
        <w:ind w:firstLine="480"/>
      </w:pPr>
      <w:r>
        <w:rPr/>
        <w:t>（三）对于采购文件确实允许非独立法人参与采购活动的，应按其所属集团公司合并财务报表数据情况予以填报。以联合体形式参加或者合同分包的，需填写联合体中的中小企业或签订分包意向协议的中小企业相关信息。</w:t>
      </w:r>
    </w:p>
    <w:p>
      <w:pPr>
        <w:pStyle w:val="null3"/>
        <w:ind w:firstLine="480"/>
      </w:pPr>
      <w:r>
        <w:rPr/>
        <w:t>（四）《中小企业声明函》真实性由其出具的供应商负责。《中小企业声明函》中相关企业[制造商、承建（承接）企业]所属行业应当与采购标的的所属行业相一致。如为货物采购项目，《中小企业声明函》应当充分、准确反映货物制造商的信息。</w:t>
      </w:r>
    </w:p>
    <w:p>
      <w:pPr>
        <w:pStyle w:val="null3"/>
        <w:ind w:firstLine="480"/>
      </w:pPr>
      <w:r>
        <w:rPr/>
        <w:t>（五）对于专门面向中小企业预留份额的采购项目或者采购包，《中小企业声明函》由采购人、采购代理机构在资格审查阶段审查；对于不专门面向中小企业采购的采购项目或者采购包，以及接受大中型企业与小微企业组成联合体或者允许大中型企业向一家或者多家小微企业分包的采购项目，《中小企业声明函》由评审委员会在评审过程中审查。</w:t>
      </w:r>
    </w:p>
    <w:p>
      <w:pPr>
        <w:pStyle w:val="null3"/>
        <w:ind w:firstLine="480"/>
      </w:pPr>
      <w:r>
        <w:rPr/>
        <w:t>（六）经调查发现供应商提供《中小企业声明函》内容与实际不符的，政府采购监管部门有权根据《中小企业声明函》与实际情况的差异视情形认定其是否属于虚假材料谋取中标。</w:t>
      </w:r>
    </w:p>
    <w:p>
      <w:pPr>
        <w:pStyle w:val="null3"/>
        <w:ind w:firstLine="480"/>
      </w:pPr>
      <w:r>
        <w:rPr/>
        <w:t>（七）根据《财政部关于规范政府采购行政处罚有关问题的通知》（财库〔2015〕150 号）规定，各级人民政府财政部门依法对供应商作出的禁止参加政府采购活动的行政处罚决定在全国范围内生效。</w:t>
      </w:r>
    </w:p>
    <w:p>
      <w:pPr>
        <w:pStyle w:val="null3"/>
        <w:ind w:firstLine="480"/>
      </w:pPr>
      <w:r>
        <w:rPr/>
        <w:t>为落实对政府采购违法失信行为惩戒，供应商存在任一级人民政府财政部门作出“禁止参加政府采购活动”行政处罚决定且处罚期限未届满的，即使尚未在“中国政府采购网”开设的“政府采购严重违法失信行为处罚记录”和“信用中国”网站显示，也应禁止参加政府采购活动，采购人及采购代理机构应当审慎甄别供应商参与政府采购活动资格。</w:t>
      </w:r>
    </w:p>
    <w:p>
      <w:pPr>
        <w:pStyle w:val="null3"/>
        <w:ind w:firstLine="480"/>
      </w:pPr>
      <w:r>
        <w:rPr/>
        <w:t>（八）采购人、采购代理机构、评标委员会（评审小组）在依法进行资格审查时，应当甄别供应商是否存在“禁止参加政府采购”行政处罚决定记录，依法依规审查供应商投标资格。在资格审查、符合性审查等评审过程中，应严格依照规定审查《中小企业声明函》等文件，确保符合相关政策规定。采购人、采购代理机构、评标委员会（评审小组）审查不到位的，监管部门将依法责令改正；拒不改正的，本机关将按照《中华人民共和国政府采购法》相关规定进行处理。</w:t>
      </w:r>
    </w:p>
    <w:p>
      <w:pPr>
        <w:pStyle w:val="null3"/>
        <w:ind w:firstLine="480"/>
      </w:pPr>
      <w:r>
        <w:rPr/>
        <w:t>（九）供应商提供承诺函、第三方书面声明、检测报告、资质证件、业绩成果等材料作为投标文件组成部分的，供应商应保证资料内容书写正确、真实有效、完整一致。如相关第三方书面声明、相关检测报告等资料虚假，监管部门有权根据调查情形认定其是否属于提供虚假材料谋取中标，并严肃处理。</w:t>
      </w:r>
    </w:p>
    <w:p>
      <w:pPr>
        <w:pStyle w:val="null3"/>
      </w:pPr>
      <w:r>
        <w:rPr/>
        <w:t xml:space="preserve">  </w:t>
      </w:r>
    </w:p>
    <w:p>
      <w:pPr>
        <w:pStyle w:val="null3"/>
        <w:ind w:firstLine="480"/>
      </w:pPr>
      <w:r>
        <w:rPr/>
        <w:t>中小企业声明函（所响应产品制造商为中小企业时提交本函，所属行业应符合采购文件中明确的本项目所属行业）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1.（标的名称），属于（采购文件中明确的所属行业）行业；制造商为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2.（标的名称），属于（采购文件中明确的所属行业）行业；制造商为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格式十五：</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或照搬照抄采购文件参数、不注明实际数值者 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格式十七：</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签定合同并生效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格式十九：</w:t>
      </w:r>
    </w:p>
    <w:p>
      <w:pPr>
        <w:pStyle w:val="null3"/>
        <w:jc w:val="center"/>
        <w:outlineLvl w:val="3"/>
      </w:pPr>
      <w:r>
        <w:rPr>
          <w:sz w:val="24"/>
          <w:b/>
        </w:rPr>
        <w:t>采购代理服务费支付承诺书</w:t>
      </w:r>
    </w:p>
    <w:p>
      <w:pPr>
        <w:pStyle w:val="null3"/>
        <w:ind w:firstLine="480"/>
      </w:pPr>
      <w:r>
        <w:rPr/>
        <w:t>致：</w:t>
      </w:r>
      <w:r>
        <w:rPr/>
        <w:t>广东志正招标有限公司</w:t>
      </w:r>
    </w:p>
    <w:p>
      <w:pPr>
        <w:pStyle w:val="null3"/>
        <w:ind w:firstLine="480"/>
      </w:pPr>
      <w:r>
        <w:rPr/>
        <w:t xml:space="preserve"> 如果我方在贵采购代理机构组织的</w:t>
      </w:r>
      <w:r>
        <w:rPr/>
        <w:t>广州市工贸技师学院城市轨道交通服务员实训系统购置项目</w:t>
      </w:r>
      <w:r>
        <w:rPr/>
        <w:t>招标中获中标（采购项目编号：</w:t>
      </w:r>
      <w:r>
        <w:rPr/>
        <w:t>440101-2025-04921</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广东志正招标有限公司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格式二十二：</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格式二十三：</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