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440001-2025-40971</w:t>
      </w:r>
    </w:p>
    <w:p>
      <w:pPr>
        <w:pStyle w:val="null3"/>
        <w:jc w:val="center"/>
        <w:outlineLvl w:val="3"/>
      </w:pPr>
      <w:r>
        <w:rPr>
          <w:sz w:val="24"/>
          <w:b/>
        </w:rPr>
        <w:t>采购项目编号：</w:t>
      </w:r>
      <w:r>
        <w:rPr>
          <w:sz w:val="24"/>
          <w:b/>
        </w:rPr>
        <w:t>ZZ0250600</w:t>
      </w:r>
    </w:p>
    <w:p>
      <w:pPr>
        <w:pStyle w:val="null3"/>
        <w:jc w:val="center"/>
        <w:outlineLvl w:val="3"/>
      </w:pPr>
      <w:r>
        <w:rPr>
          <w:sz w:val="24"/>
          <w:b/>
        </w:rPr>
        <w:t>项目名称：</w:t>
      </w:r>
      <w:r>
        <w:rPr>
          <w:sz w:val="24"/>
          <w:b/>
        </w:rPr>
        <w:t>省市场监管局基础设施租赁及运维服务（2025年）项目</w:t>
      </w:r>
    </w:p>
    <w:p>
      <w:pPr>
        <w:pStyle w:val="null3"/>
        <w:jc w:val="center"/>
        <w:outlineLvl w:val="3"/>
      </w:pPr>
      <w:r>
        <w:rPr>
          <w:sz w:val="24"/>
          <w:b/>
        </w:rPr>
        <w:t>采购人：</w:t>
      </w:r>
      <w:r>
        <w:rPr>
          <w:sz w:val="24"/>
          <w:b/>
        </w:rPr>
        <w:t>广东省市场监督管理局</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广东省市场监督管理局</w:t>
      </w:r>
      <w:r>
        <w:rPr/>
        <w:t>的委托，采用</w:t>
      </w:r>
      <w:r>
        <w:rPr/>
        <w:t>公开招标</w:t>
      </w:r>
      <w:r>
        <w:rPr/>
        <w:t>方式组织采购</w:t>
      </w:r>
      <w:r>
        <w:rPr/>
        <w:t>省市场监管局基础设施租赁及运维服务（2025年）项目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省市场监管局基础设施租赁及运维服务（2025年）项目</w:t>
      </w:r>
    </w:p>
    <w:p>
      <w:pPr>
        <w:pStyle w:val="null3"/>
        <w:ind w:firstLine="480"/>
      </w:pPr>
      <w:r>
        <w:rPr/>
        <w:t>采购计划编号：</w:t>
      </w:r>
      <w:r>
        <w:rPr/>
        <w:t>440001-2025-40971</w:t>
      </w:r>
    </w:p>
    <w:p>
      <w:pPr>
        <w:pStyle w:val="null3"/>
        <w:ind w:firstLine="480"/>
      </w:pPr>
      <w:r>
        <w:rPr/>
        <w:t>采购项目编号：</w:t>
      </w:r>
      <w:r>
        <w:rPr/>
        <w:t>ZZ0250600</w:t>
      </w:r>
    </w:p>
    <w:p>
      <w:pPr>
        <w:pStyle w:val="null3"/>
        <w:ind w:firstLine="480"/>
      </w:pPr>
      <w:r>
        <w:rPr/>
        <w:t>采购方式：</w:t>
      </w:r>
      <w:r>
        <w:rPr/>
        <w:t>公开招标</w:t>
      </w:r>
    </w:p>
    <w:p>
      <w:pPr>
        <w:pStyle w:val="null3"/>
        <w:ind w:firstLine="480"/>
      </w:pPr>
      <w:r>
        <w:rPr/>
        <w:t>预算金额：</w:t>
      </w:r>
      <w:r>
        <w:rPr/>
        <w:t>3,188,600.00</w:t>
      </w:r>
      <w:r>
        <w:rPr/>
        <w:t>元</w:t>
      </w:r>
    </w:p>
    <w:p>
      <w:pPr>
        <w:pStyle w:val="null3"/>
        <w:outlineLvl w:val="3"/>
      </w:pPr>
      <w:r>
        <w:rPr>
          <w:sz w:val="24"/>
          <w:b/>
        </w:rPr>
        <w:t>2.项目内容及需求情况（采购项目技术规格、参数及要求）</w:t>
      </w:r>
    </w:p>
    <w:p>
      <w:pPr>
        <w:pStyle w:val="null3"/>
      </w:pPr>
      <w:r>
        <w:rPr/>
        <w:t>采购包1(省市场监管局基础设施租赁及运维服务（2025年）项目):</w:t>
      </w:r>
    </w:p>
    <w:p>
      <w:pPr>
        <w:pStyle w:val="null3"/>
      </w:pPr>
      <w:r>
        <w:rPr/>
        <w:t>采购包预算金额：3,188,600.00元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基础设施运营服务</w:t>
            </w:r>
          </w:p>
        </w:tc>
        <w:tc>
          <w:tcPr>
            <w:tcW w:type="dxa" w:w="2136"/>
          </w:tcPr>
          <w:p>
            <w:pPr>
              <w:pStyle w:val="null3"/>
            </w:pPr>
            <w:r>
              <w:rPr/>
              <w:t>省市场监管局基础设施租赁及运维服务（2025年）项目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合同履行期限：本项目委托基础设施租赁以合同签订之日起3个月内完成交付，交付验收后提供1年租赁服务；基础设施运维以合同签订之日为服务起始时间，服务期为12个月。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3）具有良好的商业信誉和健全的财务会计制度：提供2024年年度财务状况报告或投标截止日前6个月内任意1个月的财务报表或基本开户行出具的资信证明。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采购包1（省市场监管局基础设施租赁及运维服务（2025年）项目）：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广东省市场监督管理局</w:t>
      </w:r>
    </w:p>
    <w:p>
      <w:pPr>
        <w:pStyle w:val="null3"/>
        <w:ind w:firstLine="480"/>
      </w:pPr>
      <w:r>
        <w:rPr/>
        <w:t xml:space="preserve"> 地址：</w:t>
      </w:r>
      <w:r>
        <w:rPr/>
        <w:t>广州市天河区黄埔大道西363号</w:t>
      </w:r>
    </w:p>
    <w:p>
      <w:pPr>
        <w:pStyle w:val="null3"/>
        <w:ind w:firstLine="480"/>
      </w:pPr>
      <w:r>
        <w:rPr/>
        <w:t xml:space="preserve"> 联系方式：</w:t>
      </w:r>
      <w:r>
        <w:rPr/>
        <w:t>020-38835417</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孔先生、吴小姐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w:t>
      </w:r>
      <w:r>
        <w:rPr>
          <w:sz w:val="21"/>
          <w:b/>
        </w:rPr>
        <w:t>、投标人须对所投项目为单位的标的物进行整体投标，任何只对其中一部分内容进行的投标都被视为无效投标。</w:t>
      </w:r>
    </w:p>
    <w:p>
      <w:pPr>
        <w:pStyle w:val="null3"/>
        <w:jc w:val="both"/>
      </w:pPr>
      <w:r>
        <w:rPr>
          <w:sz w:val="21"/>
          <w:b/>
        </w:rPr>
        <w:t>2</w:t>
      </w:r>
      <w:r>
        <w:rPr>
          <w:sz w:val="21"/>
          <w:b/>
        </w:rPr>
        <w:t>、本招标文件中，凡标有“★”的地方，投标人要特别加以注意，必须对此作出一一响应。若有一项带“★”的指标未响应或不满足，将导致其废标或投标无效。</w:t>
      </w:r>
    </w:p>
    <w:p>
      <w:pPr>
        <w:pStyle w:val="null3"/>
      </w:pPr>
      <w:r>
        <w:rPr>
          <w:sz w:val="21"/>
          <w:b/>
        </w:rPr>
        <w:t>二、项目总体目标</w:t>
      </w:r>
    </w:p>
    <w:p>
      <w:pPr>
        <w:pStyle w:val="null3"/>
        <w:ind w:firstLine="420"/>
      </w:pPr>
      <w:r>
        <w:rPr>
          <w:sz w:val="21"/>
        </w:rPr>
        <w:t>围绕广东省市场监督管理局的机房及相关设备，进行必要的动力环境及硬件设备运行维护服务，提供设备租赁服务，相关基础设施设备正常运行，记录运行情况，保障信息安全。</w:t>
      </w:r>
    </w:p>
    <w:p>
      <w:pPr>
        <w:pStyle w:val="null3"/>
      </w:pPr>
      <w:r>
        <w:rPr>
          <w:sz w:val="21"/>
          <w:b/>
        </w:rPr>
        <w:t>三、项目背景</w:t>
      </w:r>
    </w:p>
    <w:p>
      <w:pPr>
        <w:pStyle w:val="null3"/>
        <w:ind w:left="105" w:firstLine="420"/>
      </w:pPr>
      <w:r>
        <w:rPr>
          <w:sz w:val="21"/>
        </w:rPr>
        <w:t>省市场监管局两个办公区的部分重要网络节点的交换机和关键网络节点防火墙、楼层交换机购买时间较早，已到达报废年限，性能已经不足以支持日益增长的办公需要。并且由于使用年限过长，可能设备内部电气性能存在老化，影响设备的运行稳定，容易造成单点故障；而体育西办公区现有的政务外网路由器为思科的设备，不满足网络设备自主可控的需求。另外，两个办公区的视频设备维保及服务均将到期，存在设备故障维修不及时的风险。目前省市场监管局主会场黄埔大道办公区有5个视频终端部署于视频会议室，每个会场一台及一台用于监控，会场视频终端设备存在单点故障的风险。省市场监管局目前大量的工作部署、讨论和培训等都通过腾讯会议开展，如用腾讯会议免费版对参会人数和功能都有所限制，不能完全满足实际使用需要。省市场监管局视频会议数量每年都较多，通过视频会议开展工作部署、讨论和培训已成常态，经常出现多个视频会议同时召开的情况，省市场监管局现有的视频技术保障人员数量不足。所以本项目所需服务如下：</w:t>
      </w:r>
    </w:p>
    <w:p>
      <w:pPr>
        <w:pStyle w:val="null3"/>
        <w:ind w:left="105" w:firstLine="420"/>
      </w:pPr>
      <w:r>
        <w:rPr>
          <w:sz w:val="21"/>
        </w:rPr>
        <w:t>1</w:t>
      </w:r>
      <w:r>
        <w:rPr>
          <w:sz w:val="21"/>
        </w:rPr>
        <w:t>、基础设施租赁服务。</w:t>
      </w:r>
    </w:p>
    <w:p>
      <w:pPr>
        <w:pStyle w:val="null3"/>
        <w:ind w:left="105" w:firstLine="420"/>
      </w:pPr>
      <w:r>
        <w:rPr>
          <w:sz w:val="21"/>
        </w:rPr>
        <w:t>（1）省市场监管局主要的两个办公区中心机房的部分接入交换机和网络安全设备提供租赁服务，并同时提供配套的安装调试以及相应服务，确保租赁的设备稳定有效运行，解决两个办公区的网络安全堵点，保障办公区内的工作人员正常地开展日常工作。</w:t>
      </w:r>
    </w:p>
    <w:p>
      <w:pPr>
        <w:pStyle w:val="null3"/>
        <w:ind w:left="105" w:firstLine="420"/>
      </w:pPr>
      <w:r>
        <w:rPr>
          <w:sz w:val="21"/>
        </w:rPr>
        <w:t>（2）为省市场监管局提供两台SSL VPN安全网关及配套证书等商用密码设备，保证省市场监管局系统的使用安全。</w:t>
      </w:r>
    </w:p>
    <w:p>
      <w:pPr>
        <w:pStyle w:val="null3"/>
        <w:ind w:left="105" w:firstLine="420"/>
      </w:pPr>
      <w:r>
        <w:rPr>
          <w:sz w:val="21"/>
        </w:rPr>
        <w:t>（3）省市场监管局视频会议系统的基础设施租赁服务，包括提供4台高清视频终端、2台互联网视频会议全向麦、1台笔记本电脑、视频会议系统许可授权3套。</w:t>
      </w:r>
    </w:p>
    <w:p>
      <w:pPr>
        <w:pStyle w:val="null3"/>
        <w:ind w:left="105" w:firstLine="420"/>
      </w:pPr>
      <w:r>
        <w:rPr>
          <w:sz w:val="21"/>
        </w:rPr>
        <w:t>2</w:t>
      </w:r>
      <w:r>
        <w:rPr>
          <w:sz w:val="21"/>
        </w:rPr>
        <w:t>、运行维护服务。</w:t>
      </w:r>
    </w:p>
    <w:p>
      <w:pPr>
        <w:pStyle w:val="null3"/>
        <w:ind w:firstLine="420"/>
      </w:pPr>
      <w:r>
        <w:rPr>
          <w:sz w:val="21"/>
        </w:rPr>
        <w:t>基础设施运行维护服务的主要内容包括：省市场监管局网络主机运维服务、省市场监管局视频会议系统运维服务。</w:t>
      </w:r>
    </w:p>
    <w:p>
      <w:pPr>
        <w:pStyle w:val="null3"/>
        <w:jc w:val="left"/>
      </w:pPr>
      <w:r>
        <w:rPr>
          <w:sz w:val="21"/>
          <w:b/>
        </w:rPr>
        <w:t>四、考核评价要求</w:t>
      </w:r>
    </w:p>
    <w:tbl>
      <w:tblPr>
        <w:tblW w:w="0" w:type="auto"/>
        <w:tblBorders>
          <w:top w:val="none" w:color="000000" w:sz="4"/>
          <w:left w:val="none" w:color="000000" w:sz="4"/>
          <w:bottom w:val="none" w:color="000000" w:sz="4"/>
          <w:right w:val="none" w:color="000000" w:sz="4"/>
          <w:insideH w:val="none"/>
          <w:insideV w:val="none"/>
        </w:tblBorders>
      </w:tblPr>
      <w:tblGrid>
        <w:gridCol w:w="763"/>
        <w:gridCol w:w="3305"/>
        <w:gridCol w:w="1356"/>
        <w:gridCol w:w="2882"/>
      </w:tblGrid>
      <w:tr>
        <w:tc>
          <w:tcPr>
            <w:tcW w:type="dxa" w:w="763"/>
            <w:tcBorders>
              <w:top w:val="single" w:color="000000" w:sz="4"/>
              <w:left w:val="single" w:color="000000" w:sz="4"/>
              <w:bottom w:val="single" w:color="000000" w:sz="4"/>
              <w:right w:val="single" w:color="000000" w:sz="4"/>
            </w:tcBorders>
            <w:shd w:fill="BEBEBE"/>
            <w:tcMar>
              <w:top w:type="dxa" w:w="0"/>
              <w:left w:type="dxa" w:w="105"/>
              <w:bottom w:type="dxa" w:w="0"/>
              <w:right w:type="dxa" w:w="105"/>
            </w:tcMar>
          </w:tcPr>
          <w:p>
            <w:pPr>
              <w:pStyle w:val="null3"/>
              <w:jc w:val="both"/>
            </w:pPr>
            <w:r>
              <w:rPr>
                <w:sz w:val="21"/>
              </w:rPr>
              <w:t>序号</w:t>
            </w:r>
          </w:p>
        </w:tc>
        <w:tc>
          <w:tcPr>
            <w:tcW w:type="dxa" w:w="3305"/>
            <w:tcBorders>
              <w:top w:val="single" w:color="000000" w:sz="4"/>
              <w:left w:val="none" w:color="000000" w:sz="4"/>
              <w:bottom w:val="single" w:color="000000" w:sz="4"/>
              <w:right w:val="single" w:color="000000" w:sz="4"/>
            </w:tcBorders>
            <w:shd w:fill="BEBEBE"/>
            <w:tcMar>
              <w:top w:type="dxa" w:w="0"/>
              <w:left w:type="dxa" w:w="105"/>
              <w:bottom w:type="dxa" w:w="0"/>
              <w:right w:type="dxa" w:w="105"/>
            </w:tcMar>
          </w:tcPr>
          <w:p>
            <w:pPr>
              <w:pStyle w:val="null3"/>
              <w:jc w:val="both"/>
            </w:pPr>
            <w:r>
              <w:rPr>
                <w:sz w:val="21"/>
              </w:rPr>
              <w:t>评价分数范围</w:t>
            </w:r>
          </w:p>
        </w:tc>
        <w:tc>
          <w:tcPr>
            <w:tcW w:type="dxa" w:w="1356"/>
            <w:tcBorders>
              <w:top w:val="single" w:color="000000" w:sz="4"/>
              <w:left w:val="none" w:color="000000" w:sz="4"/>
              <w:bottom w:val="single" w:color="000000" w:sz="4"/>
              <w:right w:val="single" w:color="000000" w:sz="4"/>
            </w:tcBorders>
            <w:shd w:fill="BEBEBE"/>
            <w:tcMar>
              <w:top w:type="dxa" w:w="0"/>
              <w:left w:type="dxa" w:w="105"/>
              <w:bottom w:type="dxa" w:w="0"/>
              <w:right w:type="dxa" w:w="105"/>
            </w:tcMar>
          </w:tcPr>
          <w:p>
            <w:pPr>
              <w:pStyle w:val="null3"/>
              <w:jc w:val="both"/>
            </w:pPr>
            <w:r>
              <w:rPr>
                <w:sz w:val="21"/>
              </w:rPr>
              <w:t>评价等级</w:t>
            </w:r>
          </w:p>
        </w:tc>
        <w:tc>
          <w:tcPr>
            <w:tcW w:type="dxa" w:w="2882"/>
            <w:tcBorders>
              <w:top w:val="single" w:color="000000" w:sz="4"/>
              <w:left w:val="none" w:color="000000" w:sz="4"/>
              <w:bottom w:val="single" w:color="000000" w:sz="4"/>
              <w:right w:val="single" w:color="000000" w:sz="4"/>
            </w:tcBorders>
            <w:shd w:fill="BEBEBE"/>
            <w:tcMar>
              <w:top w:type="dxa" w:w="0"/>
              <w:left w:type="dxa" w:w="105"/>
              <w:bottom w:type="dxa" w:w="0"/>
              <w:right w:type="dxa" w:w="105"/>
            </w:tcMar>
          </w:tcPr>
          <w:p>
            <w:pPr>
              <w:pStyle w:val="null3"/>
              <w:jc w:val="both"/>
            </w:pPr>
            <w:r>
              <w:rPr>
                <w:sz w:val="21"/>
              </w:rPr>
              <w:t>支付比例</w:t>
            </w: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3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90</w:t>
            </w:r>
            <w:r>
              <w:rPr>
                <w:sz w:val="21"/>
              </w:rPr>
              <w:t>分≤评价分数≤</w:t>
            </w:r>
            <w:r>
              <w:rPr>
                <w:sz w:val="21"/>
              </w:rPr>
              <w:t>100</w:t>
            </w:r>
            <w:r>
              <w:rPr>
                <w:sz w:val="21"/>
              </w:rPr>
              <w:t>分</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优秀</w:t>
            </w:r>
          </w:p>
        </w:tc>
        <w:tc>
          <w:tcPr>
            <w:tcW w:type="dxa" w:w="28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100%</w:t>
            </w: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3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75</w:t>
            </w:r>
            <w:r>
              <w:rPr>
                <w:sz w:val="21"/>
              </w:rPr>
              <w:t>分≤评价分数＜</w:t>
            </w:r>
            <w:r>
              <w:rPr>
                <w:sz w:val="21"/>
              </w:rPr>
              <w:t>90</w:t>
            </w:r>
            <w:r>
              <w:rPr>
                <w:sz w:val="21"/>
              </w:rPr>
              <w:t>分</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良好</w:t>
            </w:r>
          </w:p>
        </w:tc>
        <w:tc>
          <w:tcPr>
            <w:tcW w:type="dxa" w:w="28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90%</w:t>
            </w: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p>
        </w:tc>
        <w:tc>
          <w:tcPr>
            <w:tcW w:type="dxa" w:w="3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60</w:t>
            </w:r>
            <w:r>
              <w:rPr>
                <w:sz w:val="21"/>
              </w:rPr>
              <w:t>分≤评价分数＜</w:t>
            </w:r>
            <w:r>
              <w:rPr>
                <w:sz w:val="21"/>
              </w:rPr>
              <w:t>75</w:t>
            </w:r>
            <w:r>
              <w:rPr>
                <w:sz w:val="21"/>
              </w:rPr>
              <w:t>分</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中等</w:t>
            </w:r>
          </w:p>
        </w:tc>
        <w:tc>
          <w:tcPr>
            <w:tcW w:type="dxa" w:w="28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70%</w:t>
            </w: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p>
        </w:tc>
        <w:tc>
          <w:tcPr>
            <w:tcW w:type="dxa" w:w="3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评价分数＜</w:t>
            </w:r>
            <w:r>
              <w:rPr>
                <w:sz w:val="21"/>
              </w:rPr>
              <w:t>60</w:t>
            </w:r>
            <w:r>
              <w:rPr>
                <w:sz w:val="21"/>
              </w:rPr>
              <w:t>分</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一般</w:t>
            </w:r>
          </w:p>
        </w:tc>
        <w:tc>
          <w:tcPr>
            <w:tcW w:type="dxa" w:w="28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评价分数÷</w:t>
            </w:r>
            <w:r>
              <w:rPr>
                <w:sz w:val="21"/>
              </w:rPr>
              <w:t>100</w:t>
            </w:r>
            <w:r>
              <w:rPr>
                <w:sz w:val="21"/>
              </w:rPr>
              <w:t>×</w:t>
            </w:r>
            <w:r>
              <w:rPr>
                <w:sz w:val="21"/>
              </w:rPr>
              <w:t>100%</w:t>
            </w:r>
          </w:p>
        </w:tc>
      </w:tr>
    </w:tbl>
    <w:p>
      <w:pPr>
        <w:pStyle w:val="null3"/>
      </w:pPr>
      <w:r>
        <w:rPr/>
        <w:t>采购包1（省市场监管局基础设施租赁及运维服务（2025年）项目）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本项目委托基础设施租赁以合同签订之日起3个月内完成交付，交付验收后提供1年租赁服务；基础设施运维以合同签订之日为服务起始时间，服务期为12个月。</w:t>
            </w:r>
          </w:p>
        </w:tc>
      </w:tr>
      <w:tr>
        <w:tc>
          <w:tcPr>
            <w:tcW w:type="dxa" w:w="4153"/>
          </w:tcPr>
          <w:p>
            <w:pPr>
              <w:pStyle w:val="null3"/>
            </w:pPr>
            <w:r>
              <w:rPr/>
              <w:t>标的提供的地点</w:t>
            </w:r>
          </w:p>
        </w:tc>
        <w:tc>
          <w:tcPr>
            <w:tcW w:type="dxa" w:w="4153"/>
          </w:tcPr>
          <w:p>
            <w:pPr>
              <w:pStyle w:val="null3"/>
            </w:pPr>
            <w:r>
              <w:rPr/>
              <w:t>广东省市场监督管理局指定的地点。</w:t>
            </w:r>
          </w:p>
        </w:tc>
      </w:tr>
      <w:tr>
        <w:tc>
          <w:tcPr>
            <w:tcW w:type="dxa" w:w="4153"/>
          </w:tcPr>
          <w:p>
            <w:pPr>
              <w:pStyle w:val="null3"/>
            </w:pPr>
            <w:r>
              <w:rPr/>
              <w:t>付款方式</w:t>
            </w:r>
          </w:p>
        </w:tc>
        <w:tc>
          <w:tcPr>
            <w:tcW w:type="dxa" w:w="4153"/>
          </w:tcPr>
          <w:p>
            <w:pPr>
              <w:pStyle w:val="null3"/>
            </w:pPr>
            <w:r>
              <w:rPr/>
              <w:t>1期：支付比例10%,签订合同，且中标人书面提出支付申请函及拟支付金额等额的符合采购人财务管理要求的相应发票后10个工作日内启动首期款支付流程，占合同总金额的10%</w:t>
            </w:r>
          </w:p>
          <w:p>
            <w:pPr>
              <w:pStyle w:val="null3"/>
            </w:pPr>
            <w:r>
              <w:rPr/>
              <w:t>2期：支付比例50%,项目实施满7个月后，采购人根据考核情况对中标人的服务质量打分，并根据评价结果确定项目进度款支付金额。中标人书面提出支付申请函及拟支付金额等额的符合采购人财务管理要求的相应发票后10个工作日内启动进度款支付流程，占合同总金额的50%。</w:t>
            </w:r>
          </w:p>
          <w:p>
            <w:pPr>
              <w:pStyle w:val="null3"/>
            </w:pPr>
            <w:r>
              <w:rPr/>
              <w:t>3期：支付比例40%,项目验收通过后，采购人根据考核情况对中标人的服务质量打分，并根据评价结果确定项目尾款支付金额。中标人书面提出支付申请函及拟支付金额等额的符合采购人财务管理要求的相应发票后10个工作日内启动尾款支付流程，占合同总金额的40%。</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1期：（1）项目服务期满后，中标人完成运维服务工作后由采购人组织验收。 （2）中标人响应并提供验收文档清单。 （3）中标人向采购人提供项目进度报告（周报（按需）/月报/半年报/年报）；项目会议纪要（按实际提供）、巡检报告、故障和问题处理记录/报告、运维手册、服务总结报告、小型开发可编译运行的源代码（如有）、技术开发资料（如有）、数据资产清单（如有）、其他合同约定须提供材料、其他双方协商确定的内容，采购人对材料内容进行审核确认。 （4）在项目服务期满前30个工作日，中标人收集整理项目验收材料，并在服务期满后提出验收申请，在验收材料通过采购人及采购人聘请的第三方监理审核后，由采购人根据项目规模组织相关专家召开项目验收会，由专家验收组（专家成员不少于3名）审核通过后，方可视为验收通过。 （5）验收产生的一切费用由中标人承担。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一、服务响应要求，1.提供7×24小时的故障受理服务，服务响应可通过现场、远程等方式提供，由此产生的一切费用均由中标人承担。 2.对严重故障提供7×24小时的现场支援（政务云上系统按需到场），较严重故障提供5×8小时的现场支援，一般性故障提供远程支援。 3.故障服务的响应时间小于1小时。 4.收到故障起2小时内启动故障解决流程，普通故障及时解决。 5.要求运营服务人员按需提供服务，运营服务人员提供7×24小时紧急电话支持服务。达到电话及现场应急处理100%的用户响应度。</w:t>
            </w:r>
          </w:p>
          <w:p>
            <w:pPr>
              <w:pStyle w:val="null3"/>
            </w:pPr>
            <w:r>
              <w:rPr/>
              <w:t>二、资产权属，1.本合同不会引起任何已申请、登记的知识产权所有权的转移。 2.本合同所涉及的数据所有权归采购人所有。投标人只能用于履行本合同之义务。 3.投标人提供的相关软件应是自行开发的产品或具备合法、合规授权，满足知识产权、安全等保三级等方面的有关规定和要求。 4.投标人保证向采购人提供的服务成果是其独立实施完成，不存在任何侵犯第三方专利权、商标权、著作权等合法权益。如因投标人提供的服务成果侵犯任何第三方的合法权益，导致该第三方追究采购人责任的，投标人应负责解决并赔偿因此给采购人造成的全部损失。 5.本合同所涉及的数据所有权归采购人所有。数据资产的管理应遵循财政部《关于加强数据资产管理的指导意见》（财资〔2023〕141号）及其他相关法律、法规、政策要求。</w:t>
            </w:r>
          </w:p>
          <w:p>
            <w:pPr>
              <w:pStyle w:val="null3"/>
            </w:pPr>
            <w:r>
              <w:rPr/>
              <w:t>三、保密要求，1.投标人应签订保密协议，对其因身份、职务、职业或技术关系而知悉的采购人商业秘密和党政机关保密信息应严格保守，保证不被披露或使用，包括意外或过失。 2.投标人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投标人在从事政府项目时，不得擅自记录、复制、拍摄、摘抄、收藏在工作中涉及的保密信息，严禁将涉及政府项目的任何资料、数据透露或以其他方式提供给项目以外的其他方或投标人内部与该项目无关的任何人员。 3.投标人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 4.严禁泄露在工作中接触到的政府机关科技研究、发明、装备器材及其技术资料和政府工作信息。</w:t>
            </w:r>
          </w:p>
          <w:p>
            <w:pPr>
              <w:pStyle w:val="null3"/>
            </w:pPr>
            <w:r>
              <w:rPr/>
              <w:t>四、监理要求，中标人在项目开展过程中接受采购人指定的咨询监理机构的监理。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基础设施运营服务</w:t>
            </w:r>
          </w:p>
        </w:tc>
        <w:tc>
          <w:tcPr>
            <w:tcW w:type="dxa" w:w="933"/>
          </w:tcPr>
          <w:p>
            <w:pPr>
              <w:pStyle w:val="null3"/>
              <w:jc w:val="left"/>
            </w:pPr>
            <w:r>
              <w:rPr/>
              <w:t>省市场监管局基础设施租赁及运维服务（2025年）项目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3,188,600.00</w:t>
            </w:r>
          </w:p>
        </w:tc>
        <w:tc>
          <w:tcPr>
            <w:tcW w:type="dxa" w:w="933"/>
          </w:tcPr>
          <w:p>
            <w:pPr>
              <w:pStyle w:val="null3"/>
              <w:jc w:val="right"/>
            </w:pPr>
            <w:r>
              <w:rPr/>
              <w:t>3,188,600.00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省市场监管局基础设施租赁及运维服务（2025年）项目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4"/>
                <w:b/>
              </w:rPr>
              <w:t>1.</w:t>
            </w:r>
            <w:r>
              <w:rPr>
                <w:sz w:val="24"/>
                <w:b/>
              </w:rPr>
              <w:t>服务内容</w:t>
            </w:r>
          </w:p>
          <w:p>
            <w:pPr>
              <w:pStyle w:val="null3"/>
              <w:jc w:val="left"/>
            </w:pPr>
            <w:r>
              <w:rPr>
                <w:sz w:val="24"/>
                <w:b/>
              </w:rPr>
              <w:t>1.1.</w:t>
            </w:r>
            <w:r>
              <w:rPr>
                <w:sz w:val="24"/>
                <w:b/>
              </w:rPr>
              <w:t>基础设施租赁服务</w:t>
            </w:r>
          </w:p>
          <w:p>
            <w:pPr>
              <w:pStyle w:val="null3"/>
              <w:jc w:val="left"/>
            </w:pPr>
            <w:r>
              <w:rPr>
                <w:sz w:val="24"/>
                <w:b/>
              </w:rPr>
              <w:t>1.1.1.</w:t>
            </w:r>
            <w:r>
              <w:rPr>
                <w:sz w:val="24"/>
                <w:b/>
              </w:rPr>
              <w:t>交换机和网络安全设备租赁服务</w:t>
            </w:r>
          </w:p>
          <w:p>
            <w:pPr>
              <w:pStyle w:val="null3"/>
              <w:jc w:val="left"/>
            </w:pPr>
            <w:r>
              <w:rPr>
                <w:sz w:val="24"/>
                <w:b/>
              </w:rPr>
              <w:t>1.1.1.1</w:t>
            </w:r>
            <w:r>
              <w:rPr>
                <w:sz w:val="24"/>
                <w:b/>
              </w:rPr>
              <w:t>设备部署网络拓扑图</w:t>
            </w:r>
          </w:p>
          <w:p>
            <w:pPr>
              <w:pStyle w:val="null3"/>
              <w:ind w:firstLine="420"/>
              <w:jc w:val="left"/>
            </w:pPr>
            <w:r>
              <w:rPr>
                <w:sz w:val="24"/>
              </w:rPr>
              <w:t>为采购人黄埔大道办公区和体育西办公区机房提供交换机和网络安全设备的产品租赁服务，并安装调试完成，确保业务系统的正常使用。其中，黄埔大道办公区机房续租1套上网行为管理、1台视频会议二层交换机、1套网络准入系统，2套网络防火墙、2台核心交换机，新增租赁30台楼层交换机；体育西办公区机房续租1套上网行为管理、2套网络防火墙、2台三层交换机，新增租赁19台楼层交换机。</w:t>
            </w:r>
          </w:p>
          <w:p>
            <w:pPr>
              <w:pStyle w:val="null3"/>
              <w:ind w:firstLine="420"/>
              <w:jc w:val="left"/>
            </w:pPr>
            <w:r>
              <w:rPr>
                <w:sz w:val="24"/>
              </w:rPr>
              <w:t>投标人应在20个工作日内完成所有核心网络设备的到货核验、变更审核、上架部署、切换上线等所有流程。注：核心网络设备指：三层交换机、核心交换机、网络防火墙、上网行为管理系统、网络准入系统、SSL VPN网关。</w:t>
            </w:r>
          </w:p>
          <w:p>
            <w:pPr>
              <w:pStyle w:val="null3"/>
              <w:jc w:val="left"/>
            </w:pPr>
            <w:r>
              <w:rPr>
                <w:sz w:val="24"/>
              </w:rPr>
              <w:t>1.1.1.2</w:t>
            </w:r>
            <w:r>
              <w:rPr>
                <w:sz w:val="24"/>
              </w:rPr>
              <w:t>设备清单</w:t>
            </w:r>
          </w:p>
          <w:tbl>
            <w:tblGrid>
              <w:gridCol w:w="628"/>
              <w:gridCol w:w="4398"/>
              <w:gridCol w:w="571"/>
            </w:tblGrid>
            <w:tr>
              <w:tc>
                <w:tcPr>
                  <w:tcW w:type="dxa" w:w="62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产品名称</w:t>
                  </w:r>
                </w:p>
              </w:tc>
              <w:tc>
                <w:tcPr>
                  <w:tcW w:type="dxa" w:w="43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产品参数</w:t>
                  </w:r>
                </w:p>
              </w:tc>
              <w:tc>
                <w:tcPr>
                  <w:tcW w:type="dxa" w:w="5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数量（台）</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二层交换机</w:t>
                  </w: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支持≥24个1000BASE-XSFP端口，支持≥8个10/100/1000BASE-T端口，支持≥4个1G/10GBASE-XSFPPlus端口，支持AC；交换机自主可控。</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三层交换机</w:t>
                  </w: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L3</w:t>
                  </w:r>
                  <w:r>
                    <w:rPr>
                      <w:sz w:val="21"/>
                    </w:rPr>
                    <w:t>以太网交换机主机，支持≥24个10/100/1000BASE-T端口，支持4个10G/1GBASE-XSFP+端口，支持1个Slot，配置2台万兆多模模块，双电源，双风扇，配置1条3米堆叠线；交换容量≥756Gbps，包转发率≥222Mpps；≥原厂三年服务；交换机自主可控。</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核心交换机</w:t>
                  </w: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≥48</w:t>
                  </w:r>
                  <w:r>
                    <w:rPr>
                      <w:sz w:val="21"/>
                    </w:rPr>
                    <w:t>端口千兆以太网光接口模块（SFP,LC)(SC)，≥24端口千兆以太网电接口。交换容量≥25.68Tbps/102.4Tbps，包转发率4320Mpps/36000Mpps，双电源。交换机自主可控。</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r>
            <w:tr>
              <w:tc>
                <w:tcPr>
                  <w:tcW w:type="dxa" w:w="6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网络防火墙</w:t>
                  </w: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多核AMP+架构，网络处理能力为≥10G，并发连接≥300万，每秒新建连接≥30万/秒，标准2U机箱，冗余电源，标准配≥置6个10/100/1000M自适应电口，≥4个SFP插槽，支持≥1个扩展槽，≥1个Console口，支持液晶屏；加配≥1T存储硬盘，含≥三年硬件维保服务。防火墙自主可控。</w:t>
                  </w:r>
                </w:p>
              </w:tc>
              <w:tc>
                <w:tcPr>
                  <w:tcW w:type="dxa" w:w="5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r>
            <w:tr>
              <w:tc>
                <w:tcPr>
                  <w:tcW w:type="dxa" w:w="628"/>
                  <w:vMerge/>
                  <w:tcBorders>
                    <w:top w:val="none" w:color="000000" w:sz="4"/>
                    <w:left w:val="single" w:color="000000" w:sz="4"/>
                    <w:bottom w:val="single" w:color="000000" w:sz="4"/>
                    <w:right w:val="single" w:color="000000" w:sz="4"/>
                  </w:tcBorders>
                </w:tcP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功能软件：包含应用控制、统一资源定位符过滤、病毒防护、入侵防御、威胁情报检测、IPSecVPN（默认含≥25个并发隧道数，最大≥3000个）、SSLVPN（默认含≥25个并发用户数，最大≥500个）等功能，以上功能含≥3年维护。</w:t>
                  </w:r>
                </w:p>
              </w:tc>
              <w:tc>
                <w:tcPr>
                  <w:tcW w:type="dxa" w:w="571"/>
                  <w:vMerge/>
                  <w:tcBorders>
                    <w:top w:val="none" w:color="000000" w:sz="4"/>
                    <w:left w:val="none" w:color="000000" w:sz="4"/>
                    <w:bottom w:val="single" w:color="000000" w:sz="4"/>
                    <w:right w:val="single" w:color="000000" w:sz="4"/>
                  </w:tcBorders>
                </w:tcPr>
                <w:p/>
              </w:tc>
            </w:tr>
            <w:tr>
              <w:tc>
                <w:tcPr>
                  <w:tcW w:type="dxa" w:w="6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上网行为管理系统</w:t>
                  </w: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网络层吞吐量（大包）：≥10Gb，应用层吞吐量：≥1.5Gb，带宽性能：≥1Gb，IPSECVPN加密性能（最高性能）：≥200Mb，支持用户数：≥6000，准入终端数（默认客户端授权数）：≥3000，包转发率：≥132Kpps，每秒新建连接数：≥14000，最大并发连接数：≥600000。上网行为管理系统自主可控。</w:t>
                  </w:r>
                </w:p>
              </w:tc>
              <w:tc>
                <w:tcPr>
                  <w:tcW w:type="dxa" w:w="5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r>
            <w:tr>
              <w:tc>
                <w:tcPr>
                  <w:tcW w:type="dxa" w:w="628"/>
                  <w:vMerge/>
                  <w:tcBorders>
                    <w:top w:val="none" w:color="000000" w:sz="4"/>
                    <w:left w:val="single" w:color="000000" w:sz="4"/>
                    <w:bottom w:val="single" w:color="000000" w:sz="4"/>
                    <w:right w:val="single" w:color="000000" w:sz="4"/>
                  </w:tcBorders>
                </w:tcP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硬件参数：规格：≥1U，内存大小：≥8G，硬盘容量：≥64GSSD+960GSSD，电源：单电源，接口：≥6千兆电口+2万兆光口SFP+。</w:t>
                  </w:r>
                </w:p>
              </w:tc>
              <w:tc>
                <w:tcPr>
                  <w:tcW w:type="dxa" w:w="571"/>
                  <w:vMerge/>
                  <w:tcBorders>
                    <w:top w:val="none" w:color="000000" w:sz="4"/>
                    <w:left w:val="none" w:color="000000" w:sz="4"/>
                    <w:bottom w:val="single" w:color="000000" w:sz="4"/>
                    <w:right w:val="single" w:color="000000" w:sz="4"/>
                  </w:tcBorders>
                </w:tcPr>
                <w:p/>
              </w:tc>
            </w:tr>
            <w:tr>
              <w:tc>
                <w:tcPr>
                  <w:tcW w:type="dxa" w:w="628"/>
                  <w:vMerge/>
                  <w:tcBorders>
                    <w:top w:val="none" w:color="000000" w:sz="4"/>
                    <w:left w:val="single" w:color="000000" w:sz="4"/>
                    <w:bottom w:val="single" w:color="000000" w:sz="4"/>
                    <w:right w:val="single" w:color="000000" w:sz="4"/>
                  </w:tcBorders>
                </w:tcP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功能描述：实现全网资产、身份、行为可视可控，智能感知内部威胁风险，帮助用户构建有效防御体系。</w:t>
                  </w:r>
                </w:p>
              </w:tc>
              <w:tc>
                <w:tcPr>
                  <w:tcW w:type="dxa" w:w="571"/>
                  <w:vMerge/>
                  <w:tcBorders>
                    <w:top w:val="none" w:color="000000" w:sz="4"/>
                    <w:left w:val="none" w:color="000000" w:sz="4"/>
                    <w:bottom w:val="single" w:color="000000" w:sz="4"/>
                    <w:right w:val="single" w:color="000000" w:sz="4"/>
                  </w:tcBorders>
                </w:tcPr>
                <w:p/>
              </w:tc>
            </w:tr>
            <w:tr>
              <w:tc>
                <w:tcPr>
                  <w:tcW w:type="dxa" w:w="6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网络准入系统</w:t>
                  </w: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网络准入系统自主可控。网络流量性能≥2G，千兆电口≥6个，硬盘≥4TB，要求≥1个Console口，单电源，1U设备。准入终端认证数大于等于2000。含≥36个月硬件质保服务。支持办公网、视频监控网、物联网等多种终端设备类型的混合网络场景，实现设备发现、合规评估、身份认证及入网控制等泛终端准入控制管理功能。</w:t>
                  </w:r>
                </w:p>
              </w:tc>
              <w:tc>
                <w:tcPr>
                  <w:tcW w:type="dxa" w:w="5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r>
              <w:tc>
                <w:tcPr>
                  <w:tcW w:type="dxa" w:w="628"/>
                  <w:vMerge/>
                  <w:tcBorders>
                    <w:top w:val="none" w:color="000000" w:sz="4"/>
                    <w:left w:val="single" w:color="000000" w:sz="4"/>
                    <w:bottom w:val="single" w:color="000000" w:sz="4"/>
                    <w:right w:val="single" w:color="000000" w:sz="4"/>
                  </w:tcBorders>
                </w:tcP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、客户端软件至少兼容麒麟、UOS、中科方德等自主可控操作系统。</w:t>
                  </w:r>
                </w:p>
              </w:tc>
              <w:tc>
                <w:tcPr>
                  <w:tcW w:type="dxa" w:w="571"/>
                  <w:vMerge/>
                  <w:tcBorders>
                    <w:top w:val="none" w:color="000000" w:sz="4"/>
                    <w:left w:val="none" w:color="000000" w:sz="4"/>
                    <w:bottom w:val="single" w:color="000000" w:sz="4"/>
                    <w:right w:val="single" w:color="000000" w:sz="4"/>
                  </w:tcBorders>
                </w:tcPr>
                <w:p/>
              </w:tc>
            </w:tr>
            <w:tr>
              <w:tc>
                <w:tcPr>
                  <w:tcW w:type="dxa" w:w="628"/>
                  <w:vMerge/>
                  <w:tcBorders>
                    <w:top w:val="none" w:color="000000" w:sz="4"/>
                    <w:left w:val="single" w:color="000000" w:sz="4"/>
                    <w:bottom w:val="single" w:color="000000" w:sz="4"/>
                    <w:right w:val="single" w:color="000000" w:sz="4"/>
                  </w:tcBorders>
                </w:tcP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r>
                    <w:rPr>
                      <w:sz w:val="21"/>
                    </w:rPr>
                    <w:t>、支持多种认证控制方式，支持802.1x、portal、MABMAC、策略路由、旁路镜像等方式，支持无线和有线环境下的接入控制。</w:t>
                  </w:r>
                </w:p>
              </w:tc>
              <w:tc>
                <w:tcPr>
                  <w:tcW w:type="dxa" w:w="571"/>
                  <w:vMerge/>
                  <w:tcBorders>
                    <w:top w:val="none" w:color="000000" w:sz="4"/>
                    <w:left w:val="none" w:color="000000" w:sz="4"/>
                    <w:bottom w:val="single" w:color="000000" w:sz="4"/>
                    <w:right w:val="single" w:color="000000" w:sz="4"/>
                  </w:tcBorders>
                </w:tcPr>
                <w:p/>
              </w:tc>
            </w:tr>
            <w:tr>
              <w:tc>
                <w:tcPr>
                  <w:tcW w:type="dxa" w:w="628"/>
                  <w:vMerge/>
                  <w:tcBorders>
                    <w:top w:val="none" w:color="000000" w:sz="4"/>
                    <w:left w:val="single" w:color="000000" w:sz="4"/>
                    <w:bottom w:val="single" w:color="000000" w:sz="4"/>
                    <w:right w:val="single" w:color="000000" w:sz="4"/>
                  </w:tcBorders>
                </w:tcP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、支持根据设备类型配置认证策略，PC需经过用户名密码认证后才可入网，非PC设备无需身份认证。</w:t>
                  </w:r>
                </w:p>
              </w:tc>
              <w:tc>
                <w:tcPr>
                  <w:tcW w:type="dxa" w:w="571"/>
                  <w:vMerge/>
                  <w:tcBorders>
                    <w:top w:val="none" w:color="000000" w:sz="4"/>
                    <w:left w:val="none" w:color="000000" w:sz="4"/>
                    <w:bottom w:val="single" w:color="000000" w:sz="4"/>
                    <w:right w:val="single" w:color="000000" w:sz="4"/>
                  </w:tcBorders>
                </w:tcPr>
                <w:p/>
              </w:tc>
            </w:tr>
            <w:tr>
              <w:tc>
                <w:tcPr>
                  <w:tcW w:type="dxa" w:w="628"/>
                  <w:vMerge/>
                  <w:tcBorders>
                    <w:top w:val="none" w:color="000000" w:sz="4"/>
                    <w:left w:val="single" w:color="000000" w:sz="4"/>
                    <w:bottom w:val="single" w:color="000000" w:sz="4"/>
                    <w:right w:val="single" w:color="000000" w:sz="4"/>
                  </w:tcBorders>
                </w:tcP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r>
                    <w:rPr>
                      <w:sz w:val="21"/>
                    </w:rPr>
                    <w:t>、支持多种认证控制方式，支持802.1x、portal、MABMAC、策略路由、旁路镜像等方式，支持无线和有线环境下的接入控制。</w:t>
                  </w:r>
                </w:p>
              </w:tc>
              <w:tc>
                <w:tcPr>
                  <w:tcW w:type="dxa" w:w="571"/>
                  <w:vMerge/>
                  <w:tcBorders>
                    <w:top w:val="none" w:color="000000" w:sz="4"/>
                    <w:left w:val="none" w:color="000000" w:sz="4"/>
                    <w:bottom w:val="single" w:color="000000" w:sz="4"/>
                    <w:right w:val="single" w:color="000000" w:sz="4"/>
                  </w:tcBorders>
                </w:tcPr>
                <w:p/>
              </w:tc>
            </w:tr>
            <w:tr>
              <w:tc>
                <w:tcPr>
                  <w:tcW w:type="dxa" w:w="628"/>
                  <w:vMerge/>
                  <w:tcBorders>
                    <w:top w:val="none" w:color="000000" w:sz="4"/>
                    <w:left w:val="single" w:color="000000" w:sz="4"/>
                    <w:bottom w:val="single" w:color="000000" w:sz="4"/>
                    <w:right w:val="single" w:color="000000" w:sz="4"/>
                  </w:tcBorders>
                </w:tcP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5</w:t>
                  </w:r>
                  <w:r>
                    <w:rPr>
                      <w:sz w:val="21"/>
                    </w:rPr>
                    <w:t>、支持入网检查，针对接入内部网络的计算机终端实行多种安全检查策略，支持分组策略下发控制，拦截不安全终端接入网络。</w:t>
                  </w:r>
                </w:p>
              </w:tc>
              <w:tc>
                <w:tcPr>
                  <w:tcW w:type="dxa" w:w="571"/>
                  <w:vMerge/>
                  <w:tcBorders>
                    <w:top w:val="none" w:color="000000" w:sz="4"/>
                    <w:left w:val="none" w:color="000000" w:sz="4"/>
                    <w:bottom w:val="single" w:color="000000" w:sz="4"/>
                    <w:right w:val="single" w:color="000000" w:sz="4"/>
                  </w:tcBorders>
                </w:tcPr>
                <w:p/>
              </w:tc>
            </w:tr>
            <w:tr>
              <w:tc>
                <w:tcPr>
                  <w:tcW w:type="dxa" w:w="628"/>
                  <w:vMerge/>
                  <w:tcBorders>
                    <w:top w:val="none" w:color="000000" w:sz="4"/>
                    <w:left w:val="single" w:color="000000" w:sz="4"/>
                    <w:bottom w:val="single" w:color="000000" w:sz="4"/>
                    <w:right w:val="single" w:color="000000" w:sz="4"/>
                  </w:tcBorders>
                </w:tcP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6</w:t>
                  </w:r>
                  <w:r>
                    <w:rPr>
                      <w:sz w:val="21"/>
                    </w:rPr>
                    <w:t>、支持终端隔离，可基于协议、特定端口、端口范围、IP范围来控制终端访问权限，无需操作交换机达到终端网络隔离目的。</w:t>
                  </w:r>
                </w:p>
              </w:tc>
              <w:tc>
                <w:tcPr>
                  <w:tcW w:type="dxa" w:w="571"/>
                  <w:vMerge/>
                  <w:tcBorders>
                    <w:top w:val="none" w:color="000000" w:sz="4"/>
                    <w:left w:val="none" w:color="000000" w:sz="4"/>
                    <w:bottom w:val="single" w:color="000000" w:sz="4"/>
                    <w:right w:val="single" w:color="000000" w:sz="4"/>
                  </w:tcBorders>
                </w:tcPr>
                <w:p/>
              </w:tc>
            </w:tr>
            <w:tr>
              <w:tc>
                <w:tcPr>
                  <w:tcW w:type="dxa" w:w="628"/>
                  <w:vMerge/>
                  <w:tcBorders>
                    <w:top w:val="none" w:color="000000" w:sz="4"/>
                    <w:left w:val="single" w:color="000000" w:sz="4"/>
                    <w:bottom w:val="single" w:color="000000" w:sz="4"/>
                    <w:right w:val="single" w:color="000000" w:sz="4"/>
                  </w:tcBorders>
                </w:tcP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7</w:t>
                  </w:r>
                  <w:r>
                    <w:rPr>
                      <w:sz w:val="21"/>
                    </w:rPr>
                    <w:t>、支持IOT设备准入功能，支持无代理</w:t>
                  </w:r>
                </w:p>
              </w:tc>
              <w:tc>
                <w:tcPr>
                  <w:tcW w:type="dxa" w:w="571"/>
                  <w:vMerge/>
                  <w:tcBorders>
                    <w:top w:val="none" w:color="000000" w:sz="4"/>
                    <w:left w:val="none" w:color="000000" w:sz="4"/>
                    <w:bottom w:val="single" w:color="000000" w:sz="4"/>
                    <w:right w:val="single" w:color="000000" w:sz="4"/>
                  </w:tcBorders>
                </w:tcPr>
                <w:p/>
              </w:tc>
            </w:tr>
            <w:tr>
              <w:tc>
                <w:tcPr>
                  <w:tcW w:type="dxa" w:w="628"/>
                  <w:vMerge/>
                  <w:tcBorders>
                    <w:top w:val="none" w:color="000000" w:sz="4"/>
                    <w:left w:val="single" w:color="000000" w:sz="4"/>
                    <w:bottom w:val="single" w:color="000000" w:sz="4"/>
                    <w:right w:val="single" w:color="000000" w:sz="4"/>
                  </w:tcBorders>
                </w:tcP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8</w:t>
                  </w:r>
                  <w:r>
                    <w:rPr>
                      <w:sz w:val="21"/>
                    </w:rPr>
                    <w:t>、支持设备认证，包括IP、MAC等认证</w:t>
                  </w:r>
                </w:p>
              </w:tc>
              <w:tc>
                <w:tcPr>
                  <w:tcW w:type="dxa" w:w="571"/>
                  <w:vMerge/>
                  <w:tcBorders>
                    <w:top w:val="none" w:color="000000" w:sz="4"/>
                    <w:left w:val="none" w:color="000000" w:sz="4"/>
                    <w:bottom w:val="single" w:color="000000" w:sz="4"/>
                    <w:right w:val="single" w:color="000000" w:sz="4"/>
                  </w:tcBorders>
                </w:tcPr>
                <w:p/>
              </w:tc>
            </w:tr>
            <w:tr>
              <w:tc>
                <w:tcPr>
                  <w:tcW w:type="dxa" w:w="628"/>
                  <w:vMerge/>
                  <w:tcBorders>
                    <w:top w:val="none" w:color="000000" w:sz="4"/>
                    <w:left w:val="single" w:color="000000" w:sz="4"/>
                    <w:bottom w:val="single" w:color="000000" w:sz="4"/>
                    <w:right w:val="single" w:color="000000" w:sz="4"/>
                  </w:tcBorders>
                </w:tcP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9</w:t>
                  </w:r>
                  <w:r>
                    <w:rPr>
                      <w:sz w:val="21"/>
                    </w:rPr>
                    <w:t>、支持协议黑白名单</w:t>
                  </w:r>
                </w:p>
              </w:tc>
              <w:tc>
                <w:tcPr>
                  <w:tcW w:type="dxa" w:w="571"/>
                  <w:vMerge/>
                  <w:tcBorders>
                    <w:top w:val="none" w:color="000000" w:sz="4"/>
                    <w:left w:val="none" w:color="000000" w:sz="4"/>
                    <w:bottom w:val="single" w:color="000000" w:sz="4"/>
                    <w:right w:val="single" w:color="000000" w:sz="4"/>
                  </w:tcBorders>
                </w:tcPr>
                <w:p/>
              </w:tc>
            </w:tr>
            <w:tr>
              <w:tc>
                <w:tcPr>
                  <w:tcW w:type="dxa" w:w="628"/>
                  <w:vMerge/>
                  <w:tcBorders>
                    <w:top w:val="none" w:color="000000" w:sz="4"/>
                    <w:left w:val="single" w:color="000000" w:sz="4"/>
                    <w:bottom w:val="single" w:color="000000" w:sz="4"/>
                    <w:right w:val="single" w:color="000000" w:sz="4"/>
                  </w:tcBorders>
                </w:tcP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w:t>
                  </w:r>
                  <w:r>
                    <w:rPr>
                      <w:sz w:val="21"/>
                    </w:rPr>
                    <w:t>、支持入网设备的审批机制，强制接入设备必须经过资产登记后方可入网。</w:t>
                  </w:r>
                </w:p>
              </w:tc>
              <w:tc>
                <w:tcPr>
                  <w:tcW w:type="dxa" w:w="571"/>
                  <w:vMerge/>
                  <w:tcBorders>
                    <w:top w:val="none" w:color="000000" w:sz="4"/>
                    <w:left w:val="none" w:color="000000" w:sz="4"/>
                    <w:bottom w:val="single" w:color="000000" w:sz="4"/>
                    <w:right w:val="single" w:color="000000" w:sz="4"/>
                  </w:tcBorders>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楼层交换机</w:t>
                  </w: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w:t>
                  </w:r>
                  <w:r>
                    <w:rPr>
                      <w:sz w:val="21"/>
                    </w:rPr>
                    <w:t>、交换容量≥496Gbps，包转发率≥108Mpps。</w:t>
                  </w:r>
                </w:p>
                <w:p>
                  <w:pPr>
                    <w:pStyle w:val="null3"/>
                  </w:pPr>
                  <w:r>
                    <w:rPr>
                      <w:sz w:val="21"/>
                    </w:rPr>
                    <w:t>2</w:t>
                  </w:r>
                  <w:r>
                    <w:rPr>
                      <w:sz w:val="21"/>
                    </w:rPr>
                    <w:t>、端口类型≥48个10/100/1000Base-T电口，≥4个1000Base-XSFP光口。</w:t>
                  </w:r>
                </w:p>
                <w:p>
                  <w:pPr>
                    <w:pStyle w:val="null3"/>
                  </w:pPr>
                  <w:r>
                    <w:rPr>
                      <w:sz w:val="21"/>
                    </w:rPr>
                    <w:t>3</w:t>
                  </w:r>
                  <w:r>
                    <w:rPr>
                      <w:sz w:val="21"/>
                    </w:rPr>
                    <w:t>、支持堆叠，支持集群或堆叠多虚一技术，实现单一界面管理多台设备，堆叠台数≥9台。</w:t>
                  </w:r>
                </w:p>
                <w:p>
                  <w:pPr>
                    <w:pStyle w:val="null3"/>
                  </w:pPr>
                  <w:r>
                    <w:rPr>
                      <w:sz w:val="21"/>
                    </w:rPr>
                    <w:t>4</w:t>
                  </w:r>
                  <w:r>
                    <w:rPr>
                      <w:sz w:val="21"/>
                    </w:rPr>
                    <w:t>、支持MAC地址学习数目限制，MAC地址深度最深≥16K，手工配置静态MAC≥1000项。</w:t>
                  </w:r>
                </w:p>
                <w:p>
                  <w:pPr>
                    <w:pStyle w:val="null3"/>
                  </w:pPr>
                  <w:r>
                    <w:rPr>
                      <w:sz w:val="21"/>
                    </w:rPr>
                    <w:t>5</w:t>
                  </w:r>
                  <w:r>
                    <w:rPr>
                      <w:sz w:val="21"/>
                    </w:rPr>
                    <w:t>、支持组播VLAN，可实现同一组数据在不同用户VLAN间的复制和转发。</w:t>
                  </w:r>
                </w:p>
                <w:p>
                  <w:pPr>
                    <w:pStyle w:val="null3"/>
                  </w:pPr>
                  <w:r>
                    <w:rPr>
                      <w:sz w:val="21"/>
                    </w:rPr>
                    <w:t>6</w:t>
                  </w:r>
                  <w:r>
                    <w:rPr>
                      <w:sz w:val="21"/>
                    </w:rPr>
                    <w:t>、支持端口自环检测，可防止数据环路引起广播风暴。</w:t>
                  </w:r>
                </w:p>
                <w:p>
                  <w:pPr>
                    <w:pStyle w:val="null3"/>
                  </w:pPr>
                  <w:r>
                    <w:rPr>
                      <w:sz w:val="21"/>
                    </w:rPr>
                    <w:t>7</w:t>
                  </w:r>
                  <w:r>
                    <w:rPr>
                      <w:sz w:val="21"/>
                    </w:rPr>
                    <w:t>、支持IEEE802.3ad，支持动态链路聚合LACP。</w:t>
                  </w:r>
                </w:p>
                <w:p>
                  <w:pPr>
                    <w:pStyle w:val="null3"/>
                  </w:pPr>
                  <w:r>
                    <w:rPr>
                      <w:sz w:val="21"/>
                    </w:rPr>
                    <w:t>8</w:t>
                  </w:r>
                  <w:r>
                    <w:rPr>
                      <w:sz w:val="21"/>
                    </w:rPr>
                    <w:t>、支持JumboFrame数据传输，在实现高密千兆接入同时，实现万兆上行的能力。</w:t>
                  </w:r>
                </w:p>
                <w:p>
                  <w:pPr>
                    <w:pStyle w:val="null3"/>
                  </w:pPr>
                  <w:r>
                    <w:rPr>
                      <w:sz w:val="21"/>
                    </w:rPr>
                    <w:t>9</w:t>
                  </w:r>
                  <w:r>
                    <w:rPr>
                      <w:sz w:val="21"/>
                    </w:rPr>
                    <w:t>、支持端口限速以及流量限速功能，防止恶意侵占网络带宽，提供多种精细化管理手段。</w:t>
                  </w:r>
                </w:p>
                <w:p>
                  <w:pPr>
                    <w:pStyle w:val="null3"/>
                  </w:pPr>
                  <w:r>
                    <w:rPr>
                      <w:sz w:val="21"/>
                    </w:rPr>
                    <w:t>10</w:t>
                  </w:r>
                  <w:r>
                    <w:rPr>
                      <w:sz w:val="21"/>
                    </w:rPr>
                    <w:t>、支持包过滤功能，支持SP/WRR/SP+WRR队列调度，支持双向ACL，</w:t>
                  </w:r>
                </w:p>
                <w:p>
                  <w:pPr>
                    <w:pStyle w:val="null3"/>
                  </w:pPr>
                  <w:r>
                    <w:rPr>
                      <w:sz w:val="21"/>
                    </w:rPr>
                    <w:t>11</w:t>
                  </w:r>
                  <w:r>
                    <w:rPr>
                      <w:sz w:val="21"/>
                    </w:rPr>
                    <w:t>、支持SNMPV1/2/3、TELNET、SSH等多种管理方式，支持WEB网管和iMC网管系统。</w:t>
                  </w:r>
                </w:p>
                <w:p>
                  <w:pPr>
                    <w:pStyle w:val="null3"/>
                  </w:pPr>
                  <w:r>
                    <w:rPr>
                      <w:sz w:val="21"/>
                    </w:rPr>
                    <w:t>12</w:t>
                  </w:r>
                  <w:r>
                    <w:rPr>
                      <w:sz w:val="21"/>
                    </w:rPr>
                    <w:t>、支持防私接DHCPSnooping，避免上网终端从非法DHCP服务器分配IP地址，保障网络安全。</w:t>
                  </w:r>
                </w:p>
                <w:p>
                  <w:pPr>
                    <w:pStyle w:val="null3"/>
                  </w:pPr>
                  <w:r>
                    <w:rPr>
                      <w:sz w:val="21"/>
                    </w:rPr>
                    <w:t>13</w:t>
                  </w:r>
                  <w:r>
                    <w:rPr>
                      <w:sz w:val="21"/>
                    </w:rPr>
                    <w:t>、支持802.1X认证、WEB认证、MAC认证和二三层Portal认证，支持客户端软件版本检测、GuestVLAN等功能。</w:t>
                  </w:r>
                </w:p>
                <w:p>
                  <w:pPr>
                    <w:pStyle w:val="null3"/>
                  </w:pPr>
                  <w:r>
                    <w:rPr>
                      <w:sz w:val="21"/>
                    </w:rPr>
                    <w:t>14</w:t>
                  </w:r>
                  <w:r>
                    <w:rPr>
                      <w:sz w:val="21"/>
                    </w:rPr>
                    <w:t>、可console管理，支持命令行调试。</w:t>
                  </w:r>
                </w:p>
                <w:p>
                  <w:pPr>
                    <w:pStyle w:val="null3"/>
                  </w:pPr>
                  <w:r>
                    <w:rPr>
                      <w:sz w:val="21"/>
                    </w:rPr>
                    <w:t>15</w:t>
                  </w:r>
                  <w:r>
                    <w:rPr>
                      <w:sz w:val="21"/>
                    </w:rPr>
                    <w:t>、支持FTP和TFTP加载维护。</w:t>
                  </w:r>
                </w:p>
                <w:p>
                  <w:pPr>
                    <w:pStyle w:val="null3"/>
                  </w:pPr>
                  <w:r>
                    <w:rPr>
                      <w:sz w:val="21"/>
                    </w:rPr>
                    <w:t>16</w:t>
                  </w:r>
                  <w:r>
                    <w:rPr>
                      <w:sz w:val="21"/>
                    </w:rPr>
                    <w:t>、支持风暴抑制，包括广播抑制、单播抑制和组播抑制。</w:t>
                  </w:r>
                </w:p>
                <w:p>
                  <w:pPr>
                    <w:pStyle w:val="null3"/>
                  </w:pPr>
                  <w:r>
                    <w:rPr>
                      <w:sz w:val="21"/>
                    </w:rPr>
                    <w:t>17</w:t>
                  </w:r>
                  <w:r>
                    <w:rPr>
                      <w:sz w:val="21"/>
                    </w:rPr>
                    <w:t>、支持STP/RSTP/MSTP多种生成树协议，提高容错能力，提升网络稳定性。</w:t>
                  </w:r>
                </w:p>
                <w:p>
                  <w:pPr>
                    <w:pStyle w:val="null3"/>
                  </w:pPr>
                  <w:r>
                    <w:rPr>
                      <w:sz w:val="21"/>
                    </w:rPr>
                    <w:t>18</w:t>
                  </w:r>
                  <w:r>
                    <w:rPr>
                      <w:sz w:val="21"/>
                    </w:rPr>
                    <w:t>、支持调试信息输出，支持Ping、Tracert和Telnet远程维护，支持NQA、DLDP和虚拟电缆检测。</w:t>
                  </w:r>
                </w:p>
                <w:p>
                  <w:pPr>
                    <w:pStyle w:val="null3"/>
                  </w:pPr>
                  <w:r>
                    <w:rPr>
                      <w:sz w:val="21"/>
                    </w:rPr>
                    <w:t>19</w:t>
                  </w:r>
                  <w:r>
                    <w:rPr>
                      <w:sz w:val="21"/>
                    </w:rPr>
                    <w:t>、所投交换机支持同一品牌的智能管理平台统一运维管理。</w:t>
                  </w:r>
                </w:p>
                <w:p>
                  <w:pPr>
                    <w:pStyle w:val="null3"/>
                  </w:pPr>
                  <w:r>
                    <w:rPr>
                      <w:sz w:val="21"/>
                    </w:rPr>
                    <w:t>20</w:t>
                  </w:r>
                  <w:r>
                    <w:rPr>
                      <w:sz w:val="21"/>
                    </w:rPr>
                    <w:t>、支持IPV6业务特性及多种IPv6管理手段，支持IPv4/IPv6静态路由、双协议栈，支持RIPv1、RIPv2，支持OSPF。</w:t>
                  </w:r>
                </w:p>
                <w:p>
                  <w:pPr>
                    <w:pStyle w:val="null3"/>
                  </w:pPr>
                  <w:r>
                    <w:rPr>
                      <w:sz w:val="21"/>
                    </w:rPr>
                    <w:t>21</w:t>
                  </w:r>
                  <w:r>
                    <w:rPr>
                      <w:sz w:val="21"/>
                    </w:rPr>
                    <w:t>、国家CQC自愿认证。</w:t>
                  </w:r>
                </w:p>
                <w:p>
                  <w:pPr>
                    <w:pStyle w:val="null3"/>
                  </w:pPr>
                  <w:r>
                    <w:rPr>
                      <w:sz w:val="21"/>
                    </w:rPr>
                    <w:t>★</w:t>
                  </w:r>
                  <w:r>
                    <w:rPr>
                      <w:sz w:val="21"/>
                    </w:rPr>
                    <w:t>22</w:t>
                  </w:r>
                  <w:r>
                    <w:rPr>
                      <w:sz w:val="21"/>
                    </w:rPr>
                    <w:t>、工信部电信设备进网许可。</w:t>
                  </w:r>
                </w:p>
                <w:p>
                  <w:pPr>
                    <w:pStyle w:val="null3"/>
                  </w:pPr>
                  <w:r>
                    <w:rPr>
                      <w:sz w:val="21"/>
                    </w:rPr>
                    <w:t>23</w:t>
                  </w:r>
                  <w:r>
                    <w:rPr>
                      <w:sz w:val="21"/>
                    </w:rPr>
                    <w:t>、设备自主可控。</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49</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一体式拼接处理器</w:t>
                  </w:r>
                </w:p>
                <w:p>
                  <w:pPr>
                    <w:pStyle w:val="null3"/>
                    <w:jc w:val="center"/>
                  </w:pPr>
                  <w:r>
                    <w:rPr>
                      <w:sz w:val="21"/>
                    </w:rPr>
                    <w:t>（HDMI矩阵切换器）</w:t>
                  </w:r>
                </w:p>
              </w:tc>
              <w:tc>
                <w:tcPr>
                  <w:tcW w:type="dxa" w:w="4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w:t>
                  </w:r>
                  <w:r>
                    <w:rPr>
                      <w:sz w:val="21"/>
                    </w:rPr>
                    <w:t>、支持高清信号输入输出、视频上墙/多屏拼接/叠加漫游缩放、音频输出，不低于8路HDMI高清信号输入和不低于8路HDMI高清数字信号输出（8进8出）；</w:t>
                  </w:r>
                </w:p>
                <w:p>
                  <w:pPr>
                    <w:pStyle w:val="null3"/>
                  </w:pPr>
                  <w:r>
                    <w:rPr>
                      <w:sz w:val="21"/>
                    </w:rPr>
                    <w:t>2</w:t>
                  </w:r>
                  <w:r>
                    <w:rPr>
                      <w:sz w:val="21"/>
                    </w:rPr>
                    <w:t>、支持单端口采集1920x1080@60HZ超高清信号；支持单端口输出≥1920x1080@60HZ超高清信号；</w:t>
                  </w:r>
                </w:p>
                <w:p>
                  <w:pPr>
                    <w:pStyle w:val="null3"/>
                  </w:pPr>
                  <w:r>
                    <w:rPr>
                      <w:sz w:val="21"/>
                    </w:rPr>
                    <w:t>3</w:t>
                  </w:r>
                  <w:r>
                    <w:rPr>
                      <w:sz w:val="21"/>
                    </w:rPr>
                    <w:t>、支持端到端低延时：输入到输出延时&lt;40ms;</w:t>
                  </w:r>
                </w:p>
                <w:p>
                  <w:pPr>
                    <w:pStyle w:val="null3"/>
                  </w:pPr>
                  <w:r>
                    <w:rPr>
                      <w:sz w:val="21"/>
                    </w:rPr>
                    <w:t>单屏最大开≥9窗，画面实时无丢帧显示，操作流畅，不卡顿、不闪烁；</w:t>
                  </w:r>
                </w:p>
                <w:p>
                  <w:pPr>
                    <w:pStyle w:val="null3"/>
                  </w:pPr>
                  <w:r>
                    <w:rPr>
                      <w:sz w:val="21"/>
                    </w:rPr>
                    <w:t>4</w:t>
                  </w:r>
                  <w:r>
                    <w:rPr>
                      <w:sz w:val="21"/>
                    </w:rPr>
                    <w:t>、整机功耗不高于30W；</w:t>
                  </w:r>
                </w:p>
                <w:p>
                  <w:pPr>
                    <w:pStyle w:val="null3"/>
                  </w:pPr>
                  <w:r>
                    <w:rPr>
                      <w:sz w:val="21"/>
                    </w:rPr>
                    <w:t>5</w:t>
                  </w:r>
                  <w:r>
                    <w:rPr>
                      <w:sz w:val="21"/>
                    </w:rPr>
                    <w:t>、整机噪音&lt;40dB；</w:t>
                  </w:r>
                </w:p>
                <w:p>
                  <w:pPr>
                    <w:pStyle w:val="null3"/>
                  </w:pPr>
                  <w:r>
                    <w:rPr>
                      <w:sz w:val="21"/>
                    </w:rPr>
                    <w:t>6</w:t>
                  </w:r>
                  <w:r>
                    <w:rPr>
                      <w:sz w:val="21"/>
                    </w:rPr>
                    <w:t>、支持设备2秒钟上电启动恢复下电前的场景；</w:t>
                  </w:r>
                </w:p>
                <w:p>
                  <w:pPr>
                    <w:pStyle w:val="null3"/>
                  </w:pPr>
                  <w:r>
                    <w:rPr>
                      <w:sz w:val="21"/>
                    </w:rPr>
                    <w:t>7</w:t>
                  </w:r>
                  <w:r>
                    <w:rPr>
                      <w:sz w:val="21"/>
                    </w:rPr>
                    <w:t>、支持信号源和显示设备有效性检测和状态LED灯显示；</w:t>
                  </w:r>
                </w:p>
                <w:p>
                  <w:pPr>
                    <w:pStyle w:val="null3"/>
                  </w:pPr>
                  <w:r>
                    <w:rPr>
                      <w:sz w:val="21"/>
                    </w:rPr>
                    <w:t>8</w:t>
                  </w:r>
                  <w:r>
                    <w:rPr>
                      <w:sz w:val="21"/>
                    </w:rPr>
                    <w:t>、支持设备输出端口同步性时差=0nS（不包含屏幕引入的差异）；</w:t>
                  </w:r>
                </w:p>
                <w:p>
                  <w:pPr>
                    <w:pStyle w:val="null3"/>
                  </w:pPr>
                  <w:r>
                    <w:rPr>
                      <w:sz w:val="21"/>
                    </w:rPr>
                    <w:t>9</w:t>
                  </w:r>
                  <w:r>
                    <w:rPr>
                      <w:sz w:val="21"/>
                    </w:rPr>
                    <w:t>、支持通过维护工具对设备进行在线维护；</w:t>
                  </w:r>
                </w:p>
                <w:p>
                  <w:pPr>
                    <w:pStyle w:val="null3"/>
                  </w:pPr>
                  <w:r>
                    <w:rPr>
                      <w:sz w:val="21"/>
                    </w:rPr>
                    <w:t>10</w:t>
                  </w:r>
                  <w:r>
                    <w:rPr>
                      <w:sz w:val="21"/>
                    </w:rPr>
                    <w:t>、HDMI1.3数字接口并下向兼容，最大支持≥1920*1080P@60HZ；</w:t>
                  </w:r>
                </w:p>
                <w:p>
                  <w:pPr>
                    <w:pStyle w:val="null3"/>
                  </w:pPr>
                  <w:r>
                    <w:rPr>
                      <w:sz w:val="21"/>
                    </w:rPr>
                    <w:t>11</w:t>
                  </w:r>
                  <w:r>
                    <w:rPr>
                      <w:sz w:val="21"/>
                    </w:rPr>
                    <w:t>、≥1个及以上RJ45网口，10/100M自适应，支持局域网内其他设备对处理器进行远程控制；</w:t>
                  </w:r>
                </w:p>
                <w:p>
                  <w:pPr>
                    <w:pStyle w:val="null3"/>
                  </w:pPr>
                  <w:r>
                    <w:rPr>
                      <w:sz w:val="21"/>
                    </w:rPr>
                    <w:t>12</w:t>
                  </w:r>
                  <w:r>
                    <w:rPr>
                      <w:sz w:val="21"/>
                    </w:rPr>
                    <w:t>、≥1个及以上RS232串口，支持联动控制矩阵、大屏幕以及中控的接入；</w:t>
                  </w:r>
                </w:p>
                <w:p>
                  <w:pPr>
                    <w:pStyle w:val="null3"/>
                  </w:pPr>
                  <w:r>
                    <w:rPr>
                      <w:sz w:val="21"/>
                    </w:rPr>
                    <w:t>13</w:t>
                  </w:r>
                  <w:r>
                    <w:rPr>
                      <w:sz w:val="21"/>
                    </w:rPr>
                    <w:t>、可实现多个信号源上墙、拼接、漫游、跨屏、放大缩小、画中画、画外画、画面叠加等各种方式的显示功能；</w:t>
                  </w:r>
                </w:p>
                <w:p>
                  <w:pPr>
                    <w:pStyle w:val="null3"/>
                  </w:pPr>
                  <w:r>
                    <w:rPr>
                      <w:sz w:val="21"/>
                    </w:rPr>
                    <w:t>14</w:t>
                  </w:r>
                  <w:r>
                    <w:rPr>
                      <w:sz w:val="21"/>
                    </w:rPr>
                    <w:t>、支持平板/手机APP安装；可将信号源在平板/手机上各种显示功能控制；场景保存、删除、切换控制；</w:t>
                  </w:r>
                </w:p>
                <w:p>
                  <w:pPr>
                    <w:pStyle w:val="null3"/>
                  </w:pPr>
                  <w:r>
                    <w:rPr>
                      <w:sz w:val="21"/>
                    </w:rPr>
                    <w:t>15</w:t>
                  </w:r>
                  <w:r>
                    <w:rPr>
                      <w:sz w:val="21"/>
                    </w:rPr>
                    <w:t>、支持WEB控制，可用于电脑/手机/平板通过WEB浏览器切换预案场景；</w:t>
                  </w:r>
                </w:p>
                <w:p>
                  <w:pPr>
                    <w:pStyle w:val="null3"/>
                  </w:pPr>
                  <w:r>
                    <w:rPr>
                      <w:sz w:val="21"/>
                    </w:rPr>
                    <w:t>16</w:t>
                  </w:r>
                  <w:r>
                    <w:rPr>
                      <w:sz w:val="21"/>
                    </w:rPr>
                    <w:t>、支持超过≥1000个以上预案场景保存；</w:t>
                  </w:r>
                </w:p>
                <w:p>
                  <w:pPr>
                    <w:pStyle w:val="null3"/>
                  </w:pPr>
                  <w:r>
                    <w:rPr>
                      <w:sz w:val="21"/>
                    </w:rPr>
                    <w:t>17</w:t>
                  </w:r>
                  <w:r>
                    <w:rPr>
                      <w:sz w:val="21"/>
                    </w:rPr>
                    <w:t>、输出端高清特效字幕，像素清晰，帧级同步；</w:t>
                  </w:r>
                </w:p>
                <w:p>
                  <w:pPr>
                    <w:pStyle w:val="null3"/>
                  </w:pPr>
                  <w:r>
                    <w:rPr>
                      <w:sz w:val="21"/>
                    </w:rPr>
                    <w:t>18</w:t>
                  </w:r>
                  <w:r>
                    <w:rPr>
                      <w:sz w:val="21"/>
                    </w:rPr>
                    <w:t>、支持独立监视屏幕显示；</w:t>
                  </w:r>
                </w:p>
                <w:p>
                  <w:pPr>
                    <w:pStyle w:val="null3"/>
                  </w:pPr>
                  <w:r>
                    <w:rPr>
                      <w:sz w:val="21"/>
                    </w:rPr>
                    <w:t>19</w:t>
                  </w:r>
                  <w:r>
                    <w:rPr>
                      <w:sz w:val="21"/>
                    </w:rPr>
                    <w:t>、支持矩阵分组功能；</w:t>
                  </w:r>
                </w:p>
                <w:p>
                  <w:pPr>
                    <w:pStyle w:val="null3"/>
                  </w:pPr>
                  <w:r>
                    <w:rPr>
                      <w:sz w:val="21"/>
                    </w:rPr>
                    <w:t>20</w:t>
                  </w:r>
                  <w:r>
                    <w:rPr>
                      <w:sz w:val="21"/>
                    </w:rPr>
                    <w:t>、支持矩阵联动控制，支持串口控制大屏开关机；</w:t>
                  </w:r>
                </w:p>
                <w:p>
                  <w:pPr>
                    <w:pStyle w:val="null3"/>
                  </w:pPr>
                  <w:r>
                    <w:rPr>
                      <w:sz w:val="21"/>
                    </w:rPr>
                    <w:t>21</w:t>
                  </w:r>
                  <w:r>
                    <w:rPr>
                      <w:sz w:val="21"/>
                    </w:rPr>
                    <w:t>、支持二次开发，提供第三方用户控制协议和接口；</w:t>
                  </w:r>
                </w:p>
                <w:p>
                  <w:pPr>
                    <w:pStyle w:val="null3"/>
                  </w:pPr>
                  <w:r>
                    <w:rPr>
                      <w:sz w:val="21"/>
                    </w:rPr>
                    <w:t>22</w:t>
                  </w:r>
                  <w:r>
                    <w:rPr>
                      <w:sz w:val="21"/>
                    </w:rPr>
                    <w:t>、自主知识产权自适应去隔行、缩放、OSD技术，画面流畅清晰；</w:t>
                  </w:r>
                </w:p>
                <w:p>
                  <w:pPr>
                    <w:pStyle w:val="null3"/>
                  </w:pPr>
                  <w:r>
                    <w:rPr>
                      <w:sz w:val="21"/>
                    </w:rPr>
                    <w:t>23</w:t>
                  </w:r>
                  <w:r>
                    <w:rPr>
                      <w:sz w:val="21"/>
                    </w:rPr>
                    <w:t>、加密功能，可以对产品使用时限进行控制。</w:t>
                  </w:r>
                  <w:r>
                    <w:br/>
                  </w:r>
                  <w:r>
                    <w:rPr>
                      <w:sz w:val="21"/>
                    </w:rPr>
                    <w:t xml:space="preserve"> 24、设备自主可控。</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bl>
          <w:p>
            <w:pPr>
              <w:pStyle w:val="null3"/>
            </w:pPr>
            <w:r>
              <w:rPr>
                <w:sz w:val="24"/>
                <w:b/>
              </w:rPr>
              <w:t>1.1.2.</w:t>
            </w:r>
            <w:r>
              <w:rPr>
                <w:sz w:val="24"/>
                <w:b/>
              </w:rPr>
              <w:t>商用密码应用建设设备租赁服务</w:t>
            </w:r>
          </w:p>
          <w:p>
            <w:pPr>
              <w:pStyle w:val="null3"/>
              <w:ind w:firstLine="420"/>
            </w:pPr>
            <w:r>
              <w:rPr>
                <w:sz w:val="24"/>
              </w:rPr>
              <w:t>本项目拟租赁的</w:t>
            </w:r>
            <w:r>
              <w:rPr>
                <w:sz w:val="24"/>
              </w:rPr>
              <w:t>SSLVPN</w:t>
            </w:r>
            <w:r>
              <w:rPr>
                <w:sz w:val="24"/>
              </w:rPr>
              <w:t>安全网关、智能密码钥匙等设备部署在政务云平台，服务于同期申报维护及新建的</w:t>
            </w:r>
            <w:r>
              <w:rPr>
                <w:sz w:val="24"/>
              </w:rPr>
              <w:t>19</w:t>
            </w:r>
            <w:r>
              <w:rPr>
                <w:sz w:val="24"/>
              </w:rPr>
              <w:t>个业务系统。</w:t>
            </w:r>
          </w:p>
          <w:p>
            <w:pPr>
              <w:pStyle w:val="null3"/>
            </w:pPr>
            <w:r>
              <w:rPr>
                <w:sz w:val="24"/>
                <w:b/>
              </w:rPr>
              <w:t>1.1.2.1</w:t>
            </w:r>
            <w:r>
              <w:rPr>
                <w:sz w:val="24"/>
                <w:b/>
              </w:rPr>
              <w:t>商用密码应用</w:t>
            </w:r>
          </w:p>
          <w:p>
            <w:pPr>
              <w:pStyle w:val="null3"/>
            </w:pPr>
            <w:r>
              <w:rPr>
                <w:sz w:val="24"/>
                <w:b/>
              </w:rPr>
              <w:t>1.1.2.1.1</w:t>
            </w:r>
            <w:r>
              <w:rPr>
                <w:sz w:val="24"/>
                <w:b/>
              </w:rPr>
              <w:t>网络和通信安全</w:t>
            </w:r>
          </w:p>
          <w:p>
            <w:pPr>
              <w:pStyle w:val="null3"/>
              <w:ind w:firstLine="420"/>
            </w:pPr>
            <w:r>
              <w:rPr>
                <w:sz w:val="24"/>
              </w:rPr>
              <w:t>涉及的网络通道主要包括：用户业务访问通道、运维人员维护通道、与外部系统数据交换的外部对接通道。其中，外部系统对接通道，因受限于外部系统的密码应用现状，暂时无法马上实现基于国密的通信安全，其余两个通道，可以采用本方案的方法，进行通信安全保护。</w:t>
            </w:r>
          </w:p>
          <w:p>
            <w:pPr>
              <w:pStyle w:val="null3"/>
              <w:ind w:firstLine="420"/>
            </w:pPr>
            <w:r>
              <w:rPr>
                <w:sz w:val="24"/>
              </w:rPr>
              <w:t>网络和通信安全主要是保障信息在传输过程中的真实性、保密性、完整性，是业务应用能正常使用的关键因素之一。</w:t>
            </w:r>
          </w:p>
          <w:p>
            <w:pPr>
              <w:pStyle w:val="null3"/>
              <w:ind w:firstLine="420"/>
            </w:pPr>
            <w:r>
              <w:rPr>
                <w:sz w:val="24"/>
              </w:rPr>
              <w:t>本方案通过部署通过商用密码产品检测认证的</w:t>
            </w:r>
            <w:r>
              <w:rPr>
                <w:sz w:val="24"/>
              </w:rPr>
              <w:t>SSL</w:t>
            </w:r>
            <w:r>
              <w:rPr>
                <w:sz w:val="24"/>
              </w:rPr>
              <w:t>安全网关和</w:t>
            </w:r>
            <w:r>
              <w:rPr>
                <w:sz w:val="24"/>
              </w:rPr>
              <w:t>SSLVPN</w:t>
            </w:r>
            <w:r>
              <w:rPr>
                <w:sz w:val="24"/>
              </w:rPr>
              <w:t>客户端来解决。依赖国密</w:t>
            </w:r>
            <w:r>
              <w:rPr>
                <w:sz w:val="24"/>
              </w:rPr>
              <w:t>SSL</w:t>
            </w:r>
            <w:r>
              <w:rPr>
                <w:sz w:val="24"/>
              </w:rPr>
              <w:t>协议，利用国密</w:t>
            </w:r>
            <w:r>
              <w:rPr>
                <w:sz w:val="24"/>
              </w:rPr>
              <w:t>SM2</w:t>
            </w:r>
            <w:r>
              <w:rPr>
                <w:sz w:val="24"/>
              </w:rPr>
              <w:t>算法保障通信数据的完整性、机密性。</w:t>
            </w:r>
            <w:r>
              <w:rPr>
                <w:sz w:val="24"/>
              </w:rPr>
              <w:t>SSL</w:t>
            </w:r>
            <w:r>
              <w:rPr>
                <w:sz w:val="24"/>
              </w:rPr>
              <w:t>安全网关产品符合《安全认证网关产品规范》（</w:t>
            </w:r>
            <w:r>
              <w:rPr>
                <w:sz w:val="24"/>
              </w:rPr>
              <w:t>GM/T0026</w:t>
            </w:r>
            <w:r>
              <w:rPr>
                <w:sz w:val="24"/>
              </w:rPr>
              <w:t>）标准。</w:t>
            </w:r>
          </w:p>
          <w:p>
            <w:pPr>
              <w:pStyle w:val="null3"/>
              <w:ind w:firstLine="420"/>
            </w:pPr>
            <w:r>
              <w:rPr>
                <w:sz w:val="24"/>
              </w:rPr>
              <w:t>通信传输主要采用</w:t>
            </w:r>
            <w:r>
              <w:rPr>
                <w:sz w:val="24"/>
              </w:rPr>
              <w:t>SM2</w:t>
            </w:r>
            <w:r>
              <w:rPr>
                <w:sz w:val="24"/>
              </w:rPr>
              <w:t>、</w:t>
            </w:r>
            <w:r>
              <w:rPr>
                <w:sz w:val="24"/>
              </w:rPr>
              <w:t>SM3</w:t>
            </w:r>
            <w:r>
              <w:rPr>
                <w:sz w:val="24"/>
              </w:rPr>
              <w:t>、</w:t>
            </w:r>
            <w:r>
              <w:rPr>
                <w:sz w:val="24"/>
              </w:rPr>
              <w:t>SM4</w:t>
            </w:r>
            <w:r>
              <w:rPr>
                <w:sz w:val="24"/>
              </w:rPr>
              <w:t>算法，遵循《</w:t>
            </w:r>
            <w:r>
              <w:rPr>
                <w:sz w:val="24"/>
              </w:rPr>
              <w:t>SSL</w:t>
            </w:r>
            <w:r>
              <w:rPr>
                <w:sz w:val="24"/>
              </w:rPr>
              <w:t>技术规范》（</w:t>
            </w:r>
            <w:r>
              <w:rPr>
                <w:sz w:val="24"/>
              </w:rPr>
              <w:t>GM/T0024</w:t>
            </w:r>
            <w:r>
              <w:rPr>
                <w:sz w:val="24"/>
              </w:rPr>
              <w:t>）规范</w:t>
            </w:r>
          </w:p>
          <w:p>
            <w:pPr>
              <w:pStyle w:val="null3"/>
            </w:pPr>
            <w:r>
              <w:rPr>
                <w:sz w:val="24"/>
                <w:b/>
              </w:rPr>
              <w:t>1.1.2.2</w:t>
            </w:r>
            <w:r>
              <w:rPr>
                <w:sz w:val="24"/>
                <w:b/>
              </w:rPr>
              <w:t>商用密码设备清单</w:t>
            </w:r>
          </w:p>
          <w:p>
            <w:pPr>
              <w:pStyle w:val="null3"/>
              <w:ind w:firstLine="420"/>
            </w:pPr>
            <w:r>
              <w:rPr>
                <w:sz w:val="24"/>
              </w:rPr>
              <w:t>为加强本局网络与信息安全体系建设，保障业务信息系统更加安全、健壮地运行，本局拟采购商用密码产品及服务。设备清单如下：</w:t>
            </w:r>
          </w:p>
          <w:tbl>
            <w:tblPr>
              <w:tblBorders>
                <w:top w:val="none" w:color="000000" w:sz="4"/>
                <w:left w:val="none" w:color="000000" w:sz="4"/>
                <w:bottom w:val="none" w:color="000000" w:sz="4"/>
                <w:right w:val="none" w:color="000000" w:sz="4"/>
                <w:insideH w:val="none"/>
                <w:insideV w:val="none"/>
              </w:tblBorders>
            </w:tblPr>
            <w:tblGrid>
              <w:gridCol w:w="1120"/>
              <w:gridCol w:w="1120"/>
              <w:gridCol w:w="1120"/>
              <w:gridCol w:w="1120"/>
              <w:gridCol w:w="1120"/>
            </w:tblGrid>
            <w:tr>
              <w:tc>
                <w:tcPr>
                  <w:tcW w:type="dxa" w:w="112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序号</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产品名称</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描述</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数量</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备注</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SSLVPN</w:t>
                  </w:r>
                  <w:r>
                    <w:rPr>
                      <w:sz w:val="21"/>
                    </w:rPr>
                    <w:t>网关</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结合SSLVPN客户端，实现身份鉴别信息的机密性和真实性、</w:t>
                  </w:r>
                </w:p>
                <w:p>
                  <w:pPr>
                    <w:pStyle w:val="null3"/>
                  </w:pPr>
                  <w:r>
                    <w:rPr>
                      <w:sz w:val="21"/>
                    </w:rPr>
                    <w:t>网络边界和系统资源访问控制信息的完整性等要求</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2</w:t>
                  </w:r>
                  <w:r>
                    <w:rPr>
                      <w:sz w:val="21"/>
                    </w:rPr>
                    <w:t>台</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部署在政务云东涌、名美机房</w:t>
                  </w:r>
                </w:p>
              </w:tc>
            </w:tr>
          </w:tbl>
          <w:p>
            <w:pPr>
              <w:pStyle w:val="null3"/>
            </w:pPr>
            <w:r>
              <w:rPr>
                <w:sz w:val="24"/>
                <w:b/>
              </w:rPr>
              <w:t>1.1.3.</w:t>
            </w:r>
            <w:r>
              <w:rPr>
                <w:sz w:val="24"/>
                <w:b/>
              </w:rPr>
              <w:t>省市场监管局视频会议系统的基础设施租赁服务</w:t>
            </w:r>
          </w:p>
          <w:p>
            <w:pPr>
              <w:pStyle w:val="null3"/>
            </w:pPr>
            <w:r>
              <w:rPr>
                <w:sz w:val="24"/>
                <w:b/>
              </w:rPr>
              <w:t>1.1.3.1</w:t>
            </w:r>
            <w:r>
              <w:rPr>
                <w:sz w:val="24"/>
                <w:b/>
              </w:rPr>
              <w:t>视频会议系统设备</w:t>
            </w:r>
          </w:p>
          <w:p>
            <w:pPr>
              <w:pStyle w:val="null3"/>
              <w:spacing w:after="120"/>
              <w:ind w:firstLine="420"/>
              <w:jc w:val="both"/>
            </w:pPr>
            <w:r>
              <w:rPr>
                <w:sz w:val="21"/>
              </w:rPr>
              <w:t>租赁</w:t>
            </w:r>
            <w:r>
              <w:rPr>
                <w:sz w:val="21"/>
              </w:rPr>
              <w:t>4</w:t>
            </w:r>
            <w:r>
              <w:rPr>
                <w:sz w:val="21"/>
              </w:rPr>
              <w:t>台视频会议终端设备（含镜头等配套设备）；租用互联网视频会议全向麦；租赁</w:t>
            </w:r>
            <w:r>
              <w:rPr>
                <w:sz w:val="21"/>
              </w:rPr>
              <w:t>1</w:t>
            </w:r>
            <w:r>
              <w:rPr>
                <w:sz w:val="21"/>
              </w:rPr>
              <w:t>台笔记本电脑。并提供设备的安装和调试。设备租用时间为</w:t>
            </w:r>
            <w:r>
              <w:rPr>
                <w:sz w:val="21"/>
              </w:rPr>
              <w:t>12</w:t>
            </w:r>
            <w:r>
              <w:rPr>
                <w:sz w:val="21"/>
              </w:rPr>
              <w:t>个月，租赁产品不得低于以下参考参数：</w:t>
            </w:r>
          </w:p>
          <w:tbl>
            <w:tblPr>
              <w:tblBorders>
                <w:top w:val="none" w:color="000000" w:sz="4"/>
                <w:left w:val="none" w:color="000000" w:sz="4"/>
                <w:bottom w:val="none" w:color="000000" w:sz="4"/>
                <w:right w:val="none" w:color="000000" w:sz="4"/>
                <w:insideH w:val="none"/>
                <w:insideV w:val="none"/>
              </w:tblBorders>
            </w:tblPr>
            <w:tblGrid>
              <w:gridCol w:w="1400"/>
              <w:gridCol w:w="1400"/>
              <w:gridCol w:w="1400"/>
              <w:gridCol w:w="1400"/>
            </w:tblGrid>
            <w:tr>
              <w:tc>
                <w:tcPr>
                  <w:tcW w:type="dxa" w:w="140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设备名称</w:t>
                  </w:r>
                </w:p>
              </w:tc>
              <w:tc>
                <w:tcPr>
                  <w:tcW w:type="dxa" w:w="140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参数要求</w:t>
                  </w:r>
                </w:p>
              </w:tc>
              <w:tc>
                <w:tcPr>
                  <w:tcW w:type="dxa" w:w="140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数量</w:t>
                  </w:r>
                </w:p>
              </w:tc>
              <w:tc>
                <w:tcPr>
                  <w:tcW w:type="dxa" w:w="140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备注</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4"/>
                    </w:rPr>
                    <w:t>视频会议终端</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高清编解码器，实现</w:t>
                  </w:r>
                  <w:r>
                    <w:rPr>
                      <w:sz w:val="21"/>
                    </w:rPr>
                    <w:t>≥</w:t>
                  </w:r>
                  <w:r>
                    <w:rPr>
                      <w:sz w:val="21"/>
                    </w:rPr>
                    <w:t>1920×1080p</w:t>
                  </w:r>
                  <w:r>
                    <w:rPr>
                      <w:sz w:val="21"/>
                    </w:rPr>
                    <w:t>的高清图像效果和</w:t>
                  </w:r>
                  <w:r>
                    <w:rPr>
                      <w:sz w:val="21"/>
                    </w:rPr>
                    <w:t>≥</w:t>
                  </w:r>
                  <w:r>
                    <w:rPr>
                      <w:sz w:val="21"/>
                    </w:rPr>
                    <w:t>20KHz</w:t>
                  </w:r>
                  <w:r>
                    <w:rPr>
                      <w:sz w:val="21"/>
                    </w:rPr>
                    <w:t>的超</w:t>
                  </w:r>
                  <w:r>
                    <w:rPr>
                      <w:sz w:val="21"/>
                    </w:rPr>
                    <w:t>CD</w:t>
                  </w:r>
                  <w:r>
                    <w:rPr>
                      <w:sz w:val="21"/>
                    </w:rPr>
                    <w:t>音频效果，具备音视频接口，支持三屏三显。摄像头</w:t>
                  </w:r>
                  <w:r>
                    <w:rPr>
                      <w:sz w:val="21"/>
                    </w:rPr>
                    <w:t>4k</w:t>
                  </w:r>
                  <w:r>
                    <w:rPr>
                      <w:sz w:val="21"/>
                    </w:rPr>
                    <w:t>分辨率下</w:t>
                  </w:r>
                  <w:r>
                    <w:rPr>
                      <w:sz w:val="21"/>
                    </w:rPr>
                    <w:t>≥</w:t>
                  </w:r>
                  <w:r>
                    <w:rPr>
                      <w:sz w:val="21"/>
                    </w:rPr>
                    <w:t>50</w:t>
                  </w:r>
                  <w:r>
                    <w:rPr>
                      <w:sz w:val="21"/>
                    </w:rPr>
                    <w:t>帧</w:t>
                  </w:r>
                  <w:r>
                    <w:rPr>
                      <w:sz w:val="21"/>
                    </w:rPr>
                    <w:t>/</w:t>
                  </w:r>
                  <w:r>
                    <w:rPr>
                      <w:sz w:val="21"/>
                    </w:rPr>
                    <w:t>秒的采集能力，</w:t>
                  </w:r>
                  <w:r>
                    <w:rPr>
                      <w:sz w:val="21"/>
                    </w:rPr>
                    <w:t>≥</w:t>
                  </w:r>
                  <w:r>
                    <w:rPr>
                      <w:sz w:val="21"/>
                    </w:rPr>
                    <w:t>12</w:t>
                  </w:r>
                  <w:r>
                    <w:rPr>
                      <w:sz w:val="21"/>
                    </w:rPr>
                    <w:t>倍光学变焦。</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含</w:t>
                  </w:r>
                  <w:r>
                    <w:rPr>
                      <w:sz w:val="21"/>
                    </w:rPr>
                    <w:t>≥</w:t>
                  </w:r>
                  <w:r>
                    <w:rPr>
                      <w:sz w:val="21"/>
                    </w:rPr>
                    <w:t>1080P</w:t>
                  </w:r>
                  <w:r>
                    <w:rPr>
                      <w:sz w:val="21"/>
                    </w:rPr>
                    <w:t>高清摄像头</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4"/>
                    </w:rPr>
                    <w:t>视频会议全向麦</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4"/>
                    </w:rPr>
                    <w:t>支持蓝牙版本不低于</w:t>
                  </w:r>
                  <w:r>
                    <w:rPr>
                      <w:sz w:val="24"/>
                    </w:rPr>
                    <w:t>5.1</w:t>
                  </w:r>
                  <w:r>
                    <w:rPr>
                      <w:sz w:val="24"/>
                    </w:rPr>
                    <w:t>，支持蓝牙配置文件：</w:t>
                  </w:r>
                  <w:r>
                    <w:rPr>
                      <w:sz w:val="24"/>
                    </w:rPr>
                    <w:t>A2DP</w:t>
                  </w:r>
                  <w:r>
                    <w:rPr>
                      <w:sz w:val="24"/>
                    </w:rPr>
                    <w:t>、</w:t>
                  </w:r>
                  <w:r>
                    <w:rPr>
                      <w:sz w:val="24"/>
                    </w:rPr>
                    <w:t>AVRCP</w:t>
                  </w:r>
                  <w:r>
                    <w:rPr>
                      <w:sz w:val="24"/>
                    </w:rPr>
                    <w:t>、</w:t>
                  </w:r>
                  <w:r>
                    <w:rPr>
                      <w:sz w:val="24"/>
                    </w:rPr>
                    <w:t>HFP</w:t>
                  </w:r>
                  <w:r>
                    <w:rPr>
                      <w:sz w:val="24"/>
                    </w:rPr>
                    <w:t>、</w:t>
                  </w:r>
                  <w:r>
                    <w:rPr>
                      <w:sz w:val="24"/>
                    </w:rPr>
                    <w:t>HSP</w:t>
                  </w:r>
                  <w:r>
                    <w:rPr>
                      <w:sz w:val="24"/>
                    </w:rPr>
                    <w:t>和</w:t>
                  </w:r>
                  <w:r>
                    <w:rPr>
                      <w:sz w:val="24"/>
                    </w:rPr>
                    <w:t>BLE</w:t>
                  </w:r>
                  <w:r>
                    <w:rPr>
                      <w:sz w:val="24"/>
                    </w:rPr>
                    <w:t>。</w:t>
                  </w:r>
                </w:p>
                <w:p>
                  <w:pPr>
                    <w:pStyle w:val="null3"/>
                  </w:pPr>
                  <w:r>
                    <w:rPr>
                      <w:sz w:val="24"/>
                    </w:rPr>
                    <w:t>采用三麦克风阵列，实现</w:t>
                  </w:r>
                  <w:r>
                    <w:rPr>
                      <w:sz w:val="24"/>
                    </w:rPr>
                    <w:t>360°</w:t>
                  </w:r>
                  <w:r>
                    <w:rPr>
                      <w:sz w:val="24"/>
                    </w:rPr>
                    <w:t>拾音，麦克风拾音半径</w:t>
                  </w:r>
                  <w:r>
                    <w:rPr>
                      <w:sz w:val="24"/>
                    </w:rPr>
                    <w:t>≥</w:t>
                  </w:r>
                  <w:r>
                    <w:rPr>
                      <w:sz w:val="24"/>
                    </w:rPr>
                    <w:t>3</w:t>
                  </w:r>
                  <w:r>
                    <w:rPr>
                      <w:sz w:val="24"/>
                    </w:rPr>
                    <w:t>米。</w:t>
                  </w:r>
                </w:p>
                <w:p>
                  <w:pPr>
                    <w:pStyle w:val="null3"/>
                  </w:pPr>
                  <w:r>
                    <w:rPr>
                      <w:sz w:val="24"/>
                    </w:rPr>
                    <w:t>麦克风频率响应：</w:t>
                  </w:r>
                  <w:r>
                    <w:rPr>
                      <w:sz w:val="24"/>
                    </w:rPr>
                    <w:t>100Hz</w:t>
                  </w:r>
                  <w:r>
                    <w:rPr>
                      <w:sz w:val="24"/>
                    </w:rPr>
                    <w:t>～6.7kHz</w:t>
                  </w:r>
                  <w:r>
                    <w:rPr>
                      <w:sz w:val="24"/>
                    </w:rPr>
                    <w:t>。</w:t>
                  </w:r>
                </w:p>
                <w:p>
                  <w:pPr>
                    <w:pStyle w:val="null3"/>
                  </w:pPr>
                  <w:r>
                    <w:rPr>
                      <w:sz w:val="24"/>
                    </w:rPr>
                    <w:t>采用全双工音频，具备噪声和回声抑制功能。</w:t>
                  </w:r>
                </w:p>
                <w:p>
                  <w:pPr>
                    <w:pStyle w:val="null3"/>
                  </w:pPr>
                  <w:r>
                    <w:rPr>
                      <w:sz w:val="24"/>
                    </w:rPr>
                    <w:t>扬声器频率响应：</w:t>
                  </w:r>
                  <w:r>
                    <w:rPr>
                      <w:sz w:val="24"/>
                    </w:rPr>
                    <w:t>75Hz</w:t>
                  </w:r>
                  <w:r>
                    <w:rPr>
                      <w:sz w:val="24"/>
                    </w:rPr>
                    <w:t>～20kHz</w:t>
                  </w:r>
                  <w:r>
                    <w:rPr>
                      <w:sz w:val="24"/>
                    </w:rPr>
                    <w:t>。</w:t>
                  </w:r>
                </w:p>
                <w:p>
                  <w:pPr>
                    <w:pStyle w:val="null3"/>
                  </w:pPr>
                  <w:r>
                    <w:rPr>
                      <w:sz w:val="24"/>
                    </w:rPr>
                    <w:t>触感式用户界面，至少包括：通话应答</w:t>
                  </w:r>
                  <w:r>
                    <w:rPr>
                      <w:sz w:val="24"/>
                    </w:rPr>
                    <w:t>/</w:t>
                  </w:r>
                  <w:r>
                    <w:rPr>
                      <w:sz w:val="24"/>
                    </w:rPr>
                    <w:t>结束、静音、音量</w:t>
                  </w:r>
                  <w:r>
                    <w:rPr>
                      <w:sz w:val="24"/>
                    </w:rPr>
                    <w:t>+/-</w:t>
                  </w:r>
                  <w:r>
                    <w:rPr>
                      <w:sz w:val="24"/>
                    </w:rPr>
                    <w:t>、自定义功能键、蓝牙配对等功能。</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2</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4"/>
                    </w:rPr>
                    <w:t>笔记本电脑</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4"/>
                    </w:rPr>
                    <w:t>CPU</w:t>
                  </w:r>
                  <w:r>
                    <w:rPr>
                      <w:sz w:val="24"/>
                    </w:rPr>
                    <w:t>性能不低于：</w:t>
                  </w:r>
                  <w:r>
                    <w:rPr>
                      <w:sz w:val="24"/>
                    </w:rPr>
                    <w:t>1</w:t>
                  </w:r>
                  <w:r>
                    <w:rPr>
                      <w:sz w:val="24"/>
                    </w:rPr>
                    <w:t>、不低于8核16线程；2、主频不低2.7GHz，最高睿频不低于4.5GHz；3、三级缓存不低于24MB</w:t>
                  </w:r>
                </w:p>
                <w:p>
                  <w:pPr>
                    <w:pStyle w:val="null3"/>
                  </w:pPr>
                  <w:r>
                    <w:rPr>
                      <w:sz w:val="24"/>
                    </w:rPr>
                    <w:t>续航时间:＞</w:t>
                  </w:r>
                  <w:r>
                    <w:rPr>
                      <w:sz w:val="24"/>
                    </w:rPr>
                    <w:t>3</w:t>
                  </w:r>
                  <w:r>
                    <w:rPr>
                      <w:sz w:val="24"/>
                    </w:rPr>
                    <w:t>小时</w:t>
                  </w:r>
                </w:p>
                <w:p>
                  <w:pPr>
                    <w:pStyle w:val="null3"/>
                  </w:pPr>
                  <w:r>
                    <w:rPr>
                      <w:sz w:val="24"/>
                    </w:rPr>
                    <w:t>屏幕分辨率：＞</w:t>
                  </w:r>
                  <w:r>
                    <w:rPr>
                      <w:sz w:val="24"/>
                    </w:rPr>
                    <w:t>1920*1080P</w:t>
                  </w:r>
                </w:p>
                <w:p>
                  <w:pPr>
                    <w:pStyle w:val="null3"/>
                  </w:pPr>
                  <w:r>
                    <w:rPr>
                      <w:sz w:val="24"/>
                    </w:rPr>
                    <w:t>固态硬盘：</w:t>
                  </w:r>
                  <w:r>
                    <w:rPr>
                      <w:sz w:val="24"/>
                    </w:rPr>
                    <w:t>≥1T</w:t>
                  </w:r>
                  <w:r>
                    <w:rPr>
                      <w:sz w:val="24"/>
                    </w:rPr>
                    <w:t>，内存</w:t>
                  </w:r>
                  <w:r>
                    <w:rPr>
                      <w:sz w:val="24"/>
                    </w:rPr>
                    <w:t>≥16GB</w:t>
                  </w:r>
                </w:p>
                <w:p>
                  <w:pPr>
                    <w:pStyle w:val="null3"/>
                  </w:pPr>
                  <w:r>
                    <w:rPr>
                      <w:sz w:val="24"/>
                    </w:rPr>
                    <w:t>接口：</w:t>
                  </w:r>
                  <w:r>
                    <w:rPr>
                      <w:sz w:val="24"/>
                    </w:rPr>
                    <w:t>≥Type-C</w:t>
                  </w:r>
                  <w:r>
                    <w:rPr>
                      <w:sz w:val="24"/>
                    </w:rPr>
                    <w:t>接口</w:t>
                  </w:r>
                  <w:r>
                    <w:rPr>
                      <w:sz w:val="24"/>
                    </w:rPr>
                    <w:t>*2HDMI</w:t>
                  </w:r>
                  <w:r>
                    <w:rPr>
                      <w:sz w:val="24"/>
                    </w:rPr>
                    <w:t>接口</w:t>
                  </w:r>
                  <w:r>
                    <w:rPr>
                      <w:sz w:val="24"/>
                    </w:rPr>
                    <w:t>*1USB</w:t>
                  </w:r>
                  <w:r>
                    <w:rPr>
                      <w:sz w:val="24"/>
                    </w:rPr>
                    <w:t>接口</w:t>
                  </w:r>
                  <w:r>
                    <w:rPr>
                      <w:sz w:val="24"/>
                    </w:rPr>
                    <w:t>*2</w:t>
                  </w:r>
                  <w:r>
                    <w:rPr>
                      <w:sz w:val="24"/>
                    </w:rPr>
                    <w:t>电源接口</w:t>
                  </w:r>
                  <w:r>
                    <w:rPr>
                      <w:sz w:val="24"/>
                    </w:rPr>
                    <w:t>*1</w:t>
                  </w:r>
                  <w:r>
                    <w:rPr>
                      <w:sz w:val="24"/>
                    </w:rPr>
                    <w:t>网线接口</w:t>
                  </w:r>
                  <w:r>
                    <w:rPr>
                      <w:sz w:val="24"/>
                    </w:rPr>
                    <w:t>*1</w:t>
                  </w:r>
                  <w:r>
                    <w:rPr>
                      <w:sz w:val="24"/>
                    </w:rPr>
                    <w:t>耳机</w:t>
                  </w:r>
                  <w:r>
                    <w:rPr>
                      <w:sz w:val="24"/>
                    </w:rPr>
                    <w:t>/</w:t>
                  </w:r>
                  <w:r>
                    <w:rPr>
                      <w:sz w:val="24"/>
                    </w:rPr>
                    <w:t>麦克风接口</w:t>
                  </w:r>
                  <w:r>
                    <w:rPr>
                      <w:sz w:val="24"/>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bl>
          <w:p>
            <w:pPr>
              <w:pStyle w:val="null3"/>
            </w:pPr>
            <w:r>
              <w:rPr>
                <w:sz w:val="24"/>
                <w:b/>
              </w:rPr>
              <w:t>1.1.3.2</w:t>
            </w:r>
            <w:r>
              <w:rPr>
                <w:sz w:val="24"/>
                <w:b/>
              </w:rPr>
              <w:t>在线会议授权许可</w:t>
            </w:r>
          </w:p>
          <w:p>
            <w:pPr>
              <w:pStyle w:val="null3"/>
              <w:ind w:firstLine="420"/>
            </w:pPr>
            <w:r>
              <w:rPr>
                <w:sz w:val="24"/>
              </w:rPr>
              <w:t>租赁3个视频会议系统许可授权（提供1套</w:t>
            </w:r>
            <w:r>
              <w:rPr>
                <w:sz w:val="24"/>
              </w:rPr>
              <w:t>≥</w:t>
            </w:r>
            <w:r>
              <w:rPr>
                <w:sz w:val="24"/>
              </w:rPr>
              <w:t>500</w:t>
            </w:r>
            <w:r>
              <w:rPr>
                <w:sz w:val="24"/>
              </w:rPr>
              <w:t>方虚拟会议室+1个会议室连接器，提供2套</w:t>
            </w:r>
            <w:r>
              <w:rPr>
                <w:sz w:val="24"/>
              </w:rPr>
              <w:t>≥</w:t>
            </w:r>
            <w:r>
              <w:rPr>
                <w:sz w:val="24"/>
              </w:rPr>
              <w:t>300</w:t>
            </w:r>
            <w:r>
              <w:rPr>
                <w:sz w:val="24"/>
              </w:rPr>
              <w:t>方虚拟会议室+1个会议室连接器）。</w:t>
            </w:r>
          </w:p>
          <w:tbl>
            <w:tblGrid>
              <w:gridCol w:w="857"/>
              <w:gridCol w:w="3198"/>
              <w:gridCol w:w="514"/>
              <w:gridCol w:w="514"/>
              <w:gridCol w:w="514"/>
            </w:tblGrid>
            <w:tr>
              <w:tc>
                <w:tcPr>
                  <w:tcW w:type="dxa" w:w="85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设备名称</w:t>
                  </w:r>
                </w:p>
              </w:tc>
              <w:tc>
                <w:tcPr>
                  <w:tcW w:type="dxa" w:w="31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参数</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数量</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单位</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时间</w:t>
                  </w:r>
                </w:p>
              </w:tc>
            </w:tr>
            <w:tr>
              <w:tc>
                <w:tcPr>
                  <w:tcW w:type="dxa" w:w="8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视频会议系统许可授权</w:t>
                  </w:r>
                </w:p>
              </w:tc>
              <w:tc>
                <w:tcPr>
                  <w:tcW w:type="dxa" w:w="3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最多支持300—500人同时入会，最多</w:t>
                  </w:r>
                  <w:r>
                    <w:rPr>
                      <w:sz w:val="21"/>
                    </w:rPr>
                    <w:t>≥</w:t>
                  </w:r>
                  <w:r>
                    <w:rPr>
                      <w:sz w:val="21"/>
                    </w:rPr>
                    <w:t>5</w:t>
                  </w:r>
                  <w:r>
                    <w:rPr>
                      <w:sz w:val="21"/>
                    </w:rPr>
                    <w:t>位联席主持人，最多</w:t>
                  </w:r>
                  <w:r>
                    <w:rPr>
                      <w:sz w:val="21"/>
                    </w:rPr>
                    <w:t>≥</w:t>
                  </w:r>
                  <w:r>
                    <w:rPr>
                      <w:sz w:val="21"/>
                    </w:rPr>
                    <w:t>50</w:t>
                  </w:r>
                  <w:r>
                    <w:rPr>
                      <w:sz w:val="21"/>
                    </w:rPr>
                    <w:t>个讨论分组，</w:t>
                  </w:r>
                  <w:r>
                    <w:rPr>
                      <w:sz w:val="21"/>
                    </w:rPr>
                    <w:t>≥</w:t>
                  </w:r>
                  <w:r>
                    <w:rPr>
                      <w:sz w:val="21"/>
                    </w:rPr>
                    <w:t>9</w:t>
                  </w:r>
                  <w:r>
                    <w:rPr>
                      <w:sz w:val="21"/>
                    </w:rPr>
                    <w:t>种自定义布局API能力对接。</w:t>
                  </w:r>
                </w:p>
                <w:p>
                  <w:pPr>
                    <w:pStyle w:val="null3"/>
                  </w:pPr>
                  <w:r>
                    <w:rPr>
                      <w:sz w:val="21"/>
                    </w:rPr>
                    <w:t>2</w:t>
                  </w:r>
                  <w:r>
                    <w:rPr>
                      <w:sz w:val="21"/>
                    </w:rPr>
                    <w:t>个商业版</w:t>
                  </w:r>
                  <w:r>
                    <w:rPr>
                      <w:sz w:val="21"/>
                    </w:rPr>
                    <w:t>≥</w:t>
                  </w:r>
                  <w:r>
                    <w:rPr>
                      <w:sz w:val="21"/>
                    </w:rPr>
                    <w:t>300</w:t>
                  </w:r>
                  <w:r>
                    <w:rPr>
                      <w:sz w:val="21"/>
                    </w:rPr>
                    <w:t>方虚拟会议室+1个会议室连接器；</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套/年</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一年</w:t>
                  </w:r>
                </w:p>
              </w:tc>
            </w:tr>
            <w:tr>
              <w:tc>
                <w:tcPr>
                  <w:tcW w:type="dxa" w:w="857"/>
                  <w:vMerge/>
                  <w:tcBorders>
                    <w:top w:val="none" w:color="000000" w:sz="4"/>
                    <w:left w:val="single" w:color="000000" w:sz="4"/>
                    <w:bottom w:val="single" w:color="000000" w:sz="4"/>
                    <w:right w:val="single" w:color="000000" w:sz="4"/>
                  </w:tcBorders>
                </w:tcPr>
                <w:p/>
              </w:tc>
              <w:tc>
                <w:tcPr>
                  <w:tcW w:type="dxa" w:w="3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会议自定义背景最高支持</w:t>
                  </w:r>
                  <w:r>
                    <w:rPr>
                      <w:sz w:val="21"/>
                    </w:rPr>
                    <w:t>≥</w:t>
                  </w:r>
                  <w:r>
                    <w:rPr>
                      <w:sz w:val="21"/>
                    </w:rPr>
                    <w:t>1080P</w:t>
                  </w:r>
                  <w:r>
                    <w:rPr>
                      <w:sz w:val="21"/>
                    </w:rPr>
                    <w:t>高清画质云端录制及回放（</w:t>
                  </w:r>
                  <w:r>
                    <w:rPr>
                      <w:sz w:val="21"/>
                    </w:rPr>
                    <w:t>≥</w:t>
                  </w:r>
                  <w:r>
                    <w:rPr>
                      <w:sz w:val="21"/>
                    </w:rPr>
                    <w:t>200GB/</w:t>
                  </w:r>
                  <w:r>
                    <w:rPr>
                      <w:sz w:val="21"/>
                    </w:rPr>
                    <w:t>主持人账号）。</w:t>
                  </w:r>
                </w:p>
                <w:p>
                  <w:pPr>
                    <w:pStyle w:val="null3"/>
                  </w:pPr>
                  <w:r>
                    <w:rPr>
                      <w:sz w:val="21"/>
                    </w:rPr>
                    <w:t>1</w:t>
                  </w:r>
                  <w:r>
                    <w:rPr>
                      <w:sz w:val="21"/>
                    </w:rPr>
                    <w:t>个商业版</w:t>
                  </w:r>
                  <w:r>
                    <w:rPr>
                      <w:sz w:val="21"/>
                    </w:rPr>
                    <w:t>≥</w:t>
                  </w:r>
                  <w:r>
                    <w:rPr>
                      <w:sz w:val="21"/>
                    </w:rPr>
                    <w:t>500</w:t>
                  </w:r>
                  <w:r>
                    <w:rPr>
                      <w:sz w:val="21"/>
                    </w:rPr>
                    <w:t>方虚拟会议室+1个会议室连接器</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套/年</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一年</w:t>
                  </w:r>
                </w:p>
              </w:tc>
            </w:tr>
            <w:tr>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视频平台租赁服务许可授权</w:t>
                  </w:r>
                </w:p>
              </w:tc>
              <w:tc>
                <w:tcPr>
                  <w:tcW w:type="dxa" w:w="3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支持</w:t>
                  </w:r>
                  <w:r>
                    <w:rPr>
                      <w:sz w:val="21"/>
                    </w:rPr>
                    <w:t>≥</w:t>
                  </w:r>
                  <w:r>
                    <w:rPr>
                      <w:sz w:val="21"/>
                    </w:rPr>
                    <w:t>15</w:t>
                  </w:r>
                  <w:r>
                    <w:rPr>
                      <w:sz w:val="21"/>
                    </w:rPr>
                    <w:t>个会议室同时接入参与会议。会议支持</w:t>
                  </w:r>
                  <w:r>
                    <w:rPr>
                      <w:sz w:val="21"/>
                    </w:rPr>
                    <w:t>≥</w:t>
                  </w:r>
                  <w:r>
                    <w:rPr>
                      <w:sz w:val="21"/>
                    </w:rPr>
                    <w:t>1080P</w:t>
                  </w:r>
                  <w:r>
                    <w:rPr>
                      <w:sz w:val="21"/>
                    </w:rPr>
                    <w:t>全高清音视频体验。支持双流等功能。</w:t>
                  </w:r>
                  <w:r>
                    <w:br/>
                  </w:r>
                  <w:r>
                    <w:rPr>
                      <w:sz w:val="21"/>
                    </w:rPr>
                    <w:t xml:space="preserve"> 授权许可数量15个</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半年</w:t>
                  </w:r>
                </w:p>
              </w:tc>
            </w:tr>
            <w:tr>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智能会议管理平台</w:t>
                  </w:r>
                </w:p>
              </w:tc>
              <w:tc>
                <w:tcPr>
                  <w:tcW w:type="dxa" w:w="31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实现会议预约、管理、会控、运维和数据等服务</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半年</w:t>
                  </w:r>
                </w:p>
              </w:tc>
            </w:tr>
          </w:tbl>
          <w:p>
            <w:pPr>
              <w:pStyle w:val="null3"/>
            </w:pPr>
            <w:r>
              <w:rPr>
                <w:sz w:val="24"/>
                <w:b/>
              </w:rPr>
              <w:t>1.1.4.</w:t>
            </w:r>
            <w:r>
              <w:rPr>
                <w:sz w:val="24"/>
                <w:b/>
              </w:rPr>
              <w:t>服务器</w:t>
            </w:r>
            <w:r>
              <w:rPr>
                <w:sz w:val="24"/>
                <w:b/>
              </w:rPr>
              <w:t>SSL</w:t>
            </w:r>
            <w:r>
              <w:rPr>
                <w:sz w:val="24"/>
                <w:b/>
              </w:rPr>
              <w:t>证书租赁服务</w:t>
            </w:r>
          </w:p>
          <w:p>
            <w:pPr>
              <w:pStyle w:val="null3"/>
              <w:ind w:firstLine="420"/>
            </w:pPr>
            <w:r>
              <w:rPr>
                <w:sz w:val="24"/>
              </w:rPr>
              <w:t>需要采购服务器</w:t>
            </w:r>
            <w:r>
              <w:rPr>
                <w:sz w:val="24"/>
              </w:rPr>
              <w:t>SSL</w:t>
            </w:r>
            <w:r>
              <w:rPr>
                <w:sz w:val="24"/>
              </w:rPr>
              <w:t>证书，互联网两个域名；政务外网不少于三十个域名，通配符一个域名，共</w:t>
            </w:r>
            <w:r>
              <w:rPr>
                <w:sz w:val="24"/>
              </w:rPr>
              <w:t>3</w:t>
            </w:r>
            <w:r>
              <w:rPr>
                <w:sz w:val="24"/>
              </w:rPr>
              <w:t>张数字证书，租赁服务期一年。</w:t>
            </w:r>
          </w:p>
          <w:tbl>
            <w:tblGrid>
              <w:gridCol w:w="1884"/>
              <w:gridCol w:w="2569"/>
              <w:gridCol w:w="571"/>
              <w:gridCol w:w="571"/>
            </w:tblGrid>
            <w:tr>
              <w:tc>
                <w:tcPr>
                  <w:tcW w:type="dxa" w:w="188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服务器SSL证书服务</w:t>
                  </w:r>
                </w:p>
              </w:tc>
              <w:tc>
                <w:tcPr>
                  <w:tcW w:type="dxa" w:w="25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互联网域名SSL数字证书</w:t>
                  </w:r>
                </w:p>
              </w:tc>
              <w:tc>
                <w:tcPr>
                  <w:tcW w:type="dxa" w:w="5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5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张/年</w:t>
                  </w:r>
                </w:p>
              </w:tc>
            </w:tr>
            <w:tr>
              <w:tc>
                <w:tcPr>
                  <w:tcW w:type="dxa" w:w="18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服务器SSL证书服务</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政务外网域名通配符型SSL证书</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张/年</w:t>
                  </w:r>
                </w:p>
              </w:tc>
            </w:tr>
          </w:tbl>
          <w:p>
            <w:pPr>
              <w:pStyle w:val="null3"/>
            </w:pPr>
            <w:r>
              <w:rPr>
                <w:sz w:val="24"/>
                <w:b/>
              </w:rPr>
              <w:t>1.1.5.</w:t>
            </w:r>
            <w:r>
              <w:rPr>
                <w:sz w:val="24"/>
                <w:b/>
              </w:rPr>
              <w:t>动力环境监控系统租赁</w:t>
            </w:r>
          </w:p>
          <w:p>
            <w:pPr>
              <w:pStyle w:val="null3"/>
              <w:ind w:firstLine="420"/>
            </w:pPr>
            <w:r>
              <w:rPr>
                <w:sz w:val="24"/>
              </w:rPr>
              <w:t>具体对象包括以下内容：</w:t>
            </w:r>
          </w:p>
          <w:tbl>
            <w:tblPr>
              <w:tblBorders>
                <w:top w:val="none" w:color="000000" w:sz="4"/>
                <w:left w:val="none" w:color="000000" w:sz="4"/>
                <w:bottom w:val="none" w:color="000000" w:sz="4"/>
                <w:right w:val="none" w:color="000000" w:sz="4"/>
                <w:insideH w:val="none"/>
                <w:insideV w:val="none"/>
              </w:tblBorders>
            </w:tblPr>
            <w:tblGrid>
              <w:gridCol w:w="4297"/>
              <w:gridCol w:w="1301"/>
            </w:tblGrid>
            <w:tr>
              <w:tc>
                <w:tcPr>
                  <w:tcW w:type="dxa" w:w="429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类别</w:t>
                  </w:r>
                </w:p>
              </w:tc>
              <w:tc>
                <w:tcPr>
                  <w:tcW w:type="dxa" w:w="13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数量/套</w:t>
                  </w:r>
                </w:p>
              </w:tc>
            </w:tr>
            <w:tr>
              <w:tc>
                <w:tcPr>
                  <w:tcW w:type="dxa" w:w="42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动力环境监控系统租赁（体育西办公区负3楼UPS机房）</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r>
              <w:tc>
                <w:tcPr>
                  <w:tcW w:type="dxa" w:w="42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动力环境监控系统租赁（体育西办公区21楼机房）</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r>
              <w:tc>
                <w:tcPr>
                  <w:tcW w:type="dxa" w:w="42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动力环境监控系统租赁（黄埔大道西办公区）</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r>
              <w:tc>
                <w:tcPr>
                  <w:tcW w:type="dxa" w:w="42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SymantecNBU</w:t>
                  </w:r>
                  <w:r>
                    <w:rPr>
                      <w:sz w:val="21"/>
                    </w:rPr>
                    <w:t>备份软件维保</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bl>
          <w:p>
            <w:pPr>
              <w:pStyle w:val="null3"/>
            </w:pPr>
            <w:r>
              <w:rPr>
                <w:sz w:val="24"/>
                <w:b/>
              </w:rPr>
              <w:t>1.1.5.1</w:t>
            </w:r>
            <w:r>
              <w:rPr>
                <w:sz w:val="24"/>
                <w:b/>
              </w:rPr>
              <w:t>体育西办公区</w:t>
            </w:r>
          </w:p>
          <w:p>
            <w:pPr>
              <w:pStyle w:val="null3"/>
              <w:ind w:firstLine="420"/>
            </w:pPr>
            <w:r>
              <w:rPr>
                <w:sz w:val="24"/>
              </w:rPr>
              <w:t>1.</w:t>
            </w:r>
            <w:r>
              <w:rPr>
                <w:sz w:val="24"/>
              </w:rPr>
              <w:t>对动力环境监控系统进行软件系统进行版本维护，更换省市场监管局体育西办公区UPS机房的环境温湿度和漏水监测模块。对2台UPS主机和256节UPS蓄电池进行运行状态监测，保证整个机房配电系统的安全可靠运行，增加蓄电池监控模块和探针，对电池的单体电压、单体内阻、电池组电流、电池表面温度等参数进行监测。增加负3楼UPS机房到21楼机房的信号增强放大设备，以确保监控信号有正常传输和反馈。</w:t>
            </w:r>
          </w:p>
          <w:tbl>
            <w:tblPr>
              <w:tblBorders>
                <w:top w:val="none" w:color="000000" w:sz="4"/>
                <w:left w:val="none" w:color="000000" w:sz="4"/>
                <w:bottom w:val="none" w:color="000000" w:sz="4"/>
                <w:right w:val="none" w:color="000000" w:sz="4"/>
                <w:insideH w:val="none"/>
                <w:insideV w:val="none"/>
              </w:tblBorders>
            </w:tblPr>
            <w:tblGrid>
              <w:gridCol w:w="343"/>
              <w:gridCol w:w="914"/>
              <w:gridCol w:w="286"/>
              <w:gridCol w:w="286"/>
              <w:gridCol w:w="2628"/>
              <w:gridCol w:w="1142"/>
            </w:tblGrid>
            <w:tr>
              <w:tc>
                <w:tcPr>
                  <w:tcW w:type="dxa" w:w="34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9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项目</w:t>
                  </w:r>
                </w:p>
              </w:tc>
              <w:tc>
                <w:tcPr>
                  <w:tcW w:type="dxa" w:w="2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单位</w:t>
                  </w:r>
                </w:p>
              </w:tc>
              <w:tc>
                <w:tcPr>
                  <w:tcW w:type="dxa" w:w="2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数量</w:t>
                  </w:r>
                </w:p>
              </w:tc>
              <w:tc>
                <w:tcPr>
                  <w:tcW w:type="dxa" w:w="262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参数说明</w:t>
                  </w:r>
                </w:p>
              </w:tc>
              <w:tc>
                <w:tcPr>
                  <w:tcW w:type="dxa" w:w="11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备注</w:t>
                  </w:r>
                </w:p>
              </w:tc>
            </w:tr>
            <w:tr>
              <w:tc>
                <w:tcPr>
                  <w:tcW w:type="dxa" w:w="4457"/>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1</w:t>
                  </w:r>
                  <w:r>
                    <w:rPr>
                      <w:sz w:val="21"/>
                    </w:rPr>
                    <w:t>、温湿度监控系统</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温湿度变送器</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测量范围：</w:t>
                  </w:r>
                </w:p>
                <w:p>
                  <w:pPr>
                    <w:pStyle w:val="null3"/>
                  </w:pPr>
                  <w:r>
                    <w:rPr>
                      <w:sz w:val="21"/>
                    </w:rPr>
                    <w:t>温度：-20℃～80℃，湿度：0～100%rh；</w:t>
                  </w:r>
                </w:p>
                <w:p>
                  <w:pPr>
                    <w:pStyle w:val="null3"/>
                  </w:pPr>
                  <w:r>
                    <w:rPr>
                      <w:sz w:val="21"/>
                    </w:rPr>
                    <w:t>测量精度：</w:t>
                  </w:r>
                </w:p>
                <w:p>
                  <w:pPr>
                    <w:pStyle w:val="null3"/>
                  </w:pPr>
                  <w:r>
                    <w:rPr>
                      <w:sz w:val="21"/>
                    </w:rPr>
                    <w:t>温度：±0.5℃，湿度：±3%rh；</w:t>
                  </w:r>
                </w:p>
                <w:p>
                  <w:pPr>
                    <w:pStyle w:val="null3"/>
                  </w:pPr>
                  <w:r>
                    <w:rPr>
                      <w:sz w:val="21"/>
                    </w:rPr>
                    <w:t>RS485</w:t>
                  </w:r>
                  <w:r>
                    <w:rPr>
                      <w:sz w:val="21"/>
                    </w:rPr>
                    <w:t>通讯接口，具有液晶显示，可现场设置调试</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457"/>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2</w:t>
                  </w:r>
                  <w:r>
                    <w:rPr>
                      <w:sz w:val="21"/>
                    </w:rPr>
                    <w:t>、漏水监控</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漏水报警感应绳和主机</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漏水检测，灵敏度可调，防误报，</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漏水报警接入模块</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漏水报警接入模块</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457"/>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3</w:t>
                  </w:r>
                  <w:r>
                    <w:rPr>
                      <w:sz w:val="21"/>
                    </w:rPr>
                    <w:t>、UPS监控</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UPS</w:t>
                  </w:r>
                  <w:r>
                    <w:rPr>
                      <w:sz w:val="21"/>
                    </w:rPr>
                    <w:t>监控模块</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对UPS内部整流器、逆变器、电池、旁路、负载等各部件的运行状态进行实时监视，一旦有部件发生故障，系统会自动报警</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457"/>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4</w:t>
                  </w:r>
                  <w:r>
                    <w:rPr>
                      <w:sz w:val="21"/>
                    </w:rPr>
                    <w:t>、蓄电池监控</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蓄电池监控模块</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通讯端口RJ45(10/100Base)、RS-S232、RS-485，可监控数254节电池，液晶屏显示</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电池采集模块</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256</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每个模块可检测电池电压、内阻及温度，隔离耐压＞3000V</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电池连接线</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条</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256</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每节电池1条</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电流传感器</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电流传感器，用于测量电池组的总电流；</w:t>
                  </w:r>
                </w:p>
                <w:p>
                  <w:pPr>
                    <w:pStyle w:val="null3"/>
                  </w:pPr>
                  <w:r>
                    <w:rPr>
                      <w:sz w:val="21"/>
                    </w:rPr>
                    <w:t>电流测量范围0～1000A；</w:t>
                  </w:r>
                </w:p>
                <w:p>
                  <w:pPr>
                    <w:pStyle w:val="null3"/>
                  </w:pPr>
                  <w:r>
                    <w:rPr>
                      <w:sz w:val="21"/>
                    </w:rPr>
                    <w:t>电流测量精度：±1%</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24V</w:t>
                  </w:r>
                  <w:r>
                    <w:rPr>
                      <w:sz w:val="21"/>
                    </w:rPr>
                    <w:t>直流电源</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24V</w:t>
                  </w:r>
                  <w:r>
                    <w:rPr>
                      <w:sz w:val="21"/>
                    </w:rPr>
                    <w:t>直流电源</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蓄电池接入模块</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蓄电池接入模块</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457"/>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5</w:t>
                  </w:r>
                  <w:r>
                    <w:rPr>
                      <w:sz w:val="21"/>
                    </w:rPr>
                    <w:t>、精密空调监控</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精密空调监控模块</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监控空调的运行状态（如：压缩机、风机、加热器、加湿器、去湿器、滤网），监测空调运行时各参数（如：回风温湿度、送风温湿度、温湿度的高低报警值、压缩机运行时间）等</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457"/>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6</w:t>
                  </w:r>
                  <w:r>
                    <w:rPr>
                      <w:sz w:val="21"/>
                    </w:rPr>
                    <w:t>、普通空调监控</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普通空调控制器</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可远程开关空调，可在达到预设温度上限或下限时自动开或关空调。</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可远程开关空调，可在达到预设温度上限或下限时自动开或关空调。</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电流互感器</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微型电流互感器，测量空调开关机电流，用于来电自启功能</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微型电流互感器，测量空调开关机电流，用于来电自启功能</w:t>
                  </w:r>
                </w:p>
              </w:tc>
            </w:tr>
            <w:tr>
              <w:tc>
                <w:tcPr>
                  <w:tcW w:type="dxa" w:w="4457"/>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7</w:t>
                  </w:r>
                  <w:r>
                    <w:rPr>
                      <w:sz w:val="21"/>
                    </w:rPr>
                    <w:t>、消防监控</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光电烟感</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光电烟感更新</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457"/>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8</w:t>
                  </w:r>
                  <w:r>
                    <w:rPr>
                      <w:sz w:val="21"/>
                    </w:rPr>
                    <w:t>、视频监控</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半球网络摄像机</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1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利旧</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网络球机</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142"/>
                  <w:vMerge/>
                  <w:tcBorders>
                    <w:top w:val="none" w:color="000000" w:sz="4"/>
                    <w:left w:val="none" w:color="000000" w:sz="4"/>
                    <w:bottom w:val="single" w:color="000000" w:sz="4"/>
                    <w:right w:val="single" w:color="000000" w:sz="4"/>
                  </w:tcBorders>
                </w:tc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硬盘录像机</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142"/>
                  <w:vMerge/>
                  <w:tcBorders>
                    <w:top w:val="none" w:color="000000" w:sz="4"/>
                    <w:left w:val="none" w:color="000000" w:sz="4"/>
                    <w:bottom w:val="single" w:color="000000" w:sz="4"/>
                    <w:right w:val="single" w:color="000000" w:sz="4"/>
                  </w:tcBorders>
                </w:tc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硬盘</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块</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142"/>
                  <w:vMerge/>
                  <w:tcBorders>
                    <w:top w:val="none" w:color="000000" w:sz="4"/>
                    <w:left w:val="none" w:color="000000" w:sz="4"/>
                    <w:bottom w:val="single" w:color="000000" w:sz="4"/>
                    <w:right w:val="single" w:color="000000" w:sz="4"/>
                  </w:tcBorders>
                </w:tcPr>
                <w:p/>
              </w:tc>
            </w:tr>
            <w:tr>
              <w:tc>
                <w:tcPr>
                  <w:tcW w:type="dxa" w:w="4457"/>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9</w:t>
                  </w:r>
                  <w:r>
                    <w:rPr>
                      <w:sz w:val="21"/>
                    </w:rPr>
                    <w:t>、安保监控</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红外微波三鉴控测器</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利旧</w:t>
                  </w:r>
                </w:p>
              </w:tc>
            </w:tr>
            <w:tr>
              <w:tc>
                <w:tcPr>
                  <w:tcW w:type="dxa" w:w="4457"/>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10</w:t>
                  </w:r>
                  <w:r>
                    <w:rPr>
                      <w:sz w:val="21"/>
                    </w:rPr>
                    <w:t>、接入集中监控管理主机</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接入集中监控管理主机</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≥8</w:t>
                  </w:r>
                  <w:r>
                    <w:rPr>
                      <w:sz w:val="21"/>
                    </w:rPr>
                    <w:t>路开关量输入接口，支持干接点类型和TTL电平类型，可接烟感、漏水、防雷检测等传感器。≥4路空调控制接口，可以实现4台普通空调的自动开关控制及轮转调度功能，实现空调的节能控制。≥1路RS232配置管理接口，对设备进行固件维护或者厂家调试。≥2路RS485总线接口，适配多种485总线模块，最多可接≥64路485总线模块。≥1路RJ45网络接口，10/100M自适应。</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接入交换机</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≥8</w:t>
                  </w:r>
                  <w:r>
                    <w:rPr>
                      <w:sz w:val="21"/>
                    </w:rPr>
                    <w:t>口接入交换机</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利旧</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管线</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批</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管线</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网络信号放大器</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对</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增加UPS间与主机房之间的通信距离，取消三楼弱电间的小交换机</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pPr>
            <w:r>
              <w:rPr>
                <w:sz w:val="24"/>
              </w:rPr>
              <w:t>2.</w:t>
            </w:r>
            <w:r>
              <w:rPr>
                <w:sz w:val="24"/>
              </w:rPr>
              <w:t>更换省市场监管局体育西办公区机房的环境温湿度和漏水监测模块，针对主机房门禁系统目前存在反应时间慢，有时打不开门的情况，更新门禁系统。目前存在21楼机房UPS主机和空调数据上传慢，报警数据有丢失的现象，更换UPS主机和空调的监控模块。对机房1台UPS主机和20节UPS蓄电池进行运行状态监测，保证机房配电系统的安全可靠运行，增加蓄电池监控模块和探针，对电池的单体电压、单体内阻、电池组电流、电池表面温度等参数进行监测，并完善配电柜运行监测。目前系统的告警系统通知SIM卡配置为2G数据模式，维护为4G/5G告警通讯模块，以确保信号正常传输和告警通知、反馈。</w:t>
            </w:r>
          </w:p>
          <w:tbl>
            <w:tblGrid>
              <w:gridCol w:w="292"/>
              <w:gridCol w:w="758"/>
              <w:gridCol w:w="292"/>
              <w:gridCol w:w="292"/>
              <w:gridCol w:w="2624"/>
              <w:gridCol w:w="1341"/>
            </w:tblGrid>
            <w:tr>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项目</w:t>
                  </w:r>
                </w:p>
              </w:tc>
              <w:tc>
                <w:tcPr>
                  <w:tcW w:type="dxa" w:w="2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单位</w:t>
                  </w:r>
                </w:p>
              </w:tc>
              <w:tc>
                <w:tcPr>
                  <w:tcW w:type="dxa" w:w="2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数量</w:t>
                  </w:r>
                </w:p>
              </w:tc>
              <w:tc>
                <w:tcPr>
                  <w:tcW w:type="dxa" w:w="262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参数说明</w:t>
                  </w:r>
                </w:p>
              </w:tc>
              <w:tc>
                <w:tcPr>
                  <w:tcW w:type="dxa" w:w="134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备注</w:t>
                  </w: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、温湿度监控系统</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温湿度变送器</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7</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测量范围：</w:t>
                  </w:r>
                </w:p>
                <w:p>
                  <w:pPr>
                    <w:pStyle w:val="null3"/>
                  </w:pPr>
                  <w:r>
                    <w:rPr>
                      <w:sz w:val="21"/>
                    </w:rPr>
                    <w:t>温度：-20℃～80℃，湿度：0～100%rh；</w:t>
                  </w:r>
                </w:p>
                <w:p>
                  <w:pPr>
                    <w:pStyle w:val="null3"/>
                  </w:pPr>
                  <w:r>
                    <w:rPr>
                      <w:sz w:val="21"/>
                    </w:rPr>
                    <w:t>测量精度：</w:t>
                  </w:r>
                </w:p>
                <w:p>
                  <w:pPr>
                    <w:pStyle w:val="null3"/>
                  </w:pPr>
                  <w:r>
                    <w:rPr>
                      <w:sz w:val="21"/>
                    </w:rPr>
                    <w:t>温度：±0.5℃，湿度：±3%rh；</w:t>
                  </w:r>
                </w:p>
                <w:p>
                  <w:pPr>
                    <w:pStyle w:val="null3"/>
                  </w:pPr>
                  <w:r>
                    <w:rPr>
                      <w:sz w:val="21"/>
                    </w:rPr>
                    <w:t>RS485</w:t>
                  </w:r>
                  <w:r>
                    <w:rPr>
                      <w:sz w:val="21"/>
                    </w:rPr>
                    <w:t>通讯接口，具有液晶显示，可现场设置调试</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r>
                    <w:rPr>
                      <w:sz w:val="21"/>
                    </w:rPr>
                    <w:t>、漏水监控</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漏水报警感应绳和主机）</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5</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漏水检测，灵敏度可调，防误报</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2</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漏水报警接入模块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漏水报警接入模块</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、UPS监控</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UPS</w:t>
                  </w:r>
                  <w:r>
                    <w:rPr>
                      <w:sz w:val="21"/>
                    </w:rPr>
                    <w:t>监控模块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对UPS内部整流器、逆变器、电池、旁路、负载等各部件的运行状态进行实时监视，一旦有部件发生故障，系统会自动报警</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主机房1台UPS</w:t>
                  </w: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r>
                    <w:rPr>
                      <w:sz w:val="21"/>
                    </w:rPr>
                    <w:t>、蓄电池监控</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蓄电池监控模块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通讯端口RJ45(10/100Base)、RS-S232、RS-485，可监控数≥254节电池，液晶屏显示</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2</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电池采集模块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20</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每个模块可检测电池电压、内阻及温度，隔离耐压＞3000V</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3</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电池连接线</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条</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20</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每节电池1条</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4</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电流传感器</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电流传感器，用于测量电池组的总电流；电流测量范围0～1000A；电流测量精度：±1%</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5</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24V</w:t>
                  </w:r>
                  <w:r>
                    <w:rPr>
                      <w:sz w:val="21"/>
                    </w:rPr>
                    <w:t>直流电源</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24V</w:t>
                  </w:r>
                  <w:r>
                    <w:rPr>
                      <w:sz w:val="21"/>
                    </w:rPr>
                    <w:t>直流电源</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6</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蓄电池接入模块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蓄电池接入模块</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5</w:t>
                  </w:r>
                  <w:r>
                    <w:rPr>
                      <w:sz w:val="21"/>
                    </w:rPr>
                    <w:t>、精密空调监控</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精密空调监控模块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5</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监控空调的运行状态（如：压缩机、风机、加热器、加湿器、去湿器、滤网），监测空调运行时各参数（如：回风温湿度、送风温湿度、温湿度的高低报警值、压缩机运行时间）等</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6</w:t>
                  </w:r>
                  <w:r>
                    <w:rPr>
                      <w:sz w:val="21"/>
                    </w:rPr>
                    <w:t>、安保监控</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红外微波三鉴控测器</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红外微波三鉴控测器</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利旧</w:t>
                  </w: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7</w:t>
                  </w:r>
                  <w:r>
                    <w:rPr>
                      <w:sz w:val="21"/>
                    </w:rPr>
                    <w:t>、供配电监控</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智能电量检测仪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3</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嵌入式系统，具备三相电流、三相电压和有功功率无功功率等测量功能。FCS架构，RS485通讯接口，具有液晶显示，现场配置、调试方便，可远程维护，修改配置</w:t>
                  </w:r>
                </w:p>
              </w:tc>
              <w:tc>
                <w:tcPr>
                  <w:tcW w:type="dxa" w:w="13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2</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交流互感器</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9</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配电主干线路电流互感器，多种量程、变比可选，测量误差&lt;±1%，适用于配电主干线路</w:t>
                  </w:r>
                </w:p>
              </w:tc>
              <w:tc>
                <w:tcPr>
                  <w:tcW w:type="dxa" w:w="1341"/>
                  <w:vMerge/>
                  <w:tcBorders>
                    <w:top w:val="none" w:color="000000" w:sz="4"/>
                    <w:left w:val="none" w:color="000000" w:sz="4"/>
                    <w:bottom w:val="single" w:color="000000" w:sz="4"/>
                    <w:right w:val="single" w:color="000000" w:sz="4"/>
                  </w:tcBorders>
                </w:tc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3</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空开检测仪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3</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嵌入式系统，具备较高的电器隔离度，能检测8路开关的状态。RS485通讯接口，具有液晶显示，现场设置调试方便，可远程维护，修改配置</w:t>
                  </w:r>
                </w:p>
              </w:tc>
              <w:tc>
                <w:tcPr>
                  <w:tcW w:type="dxa" w:w="1341"/>
                  <w:vMerge/>
                  <w:tcBorders>
                    <w:top w:val="none" w:color="000000" w:sz="4"/>
                    <w:left w:val="none" w:color="000000" w:sz="4"/>
                    <w:bottom w:val="single" w:color="000000" w:sz="4"/>
                    <w:right w:val="single" w:color="000000" w:sz="4"/>
                  </w:tcBorders>
                </w:tcPr>
                <w:p/>
              </w:tc>
            </w:tr>
            <w:tr>
              <w:tc>
                <w:tcPr>
                  <w:tcW w:type="dxa" w:w="4258"/>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备注：1路市电3相4线制电压、电流、频率、功率因素及配电空开监控</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8</w:t>
                  </w:r>
                  <w:r>
                    <w:rPr>
                      <w:sz w:val="21"/>
                    </w:rPr>
                    <w:t>、视频监控</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半球网络摄像机</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4</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3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利旧</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2</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球形摄像机</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2</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341"/>
                  <w:vMerge/>
                  <w:tcBorders>
                    <w:top w:val="none" w:color="000000" w:sz="4"/>
                    <w:left w:val="none" w:color="000000" w:sz="4"/>
                    <w:bottom w:val="single" w:color="000000" w:sz="4"/>
                    <w:right w:val="single" w:color="000000" w:sz="4"/>
                  </w:tcBorders>
                </w:tc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3</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硬盘录像机</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341"/>
                  <w:vMerge/>
                  <w:tcBorders>
                    <w:top w:val="none" w:color="000000" w:sz="4"/>
                    <w:left w:val="none" w:color="000000" w:sz="4"/>
                    <w:bottom w:val="single" w:color="000000" w:sz="4"/>
                    <w:right w:val="single" w:color="000000" w:sz="4"/>
                  </w:tcBorders>
                </w:tc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4</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硬盘</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2</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341"/>
                  <w:vMerge/>
                  <w:tcBorders>
                    <w:top w:val="none" w:color="000000" w:sz="4"/>
                    <w:left w:val="none" w:color="000000" w:sz="4"/>
                    <w:bottom w:val="single" w:color="000000" w:sz="4"/>
                    <w:right w:val="single" w:color="000000" w:sz="4"/>
                  </w:tcBorders>
                </w:tcP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9</w:t>
                  </w:r>
                  <w:r>
                    <w:rPr>
                      <w:sz w:val="21"/>
                    </w:rPr>
                    <w:t>、门禁监控</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指纹密码一体机</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2</w:t>
                  </w:r>
                </w:p>
              </w:tc>
              <w:tc>
                <w:tcPr>
                  <w:tcW w:type="dxa" w:w="26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更换为指纹密码一体机</w:t>
                  </w:r>
                </w:p>
              </w:tc>
              <w:tc>
                <w:tcPr>
                  <w:tcW w:type="dxa" w:w="13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2</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指纹密码读卡器</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2</w:t>
                  </w:r>
                </w:p>
              </w:tc>
              <w:tc>
                <w:tcPr>
                  <w:tcW w:type="dxa" w:w="2624"/>
                  <w:vMerge/>
                  <w:tcBorders>
                    <w:top w:val="none" w:color="000000" w:sz="4"/>
                    <w:left w:val="none" w:color="000000" w:sz="4"/>
                    <w:bottom w:val="single" w:color="000000" w:sz="4"/>
                    <w:right w:val="single" w:color="000000" w:sz="4"/>
                  </w:tcBorders>
                </w:tcPr>
                <w:p/>
              </w:tc>
              <w:tc>
                <w:tcPr>
                  <w:tcW w:type="dxa" w:w="1341"/>
                  <w:vMerge/>
                  <w:tcBorders>
                    <w:top w:val="none" w:color="000000" w:sz="4"/>
                    <w:left w:val="none" w:color="000000" w:sz="4"/>
                    <w:bottom w:val="single" w:color="000000" w:sz="4"/>
                    <w:right w:val="single" w:color="000000" w:sz="4"/>
                  </w:tcBorders>
                </w:tc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3</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出门按钮</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2</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利旧</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4</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ID</w:t>
                  </w:r>
                  <w:r>
                    <w:rPr>
                      <w:sz w:val="21"/>
                    </w:rPr>
                    <w:t>卡</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张</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10</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利旧</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5</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电磁锁</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把</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2</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利旧</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6</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12V</w:t>
                  </w:r>
                  <w:r>
                    <w:rPr>
                      <w:sz w:val="21"/>
                    </w:rPr>
                    <w:t>电源箱</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2</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12V</w:t>
                  </w:r>
                  <w:r>
                    <w:rPr>
                      <w:sz w:val="21"/>
                    </w:rPr>
                    <w:t>电源箱</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10</w:t>
                  </w:r>
                  <w:r>
                    <w:rPr>
                      <w:sz w:val="21"/>
                    </w:rPr>
                    <w:t>、消防监控</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光电烟感</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7</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光电烟感</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2</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通用输入输出模块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≥8</w:t>
                  </w:r>
                  <w:r>
                    <w:rPr>
                      <w:sz w:val="21"/>
                    </w:rPr>
                    <w:t>路DI接入，≥2路DO输出</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11</w:t>
                  </w:r>
                  <w:r>
                    <w:rPr>
                      <w:sz w:val="21"/>
                    </w:rPr>
                    <w:t>、监控硬件主机</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集中监控管理主机</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≥2</w:t>
                  </w:r>
                  <w:r>
                    <w:rPr>
                      <w:sz w:val="21"/>
                    </w:rPr>
                    <w:t>路IP网络接口，10/100M自适应，链路冗余备份，同时可以设置不同的网络权限。≥8路开关量输入接口。≥8路模拟量输入接口。≥4路继电器输出接口，可实现联动告警输出，灯光控制等等。≥4路空调控制接口，可以实现≥4台普通空调的自动开关控制及轮转调度功能。≥1路门禁控制。≥2路RS485总线接口，适配多种485总线模块，最多可接≥64路485总线模块。最多≥8路智能设备监控接口，可以监控精密空调，UPS等智能设备。1路RS232调试接口，对设备进行固件维护或者厂家调试。具有TF卡（microSD）接口，SD卡支持最大≥32G容量。具备实时时钟功能。支持TF卡维护、U盘维护以及网络远程维护。</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2</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短信报警模块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报警模块</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3</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声光警号</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声光警号</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4</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管线</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批</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管线</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5</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接入交换机</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≥16</w:t>
                  </w:r>
                  <w:r>
                    <w:rPr>
                      <w:sz w:val="21"/>
                    </w:rPr>
                    <w:t>口接入交换机</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利旧</w:t>
                  </w: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12</w:t>
                  </w:r>
                  <w:r>
                    <w:rPr>
                      <w:sz w:val="21"/>
                    </w:rPr>
                    <w:t>、监控平台软件</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网络监控管理软件</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C/S</w:t>
                  </w:r>
                  <w:r>
                    <w:rPr>
                      <w:sz w:val="21"/>
                    </w:rPr>
                    <w:t>、B/S双架构，支持多客户端同时登陆，多用户且用户数无限制；支持任意监控量联动条件设置自动按制，多条件任意组合；3D组态图显示，机房实时状态动态显示；集成在线地图、门禁管理、视频管理，远程序云台控制，录像等功能一应俱全；可进行查询统计，生成各种曲线、饼图等报表，可导出PDF、Word、Excel等多种格式或直接打印</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r>
          </w:tbl>
          <w:p>
            <w:pPr>
              <w:pStyle w:val="null3"/>
              <w:jc w:val="both"/>
            </w:pPr>
            <w:r>
              <w:rPr>
                <w:sz w:val="21"/>
                <w:b/>
              </w:rPr>
              <w:t>1.1.5.2</w:t>
            </w:r>
            <w:r>
              <w:rPr>
                <w:sz w:val="21"/>
                <w:b/>
              </w:rPr>
              <w:t>黄埔大道西办公区</w:t>
            </w:r>
          </w:p>
          <w:p>
            <w:pPr>
              <w:pStyle w:val="null3"/>
              <w:ind w:firstLine="420"/>
            </w:pPr>
            <w:r>
              <w:rPr>
                <w:sz w:val="24"/>
              </w:rPr>
              <w:t>1</w:t>
            </w:r>
            <w:r>
              <w:rPr>
                <w:sz w:val="24"/>
              </w:rPr>
              <w:t>、黄埔大道西办公区机房动力环境监控系统使用年份较久，系统已无法使用，需要维护，并更换环境温湿度和漏水监测模块。更新门禁系统、更换UPS和空调的监控模块。对机房1台主机和80节UPS蓄电池进行运行状态监测，保证整个机房配电系统的安全可靠运行，增加蓄电池监控模块和探针，对电池的单体电压、单体内阻、电池组电流、电池表面温度等参数进行监测。新增1套人体红外感应系统，以及对机房原有4套配电系统接入动力环境监控系统管理，同时新增4套配电监控模块完善配电柜监测。目前系统的告警系统通知SIM卡配置为2G数据模式，维护为4G/5G告警通讯模块，以确保信号正常传输和告警通知、反馈。</w:t>
            </w:r>
          </w:p>
          <w:p>
            <w:pPr>
              <w:pStyle w:val="null3"/>
              <w:ind w:firstLine="420"/>
            </w:pPr>
            <w:r>
              <w:rPr>
                <w:sz w:val="24"/>
              </w:rPr>
              <w:t>2</w:t>
            </w:r>
            <w:r>
              <w:rPr>
                <w:sz w:val="24"/>
              </w:rPr>
              <w:t>、定期对监控设备定期全面专业检查、检修，损件更换等，以及重大、紧急、疑难故障的现场支持和维护，检查内容包括：</w:t>
            </w:r>
          </w:p>
          <w:p>
            <w:pPr>
              <w:pStyle w:val="null3"/>
              <w:ind w:firstLine="420"/>
            </w:pPr>
            <w:r>
              <w:rPr>
                <w:sz w:val="24"/>
              </w:rPr>
              <w:t>1</w:t>
            </w:r>
            <w:r>
              <w:rPr>
                <w:sz w:val="24"/>
              </w:rPr>
              <w:t>）监控主机及管理软件：</w:t>
            </w:r>
          </w:p>
          <w:p>
            <w:pPr>
              <w:pStyle w:val="null3"/>
              <w:ind w:firstLine="420"/>
            </w:pPr>
            <w:r>
              <w:rPr>
                <w:sz w:val="24"/>
              </w:rPr>
              <w:t>检查监控主机及系统软件上的各功能是否运行正常，各设置参数是否正确；查看历史报警记录对报警内容进行分析以消除隐患。</w:t>
            </w:r>
          </w:p>
          <w:p>
            <w:pPr>
              <w:pStyle w:val="null3"/>
              <w:ind w:firstLine="420"/>
            </w:pPr>
            <w:r>
              <w:rPr>
                <w:sz w:val="24"/>
              </w:rPr>
              <w:t>2</w:t>
            </w:r>
            <w:r>
              <w:rPr>
                <w:sz w:val="24"/>
              </w:rPr>
              <w:t>）温湿度变送器：</w:t>
            </w:r>
          </w:p>
          <w:p>
            <w:pPr>
              <w:pStyle w:val="null3"/>
              <w:ind w:firstLine="420"/>
            </w:pPr>
            <w:r>
              <w:rPr>
                <w:sz w:val="24"/>
              </w:rPr>
              <w:t>检查温湿度变送器是否正常采集温湿度数据。</w:t>
            </w:r>
          </w:p>
          <w:p>
            <w:pPr>
              <w:pStyle w:val="null3"/>
              <w:ind w:firstLine="420"/>
            </w:pPr>
            <w:r>
              <w:rPr>
                <w:sz w:val="24"/>
              </w:rPr>
              <w:t>3</w:t>
            </w:r>
            <w:r>
              <w:rPr>
                <w:sz w:val="24"/>
              </w:rPr>
              <w:t>）漏水报警系统：</w:t>
            </w:r>
          </w:p>
          <w:p>
            <w:pPr>
              <w:pStyle w:val="null3"/>
              <w:ind w:firstLine="420"/>
            </w:pPr>
            <w:r>
              <w:rPr>
                <w:sz w:val="24"/>
              </w:rPr>
              <w:t>检查漏水报警系统是否正常工作，灵敏度是否合理。</w:t>
            </w:r>
          </w:p>
          <w:p>
            <w:pPr>
              <w:pStyle w:val="null3"/>
              <w:ind w:firstLine="420"/>
            </w:pPr>
            <w:r>
              <w:rPr>
                <w:sz w:val="24"/>
              </w:rPr>
              <w:t>4</w:t>
            </w:r>
            <w:r>
              <w:rPr>
                <w:sz w:val="24"/>
              </w:rPr>
              <w:t>）精密空调监控：</w:t>
            </w:r>
          </w:p>
          <w:p>
            <w:pPr>
              <w:pStyle w:val="null3"/>
              <w:ind w:firstLine="420"/>
            </w:pPr>
            <w:r>
              <w:rPr>
                <w:sz w:val="24"/>
              </w:rPr>
              <w:t>检查智能设备监控器是否能正常采集精密空调的运行数据，是否有漏报故障信息。</w:t>
            </w:r>
          </w:p>
          <w:p>
            <w:pPr>
              <w:pStyle w:val="null3"/>
              <w:ind w:firstLine="420"/>
            </w:pPr>
            <w:r>
              <w:rPr>
                <w:sz w:val="24"/>
              </w:rPr>
              <w:t>5</w:t>
            </w:r>
            <w:r>
              <w:rPr>
                <w:sz w:val="24"/>
              </w:rPr>
              <w:t>）红外微波三鉴控测器：</w:t>
            </w:r>
          </w:p>
          <w:p>
            <w:pPr>
              <w:pStyle w:val="null3"/>
              <w:ind w:firstLine="420"/>
            </w:pPr>
            <w:r>
              <w:rPr>
                <w:sz w:val="24"/>
              </w:rPr>
              <w:t>检查微波三鉴控测器是否能正常触发告警.</w:t>
            </w:r>
          </w:p>
          <w:p>
            <w:pPr>
              <w:pStyle w:val="null3"/>
              <w:ind w:firstLine="420"/>
            </w:pPr>
            <w:r>
              <w:rPr>
                <w:sz w:val="24"/>
              </w:rPr>
              <w:t>6</w:t>
            </w:r>
            <w:r>
              <w:rPr>
                <w:sz w:val="24"/>
              </w:rPr>
              <w:t>）智能电量监测仪：</w:t>
            </w:r>
          </w:p>
          <w:p>
            <w:pPr>
              <w:pStyle w:val="null3"/>
              <w:ind w:firstLine="420"/>
            </w:pPr>
            <w:r>
              <w:rPr>
                <w:sz w:val="24"/>
              </w:rPr>
              <w:t>检查智能电量检测仪是否能正常采集配电柜的电流、电压、功率；</w:t>
            </w:r>
          </w:p>
          <w:p>
            <w:pPr>
              <w:pStyle w:val="null3"/>
              <w:ind w:firstLine="420"/>
            </w:pPr>
            <w:r>
              <w:rPr>
                <w:sz w:val="24"/>
              </w:rPr>
              <w:t>7</w:t>
            </w:r>
            <w:r>
              <w:rPr>
                <w:sz w:val="24"/>
              </w:rPr>
              <w:t>）空气检测仪：</w:t>
            </w:r>
          </w:p>
          <w:p>
            <w:pPr>
              <w:pStyle w:val="null3"/>
              <w:ind w:firstLine="420"/>
            </w:pPr>
            <w:r>
              <w:rPr>
                <w:sz w:val="24"/>
              </w:rPr>
              <w:t>检查空开检测仪是否能检测开关的通断。</w:t>
            </w:r>
          </w:p>
          <w:p>
            <w:pPr>
              <w:pStyle w:val="null3"/>
              <w:ind w:firstLine="420"/>
            </w:pPr>
            <w:r>
              <w:rPr>
                <w:sz w:val="24"/>
              </w:rPr>
              <w:t>8</w:t>
            </w:r>
            <w:r>
              <w:rPr>
                <w:sz w:val="24"/>
              </w:rPr>
              <w:t>）门禁监控：</w:t>
            </w:r>
          </w:p>
          <w:p>
            <w:pPr>
              <w:pStyle w:val="null3"/>
              <w:ind w:firstLine="420"/>
            </w:pPr>
            <w:r>
              <w:rPr>
                <w:sz w:val="24"/>
              </w:rPr>
              <w:t>检查门禁系统是否能正常开关门，暴力闯入时是否及时报警，是否保存开门记录；</w:t>
            </w:r>
          </w:p>
          <w:p>
            <w:pPr>
              <w:pStyle w:val="null3"/>
              <w:ind w:firstLine="420"/>
            </w:pPr>
            <w:r>
              <w:rPr>
                <w:sz w:val="24"/>
              </w:rPr>
              <w:t>9</w:t>
            </w:r>
            <w:r>
              <w:rPr>
                <w:sz w:val="24"/>
              </w:rPr>
              <w:t>）光电烟感：</w:t>
            </w:r>
          </w:p>
          <w:p>
            <w:pPr>
              <w:pStyle w:val="null3"/>
              <w:ind w:firstLine="420"/>
            </w:pPr>
            <w:r>
              <w:rPr>
                <w:sz w:val="24"/>
              </w:rPr>
              <w:t>检查光电烟感是否正常工作，测试有烟雾时是否能及时触发短信，声光告警。</w:t>
            </w:r>
          </w:p>
          <w:p>
            <w:pPr>
              <w:pStyle w:val="null3"/>
              <w:ind w:firstLine="420"/>
            </w:pPr>
            <w:r>
              <w:rPr>
                <w:sz w:val="24"/>
              </w:rPr>
              <w:t>10</w:t>
            </w:r>
            <w:r>
              <w:rPr>
                <w:sz w:val="24"/>
              </w:rPr>
              <w:t>）UPS监控：</w:t>
            </w:r>
          </w:p>
          <w:p>
            <w:pPr>
              <w:pStyle w:val="null3"/>
              <w:ind w:firstLine="420"/>
            </w:pPr>
            <w:r>
              <w:rPr>
                <w:sz w:val="24"/>
              </w:rPr>
              <w:t>检查智能设备监控器是否能正常采集UPS运行数据，当UPS输入断开时，是否能及时短信通知。</w:t>
            </w:r>
          </w:p>
          <w:p>
            <w:pPr>
              <w:pStyle w:val="null3"/>
              <w:ind w:firstLine="420"/>
            </w:pPr>
            <w:r>
              <w:rPr>
                <w:sz w:val="24"/>
              </w:rPr>
              <w:t>11</w:t>
            </w:r>
            <w:r>
              <w:rPr>
                <w:sz w:val="24"/>
              </w:rPr>
              <w:t>）蓄电池监控：</w:t>
            </w:r>
          </w:p>
          <w:p>
            <w:pPr>
              <w:pStyle w:val="null3"/>
              <w:ind w:firstLine="420"/>
            </w:pPr>
            <w:r>
              <w:rPr>
                <w:sz w:val="24"/>
              </w:rPr>
              <w:t>检查蓄电池监控系统是否能正常采集蓄电池运行数据，当蓄电池发生故障时，是否能及时短信通知。</w:t>
            </w:r>
          </w:p>
          <w:tbl>
            <w:tblGrid>
              <w:gridCol w:w="350"/>
              <w:gridCol w:w="991"/>
              <w:gridCol w:w="292"/>
              <w:gridCol w:w="292"/>
              <w:gridCol w:w="2916"/>
              <w:gridCol w:w="758"/>
            </w:tblGrid>
            <w:tr>
              <w:tc>
                <w:tcPr>
                  <w:tcW w:type="dxa" w:w="35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99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项目</w:t>
                  </w:r>
                </w:p>
              </w:tc>
              <w:tc>
                <w:tcPr>
                  <w:tcW w:type="dxa" w:w="2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单位</w:t>
                  </w:r>
                </w:p>
              </w:tc>
              <w:tc>
                <w:tcPr>
                  <w:tcW w:type="dxa" w:w="2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数量</w:t>
                  </w:r>
                </w:p>
              </w:tc>
              <w:tc>
                <w:tcPr>
                  <w:tcW w:type="dxa" w:w="291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参数说明</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备注</w:t>
                  </w: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、温湿度监控系统</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温湿度变送器</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测量范围：</w:t>
                  </w:r>
                </w:p>
                <w:p>
                  <w:pPr>
                    <w:pStyle w:val="null3"/>
                  </w:pPr>
                  <w:r>
                    <w:rPr>
                      <w:sz w:val="21"/>
                    </w:rPr>
                    <w:t>温度：-20℃～80℃，湿度：0～100%rh；</w:t>
                  </w:r>
                </w:p>
                <w:p>
                  <w:pPr>
                    <w:pStyle w:val="null3"/>
                  </w:pPr>
                  <w:r>
                    <w:rPr>
                      <w:sz w:val="21"/>
                    </w:rPr>
                    <w:t>测量精度：</w:t>
                  </w:r>
                </w:p>
                <w:p>
                  <w:pPr>
                    <w:pStyle w:val="null3"/>
                  </w:pPr>
                  <w:r>
                    <w:rPr>
                      <w:sz w:val="21"/>
                    </w:rPr>
                    <w:t>温度：±0.5℃，湿度：±3%rh；</w:t>
                  </w:r>
                </w:p>
                <w:p>
                  <w:pPr>
                    <w:pStyle w:val="null3"/>
                  </w:pPr>
                  <w:r>
                    <w:rPr>
                      <w:sz w:val="21"/>
                    </w:rPr>
                    <w:t>RS485</w:t>
                  </w:r>
                  <w:r>
                    <w:rPr>
                      <w:sz w:val="21"/>
                    </w:rPr>
                    <w:t>通讯接口，具有液晶显示，可现场设置调试</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r>
                    <w:rPr>
                      <w:sz w:val="21"/>
                    </w:rPr>
                    <w:t>、漏水监控</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漏水报警感应绳和主机</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漏水检测，灵敏度可调，防误报</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漏水报警接入模块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漏水报警接入模块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、UPS监控</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UPS</w:t>
                  </w:r>
                  <w:r>
                    <w:rPr>
                      <w:sz w:val="21"/>
                    </w:rPr>
                    <w:t>监控模块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对UPS内部整流器、逆变器、电池、旁路、负载等各部件的运行状态进行实时监视，一旦有部件发生故障，系统会自动报警</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r>
                    <w:rPr>
                      <w:sz w:val="21"/>
                    </w:rPr>
                    <w:t>、蓄电池监控</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蓄电池监控模块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通讯端口RJ45(10/100Base)、RS-S232、RS-485，可监控数≥254节电池，液晶屏显示</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电池采集模块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80</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每个模块可检测电池电压、内阻及温度，隔离耐压＞3000V</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电池连接线</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条</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80</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每节电池1条</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电流传感器</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电流传感器，用于测量电池组的总电流；电流测量范围0～1000A；电流测量精度：±1%</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24V</w:t>
                  </w:r>
                  <w:r>
                    <w:rPr>
                      <w:sz w:val="21"/>
                    </w:rPr>
                    <w:t>直流电源</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24V</w:t>
                  </w:r>
                  <w:r>
                    <w:rPr>
                      <w:sz w:val="21"/>
                    </w:rPr>
                    <w:t>直流电源</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蓄电池接入模块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蓄电池接入模块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5</w:t>
                  </w:r>
                  <w:r>
                    <w:rPr>
                      <w:sz w:val="21"/>
                    </w:rPr>
                    <w:t>、精密空调监控</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精密空调监控模块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监控空调的运行状态（如：压缩机、风机、加热器、加湿器、去湿器、滤网），监测空调运行时各参数（如：回风温湿度、送风温湿度、温湿度的高低报警值、压缩机运行时间）等</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6</w:t>
                  </w:r>
                  <w:r>
                    <w:rPr>
                      <w:sz w:val="21"/>
                    </w:rPr>
                    <w:t>、安保监控</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红外微波三鉴控测器</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红外微波三鉴控测器</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7</w:t>
                  </w:r>
                  <w:r>
                    <w:rPr>
                      <w:sz w:val="21"/>
                    </w:rPr>
                    <w:t>、供配电监控</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智能电量检测仪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嵌入式系统，具备三相电流、三相电压和有功功率无功功率等测量功能。FCS架构，RS485通讯接口，具有液晶显示，现场配置、调试方便，可远程维护，修改配置</w:t>
                  </w:r>
                </w:p>
              </w:tc>
              <w:tc>
                <w:tcPr>
                  <w:tcW w:type="dxa" w:w="7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交流互感器</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配电主干线路电流互感器，多种量程、变比可选，测量误差&lt;±1%，适用于配电主干线路</w:t>
                  </w:r>
                </w:p>
              </w:tc>
              <w:tc>
                <w:tcPr>
                  <w:tcW w:type="dxa" w:w="758"/>
                  <w:vMerge/>
                  <w:tcBorders>
                    <w:top w:val="none" w:color="000000" w:sz="4"/>
                    <w:left w:val="none" w:color="000000" w:sz="4"/>
                    <w:bottom w:val="single" w:color="000000" w:sz="4"/>
                    <w:right w:val="single" w:color="000000" w:sz="4"/>
                  </w:tcBorders>
                </w:tcP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空气检测仪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嵌入式系统，具备较高的电器隔离度，能检测≥8路开关的状态。RS485通讯接口，具有液晶显示，现场设置调试方便，可远程维护，修改配置</w:t>
                  </w:r>
                </w:p>
              </w:tc>
              <w:tc>
                <w:tcPr>
                  <w:tcW w:type="dxa" w:w="758"/>
                  <w:vMerge/>
                  <w:tcBorders>
                    <w:top w:val="none" w:color="000000" w:sz="4"/>
                    <w:left w:val="none" w:color="000000" w:sz="4"/>
                    <w:bottom w:val="single" w:color="000000" w:sz="4"/>
                    <w:right w:val="single" w:color="000000" w:sz="4"/>
                  </w:tcBorders>
                </w:tcPr>
                <w:p/>
              </w:tc>
            </w:tr>
            <w:tr>
              <w:tc>
                <w:tcPr>
                  <w:tcW w:type="dxa" w:w="4841"/>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rPr>
                    <w:t>备注：1路市电3相4线制电压、电流、频率、功率因素及配电空开监控</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8</w:t>
                  </w:r>
                  <w:r>
                    <w:rPr>
                      <w:sz w:val="21"/>
                    </w:rPr>
                    <w:t>、门禁监控</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指纹密码一体机</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指纹密码一体机</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出门按钮</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出门按钮</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ID</w:t>
                  </w:r>
                  <w:r>
                    <w:rPr>
                      <w:sz w:val="21"/>
                    </w:rPr>
                    <w:t>卡</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张</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ID</w:t>
                  </w:r>
                  <w:r>
                    <w:rPr>
                      <w:sz w:val="21"/>
                    </w:rPr>
                    <w:t>卡</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电磁锁</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把</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电磁锁</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12V</w:t>
                  </w:r>
                  <w:r>
                    <w:rPr>
                      <w:sz w:val="21"/>
                    </w:rPr>
                    <w:t>电源箱</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12V</w:t>
                  </w:r>
                  <w:r>
                    <w:rPr>
                      <w:sz w:val="21"/>
                    </w:rPr>
                    <w:t>电源箱</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9</w:t>
                  </w:r>
                  <w:r>
                    <w:rPr>
                      <w:sz w:val="21"/>
                    </w:rPr>
                    <w:t>、消防监控</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光电烟感</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光电烟感</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通用输入输出模块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8</w:t>
                  </w:r>
                  <w:r>
                    <w:rPr>
                      <w:sz w:val="21"/>
                    </w:rPr>
                    <w:t>路DI接入，2路DO输出</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10</w:t>
                  </w:r>
                  <w:r>
                    <w:rPr>
                      <w:sz w:val="21"/>
                    </w:rPr>
                    <w:t>、监控硬件主机</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集中监控管理主机</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≥2</w:t>
                  </w:r>
                  <w:r>
                    <w:rPr>
                      <w:sz w:val="21"/>
                    </w:rPr>
                    <w:t>路IP网络接口，10/100M自适应，链路冗余备份，同时可以设置不同的网络权限。8路开关量输入接口。≥8路模拟量输入接口。≥4路继电器输出接口，可实现联动告警输出，灯光控制等等。≥4路空调控制接口，可以实现≥4台普通空调的自动开关控制及轮转调度功能。≥1路门禁控制。≥2路RS485总线接口，适配多种485总线模块，最多可接≥64路485总线模块。最多≥8路智能设备监控接口，可以监控精密空调，UPS等智能设备。≥1路RS232调试接口，对设备进行固件维护或者厂家调试。具有TF卡（microSD）接口，SD卡支持最大≥32G容量。具备实时时钟功能。支持TF卡维护、U盘维护以及网络远程维护。</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短信报警模块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报警模块</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声光警号</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声光警号</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管线</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批</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接入交换机</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利旧</w:t>
                  </w:r>
                </w:p>
              </w:tc>
            </w:tr>
            <w:tr>
              <w:tc>
                <w:tcPr>
                  <w:tcW w:type="dxa" w:w="5599"/>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11</w:t>
                  </w:r>
                  <w:r>
                    <w:rPr>
                      <w:sz w:val="21"/>
                    </w:rPr>
                    <w:t>、监控平台软件</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网络监控管理软件</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9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C/S</w:t>
                  </w:r>
                  <w:r>
                    <w:rPr>
                      <w:sz w:val="21"/>
                    </w:rPr>
                    <w:t>、B/S双架构，支持多客户端同时登录，多用户且用户数无限制；支持任意监控量联动条件设置自动控制，多条件任意组合；3D组态图显示，机房实时状态动态显示；集成在线地图、门禁管理、视频管理，远程云台控制，录像等功能一应俱全；灵活全面的查询统计，生成各种曲线、饼图等报表，随意导出为PDF、Word、Excel等多种格式或直接打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pPr>
            <w:r>
              <w:rPr>
                <w:sz w:val="21"/>
                <w:b/>
              </w:rPr>
              <w:t>1.1.6.UPS</w:t>
            </w:r>
            <w:r>
              <w:rPr>
                <w:sz w:val="21"/>
                <w:b/>
              </w:rPr>
              <w:t>蓄电池租赁</w:t>
            </w:r>
          </w:p>
          <w:p>
            <w:pPr>
              <w:pStyle w:val="null3"/>
              <w:ind w:firstLine="420"/>
              <w:jc w:val="both"/>
            </w:pPr>
            <w:r>
              <w:rPr>
                <w:sz w:val="21"/>
              </w:rPr>
              <w:t>本次需要进行更换2台UPS（施耐德Galaxy5000120KVA）每台主机配套蓄电池共256节，租赁期为一年，设备清单一览表：</w:t>
            </w:r>
          </w:p>
          <w:tbl>
            <w:tblPr>
              <w:tblBorders>
                <w:top w:val="none" w:color="000000" w:sz="4"/>
                <w:left w:val="none" w:color="000000" w:sz="4"/>
                <w:bottom w:val="none" w:color="000000" w:sz="4"/>
                <w:right w:val="none" w:color="000000" w:sz="4"/>
                <w:insideH w:val="none"/>
                <w:insideV w:val="none"/>
              </w:tblBorders>
            </w:tblPr>
            <w:tblGrid>
              <w:gridCol w:w="1018"/>
              <w:gridCol w:w="1866"/>
              <w:gridCol w:w="1583"/>
              <w:gridCol w:w="1131"/>
            </w:tblGrid>
            <w:tr>
              <w:tc>
                <w:tcPr>
                  <w:tcW w:type="dxa" w:w="101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设备类别与名称</w:t>
                  </w:r>
                </w:p>
              </w:tc>
              <w:tc>
                <w:tcPr>
                  <w:tcW w:type="dxa" w:w="158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设备规格</w:t>
                  </w:r>
                </w:p>
              </w:tc>
              <w:tc>
                <w:tcPr>
                  <w:tcW w:type="dxa" w:w="113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数量</w:t>
                  </w:r>
                </w:p>
              </w:tc>
            </w:tr>
            <w:tr>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铅酸蓄电池</w:t>
                  </w:r>
                </w:p>
              </w:tc>
              <w:tc>
                <w:tcPr>
                  <w:tcW w:type="dxa" w:w="1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100Ah-12V</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256</w:t>
                  </w:r>
                </w:p>
              </w:tc>
            </w:tr>
          </w:tbl>
          <w:p>
            <w:pPr>
              <w:pStyle w:val="null3"/>
            </w:pPr>
            <w:r>
              <w:rPr>
                <w:sz w:val="24"/>
                <w:b/>
              </w:rPr>
              <w:t>1.2.</w:t>
            </w:r>
            <w:r>
              <w:rPr>
                <w:sz w:val="24"/>
                <w:b/>
              </w:rPr>
              <w:t>成品软件租赁服务</w:t>
            </w:r>
          </w:p>
          <w:p>
            <w:pPr>
              <w:pStyle w:val="null3"/>
            </w:pPr>
            <w:r>
              <w:rPr>
                <w:sz w:val="24"/>
                <w:b/>
              </w:rPr>
              <w:t>1.2.1.NBU</w:t>
            </w:r>
            <w:r>
              <w:rPr>
                <w:sz w:val="24"/>
                <w:b/>
              </w:rPr>
              <w:t>备份软件维保</w:t>
            </w:r>
          </w:p>
          <w:p>
            <w:pPr>
              <w:pStyle w:val="null3"/>
              <w:ind w:firstLine="420"/>
            </w:pPr>
            <w:r>
              <w:rPr>
                <w:sz w:val="24"/>
              </w:rPr>
              <w:t>由服务商提供对NBU备份软件的维保服务，包括：</w:t>
            </w:r>
          </w:p>
          <w:p>
            <w:pPr>
              <w:pStyle w:val="null3"/>
              <w:ind w:firstLine="420"/>
            </w:pPr>
            <w:r>
              <w:rPr>
                <w:sz w:val="24"/>
              </w:rPr>
              <w:t>1.</w:t>
            </w:r>
            <w:r>
              <w:rPr>
                <w:sz w:val="24"/>
              </w:rPr>
              <w:t>定期巡检</w:t>
            </w:r>
          </w:p>
          <w:p>
            <w:pPr>
              <w:pStyle w:val="null3"/>
              <w:ind w:firstLine="420"/>
            </w:pPr>
            <w:r>
              <w:rPr>
                <w:sz w:val="24"/>
              </w:rPr>
              <w:t>定期对备份系统进行健康检查，及时发现系统中的故障及安全隐患，并对巡检数据进行分析。</w:t>
            </w:r>
          </w:p>
          <w:p>
            <w:pPr>
              <w:pStyle w:val="null3"/>
              <w:ind w:firstLine="420"/>
            </w:pPr>
            <w:r>
              <w:rPr>
                <w:sz w:val="24"/>
              </w:rPr>
              <w:t>2.</w:t>
            </w:r>
            <w:r>
              <w:rPr>
                <w:sz w:val="24"/>
              </w:rPr>
              <w:t>远程故障处理</w:t>
            </w:r>
          </w:p>
          <w:p>
            <w:pPr>
              <w:pStyle w:val="null3"/>
              <w:ind w:firstLine="420"/>
            </w:pPr>
            <w:r>
              <w:rPr>
                <w:sz w:val="24"/>
              </w:rPr>
              <w:t>系统出现故障时，提供VPN/QQ等方式远程接入、电话技术支持、邮件支持等方式提供远程故障处理服务。</w:t>
            </w:r>
          </w:p>
          <w:p>
            <w:pPr>
              <w:pStyle w:val="null3"/>
              <w:ind w:firstLine="420"/>
            </w:pPr>
            <w:r>
              <w:rPr>
                <w:sz w:val="24"/>
              </w:rPr>
              <w:t>3.</w:t>
            </w:r>
            <w:r>
              <w:rPr>
                <w:sz w:val="24"/>
              </w:rPr>
              <w:t>现场故障处理</w:t>
            </w:r>
          </w:p>
          <w:p>
            <w:pPr>
              <w:pStyle w:val="null3"/>
              <w:ind w:firstLine="420"/>
            </w:pPr>
            <w:r>
              <w:rPr>
                <w:sz w:val="24"/>
              </w:rPr>
              <w:t>备份系统出现重大故障或业务系统发生故障需要进行紧急恢复时，可提供现场技术支持，及时完成故障处理，确保业务数据安全。</w:t>
            </w:r>
          </w:p>
          <w:p>
            <w:pPr>
              <w:pStyle w:val="null3"/>
              <w:ind w:firstLine="420"/>
            </w:pPr>
            <w:r>
              <w:rPr>
                <w:sz w:val="24"/>
              </w:rPr>
              <w:t>4.</w:t>
            </w:r>
            <w:r>
              <w:rPr>
                <w:sz w:val="24"/>
              </w:rPr>
              <w:t>数据验证及恢复演练</w:t>
            </w:r>
          </w:p>
          <w:p>
            <w:pPr>
              <w:pStyle w:val="null3"/>
              <w:ind w:firstLine="420"/>
            </w:pPr>
            <w:r>
              <w:rPr>
                <w:sz w:val="24"/>
              </w:rPr>
              <w:t>对磁带进行可读性测试，验证磁带上备份数据是否还可以正常读取，对部分关键业务数据进行恢复测试，确保备份数据的有效性。</w:t>
            </w:r>
          </w:p>
          <w:p>
            <w:pPr>
              <w:pStyle w:val="null3"/>
              <w:ind w:firstLine="420"/>
            </w:pPr>
            <w:r>
              <w:rPr>
                <w:sz w:val="24"/>
              </w:rPr>
              <w:t>5.</w:t>
            </w:r>
            <w:r>
              <w:rPr>
                <w:sz w:val="24"/>
              </w:rPr>
              <w:t>系统优化建议</w:t>
            </w:r>
          </w:p>
          <w:p>
            <w:pPr>
              <w:pStyle w:val="null3"/>
              <w:ind w:firstLine="420"/>
            </w:pPr>
            <w:r>
              <w:rPr>
                <w:sz w:val="24"/>
              </w:rPr>
              <w:t>根据运维过程对备份系统提出优化改进建议，包括现状信息梳理分析，按需提供优化建议方案。</w:t>
            </w:r>
          </w:p>
          <w:p>
            <w:pPr>
              <w:pStyle w:val="null3"/>
              <w:ind w:firstLine="420"/>
            </w:pPr>
            <w:r>
              <w:rPr>
                <w:sz w:val="24"/>
              </w:rPr>
              <w:t>6.</w:t>
            </w:r>
            <w:r>
              <w:rPr>
                <w:sz w:val="24"/>
              </w:rPr>
              <w:t>备份策略梳理</w:t>
            </w:r>
          </w:p>
          <w:p>
            <w:pPr>
              <w:pStyle w:val="null3"/>
              <w:ind w:firstLine="420"/>
            </w:pPr>
            <w:r>
              <w:rPr>
                <w:sz w:val="24"/>
              </w:rPr>
              <w:t>对业务系统的备份需求进行梳理，防止业务系统变更后备份策略未及时更新，并确保无效备份策略及时删除，每半年一次。</w:t>
            </w:r>
          </w:p>
          <w:p>
            <w:pPr>
              <w:pStyle w:val="null3"/>
            </w:pPr>
            <w:r>
              <w:rPr>
                <w:sz w:val="24"/>
                <w:b/>
              </w:rPr>
              <w:t>1.3.</w:t>
            </w:r>
            <w:r>
              <w:rPr>
                <w:sz w:val="24"/>
                <w:b/>
              </w:rPr>
              <w:t>基础设施运行维护服务</w:t>
            </w:r>
          </w:p>
          <w:p>
            <w:pPr>
              <w:pStyle w:val="null3"/>
            </w:pPr>
            <w:r>
              <w:rPr>
                <w:sz w:val="24"/>
                <w:b/>
              </w:rPr>
              <w:t>1.3.1.</w:t>
            </w:r>
            <w:r>
              <w:rPr>
                <w:sz w:val="24"/>
                <w:b/>
              </w:rPr>
              <w:t>基础设施运行维护服务内容</w:t>
            </w:r>
          </w:p>
          <w:p>
            <w:pPr>
              <w:pStyle w:val="null3"/>
            </w:pPr>
            <w:r>
              <w:rPr>
                <w:sz w:val="24"/>
                <w:b/>
              </w:rPr>
              <w:t>1.3.1.1</w:t>
            </w:r>
            <w:r>
              <w:rPr>
                <w:sz w:val="24"/>
                <w:b/>
              </w:rPr>
              <w:t>省市场监管局网络主机运维服务</w:t>
            </w:r>
          </w:p>
          <w:p>
            <w:pPr>
              <w:pStyle w:val="null3"/>
              <w:ind w:firstLine="420"/>
            </w:pPr>
            <w:r>
              <w:rPr>
                <w:sz w:val="24"/>
              </w:rPr>
              <w:t>本项目主要涉及体育西办公区及黄埔大道西办公区的运维服务。</w:t>
            </w:r>
          </w:p>
          <w:p>
            <w:pPr>
              <w:pStyle w:val="null3"/>
              <w:ind w:firstLine="420"/>
            </w:pPr>
            <w:r>
              <w:rPr>
                <w:sz w:val="24"/>
              </w:rPr>
              <w:t>一、体育西办公区</w:t>
            </w:r>
          </w:p>
          <w:p>
            <w:pPr>
              <w:pStyle w:val="null3"/>
              <w:ind w:firstLine="420"/>
            </w:pPr>
            <w:r>
              <w:rPr>
                <w:sz w:val="24"/>
              </w:rPr>
              <w:t>1</w:t>
            </w:r>
            <w:r>
              <w:rPr>
                <w:sz w:val="24"/>
              </w:rPr>
              <w:t>、基础设施运行维护服务</w:t>
            </w:r>
          </w:p>
          <w:p>
            <w:pPr>
              <w:pStyle w:val="null3"/>
              <w:ind w:firstLine="420"/>
            </w:pPr>
            <w:r>
              <w:rPr>
                <w:sz w:val="24"/>
              </w:rPr>
              <w:t>1.1</w:t>
            </w:r>
            <w:r>
              <w:rPr>
                <w:sz w:val="24"/>
              </w:rPr>
              <w:t>机房环境运维</w:t>
            </w:r>
          </w:p>
          <w:p>
            <w:pPr>
              <w:pStyle w:val="null3"/>
              <w:ind w:firstLine="420"/>
            </w:pPr>
            <w:r>
              <w:rPr>
                <w:sz w:val="24"/>
              </w:rPr>
              <w:t>（1）例行巡检</w:t>
            </w:r>
          </w:p>
          <w:p>
            <w:pPr>
              <w:pStyle w:val="null3"/>
              <w:ind w:firstLine="420"/>
            </w:pPr>
            <w:r>
              <w:rPr>
                <w:sz w:val="24"/>
              </w:rPr>
              <w:t>要求对广东省市场监管局（体育西办公区）机房的机房环境设施提供定期巡检服务。制定例行巡检方案，针对性能容量、可用性、可连续性、可管理性等方面设定巡检项，合理安排巡检计划。争取在造成业务故障前，通过检查分析，提前发现机房环境设施的故障异常、设备告警、潜在问题、安全隐患等，并及时作出适当的处置，保障设施运行状况良好，防止故障发生，降低业务故障风险与负面影响，确保机房能够7×24小时正常运行。巡检过完应出具相应的巡检报告。</w:t>
            </w:r>
          </w:p>
          <w:p>
            <w:pPr>
              <w:pStyle w:val="null3"/>
              <w:ind w:firstLine="420"/>
            </w:pPr>
            <w:r>
              <w:rPr>
                <w:sz w:val="24"/>
              </w:rPr>
              <w:t>巡检对象包括但不限于机房配电、UPS及蓄电池、机房空调、安防监控、机柜和PDU、KVM系统等。同时利用已有监控系统，按照标准规范要求进行监控操作，密切注意机房环境设施情况。检查过程中同步记录运行数据，如若发现任何异常情况应即时进行登记，及时通知相关人员进行处理并跟进处理情况，定期形成巡检报告。</w:t>
            </w:r>
          </w:p>
          <w:p>
            <w:pPr>
              <w:pStyle w:val="null3"/>
              <w:ind w:firstLine="420"/>
            </w:pPr>
            <w:r>
              <w:rPr>
                <w:sz w:val="24"/>
              </w:rPr>
              <w:t>日常维护</w:t>
            </w:r>
          </w:p>
          <w:p>
            <w:pPr>
              <w:pStyle w:val="null3"/>
              <w:ind w:firstLine="420"/>
            </w:pPr>
            <w:r>
              <w:rPr>
                <w:sz w:val="24"/>
              </w:rPr>
              <w:t>要求对广东省市场监管局（体育西办公区）机房的机房环境设施提供日常维护服务。制定日常维护方案，针对设施外观、标签标识、资产管理、业务保障等方面设定维护项，合理安排维护计划。在机房环境设施的正常运行过程中，周期性开展常规维护保养工作，消除故障异常、设备告警、存在问题、安全隐患等，保障设施运行状况良好，防止故障发生，降低业务故障风险与负面影响，确保机房能够7×24小时正常运行。</w:t>
            </w:r>
          </w:p>
          <w:p>
            <w:pPr>
              <w:pStyle w:val="null3"/>
              <w:ind w:firstLine="420"/>
            </w:pPr>
            <w:r>
              <w:rPr>
                <w:sz w:val="24"/>
              </w:rPr>
              <w:t>维护对象包括但不限于机房装修、配电、UPS及蓄电池、空调及新排风、安防监控、机柜和PDU、KVM系统等。</w:t>
            </w:r>
          </w:p>
          <w:p>
            <w:pPr>
              <w:pStyle w:val="null3"/>
              <w:ind w:firstLine="420"/>
            </w:pPr>
            <w:r>
              <w:rPr>
                <w:sz w:val="24"/>
              </w:rPr>
              <w:t>（2）响应支持</w:t>
            </w:r>
          </w:p>
          <w:p>
            <w:pPr>
              <w:pStyle w:val="null3"/>
              <w:ind w:firstLine="420"/>
            </w:pPr>
            <w:r>
              <w:rPr>
                <w:sz w:val="24"/>
              </w:rPr>
              <w:t>要求对广东省市场监管局（体育西办公区）机房的机房环境设施提供响应支持服务。提供统一的服务热线电话，针对日常咨询、故障问题、专项任务、数据统计、服务投诉等服务请求进行统一登记，服务热线根据事件的性质、类别、等级进行判断，分派相关人员进行处理，并对事件处理全流程进行跟踪监督，确保服务请求得到及时的响应与处理。在服务热线电话发生故障情况下，提供便捷的备用联系渠道。</w:t>
            </w:r>
          </w:p>
          <w:p>
            <w:pPr>
              <w:pStyle w:val="null3"/>
              <w:ind w:firstLine="420"/>
            </w:pPr>
            <w:r>
              <w:rPr>
                <w:sz w:val="24"/>
              </w:rPr>
              <w:t>（3）故障处理</w:t>
            </w:r>
          </w:p>
          <w:p>
            <w:pPr>
              <w:pStyle w:val="null3"/>
              <w:ind w:firstLine="420"/>
            </w:pPr>
            <w:r>
              <w:rPr>
                <w:sz w:val="24"/>
              </w:rPr>
              <w:t>要求对广东省市场监管局中心机房的机房基础环境提供故障处理服务。当发生故障时，按照故障定级和处理流程，及时响应，快速抢通故障点，尽早恢复业务，将故障对业务所造成的负面影响降到最低。在处理完毕后清理现场,提供故障处理简报。</w:t>
            </w:r>
          </w:p>
          <w:p>
            <w:pPr>
              <w:pStyle w:val="null3"/>
              <w:ind w:firstLine="420"/>
            </w:pPr>
            <w:r>
              <w:rPr>
                <w:sz w:val="24"/>
              </w:rPr>
              <w:t>（4）机房管理</w:t>
            </w:r>
          </w:p>
          <w:p>
            <w:pPr>
              <w:pStyle w:val="null3"/>
              <w:ind w:firstLine="420"/>
            </w:pPr>
            <w:r>
              <w:rPr>
                <w:sz w:val="24"/>
              </w:rPr>
              <w:t>对出入机房的人员进行管理，记录机房出入人员、出入时间；</w:t>
            </w:r>
          </w:p>
          <w:p>
            <w:pPr>
              <w:pStyle w:val="null3"/>
              <w:ind w:firstLine="420"/>
            </w:pPr>
            <w:r>
              <w:rPr>
                <w:sz w:val="24"/>
              </w:rPr>
              <w:t>在设备上下架时提供相应的已分配资源，协助上架调试、对设备进行登记和管理；</w:t>
            </w:r>
          </w:p>
          <w:p>
            <w:pPr>
              <w:pStyle w:val="null3"/>
              <w:ind w:firstLine="420"/>
            </w:pPr>
            <w:r>
              <w:rPr>
                <w:sz w:val="24"/>
              </w:rPr>
              <w:t>对综合布线的分配与线缆的连接、编号等进行管理；</w:t>
            </w:r>
          </w:p>
          <w:p>
            <w:pPr>
              <w:pStyle w:val="null3"/>
              <w:ind w:firstLine="420"/>
            </w:pPr>
            <w:r>
              <w:rPr>
                <w:sz w:val="24"/>
              </w:rPr>
              <w:t>对机房空间、机架空间资源的分配、管理；</w:t>
            </w:r>
          </w:p>
          <w:p>
            <w:pPr>
              <w:pStyle w:val="null3"/>
              <w:ind w:firstLine="420"/>
            </w:pPr>
            <w:r>
              <w:rPr>
                <w:sz w:val="24"/>
              </w:rPr>
              <w:t>对接入交换机端口、路由器端口资源的分配以及VLAN资源的分配进行管理。</w:t>
            </w:r>
          </w:p>
          <w:p>
            <w:pPr>
              <w:pStyle w:val="null3"/>
              <w:ind w:firstLine="420"/>
            </w:pPr>
            <w:r>
              <w:rPr>
                <w:sz w:val="24"/>
              </w:rPr>
              <w:t>（5）重点保障</w:t>
            </w:r>
          </w:p>
          <w:p>
            <w:pPr>
              <w:pStyle w:val="null3"/>
              <w:ind w:firstLine="420"/>
            </w:pPr>
            <w:r>
              <w:rPr>
                <w:sz w:val="24"/>
              </w:rPr>
              <w:t>在国庆、两会期间等重要时刻点对机房环境按需进行巡检和值班保障。必要时执行7x24小时值班制度和领导带班制度，明确值班值守职责任务，同时保持通讯联络通畅，发生问题第一时间告知业主并及时处理。</w:t>
            </w:r>
          </w:p>
          <w:p>
            <w:pPr>
              <w:pStyle w:val="null3"/>
              <w:ind w:firstLine="420"/>
            </w:pPr>
            <w:r>
              <w:rPr>
                <w:sz w:val="24"/>
              </w:rPr>
              <w:t>（6）应急保障</w:t>
            </w:r>
          </w:p>
          <w:p>
            <w:pPr>
              <w:pStyle w:val="null3"/>
              <w:ind w:firstLine="420"/>
            </w:pPr>
            <w:r>
              <w:rPr>
                <w:sz w:val="24"/>
              </w:rPr>
              <w:t>制定机房失火、机房空调故障、市电供应中断、UPS电源故障等应急方案，并按需定期开展应急演练以及运维人员应急培训，防止出现较大事件时运维不及时、无效的情况发生。</w:t>
            </w:r>
          </w:p>
          <w:p>
            <w:pPr>
              <w:pStyle w:val="null3"/>
              <w:ind w:firstLine="420"/>
            </w:pPr>
            <w:r>
              <w:rPr>
                <w:sz w:val="24"/>
              </w:rPr>
              <w:t>1.2</w:t>
            </w:r>
            <w:r>
              <w:rPr>
                <w:sz w:val="24"/>
              </w:rPr>
              <w:t>硬件设备运维</w:t>
            </w:r>
          </w:p>
          <w:p>
            <w:pPr>
              <w:pStyle w:val="null3"/>
              <w:ind w:firstLine="420"/>
            </w:pPr>
            <w:r>
              <w:rPr>
                <w:sz w:val="24"/>
              </w:rPr>
              <w:t>（1）例行巡检</w:t>
            </w:r>
          </w:p>
          <w:p>
            <w:pPr>
              <w:pStyle w:val="null3"/>
              <w:ind w:firstLine="420"/>
            </w:pPr>
            <w:r>
              <w:rPr>
                <w:sz w:val="24"/>
              </w:rPr>
              <w:t>要求对广东省市场监管局（体育西办公区）的硬件设备提供定期巡检服务。制定例行巡检方案，针对性能容量、可用性、可连续性、可管理性等方面设定巡检项，合理安排巡检计划。争取在造成业务故障前，通过检查分析，提前发现机房硬件设备的故障异常、设备告警、潜在问题、安全隐患等，并及时做出适当的处置，保障设备运行状况良好，防止故障发生，降低业务故障风险与负面影响，确保设备能够7×24小时正常运行。巡检过完应出具相应的巡检报告。</w:t>
            </w:r>
          </w:p>
          <w:p>
            <w:pPr>
              <w:pStyle w:val="null3"/>
              <w:ind w:firstLine="420"/>
            </w:pPr>
            <w:r>
              <w:rPr>
                <w:sz w:val="24"/>
              </w:rPr>
              <w:t>包括但不限于定期对服务器、存储设备、网络设备、安全设备进行现场例行巡检。同时利用已有监控系统，按照标准规范要求进行监控操作，密切注意机房硬件设备情况。检查过程中同步记录运行数据，如若发现任何异常情况应即时进行登记，及时通知相关人员进行处理并跟进处理情况，定期形成巡检报告。</w:t>
            </w:r>
          </w:p>
          <w:p>
            <w:pPr>
              <w:pStyle w:val="null3"/>
              <w:ind w:firstLine="420"/>
            </w:pPr>
            <w:r>
              <w:rPr>
                <w:sz w:val="24"/>
              </w:rPr>
              <w:t>（2）日常维护</w:t>
            </w:r>
          </w:p>
          <w:p>
            <w:pPr>
              <w:pStyle w:val="null3"/>
              <w:ind w:firstLine="420"/>
            </w:pPr>
            <w:r>
              <w:rPr>
                <w:sz w:val="24"/>
              </w:rPr>
              <w:t>要求对广东省市场监管局（体育西办公区）的硬件设备提供日常维护服务。制定日常维护方案，针对设备外观、标签标识、资产管理、业务保障等方面设定维护项，合理安排维护计划。在机房硬件设备的正常运行过程中，周期性开展常规维护保养工作，消除故障异常、设备告警、存在问题、安全隐患等，保障设备运行状况良好，防止故障发生，降低业务故障风险与负面影响，确保设备能够7×24小时正常运行。</w:t>
            </w:r>
          </w:p>
          <w:p>
            <w:pPr>
              <w:pStyle w:val="null3"/>
              <w:ind w:firstLine="420"/>
            </w:pPr>
            <w:r>
              <w:rPr>
                <w:sz w:val="24"/>
              </w:rPr>
              <w:t>维护对象包括但不限于服务器、存储、网络设备、安全设备等。同时按照标准规范对机房硬件设备进行管理，定期形成机房硬件设备使用记录。</w:t>
            </w:r>
          </w:p>
          <w:p>
            <w:pPr>
              <w:pStyle w:val="null3"/>
              <w:ind w:firstLine="420"/>
            </w:pPr>
            <w:r>
              <w:rPr>
                <w:sz w:val="24"/>
              </w:rPr>
              <w:t>（3）响应支持</w:t>
            </w:r>
          </w:p>
          <w:p>
            <w:pPr>
              <w:pStyle w:val="null3"/>
              <w:ind w:firstLine="420"/>
            </w:pPr>
            <w:r>
              <w:rPr>
                <w:sz w:val="24"/>
              </w:rPr>
              <w:t>要求对广东省市场监管局（体育西办公区）的硬件设备提供响应支持服务。提供统一的服务热线电话，针对日常咨询、故障问题、专项任务、数据统计、服务投诉等服务请求进行统一登记，服务热线根据事件的性质、类别、等级进行判断，分派相关人员进行处理，并对事件处理全流程进行跟踪监督，确保服务请求得到及时的响应与处理。在服务热线电话发生故障情况下，提供便捷的备用联系渠道。</w:t>
            </w:r>
          </w:p>
          <w:p>
            <w:pPr>
              <w:pStyle w:val="null3"/>
              <w:ind w:firstLine="420"/>
            </w:pPr>
            <w:r>
              <w:rPr>
                <w:sz w:val="24"/>
              </w:rPr>
              <w:t>（4）故障处理</w:t>
            </w:r>
          </w:p>
          <w:p>
            <w:pPr>
              <w:pStyle w:val="null3"/>
              <w:ind w:firstLine="420"/>
            </w:pPr>
            <w:r>
              <w:rPr>
                <w:sz w:val="24"/>
              </w:rPr>
              <w:t>要求对广东省市场监管局（体育西办公区）的硬件设备提供故障处理服务。当发生故障时，按照故障定级和处理流程，及时响应，快速抢通故障点，尽早恢复业务，将故障对业务所造成的负面影响降到最低。在处理完毕后清理现场,提供故障处理简报。</w:t>
            </w:r>
          </w:p>
          <w:p>
            <w:pPr>
              <w:pStyle w:val="null3"/>
              <w:ind w:firstLine="420"/>
            </w:pPr>
            <w:r>
              <w:rPr>
                <w:sz w:val="24"/>
              </w:rPr>
              <w:t>1.3</w:t>
            </w:r>
            <w:r>
              <w:rPr>
                <w:sz w:val="24"/>
              </w:rPr>
              <w:t>网络运维</w:t>
            </w:r>
          </w:p>
          <w:p>
            <w:pPr>
              <w:pStyle w:val="null3"/>
              <w:ind w:firstLine="420"/>
            </w:pPr>
            <w:r>
              <w:rPr>
                <w:sz w:val="24"/>
              </w:rPr>
              <w:t>对广东省市场监管局（体育西办公区）的政务局域网（不涉密）进行运维，包括有线网络和无线WIFI网。定期进行网络设备配置备份、网络安全策略更新、网络优化及调整、网络安全应急响应等。</w:t>
            </w:r>
          </w:p>
          <w:p>
            <w:pPr>
              <w:pStyle w:val="null3"/>
              <w:ind w:firstLine="420"/>
            </w:pPr>
            <w:r>
              <w:rPr>
                <w:sz w:val="24"/>
              </w:rPr>
              <w:t>2</w:t>
            </w:r>
            <w:r>
              <w:rPr>
                <w:sz w:val="24"/>
              </w:rPr>
              <w:t>、相关软件系统运维服务</w:t>
            </w:r>
          </w:p>
          <w:p>
            <w:pPr>
              <w:pStyle w:val="null3"/>
              <w:ind w:firstLine="420"/>
            </w:pPr>
            <w:r>
              <w:rPr>
                <w:sz w:val="24"/>
              </w:rPr>
              <w:t>软件系统运维服务包括以下内容：</w:t>
            </w:r>
          </w:p>
          <w:p>
            <w:pPr>
              <w:pStyle w:val="null3"/>
              <w:ind w:firstLine="420"/>
            </w:pPr>
            <w:r>
              <w:rPr>
                <w:sz w:val="24"/>
              </w:rPr>
              <w:t>（1）例行巡检</w:t>
            </w:r>
          </w:p>
          <w:p>
            <w:pPr>
              <w:pStyle w:val="null3"/>
              <w:ind w:firstLine="420"/>
            </w:pPr>
            <w:r>
              <w:rPr>
                <w:sz w:val="24"/>
              </w:rPr>
              <w:t>要求对广东省市场监管局（体育西办公区）机房相关软件系统提供定期巡检服务。制定例行巡检方案，合理安排巡检计划。争取在发生故障前，通过检查分析，提前发现软件系统的故障异常、软件告警、潜在问题、安全隐患等，并及时做出适当的处置，保障软件系统运行状况良好，防止故障发生，确保软件系统能够正常运行。通过定期检查优化系统整体性能，发现系统漏洞及加固，提高系统安全性，定期更新系统及软件版本。巡检过完应出具相应的巡检报告。</w:t>
            </w:r>
          </w:p>
          <w:p>
            <w:pPr>
              <w:pStyle w:val="null3"/>
              <w:ind w:firstLine="420"/>
            </w:pPr>
            <w:r>
              <w:rPr>
                <w:sz w:val="24"/>
              </w:rPr>
              <w:t>（2）响应支持</w:t>
            </w:r>
          </w:p>
          <w:p>
            <w:pPr>
              <w:pStyle w:val="null3"/>
              <w:ind w:firstLine="420"/>
            </w:pPr>
            <w:r>
              <w:rPr>
                <w:sz w:val="24"/>
              </w:rPr>
              <w:t>要求对广东省市场监管局（体育西办公区）机房相关软件系统提供响应支持服务。提供统一的服务热线电话，针对日常咨询、故障问题、专项任务、数据统计、服务投诉等服务请求进行统一登记，服务热线根据事件的性质、类别、等级进行判断，分派相关人员进行处理，并对事件处理全流程进行跟踪监督，确保服务请求得到及时的响应与处理。在服务热线电话发生故障情况下，提供便捷的备用联系渠道。</w:t>
            </w:r>
          </w:p>
          <w:p>
            <w:pPr>
              <w:pStyle w:val="null3"/>
              <w:ind w:firstLine="420"/>
            </w:pPr>
            <w:r>
              <w:rPr>
                <w:sz w:val="24"/>
              </w:rPr>
              <w:t>（3）故障处理</w:t>
            </w:r>
          </w:p>
          <w:p>
            <w:pPr>
              <w:pStyle w:val="null3"/>
              <w:ind w:firstLine="420"/>
            </w:pPr>
            <w:r>
              <w:rPr>
                <w:sz w:val="24"/>
              </w:rPr>
              <w:t>要求对广东省市场监管局（体育西办公区）机房相关软件系统提供故障处理服务。当发生故障时，按照故障定级和处理流程，及时响应，快速抢通故障点，尽早恢复业务，将故障对业务所造成的负面影响降到最低。在处理完毕后清理现场，提供故障处理简报。</w:t>
            </w:r>
          </w:p>
          <w:p>
            <w:pPr>
              <w:pStyle w:val="null3"/>
              <w:ind w:firstLine="420"/>
            </w:pPr>
            <w:r>
              <w:rPr>
                <w:sz w:val="24"/>
              </w:rPr>
              <w:t>（4）系统管理</w:t>
            </w:r>
          </w:p>
          <w:p>
            <w:pPr>
              <w:pStyle w:val="null3"/>
              <w:ind w:firstLine="420"/>
            </w:pPr>
            <w:r>
              <w:rPr>
                <w:sz w:val="24"/>
              </w:rPr>
              <w:t>对广东省市场监管局（体育西办公区）相关软件系统提供系统上线管理服务，确保业务在上线前，相关的风险被整改，对应的备份策略已更新与实施，通过发布和变更管理流程实现业务安全合规地上线。同时对广东省市场监管局（体育西办公区）相关软件系统提供系统发布服务，主要是对系统运行所需IT资源进行调整与系统发布。</w:t>
            </w:r>
          </w:p>
          <w:p>
            <w:pPr>
              <w:pStyle w:val="null3"/>
              <w:ind w:firstLine="420"/>
            </w:pPr>
            <w:r>
              <w:rPr>
                <w:sz w:val="24"/>
              </w:rPr>
              <w:t>3</w:t>
            </w:r>
            <w:r>
              <w:rPr>
                <w:sz w:val="24"/>
              </w:rPr>
              <w:t>、全省网络运维</w:t>
            </w:r>
          </w:p>
          <w:p>
            <w:pPr>
              <w:pStyle w:val="null3"/>
              <w:ind w:firstLine="420"/>
            </w:pPr>
            <w:r>
              <w:rPr>
                <w:sz w:val="24"/>
              </w:rPr>
              <w:t>本项目需要一名资深的网络工程师进行驻场，提供关于全省市场监管系统的业务专网、电子政务外网等的网络连接运维，协助各地级市市场监管部门与采购人的网络连接和网络故障排除，以及业务专网、电子政务外网的现状调研、规划与优化等。</w:t>
            </w:r>
          </w:p>
          <w:p>
            <w:pPr>
              <w:pStyle w:val="null3"/>
              <w:ind w:firstLine="420"/>
            </w:pPr>
            <w:r>
              <w:rPr>
                <w:sz w:val="24"/>
              </w:rPr>
              <w:t>4</w:t>
            </w:r>
            <w:r>
              <w:rPr>
                <w:sz w:val="24"/>
              </w:rPr>
              <w:t>、运维服务设备清单</w:t>
            </w:r>
          </w:p>
          <w:p>
            <w:pPr>
              <w:pStyle w:val="null3"/>
              <w:ind w:firstLine="420"/>
            </w:pPr>
            <w:r>
              <w:rPr>
                <w:sz w:val="24"/>
              </w:rPr>
              <w:t>4.1</w:t>
            </w:r>
            <w:r>
              <w:rPr>
                <w:sz w:val="24"/>
              </w:rPr>
              <w:t>机房环境设备清单</w:t>
            </w:r>
          </w:p>
          <w:p>
            <w:pPr>
              <w:pStyle w:val="null3"/>
              <w:ind w:firstLine="420"/>
            </w:pPr>
            <w:r>
              <w:rPr>
                <w:sz w:val="24"/>
              </w:rPr>
              <w:t>为广东省市场监督管理局（体育西）的机房环境设施提供日常运维保障服务，主要包括UPS系统、空调通风系统、KVM系统、设备环境监控系统及设备和机柜等。</w:t>
            </w:r>
          </w:p>
          <w:tbl>
            <w:tblPr>
              <w:tblBorders>
                <w:top w:val="none" w:color="000000" w:sz="4"/>
                <w:left w:val="none" w:color="000000" w:sz="4"/>
                <w:bottom w:val="none" w:color="000000" w:sz="4"/>
                <w:right w:val="none" w:color="000000" w:sz="4"/>
                <w:insideH w:val="none"/>
                <w:insideV w:val="none"/>
              </w:tblBorders>
            </w:tblPr>
            <w:tblGrid>
              <w:gridCol w:w="1142"/>
              <w:gridCol w:w="2856"/>
              <w:gridCol w:w="1599"/>
            </w:tblGrid>
            <w:tr>
              <w:tc>
                <w:tcPr>
                  <w:tcW w:type="dxa" w:w="114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类别</w:t>
                  </w:r>
                </w:p>
              </w:tc>
              <w:tc>
                <w:tcPr>
                  <w:tcW w:type="dxa" w:w="28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项目</w:t>
                  </w:r>
                </w:p>
              </w:tc>
              <w:tc>
                <w:tcPr>
                  <w:tcW w:type="dxa" w:w="15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数量</w:t>
                  </w:r>
                  <w:r>
                    <w:rPr>
                      <w:sz w:val="21"/>
                      <w:b/>
                    </w:rPr>
                    <w:t>/</w:t>
                  </w:r>
                  <w:r>
                    <w:rPr>
                      <w:sz w:val="21"/>
                      <w:b/>
                    </w:rPr>
                    <w:t>项</w:t>
                  </w:r>
                </w:p>
              </w:tc>
            </w:tr>
            <w:tr>
              <w:tc>
                <w:tcPr>
                  <w:tcW w:type="dxa" w:w="11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机房环境设备</w:t>
                  </w:r>
                </w:p>
              </w:tc>
              <w:tc>
                <w:tcPr>
                  <w:tcW w:type="dxa" w:w="2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UPS</w:t>
                  </w:r>
                  <w:r>
                    <w:rPr>
                      <w:sz w:val="21"/>
                    </w:rPr>
                    <w:t>系统及其相关设备</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w:t>
                  </w:r>
                </w:p>
              </w:tc>
            </w:tr>
            <w:tr>
              <w:tc>
                <w:tcPr>
                  <w:tcW w:type="dxa" w:w="1142"/>
                  <w:vMerge/>
                  <w:tcBorders>
                    <w:top w:val="none" w:color="000000" w:sz="4"/>
                    <w:left w:val="single" w:color="000000" w:sz="4"/>
                    <w:bottom w:val="single" w:color="000000" w:sz="4"/>
                    <w:right w:val="single" w:color="000000" w:sz="4"/>
                  </w:tcBorders>
                </w:tcPr>
                <w:p/>
              </w:tc>
              <w:tc>
                <w:tcPr>
                  <w:tcW w:type="dxa" w:w="2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机房空调通风设备</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w:t>
                  </w:r>
                </w:p>
              </w:tc>
            </w:tr>
            <w:tr>
              <w:tc>
                <w:tcPr>
                  <w:tcW w:type="dxa" w:w="1142"/>
                  <w:vMerge/>
                  <w:tcBorders>
                    <w:top w:val="none" w:color="000000" w:sz="4"/>
                    <w:left w:val="single" w:color="000000" w:sz="4"/>
                    <w:bottom w:val="single" w:color="000000" w:sz="4"/>
                    <w:right w:val="single" w:color="000000" w:sz="4"/>
                  </w:tcBorders>
                </w:tcPr>
                <w:p/>
              </w:tc>
              <w:tc>
                <w:tcPr>
                  <w:tcW w:type="dxa" w:w="2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KVM</w:t>
                  </w:r>
                  <w:r>
                    <w:rPr>
                      <w:sz w:val="21"/>
                    </w:rPr>
                    <w:t>设备</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22</w:t>
                  </w:r>
                </w:p>
              </w:tc>
            </w:tr>
            <w:tr>
              <w:tc>
                <w:tcPr>
                  <w:tcW w:type="dxa" w:w="1142"/>
                  <w:vMerge/>
                  <w:tcBorders>
                    <w:top w:val="none" w:color="000000" w:sz="4"/>
                    <w:left w:val="single" w:color="000000" w:sz="4"/>
                    <w:bottom w:val="single" w:color="000000" w:sz="4"/>
                    <w:right w:val="single" w:color="000000" w:sz="4"/>
                  </w:tcBorders>
                </w:tcPr>
                <w:p/>
              </w:tc>
              <w:tc>
                <w:tcPr>
                  <w:tcW w:type="dxa" w:w="2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环境监控系统及设备</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r>
            <w:tr>
              <w:tc>
                <w:tcPr>
                  <w:tcW w:type="dxa" w:w="1142"/>
                  <w:vMerge/>
                  <w:tcBorders>
                    <w:top w:val="none" w:color="000000" w:sz="4"/>
                    <w:left w:val="single" w:color="000000" w:sz="4"/>
                    <w:bottom w:val="single" w:color="000000" w:sz="4"/>
                    <w:right w:val="single" w:color="000000" w:sz="4"/>
                  </w:tcBorders>
                </w:tcPr>
                <w:p/>
              </w:tc>
              <w:tc>
                <w:tcPr>
                  <w:tcW w:type="dxa" w:w="2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机柜</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55</w:t>
                  </w:r>
                </w:p>
              </w:tc>
            </w:tr>
            <w:tr>
              <w:tc>
                <w:tcPr>
                  <w:tcW w:type="dxa" w:w="1142"/>
                  <w:vMerge/>
                  <w:tcBorders>
                    <w:top w:val="none" w:color="000000" w:sz="4"/>
                    <w:left w:val="single" w:color="000000" w:sz="4"/>
                    <w:bottom w:val="single" w:color="000000" w:sz="4"/>
                    <w:right w:val="single" w:color="000000" w:sz="4"/>
                  </w:tcBorders>
                </w:tcPr>
                <w:p/>
              </w:tc>
              <w:tc>
                <w:tcPr>
                  <w:tcW w:type="dxa" w:w="2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UPS</w:t>
                  </w:r>
                  <w:r>
                    <w:rPr>
                      <w:sz w:val="21"/>
                    </w:rPr>
                    <w:t>蓄电池</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256</w:t>
                  </w:r>
                </w:p>
              </w:tc>
            </w:tr>
            <w:tr>
              <w:tc>
                <w:tcPr>
                  <w:tcW w:type="dxa" w:w="3998"/>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合计</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361</w:t>
                  </w:r>
                </w:p>
              </w:tc>
            </w:tr>
          </w:tbl>
          <w:p>
            <w:pPr>
              <w:pStyle w:val="null3"/>
              <w:ind w:firstLine="420"/>
            </w:pPr>
            <w:r>
              <w:rPr>
                <w:sz w:val="24"/>
              </w:rPr>
              <w:t>4.2</w:t>
            </w:r>
            <w:r>
              <w:rPr>
                <w:sz w:val="24"/>
              </w:rPr>
              <w:t>机房硬件设备清单</w:t>
            </w:r>
          </w:p>
          <w:p>
            <w:pPr>
              <w:pStyle w:val="null3"/>
              <w:ind w:firstLine="420"/>
            </w:pPr>
            <w:r>
              <w:rPr>
                <w:sz w:val="24"/>
              </w:rPr>
              <w:t>为广东省市场监督管理局硬件设备提供日常运维保障服务，主要包括服务器、网络设备、安全设备、存储设备等。</w:t>
            </w:r>
          </w:p>
          <w:tbl>
            <w:tblPr>
              <w:tblBorders>
                <w:top w:val="none" w:color="000000" w:sz="4"/>
                <w:left w:val="none" w:color="000000" w:sz="4"/>
                <w:bottom w:val="none" w:color="000000" w:sz="4"/>
                <w:right w:val="none" w:color="000000" w:sz="4"/>
                <w:insideH w:val="none"/>
                <w:insideV w:val="none"/>
              </w:tblBorders>
            </w:tblPr>
            <w:tblGrid>
              <w:gridCol w:w="1142"/>
              <w:gridCol w:w="2399"/>
              <w:gridCol w:w="1142"/>
              <w:gridCol w:w="914"/>
            </w:tblGrid>
            <w:tr>
              <w:tc>
                <w:tcPr>
                  <w:tcW w:type="dxa" w:w="114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类别</w:t>
                  </w:r>
                </w:p>
              </w:tc>
              <w:tc>
                <w:tcPr>
                  <w:tcW w:type="dxa" w:w="23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项目</w:t>
                  </w:r>
                </w:p>
              </w:tc>
              <w:tc>
                <w:tcPr>
                  <w:tcW w:type="dxa" w:w="11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数量</w:t>
                  </w:r>
                  <w:r>
                    <w:rPr>
                      <w:sz w:val="21"/>
                      <w:b/>
                    </w:rPr>
                    <w:t>/</w:t>
                  </w:r>
                  <w:r>
                    <w:rPr>
                      <w:sz w:val="21"/>
                      <w:b/>
                    </w:rPr>
                    <w:t>台</w:t>
                  </w:r>
                </w:p>
              </w:tc>
              <w:tc>
                <w:tcPr>
                  <w:tcW w:type="dxa" w:w="9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备注</w:t>
                  </w:r>
                </w:p>
              </w:tc>
            </w:tr>
            <w:tr>
              <w:tc>
                <w:tcPr>
                  <w:tcW w:type="dxa" w:w="11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硬件设备</w:t>
                  </w: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服务器设备</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88</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142"/>
                  <w:vMerge/>
                  <w:tcBorders>
                    <w:top w:val="none" w:color="000000" w:sz="4"/>
                    <w:left w:val="single" w:color="000000" w:sz="4"/>
                    <w:bottom w:val="single" w:color="000000" w:sz="4"/>
                    <w:right w:val="single" w:color="000000" w:sz="4"/>
                  </w:tcBorders>
                </w:tcP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存储设备</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26</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142"/>
                  <w:vMerge/>
                  <w:tcBorders>
                    <w:top w:val="none" w:color="000000" w:sz="4"/>
                    <w:left w:val="single" w:color="000000" w:sz="4"/>
                    <w:bottom w:val="single" w:color="000000" w:sz="4"/>
                    <w:right w:val="single" w:color="000000" w:sz="4"/>
                  </w:tcBorders>
                </w:tcP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安全设备</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21</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142"/>
                  <w:vMerge/>
                  <w:tcBorders>
                    <w:top w:val="none" w:color="000000" w:sz="4"/>
                    <w:left w:val="single" w:color="000000" w:sz="4"/>
                    <w:bottom w:val="single" w:color="000000" w:sz="4"/>
                    <w:right w:val="single" w:color="000000" w:sz="4"/>
                  </w:tcBorders>
                </w:tcP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网络设备</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71</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142"/>
                  <w:vMerge/>
                  <w:tcBorders>
                    <w:top w:val="none" w:color="000000" w:sz="4"/>
                    <w:left w:val="single" w:color="000000" w:sz="4"/>
                    <w:bottom w:val="single" w:color="000000" w:sz="4"/>
                    <w:right w:val="single" w:color="000000" w:sz="4"/>
                  </w:tcBorders>
                </w:tcP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服务器硬盘配件</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142"/>
                  <w:vMerge/>
                  <w:tcBorders>
                    <w:top w:val="none" w:color="000000" w:sz="4"/>
                    <w:left w:val="single" w:color="000000" w:sz="4"/>
                    <w:bottom w:val="single" w:color="000000" w:sz="4"/>
                    <w:right w:val="single" w:color="000000" w:sz="4"/>
                  </w:tcBorders>
                </w:tcP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服务器内存配件</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142"/>
                  <w:vMerge/>
                  <w:tcBorders>
                    <w:top w:val="none" w:color="000000" w:sz="4"/>
                    <w:left w:val="single" w:color="000000" w:sz="4"/>
                    <w:bottom w:val="single" w:color="000000" w:sz="4"/>
                    <w:right w:val="single" w:color="000000" w:sz="4"/>
                  </w:tcBorders>
                </w:tcP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室分无线</w:t>
                  </w:r>
                  <w:r>
                    <w:rPr>
                      <w:sz w:val="21"/>
                    </w:rPr>
                    <w:t>AP</w:t>
                  </w:r>
                  <w:r>
                    <w:rPr>
                      <w:sz w:val="21"/>
                    </w:rPr>
                    <w:t>、终端接入设备</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541"/>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合计</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209</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pPr>
            <w:r>
              <w:rPr>
                <w:sz w:val="24"/>
              </w:rPr>
              <w:t>4.3</w:t>
            </w:r>
            <w:r>
              <w:rPr>
                <w:sz w:val="24"/>
              </w:rPr>
              <w:t>机房相关软件系统清单</w:t>
            </w:r>
          </w:p>
          <w:tbl>
            <w:tblPr>
              <w:tblBorders>
                <w:top w:val="none" w:color="000000" w:sz="4"/>
                <w:left w:val="none" w:color="000000" w:sz="4"/>
                <w:bottom w:val="none" w:color="000000" w:sz="4"/>
                <w:right w:val="none" w:color="000000" w:sz="4"/>
                <w:insideH w:val="none"/>
                <w:insideV w:val="none"/>
              </w:tblBorders>
            </w:tblPr>
            <w:tblGrid>
              <w:gridCol w:w="1558"/>
              <w:gridCol w:w="2308"/>
              <w:gridCol w:w="1039"/>
              <w:gridCol w:w="693"/>
            </w:tblGrid>
            <w:tr>
              <w:tc>
                <w:tcPr>
                  <w:tcW w:type="dxa" w:w="155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类别</w:t>
                  </w:r>
                </w:p>
              </w:tc>
              <w:tc>
                <w:tcPr>
                  <w:tcW w:type="dxa" w:w="230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项目</w:t>
                  </w:r>
                </w:p>
              </w:tc>
              <w:tc>
                <w:tcPr>
                  <w:tcW w:type="dxa" w:w="103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数量</w:t>
                  </w:r>
                  <w:r>
                    <w:rPr>
                      <w:sz w:val="21"/>
                      <w:b/>
                    </w:rPr>
                    <w:t>/</w:t>
                  </w:r>
                  <w:r>
                    <w:rPr>
                      <w:sz w:val="21"/>
                      <w:b/>
                    </w:rPr>
                    <w:t>套</w:t>
                  </w:r>
                </w:p>
              </w:tc>
              <w:tc>
                <w:tcPr>
                  <w:tcW w:type="dxa" w:w="6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备注</w:t>
                  </w:r>
                </w:p>
              </w:tc>
            </w:tr>
            <w:tr>
              <w:tc>
                <w:tcPr>
                  <w:tcW w:type="dxa" w:w="15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机房相关软件系统</w:t>
                  </w:r>
                </w:p>
              </w:tc>
              <w:tc>
                <w:tcPr>
                  <w:tcW w:type="dxa" w:w="23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服务器操作系统</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121</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58"/>
                  <w:vMerge/>
                  <w:tcBorders>
                    <w:top w:val="none" w:color="000000" w:sz="4"/>
                    <w:left w:val="single" w:color="000000" w:sz="4"/>
                    <w:bottom w:val="single" w:color="000000" w:sz="4"/>
                    <w:right w:val="single" w:color="000000" w:sz="4"/>
                  </w:tcBorders>
                </w:tcPr>
                <w:p/>
              </w:tc>
              <w:tc>
                <w:tcPr>
                  <w:tcW w:type="dxa" w:w="23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服务器资源虚拟化平台</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58"/>
                  <w:vMerge/>
                  <w:tcBorders>
                    <w:top w:val="none" w:color="000000" w:sz="4"/>
                    <w:left w:val="single" w:color="000000" w:sz="4"/>
                    <w:bottom w:val="single" w:color="000000" w:sz="4"/>
                    <w:right w:val="single" w:color="000000" w:sz="4"/>
                  </w:tcBorders>
                </w:tcPr>
                <w:p/>
              </w:tc>
              <w:tc>
                <w:tcPr>
                  <w:tcW w:type="dxa" w:w="23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防病毒系统</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58"/>
                  <w:vMerge/>
                  <w:tcBorders>
                    <w:top w:val="none" w:color="000000" w:sz="4"/>
                    <w:left w:val="single" w:color="000000" w:sz="4"/>
                    <w:bottom w:val="single" w:color="000000" w:sz="4"/>
                    <w:right w:val="single" w:color="000000" w:sz="4"/>
                  </w:tcBorders>
                </w:tcPr>
                <w:p/>
              </w:tc>
              <w:tc>
                <w:tcPr>
                  <w:tcW w:type="dxa" w:w="23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Wsus</w:t>
                  </w:r>
                  <w:r>
                    <w:rPr>
                      <w:sz w:val="21"/>
                    </w:rPr>
                    <w:t>补丁管理系统</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pPr>
            <w:r>
              <w:rPr>
                <w:sz w:val="24"/>
              </w:rPr>
              <w:t>二、黄埔大道西办公区</w:t>
            </w:r>
          </w:p>
          <w:p>
            <w:pPr>
              <w:pStyle w:val="null3"/>
              <w:ind w:firstLine="420"/>
            </w:pPr>
            <w:r>
              <w:rPr>
                <w:sz w:val="24"/>
              </w:rPr>
              <w:t>1</w:t>
            </w:r>
            <w:r>
              <w:rPr>
                <w:sz w:val="24"/>
              </w:rPr>
              <w:t>、通讯与网络系统运行维护服务</w:t>
            </w:r>
          </w:p>
          <w:p>
            <w:pPr>
              <w:pStyle w:val="null3"/>
              <w:ind w:firstLine="420"/>
            </w:pPr>
            <w:r>
              <w:rPr>
                <w:sz w:val="24"/>
              </w:rPr>
              <w:t>提供省省市场监督管理局（黄埔大道西办公区）局域网络的路由器、交换机、防火墙、入侵防御系统、入侵检测系统、防病毒系统、网管系统以及地市直属单位的骨干网络系统（含路由器、交换机、防火墙、空调、UPS等），提供1人驻场的运行维护服务（由网络工程师承担该服务）。</w:t>
            </w:r>
          </w:p>
          <w:p>
            <w:pPr>
              <w:pStyle w:val="null3"/>
              <w:ind w:firstLine="420"/>
            </w:pPr>
            <w:r>
              <w:rPr>
                <w:sz w:val="24"/>
              </w:rPr>
              <w:t>2</w:t>
            </w:r>
            <w:r>
              <w:rPr>
                <w:sz w:val="24"/>
              </w:rPr>
              <w:t>、主要服务器、存储系统的运行维护服务</w:t>
            </w:r>
          </w:p>
          <w:p>
            <w:pPr>
              <w:pStyle w:val="null3"/>
              <w:ind w:firstLine="420"/>
            </w:pPr>
            <w:r>
              <w:rPr>
                <w:sz w:val="24"/>
              </w:rPr>
              <w:t>提供数据库服务器、小型机、应用服务器、多媒体服务器、磁盘阵列、SAN交换机以及内容交换机1人驻场的运行维护服务（由基础设施工程师承担该服务）。</w:t>
            </w:r>
          </w:p>
          <w:p>
            <w:pPr>
              <w:pStyle w:val="null3"/>
              <w:ind w:firstLine="420"/>
            </w:pPr>
            <w:r>
              <w:rPr>
                <w:sz w:val="24"/>
              </w:rPr>
              <w:t>3</w:t>
            </w:r>
            <w:r>
              <w:rPr>
                <w:sz w:val="24"/>
              </w:rPr>
              <w:t>、基础设施运行维护服务</w:t>
            </w:r>
          </w:p>
          <w:p>
            <w:pPr>
              <w:pStyle w:val="null3"/>
              <w:ind w:firstLine="420"/>
            </w:pPr>
            <w:r>
              <w:rPr>
                <w:sz w:val="24"/>
              </w:rPr>
              <w:t>对省市场监督管理局（黄埔大道西办公区）办公大楼3楼中心机房。机房设备清单（包括但不限于）如下：</w:t>
            </w:r>
          </w:p>
          <w:tbl>
            <w:tblGrid>
              <w:gridCol w:w="583"/>
              <w:gridCol w:w="816"/>
              <w:gridCol w:w="2274"/>
              <w:gridCol w:w="583"/>
              <w:gridCol w:w="758"/>
              <w:gridCol w:w="583"/>
            </w:tblGrid>
            <w:tr>
              <w:tc>
                <w:tcPr>
                  <w:tcW w:type="dxa" w:w="58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81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服务内容</w:t>
                  </w:r>
                </w:p>
              </w:tc>
              <w:tc>
                <w:tcPr>
                  <w:tcW w:type="dxa" w:w="227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设备名称</w:t>
                  </w:r>
                </w:p>
              </w:tc>
              <w:tc>
                <w:tcPr>
                  <w:tcW w:type="dxa" w:w="58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单位</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采购时间</w:t>
                  </w:r>
                </w:p>
              </w:tc>
              <w:tc>
                <w:tcPr>
                  <w:tcW w:type="dxa" w:w="58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数量</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8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通讯与网络系统设备</w:t>
                  </w: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h3cLS-3600-52P-EI</w:t>
                  </w:r>
                  <w:r>
                    <w:rPr>
                      <w:sz w:val="21"/>
                    </w:rPr>
                    <w:t>（含光纤模块）交换机</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2009</w:t>
                  </w:r>
                  <w:r>
                    <w:rPr>
                      <w:sz w:val="21"/>
                    </w:rPr>
                    <w:t>年</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22</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h3cs5100</w:t>
                  </w:r>
                  <w:r>
                    <w:rPr>
                      <w:sz w:val="21"/>
                    </w:rPr>
                    <w:t>交换机</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2009</w:t>
                  </w:r>
                  <w:r>
                    <w:rPr>
                      <w:sz w:val="21"/>
                    </w:rPr>
                    <w:t>年</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h3cS7506E</w:t>
                  </w:r>
                  <w:r>
                    <w:rPr>
                      <w:sz w:val="21"/>
                    </w:rPr>
                    <w:t>交换机</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2009</w:t>
                  </w:r>
                  <w:r>
                    <w:rPr>
                      <w:sz w:val="21"/>
                    </w:rPr>
                    <w:t>年</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H3CS10506</w:t>
                  </w:r>
                  <w:r>
                    <w:rPr>
                      <w:sz w:val="21"/>
                    </w:rPr>
                    <w:t>交换机</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2009</w:t>
                  </w:r>
                  <w:r>
                    <w:rPr>
                      <w:sz w:val="21"/>
                    </w:rPr>
                    <w:t>年</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H3CS10506</w:t>
                  </w:r>
                  <w:r>
                    <w:rPr>
                      <w:sz w:val="21"/>
                    </w:rPr>
                    <w:t>交换机</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2009</w:t>
                  </w:r>
                  <w:r>
                    <w:rPr>
                      <w:sz w:val="21"/>
                    </w:rPr>
                    <w:t>年</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无线控制器H3CEWP-WX3024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2009</w:t>
                  </w:r>
                  <w:r>
                    <w:rPr>
                      <w:sz w:val="21"/>
                    </w:rPr>
                    <w:t>年</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无线APH3CEWP-WA2620</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2009</w:t>
                  </w:r>
                  <w:r>
                    <w:rPr>
                      <w:sz w:val="21"/>
                    </w:rPr>
                    <w:t>年</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深信服VPN-2150防火墙网关</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2014</w:t>
                  </w:r>
                  <w:r>
                    <w:rPr>
                      <w:sz w:val="21"/>
                    </w:rPr>
                    <w:t>年</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运维安全审计系统天融信TopAuditSAG-71314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2014</w:t>
                  </w:r>
                  <w:r>
                    <w:rPr>
                      <w:sz w:val="21"/>
                    </w:rPr>
                    <w:t>年</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综合日志审计系统安恒明御DAS-Logger-500</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2014</w:t>
                  </w:r>
                  <w:r>
                    <w:rPr>
                      <w:sz w:val="21"/>
                    </w:rPr>
                    <w:t>年</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上网行为管理天融信TopACM-51614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2014</w:t>
                  </w:r>
                  <w:r>
                    <w:rPr>
                      <w:sz w:val="21"/>
                    </w:rPr>
                    <w:t>年</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防火墙天融信NGFW4000-UFTG-51030</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2014</w:t>
                  </w:r>
                  <w:r>
                    <w:rPr>
                      <w:sz w:val="21"/>
                    </w:rPr>
                    <w:t>年</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网御星云SIS-3000-Z-4101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2014</w:t>
                  </w:r>
                  <w:r>
                    <w:rPr>
                      <w:sz w:val="21"/>
                    </w:rPr>
                    <w:t>年</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网络入侵防御系统（联想网御POWER-650IPS）</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2014</w:t>
                  </w:r>
                  <w:r>
                    <w:rPr>
                      <w:sz w:val="21"/>
                    </w:rPr>
                    <w:t>年</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防火墙天融信NGFW4000-UFTG-51030</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2014</w:t>
                  </w:r>
                  <w:r>
                    <w:rPr>
                      <w:sz w:val="21"/>
                    </w:rPr>
                    <w:t>年</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w:t>
                  </w:r>
                </w:p>
              </w:tc>
              <w:tc>
                <w:tcPr>
                  <w:tcW w:type="dxa" w:w="8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服务器、存储系统设备</w:t>
                  </w: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应用服务器IBMX3950</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17</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数据库服务器IBMX3950</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测试服务器IBMX3950</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19</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IBMX3850M2</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IBMX3650</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21</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IBMX3850X5</w:t>
                  </w:r>
                  <w:r>
                    <w:rPr>
                      <w:sz w:val="21"/>
                    </w:rPr>
                    <w:t>数据库服务器</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22</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IBMX3850X5</w:t>
                  </w:r>
                  <w:r>
                    <w:rPr>
                      <w:sz w:val="21"/>
                    </w:rPr>
                    <w:t>应用服务器</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23</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DellPowerEdgeR720</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24</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DellPowerEdgeR530</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25</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DELLPowerEdgeR730</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26</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IBMsystmstorageD3950</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27</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DELLSCV2020</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28</w:t>
                  </w:r>
                </w:p>
              </w:tc>
              <w:tc>
                <w:tcPr>
                  <w:tcW w:type="dxa" w:w="8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机房基础设备</w:t>
                  </w: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UPS</w:t>
                  </w:r>
                  <w:r>
                    <w:rPr>
                      <w:sz w:val="21"/>
                    </w:rPr>
                    <w:t>伊顿9390(120KV)</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2009</w:t>
                  </w:r>
                  <w:r>
                    <w:rPr>
                      <w:sz w:val="21"/>
                    </w:rPr>
                    <w:t>年</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29</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佳力图精密空调MEAU-602B（60KW）</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2009</w:t>
                  </w:r>
                  <w:r>
                    <w:rPr>
                      <w:sz w:val="21"/>
                    </w:rPr>
                    <w:t>年</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30</w:t>
                  </w:r>
                </w:p>
              </w:tc>
              <w:tc>
                <w:tcPr>
                  <w:tcW w:type="dxa" w:w="816"/>
                  <w:vMerge/>
                  <w:tcBorders>
                    <w:top w:val="none" w:color="000000" w:sz="4"/>
                    <w:left w:val="none" w:color="000000" w:sz="4"/>
                    <w:bottom w:val="single" w:color="000000" w:sz="4"/>
                    <w:right w:val="single" w:color="000000" w:sz="4"/>
                  </w:tcBorders>
                </w:tcP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环都新风机XHBQ-D15TP</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2009</w:t>
                  </w:r>
                  <w:r>
                    <w:rPr>
                      <w:sz w:val="21"/>
                    </w:rPr>
                    <w:t>年</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r>
          </w:tbl>
          <w:p>
            <w:pPr>
              <w:pStyle w:val="null3"/>
            </w:pPr>
            <w:r>
              <w:rPr>
                <w:sz w:val="24"/>
              </w:rPr>
              <w:t>5</w:t>
            </w:r>
            <w:r>
              <w:rPr>
                <w:sz w:val="24"/>
              </w:rPr>
              <w:t>、日常运维</w:t>
            </w:r>
          </w:p>
          <w:p>
            <w:pPr>
              <w:pStyle w:val="null3"/>
              <w:ind w:firstLine="420"/>
            </w:pPr>
            <w:r>
              <w:rPr>
                <w:sz w:val="24"/>
              </w:rPr>
              <w:t>由驻场技术运行值班人员（由基础设施工程师同时承担该服务）负责日常系统维护，对服务范围内的设备和系统进行定期巡检，记录系统运行状况，发现问题及时解决并上报给上级部门。</w:t>
            </w:r>
          </w:p>
          <w:p>
            <w:pPr>
              <w:pStyle w:val="null3"/>
              <w:ind w:firstLine="420"/>
            </w:pPr>
            <w:r>
              <w:rPr>
                <w:sz w:val="24"/>
              </w:rPr>
              <w:t>6</w:t>
            </w:r>
            <w:r>
              <w:rPr>
                <w:sz w:val="24"/>
              </w:rPr>
              <w:t>、电话支持服务</w:t>
            </w:r>
          </w:p>
          <w:tbl>
            <w:tblPr>
              <w:tblBorders>
                <w:top w:val="none" w:color="000000" w:sz="4"/>
                <w:left w:val="none" w:color="000000" w:sz="4"/>
                <w:bottom w:val="none" w:color="000000" w:sz="4"/>
                <w:right w:val="none" w:color="000000" w:sz="4"/>
                <w:insideH w:val="none"/>
                <w:insideV w:val="none"/>
              </w:tblBorders>
            </w:tblPr>
            <w:tblGrid>
              <w:gridCol w:w="848"/>
              <w:gridCol w:w="4750"/>
            </w:tblGrid>
            <w:tr>
              <w:tc>
                <w:tcPr>
                  <w:tcW w:type="dxa" w:w="84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解决时间</w:t>
                  </w:r>
                </w:p>
              </w:tc>
              <w:tc>
                <w:tcPr>
                  <w:tcW w:type="dxa" w:w="47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服务内容及规范</w:t>
                  </w: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即时</w:t>
                  </w:r>
                </w:p>
              </w:tc>
              <w:tc>
                <w:tcPr>
                  <w:tcW w:type="dxa" w:w="47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对于一般技术问题，由第一响应人负责所有问题的响应及解决，并记载支持服务记录，归档。</w:t>
                  </w: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0.5</w:t>
                  </w:r>
                  <w:r>
                    <w:rPr>
                      <w:sz w:val="21"/>
                    </w:rPr>
                    <w:t>小时</w:t>
                  </w:r>
                </w:p>
              </w:tc>
              <w:tc>
                <w:tcPr>
                  <w:tcW w:type="dxa" w:w="47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对于影响到用户业务，需紧急解决的技术问题，召集支持小组，迅速提出解决方案，提供热线支持，并记载支持服务记录，归档。</w:t>
                  </w: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小时</w:t>
                  </w:r>
                </w:p>
              </w:tc>
              <w:tc>
                <w:tcPr>
                  <w:tcW w:type="dxa" w:w="47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对于需根据一定经验和讨论才能提出解决方案的技术问题，召集支持小组，同时提出替代方案，提供热线支持，并记载支持服务记录，归档。</w:t>
                  </w:r>
                </w:p>
              </w:tc>
            </w:tr>
          </w:tbl>
          <w:p>
            <w:pPr>
              <w:pStyle w:val="null3"/>
              <w:spacing w:after="120"/>
              <w:jc w:val="both"/>
            </w:pPr>
            <w:r>
              <w:rPr>
                <w:sz w:val="24"/>
              </w:rPr>
              <w:t>7</w:t>
            </w:r>
            <w:r>
              <w:rPr>
                <w:sz w:val="24"/>
              </w:rPr>
              <w:t>、远程诊断服务</w:t>
            </w:r>
          </w:p>
          <w:p>
            <w:pPr>
              <w:pStyle w:val="null3"/>
              <w:ind w:firstLine="420"/>
            </w:pPr>
            <w:r>
              <w:rPr>
                <w:sz w:val="24"/>
              </w:rPr>
              <w:t>在客户同意以及保证业务正常运行的情况下，技术人员通过远程登录用户系统，进行远程诊断，判断问题所在，并在最短的时间内给予解决。</w:t>
            </w:r>
          </w:p>
          <w:p>
            <w:pPr>
              <w:pStyle w:val="null3"/>
              <w:ind w:firstLine="420"/>
            </w:pPr>
            <w:r>
              <w:rPr>
                <w:sz w:val="24"/>
              </w:rPr>
              <w:t>8</w:t>
            </w:r>
            <w:r>
              <w:rPr>
                <w:sz w:val="24"/>
              </w:rPr>
              <w:t>、定期巡检服务</w:t>
            </w:r>
          </w:p>
          <w:p>
            <w:pPr>
              <w:pStyle w:val="null3"/>
              <w:ind w:firstLine="420"/>
            </w:pPr>
            <w:r>
              <w:rPr>
                <w:sz w:val="24"/>
              </w:rPr>
              <w:t>定期预防性巡检是一种对设备例行检查和维护服务，其重点在于硬件设备及与之相关的各种环境信息、系统日志的检查，发现并设法消除可能的隐患，保证系统处于正常运行状态，便于在今后的运维工作中采取相应的预防措施。</w:t>
            </w:r>
          </w:p>
          <w:p>
            <w:pPr>
              <w:pStyle w:val="null3"/>
              <w:ind w:firstLine="420"/>
            </w:pPr>
            <w:r>
              <w:rPr>
                <w:sz w:val="24"/>
              </w:rPr>
              <w:t>9</w:t>
            </w:r>
            <w:r>
              <w:rPr>
                <w:sz w:val="24"/>
              </w:rPr>
              <w:t>、定期回访服务</w:t>
            </w:r>
          </w:p>
          <w:p>
            <w:pPr>
              <w:pStyle w:val="null3"/>
              <w:ind w:firstLine="420"/>
            </w:pPr>
            <w:r>
              <w:rPr>
                <w:sz w:val="24"/>
              </w:rPr>
              <w:t>提供定期/不定期电话及现场回访，与用户一起共同对系统进行性能调优、系统诊断，系统日常维护管理方面的交流或培训，并与用户共同进行阶段性总结、分析。</w:t>
            </w:r>
          </w:p>
          <w:p>
            <w:pPr>
              <w:pStyle w:val="null3"/>
              <w:ind w:firstLine="420"/>
            </w:pPr>
            <w:r>
              <w:rPr>
                <w:sz w:val="24"/>
              </w:rPr>
              <w:t>10</w:t>
            </w:r>
            <w:r>
              <w:rPr>
                <w:sz w:val="24"/>
              </w:rPr>
              <w:t>、定期调查服务</w:t>
            </w:r>
          </w:p>
          <w:p>
            <w:pPr>
              <w:pStyle w:val="null3"/>
              <w:ind w:firstLine="420"/>
            </w:pPr>
            <w:r>
              <w:rPr>
                <w:sz w:val="24"/>
              </w:rPr>
              <w:t>定期到系统使用单位进行使用情况调查，调查完成后提交《系统运行情况调查报告》，给予针对性意见，可为用户提供从需求、到管理、直至运行的全程咨询服务。</w:t>
            </w:r>
          </w:p>
          <w:p>
            <w:pPr>
              <w:pStyle w:val="null3"/>
            </w:pPr>
            <w:r>
              <w:rPr>
                <w:sz w:val="24"/>
              </w:rPr>
              <w:t>三、网络运维服务</w:t>
            </w:r>
          </w:p>
          <w:p>
            <w:pPr>
              <w:pStyle w:val="null3"/>
              <w:ind w:firstLine="420"/>
            </w:pPr>
            <w:r>
              <w:rPr>
                <w:sz w:val="24"/>
              </w:rPr>
              <w:t>1</w:t>
            </w:r>
            <w:r>
              <w:rPr>
                <w:sz w:val="24"/>
              </w:rPr>
              <w:t>、全省网络运维</w:t>
            </w:r>
          </w:p>
          <w:p>
            <w:pPr>
              <w:pStyle w:val="null3"/>
              <w:ind w:firstLine="420"/>
            </w:pPr>
            <w:r>
              <w:rPr>
                <w:sz w:val="24"/>
              </w:rPr>
              <w:t>全省网络运维主要对全省各地级市市场监管部门与采购人提供关于全省市场监管系统的业务专网、电子政务外网等的网络连接运维，包括网络连接和网络故障排除，以及业务专网、电子政务外网的现状调研、规划与优化等。</w:t>
            </w:r>
          </w:p>
          <w:p>
            <w:pPr>
              <w:pStyle w:val="null3"/>
              <w:ind w:firstLine="420"/>
            </w:pPr>
            <w:r>
              <w:rPr>
                <w:sz w:val="24"/>
              </w:rPr>
              <w:t>具体包括以下内容：</w:t>
            </w:r>
          </w:p>
          <w:p>
            <w:pPr>
              <w:pStyle w:val="null3"/>
              <w:ind w:firstLine="420"/>
            </w:pPr>
            <w:r>
              <w:rPr>
                <w:sz w:val="24"/>
              </w:rPr>
              <w:t>1</w:t>
            </w:r>
            <w:r>
              <w:rPr>
                <w:sz w:val="24"/>
              </w:rPr>
              <w:t>）网络连接保障与网络故障排查</w:t>
            </w:r>
          </w:p>
          <w:p>
            <w:pPr>
              <w:pStyle w:val="null3"/>
              <w:ind w:firstLine="420"/>
            </w:pPr>
            <w:r>
              <w:rPr>
                <w:sz w:val="24"/>
              </w:rPr>
              <w:t>计算机网络和用户主机在运行过程中，都不可避免地会出现各种各样的故障，对网络故障进行及时诊断、处理，保障网络和用户主机的正常连接、稳定运行至关重要。本项目的网络运维工程师需要对地市到采购人的网络连接提供运行维护保障，并通过远程支撑的方式协助地市局完成地方的网络故障排除，保持地市到采购人连接通畅，必要时应派技术人员或亲自到现场协助地市局完成网络故障的处理。若是采购人网络原因，则要协助网络技术人员完成采购人网络的故障排查与处理。</w:t>
            </w:r>
          </w:p>
          <w:p>
            <w:pPr>
              <w:pStyle w:val="null3"/>
              <w:ind w:firstLine="420"/>
            </w:pPr>
            <w:r>
              <w:rPr>
                <w:sz w:val="24"/>
              </w:rPr>
              <w:t>2</w:t>
            </w:r>
            <w:r>
              <w:rPr>
                <w:sz w:val="24"/>
              </w:rPr>
              <w:t>）网络运维手册编制</w:t>
            </w:r>
          </w:p>
          <w:p>
            <w:pPr>
              <w:pStyle w:val="null3"/>
              <w:ind w:firstLine="420"/>
            </w:pPr>
            <w:r>
              <w:rPr>
                <w:sz w:val="24"/>
              </w:rPr>
              <w:t>协助业主单位完成网络运维手册的编制，总结常见的地市到省的网络连接问题与故障问题，并给出一般的排查措施、操作步骤与解决办法，为地市维护人员提供基本的网络运维知识。</w:t>
            </w:r>
          </w:p>
          <w:p>
            <w:pPr>
              <w:pStyle w:val="null3"/>
              <w:ind w:firstLine="420"/>
            </w:pPr>
            <w:r>
              <w:rPr>
                <w:sz w:val="24"/>
              </w:rPr>
              <w:t>3</w:t>
            </w:r>
            <w:r>
              <w:rPr>
                <w:sz w:val="24"/>
              </w:rPr>
              <w:t>）网络现状调研</w:t>
            </w:r>
          </w:p>
          <w:p>
            <w:pPr>
              <w:pStyle w:val="null3"/>
              <w:ind w:firstLine="420"/>
            </w:pPr>
            <w:r>
              <w:rPr>
                <w:sz w:val="24"/>
              </w:rPr>
              <w:t>协助业主单位对全省市场监管业务网络、电子政务外网进行现状调研，了解网络运行情况，包括陪同业主单位到地市局召开网络调研会议、协助业主编制网络调研问卷与提纲、编制网络调研报告、回答地市提出的网络问题、研究与协助业主采纳地市提供的网络意见与建议。同时，外单位如政数局等到业主单位调研时，根据需要，作为局内网络运维工程师出席会议，完成编制市场监管业务专网介绍材料、汇报PPT等工作，并在会议上进行介绍与汇报，协助业主解答外部专家的疑问。</w:t>
            </w:r>
          </w:p>
          <w:p>
            <w:pPr>
              <w:pStyle w:val="null3"/>
              <w:ind w:firstLine="420"/>
            </w:pPr>
            <w:r>
              <w:rPr>
                <w:sz w:val="24"/>
              </w:rPr>
              <w:t>4</w:t>
            </w:r>
            <w:r>
              <w:rPr>
                <w:sz w:val="24"/>
              </w:rPr>
              <w:t>）网络变更方案审核与监督</w:t>
            </w:r>
          </w:p>
          <w:p>
            <w:pPr>
              <w:pStyle w:val="null3"/>
              <w:ind w:firstLine="420"/>
            </w:pPr>
            <w:r>
              <w:rPr>
                <w:sz w:val="24"/>
              </w:rPr>
              <w:t>在网络变更方、局内网络运维单位提交网络变更方案后，对变更方案进行详细审核，并给变更方提出修改建议，给业主单位提出意见与建议，协助业主单位进行决策；在大型网络变更实施时，根据业主要求，可在现场指挥与监督网络变更实施工作，确保网络变更顺利完成。同时，可远程支撑地方市场监管局进行网络变更审核与监督。</w:t>
            </w:r>
          </w:p>
          <w:p>
            <w:pPr>
              <w:pStyle w:val="null3"/>
              <w:ind w:firstLine="420"/>
            </w:pPr>
            <w:r>
              <w:rPr>
                <w:sz w:val="24"/>
              </w:rPr>
              <w:t>5</w:t>
            </w:r>
            <w:r>
              <w:rPr>
                <w:sz w:val="24"/>
              </w:rPr>
              <w:t>）网络规划与优化</w:t>
            </w:r>
          </w:p>
          <w:p>
            <w:pPr>
              <w:pStyle w:val="null3"/>
              <w:ind w:firstLine="420"/>
            </w:pPr>
            <w:r>
              <w:rPr>
                <w:sz w:val="24"/>
              </w:rPr>
              <w:t>负责全省市场监管业务专网的网络规划与优化，充分考虑市场监管业务所需的通信质量、用户数据、覆盖范围等方面的目标，以最低的成本完成网络的设计规划与优化，同时要充分考虑后期的扩容，保障网络访问高可用性、负载均衡及安全可靠性，或者向网络运营商提出目前广域网、城域网对于市场监管业务的优化建议。同时，根据业主单位要求，可远程支撑地市局进行局域网的规划与优化，以及网络接入建议。</w:t>
            </w:r>
          </w:p>
          <w:p>
            <w:pPr>
              <w:pStyle w:val="null3"/>
              <w:ind w:firstLine="420"/>
            </w:pPr>
            <w:r>
              <w:rPr>
                <w:sz w:val="24"/>
              </w:rPr>
              <w:t>2</w:t>
            </w:r>
            <w:r>
              <w:rPr>
                <w:sz w:val="24"/>
              </w:rPr>
              <w:t>、体育西办公区网络运维</w:t>
            </w:r>
          </w:p>
          <w:p>
            <w:pPr>
              <w:pStyle w:val="null3"/>
              <w:ind w:firstLine="420"/>
            </w:pPr>
            <w:r>
              <w:rPr>
                <w:sz w:val="24"/>
              </w:rPr>
              <w:t>对广东省市场监管局（体育西办公区）的政务局域网（不涉密）进行运维，包括内部网络和对外连接网络。定期进行网络设备配置备份、网络安全策略更新、网络优化及调整、网络安全应急响应等。具体包括以下内容：</w:t>
            </w:r>
          </w:p>
          <w:p>
            <w:pPr>
              <w:pStyle w:val="null3"/>
              <w:ind w:firstLine="420"/>
            </w:pPr>
            <w:r>
              <w:rPr>
                <w:sz w:val="24"/>
              </w:rPr>
              <w:t>1</w:t>
            </w:r>
            <w:r>
              <w:rPr>
                <w:sz w:val="24"/>
              </w:rPr>
              <w:t>）网络设备配置备份</w:t>
            </w:r>
          </w:p>
          <w:p>
            <w:pPr>
              <w:pStyle w:val="null3"/>
              <w:ind w:firstLine="420"/>
            </w:pPr>
            <w:r>
              <w:rPr>
                <w:sz w:val="24"/>
              </w:rPr>
              <w:t>定期以及在网络割接前对机房内的网络设备中的IP配置、VPN配置、VLAN配置、路由协议配置等进行备份，并记录配置文件备份日期、内容以及所在设备，同时协助业主完成网络设备配置恢复、配置修改等工作。</w:t>
            </w:r>
          </w:p>
          <w:p>
            <w:pPr>
              <w:pStyle w:val="null3"/>
              <w:ind w:firstLine="420"/>
            </w:pPr>
            <w:r>
              <w:rPr>
                <w:sz w:val="24"/>
              </w:rPr>
              <w:t>2</w:t>
            </w:r>
            <w:r>
              <w:rPr>
                <w:sz w:val="24"/>
              </w:rPr>
              <w:t>）网络故障排查和处置</w:t>
            </w:r>
          </w:p>
          <w:p>
            <w:pPr>
              <w:pStyle w:val="null3"/>
              <w:ind w:firstLine="420"/>
            </w:pPr>
            <w:r>
              <w:rPr>
                <w:sz w:val="24"/>
              </w:rPr>
              <w:t>在发生互联网、政务网无法连接时，及时检查主机网络连接情况与交换机、路由器等网络设备的运行情况，及时排查与发现网络故障发生点，并迅速处置，恢复网络可用。处置完成后，应记录网络故障原因与网络故障造成设备，为设备更换与重点巡检提供依据。</w:t>
            </w:r>
          </w:p>
          <w:p>
            <w:pPr>
              <w:pStyle w:val="null3"/>
              <w:ind w:firstLine="420"/>
            </w:pPr>
            <w:r>
              <w:rPr>
                <w:sz w:val="24"/>
              </w:rPr>
              <w:t>3</w:t>
            </w:r>
            <w:r>
              <w:rPr>
                <w:sz w:val="24"/>
              </w:rPr>
              <w:t>）网络安全策略更新</w:t>
            </w:r>
          </w:p>
          <w:p>
            <w:pPr>
              <w:pStyle w:val="null3"/>
              <w:ind w:firstLine="420"/>
            </w:pPr>
            <w:r>
              <w:rPr>
                <w:sz w:val="24"/>
              </w:rPr>
              <w:t>协助业主分析当前网络安全威胁，发现技术弱点、配置弱点和策略弱点，并完成网络安全策略权威性和范围的定义，Internet访问策略、身份认证策略、远程访问策略的制定与更新。关注国内网络安全事件与新型病毒、网络攻击手段，及时更新现有网络安全策略。</w:t>
            </w:r>
          </w:p>
          <w:p>
            <w:pPr>
              <w:pStyle w:val="null3"/>
              <w:ind w:firstLine="420"/>
            </w:pPr>
            <w:r>
              <w:rPr>
                <w:sz w:val="24"/>
              </w:rPr>
              <w:t>4</w:t>
            </w:r>
            <w:r>
              <w:rPr>
                <w:sz w:val="24"/>
              </w:rPr>
              <w:t>）网络变更方案编写</w:t>
            </w:r>
          </w:p>
          <w:p>
            <w:pPr>
              <w:pStyle w:val="null3"/>
              <w:ind w:firstLine="420"/>
            </w:pPr>
            <w:r>
              <w:rPr>
                <w:sz w:val="24"/>
              </w:rPr>
              <w:t>在广东省市场监管局（体育西办公区）局域网、办公网需要变更的时候，协助业主单位编制网络变更方案，或审核网络改造商提供的网络变更方案，提出建议与意见。主要包括网络变更操作实施方案、测试验证方案、倒回和应急方案。</w:t>
            </w:r>
          </w:p>
          <w:p>
            <w:pPr>
              <w:pStyle w:val="null3"/>
              <w:ind w:firstLine="420"/>
            </w:pPr>
            <w:r>
              <w:rPr>
                <w:sz w:val="24"/>
              </w:rPr>
              <w:t>5</w:t>
            </w:r>
            <w:r>
              <w:rPr>
                <w:sz w:val="24"/>
              </w:rPr>
              <w:t>）网络资源申请</w:t>
            </w:r>
          </w:p>
          <w:p>
            <w:pPr>
              <w:pStyle w:val="null3"/>
              <w:ind w:firstLine="420"/>
            </w:pPr>
            <w:r>
              <w:rPr>
                <w:sz w:val="24"/>
              </w:rPr>
              <w:t>协助办公人员进行我局网络资源的申请，在办公人员需要申请IP、VPN接入时，协助他们完成申请表的填写，以及申请通过后的网络资源分配与测试。同时，协助开发人员、测试人员等技术人员完成堡垒机的申请，以及堡垒机的部署与测试、调通。</w:t>
            </w:r>
          </w:p>
          <w:p>
            <w:pPr>
              <w:pStyle w:val="null3"/>
              <w:ind w:firstLine="420"/>
            </w:pPr>
            <w:r>
              <w:rPr>
                <w:sz w:val="24"/>
              </w:rPr>
              <w:t>6</w:t>
            </w:r>
            <w:r>
              <w:rPr>
                <w:sz w:val="24"/>
              </w:rPr>
              <w:t>）网络规划</w:t>
            </w:r>
          </w:p>
          <w:p>
            <w:pPr>
              <w:pStyle w:val="null3"/>
              <w:ind w:firstLine="420"/>
            </w:pPr>
            <w:r>
              <w:rPr>
                <w:sz w:val="24"/>
              </w:rPr>
              <w:t>协助业主单位对局内办公网、局域网进行网络规划，包括网络需求分析、可行性分析和对现有网络的分析与描述等工作，以及合理地分配IP地址、IP网段、VLAN设置等工作，并根据业主单位的需要，出具网络需求分析报告与网络规划方案。</w:t>
            </w:r>
          </w:p>
          <w:p>
            <w:pPr>
              <w:pStyle w:val="null3"/>
              <w:ind w:firstLine="420"/>
            </w:pPr>
            <w:r>
              <w:rPr>
                <w:sz w:val="24"/>
              </w:rPr>
              <w:t>7</w:t>
            </w:r>
            <w:r>
              <w:rPr>
                <w:sz w:val="24"/>
              </w:rPr>
              <w:t>）网络优化</w:t>
            </w:r>
          </w:p>
          <w:p>
            <w:pPr>
              <w:pStyle w:val="null3"/>
              <w:ind w:firstLine="420"/>
            </w:pPr>
            <w:r>
              <w:rPr>
                <w:sz w:val="24"/>
              </w:rPr>
              <w:t>根据实际需要，对我局局域网、办公网进行网络优化，包括网络应用可用带宽、网络延时、网络连接、网络质量、数据流量、网络设备、网络结构等的分析和优化。</w:t>
            </w:r>
          </w:p>
          <w:p>
            <w:pPr>
              <w:pStyle w:val="null3"/>
              <w:ind w:firstLine="420"/>
            </w:pPr>
            <w:r>
              <w:rPr>
                <w:sz w:val="24"/>
              </w:rPr>
              <w:t>8</w:t>
            </w:r>
            <w:r>
              <w:rPr>
                <w:sz w:val="24"/>
              </w:rPr>
              <w:t>）网络维护</w:t>
            </w:r>
          </w:p>
          <w:p>
            <w:pPr>
              <w:pStyle w:val="null3"/>
              <w:ind w:firstLine="420"/>
            </w:pPr>
            <w:r>
              <w:rPr>
                <w:sz w:val="24"/>
              </w:rPr>
              <w:t>网络路由、交换及安全等设备系统的日志分析、故障诊断和修复；网络路由、交换及安全等设备系统的版本维护，补丁更新，配置调整；协助对网络系统功能性测试、配置优化提供技术支持。</w:t>
            </w:r>
          </w:p>
          <w:p>
            <w:pPr>
              <w:pStyle w:val="null3"/>
              <w:ind w:firstLine="420"/>
            </w:pPr>
            <w:r>
              <w:rPr>
                <w:sz w:val="24"/>
              </w:rPr>
              <w:t>9</w:t>
            </w:r>
            <w:r>
              <w:rPr>
                <w:sz w:val="24"/>
              </w:rPr>
              <w:t>）网络变更</w:t>
            </w:r>
          </w:p>
          <w:p>
            <w:pPr>
              <w:pStyle w:val="null3"/>
              <w:ind w:firstLine="420"/>
            </w:pPr>
            <w:r>
              <w:rPr>
                <w:sz w:val="24"/>
              </w:rPr>
              <w:t>完成或者协助网络变更方进行网络变更方案的准备与编制、网络变更的内部申请、网络变更公告的发布、网络变更的实施、变更后的网络验证以及业务验证等工作。</w:t>
            </w:r>
          </w:p>
          <w:p>
            <w:pPr>
              <w:pStyle w:val="null3"/>
              <w:ind w:firstLine="420"/>
            </w:pPr>
            <w:r>
              <w:rPr>
                <w:sz w:val="24"/>
              </w:rPr>
              <w:t>针对具体的网络背景和需求制定详细的网络变更方案，方案需确定具体的变更窗口和回退方案，包含物理设备和线缆更改等，确定主要风险点和服务预计中断时间，发出变更公告会知各方并约定进行配合验证，对受影响系统做好数据备份。按照约定时间准时开始操作，持续关注服务中断和恢复情况是否和预期一致，严格按照方案步骤进行，若发生预期之外的情况且短时间无法解决或者变更窗口不足，则执行回退。变更成功或回退，都与各部门配合对服务联通性做全量验证，发送结束公告。</w:t>
            </w:r>
          </w:p>
          <w:p>
            <w:pPr>
              <w:pStyle w:val="null3"/>
            </w:pPr>
            <w:r>
              <w:rPr>
                <w:sz w:val="24"/>
                <w:b/>
              </w:rPr>
              <w:t>1.3.1.2</w:t>
            </w:r>
            <w:r>
              <w:rPr>
                <w:sz w:val="24"/>
                <w:b/>
              </w:rPr>
              <w:t>省市场监管局视频会议系统运维服务</w:t>
            </w:r>
          </w:p>
          <w:p>
            <w:pPr>
              <w:pStyle w:val="null3"/>
              <w:ind w:firstLine="420"/>
            </w:pPr>
            <w:r>
              <w:rPr>
                <w:sz w:val="24"/>
              </w:rPr>
              <w:t>一、运行维护服务</w:t>
            </w:r>
          </w:p>
          <w:p>
            <w:pPr>
              <w:pStyle w:val="null3"/>
              <w:ind w:firstLine="420"/>
            </w:pPr>
            <w:r>
              <w:rPr>
                <w:sz w:val="24"/>
              </w:rPr>
              <w:t>设备日常巡检；设备硬件检修和更换；线路整理；环境清洁；突发设备故障紧急处置；提供备机备件服务。</w:t>
            </w:r>
          </w:p>
          <w:p>
            <w:pPr>
              <w:pStyle w:val="null3"/>
              <w:ind w:firstLine="420"/>
            </w:pPr>
            <w:r>
              <w:rPr>
                <w:sz w:val="24"/>
              </w:rPr>
              <w:t>保障视频会议设备故障率以及系统出错故障率均≤2%。通过对视频设备的管理、日常巡检和故障处理等服务，及时发现并消除隐患，使广东省市场监督管理局视频设备的运行处于良好、稳定的工作状态。</w:t>
            </w:r>
          </w:p>
          <w:p>
            <w:pPr>
              <w:pStyle w:val="null3"/>
              <w:ind w:firstLine="420"/>
            </w:pPr>
            <w:r>
              <w:rPr>
                <w:sz w:val="24"/>
              </w:rPr>
              <w:t>二、专人驻场会议保障</w:t>
            </w:r>
          </w:p>
          <w:p>
            <w:pPr>
              <w:pStyle w:val="null3"/>
            </w:pPr>
            <w:r>
              <w:rPr>
                <w:sz w:val="24"/>
              </w:rPr>
              <w:t>提供专业技术人员驻场服务。负责视频设备和网络的监控、故障处置以及会前调试、会中保障和会议录制等工作。</w:t>
            </w:r>
          </w:p>
        </w:tc>
      </w:tr>
      <w:tr>
        <w:tc>
          <w:tcPr>
            <w:tcW w:type="dxa" w:w="2076"/>
          </w:tcPr>
          <w:p/>
        </w:tc>
        <w:tc>
          <w:tcPr>
            <w:tcW w:type="dxa" w:w="415"/>
          </w:tcPr>
          <w:p>
            <w:pPr>
              <w:pStyle w:val="null3"/>
            </w:pPr>
            <w:r>
              <w:rPr/>
              <w:t>2</w:t>
            </w:r>
          </w:p>
        </w:tc>
        <w:tc>
          <w:tcPr>
            <w:tcW w:type="dxa" w:w="5814"/>
          </w:tcPr>
          <w:p>
            <w:pPr>
              <w:pStyle w:val="null3"/>
              <w:jc w:val="left"/>
            </w:pPr>
            <w:r>
              <w:rPr>
                <w:b/>
              </w:rPr>
              <w:t>2.</w:t>
            </w:r>
            <w:r>
              <w:rPr>
                <w:b/>
              </w:rPr>
              <w:t>服务要求</w:t>
            </w:r>
          </w:p>
          <w:p>
            <w:pPr>
              <w:pStyle w:val="null3"/>
              <w:jc w:val="left"/>
            </w:pPr>
            <w:r>
              <w:rPr>
                <w:b/>
              </w:rPr>
              <w:t>2.1.</w:t>
            </w:r>
            <w:r>
              <w:rPr>
                <w:b/>
              </w:rPr>
              <w:t>项目质量管理要求</w:t>
            </w:r>
          </w:p>
          <w:p>
            <w:pPr>
              <w:pStyle w:val="null3"/>
              <w:ind w:firstLine="422"/>
              <w:jc w:val="left"/>
            </w:pPr>
            <w:r>
              <w:rPr>
                <w:b/>
              </w:rPr>
              <w:t>（一）★中标人须按采购人制定的项目质量管理要求开展服务，无条件接受采购人对项目质量管理要求落实情况的监督考核。包括但不限于：根据采购人提出的项目需重点解决问题清单合理制定解决方案，在项目实施过程中将问题予以解决，确保项目服务质量；根据采购人提出的项目管理制度清单，编制相应的项目管理制度文件，进一步规范项目实施过程；根据采采购人提出服务团队岗位职责清单，制定岗位职责手册，定岗定人，确保各核心岗位均指派能胜任的专人提供服务。</w:t>
            </w:r>
          </w:p>
          <w:p>
            <w:pPr>
              <w:pStyle w:val="null3"/>
              <w:ind w:firstLine="420"/>
              <w:jc w:val="left"/>
            </w:pPr>
            <w:r>
              <w:rPr/>
              <w:t>（二）为保证本项目能按时高质量的顺利完成，规避项目风险或将风险降至最低程度，投标人应建立项目质量管理体系，包括但不限于质量目标、质量指标、岗位责任、问题处理计划、质量评价、整改完善等内容，并建立团队内部奖惩制度。</w:t>
            </w:r>
          </w:p>
          <w:p>
            <w:pPr>
              <w:pStyle w:val="null3"/>
              <w:jc w:val="left"/>
            </w:pPr>
            <w:r>
              <w:rPr>
                <w:b/>
              </w:rPr>
              <w:t>2.1.1.</w:t>
            </w:r>
            <w:r>
              <w:rPr>
                <w:b/>
              </w:rPr>
              <w:t>项目需重点解决的问题清单</w:t>
            </w:r>
          </w:p>
          <w:tbl>
            <w:tblPr>
              <w:tblBorders>
                <w:top w:val="none" w:color="000000" w:sz="4"/>
                <w:left w:val="none" w:color="000000" w:sz="4"/>
                <w:bottom w:val="none" w:color="000000" w:sz="4"/>
                <w:right w:val="none" w:color="000000" w:sz="4"/>
                <w:insideH w:val="none"/>
                <w:insideV w:val="none"/>
              </w:tblBorders>
            </w:tblPr>
            <w:tblGrid>
              <w:gridCol w:w="286"/>
              <w:gridCol w:w="1028"/>
              <w:gridCol w:w="914"/>
              <w:gridCol w:w="3370"/>
            </w:tblGrid>
            <w:tr>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序号</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项目名称</w:t>
                  </w:r>
                </w:p>
              </w:tc>
              <w:tc>
                <w:tcPr>
                  <w:tcW w:type="dxa" w:w="9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存在问题</w:t>
                  </w:r>
                </w:p>
              </w:tc>
              <w:tc>
                <w:tcPr>
                  <w:tcW w:type="dxa" w:w="33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问题具体描述</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0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省市场监管局基础设施租赁及运维服务（2025年）项目</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维护工作是技术性强的管理工作，需要由专业技术团队处理。</w:t>
                  </w:r>
                </w:p>
              </w:tc>
              <w:tc>
                <w:tcPr>
                  <w:tcW w:type="dxa" w:w="3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由于本系统维护所要解决的问题可能来自系统整个开发周期的各个阶段，承担维护工作的人员应对开发阶段的整个过程、每个层次的工作都有所了解，从需求、分析、设计一直到编码、测试等，并且应具有较强的程序调试和排错能力，这些对维护人员的知识结构、素质和专业水平有较高的要求。因此，需要具有实力的软件公司及专门的技术人员进行技术咨询服务和技术辅导工作。</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1028"/>
                  <w:vMerge/>
                  <w:tcBorders>
                    <w:top w:val="none" w:color="000000" w:sz="4"/>
                    <w:left w:val="none" w:color="000000" w:sz="4"/>
                    <w:bottom w:val="single" w:color="000000" w:sz="4"/>
                    <w:right w:val="single" w:color="000000" w:sz="4"/>
                  </w:tcBorders>
                </w:tcP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使用年限过长，存在稳定性隐患。</w:t>
                  </w:r>
                </w:p>
              </w:tc>
              <w:tc>
                <w:tcPr>
                  <w:tcW w:type="dxa" w:w="3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省市场监管局两个办公区的部分重要网络节点的交换机和关键网络节点防火墙、楼层交换机购买时间较早，已到达报废年限，性能已经不足以支持日益增长的办公需要。并且由于使用年限过长，可能设备内部电气性能存在老化，影响设备的运行稳定，容易造成单点故障；</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p>
              </w:tc>
              <w:tc>
                <w:tcPr>
                  <w:tcW w:type="dxa" w:w="1028"/>
                  <w:vMerge/>
                  <w:tcBorders>
                    <w:top w:val="none" w:color="000000" w:sz="4"/>
                    <w:left w:val="none" w:color="000000" w:sz="4"/>
                    <w:bottom w:val="single" w:color="000000" w:sz="4"/>
                    <w:right w:val="single" w:color="000000" w:sz="4"/>
                  </w:tcBorders>
                </w:tcP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桌面终端管控手段少，存在网络安全隐患。</w:t>
                  </w:r>
                </w:p>
              </w:tc>
              <w:tc>
                <w:tcPr>
                  <w:tcW w:type="dxa" w:w="3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目前黄埔大道办公区缺少准入系统，桌面终端一直无法有效管控。</w:t>
                  </w:r>
                </w:p>
              </w:tc>
            </w:tr>
            <w:tr>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p>
              </w:tc>
              <w:tc>
                <w:tcPr>
                  <w:tcW w:type="dxa" w:w="1028"/>
                  <w:vMerge/>
                  <w:tcBorders>
                    <w:top w:val="none" w:color="000000" w:sz="4"/>
                    <w:left w:val="none" w:color="000000" w:sz="4"/>
                    <w:bottom w:val="single" w:color="000000" w:sz="4"/>
                    <w:right w:val="single" w:color="000000" w:sz="4"/>
                  </w:tcBorders>
                </w:tcP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商用密码应用设备缺乏。</w:t>
                  </w:r>
                </w:p>
              </w:tc>
              <w:tc>
                <w:tcPr>
                  <w:tcW w:type="dxa" w:w="3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19</w:t>
                  </w:r>
                  <w:r>
                    <w:rPr>
                      <w:sz w:val="21"/>
                    </w:rPr>
                    <w:t>个系统需开展商用密码应用安全性评估，但局内还未部署相关密码设备。</w:t>
                  </w:r>
                </w:p>
              </w:tc>
            </w:tr>
          </w:tbl>
          <w:p>
            <w:pPr>
              <w:pStyle w:val="null3"/>
            </w:pPr>
            <w:r>
              <w:rPr>
                <w:sz w:val="21"/>
                <w:b/>
              </w:rPr>
              <w:t>2.1.2.</w:t>
            </w:r>
            <w:r>
              <w:rPr>
                <w:sz w:val="21"/>
                <w:b/>
              </w:rPr>
              <w:t>服务团队岗位职责清单</w:t>
            </w:r>
          </w:p>
          <w:tbl>
            <w:tblPr>
              <w:tblBorders>
                <w:top w:val="none" w:color="000000" w:sz="4"/>
                <w:left w:val="none" w:color="000000" w:sz="4"/>
                <w:bottom w:val="none" w:color="000000" w:sz="4"/>
                <w:right w:val="none" w:color="000000" w:sz="4"/>
                <w:insideH w:val="none"/>
                <w:insideV w:val="none"/>
              </w:tblBorders>
            </w:tblPr>
            <w:tblGrid>
              <w:gridCol w:w="292"/>
              <w:gridCol w:w="758"/>
              <w:gridCol w:w="292"/>
              <w:gridCol w:w="466"/>
              <w:gridCol w:w="1749"/>
              <w:gridCol w:w="2041"/>
            </w:tblGrid>
            <w:tr>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岗位名称</w:t>
                  </w:r>
                </w:p>
              </w:tc>
              <w:tc>
                <w:tcPr>
                  <w:tcW w:type="dxa" w:w="2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数量</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是否驻场</w:t>
                  </w:r>
                </w:p>
              </w:tc>
              <w:tc>
                <w:tcPr>
                  <w:tcW w:type="dxa" w:w="174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岗位具体职责</w:t>
                  </w:r>
                </w:p>
              </w:tc>
              <w:tc>
                <w:tcPr>
                  <w:tcW w:type="dxa" w:w="204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备注</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项目经理</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c>
                <w:tcPr>
                  <w:tcW w:type="dxa" w:w="17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项目管理；</w:t>
                  </w:r>
                </w:p>
              </w:tc>
              <w:tc>
                <w:tcPr>
                  <w:tcW w:type="dxa" w:w="2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、具备信息系统项目管理师证书（计算机技术与软件专业技术资格）；</w:t>
                  </w:r>
                </w:p>
                <w:p>
                  <w:pPr>
                    <w:pStyle w:val="null3"/>
                    <w:jc w:val="both"/>
                  </w:pPr>
                  <w:r>
                    <w:rPr>
                      <w:sz w:val="21"/>
                    </w:rPr>
                    <w:t>2</w:t>
                  </w:r>
                  <w:r>
                    <w:rPr>
                      <w:sz w:val="21"/>
                    </w:rPr>
                    <w:t>、具备系统规划与管理师证书（计算机技术与软件专业技术资格）；</w:t>
                  </w:r>
                </w:p>
                <w:p>
                  <w:pPr>
                    <w:pStyle w:val="null3"/>
                    <w:jc w:val="both"/>
                  </w:pPr>
                  <w:r>
                    <w:rPr>
                      <w:sz w:val="21"/>
                    </w:rPr>
                    <w:t>3</w:t>
                  </w:r>
                  <w:r>
                    <w:rPr>
                      <w:sz w:val="21"/>
                    </w:rPr>
                    <w:t>、具备参与信息化项目相关经验。</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基础设施二线运维负责人</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c>
                <w:tcPr>
                  <w:tcW w:type="dxa" w:w="17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基础设施运维过程中疑难问题的二线支撑，技术负责人。需要具备整体系统规划管理和系统分析相关技能已提出合理解决方案。</w:t>
                  </w:r>
                </w:p>
              </w:tc>
              <w:tc>
                <w:tcPr>
                  <w:tcW w:type="dxa" w:w="2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、具备系统规划与管理师证书（计算机技术与软件专业技术资格）；</w:t>
                  </w:r>
                </w:p>
                <w:p>
                  <w:pPr>
                    <w:pStyle w:val="null3"/>
                    <w:jc w:val="both"/>
                  </w:pPr>
                  <w:r>
                    <w:rPr>
                      <w:sz w:val="21"/>
                    </w:rPr>
                    <w:t>2</w:t>
                  </w:r>
                  <w:r>
                    <w:rPr>
                      <w:sz w:val="21"/>
                    </w:rPr>
                    <w:t>、具备系统分析师证书（计算机技术与软件专业技术资格）；</w:t>
                  </w:r>
                </w:p>
                <w:p>
                  <w:pPr>
                    <w:pStyle w:val="null3"/>
                    <w:jc w:val="both"/>
                  </w:pPr>
                  <w:r>
                    <w:rPr>
                      <w:sz w:val="21"/>
                    </w:rPr>
                    <w:t>3</w:t>
                  </w:r>
                  <w:r>
                    <w:rPr>
                      <w:sz w:val="21"/>
                    </w:rPr>
                    <w:t>、具备参与信息化项目相关经验证明。</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信息安全二线运维技术人员</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c>
                <w:tcPr>
                  <w:tcW w:type="dxa" w:w="17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运维过程中，网络与信息安全二线支撑，为网络与信息安全突发事件提供意见。</w:t>
                  </w:r>
                </w:p>
              </w:tc>
              <w:tc>
                <w:tcPr>
                  <w:tcW w:type="dxa" w:w="2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、具备信息安全工程师证书（计算机技术与软件专业技术资格）；</w:t>
                  </w:r>
                </w:p>
                <w:p>
                  <w:pPr>
                    <w:pStyle w:val="null3"/>
                    <w:jc w:val="both"/>
                  </w:pPr>
                  <w:r>
                    <w:rPr>
                      <w:sz w:val="21"/>
                    </w:rPr>
                    <w:t>2</w:t>
                  </w:r>
                  <w:r>
                    <w:rPr>
                      <w:sz w:val="21"/>
                    </w:rPr>
                    <w:t>、具备网络工程师证书（计算机技术与软件专业技术资格）；</w:t>
                  </w:r>
                </w:p>
                <w:p>
                  <w:pPr>
                    <w:pStyle w:val="null3"/>
                    <w:jc w:val="both"/>
                  </w:pPr>
                  <w:r>
                    <w:rPr>
                      <w:sz w:val="21"/>
                    </w:rPr>
                    <w:t>3</w:t>
                  </w:r>
                  <w:r>
                    <w:rPr>
                      <w:sz w:val="21"/>
                    </w:rPr>
                    <w:t>、具备参与信息化项目相关经验证明。</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网络</w:t>
                  </w:r>
                  <w:r>
                    <w:rPr>
                      <w:sz w:val="21"/>
                    </w:rPr>
                    <w:t>二线</w:t>
                  </w:r>
                  <w:r>
                    <w:rPr>
                      <w:sz w:val="21"/>
                    </w:rPr>
                    <w:t>运维技术人员</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c>
                <w:tcPr>
                  <w:tcW w:type="dxa" w:w="17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运维过程中网络技术疑难问题的二线支撑。</w:t>
                  </w:r>
                </w:p>
              </w:tc>
              <w:tc>
                <w:tcPr>
                  <w:tcW w:type="dxa" w:w="2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、具备网络工程师证书（计算机技术与软件专业技术资格）；</w:t>
                  </w:r>
                </w:p>
                <w:p>
                  <w:pPr>
                    <w:pStyle w:val="null3"/>
                    <w:jc w:val="both"/>
                  </w:pPr>
                  <w:r>
                    <w:rPr>
                      <w:sz w:val="21"/>
                    </w:rPr>
                    <w:t>2</w:t>
                  </w:r>
                  <w:r>
                    <w:rPr>
                      <w:sz w:val="21"/>
                    </w:rPr>
                    <w:t>、具备参与信息化项目相关经验证明。</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网络工程师</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是</w:t>
                  </w:r>
                </w:p>
              </w:tc>
              <w:tc>
                <w:tcPr>
                  <w:tcW w:type="dxa" w:w="17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负责采购需求中要求的运维工作。</w:t>
                  </w:r>
                </w:p>
              </w:tc>
              <w:tc>
                <w:tcPr>
                  <w:tcW w:type="dxa" w:w="20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基础设施工程师</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是</w:t>
                  </w:r>
                </w:p>
              </w:tc>
              <w:tc>
                <w:tcPr>
                  <w:tcW w:type="dxa" w:w="1749"/>
                  <w:vMerge/>
                  <w:tcBorders>
                    <w:top w:val="none" w:color="000000" w:sz="4"/>
                    <w:left w:val="none" w:color="000000" w:sz="4"/>
                    <w:bottom w:val="single" w:color="000000" w:sz="4"/>
                    <w:right w:val="single" w:color="000000" w:sz="4"/>
                  </w:tcBorders>
                </w:tcPr>
                <w:p/>
              </w:tc>
              <w:tc>
                <w:tcPr>
                  <w:tcW w:type="dxa" w:w="2041"/>
                  <w:vMerge/>
                  <w:tcBorders>
                    <w:top w:val="none" w:color="000000" w:sz="4"/>
                    <w:left w:val="none" w:color="000000" w:sz="4"/>
                    <w:bottom w:val="single" w:color="000000" w:sz="4"/>
                    <w:right w:val="single" w:color="000000" w:sz="4"/>
                  </w:tcBorders>
                </w:tcPr>
                <w:p/>
              </w:tc>
            </w:tr>
          </w:tbl>
          <w:p>
            <w:pPr>
              <w:pStyle w:val="null3"/>
              <w:jc w:val="both"/>
            </w:pPr>
            <w:r>
              <w:rPr>
                <w:sz w:val="21"/>
                <w:b/>
              </w:rPr>
              <w:t>2.2.</w:t>
            </w:r>
            <w:r>
              <w:rPr>
                <w:sz w:val="21"/>
                <w:b/>
              </w:rPr>
              <w:t>管理要求</w:t>
            </w:r>
          </w:p>
          <w:p>
            <w:pPr>
              <w:pStyle w:val="null3"/>
              <w:jc w:val="both"/>
            </w:pPr>
            <w:r>
              <w:rPr>
                <w:sz w:val="21"/>
                <w:b/>
              </w:rPr>
              <w:t>2.2.1.</w:t>
            </w:r>
            <w:r>
              <w:rPr>
                <w:sz w:val="21"/>
                <w:b/>
              </w:rPr>
              <w:t>服务人员</w:t>
            </w:r>
          </w:p>
          <w:p>
            <w:pPr>
              <w:pStyle w:val="null3"/>
              <w:ind w:firstLine="420"/>
              <w:jc w:val="both"/>
            </w:pPr>
            <w:r>
              <w:rPr>
                <w:sz w:val="21"/>
              </w:rPr>
              <w:t>投标人须书面承诺，如在项目实际执行过程中发生项目经理不能按采购文件要求胜任相关工作的，采购人有权要求更换项目经理，投标人必须在两周内调整为符合采购文件要求且能胜任相关工作的项目经理并到位开展工作，否则采购人有权终止合同并报相关管理部门进行处理。</w:t>
            </w:r>
          </w:p>
          <w:p>
            <w:pPr>
              <w:pStyle w:val="null3"/>
              <w:ind w:firstLine="420"/>
              <w:jc w:val="both"/>
            </w:pPr>
            <w:r>
              <w:rPr>
                <w:sz w:val="21"/>
              </w:rPr>
              <w:t>投标人承诺的项目经理和项目实施的主要人员未经用户同意不得调整；投标人如中途更换项目经理和主要运维技术人员，应征得用户同意，否则采购人有权终止合同。</w:t>
            </w:r>
          </w:p>
          <w:p>
            <w:pPr>
              <w:pStyle w:val="null3"/>
              <w:ind w:firstLine="420"/>
              <w:jc w:val="both"/>
            </w:pPr>
            <w:r>
              <w:rPr>
                <w:sz w:val="21"/>
              </w:rPr>
              <w:t>服务商应指派固定的团队为本项目提供专业服务，服务团队成员不得少于3人。项目经理应具备5年以上项目管理经验。</w:t>
            </w:r>
          </w:p>
          <w:p>
            <w:pPr>
              <w:pStyle w:val="null3"/>
              <w:ind w:firstLine="420"/>
              <w:jc w:val="both"/>
            </w:pPr>
            <w:r>
              <w:rPr>
                <w:sz w:val="21"/>
              </w:rPr>
              <w:t>如需调整服务团队成员，须书面向采购人提出申请，说明申请理由，经采购人书面同意方可调整团队人员，调入人员的资历和从业经验不低于调出人员，否则视为违约行为，采购人有权终止服务合同。</w:t>
            </w:r>
          </w:p>
          <w:p>
            <w:pPr>
              <w:pStyle w:val="null3"/>
              <w:ind w:firstLine="420"/>
              <w:jc w:val="both"/>
            </w:pPr>
            <w:r>
              <w:rPr>
                <w:sz w:val="21"/>
              </w:rPr>
              <w:t>应提供以上人员相关证明资料复印件并加盖公章，并提供以上人员在本公司任职的有效外部证明材料（如加盖政府有关部门印章的《投保单》或《社会保险参保人员证明》，或单位代缴个人所得税税单等，事业法人的相关人员应提供该单位的相关证明）复印件。</w:t>
            </w:r>
          </w:p>
          <w:p>
            <w:pPr>
              <w:pStyle w:val="null3"/>
              <w:ind w:firstLine="422"/>
              <w:jc w:val="both"/>
            </w:pPr>
            <w:r>
              <w:rPr>
                <w:sz w:val="21"/>
                <w:b/>
              </w:rPr>
              <w:t>★驻场人员必须为中标人的正式员工，不得转包、分包或劳务派遣用工，验收时需提供中标人与驻场人员签订的劳动合同，以及验收前3个月任意1个月政府部门出具的由中标人为该驻场服务团队人员缴纳的社保证明，以保障项目实施的专业性与责任明确。</w:t>
            </w:r>
          </w:p>
          <w:p>
            <w:pPr>
              <w:pStyle w:val="null3"/>
              <w:jc w:val="both"/>
            </w:pPr>
            <w:r>
              <w:rPr>
                <w:sz w:val="21"/>
                <w:b/>
              </w:rPr>
              <w:t>2.2.2.</w:t>
            </w:r>
            <w:r>
              <w:rPr>
                <w:sz w:val="21"/>
                <w:b/>
              </w:rPr>
              <w:t>组织实施要求</w:t>
            </w:r>
          </w:p>
          <w:p>
            <w:pPr>
              <w:pStyle w:val="null3"/>
              <w:ind w:firstLine="420"/>
              <w:jc w:val="both"/>
            </w:pPr>
            <w:r>
              <w:rPr>
                <w:sz w:val="21"/>
              </w:rPr>
              <w:t>为使项目按质、按量、按时及有序实施，应答人应建立完善、稳定的项目团队、内部组织管理方式及管理机构、协调机制、技术基础，支撑保障要求及其他相关要求。在机制保障方面，成立组织实施小组和项目专家组的双轨制的组织模式。在项目日常管理和条件保障方面，从行政组织、后勤保障和支撑条件各方面创造良好的服务环境，确保项目的顺利实施。</w:t>
            </w:r>
          </w:p>
          <w:p>
            <w:pPr>
              <w:pStyle w:val="null3"/>
              <w:jc w:val="both"/>
            </w:pPr>
            <w:r>
              <w:rPr>
                <w:sz w:val="21"/>
                <w:b/>
              </w:rPr>
              <w:t>2.2.3.</w:t>
            </w:r>
            <w:r>
              <w:rPr>
                <w:sz w:val="21"/>
                <w:b/>
              </w:rPr>
              <w:t>文档管理要求</w:t>
            </w:r>
          </w:p>
          <w:p>
            <w:pPr>
              <w:pStyle w:val="null3"/>
              <w:ind w:firstLine="420"/>
              <w:jc w:val="both"/>
            </w:pPr>
            <w:r>
              <w:rPr>
                <w:sz w:val="21"/>
              </w:rPr>
              <w:t>应答人应在项目完成时，将本项目所有文档、资料汇集成册交付给采购人，所有文件要求用中文书写或有完整的中文注释。验收后，应答人按国家、省以及采购人档案管理要求，向采购人提供装订成册的纸质文档至少2套，电子文档1套。</w:t>
            </w:r>
          </w:p>
          <w:p>
            <w:pPr>
              <w:pStyle w:val="null3"/>
              <w:jc w:val="left"/>
            </w:pPr>
            <w:r>
              <w:rPr>
                <w:b/>
              </w:rPr>
              <w:t>2.3</w:t>
            </w:r>
            <w:r>
              <w:rPr>
                <w:b/>
              </w:rPr>
              <w:t>服务质量评价指标</w:t>
            </w:r>
          </w:p>
          <w:tbl>
            <w:tblGrid>
              <w:gridCol w:w="233"/>
              <w:gridCol w:w="408"/>
              <w:gridCol w:w="408"/>
              <w:gridCol w:w="4024"/>
              <w:gridCol w:w="292"/>
              <w:gridCol w:w="233"/>
            </w:tblGrid>
            <w:tr>
              <w:tc>
                <w:tcPr>
                  <w:tcW w:type="dxa" w:w="233"/>
                  <w:tcBorders>
                    <w:top w:val="single" w:color="000000" w:sz="4"/>
                    <w:left w:val="single" w:color="000000" w:sz="4"/>
                    <w:bottom w:val="single" w:color="000000" w:sz="4"/>
                    <w:right w:val="single" w:color="000000" w:sz="4"/>
                  </w:tcBorders>
                  <w:shd w:fill="D9D9D9"/>
                  <w:tcMar>
                    <w:top w:type="dxa" w:w="0"/>
                    <w:left w:type="dxa" w:w="60"/>
                    <w:bottom w:type="dxa" w:w="0"/>
                    <w:right w:type="dxa" w:w="60"/>
                  </w:tcMar>
                </w:tcPr>
                <w:p>
                  <w:pPr>
                    <w:pStyle w:val="null3"/>
                    <w:jc w:val="both"/>
                  </w:pPr>
                  <w:r>
                    <w:rPr>
                      <w:sz w:val="21"/>
                    </w:rPr>
                    <w:t>序号</w:t>
                  </w:r>
                </w:p>
              </w:tc>
              <w:tc>
                <w:tcPr>
                  <w:tcW w:type="dxa" w:w="816"/>
                  <w:gridSpan w:val="2"/>
                  <w:tcBorders>
                    <w:top w:val="single" w:color="000000" w:sz="4"/>
                    <w:left w:val="none" w:color="000000" w:sz="4"/>
                    <w:bottom w:val="single" w:color="000000" w:sz="4"/>
                    <w:right w:val="single" w:color="000000" w:sz="4"/>
                  </w:tcBorders>
                  <w:shd w:fill="D9D9D9"/>
                  <w:tcMar>
                    <w:top w:type="dxa" w:w="0"/>
                    <w:left w:type="dxa" w:w="60"/>
                    <w:bottom w:type="dxa" w:w="0"/>
                    <w:right w:type="dxa" w:w="60"/>
                  </w:tcMar>
                </w:tcPr>
                <w:p>
                  <w:pPr>
                    <w:pStyle w:val="null3"/>
                    <w:jc w:val="both"/>
                  </w:pPr>
                  <w:r>
                    <w:rPr>
                      <w:sz w:val="21"/>
                    </w:rPr>
                    <w:t>考核指标</w:t>
                  </w:r>
                </w:p>
              </w:tc>
              <w:tc>
                <w:tcPr>
                  <w:tcW w:type="dxa" w:w="4024"/>
                  <w:tcBorders>
                    <w:top w:val="single" w:color="000000" w:sz="4"/>
                    <w:left w:val="none" w:color="000000" w:sz="4"/>
                    <w:bottom w:val="single" w:color="000000" w:sz="4"/>
                    <w:right w:val="single" w:color="000000" w:sz="4"/>
                  </w:tcBorders>
                  <w:shd w:fill="D9D9D9"/>
                  <w:tcMar>
                    <w:top w:type="dxa" w:w="0"/>
                    <w:left w:type="dxa" w:w="60"/>
                    <w:bottom w:type="dxa" w:w="0"/>
                    <w:right w:type="dxa" w:w="60"/>
                  </w:tcMar>
                </w:tcPr>
                <w:p>
                  <w:pPr>
                    <w:pStyle w:val="null3"/>
                    <w:jc w:val="both"/>
                  </w:pPr>
                  <w:r>
                    <w:rPr>
                      <w:sz w:val="21"/>
                    </w:rPr>
                    <w:t>考核标准</w:t>
                  </w:r>
                </w:p>
              </w:tc>
              <w:tc>
                <w:tcPr>
                  <w:tcW w:type="dxa" w:w="292"/>
                  <w:tcBorders>
                    <w:top w:val="single" w:color="000000" w:sz="4"/>
                    <w:left w:val="none" w:color="000000" w:sz="4"/>
                    <w:bottom w:val="single" w:color="000000" w:sz="4"/>
                    <w:right w:val="single" w:color="000000" w:sz="4"/>
                  </w:tcBorders>
                  <w:shd w:fill="D9D9D9"/>
                  <w:tcMar>
                    <w:top w:type="dxa" w:w="0"/>
                    <w:left w:type="dxa" w:w="60"/>
                    <w:bottom w:type="dxa" w:w="0"/>
                    <w:right w:type="dxa" w:w="60"/>
                  </w:tcMar>
                </w:tcPr>
                <w:p>
                  <w:pPr>
                    <w:pStyle w:val="null3"/>
                    <w:jc w:val="both"/>
                  </w:pPr>
                  <w:r>
                    <w:rPr>
                      <w:sz w:val="21"/>
                    </w:rPr>
                    <w:t>扣分值</w:t>
                  </w:r>
                </w:p>
              </w:tc>
              <w:tc>
                <w:tcPr>
                  <w:tcW w:type="dxa" w:w="233"/>
                  <w:tcBorders>
                    <w:top w:val="single" w:color="000000" w:sz="4"/>
                    <w:left w:val="none" w:color="000000" w:sz="4"/>
                    <w:bottom w:val="single" w:color="000000" w:sz="4"/>
                    <w:right w:val="single" w:color="000000" w:sz="4"/>
                  </w:tcBorders>
                  <w:shd w:fill="D9D9D9"/>
                  <w:tcMar>
                    <w:top w:type="dxa" w:w="0"/>
                    <w:left w:type="dxa" w:w="60"/>
                    <w:bottom w:type="dxa" w:w="0"/>
                    <w:right w:type="dxa" w:w="60"/>
                  </w:tcMar>
                </w:tcPr>
                <w:p>
                  <w:pPr>
                    <w:pStyle w:val="null3"/>
                    <w:jc w:val="both"/>
                  </w:pPr>
                  <w:r>
                    <w:rPr>
                      <w:sz w:val="21"/>
                    </w:rPr>
                    <w:t>备注</w:t>
                  </w:r>
                </w:p>
              </w:tc>
            </w:tr>
            <w:tr>
              <w:tc>
                <w:tcPr>
                  <w:tcW w:type="dxa" w:w="233"/>
                  <w:vMerge w:val="restart"/>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sz w:val="21"/>
                    </w:rPr>
                    <w:t>1</w:t>
                  </w:r>
                </w:p>
              </w:tc>
              <w:tc>
                <w:tcPr>
                  <w:tcW w:type="dxa" w:w="408"/>
                  <w:vMerge w:val="restart"/>
                  <w:tcBorders>
                    <w:top w:val="none" w:color="000000" w:sz="4"/>
                    <w:left w:val="none" w:color="000000" w:sz="4"/>
                    <w:bottom w:val="none" w:color="000000" w:sz="4"/>
                    <w:right w:val="single" w:color="000000" w:sz="4"/>
                  </w:tcBorders>
                  <w:tcMar>
                    <w:top w:type="dxa" w:w="0"/>
                    <w:left w:type="dxa" w:w="60"/>
                    <w:bottom w:type="dxa" w:w="0"/>
                    <w:right w:type="dxa" w:w="60"/>
                  </w:tcMar>
                </w:tcPr>
                <w:p>
                  <w:pPr>
                    <w:pStyle w:val="null3"/>
                    <w:jc w:val="both"/>
                  </w:pPr>
                  <w:r>
                    <w:rPr>
                      <w:sz w:val="21"/>
                    </w:rPr>
                    <w:t>服务时效性</w:t>
                  </w:r>
                </w:p>
              </w:tc>
              <w:tc>
                <w:tcPr>
                  <w:tcW w:type="dxa" w:w="408"/>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日常巡检指标</w:t>
                  </w: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工作日内需检查监控系统运行情况，非工作日应做好应急响应，并配合用户指派的工作任务。未按合同要求的，扣</w:t>
                  </w:r>
                  <w:r>
                    <w:rPr>
                      <w:sz w:val="21"/>
                    </w:rPr>
                    <w:t>0.5</w:t>
                  </w:r>
                  <w:r>
                    <w:rPr>
                      <w:sz w:val="21"/>
                    </w:rPr>
                    <w:t>分</w:t>
                  </w:r>
                  <w:r>
                    <w:rPr>
                      <w:sz w:val="21"/>
                    </w:rPr>
                    <w:t>/</w:t>
                  </w:r>
                  <w:r>
                    <w:rPr>
                      <w:sz w:val="21"/>
                    </w:rPr>
                    <w:t>次。</w:t>
                  </w:r>
                </w:p>
              </w:tc>
              <w:tc>
                <w:tcPr>
                  <w:tcW w:type="dxa" w:w="292"/>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p>
              </w:tc>
              <w:tc>
                <w:tcPr>
                  <w:tcW w:type="dxa" w:w="233"/>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233"/>
                  <w:vMerge/>
                  <w:tcBorders>
                    <w:top w:val="none" w:color="000000" w:sz="4"/>
                    <w:left w:val="single" w:color="000000" w:sz="4"/>
                    <w:bottom w:val="single" w:color="000000" w:sz="4"/>
                    <w:right w:val="single" w:color="000000" w:sz="4"/>
                  </w:tcBorders>
                </w:tcPr>
                <w:p/>
              </w:tc>
              <w:tc>
                <w:tcPr>
                  <w:tcW w:type="dxa" w:w="408"/>
                  <w:vMerge/>
                  <w:tcBorders>
                    <w:top w:val="none" w:color="000000" w:sz="4"/>
                    <w:left w:val="none" w:color="000000" w:sz="4"/>
                    <w:bottom w:val="none" w:color="000000" w:sz="4"/>
                    <w:right w:val="single" w:color="000000" w:sz="4"/>
                  </w:tcBorders>
                </w:tcPr>
                <w:p/>
              </w:tc>
              <w:tc>
                <w:tcPr>
                  <w:tcW w:type="dxa" w:w="408"/>
                  <w:vMerge/>
                  <w:tcBorders>
                    <w:top w:val="none" w:color="000000" w:sz="4"/>
                    <w:left w:val="none" w:color="000000" w:sz="4"/>
                    <w:bottom w:val="single" w:color="000000" w:sz="4"/>
                    <w:right w:val="single" w:color="000000" w:sz="4"/>
                  </w:tcBorders>
                </w:tcP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各系统检查频度未按合同要求的，扣</w:t>
                  </w:r>
                  <w:r>
                    <w:rPr>
                      <w:sz w:val="21"/>
                    </w:rPr>
                    <w:t>0.5</w:t>
                  </w:r>
                  <w:r>
                    <w:rPr>
                      <w:sz w:val="21"/>
                    </w:rPr>
                    <w:t>分</w:t>
                  </w:r>
                  <w:r>
                    <w:rPr>
                      <w:sz w:val="21"/>
                    </w:rPr>
                    <w:t>/</w:t>
                  </w:r>
                  <w:r>
                    <w:rPr>
                      <w:sz w:val="21"/>
                    </w:rPr>
                    <w:t>次。</w:t>
                  </w:r>
                </w:p>
              </w:tc>
              <w:tc>
                <w:tcPr>
                  <w:tcW w:type="dxa" w:w="292"/>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r>
            <w:tr>
              <w:tc>
                <w:tcPr>
                  <w:tcW w:type="dxa" w:w="233"/>
                  <w:vMerge/>
                  <w:tcBorders>
                    <w:top w:val="none" w:color="000000" w:sz="4"/>
                    <w:left w:val="single" w:color="000000" w:sz="4"/>
                    <w:bottom w:val="single" w:color="000000" w:sz="4"/>
                    <w:right w:val="single" w:color="000000" w:sz="4"/>
                  </w:tcBorders>
                </w:tcPr>
                <w:p/>
              </w:tc>
              <w:tc>
                <w:tcPr>
                  <w:tcW w:type="dxa" w:w="408"/>
                  <w:vMerge/>
                  <w:tcBorders>
                    <w:top w:val="none" w:color="000000" w:sz="4"/>
                    <w:left w:val="none" w:color="000000" w:sz="4"/>
                    <w:bottom w:val="none" w:color="000000" w:sz="4"/>
                    <w:right w:val="single" w:color="000000" w:sz="4"/>
                  </w:tcBorders>
                </w:tcPr>
                <w:p/>
              </w:tc>
              <w:tc>
                <w:tcPr>
                  <w:tcW w:type="dxa" w:w="408"/>
                  <w:vMerge/>
                  <w:tcBorders>
                    <w:top w:val="none" w:color="000000" w:sz="4"/>
                    <w:left w:val="none" w:color="000000" w:sz="4"/>
                    <w:bottom w:val="single" w:color="000000" w:sz="4"/>
                    <w:right w:val="single" w:color="000000" w:sz="4"/>
                  </w:tcBorders>
                </w:tcP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各系统接口检查频度未按合同要求的，扣</w:t>
                  </w:r>
                  <w:r>
                    <w:rPr>
                      <w:sz w:val="21"/>
                    </w:rPr>
                    <w:t>0.5</w:t>
                  </w:r>
                  <w:r>
                    <w:rPr>
                      <w:sz w:val="21"/>
                    </w:rPr>
                    <w:t>分</w:t>
                  </w:r>
                  <w:r>
                    <w:rPr>
                      <w:sz w:val="21"/>
                    </w:rPr>
                    <w:t>/</w:t>
                  </w:r>
                  <w:r>
                    <w:rPr>
                      <w:sz w:val="21"/>
                    </w:rPr>
                    <w:t>次。</w:t>
                  </w:r>
                </w:p>
              </w:tc>
              <w:tc>
                <w:tcPr>
                  <w:tcW w:type="dxa" w:w="292"/>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r>
            <w:tr>
              <w:tc>
                <w:tcPr>
                  <w:tcW w:type="dxa" w:w="233"/>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sz w:val="21"/>
                    </w:rPr>
                    <w:t>2</w:t>
                  </w:r>
                </w:p>
              </w:tc>
              <w:tc>
                <w:tcPr>
                  <w:tcW w:type="dxa" w:w="408"/>
                  <w:vMerge/>
                  <w:tcBorders>
                    <w:top w:val="none" w:color="000000" w:sz="4"/>
                    <w:left w:val="none" w:color="000000" w:sz="4"/>
                    <w:bottom w:val="none" w:color="000000" w:sz="4"/>
                    <w:right w:val="single" w:color="000000" w:sz="4"/>
                  </w:tcBorders>
                </w:tcPr>
                <w:p/>
              </w:tc>
              <w:tc>
                <w:tcPr>
                  <w:tcW w:type="dxa" w:w="40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应急服务</w:t>
                  </w: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驻场运维负责人（及其</w:t>
                  </w:r>
                  <w:r>
                    <w:rPr>
                      <w:sz w:val="21"/>
                    </w:rPr>
                    <w:t>B</w:t>
                  </w:r>
                  <w:r>
                    <w:rPr>
                      <w:sz w:val="21"/>
                    </w:rPr>
                    <w:t>角）应</w:t>
                  </w:r>
                  <w:r>
                    <w:rPr>
                      <w:sz w:val="21"/>
                    </w:rPr>
                    <w:t>24</w:t>
                  </w:r>
                  <w:r>
                    <w:rPr>
                      <w:sz w:val="21"/>
                    </w:rPr>
                    <w:t>小时待机，发现关机或在</w:t>
                  </w:r>
                  <w:r>
                    <w:rPr>
                      <w:sz w:val="21"/>
                    </w:rPr>
                    <w:t>15</w:t>
                  </w:r>
                  <w:r>
                    <w:rPr>
                      <w:sz w:val="21"/>
                    </w:rPr>
                    <w:t>分钟内未回复电话的，每</w:t>
                  </w:r>
                  <w:r>
                    <w:rPr>
                      <w:sz w:val="21"/>
                    </w:rPr>
                    <w:t>2</w:t>
                  </w:r>
                  <w:r>
                    <w:rPr>
                      <w:sz w:val="21"/>
                    </w:rPr>
                    <w:t>次扣</w:t>
                  </w:r>
                  <w:r>
                    <w:rPr>
                      <w:sz w:val="21"/>
                    </w:rPr>
                    <w:t>1</w:t>
                  </w:r>
                  <w:r>
                    <w:rPr>
                      <w:sz w:val="21"/>
                    </w:rPr>
                    <w:t>分。（非人为因素除外）</w:t>
                  </w:r>
                </w:p>
              </w:tc>
              <w:tc>
                <w:tcPr>
                  <w:tcW w:type="dxa" w:w="29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p>
              </w:tc>
              <w:tc>
                <w:tcPr>
                  <w:tcW w:type="dxa" w:w="233"/>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233"/>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sz w:val="21"/>
                    </w:rPr>
                    <w:t>3</w:t>
                  </w:r>
                </w:p>
              </w:tc>
              <w:tc>
                <w:tcPr>
                  <w:tcW w:type="dxa" w:w="408"/>
                  <w:vMerge/>
                  <w:tcBorders>
                    <w:top w:val="none" w:color="000000" w:sz="4"/>
                    <w:left w:val="none" w:color="000000" w:sz="4"/>
                    <w:bottom w:val="none" w:color="000000" w:sz="4"/>
                    <w:right w:val="single" w:color="000000" w:sz="4"/>
                  </w:tcBorders>
                </w:tcPr>
                <w:p/>
              </w:tc>
              <w:tc>
                <w:tcPr>
                  <w:tcW w:type="dxa" w:w="40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故障响应</w:t>
                  </w: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省局信息系统发生故障，工作日内若需现场服务的需在</w:t>
                  </w:r>
                  <w:r>
                    <w:rPr>
                      <w:sz w:val="21"/>
                    </w:rPr>
                    <w:t>15</w:t>
                  </w:r>
                  <w:r>
                    <w:rPr>
                      <w:sz w:val="21"/>
                    </w:rPr>
                    <w:t>分钟之内到达现场，非工作时间，若需要现场服务的需在</w:t>
                  </w:r>
                  <w:r>
                    <w:rPr>
                      <w:sz w:val="21"/>
                    </w:rPr>
                    <w:t>1</w:t>
                  </w:r>
                  <w:r>
                    <w:rPr>
                      <w:sz w:val="21"/>
                    </w:rPr>
                    <w:t>小时之内到达现场（不可抗力因素除外），每延迟</w:t>
                  </w:r>
                  <w:r>
                    <w:rPr>
                      <w:sz w:val="21"/>
                    </w:rPr>
                    <w:t>15</w:t>
                  </w:r>
                  <w:r>
                    <w:rPr>
                      <w:sz w:val="21"/>
                    </w:rPr>
                    <w:t>分钟扣</w:t>
                  </w:r>
                  <w:r>
                    <w:rPr>
                      <w:sz w:val="21"/>
                    </w:rPr>
                    <w:t>0.5</w:t>
                  </w:r>
                  <w:r>
                    <w:rPr>
                      <w:sz w:val="21"/>
                    </w:rPr>
                    <w:t>分。</w:t>
                  </w:r>
                </w:p>
              </w:tc>
              <w:tc>
                <w:tcPr>
                  <w:tcW w:type="dxa" w:w="29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p>
              </w:tc>
              <w:tc>
                <w:tcPr>
                  <w:tcW w:type="dxa" w:w="233"/>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233"/>
                  <w:vMerge w:val="restart"/>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sz w:val="21"/>
                    </w:rPr>
                    <w:t>4</w:t>
                  </w:r>
                </w:p>
              </w:tc>
              <w:tc>
                <w:tcPr>
                  <w:tcW w:type="dxa" w:w="408"/>
                  <w:vMerge/>
                  <w:tcBorders>
                    <w:top w:val="none" w:color="000000" w:sz="4"/>
                    <w:left w:val="none" w:color="000000" w:sz="4"/>
                    <w:bottom w:val="none" w:color="000000" w:sz="4"/>
                    <w:right w:val="single" w:color="000000" w:sz="4"/>
                  </w:tcBorders>
                </w:tcPr>
                <w:p/>
              </w:tc>
              <w:tc>
                <w:tcPr>
                  <w:tcW w:type="dxa" w:w="408"/>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故障解决失效</w:t>
                  </w: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A</w:t>
                  </w:r>
                  <w:r>
                    <w:rPr>
                      <w:sz w:val="21"/>
                    </w:rPr>
                    <w:t>级故障每延迟</w:t>
                  </w:r>
                  <w:r>
                    <w:rPr>
                      <w:sz w:val="21"/>
                    </w:rPr>
                    <w:t>30</w:t>
                  </w:r>
                  <w:r>
                    <w:rPr>
                      <w:sz w:val="21"/>
                    </w:rPr>
                    <w:t>分钟，扣除</w:t>
                  </w:r>
                  <w:r>
                    <w:rPr>
                      <w:sz w:val="21"/>
                    </w:rPr>
                    <w:t>5</w:t>
                  </w:r>
                  <w:r>
                    <w:rPr>
                      <w:sz w:val="21"/>
                    </w:rPr>
                    <w:t>分</w:t>
                  </w:r>
                  <w:r>
                    <w:rPr>
                      <w:sz w:val="21"/>
                    </w:rPr>
                    <w:t>/</w:t>
                  </w:r>
                  <w:r>
                    <w:rPr>
                      <w:sz w:val="21"/>
                    </w:rPr>
                    <w:t>次。</w:t>
                  </w:r>
                </w:p>
              </w:tc>
              <w:tc>
                <w:tcPr>
                  <w:tcW w:type="dxa" w:w="292"/>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p>
              </w:tc>
              <w:tc>
                <w:tcPr>
                  <w:tcW w:type="dxa" w:w="233"/>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233"/>
                  <w:vMerge/>
                  <w:tcBorders>
                    <w:top w:val="none" w:color="000000" w:sz="4"/>
                    <w:left w:val="single" w:color="000000" w:sz="4"/>
                    <w:bottom w:val="single" w:color="000000" w:sz="4"/>
                    <w:right w:val="single" w:color="000000" w:sz="4"/>
                  </w:tcBorders>
                </w:tcPr>
                <w:p/>
              </w:tc>
              <w:tc>
                <w:tcPr>
                  <w:tcW w:type="dxa" w:w="408"/>
                  <w:vMerge/>
                  <w:tcBorders>
                    <w:top w:val="none" w:color="000000" w:sz="4"/>
                    <w:left w:val="none" w:color="000000" w:sz="4"/>
                    <w:bottom w:val="none" w:color="000000" w:sz="4"/>
                    <w:right w:val="single" w:color="000000" w:sz="4"/>
                  </w:tcBorders>
                </w:tcPr>
                <w:p/>
              </w:tc>
              <w:tc>
                <w:tcPr>
                  <w:tcW w:type="dxa" w:w="408"/>
                  <w:vMerge/>
                  <w:tcBorders>
                    <w:top w:val="none" w:color="000000" w:sz="4"/>
                    <w:left w:val="none" w:color="000000" w:sz="4"/>
                    <w:bottom w:val="single" w:color="000000" w:sz="4"/>
                    <w:right w:val="single" w:color="000000" w:sz="4"/>
                  </w:tcBorders>
                </w:tcP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B</w:t>
                  </w:r>
                  <w:r>
                    <w:rPr>
                      <w:sz w:val="21"/>
                    </w:rPr>
                    <w:t>级故障每延迟</w:t>
                  </w:r>
                  <w:r>
                    <w:rPr>
                      <w:sz w:val="21"/>
                    </w:rPr>
                    <w:t>30</w:t>
                  </w:r>
                  <w:r>
                    <w:rPr>
                      <w:sz w:val="21"/>
                    </w:rPr>
                    <w:t>分钟，扣除</w:t>
                  </w:r>
                  <w:r>
                    <w:rPr>
                      <w:sz w:val="21"/>
                    </w:rPr>
                    <w:t>3</w:t>
                  </w:r>
                  <w:r>
                    <w:rPr>
                      <w:sz w:val="21"/>
                    </w:rPr>
                    <w:t>分</w:t>
                  </w:r>
                  <w:r>
                    <w:rPr>
                      <w:sz w:val="21"/>
                    </w:rPr>
                    <w:t>/</w:t>
                  </w:r>
                  <w:r>
                    <w:rPr>
                      <w:sz w:val="21"/>
                    </w:rPr>
                    <w:t>次。</w:t>
                  </w:r>
                </w:p>
              </w:tc>
              <w:tc>
                <w:tcPr>
                  <w:tcW w:type="dxa" w:w="292"/>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r>
            <w:tr>
              <w:tc>
                <w:tcPr>
                  <w:tcW w:type="dxa" w:w="233"/>
                  <w:vMerge/>
                  <w:tcBorders>
                    <w:top w:val="none" w:color="000000" w:sz="4"/>
                    <w:left w:val="single" w:color="000000" w:sz="4"/>
                    <w:bottom w:val="single" w:color="000000" w:sz="4"/>
                    <w:right w:val="single" w:color="000000" w:sz="4"/>
                  </w:tcBorders>
                </w:tcPr>
                <w:p/>
              </w:tc>
              <w:tc>
                <w:tcPr>
                  <w:tcW w:type="dxa" w:w="408"/>
                  <w:vMerge/>
                  <w:tcBorders>
                    <w:top w:val="none" w:color="000000" w:sz="4"/>
                    <w:left w:val="none" w:color="000000" w:sz="4"/>
                    <w:bottom w:val="none" w:color="000000" w:sz="4"/>
                    <w:right w:val="single" w:color="000000" w:sz="4"/>
                  </w:tcBorders>
                </w:tcPr>
                <w:p/>
              </w:tc>
              <w:tc>
                <w:tcPr>
                  <w:tcW w:type="dxa" w:w="408"/>
                  <w:vMerge/>
                  <w:tcBorders>
                    <w:top w:val="none" w:color="000000" w:sz="4"/>
                    <w:left w:val="none" w:color="000000" w:sz="4"/>
                    <w:bottom w:val="single" w:color="000000" w:sz="4"/>
                    <w:right w:val="single" w:color="000000" w:sz="4"/>
                  </w:tcBorders>
                </w:tcP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C</w:t>
                  </w:r>
                  <w:r>
                    <w:rPr>
                      <w:sz w:val="21"/>
                    </w:rPr>
                    <w:t>级故障每延迟</w:t>
                  </w:r>
                  <w:r>
                    <w:rPr>
                      <w:sz w:val="21"/>
                    </w:rPr>
                    <w:t>30</w:t>
                  </w:r>
                  <w:r>
                    <w:rPr>
                      <w:sz w:val="21"/>
                    </w:rPr>
                    <w:t>分钟，扣除</w:t>
                  </w:r>
                  <w:r>
                    <w:rPr>
                      <w:sz w:val="21"/>
                    </w:rPr>
                    <w:t>2</w:t>
                  </w:r>
                  <w:r>
                    <w:rPr>
                      <w:sz w:val="21"/>
                    </w:rPr>
                    <w:t>分</w:t>
                  </w:r>
                  <w:r>
                    <w:rPr>
                      <w:sz w:val="21"/>
                    </w:rPr>
                    <w:t>/</w:t>
                  </w:r>
                  <w:r>
                    <w:rPr>
                      <w:sz w:val="21"/>
                    </w:rPr>
                    <w:t>次。</w:t>
                  </w:r>
                </w:p>
              </w:tc>
              <w:tc>
                <w:tcPr>
                  <w:tcW w:type="dxa" w:w="292"/>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r>
            <w:tr>
              <w:tc>
                <w:tcPr>
                  <w:tcW w:type="dxa" w:w="233"/>
                  <w:vMerge/>
                  <w:tcBorders>
                    <w:top w:val="none" w:color="000000" w:sz="4"/>
                    <w:left w:val="single" w:color="000000" w:sz="4"/>
                    <w:bottom w:val="single" w:color="000000" w:sz="4"/>
                    <w:right w:val="single" w:color="000000" w:sz="4"/>
                  </w:tcBorders>
                </w:tcPr>
                <w:p/>
              </w:tc>
              <w:tc>
                <w:tcPr>
                  <w:tcW w:type="dxa" w:w="408"/>
                  <w:vMerge/>
                  <w:tcBorders>
                    <w:top w:val="none" w:color="000000" w:sz="4"/>
                    <w:left w:val="none" w:color="000000" w:sz="4"/>
                    <w:bottom w:val="none" w:color="000000" w:sz="4"/>
                    <w:right w:val="single" w:color="000000" w:sz="4"/>
                  </w:tcBorders>
                </w:tcPr>
                <w:p/>
              </w:tc>
              <w:tc>
                <w:tcPr>
                  <w:tcW w:type="dxa" w:w="408"/>
                  <w:vMerge/>
                  <w:tcBorders>
                    <w:top w:val="none" w:color="000000" w:sz="4"/>
                    <w:left w:val="none" w:color="000000" w:sz="4"/>
                    <w:bottom w:val="single" w:color="000000" w:sz="4"/>
                    <w:right w:val="single" w:color="000000" w:sz="4"/>
                  </w:tcBorders>
                </w:tcP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D</w:t>
                  </w:r>
                  <w:r>
                    <w:rPr>
                      <w:sz w:val="21"/>
                    </w:rPr>
                    <w:t>级故障每延迟</w:t>
                  </w:r>
                  <w:r>
                    <w:rPr>
                      <w:sz w:val="21"/>
                    </w:rPr>
                    <w:t>24</w:t>
                  </w:r>
                  <w:r>
                    <w:rPr>
                      <w:sz w:val="21"/>
                    </w:rPr>
                    <w:t>小时，扣除</w:t>
                  </w:r>
                  <w:r>
                    <w:rPr>
                      <w:sz w:val="21"/>
                    </w:rPr>
                    <w:t>1</w:t>
                  </w:r>
                  <w:r>
                    <w:rPr>
                      <w:sz w:val="21"/>
                    </w:rPr>
                    <w:t>分</w:t>
                  </w:r>
                  <w:r>
                    <w:rPr>
                      <w:sz w:val="21"/>
                    </w:rPr>
                    <w:t>/</w:t>
                  </w:r>
                  <w:r>
                    <w:rPr>
                      <w:sz w:val="21"/>
                    </w:rPr>
                    <w:t>次。</w:t>
                  </w:r>
                </w:p>
              </w:tc>
              <w:tc>
                <w:tcPr>
                  <w:tcW w:type="dxa" w:w="292"/>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r>
            <w:tr>
              <w:tc>
                <w:tcPr>
                  <w:tcW w:type="dxa" w:w="233"/>
                  <w:vMerge w:val="restart"/>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sz w:val="21"/>
                    </w:rPr>
                    <w:t>5</w:t>
                  </w:r>
                </w:p>
              </w:tc>
              <w:tc>
                <w:tcPr>
                  <w:tcW w:type="dxa" w:w="408"/>
                  <w:vMerge/>
                  <w:tcBorders>
                    <w:top w:val="none" w:color="000000" w:sz="4"/>
                    <w:left w:val="none" w:color="000000" w:sz="4"/>
                    <w:bottom w:val="none" w:color="000000" w:sz="4"/>
                    <w:right w:val="single" w:color="000000" w:sz="4"/>
                  </w:tcBorders>
                </w:tcPr>
                <w:p/>
              </w:tc>
              <w:tc>
                <w:tcPr>
                  <w:tcW w:type="dxa" w:w="408"/>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成品租赁软件</w:t>
                  </w: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租赁软件未能按规定时间内到货的，扣</w:t>
                  </w:r>
                  <w:r>
                    <w:rPr>
                      <w:sz w:val="21"/>
                    </w:rPr>
                    <w:t>1</w:t>
                  </w:r>
                  <w:r>
                    <w:rPr>
                      <w:sz w:val="21"/>
                    </w:rPr>
                    <w:t>分</w:t>
                  </w:r>
                  <w:r>
                    <w:rPr>
                      <w:sz w:val="21"/>
                    </w:rPr>
                    <w:t>/</w:t>
                  </w:r>
                  <w:r>
                    <w:rPr>
                      <w:sz w:val="21"/>
                    </w:rPr>
                    <w:t>次。</w:t>
                  </w:r>
                </w:p>
              </w:tc>
              <w:tc>
                <w:tcPr>
                  <w:tcW w:type="dxa" w:w="29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p>
              </w:tc>
              <w:tc>
                <w:tcPr>
                  <w:tcW w:type="dxa" w:w="233"/>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233"/>
                  <w:vMerge/>
                  <w:tcBorders>
                    <w:top w:val="none" w:color="000000" w:sz="4"/>
                    <w:left w:val="single" w:color="000000" w:sz="4"/>
                    <w:bottom w:val="single" w:color="000000" w:sz="4"/>
                    <w:right w:val="single" w:color="000000" w:sz="4"/>
                  </w:tcBorders>
                </w:tcPr>
                <w:p/>
              </w:tc>
              <w:tc>
                <w:tcPr>
                  <w:tcW w:type="dxa" w:w="408"/>
                  <w:vMerge/>
                  <w:tcBorders>
                    <w:top w:val="none" w:color="000000" w:sz="4"/>
                    <w:left w:val="none" w:color="000000" w:sz="4"/>
                    <w:bottom w:val="none" w:color="000000" w:sz="4"/>
                    <w:right w:val="single" w:color="000000" w:sz="4"/>
                  </w:tcBorders>
                </w:tcPr>
                <w:p/>
              </w:tc>
              <w:tc>
                <w:tcPr>
                  <w:tcW w:type="dxa" w:w="408"/>
                  <w:vMerge/>
                  <w:tcBorders>
                    <w:top w:val="none" w:color="000000" w:sz="4"/>
                    <w:left w:val="none" w:color="000000" w:sz="4"/>
                    <w:bottom w:val="single" w:color="000000" w:sz="4"/>
                    <w:right w:val="single" w:color="000000" w:sz="4"/>
                  </w:tcBorders>
                </w:tcP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未能在双方协商时间内完成租赁软件安装调试工作的，每延迟</w:t>
                  </w:r>
                  <w:r>
                    <w:rPr>
                      <w:sz w:val="21"/>
                    </w:rPr>
                    <w:t>2</w:t>
                  </w:r>
                  <w:r>
                    <w:rPr>
                      <w:sz w:val="21"/>
                    </w:rPr>
                    <w:t>天扣</w:t>
                  </w:r>
                  <w:r>
                    <w:rPr>
                      <w:sz w:val="21"/>
                    </w:rPr>
                    <w:t>1</w:t>
                  </w:r>
                  <w:r>
                    <w:rPr>
                      <w:sz w:val="21"/>
                    </w:rPr>
                    <w:t>分。</w:t>
                  </w:r>
                </w:p>
              </w:tc>
              <w:tc>
                <w:tcPr>
                  <w:tcW w:type="dxa" w:w="29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p>
              </w:tc>
              <w:tc>
                <w:tcPr>
                  <w:tcW w:type="dxa" w:w="233"/>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233"/>
                  <w:vMerge w:val="restart"/>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sz w:val="21"/>
                    </w:rPr>
                    <w:t>6</w:t>
                  </w:r>
                </w:p>
              </w:tc>
              <w:tc>
                <w:tcPr>
                  <w:tcW w:type="dxa" w:w="408"/>
                  <w:vMerge w:val="restart"/>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服务完整性</w:t>
                  </w:r>
                </w:p>
              </w:tc>
              <w:tc>
                <w:tcPr>
                  <w:tcW w:type="dxa" w:w="408"/>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服务保障</w:t>
                  </w: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 xml:space="preserve">1. </w:t>
                  </w:r>
                  <w:r>
                    <w:rPr>
                      <w:sz w:val="21"/>
                    </w:rPr>
                    <w:t>未能及时填写运维单完成情况的，或运维单严重超期的，或运维完成情况不满足用户要求的，扣</w:t>
                  </w:r>
                  <w:r>
                    <w:rPr>
                      <w:sz w:val="21"/>
                    </w:rPr>
                    <w:t>1</w:t>
                  </w:r>
                  <w:r>
                    <w:rPr>
                      <w:sz w:val="21"/>
                    </w:rPr>
                    <w:t>分</w:t>
                  </w:r>
                  <w:r>
                    <w:rPr>
                      <w:sz w:val="21"/>
                    </w:rPr>
                    <w:t>/</w:t>
                  </w:r>
                  <w:r>
                    <w:rPr>
                      <w:sz w:val="21"/>
                    </w:rPr>
                    <w:t>次。</w:t>
                  </w:r>
                </w:p>
              </w:tc>
              <w:tc>
                <w:tcPr>
                  <w:tcW w:type="dxa" w:w="292"/>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p>
              </w:tc>
              <w:tc>
                <w:tcPr>
                  <w:tcW w:type="dxa" w:w="233"/>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233"/>
                  <w:vMerge/>
                  <w:tcBorders>
                    <w:top w:val="none" w:color="000000" w:sz="4"/>
                    <w:left w:val="single" w:color="000000" w:sz="4"/>
                    <w:bottom w:val="single" w:color="000000" w:sz="4"/>
                    <w:right w:val="single" w:color="000000" w:sz="4"/>
                  </w:tcBorders>
                </w:tcPr>
                <w:p/>
              </w:tc>
              <w:tc>
                <w:tcPr>
                  <w:tcW w:type="dxa" w:w="408"/>
                  <w:vMerge/>
                  <w:tcBorders>
                    <w:top w:val="single" w:color="000000" w:sz="4"/>
                    <w:left w:val="none" w:color="000000" w:sz="4"/>
                    <w:bottom w:val="single" w:color="000000" w:sz="4"/>
                    <w:right w:val="single" w:color="000000" w:sz="4"/>
                  </w:tcBorders>
                </w:tcPr>
                <w:p/>
              </w:tc>
              <w:tc>
                <w:tcPr>
                  <w:tcW w:type="dxa" w:w="408"/>
                  <w:vMerge/>
                  <w:tcBorders>
                    <w:top w:val="none" w:color="000000" w:sz="4"/>
                    <w:left w:val="none" w:color="000000" w:sz="4"/>
                    <w:bottom w:val="single" w:color="000000" w:sz="4"/>
                    <w:right w:val="single" w:color="000000" w:sz="4"/>
                  </w:tcBorders>
                </w:tcP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 xml:space="preserve">2. </w:t>
                  </w:r>
                  <w:r>
                    <w:rPr>
                      <w:sz w:val="21"/>
                    </w:rPr>
                    <w:t>每个业务子系统必须指定对应的工作人员，如在用户咨询讨论时未能及时就软件开发及维护方面给予专业解答的，扣</w:t>
                  </w:r>
                  <w:r>
                    <w:rPr>
                      <w:sz w:val="21"/>
                    </w:rPr>
                    <w:t>1</w:t>
                  </w:r>
                  <w:r>
                    <w:rPr>
                      <w:sz w:val="21"/>
                    </w:rPr>
                    <w:t>分</w:t>
                  </w:r>
                  <w:r>
                    <w:rPr>
                      <w:sz w:val="21"/>
                    </w:rPr>
                    <w:t>/</w:t>
                  </w:r>
                  <w:r>
                    <w:rPr>
                      <w:sz w:val="21"/>
                    </w:rPr>
                    <w:t>次。</w:t>
                  </w:r>
                </w:p>
              </w:tc>
              <w:tc>
                <w:tcPr>
                  <w:tcW w:type="dxa" w:w="292"/>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r>
            <w:tr>
              <w:tc>
                <w:tcPr>
                  <w:tcW w:type="dxa" w:w="233"/>
                  <w:vMerge/>
                  <w:tcBorders>
                    <w:top w:val="none" w:color="000000" w:sz="4"/>
                    <w:left w:val="single" w:color="000000" w:sz="4"/>
                    <w:bottom w:val="single" w:color="000000" w:sz="4"/>
                    <w:right w:val="single" w:color="000000" w:sz="4"/>
                  </w:tcBorders>
                </w:tcPr>
                <w:p/>
              </w:tc>
              <w:tc>
                <w:tcPr>
                  <w:tcW w:type="dxa" w:w="408"/>
                  <w:vMerge/>
                  <w:tcBorders>
                    <w:top w:val="single" w:color="000000" w:sz="4"/>
                    <w:left w:val="none" w:color="000000" w:sz="4"/>
                    <w:bottom w:val="single" w:color="000000" w:sz="4"/>
                    <w:right w:val="single" w:color="000000" w:sz="4"/>
                  </w:tcBorders>
                </w:tcPr>
                <w:p/>
              </w:tc>
              <w:tc>
                <w:tcPr>
                  <w:tcW w:type="dxa" w:w="408"/>
                  <w:vMerge/>
                  <w:tcBorders>
                    <w:top w:val="none" w:color="000000" w:sz="4"/>
                    <w:left w:val="none" w:color="000000" w:sz="4"/>
                    <w:bottom w:val="single" w:color="000000" w:sz="4"/>
                    <w:right w:val="single" w:color="000000" w:sz="4"/>
                  </w:tcBorders>
                </w:tcP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 xml:space="preserve">3. </w:t>
                  </w:r>
                  <w:r>
                    <w:rPr>
                      <w:sz w:val="21"/>
                    </w:rPr>
                    <w:t>无法根据用户需求，完善现有系统，以满足相关工作的，扣</w:t>
                  </w:r>
                  <w:r>
                    <w:rPr>
                      <w:sz w:val="21"/>
                    </w:rPr>
                    <w:t>3</w:t>
                  </w:r>
                  <w:r>
                    <w:rPr>
                      <w:sz w:val="21"/>
                    </w:rPr>
                    <w:t>分</w:t>
                  </w:r>
                  <w:r>
                    <w:rPr>
                      <w:sz w:val="21"/>
                    </w:rPr>
                    <w:t>/</w:t>
                  </w:r>
                  <w:r>
                    <w:rPr>
                      <w:sz w:val="21"/>
                    </w:rPr>
                    <w:t>次。</w:t>
                  </w:r>
                </w:p>
              </w:tc>
              <w:tc>
                <w:tcPr>
                  <w:tcW w:type="dxa" w:w="292"/>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r>
            <w:tr>
              <w:tc>
                <w:tcPr>
                  <w:tcW w:type="dxa" w:w="233"/>
                  <w:vMerge/>
                  <w:tcBorders>
                    <w:top w:val="none" w:color="000000" w:sz="4"/>
                    <w:left w:val="single" w:color="000000" w:sz="4"/>
                    <w:bottom w:val="single" w:color="000000" w:sz="4"/>
                    <w:right w:val="single" w:color="000000" w:sz="4"/>
                  </w:tcBorders>
                </w:tcPr>
                <w:p/>
              </w:tc>
              <w:tc>
                <w:tcPr>
                  <w:tcW w:type="dxa" w:w="408"/>
                  <w:vMerge/>
                  <w:tcBorders>
                    <w:top w:val="single" w:color="000000" w:sz="4"/>
                    <w:left w:val="none" w:color="000000" w:sz="4"/>
                    <w:bottom w:val="single" w:color="000000" w:sz="4"/>
                    <w:right w:val="single" w:color="000000" w:sz="4"/>
                  </w:tcBorders>
                </w:tcPr>
                <w:p/>
              </w:tc>
              <w:tc>
                <w:tcPr>
                  <w:tcW w:type="dxa" w:w="408"/>
                  <w:vMerge/>
                  <w:tcBorders>
                    <w:top w:val="none" w:color="000000" w:sz="4"/>
                    <w:left w:val="none" w:color="000000" w:sz="4"/>
                    <w:bottom w:val="single" w:color="000000" w:sz="4"/>
                    <w:right w:val="single" w:color="000000" w:sz="4"/>
                  </w:tcBorders>
                </w:tcP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 xml:space="preserve">4. </w:t>
                  </w:r>
                  <w:r>
                    <w:rPr>
                      <w:sz w:val="21"/>
                    </w:rPr>
                    <w:t>每月的运维服务单完成率需高于</w:t>
                  </w:r>
                  <w:r>
                    <w:rPr>
                      <w:sz w:val="21"/>
                    </w:rPr>
                    <w:t>90%</w:t>
                  </w:r>
                  <w:r>
                    <w:rPr>
                      <w:sz w:val="21"/>
                    </w:rPr>
                    <w:t>（含）以上。每低于</w:t>
                  </w:r>
                  <w:r>
                    <w:rPr>
                      <w:sz w:val="21"/>
                    </w:rPr>
                    <w:t>1</w:t>
                  </w:r>
                  <w:r>
                    <w:rPr>
                      <w:sz w:val="21"/>
                    </w:rPr>
                    <w:t>个百分点扣</w:t>
                  </w:r>
                  <w:r>
                    <w:rPr>
                      <w:sz w:val="21"/>
                    </w:rPr>
                    <w:t>1</w:t>
                  </w:r>
                  <w:r>
                    <w:rPr>
                      <w:sz w:val="21"/>
                    </w:rPr>
                    <w:t>分。</w:t>
                  </w:r>
                </w:p>
              </w:tc>
              <w:tc>
                <w:tcPr>
                  <w:tcW w:type="dxa" w:w="292"/>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r>
            <w:tr>
              <w:tc>
                <w:tcPr>
                  <w:tcW w:type="dxa" w:w="233"/>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sz w:val="21"/>
                    </w:rPr>
                    <w:t>7</w:t>
                  </w:r>
                </w:p>
              </w:tc>
              <w:tc>
                <w:tcPr>
                  <w:tcW w:type="dxa" w:w="408"/>
                  <w:vMerge/>
                  <w:tcBorders>
                    <w:top w:val="single" w:color="000000" w:sz="4"/>
                    <w:left w:val="none" w:color="000000" w:sz="4"/>
                    <w:bottom w:val="single" w:color="000000" w:sz="4"/>
                    <w:right w:val="single" w:color="000000" w:sz="4"/>
                  </w:tcBorders>
                </w:tcPr>
                <w:p/>
              </w:tc>
              <w:tc>
                <w:tcPr>
                  <w:tcW w:type="dxa" w:w="40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故障预防</w:t>
                  </w: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故障在事后被确认为可预防的，运维人员未进行预防操作或未及时处理安全漏洞且造成严重负面影响的，扣</w:t>
                  </w:r>
                  <w:r>
                    <w:rPr>
                      <w:sz w:val="21"/>
                    </w:rPr>
                    <w:t>3</w:t>
                  </w:r>
                  <w:r>
                    <w:rPr>
                      <w:sz w:val="21"/>
                    </w:rPr>
                    <w:t>分</w:t>
                  </w:r>
                  <w:r>
                    <w:rPr>
                      <w:sz w:val="21"/>
                    </w:rPr>
                    <w:t>/</w:t>
                  </w:r>
                  <w:r>
                    <w:rPr>
                      <w:sz w:val="21"/>
                    </w:rPr>
                    <w:t>次。</w:t>
                  </w:r>
                </w:p>
              </w:tc>
              <w:tc>
                <w:tcPr>
                  <w:tcW w:type="dxa" w:w="29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p>
              </w:tc>
              <w:tc>
                <w:tcPr>
                  <w:tcW w:type="dxa" w:w="233"/>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233"/>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sz w:val="21"/>
                    </w:rPr>
                    <w:t>8</w:t>
                  </w:r>
                </w:p>
              </w:tc>
              <w:tc>
                <w:tcPr>
                  <w:tcW w:type="dxa" w:w="408"/>
                  <w:vMerge/>
                  <w:tcBorders>
                    <w:top w:val="single" w:color="000000" w:sz="4"/>
                    <w:left w:val="none" w:color="000000" w:sz="4"/>
                    <w:bottom w:val="single" w:color="000000" w:sz="4"/>
                    <w:right w:val="single" w:color="000000" w:sz="4"/>
                  </w:tcBorders>
                </w:tcPr>
                <w:p/>
              </w:tc>
              <w:tc>
                <w:tcPr>
                  <w:tcW w:type="dxa" w:w="40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操作失误</w:t>
                  </w: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由于运维人员操作失误导致故障，系统无法正常运行，影响运维服务的，扣</w:t>
                  </w:r>
                  <w:r>
                    <w:rPr>
                      <w:sz w:val="21"/>
                    </w:rPr>
                    <w:t>5</w:t>
                  </w:r>
                  <w:r>
                    <w:rPr>
                      <w:sz w:val="21"/>
                    </w:rPr>
                    <w:t>分</w:t>
                  </w:r>
                  <w:r>
                    <w:rPr>
                      <w:sz w:val="21"/>
                    </w:rPr>
                    <w:t>/</w:t>
                  </w:r>
                  <w:r>
                    <w:rPr>
                      <w:sz w:val="21"/>
                    </w:rPr>
                    <w:t>次。</w:t>
                  </w:r>
                </w:p>
              </w:tc>
              <w:tc>
                <w:tcPr>
                  <w:tcW w:type="dxa" w:w="29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p>
              </w:tc>
              <w:tc>
                <w:tcPr>
                  <w:tcW w:type="dxa" w:w="233"/>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233"/>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sz w:val="21"/>
                    </w:rPr>
                    <w:t>9</w:t>
                  </w:r>
                </w:p>
              </w:tc>
              <w:tc>
                <w:tcPr>
                  <w:tcW w:type="dxa" w:w="408"/>
                  <w:vMerge/>
                  <w:tcBorders>
                    <w:top w:val="single" w:color="000000" w:sz="4"/>
                    <w:left w:val="none" w:color="000000" w:sz="4"/>
                    <w:bottom w:val="single" w:color="000000" w:sz="4"/>
                    <w:right w:val="single" w:color="000000" w:sz="4"/>
                  </w:tcBorders>
                </w:tcPr>
                <w:p/>
              </w:tc>
              <w:tc>
                <w:tcPr>
                  <w:tcW w:type="dxa" w:w="40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文档完整性</w:t>
                  </w: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需提交的各类文档，存在缺失或不完整或数据有误的，在规定时间内未补充完整或修正的，扣</w:t>
                  </w:r>
                  <w:r>
                    <w:rPr>
                      <w:sz w:val="21"/>
                    </w:rPr>
                    <w:t>0.5</w:t>
                  </w:r>
                  <w:r>
                    <w:rPr>
                      <w:sz w:val="21"/>
                    </w:rPr>
                    <w:t>分</w:t>
                  </w:r>
                  <w:r>
                    <w:rPr>
                      <w:sz w:val="21"/>
                    </w:rPr>
                    <w:t>/</w:t>
                  </w:r>
                  <w:r>
                    <w:rPr>
                      <w:sz w:val="21"/>
                    </w:rPr>
                    <w:t>处。</w:t>
                  </w:r>
                </w:p>
              </w:tc>
              <w:tc>
                <w:tcPr>
                  <w:tcW w:type="dxa" w:w="29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p>
              </w:tc>
              <w:tc>
                <w:tcPr>
                  <w:tcW w:type="dxa" w:w="233"/>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233"/>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sz w:val="21"/>
                    </w:rPr>
                    <w:t>10</w:t>
                  </w:r>
                </w:p>
              </w:tc>
              <w:tc>
                <w:tcPr>
                  <w:tcW w:type="dxa" w:w="408"/>
                  <w:vMerge/>
                  <w:tcBorders>
                    <w:top w:val="single" w:color="000000" w:sz="4"/>
                    <w:left w:val="none" w:color="000000" w:sz="4"/>
                    <w:bottom w:val="single" w:color="000000" w:sz="4"/>
                    <w:right w:val="single" w:color="000000" w:sz="4"/>
                  </w:tcBorders>
                </w:tcPr>
                <w:p/>
              </w:tc>
              <w:tc>
                <w:tcPr>
                  <w:tcW w:type="dxa" w:w="40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响应时效性</w:t>
                  </w: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未能按规定时间提交文档的，扣</w:t>
                  </w:r>
                  <w:r>
                    <w:rPr>
                      <w:sz w:val="21"/>
                    </w:rPr>
                    <w:t>0.5</w:t>
                  </w:r>
                  <w:r>
                    <w:rPr>
                      <w:sz w:val="21"/>
                    </w:rPr>
                    <w:t>分</w:t>
                  </w:r>
                  <w:r>
                    <w:rPr>
                      <w:sz w:val="21"/>
                    </w:rPr>
                    <w:t>/</w:t>
                  </w:r>
                  <w:r>
                    <w:rPr>
                      <w:sz w:val="21"/>
                    </w:rPr>
                    <w:t>次。</w:t>
                  </w:r>
                </w:p>
              </w:tc>
              <w:tc>
                <w:tcPr>
                  <w:tcW w:type="dxa" w:w="29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p>
              </w:tc>
              <w:tc>
                <w:tcPr>
                  <w:tcW w:type="dxa" w:w="233"/>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233"/>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sz w:val="21"/>
                    </w:rPr>
                    <w:t>11</w:t>
                  </w:r>
                </w:p>
              </w:tc>
              <w:tc>
                <w:tcPr>
                  <w:tcW w:type="dxa" w:w="408"/>
                  <w:vMerge/>
                  <w:tcBorders>
                    <w:top w:val="single" w:color="000000" w:sz="4"/>
                    <w:left w:val="none" w:color="000000" w:sz="4"/>
                    <w:bottom w:val="single" w:color="000000" w:sz="4"/>
                    <w:right w:val="single" w:color="000000" w:sz="4"/>
                  </w:tcBorders>
                </w:tcPr>
                <w:p/>
              </w:tc>
              <w:tc>
                <w:tcPr>
                  <w:tcW w:type="dxa" w:w="40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整改效率</w:t>
                  </w: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文档重复出现相同错误的，扣</w:t>
                  </w:r>
                  <w:r>
                    <w:rPr>
                      <w:sz w:val="21"/>
                    </w:rPr>
                    <w:t>0.5</w:t>
                  </w:r>
                  <w:r>
                    <w:rPr>
                      <w:sz w:val="21"/>
                    </w:rPr>
                    <w:t>分</w:t>
                  </w:r>
                  <w:r>
                    <w:rPr>
                      <w:sz w:val="21"/>
                    </w:rPr>
                    <w:t>/</w:t>
                  </w:r>
                  <w:r>
                    <w:rPr>
                      <w:sz w:val="21"/>
                    </w:rPr>
                    <w:t>处。</w:t>
                  </w:r>
                </w:p>
              </w:tc>
              <w:tc>
                <w:tcPr>
                  <w:tcW w:type="dxa" w:w="29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p>
              </w:tc>
              <w:tc>
                <w:tcPr>
                  <w:tcW w:type="dxa" w:w="233"/>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233"/>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sz w:val="21"/>
                    </w:rPr>
                    <w:t>12</w:t>
                  </w:r>
                </w:p>
              </w:tc>
              <w:tc>
                <w:tcPr>
                  <w:tcW w:type="dxa" w:w="816"/>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信息安全保密工作</w:t>
                  </w: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未经用户允许擅自泄露、拷贝、传播系统的设计文档、代码、配置及使用统计分析等多种方式导致信息数据泄露的，扣</w:t>
                  </w:r>
                  <w:r>
                    <w:rPr>
                      <w:sz w:val="21"/>
                    </w:rPr>
                    <w:t>100</w:t>
                  </w:r>
                  <w:r>
                    <w:rPr>
                      <w:sz w:val="21"/>
                    </w:rPr>
                    <w:t>分。</w:t>
                  </w:r>
                </w:p>
              </w:tc>
              <w:tc>
                <w:tcPr>
                  <w:tcW w:type="dxa" w:w="29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p>
              </w:tc>
              <w:tc>
                <w:tcPr>
                  <w:tcW w:type="dxa" w:w="233"/>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233"/>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sz w:val="21"/>
                    </w:rPr>
                    <w:t>13</w:t>
                  </w:r>
                </w:p>
              </w:tc>
              <w:tc>
                <w:tcPr>
                  <w:tcW w:type="dxa" w:w="816"/>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人员管理</w:t>
                  </w: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运维人员未遵守用户各项管理制度的，或被用户投诉的，根据问题的严重程度和影响的大小，扣</w:t>
                  </w:r>
                  <w:r>
                    <w:rPr>
                      <w:sz w:val="21"/>
                    </w:rPr>
                    <w:t>1-3</w:t>
                  </w:r>
                  <w:r>
                    <w:rPr>
                      <w:sz w:val="21"/>
                    </w:rPr>
                    <w:t>分</w:t>
                  </w:r>
                  <w:r>
                    <w:rPr>
                      <w:sz w:val="21"/>
                    </w:rPr>
                    <w:t>/</w:t>
                  </w:r>
                  <w:r>
                    <w:rPr>
                      <w:sz w:val="21"/>
                    </w:rPr>
                    <w:t>次。</w:t>
                  </w:r>
                </w:p>
              </w:tc>
              <w:tc>
                <w:tcPr>
                  <w:tcW w:type="dxa" w:w="29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p>
              </w:tc>
              <w:tc>
                <w:tcPr>
                  <w:tcW w:type="dxa" w:w="233"/>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233"/>
                  <w:vMerge w:val="restart"/>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sz w:val="21"/>
                    </w:rPr>
                    <w:t>14</w:t>
                  </w:r>
                </w:p>
              </w:tc>
              <w:tc>
                <w:tcPr>
                  <w:tcW w:type="dxa" w:w="408"/>
                  <w:vMerge w:val="restart"/>
                  <w:tcBorders>
                    <w:top w:val="none" w:color="000000" w:sz="4"/>
                    <w:left w:val="none" w:color="000000" w:sz="4"/>
                    <w:bottom w:val="none" w:color="000000" w:sz="4"/>
                    <w:right w:val="single" w:color="000000" w:sz="4"/>
                  </w:tcBorders>
                  <w:tcMar>
                    <w:top w:type="dxa" w:w="0"/>
                    <w:left w:type="dxa" w:w="60"/>
                    <w:bottom w:type="dxa" w:w="0"/>
                    <w:right w:type="dxa" w:w="60"/>
                  </w:tcMar>
                </w:tcPr>
                <w:p>
                  <w:pPr>
                    <w:pStyle w:val="null3"/>
                    <w:jc w:val="both"/>
                  </w:pPr>
                  <w:r>
                    <w:rPr>
                      <w:sz w:val="21"/>
                    </w:rPr>
                    <w:t>其他</w:t>
                  </w:r>
                </w:p>
              </w:tc>
              <w:tc>
                <w:tcPr>
                  <w:tcW w:type="dxa" w:w="408"/>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扣分项</w:t>
                  </w: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 xml:space="preserve">1. </w:t>
                  </w:r>
                  <w:r>
                    <w:rPr>
                      <w:sz w:val="21"/>
                    </w:rPr>
                    <w:t>驻场人员发布违反法律法规，或黄赌毒等内容，则扣</w:t>
                  </w:r>
                  <w:r>
                    <w:rPr>
                      <w:sz w:val="21"/>
                    </w:rPr>
                    <w:t>30</w:t>
                  </w:r>
                  <w:r>
                    <w:rPr>
                      <w:sz w:val="21"/>
                    </w:rPr>
                    <w:t>分</w:t>
                  </w:r>
                  <w:r>
                    <w:rPr>
                      <w:sz w:val="21"/>
                    </w:rPr>
                    <w:t>/</w:t>
                  </w:r>
                  <w:r>
                    <w:rPr>
                      <w:sz w:val="21"/>
                    </w:rPr>
                    <w:t>次。</w:t>
                  </w:r>
                </w:p>
              </w:tc>
              <w:tc>
                <w:tcPr>
                  <w:tcW w:type="dxa" w:w="292"/>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p>
              </w:tc>
              <w:tc>
                <w:tcPr>
                  <w:tcW w:type="dxa" w:w="233"/>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233"/>
                  <w:vMerge/>
                  <w:tcBorders>
                    <w:top w:val="none" w:color="000000" w:sz="4"/>
                    <w:left w:val="single" w:color="000000" w:sz="4"/>
                    <w:bottom w:val="single" w:color="000000" w:sz="4"/>
                    <w:right w:val="single" w:color="000000" w:sz="4"/>
                  </w:tcBorders>
                </w:tcPr>
                <w:p/>
              </w:tc>
              <w:tc>
                <w:tcPr>
                  <w:tcW w:type="dxa" w:w="408"/>
                  <w:vMerge/>
                  <w:tcBorders>
                    <w:top w:val="none" w:color="000000" w:sz="4"/>
                    <w:left w:val="none" w:color="000000" w:sz="4"/>
                    <w:bottom w:val="none" w:color="000000" w:sz="4"/>
                    <w:right w:val="single" w:color="000000" w:sz="4"/>
                  </w:tcBorders>
                </w:tcPr>
                <w:p/>
              </w:tc>
              <w:tc>
                <w:tcPr>
                  <w:tcW w:type="dxa" w:w="408"/>
                  <w:vMerge/>
                  <w:tcBorders>
                    <w:top w:val="none" w:color="000000" w:sz="4"/>
                    <w:left w:val="none" w:color="000000" w:sz="4"/>
                    <w:bottom w:val="single" w:color="000000" w:sz="4"/>
                    <w:right w:val="single" w:color="000000" w:sz="4"/>
                  </w:tcBorders>
                </w:tcP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 xml:space="preserve">2. </w:t>
                  </w:r>
                  <w:r>
                    <w:rPr>
                      <w:sz w:val="21"/>
                    </w:rPr>
                    <w:t>工作时间内，驻场人员有兼任非用户单位要求的工作任务，则扣</w:t>
                  </w:r>
                  <w:r>
                    <w:rPr>
                      <w:sz w:val="21"/>
                    </w:rPr>
                    <w:t>10</w:t>
                  </w:r>
                  <w:r>
                    <w:rPr>
                      <w:sz w:val="21"/>
                    </w:rPr>
                    <w:t>分</w:t>
                  </w:r>
                  <w:r>
                    <w:rPr>
                      <w:sz w:val="21"/>
                    </w:rPr>
                    <w:t>/</w:t>
                  </w:r>
                  <w:r>
                    <w:rPr>
                      <w:sz w:val="21"/>
                    </w:rPr>
                    <w:t>次。</w:t>
                  </w:r>
                </w:p>
              </w:tc>
              <w:tc>
                <w:tcPr>
                  <w:tcW w:type="dxa" w:w="292"/>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r>
            <w:tr>
              <w:tc>
                <w:tcPr>
                  <w:tcW w:type="dxa" w:w="233"/>
                  <w:vMerge/>
                  <w:tcBorders>
                    <w:top w:val="none" w:color="000000" w:sz="4"/>
                    <w:left w:val="single" w:color="000000" w:sz="4"/>
                    <w:bottom w:val="single" w:color="000000" w:sz="4"/>
                    <w:right w:val="single" w:color="000000" w:sz="4"/>
                  </w:tcBorders>
                </w:tcPr>
                <w:p/>
              </w:tc>
              <w:tc>
                <w:tcPr>
                  <w:tcW w:type="dxa" w:w="408"/>
                  <w:vMerge/>
                  <w:tcBorders>
                    <w:top w:val="none" w:color="000000" w:sz="4"/>
                    <w:left w:val="none" w:color="000000" w:sz="4"/>
                    <w:bottom w:val="none" w:color="000000" w:sz="4"/>
                    <w:right w:val="single" w:color="000000" w:sz="4"/>
                  </w:tcBorders>
                </w:tcPr>
                <w:p/>
              </w:tc>
              <w:tc>
                <w:tcPr>
                  <w:tcW w:type="dxa" w:w="408"/>
                  <w:vMerge/>
                  <w:tcBorders>
                    <w:top w:val="none" w:color="000000" w:sz="4"/>
                    <w:left w:val="none" w:color="000000" w:sz="4"/>
                    <w:bottom w:val="single" w:color="000000" w:sz="4"/>
                    <w:right w:val="single" w:color="000000" w:sz="4"/>
                  </w:tcBorders>
                </w:tcP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 xml:space="preserve">3. </w:t>
                  </w:r>
                  <w:r>
                    <w:rPr>
                      <w:sz w:val="21"/>
                    </w:rPr>
                    <w:t>驻场人员上班时间玩游戏、听音乐、看电影的，扣</w:t>
                  </w:r>
                  <w:r>
                    <w:rPr>
                      <w:sz w:val="21"/>
                    </w:rPr>
                    <w:t>2</w:t>
                  </w:r>
                  <w:r>
                    <w:rPr>
                      <w:sz w:val="21"/>
                    </w:rPr>
                    <w:t>分</w:t>
                  </w:r>
                  <w:r>
                    <w:rPr>
                      <w:sz w:val="21"/>
                    </w:rPr>
                    <w:t>/</w:t>
                  </w:r>
                  <w:r>
                    <w:rPr>
                      <w:sz w:val="21"/>
                    </w:rPr>
                    <w:t>次。</w:t>
                  </w:r>
                </w:p>
              </w:tc>
              <w:tc>
                <w:tcPr>
                  <w:tcW w:type="dxa" w:w="292"/>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r>
            <w:tr>
              <w:tc>
                <w:tcPr>
                  <w:tcW w:type="dxa" w:w="233"/>
                  <w:vMerge/>
                  <w:tcBorders>
                    <w:top w:val="none" w:color="000000" w:sz="4"/>
                    <w:left w:val="single" w:color="000000" w:sz="4"/>
                    <w:bottom w:val="single" w:color="000000" w:sz="4"/>
                    <w:right w:val="single" w:color="000000" w:sz="4"/>
                  </w:tcBorders>
                </w:tcPr>
                <w:p/>
              </w:tc>
              <w:tc>
                <w:tcPr>
                  <w:tcW w:type="dxa" w:w="408"/>
                  <w:vMerge/>
                  <w:tcBorders>
                    <w:top w:val="none" w:color="000000" w:sz="4"/>
                    <w:left w:val="none" w:color="000000" w:sz="4"/>
                    <w:bottom w:val="none" w:color="000000" w:sz="4"/>
                    <w:right w:val="single" w:color="000000" w:sz="4"/>
                  </w:tcBorders>
                </w:tcPr>
                <w:p/>
              </w:tc>
              <w:tc>
                <w:tcPr>
                  <w:tcW w:type="dxa" w:w="408"/>
                  <w:vMerge/>
                  <w:tcBorders>
                    <w:top w:val="none" w:color="000000" w:sz="4"/>
                    <w:left w:val="none" w:color="000000" w:sz="4"/>
                    <w:bottom w:val="single" w:color="000000" w:sz="4"/>
                    <w:right w:val="single" w:color="000000" w:sz="4"/>
                  </w:tcBorders>
                </w:tcP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 xml:space="preserve">4. </w:t>
                  </w:r>
                  <w:r>
                    <w:rPr>
                      <w:sz w:val="21"/>
                    </w:rPr>
                    <w:t>项目服务被用户投诉的，扣</w:t>
                  </w:r>
                  <w:r>
                    <w:rPr>
                      <w:sz w:val="21"/>
                    </w:rPr>
                    <w:t>3</w:t>
                  </w:r>
                  <w:r>
                    <w:rPr>
                      <w:sz w:val="21"/>
                    </w:rPr>
                    <w:t>分</w:t>
                  </w:r>
                  <w:r>
                    <w:rPr>
                      <w:sz w:val="21"/>
                    </w:rPr>
                    <w:t>/</w:t>
                  </w:r>
                  <w:r>
                    <w:rPr>
                      <w:sz w:val="21"/>
                    </w:rPr>
                    <w:t>次。</w:t>
                  </w:r>
                </w:p>
              </w:tc>
              <w:tc>
                <w:tcPr>
                  <w:tcW w:type="dxa" w:w="292"/>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r>
            <w:tr>
              <w:tc>
                <w:tcPr>
                  <w:tcW w:type="dxa" w:w="233"/>
                  <w:vMerge w:val="restart"/>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sz w:val="21"/>
                    </w:rPr>
                    <w:t>15</w:t>
                  </w:r>
                </w:p>
              </w:tc>
              <w:tc>
                <w:tcPr>
                  <w:tcW w:type="dxa" w:w="408"/>
                  <w:vMerge/>
                  <w:tcBorders>
                    <w:top w:val="none" w:color="000000" w:sz="4"/>
                    <w:left w:val="none" w:color="000000" w:sz="4"/>
                    <w:bottom w:val="none" w:color="000000" w:sz="4"/>
                    <w:right w:val="single" w:color="000000" w:sz="4"/>
                  </w:tcBorders>
                </w:tcPr>
                <w:p/>
              </w:tc>
              <w:tc>
                <w:tcPr>
                  <w:tcW w:type="dxa" w:w="408"/>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加分项</w:t>
                  </w: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 xml:space="preserve">1. </w:t>
                  </w:r>
                  <w:r>
                    <w:rPr>
                      <w:sz w:val="21"/>
                    </w:rPr>
                    <w:t>提出合理化建议对工作效果有明显提升的，加</w:t>
                  </w:r>
                  <w:r>
                    <w:rPr>
                      <w:sz w:val="21"/>
                    </w:rPr>
                    <w:t>5-10</w:t>
                  </w:r>
                  <w:r>
                    <w:rPr>
                      <w:sz w:val="21"/>
                    </w:rPr>
                    <w:t>分。</w:t>
                  </w:r>
                </w:p>
              </w:tc>
              <w:tc>
                <w:tcPr>
                  <w:tcW w:type="dxa" w:w="292"/>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p>
              </w:tc>
              <w:tc>
                <w:tcPr>
                  <w:tcW w:type="dxa" w:w="233"/>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233"/>
                  <w:vMerge/>
                  <w:tcBorders>
                    <w:top w:val="none" w:color="000000" w:sz="4"/>
                    <w:left w:val="single" w:color="000000" w:sz="4"/>
                    <w:bottom w:val="single" w:color="000000" w:sz="4"/>
                    <w:right w:val="single" w:color="000000" w:sz="4"/>
                  </w:tcBorders>
                </w:tcPr>
                <w:p/>
              </w:tc>
              <w:tc>
                <w:tcPr>
                  <w:tcW w:type="dxa" w:w="408"/>
                  <w:vMerge/>
                  <w:tcBorders>
                    <w:top w:val="none" w:color="000000" w:sz="4"/>
                    <w:left w:val="none" w:color="000000" w:sz="4"/>
                    <w:bottom w:val="none" w:color="000000" w:sz="4"/>
                    <w:right w:val="single" w:color="000000" w:sz="4"/>
                  </w:tcBorders>
                </w:tcPr>
                <w:p/>
              </w:tc>
              <w:tc>
                <w:tcPr>
                  <w:tcW w:type="dxa" w:w="408"/>
                  <w:vMerge/>
                  <w:tcBorders>
                    <w:top w:val="none" w:color="000000" w:sz="4"/>
                    <w:left w:val="none" w:color="000000" w:sz="4"/>
                    <w:bottom w:val="single" w:color="000000" w:sz="4"/>
                    <w:right w:val="single" w:color="000000" w:sz="4"/>
                  </w:tcBorders>
                </w:tcPr>
                <w:p/>
              </w:tc>
              <w:tc>
                <w:tcPr>
                  <w:tcW w:type="dxa" w:w="40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sz w:val="21"/>
                    </w:rPr>
                    <w:t xml:space="preserve">2. </w:t>
                  </w:r>
                  <w:r>
                    <w:rPr>
                      <w:sz w:val="21"/>
                    </w:rPr>
                    <w:t>支撑紧急临时任务的，加分</w:t>
                  </w:r>
                  <w:r>
                    <w:rPr>
                      <w:sz w:val="21"/>
                    </w:rPr>
                    <w:t>3-5</w:t>
                  </w:r>
                  <w:r>
                    <w:rPr>
                      <w:sz w:val="21"/>
                    </w:rPr>
                    <w:t>分</w:t>
                  </w:r>
                  <w:r>
                    <w:rPr>
                      <w:sz w:val="21"/>
                    </w:rPr>
                    <w:t>/</w:t>
                  </w:r>
                  <w:r>
                    <w:rPr>
                      <w:sz w:val="21"/>
                    </w:rPr>
                    <w:t>次。</w:t>
                  </w:r>
                </w:p>
              </w:tc>
              <w:tc>
                <w:tcPr>
                  <w:tcW w:type="dxa" w:w="292"/>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r>
            <w:tr>
              <w:tc>
                <w:tcPr>
                  <w:tcW w:type="dxa" w:w="233"/>
                  <w:vMerge/>
                  <w:tcBorders>
                    <w:top w:val="none" w:color="000000" w:sz="4"/>
                    <w:left w:val="single" w:color="000000" w:sz="4"/>
                    <w:bottom w:val="single" w:color="000000" w:sz="4"/>
                    <w:right w:val="single" w:color="000000" w:sz="4"/>
                  </w:tcBorders>
                </w:tcPr>
                <w:p/>
              </w:tc>
              <w:tc>
                <w:tcPr>
                  <w:tcW w:type="dxa" w:w="408"/>
                  <w:vMerge/>
                  <w:tcBorders>
                    <w:top w:val="none" w:color="000000" w:sz="4"/>
                    <w:left w:val="none" w:color="000000" w:sz="4"/>
                    <w:bottom w:val="none" w:color="000000" w:sz="4"/>
                    <w:right w:val="single" w:color="000000" w:sz="4"/>
                  </w:tcBorders>
                </w:tcPr>
                <w:p/>
              </w:tc>
              <w:tc>
                <w:tcPr>
                  <w:tcW w:type="dxa" w:w="408"/>
                  <w:vMerge/>
                  <w:tcBorders>
                    <w:top w:val="none" w:color="000000" w:sz="4"/>
                    <w:left w:val="none" w:color="000000" w:sz="4"/>
                    <w:bottom w:val="single" w:color="000000" w:sz="4"/>
                    <w:right w:val="single" w:color="000000" w:sz="4"/>
                  </w:tcBorders>
                </w:tcPr>
                <w:p/>
              </w:tc>
              <w:tc>
                <w:tcPr>
                  <w:tcW w:type="dxa" w:w="4024"/>
                  <w:tcBorders>
                    <w:top w:val="none" w:color="000000" w:sz="4"/>
                    <w:left w:val="none" w:color="000000" w:sz="4"/>
                    <w:bottom w:val="none" w:color="000000" w:sz="4"/>
                    <w:right w:val="single" w:color="000000" w:sz="4"/>
                  </w:tcBorders>
                  <w:tcMar>
                    <w:top w:type="dxa" w:w="0"/>
                    <w:left w:type="dxa" w:w="60"/>
                    <w:bottom w:type="dxa" w:w="0"/>
                    <w:right w:type="dxa" w:w="60"/>
                  </w:tcMar>
                </w:tcPr>
                <w:p>
                  <w:pPr>
                    <w:pStyle w:val="null3"/>
                    <w:jc w:val="both"/>
                  </w:pPr>
                  <w:r>
                    <w:rPr>
                      <w:sz w:val="21"/>
                    </w:rPr>
                    <w:t xml:space="preserve">3. </w:t>
                  </w:r>
                  <w:r>
                    <w:rPr>
                      <w:sz w:val="21"/>
                    </w:rPr>
                    <w:t>运维服务表现突出，获得用户书面表扬的，加</w:t>
                  </w:r>
                  <w:r>
                    <w:rPr>
                      <w:sz w:val="21"/>
                    </w:rPr>
                    <w:t>5</w:t>
                  </w:r>
                  <w:r>
                    <w:rPr>
                      <w:sz w:val="21"/>
                    </w:rPr>
                    <w:t>分。</w:t>
                  </w:r>
                </w:p>
              </w:tc>
              <w:tc>
                <w:tcPr>
                  <w:tcW w:type="dxa" w:w="292"/>
                  <w:vMerge/>
                  <w:tcBorders>
                    <w:top w:val="none" w:color="000000" w:sz="4"/>
                    <w:left w:val="none" w:color="000000" w:sz="4"/>
                    <w:bottom w:val="single" w:color="000000" w:sz="4"/>
                    <w:right w:val="single" w:color="000000" w:sz="4"/>
                  </w:tcBorders>
                </w:tcPr>
                <w:p/>
              </w:tc>
              <w:tc>
                <w:tcPr>
                  <w:tcW w:type="dxa" w:w="233"/>
                  <w:vMerge/>
                  <w:tcBorders>
                    <w:top w:val="none" w:color="000000" w:sz="4"/>
                    <w:left w:val="none" w:color="000000" w:sz="4"/>
                    <w:bottom w:val="single" w:color="000000" w:sz="4"/>
                    <w:right w:val="single" w:color="000000" w:sz="4"/>
                  </w:tcBorders>
                </w:tcPr>
                <w:p/>
              </w:tc>
            </w:tr>
            <w:tr>
              <w:tc>
                <w:tcPr>
                  <w:tcW w:type="dxa" w:w="5598"/>
                  <w:gridSpan w:val="6"/>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sz w:val="21"/>
                    </w:rPr>
                    <w:t>考核单位：（盖章）</w:t>
                  </w:r>
                  <w:r>
                    <w:br/>
                  </w:r>
                  <w:r>
                    <w:rPr>
                      <w:sz w:val="21"/>
                    </w:rPr>
                    <w:t>考核得分：</w:t>
                  </w:r>
                  <w:r>
                    <w:br/>
                  </w:r>
                  <w:r>
                    <w:rPr>
                      <w:sz w:val="21"/>
                    </w:rPr>
                    <w:t>考</w:t>
                  </w:r>
                  <w:r>
                    <w:rPr>
                      <w:sz w:val="21"/>
                    </w:rPr>
                    <w:t>核</w:t>
                  </w:r>
                  <w:r>
                    <w:rPr>
                      <w:sz w:val="21"/>
                    </w:rPr>
                    <w:t>人：</w:t>
                  </w:r>
                  <w:r>
                    <w:br/>
                  </w:r>
                  <w:r>
                    <w:rPr>
                      <w:sz w:val="21"/>
                    </w:rPr>
                    <w:t>考核时间：</w:t>
                  </w:r>
                </w:p>
              </w:tc>
            </w:tr>
            <w:tr>
              <w:tc>
                <w:tcPr>
                  <w:tcW w:type="dxa" w:w="5598"/>
                  <w:gridSpan w:val="6"/>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sz w:val="21"/>
                    </w:rPr>
                    <w:t>1.</w:t>
                  </w:r>
                  <w:r>
                    <w:rPr>
                      <w:sz w:val="21"/>
                    </w:rPr>
                    <w:t>评分标准</w:t>
                  </w:r>
                  <w:r>
                    <w:br/>
                  </w:r>
                  <w:r>
                    <w:rPr>
                      <w:sz w:val="21"/>
                    </w:rPr>
                    <w:t>（</w:t>
                  </w:r>
                  <w:r>
                    <w:rPr>
                      <w:sz w:val="21"/>
                    </w:rPr>
                    <w:t>1</w:t>
                  </w:r>
                  <w:r>
                    <w:rPr>
                      <w:sz w:val="21"/>
                    </w:rPr>
                    <w:t>）本考核满分为</w:t>
                  </w:r>
                  <w:r>
                    <w:rPr>
                      <w:sz w:val="21"/>
                    </w:rPr>
                    <w:t>100</w:t>
                  </w:r>
                  <w:r>
                    <w:rPr>
                      <w:sz w:val="21"/>
                    </w:rPr>
                    <w:t>分。</w:t>
                  </w:r>
                  <w:r>
                    <w:br/>
                  </w:r>
                  <w:r>
                    <w:rPr>
                      <w:sz w:val="21"/>
                    </w:rPr>
                    <w:t>（</w:t>
                  </w:r>
                  <w:r>
                    <w:rPr>
                      <w:sz w:val="21"/>
                    </w:rPr>
                    <w:t>2</w:t>
                  </w:r>
                  <w:r>
                    <w:rPr>
                      <w:sz w:val="21"/>
                    </w:rPr>
                    <w:t>）本考核的所有考核项扣分值不设封顶。</w:t>
                  </w:r>
                  <w:r>
                    <w:br/>
                  </w:r>
                  <w:r>
                    <w:rPr>
                      <w:sz w:val="21"/>
                    </w:rPr>
                    <w:t>（</w:t>
                  </w:r>
                  <w:r>
                    <w:rPr>
                      <w:sz w:val="21"/>
                    </w:rPr>
                    <w:t>3</w:t>
                  </w:r>
                  <w:r>
                    <w:rPr>
                      <w:sz w:val="21"/>
                    </w:rPr>
                    <w:t>）考核得分</w:t>
                  </w:r>
                  <w:r>
                    <w:rPr>
                      <w:sz w:val="21"/>
                    </w:rPr>
                    <w:t>=100</w:t>
                  </w:r>
                  <w:r>
                    <w:rPr>
                      <w:sz w:val="21"/>
                    </w:rPr>
                    <w:t>分</w:t>
                  </w:r>
                  <w:r>
                    <w:rPr>
                      <w:sz w:val="21"/>
                    </w:rPr>
                    <w:t>-</w:t>
                  </w:r>
                  <w:r>
                    <w:rPr>
                      <w:sz w:val="21"/>
                    </w:rPr>
                    <w:t>扣分总值</w:t>
                  </w:r>
                  <w:r>
                    <w:rPr>
                      <w:sz w:val="21"/>
                    </w:rPr>
                    <w:t>+</w:t>
                  </w:r>
                  <w:r>
                    <w:rPr>
                      <w:sz w:val="21"/>
                    </w:rPr>
                    <w:t>加分值。</w:t>
                  </w:r>
                  <w:r>
                    <w:br/>
                  </w:r>
                  <w:r>
                    <w:rPr>
                      <w:sz w:val="21"/>
                    </w:rPr>
                    <w:t xml:space="preserve"> 2.</w:t>
                  </w:r>
                  <w:r>
                    <w:rPr>
                      <w:sz w:val="21"/>
                    </w:rPr>
                    <w:t>月度考核指标涉及时间的规定：</w:t>
                  </w:r>
                  <w:r>
                    <w:br/>
                  </w:r>
                  <w:r>
                    <w:rPr>
                      <w:sz w:val="21"/>
                    </w:rPr>
                    <w:t>日产出物：当天提交。</w:t>
                  </w:r>
                  <w:r>
                    <w:br/>
                  </w:r>
                  <w:r>
                    <w:rPr>
                      <w:sz w:val="21"/>
                    </w:rPr>
                    <w:t>周产出物：次周首天提交。</w:t>
                  </w:r>
                  <w:r>
                    <w:br/>
                  </w:r>
                  <w:r>
                    <w:rPr>
                      <w:sz w:val="21"/>
                    </w:rPr>
                    <w:t>月产出物：次月第一周内提交。</w:t>
                  </w:r>
                  <w:r>
                    <w:br/>
                  </w:r>
                  <w:r>
                    <w:rPr>
                      <w:sz w:val="21"/>
                    </w:rPr>
                    <w:t>季度产出物：次季度第一周内提交。</w:t>
                  </w:r>
                  <w:r>
                    <w:br/>
                  </w:r>
                  <w:r>
                    <w:rPr>
                      <w:sz w:val="21"/>
                    </w:rPr>
                    <w:t>年产出物：项目验收前一个月提交。</w:t>
                  </w:r>
                  <w:r>
                    <w:br/>
                  </w:r>
                  <w:r>
                    <w:rPr>
                      <w:sz w:val="21"/>
                    </w:rPr>
                    <w:t xml:space="preserve"> 3.</w:t>
                  </w:r>
                  <w:r>
                    <w:rPr>
                      <w:sz w:val="21"/>
                    </w:rPr>
                    <w:t>其它说明：</w:t>
                  </w:r>
                  <w:r>
                    <w:br/>
                  </w:r>
                  <w:r>
                    <w:rPr>
                      <w:sz w:val="21"/>
                    </w:rPr>
                    <w:t>（</w:t>
                  </w:r>
                  <w:r>
                    <w:rPr>
                      <w:sz w:val="21"/>
                    </w:rPr>
                    <w:t>1</w:t>
                  </w:r>
                  <w:r>
                    <w:rPr>
                      <w:sz w:val="21"/>
                    </w:rPr>
                    <w:t>）运维人员加班后调休、生病请假等经用户方事先同意的，或其它不可控原因导致无法按时进行日常巡检和交付产出物的，不在考核扣分之列。</w:t>
                  </w:r>
                  <w:r>
                    <w:br/>
                  </w:r>
                  <w:r>
                    <w:rPr>
                      <w:sz w:val="21"/>
                    </w:rPr>
                    <w:t>（</w:t>
                  </w:r>
                  <w:r>
                    <w:rPr>
                      <w:sz w:val="21"/>
                    </w:rPr>
                    <w:t>2</w:t>
                  </w:r>
                  <w:r>
                    <w:rPr>
                      <w:sz w:val="21"/>
                    </w:rPr>
                    <w:t>）被考核人已经识别出风险和隐患，并提出改进建议，但考核人未采用而导致故障的，不在扣分之列。</w:t>
                  </w:r>
                  <w:r>
                    <w:br/>
                  </w:r>
                  <w:r>
                    <w:rPr>
                      <w:sz w:val="21"/>
                    </w:rPr>
                    <w:t>（</w:t>
                  </w:r>
                  <w:r>
                    <w:rPr>
                      <w:sz w:val="21"/>
                    </w:rPr>
                    <w:t>3</w:t>
                  </w:r>
                  <w:r>
                    <w:rPr>
                      <w:sz w:val="21"/>
                    </w:rPr>
                    <w:t>）未经用户允许擅自泄露、拷贝、传播系统的设计文档、代码、配置及使用统计分析等多种方式导致信息数据泄露的，按照相关法律法规，追究相关人员责任并终止项目合同。</w:t>
                  </w:r>
                  <w:r>
                    <w:br/>
                  </w:r>
                  <w:r>
                    <w:rPr>
                      <w:sz w:val="21"/>
                    </w:rPr>
                    <w:t xml:space="preserve"> 4.</w:t>
                  </w:r>
                  <w:r>
                    <w:rPr>
                      <w:sz w:val="21"/>
                    </w:rPr>
                    <w:t>结算方法：</w:t>
                  </w:r>
                  <w:r>
                    <w:br/>
                  </w:r>
                  <w:r>
                    <w:rPr>
                      <w:sz w:val="21"/>
                    </w:rPr>
                    <w:t>（</w:t>
                  </w:r>
                  <w:r>
                    <w:rPr>
                      <w:sz w:val="21"/>
                    </w:rPr>
                    <w:t>1</w:t>
                  </w:r>
                  <w:r>
                    <w:rPr>
                      <w:sz w:val="21"/>
                    </w:rPr>
                    <w:t>）考核综合得分</w:t>
                  </w:r>
                  <w:r>
                    <w:rPr>
                      <w:sz w:val="21"/>
                    </w:rPr>
                    <w:t>=</w:t>
                  </w:r>
                  <w:r>
                    <w:rPr>
                      <w:sz w:val="21"/>
                    </w:rPr>
                    <w:t>科信处平均考核得分</w:t>
                  </w:r>
                  <w:r>
                    <w:rPr>
                      <w:sz w:val="21"/>
                    </w:rPr>
                    <w:t>*30%*+</w:t>
                  </w:r>
                  <w:r>
                    <w:rPr>
                      <w:sz w:val="21"/>
                    </w:rPr>
                    <w:t>各业务处室平均考核得分</w:t>
                  </w:r>
                  <w:r>
                    <w:rPr>
                      <w:sz w:val="21"/>
                    </w:rPr>
                    <w:t>*50%+</w:t>
                  </w:r>
                  <w:r>
                    <w:rPr>
                      <w:sz w:val="21"/>
                    </w:rPr>
                    <w:t>监理单位平均考核得分</w:t>
                  </w:r>
                  <w:r>
                    <w:rPr>
                      <w:sz w:val="21"/>
                    </w:rPr>
                    <w:t>*20%</w:t>
                  </w:r>
                  <w:r>
                    <w:rPr>
                      <w:sz w:val="21"/>
                    </w:rPr>
                    <w:t>。</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广东省市场监督管理局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采购机构代理服务收费标准：中标人须向采购代理机构按如下标准和规定缴纳招标代理服务费： （1）以项目预算金额作为招标代理服务费的计算基数； （2）招标代理服务费采用差额定率累进法进行计算，按照以下标准计取： 100万元以下的部分，按照1.5%计取； 100-500万元的部分，按照0.8%计取； （3）增值税另行计入招标代理服务费中。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便利化措施，1.各投标供应商可以通过“中国邮政”、“EMS”、“顺丰快递”等快递方式，按照采购文件要求在规定的投标截止时间前将《投标文件》及相关样品（如有）送达到开标地点，快递单上应清晰写明如下信息：1）收件地址：广州市天河区龙怡路117号银汇大厦5楼2）收件人：广东志正招标有限公司前台3）注明采购项目编号 如需现场安装或调试的样品，不接受邮寄送达的方式。需现场陈述的项目，请供应商派代表参与。 2.通过快递方式递交《投标文件》及相关样品（如有）的，递交时间为送达我司由我司前台人员签收的时间，请投标供应商预留邮寄所需的时间。建议投标供应商在邮递之后，主动在投标截止时间前及时与我司联系，核实投标文件是否在规定的时间内送达。 3.通过快递方式递交《投标文件》及相关样品（如有）的，寄错地址、逾期送达、未按照采购文件要求密封或者邮寄过程导致包装密封出现破损的，我司将拒绝接收，由投标供应商自行承担相应责任与后果，我司不承担责任。 政府采购合同融资，供应商在中标（成交）后需要融资时可以申请政府采购合同融资。详情请见《广东省财政厅广东省地方金融监督管理局中国人民银行广州分行关于开展省级政府采购合同融资工作的通知》（粤财采购〔2020〕6号）（查询网址：http://www.gdgpo.gov.cn/show/id/40288ba97237aba8017239cc2a020555.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省市场监管局基础设施租赁及运维服务（2025年）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采购包1（省市场监管局基础设施租赁及运维服务（2025年）项目）：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采购包1（省市场监管局基础设施租赁及运维服务（2025年）项目）：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提供2024年年度财务状况报告或投标截止日前6个月内任意1个月的财务报表或基本开户行出具的资信证明。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采购包1（省市场监管局基础设施租赁及运维服务（2025年）项目）：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采购包1(省市场监管局基础设施租赁及运维服务（2025年）项目):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信息系统政务云资源实施方案 (9.0分)</w:t>
            </w:r>
          </w:p>
        </w:tc>
        <w:tc>
          <w:tcPr>
            <w:tcW w:type="dxa" w:w="5076"/>
          </w:tcPr>
          <w:p>
            <w:pPr>
              <w:pStyle w:val="null3"/>
              <w:jc w:val="left"/>
            </w:pPr>
            <w:r>
              <w:rPr/>
              <w:t>根据投标人对本项目政务云支撑服务、低负载管理服务需求提供信息系统政务云资源实施方案（包括政务云资源申请及置换、政务云资源变更及撤销、政务云资源负载监控、政务云资源低负载处置措施等）进行综合评审： 1.对项目需求理解透彻，有针对性，且完全满足项目需求的，得9分； 2.对项目需求理解到位，针对性欠缺，基本满足项目需求的，得5分； 3.对项目需求理解不到位，针对性差，不满足项目需求的，得1分； 4.其他情况不得分。</w:t>
            </w:r>
          </w:p>
        </w:tc>
      </w:tr>
      <w:tr>
        <w:tc>
          <w:tcPr>
            <w:tcW w:type="dxa" w:w="922"/>
            <w:gridSpan w:val="2"/>
            <w:vMerge/>
          </w:tcPr>
          <w:p/>
        </w:tc>
        <w:tc>
          <w:tcPr>
            <w:tcW w:type="dxa" w:w="2307"/>
          </w:tcPr>
          <w:p>
            <w:pPr>
              <w:pStyle w:val="null3"/>
              <w:jc w:val="left"/>
            </w:pPr>
            <w:r>
              <w:rPr/>
              <w:t>基础设施运行维护方案 (9.0分)</w:t>
            </w:r>
          </w:p>
        </w:tc>
        <w:tc>
          <w:tcPr>
            <w:tcW w:type="dxa" w:w="5076"/>
          </w:tcPr>
          <w:p>
            <w:pPr>
              <w:pStyle w:val="null3"/>
              <w:jc w:val="left"/>
            </w:pPr>
            <w:r>
              <w:rPr/>
              <w:t>根据投标人提供的基础设施运行维护方案（机房基础环境运维服务、机房硬件设备运维服务等）进行综合评审： 1.对项目需求理解透彻，有针对性，且完全满足项目需求的，得9分； 2.对项目需求理解不到位，针对性欠缺，基本满足项目需求的，得5分； 3.对项目需求理解不到位，针对性差，不满足项目需求的，得1分； 4.其他情况不得分。</w:t>
            </w:r>
          </w:p>
        </w:tc>
      </w:tr>
      <w:tr>
        <w:tc>
          <w:tcPr>
            <w:tcW w:type="dxa" w:w="922"/>
            <w:gridSpan w:val="2"/>
            <w:vMerge/>
          </w:tcPr>
          <w:p/>
        </w:tc>
        <w:tc>
          <w:tcPr>
            <w:tcW w:type="dxa" w:w="2307"/>
          </w:tcPr>
          <w:p>
            <w:pPr>
              <w:pStyle w:val="null3"/>
              <w:jc w:val="left"/>
            </w:pPr>
            <w:r>
              <w:rPr/>
              <w:t>网络优化重构解决方案 (9.0分)</w:t>
            </w:r>
          </w:p>
        </w:tc>
        <w:tc>
          <w:tcPr>
            <w:tcW w:type="dxa" w:w="5076"/>
          </w:tcPr>
          <w:p>
            <w:pPr>
              <w:pStyle w:val="null3"/>
              <w:jc w:val="left"/>
            </w:pPr>
            <w:r>
              <w:rPr/>
              <w:t>根据投标人提供的网络优化重构解决方案（网络环境现状和存在问题、列举深度分析过程，提出优化和重构解决措施等）进行综合评审： 1.方案内对项目需求理解透彻，有针对性，且完全满足项目需求的得9分； 2.对项目需求理解不到位，针对性欠缺，基本满足项目需求的，得5分； 3.对项目需求理解不到位，针对性差，不满足项目需求的，得1分； 4.其他情况不得分。</w:t>
            </w:r>
          </w:p>
        </w:tc>
      </w:tr>
      <w:tr>
        <w:tc>
          <w:tcPr>
            <w:tcW w:type="dxa" w:w="922"/>
            <w:gridSpan w:val="2"/>
            <w:vMerge/>
          </w:tcPr>
          <w:p/>
        </w:tc>
        <w:tc>
          <w:tcPr>
            <w:tcW w:type="dxa" w:w="2307"/>
          </w:tcPr>
          <w:p>
            <w:pPr>
              <w:pStyle w:val="null3"/>
              <w:jc w:val="left"/>
            </w:pPr>
            <w:r>
              <w:rPr/>
              <w:t>核心网络设备租赁实施计划 (6.0分)</w:t>
            </w:r>
          </w:p>
        </w:tc>
        <w:tc>
          <w:tcPr>
            <w:tcW w:type="dxa" w:w="5076"/>
          </w:tcPr>
          <w:p>
            <w:pPr>
              <w:pStyle w:val="null3"/>
              <w:jc w:val="left"/>
            </w:pPr>
            <w:r>
              <w:rPr/>
              <w:t>为确保采购人信息系统和核心网络正常运行，避免造成严重工作影响，投标人需根据核心网络设备要求提出核心网络设备租赁实施计划。对投标人提供的核心网络设备租赁实施计划进行合理性评审： 1.计划在5个工作日（含）以内完成所有核心网络设备的到货核验、变更审核、上架部署、切换上线等所有流程的得6分； 2.计划在6至20个工作日（含）以内完成所有核心网络设备的到货核验、变更审核、上架部署、切换上线等所有流程的得2分； 3.计划在20个工作日以外完成所有核心网络设备的到货核验、变更审核、上架部署、切换上线等所有流程的不得分。 注：核心网络设备指：三层交换机、核心交换机、网络防火墙、上网行为管理系统、网络准入系统、SSLVPN网关</w:t>
            </w:r>
          </w:p>
        </w:tc>
      </w:tr>
      <w:tr>
        <w:tc>
          <w:tcPr>
            <w:tcW w:type="dxa" w:w="922"/>
            <w:gridSpan w:val="2"/>
            <w:vMerge/>
          </w:tcPr>
          <w:p/>
        </w:tc>
        <w:tc>
          <w:tcPr>
            <w:tcW w:type="dxa" w:w="2307"/>
          </w:tcPr>
          <w:p>
            <w:pPr>
              <w:pStyle w:val="null3"/>
              <w:jc w:val="left"/>
            </w:pPr>
            <w:r>
              <w:rPr/>
              <w:t>楼层网络设备租赁实施计划 (5.0分)</w:t>
            </w:r>
          </w:p>
        </w:tc>
        <w:tc>
          <w:tcPr>
            <w:tcW w:type="dxa" w:w="5076"/>
          </w:tcPr>
          <w:p>
            <w:pPr>
              <w:pStyle w:val="null3"/>
              <w:jc w:val="left"/>
            </w:pPr>
            <w:r>
              <w:rPr/>
              <w:t>为确保采购人办公环境网络正常运行，避免造成工作影响，投标人需根据楼层网络设备要求提出楼层网络设备租赁实施计划。对投标人提供的楼层网络设备租赁实施计划进行合理性评审： 1.计划在2个月以内完成所有楼层网络设备的到货核验、变更审核、上架部署、切换上线等所有流程的得5分； 2.计划在2个月至3个月以内完成所有楼层网络设备的到货核验、变更审核、上架部署、切换上线等所有流程的得2分； 3.计划在3个月以外完成所有楼层网络设备的到货核验、变更审核、上架部署、切换上线等所有流程的不得分。 注：楼层网络设备指：楼层交换机</w:t>
            </w:r>
          </w:p>
        </w:tc>
      </w:tr>
      <w:tr>
        <w:tc>
          <w:tcPr>
            <w:tcW w:type="dxa" w:w="922"/>
            <w:gridSpan w:val="2"/>
            <w:vMerge/>
          </w:tcPr>
          <w:p/>
        </w:tc>
        <w:tc>
          <w:tcPr>
            <w:tcW w:type="dxa" w:w="2307"/>
          </w:tcPr>
          <w:p>
            <w:pPr>
              <w:pStyle w:val="null3"/>
              <w:jc w:val="left"/>
            </w:pPr>
            <w:r>
              <w:rPr/>
              <w:t>视频会议系统和设备租赁实施计划 (6.0分)</w:t>
            </w:r>
          </w:p>
        </w:tc>
        <w:tc>
          <w:tcPr>
            <w:tcW w:type="dxa" w:w="5076"/>
          </w:tcPr>
          <w:p>
            <w:pPr>
              <w:pStyle w:val="null3"/>
              <w:jc w:val="left"/>
            </w:pPr>
            <w:r>
              <w:rPr/>
              <w:t>为确保采购人视频会议系统正常运行，避免造成工作影响，投标人需根据视频会议系统和设备要求提出视频会议系统和设备租赁实施计划。对投标人提供的视频会议系统和设备租赁实施计划进行合理性评审： 1.计划在5个工作日（含）以内完成所有视频会议系统和设备的到货核验、变更审核、上架部署、切换上线等所有流程的得6分； 2.计划在6至20个工作日（含）以内完成所有视频会议系统和设备的到货核验、变更审核、上架部署、切换上线等所有流程的得2分； 3。计划在20个工作日以外完成所有视频会议系统和设备的到货核验、变更审核、上架部署、切换上线等所有流程的不得分。 注：视频会议系统和设备指：视频会议系统、视频平台、智能会议管理平台、视频会议终端</w:t>
            </w:r>
          </w:p>
        </w:tc>
      </w:tr>
      <w:tr>
        <w:tc>
          <w:tcPr>
            <w:tcW w:type="dxa" w:w="922"/>
            <w:gridSpan w:val="2"/>
            <w:vMerge/>
          </w:tcPr>
          <w:p/>
        </w:tc>
        <w:tc>
          <w:tcPr>
            <w:tcW w:type="dxa" w:w="2307"/>
          </w:tcPr>
          <w:p>
            <w:pPr>
              <w:pStyle w:val="null3"/>
              <w:jc w:val="left"/>
            </w:pPr>
            <w:r>
              <w:rPr/>
              <w:t>运维服务工具软件 (6.0分)</w:t>
            </w:r>
          </w:p>
        </w:tc>
        <w:tc>
          <w:tcPr>
            <w:tcW w:type="dxa" w:w="5076"/>
          </w:tcPr>
          <w:p>
            <w:pPr>
              <w:pStyle w:val="null3"/>
              <w:jc w:val="left"/>
            </w:pPr>
            <w:r>
              <w:rPr/>
              <w:t>投标人拟为本项目投入的运维服务工具软件需包括：1.监控平台类、2.运维管理类、3.资源配置管理类，每提供一类得2分，满分6分。 注：提供以上服务工具软件著作权证书证明文件。提供上述多个同类的软件著作权证书，均不重复计算得分。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同类项目案例 (10.0分)</w:t>
            </w:r>
          </w:p>
        </w:tc>
        <w:tc>
          <w:tcPr>
            <w:tcW w:type="dxa" w:w="5076"/>
          </w:tcPr>
          <w:p>
            <w:pPr>
              <w:pStyle w:val="null3"/>
              <w:jc w:val="left"/>
            </w:pPr>
            <w:r>
              <w:rPr/>
              <w:t>投标人自2023年1月1日至投标截止之日止（以合同签订时间为准）具备的同类项目案例，满分10分：具有系统运行维护类相关项目（合同名称或合同建设内容包含“系统运行维护”相关内容），每具备一个得1分，此项满分10分。 注：需提供合同关键页（关键页内容包括但不限于合同封面页、合同双方、合同金额、服务内容、签字/盖章、签订时间）；供应商母公司、子公司业绩均不予计分。如提供框架合同+多份采购订单，仅作为一个合同计算。未按要求提供材料或提供的材料不清晰的不得分。</w:t>
            </w:r>
          </w:p>
        </w:tc>
      </w:tr>
      <w:tr>
        <w:tc>
          <w:tcPr>
            <w:tcW w:type="dxa" w:w="922"/>
            <w:gridSpan w:val="2"/>
            <w:vMerge/>
          </w:tcPr>
          <w:p/>
        </w:tc>
        <w:tc>
          <w:tcPr>
            <w:tcW w:type="dxa" w:w="2307"/>
          </w:tcPr>
          <w:p>
            <w:pPr>
              <w:pStyle w:val="null3"/>
              <w:jc w:val="left"/>
            </w:pPr>
            <w:r>
              <w:rPr/>
              <w:t>用户评价 (10.0分)</w:t>
            </w:r>
          </w:p>
        </w:tc>
        <w:tc>
          <w:tcPr>
            <w:tcW w:type="dxa" w:w="5076"/>
          </w:tcPr>
          <w:p>
            <w:pPr>
              <w:pStyle w:val="null3"/>
              <w:jc w:val="left"/>
            </w:pPr>
            <w:r>
              <w:rPr/>
              <w:t>上述有效的业绩中获得正面评价（优秀或优良或良好或满意或考核评分为90分或以上（100分制），或相当于正面评价）且评价文件体现评价单位联系人及联系方式的（如未体现的，供应商须另行提供评价单位的联系人及联系方式），每份（如一个业绩体现在多份合同的，须多份合同均获正面评价方可得分）得1分，最高得10分。 注：（1）同一项目按1份计算，不重复计算分数。（2）提供合同甲方或甲方项目主管部门盖章的评价文件。（3）评价文件未体现评价单位联系人及联系方式，或者供应商未提供评价单位的联系人及联系方式，对应的评价文件不得分。</w:t>
            </w:r>
          </w:p>
        </w:tc>
      </w:tr>
      <w:tr>
        <w:tc>
          <w:tcPr>
            <w:tcW w:type="dxa" w:w="922"/>
            <w:gridSpan w:val="2"/>
            <w:vMerge/>
          </w:tcPr>
          <w:p/>
        </w:tc>
        <w:tc>
          <w:tcPr>
            <w:tcW w:type="dxa" w:w="2307"/>
          </w:tcPr>
          <w:p>
            <w:pPr>
              <w:pStyle w:val="null3"/>
              <w:jc w:val="left"/>
            </w:pPr>
            <w:r>
              <w:rPr/>
              <w:t>项目经理（非驻场） (7.0分)</w:t>
            </w:r>
          </w:p>
        </w:tc>
        <w:tc>
          <w:tcPr>
            <w:tcW w:type="dxa" w:w="5076"/>
          </w:tcPr>
          <w:p>
            <w:pPr>
              <w:pStyle w:val="null3"/>
              <w:jc w:val="left"/>
            </w:pPr>
            <w:r>
              <w:rPr/>
              <w:t>投标人需提供1名为本项目服务的项目经理，根据项目经理资质证书、项目经验进行评分，满分7分： 1、具备信息系统项目管理师证书（计算机技术与软件专业技术资格），得2分； 2、具备系统规划与管理师证书（计算机技术与软件专业技术资格），得2分； 3、具备参与信息化项目相关经验，每提供一个经验证明得1分，此项最高得3分。 备注：（1）提供有效证明文件（证书扫描件或能体现项目经理名字的合同（或验收报告）等经验证明文件）及在本单位任职的证明材料（如加盖所在地区政府有关部门印章的缴纳日期在本项目投标截止时间前六个月内任意一个月社保证明，如《投保单》或《社会保险参保人员证明》，或单位代缴个人所得税税单等。不提供不得分。（2）项目负责人不可与信息安全二线运维技术人员、网络二线运维技术人员、基础设施二线运维负责人为同一人员。</w:t>
            </w:r>
          </w:p>
        </w:tc>
      </w:tr>
      <w:tr>
        <w:tc>
          <w:tcPr>
            <w:tcW w:type="dxa" w:w="922"/>
            <w:gridSpan w:val="2"/>
            <w:vMerge/>
          </w:tcPr>
          <w:p/>
        </w:tc>
        <w:tc>
          <w:tcPr>
            <w:tcW w:type="dxa" w:w="2307"/>
          </w:tcPr>
          <w:p>
            <w:pPr>
              <w:pStyle w:val="null3"/>
              <w:jc w:val="left"/>
            </w:pPr>
            <w:r>
              <w:rPr/>
              <w:t>基础设施二线运维负责人（非驻场） (5.0分)</w:t>
            </w:r>
          </w:p>
        </w:tc>
        <w:tc>
          <w:tcPr>
            <w:tcW w:type="dxa" w:w="5076"/>
          </w:tcPr>
          <w:p>
            <w:pPr>
              <w:pStyle w:val="null3"/>
              <w:jc w:val="left"/>
            </w:pPr>
            <w:r>
              <w:rPr/>
              <w:t>投标人需提供1名为本项目服务的基础设施二线运维技术人员，根据基础设施运维二线运维技术人员资质证书进行评分，满分5分： 1、具备系统规划与管理师证书（计算机技术与软件专业技术资格），得2分； 2、具备系统分析师证书（计算机技术与软件专业技术资格），得2分； 3、具备参与信息化项目相关经验证明，每提供一个经验证明得0.5分，此项最高得1分。 备注:（1）提供有效证明文件（证书扫描件或能体现项目经理名字的合同（或验收报告）等经验证明文件）及在本单位任职的证明材料（如加盖所在地区政府有关部门印章的缴纳日期在本项目投标截止时间前六个月内任意一个月社保证明，如《投保单》或《社会保险参保人员证明》，或单位代缴个人所得税税单等。不提供不得分。（2）基础设施二线运维技术人员不可与项目经理、信息安全二线运维技术人员、网络二线运维技术人员为同一人员。</w:t>
            </w:r>
          </w:p>
        </w:tc>
      </w:tr>
      <w:tr>
        <w:tc>
          <w:tcPr>
            <w:tcW w:type="dxa" w:w="922"/>
            <w:gridSpan w:val="2"/>
            <w:vMerge/>
          </w:tcPr>
          <w:p/>
        </w:tc>
        <w:tc>
          <w:tcPr>
            <w:tcW w:type="dxa" w:w="2307"/>
          </w:tcPr>
          <w:p>
            <w:pPr>
              <w:pStyle w:val="null3"/>
              <w:jc w:val="left"/>
            </w:pPr>
            <w:r>
              <w:rPr/>
              <w:t>信息安全二线运维技术人员（非驻场） (5.0分)</w:t>
            </w:r>
          </w:p>
        </w:tc>
        <w:tc>
          <w:tcPr>
            <w:tcW w:type="dxa" w:w="5076"/>
          </w:tcPr>
          <w:p>
            <w:pPr>
              <w:pStyle w:val="null3"/>
              <w:jc w:val="left"/>
            </w:pPr>
            <w:r>
              <w:rPr/>
              <w:t>投标人需提供1名为本项目服务的信息安全二线运维技术人员，根据信息安全二线运维技术人员资质证书进行评分，满分5分： 1、具备信息安全工程师证书（计算机技术与软件专业技术资格），得2分； 2、具备网络工程师证书（计算机技术与软件专业技术资格），得2分； 3、具备参与信息化项目相关经验证明，每提供一个经验证明得0.5分，此项最高得1分。 备注:（1）提供有效证明文件（证书扫描件或能体现项目经理名字的合同（或验收报告）等经验证明文件）及在本单位任职的证明材料（如加盖所在地区政府有关部门印章的缴纳日期在本项目投标截止时间前六个月内任意一个月社保证明，如《投保单》或《社会保险参保人员证明》，或单位代缴个人所得税税单等。不提供不得分。（2）信息安全二线运维技术人员不可与项目经理、网络二线运维技术人员、基础设施二线运维负责人为同一人员。</w:t>
            </w:r>
          </w:p>
        </w:tc>
      </w:tr>
      <w:tr>
        <w:tc>
          <w:tcPr>
            <w:tcW w:type="dxa" w:w="922"/>
            <w:gridSpan w:val="2"/>
            <w:vMerge/>
          </w:tcPr>
          <w:p/>
        </w:tc>
        <w:tc>
          <w:tcPr>
            <w:tcW w:type="dxa" w:w="2307"/>
          </w:tcPr>
          <w:p>
            <w:pPr>
              <w:pStyle w:val="null3"/>
              <w:jc w:val="left"/>
            </w:pPr>
            <w:r>
              <w:rPr/>
              <w:t>网络二线运维技术人员（非驻场） (3.0分)</w:t>
            </w:r>
          </w:p>
        </w:tc>
        <w:tc>
          <w:tcPr>
            <w:tcW w:type="dxa" w:w="5076"/>
          </w:tcPr>
          <w:p>
            <w:pPr>
              <w:pStyle w:val="null3"/>
              <w:jc w:val="left"/>
            </w:pPr>
            <w:r>
              <w:rPr/>
              <w:t>投标人需提供1名为本项目服务的网络二线运维技术人员，根据网络二线运维技术人员资质证书进行评分，满分3分： 1、具备网络工程师证书（计算机技术与软件专业技术资格），得2分；2、具备参与信息化项目相关经验证明，每提供一个经验证明得0.5分，此项最高得1分。 备注:（1）提供有效证明文件（证书扫描件或能体现项目经理名字的合同（或验收报告）等经验证明文件）及在本单位任职的证明材料（如加盖所在地区政府有关部门印章的缴纳日期在本项目投标截止时间前六个月内任意一个月社保证明，如《投保单》或《社会保险参保人员证明》，或单位代缴个人所得税税单等。不提供不得分。（2）网络二线运维技术人员不可与项目经理、信息安全二线运维技术人员、基础设施二线运维负责人为同一人员。</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color w:val="000000"/>
        </w:rPr>
        <w:t xml:space="preserve"> 合同编号：        </w:t>
      </w:r>
    </w:p>
    <w:p>
      <w:pPr>
        <w:pStyle w:val="null3"/>
        <w:jc w:val="both"/>
      </w:pPr>
      <w:r>
        <w:rPr>
          <w:sz w:val="56"/>
          <w:b/>
          <w:color w:val="000000"/>
        </w:rPr>
        <w:t>省级政务信息化项目</w:t>
      </w:r>
    </w:p>
    <w:p>
      <w:pPr>
        <w:pStyle w:val="null3"/>
        <w:ind w:firstLine="1124"/>
        <w:jc w:val="center"/>
      </w:pPr>
      <w:r>
        <w:rPr>
          <w:sz w:val="56"/>
          <w:b/>
          <w:color w:val="000000"/>
        </w:rPr>
        <w:t>合同书</w:t>
      </w:r>
    </w:p>
    <w:tbl>
      <w:tblPr>
        <w:tblW w:w="0" w:type="auto"/>
        <w:tblBorders>
          <w:top w:val="none" w:color="000000" w:sz="4"/>
          <w:left w:val="none" w:color="000000" w:sz="4"/>
          <w:bottom w:val="none" w:color="000000" w:sz="4"/>
          <w:right w:val="none" w:color="000000" w:sz="4"/>
          <w:insideH w:val="none"/>
          <w:insideV w:val="none"/>
        </w:tblBorders>
      </w:tblPr>
      <w:tblGrid>
        <w:gridCol w:w="2985"/>
        <w:gridCol w:w="315"/>
        <w:gridCol w:w="4770"/>
      </w:tblGrid>
      <w:tr>
        <w:tc>
          <w:tcPr>
            <w:tcW w:type="dxa" w:w="298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color w:val="000000"/>
              </w:rPr>
              <w:t>项目名称</w:t>
            </w:r>
          </w:p>
        </w:tc>
        <w:tc>
          <w:tcPr>
            <w:tcW w:type="dxa" w:w="3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color w:val="000000"/>
              </w:rPr>
              <w:t>：</w:t>
            </w:r>
          </w:p>
        </w:tc>
        <w:tc>
          <w:tcPr>
            <w:tcW w:type="dxa" w:w="47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 xml:space="preserve">                                                         </w:t>
            </w:r>
          </w:p>
        </w:tc>
      </w:tr>
      <w:tr>
        <w:tc>
          <w:tcPr>
            <w:tcW w:type="dxa" w:w="298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95"/>
              <w:jc w:val="both"/>
            </w:pPr>
            <w:r>
              <w:rPr>
                <w:sz w:val="32"/>
                <w:color w:val="000000"/>
              </w:rPr>
              <w:t>委托方（甲方）</w:t>
            </w:r>
          </w:p>
        </w:tc>
        <w:tc>
          <w:tcPr>
            <w:tcW w:type="dxa" w:w="3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605"/>
              <w:jc w:val="both"/>
            </w:pPr>
            <w:r>
              <w:rPr>
                <w:sz w:val="32"/>
                <w:color w:val="000000"/>
              </w:rPr>
              <w:t>：</w:t>
            </w:r>
          </w:p>
        </w:tc>
        <w:tc>
          <w:tcPr>
            <w:tcW w:type="dxa" w:w="47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95"/>
              <w:jc w:val="left"/>
            </w:pPr>
            <w:r>
              <w:rPr>
                <w:sz w:val="19"/>
                <w:u w:val="single"/>
              </w:rPr>
              <w:t xml:space="preserve">                                                        </w:t>
            </w:r>
          </w:p>
        </w:tc>
      </w:tr>
      <w:tr>
        <w:tc>
          <w:tcPr>
            <w:tcW w:type="dxa" w:w="298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95"/>
              <w:jc w:val="both"/>
            </w:pPr>
            <w:r>
              <w:rPr>
                <w:sz w:val="32"/>
                <w:color w:val="000000"/>
              </w:rPr>
              <w:t>受托方（乙方）</w:t>
            </w:r>
          </w:p>
        </w:tc>
        <w:tc>
          <w:tcPr>
            <w:tcW w:type="dxa" w:w="3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605"/>
              <w:jc w:val="both"/>
            </w:pPr>
            <w:r>
              <w:rPr>
                <w:sz w:val="32"/>
                <w:color w:val="000000"/>
              </w:rPr>
              <w:t>：</w:t>
            </w:r>
          </w:p>
        </w:tc>
        <w:tc>
          <w:tcPr>
            <w:tcW w:type="dxa" w:w="47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95"/>
              <w:jc w:val="left"/>
            </w:pPr>
            <w:r>
              <w:rPr>
                <w:sz w:val="19"/>
                <w:u w:val="single"/>
              </w:rPr>
              <w:t xml:space="preserve">                                                        </w:t>
            </w:r>
            <w:r>
              <w:rPr>
                <w:sz w:val="19"/>
                <w:u w:val="single"/>
              </w:rPr>
              <w:t xml:space="preserve">                          </w:t>
            </w:r>
          </w:p>
        </w:tc>
      </w:tr>
      <w:tr>
        <w:tc>
          <w:tcPr>
            <w:tcW w:type="dxa" w:w="298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95"/>
              <w:jc w:val="both"/>
            </w:pPr>
            <w:r>
              <w:rPr>
                <w:sz w:val="32"/>
                <w:color w:val="000000"/>
              </w:rPr>
              <w:t xml:space="preserve">签订日期                 </w:t>
            </w:r>
          </w:p>
        </w:tc>
        <w:tc>
          <w:tcPr>
            <w:tcW w:type="dxa" w:w="3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605"/>
              <w:jc w:val="both"/>
            </w:pPr>
            <w:r>
              <w:rPr>
                <w:sz w:val="32"/>
                <w:color w:val="000000"/>
              </w:rPr>
              <w:t>：</w:t>
            </w:r>
          </w:p>
        </w:tc>
        <w:tc>
          <w:tcPr>
            <w:tcW w:type="dxa" w:w="47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95"/>
              <w:jc w:val="left"/>
            </w:pPr>
            <w:r>
              <w:rPr>
                <w:sz w:val="19"/>
                <w:u w:val="single"/>
              </w:rPr>
              <w:t xml:space="preserve">        </w:t>
            </w:r>
            <w:r>
              <w:rPr>
                <w:sz w:val="32"/>
                <w:color w:val="000000"/>
              </w:rPr>
              <w:t>年</w:t>
            </w:r>
            <w:r>
              <w:rPr>
                <w:sz w:val="19"/>
                <w:u w:val="single"/>
              </w:rPr>
              <w:t xml:space="preserve">       </w:t>
            </w:r>
            <w:r>
              <w:rPr>
                <w:sz w:val="32"/>
                <w:color w:val="000000"/>
              </w:rPr>
              <w:t>月</w:t>
            </w:r>
            <w:r>
              <w:rPr>
                <w:sz w:val="19"/>
                <w:u w:val="single"/>
              </w:rPr>
              <w:t xml:space="preserve">         </w:t>
            </w:r>
          </w:p>
        </w:tc>
      </w:tr>
      <w:tr>
        <w:tc>
          <w:tcPr>
            <w:tcW w:type="dxa" w:w="298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95"/>
              <w:jc w:val="both"/>
            </w:pPr>
            <w:r>
              <w:rPr>
                <w:sz w:val="32"/>
                <w:color w:val="000000"/>
              </w:rPr>
              <w:t xml:space="preserve">签订地点                       </w:t>
            </w:r>
          </w:p>
        </w:tc>
        <w:tc>
          <w:tcPr>
            <w:tcW w:type="dxa" w:w="3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605"/>
              <w:jc w:val="both"/>
            </w:pPr>
            <w:r>
              <w:rPr>
                <w:sz w:val="32"/>
                <w:color w:val="000000"/>
              </w:rPr>
              <w:t>：</w:t>
            </w:r>
          </w:p>
        </w:tc>
        <w:tc>
          <w:tcPr>
            <w:tcW w:type="dxa" w:w="47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95"/>
              <w:jc w:val="left"/>
            </w:pPr>
            <w:r>
              <w:rPr>
                <w:sz w:val="19"/>
                <w:u w:val="single"/>
              </w:rPr>
              <w:t xml:space="preserve">      </w:t>
            </w:r>
            <w:r>
              <w:rPr>
                <w:sz w:val="32"/>
                <w:color w:val="000000"/>
              </w:rPr>
              <w:t>省</w:t>
            </w:r>
            <w:r>
              <w:rPr>
                <w:sz w:val="19"/>
                <w:u w:val="single"/>
              </w:rPr>
              <w:t xml:space="preserve">      </w:t>
            </w:r>
            <w:r>
              <w:rPr>
                <w:sz w:val="32"/>
                <w:color w:val="000000"/>
              </w:rPr>
              <w:t>市</w:t>
            </w:r>
            <w:r>
              <w:rPr>
                <w:sz w:val="19"/>
                <w:u w:val="single"/>
              </w:rPr>
              <w:t xml:space="preserve">      </w:t>
            </w:r>
            <w:r>
              <w:rPr>
                <w:sz w:val="32"/>
                <w:color w:val="000000"/>
              </w:rPr>
              <w:t>区</w:t>
            </w:r>
          </w:p>
        </w:tc>
      </w:tr>
    </w:tbl>
    <w:p>
      <w:pPr>
        <w:pStyle w:val="null3"/>
        <w:ind w:firstLine="600"/>
        <w:jc w:val="center"/>
      </w:pPr>
      <w:r>
        <w:rPr>
          <w:sz w:val="30"/>
          <w:color w:val="000000"/>
        </w:rPr>
        <w:t>广东省政务服务和数据管理局印制</w:t>
      </w:r>
    </w:p>
    <w:p>
      <w:pPr>
        <w:pStyle w:val="null3"/>
        <w:jc w:val="both"/>
      </w:pPr>
      <w:r>
        <w:rPr/>
        <w:t xml:space="preserve"> </w:t>
      </w:r>
    </w:p>
    <w:p>
      <w:pPr>
        <w:pStyle w:val="null3"/>
      </w:pPr>
      <w:r>
        <w:rPr/>
        <w:t xml:space="preserve"> </w:t>
      </w:r>
    </w:p>
    <w:p>
      <w:pPr>
        <w:pStyle w:val="null3"/>
        <w:ind w:firstLine="723"/>
        <w:jc w:val="center"/>
      </w:pPr>
      <w:r>
        <w:rPr>
          <w:sz w:val="36"/>
          <w:b/>
          <w:color w:val="000000"/>
        </w:rPr>
        <w:t>填</w:t>
      </w:r>
      <w:r>
        <w:rPr>
          <w:sz w:val="36"/>
          <w:b/>
          <w:color w:val="000000"/>
        </w:rPr>
        <w:t xml:space="preserve"> 写 说 明</w:t>
      </w:r>
    </w:p>
    <w:p>
      <w:pPr>
        <w:pStyle w:val="null3"/>
        <w:ind w:firstLine="422"/>
        <w:jc w:val="center"/>
      </w:pPr>
      <w:r>
        <w:rPr>
          <w:sz w:val="24"/>
          <w:color w:val="000000"/>
        </w:rPr>
        <w:t>一、本合同为广东省政务服务和数据管理局印制的项目服务合同示范文本，省各有关单位可参照使用。</w:t>
      </w:r>
    </w:p>
    <w:p>
      <w:pPr>
        <w:pStyle w:val="null3"/>
        <w:spacing w:before="150" w:after="150"/>
        <w:ind w:firstLine="480"/>
        <w:jc w:val="left"/>
      </w:pPr>
      <w:r>
        <w:rPr>
          <w:sz w:val="24"/>
          <w:color w:val="000000"/>
        </w:rPr>
        <w:t>二、本合同书适用于一方当事人（受托方）为另一方（委托方）提供省级政务信息化服务（含软件开发服务、基础设施服务、运维服务）所订立的合同。</w:t>
      </w:r>
    </w:p>
    <w:p>
      <w:pPr>
        <w:pStyle w:val="null3"/>
        <w:spacing w:before="150" w:after="150"/>
        <w:ind w:firstLine="480"/>
        <w:jc w:val="left"/>
      </w:pPr>
      <w:r>
        <w:rPr>
          <w:sz w:val="24"/>
          <w:color w:val="000000"/>
        </w:rPr>
        <w:t>三、签约一方为多个当事人的，可按各自在合同关系中的作用等，在“委托方”、“受托方”项下（增页）分别排列为共同委托人或共同受托人。</w:t>
      </w:r>
    </w:p>
    <w:p>
      <w:pPr>
        <w:pStyle w:val="null3"/>
        <w:spacing w:before="150" w:after="150"/>
        <w:ind w:firstLine="480"/>
        <w:jc w:val="left"/>
      </w:pPr>
      <w:r>
        <w:rPr>
          <w:sz w:val="24"/>
          <w:color w:val="000000"/>
        </w:rPr>
        <w:t>四、本合同书未尽事项，可由当事人附页另行约定，并作为本合同的组成部分。</w:t>
      </w:r>
    </w:p>
    <w:p>
      <w:pPr>
        <w:pStyle w:val="null3"/>
        <w:spacing w:before="150" w:after="150"/>
        <w:ind w:firstLine="480"/>
        <w:jc w:val="left"/>
      </w:pPr>
      <w:r>
        <w:rPr>
          <w:sz w:val="24"/>
          <w:color w:val="000000"/>
        </w:rPr>
        <w:t>五、当事人使用本合同书时约定无需填写的条款，应在该条款处注明“无”等字样</w:t>
      </w:r>
      <w:r>
        <w:rPr>
          <w:sz w:val="24"/>
          <w:b/>
          <w:color w:val="000000"/>
        </w:rPr>
        <w:t>。</w:t>
      </w:r>
    </w:p>
    <w:p>
      <w:pPr>
        <w:pStyle w:val="null3"/>
        <w:jc w:val="both"/>
      </w:pPr>
      <w:r>
        <w:rPr/>
        <w:t xml:space="preserve"> </w:t>
      </w:r>
    </w:p>
    <w:p>
      <w:pPr>
        <w:pStyle w:val="null3"/>
      </w:pPr>
      <w:r>
        <w:rPr/>
        <w:t xml:space="preserve"> </w:t>
      </w:r>
    </w:p>
    <w:p>
      <w:pPr>
        <w:pStyle w:val="null3"/>
        <w:spacing w:before="240" w:after="60"/>
        <w:ind w:firstLine="422"/>
        <w:jc w:val="center"/>
      </w:pPr>
      <w:r>
        <w:rPr>
          <w:sz w:val="21"/>
          <w:b/>
          <w:color w:val="000000"/>
        </w:rPr>
        <w:t>第一章总则</w:t>
      </w:r>
    </w:p>
    <w:p>
      <w:pPr>
        <w:pStyle w:val="null3"/>
        <w:ind w:left="420"/>
        <w:jc w:val="both"/>
        <w:outlineLvl w:val="0"/>
      </w:pPr>
      <w:r>
        <w:rPr>
          <w:sz w:val="21"/>
          <w:b/>
          <w:color w:val="000000"/>
        </w:rPr>
        <w:t>1.</w:t>
      </w:r>
      <w:r>
        <w:rPr>
          <w:sz w:val="21"/>
          <w:b/>
          <w:color w:val="000000"/>
        </w:rPr>
        <w:t>相关术语的定义和解释</w:t>
      </w:r>
    </w:p>
    <w:p>
      <w:pPr>
        <w:pStyle w:val="null3"/>
        <w:ind w:left="570"/>
        <w:jc w:val="both"/>
        <w:outlineLvl w:val="0"/>
      </w:pPr>
      <w:r>
        <w:rPr>
          <w:sz w:val="21"/>
          <w:b/>
          <w:color w:val="000000"/>
        </w:rPr>
        <w:t>1.1.</w:t>
      </w:r>
      <w:r>
        <w:rPr>
          <w:sz w:val="21"/>
          <w:b/>
          <w:color w:val="000000"/>
        </w:rPr>
        <w:t>定义</w:t>
      </w:r>
    </w:p>
    <w:p>
      <w:pPr>
        <w:pStyle w:val="null3"/>
        <w:ind w:firstLine="420"/>
        <w:jc w:val="left"/>
      </w:pPr>
      <w:r>
        <w:rPr>
          <w:sz w:val="21"/>
          <w:color w:val="000000"/>
        </w:rPr>
        <w:t>1.1.1.本项目：</w:t>
      </w:r>
      <w:r>
        <w:rPr>
          <w:sz w:val="21"/>
          <w:color w:val="000000"/>
          <w:u w:val="single"/>
        </w:rPr>
        <w:t xml:space="preserve">                                                                            （采购项目编号：          ）。</w:t>
      </w:r>
    </w:p>
    <w:p>
      <w:pPr>
        <w:pStyle w:val="null3"/>
        <w:ind w:firstLine="420"/>
        <w:jc w:val="left"/>
      </w:pPr>
      <w:r>
        <w:rPr>
          <w:sz w:val="21"/>
          <w:color w:val="000000"/>
        </w:rPr>
        <w:t>1.1.2.委托方/甲方：本项目采购人。</w:t>
      </w:r>
    </w:p>
    <w:p>
      <w:pPr>
        <w:pStyle w:val="null3"/>
        <w:ind w:firstLine="420"/>
        <w:jc w:val="left"/>
      </w:pPr>
      <w:r>
        <w:rPr>
          <w:sz w:val="21"/>
          <w:color w:val="000000"/>
        </w:rPr>
        <w:t>1.1.3.受托方/乙方：本项目成交供应商。</w:t>
      </w:r>
    </w:p>
    <w:p>
      <w:pPr>
        <w:pStyle w:val="null3"/>
        <w:ind w:firstLine="420"/>
        <w:jc w:val="left"/>
      </w:pPr>
      <w:r>
        <w:rPr>
          <w:sz w:val="21"/>
          <w:color w:val="000000"/>
        </w:rPr>
        <w:t>1.1.4.咨询、监理单位：受甲方委托对本项目进行第三方咨询、监理的单位。</w:t>
      </w:r>
    </w:p>
    <w:p>
      <w:pPr>
        <w:pStyle w:val="null3"/>
        <w:ind w:firstLine="420"/>
        <w:jc w:val="left"/>
      </w:pPr>
      <w:r>
        <w:rPr>
          <w:sz w:val="21"/>
          <w:color w:val="000000"/>
        </w:rPr>
        <w:t>1.1.5.测试、测评单位：受甲方或乙方委托对本项目进行第三方测试、安全等保测评等服务的单位。</w:t>
      </w:r>
    </w:p>
    <w:p>
      <w:pPr>
        <w:pStyle w:val="null3"/>
        <w:ind w:firstLine="420"/>
        <w:jc w:val="left"/>
      </w:pPr>
      <w:r>
        <w:rPr>
          <w:sz w:val="21"/>
          <w:color w:val="000000"/>
        </w:rPr>
        <w:t>1.1.6.省各有关单位：经广东省机构编制委员会批准设立的广东省行政事业单位，主要包括</w:t>
      </w:r>
      <w:r>
        <w:rPr>
          <w:sz w:val="21"/>
          <w:color w:val="000000"/>
        </w:rPr>
        <w:t>省政府办公厅</w:t>
      </w:r>
      <w:r>
        <w:rPr>
          <w:sz w:val="21"/>
          <w:color w:val="000000"/>
        </w:rPr>
        <w:t>、省政府组成部门、省政府直属特设机构、省政府直属机构、部门管理机构、其他机构、省政府直属事业单位、其他。</w:t>
      </w:r>
    </w:p>
    <w:p>
      <w:pPr>
        <w:pStyle w:val="null3"/>
        <w:ind w:firstLine="420"/>
        <w:jc w:val="left"/>
      </w:pPr>
      <w:r>
        <w:rPr>
          <w:sz w:val="21"/>
          <w:color w:val="000000"/>
        </w:rPr>
        <w:t>1.1.7.适用法律：指所有适用的中华人民共和国法律、法规、部门规章、地方性法规、司法解释、政府部门颁布的标准、规范或其他适用的强制性要求、有法律约束力的规范性文件等。除非另有特别约定或文意另有所指，本合同中提及的“法律”均包括适用法律的全部定义内容。</w:t>
      </w:r>
    </w:p>
    <w:p>
      <w:pPr>
        <w:pStyle w:val="null3"/>
        <w:ind w:firstLine="420"/>
        <w:jc w:val="left"/>
      </w:pPr>
      <w:r>
        <w:rPr>
          <w:sz w:val="21"/>
          <w:color w:val="000000"/>
        </w:rPr>
        <w:t>1.1.8.法律变更：指在生效日后颁布、修订、废止或重新解释的任何适用法律导致甲方或乙方在本合同项下的权利义务发生实质性变化。</w:t>
      </w:r>
    </w:p>
    <w:p>
      <w:pPr>
        <w:pStyle w:val="null3"/>
        <w:ind w:firstLine="420"/>
        <w:jc w:val="left"/>
      </w:pPr>
      <w:r>
        <w:rPr>
          <w:sz w:val="21"/>
          <w:color w:val="000000"/>
        </w:rPr>
        <w:t>1.1.9.批准：指为了使乙方能够履行其在本合同项下的义务和行使其在本合同项下的权利，乙方必须从甲方或省各有关单位依法获得的为乙方的建设、运营、运维所需要的任何许可、同意、授权等。</w:t>
      </w:r>
    </w:p>
    <w:p>
      <w:pPr>
        <w:pStyle w:val="null3"/>
        <w:ind w:firstLine="420"/>
        <w:jc w:val="left"/>
      </w:pPr>
      <w:r>
        <w:rPr>
          <w:sz w:val="21"/>
          <w:color w:val="000000"/>
        </w:rPr>
        <w:t>1.1.10.生效日：指本合同甲乙双方盖章并由双方法定代表人或授权代表人签字之日。如依照适用法律需要履行审批程序的，则在有权部门审批后生效。</w:t>
      </w:r>
    </w:p>
    <w:p>
      <w:pPr>
        <w:pStyle w:val="null3"/>
        <w:ind w:firstLine="420"/>
        <w:jc w:val="left"/>
      </w:pPr>
      <w:r>
        <w:rPr>
          <w:sz w:val="21"/>
          <w:color w:val="000000"/>
        </w:rPr>
        <w:t>1.1.11.服务实施：指乙方根据本合同开展服务实施准备、执行、收尾等为实现服务交付开展的工作。</w:t>
      </w:r>
    </w:p>
    <w:p>
      <w:pPr>
        <w:pStyle w:val="null3"/>
        <w:ind w:firstLine="420"/>
        <w:jc w:val="left"/>
      </w:pPr>
      <w:r>
        <w:rPr>
          <w:sz w:val="21"/>
          <w:color w:val="000000"/>
        </w:rPr>
        <w:t>1.1.12.服务交付：指乙方根据本合同提交交付验收申请，经甲方组织验收后确认服务交付的过程。</w:t>
      </w:r>
    </w:p>
    <w:p>
      <w:pPr>
        <w:pStyle w:val="null3"/>
        <w:ind w:firstLine="420"/>
        <w:jc w:val="left"/>
      </w:pPr>
      <w:r>
        <w:rPr>
          <w:sz w:val="21"/>
          <w:color w:val="000000"/>
        </w:rPr>
        <w:t>1.1.13.服务运行：指自服务交付验收完成时起至合同约定期限届满时止，乙方按本合同提供的服务。</w:t>
      </w:r>
    </w:p>
    <w:p>
      <w:pPr>
        <w:pStyle w:val="null3"/>
        <w:ind w:firstLine="420"/>
        <w:jc w:val="left"/>
      </w:pPr>
      <w:r>
        <w:rPr>
          <w:sz w:val="21"/>
          <w:color w:val="000000"/>
        </w:rPr>
        <w:t>1.1.14.交付验收：指对服务提供方拟交付使用的软件系统或基础设施进行验收。</w:t>
      </w:r>
    </w:p>
    <w:p>
      <w:pPr>
        <w:pStyle w:val="null3"/>
        <w:ind w:firstLine="420"/>
        <w:jc w:val="left"/>
      </w:pPr>
      <w:r>
        <w:rPr>
          <w:sz w:val="21"/>
          <w:color w:val="000000"/>
        </w:rPr>
        <w:t>1.1.15.阶段性服务确认：指服务提供方按项目合同要求，完成某一时间段服务，对服务成果进行确认，适用于基础设施服务项目、运维服务项目。</w:t>
      </w:r>
    </w:p>
    <w:p>
      <w:pPr>
        <w:pStyle w:val="null3"/>
        <w:ind w:firstLine="420"/>
        <w:jc w:val="left"/>
      </w:pPr>
      <w:r>
        <w:rPr>
          <w:sz w:val="21"/>
          <w:color w:val="000000"/>
        </w:rPr>
        <w:t>1.1.16.最终验收：对项目整体服务的验收。</w:t>
      </w:r>
    </w:p>
    <w:p>
      <w:pPr>
        <w:pStyle w:val="null3"/>
        <w:ind w:firstLine="420"/>
        <w:jc w:val="left"/>
      </w:pPr>
      <w:r>
        <w:rPr>
          <w:sz w:val="21"/>
          <w:color w:val="000000"/>
        </w:rPr>
        <w:t>1.1.17.服务正式上线：指乙方提供的服务经交付验收合格后，甲方确认服务正式上线，作为服务上线运行的标志。</w:t>
      </w:r>
    </w:p>
    <w:p>
      <w:pPr>
        <w:pStyle w:val="null3"/>
        <w:ind w:firstLine="420"/>
        <w:jc w:val="left"/>
      </w:pPr>
      <w:r>
        <w:rPr>
          <w:sz w:val="21"/>
          <w:color w:val="000000"/>
        </w:rPr>
        <w:t>1.1.18.服务期限：指本项目周期、期限。</w:t>
      </w:r>
    </w:p>
    <w:p>
      <w:pPr>
        <w:pStyle w:val="null3"/>
        <w:ind w:firstLine="420"/>
        <w:jc w:val="left"/>
      </w:pPr>
      <w:r>
        <w:rPr>
          <w:sz w:val="21"/>
          <w:color w:val="000000"/>
        </w:rPr>
        <w:t>1.1.19.粤复用：是指广东数字政府应用超市，汇聚各级政府部门数字政府应用、服务商产品、组件等资源，以“快速、可靠、低成本”为原则，推动“一地创新，各地复用”，实现数字政府建设模式变革。</w:t>
      </w:r>
    </w:p>
    <w:p>
      <w:pPr>
        <w:pStyle w:val="null3"/>
        <w:ind w:firstLine="420"/>
        <w:jc w:val="left"/>
      </w:pPr>
      <w:r>
        <w:rPr>
          <w:sz w:val="21"/>
          <w:color w:val="000000"/>
        </w:rPr>
        <w:t>1.1.20.复用推广：是指在“粤复用”平台上架的应用、产品和组件等资源在全省政府部门、事业单位和国企进行复用推广。</w:t>
      </w:r>
    </w:p>
    <w:p>
      <w:pPr>
        <w:pStyle w:val="null3"/>
        <w:ind w:firstLine="420"/>
        <w:jc w:val="left"/>
      </w:pPr>
      <w:r>
        <w:rPr>
          <w:sz w:val="21"/>
          <w:color w:val="000000"/>
        </w:rPr>
        <w:t>1.1.21.其他在本合同及相关附件中涉及的有关名词和技术术语，其定义和解释如下：</w:t>
      </w:r>
    </w:p>
    <w:p>
      <w:pPr>
        <w:pStyle w:val="null3"/>
        <w:ind w:firstLine="420"/>
        <w:jc w:val="left"/>
      </w:pPr>
      <w:r>
        <w:rPr>
          <w:sz w:val="21"/>
          <w:color w:val="000000"/>
        </w:rPr>
        <w:t>（1）</w:t>
      </w:r>
      <w:r>
        <w:rPr>
          <w:sz w:val="21"/>
          <w:u w:val="single"/>
        </w:rPr>
        <w:t xml:space="preserve">                                                                                                                                       </w:t>
      </w:r>
      <w:r>
        <w:rPr>
          <w:sz w:val="21"/>
          <w:color w:val="000000"/>
        </w:rPr>
        <w:t xml:space="preserve"> ；</w:t>
      </w:r>
    </w:p>
    <w:p>
      <w:pPr>
        <w:pStyle w:val="null3"/>
        <w:ind w:firstLine="420"/>
        <w:jc w:val="left"/>
      </w:pPr>
      <w:r>
        <w:rPr>
          <w:sz w:val="21"/>
          <w:color w:val="000000"/>
        </w:rPr>
        <w:t>（2）</w:t>
      </w:r>
      <w:r>
        <w:rPr>
          <w:sz w:val="21"/>
          <w:u w:val="single"/>
        </w:rPr>
        <w:t xml:space="preserve">                                                                                                                                       </w:t>
      </w:r>
      <w:r>
        <w:rPr>
          <w:sz w:val="21"/>
          <w:color w:val="000000"/>
        </w:rPr>
        <w:t xml:space="preserve"> 。</w:t>
      </w:r>
    </w:p>
    <w:p>
      <w:pPr>
        <w:pStyle w:val="null3"/>
        <w:ind w:left="570"/>
        <w:jc w:val="both"/>
        <w:outlineLvl w:val="0"/>
      </w:pPr>
      <w:r>
        <w:rPr>
          <w:sz w:val="21"/>
          <w:b/>
          <w:color w:val="000000"/>
        </w:rPr>
        <w:t>1.2.</w:t>
      </w:r>
      <w:r>
        <w:rPr>
          <w:sz w:val="21"/>
          <w:b/>
          <w:color w:val="000000"/>
        </w:rPr>
        <w:t>解释</w:t>
      </w:r>
    </w:p>
    <w:p>
      <w:pPr>
        <w:pStyle w:val="null3"/>
        <w:ind w:firstLine="420"/>
        <w:jc w:val="left"/>
      </w:pPr>
      <w:r>
        <w:rPr>
          <w:sz w:val="21"/>
          <w:color w:val="000000"/>
        </w:rPr>
        <w:t>1.2.1.“工作日”是指国家所规定的节假日之外的所有的工作日，凡本合同所约定的工作日均指工作日，未指明工作日的日期指自然顺延的日期。</w:t>
      </w:r>
    </w:p>
    <w:p>
      <w:pPr>
        <w:pStyle w:val="null3"/>
        <w:ind w:firstLine="420"/>
        <w:jc w:val="left"/>
      </w:pPr>
      <w:r>
        <w:rPr>
          <w:sz w:val="21"/>
          <w:color w:val="000000"/>
        </w:rPr>
        <w:t>1.2.2.所指的日、月和年均指公历的日、月和年，其中一年以三百六十五日计，一个月以三十日计。</w:t>
      </w:r>
    </w:p>
    <w:p>
      <w:pPr>
        <w:pStyle w:val="null3"/>
        <w:ind w:firstLine="420"/>
        <w:jc w:val="left"/>
      </w:pPr>
      <w:r>
        <w:rPr>
          <w:sz w:val="21"/>
          <w:color w:val="000000"/>
        </w:rPr>
        <w:t>1.2.3.“不可抗力”是指任何一方由于出现不可抗力事件使该方无法全部或部分履行其本合同项下的义务致使合同目的不能实现时，该方应有权中止履行本合同项下的义务，但应及时通知对方，以减轻可能给对方造成的损失，并应在合理期限内向对方提供不可抗力的证明。</w:t>
      </w:r>
    </w:p>
    <w:p>
      <w:pPr>
        <w:pStyle w:val="null3"/>
        <w:ind w:firstLine="420"/>
        <w:jc w:val="left"/>
      </w:pPr>
      <w:r>
        <w:rPr>
          <w:sz w:val="21"/>
          <w:color w:val="000000"/>
        </w:rPr>
        <w:t>1.2.4.“元”是指人民币元。</w:t>
      </w:r>
    </w:p>
    <w:p>
      <w:pPr>
        <w:pStyle w:val="null3"/>
        <w:ind w:firstLine="420"/>
        <w:jc w:val="left"/>
      </w:pPr>
      <w:r>
        <w:rPr>
          <w:sz w:val="21"/>
          <w:color w:val="000000"/>
        </w:rPr>
        <w:t>1.2.5.条款或附件：指本合同的条款或附件。</w:t>
      </w:r>
    </w:p>
    <w:p>
      <w:pPr>
        <w:pStyle w:val="null3"/>
        <w:ind w:firstLine="420"/>
        <w:jc w:val="left"/>
      </w:pPr>
      <w:r>
        <w:rPr>
          <w:sz w:val="21"/>
          <w:color w:val="000000"/>
        </w:rPr>
        <w:t>1.2.6.除非本合同另有明确约定，“包括”指包括但不限于；除本合同另有明确约定，“以上”、“以下”、“以内”或“内”均含本数，“超过”、“以外”不含本数。</w:t>
      </w:r>
    </w:p>
    <w:p>
      <w:pPr>
        <w:pStyle w:val="null3"/>
        <w:ind w:left="420"/>
        <w:jc w:val="both"/>
        <w:outlineLvl w:val="0"/>
      </w:pPr>
      <w:r>
        <w:rPr>
          <w:sz w:val="21"/>
          <w:b/>
          <w:color w:val="000000"/>
        </w:rPr>
        <w:t>2.</w:t>
      </w:r>
      <w:r>
        <w:rPr>
          <w:sz w:val="21"/>
          <w:b/>
          <w:color w:val="000000"/>
        </w:rPr>
        <w:t>声明和保证</w:t>
      </w:r>
    </w:p>
    <w:p>
      <w:pPr>
        <w:pStyle w:val="null3"/>
        <w:ind w:left="570"/>
        <w:jc w:val="both"/>
        <w:outlineLvl w:val="0"/>
      </w:pPr>
      <w:r>
        <w:rPr>
          <w:sz w:val="21"/>
          <w:b/>
          <w:color w:val="000000"/>
        </w:rPr>
        <w:t>2.1.</w:t>
      </w:r>
      <w:r>
        <w:rPr>
          <w:sz w:val="21"/>
          <w:b/>
          <w:color w:val="000000"/>
        </w:rPr>
        <w:t>甲方的声明和保证</w:t>
      </w:r>
    </w:p>
    <w:p>
      <w:pPr>
        <w:pStyle w:val="null3"/>
        <w:ind w:firstLine="420"/>
        <w:jc w:val="left"/>
      </w:pPr>
      <w:r>
        <w:rPr>
          <w:sz w:val="21"/>
          <w:color w:val="000000"/>
        </w:rPr>
        <w:t>2.1.1.在本合同生效日前已获得了签订本合同所必需的授权，有权签署本合同。</w:t>
      </w:r>
    </w:p>
    <w:p>
      <w:pPr>
        <w:pStyle w:val="null3"/>
        <w:ind w:firstLine="420"/>
        <w:jc w:val="left"/>
      </w:pPr>
      <w:r>
        <w:rPr>
          <w:sz w:val="21"/>
          <w:color w:val="000000"/>
        </w:rPr>
        <w:t>2.1.2.甲方应保证对向乙方提供的与本项目相关的材料、信息或数据的准确性、完整性或适宜性负责；甲方对向乙方提供的其他材料、信息或数据的准确性、完整性或适宜性，未作出任何保证。</w:t>
      </w:r>
    </w:p>
    <w:p>
      <w:pPr>
        <w:pStyle w:val="null3"/>
        <w:ind w:firstLine="420"/>
        <w:jc w:val="left"/>
      </w:pPr>
      <w:r>
        <w:rPr>
          <w:sz w:val="21"/>
          <w:color w:val="000000"/>
        </w:rPr>
        <w:t>2.1.3.如果甲方的保证被证明在做出时存在不实或不能兑现，对乙方依本合同享有权利或承担义务造成实质性影响时，乙方有权提前终止本合同。本合同各附件也随之自动终止。</w:t>
      </w:r>
    </w:p>
    <w:p>
      <w:pPr>
        <w:pStyle w:val="null3"/>
        <w:ind w:left="570"/>
        <w:jc w:val="both"/>
        <w:outlineLvl w:val="0"/>
      </w:pPr>
      <w:r>
        <w:rPr>
          <w:sz w:val="21"/>
          <w:b/>
          <w:color w:val="000000"/>
        </w:rPr>
        <w:t>2.2.</w:t>
      </w:r>
      <w:r>
        <w:rPr>
          <w:sz w:val="21"/>
          <w:b/>
          <w:color w:val="000000"/>
        </w:rPr>
        <w:t>乙方的声明和保证</w:t>
      </w:r>
    </w:p>
    <w:p>
      <w:pPr>
        <w:pStyle w:val="null3"/>
        <w:ind w:firstLine="420"/>
        <w:jc w:val="left"/>
      </w:pPr>
      <w:r>
        <w:rPr>
          <w:sz w:val="21"/>
          <w:color w:val="000000"/>
        </w:rPr>
        <w:t>2.2.1.乙方是依据中国法律正式成立的企业法人或具有法人资格的事业单位和社会团体，具有签署和履行本合同的法人资格及履约能力。</w:t>
      </w:r>
    </w:p>
    <w:p>
      <w:pPr>
        <w:pStyle w:val="null3"/>
        <w:ind w:firstLine="420"/>
        <w:jc w:val="left"/>
      </w:pPr>
      <w:r>
        <w:rPr>
          <w:sz w:val="21"/>
          <w:color w:val="000000"/>
        </w:rPr>
        <w:t>2.2.2.乙方为签署本合同已经依据适用法律及公司章程之规定完成所有必要的公司内部行为，其有权签署本合同并履行本合同项下的义务。</w:t>
      </w:r>
    </w:p>
    <w:p>
      <w:pPr>
        <w:pStyle w:val="null3"/>
        <w:ind w:firstLine="420"/>
        <w:jc w:val="left"/>
      </w:pPr>
      <w:r>
        <w:rPr>
          <w:sz w:val="21"/>
          <w:color w:val="000000"/>
        </w:rPr>
        <w:t>2.2.3.乙方应保证向甲方提供本项目服务内容前，已达到提供相应服务的能力，包括符合国家、广东省相关标准规范或行业标准规范。</w:t>
      </w:r>
    </w:p>
    <w:p>
      <w:pPr>
        <w:pStyle w:val="null3"/>
        <w:ind w:firstLine="420"/>
        <w:jc w:val="left"/>
      </w:pPr>
      <w:r>
        <w:rPr>
          <w:sz w:val="21"/>
          <w:color w:val="000000"/>
        </w:rPr>
        <w:t>2.2.4.如果乙方的保证被证明在做出时存在不实或不能兑现，对甲方依本合同享有权利或承担义务造成实质性影响时，甲方有权提前终止本合同，并保留追究损失的权利。本合同各附件也随之自动终止。</w:t>
      </w:r>
    </w:p>
    <w:p>
      <w:pPr>
        <w:pStyle w:val="null3"/>
        <w:ind w:firstLine="422"/>
        <w:jc w:val="center"/>
      </w:pPr>
      <w:r>
        <w:rPr>
          <w:sz w:val="21"/>
          <w:b/>
          <w:color w:val="000000"/>
        </w:rPr>
        <w:t>第二章合同主体的权利和义务</w:t>
      </w:r>
    </w:p>
    <w:p>
      <w:pPr>
        <w:pStyle w:val="null3"/>
        <w:ind w:left="420"/>
        <w:jc w:val="both"/>
        <w:outlineLvl w:val="0"/>
      </w:pPr>
      <w:r>
        <w:rPr>
          <w:sz w:val="21"/>
          <w:b/>
          <w:color w:val="000000"/>
        </w:rPr>
        <w:t>3.</w:t>
      </w:r>
      <w:r>
        <w:rPr>
          <w:sz w:val="21"/>
          <w:b/>
          <w:color w:val="000000"/>
        </w:rPr>
        <w:t>甲方</w:t>
      </w:r>
    </w:p>
    <w:p>
      <w:pPr>
        <w:pStyle w:val="null3"/>
        <w:ind w:left="570"/>
        <w:jc w:val="both"/>
        <w:outlineLvl w:val="0"/>
      </w:pPr>
      <w:r>
        <w:rPr>
          <w:sz w:val="21"/>
          <w:b/>
          <w:color w:val="000000"/>
        </w:rPr>
        <w:t>3.1.</w:t>
      </w:r>
      <w:r>
        <w:rPr>
          <w:sz w:val="21"/>
          <w:b/>
          <w:color w:val="000000"/>
        </w:rPr>
        <w:t>权利</w:t>
      </w:r>
    </w:p>
    <w:p>
      <w:pPr>
        <w:pStyle w:val="null3"/>
        <w:ind w:right="30" w:firstLine="420"/>
        <w:jc w:val="left"/>
      </w:pPr>
      <w:r>
        <w:rPr>
          <w:sz w:val="21"/>
          <w:color w:val="000000"/>
        </w:rPr>
        <w:t>3.1.1.甲方有自行或委托第三方机构，对乙方提供的本项目的服务进行监管的权利。</w:t>
      </w:r>
    </w:p>
    <w:p>
      <w:pPr>
        <w:pStyle w:val="null3"/>
        <w:ind w:right="30" w:firstLine="420"/>
        <w:jc w:val="left"/>
      </w:pPr>
      <w:r>
        <w:rPr>
          <w:sz w:val="21"/>
          <w:color w:val="000000"/>
        </w:rPr>
        <w:t>3.1.2.甲方有自行或委托第三方机构，对乙方的建设、运维、管理、安全、质量、服务状况进行定期评估考核的权利。</w:t>
      </w:r>
    </w:p>
    <w:p>
      <w:pPr>
        <w:pStyle w:val="null3"/>
        <w:ind w:right="30" w:firstLine="420"/>
        <w:jc w:val="left"/>
      </w:pPr>
      <w:r>
        <w:rPr>
          <w:sz w:val="21"/>
          <w:color w:val="000000"/>
        </w:rPr>
        <w:t>3.1.3.乙方因自身原因导致合同无法继续履行，则视为违约，甲方有权单方解除合同，并向乙方追偿损失。</w:t>
      </w:r>
    </w:p>
    <w:p>
      <w:pPr>
        <w:pStyle w:val="null3"/>
        <w:ind w:right="30" w:firstLine="420"/>
        <w:jc w:val="left"/>
      </w:pPr>
      <w:r>
        <w:rPr>
          <w:sz w:val="21"/>
          <w:color w:val="000000"/>
        </w:rPr>
        <w:t>3.1.4.如因乙方原因导致甲方被行政处分或行政处罚，甲方保留向乙方追究法律责任、经济责任的权利。</w:t>
      </w:r>
    </w:p>
    <w:p>
      <w:pPr>
        <w:pStyle w:val="null3"/>
        <w:ind w:right="30" w:firstLine="420"/>
        <w:jc w:val="left"/>
      </w:pPr>
      <w:r>
        <w:rPr>
          <w:sz w:val="21"/>
          <w:color w:val="000000"/>
        </w:rPr>
        <w:t>3.1.5.法律、法规授予甲方的其他权利。</w:t>
      </w:r>
    </w:p>
    <w:p>
      <w:pPr>
        <w:pStyle w:val="null3"/>
        <w:ind w:left="570"/>
        <w:jc w:val="both"/>
        <w:outlineLvl w:val="0"/>
      </w:pPr>
      <w:r>
        <w:rPr>
          <w:sz w:val="21"/>
          <w:b/>
          <w:color w:val="000000"/>
        </w:rPr>
        <w:t>3.2.</w:t>
      </w:r>
      <w:r>
        <w:rPr>
          <w:sz w:val="21"/>
          <w:b/>
          <w:color w:val="000000"/>
        </w:rPr>
        <w:t>义务</w:t>
      </w:r>
    </w:p>
    <w:p>
      <w:pPr>
        <w:pStyle w:val="null3"/>
        <w:ind w:right="30" w:firstLine="420"/>
        <w:jc w:val="left"/>
      </w:pPr>
      <w:r>
        <w:rPr>
          <w:sz w:val="21"/>
          <w:color w:val="000000"/>
        </w:rPr>
        <w:t>3.2.1.依据乙方的书面申请，在不影响正常工作的前提下协助乙方及时获得本项目需要的合理、合法的条件，包括但不限于成立项目协调小组或安排专人负责配合乙方开展服务，协调乙方与相关单位的工作关系，保障项目顺利实施和运营维护以及提供本项目所需水、电、服务场地、信息和数据等相关事宜；对委托给乙方运维的政务信息系统所涉及的知识产权取得合法授权（如有）。</w:t>
      </w:r>
    </w:p>
    <w:p>
      <w:pPr>
        <w:pStyle w:val="null3"/>
        <w:ind w:right="30" w:firstLine="420"/>
        <w:jc w:val="both"/>
      </w:pPr>
      <w:r>
        <w:rPr>
          <w:sz w:val="21"/>
          <w:color w:val="000000"/>
        </w:rPr>
        <w:t>3.2.2.甲方应依照合同要求向乙方提供技术服务</w:t>
      </w:r>
      <w:r>
        <w:rPr>
          <w:sz w:val="21"/>
          <w:color w:val="000000"/>
        </w:rPr>
        <w:t>所必需的信息</w:t>
      </w:r>
      <w:r>
        <w:rPr>
          <w:sz w:val="21"/>
          <w:color w:val="000000"/>
        </w:rPr>
        <w:t>、数据、资料，并负责为乙方提供必要的设备、工作场地、后勤设施等。如因甲方未能按时提供工作条件或技术资料，或甲方未及时协调需其他相关方配合的资源，经甲乙方双方协商可顺延服务工作的完成期限。</w:t>
      </w:r>
    </w:p>
    <w:p>
      <w:pPr>
        <w:pStyle w:val="null3"/>
        <w:ind w:right="30" w:firstLine="420"/>
        <w:jc w:val="both"/>
      </w:pPr>
      <w:r>
        <w:rPr>
          <w:sz w:val="21"/>
          <w:color w:val="000000"/>
        </w:rPr>
        <w:t>3.2.3.甲方应在项目小组指派一名甲方人员作为项目负责人，负责对乙方服务进行协调、监督，项目负责人应定期向甲方汇报，与乙方项目负责人沟通，并负责本合同项下服务和/或可交付成果物的验收组织工作。如乙方提供的服务达不到甲方要求的，甲方应及时将不符合要求的内容和原因通知乙方。</w:t>
      </w:r>
    </w:p>
    <w:p>
      <w:pPr>
        <w:pStyle w:val="null3"/>
        <w:ind w:right="30" w:firstLine="420"/>
        <w:jc w:val="left"/>
      </w:pPr>
      <w:r>
        <w:rPr>
          <w:sz w:val="21"/>
          <w:color w:val="000000"/>
        </w:rPr>
        <w:t>3.2.4.甲方应及时组织验收，对乙方提交的符合本合同约定的服务成果进行书面确认。</w:t>
      </w:r>
    </w:p>
    <w:p>
      <w:pPr>
        <w:pStyle w:val="null3"/>
        <w:ind w:right="30" w:firstLine="420"/>
        <w:jc w:val="left"/>
      </w:pPr>
      <w:r>
        <w:rPr>
          <w:sz w:val="21"/>
          <w:color w:val="000000"/>
        </w:rPr>
        <w:t>3.2.5.按照本合同的约定向乙方支付合同金额。</w:t>
      </w:r>
    </w:p>
    <w:p>
      <w:pPr>
        <w:pStyle w:val="null3"/>
        <w:ind w:right="30" w:firstLine="420"/>
        <w:jc w:val="left"/>
      </w:pPr>
      <w:r>
        <w:rPr>
          <w:sz w:val="21"/>
          <w:color w:val="000000"/>
        </w:rPr>
        <w:t>3.2.6.及时审核并确认乙方提交的服务成果、进度报告等。</w:t>
      </w:r>
    </w:p>
    <w:p>
      <w:pPr>
        <w:pStyle w:val="null3"/>
        <w:ind w:right="30" w:firstLine="420"/>
        <w:jc w:val="left"/>
      </w:pPr>
      <w:r>
        <w:rPr>
          <w:sz w:val="21"/>
          <w:color w:val="000000"/>
        </w:rPr>
        <w:t>3.2.7.若甲方在其他合同中为本项目指定监理单位，甲方应当将授予监理单位的监理权利及时通知乙方。</w:t>
      </w:r>
    </w:p>
    <w:p>
      <w:pPr>
        <w:pStyle w:val="null3"/>
        <w:ind w:right="30" w:firstLine="420"/>
        <w:jc w:val="left"/>
      </w:pPr>
      <w:r>
        <w:rPr>
          <w:sz w:val="21"/>
          <w:color w:val="000000"/>
        </w:rPr>
        <w:t>3.2.</w:t>
      </w:r>
      <w:r>
        <w:rPr>
          <w:sz w:val="21"/>
          <w:color w:val="000000"/>
        </w:rPr>
        <w:t>8</w:t>
      </w:r>
      <w:r>
        <w:rPr>
          <w:sz w:val="21"/>
          <w:color w:val="000000"/>
        </w:rPr>
        <w:t>.法律、法规规定的以及本合同项下的其他义务。</w:t>
      </w:r>
    </w:p>
    <w:p>
      <w:pPr>
        <w:pStyle w:val="null3"/>
        <w:ind w:left="420"/>
        <w:jc w:val="both"/>
        <w:outlineLvl w:val="0"/>
      </w:pPr>
      <w:r>
        <w:rPr>
          <w:sz w:val="21"/>
          <w:b/>
          <w:color w:val="000000"/>
        </w:rPr>
        <w:t>4.</w:t>
      </w:r>
      <w:r>
        <w:rPr>
          <w:sz w:val="21"/>
          <w:b/>
          <w:color w:val="000000"/>
        </w:rPr>
        <w:t>乙方</w:t>
      </w:r>
    </w:p>
    <w:p>
      <w:pPr>
        <w:pStyle w:val="null3"/>
        <w:ind w:left="570"/>
        <w:jc w:val="both"/>
        <w:outlineLvl w:val="0"/>
      </w:pPr>
      <w:r>
        <w:rPr>
          <w:sz w:val="21"/>
          <w:b/>
          <w:color w:val="000000"/>
        </w:rPr>
        <w:t>4.1.</w:t>
      </w:r>
      <w:r>
        <w:rPr>
          <w:sz w:val="21"/>
          <w:b/>
          <w:color w:val="000000"/>
        </w:rPr>
        <w:t>权利</w:t>
      </w:r>
    </w:p>
    <w:p>
      <w:pPr>
        <w:pStyle w:val="null3"/>
        <w:ind w:right="30" w:firstLine="420"/>
        <w:jc w:val="left"/>
      </w:pPr>
      <w:r>
        <w:rPr>
          <w:sz w:val="21"/>
          <w:color w:val="000000"/>
        </w:rPr>
        <w:t>4.1.1.要求甲方按本合同的约定支付合同金额的权利。</w:t>
      </w:r>
    </w:p>
    <w:p>
      <w:pPr>
        <w:pStyle w:val="null3"/>
        <w:ind w:right="30" w:firstLine="420"/>
        <w:jc w:val="left"/>
      </w:pPr>
      <w:r>
        <w:rPr>
          <w:sz w:val="21"/>
          <w:color w:val="000000"/>
        </w:rPr>
        <w:t>4.1.2.如果因不可归责于乙方的原因导致乙方不能履约的，则乙方有权和甲方就有关事宜进行沟通，如经甲方确认确属不可归责于乙方的原因，且乙方已为避免此种情形采取必要的措施，则甲方出具相应的书面文件，确认不得以此作为对乙方考核不达标的依据，并不得追究乙方的违约责任。</w:t>
      </w:r>
    </w:p>
    <w:p>
      <w:pPr>
        <w:pStyle w:val="null3"/>
        <w:ind w:right="30" w:firstLine="420"/>
        <w:jc w:val="left"/>
      </w:pPr>
      <w:r>
        <w:rPr>
          <w:sz w:val="21"/>
          <w:color w:val="000000"/>
        </w:rPr>
        <w:t>4.1.3.法律、法规规定以及本合同规定的其他权利。</w:t>
      </w:r>
    </w:p>
    <w:p>
      <w:pPr>
        <w:pStyle w:val="null3"/>
        <w:ind w:left="570"/>
        <w:jc w:val="both"/>
        <w:outlineLvl w:val="0"/>
      </w:pPr>
      <w:r>
        <w:rPr>
          <w:sz w:val="21"/>
          <w:b/>
          <w:color w:val="000000"/>
        </w:rPr>
        <w:t>4.2.</w:t>
      </w:r>
      <w:r>
        <w:rPr>
          <w:sz w:val="21"/>
          <w:b/>
          <w:color w:val="000000"/>
        </w:rPr>
        <w:t>义务</w:t>
      </w:r>
    </w:p>
    <w:p>
      <w:pPr>
        <w:pStyle w:val="null3"/>
        <w:ind w:firstLine="420"/>
        <w:jc w:val="both"/>
      </w:pPr>
      <w:r>
        <w:rPr>
          <w:sz w:val="21"/>
          <w:color w:val="000000"/>
        </w:rPr>
        <w:t>4.2.1.按照本合同约定（包括进度、质量、安全标准）完成本项目。</w:t>
      </w:r>
    </w:p>
    <w:p>
      <w:pPr>
        <w:pStyle w:val="null3"/>
        <w:ind w:firstLine="420"/>
        <w:jc w:val="both"/>
      </w:pPr>
      <w:r>
        <w:rPr>
          <w:sz w:val="21"/>
          <w:color w:val="000000"/>
        </w:rPr>
        <w:t>4.2.2.接受甲方或其指定的第三方机构对本项目的监管、评估考核等。</w:t>
      </w:r>
    </w:p>
    <w:p>
      <w:pPr>
        <w:pStyle w:val="null3"/>
        <w:ind w:firstLine="420"/>
        <w:jc w:val="both"/>
      </w:pPr>
      <w:r>
        <w:rPr>
          <w:sz w:val="21"/>
          <w:color w:val="000000"/>
        </w:rPr>
        <w:t>4.2.3.服务期内，如遇国家法律、法规及相关政策发生重大变化，对本合同的履行造成实质性的影响，乙方应积极与甲方协商解决，并采取合理措施避免各方的损失扩大。</w:t>
      </w:r>
    </w:p>
    <w:p>
      <w:pPr>
        <w:pStyle w:val="null3"/>
        <w:ind w:firstLine="420"/>
        <w:jc w:val="both"/>
      </w:pPr>
      <w:r>
        <w:rPr>
          <w:sz w:val="21"/>
          <w:color w:val="000000"/>
        </w:rPr>
        <w:t>4.2.4.如政府审计部门或政府审计部门委托的第三方审计单位需对涉及本合同的事项进行审计时，乙方应按照政府审计有关法律法规和政策要求，支持、协助审计部门或其委托的跟踪审计单位开展工作。</w:t>
      </w:r>
    </w:p>
    <w:p>
      <w:pPr>
        <w:pStyle w:val="null3"/>
        <w:ind w:firstLine="420"/>
        <w:jc w:val="both"/>
      </w:pPr>
      <w:r>
        <w:rPr>
          <w:sz w:val="21"/>
          <w:color w:val="000000"/>
        </w:rPr>
        <w:t>4.2.5.乙方应加强项目相关人员管理。向甲方书面提交本合同项目具体的人力资源计划及</w:t>
      </w:r>
      <w:r>
        <w:rPr>
          <w:sz w:val="21"/>
          <w:color w:val="000000"/>
        </w:rPr>
        <w:t>岗位职责手册</w:t>
      </w:r>
      <w:r>
        <w:rPr>
          <w:sz w:val="21"/>
          <w:color w:val="000000"/>
        </w:rPr>
        <w:t>（包括但不限于：本合同项目的管理、开发、运营、运维等服务人员的名单、岗位责任、组织架构等），如有变化乙方应及时更新，核心骨干人员</w:t>
      </w:r>
      <w:r>
        <w:rPr>
          <w:sz w:val="21"/>
          <w:color w:val="000000"/>
        </w:rPr>
        <w:t>（</w:t>
      </w:r>
      <w:r>
        <w:rPr>
          <w:sz w:val="21"/>
          <w:color w:val="000000"/>
        </w:rPr>
        <w:t>一般为项目经理、技术负责人</w:t>
      </w:r>
      <w:r>
        <w:rPr>
          <w:sz w:val="21"/>
          <w:color w:val="000000"/>
        </w:rPr>
        <w:t>）</w:t>
      </w:r>
      <w:r>
        <w:rPr>
          <w:sz w:val="21"/>
          <w:color w:val="000000"/>
        </w:rPr>
        <w:t>变化</w:t>
      </w:r>
      <w:r>
        <w:rPr>
          <w:sz w:val="21"/>
          <w:color w:val="000000"/>
        </w:rPr>
        <w:t>须应</w:t>
      </w:r>
      <w:r>
        <w:rPr>
          <w:sz w:val="21"/>
          <w:color w:val="000000"/>
        </w:rPr>
        <w:t>提前征得甲方事先同意</w:t>
      </w:r>
      <w:r>
        <w:rPr>
          <w:sz w:val="21"/>
          <w:color w:val="000000"/>
        </w:rPr>
        <w:t>，</w:t>
      </w:r>
      <w:r>
        <w:rPr>
          <w:sz w:val="21"/>
          <w:color w:val="000000"/>
        </w:rPr>
        <w:t>甲方认为乙方</w:t>
      </w:r>
      <w:r>
        <w:rPr>
          <w:sz w:val="21"/>
        </w:rPr>
        <w:t>派出的人员不足以按期保质完成服务任务，</w:t>
      </w:r>
      <w:r>
        <w:rPr>
          <w:sz w:val="21"/>
        </w:rPr>
        <w:t>乙方</w:t>
      </w:r>
      <w:r>
        <w:rPr>
          <w:sz w:val="21"/>
        </w:rPr>
        <w:t>应按</w:t>
      </w:r>
      <w:r>
        <w:rPr>
          <w:sz w:val="21"/>
        </w:rPr>
        <w:t>甲方</w:t>
      </w:r>
      <w:r>
        <w:rPr>
          <w:sz w:val="21"/>
        </w:rPr>
        <w:t>要求更换，更换人员须经过</w:t>
      </w:r>
      <w:r>
        <w:rPr>
          <w:sz w:val="21"/>
        </w:rPr>
        <w:t>甲方面试</w:t>
      </w:r>
      <w:r>
        <w:rPr>
          <w:sz w:val="21"/>
        </w:rPr>
        <w:t>同意。如仍不能符合项目服务质量要求，采购人有权责令停止服务并整改或解除合同，</w:t>
      </w:r>
      <w:r>
        <w:rPr>
          <w:sz w:val="21"/>
        </w:rPr>
        <w:t>乙方应对</w:t>
      </w:r>
      <w:r>
        <w:rPr>
          <w:sz w:val="21"/>
        </w:rPr>
        <w:t>由此造成的损失</w:t>
      </w:r>
      <w:r>
        <w:rPr>
          <w:sz w:val="21"/>
        </w:rPr>
        <w:t>负责</w:t>
      </w:r>
      <w:r>
        <w:rPr>
          <w:sz w:val="21"/>
        </w:rPr>
        <w:t>。</w:t>
      </w:r>
      <w:r>
        <w:rPr>
          <w:sz w:val="21"/>
          <w:color w:val="000000"/>
        </w:rPr>
        <w:t>与本项目有关的制度规章以及服务过程有关资料，乙方应书面报甲方备案，并接受甲方定期不定期的检查。应加强对驻场人员管理，遵守甲方工作管理要求，接受工作指导和统一安排。</w:t>
      </w:r>
    </w:p>
    <w:p>
      <w:pPr>
        <w:pStyle w:val="null3"/>
        <w:ind w:firstLine="420"/>
        <w:jc w:val="both"/>
      </w:pPr>
      <w:r>
        <w:rPr>
          <w:sz w:val="21"/>
          <w:color w:val="000000"/>
        </w:rPr>
        <w:t>4.2.6.乙方应保证所提供的产品或服务没有侵害任何第三方的知识产权或其他正当权益。如有第三方指控甲方接受乙方提供的产品或服务侵犯了该方的知识产权或其他合法权利，乙方应自费就上述指控为甲方辩护或进行妥善处理，并承担给甲方及第三方造成的一切损失（包括但不限于赔偿金、律师费、诉讼费等）。如乙方不为甲方辩护或不进行妥善处理，甲方可自行处理，对于甲方与第三方达成的和解协议或法院、仲裁机构作出的生效法律文书确定由甲方承担的责任和费用，及甲方自行处理所支出的合理费用（包括但不限于律师费、案件受理费、执行费、差旅费等），乙方同意全部承担，甲方有权在应付乙方的合同款项中直接扣减相应金额或另行向乙方进行追偿。</w:t>
      </w:r>
    </w:p>
    <w:p>
      <w:pPr>
        <w:pStyle w:val="null3"/>
        <w:ind w:firstLine="420"/>
        <w:jc w:val="both"/>
      </w:pPr>
      <w:r>
        <w:rPr>
          <w:sz w:val="21"/>
          <w:color w:val="000000"/>
        </w:rPr>
        <w:t>4.2.7.合同履行期内，如乙方的股东拟转让股权的，乙方应按《公司法》等法律法规及《公司章程》履行相应的决策、审批程序，并及时向甲方报备。</w:t>
      </w:r>
    </w:p>
    <w:p>
      <w:pPr>
        <w:pStyle w:val="null3"/>
        <w:ind w:firstLine="420"/>
        <w:jc w:val="both"/>
      </w:pPr>
      <w:r>
        <w:rPr>
          <w:sz w:val="21"/>
          <w:color w:val="000000"/>
        </w:rPr>
        <w:t>4.2.8.合同履行期限届满后，或者按照本合同约定需要终止或解除合同的，乙方应配合甲方做好与项目相关的数据迁移、资料移交等工作。</w:t>
      </w:r>
    </w:p>
    <w:p>
      <w:pPr>
        <w:pStyle w:val="null3"/>
        <w:ind w:firstLine="420"/>
        <w:jc w:val="both"/>
      </w:pPr>
      <w:r>
        <w:rPr>
          <w:sz w:val="21"/>
          <w:color w:val="000000"/>
        </w:rPr>
        <w:t>4.2.9.若甲方在其他合同中为本项目指定咨询、监理单位，乙方应无条件接受甲方或甲方指定的咨询、监理单位的统一管理和监督检查，并按要求完成相关配合工作。</w:t>
      </w:r>
    </w:p>
    <w:p>
      <w:pPr>
        <w:pStyle w:val="null3"/>
        <w:ind w:firstLine="420"/>
        <w:jc w:val="both"/>
      </w:pPr>
      <w:r>
        <w:rPr>
          <w:sz w:val="21"/>
          <w:color w:val="000000"/>
        </w:rPr>
        <w:t>4.2.10.若甲方在其他合同中为本项目指定第三方验收测评机构，测评内容包括但不限于系统规模（功能点评估）、功能、性能、安全性、可靠性、易用性、维护性、可移植性等，乙方应无条件配合完成相关工作。</w:t>
      </w:r>
    </w:p>
    <w:p>
      <w:pPr>
        <w:pStyle w:val="null3"/>
        <w:ind w:firstLine="420"/>
        <w:jc w:val="both"/>
      </w:pPr>
      <w:r>
        <w:rPr>
          <w:sz w:val="21"/>
          <w:color w:val="000000"/>
        </w:rPr>
        <w:t>4.2.11.乙方应对其履行本合同所雇佣、安排的全部人员的安全事故承担责任。由于乙方或乙方人员原因在甲方办公场所内及其毗邻造成的第三者人身伤亡和财产损失，由乙方负责赔偿，若造成甲方实际损失的，甲方有权向乙方全额追索。</w:t>
      </w:r>
    </w:p>
    <w:p>
      <w:pPr>
        <w:pStyle w:val="null3"/>
        <w:ind w:firstLine="420"/>
        <w:jc w:val="left"/>
      </w:pPr>
      <w:r>
        <w:rPr>
          <w:sz w:val="21"/>
          <w:color w:val="000000"/>
        </w:rPr>
        <w:t>4.2.12.</w:t>
      </w:r>
      <w:r>
        <w:rPr>
          <w:sz w:val="21"/>
          <w:color w:val="000000"/>
        </w:rPr>
        <w:t>乙方须依据系统工程要求开展工作，按甲方要求提交系统工程设计书和系统工程验收报告，指派项目技术负责人并按甲方要求接受相关的系统工程能力考核。</w:t>
      </w:r>
    </w:p>
    <w:p>
      <w:pPr>
        <w:pStyle w:val="null3"/>
        <w:ind w:firstLine="420"/>
        <w:jc w:val="both"/>
      </w:pPr>
      <w:r>
        <w:rPr>
          <w:sz w:val="21"/>
          <w:color w:val="000000"/>
        </w:rPr>
        <w:t>4.2.13</w:t>
      </w:r>
      <w:r>
        <w:rPr>
          <w:sz w:val="21"/>
          <w:color w:val="000000"/>
        </w:rPr>
        <w:t>.</w:t>
      </w:r>
      <w:r>
        <w:rPr>
          <w:sz w:val="21"/>
          <w:color w:val="000000"/>
        </w:rPr>
        <w:t>涉及定制软件开发的服务内容，乙方应按甲方要求交付源代码。</w:t>
      </w:r>
    </w:p>
    <w:p>
      <w:pPr>
        <w:pStyle w:val="null3"/>
        <w:ind w:firstLine="420"/>
        <w:jc w:val="both"/>
      </w:pPr>
      <w:r>
        <w:rPr>
          <w:sz w:val="21"/>
          <w:color w:val="000000"/>
        </w:rPr>
        <w:t>4.2.14</w:t>
      </w:r>
      <w:r>
        <w:rPr>
          <w:sz w:val="21"/>
          <w:color w:val="000000"/>
        </w:rPr>
        <w:t>.</w:t>
      </w:r>
      <w:r>
        <w:rPr>
          <w:sz w:val="21"/>
          <w:color w:val="000000"/>
        </w:rPr>
        <w:t>乙方</w:t>
      </w:r>
      <w:r>
        <w:rPr>
          <w:sz w:val="21"/>
          <w:color w:val="000000"/>
        </w:rPr>
        <w:t>须</w:t>
      </w:r>
      <w:r>
        <w:rPr>
          <w:sz w:val="21"/>
          <w:color w:val="000000"/>
        </w:rPr>
        <w:t>按甲方要求移交系统超级管理员和其他重要权限。</w:t>
      </w:r>
    </w:p>
    <w:p>
      <w:pPr>
        <w:pStyle w:val="null3"/>
        <w:ind w:firstLine="420"/>
        <w:jc w:val="both"/>
      </w:pPr>
      <w:r>
        <w:rPr>
          <w:sz w:val="21"/>
          <w:color w:val="000000"/>
        </w:rPr>
        <w:t>4.2.1</w:t>
      </w:r>
      <w:r>
        <w:rPr>
          <w:sz w:val="21"/>
          <w:color w:val="000000"/>
        </w:rPr>
        <w:t>5.</w:t>
      </w:r>
      <w:r>
        <w:rPr>
          <w:sz w:val="21"/>
          <w:color w:val="000000"/>
        </w:rPr>
        <w:t>乙方按甲方要求，配合完成本项目关联系统的数据资产、数字化资产建档建卡，包括但不限于：系统登记、资产清查盘点、建立并完善资产信息卡等工作。具体建档建卡要素和格式须符合财政部《关于加强行政事业单位数据资产管理的通知》（财资〔2024〕1号）、《固定资产等资产基础分类与代码》（GB/T 14885-2022）等国家和广东省相关政策，以及甲方内控制度的要求。乙方需保证其交付工作即数据资产信息的齐全性、准确性和真实性。</w:t>
      </w:r>
    </w:p>
    <w:p>
      <w:pPr>
        <w:pStyle w:val="null3"/>
        <w:ind w:firstLine="420"/>
        <w:jc w:val="both"/>
      </w:pPr>
      <w:r>
        <w:rPr>
          <w:sz w:val="21"/>
          <w:color w:val="000000"/>
        </w:rPr>
        <w:t>4.2.16.乙方须按甲方制定的项目质量管理要求开展服务，无条件接受甲方对项目质量管理要求落实情况的监督考核。包括但不限于：</w:t>
      </w:r>
      <w:r>
        <w:rPr>
          <w:sz w:val="21"/>
          <w:color w:val="000000"/>
        </w:rPr>
        <w:t>根据甲方提出的项目需重点解决问题清单提供解决方案，在项目实施过程中将问题予以解决，确保项目服务质量；根据甲方提出的项目管理制度清单，编制相应的项目管理制度文件，进一步规范项目实施过程；根据采甲方提出服务团队岗位职责清单，制定岗位职责手册，定岗定人，确保各核心岗位均指派能胜任的专人提供服务。</w:t>
      </w:r>
    </w:p>
    <w:p>
      <w:pPr>
        <w:pStyle w:val="null3"/>
        <w:ind w:firstLine="420"/>
        <w:jc w:val="both"/>
      </w:pPr>
      <w:r>
        <w:rPr>
          <w:sz w:val="21"/>
          <w:color w:val="000000"/>
        </w:rPr>
        <w:t>4.2.17.</w:t>
      </w:r>
      <w:r>
        <w:rPr>
          <w:sz w:val="21"/>
          <w:color w:val="000000"/>
        </w:rPr>
        <w:t>乙方应当按照合同约定履行义务，完成中标项目。</w:t>
      </w:r>
      <w:r>
        <w:rPr>
          <w:sz w:val="21"/>
          <w:color w:val="000000"/>
        </w:rPr>
        <w:t>除甲方在采购文件明确允许以分包形式履行，且乙方在投标环节已签订分包意向协议的服务内容外，乙方不得将合同服务内容以任何形式进行分包，</w:t>
      </w:r>
      <w:r>
        <w:rPr>
          <w:sz w:val="21"/>
          <w:color w:val="000000"/>
        </w:rPr>
        <w:t>不得向他人转让中标项目，也不得将中标项目肢解后分别向他人转让。</w:t>
      </w:r>
    </w:p>
    <w:p>
      <w:pPr>
        <w:pStyle w:val="null3"/>
        <w:ind w:firstLine="420"/>
        <w:jc w:val="both"/>
      </w:pPr>
      <w:r>
        <w:rPr>
          <w:sz w:val="21"/>
          <w:color w:val="000000"/>
        </w:rPr>
        <w:t>4.2.1</w:t>
      </w:r>
      <w:r>
        <w:rPr>
          <w:sz w:val="21"/>
          <w:color w:val="000000"/>
        </w:rPr>
        <w:t>8.</w:t>
      </w:r>
      <w:r>
        <w:rPr>
          <w:sz w:val="21"/>
          <w:color w:val="000000"/>
        </w:rPr>
        <w:t>法律、法规规定的以及本合同项下的其他义务。</w:t>
      </w:r>
    </w:p>
    <w:p>
      <w:pPr>
        <w:pStyle w:val="null3"/>
        <w:ind w:left="420"/>
        <w:jc w:val="both"/>
        <w:outlineLvl w:val="0"/>
      </w:pPr>
      <w:r>
        <w:rPr>
          <w:sz w:val="21"/>
          <w:b/>
          <w:color w:val="000000"/>
        </w:rPr>
        <w:t>5.</w:t>
      </w:r>
      <w:r>
        <w:rPr>
          <w:sz w:val="21"/>
          <w:b/>
          <w:color w:val="000000"/>
        </w:rPr>
        <w:t>其他相关方（若有，如用户单位）</w:t>
      </w:r>
    </w:p>
    <w:p>
      <w:pPr>
        <w:pStyle w:val="null3"/>
        <w:ind w:left="570"/>
        <w:jc w:val="both"/>
        <w:outlineLvl w:val="0"/>
      </w:pPr>
      <w:r>
        <w:rPr>
          <w:sz w:val="21"/>
          <w:b/>
          <w:color w:val="000000"/>
        </w:rPr>
        <w:t>5.1.</w:t>
      </w:r>
      <w:r>
        <w:rPr>
          <w:sz w:val="21"/>
          <w:b/>
          <w:color w:val="000000"/>
        </w:rPr>
        <w:t>权利</w:t>
      </w:r>
    </w:p>
    <w:p>
      <w:pPr>
        <w:pStyle w:val="null3"/>
        <w:ind w:firstLine="420"/>
        <w:jc w:val="both"/>
      </w:pPr>
      <w:r>
        <w:rPr>
          <w:sz w:val="21"/>
          <w:color w:val="000000"/>
        </w:rPr>
        <w:t>根据项目需要，甲方将部分以下权利授予相关方：</w:t>
      </w:r>
    </w:p>
    <w:p>
      <w:pPr>
        <w:pStyle w:val="null3"/>
        <w:ind w:firstLine="420"/>
        <w:jc w:val="both"/>
      </w:pPr>
      <w:r>
        <w:rPr>
          <w:sz w:val="21"/>
          <w:color w:val="000000"/>
        </w:rPr>
        <w:t>（1）</w:t>
      </w:r>
      <w:r>
        <w:rPr>
          <w:sz w:val="21"/>
          <w:u w:val="single"/>
        </w:rPr>
        <w:t xml:space="preserve">                                                           </w:t>
      </w:r>
      <w:r>
        <w:rPr>
          <w:sz w:val="21"/>
          <w:color w:val="000000"/>
        </w:rPr>
        <w:t>；</w:t>
      </w:r>
    </w:p>
    <w:p>
      <w:pPr>
        <w:pStyle w:val="null3"/>
        <w:ind w:firstLine="420"/>
        <w:jc w:val="both"/>
      </w:pPr>
      <w:r>
        <w:rPr>
          <w:sz w:val="21"/>
          <w:color w:val="000000"/>
        </w:rPr>
        <w:t>（2）</w:t>
      </w:r>
      <w:r>
        <w:rPr>
          <w:sz w:val="21"/>
          <w:u w:val="single"/>
        </w:rPr>
        <w:t xml:space="preserve">                                                          </w:t>
      </w:r>
      <w:r>
        <w:rPr>
          <w:sz w:val="21"/>
          <w:color w:val="000000"/>
        </w:rPr>
        <w:t>；</w:t>
      </w:r>
    </w:p>
    <w:p>
      <w:pPr>
        <w:pStyle w:val="null3"/>
        <w:ind w:firstLine="420"/>
        <w:jc w:val="both"/>
      </w:pPr>
      <w:r>
        <w:rPr>
          <w:sz w:val="21"/>
          <w:color w:val="000000"/>
        </w:rPr>
        <w:t>（3）</w:t>
      </w:r>
      <w:r>
        <w:rPr>
          <w:sz w:val="21"/>
          <w:u w:val="single"/>
        </w:rPr>
        <w:t xml:space="preserve">                                                           </w:t>
      </w:r>
      <w:r>
        <w:rPr>
          <w:sz w:val="21"/>
          <w:color w:val="000000"/>
        </w:rPr>
        <w:t>；</w:t>
      </w:r>
    </w:p>
    <w:p>
      <w:pPr>
        <w:pStyle w:val="null3"/>
        <w:ind w:firstLine="420"/>
        <w:jc w:val="both"/>
      </w:pPr>
      <w:r>
        <w:rPr>
          <w:sz w:val="21"/>
          <w:color w:val="000000"/>
        </w:rPr>
        <w:t>（4）</w:t>
      </w:r>
      <w:r>
        <w:rPr>
          <w:sz w:val="21"/>
          <w:u w:val="single"/>
        </w:rPr>
        <w:t xml:space="preserve">                                                          </w:t>
      </w:r>
      <w:r>
        <w:rPr>
          <w:sz w:val="21"/>
          <w:color w:val="000000"/>
        </w:rPr>
        <w:t>；</w:t>
      </w:r>
    </w:p>
    <w:p>
      <w:pPr>
        <w:pStyle w:val="null3"/>
        <w:ind w:firstLine="420"/>
        <w:jc w:val="both"/>
      </w:pPr>
      <w:r>
        <w:rPr>
          <w:sz w:val="21"/>
          <w:color w:val="000000"/>
        </w:rPr>
        <w:t>（5）</w:t>
      </w:r>
      <w:r>
        <w:rPr>
          <w:sz w:val="21"/>
          <w:u w:val="single"/>
        </w:rPr>
        <w:t xml:space="preserve">                                                          </w:t>
      </w:r>
      <w:r>
        <w:rPr>
          <w:sz w:val="21"/>
          <w:color w:val="000000"/>
        </w:rPr>
        <w:t>；</w:t>
      </w:r>
    </w:p>
    <w:p>
      <w:pPr>
        <w:pStyle w:val="null3"/>
        <w:ind w:firstLine="420"/>
        <w:jc w:val="both"/>
      </w:pPr>
      <w:r>
        <w:rPr>
          <w:sz w:val="21"/>
          <w:color w:val="000000"/>
        </w:rPr>
        <w:t>（6）</w:t>
      </w:r>
      <w:r>
        <w:rPr>
          <w:sz w:val="21"/>
          <w:u w:val="single"/>
        </w:rPr>
        <w:t xml:space="preserve">                                                            </w:t>
      </w:r>
      <w:r>
        <w:rPr>
          <w:sz w:val="21"/>
          <w:color w:val="000000"/>
        </w:rPr>
        <w:t>。</w:t>
      </w:r>
    </w:p>
    <w:p>
      <w:pPr>
        <w:pStyle w:val="null3"/>
        <w:ind w:left="570"/>
        <w:jc w:val="both"/>
        <w:outlineLvl w:val="0"/>
      </w:pPr>
      <w:r>
        <w:rPr>
          <w:sz w:val="21"/>
          <w:b/>
          <w:color w:val="000000"/>
        </w:rPr>
        <w:t>5.2.</w:t>
      </w:r>
      <w:r>
        <w:rPr>
          <w:sz w:val="21"/>
          <w:b/>
          <w:color w:val="000000"/>
        </w:rPr>
        <w:t>义务</w:t>
      </w:r>
    </w:p>
    <w:p>
      <w:pPr>
        <w:pStyle w:val="null3"/>
        <w:ind w:firstLine="420"/>
        <w:jc w:val="both"/>
      </w:pPr>
      <w:r>
        <w:rPr>
          <w:sz w:val="21"/>
          <w:color w:val="000000"/>
        </w:rPr>
        <w:t>伴随甲方授予的上述权利，相关方需履行以下义务：</w:t>
      </w:r>
    </w:p>
    <w:p>
      <w:pPr>
        <w:pStyle w:val="null3"/>
        <w:ind w:firstLine="420"/>
        <w:jc w:val="both"/>
      </w:pPr>
      <w:r>
        <w:rPr>
          <w:sz w:val="21"/>
          <w:color w:val="000000"/>
        </w:rPr>
        <w:t>（1）</w:t>
      </w:r>
      <w:r>
        <w:rPr>
          <w:sz w:val="21"/>
          <w:u w:val="single"/>
        </w:rPr>
        <w:t xml:space="preserve">                                                           </w:t>
      </w:r>
      <w:r>
        <w:rPr>
          <w:sz w:val="21"/>
          <w:color w:val="000000"/>
        </w:rPr>
        <w:t>；</w:t>
      </w:r>
    </w:p>
    <w:p>
      <w:pPr>
        <w:pStyle w:val="null3"/>
        <w:ind w:firstLine="420"/>
        <w:jc w:val="both"/>
      </w:pPr>
      <w:r>
        <w:rPr>
          <w:sz w:val="21"/>
          <w:color w:val="000000"/>
        </w:rPr>
        <w:t>（2）</w:t>
      </w:r>
      <w:r>
        <w:rPr>
          <w:sz w:val="21"/>
          <w:u w:val="single"/>
        </w:rPr>
        <w:t xml:space="preserve">                                                          </w:t>
      </w:r>
      <w:r>
        <w:rPr>
          <w:sz w:val="21"/>
          <w:color w:val="000000"/>
        </w:rPr>
        <w:t>；</w:t>
      </w:r>
    </w:p>
    <w:p>
      <w:pPr>
        <w:pStyle w:val="null3"/>
        <w:ind w:firstLine="420"/>
        <w:jc w:val="both"/>
      </w:pPr>
      <w:r>
        <w:rPr>
          <w:sz w:val="21"/>
          <w:color w:val="000000"/>
        </w:rPr>
        <w:t>（3）</w:t>
      </w:r>
      <w:r>
        <w:rPr>
          <w:sz w:val="21"/>
          <w:u w:val="single"/>
        </w:rPr>
        <w:t xml:space="preserve">                                                           </w:t>
      </w:r>
      <w:r>
        <w:rPr>
          <w:sz w:val="21"/>
          <w:color w:val="000000"/>
        </w:rPr>
        <w:t>；</w:t>
      </w:r>
    </w:p>
    <w:p>
      <w:pPr>
        <w:pStyle w:val="null3"/>
        <w:ind w:firstLine="420"/>
        <w:jc w:val="both"/>
      </w:pPr>
      <w:r>
        <w:rPr>
          <w:sz w:val="21"/>
          <w:color w:val="000000"/>
        </w:rPr>
        <w:t>（4）</w:t>
      </w:r>
      <w:r>
        <w:rPr>
          <w:sz w:val="21"/>
          <w:u w:val="single"/>
        </w:rPr>
        <w:t xml:space="preserve">                                                          </w:t>
      </w:r>
      <w:r>
        <w:rPr>
          <w:sz w:val="21"/>
          <w:color w:val="000000"/>
        </w:rPr>
        <w:t>；</w:t>
      </w:r>
    </w:p>
    <w:p>
      <w:pPr>
        <w:pStyle w:val="null3"/>
        <w:ind w:firstLine="420"/>
        <w:jc w:val="both"/>
      </w:pPr>
      <w:r>
        <w:rPr>
          <w:sz w:val="21"/>
          <w:color w:val="000000"/>
        </w:rPr>
        <w:t>（5）</w:t>
      </w:r>
      <w:r>
        <w:rPr>
          <w:sz w:val="21"/>
          <w:u w:val="single"/>
        </w:rPr>
        <w:t xml:space="preserve">                                                          </w:t>
      </w:r>
      <w:r>
        <w:rPr>
          <w:sz w:val="21"/>
          <w:color w:val="000000"/>
        </w:rPr>
        <w:t>；</w:t>
      </w:r>
    </w:p>
    <w:p>
      <w:pPr>
        <w:pStyle w:val="null3"/>
        <w:ind w:firstLine="420"/>
        <w:jc w:val="both"/>
      </w:pPr>
      <w:r>
        <w:rPr>
          <w:sz w:val="21"/>
          <w:color w:val="000000"/>
        </w:rPr>
        <w:t>（6）</w:t>
      </w:r>
      <w:r>
        <w:rPr>
          <w:sz w:val="21"/>
          <w:u w:val="single"/>
        </w:rPr>
        <w:t xml:space="preserve">                                                            </w:t>
      </w:r>
      <w:r>
        <w:rPr>
          <w:sz w:val="21"/>
          <w:color w:val="000000"/>
        </w:rPr>
        <w:t>。</w:t>
      </w:r>
    </w:p>
    <w:p>
      <w:pPr>
        <w:pStyle w:val="null3"/>
        <w:ind w:firstLine="422"/>
        <w:jc w:val="center"/>
      </w:pPr>
      <w:r>
        <w:rPr>
          <w:sz w:val="21"/>
          <w:b/>
          <w:color w:val="000000"/>
        </w:rPr>
        <w:t>第三章服务内容及服务期限</w:t>
      </w:r>
    </w:p>
    <w:p>
      <w:pPr>
        <w:pStyle w:val="null3"/>
        <w:ind w:left="420"/>
        <w:jc w:val="both"/>
        <w:outlineLvl w:val="0"/>
      </w:pPr>
      <w:r>
        <w:rPr>
          <w:sz w:val="21"/>
          <w:b/>
          <w:color w:val="000000"/>
        </w:rPr>
        <w:t>6.</w:t>
      </w:r>
      <w:r>
        <w:rPr>
          <w:sz w:val="21"/>
          <w:b/>
          <w:color w:val="000000"/>
        </w:rPr>
        <w:t>服务内容</w:t>
      </w:r>
    </w:p>
    <w:p>
      <w:pPr>
        <w:pStyle w:val="null3"/>
        <w:ind w:firstLine="420"/>
        <w:jc w:val="both"/>
      </w:pPr>
      <w:r>
        <w:rPr>
          <w:sz w:val="21"/>
          <w:color w:val="000000"/>
        </w:rPr>
        <w:t>本项目包</w:t>
      </w:r>
      <w:r>
        <w:rPr>
          <w:sz w:val="21"/>
          <w:color w:val="000000"/>
        </w:rPr>
        <w:t>括服务内容，包括：</w:t>
      </w:r>
    </w:p>
    <w:p>
      <w:pPr>
        <w:pStyle w:val="null3"/>
        <w:ind w:firstLine="420"/>
        <w:jc w:val="both"/>
      </w:pPr>
      <w:r>
        <w:rPr>
          <w:sz w:val="21"/>
          <w:color w:val="000000"/>
        </w:rPr>
        <w:t>（1）</w:t>
      </w:r>
      <w:r>
        <w:rPr>
          <w:sz w:val="21"/>
          <w:u w:val="single"/>
        </w:rPr>
        <w:t xml:space="preserve">                                                           </w:t>
      </w:r>
      <w:r>
        <w:rPr>
          <w:sz w:val="21"/>
          <w:color w:val="000000"/>
        </w:rPr>
        <w:t>；</w:t>
      </w:r>
    </w:p>
    <w:p>
      <w:pPr>
        <w:pStyle w:val="null3"/>
        <w:ind w:firstLine="420"/>
        <w:jc w:val="both"/>
      </w:pPr>
      <w:r>
        <w:rPr>
          <w:sz w:val="21"/>
          <w:color w:val="000000"/>
        </w:rPr>
        <w:t>（2）</w:t>
      </w:r>
      <w:r>
        <w:rPr>
          <w:sz w:val="21"/>
          <w:u w:val="single"/>
        </w:rPr>
        <w:t xml:space="preserve">                                                          </w:t>
      </w:r>
      <w:r>
        <w:rPr>
          <w:sz w:val="21"/>
          <w:color w:val="000000"/>
        </w:rPr>
        <w:t>；</w:t>
      </w:r>
    </w:p>
    <w:p>
      <w:pPr>
        <w:pStyle w:val="null3"/>
        <w:ind w:firstLine="420"/>
        <w:jc w:val="both"/>
      </w:pPr>
      <w:r>
        <w:rPr>
          <w:sz w:val="21"/>
          <w:color w:val="000000"/>
        </w:rPr>
        <w:t>（3）</w:t>
      </w:r>
      <w:r>
        <w:rPr>
          <w:sz w:val="21"/>
          <w:u w:val="single"/>
        </w:rPr>
        <w:t xml:space="preserve">                                                           </w:t>
      </w:r>
      <w:r>
        <w:rPr>
          <w:sz w:val="21"/>
          <w:color w:val="000000"/>
        </w:rPr>
        <w:t>。</w:t>
      </w:r>
    </w:p>
    <w:p>
      <w:pPr>
        <w:pStyle w:val="null3"/>
        <w:ind w:firstLine="420"/>
        <w:jc w:val="both"/>
      </w:pPr>
      <w:r>
        <w:rPr>
          <w:sz w:val="21"/>
          <w:color w:val="000000"/>
        </w:rPr>
        <w:t>其他详细内容见附件。</w:t>
      </w:r>
    </w:p>
    <w:p>
      <w:pPr>
        <w:pStyle w:val="null3"/>
        <w:ind w:left="420"/>
        <w:jc w:val="both"/>
        <w:outlineLvl w:val="0"/>
      </w:pPr>
      <w:r>
        <w:rPr>
          <w:sz w:val="21"/>
          <w:b/>
          <w:color w:val="000000"/>
        </w:rPr>
        <w:t>7.</w:t>
      </w:r>
      <w:r>
        <w:rPr>
          <w:sz w:val="21"/>
          <w:b/>
          <w:color w:val="000000"/>
        </w:rPr>
        <w:t>服务期限</w:t>
      </w:r>
    </w:p>
    <w:p>
      <w:pPr>
        <w:pStyle w:val="null3"/>
        <w:ind w:firstLine="420"/>
        <w:jc w:val="both"/>
      </w:pPr>
      <w:r>
        <w:rPr>
          <w:sz w:val="21"/>
          <w:color w:val="000000"/>
        </w:rPr>
        <w:t>本项目委托服务期限，其中</w:t>
      </w:r>
      <w:r>
        <w:rPr>
          <w:sz w:val="21"/>
          <w:u w:val="single"/>
        </w:rPr>
        <w:t xml:space="preserve">                  </w:t>
      </w:r>
      <w:r>
        <w:rPr>
          <w:sz w:val="21"/>
          <w:color w:val="000000"/>
        </w:rPr>
        <w:t>服务采用以下第</w:t>
      </w:r>
      <w:r>
        <w:rPr>
          <w:sz w:val="21"/>
          <w:u w:val="single"/>
        </w:rPr>
        <w:t xml:space="preserve">           </w:t>
      </w:r>
      <w:r>
        <w:rPr>
          <w:sz w:val="21"/>
          <w:color w:val="000000"/>
        </w:rPr>
        <w:t>种方式，</w:t>
      </w:r>
      <w:r>
        <w:rPr>
          <w:sz w:val="21"/>
          <w:u w:val="single"/>
        </w:rPr>
        <w:t xml:space="preserve">               </w:t>
      </w:r>
      <w:r>
        <w:rPr>
          <w:sz w:val="21"/>
          <w:color w:val="000000"/>
        </w:rPr>
        <w:t>服务</w:t>
      </w:r>
      <w:r>
        <w:rPr>
          <w:sz w:val="21"/>
          <w:color w:val="000000"/>
        </w:rPr>
        <w:t>采用以下第</w:t>
      </w:r>
      <w:r>
        <w:rPr>
          <w:sz w:val="21"/>
          <w:u w:val="single"/>
        </w:rPr>
        <w:t xml:space="preserve">           </w:t>
      </w:r>
      <w:r>
        <w:rPr>
          <w:sz w:val="21"/>
          <w:color w:val="000000"/>
        </w:rPr>
        <w:t>种方式：</w:t>
      </w:r>
    </w:p>
    <w:p>
      <w:pPr>
        <w:pStyle w:val="null3"/>
        <w:ind w:firstLine="420"/>
        <w:jc w:val="both"/>
      </w:pPr>
      <w:r>
        <w:rPr>
          <w:sz w:val="21"/>
          <w:color w:val="000000"/>
        </w:rPr>
        <w:t>（1）以合同签订之日起</w:t>
      </w:r>
      <w:r>
        <w:rPr>
          <w:sz w:val="21"/>
          <w:u w:val="single"/>
        </w:rPr>
        <w:t xml:space="preserve">     </w:t>
      </w:r>
      <w:r>
        <w:rPr>
          <w:sz w:val="21"/>
          <w:color w:val="000000"/>
        </w:rPr>
        <w:t>个月内完成交付验收，交付验收后提供</w:t>
      </w:r>
      <w:r>
        <w:rPr>
          <w:sz w:val="21"/>
          <w:u w:val="single"/>
        </w:rPr>
        <w:t xml:space="preserve">      </w:t>
      </w:r>
      <w:r>
        <w:rPr>
          <w:sz w:val="21"/>
          <w:color w:val="000000"/>
        </w:rPr>
        <w:t>年运维服务。</w:t>
      </w:r>
    </w:p>
    <w:p>
      <w:pPr>
        <w:pStyle w:val="null3"/>
        <w:ind w:firstLine="420"/>
        <w:jc w:val="both"/>
      </w:pPr>
      <w:r>
        <w:rPr>
          <w:sz w:val="21"/>
          <w:color w:val="000000"/>
        </w:rPr>
        <w:t>（2）以甲方确认的服务启动报审备案时间为服务起始时间，服务期为___个月。</w:t>
      </w:r>
    </w:p>
    <w:p>
      <w:pPr>
        <w:pStyle w:val="null3"/>
        <w:ind w:firstLine="420"/>
        <w:jc w:val="both"/>
      </w:pPr>
      <w:r>
        <w:rPr>
          <w:sz w:val="21"/>
          <w:color w:val="000000"/>
        </w:rPr>
        <w:t>（3）以合同签订之日为服务起始时间，服务期为</w:t>
      </w:r>
      <w:r>
        <w:rPr>
          <w:sz w:val="21"/>
          <w:u w:val="single"/>
        </w:rPr>
        <w:t xml:space="preserve">     </w:t>
      </w:r>
      <w:r>
        <w:rPr>
          <w:sz w:val="21"/>
          <w:color w:val="000000"/>
        </w:rPr>
        <w:t>个月。</w:t>
      </w:r>
    </w:p>
    <w:p>
      <w:pPr>
        <w:pStyle w:val="null3"/>
        <w:ind w:firstLine="420"/>
        <w:jc w:val="both"/>
      </w:pPr>
      <w:r>
        <w:rPr>
          <w:sz w:val="21"/>
          <w:color w:val="000000"/>
        </w:rPr>
        <w:t>（4）服务期自</w:t>
      </w:r>
      <w:r>
        <w:rPr>
          <w:sz w:val="21"/>
          <w:u w:val="single"/>
        </w:rPr>
        <w:t xml:space="preserve">   </w:t>
      </w:r>
      <w:r>
        <w:rPr>
          <w:sz w:val="21"/>
          <w:color w:val="000000"/>
        </w:rPr>
        <w:t>年</w:t>
      </w:r>
      <w:r>
        <w:rPr>
          <w:sz w:val="21"/>
          <w:u w:val="single"/>
        </w:rPr>
        <w:t xml:space="preserve">   </w:t>
      </w:r>
      <w:r>
        <w:rPr>
          <w:sz w:val="21"/>
          <w:color w:val="000000"/>
        </w:rPr>
        <w:t>月</w:t>
      </w:r>
      <w:r>
        <w:rPr>
          <w:sz w:val="21"/>
          <w:u w:val="single"/>
        </w:rPr>
        <w:t xml:space="preserve">   </w:t>
      </w:r>
      <w:r>
        <w:rPr>
          <w:sz w:val="21"/>
          <w:color w:val="000000"/>
        </w:rPr>
        <w:t>日至</w:t>
      </w:r>
      <w:r>
        <w:rPr>
          <w:sz w:val="21"/>
          <w:u w:val="single"/>
        </w:rPr>
        <w:t xml:space="preserve">   </w:t>
      </w:r>
      <w:r>
        <w:rPr>
          <w:sz w:val="21"/>
          <w:color w:val="000000"/>
        </w:rPr>
        <w:t>年</w:t>
      </w:r>
      <w:r>
        <w:rPr>
          <w:sz w:val="21"/>
          <w:u w:val="single"/>
        </w:rPr>
        <w:t xml:space="preserve">   </w:t>
      </w:r>
      <w:r>
        <w:rPr>
          <w:sz w:val="21"/>
          <w:color w:val="000000"/>
        </w:rPr>
        <w:t>月</w:t>
      </w:r>
      <w:r>
        <w:rPr>
          <w:sz w:val="21"/>
          <w:u w:val="single"/>
        </w:rPr>
        <w:t xml:space="preserve">   </w:t>
      </w:r>
      <w:r>
        <w:rPr>
          <w:sz w:val="21"/>
          <w:color w:val="000000"/>
        </w:rPr>
        <w:t>日止。</w:t>
      </w:r>
    </w:p>
    <w:p>
      <w:pPr>
        <w:pStyle w:val="null3"/>
        <w:ind w:firstLine="420"/>
        <w:jc w:val="left"/>
      </w:pPr>
      <w:r>
        <w:rPr>
          <w:sz w:val="21"/>
          <w:color w:val="000000"/>
        </w:rPr>
        <w:t>（5）</w:t>
      </w:r>
      <w:r>
        <w:rPr>
          <w:sz w:val="21"/>
          <w:color w:val="000000"/>
        </w:rPr>
        <w:t>以交付验收完成之日起算，交付验收后提供</w:t>
      </w:r>
      <w:r>
        <w:rPr>
          <w:sz w:val="21"/>
          <w:u w:val="single"/>
        </w:rPr>
        <w:t xml:space="preserve">    </w:t>
      </w:r>
      <w:r>
        <w:rPr>
          <w:sz w:val="21"/>
          <w:color w:val="000000"/>
        </w:rPr>
        <w:t>年运维服务。</w:t>
      </w:r>
    </w:p>
    <w:p>
      <w:pPr>
        <w:pStyle w:val="null3"/>
        <w:ind w:firstLine="420"/>
        <w:jc w:val="both"/>
      </w:pPr>
      <w:r>
        <w:rPr>
          <w:sz w:val="21"/>
          <w:color w:val="000000"/>
        </w:rPr>
        <w:t>（6）以合同签订之日起</w:t>
      </w:r>
      <w:r>
        <w:rPr>
          <w:sz w:val="21"/>
          <w:u w:val="single"/>
        </w:rPr>
        <w:t xml:space="preserve">     </w:t>
      </w:r>
      <w:r>
        <w:rPr>
          <w:sz w:val="21"/>
          <w:color w:val="000000"/>
        </w:rPr>
        <w:t>个月内完成交付验收，交付验收后提供</w:t>
      </w:r>
      <w:r>
        <w:rPr>
          <w:sz w:val="21"/>
          <w:u w:val="single"/>
        </w:rPr>
        <w:t xml:space="preserve">      </w:t>
      </w:r>
      <w:r>
        <w:rPr>
          <w:sz w:val="21"/>
          <w:color w:val="000000"/>
        </w:rPr>
        <w:t>年租赁服务。</w:t>
      </w:r>
    </w:p>
    <w:p>
      <w:pPr>
        <w:pStyle w:val="null3"/>
        <w:ind w:left="495"/>
        <w:jc w:val="left"/>
      </w:pPr>
      <w:r>
        <w:rPr>
          <w:sz w:val="21"/>
          <w:b/>
          <w:color w:val="000000"/>
        </w:rPr>
        <w:t>第四章服务实施和验收</w:t>
      </w:r>
    </w:p>
    <w:p>
      <w:pPr>
        <w:pStyle w:val="null3"/>
        <w:ind w:left="420"/>
        <w:jc w:val="both"/>
        <w:outlineLvl w:val="0"/>
      </w:pPr>
      <w:r>
        <w:rPr>
          <w:sz w:val="21"/>
          <w:b/>
          <w:color w:val="000000"/>
        </w:rPr>
        <w:t>8.</w:t>
      </w:r>
      <w:r>
        <w:rPr>
          <w:sz w:val="21"/>
          <w:b/>
          <w:color w:val="000000"/>
        </w:rPr>
        <w:t>项目安全防护</w:t>
      </w:r>
    </w:p>
    <w:p>
      <w:pPr>
        <w:pStyle w:val="null3"/>
        <w:ind w:firstLine="420"/>
        <w:jc w:val="both"/>
      </w:pPr>
      <w:r>
        <w:rPr>
          <w:sz w:val="21"/>
          <w:color w:val="000000"/>
        </w:rPr>
        <w:t>8.1.本项目服务实施期间，乙方应严格遵守国家相关安全规定。若因乙方原因出现任何安全问题，乙方应承担全部责任。</w:t>
      </w:r>
    </w:p>
    <w:p>
      <w:pPr>
        <w:pStyle w:val="null3"/>
        <w:ind w:firstLine="420"/>
        <w:jc w:val="both"/>
      </w:pPr>
      <w:r>
        <w:rPr>
          <w:sz w:val="21"/>
          <w:color w:val="000000"/>
        </w:rPr>
        <w:t>8.2.甲方有权聘请第三方测评公司对乙方提供的信息系统进行安全等级保护测评，乙方应予以配合，确保其所提供的产品或服务满足公安部信息系统安全等保</w:t>
      </w:r>
      <w:r>
        <w:rPr>
          <w:sz w:val="21"/>
          <w:u w:val="single"/>
        </w:rPr>
        <w:t xml:space="preserve"> </w:t>
      </w:r>
      <w:r>
        <w:rPr>
          <w:sz w:val="21"/>
          <w:color w:val="000000"/>
        </w:rPr>
        <w:t>级的要求。</w:t>
      </w:r>
    </w:p>
    <w:p>
      <w:pPr>
        <w:pStyle w:val="null3"/>
        <w:ind w:firstLine="420"/>
        <w:jc w:val="both"/>
      </w:pPr>
      <w:r>
        <w:rPr>
          <w:sz w:val="21"/>
          <w:color w:val="000000"/>
        </w:rPr>
        <w:t>8.3未经甲方同意，乙方不得擅自调整本项目所涉及系统功能，或实施与其他业务系统对接等工作。</w:t>
      </w:r>
    </w:p>
    <w:p>
      <w:pPr>
        <w:pStyle w:val="null3"/>
        <w:ind w:left="495"/>
        <w:jc w:val="left"/>
        <w:outlineLvl w:val="0"/>
      </w:pPr>
      <w:r>
        <w:rPr>
          <w:sz w:val="21"/>
          <w:b/>
          <w:color w:val="000000"/>
        </w:rPr>
        <w:t>9.</w:t>
      </w:r>
      <w:r>
        <w:rPr>
          <w:sz w:val="21"/>
          <w:b/>
          <w:color w:val="000000"/>
        </w:rPr>
        <w:t>项目进度保障</w:t>
      </w:r>
    </w:p>
    <w:p>
      <w:pPr>
        <w:pStyle w:val="null3"/>
        <w:ind w:firstLine="420"/>
        <w:jc w:val="both"/>
      </w:pPr>
      <w:r>
        <w:rPr>
          <w:sz w:val="21"/>
          <w:color w:val="000000"/>
        </w:rPr>
        <w:t>9.1.乙方提交启动实施报审备案的同时向甲方提交一份本项目详细的《服务实施方案》（含《项目进度计划》、《</w:t>
      </w:r>
      <w:r>
        <w:rPr>
          <w:sz w:val="21"/>
          <w:color w:val="000000"/>
        </w:rPr>
        <w:t>里程碑</w:t>
      </w:r>
      <w:r>
        <w:rPr>
          <w:sz w:val="21"/>
          <w:color w:val="000000"/>
        </w:rPr>
        <w:t>计划》）供甲方审核，经甲方审核通过后，乙方应严格按照《服务实施方案》中规定的进度要求进行交付，实际交付验收合格时间以甲方出具验收报告的时间为准。</w:t>
      </w:r>
    </w:p>
    <w:p>
      <w:pPr>
        <w:pStyle w:val="null3"/>
        <w:ind w:firstLine="420"/>
        <w:jc w:val="both"/>
      </w:pPr>
      <w:r>
        <w:rPr>
          <w:sz w:val="21"/>
          <w:color w:val="000000"/>
        </w:rPr>
        <w:t>9.2.项目进度计划可以按照月/周/日不同层级来进行细化。月度进度计划需要细化各个里程碑节点完成所涉及的全部工作内容和时间计划。周计划与日计划是月进度计划的具体工作实现。</w:t>
      </w:r>
    </w:p>
    <w:p>
      <w:pPr>
        <w:pStyle w:val="null3"/>
        <w:ind w:firstLine="420"/>
        <w:jc w:val="both"/>
      </w:pPr>
      <w:r>
        <w:rPr>
          <w:sz w:val="21"/>
          <w:color w:val="000000"/>
        </w:rPr>
        <w:t>9.3.乙方应严格按照《服务实施方案》所规定的进度计划，选取提交定期报告（选取以下一种或多种方式），并于每月第</w:t>
      </w:r>
      <w:r>
        <w:rPr>
          <w:sz w:val="21"/>
          <w:u w:val="single"/>
        </w:rPr>
        <w:t xml:space="preserve">      </w:t>
      </w:r>
      <w:r>
        <w:rPr>
          <w:sz w:val="21"/>
          <w:color w:val="000000"/>
        </w:rPr>
        <w:t>日前向甲方及监理单位提交《月度进度计划报告》，详细说明如下事项：</w:t>
      </w:r>
    </w:p>
    <w:p>
      <w:pPr>
        <w:pStyle w:val="null3"/>
        <w:ind w:firstLine="420"/>
        <w:jc w:val="both"/>
      </w:pPr>
      <w:r>
        <w:rPr>
          <w:sz w:val="21"/>
          <w:color w:val="000000"/>
        </w:rPr>
        <w:t>（1）当月项目目标计划；</w:t>
      </w:r>
    </w:p>
    <w:p>
      <w:pPr>
        <w:pStyle w:val="null3"/>
        <w:ind w:firstLine="420"/>
        <w:jc w:val="both"/>
      </w:pPr>
      <w:r>
        <w:rPr>
          <w:sz w:val="21"/>
          <w:color w:val="000000"/>
        </w:rPr>
        <w:t>（2）当月里程碑事件完成情况；</w:t>
      </w:r>
    </w:p>
    <w:p>
      <w:pPr>
        <w:pStyle w:val="null3"/>
        <w:ind w:firstLine="420"/>
        <w:jc w:val="both"/>
      </w:pPr>
      <w:r>
        <w:rPr>
          <w:sz w:val="21"/>
          <w:color w:val="000000"/>
        </w:rPr>
        <w:t>（3）存在的问题及解决建议，包含与进度计划的差异、原因分析及正在采取的纠正措施；</w:t>
      </w:r>
    </w:p>
    <w:p>
      <w:pPr>
        <w:pStyle w:val="null3"/>
        <w:ind w:firstLine="420"/>
        <w:jc w:val="both"/>
      </w:pPr>
      <w:r>
        <w:rPr>
          <w:sz w:val="21"/>
          <w:color w:val="000000"/>
        </w:rPr>
        <w:t>（4）统计分析，包含当月计划完成的服务事项及整体完成比例、预计本月完成的建设情况及预计建设时间等。</w:t>
      </w:r>
    </w:p>
    <w:p>
      <w:pPr>
        <w:pStyle w:val="null3"/>
        <w:ind w:firstLine="420"/>
        <w:jc w:val="both"/>
      </w:pPr>
      <w:r>
        <w:rPr>
          <w:sz w:val="21"/>
          <w:color w:val="000000"/>
        </w:rPr>
        <w:t>（5）进度变更（必须甲乙双方书面确认）。</w:t>
      </w:r>
    </w:p>
    <w:p>
      <w:pPr>
        <w:pStyle w:val="null3"/>
        <w:ind w:firstLine="420"/>
        <w:jc w:val="both"/>
      </w:pPr>
      <w:r>
        <w:rPr>
          <w:sz w:val="21"/>
          <w:color w:val="000000"/>
        </w:rPr>
        <w:t>每周第</w:t>
      </w:r>
      <w:r>
        <w:rPr>
          <w:sz w:val="21"/>
          <w:u w:val="single"/>
        </w:rPr>
        <w:t xml:space="preserve">      </w:t>
      </w:r>
      <w:r>
        <w:rPr>
          <w:sz w:val="21"/>
          <w:color w:val="000000"/>
        </w:rPr>
        <w:t>日前向甲方及监理单位提交《周进度计划报告》，详细说明如下事项：</w:t>
      </w:r>
    </w:p>
    <w:p>
      <w:pPr>
        <w:pStyle w:val="null3"/>
        <w:ind w:firstLine="420"/>
        <w:jc w:val="both"/>
      </w:pPr>
      <w:r>
        <w:rPr>
          <w:sz w:val="21"/>
          <w:color w:val="000000"/>
        </w:rPr>
        <w:t>（1）本周项目目标计划；</w:t>
      </w:r>
    </w:p>
    <w:p>
      <w:pPr>
        <w:pStyle w:val="null3"/>
        <w:ind w:firstLine="420"/>
        <w:jc w:val="both"/>
      </w:pPr>
      <w:r>
        <w:rPr>
          <w:sz w:val="21"/>
          <w:color w:val="000000"/>
        </w:rPr>
        <w:t>（2）本周里程碑事件完成情况；</w:t>
      </w:r>
    </w:p>
    <w:p>
      <w:pPr>
        <w:pStyle w:val="null3"/>
        <w:ind w:firstLine="420"/>
        <w:jc w:val="both"/>
      </w:pPr>
      <w:r>
        <w:rPr>
          <w:sz w:val="21"/>
          <w:color w:val="000000"/>
        </w:rPr>
        <w:t>（3）存在的问题及解决建议，包含与进度计划的差异、原因分析及正在采取的纠正措施；</w:t>
      </w:r>
    </w:p>
    <w:p>
      <w:pPr>
        <w:pStyle w:val="null3"/>
        <w:ind w:firstLine="420"/>
        <w:jc w:val="both"/>
      </w:pPr>
      <w:r>
        <w:rPr>
          <w:sz w:val="21"/>
          <w:color w:val="000000"/>
        </w:rPr>
        <w:t>（4）统计分析，包含当周计划完成的服务事项及整体完成比例、预计本周完成的建设情况及预计建设时间等；</w:t>
      </w:r>
    </w:p>
    <w:p>
      <w:pPr>
        <w:pStyle w:val="null3"/>
        <w:ind w:firstLine="420"/>
        <w:jc w:val="both"/>
      </w:pPr>
      <w:r>
        <w:rPr>
          <w:sz w:val="21"/>
          <w:color w:val="000000"/>
        </w:rPr>
        <w:t>（5）进度变更完成情况。</w:t>
      </w:r>
    </w:p>
    <w:p>
      <w:pPr>
        <w:pStyle w:val="null3"/>
        <w:ind w:firstLine="420"/>
        <w:jc w:val="both"/>
      </w:pPr>
      <w:r>
        <w:rPr>
          <w:sz w:val="21"/>
          <w:color w:val="000000"/>
        </w:rPr>
        <w:t>每日时前向甲方及监理单位提交《日进度计划报告》，详细说明当日项目工作情况。</w:t>
      </w:r>
    </w:p>
    <w:p>
      <w:pPr>
        <w:pStyle w:val="null3"/>
        <w:ind w:firstLine="420"/>
        <w:jc w:val="both"/>
      </w:pPr>
      <w:r>
        <w:rPr>
          <w:sz w:val="21"/>
          <w:color w:val="000000"/>
        </w:rPr>
        <w:t>甲方有权根据项目的实施情况，提出对《日进度计划报告》/《周进度计划报告》/《月度进度计划报告》的内容提出意见，乙方应遵照执行并予以进行相应调整。</w:t>
      </w:r>
    </w:p>
    <w:p>
      <w:pPr>
        <w:pStyle w:val="null3"/>
        <w:ind w:firstLine="420"/>
        <w:jc w:val="both"/>
      </w:pPr>
      <w:r>
        <w:rPr>
          <w:sz w:val="21"/>
          <w:color w:val="000000"/>
        </w:rPr>
        <w:t>9.4.交付延误</w:t>
      </w:r>
    </w:p>
    <w:p>
      <w:pPr>
        <w:pStyle w:val="null3"/>
        <w:ind w:firstLine="420"/>
        <w:jc w:val="both"/>
      </w:pPr>
      <w:r>
        <w:rPr>
          <w:sz w:val="21"/>
          <w:color w:val="000000"/>
        </w:rPr>
        <w:t>如果乙方在项目实施过程中，由于不可抗力、政策调整、甲方需求变化、技术更新等客观原因导致交付时间不能满足本合同约定的进度要求，按照有利于项目成功的原则，乙方应立即通知甲方，并就变更背景、变更依据、相应的变更控制措施以及变更影响评估提出进度变更申请，提交第三方监理审核、甲方审批后执行变更。</w:t>
      </w:r>
    </w:p>
    <w:p>
      <w:pPr>
        <w:pStyle w:val="null3"/>
        <w:ind w:firstLine="420"/>
        <w:jc w:val="both"/>
      </w:pPr>
      <w:r>
        <w:rPr>
          <w:sz w:val="21"/>
          <w:color w:val="000000"/>
        </w:rPr>
        <w:t>9.5.乙方发出上述通知并不能免除其在本合同中的任何义务。如果乙方提出或实施的补救措施不能解决逾期的延误，甲方可要求乙方采取甲方认为必要的其他措施以达到进度计划的要求，但甲方可根据迟延的客观原因及乙方的书面申请而给予乙方一定的宽限期限。</w:t>
      </w:r>
    </w:p>
    <w:p>
      <w:pPr>
        <w:pStyle w:val="null3"/>
        <w:ind w:left="420"/>
        <w:jc w:val="both"/>
        <w:outlineLvl w:val="0"/>
      </w:pPr>
      <w:r>
        <w:rPr>
          <w:sz w:val="21"/>
          <w:b/>
          <w:color w:val="000000"/>
        </w:rPr>
        <w:t>10.</w:t>
      </w:r>
      <w:r>
        <w:rPr>
          <w:sz w:val="21"/>
          <w:b/>
          <w:color w:val="000000"/>
        </w:rPr>
        <w:t>项目质量保障</w:t>
      </w:r>
    </w:p>
    <w:p>
      <w:pPr>
        <w:pStyle w:val="null3"/>
        <w:ind w:firstLine="420"/>
        <w:jc w:val="both"/>
      </w:pPr>
      <w:r>
        <w:rPr>
          <w:sz w:val="21"/>
          <w:color w:val="000000"/>
        </w:rPr>
        <w:t>10.1.乙方提供的服务应满足本合同约定的项目质量指标，包括项目过程质量指标、项目成果质量指标等。</w:t>
      </w:r>
    </w:p>
    <w:p>
      <w:pPr>
        <w:pStyle w:val="null3"/>
        <w:ind w:firstLine="420"/>
        <w:jc w:val="both"/>
      </w:pPr>
      <w:r>
        <w:rPr>
          <w:sz w:val="21"/>
          <w:color w:val="000000"/>
        </w:rPr>
        <w:t>10.2.乙方在项目执行过程中应制定质量改进计划。质量改进计划的制定应按照以下三个步骤进行：</w:t>
      </w:r>
    </w:p>
    <w:p>
      <w:pPr>
        <w:pStyle w:val="null3"/>
        <w:ind w:firstLine="420"/>
        <w:jc w:val="both"/>
      </w:pPr>
      <w:r>
        <w:rPr>
          <w:sz w:val="21"/>
          <w:color w:val="000000"/>
        </w:rPr>
        <w:t>（1）明确问题。分析现状，找出项目存在的质量问题，包括确认质量问题，收集相关的质量数据；</w:t>
      </w:r>
    </w:p>
    <w:p>
      <w:pPr>
        <w:pStyle w:val="null3"/>
        <w:ind w:firstLine="420"/>
        <w:jc w:val="both"/>
      </w:pPr>
      <w:r>
        <w:rPr>
          <w:sz w:val="21"/>
          <w:color w:val="000000"/>
        </w:rPr>
        <w:t>（2）问题分析。分析产生项目质量问题的各种原因和影响因素，找出可能的影响因素并验证，比较并选择主要的、直接的影响因素；</w:t>
      </w:r>
    </w:p>
    <w:p>
      <w:pPr>
        <w:pStyle w:val="null3"/>
        <w:ind w:firstLine="420"/>
        <w:jc w:val="both"/>
      </w:pPr>
      <w:r>
        <w:rPr>
          <w:sz w:val="21"/>
          <w:color w:val="000000"/>
        </w:rPr>
        <w:t>（3）制定问题改进计划。针对质量问题的主要因素，制定措施，提出问题处理计划，包括问题解决方案，问题处理所需的资源需求等。</w:t>
      </w:r>
    </w:p>
    <w:p>
      <w:pPr>
        <w:pStyle w:val="null3"/>
        <w:ind w:firstLine="420"/>
        <w:jc w:val="both"/>
      </w:pPr>
      <w:r>
        <w:rPr>
          <w:sz w:val="21"/>
          <w:color w:val="000000"/>
        </w:rPr>
        <w:t>10.3.质量改进计划制定后，乙方应按照既定的计划，根据国家、广东省、行业相关的规范标准，制定项目的质量改进目标，明确改进的质量指标，设定质量测量的方法和时间，确定质量改进的岗位责任安排等，通过质量管理规范指导项目实施，并对发现的质量问题逐个进行处理。</w:t>
      </w:r>
    </w:p>
    <w:p>
      <w:pPr>
        <w:pStyle w:val="null3"/>
        <w:ind w:firstLine="420"/>
        <w:jc w:val="both"/>
      </w:pPr>
      <w:r>
        <w:rPr>
          <w:sz w:val="21"/>
          <w:color w:val="000000"/>
        </w:rPr>
        <w:t>10.4.质量改进计划执行过程中或执行之后，乙方应对照质量改进计划，及时检查质量改进执行情况和效果，并与质量目标、质量管理指标进行对比分析，明确是否符合质量改进的预期目标，及时发现计划实施过程中的存在的问题，总结经验。质量改进检查包括乙方自查、第三方监理和甲方的定期巡查、不定期抽查以及第三方机构测评检查三种方式。各类项目应依据项目特点选择相应的质量检查方式。</w:t>
      </w:r>
    </w:p>
    <w:p>
      <w:pPr>
        <w:pStyle w:val="null3"/>
        <w:ind w:firstLine="420"/>
        <w:jc w:val="both"/>
      </w:pPr>
      <w:r>
        <w:rPr>
          <w:sz w:val="21"/>
          <w:color w:val="000000"/>
        </w:rPr>
        <w:t>10.5.乙方应根据质量检查的结果对项目质量问题及时进行整改处理，同时对质量管理的运行情况进行总结与分析，对成功的经验加以肯定，并予以标准化，对失败的教训进行总结，引起重视。对未能及时处理解决的问题，需将其作为下一管理循环的质量改进目标。项目质量问题解决完成后，需对实施效果进行评估和记录。若采取的整改措施未达到预期效果，应重新制定解决措施，直至达到预期效果。</w:t>
      </w:r>
    </w:p>
    <w:p>
      <w:pPr>
        <w:pStyle w:val="null3"/>
        <w:ind w:firstLine="420"/>
        <w:jc w:val="both"/>
      </w:pPr>
      <w:r>
        <w:rPr>
          <w:sz w:val="21"/>
          <w:color w:val="000000"/>
        </w:rPr>
        <w:t>10.6.在不影响乙方履行本合同项下义务的情况下，甲方有权在工作时间内对乙方履约情况进行检查，以保证乙方项目的任何部分均符合本合同的要求。乙方须对此项检查予以协助。</w:t>
      </w:r>
    </w:p>
    <w:p>
      <w:pPr>
        <w:pStyle w:val="null3"/>
        <w:ind w:firstLine="420"/>
        <w:jc w:val="both"/>
      </w:pPr>
      <w:r>
        <w:rPr>
          <w:sz w:val="21"/>
          <w:color w:val="000000"/>
        </w:rPr>
        <w:t>10.7.甲方有材料证明乙方服务实施过程中与本协议所规定的或其他相关部门所规定的质量或安全要求严重不符时，甲方有权立即通知乙方，乙方应按照要求进行整改。若乙方在收到甲方书面通知后十个工作日内未整改，则甲方有权自己进行或委托第三方进行必要的纠正，由此产生的一切风险与费用由乙方承担。</w:t>
      </w:r>
    </w:p>
    <w:p>
      <w:pPr>
        <w:pStyle w:val="null3"/>
        <w:ind w:firstLine="420"/>
        <w:jc w:val="both"/>
      </w:pPr>
      <w:r>
        <w:rPr>
          <w:sz w:val="21"/>
          <w:color w:val="000000"/>
        </w:rPr>
        <w:t>10.8.除本协议另有规定外，对乙方提交的质量保证与质量控制方案，甲方的任何作为或不作为，均不会：</w:t>
      </w:r>
    </w:p>
    <w:p>
      <w:pPr>
        <w:pStyle w:val="null3"/>
        <w:ind w:firstLine="420"/>
        <w:jc w:val="both"/>
      </w:pPr>
      <w:r>
        <w:rPr>
          <w:sz w:val="21"/>
          <w:color w:val="000000"/>
        </w:rPr>
        <w:t>（1）减轻或影响乙方遵守本协议或法律所要求的与质量保证有关的义务或责任；</w:t>
      </w:r>
    </w:p>
    <w:p>
      <w:pPr>
        <w:pStyle w:val="null3"/>
        <w:ind w:firstLine="420"/>
        <w:jc w:val="both"/>
      </w:pPr>
      <w:r>
        <w:rPr>
          <w:sz w:val="21"/>
          <w:color w:val="000000"/>
        </w:rPr>
        <w:t>（2）被视为甲方应对质量保证与质量控制方案承担任何责任。</w:t>
      </w:r>
    </w:p>
    <w:p>
      <w:pPr>
        <w:pStyle w:val="null3"/>
        <w:ind w:firstLine="420"/>
        <w:jc w:val="both"/>
      </w:pPr>
      <w:r>
        <w:rPr>
          <w:sz w:val="21"/>
          <w:color w:val="000000"/>
        </w:rPr>
        <w:t>10.9 项目存在运维服务的，乙方应在运维服务期内，收到甲方通知的</w:t>
      </w:r>
      <w:r>
        <w:rPr>
          <w:sz w:val="21"/>
          <w:u w:val="single"/>
        </w:rPr>
        <w:t xml:space="preserve">  </w:t>
      </w:r>
      <w:r>
        <w:rPr>
          <w:sz w:val="21"/>
          <w:color w:val="000000"/>
        </w:rPr>
        <w:t>小时内组织人员予以解决，相关费用由乙方承担。如乙方未能完成上述约定的质保义务，甲方可自行委托第三方进行维护，所产生的全部费用和损失由乙方承担。</w:t>
      </w:r>
    </w:p>
    <w:p>
      <w:pPr>
        <w:pStyle w:val="null3"/>
        <w:ind w:left="420"/>
        <w:jc w:val="both"/>
        <w:outlineLvl w:val="0"/>
      </w:pPr>
      <w:r>
        <w:rPr>
          <w:sz w:val="21"/>
          <w:b/>
          <w:color w:val="000000"/>
        </w:rPr>
        <w:t>11.</w:t>
      </w:r>
      <w:r>
        <w:rPr>
          <w:sz w:val="21"/>
          <w:b/>
          <w:color w:val="000000"/>
        </w:rPr>
        <w:t>项目管理要求</w:t>
      </w:r>
    </w:p>
    <w:p>
      <w:pPr>
        <w:pStyle w:val="null3"/>
        <w:ind w:firstLine="420"/>
        <w:jc w:val="both"/>
      </w:pPr>
      <w:r>
        <w:rPr>
          <w:sz w:val="21"/>
          <w:color w:val="000000"/>
        </w:rPr>
        <w:t>11.1.甲方为服务项目业主方，用户方根据项目实际情况由甲方指定，用户方有参与对乙方相关服务管理、评价的权利。乙方应及时响应甲方和用户方的服务要求。</w:t>
      </w:r>
    </w:p>
    <w:p>
      <w:pPr>
        <w:pStyle w:val="null3"/>
        <w:ind w:firstLine="420"/>
        <w:jc w:val="both"/>
      </w:pPr>
      <w:r>
        <w:rPr>
          <w:sz w:val="21"/>
          <w:color w:val="000000"/>
        </w:rPr>
        <w:t>11.2.甲方有权随时自己或委托监理单位检查乙方的服务是否符合本合同的要求。</w:t>
      </w:r>
    </w:p>
    <w:p>
      <w:pPr>
        <w:pStyle w:val="null3"/>
        <w:ind w:firstLine="420"/>
        <w:jc w:val="both"/>
      </w:pPr>
      <w:r>
        <w:rPr>
          <w:sz w:val="21"/>
          <w:color w:val="000000"/>
        </w:rPr>
        <w:t>（1）若发现任何部分不符合要求，甲方有权通知乙方，指出不符合规定之处。</w:t>
      </w:r>
    </w:p>
    <w:p>
      <w:pPr>
        <w:pStyle w:val="null3"/>
        <w:ind w:firstLine="420"/>
        <w:jc w:val="both"/>
      </w:pPr>
      <w:r>
        <w:rPr>
          <w:sz w:val="21"/>
          <w:color w:val="000000"/>
        </w:rPr>
        <w:t>（2）若乙方对甲方根据上述第（1）款所发出的通知有异议，则须于接到甲方通知后的七日内将其异议及理由书面告知甲方，否则应提出整改方案和措施报甲方批准后对服务进行整改。甲方与乙方须尽合理努力以求解决此项事宜。若该问题在乙方收到甲方通知后十四日内不能得到解决，则依据争议解决程序就该事宜进行解决。</w:t>
      </w:r>
    </w:p>
    <w:p>
      <w:pPr>
        <w:pStyle w:val="null3"/>
        <w:ind w:firstLine="420"/>
        <w:jc w:val="both"/>
      </w:pPr>
      <w:r>
        <w:rPr>
          <w:sz w:val="21"/>
          <w:color w:val="000000"/>
        </w:rPr>
        <w:t>11.3.甲方是否监督、检验本项目均不能减免乙方在本合同下的任何义务、责任。</w:t>
      </w:r>
    </w:p>
    <w:p>
      <w:pPr>
        <w:pStyle w:val="null3"/>
        <w:ind w:left="420"/>
        <w:jc w:val="both"/>
        <w:outlineLvl w:val="0"/>
      </w:pPr>
      <w:r>
        <w:rPr>
          <w:sz w:val="21"/>
          <w:b/>
          <w:color w:val="000000"/>
        </w:rPr>
        <w:t>12.</w:t>
      </w:r>
      <w:r>
        <w:rPr>
          <w:sz w:val="21"/>
          <w:b/>
          <w:color w:val="000000"/>
        </w:rPr>
        <w:t>项目变更</w:t>
      </w:r>
    </w:p>
    <w:p>
      <w:pPr>
        <w:pStyle w:val="null3"/>
        <w:ind w:firstLine="420"/>
        <w:jc w:val="both"/>
      </w:pPr>
      <w:r>
        <w:rPr>
          <w:sz w:val="21"/>
          <w:color w:val="000000"/>
        </w:rPr>
        <w:t>甲方、乙方均可提出变更请求。项目变更时为确保效率，如无涉及项目合同金额变动且甲方认为没有必要的情形，服务项目可按照双方书面确认的往来文件立即实施。如涉及项目合同金额变动或甲方认为有必要的情形，乙方必须按甲方要求完成变更申请流程工作后由双方签订补充协议。</w:t>
      </w:r>
    </w:p>
    <w:p>
      <w:pPr>
        <w:pStyle w:val="null3"/>
        <w:ind w:left="570"/>
        <w:jc w:val="both"/>
        <w:outlineLvl w:val="0"/>
      </w:pPr>
      <w:r>
        <w:rPr>
          <w:sz w:val="21"/>
          <w:b/>
          <w:color w:val="000000"/>
        </w:rPr>
        <w:t>12.1.</w:t>
      </w:r>
      <w:r>
        <w:rPr>
          <w:sz w:val="21"/>
          <w:b/>
          <w:color w:val="000000"/>
        </w:rPr>
        <w:t>甲方要求的变更</w:t>
      </w:r>
    </w:p>
    <w:p>
      <w:pPr>
        <w:pStyle w:val="null3"/>
        <w:ind w:left="570"/>
        <w:jc w:val="both"/>
        <w:outlineLvl w:val="0"/>
      </w:pPr>
      <w:r>
        <w:rPr>
          <w:sz w:val="21"/>
          <w:b/>
          <w:color w:val="000000"/>
        </w:rPr>
        <w:t>12.1.</w:t>
      </w:r>
      <w:r>
        <w:rPr>
          <w:sz w:val="21"/>
          <w:b/>
          <w:color w:val="000000"/>
        </w:rPr>
        <w:t>1</w:t>
      </w:r>
      <w:r>
        <w:rPr>
          <w:sz w:val="21"/>
          <w:b/>
          <w:color w:val="000000"/>
        </w:rPr>
        <w:t>甲方的变更通知</w:t>
      </w:r>
    </w:p>
    <w:p>
      <w:pPr>
        <w:pStyle w:val="null3"/>
        <w:ind w:firstLine="420"/>
        <w:jc w:val="both"/>
      </w:pPr>
      <w:r>
        <w:rPr>
          <w:sz w:val="21"/>
          <w:color w:val="000000"/>
        </w:rPr>
        <w:t>甲方认为需要对服务要求进行变更，应书面通知乙方。</w:t>
      </w:r>
    </w:p>
    <w:p>
      <w:pPr>
        <w:pStyle w:val="null3"/>
        <w:ind w:left="570"/>
        <w:jc w:val="both"/>
        <w:outlineLvl w:val="0"/>
      </w:pPr>
      <w:r>
        <w:rPr>
          <w:sz w:val="21"/>
          <w:b/>
          <w:color w:val="000000"/>
        </w:rPr>
        <w:t>12.1.</w:t>
      </w:r>
      <w:r>
        <w:rPr>
          <w:sz w:val="21"/>
          <w:b/>
          <w:color w:val="000000"/>
        </w:rPr>
        <w:t>2</w:t>
      </w:r>
      <w:r>
        <w:rPr>
          <w:sz w:val="21"/>
          <w:b/>
          <w:color w:val="000000"/>
        </w:rPr>
        <w:t>乙方对变更的回复</w:t>
      </w:r>
    </w:p>
    <w:p>
      <w:pPr>
        <w:pStyle w:val="null3"/>
        <w:ind w:firstLine="420"/>
        <w:jc w:val="both"/>
      </w:pPr>
      <w:r>
        <w:rPr>
          <w:sz w:val="21"/>
          <w:color w:val="000000"/>
        </w:rPr>
        <w:t>乙方在收到甲方要求变更的通知后的七日（或甲方同意的延长期限）内，须就变更向甲方作出书面答复。如果乙方未按规定的时间回复，则视为乙方已接受了变更。</w:t>
      </w:r>
    </w:p>
    <w:p>
      <w:pPr>
        <w:pStyle w:val="null3"/>
        <w:ind w:left="570"/>
        <w:jc w:val="both"/>
        <w:outlineLvl w:val="0"/>
      </w:pPr>
      <w:r>
        <w:rPr>
          <w:sz w:val="21"/>
          <w:b/>
          <w:color w:val="000000"/>
        </w:rPr>
        <w:t>12.1.</w:t>
      </w:r>
      <w:r>
        <w:rPr>
          <w:sz w:val="21"/>
          <w:b/>
          <w:color w:val="000000"/>
        </w:rPr>
        <w:t>3</w:t>
      </w:r>
      <w:r>
        <w:rPr>
          <w:sz w:val="21"/>
          <w:b/>
          <w:color w:val="000000"/>
        </w:rPr>
        <w:t>甲方的答复</w:t>
      </w:r>
    </w:p>
    <w:p>
      <w:pPr>
        <w:pStyle w:val="null3"/>
        <w:ind w:firstLine="420"/>
        <w:jc w:val="both"/>
      </w:pPr>
      <w:r>
        <w:rPr>
          <w:sz w:val="21"/>
          <w:color w:val="000000"/>
        </w:rPr>
        <w:t>在收到乙方对变更的回复后七日内，甲方须以书面方式确认乙方对变更的回复中所包含的事项，若甲方以书面形式表明不同意乙方对变更的回复，并列明不同意的具体事由，在此情况下，该变更将依照争议解决程序的规定进行解决。</w:t>
      </w:r>
    </w:p>
    <w:p>
      <w:pPr>
        <w:pStyle w:val="null3"/>
        <w:ind w:left="570"/>
        <w:jc w:val="both"/>
        <w:outlineLvl w:val="0"/>
      </w:pPr>
      <w:r>
        <w:rPr>
          <w:sz w:val="21"/>
          <w:b/>
          <w:color w:val="000000"/>
        </w:rPr>
        <w:t>12.2.</w:t>
      </w:r>
      <w:r>
        <w:rPr>
          <w:sz w:val="21"/>
          <w:b/>
          <w:color w:val="000000"/>
        </w:rPr>
        <w:t>乙方要求的变更</w:t>
      </w:r>
    </w:p>
    <w:p>
      <w:pPr>
        <w:pStyle w:val="null3"/>
        <w:ind w:left="705"/>
        <w:jc w:val="both"/>
        <w:outlineLvl w:val="0"/>
      </w:pPr>
      <w:r>
        <w:rPr>
          <w:sz w:val="21"/>
          <w:b/>
          <w:color w:val="000000"/>
        </w:rPr>
        <w:t>12.2.1.</w:t>
      </w:r>
      <w:r>
        <w:rPr>
          <w:sz w:val="21"/>
          <w:b/>
          <w:color w:val="000000"/>
        </w:rPr>
        <w:t>乙方的变更通知</w:t>
      </w:r>
    </w:p>
    <w:p>
      <w:pPr>
        <w:pStyle w:val="null3"/>
        <w:ind w:firstLine="420"/>
        <w:jc w:val="both"/>
      </w:pPr>
      <w:r>
        <w:rPr>
          <w:sz w:val="21"/>
          <w:color w:val="000000"/>
        </w:rPr>
        <w:t>乙方在本合同履行期间，认为需要对服务实施进行变更（但乙方提出的变更要求，必须是出于优化方案、节省开支等合理或经济性考虑），应书面通知甲方并经甲方书面同意后方可实施，否则不得变更。</w:t>
      </w:r>
    </w:p>
    <w:p>
      <w:pPr>
        <w:pStyle w:val="null3"/>
        <w:ind w:left="705"/>
        <w:jc w:val="both"/>
        <w:outlineLvl w:val="0"/>
      </w:pPr>
      <w:r>
        <w:rPr>
          <w:sz w:val="21"/>
          <w:b/>
          <w:color w:val="000000"/>
        </w:rPr>
        <w:t>12.2.2.</w:t>
      </w:r>
      <w:r>
        <w:rPr>
          <w:sz w:val="21"/>
          <w:b/>
          <w:color w:val="000000"/>
        </w:rPr>
        <w:t>甲方的回复</w:t>
      </w:r>
    </w:p>
    <w:p>
      <w:pPr>
        <w:pStyle w:val="null3"/>
        <w:ind w:firstLine="420"/>
        <w:jc w:val="both"/>
      </w:pPr>
      <w:r>
        <w:rPr>
          <w:sz w:val="21"/>
          <w:color w:val="000000"/>
        </w:rPr>
        <w:t>甲方在收到乙方要求变更的通知后的十个工作日内，须就变更向乙方作出书面回复，否则视为不同意。</w:t>
      </w:r>
    </w:p>
    <w:p>
      <w:pPr>
        <w:pStyle w:val="null3"/>
        <w:ind w:left="705"/>
        <w:jc w:val="both"/>
        <w:outlineLvl w:val="0"/>
      </w:pPr>
      <w:r>
        <w:rPr>
          <w:sz w:val="21"/>
          <w:b/>
          <w:color w:val="000000"/>
        </w:rPr>
        <w:t>12.2.3.</w:t>
      </w:r>
      <w:r>
        <w:rPr>
          <w:sz w:val="21"/>
          <w:b/>
          <w:color w:val="000000"/>
        </w:rPr>
        <w:t>乙方要求的变更的实施</w:t>
      </w:r>
    </w:p>
    <w:p>
      <w:pPr>
        <w:pStyle w:val="null3"/>
        <w:ind w:firstLine="420"/>
        <w:jc w:val="both"/>
      </w:pPr>
      <w:r>
        <w:rPr>
          <w:sz w:val="21"/>
          <w:color w:val="000000"/>
        </w:rPr>
        <w:t>当甲方书面同意乙方要求的变更时，本合同应视为在当日作出了变更，双方须遵守其各自在变更后的本合同项下的义务。当甲方不同意乙方要求的变更时，双方按原约定执行。</w:t>
      </w:r>
    </w:p>
    <w:p>
      <w:pPr>
        <w:pStyle w:val="null3"/>
        <w:ind w:left="570"/>
        <w:jc w:val="both"/>
        <w:outlineLvl w:val="0"/>
      </w:pPr>
      <w:r>
        <w:rPr>
          <w:sz w:val="21"/>
          <w:b/>
          <w:color w:val="000000"/>
        </w:rPr>
        <w:t>12.3.</w:t>
      </w:r>
      <w:r>
        <w:rPr>
          <w:sz w:val="21"/>
          <w:b/>
          <w:color w:val="000000"/>
        </w:rPr>
        <w:t>变更的实施</w:t>
      </w:r>
    </w:p>
    <w:p>
      <w:pPr>
        <w:pStyle w:val="null3"/>
        <w:ind w:firstLine="420"/>
        <w:jc w:val="both"/>
      </w:pPr>
      <w:r>
        <w:rPr>
          <w:sz w:val="21"/>
          <w:color w:val="000000"/>
        </w:rPr>
        <w:t>在变更被甲方确认之后：本合同被视为在甲方确认当日作出了变更，且甲方与乙方须遵守在变更后的本合同项下所应承担的义务；乙方须按甲方变更通知所要求的方式或前述争议解决结果，实施该项变更；除本合同另有明确约定外，甲方的变更引起的工作量增减的，增减工作量由乙方提出，报经甲方审核通过后，由乙方负责实施。</w:t>
      </w:r>
    </w:p>
    <w:p>
      <w:pPr>
        <w:pStyle w:val="null3"/>
        <w:ind w:left="570"/>
        <w:jc w:val="both"/>
        <w:outlineLvl w:val="0"/>
      </w:pPr>
      <w:r>
        <w:rPr>
          <w:sz w:val="21"/>
          <w:b/>
          <w:color w:val="000000"/>
        </w:rPr>
        <w:t>12.4.</w:t>
      </w:r>
      <w:r>
        <w:rPr>
          <w:sz w:val="21"/>
          <w:b/>
          <w:color w:val="000000"/>
        </w:rPr>
        <w:t>减轻损失的义务</w:t>
      </w:r>
    </w:p>
    <w:p>
      <w:pPr>
        <w:pStyle w:val="null3"/>
        <w:ind w:firstLine="420"/>
        <w:jc w:val="both"/>
      </w:pPr>
      <w:r>
        <w:rPr>
          <w:sz w:val="21"/>
          <w:color w:val="000000"/>
        </w:rPr>
        <w:t>12.4.1.乙方应始终尽一切合理的努力，以减轻或降低乙方和甲方因变更而花费的支出和发生的损失。</w:t>
      </w:r>
    </w:p>
    <w:p>
      <w:pPr>
        <w:pStyle w:val="null3"/>
        <w:ind w:firstLine="420"/>
        <w:jc w:val="both"/>
      </w:pPr>
      <w:r>
        <w:rPr>
          <w:sz w:val="21"/>
          <w:color w:val="000000"/>
        </w:rPr>
        <w:t>12.4.2.因变更所致的延误。因甲方要求的变更而导致竣工验收日的迟延，乙方有权向甲方申请给予相应的宽展期，经甲方盖章确认后生效。</w:t>
      </w:r>
    </w:p>
    <w:p>
      <w:pPr>
        <w:pStyle w:val="null3"/>
        <w:ind w:left="420"/>
        <w:jc w:val="both"/>
        <w:outlineLvl w:val="0"/>
      </w:pPr>
      <w:r>
        <w:rPr>
          <w:sz w:val="21"/>
          <w:b/>
          <w:color w:val="000000"/>
        </w:rPr>
        <w:t>13.</w:t>
      </w:r>
      <w:r>
        <w:rPr>
          <w:sz w:val="21"/>
          <w:b/>
          <w:color w:val="000000"/>
        </w:rPr>
        <w:t>服务验收</w:t>
      </w:r>
    </w:p>
    <w:p>
      <w:pPr>
        <w:pStyle w:val="null3"/>
        <w:ind w:firstLine="420"/>
        <w:jc w:val="both"/>
      </w:pPr>
      <w:r>
        <w:rPr>
          <w:sz w:val="21"/>
          <w:color w:val="000000"/>
        </w:rPr>
        <w:t>乙方应按本合同约定及时申请验收，甲方收到乙方验收申请后，应及时审核，并在审核通过后按本合同约定及时组织验收，并出具验收报告。详细要求以附件2验收要求为准。</w:t>
      </w:r>
    </w:p>
    <w:p>
      <w:pPr>
        <w:pStyle w:val="null3"/>
        <w:ind w:firstLine="422"/>
        <w:jc w:val="center"/>
      </w:pPr>
      <w:r>
        <w:rPr>
          <w:sz w:val="21"/>
          <w:b/>
          <w:color w:val="000000"/>
        </w:rPr>
        <w:t>第五章合同金额与结算方式</w:t>
      </w:r>
    </w:p>
    <w:p>
      <w:pPr>
        <w:pStyle w:val="null3"/>
        <w:ind w:left="420"/>
        <w:jc w:val="both"/>
        <w:outlineLvl w:val="0"/>
      </w:pPr>
      <w:r>
        <w:rPr>
          <w:sz w:val="21"/>
          <w:b/>
          <w:color w:val="000000"/>
        </w:rPr>
        <w:t>14.</w:t>
      </w:r>
      <w:r>
        <w:rPr>
          <w:sz w:val="21"/>
          <w:b/>
          <w:color w:val="000000"/>
        </w:rPr>
        <w:t>合同金额</w:t>
      </w:r>
    </w:p>
    <w:p>
      <w:pPr>
        <w:pStyle w:val="null3"/>
        <w:ind w:firstLine="420"/>
        <w:jc w:val="both"/>
      </w:pPr>
      <w:r>
        <w:rPr>
          <w:sz w:val="21"/>
          <w:color w:val="000000"/>
        </w:rPr>
        <w:t>合同总金额为（大写）：人民币</w:t>
      </w:r>
      <w:r>
        <w:rPr>
          <w:sz w:val="21"/>
          <w:u w:val="single"/>
        </w:rPr>
        <w:t xml:space="preserve">                       </w:t>
      </w:r>
      <w:r>
        <w:rPr>
          <w:sz w:val="21"/>
          <w:color w:val="000000"/>
        </w:rPr>
        <w:t>元整（¥</w:t>
      </w:r>
      <w:r>
        <w:rPr>
          <w:sz w:val="21"/>
          <w:u w:val="single"/>
        </w:rPr>
        <w:t xml:space="preserve">              </w:t>
      </w:r>
      <w:r>
        <w:rPr>
          <w:sz w:val="21"/>
          <w:color w:val="000000"/>
        </w:rPr>
        <w:t>元），</w:t>
      </w:r>
      <w:r>
        <w:rPr>
          <w:sz w:val="21"/>
          <w:color w:val="000000"/>
        </w:rPr>
        <w:t>其中涉及软件开发服务金额为</w:t>
      </w:r>
      <w:r>
        <w:rPr>
          <w:sz w:val="21"/>
          <w:color w:val="000000"/>
        </w:rPr>
        <w:t>人民币</w:t>
      </w:r>
      <w:r>
        <w:rPr>
          <w:sz w:val="21"/>
          <w:u w:val="single"/>
        </w:rPr>
        <w:t xml:space="preserve">                       </w:t>
      </w:r>
      <w:r>
        <w:rPr>
          <w:sz w:val="21"/>
          <w:color w:val="000000"/>
        </w:rPr>
        <w:t>元整（¥</w:t>
      </w:r>
      <w:r>
        <w:rPr>
          <w:sz w:val="21"/>
          <w:u w:val="single"/>
        </w:rPr>
        <w:t xml:space="preserve">              </w:t>
      </w:r>
      <w:r>
        <w:rPr>
          <w:sz w:val="21"/>
          <w:color w:val="000000"/>
        </w:rPr>
        <w:t>元）</w:t>
      </w:r>
      <w:r>
        <w:rPr>
          <w:sz w:val="21"/>
          <w:color w:val="000000"/>
        </w:rPr>
        <w:t>，</w:t>
      </w:r>
      <w:r>
        <w:rPr>
          <w:sz w:val="21"/>
          <w:color w:val="000000"/>
        </w:rPr>
        <w:t>基础设施服务金额为</w:t>
      </w:r>
      <w:r>
        <w:rPr>
          <w:sz w:val="21"/>
          <w:color w:val="000000"/>
        </w:rPr>
        <w:t>人民币</w:t>
      </w:r>
      <w:r>
        <w:rPr>
          <w:sz w:val="21"/>
          <w:u w:val="single"/>
        </w:rPr>
        <w:t xml:space="preserve">                       </w:t>
      </w:r>
      <w:r>
        <w:rPr>
          <w:sz w:val="21"/>
          <w:color w:val="000000"/>
        </w:rPr>
        <w:t>元整（¥</w:t>
      </w:r>
      <w:r>
        <w:rPr>
          <w:sz w:val="21"/>
          <w:u w:val="single"/>
        </w:rPr>
        <w:t xml:space="preserve">              </w:t>
      </w:r>
      <w:r>
        <w:rPr>
          <w:sz w:val="21"/>
          <w:color w:val="000000"/>
        </w:rPr>
        <w:t>元）</w:t>
      </w:r>
      <w:r>
        <w:rPr>
          <w:sz w:val="21"/>
          <w:color w:val="000000"/>
        </w:rPr>
        <w:t>，</w:t>
      </w:r>
      <w:r>
        <w:rPr>
          <w:sz w:val="21"/>
          <w:color w:val="000000"/>
        </w:rPr>
        <w:t>运行维护服务金额为</w:t>
      </w:r>
      <w:r>
        <w:rPr>
          <w:sz w:val="21"/>
          <w:color w:val="000000"/>
        </w:rPr>
        <w:t>人民币</w:t>
      </w:r>
      <w:r>
        <w:rPr>
          <w:sz w:val="21"/>
          <w:u w:val="single"/>
        </w:rPr>
        <w:t xml:space="preserve">                       </w:t>
      </w:r>
      <w:r>
        <w:rPr>
          <w:sz w:val="21"/>
          <w:color w:val="000000"/>
        </w:rPr>
        <w:t>元整（¥</w:t>
      </w:r>
      <w:r>
        <w:rPr>
          <w:sz w:val="21"/>
          <w:u w:val="single"/>
        </w:rPr>
        <w:t xml:space="preserve">              </w:t>
      </w:r>
      <w:r>
        <w:rPr>
          <w:sz w:val="21"/>
          <w:color w:val="000000"/>
        </w:rPr>
        <w:t>元）</w:t>
      </w:r>
      <w:r>
        <w:rPr>
          <w:sz w:val="21"/>
          <w:color w:val="000000"/>
        </w:rPr>
        <w:t>，</w:t>
      </w:r>
      <w:r>
        <w:rPr>
          <w:sz w:val="21"/>
          <w:color w:val="000000"/>
        </w:rPr>
        <w:t>本合同总金额为乙方按照合同约定完成合同全部义务后所适用的含税总价格。</w:t>
      </w:r>
    </w:p>
    <w:p>
      <w:pPr>
        <w:pStyle w:val="null3"/>
        <w:ind w:left="420"/>
        <w:jc w:val="both"/>
        <w:outlineLvl w:val="0"/>
      </w:pPr>
      <w:r>
        <w:rPr>
          <w:sz w:val="21"/>
          <w:b/>
          <w:color w:val="000000"/>
        </w:rPr>
        <w:t>15.</w:t>
      </w:r>
      <w:r>
        <w:rPr>
          <w:sz w:val="21"/>
          <w:b/>
          <w:color w:val="000000"/>
        </w:rPr>
        <w:t>结算方式</w:t>
      </w:r>
    </w:p>
    <w:p>
      <w:pPr>
        <w:pStyle w:val="null3"/>
        <w:ind w:left="570"/>
        <w:jc w:val="both"/>
        <w:outlineLvl w:val="0"/>
      </w:pPr>
      <w:r>
        <w:rPr>
          <w:sz w:val="21"/>
          <w:b/>
          <w:color w:val="000000"/>
        </w:rPr>
        <w:t>15.1.</w:t>
      </w:r>
      <w:r>
        <w:rPr>
          <w:sz w:val="21"/>
          <w:b/>
          <w:color w:val="000000"/>
        </w:rPr>
        <w:t>费用结算方式</w:t>
      </w:r>
    </w:p>
    <w:p>
      <w:pPr>
        <w:pStyle w:val="null3"/>
        <w:ind w:firstLine="420"/>
        <w:jc w:val="both"/>
      </w:pPr>
      <w:r>
        <w:rPr>
          <w:sz w:val="21"/>
          <w:color w:val="000000"/>
        </w:rPr>
        <w:t>15.1.1.合同款由甲方分期支付给乙方，原则上合同约定的资金支付条件与验收成果挂钩，具体支付方式和时间如下：</w:t>
      </w:r>
    </w:p>
    <w:p>
      <w:pPr>
        <w:pStyle w:val="null3"/>
        <w:ind w:firstLine="424"/>
        <w:jc w:val="both"/>
      </w:pPr>
      <w:r>
        <w:rPr>
          <w:sz w:val="21"/>
          <w:color w:val="000000"/>
        </w:rPr>
        <w:t xml:space="preserve">（1）首期款：签订合同后 </w:t>
      </w:r>
      <w:r>
        <w:rPr>
          <w:sz w:val="21"/>
          <w:u w:val="single"/>
        </w:rPr>
        <w:t xml:space="preserve">       </w:t>
      </w:r>
      <w:r>
        <w:rPr>
          <w:sz w:val="21"/>
          <w:color w:val="000000"/>
        </w:rPr>
        <w:t>个工作日内，乙方书面提出支付申请函及与拟支付金额等额的符合甲方财务管理要求的相应发票，甲方确认后启动首期款支付流程，支付人民币</w:t>
      </w:r>
      <w:r>
        <w:rPr>
          <w:sz w:val="21"/>
          <w:u w:val="single"/>
        </w:rPr>
        <w:t xml:space="preserve">               </w:t>
      </w:r>
      <w:r>
        <w:rPr>
          <w:sz w:val="21"/>
          <w:color w:val="000000"/>
        </w:rPr>
        <w:t>元整（¥</w:t>
      </w:r>
      <w:r>
        <w:rPr>
          <w:sz w:val="21"/>
          <w:u w:val="single"/>
        </w:rPr>
        <w:t xml:space="preserve">             </w:t>
      </w:r>
      <w:r>
        <w:rPr>
          <w:sz w:val="21"/>
          <w:color w:val="000000"/>
        </w:rPr>
        <w:t>元）。所对应的各项服务首期款金额明细如下：</w:t>
      </w:r>
    </w:p>
    <w:tbl>
      <w:tblPr>
        <w:tblW w:w="0" w:type="auto"/>
        <w:tblBorders>
          <w:top w:val="none" w:color="000000" w:sz="4"/>
          <w:left w:val="none" w:color="000000" w:sz="4"/>
          <w:bottom w:val="none" w:color="000000" w:sz="4"/>
          <w:right w:val="none" w:color="000000" w:sz="4"/>
          <w:insideH w:val="none"/>
          <w:insideV w:val="none"/>
        </w:tblBorders>
      </w:tblPr>
      <w:tblGrid>
        <w:gridCol w:w="935"/>
        <w:gridCol w:w="5805"/>
        <w:gridCol w:w="1535"/>
      </w:tblGrid>
      <w:tr>
        <w:tc>
          <w:tcPr>
            <w:tcW w:type="dxa" w:w="9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5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服务类型</w:t>
            </w:r>
          </w:p>
        </w:tc>
        <w:tc>
          <w:tcPr>
            <w:tcW w:type="dxa" w:w="15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金额（元）</w:t>
            </w: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软件开发服务</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基础设施服务</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35"/>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80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color w:val="000000"/>
              </w:rPr>
              <w:t>运行维护</w:t>
            </w:r>
            <w:r>
              <w:rPr>
                <w:sz w:val="21"/>
                <w:color w:val="000000"/>
              </w:rPr>
              <w:t>服务</w:t>
            </w:r>
          </w:p>
        </w:tc>
        <w:tc>
          <w:tcPr>
            <w:tcW w:type="dxa" w:w="153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5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color w:val="000000"/>
        </w:rPr>
        <w:t>（2）进度款：本项目经甲方交付验收通过后</w:t>
      </w:r>
      <w:r>
        <w:rPr>
          <w:sz w:val="21"/>
          <w:u w:val="single"/>
        </w:rPr>
        <w:t xml:space="preserve">  </w:t>
      </w:r>
      <w:r>
        <w:rPr>
          <w:sz w:val="21"/>
          <w:color w:val="000000"/>
        </w:rPr>
        <w:t>个工作日内，</w:t>
      </w:r>
      <w:r>
        <w:rPr>
          <w:sz w:val="21"/>
          <w:color w:val="000000"/>
        </w:rPr>
        <w:t>甲方</w:t>
      </w:r>
      <w:r>
        <w:rPr>
          <w:sz w:val="21"/>
          <w:color w:val="000000"/>
        </w:rPr>
        <w:t>根据考核情况对</w:t>
      </w:r>
      <w:r>
        <w:rPr>
          <w:sz w:val="21"/>
          <w:color w:val="000000"/>
        </w:rPr>
        <w:t>乙方</w:t>
      </w:r>
      <w:r>
        <w:rPr>
          <w:sz w:val="21"/>
          <w:color w:val="000000"/>
        </w:rPr>
        <w:t>的服务质量打分，并根据评价结果确定项目</w:t>
      </w:r>
      <w:r>
        <w:rPr>
          <w:sz w:val="21"/>
          <w:color w:val="000000"/>
        </w:rPr>
        <w:t>进度款</w:t>
      </w:r>
      <w:r>
        <w:rPr>
          <w:sz w:val="21"/>
          <w:color w:val="000000"/>
        </w:rPr>
        <w:t>支付金额。</w:t>
      </w:r>
      <w:r>
        <w:rPr>
          <w:sz w:val="21"/>
          <w:color w:val="000000"/>
        </w:rPr>
        <w:t>乙方书面提出支付申请函及与拟支付金额等额的符合甲方财务管理要求的相应发票，甲方确认后启动进度款支付流程，支付人民币</w:t>
      </w:r>
      <w:r>
        <w:rPr>
          <w:sz w:val="21"/>
          <w:color w:val="000000"/>
        </w:rPr>
        <w:t>不超过</w:t>
      </w:r>
      <w:r>
        <w:rPr>
          <w:sz w:val="21"/>
          <w:u w:val="single"/>
        </w:rPr>
        <w:t xml:space="preserve">               </w:t>
      </w:r>
      <w:r>
        <w:rPr>
          <w:sz w:val="21"/>
          <w:color w:val="000000"/>
        </w:rPr>
        <w:t>元整（¥</w:t>
      </w:r>
      <w:r>
        <w:rPr>
          <w:sz w:val="21"/>
          <w:u w:val="single"/>
        </w:rPr>
        <w:t xml:space="preserve">               </w:t>
      </w:r>
      <w:r>
        <w:rPr>
          <w:sz w:val="21"/>
          <w:color w:val="000000"/>
        </w:rPr>
        <w:t>元）。所对应的各项服务进度款金额明细如下：</w:t>
      </w:r>
    </w:p>
    <w:tbl>
      <w:tblPr>
        <w:tblW w:w="0" w:type="auto"/>
        <w:tblBorders>
          <w:top w:val="none" w:color="000000" w:sz="4"/>
          <w:left w:val="none" w:color="000000" w:sz="4"/>
          <w:bottom w:val="none" w:color="000000" w:sz="4"/>
          <w:right w:val="none" w:color="000000" w:sz="4"/>
          <w:insideH w:val="none"/>
          <w:insideV w:val="none"/>
        </w:tblBorders>
      </w:tblPr>
      <w:tblGrid>
        <w:gridCol w:w="935"/>
        <w:gridCol w:w="5805"/>
        <w:gridCol w:w="1535"/>
      </w:tblGrid>
      <w:tr>
        <w:tc>
          <w:tcPr>
            <w:tcW w:type="dxa" w:w="9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5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服务类型</w:t>
            </w:r>
          </w:p>
        </w:tc>
        <w:tc>
          <w:tcPr>
            <w:tcW w:type="dxa" w:w="15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金额（元）</w:t>
            </w: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软件开发服务</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基础设施服务</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35"/>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80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color w:val="000000"/>
              </w:rPr>
              <w:t>运行维护</w:t>
            </w:r>
            <w:r>
              <w:rPr>
                <w:sz w:val="21"/>
                <w:color w:val="000000"/>
              </w:rPr>
              <w:t>服务</w:t>
            </w:r>
          </w:p>
        </w:tc>
        <w:tc>
          <w:tcPr>
            <w:tcW w:type="dxa" w:w="153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5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color w:val="000000"/>
        </w:rPr>
        <w:t>（3）尾款：本项目经甲方最终验收通过后</w:t>
      </w:r>
      <w:r>
        <w:rPr>
          <w:sz w:val="21"/>
          <w:u w:val="single"/>
        </w:rPr>
        <w:t xml:space="preserve">  </w:t>
      </w:r>
      <w:r>
        <w:rPr>
          <w:sz w:val="21"/>
          <w:color w:val="000000"/>
        </w:rPr>
        <w:t>个工作日内，</w:t>
      </w:r>
      <w:r>
        <w:rPr>
          <w:sz w:val="21"/>
          <w:color w:val="000000"/>
        </w:rPr>
        <w:t>甲方</w:t>
      </w:r>
      <w:r>
        <w:rPr>
          <w:sz w:val="21"/>
          <w:color w:val="000000"/>
        </w:rPr>
        <w:t>根据考核情况对</w:t>
      </w:r>
      <w:r>
        <w:rPr>
          <w:sz w:val="21"/>
          <w:color w:val="000000"/>
        </w:rPr>
        <w:t>乙方</w:t>
      </w:r>
      <w:r>
        <w:rPr>
          <w:sz w:val="21"/>
          <w:color w:val="000000"/>
        </w:rPr>
        <w:t>的服务质量打分，并根据评价结果确定项目</w:t>
      </w:r>
      <w:r>
        <w:rPr>
          <w:sz w:val="21"/>
          <w:color w:val="000000"/>
        </w:rPr>
        <w:t>尾款</w:t>
      </w:r>
      <w:r>
        <w:rPr>
          <w:sz w:val="21"/>
          <w:color w:val="000000"/>
        </w:rPr>
        <w:t>支付金额。</w:t>
      </w:r>
      <w:r>
        <w:rPr>
          <w:sz w:val="21"/>
          <w:color w:val="000000"/>
        </w:rPr>
        <w:t>乙方书面提出支付申请函及与拟支付金额等额的符合甲方财务管理要求的相应发票，甲方确认后启动尾款支付流程，支付人民币</w:t>
      </w:r>
      <w:r>
        <w:rPr>
          <w:sz w:val="21"/>
          <w:color w:val="000000"/>
        </w:rPr>
        <w:t>不超过</w:t>
      </w:r>
      <w:r>
        <w:rPr>
          <w:sz w:val="21"/>
          <w:u w:val="single"/>
        </w:rPr>
        <w:t xml:space="preserve">               </w:t>
      </w:r>
      <w:r>
        <w:rPr>
          <w:sz w:val="21"/>
          <w:color w:val="000000"/>
        </w:rPr>
        <w:t>元整（¥</w:t>
      </w:r>
      <w:r>
        <w:rPr>
          <w:sz w:val="21"/>
          <w:u w:val="single"/>
        </w:rPr>
        <w:t xml:space="preserve">               </w:t>
      </w:r>
      <w:r>
        <w:rPr>
          <w:sz w:val="21"/>
          <w:color w:val="000000"/>
        </w:rPr>
        <w:t>元）。所对应的各项服务尾款金额明细如下：</w:t>
      </w:r>
    </w:p>
    <w:tbl>
      <w:tblPr>
        <w:tblW w:w="0" w:type="auto"/>
        <w:tblBorders>
          <w:top w:val="none" w:color="000000" w:sz="4"/>
          <w:left w:val="none" w:color="000000" w:sz="4"/>
          <w:bottom w:val="none" w:color="000000" w:sz="4"/>
          <w:right w:val="none" w:color="000000" w:sz="4"/>
          <w:insideH w:val="none"/>
          <w:insideV w:val="none"/>
        </w:tblBorders>
      </w:tblPr>
      <w:tblGrid>
        <w:gridCol w:w="935"/>
        <w:gridCol w:w="5805"/>
        <w:gridCol w:w="1535"/>
      </w:tblGrid>
      <w:tr>
        <w:tc>
          <w:tcPr>
            <w:tcW w:type="dxa" w:w="9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5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服务类型</w:t>
            </w:r>
          </w:p>
        </w:tc>
        <w:tc>
          <w:tcPr>
            <w:tcW w:type="dxa" w:w="15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金额（元）</w:t>
            </w: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软件开发服务</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基础设施服务</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35"/>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80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color w:val="000000"/>
              </w:rPr>
              <w:t>运行维护</w:t>
            </w:r>
            <w:r>
              <w:rPr>
                <w:sz w:val="21"/>
                <w:color w:val="000000"/>
              </w:rPr>
              <w:t>服务</w:t>
            </w:r>
          </w:p>
        </w:tc>
        <w:tc>
          <w:tcPr>
            <w:tcW w:type="dxa" w:w="153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5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i/>
          <w:color w:val="000000"/>
        </w:rPr>
        <w:t>（以下支付方式可适用于：运维服务）</w:t>
      </w:r>
    </w:p>
    <w:p>
      <w:pPr>
        <w:pStyle w:val="null3"/>
        <w:ind w:firstLine="424"/>
        <w:jc w:val="both"/>
      </w:pPr>
      <w:r>
        <w:rPr>
          <w:sz w:val="21"/>
          <w:color w:val="000000"/>
        </w:rPr>
        <w:t>（1）首期款：签订合同后</w:t>
      </w:r>
      <w:r>
        <w:rPr>
          <w:sz w:val="21"/>
          <w:u w:val="single"/>
        </w:rPr>
        <w:t xml:space="preserve">  </w:t>
      </w:r>
      <w:r>
        <w:rPr>
          <w:sz w:val="21"/>
          <w:color w:val="000000"/>
        </w:rPr>
        <w:t>个工作日内，乙方书面提出支付申请函及与拟支付金额等额的符合甲方财务管理要求的相应发票，甲方确认后启动首期款支付流程，支付人民币</w:t>
      </w:r>
      <w:r>
        <w:rPr>
          <w:sz w:val="21"/>
          <w:u w:val="single"/>
        </w:rPr>
        <w:t xml:space="preserve">               </w:t>
      </w:r>
      <w:r>
        <w:rPr>
          <w:sz w:val="21"/>
          <w:color w:val="000000"/>
        </w:rPr>
        <w:t>元整（¥</w:t>
      </w:r>
      <w:r>
        <w:rPr>
          <w:sz w:val="21"/>
          <w:u w:val="single"/>
        </w:rPr>
        <w:t xml:space="preserve">               </w:t>
      </w:r>
      <w:r>
        <w:rPr>
          <w:sz w:val="21"/>
          <w:color w:val="000000"/>
        </w:rPr>
        <w:t>元）。</w:t>
      </w:r>
    </w:p>
    <w:p>
      <w:pPr>
        <w:pStyle w:val="null3"/>
        <w:ind w:firstLine="424"/>
        <w:jc w:val="both"/>
      </w:pPr>
      <w:r>
        <w:rPr>
          <w:sz w:val="21"/>
          <w:color w:val="000000"/>
        </w:rPr>
        <w:t>（2）尾款：本项目经甲方最终验收通过后</w:t>
      </w:r>
      <w:r>
        <w:rPr>
          <w:sz w:val="21"/>
          <w:u w:val="single"/>
        </w:rPr>
        <w:t xml:space="preserve">  </w:t>
      </w:r>
      <w:r>
        <w:rPr>
          <w:sz w:val="21"/>
          <w:color w:val="000000"/>
        </w:rPr>
        <w:t>个工作日内，</w:t>
      </w:r>
      <w:r>
        <w:rPr>
          <w:sz w:val="21"/>
          <w:color w:val="000000"/>
        </w:rPr>
        <w:t>甲方</w:t>
      </w:r>
      <w:r>
        <w:rPr>
          <w:sz w:val="21"/>
          <w:color w:val="000000"/>
        </w:rPr>
        <w:t>根据考核情况对</w:t>
      </w:r>
      <w:r>
        <w:rPr>
          <w:sz w:val="21"/>
          <w:color w:val="000000"/>
        </w:rPr>
        <w:t>乙方</w:t>
      </w:r>
      <w:r>
        <w:rPr>
          <w:sz w:val="21"/>
          <w:color w:val="000000"/>
        </w:rPr>
        <w:t>的服务质量打分，并根据评价结果确定项目</w:t>
      </w:r>
      <w:r>
        <w:rPr>
          <w:sz w:val="21"/>
          <w:color w:val="000000"/>
        </w:rPr>
        <w:t>尾款</w:t>
      </w:r>
      <w:r>
        <w:rPr>
          <w:sz w:val="21"/>
          <w:color w:val="000000"/>
        </w:rPr>
        <w:t>支付金额。</w:t>
      </w:r>
      <w:r>
        <w:rPr>
          <w:sz w:val="21"/>
          <w:color w:val="000000"/>
        </w:rPr>
        <w:t>乙方书面提出支付申请函及与拟支付金额等额的符合甲方财务管理要求的相应发票，甲方确认后启动尾款支付流程，支付人民币</w:t>
      </w:r>
      <w:r>
        <w:rPr>
          <w:sz w:val="21"/>
          <w:color w:val="000000"/>
        </w:rPr>
        <w:t>不超过</w:t>
      </w:r>
      <w:r>
        <w:rPr>
          <w:sz w:val="21"/>
          <w:u w:val="single"/>
        </w:rPr>
        <w:t xml:space="preserve">               </w:t>
      </w:r>
      <w:r>
        <w:rPr>
          <w:sz w:val="21"/>
          <w:color w:val="000000"/>
        </w:rPr>
        <w:t>元整（¥</w:t>
      </w:r>
      <w:r>
        <w:rPr>
          <w:sz w:val="21"/>
          <w:u w:val="single"/>
        </w:rPr>
        <w:t xml:space="preserve">               </w:t>
      </w:r>
      <w:r>
        <w:rPr>
          <w:sz w:val="21"/>
          <w:color w:val="000000"/>
        </w:rPr>
        <w:t>元）。</w:t>
      </w:r>
    </w:p>
    <w:p>
      <w:pPr>
        <w:pStyle w:val="null3"/>
        <w:ind w:firstLine="424"/>
        <w:jc w:val="both"/>
      </w:pPr>
      <w:r>
        <w:rPr>
          <w:sz w:val="21"/>
          <w:color w:val="000000"/>
        </w:rPr>
        <w:t>15.1.2. 对于满足合同约定支付条件的，甲方应当自收到发票后10个工作日内将资金支付到合同约定的乙方账户，不得以机构变动、人员更替、政策调整等为由延迟付款，不得将采购文件和合同中未规定的义务作为向乙方付款的条件。</w:t>
      </w:r>
    </w:p>
    <w:p>
      <w:pPr>
        <w:pStyle w:val="null3"/>
        <w:ind w:firstLine="424"/>
        <w:jc w:val="both"/>
      </w:pPr>
      <w:r>
        <w:rPr>
          <w:sz w:val="21"/>
          <w:color w:val="000000"/>
        </w:rPr>
        <w:t>15.1.3.如乙方未按照约定提供上述任一所需文件，则甲方有权顺延付款时间且不承担违约责任，同时乙方应履行义务的期限不予顺延。</w:t>
      </w:r>
    </w:p>
    <w:p>
      <w:pPr>
        <w:pStyle w:val="null3"/>
        <w:ind w:firstLine="424"/>
        <w:jc w:val="both"/>
        <w:outlineLvl w:val="0"/>
      </w:pPr>
      <w:r>
        <w:rPr>
          <w:sz w:val="21"/>
          <w:b/>
          <w:color w:val="000000"/>
        </w:rPr>
        <w:t>15.2.</w:t>
      </w:r>
      <w:r>
        <w:rPr>
          <w:sz w:val="21"/>
          <w:b/>
          <w:color w:val="000000"/>
        </w:rPr>
        <w:t>乙方账号信息</w:t>
      </w:r>
    </w:p>
    <w:p>
      <w:pPr>
        <w:pStyle w:val="null3"/>
        <w:ind w:firstLine="420"/>
        <w:jc w:val="both"/>
      </w:pPr>
      <w:r>
        <w:rPr>
          <w:sz w:val="21"/>
          <w:color w:val="000000"/>
        </w:rPr>
        <w:t>开户名称：</w:t>
      </w:r>
      <w:r>
        <w:rPr>
          <w:sz w:val="21"/>
          <w:u w:val="single"/>
        </w:rPr>
        <w:t xml:space="preserve">                                               </w:t>
      </w:r>
    </w:p>
    <w:p>
      <w:pPr>
        <w:pStyle w:val="null3"/>
        <w:ind w:firstLine="420"/>
        <w:jc w:val="both"/>
      </w:pPr>
      <w:r>
        <w:rPr>
          <w:sz w:val="21"/>
          <w:color w:val="000000"/>
        </w:rPr>
        <w:t>开户银行：</w:t>
      </w:r>
      <w:r>
        <w:rPr>
          <w:sz w:val="21"/>
          <w:u w:val="single"/>
        </w:rPr>
        <w:t xml:space="preserve">                                               </w:t>
      </w:r>
    </w:p>
    <w:p>
      <w:pPr>
        <w:pStyle w:val="null3"/>
        <w:ind w:firstLine="420"/>
        <w:jc w:val="both"/>
      </w:pPr>
      <w:r>
        <w:rPr>
          <w:sz w:val="21"/>
          <w:color w:val="000000"/>
        </w:rPr>
        <w:t>银行账号：</w:t>
      </w:r>
      <w:r>
        <w:rPr>
          <w:sz w:val="21"/>
          <w:u w:val="single"/>
        </w:rPr>
        <w:t xml:space="preserve">                                               </w:t>
      </w:r>
    </w:p>
    <w:p>
      <w:pPr>
        <w:pStyle w:val="null3"/>
        <w:ind w:firstLine="420"/>
        <w:jc w:val="both"/>
      </w:pPr>
      <w:r>
        <w:rPr>
          <w:sz w:val="21"/>
          <w:color w:val="000000"/>
        </w:rPr>
        <w:t>甲方向上述账户汇出款项后，即视为甲方已履行付款义务，在汇款过程中因乙方账户原因（包括但不限于账号被注销、被冻结等）导致其无法收取款项的，由乙方承担相应后果。甲方有权直接在应付款项中扣除乙方应承担的违约金或赔偿金等对应款项。</w:t>
      </w:r>
    </w:p>
    <w:p>
      <w:pPr>
        <w:pStyle w:val="null3"/>
        <w:ind w:left="570"/>
        <w:jc w:val="both"/>
        <w:outlineLvl w:val="0"/>
      </w:pPr>
      <w:r>
        <w:rPr>
          <w:sz w:val="21"/>
          <w:b/>
          <w:color w:val="000000"/>
        </w:rPr>
        <w:t>15.3.</w:t>
      </w:r>
      <w:r>
        <w:rPr>
          <w:sz w:val="21"/>
          <w:b/>
          <w:color w:val="000000"/>
        </w:rPr>
        <w:t>其他</w:t>
      </w:r>
    </w:p>
    <w:p>
      <w:pPr>
        <w:pStyle w:val="null3"/>
        <w:ind w:firstLine="420"/>
        <w:jc w:val="both"/>
      </w:pPr>
      <w:r>
        <w:rPr>
          <w:sz w:val="21"/>
          <w:color w:val="000000"/>
        </w:rPr>
        <w:t>除本合同明确约定的费用外，甲方无需对乙方支付任何额外费用和承担任何额外义务。在实际合同履行过程中，如果乙方未完全履行合同义务或履行的合同义务不符合约定的，则未履行或履行不符合合同约定的内容所对应的价款由甲方直接从上述约定的合同金额中扣除。</w:t>
      </w:r>
    </w:p>
    <w:p>
      <w:pPr>
        <w:pStyle w:val="null3"/>
        <w:ind w:firstLine="422"/>
        <w:jc w:val="center"/>
      </w:pPr>
      <w:r>
        <w:rPr>
          <w:sz w:val="21"/>
          <w:b/>
          <w:color w:val="000000"/>
        </w:rPr>
        <w:t>第六章不可抗力和法律变更</w:t>
      </w:r>
    </w:p>
    <w:p>
      <w:pPr>
        <w:pStyle w:val="null3"/>
        <w:ind w:left="420"/>
        <w:jc w:val="both"/>
        <w:outlineLvl w:val="0"/>
      </w:pPr>
      <w:r>
        <w:rPr>
          <w:sz w:val="21"/>
          <w:b/>
          <w:color w:val="000000"/>
        </w:rPr>
        <w:t>16.</w:t>
      </w:r>
      <w:r>
        <w:rPr>
          <w:sz w:val="21"/>
          <w:b/>
          <w:color w:val="000000"/>
        </w:rPr>
        <w:t>不可抗力事件</w:t>
      </w:r>
    </w:p>
    <w:p>
      <w:pPr>
        <w:pStyle w:val="null3"/>
        <w:ind w:firstLine="420"/>
        <w:jc w:val="both"/>
      </w:pPr>
      <w:r>
        <w:rPr>
          <w:sz w:val="21"/>
          <w:color w:val="000000"/>
        </w:rPr>
        <w:t>不可抗力指任何一方无法预见、控制</w:t>
      </w:r>
      <w:r>
        <w:rPr>
          <w:sz w:val="21"/>
          <w:color w:val="000000"/>
        </w:rPr>
        <w:t>且</w:t>
      </w:r>
      <w:r>
        <w:rPr>
          <w:sz w:val="21"/>
          <w:color w:val="000000"/>
        </w:rPr>
        <w:t>经合理努力仍无法避免或克服的、导致其无法履行合同项下的义务的情形，包括但不限于：台风、地震、洪水等自然灾害；战争、罢工、骚乱等社会异常现象；征收征用等政府行为；以及甲乙双方不能合理预见和控制的任何其他客观情形。</w:t>
      </w:r>
    </w:p>
    <w:p>
      <w:pPr>
        <w:pStyle w:val="null3"/>
        <w:ind w:left="420"/>
        <w:jc w:val="both"/>
        <w:outlineLvl w:val="0"/>
      </w:pPr>
      <w:r>
        <w:rPr>
          <w:sz w:val="21"/>
          <w:b/>
          <w:color w:val="000000"/>
        </w:rPr>
        <w:t>17.</w:t>
      </w:r>
      <w:r>
        <w:rPr>
          <w:sz w:val="21"/>
          <w:b/>
          <w:color w:val="000000"/>
        </w:rPr>
        <w:t>不可抗力事件的认定和评估</w:t>
      </w:r>
    </w:p>
    <w:p>
      <w:pPr>
        <w:pStyle w:val="null3"/>
        <w:ind w:left="570"/>
        <w:jc w:val="both"/>
        <w:outlineLvl w:val="0"/>
      </w:pPr>
      <w:r>
        <w:rPr>
          <w:sz w:val="21"/>
          <w:b/>
          <w:color w:val="000000"/>
        </w:rPr>
        <w:t>17.1.</w:t>
      </w:r>
      <w:r>
        <w:rPr>
          <w:sz w:val="21"/>
          <w:b/>
          <w:color w:val="000000"/>
        </w:rPr>
        <w:t>认定和评估</w:t>
      </w:r>
    </w:p>
    <w:p>
      <w:pPr>
        <w:pStyle w:val="null3"/>
        <w:ind w:firstLine="420"/>
        <w:jc w:val="both"/>
      </w:pPr>
      <w:r>
        <w:rPr>
          <w:sz w:val="21"/>
          <w:color w:val="000000"/>
        </w:rPr>
        <w:t>17.1.1.受到不可抗力事件影响的一方应在不可抗力事件发生后七日内书面通知另一方，详细描述不可抗力的发生情况、必要的证明文件和可能导致的后果，并及时采取措施减少损失范围。</w:t>
      </w:r>
    </w:p>
    <w:p>
      <w:pPr>
        <w:pStyle w:val="null3"/>
        <w:ind w:firstLine="420"/>
        <w:jc w:val="both"/>
      </w:pPr>
      <w:r>
        <w:rPr>
          <w:sz w:val="21"/>
          <w:color w:val="000000"/>
        </w:rPr>
        <w:t>17.1.2.甲方组织双方协商，评估和认定不可抗力。</w:t>
      </w:r>
    </w:p>
    <w:p>
      <w:pPr>
        <w:pStyle w:val="null3"/>
        <w:ind w:left="570"/>
        <w:jc w:val="both"/>
        <w:outlineLvl w:val="0"/>
      </w:pPr>
      <w:r>
        <w:rPr>
          <w:sz w:val="21"/>
          <w:b/>
          <w:color w:val="000000"/>
        </w:rPr>
        <w:t>17.2.</w:t>
      </w:r>
      <w:r>
        <w:rPr>
          <w:sz w:val="21"/>
          <w:b/>
          <w:color w:val="000000"/>
        </w:rPr>
        <w:t>例外情况</w:t>
      </w:r>
    </w:p>
    <w:p>
      <w:pPr>
        <w:pStyle w:val="null3"/>
        <w:ind w:left="705"/>
        <w:jc w:val="both"/>
        <w:outlineLvl w:val="0"/>
      </w:pPr>
      <w:r>
        <w:rPr>
          <w:sz w:val="21"/>
          <w:b/>
          <w:color w:val="000000"/>
        </w:rPr>
        <w:t>17.2.1.</w:t>
      </w:r>
      <w:r>
        <w:rPr>
          <w:sz w:val="21"/>
          <w:b/>
          <w:color w:val="000000"/>
        </w:rPr>
        <w:t>适用于乙方的例外情况</w:t>
      </w:r>
    </w:p>
    <w:p>
      <w:pPr>
        <w:pStyle w:val="null3"/>
        <w:ind w:firstLine="420"/>
        <w:jc w:val="both"/>
      </w:pPr>
      <w:r>
        <w:rPr>
          <w:sz w:val="21"/>
          <w:color w:val="000000"/>
        </w:rPr>
        <w:t>乙方无权将下述情况视作不可抗力事件而终止、中止履行本合同或不完全履行本合同项下义务：</w:t>
      </w:r>
    </w:p>
    <w:p>
      <w:pPr>
        <w:pStyle w:val="null3"/>
        <w:ind w:firstLine="420"/>
        <w:jc w:val="both"/>
      </w:pPr>
      <w:r>
        <w:rPr>
          <w:sz w:val="21"/>
          <w:color w:val="000000"/>
        </w:rPr>
        <w:t>（1）其他与乙方建立合同关系的第三方在履行合同方面发生延误；</w:t>
      </w:r>
    </w:p>
    <w:p>
      <w:pPr>
        <w:pStyle w:val="null3"/>
        <w:ind w:firstLine="420"/>
        <w:jc w:val="both"/>
      </w:pPr>
      <w:r>
        <w:rPr>
          <w:sz w:val="21"/>
          <w:color w:val="000000"/>
        </w:rPr>
        <w:t>（2）乙方提供服务的设施发生故障或正常磨损。</w:t>
      </w:r>
    </w:p>
    <w:p>
      <w:pPr>
        <w:pStyle w:val="null3"/>
        <w:ind w:left="705"/>
        <w:jc w:val="both"/>
        <w:outlineLvl w:val="0"/>
      </w:pPr>
      <w:r>
        <w:rPr>
          <w:sz w:val="21"/>
          <w:b/>
          <w:color w:val="000000"/>
        </w:rPr>
        <w:t>17.2.2.</w:t>
      </w:r>
      <w:r>
        <w:rPr>
          <w:sz w:val="21"/>
          <w:b/>
          <w:color w:val="000000"/>
        </w:rPr>
        <w:t>适用于甲方的例外情况</w:t>
      </w:r>
    </w:p>
    <w:p>
      <w:pPr>
        <w:pStyle w:val="null3"/>
        <w:ind w:firstLine="420"/>
        <w:jc w:val="both"/>
      </w:pPr>
      <w:r>
        <w:rPr>
          <w:sz w:val="21"/>
          <w:color w:val="000000"/>
        </w:rPr>
        <w:t>甲方无权将下述情况视作不可抗力事件而终止、中止履行或不完全履行本合同项下义务：甲方因机构改革发生变更。</w:t>
      </w:r>
    </w:p>
    <w:p>
      <w:pPr>
        <w:pStyle w:val="null3"/>
        <w:ind w:left="420"/>
        <w:jc w:val="both"/>
        <w:outlineLvl w:val="0"/>
      </w:pPr>
      <w:r>
        <w:rPr>
          <w:sz w:val="21"/>
          <w:b/>
          <w:color w:val="000000"/>
        </w:rPr>
        <w:t>18.</w:t>
      </w:r>
      <w:r>
        <w:rPr>
          <w:sz w:val="21"/>
          <w:b/>
          <w:color w:val="000000"/>
        </w:rPr>
        <w:t>不可抗力事件发生期间各方权利和义务</w:t>
      </w:r>
    </w:p>
    <w:p>
      <w:pPr>
        <w:pStyle w:val="null3"/>
        <w:ind w:left="570"/>
        <w:jc w:val="both"/>
        <w:outlineLvl w:val="0"/>
      </w:pPr>
      <w:r>
        <w:rPr>
          <w:sz w:val="21"/>
          <w:b/>
          <w:color w:val="000000"/>
        </w:rPr>
        <w:t>18.1.</w:t>
      </w:r>
      <w:r>
        <w:rPr>
          <w:sz w:val="21"/>
          <w:b/>
          <w:color w:val="000000"/>
        </w:rPr>
        <w:t>权利</w:t>
      </w:r>
    </w:p>
    <w:p>
      <w:pPr>
        <w:pStyle w:val="null3"/>
        <w:ind w:firstLine="420"/>
        <w:jc w:val="both"/>
      </w:pPr>
      <w:r>
        <w:rPr>
          <w:sz w:val="21"/>
          <w:color w:val="000000"/>
        </w:rPr>
        <w:t>18.1.1.甲方有认定不可抗力事件对本合同影响的权利。</w:t>
      </w:r>
    </w:p>
    <w:p>
      <w:pPr>
        <w:pStyle w:val="null3"/>
        <w:ind w:firstLine="420"/>
        <w:jc w:val="both"/>
      </w:pPr>
      <w:r>
        <w:rPr>
          <w:sz w:val="21"/>
          <w:color w:val="000000"/>
        </w:rPr>
        <w:t>18.1.2.乙方有权要求甲方按合同约定计量支付不可抗力事件发生前的合同金额。</w:t>
      </w:r>
    </w:p>
    <w:p>
      <w:pPr>
        <w:pStyle w:val="null3"/>
        <w:ind w:left="570"/>
        <w:jc w:val="both"/>
        <w:outlineLvl w:val="0"/>
      </w:pPr>
      <w:r>
        <w:rPr>
          <w:sz w:val="21"/>
          <w:b/>
          <w:color w:val="000000"/>
        </w:rPr>
        <w:t>18.2.</w:t>
      </w:r>
      <w:r>
        <w:rPr>
          <w:sz w:val="21"/>
          <w:b/>
          <w:color w:val="000000"/>
        </w:rPr>
        <w:t>义务</w:t>
      </w:r>
    </w:p>
    <w:p>
      <w:pPr>
        <w:pStyle w:val="null3"/>
        <w:ind w:firstLine="420"/>
        <w:jc w:val="both"/>
      </w:pPr>
      <w:r>
        <w:rPr>
          <w:sz w:val="21"/>
          <w:color w:val="000000"/>
        </w:rPr>
        <w:t>18.2.1.受到不可抗力事件影响的一方按合同约定时限通知另一方。</w:t>
      </w:r>
    </w:p>
    <w:p>
      <w:pPr>
        <w:pStyle w:val="null3"/>
        <w:ind w:firstLine="420"/>
        <w:jc w:val="both"/>
      </w:pPr>
      <w:r>
        <w:rPr>
          <w:sz w:val="21"/>
          <w:color w:val="000000"/>
        </w:rPr>
        <w:t>18.2.2.双方均应采取合理措施尽量避免和减少损失的扩大。</w:t>
      </w:r>
    </w:p>
    <w:p>
      <w:pPr>
        <w:pStyle w:val="null3"/>
        <w:ind w:firstLine="420"/>
        <w:jc w:val="both"/>
      </w:pPr>
      <w:r>
        <w:rPr>
          <w:sz w:val="21"/>
          <w:color w:val="000000"/>
        </w:rPr>
        <w:t>18.2.3.声称不可抗力的一方在不可抗力消除之后应尽快恢复履行本合同项下的义务。</w:t>
      </w:r>
    </w:p>
    <w:p>
      <w:pPr>
        <w:pStyle w:val="null3"/>
        <w:ind w:left="420"/>
        <w:jc w:val="both"/>
        <w:outlineLvl w:val="0"/>
      </w:pPr>
      <w:r>
        <w:rPr>
          <w:sz w:val="21"/>
          <w:b/>
          <w:color w:val="000000"/>
        </w:rPr>
        <w:t>19.</w:t>
      </w:r>
      <w:r>
        <w:rPr>
          <w:sz w:val="21"/>
          <w:b/>
          <w:color w:val="000000"/>
        </w:rPr>
        <w:t>不可抗力事件的处理</w:t>
      </w:r>
    </w:p>
    <w:p>
      <w:pPr>
        <w:pStyle w:val="null3"/>
        <w:ind w:firstLine="420"/>
        <w:jc w:val="both"/>
      </w:pPr>
      <w:r>
        <w:rPr>
          <w:sz w:val="21"/>
          <w:color w:val="000000"/>
        </w:rPr>
        <w:t>19.1.发生不可抗力时，双方应各自承担由于不可抗力对其造成的损失。双方应协商采取合理的补救措施尽量减少不可抗力给各方带来的损失。</w:t>
      </w:r>
    </w:p>
    <w:p>
      <w:pPr>
        <w:pStyle w:val="null3"/>
        <w:ind w:firstLine="420"/>
        <w:jc w:val="both"/>
      </w:pPr>
      <w:r>
        <w:rPr>
          <w:sz w:val="21"/>
          <w:color w:val="000000"/>
        </w:rPr>
        <w:t>19.2.不可抗力发生前已发生的合同金额应当按照合同约定进行计量支付。</w:t>
      </w:r>
    </w:p>
    <w:p>
      <w:pPr>
        <w:pStyle w:val="null3"/>
        <w:ind w:firstLine="420"/>
        <w:jc w:val="both"/>
      </w:pPr>
      <w:r>
        <w:rPr>
          <w:sz w:val="21"/>
          <w:color w:val="000000"/>
        </w:rPr>
        <w:t>19.3.当不可抗力事件阻止一方履行其义务的时间持续九十日以上时，双方应协商决定继续履行本合同的条件或者终止本合同。如果自不可抗力发生后一百八十日之内双方不能就继续履行的条件或终止本合同达成一致意见，任何一方有权给予另一方书面通知后立即终止本合同。</w:t>
      </w:r>
    </w:p>
    <w:p>
      <w:pPr>
        <w:pStyle w:val="null3"/>
        <w:ind w:firstLine="422"/>
        <w:jc w:val="center"/>
      </w:pPr>
      <w:r>
        <w:rPr>
          <w:sz w:val="21"/>
          <w:b/>
          <w:color w:val="000000"/>
        </w:rPr>
        <w:t>第七章合同解除</w:t>
      </w:r>
    </w:p>
    <w:p>
      <w:pPr>
        <w:pStyle w:val="null3"/>
        <w:ind w:left="420"/>
        <w:jc w:val="both"/>
        <w:outlineLvl w:val="0"/>
      </w:pPr>
      <w:r>
        <w:rPr>
          <w:sz w:val="21"/>
          <w:b/>
          <w:color w:val="000000"/>
        </w:rPr>
        <w:t>20.</w:t>
      </w:r>
      <w:r>
        <w:rPr>
          <w:sz w:val="21"/>
          <w:b/>
          <w:color w:val="000000"/>
        </w:rPr>
        <w:t>合同解除的事由</w:t>
      </w:r>
    </w:p>
    <w:p>
      <w:pPr>
        <w:pStyle w:val="null3"/>
        <w:ind w:firstLine="420"/>
        <w:jc w:val="both"/>
      </w:pPr>
      <w:r>
        <w:rPr>
          <w:sz w:val="21"/>
          <w:color w:val="000000"/>
        </w:rPr>
        <w:t>20.1.甲方或乙方在本合同中的声明或保证在被证实存在虚假或未兑现，严重影响其履约能力。</w:t>
      </w:r>
    </w:p>
    <w:p>
      <w:pPr>
        <w:pStyle w:val="null3"/>
        <w:ind w:firstLine="420"/>
        <w:jc w:val="both"/>
      </w:pPr>
      <w:r>
        <w:rPr>
          <w:sz w:val="21"/>
          <w:color w:val="000000"/>
        </w:rPr>
        <w:t>20.2.出现本合同约定的导致合同终止情形的。</w:t>
      </w:r>
    </w:p>
    <w:p>
      <w:pPr>
        <w:pStyle w:val="null3"/>
        <w:ind w:firstLine="420"/>
        <w:jc w:val="both"/>
      </w:pPr>
      <w:r>
        <w:rPr>
          <w:sz w:val="21"/>
          <w:color w:val="000000"/>
        </w:rPr>
        <w:t>20.3.发生其他导致本合同无法继续履行情形的。</w:t>
      </w:r>
    </w:p>
    <w:p>
      <w:pPr>
        <w:pStyle w:val="null3"/>
        <w:ind w:left="420"/>
        <w:jc w:val="both"/>
        <w:outlineLvl w:val="0"/>
      </w:pPr>
      <w:r>
        <w:rPr>
          <w:sz w:val="21"/>
          <w:b/>
          <w:color w:val="000000"/>
        </w:rPr>
        <w:t>21.</w:t>
      </w:r>
      <w:r>
        <w:rPr>
          <w:sz w:val="21"/>
          <w:b/>
          <w:color w:val="000000"/>
        </w:rPr>
        <w:t>合同解除程序</w:t>
      </w:r>
    </w:p>
    <w:p>
      <w:pPr>
        <w:pStyle w:val="null3"/>
        <w:ind w:left="570"/>
        <w:jc w:val="both"/>
        <w:outlineLvl w:val="0"/>
      </w:pPr>
      <w:r>
        <w:rPr>
          <w:sz w:val="21"/>
          <w:b/>
          <w:color w:val="000000"/>
        </w:rPr>
        <w:t>21.1.</w:t>
      </w:r>
      <w:r>
        <w:rPr>
          <w:sz w:val="21"/>
          <w:b/>
          <w:color w:val="000000"/>
        </w:rPr>
        <w:t>发出终止意向通知</w:t>
      </w:r>
    </w:p>
    <w:p>
      <w:pPr>
        <w:pStyle w:val="null3"/>
        <w:ind w:left="705"/>
        <w:jc w:val="both"/>
        <w:outlineLvl w:val="0"/>
      </w:pPr>
      <w:r>
        <w:rPr>
          <w:sz w:val="21"/>
          <w:b/>
          <w:color w:val="000000"/>
        </w:rPr>
        <w:t>21.1.1.</w:t>
      </w:r>
      <w:r>
        <w:rPr>
          <w:sz w:val="21"/>
          <w:b/>
          <w:color w:val="000000"/>
        </w:rPr>
        <w:t>甲方发出的终止</w:t>
      </w:r>
    </w:p>
    <w:p>
      <w:pPr>
        <w:pStyle w:val="null3"/>
        <w:ind w:firstLine="420"/>
        <w:jc w:val="both"/>
      </w:pPr>
      <w:r>
        <w:rPr>
          <w:sz w:val="21"/>
          <w:color w:val="000000"/>
        </w:rPr>
        <w:t>下述任一行为发生时，甲方有权立即发出</w:t>
      </w:r>
      <w:r>
        <w:rPr>
          <w:sz w:val="21"/>
          <w:color w:val="000000"/>
        </w:rPr>
        <w:t>终止</w:t>
      </w:r>
      <w:r>
        <w:rPr>
          <w:sz w:val="21"/>
          <w:color w:val="000000"/>
        </w:rPr>
        <w:t>意向通知：</w:t>
      </w:r>
    </w:p>
    <w:p>
      <w:pPr>
        <w:pStyle w:val="null3"/>
        <w:ind w:firstLine="420"/>
        <w:jc w:val="both"/>
      </w:pPr>
      <w:r>
        <w:rPr>
          <w:sz w:val="21"/>
          <w:color w:val="000000"/>
        </w:rPr>
        <w:t>（1）乙方在本合同中的声明或保证在被证实存在虚假或未兑现，严重影响其履约能力；</w:t>
      </w:r>
    </w:p>
    <w:p>
      <w:pPr>
        <w:pStyle w:val="null3"/>
        <w:ind w:left="420"/>
        <w:jc w:val="both"/>
      </w:pPr>
      <w:r>
        <w:rPr>
          <w:sz w:val="21"/>
          <w:color w:val="000000"/>
        </w:rPr>
        <w:t>（2）乙方出现本合同约定的导致合同</w:t>
      </w:r>
      <w:r>
        <w:rPr>
          <w:sz w:val="21"/>
          <w:color w:val="000000"/>
        </w:rPr>
        <w:t>终止</w:t>
      </w:r>
      <w:r>
        <w:rPr>
          <w:sz w:val="21"/>
          <w:color w:val="000000"/>
        </w:rPr>
        <w:t>情形的；</w:t>
      </w:r>
    </w:p>
    <w:p>
      <w:pPr>
        <w:pStyle w:val="null3"/>
        <w:ind w:firstLine="420"/>
        <w:jc w:val="both"/>
      </w:pPr>
      <w:r>
        <w:rPr>
          <w:sz w:val="21"/>
          <w:color w:val="000000"/>
        </w:rPr>
        <w:t>（3）乙方被依法吊销营业执照、责令停业、清算或破产；</w:t>
      </w:r>
    </w:p>
    <w:p>
      <w:pPr>
        <w:pStyle w:val="null3"/>
        <w:ind w:firstLine="420"/>
        <w:jc w:val="both"/>
      </w:pPr>
      <w:r>
        <w:rPr>
          <w:sz w:val="21"/>
          <w:color w:val="000000"/>
        </w:rPr>
        <w:t>（4）乙方未按《服务实施方案》时间节点完成本合同项下工作，逾期超过30日的；</w:t>
      </w:r>
    </w:p>
    <w:p>
      <w:pPr>
        <w:pStyle w:val="null3"/>
        <w:ind w:firstLine="420"/>
        <w:jc w:val="both"/>
      </w:pPr>
      <w:r>
        <w:rPr>
          <w:sz w:val="21"/>
          <w:color w:val="000000"/>
        </w:rPr>
        <w:t>（5）乙方发生累计两次或以上违约行为；</w:t>
      </w:r>
    </w:p>
    <w:p>
      <w:pPr>
        <w:pStyle w:val="null3"/>
        <w:ind w:firstLine="420"/>
        <w:jc w:val="both"/>
      </w:pPr>
      <w:r>
        <w:rPr>
          <w:sz w:val="21"/>
          <w:color w:val="000000"/>
        </w:rPr>
        <w:t>（6）乙方履行义务不符合约定，经甲方提出后合理期限内仍未改正的；</w:t>
      </w:r>
    </w:p>
    <w:p>
      <w:pPr>
        <w:pStyle w:val="null3"/>
        <w:ind w:firstLine="420"/>
        <w:jc w:val="both"/>
      </w:pPr>
      <w:r>
        <w:rPr>
          <w:sz w:val="21"/>
          <w:color w:val="000000"/>
        </w:rPr>
        <w:t>（7）乙方出现将本合同项下全部或部分内容转包</w:t>
      </w:r>
      <w:r>
        <w:rPr>
          <w:sz w:val="21"/>
          <w:color w:val="000000"/>
        </w:rPr>
        <w:t>、</w:t>
      </w:r>
      <w:r>
        <w:rPr>
          <w:sz w:val="21"/>
          <w:color w:val="000000"/>
        </w:rPr>
        <w:t>将除甲方在采购文件明确允许以分包形式履行且乙方在投标环节已签订分包意向协议以外的服务内容</w:t>
      </w:r>
      <w:r>
        <w:rPr>
          <w:sz w:val="21"/>
          <w:color w:val="000000"/>
        </w:rPr>
        <w:t>分包的行为；</w:t>
      </w:r>
    </w:p>
    <w:p>
      <w:pPr>
        <w:pStyle w:val="null3"/>
        <w:ind w:firstLine="420"/>
        <w:jc w:val="both"/>
      </w:pPr>
      <w:r>
        <w:rPr>
          <w:sz w:val="21"/>
          <w:color w:val="000000"/>
        </w:rPr>
        <w:t>（8）未经甲方书面同意，乙方将本合同项下属于甲方单方所有的成果作为己用或交付第三人使用的；</w:t>
      </w:r>
    </w:p>
    <w:p>
      <w:pPr>
        <w:pStyle w:val="null3"/>
        <w:ind w:firstLine="420"/>
        <w:jc w:val="both"/>
      </w:pPr>
      <w:r>
        <w:rPr>
          <w:sz w:val="21"/>
          <w:color w:val="000000"/>
        </w:rPr>
        <w:t>（9）第三方指控并经有权机关认定甲方使用/接受乙方提供的产品/服务侵犯了该方的知识产权或其他权利，造成甲方损失的；</w:t>
      </w:r>
    </w:p>
    <w:p>
      <w:pPr>
        <w:pStyle w:val="null3"/>
        <w:ind w:left="705"/>
        <w:jc w:val="both"/>
        <w:outlineLvl w:val="0"/>
      </w:pPr>
      <w:r>
        <w:rPr>
          <w:sz w:val="21"/>
          <w:b/>
          <w:color w:val="000000"/>
        </w:rPr>
        <w:t>21.1.2.</w:t>
      </w:r>
      <w:r>
        <w:rPr>
          <w:sz w:val="21"/>
          <w:b/>
          <w:color w:val="000000"/>
        </w:rPr>
        <w:t>乙方发出的终止</w:t>
      </w:r>
    </w:p>
    <w:p>
      <w:pPr>
        <w:pStyle w:val="null3"/>
        <w:ind w:firstLine="420"/>
        <w:jc w:val="both"/>
      </w:pPr>
      <w:r>
        <w:rPr>
          <w:sz w:val="21"/>
          <w:color w:val="000000"/>
        </w:rPr>
        <w:t>下述任一事件发生时，乙方有权立即发出</w:t>
      </w:r>
      <w:r>
        <w:rPr>
          <w:sz w:val="21"/>
          <w:color w:val="000000"/>
        </w:rPr>
        <w:t>终止</w:t>
      </w:r>
      <w:r>
        <w:rPr>
          <w:sz w:val="21"/>
          <w:color w:val="000000"/>
        </w:rPr>
        <w:t>意向通知：</w:t>
      </w:r>
    </w:p>
    <w:p>
      <w:pPr>
        <w:pStyle w:val="null3"/>
        <w:ind w:firstLine="420"/>
        <w:jc w:val="both"/>
      </w:pPr>
      <w:r>
        <w:rPr>
          <w:sz w:val="21"/>
          <w:color w:val="000000"/>
        </w:rPr>
        <w:t>（1）甲方在本合同中的声明或保证在被证实是虚假的或未兑现，使乙方履行本合同的能力受到严重不利影响；</w:t>
      </w:r>
    </w:p>
    <w:p>
      <w:pPr>
        <w:pStyle w:val="null3"/>
        <w:ind w:firstLine="420"/>
        <w:jc w:val="both"/>
      </w:pPr>
      <w:r>
        <w:rPr>
          <w:sz w:val="21"/>
          <w:color w:val="000000"/>
        </w:rPr>
        <w:t>（2）甲方无正当理由在逾期六个月（自应付日起算）后仍未履行支付义务。但因财政支付管理流程导致的支付延期除外。</w:t>
      </w:r>
    </w:p>
    <w:p>
      <w:pPr>
        <w:pStyle w:val="null3"/>
        <w:ind w:left="705"/>
        <w:jc w:val="both"/>
        <w:outlineLvl w:val="0"/>
      </w:pPr>
      <w:r>
        <w:rPr>
          <w:sz w:val="21"/>
          <w:b/>
          <w:color w:val="000000"/>
        </w:rPr>
        <w:t>21.1.3.</w:t>
      </w:r>
      <w:r>
        <w:rPr>
          <w:sz w:val="21"/>
          <w:b/>
          <w:color w:val="000000"/>
        </w:rPr>
        <w:t>法律变更或政府行为</w:t>
      </w:r>
    </w:p>
    <w:p>
      <w:pPr>
        <w:pStyle w:val="null3"/>
        <w:ind w:firstLine="420"/>
        <w:jc w:val="both"/>
      </w:pPr>
      <w:r>
        <w:rPr>
          <w:sz w:val="21"/>
          <w:color w:val="000000"/>
        </w:rPr>
        <w:t>如果在本合同生效后，因法律变更及政府行为导致乙方部分或全部不能履行本合同项下主要义务，而这种变化和影响又不以甲方的意志为转移，甲乙双方应尽力就继续履行本合同进行协商，若不能达成一致，则一方可向另一方发出</w:t>
      </w:r>
      <w:r>
        <w:rPr>
          <w:sz w:val="21"/>
          <w:color w:val="000000"/>
        </w:rPr>
        <w:t>终止</w:t>
      </w:r>
      <w:r>
        <w:rPr>
          <w:sz w:val="21"/>
          <w:color w:val="000000"/>
        </w:rPr>
        <w:t>意向通知，双方仍协商不成的，本合同自终止意向通知到达对方之日起日届满时终止。</w:t>
      </w:r>
    </w:p>
    <w:p>
      <w:pPr>
        <w:pStyle w:val="null3"/>
        <w:ind w:left="705"/>
        <w:jc w:val="both"/>
        <w:outlineLvl w:val="0"/>
      </w:pPr>
      <w:r>
        <w:rPr>
          <w:sz w:val="21"/>
          <w:b/>
          <w:color w:val="000000"/>
        </w:rPr>
        <w:t>21.1.4.</w:t>
      </w:r>
      <w:r>
        <w:rPr>
          <w:sz w:val="21"/>
          <w:b/>
          <w:color w:val="000000"/>
        </w:rPr>
        <w:t>协商一致终止</w:t>
      </w:r>
    </w:p>
    <w:p>
      <w:pPr>
        <w:pStyle w:val="null3"/>
        <w:ind w:firstLine="420"/>
        <w:jc w:val="both"/>
      </w:pPr>
      <w:r>
        <w:rPr>
          <w:sz w:val="21"/>
          <w:color w:val="000000"/>
        </w:rPr>
        <w:t>在本合同履行期间，由各方协商一致可提前终止本合同。费用结算等问题由各方协商一致。</w:t>
      </w:r>
    </w:p>
    <w:p>
      <w:pPr>
        <w:pStyle w:val="null3"/>
        <w:ind w:left="570"/>
        <w:jc w:val="both"/>
        <w:outlineLvl w:val="0"/>
      </w:pPr>
      <w:r>
        <w:rPr>
          <w:sz w:val="21"/>
          <w:b/>
          <w:color w:val="000000"/>
        </w:rPr>
        <w:t>21.2.</w:t>
      </w:r>
      <w:r>
        <w:rPr>
          <w:sz w:val="21"/>
          <w:b/>
          <w:color w:val="000000"/>
        </w:rPr>
        <w:t>双方协商</w:t>
      </w:r>
    </w:p>
    <w:p>
      <w:pPr>
        <w:pStyle w:val="null3"/>
        <w:ind w:firstLine="420"/>
        <w:jc w:val="both"/>
      </w:pPr>
      <w:r>
        <w:rPr>
          <w:sz w:val="21"/>
          <w:color w:val="000000"/>
        </w:rPr>
        <w:t>21.2.1.终止意向通知发出之后，双方应在三十日内协商。</w:t>
      </w:r>
    </w:p>
    <w:p>
      <w:pPr>
        <w:pStyle w:val="null3"/>
        <w:ind w:firstLine="420"/>
        <w:jc w:val="both"/>
      </w:pPr>
      <w:r>
        <w:rPr>
          <w:sz w:val="21"/>
          <w:color w:val="000000"/>
        </w:rPr>
        <w:t>21.2.2.如果双方就将要采取的措施达成一致意见，或者违约行为在指定期限内得到纠正，终止意向通知即自动失效。</w:t>
      </w:r>
    </w:p>
    <w:p>
      <w:pPr>
        <w:pStyle w:val="null3"/>
        <w:ind w:left="570"/>
        <w:jc w:val="both"/>
        <w:outlineLvl w:val="0"/>
      </w:pPr>
      <w:r>
        <w:rPr>
          <w:sz w:val="21"/>
          <w:b/>
          <w:color w:val="000000"/>
        </w:rPr>
        <w:t>21.3.</w:t>
      </w:r>
      <w:r>
        <w:rPr>
          <w:sz w:val="21"/>
          <w:b/>
          <w:color w:val="000000"/>
        </w:rPr>
        <w:t>发出终止通知</w:t>
      </w:r>
    </w:p>
    <w:p>
      <w:pPr>
        <w:pStyle w:val="null3"/>
        <w:ind w:firstLine="420"/>
        <w:jc w:val="both"/>
      </w:pPr>
      <w:r>
        <w:rPr>
          <w:sz w:val="21"/>
          <w:color w:val="000000"/>
        </w:rPr>
        <w:t>如终止意向通知发出后，指定期限内违约方仍实施违约行为或违约行为仍未得到纠正，则另一方有权在指定期限届满后合同履约期满前任何时间发出终止本合同的书面通知，本合同自书面通知送达对方之日起终止。</w:t>
      </w:r>
    </w:p>
    <w:p>
      <w:pPr>
        <w:pStyle w:val="null3"/>
        <w:ind w:left="570"/>
        <w:jc w:val="both"/>
        <w:outlineLvl w:val="0"/>
      </w:pPr>
      <w:r>
        <w:rPr>
          <w:sz w:val="21"/>
          <w:b/>
          <w:color w:val="000000"/>
        </w:rPr>
        <w:t>21.4.</w:t>
      </w:r>
      <w:r>
        <w:rPr>
          <w:sz w:val="21"/>
          <w:b/>
          <w:color w:val="000000"/>
        </w:rPr>
        <w:t>项目移交</w:t>
      </w:r>
    </w:p>
    <w:p>
      <w:pPr>
        <w:pStyle w:val="null3"/>
        <w:ind w:firstLine="420"/>
        <w:jc w:val="both"/>
      </w:pPr>
      <w:r>
        <w:rPr>
          <w:sz w:val="21"/>
          <w:color w:val="000000"/>
        </w:rPr>
        <w:t>无论因何种原因导致本合同终止，如需进行移交，在本合同终止之后，乙方都必须完成甲方合理要求的所有必要工作，将属于甲方的设备、数据和系统等资产移交给甲方。甲方可以选择由甲方或甲方指定的第三方接收。甲方设备、数据和系统的风险将在乙方向甲方（或其指定的第三方服务商）移交并经甲方书面确认之后转移到甲方。在风险转移到甲方之前，甲方的设备、数据和系统发生损坏、缺失、故障的，乙方应承担相应责任。</w:t>
      </w:r>
    </w:p>
    <w:p>
      <w:pPr>
        <w:pStyle w:val="null3"/>
        <w:ind w:firstLine="422"/>
        <w:jc w:val="center"/>
      </w:pPr>
      <w:r>
        <w:rPr>
          <w:sz w:val="21"/>
          <w:b/>
          <w:color w:val="000000"/>
        </w:rPr>
        <w:t>第八章违约处理</w:t>
      </w:r>
    </w:p>
    <w:p>
      <w:pPr>
        <w:pStyle w:val="null3"/>
        <w:ind w:left="420"/>
        <w:jc w:val="both"/>
        <w:outlineLvl w:val="0"/>
      </w:pPr>
      <w:r>
        <w:rPr>
          <w:sz w:val="21"/>
          <w:b/>
          <w:color w:val="000000"/>
        </w:rPr>
        <w:t>22.</w:t>
      </w:r>
      <w:r>
        <w:rPr>
          <w:sz w:val="21"/>
          <w:b/>
          <w:color w:val="000000"/>
        </w:rPr>
        <w:t>违约行为认定</w:t>
      </w:r>
    </w:p>
    <w:p>
      <w:pPr>
        <w:pStyle w:val="null3"/>
        <w:ind w:firstLine="420"/>
        <w:jc w:val="both"/>
      </w:pPr>
      <w:r>
        <w:rPr>
          <w:sz w:val="21"/>
          <w:color w:val="000000"/>
        </w:rPr>
        <w:t>除不可抗力情形外，签订本合同任一方不履行本合同的任一条款，均视为违约。</w:t>
      </w:r>
    </w:p>
    <w:p>
      <w:pPr>
        <w:pStyle w:val="null3"/>
        <w:ind w:left="420"/>
        <w:jc w:val="both"/>
        <w:outlineLvl w:val="0"/>
      </w:pPr>
      <w:r>
        <w:rPr>
          <w:sz w:val="21"/>
          <w:b/>
          <w:color w:val="000000"/>
        </w:rPr>
        <w:t>23.</w:t>
      </w:r>
      <w:r>
        <w:rPr>
          <w:sz w:val="21"/>
          <w:b/>
          <w:color w:val="000000"/>
        </w:rPr>
        <w:t>违约责任承担方式</w:t>
      </w:r>
    </w:p>
    <w:p>
      <w:pPr>
        <w:pStyle w:val="null3"/>
        <w:ind w:left="570"/>
        <w:jc w:val="both"/>
        <w:outlineLvl w:val="0"/>
      </w:pPr>
      <w:r>
        <w:rPr>
          <w:sz w:val="21"/>
          <w:b/>
          <w:color w:val="000000"/>
        </w:rPr>
        <w:t>23.1.</w:t>
      </w:r>
      <w:r>
        <w:rPr>
          <w:sz w:val="21"/>
          <w:b/>
          <w:color w:val="000000"/>
        </w:rPr>
        <w:t>继续履行</w:t>
      </w:r>
    </w:p>
    <w:p>
      <w:pPr>
        <w:pStyle w:val="null3"/>
        <w:ind w:firstLine="420"/>
        <w:jc w:val="both"/>
      </w:pPr>
      <w:r>
        <w:rPr>
          <w:sz w:val="21"/>
          <w:color w:val="000000"/>
        </w:rPr>
        <w:t>守约方有权暂时停止履行义务，并要求违约方继续履行本合同，待违约方纠正违约行为后恢复履行；守约方根据此款规定暂停履行义务不构成违约。</w:t>
      </w:r>
    </w:p>
    <w:p>
      <w:pPr>
        <w:pStyle w:val="null3"/>
        <w:ind w:left="570"/>
        <w:jc w:val="both"/>
        <w:outlineLvl w:val="0"/>
      </w:pPr>
      <w:r>
        <w:rPr>
          <w:sz w:val="21"/>
          <w:b/>
          <w:color w:val="000000"/>
        </w:rPr>
        <w:t>23.2.</w:t>
      </w:r>
      <w:r>
        <w:rPr>
          <w:sz w:val="21"/>
          <w:b/>
          <w:color w:val="000000"/>
        </w:rPr>
        <w:t>赔偿</w:t>
      </w:r>
    </w:p>
    <w:p>
      <w:pPr>
        <w:pStyle w:val="null3"/>
        <w:ind w:firstLine="420"/>
        <w:jc w:val="both"/>
      </w:pPr>
      <w:r>
        <w:rPr>
          <w:sz w:val="21"/>
          <w:color w:val="000000"/>
        </w:rPr>
        <w:t>任何一方有权获得因另一方违约而使该方遭受的任何损失、支出和费用（包括但不限于评估费、鉴定费、律师费、诉讼费）的赔偿，该项赔偿由违约方支付。</w:t>
      </w:r>
    </w:p>
    <w:p>
      <w:pPr>
        <w:pStyle w:val="null3"/>
        <w:ind w:left="570"/>
        <w:jc w:val="both"/>
        <w:outlineLvl w:val="0"/>
      </w:pPr>
      <w:r>
        <w:rPr>
          <w:sz w:val="21"/>
          <w:b/>
          <w:color w:val="000000"/>
        </w:rPr>
        <w:t>23.3.</w:t>
      </w:r>
      <w:r>
        <w:rPr>
          <w:sz w:val="21"/>
          <w:b/>
          <w:color w:val="000000"/>
        </w:rPr>
        <w:t>不减免和影响的事项</w:t>
      </w:r>
    </w:p>
    <w:p>
      <w:pPr>
        <w:pStyle w:val="null3"/>
        <w:ind w:firstLine="420"/>
        <w:jc w:val="both"/>
      </w:pPr>
      <w:r>
        <w:rPr>
          <w:sz w:val="21"/>
          <w:color w:val="000000"/>
        </w:rPr>
        <w:t>23.3.1.违约方对违约责任的承担并不能减免其在本合同项下的其他任何义务。</w:t>
      </w:r>
    </w:p>
    <w:p>
      <w:pPr>
        <w:pStyle w:val="null3"/>
        <w:ind w:firstLine="420"/>
        <w:jc w:val="both"/>
      </w:pPr>
      <w:r>
        <w:rPr>
          <w:sz w:val="21"/>
          <w:color w:val="000000"/>
        </w:rPr>
        <w:t>23.3.2.双方获得上述违约赔偿的权利不影响其在本合同项下的终止合同权利。</w:t>
      </w:r>
    </w:p>
    <w:p>
      <w:pPr>
        <w:pStyle w:val="null3"/>
        <w:ind w:left="420"/>
        <w:jc w:val="both"/>
        <w:outlineLvl w:val="0"/>
      </w:pPr>
      <w:r>
        <w:rPr>
          <w:sz w:val="21"/>
          <w:b/>
          <w:color w:val="000000"/>
        </w:rPr>
        <w:t>24.</w:t>
      </w:r>
      <w:r>
        <w:rPr>
          <w:sz w:val="21"/>
          <w:b/>
          <w:color w:val="000000"/>
        </w:rPr>
        <w:t>违约赔偿责任</w:t>
      </w:r>
    </w:p>
    <w:p>
      <w:pPr>
        <w:pStyle w:val="null3"/>
        <w:ind w:left="570"/>
        <w:jc w:val="both"/>
        <w:outlineLvl w:val="0"/>
      </w:pPr>
      <w:r>
        <w:rPr>
          <w:sz w:val="21"/>
          <w:b/>
          <w:color w:val="000000"/>
        </w:rPr>
        <w:t>24.1.</w:t>
      </w:r>
      <w:r>
        <w:rPr>
          <w:sz w:val="21"/>
          <w:b/>
          <w:color w:val="000000"/>
        </w:rPr>
        <w:t>甲方违约赔偿责任</w:t>
      </w:r>
    </w:p>
    <w:p>
      <w:pPr>
        <w:pStyle w:val="null3"/>
        <w:ind w:firstLine="420"/>
        <w:jc w:val="both"/>
      </w:pPr>
      <w:r>
        <w:rPr>
          <w:sz w:val="21"/>
          <w:color w:val="000000"/>
        </w:rPr>
        <w:t>24.1.1.甲方未按照本合同约定，及时足额向乙方支付相应的合同金额，则乙方有权向甲方发出书面催告，如甲方在收到书面催告通知后的</w:t>
      </w:r>
      <w:r>
        <w:rPr>
          <w:sz w:val="21"/>
          <w:color w:val="000000"/>
          <w:u w:val="single"/>
        </w:rPr>
        <w:t xml:space="preserve">      日</w:t>
      </w:r>
      <w:r>
        <w:rPr>
          <w:sz w:val="21"/>
          <w:color w:val="000000"/>
        </w:rPr>
        <w:t>内仍未能支付的，则甲方除应支付应付未付的合同金额外，还应自收到书面催告通知后第</w:t>
      </w:r>
      <w:r>
        <w:rPr>
          <w:sz w:val="21"/>
          <w:u w:val="single"/>
        </w:rPr>
        <w:t xml:space="preserve">       </w:t>
      </w:r>
      <w:r>
        <w:rPr>
          <w:sz w:val="21"/>
          <w:color w:val="000000"/>
        </w:rPr>
        <w:t>日起每日按照应付未付金额</w:t>
      </w:r>
      <w:r>
        <w:rPr>
          <w:sz w:val="21"/>
          <w:u w:val="single"/>
        </w:rPr>
        <w:t xml:space="preserve">      </w:t>
      </w:r>
      <w:r>
        <w:rPr>
          <w:sz w:val="21"/>
          <w:color w:val="000000"/>
        </w:rPr>
        <w:t>‰的数额向乙方支付违约金。但因财政支付管理流程导致的支付延期除外。</w:t>
      </w:r>
    </w:p>
    <w:p>
      <w:pPr>
        <w:pStyle w:val="null3"/>
        <w:ind w:firstLine="420"/>
        <w:jc w:val="both"/>
      </w:pPr>
      <w:r>
        <w:rPr>
          <w:sz w:val="21"/>
          <w:color w:val="000000"/>
        </w:rPr>
        <w:t>24.1.2.付款时间为甲方向财政部门提出支付申请的时间，而非款项实际到达乙方账户的时间。如因政府财政支付流程导致的支付延期，甲方不承担责任，也不能作为乙方延迟履行或不履行合同义务的抗辩理由。</w:t>
      </w:r>
    </w:p>
    <w:p>
      <w:pPr>
        <w:pStyle w:val="null3"/>
        <w:ind w:firstLine="420"/>
        <w:jc w:val="both"/>
      </w:pPr>
      <w:r>
        <w:rPr>
          <w:sz w:val="21"/>
          <w:color w:val="000000"/>
        </w:rPr>
        <w:t>24.1.3.甲方无正当理由迟延组织验收或拒收乙方提供的、符合本合同约定的服务，每迟延一日，应按合同总额的</w:t>
      </w:r>
      <w:r>
        <w:rPr>
          <w:sz w:val="21"/>
          <w:u w:val="single"/>
        </w:rPr>
        <w:t xml:space="preserve">      </w:t>
      </w:r>
      <w:r>
        <w:rPr>
          <w:sz w:val="21"/>
          <w:color w:val="000000"/>
        </w:rPr>
        <w:t>‰向乙方支付违约金。迟延累计超过30日（含30日），乙方有权终止合同，甲方仍应承担上述违约责任并向乙方支付已完成内容的全部款项。</w:t>
      </w:r>
    </w:p>
    <w:p>
      <w:pPr>
        <w:pStyle w:val="null3"/>
        <w:ind w:firstLine="420"/>
        <w:jc w:val="both"/>
      </w:pPr>
      <w:r>
        <w:rPr>
          <w:sz w:val="21"/>
          <w:color w:val="000000"/>
        </w:rPr>
        <w:t xml:space="preserve">24.1.4.甲方支付的违约金和赔偿金总额不超过本合同金额的    </w:t>
      </w:r>
      <w:r>
        <w:rPr>
          <w:sz w:val="21"/>
          <w:u w:val="single"/>
        </w:rPr>
        <w:t xml:space="preserve">  </w:t>
      </w:r>
      <w:r>
        <w:rPr>
          <w:sz w:val="21"/>
          <w:color w:val="000000"/>
        </w:rPr>
        <w:t>%。</w:t>
      </w:r>
    </w:p>
    <w:p>
      <w:pPr>
        <w:pStyle w:val="null3"/>
        <w:ind w:left="570"/>
        <w:jc w:val="both"/>
        <w:outlineLvl w:val="0"/>
      </w:pPr>
      <w:r>
        <w:rPr>
          <w:sz w:val="21"/>
          <w:b/>
          <w:color w:val="000000"/>
        </w:rPr>
        <w:t>24.2.</w:t>
      </w:r>
      <w:r>
        <w:rPr>
          <w:sz w:val="21"/>
          <w:b/>
          <w:color w:val="000000"/>
        </w:rPr>
        <w:t>乙方违约赔偿责任</w:t>
      </w:r>
    </w:p>
    <w:p>
      <w:pPr>
        <w:pStyle w:val="null3"/>
        <w:ind w:left="705"/>
        <w:jc w:val="both"/>
        <w:outlineLvl w:val="0"/>
      </w:pPr>
      <w:r>
        <w:rPr>
          <w:sz w:val="21"/>
          <w:b/>
          <w:color w:val="000000"/>
        </w:rPr>
        <w:t>24.2.1.</w:t>
      </w:r>
      <w:r>
        <w:rPr>
          <w:sz w:val="21"/>
          <w:b/>
          <w:color w:val="000000"/>
        </w:rPr>
        <w:t>服务交付延误</w:t>
      </w:r>
    </w:p>
    <w:p>
      <w:pPr>
        <w:pStyle w:val="null3"/>
        <w:ind w:firstLine="420"/>
        <w:jc w:val="both"/>
      </w:pPr>
      <w:r>
        <w:rPr>
          <w:sz w:val="21"/>
          <w:color w:val="000000"/>
        </w:rPr>
        <w:t>因乙方原因导致未能在本合同约定期限内交付产品或服务的，乙方应从逾期之日起每日按对应产品或服务总价的</w:t>
      </w:r>
      <w:r>
        <w:rPr>
          <w:sz w:val="21"/>
          <w:u w:val="single"/>
        </w:rPr>
        <w:t xml:space="preserve">          </w:t>
      </w:r>
      <w:r>
        <w:rPr>
          <w:sz w:val="21"/>
          <w:color w:val="000000"/>
        </w:rPr>
        <w:t xml:space="preserve">‰的数额向甲方支付违约金，逾期三十日以上的，甲方有权单方解除合同，乙方除应向甲方退还对应产品或服务的合同金额外，还应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  </w:t>
      </w:r>
      <w:r>
        <w:rPr>
          <w:sz w:val="21"/>
          <w:u w:val="single"/>
        </w:rPr>
        <w:t xml:space="preserve">      </w:t>
      </w:r>
      <w:r>
        <w:rPr>
          <w:sz w:val="21"/>
          <w:color w:val="000000"/>
        </w:rPr>
        <w:t>%。</w:t>
      </w:r>
    </w:p>
    <w:p>
      <w:pPr>
        <w:pStyle w:val="null3"/>
        <w:ind w:left="705"/>
        <w:jc w:val="both"/>
        <w:outlineLvl w:val="0"/>
      </w:pPr>
      <w:r>
        <w:rPr>
          <w:sz w:val="21"/>
          <w:b/>
          <w:color w:val="000000"/>
        </w:rPr>
        <w:t>24.2.2.</w:t>
      </w:r>
      <w:r>
        <w:rPr>
          <w:sz w:val="21"/>
          <w:b/>
          <w:color w:val="000000"/>
        </w:rPr>
        <w:t>服务违约责任</w:t>
      </w:r>
    </w:p>
    <w:p>
      <w:pPr>
        <w:pStyle w:val="null3"/>
        <w:ind w:firstLine="420"/>
        <w:jc w:val="both"/>
      </w:pPr>
      <w:r>
        <w:rPr>
          <w:sz w:val="21"/>
          <w:color w:val="000000"/>
        </w:rPr>
        <w:t>乙方服务期限内须严格遵守服务质量承诺及相关管理规定确保服务质量，对于违反服务质量承诺和服务水平约定造成服务质量下降的，乙方应向甲方承担相应的违约责任。</w:t>
      </w:r>
    </w:p>
    <w:p>
      <w:pPr>
        <w:pStyle w:val="null3"/>
        <w:ind w:left="705"/>
        <w:jc w:val="both"/>
        <w:outlineLvl w:val="0"/>
      </w:pPr>
      <w:r>
        <w:rPr>
          <w:sz w:val="21"/>
          <w:b/>
          <w:color w:val="000000"/>
        </w:rPr>
        <w:t>24.2.3.</w:t>
      </w:r>
      <w:r>
        <w:rPr>
          <w:sz w:val="21"/>
          <w:b/>
          <w:color w:val="000000"/>
        </w:rPr>
        <w:t>质量违约责任</w:t>
      </w:r>
    </w:p>
    <w:p>
      <w:pPr>
        <w:pStyle w:val="null3"/>
        <w:ind w:left="855"/>
        <w:jc w:val="both"/>
        <w:outlineLvl w:val="0"/>
      </w:pPr>
      <w:r>
        <w:rPr>
          <w:sz w:val="21"/>
          <w:b/>
          <w:color w:val="000000"/>
        </w:rPr>
        <w:t>24.2.3.1.</w:t>
      </w:r>
      <w:r>
        <w:rPr>
          <w:sz w:val="21"/>
          <w:b/>
          <w:color w:val="000000"/>
        </w:rPr>
        <w:t>过程质量不合格</w:t>
      </w:r>
    </w:p>
    <w:p>
      <w:pPr>
        <w:pStyle w:val="null3"/>
        <w:ind w:firstLine="420"/>
        <w:jc w:val="both"/>
      </w:pPr>
      <w:r>
        <w:rPr>
          <w:sz w:val="21"/>
          <w:color w:val="000000"/>
        </w:rPr>
        <w:t>24.2.3.1.1乙方需针对项目质量管理设置奖惩制度，对有关人员进行奖励或处罚。对在项目过程中发现质量问题及时上报、解决问题过程中表现优秀的人员给予表扬、奖励；对项目质量管理工作中失职、违章的个人，应予以处罚并提供相应的奖惩记录文件备查。</w:t>
      </w:r>
    </w:p>
    <w:p>
      <w:pPr>
        <w:pStyle w:val="null3"/>
        <w:ind w:firstLine="420"/>
        <w:jc w:val="both"/>
      </w:pPr>
      <w:r>
        <w:rPr>
          <w:sz w:val="21"/>
          <w:color w:val="000000"/>
        </w:rPr>
        <w:t>24.2.3.1.2甲方应结合项目评价结果、项目验收效果等情况对乙方的质量管理情况进行考评，对质量管理工作不力、造成不良后果的，按甲方要求的合理期限内整改处理。</w:t>
      </w:r>
    </w:p>
    <w:p>
      <w:pPr>
        <w:pStyle w:val="null3"/>
        <w:ind w:firstLine="420"/>
        <w:jc w:val="both"/>
      </w:pPr>
      <w:r>
        <w:rPr>
          <w:sz w:val="21"/>
          <w:color w:val="000000"/>
        </w:rPr>
        <w:t>24.2.3.1.3项目实施过程中，甲方聘请的监理单位有权在监理权限范围内向乙方发出整改通知单，乙方收到整改通知单，除按要求整改外，还应承担相应违约金，具体如下：乙方自收到第2份整改通知单起，乙方应承担的违约金为</w:t>
      </w:r>
      <w:r>
        <w:rPr>
          <w:sz w:val="21"/>
          <w:u w:val="single"/>
        </w:rPr>
        <w:t xml:space="preserve">        </w:t>
      </w:r>
      <w:r>
        <w:rPr>
          <w:sz w:val="21"/>
          <w:color w:val="000000"/>
        </w:rPr>
        <w:t>万元/份；当收到的整改通知单数量达</w:t>
      </w:r>
      <w:r>
        <w:rPr>
          <w:sz w:val="21"/>
          <w:color w:val="000000"/>
          <w:u w:val="single"/>
        </w:rPr>
        <w:t xml:space="preserve">  5 </w:t>
      </w:r>
      <w:r>
        <w:rPr>
          <w:sz w:val="21"/>
          <w:color w:val="000000"/>
        </w:rPr>
        <w:t>份（含）以上时，乙方应承担的违约金为</w:t>
      </w:r>
      <w:r>
        <w:rPr>
          <w:sz w:val="21"/>
          <w:u w:val="single"/>
        </w:rPr>
        <w:t xml:space="preserve">      </w:t>
      </w:r>
      <w:r>
        <w:rPr>
          <w:sz w:val="21"/>
          <w:color w:val="000000"/>
        </w:rPr>
        <w:t>万元/份。以上违约金经甲方确认后，甲方有权从合同尾款中直接扣除</w:t>
      </w:r>
      <w:r>
        <w:rPr>
          <w:sz w:val="21"/>
          <w:color w:val="000000"/>
        </w:rPr>
        <w:t>，若违约金累计超过尾款金额，则甲方有权就差额部分向乙方追索</w:t>
      </w:r>
      <w:r>
        <w:rPr>
          <w:sz w:val="21"/>
          <w:color w:val="000000"/>
        </w:rPr>
        <w:t>。(2份以上，建议每份整改通知单，乙方承担违约金占合同总金额0.5%，一般不超10万；5份以上，建议每份整改通知单，乙方承担违约金占合同总金额1%，一般不超过20万左右；特别重大项目可另行商定）</w:t>
      </w:r>
    </w:p>
    <w:p>
      <w:pPr>
        <w:pStyle w:val="null3"/>
        <w:ind w:left="855"/>
        <w:jc w:val="both"/>
        <w:outlineLvl w:val="0"/>
      </w:pPr>
      <w:r>
        <w:rPr>
          <w:sz w:val="21"/>
          <w:b/>
          <w:color w:val="000000"/>
        </w:rPr>
        <w:t>24.2.3.2.</w:t>
      </w:r>
      <w:r>
        <w:rPr>
          <w:sz w:val="21"/>
          <w:b/>
          <w:color w:val="000000"/>
        </w:rPr>
        <w:t>服务最终验收不合格</w:t>
      </w:r>
    </w:p>
    <w:p>
      <w:pPr>
        <w:pStyle w:val="null3"/>
        <w:ind w:firstLine="420"/>
        <w:jc w:val="both"/>
      </w:pPr>
      <w:r>
        <w:rPr>
          <w:sz w:val="21"/>
          <w:color w:val="000000"/>
        </w:rPr>
        <w:t>乙方交付的产品或服务不能满足甲方书面要求，甲方有权要求乙方整改，并由乙方承担由此产生的费用。乙方在甲方指定期限内拒绝整改或整改后仍不符合要求的，甲方有权解除合同，乙方除向甲方退还对应产品或服务的合同金额外，还应额外</w:t>
      </w:r>
      <w:r>
        <w:rPr>
          <w:sz w:val="21"/>
          <w:color w:val="000000"/>
        </w:rPr>
        <w:t>赔偿因此给</w:t>
      </w:r>
      <w:r>
        <w:rPr>
          <w:sz w:val="21"/>
          <w:color w:val="000000"/>
        </w:rPr>
        <w:t>甲方造成的直接经济损失</w:t>
      </w:r>
      <w:r>
        <w:rPr>
          <w:sz w:val="21"/>
          <w:color w:val="000000"/>
        </w:rPr>
        <w:t>（包括但不限于守约方的直接经济损失、预期可得利益损失以及为实现债权而支出的律师费、保全费、诉讼费、公证费、鉴定费、调查费等一切费用）。直接损失难以认定的，乙方应付违约金不应低于合同总金额的</w:t>
      </w:r>
      <w:r>
        <w:rPr>
          <w:sz w:val="21"/>
          <w:u w:val="single"/>
        </w:rPr>
        <w:t xml:space="preserve">     </w:t>
      </w:r>
      <w:r>
        <w:rPr>
          <w:sz w:val="21"/>
          <w:color w:val="000000"/>
        </w:rPr>
        <w:t xml:space="preserve"> %</w:t>
      </w:r>
      <w:r>
        <w:rPr>
          <w:sz w:val="21"/>
          <w:color w:val="000000"/>
        </w:rPr>
        <w:t>。</w:t>
      </w:r>
    </w:p>
    <w:p>
      <w:pPr>
        <w:pStyle w:val="null3"/>
        <w:ind w:left="705"/>
        <w:jc w:val="both"/>
        <w:outlineLvl w:val="0"/>
      </w:pPr>
      <w:r>
        <w:rPr>
          <w:sz w:val="21"/>
          <w:b/>
          <w:color w:val="000000"/>
        </w:rPr>
        <w:t>24.2.4.</w:t>
      </w:r>
      <w:r>
        <w:rPr>
          <w:sz w:val="21"/>
          <w:b/>
          <w:color w:val="000000"/>
        </w:rPr>
        <w:t>保密违约责任</w:t>
      </w:r>
    </w:p>
    <w:p>
      <w:pPr>
        <w:pStyle w:val="null3"/>
        <w:ind w:firstLine="420"/>
        <w:jc w:val="both"/>
      </w:pPr>
      <w:r>
        <w:rPr>
          <w:sz w:val="21"/>
          <w:color w:val="000000"/>
        </w:rPr>
        <w:t>乙方违反本合同保密条款的，应承担违约责任。如果给甲方造成经济损失，乙方应赔偿甲方的直接经济损失及承担甲方因此而支出的一切合理费用（包括但不限于律师费、案件受理费、执行费、差旅费等）；如果因乙方恶意泄露信息资料，给甲方造成严重后果的，除应赔偿甲方的直接经济损失及承担甲方因此而支出的一切合理费用外，甲方将通过法律手段追究乙方责任。</w:t>
      </w:r>
    </w:p>
    <w:p>
      <w:pPr>
        <w:pStyle w:val="null3"/>
        <w:ind w:left="705"/>
        <w:jc w:val="both"/>
        <w:outlineLvl w:val="0"/>
      </w:pPr>
      <w:r>
        <w:rPr>
          <w:sz w:val="21"/>
          <w:b/>
          <w:color w:val="000000"/>
        </w:rPr>
        <w:t>24.2.5.</w:t>
      </w:r>
      <w:r>
        <w:rPr>
          <w:sz w:val="21"/>
          <w:b/>
          <w:color w:val="000000"/>
        </w:rPr>
        <w:t>转包、违规分包违约责任</w:t>
      </w:r>
    </w:p>
    <w:p>
      <w:pPr>
        <w:pStyle w:val="null3"/>
        <w:ind w:firstLine="420"/>
        <w:jc w:val="both"/>
      </w:pPr>
      <w:r>
        <w:rPr>
          <w:sz w:val="21"/>
          <w:color w:val="000000"/>
        </w:rPr>
        <w:t>24.2.5.1.乙方将本合同全部或肢解后转包的，一经发现，甲方有权单方解除合同，并上报政府采购监管部门。甲方有权要求乙方按照对应转包的产品或服务合同金额予以赔偿外，若由此造成甲方其他直接损失的，乙方仍应予以赔偿。</w:t>
      </w:r>
    </w:p>
    <w:p>
      <w:pPr>
        <w:pStyle w:val="null3"/>
        <w:ind w:firstLine="420"/>
        <w:jc w:val="both"/>
      </w:pPr>
      <w:r>
        <w:rPr>
          <w:sz w:val="21"/>
          <w:color w:val="000000"/>
        </w:rPr>
        <w:t>24.2.5.2.</w:t>
      </w:r>
      <w:r>
        <w:rPr>
          <w:sz w:val="21"/>
          <w:color w:val="000000"/>
        </w:rPr>
        <w:t>除甲方在采购文件明确允许以分包形式履行，且乙方在投标环节已签订分包意向协议的情形外</w:t>
      </w:r>
      <w:r>
        <w:rPr>
          <w:sz w:val="21"/>
          <w:color w:val="000000"/>
        </w:rPr>
        <w:t>，将本合同项下服务内容进行分包的，甲方有权要求乙方支付违约金，违约金应不低于合同总金额的</w:t>
      </w:r>
      <w:r>
        <w:rPr>
          <w:sz w:val="21"/>
          <w:u w:val="single"/>
        </w:rPr>
        <w:t xml:space="preserve">     </w:t>
      </w:r>
      <w:r>
        <w:rPr>
          <w:sz w:val="21"/>
          <w:color w:val="000000"/>
        </w:rPr>
        <w:t xml:space="preserve"> %，而且甲方有权将违约金直接在剩余合同款项中予以扣减，并保留向政府采购监管部门进行投诉的权利。</w:t>
      </w:r>
    </w:p>
    <w:p>
      <w:pPr>
        <w:pStyle w:val="null3"/>
        <w:ind w:left="705"/>
        <w:jc w:val="both"/>
        <w:outlineLvl w:val="0"/>
      </w:pPr>
      <w:r>
        <w:rPr>
          <w:sz w:val="21"/>
          <w:b/>
          <w:color w:val="000000"/>
        </w:rPr>
        <w:t>24.2.6.</w:t>
      </w:r>
      <w:r>
        <w:rPr>
          <w:sz w:val="21"/>
          <w:b/>
          <w:color w:val="000000"/>
        </w:rPr>
        <w:t>其他违约责任</w:t>
      </w:r>
    </w:p>
    <w:p>
      <w:pPr>
        <w:pStyle w:val="null3"/>
        <w:ind w:firstLine="420"/>
        <w:jc w:val="both"/>
      </w:pPr>
      <w:r>
        <w:rPr>
          <w:sz w:val="21"/>
          <w:color w:val="000000"/>
        </w:rPr>
        <w:t>24.2.6.1.乙方出现</w:t>
      </w:r>
      <w:r>
        <w:rPr>
          <w:sz w:val="21"/>
          <w:color w:val="000000"/>
          <w:u w:val="single"/>
        </w:rPr>
        <w:t>本合同第21.1.1.条</w:t>
      </w:r>
      <w:r>
        <w:rPr>
          <w:sz w:val="21"/>
          <w:color w:val="000000"/>
        </w:rPr>
        <w:t>约定的情形之一，导致合同终止的，乙方应当</w:t>
      </w:r>
      <w:r>
        <w:rPr>
          <w:sz w:val="21"/>
          <w:color w:val="000000"/>
        </w:rPr>
        <w:t>按违约行为所对应金额的</w:t>
      </w:r>
      <w:r>
        <w:rPr>
          <w:sz w:val="21"/>
          <w:u w:val="single"/>
        </w:rPr>
        <w:t xml:space="preserve">   </w:t>
      </w:r>
      <w:r>
        <w:rPr>
          <w:sz w:val="21"/>
          <w:color w:val="000000"/>
        </w:rPr>
        <w:t xml:space="preserve"> %向甲方支付违约金，且赔偿甲方因此遭受的直接经济损失。</w:t>
      </w:r>
    </w:p>
    <w:p>
      <w:pPr>
        <w:pStyle w:val="null3"/>
        <w:ind w:firstLine="420"/>
        <w:jc w:val="both"/>
      </w:pPr>
      <w:r>
        <w:rPr>
          <w:sz w:val="21"/>
          <w:color w:val="000000"/>
        </w:rPr>
        <w:t>24.2.6.2.乙方支付的违约金和赔偿金总额不超过本合同金额的</w:t>
      </w:r>
      <w:r>
        <w:rPr>
          <w:sz w:val="21"/>
          <w:u w:val="single"/>
        </w:rPr>
        <w:t xml:space="preserve">     </w:t>
      </w:r>
      <w:r>
        <w:rPr>
          <w:sz w:val="21"/>
          <w:color w:val="000000"/>
        </w:rPr>
        <w:t>%。</w:t>
      </w:r>
    </w:p>
    <w:p>
      <w:pPr>
        <w:pStyle w:val="null3"/>
        <w:ind w:firstLine="422"/>
        <w:jc w:val="center"/>
      </w:pPr>
      <w:r>
        <w:rPr>
          <w:sz w:val="21"/>
          <w:b/>
          <w:color w:val="000000"/>
        </w:rPr>
        <w:t>第九章争议解决</w:t>
      </w:r>
    </w:p>
    <w:p>
      <w:pPr>
        <w:pStyle w:val="null3"/>
        <w:ind w:left="420"/>
        <w:jc w:val="both"/>
        <w:outlineLvl w:val="0"/>
      </w:pPr>
      <w:r>
        <w:rPr>
          <w:sz w:val="21"/>
          <w:b/>
          <w:color w:val="000000"/>
        </w:rPr>
        <w:t>25.</w:t>
      </w:r>
      <w:r>
        <w:rPr>
          <w:sz w:val="21"/>
          <w:b/>
          <w:color w:val="000000"/>
        </w:rPr>
        <w:t>争议解决方式</w:t>
      </w:r>
    </w:p>
    <w:p>
      <w:pPr>
        <w:pStyle w:val="null3"/>
        <w:ind w:firstLine="420"/>
        <w:jc w:val="both"/>
      </w:pPr>
      <w:r>
        <w:rPr>
          <w:sz w:val="21"/>
          <w:color w:val="000000"/>
        </w:rPr>
        <w:t>25.1.因履行合同所发生的一切争议，双方应友好协商解决，协商不成的，按下列第</w:t>
      </w:r>
      <w:r>
        <w:rPr>
          <w:sz w:val="21"/>
          <w:color w:val="000000"/>
          <w:u w:val="single"/>
        </w:rPr>
        <w:t>（2）</w:t>
      </w:r>
      <w:r>
        <w:rPr>
          <w:sz w:val="21"/>
          <w:color w:val="000000"/>
        </w:rPr>
        <w:t>种方式解决：</w:t>
      </w:r>
    </w:p>
    <w:p>
      <w:pPr>
        <w:pStyle w:val="null3"/>
        <w:ind w:firstLine="420"/>
        <w:jc w:val="both"/>
      </w:pPr>
      <w:r>
        <w:rPr>
          <w:sz w:val="21"/>
          <w:color w:val="000000"/>
        </w:rPr>
        <w:t>（1）提交中国广州仲裁委员会仲裁，仲裁裁决为终局裁决；</w:t>
      </w:r>
    </w:p>
    <w:p>
      <w:pPr>
        <w:pStyle w:val="null3"/>
        <w:ind w:firstLine="420"/>
        <w:jc w:val="both"/>
      </w:pPr>
      <w:r>
        <w:rPr>
          <w:sz w:val="21"/>
          <w:color w:val="000000"/>
        </w:rPr>
        <w:t>（2）双方均同意向甲方所在地人民法院提起诉讼，律师代理费用等均由败诉方承担。</w:t>
      </w:r>
    </w:p>
    <w:p>
      <w:pPr>
        <w:pStyle w:val="null3"/>
        <w:ind w:firstLine="420"/>
        <w:jc w:val="both"/>
      </w:pPr>
      <w:r>
        <w:rPr>
          <w:sz w:val="21"/>
          <w:color w:val="000000"/>
        </w:rPr>
        <w:t>25.2在仲裁、诉讼进行过程中，双方将继续履行本合同未涉诉</w:t>
      </w:r>
      <w:r>
        <w:rPr>
          <w:sz w:val="21"/>
          <w:color w:val="000000"/>
        </w:rPr>
        <w:t>的其他部分</w:t>
      </w:r>
      <w:r>
        <w:rPr>
          <w:sz w:val="21"/>
          <w:color w:val="000000"/>
        </w:rPr>
        <w:t>（合同被解除或终止的除外）。</w:t>
      </w:r>
    </w:p>
    <w:p>
      <w:pPr>
        <w:pStyle w:val="null3"/>
        <w:ind w:firstLine="420"/>
        <w:jc w:val="both"/>
      </w:pPr>
      <w:r>
        <w:rPr>
          <w:sz w:val="21"/>
          <w:color w:val="000000"/>
        </w:rPr>
        <w:t>25.3双方对于合同履行期间难以确定过错归属的，可以向双方认可的第三方机构申请鉴定，确认责任。鉴定费用由主张对方存在过错的一方先行垫付，最终由鉴定存在过错的一方承担。</w:t>
      </w:r>
    </w:p>
    <w:p>
      <w:pPr>
        <w:pStyle w:val="null3"/>
        <w:ind w:firstLine="422"/>
        <w:jc w:val="center"/>
      </w:pPr>
      <w:r>
        <w:rPr>
          <w:sz w:val="21"/>
          <w:b/>
          <w:color w:val="000000"/>
        </w:rPr>
        <w:t>第十章 保密范围及责任</w:t>
      </w:r>
    </w:p>
    <w:p>
      <w:pPr>
        <w:pStyle w:val="null3"/>
        <w:ind w:left="420"/>
        <w:jc w:val="both"/>
        <w:outlineLvl w:val="0"/>
      </w:pPr>
      <w:r>
        <w:rPr>
          <w:sz w:val="21"/>
          <w:b/>
          <w:color w:val="000000"/>
        </w:rPr>
        <w:t>26.</w:t>
      </w:r>
      <w:r>
        <w:rPr>
          <w:sz w:val="21"/>
          <w:b/>
          <w:color w:val="000000"/>
        </w:rPr>
        <w:t>保密信息范围</w:t>
      </w:r>
    </w:p>
    <w:p>
      <w:pPr>
        <w:pStyle w:val="null3"/>
        <w:ind w:left="210" w:firstLine="420"/>
        <w:jc w:val="both"/>
      </w:pPr>
      <w:r>
        <w:rPr>
          <w:sz w:val="21"/>
          <w:color w:val="000000"/>
        </w:rPr>
        <w:t>26.1.在本合同执行过程中乙方接触的甲方所有业务信息（包括但不限于合同、计划、文档、方案、图纸、数据等）。</w:t>
      </w:r>
    </w:p>
    <w:p>
      <w:pPr>
        <w:pStyle w:val="null3"/>
        <w:ind w:left="210" w:firstLine="420"/>
        <w:jc w:val="both"/>
      </w:pPr>
      <w:r>
        <w:rPr>
          <w:sz w:val="21"/>
          <w:color w:val="000000"/>
        </w:rPr>
        <w:t>26.2.在本合同执行过程中接触的政府机关文件（包括但不限于内部发文、各类通知及会议记录等）。</w:t>
      </w:r>
    </w:p>
    <w:p>
      <w:pPr>
        <w:pStyle w:val="null3"/>
        <w:ind w:left="210" w:firstLine="420"/>
        <w:jc w:val="both"/>
      </w:pPr>
      <w:r>
        <w:rPr>
          <w:sz w:val="21"/>
          <w:color w:val="000000"/>
        </w:rPr>
        <w:t>26.3.其他详细保密条款内容见附件。</w:t>
      </w:r>
    </w:p>
    <w:p>
      <w:pPr>
        <w:pStyle w:val="null3"/>
        <w:ind w:left="420"/>
        <w:jc w:val="both"/>
        <w:outlineLvl w:val="0"/>
      </w:pPr>
      <w:r>
        <w:rPr>
          <w:sz w:val="21"/>
          <w:b/>
          <w:color w:val="000000"/>
        </w:rPr>
        <w:t>27.</w:t>
      </w:r>
      <w:r>
        <w:rPr>
          <w:sz w:val="21"/>
          <w:b/>
          <w:color w:val="000000"/>
        </w:rPr>
        <w:t>保密责任</w:t>
      </w:r>
    </w:p>
    <w:p>
      <w:pPr>
        <w:pStyle w:val="null3"/>
        <w:ind w:left="210" w:right="30" w:firstLine="420"/>
        <w:jc w:val="left"/>
      </w:pPr>
      <w:r>
        <w:rPr>
          <w:sz w:val="21"/>
          <w:color w:val="000000"/>
        </w:rPr>
        <w:t>27.1.乙方对其因身份、职务、职业或技术关系而知悉的甲方商业秘密和党政机关保密信息应严格保守，保证不被披露或使用，包括意外或过失。</w:t>
      </w:r>
    </w:p>
    <w:p>
      <w:pPr>
        <w:pStyle w:val="null3"/>
        <w:ind w:left="210" w:right="30" w:firstLine="420"/>
        <w:jc w:val="left"/>
      </w:pPr>
      <w:r>
        <w:rPr>
          <w:sz w:val="21"/>
          <w:color w:val="000000"/>
        </w:rPr>
        <w:t>27.2.乙方不得以竞争为目的</w:t>
      </w:r>
      <w:r>
        <w:rPr>
          <w:sz w:val="21"/>
          <w:color w:val="000000"/>
        </w:rPr>
        <w:t>或</w:t>
      </w:r>
      <w:r>
        <w:rPr>
          <w:sz w:val="21"/>
          <w:color w:val="000000"/>
        </w:rPr>
        <w:t>出于私利</w:t>
      </w:r>
      <w:r>
        <w:rPr>
          <w:sz w:val="21"/>
          <w:color w:val="000000"/>
        </w:rPr>
        <w:t>或</w:t>
      </w:r>
      <w:r>
        <w:rPr>
          <w:sz w:val="21"/>
          <w:color w:val="000000"/>
        </w:rPr>
        <w:t>为第三人谋利而擅自保存、复制、披露、使用甲方商业秘密和党政机关保密信息；不得直接或间接地向无关人员泄露甲方的商业秘密和党政机关保密信息；不得向不承担保密义务的任何第三人披露甲方的商业秘密和党政机关保密信息。由此造成甲方损失的，乙方应负责赔偿。</w:t>
      </w:r>
    </w:p>
    <w:p>
      <w:pPr>
        <w:pStyle w:val="null3"/>
        <w:ind w:left="210" w:right="30" w:firstLine="420"/>
        <w:jc w:val="left"/>
      </w:pPr>
      <w:r>
        <w:rPr>
          <w:sz w:val="21"/>
          <w:color w:val="000000"/>
        </w:rPr>
        <w:t>27.3.乙方在从事政府项目时，不得擅自记录、复制、拍摄、摘抄、收藏在工作中涉及的保密信息，严禁将涉及政府项目的任何资料、数据透露或以其他方式提供给本项目以外的其他方或乙方内部与本项目无关的任何人员。由此造成甲方损失的，乙方应负责赔偿。</w:t>
      </w:r>
    </w:p>
    <w:p>
      <w:pPr>
        <w:pStyle w:val="null3"/>
        <w:ind w:left="210" w:right="30" w:firstLine="420"/>
        <w:jc w:val="left"/>
      </w:pPr>
      <w:r>
        <w:rPr>
          <w:sz w:val="21"/>
          <w:color w:val="000000"/>
        </w:rPr>
        <w:t>27.4.乙方对于工作期间知悉甲方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乙方应当在完成委托事项或本合同终止或解除时将资料原件全部返还甲方，并销毁所有复制件。</w:t>
      </w:r>
    </w:p>
    <w:p>
      <w:pPr>
        <w:pStyle w:val="null3"/>
        <w:ind w:left="210" w:right="30" w:firstLine="420"/>
        <w:jc w:val="left"/>
      </w:pPr>
      <w:r>
        <w:rPr>
          <w:sz w:val="21"/>
          <w:color w:val="000000"/>
        </w:rPr>
        <w:t>27.5.严禁泄露在工作中接触到的政府机关科技研究、发明、装备器材及其技术资料和政府工作信息。</w:t>
      </w:r>
    </w:p>
    <w:p>
      <w:pPr>
        <w:pStyle w:val="null3"/>
        <w:ind w:left="210" w:right="30" w:firstLine="420"/>
        <w:jc w:val="left"/>
      </w:pPr>
      <w:r>
        <w:rPr>
          <w:sz w:val="21"/>
          <w:color w:val="000000"/>
        </w:rPr>
        <w:t>27.6.未经甲方书面同意，乙方不得带领无关人员进入甲方办公场所，若从事政府项目工作，未经政府机关工作人员允许，不得进入与项目服务无关的政府机关其他办公场所。</w:t>
      </w:r>
    </w:p>
    <w:p>
      <w:pPr>
        <w:pStyle w:val="null3"/>
        <w:ind w:left="210" w:right="30" w:firstLine="420"/>
        <w:jc w:val="left"/>
      </w:pPr>
      <w:r>
        <w:rPr>
          <w:sz w:val="21"/>
          <w:color w:val="000000"/>
        </w:rPr>
        <w:t>27.7.乙方的保密义务延及乙方聘用的员工、工作人员，如因其员工、工作人员导致本合同保密义务的违反或商业秘密的泄露，由乙方承担全部违约责任。</w:t>
      </w:r>
    </w:p>
    <w:p>
      <w:pPr>
        <w:pStyle w:val="null3"/>
        <w:ind w:left="210" w:right="30" w:firstLine="420"/>
        <w:jc w:val="left"/>
      </w:pPr>
      <w:r>
        <w:rPr>
          <w:sz w:val="21"/>
          <w:color w:val="000000"/>
        </w:rPr>
        <w:t>27.8.涉及政府机关项目的保密内容可根据政府机关意见，相应增加修改，乙方予以接受并同意履行相应保密责任。</w:t>
      </w:r>
    </w:p>
    <w:p>
      <w:pPr>
        <w:pStyle w:val="null3"/>
        <w:ind w:firstLine="422"/>
        <w:jc w:val="center"/>
      </w:pPr>
      <w:r>
        <w:rPr>
          <w:sz w:val="21"/>
          <w:b/>
          <w:color w:val="000000"/>
        </w:rPr>
        <w:t>第十一章 项目资产权属</w:t>
      </w:r>
    </w:p>
    <w:p>
      <w:pPr>
        <w:pStyle w:val="null3"/>
        <w:ind w:left="420"/>
        <w:jc w:val="both"/>
        <w:outlineLvl w:val="0"/>
      </w:pPr>
      <w:r>
        <w:rPr>
          <w:sz w:val="21"/>
          <w:b/>
          <w:color w:val="000000"/>
        </w:rPr>
        <w:t>28.</w:t>
      </w:r>
      <w:r>
        <w:rPr>
          <w:sz w:val="21"/>
          <w:b/>
          <w:color w:val="000000"/>
        </w:rPr>
        <w:t>项目资产权属</w:t>
      </w:r>
    </w:p>
    <w:p>
      <w:pPr>
        <w:pStyle w:val="null3"/>
        <w:ind w:firstLine="420"/>
        <w:jc w:val="both"/>
      </w:pPr>
      <w:r>
        <w:rPr>
          <w:sz w:val="21"/>
          <w:color w:val="000000"/>
        </w:rPr>
        <w:t>28.1.本合同不会引起任何已申请、登记的知识产权所有权的转移。</w:t>
      </w:r>
    </w:p>
    <w:p>
      <w:pPr>
        <w:pStyle w:val="null3"/>
        <w:ind w:firstLine="420"/>
        <w:jc w:val="both"/>
      </w:pPr>
      <w:r>
        <w:rPr>
          <w:sz w:val="21"/>
          <w:color w:val="000000"/>
        </w:rPr>
        <w:t>28.2.本项目所涉服务成果的知识产权包括</w:t>
      </w:r>
      <w:r>
        <w:rPr>
          <w:sz w:val="21"/>
          <w:u w:val="single"/>
        </w:rPr>
        <w:t xml:space="preserve">        </w:t>
      </w:r>
      <w:r>
        <w:rPr>
          <w:sz w:val="21"/>
          <w:color w:val="000000"/>
        </w:rPr>
        <w:t>：</w:t>
      </w:r>
    </w:p>
    <w:p>
      <w:pPr>
        <w:pStyle w:val="null3"/>
        <w:ind w:firstLine="420"/>
        <w:jc w:val="both"/>
      </w:pPr>
      <w:r>
        <w:rPr>
          <w:sz w:val="21"/>
          <w:color w:val="000000"/>
        </w:rPr>
        <w:t>（1）软件著作权；</w:t>
      </w:r>
      <w:r>
        <w:rPr>
          <w:sz w:val="21"/>
          <w:i/>
          <w:color w:val="000000"/>
        </w:rPr>
        <w:t>（定制软件开发服务、定制软件升级服务、定制软件租赁服务一般都涉及）</w:t>
      </w:r>
    </w:p>
    <w:p>
      <w:pPr>
        <w:pStyle w:val="null3"/>
        <w:ind w:firstLine="420"/>
        <w:jc w:val="both"/>
      </w:pPr>
      <w:r>
        <w:rPr>
          <w:sz w:val="21"/>
          <w:color w:val="000000"/>
        </w:rPr>
        <w:t>（2）商标权；</w:t>
      </w:r>
    </w:p>
    <w:p>
      <w:pPr>
        <w:pStyle w:val="null3"/>
        <w:ind w:firstLine="420"/>
        <w:jc w:val="both"/>
      </w:pPr>
      <w:r>
        <w:rPr>
          <w:sz w:val="21"/>
          <w:color w:val="000000"/>
        </w:rPr>
        <w:t>（3）专利权；</w:t>
      </w:r>
    </w:p>
    <w:p>
      <w:pPr>
        <w:pStyle w:val="null3"/>
        <w:ind w:firstLine="420"/>
        <w:jc w:val="both"/>
      </w:pPr>
      <w:r>
        <w:rPr>
          <w:sz w:val="21"/>
          <w:color w:val="000000"/>
        </w:rPr>
        <w:t>（4）其他：</w:t>
      </w:r>
      <w:r>
        <w:rPr>
          <w:sz w:val="21"/>
          <w:u w:val="single"/>
        </w:rPr>
        <w:t xml:space="preserve">                      </w:t>
      </w:r>
      <w:r>
        <w:rPr>
          <w:sz w:val="21"/>
          <w:color w:val="000000"/>
        </w:rPr>
        <w:t>。</w:t>
      </w:r>
    </w:p>
    <w:p>
      <w:pPr>
        <w:pStyle w:val="null3"/>
        <w:ind w:firstLine="420"/>
        <w:jc w:val="both"/>
      </w:pPr>
      <w:r>
        <w:rPr>
          <w:sz w:val="21"/>
          <w:color w:val="000000"/>
        </w:rPr>
        <w:t>28.3.甲乙双方一致同意，本合同所涉</w:t>
      </w:r>
      <w:r>
        <w:rPr>
          <w:sz w:val="21"/>
          <w:color w:val="000000"/>
          <w:u w:val="single"/>
        </w:rPr>
        <w:t xml:space="preserve">  软件开发  </w:t>
      </w:r>
      <w:r>
        <w:rPr>
          <w:sz w:val="21"/>
          <w:color w:val="000000"/>
        </w:rPr>
        <w:t>服务成果的知识产权归属按下列第</w:t>
      </w:r>
      <w:r>
        <w:rPr>
          <w:sz w:val="21"/>
          <w:color w:val="000000"/>
          <w:u w:val="single"/>
        </w:rPr>
        <w:t xml:space="preserve"> （1） </w:t>
      </w:r>
      <w:r>
        <w:rPr>
          <w:sz w:val="21"/>
          <w:color w:val="000000"/>
        </w:rPr>
        <w:t>种方式处理；本合同所涉</w:t>
      </w:r>
      <w:r>
        <w:rPr>
          <w:sz w:val="21"/>
          <w:color w:val="000000"/>
          <w:u w:val="single"/>
        </w:rPr>
        <w:t xml:space="preserve">  定制软件租赁  </w:t>
      </w:r>
      <w:r>
        <w:rPr>
          <w:sz w:val="21"/>
          <w:color w:val="000000"/>
        </w:rPr>
        <w:t>服务成果的知识产权归属按下列第</w:t>
      </w:r>
      <w:r>
        <w:rPr>
          <w:sz w:val="21"/>
          <w:color w:val="000000"/>
          <w:u w:val="single"/>
        </w:rPr>
        <w:t xml:space="preserve"> （2） </w:t>
      </w:r>
      <w:r>
        <w:rPr>
          <w:sz w:val="21"/>
          <w:color w:val="000000"/>
        </w:rPr>
        <w:t>种方式处理；本合同所涉</w:t>
      </w:r>
      <w:r>
        <w:rPr>
          <w:sz w:val="21"/>
          <w:color w:val="000000"/>
          <w:u w:val="single"/>
        </w:rPr>
        <w:t xml:space="preserve">  运营服务和成品软件租赁  </w:t>
      </w:r>
      <w:r>
        <w:rPr>
          <w:sz w:val="21"/>
          <w:color w:val="000000"/>
        </w:rPr>
        <w:t>服务成果的知识产权归属按下列第</w:t>
      </w:r>
      <w:r>
        <w:rPr>
          <w:sz w:val="21"/>
          <w:color w:val="000000"/>
          <w:u w:val="single"/>
        </w:rPr>
        <w:t xml:space="preserve"> （3） </w:t>
      </w:r>
      <w:r>
        <w:rPr>
          <w:sz w:val="21"/>
          <w:color w:val="000000"/>
        </w:rPr>
        <w:t>种方式处理；本合同所涉</w:t>
      </w:r>
      <w:r>
        <w:rPr>
          <w:sz w:val="21"/>
          <w:color w:val="000000"/>
          <w:u w:val="single"/>
        </w:rPr>
        <w:t xml:space="preserve">  基础设施租赁和运维  </w:t>
      </w:r>
      <w:r>
        <w:rPr>
          <w:sz w:val="21"/>
          <w:color w:val="000000"/>
        </w:rPr>
        <w:t>服务成果的知识产权归属按下列第</w:t>
      </w:r>
      <w:r>
        <w:rPr>
          <w:sz w:val="21"/>
          <w:color w:val="000000"/>
          <w:u w:val="single"/>
        </w:rPr>
        <w:t xml:space="preserve"> （4） </w:t>
      </w:r>
      <w:r>
        <w:rPr>
          <w:sz w:val="21"/>
          <w:color w:val="000000"/>
        </w:rPr>
        <w:t>种方式处理。其中</w:t>
      </w:r>
      <w:r>
        <w:rPr>
          <w:sz w:val="21"/>
          <w:color w:val="000000"/>
          <w:u w:val="single"/>
        </w:rPr>
        <w:t xml:space="preserve">          服务涉及知识产权登记，</w:t>
      </w:r>
      <w:r>
        <w:rPr>
          <w:sz w:val="21"/>
          <w:color w:val="000000"/>
        </w:rPr>
        <w:t>在确保用户隐私和数据安全的前提下，甲方授权乙方代为办理知识产权的登记、申报、备案、变更、领取知识产权文件等手续。乙方基于甲方的授权，负责将知识产权进行著作权登记至甲方名下单独享有（或登记为甲乙双方共同所有），因办理著作权登记手续产生的各项费用（如申请费、登记费、服务费）等，均已包含在本合同价款内，乙方不再额外收取甲方任何费用。（知识产权命名方式：知识产权名称+版本号</w:t>
      </w:r>
      <w:r>
        <w:rPr>
          <w:sz w:val="21"/>
          <w:color w:val="000000"/>
          <w:u w:val="single"/>
        </w:rPr>
        <w:t>[简称：xx]</w:t>
      </w:r>
      <w:r>
        <w:rPr>
          <w:sz w:val="21"/>
          <w:color w:val="000000"/>
        </w:rPr>
        <w:t>【名称以甲方确认为准，建议在签订合同前明确知识产权名称】）</w:t>
      </w:r>
    </w:p>
    <w:p>
      <w:pPr>
        <w:pStyle w:val="null3"/>
        <w:ind w:firstLine="420"/>
        <w:jc w:val="both"/>
      </w:pPr>
      <w:r>
        <w:rPr>
          <w:sz w:val="21"/>
          <w:color w:val="000000"/>
        </w:rPr>
        <w:t>（1）乙方</w:t>
      </w:r>
      <w:r>
        <w:rPr>
          <w:sz w:val="21"/>
          <w:color w:val="000000"/>
        </w:rPr>
        <w:t>负责开发软件服务，包括代码编写、调试、测试等开发工作，</w:t>
      </w:r>
      <w:r>
        <w:rPr>
          <w:sz w:val="21"/>
          <w:color w:val="000000"/>
        </w:rPr>
        <w:t>乙方为履行本合同义务所形成的服务成果的知识产权归</w:t>
      </w:r>
      <w:r>
        <w:rPr>
          <w:sz w:val="21"/>
          <w:color w:val="000000"/>
        </w:rPr>
        <w:t>甲方单独所有</w:t>
      </w:r>
      <w:r>
        <w:rPr>
          <w:sz w:val="21"/>
          <w:color w:val="000000"/>
        </w:rPr>
        <w:t>。</w:t>
      </w:r>
    </w:p>
    <w:p>
      <w:pPr>
        <w:pStyle w:val="null3"/>
        <w:ind w:firstLine="420"/>
        <w:jc w:val="both"/>
      </w:pPr>
      <w:r>
        <w:rPr>
          <w:sz w:val="21"/>
          <w:color w:val="000000"/>
        </w:rPr>
        <w:t>（2）乙方</w:t>
      </w:r>
      <w:r>
        <w:rPr>
          <w:sz w:val="21"/>
          <w:color w:val="000000"/>
        </w:rPr>
        <w:t>负责提供定制软件租赁服务，</w:t>
      </w:r>
      <w:r>
        <w:rPr>
          <w:sz w:val="21"/>
          <w:color w:val="000000"/>
        </w:rPr>
        <w:t>甲方基于本合同约定委托乙方定制开发的产品、程序、服务等的知识产权归甲、乙方共同所有，乙方应按甲方书面要求交付该共有部分的源代码；乙方在共有部分的基础上进行二次开发的及对二次开发形成的产品、程序等财产进行处置的，需经甲方书面同意，二次开发所形成的产品、程序、服务等的知识产权归开发者所有，共有部分仍归甲、乙方共同所有。乙方根据甲方授权，利用项目成果申请的商标、专利或输出的图片、视频等受知识产权保护的成果物，甲方有权无条件永久使用。</w:t>
      </w:r>
    </w:p>
    <w:p>
      <w:pPr>
        <w:pStyle w:val="null3"/>
        <w:ind w:firstLine="420"/>
        <w:jc w:val="both"/>
      </w:pPr>
      <w:r>
        <w:rPr>
          <w:sz w:val="21"/>
          <w:color w:val="000000"/>
        </w:rPr>
        <w:t>（3）乙方负责提供运营服务或成品软件租赁服务，乙方为履行本合同义务所形成的所有服务成果的知识产权（除成品软件开发涉及的知识产权）归甲方单独所有。</w:t>
      </w:r>
    </w:p>
    <w:p>
      <w:pPr>
        <w:pStyle w:val="null3"/>
        <w:ind w:firstLine="420"/>
        <w:jc w:val="both"/>
      </w:pPr>
      <w:r>
        <w:rPr>
          <w:sz w:val="21"/>
          <w:color w:val="000000"/>
        </w:rPr>
        <w:t>（4）本项目仅包含基础设施服务租用或运维服务，不涉及知识产权权属转移。</w:t>
      </w:r>
    </w:p>
    <w:p>
      <w:pPr>
        <w:pStyle w:val="null3"/>
        <w:ind w:firstLine="420"/>
        <w:jc w:val="both"/>
      </w:pPr>
      <w:r>
        <w:rPr>
          <w:sz w:val="21"/>
          <w:color w:val="000000"/>
        </w:rPr>
        <w:t>28.4.本合同所涉及的数据所有权归政府所有。数据资产的管理应遵循财政部《关于加强数据资产管理的指导意见》（财资〔2023〕141号）及其他相关法律、法规、政策要求。</w:t>
      </w:r>
    </w:p>
    <w:p>
      <w:pPr>
        <w:pStyle w:val="null3"/>
        <w:ind w:firstLine="420"/>
        <w:jc w:val="both"/>
      </w:pPr>
      <w:r>
        <w:rPr>
          <w:sz w:val="21"/>
          <w:color w:val="000000"/>
        </w:rPr>
        <w:t>28.5.本项目所涉服务成果的知识产权由甲方单独所有的，甲方在保持知识产权归属不变的前提下，授权乙方在依托“粤复用”进行复用推广的范围内使用以下权利：</w:t>
      </w:r>
    </w:p>
    <w:p>
      <w:pPr>
        <w:pStyle w:val="null3"/>
        <w:ind w:firstLine="420"/>
        <w:jc w:val="both"/>
      </w:pPr>
      <w:r>
        <w:rPr>
          <w:sz w:val="21"/>
          <w:color w:val="000000"/>
        </w:rPr>
        <w:t>（1）软件著作发表权的使用，乙方有权将基于本项目服务成果提炼形成的产品、组件上架“粤复用”，上架产品、组件的软件著作权归属与本项目服务成果保持不变，乙方应在“粤复用”上明确说明甲方单独享有上架产品、组件的软件著作权。</w:t>
      </w:r>
    </w:p>
    <w:p>
      <w:pPr>
        <w:pStyle w:val="null3"/>
        <w:ind w:firstLine="420"/>
        <w:jc w:val="both"/>
      </w:pPr>
      <w:r>
        <w:rPr>
          <w:sz w:val="21"/>
          <w:color w:val="000000"/>
        </w:rPr>
        <w:t>（2）软件著作权修改权与复制权的使用，乙方依托“粤复用”复用推广本项目服务成果或提炼形成的上架产品、组件时，可按照复用需求复制和修改本项目服务成果，形成复用案例并上架“粤复用”，并向甲方报备复用案例。</w:t>
      </w:r>
    </w:p>
    <w:p>
      <w:pPr>
        <w:pStyle w:val="null3"/>
        <w:ind w:firstLine="420"/>
        <w:jc w:val="both"/>
      </w:pPr>
      <w:r>
        <w:rPr>
          <w:sz w:val="21"/>
          <w:color w:val="000000"/>
        </w:rPr>
        <w:t>（3）除第（1）、（2）款授予的权利外，乙方依托“粤复用”进行复用推广涉及软件著作署名权、发行权、出租权、信息网络传播权、翻译权以及甲方享有的其他权利的使用，须事先经甲方书面同意或与甲方另行签署书面补充协议确定。</w:t>
      </w:r>
    </w:p>
    <w:p>
      <w:pPr>
        <w:pStyle w:val="null3"/>
        <w:ind w:firstLine="420"/>
        <w:jc w:val="both"/>
      </w:pPr>
      <w:r>
        <w:rPr>
          <w:sz w:val="21"/>
          <w:color w:val="000000"/>
        </w:rPr>
        <w:t>（4）乙方须事先经甲方书面同意或与甲方另行签署书面补充协议的情况下，才能在“粤复用”范围以外以任何形式使用本项目服务成果或上架产品、组件的相关全部或部分知识产权权利。</w:t>
      </w:r>
    </w:p>
    <w:p>
      <w:pPr>
        <w:pStyle w:val="null3"/>
        <w:ind w:firstLine="420"/>
        <w:jc w:val="both"/>
      </w:pPr>
      <w:r>
        <w:rPr>
          <w:sz w:val="21"/>
          <w:color w:val="000000"/>
        </w:rPr>
        <w:t>28.6.本项目所涉服务成果中，对于知识产权由甲、乙双方共同所有的部分，在保持知识产权归属不变的前提下，双方约定在依托“粤复用”进行复用推广的范围内按以下方式行使权利：</w:t>
      </w:r>
    </w:p>
    <w:p>
      <w:pPr>
        <w:pStyle w:val="null3"/>
        <w:ind w:firstLine="420"/>
        <w:jc w:val="both"/>
      </w:pPr>
      <w:r>
        <w:rPr>
          <w:sz w:val="21"/>
          <w:color w:val="000000"/>
        </w:rPr>
        <w:t>（1）软件著作发表权的使用，甲方将本项目服务成果形成应用案例，乙方提炼形成产品、组件，乙方应在上架“粤复用”时明确说明甲、乙双方共同所有软件著作权的情况。</w:t>
      </w:r>
    </w:p>
    <w:p>
      <w:pPr>
        <w:pStyle w:val="null3"/>
        <w:ind w:firstLine="420"/>
        <w:jc w:val="both"/>
      </w:pPr>
      <w:r>
        <w:rPr>
          <w:sz w:val="21"/>
          <w:color w:val="000000"/>
        </w:rPr>
        <w:t>（2）软件著作修改权与复制权的使用，甲、乙双方依托“粤复用”复用推广本项目服务成果时，乙方可按照复用需求复制和修改本项目服务成果，形成复用案例并上架“粤复用”，并向甲方报备复用案例。</w:t>
      </w:r>
    </w:p>
    <w:p>
      <w:pPr>
        <w:pStyle w:val="null3"/>
        <w:ind w:firstLine="420"/>
        <w:jc w:val="both"/>
      </w:pPr>
      <w:r>
        <w:rPr>
          <w:sz w:val="21"/>
          <w:color w:val="000000"/>
        </w:rPr>
        <w:t>（3）除第（1）、（2）款授予的权利外，乙方依托“粤复用”进行复用推广涉及软件著作署名权、发行权、出租权、信息网络传播权、翻译权以及其他权利的使用，任何一方使用时应事先书面通报对方并对外明确软件著作权共同所有的情况。未经甲方同意，乙方不得转让、质押、</w:t>
      </w:r>
      <w:r>
        <w:rPr>
          <w:sz w:val="21"/>
          <w:color w:val="000000"/>
        </w:rPr>
        <w:t>赠予</w:t>
      </w:r>
      <w:r>
        <w:rPr>
          <w:sz w:val="21"/>
          <w:color w:val="000000"/>
        </w:rPr>
        <w:t>等任何方式处置其享有的软件著作权或其组成部分的著作权或相应权益；否则，为无效行为且严重侵权，须赔偿甲方全部损失。</w:t>
      </w:r>
    </w:p>
    <w:p>
      <w:pPr>
        <w:pStyle w:val="null3"/>
        <w:ind w:firstLine="420"/>
        <w:jc w:val="both"/>
      </w:pPr>
      <w:r>
        <w:rPr>
          <w:sz w:val="21"/>
          <w:color w:val="000000"/>
        </w:rPr>
        <w:t>（4）乙方在“粤复用”范围以外使用双方共同所有知识产权的，应由甲方双方书面协商一致后行使，乙方应当保证合法合规使用双方共同所有知识产权，否则造成甲方损失的，乙方还应承担全部赔偿责任。</w:t>
      </w:r>
    </w:p>
    <w:p>
      <w:pPr>
        <w:pStyle w:val="null3"/>
        <w:ind w:firstLine="420"/>
        <w:jc w:val="both"/>
      </w:pPr>
      <w:r>
        <w:rPr>
          <w:sz w:val="21"/>
          <w:color w:val="000000"/>
        </w:rPr>
        <w:t>（5）乙方申报商标权时应经甲方同意，明确甲方有权无条件永久使用商标权。</w:t>
      </w:r>
    </w:p>
    <w:p>
      <w:pPr>
        <w:pStyle w:val="null3"/>
        <w:ind w:firstLine="420"/>
        <w:jc w:val="both"/>
      </w:pPr>
      <w:r>
        <w:rPr>
          <w:sz w:val="21"/>
          <w:color w:val="000000"/>
        </w:rPr>
        <w:t>28.7.乙方提供的相关软件应是自行开发的产品或具备合法、合规授权，满足知识产权、安全等保三级等方面的有关规定和要求。</w:t>
      </w:r>
    </w:p>
    <w:p>
      <w:pPr>
        <w:pStyle w:val="null3"/>
        <w:ind w:firstLine="420"/>
        <w:jc w:val="both"/>
      </w:pPr>
      <w:r>
        <w:rPr>
          <w:sz w:val="21"/>
          <w:color w:val="000000"/>
        </w:rPr>
        <w:t>28.8.乙方保证向甲方提供的服务成果不存在任何侵犯第三方专利权、商标权、著作权等合法权益。如因乙方提供的服务成果侵犯任何第三方的合法权益，导致该第三方追究甲方责任的，乙方应负责解决并赔偿因此给甲方造成的全部损失。</w:t>
      </w:r>
    </w:p>
    <w:p>
      <w:pPr>
        <w:pStyle w:val="null3"/>
        <w:ind w:firstLine="420"/>
        <w:jc w:val="both"/>
      </w:pPr>
      <w:r>
        <w:rPr>
          <w:sz w:val="21"/>
          <w:b/>
          <w:color w:val="000000"/>
        </w:rPr>
        <w:t>第十二章其他约定</w:t>
      </w:r>
    </w:p>
    <w:p>
      <w:pPr>
        <w:pStyle w:val="null3"/>
        <w:ind w:left="420"/>
        <w:jc w:val="both"/>
        <w:outlineLvl w:val="0"/>
      </w:pPr>
      <w:r>
        <w:rPr>
          <w:sz w:val="21"/>
          <w:b/>
          <w:color w:val="000000"/>
        </w:rPr>
        <w:t>29.</w:t>
      </w:r>
      <w:r>
        <w:rPr>
          <w:sz w:val="21"/>
          <w:b/>
          <w:color w:val="000000"/>
        </w:rPr>
        <w:t>其他约定</w:t>
      </w:r>
    </w:p>
    <w:p>
      <w:pPr>
        <w:pStyle w:val="null3"/>
        <w:ind w:left="570"/>
        <w:jc w:val="both"/>
        <w:outlineLvl w:val="0"/>
      </w:pPr>
      <w:r>
        <w:rPr>
          <w:sz w:val="21"/>
          <w:b/>
          <w:color w:val="000000"/>
        </w:rPr>
        <w:t>29.1.</w:t>
      </w:r>
      <w:r>
        <w:rPr>
          <w:sz w:val="21"/>
          <w:b/>
          <w:color w:val="000000"/>
        </w:rPr>
        <w:t>合同构成</w:t>
      </w:r>
    </w:p>
    <w:p>
      <w:pPr>
        <w:pStyle w:val="null3"/>
        <w:ind w:firstLine="420"/>
        <w:jc w:val="left"/>
      </w:pPr>
      <w:r>
        <w:rPr>
          <w:sz w:val="21"/>
          <w:color w:val="000000"/>
        </w:rPr>
        <w:t>29.1.1.下列文件均为本合同不可分割的组成部分，具有同等法律效力：</w:t>
      </w:r>
    </w:p>
    <w:p>
      <w:pPr>
        <w:pStyle w:val="null3"/>
        <w:ind w:firstLine="420"/>
        <w:jc w:val="left"/>
      </w:pPr>
      <w:r>
        <w:rPr>
          <w:sz w:val="21"/>
          <w:color w:val="000000"/>
        </w:rPr>
        <w:t>（1）中标通知书；</w:t>
      </w:r>
    </w:p>
    <w:p>
      <w:pPr>
        <w:pStyle w:val="null3"/>
        <w:ind w:firstLine="420"/>
        <w:jc w:val="left"/>
      </w:pPr>
      <w:r>
        <w:rPr>
          <w:sz w:val="21"/>
          <w:color w:val="000000"/>
        </w:rPr>
        <w:t>（2）采购文件；</w:t>
      </w:r>
    </w:p>
    <w:p>
      <w:pPr>
        <w:pStyle w:val="null3"/>
        <w:ind w:firstLine="420"/>
        <w:jc w:val="left"/>
      </w:pPr>
      <w:r>
        <w:rPr>
          <w:sz w:val="21"/>
          <w:color w:val="000000"/>
        </w:rPr>
        <w:t>（3）乙方中标的投标文件；</w:t>
      </w:r>
    </w:p>
    <w:p>
      <w:pPr>
        <w:pStyle w:val="null3"/>
        <w:ind w:firstLine="420"/>
        <w:jc w:val="left"/>
      </w:pPr>
      <w:r>
        <w:rPr>
          <w:sz w:val="21"/>
          <w:color w:val="000000"/>
        </w:rPr>
        <w:t>（4）在合同实施过程中双方共同签署的补充协议（若有）；</w:t>
      </w:r>
    </w:p>
    <w:p>
      <w:pPr>
        <w:pStyle w:val="null3"/>
        <w:ind w:firstLine="420"/>
        <w:jc w:val="left"/>
      </w:pPr>
      <w:r>
        <w:rPr>
          <w:sz w:val="21"/>
          <w:color w:val="000000"/>
        </w:rPr>
        <w:t>（5）分包意向协议（若有）；</w:t>
      </w:r>
    </w:p>
    <w:p>
      <w:pPr>
        <w:pStyle w:val="null3"/>
        <w:ind w:firstLine="420"/>
        <w:jc w:val="left"/>
      </w:pPr>
      <w:r>
        <w:rPr>
          <w:sz w:val="21"/>
          <w:color w:val="000000"/>
        </w:rPr>
        <w:t>（6）变更文件（若有）；</w:t>
      </w:r>
    </w:p>
    <w:p>
      <w:pPr>
        <w:pStyle w:val="null3"/>
        <w:ind w:firstLine="420"/>
        <w:jc w:val="left"/>
      </w:pPr>
      <w:r>
        <w:rPr>
          <w:sz w:val="21"/>
          <w:color w:val="000000"/>
        </w:rPr>
        <w:t>（7）合同附件。</w:t>
      </w:r>
    </w:p>
    <w:p>
      <w:pPr>
        <w:pStyle w:val="null3"/>
        <w:ind w:firstLine="420"/>
        <w:jc w:val="left"/>
      </w:pPr>
      <w:r>
        <w:rPr>
          <w:sz w:val="21"/>
          <w:color w:val="000000"/>
        </w:rPr>
        <w:t>上述文件先后解释顺序为：在合同实施过程中双方共同签署的补充协议、变更文件、本合同书、合同附件、分包意向协议、中标通知书、采购文件、乙方中标的投标文件。补充协议之间如有冲突，以对乙方要求较高或对甲方更有利的条款为准。</w:t>
      </w:r>
    </w:p>
    <w:p>
      <w:pPr>
        <w:pStyle w:val="null3"/>
        <w:ind w:left="570"/>
        <w:jc w:val="both"/>
        <w:outlineLvl w:val="0"/>
      </w:pPr>
      <w:r>
        <w:rPr>
          <w:sz w:val="21"/>
          <w:b/>
          <w:color w:val="000000"/>
        </w:rPr>
        <w:t>29.2.</w:t>
      </w:r>
      <w:r>
        <w:rPr>
          <w:sz w:val="21"/>
          <w:b/>
          <w:color w:val="000000"/>
        </w:rPr>
        <w:t>合同变更与修订</w:t>
      </w:r>
    </w:p>
    <w:p>
      <w:pPr>
        <w:pStyle w:val="null3"/>
        <w:ind w:firstLine="420"/>
        <w:jc w:val="left"/>
      </w:pPr>
      <w:r>
        <w:rPr>
          <w:sz w:val="21"/>
          <w:color w:val="000000"/>
        </w:rPr>
        <w:t>29.2.1.除另有约定，本合同任何修改、补充或变更必须经双方协商一致，并书面签订补充协议。</w:t>
      </w:r>
    </w:p>
    <w:p>
      <w:pPr>
        <w:pStyle w:val="null3"/>
        <w:ind w:firstLine="420"/>
        <w:jc w:val="left"/>
      </w:pPr>
      <w:r>
        <w:rPr>
          <w:sz w:val="21"/>
          <w:color w:val="000000"/>
        </w:rPr>
        <w:t>29.2.2.如果本合同的任何条款不合法、无效或不能执行，则：</w:t>
      </w:r>
    </w:p>
    <w:p>
      <w:pPr>
        <w:pStyle w:val="null3"/>
        <w:ind w:firstLine="420"/>
        <w:jc w:val="left"/>
      </w:pPr>
      <w:r>
        <w:rPr>
          <w:sz w:val="21"/>
          <w:color w:val="000000"/>
        </w:rPr>
        <w:t>（1）并不影响其他条款的效力和执行；</w:t>
      </w:r>
    </w:p>
    <w:p>
      <w:pPr>
        <w:pStyle w:val="null3"/>
        <w:ind w:firstLine="420"/>
        <w:jc w:val="left"/>
      </w:pPr>
      <w:r>
        <w:rPr>
          <w:sz w:val="21"/>
          <w:color w:val="000000"/>
        </w:rPr>
        <w:t>（2）双方应商定对不合法、无效或不能执行的条款进行修改，使之合法、有效并可执行；修改或更改应尽可能平衡双方之间的利益。</w:t>
      </w:r>
    </w:p>
    <w:p>
      <w:pPr>
        <w:pStyle w:val="null3"/>
        <w:ind w:firstLine="420"/>
        <w:jc w:val="left"/>
      </w:pPr>
      <w:r>
        <w:rPr>
          <w:sz w:val="21"/>
          <w:color w:val="000000"/>
        </w:rPr>
        <w:t>29.2.3.项目变更时为确保效率，如无涉及项目合同金额变动且甲方认为没有必要的，可按照甲乙双方书面确认的往来文件立即实施。如涉及项目合同金额变动或甲方认为确有必要的，乙方需按甲方要求完成变更申请审批工作，并双方必须就相关变更事项签订补充协议。</w:t>
      </w:r>
    </w:p>
    <w:p>
      <w:pPr>
        <w:pStyle w:val="null3"/>
        <w:ind w:left="570"/>
        <w:jc w:val="both"/>
        <w:outlineLvl w:val="0"/>
      </w:pPr>
      <w:r>
        <w:rPr>
          <w:sz w:val="21"/>
          <w:b/>
          <w:color w:val="000000"/>
        </w:rPr>
        <w:t>29.3.</w:t>
      </w:r>
      <w:r>
        <w:rPr>
          <w:sz w:val="21"/>
          <w:b/>
          <w:color w:val="000000"/>
        </w:rPr>
        <w:t>合同适用法律</w:t>
      </w:r>
    </w:p>
    <w:p>
      <w:pPr>
        <w:pStyle w:val="null3"/>
        <w:ind w:firstLine="420"/>
        <w:jc w:val="both"/>
      </w:pPr>
      <w:r>
        <w:rPr>
          <w:sz w:val="21"/>
          <w:color w:val="000000"/>
        </w:rPr>
        <w:t>本合同的成立、有效性、解释、履行、签署、修订和终止以及争议的解决适用中华人民共和国法律。</w:t>
      </w:r>
    </w:p>
    <w:p>
      <w:pPr>
        <w:pStyle w:val="null3"/>
        <w:ind w:left="570"/>
        <w:jc w:val="both"/>
        <w:outlineLvl w:val="0"/>
      </w:pPr>
      <w:r>
        <w:rPr>
          <w:sz w:val="21"/>
          <w:b/>
          <w:color w:val="000000"/>
        </w:rPr>
        <w:t>29.4.</w:t>
      </w:r>
      <w:r>
        <w:rPr>
          <w:sz w:val="21"/>
          <w:b/>
          <w:color w:val="000000"/>
        </w:rPr>
        <w:t>不弃权</w:t>
      </w:r>
    </w:p>
    <w:p>
      <w:pPr>
        <w:pStyle w:val="null3"/>
        <w:ind w:firstLine="420"/>
        <w:jc w:val="both"/>
      </w:pPr>
      <w:r>
        <w:rPr>
          <w:sz w:val="21"/>
          <w:color w:val="000000"/>
        </w:rPr>
        <w:t>除非另有规定，一方未行使或迟延行使本合同项下的权利、权力并不构成放弃这些权利、权力，而单一或部分行使这些权利、权力并不排斥行使任何其他权利、权力。</w:t>
      </w:r>
    </w:p>
    <w:p>
      <w:pPr>
        <w:pStyle w:val="null3"/>
        <w:ind w:left="570"/>
        <w:jc w:val="both"/>
        <w:outlineLvl w:val="0"/>
      </w:pPr>
      <w:r>
        <w:rPr>
          <w:sz w:val="21"/>
          <w:b/>
          <w:color w:val="000000"/>
        </w:rPr>
        <w:t>29.5.</w:t>
      </w:r>
      <w:r>
        <w:rPr>
          <w:sz w:val="21"/>
          <w:b/>
          <w:color w:val="000000"/>
        </w:rPr>
        <w:t>通知</w:t>
      </w:r>
    </w:p>
    <w:p>
      <w:pPr>
        <w:pStyle w:val="null3"/>
        <w:ind w:firstLine="420"/>
        <w:jc w:val="both"/>
      </w:pPr>
      <w:r>
        <w:rPr>
          <w:sz w:val="21"/>
          <w:color w:val="000000"/>
        </w:rPr>
        <w:t>29.5.1.本合同约定的联系地址、联系方式为甲乙双方唯一联系地址、联系方式。甲、乙双方因履行本合同而需由一方发给对方的任何通知应以书面方式发出。该通知可以专人送达、传真、电子邮件、特快专递或挂号方式送达的方式发出。所有的通知应送达本合同项下对方当事人的地址或该方事先通知的其他地址或传真号码。该联系地址或联系方式有变动的，应至少提前三日书面通知对方。双方发生争议后，甚至进入诉讼程序，该联系地址、联系方式仍为有效。</w:t>
      </w:r>
    </w:p>
    <w:p>
      <w:pPr>
        <w:pStyle w:val="null3"/>
        <w:ind w:firstLine="420"/>
        <w:jc w:val="both"/>
      </w:pPr>
      <w:r>
        <w:rPr>
          <w:sz w:val="21"/>
          <w:color w:val="000000"/>
        </w:rPr>
        <w:t>29.5.2.上述通知、要求或信息，以专人送达的，以受送达人在送达回执上的签收时间为送达日期；以传真方式送达的，以发送之日为送达日期；以电子邮件方式送达的，以到达受送达人特定系统的日期为送达日期；以特快专递或挂号方式送达的，以受送达人在相应邮寄凭证上签收之日为送达日期。上述联系地址或联系方式发生变动且未及时书面通知另一方的，另一方按原地址邮寄相关材料即视为已履行送达义务。</w:t>
      </w:r>
    </w:p>
    <w:p>
      <w:pPr>
        <w:pStyle w:val="null3"/>
        <w:ind w:left="570"/>
        <w:jc w:val="both"/>
        <w:outlineLvl w:val="0"/>
      </w:pPr>
      <w:r>
        <w:rPr>
          <w:sz w:val="21"/>
          <w:b/>
          <w:color w:val="000000"/>
        </w:rPr>
        <w:t>29.6.</w:t>
      </w:r>
      <w:r>
        <w:rPr>
          <w:sz w:val="21"/>
          <w:b/>
          <w:color w:val="000000"/>
        </w:rPr>
        <w:t>合同生效条件</w:t>
      </w:r>
    </w:p>
    <w:p>
      <w:pPr>
        <w:pStyle w:val="null3"/>
        <w:ind w:firstLine="420"/>
        <w:jc w:val="left"/>
      </w:pPr>
      <w:r>
        <w:rPr>
          <w:sz w:val="21"/>
          <w:color w:val="000000"/>
        </w:rPr>
        <w:t>本合同经甲乙双方法定代表人或授权委托代理人签字，并盖章后生效。</w:t>
      </w:r>
    </w:p>
    <w:p>
      <w:pPr>
        <w:pStyle w:val="null3"/>
        <w:ind w:left="570"/>
        <w:jc w:val="both"/>
        <w:outlineLvl w:val="0"/>
      </w:pPr>
      <w:r>
        <w:rPr>
          <w:sz w:val="21"/>
          <w:b/>
          <w:color w:val="000000"/>
        </w:rPr>
        <w:t>29.7.</w:t>
      </w:r>
      <w:r>
        <w:rPr>
          <w:sz w:val="21"/>
          <w:b/>
          <w:color w:val="000000"/>
        </w:rPr>
        <w:t>合同份数</w:t>
      </w:r>
    </w:p>
    <w:p>
      <w:pPr>
        <w:pStyle w:val="null3"/>
        <w:ind w:firstLine="420"/>
        <w:jc w:val="both"/>
      </w:pPr>
      <w:r>
        <w:rPr>
          <w:sz w:val="21"/>
          <w:color w:val="000000"/>
        </w:rPr>
        <w:t>本合同一式</w:t>
      </w:r>
      <w:r>
        <w:rPr>
          <w:sz w:val="21"/>
          <w:u w:val="single"/>
        </w:rPr>
        <w:t xml:space="preserve">    </w:t>
      </w:r>
      <w:r>
        <w:rPr>
          <w:sz w:val="21"/>
          <w:color w:val="000000"/>
        </w:rPr>
        <w:t>份，甲方执</w:t>
      </w:r>
      <w:r>
        <w:rPr>
          <w:sz w:val="21"/>
          <w:u w:val="single"/>
        </w:rPr>
        <w:t xml:space="preserve">    </w:t>
      </w:r>
      <w:r>
        <w:rPr>
          <w:sz w:val="21"/>
          <w:color w:val="000000"/>
        </w:rPr>
        <w:t>份，乙方执</w:t>
      </w:r>
      <w:r>
        <w:rPr>
          <w:sz w:val="21"/>
          <w:u w:val="single"/>
        </w:rPr>
        <w:t xml:space="preserve">    </w:t>
      </w:r>
      <w:r>
        <w:rPr>
          <w:sz w:val="21"/>
          <w:color w:val="000000"/>
        </w:rPr>
        <w:t>份（含采购代理机构备案壹份），具有同等法律效力。</w:t>
      </w:r>
    </w:p>
    <w:p>
      <w:pPr>
        <w:pStyle w:val="null3"/>
        <w:ind w:left="570"/>
        <w:jc w:val="both"/>
        <w:outlineLvl w:val="0"/>
      </w:pPr>
      <w:r>
        <w:rPr>
          <w:sz w:val="21"/>
          <w:b/>
          <w:color w:val="000000"/>
        </w:rPr>
        <w:t>29.8.</w:t>
      </w:r>
      <w:r>
        <w:rPr>
          <w:sz w:val="21"/>
          <w:b/>
          <w:color w:val="000000"/>
        </w:rPr>
        <w:t>合同页数</w:t>
      </w:r>
    </w:p>
    <w:p>
      <w:pPr>
        <w:pStyle w:val="null3"/>
        <w:ind w:firstLine="420"/>
        <w:jc w:val="both"/>
      </w:pPr>
      <w:r>
        <w:rPr>
          <w:sz w:val="21"/>
          <w:color w:val="000000"/>
        </w:rPr>
        <w:t>本合同正文（不含封面、编写说明及签署页）合计</w:t>
      </w:r>
      <w:r>
        <w:rPr>
          <w:sz w:val="21"/>
          <w:u w:val="single"/>
        </w:rPr>
        <w:t xml:space="preserve">  </w:t>
      </w:r>
      <w:r>
        <w:rPr>
          <w:sz w:val="21"/>
          <w:color w:val="000000"/>
        </w:rPr>
        <w:t>页A4纸张，附件</w:t>
      </w:r>
      <w:r>
        <w:rPr>
          <w:sz w:val="21"/>
          <w:u w:val="single"/>
        </w:rPr>
        <w:t xml:space="preserve">    </w:t>
      </w:r>
      <w:r>
        <w:rPr>
          <w:sz w:val="21"/>
          <w:color w:val="000000"/>
        </w:rPr>
        <w:t>份共</w:t>
      </w:r>
      <w:r>
        <w:rPr>
          <w:sz w:val="21"/>
          <w:u w:val="single"/>
        </w:rPr>
        <w:t xml:space="preserve">    </w:t>
      </w:r>
      <w:r>
        <w:rPr>
          <w:sz w:val="21"/>
          <w:color w:val="000000"/>
        </w:rPr>
        <w:t>页A4纸张。缺页之合同为无效合同。</w:t>
      </w:r>
    </w:p>
    <w:p>
      <w:pPr>
        <w:pStyle w:val="null3"/>
        <w:jc w:val="both"/>
      </w:pPr>
      <w:r>
        <w:rPr>
          <w:sz w:val="21"/>
          <w:color w:val="000000"/>
        </w:rPr>
        <w:t>附件：</w:t>
      </w:r>
    </w:p>
    <w:p>
      <w:pPr>
        <w:pStyle w:val="null3"/>
        <w:ind w:firstLine="420"/>
        <w:jc w:val="both"/>
      </w:pPr>
      <w:r>
        <w:rPr>
          <w:sz w:val="21"/>
          <w:color w:val="000000"/>
        </w:rPr>
        <w:t>1.详细服务内容及技术要求</w:t>
      </w:r>
    </w:p>
    <w:p>
      <w:pPr>
        <w:pStyle w:val="null3"/>
        <w:ind w:firstLine="420"/>
        <w:jc w:val="both"/>
      </w:pPr>
      <w:r>
        <w:rPr>
          <w:sz w:val="21"/>
          <w:color w:val="000000"/>
        </w:rPr>
        <w:t>2.验收要求</w:t>
      </w:r>
    </w:p>
    <w:p>
      <w:pPr>
        <w:pStyle w:val="null3"/>
        <w:ind w:firstLine="420"/>
        <w:jc w:val="both"/>
      </w:pPr>
      <w:r>
        <w:rPr>
          <w:sz w:val="21"/>
          <w:color w:val="000000"/>
        </w:rPr>
        <w:t>3.乙方团队人员清单</w:t>
      </w:r>
    </w:p>
    <w:p>
      <w:pPr>
        <w:pStyle w:val="null3"/>
        <w:ind w:firstLine="420"/>
        <w:jc w:val="both"/>
      </w:pPr>
      <w:r>
        <w:rPr>
          <w:sz w:val="21"/>
          <w:color w:val="000000"/>
        </w:rPr>
        <w:t>4.服务价格明细（若有）</w:t>
      </w:r>
    </w:p>
    <w:p>
      <w:pPr>
        <w:pStyle w:val="null3"/>
        <w:ind w:firstLine="420"/>
        <w:jc w:val="both"/>
      </w:pPr>
      <w:r>
        <w:rPr>
          <w:sz w:val="21"/>
          <w:color w:val="000000"/>
        </w:rPr>
        <w:t>5.保密承诺书</w:t>
      </w:r>
    </w:p>
    <w:p>
      <w:pPr>
        <w:pStyle w:val="null3"/>
        <w:ind w:firstLine="420"/>
        <w:jc w:val="both"/>
      </w:pPr>
      <w:r>
        <w:rPr>
          <w:sz w:val="21"/>
          <w:color w:val="000000"/>
        </w:rPr>
        <w:t>6.反商业贿赂协议</w:t>
      </w:r>
    </w:p>
    <w:p>
      <w:pPr>
        <w:pStyle w:val="null3"/>
        <w:ind w:firstLine="420"/>
        <w:jc w:val="both"/>
      </w:pPr>
      <w:r>
        <w:rPr>
          <w:sz w:val="21"/>
          <w:color w:val="000000"/>
        </w:rPr>
        <w:t>7.软件委托开发协议书</w:t>
      </w:r>
    </w:p>
    <w:p>
      <w:pPr>
        <w:pStyle w:val="null3"/>
        <w:ind w:firstLine="420"/>
        <w:jc w:val="both"/>
      </w:pPr>
      <w:r>
        <w:rPr>
          <w:sz w:val="21"/>
          <w:color w:val="000000"/>
        </w:rPr>
        <w:t>8.服务违约行为表</w:t>
      </w:r>
    </w:p>
    <w:p>
      <w:pPr>
        <w:pStyle w:val="null3"/>
        <w:ind w:firstLine="420"/>
        <w:jc w:val="both"/>
      </w:pPr>
      <w:r>
        <w:rPr>
          <w:sz w:val="21"/>
          <w:color w:val="000000"/>
        </w:rPr>
        <w:t>（以下无合同正文）</w:t>
      </w:r>
    </w:p>
    <w:p>
      <w:pPr>
        <w:pStyle w:val="null3"/>
        <w:jc w:val="both"/>
      </w:pPr>
      <w:r>
        <w:rPr/>
        <w:t xml:space="preserve"> </w:t>
      </w:r>
    </w:p>
    <w:p>
      <w:pPr>
        <w:pStyle w:val="null3"/>
      </w:pPr>
      <w:r>
        <w:rPr/>
        <w:t xml:space="preserve"> </w:t>
      </w:r>
    </w:p>
    <w:p>
      <w:pPr>
        <w:pStyle w:val="null3"/>
        <w:jc w:val="both"/>
      </w:pPr>
      <w:r>
        <w:rPr>
          <w:sz w:val="21"/>
          <w:b/>
          <w:color w:val="000000"/>
        </w:rPr>
        <w:t>委</w:t>
      </w:r>
      <w:r>
        <w:rPr>
          <w:sz w:val="21"/>
          <w:b/>
          <w:color w:val="000000"/>
        </w:rPr>
        <w:t>（签署页）</w:t>
      </w:r>
    </w:p>
    <w:p>
      <w:pPr>
        <w:pStyle w:val="null3"/>
        <w:jc w:val="both"/>
      </w:pPr>
      <w:r>
        <w:rPr>
          <w:sz w:val="21"/>
          <w:b/>
          <w:color w:val="000000"/>
        </w:rPr>
        <w:t>托方（甲方）：</w:t>
      </w:r>
      <w:r>
        <w:rPr>
          <w:sz w:val="21"/>
          <w:u w:val="single"/>
        </w:rPr>
        <w:t xml:space="preserve"> </w:t>
      </w:r>
      <w:r>
        <w:rPr>
          <w:sz w:val="21"/>
          <w:u w:val="single"/>
        </w:rPr>
        <w:t xml:space="preserve">                       </w:t>
      </w:r>
      <w:r>
        <w:rPr>
          <w:sz w:val="21"/>
          <w:color w:val="000000"/>
          <w:u w:val="single"/>
        </w:rPr>
        <w:t>（盖章）</w:t>
      </w:r>
    </w:p>
    <w:p>
      <w:pPr>
        <w:pStyle w:val="null3"/>
        <w:jc w:val="both"/>
      </w:pPr>
      <w:r>
        <w:rPr>
          <w:sz w:val="21"/>
          <w:color w:val="000000"/>
        </w:rPr>
        <w:t xml:space="preserve">    住  所  地：</w:t>
      </w:r>
      <w:r>
        <w:rPr>
          <w:sz w:val="21"/>
          <w:u w:val="single"/>
        </w:rPr>
        <w:t xml:space="preserve">                                                                                                                                           </w:t>
      </w:r>
    </w:p>
    <w:p>
      <w:pPr>
        <w:pStyle w:val="null3"/>
        <w:jc w:val="both"/>
      </w:pPr>
      <w:r>
        <w:rPr>
          <w:sz w:val="21"/>
          <w:color w:val="000000"/>
        </w:rPr>
        <w:t>法定代表人/委托代理人：</w:t>
      </w:r>
      <w:r>
        <w:rPr>
          <w:sz w:val="21"/>
          <w:u w:val="single"/>
        </w:rPr>
        <w:t xml:space="preserve">  </w:t>
      </w:r>
      <w:r>
        <w:rPr>
          <w:sz w:val="21"/>
          <w:u w:val="single"/>
        </w:rPr>
        <w:t xml:space="preserve">                       </w:t>
      </w:r>
      <w:r>
        <w:rPr>
          <w:sz w:val="21"/>
          <w:color w:val="000000"/>
          <w:u w:val="single"/>
        </w:rPr>
        <w:t>（签名/章）</w:t>
      </w:r>
    </w:p>
    <w:p>
      <w:pPr>
        <w:pStyle w:val="null3"/>
        <w:jc w:val="both"/>
      </w:pPr>
      <w:r>
        <w:rPr>
          <w:sz w:val="21"/>
          <w:color w:val="000000"/>
        </w:rPr>
        <w:t>项目联系人：</w:t>
      </w:r>
      <w:r>
        <w:rPr>
          <w:sz w:val="21"/>
          <w:u w:val="single"/>
        </w:rPr>
        <w:t xml:space="preserve">                                                                                                                                          </w:t>
      </w:r>
    </w:p>
    <w:p>
      <w:pPr>
        <w:pStyle w:val="null3"/>
        <w:jc w:val="both"/>
      </w:pPr>
      <w:r>
        <w:rPr>
          <w:sz w:val="21"/>
          <w:color w:val="000000"/>
        </w:rPr>
        <w:t xml:space="preserve">    联系方式 ：</w:t>
      </w:r>
      <w:r>
        <w:rPr>
          <w:sz w:val="21"/>
          <w:u w:val="single"/>
        </w:rPr>
        <w:t xml:space="preserve">                                                                                                                                         </w:t>
      </w:r>
    </w:p>
    <w:p>
      <w:pPr>
        <w:pStyle w:val="null3"/>
        <w:jc w:val="both"/>
      </w:pPr>
      <w:r>
        <w:rPr>
          <w:sz w:val="21"/>
          <w:color w:val="000000"/>
        </w:rPr>
        <w:t xml:space="preserve">    通讯地址：</w:t>
      </w:r>
      <w:r>
        <w:rPr>
          <w:sz w:val="21"/>
          <w:u w:val="single"/>
        </w:rPr>
        <w:t xml:space="preserve">                                                                                                                                          </w:t>
      </w:r>
    </w:p>
    <w:p>
      <w:pPr>
        <w:pStyle w:val="null3"/>
        <w:jc w:val="both"/>
      </w:pPr>
      <w:r>
        <w:rPr>
          <w:sz w:val="21"/>
          <w:color w:val="000000"/>
        </w:rPr>
        <w:t>电　　话：</w:t>
      </w:r>
      <w:r>
        <w:rPr>
          <w:sz w:val="21"/>
          <w:u w:val="single"/>
        </w:rPr>
        <w:t xml:space="preserve">                                                                                                                                              </w:t>
      </w:r>
    </w:p>
    <w:p>
      <w:pPr>
        <w:pStyle w:val="null3"/>
        <w:jc w:val="both"/>
      </w:pPr>
      <w:r>
        <w:rPr>
          <w:sz w:val="21"/>
          <w:color w:val="000000"/>
        </w:rPr>
        <w:t>传　　真：</w:t>
      </w:r>
      <w:r>
        <w:rPr>
          <w:sz w:val="21"/>
          <w:u w:val="single"/>
        </w:rPr>
        <w:t xml:space="preserve">                                                                                                                                              </w:t>
      </w:r>
    </w:p>
    <w:p>
      <w:pPr>
        <w:pStyle w:val="null3"/>
        <w:jc w:val="both"/>
      </w:pPr>
      <w:r>
        <w:rPr>
          <w:sz w:val="21"/>
          <w:color w:val="000000"/>
        </w:rPr>
        <w:t>电子信箱：</w:t>
      </w:r>
      <w:r>
        <w:rPr>
          <w:sz w:val="21"/>
          <w:u w:val="single"/>
        </w:rPr>
        <w:t xml:space="preserve">                                                                                                                                              </w:t>
      </w:r>
    </w:p>
    <w:p>
      <w:pPr>
        <w:pStyle w:val="null3"/>
        <w:jc w:val="right"/>
      </w:pPr>
      <w:r>
        <w:rPr>
          <w:sz w:val="21"/>
          <w:color w:val="000000"/>
        </w:rPr>
        <w:t xml:space="preserve">                                                                                                                                      年        月        日</w:t>
      </w:r>
    </w:p>
    <w:p>
      <w:pPr>
        <w:pStyle w:val="null3"/>
        <w:jc w:val="both"/>
      </w:pPr>
      <w:r>
        <w:rPr>
          <w:sz w:val="21"/>
          <w:b/>
          <w:color w:val="000000"/>
        </w:rPr>
        <w:t>受托方（乙方）：</w:t>
      </w:r>
      <w:r>
        <w:rPr>
          <w:sz w:val="21"/>
          <w:u w:val="single"/>
        </w:rPr>
        <w:t xml:space="preserve">  </w:t>
      </w:r>
      <w:r>
        <w:rPr>
          <w:sz w:val="21"/>
          <w:u w:val="single"/>
        </w:rPr>
        <w:t xml:space="preserve">                       </w:t>
      </w:r>
      <w:r>
        <w:rPr>
          <w:sz w:val="21"/>
          <w:color w:val="000000"/>
          <w:u w:val="single"/>
        </w:rPr>
        <w:t>（盖章）</w:t>
      </w:r>
    </w:p>
    <w:p>
      <w:pPr>
        <w:pStyle w:val="null3"/>
        <w:jc w:val="both"/>
      </w:pPr>
      <w:r>
        <w:rPr>
          <w:sz w:val="21"/>
          <w:color w:val="000000"/>
        </w:rPr>
        <w:t xml:space="preserve">    住  所  地：</w:t>
      </w:r>
      <w:r>
        <w:rPr>
          <w:sz w:val="21"/>
          <w:u w:val="single"/>
        </w:rPr>
        <w:t xml:space="preserve">                                                                                                                                              </w:t>
      </w:r>
    </w:p>
    <w:p>
      <w:pPr>
        <w:pStyle w:val="null3"/>
        <w:jc w:val="both"/>
      </w:pPr>
      <w:r>
        <w:rPr>
          <w:sz w:val="21"/>
          <w:color w:val="000000"/>
        </w:rPr>
        <w:t>法定代表人/委托代理人：</w:t>
      </w:r>
      <w:r>
        <w:rPr>
          <w:sz w:val="21"/>
          <w:u w:val="single"/>
        </w:rPr>
        <w:t xml:space="preserve">   </w:t>
      </w:r>
      <w:r>
        <w:rPr>
          <w:sz w:val="21"/>
          <w:u w:val="single"/>
        </w:rPr>
        <w:t xml:space="preserve">                       </w:t>
      </w:r>
      <w:r>
        <w:rPr>
          <w:sz w:val="21"/>
          <w:color w:val="000000"/>
          <w:u w:val="single"/>
        </w:rPr>
        <w:t>（签名/章）</w:t>
      </w:r>
    </w:p>
    <w:p>
      <w:pPr>
        <w:pStyle w:val="null3"/>
        <w:jc w:val="both"/>
      </w:pPr>
      <w:r>
        <w:rPr>
          <w:sz w:val="21"/>
          <w:color w:val="000000"/>
        </w:rPr>
        <w:t>项目联系人：</w:t>
      </w:r>
      <w:r>
        <w:rPr>
          <w:sz w:val="21"/>
          <w:u w:val="single"/>
        </w:rPr>
        <w:t xml:space="preserve">                                                                                                                                           </w:t>
      </w:r>
    </w:p>
    <w:p>
      <w:pPr>
        <w:pStyle w:val="null3"/>
        <w:jc w:val="both"/>
      </w:pPr>
      <w:r>
        <w:rPr>
          <w:sz w:val="21"/>
          <w:color w:val="000000"/>
        </w:rPr>
        <w:t xml:space="preserve">    联系方式 ：</w:t>
      </w:r>
      <w:r>
        <w:rPr>
          <w:sz w:val="21"/>
          <w:u w:val="single"/>
        </w:rPr>
        <w:t xml:space="preserve">                                                                                                                                         </w:t>
      </w:r>
    </w:p>
    <w:p>
      <w:pPr>
        <w:pStyle w:val="null3"/>
        <w:jc w:val="both"/>
      </w:pPr>
      <w:r>
        <w:rPr>
          <w:sz w:val="21"/>
          <w:color w:val="000000"/>
        </w:rPr>
        <w:t xml:space="preserve">    通讯地址：</w:t>
      </w:r>
      <w:r>
        <w:rPr>
          <w:sz w:val="21"/>
          <w:u w:val="single"/>
        </w:rPr>
        <w:t xml:space="preserve">                                                                                                                                          </w:t>
      </w:r>
    </w:p>
    <w:p>
      <w:pPr>
        <w:pStyle w:val="null3"/>
        <w:jc w:val="both"/>
      </w:pPr>
      <w:r>
        <w:rPr>
          <w:sz w:val="21"/>
          <w:color w:val="000000"/>
        </w:rPr>
        <w:t>电　　话：</w:t>
      </w:r>
      <w:r>
        <w:rPr>
          <w:sz w:val="21"/>
          <w:u w:val="single"/>
        </w:rPr>
        <w:t xml:space="preserve">                                                                                                                                              </w:t>
      </w:r>
    </w:p>
    <w:p>
      <w:pPr>
        <w:pStyle w:val="null3"/>
        <w:jc w:val="both"/>
      </w:pPr>
      <w:r>
        <w:rPr>
          <w:sz w:val="21"/>
          <w:color w:val="000000"/>
        </w:rPr>
        <w:t>传　　真：</w:t>
      </w:r>
      <w:r>
        <w:rPr>
          <w:sz w:val="21"/>
          <w:u w:val="single"/>
        </w:rPr>
        <w:t xml:space="preserve">                                                                                                                                               </w:t>
      </w:r>
    </w:p>
    <w:p>
      <w:pPr>
        <w:pStyle w:val="null3"/>
        <w:jc w:val="both"/>
      </w:pPr>
      <w:r>
        <w:rPr>
          <w:sz w:val="21"/>
          <w:color w:val="000000"/>
        </w:rPr>
        <w:t>电子信箱：</w:t>
      </w:r>
      <w:r>
        <w:rPr>
          <w:sz w:val="21"/>
          <w:u w:val="single"/>
        </w:rPr>
        <w:t xml:space="preserve">                                                                                                                                              </w:t>
      </w:r>
    </w:p>
    <w:p>
      <w:pPr>
        <w:pStyle w:val="null3"/>
        <w:ind w:firstLine="420"/>
        <w:jc w:val="right"/>
      </w:pPr>
      <w:r>
        <w:rPr>
          <w:sz w:val="21"/>
          <w:color w:val="000000"/>
        </w:rPr>
        <w:t xml:space="preserve">                                                                                                                                       年       月        日</w:t>
      </w:r>
    </w:p>
    <w:p>
      <w:pPr>
        <w:pStyle w:val="null3"/>
        <w:jc w:val="both"/>
      </w:pPr>
      <w:r>
        <w:rPr/>
        <w:t xml:space="preserve"> </w:t>
      </w:r>
    </w:p>
    <w:p>
      <w:pPr>
        <w:pStyle w:val="null3"/>
      </w:pPr>
      <w:r>
        <w:rPr/>
        <w:t xml:space="preserve"> </w:t>
      </w:r>
    </w:p>
    <w:p>
      <w:pPr>
        <w:pStyle w:val="null3"/>
        <w:ind w:firstLine="422"/>
        <w:jc w:val="both"/>
      </w:pPr>
      <w:r>
        <w:rPr>
          <w:sz w:val="21"/>
          <w:b/>
          <w:color w:val="000000"/>
        </w:rPr>
        <w:t>附件1.详细服务内容及技术要求</w:t>
      </w:r>
    </w:p>
    <w:p>
      <w:pPr>
        <w:pStyle w:val="null3"/>
        <w:ind w:firstLine="420"/>
        <w:jc w:val="left"/>
      </w:pPr>
      <w:r>
        <w:rPr>
          <w:sz w:val="21"/>
          <w:color w:val="000000"/>
        </w:rPr>
        <w:t>基础设施服务：基础设施服务包括公共基础设施服务和特殊基础设施服务，公共基础设施服务仅适用于省政务服务数据管理局的公共基础设施服务项目。需要阐述本期项目采购基础设施服务的部署架构及方式、技术要求、服务数量等。</w:t>
      </w:r>
    </w:p>
    <w:p>
      <w:pPr>
        <w:pStyle w:val="null3"/>
        <w:ind w:firstLine="420"/>
        <w:jc w:val="left"/>
      </w:pPr>
      <w:r>
        <w:rPr>
          <w:sz w:val="21"/>
          <w:color w:val="000000"/>
        </w:rPr>
        <w:t>软件开发服务：软件开发服务类型分为定制软件租赁服务、成品软件租赁服务（许可）、定制软件开发服务、定制软件升级服务。软件开发服务项目，需要详细描述软件的功能。按照服务的复杂程度，软件功能可以划分为系统、子系统、功能模块等多级。对这些系统、子系统、功能模块服务内容分别进行描述。对于定制软件租赁服务和成品软件租赁服务还需提供租赁的功能及期限。如果本项目涉及的系统与其他系统存在业务协同的情况，则需要描述系统之间的接口及业务联动。</w:t>
      </w:r>
    </w:p>
    <w:p>
      <w:pPr>
        <w:pStyle w:val="null3"/>
        <w:ind w:firstLine="420"/>
        <w:jc w:val="left"/>
      </w:pPr>
      <w:r>
        <w:rPr>
          <w:sz w:val="21"/>
          <w:color w:val="000000"/>
        </w:rPr>
        <w:t>运维服务：运维服务包括基础设施运维服务和软件系统运维服务。基础设施运维服务要阐述所有需要运维的硬件设备和软件（含基础软件、支撑软件等）清单</w:t>
      </w:r>
      <w:r>
        <w:rPr>
          <w:sz w:val="21"/>
          <w:color w:val="000000"/>
        </w:rPr>
        <w:t>，以及</w:t>
      </w:r>
      <w:r>
        <w:rPr>
          <w:sz w:val="21"/>
          <w:color w:val="000000"/>
        </w:rPr>
        <w:t>常规的例行检查、安全保障、状态监控、响应支持及交付等服务要求。软件系统运维服务还须阐述功能配置完善、性能调优、安全运维等服务要求。</w:t>
      </w:r>
    </w:p>
    <w:p>
      <w:pPr>
        <w:pStyle w:val="null3"/>
        <w:jc w:val="both"/>
      </w:pPr>
      <w:r>
        <w:rPr/>
        <w:t xml:space="preserve"> </w:t>
      </w:r>
    </w:p>
    <w:p>
      <w:pPr>
        <w:pStyle w:val="null3"/>
      </w:pPr>
      <w:r>
        <w:rPr/>
        <w:t xml:space="preserve"> </w:t>
      </w:r>
    </w:p>
    <w:p>
      <w:pPr>
        <w:pStyle w:val="null3"/>
        <w:ind w:firstLine="422"/>
        <w:jc w:val="both"/>
      </w:pPr>
      <w:r>
        <w:rPr>
          <w:sz w:val="21"/>
          <w:b/>
          <w:color w:val="000000"/>
        </w:rPr>
        <w:t>附件2.验收要求</w:t>
      </w:r>
    </w:p>
    <w:p>
      <w:pPr>
        <w:pStyle w:val="null3"/>
        <w:ind w:left="210" w:right="30" w:firstLine="420"/>
        <w:jc w:val="left"/>
      </w:pPr>
      <w:r>
        <w:rPr>
          <w:sz w:val="21"/>
          <w:color w:val="000000"/>
        </w:rPr>
        <w:t>参照我省政务信息化项目验收相关规范开展验收工作。按照《广东省政务服务数据管理局政务信息化项目验收管理工作指引》开展验收工作（若有更新则以验收时最新印发版本为准）。</w:t>
      </w:r>
    </w:p>
    <w:p>
      <w:pPr>
        <w:pStyle w:val="null3"/>
        <w:ind w:left="210" w:right="30" w:firstLine="420"/>
        <w:jc w:val="left"/>
      </w:pPr>
      <w:r>
        <w:rPr>
          <w:sz w:val="21"/>
          <w:color w:val="000000"/>
        </w:rPr>
        <w:t>基础设施类：提出项目交付验收、阶段性服务确认、最终验收成果及要求。</w:t>
      </w:r>
    </w:p>
    <w:p>
      <w:pPr>
        <w:pStyle w:val="null3"/>
        <w:ind w:left="210" w:right="30" w:firstLine="420"/>
        <w:jc w:val="left"/>
      </w:pPr>
      <w:r>
        <w:rPr>
          <w:sz w:val="21"/>
          <w:color w:val="000000"/>
        </w:rPr>
        <w:t>软件开发类：提出项目交付验收、最终验收成果及要求。软件系统可根据合同约定分阶段、版本进行交付，交付时间以出具的交付验收报告时间为准。</w:t>
      </w:r>
    </w:p>
    <w:p>
      <w:pPr>
        <w:pStyle w:val="null3"/>
        <w:ind w:left="210" w:right="30" w:firstLine="420"/>
        <w:jc w:val="left"/>
      </w:pPr>
      <w:r>
        <w:rPr>
          <w:sz w:val="21"/>
          <w:color w:val="000000"/>
        </w:rPr>
        <w:t>运维服务类：提出阶段性服务确认、最终验收成果及要求。</w:t>
      </w:r>
    </w:p>
    <w:p>
      <w:pPr>
        <w:pStyle w:val="null3"/>
        <w:jc w:val="both"/>
      </w:pPr>
      <w:r>
        <w:rPr/>
        <w:t xml:space="preserve"> </w:t>
      </w:r>
    </w:p>
    <w:p>
      <w:pPr>
        <w:pStyle w:val="null3"/>
      </w:pPr>
      <w:r>
        <w:rPr/>
        <w:t xml:space="preserve"> </w:t>
      </w:r>
    </w:p>
    <w:p>
      <w:pPr>
        <w:pStyle w:val="null3"/>
        <w:ind w:firstLine="422"/>
        <w:jc w:val="both"/>
      </w:pPr>
      <w:r>
        <w:rPr>
          <w:sz w:val="21"/>
          <w:b/>
          <w:color w:val="000000"/>
        </w:rPr>
        <w:t>附件3.乙方团队人员清单</w:t>
      </w:r>
    </w:p>
    <w:p>
      <w:pPr>
        <w:pStyle w:val="null3"/>
        <w:ind w:left="210" w:right="30" w:firstLine="420"/>
        <w:jc w:val="left"/>
      </w:pPr>
      <w:r>
        <w:rPr>
          <w:sz w:val="21"/>
          <w:color w:val="000000"/>
        </w:rPr>
        <w:t>提出乙方拟投入的团队人员名单，及各角色职责与分工。</w:t>
      </w:r>
    </w:p>
    <w:tbl>
      <w:tblPr>
        <w:tblW w:w="0" w:type="auto"/>
        <w:tblBorders>
          <w:top w:val="none" w:color="000000" w:sz="4"/>
          <w:left w:val="none" w:color="000000" w:sz="4"/>
          <w:bottom w:val="none" w:color="000000" w:sz="4"/>
          <w:right w:val="none" w:color="000000" w:sz="4"/>
          <w:insideH w:val="none"/>
          <w:insideV w:val="none"/>
        </w:tblBorders>
      </w:tblPr>
      <w:tblGrid>
        <w:gridCol w:w="744"/>
        <w:gridCol w:w="561"/>
        <w:gridCol w:w="561"/>
        <w:gridCol w:w="561"/>
        <w:gridCol w:w="666"/>
        <w:gridCol w:w="757"/>
        <w:gridCol w:w="574"/>
        <w:gridCol w:w="1319"/>
        <w:gridCol w:w="2507"/>
      </w:tblGrid>
      <w:tr>
        <w:tc>
          <w:tcPr>
            <w:tcW w:type="dxa" w:w="7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姓名</w:t>
            </w:r>
          </w:p>
        </w:tc>
        <w:tc>
          <w:tcPr>
            <w:tcW w:type="dxa" w:w="5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性别</w:t>
            </w:r>
          </w:p>
        </w:tc>
        <w:tc>
          <w:tcPr>
            <w:tcW w:type="dxa" w:w="5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年龄</w:t>
            </w:r>
          </w:p>
        </w:tc>
        <w:tc>
          <w:tcPr>
            <w:tcW w:type="dxa" w:w="5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学历</w:t>
            </w:r>
          </w:p>
        </w:tc>
        <w:tc>
          <w:tcPr>
            <w:tcW w:type="dxa" w:w="6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职称</w:t>
            </w:r>
          </w:p>
        </w:tc>
        <w:tc>
          <w:tcPr>
            <w:tcW w:type="dxa" w:w="7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同类工作年限</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公司职务</w:t>
            </w:r>
          </w:p>
        </w:tc>
        <w:tc>
          <w:tcPr>
            <w:tcW w:type="dxa" w:w="1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本项目角色</w:t>
            </w:r>
          </w:p>
        </w:tc>
        <w:tc>
          <w:tcPr>
            <w:tcW w:type="dxa" w:w="25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承担工作</w:t>
            </w:r>
          </w:p>
        </w:tc>
      </w:tr>
      <w:tr>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250"/>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项目主要人员简历（毕业院校、曾任职、专长、承担同类项目历史情况）</w:t>
            </w:r>
          </w:p>
          <w:p>
            <w:pPr>
              <w:pStyle w:val="null3"/>
              <w:jc w:val="center"/>
            </w:pPr>
          </w:p>
        </w:tc>
      </w:tr>
    </w:tbl>
    <w:p>
      <w:pPr>
        <w:pStyle w:val="null3"/>
      </w:pPr>
      <w:r>
        <w:rPr/>
        <w:t xml:space="preserve"> </w:t>
      </w:r>
    </w:p>
    <w:p>
      <w:pPr>
        <w:pStyle w:val="null3"/>
      </w:pPr>
      <w:r>
        <w:rPr/>
        <w:t xml:space="preserve"> </w:t>
      </w:r>
    </w:p>
    <w:p>
      <w:pPr>
        <w:pStyle w:val="null3"/>
        <w:ind w:firstLine="422"/>
        <w:jc w:val="both"/>
      </w:pPr>
      <w:r>
        <w:rPr>
          <w:sz w:val="21"/>
          <w:b/>
          <w:color w:val="000000"/>
        </w:rPr>
        <w:t>附件4.服务价格明细（若有）</w:t>
      </w:r>
    </w:p>
    <w:p>
      <w:pPr>
        <w:pStyle w:val="null3"/>
        <w:ind w:firstLine="420"/>
        <w:jc w:val="left"/>
      </w:pPr>
      <w:r>
        <w:rPr>
          <w:sz w:val="21"/>
          <w:color w:val="000000"/>
        </w:rPr>
        <w:t>提出乙方服务价格构成及分项明细表。</w:t>
      </w:r>
    </w:p>
    <w:p>
      <w:pPr>
        <w:pStyle w:val="null3"/>
        <w:jc w:val="both"/>
      </w:pPr>
      <w:r>
        <w:rPr/>
        <w:t xml:space="preserve"> </w:t>
      </w:r>
    </w:p>
    <w:p>
      <w:pPr>
        <w:pStyle w:val="null3"/>
      </w:pPr>
      <w:r>
        <w:rPr/>
        <w:t xml:space="preserve"> </w:t>
      </w:r>
    </w:p>
    <w:p>
      <w:pPr>
        <w:pStyle w:val="null3"/>
        <w:ind w:firstLine="422"/>
        <w:jc w:val="both"/>
      </w:pPr>
      <w:r>
        <w:rPr>
          <w:sz w:val="21"/>
          <w:b/>
          <w:color w:val="000000"/>
        </w:rPr>
        <w:t>附件5.保密承诺书</w:t>
      </w:r>
    </w:p>
    <w:p>
      <w:pPr>
        <w:pStyle w:val="null3"/>
        <w:ind w:firstLine="422"/>
        <w:jc w:val="center"/>
      </w:pPr>
      <w:r>
        <w:rPr>
          <w:sz w:val="21"/>
          <w:b/>
          <w:color w:val="000000"/>
        </w:rPr>
        <w:t>保密承诺书</w:t>
      </w:r>
    </w:p>
    <w:p>
      <w:pPr>
        <w:pStyle w:val="null3"/>
        <w:ind w:firstLine="422"/>
        <w:jc w:val="both"/>
      </w:pPr>
      <w:r>
        <w:rPr>
          <w:sz w:val="21"/>
          <w:color w:val="000000"/>
        </w:rPr>
        <w:t>致：</w:t>
      </w:r>
      <w:r>
        <w:rPr>
          <w:sz w:val="21"/>
          <w:u w:val="single"/>
        </w:rPr>
        <w:t xml:space="preserve">                    </w:t>
      </w:r>
    </w:p>
    <w:p>
      <w:pPr>
        <w:pStyle w:val="null3"/>
        <w:ind w:firstLine="420"/>
        <w:jc w:val="both"/>
      </w:pPr>
      <w:r>
        <w:rPr>
          <w:sz w:val="21"/>
          <w:color w:val="000000"/>
        </w:rPr>
        <w:t>为保护合作方甲方的合法利益，保证合作双方实现顺利合作，避免因信息泄露而给甲方造成损失，本项目的服务方</w:t>
      </w:r>
      <w:r>
        <w:rPr>
          <w:sz w:val="21"/>
          <w:u w:val="single"/>
        </w:rPr>
        <w:t xml:space="preserve">                       </w:t>
      </w:r>
      <w:r>
        <w:rPr>
          <w:sz w:val="21"/>
          <w:color w:val="000000"/>
        </w:rPr>
        <w:t>以及参与本项目的所有员工承诺遵守本保密承诺书内容。</w:t>
      </w:r>
    </w:p>
    <w:p>
      <w:pPr>
        <w:pStyle w:val="null3"/>
        <w:ind w:firstLine="420"/>
        <w:jc w:val="both"/>
      </w:pPr>
      <w:r>
        <w:rPr>
          <w:sz w:val="21"/>
          <w:color w:val="000000"/>
        </w:rPr>
        <w:t>一、保密信息定义</w:t>
      </w:r>
    </w:p>
    <w:p>
      <w:pPr>
        <w:pStyle w:val="null3"/>
        <w:ind w:firstLine="420"/>
        <w:jc w:val="both"/>
      </w:pPr>
      <w:r>
        <w:rPr>
          <w:sz w:val="21"/>
          <w:color w:val="000000"/>
        </w:rPr>
        <w:t>本承诺书所称的“保密信息”是指所有涉密信息、商业秘密、技术秘密、通信或与该项目相关的其他信息，无论是书面的、口头的、图形的、电磁的或</w:t>
      </w:r>
      <w:r>
        <w:rPr>
          <w:sz w:val="21"/>
          <w:color w:val="000000"/>
        </w:rPr>
        <w:t>其他</w:t>
      </w:r>
      <w:r>
        <w:rPr>
          <w:sz w:val="21"/>
          <w:color w:val="000000"/>
        </w:rPr>
        <w:t>任何形式的信息，包括（但不限于）数据、用户名、口令、产品、文件、规划、方案、技术、方法、仪器设备</w:t>
      </w:r>
      <w:r>
        <w:rPr>
          <w:sz w:val="21"/>
          <w:color w:val="000000"/>
        </w:rPr>
        <w:t>和其他信息</w:t>
      </w:r>
      <w:r>
        <w:rPr>
          <w:sz w:val="21"/>
          <w:color w:val="000000"/>
        </w:rPr>
        <w:t>及文档等，上述信息在本项目以如下形式确定：</w:t>
      </w:r>
    </w:p>
    <w:p>
      <w:pPr>
        <w:pStyle w:val="null3"/>
        <w:ind w:firstLine="420"/>
        <w:jc w:val="both"/>
      </w:pPr>
      <w:r>
        <w:rPr>
          <w:sz w:val="21"/>
          <w:color w:val="000000"/>
        </w:rPr>
        <w:t>1.甲方在项目实施中为乙方及乙方工作人员提供必要的数据、程序、用户名、口令和资料等；</w:t>
      </w:r>
    </w:p>
    <w:p>
      <w:pPr>
        <w:pStyle w:val="null3"/>
        <w:ind w:firstLine="420"/>
        <w:jc w:val="both"/>
      </w:pPr>
      <w:r>
        <w:rPr>
          <w:sz w:val="21"/>
          <w:color w:val="000000"/>
        </w:rPr>
        <w:t>2.在对甲方提供服务工作中涉及的业务及技术文档，包括政策、方案设计细节、程序文件、数据结构，以及相关业务系统的硬软件、文档，测试和测试产生的数据等；</w:t>
      </w:r>
    </w:p>
    <w:p>
      <w:pPr>
        <w:pStyle w:val="null3"/>
        <w:ind w:firstLine="420"/>
        <w:jc w:val="both"/>
      </w:pPr>
      <w:r>
        <w:rPr>
          <w:sz w:val="21"/>
          <w:color w:val="000000"/>
        </w:rPr>
        <w:t>3.服务过程中产生的所有成果为保密的内容；</w:t>
      </w:r>
    </w:p>
    <w:p>
      <w:pPr>
        <w:pStyle w:val="null3"/>
        <w:ind w:firstLine="420"/>
        <w:jc w:val="both"/>
      </w:pPr>
      <w:r>
        <w:rPr>
          <w:sz w:val="21"/>
          <w:color w:val="000000"/>
        </w:rPr>
        <w:t>4.其他甲方合理认为并申明属于保密信息的内容。</w:t>
      </w:r>
    </w:p>
    <w:p>
      <w:pPr>
        <w:pStyle w:val="null3"/>
        <w:ind w:firstLine="420"/>
        <w:jc w:val="both"/>
      </w:pPr>
      <w:r>
        <w:rPr>
          <w:sz w:val="21"/>
          <w:color w:val="000000"/>
        </w:rPr>
        <w:t>二、保密要求</w:t>
      </w:r>
    </w:p>
    <w:p>
      <w:pPr>
        <w:pStyle w:val="null3"/>
        <w:ind w:firstLine="420"/>
        <w:jc w:val="both"/>
      </w:pPr>
      <w:r>
        <w:rPr>
          <w:sz w:val="21"/>
          <w:color w:val="000000"/>
        </w:rPr>
        <w:t>我公司在国家相关法律法规、规章政策所规定的前提下，全力限制“保密信息”的使用范围以利保密防范，并仅用于为甲方提供服务。在未经甲方书面形式授权下，我公司不会直接或间接使用“项目资料”的利益或目的性的任何专有信息，亦不会把任何专用信息披露给他人,我公司的所有员工均有义务受约束，并负有保密的义务。</w:t>
      </w:r>
    </w:p>
    <w:p>
      <w:pPr>
        <w:pStyle w:val="null3"/>
        <w:ind w:firstLine="420"/>
        <w:jc w:val="both"/>
      </w:pPr>
      <w:r>
        <w:rPr>
          <w:sz w:val="21"/>
          <w:color w:val="000000"/>
        </w:rPr>
        <w:t>1.承诺人始终对保密资料保密，不在项目之外使用甲方提供的保密信息及因履行本项目而掌握的保密信息。</w:t>
      </w:r>
    </w:p>
    <w:p>
      <w:pPr>
        <w:pStyle w:val="null3"/>
        <w:ind w:firstLine="420"/>
        <w:jc w:val="both"/>
      </w:pPr>
      <w:r>
        <w:rPr>
          <w:sz w:val="21"/>
          <w:color w:val="000000"/>
        </w:rPr>
        <w:t>2.未经甲方书面同意，不向任何第三方提供保密信息以及可以接触上述保密信息的手段，包括在公开场合展览，公开对外宣传，作为文章、讯息、参考数据发表等。</w:t>
      </w:r>
    </w:p>
    <w:p>
      <w:pPr>
        <w:pStyle w:val="null3"/>
        <w:ind w:firstLine="420"/>
        <w:jc w:val="both"/>
      </w:pPr>
      <w:r>
        <w:rPr>
          <w:sz w:val="21"/>
          <w:color w:val="000000"/>
        </w:rPr>
        <w:t>3.只向项目相关人员（包括各自的领导﹑同事和雇员等）为商讨合作项目而有需要知悉保密信息的人士披露保密信息；并保证上述各相关人员的行为将会符合本守则的规定。</w:t>
      </w:r>
    </w:p>
    <w:p>
      <w:pPr>
        <w:pStyle w:val="null3"/>
        <w:ind w:firstLine="420"/>
        <w:jc w:val="both"/>
      </w:pPr>
      <w:r>
        <w:rPr>
          <w:sz w:val="21"/>
          <w:color w:val="000000"/>
        </w:rPr>
        <w:t>4.在商讨合作项目的过程中，若需向第三方披露甲方的保密信息，应取得甲方书面许可，并要求该第三方不得向任何</w:t>
      </w:r>
      <w:r>
        <w:rPr>
          <w:sz w:val="21"/>
          <w:color w:val="000000"/>
        </w:rPr>
        <w:t>其他</w:t>
      </w:r>
      <w:r>
        <w:rPr>
          <w:sz w:val="21"/>
          <w:color w:val="000000"/>
        </w:rPr>
        <w:t>人士泄露保密信息。</w:t>
      </w:r>
    </w:p>
    <w:p>
      <w:pPr>
        <w:pStyle w:val="null3"/>
        <w:ind w:firstLine="420"/>
        <w:jc w:val="both"/>
      </w:pPr>
      <w:r>
        <w:rPr>
          <w:sz w:val="21"/>
          <w:color w:val="000000"/>
        </w:rPr>
        <w:t>5.有关保密的内容和义务，未经甲方解封则长期有效。</w:t>
      </w:r>
    </w:p>
    <w:p>
      <w:pPr>
        <w:pStyle w:val="null3"/>
        <w:ind w:firstLine="420"/>
        <w:jc w:val="both"/>
      </w:pPr>
      <w:r>
        <w:rPr>
          <w:sz w:val="21"/>
          <w:color w:val="000000"/>
        </w:rPr>
        <w:t>承诺人:</w:t>
      </w:r>
      <w:r>
        <w:rPr>
          <w:sz w:val="21"/>
          <w:u w:val="single"/>
        </w:rPr>
        <w:t xml:space="preserve">                                </w:t>
      </w:r>
      <w:r>
        <w:rPr>
          <w:sz w:val="21"/>
        </w:rPr>
        <w:t xml:space="preserve">                                  </w:t>
      </w:r>
    </w:p>
    <w:p>
      <w:pPr>
        <w:pStyle w:val="null3"/>
        <w:ind w:firstLine="420"/>
        <w:jc w:val="right"/>
      </w:pPr>
      <w:r>
        <w:rPr>
          <w:sz w:val="21"/>
          <w:color w:val="000000"/>
        </w:rPr>
        <w:t>（法定代表人或委托代理人签字并盖单位公章）</w:t>
      </w:r>
    </w:p>
    <w:p>
      <w:pPr>
        <w:pStyle w:val="null3"/>
        <w:ind w:firstLine="420"/>
        <w:jc w:val="right"/>
      </w:pPr>
      <w:r>
        <w:rPr>
          <w:sz w:val="21"/>
          <w:color w:val="000000"/>
        </w:rPr>
        <w:t>日  期：</w:t>
      </w:r>
    </w:p>
    <w:p>
      <w:pPr>
        <w:pStyle w:val="null3"/>
        <w:jc w:val="both"/>
      </w:pPr>
      <w:r>
        <w:rPr/>
        <w:t xml:space="preserve"> </w:t>
      </w:r>
    </w:p>
    <w:p>
      <w:pPr>
        <w:pStyle w:val="null3"/>
      </w:pPr>
      <w:r>
        <w:rPr/>
        <w:t xml:space="preserve"> </w:t>
      </w:r>
    </w:p>
    <w:p>
      <w:pPr>
        <w:pStyle w:val="null3"/>
        <w:ind w:firstLine="422"/>
        <w:jc w:val="both"/>
      </w:pPr>
      <w:r>
        <w:rPr>
          <w:sz w:val="21"/>
          <w:b/>
          <w:color w:val="000000"/>
        </w:rPr>
        <w:t>附件6.反商业贿赂协议</w:t>
      </w:r>
    </w:p>
    <w:p>
      <w:pPr>
        <w:pStyle w:val="null3"/>
        <w:ind w:firstLine="422"/>
        <w:jc w:val="both"/>
      </w:pPr>
      <w:r>
        <w:rPr>
          <w:sz w:val="21"/>
          <w:b/>
          <w:color w:val="000000"/>
        </w:rPr>
        <w:t>反商业贿赂协议</w:t>
      </w:r>
    </w:p>
    <w:p>
      <w:pPr>
        <w:pStyle w:val="null3"/>
        <w:ind w:firstLine="420"/>
        <w:jc w:val="both"/>
      </w:pPr>
      <w:r>
        <w:rPr>
          <w:sz w:val="21"/>
          <w:color w:val="000000"/>
        </w:rPr>
        <w:t>根据《关于开展治理商业贿赂专项工作的意见》（中办发</w:t>
      </w:r>
      <w:r>
        <w:rPr>
          <w:sz w:val="21"/>
          <w:color w:val="000000"/>
        </w:rPr>
        <w:t>〔2006〕</w:t>
      </w:r>
      <w:r>
        <w:rPr>
          <w:sz w:val="21"/>
          <w:color w:val="000000"/>
        </w:rPr>
        <w:t>9号）以及有关项目服务、廉政建设的规定，为做好项目服务中的反商业贿赂工作，建立起责任机制、督查机制和保障机制，保证项目服务高效优质，保证建设资金的安全和有效使用以及投资效益，本项目甲方与乙方特订立如下协议。</w:t>
      </w:r>
    </w:p>
    <w:p>
      <w:pPr>
        <w:pStyle w:val="null3"/>
        <w:ind w:firstLine="420"/>
        <w:jc w:val="both"/>
      </w:pPr>
      <w:r>
        <w:rPr>
          <w:sz w:val="21"/>
          <w:color w:val="000000"/>
        </w:rPr>
        <w:t>一、甲乙双方的权利和义务</w:t>
      </w:r>
    </w:p>
    <w:p>
      <w:pPr>
        <w:pStyle w:val="null3"/>
        <w:ind w:firstLine="420"/>
        <w:jc w:val="both"/>
      </w:pPr>
      <w:r>
        <w:rPr>
          <w:sz w:val="21"/>
          <w:color w:val="000000"/>
        </w:rPr>
        <w:t>1.严格遵守党的政策规定和国家有关法律法规及广东省委、省政府关于反商业贿赂和加强党风廉政建设的有关规定。</w:t>
      </w:r>
    </w:p>
    <w:p>
      <w:pPr>
        <w:pStyle w:val="null3"/>
        <w:ind w:firstLine="420"/>
        <w:jc w:val="both"/>
      </w:pPr>
      <w:r>
        <w:rPr>
          <w:sz w:val="21"/>
          <w:color w:val="000000"/>
        </w:rPr>
        <w:t>2.严格执行本项目的合同文件，自觉按合同办事。</w:t>
      </w:r>
    </w:p>
    <w:p>
      <w:pPr>
        <w:pStyle w:val="null3"/>
        <w:ind w:firstLine="420"/>
        <w:jc w:val="both"/>
      </w:pPr>
      <w:r>
        <w:rPr>
          <w:sz w:val="21"/>
          <w:color w:val="000000"/>
        </w:rPr>
        <w:t>3.双方的业务活动坚持公开、公正、诚信、透明的原则(法律认定的商业秘密和合同文件另有规定除外)，不得损害国家和集体利益，违反项目管理规章制度。</w:t>
      </w:r>
    </w:p>
    <w:p>
      <w:pPr>
        <w:pStyle w:val="null3"/>
        <w:ind w:firstLine="420"/>
        <w:jc w:val="both"/>
      </w:pPr>
      <w:r>
        <w:rPr>
          <w:sz w:val="21"/>
          <w:color w:val="000000"/>
        </w:rPr>
        <w:t>4.建立健全反商业贿赂和廉政制度，开展相关教育，设立反商业贿赂和廉政告示牌。公布举报电话，监督并认真查处违法违纪行为。</w:t>
      </w:r>
    </w:p>
    <w:p>
      <w:pPr>
        <w:pStyle w:val="null3"/>
        <w:ind w:firstLine="420"/>
        <w:jc w:val="both"/>
      </w:pPr>
      <w:r>
        <w:rPr>
          <w:sz w:val="21"/>
          <w:color w:val="000000"/>
        </w:rPr>
        <w:t>5.发现对方在业务活动中有违反商业贿赂和廉政规定的行为，有及时提醒对方纠正的权利和义务。</w:t>
      </w:r>
    </w:p>
    <w:p>
      <w:pPr>
        <w:pStyle w:val="null3"/>
        <w:ind w:firstLine="420"/>
        <w:jc w:val="both"/>
      </w:pPr>
      <w:r>
        <w:rPr>
          <w:sz w:val="21"/>
          <w:color w:val="000000"/>
        </w:rPr>
        <w:t>6.发现对方严重违反合同义务条款的行为，有向其上级有关部门举报、建议给予处理并要求告知处理结果的权利。</w:t>
      </w:r>
    </w:p>
    <w:p>
      <w:pPr>
        <w:pStyle w:val="null3"/>
        <w:ind w:firstLine="420"/>
        <w:jc w:val="both"/>
      </w:pPr>
      <w:r>
        <w:rPr>
          <w:sz w:val="21"/>
          <w:color w:val="000000"/>
        </w:rPr>
        <w:t>7.双方或双方与系统设计、软件开发、系统集成、设备材料供应等相关单位不得串通、弄虚作假谋取不正当利益或降低服务质量等损害国家利益。</w:t>
      </w:r>
    </w:p>
    <w:p>
      <w:pPr>
        <w:pStyle w:val="null3"/>
        <w:ind w:firstLine="420"/>
        <w:jc w:val="both"/>
      </w:pPr>
      <w:r>
        <w:rPr>
          <w:sz w:val="21"/>
          <w:color w:val="000000"/>
        </w:rPr>
        <w:t>8.乙方遵守《反商业贿赂协议》情况纳入甲方对乙方的绩效考评范围。</w:t>
      </w:r>
    </w:p>
    <w:p>
      <w:pPr>
        <w:pStyle w:val="null3"/>
        <w:ind w:firstLine="420"/>
        <w:jc w:val="both"/>
      </w:pPr>
      <w:r>
        <w:rPr>
          <w:sz w:val="21"/>
          <w:color w:val="000000"/>
        </w:rPr>
        <w:t>二、甲方的义务</w:t>
      </w:r>
    </w:p>
    <w:p>
      <w:pPr>
        <w:pStyle w:val="null3"/>
        <w:ind w:firstLine="420"/>
        <w:jc w:val="both"/>
      </w:pPr>
      <w:r>
        <w:rPr>
          <w:sz w:val="21"/>
          <w:color w:val="000000"/>
        </w:rPr>
        <w:t>1.甲方及其工作人员不索要或接受乙方的礼金、有价证券和贵重物品，不得在乙方报销任何应由甲方或甲方工作人员个人支付的费用等。</w:t>
      </w:r>
    </w:p>
    <w:p>
      <w:pPr>
        <w:pStyle w:val="null3"/>
        <w:ind w:firstLine="420"/>
        <w:jc w:val="both"/>
      </w:pPr>
      <w:r>
        <w:rPr>
          <w:sz w:val="21"/>
          <w:color w:val="000000"/>
        </w:rPr>
        <w:t>2.甲方工作人员不得参加乙方安排的超标准宴请和娱乐活动；不得接受乙方提供的通讯工具、交通工具和高档办公用品等。</w:t>
      </w:r>
    </w:p>
    <w:p>
      <w:pPr>
        <w:pStyle w:val="null3"/>
        <w:ind w:firstLine="420"/>
        <w:jc w:val="both"/>
      </w:pPr>
      <w:r>
        <w:rPr>
          <w:sz w:val="21"/>
          <w:color w:val="000000"/>
        </w:rPr>
        <w:t>3.甲方及其工作人员不得要求或者接受乙方为其住房装修、婚丧嫁娶活动、配偶子女的工作安排以及出国出境、旅游等提供方便等。</w:t>
      </w:r>
    </w:p>
    <w:p>
      <w:pPr>
        <w:pStyle w:val="null3"/>
        <w:ind w:firstLine="420"/>
        <w:jc w:val="both"/>
      </w:pPr>
      <w:r>
        <w:rPr>
          <w:sz w:val="21"/>
          <w:color w:val="000000"/>
        </w:rPr>
        <w:t>4.甲方工作人员及其配偶、子女不得从事与项目有关的材料设备供应、服务承包、劳务活动等。</w:t>
      </w:r>
    </w:p>
    <w:p>
      <w:pPr>
        <w:pStyle w:val="null3"/>
        <w:ind w:firstLine="420"/>
        <w:jc w:val="both"/>
      </w:pPr>
      <w:r>
        <w:rPr>
          <w:sz w:val="21"/>
          <w:color w:val="000000"/>
        </w:rPr>
        <w:t>5.甲方及其工作人员不得利用职权插手项目活动谋求不正当利益，不得以任何理由向乙方推荐项目建设相关单位或推销材料，不得要求乙方购买合同规定外的材料和设备。</w:t>
      </w:r>
    </w:p>
    <w:p>
      <w:pPr>
        <w:pStyle w:val="null3"/>
        <w:ind w:firstLine="420"/>
        <w:jc w:val="both"/>
      </w:pPr>
      <w:r>
        <w:rPr>
          <w:sz w:val="21"/>
          <w:color w:val="000000"/>
        </w:rPr>
        <w:t>6.甲方工作人员要秉公办事，不准营私舞弊，不准利用职权从事各种个人有偿中介活动和安排介绍服务团队。</w:t>
      </w:r>
    </w:p>
    <w:p>
      <w:pPr>
        <w:pStyle w:val="null3"/>
        <w:ind w:firstLine="420"/>
        <w:jc w:val="both"/>
      </w:pPr>
      <w:r>
        <w:rPr>
          <w:sz w:val="21"/>
          <w:color w:val="000000"/>
        </w:rPr>
        <w:t>三、乙方义务</w:t>
      </w:r>
    </w:p>
    <w:p>
      <w:pPr>
        <w:pStyle w:val="null3"/>
        <w:ind w:firstLine="420"/>
        <w:jc w:val="both"/>
      </w:pPr>
      <w:r>
        <w:rPr>
          <w:sz w:val="21"/>
          <w:color w:val="000000"/>
        </w:rPr>
        <w:t>1.乙方不得以任何理由向甲方及其工作人员、服务单位行贿或馈赠礼金、有价证券、贵重礼品。</w:t>
      </w:r>
    </w:p>
    <w:p>
      <w:pPr>
        <w:pStyle w:val="null3"/>
        <w:ind w:firstLine="420"/>
        <w:jc w:val="both"/>
      </w:pPr>
      <w:r>
        <w:rPr>
          <w:sz w:val="21"/>
          <w:color w:val="000000"/>
        </w:rPr>
        <w:t>2.乙方不得以任何名义为甲方及其工作人员报销应由甲方单位或个人支付的任何费用。</w:t>
      </w:r>
    </w:p>
    <w:p>
      <w:pPr>
        <w:pStyle w:val="null3"/>
        <w:ind w:firstLine="420"/>
        <w:jc w:val="both"/>
      </w:pPr>
      <w:r>
        <w:rPr>
          <w:sz w:val="21"/>
          <w:color w:val="000000"/>
        </w:rPr>
        <w:t>3.乙方不得以任何理由安排甲方工作人员参加超标准宴请及娱乐活动。</w:t>
      </w:r>
    </w:p>
    <w:p>
      <w:pPr>
        <w:pStyle w:val="null3"/>
        <w:ind w:firstLine="420"/>
        <w:jc w:val="both"/>
      </w:pPr>
      <w:r>
        <w:rPr>
          <w:sz w:val="21"/>
          <w:color w:val="000000"/>
        </w:rPr>
        <w:t>4.乙方不得为甲方单位和个人购置或提供</w:t>
      </w:r>
      <w:r>
        <w:rPr>
          <w:sz w:val="21"/>
          <w:color w:val="000000"/>
        </w:rPr>
        <w:t>通讯工具</w:t>
      </w:r>
      <w:r>
        <w:rPr>
          <w:sz w:val="21"/>
          <w:color w:val="000000"/>
        </w:rPr>
        <w:t>、交通工具和高档办公用品等。</w:t>
      </w:r>
    </w:p>
    <w:p>
      <w:pPr>
        <w:pStyle w:val="null3"/>
        <w:ind w:firstLine="420"/>
        <w:jc w:val="both"/>
      </w:pPr>
      <w:r>
        <w:rPr>
          <w:sz w:val="21"/>
          <w:color w:val="000000"/>
        </w:rPr>
        <w:t>四、违约责任</w:t>
      </w:r>
    </w:p>
    <w:p>
      <w:pPr>
        <w:pStyle w:val="null3"/>
        <w:ind w:firstLine="420"/>
        <w:jc w:val="both"/>
      </w:pPr>
      <w:r>
        <w:rPr>
          <w:sz w:val="21"/>
          <w:color w:val="000000"/>
        </w:rPr>
        <w:t>1.甲方及其工作人员违反本合同第一、二条，按管理权限，依据有关规定给予党纪、政纪或组织处理；涉嫌犯罪的，移交司法机关追究刑事责任；给乙方单位造成经济损失的，应予以赔偿。</w:t>
      </w:r>
    </w:p>
    <w:p>
      <w:pPr>
        <w:pStyle w:val="null3"/>
        <w:ind w:firstLine="420"/>
        <w:jc w:val="both"/>
      </w:pPr>
      <w:r>
        <w:rPr>
          <w:sz w:val="21"/>
          <w:color w:val="000000"/>
        </w:rPr>
        <w:t>2.乙方及其工作人员违反本合同第一、三条，按合同金额的50%向甲方支付违约金，同时按管理权限，依据有关规定给予党纪、政纪组织处理；给甲方单位造成经济损失的，应予以经济赔偿。</w:t>
      </w:r>
    </w:p>
    <w:p>
      <w:pPr>
        <w:pStyle w:val="null3"/>
        <w:ind w:firstLine="420"/>
        <w:jc w:val="both"/>
      </w:pPr>
      <w:r>
        <w:rPr>
          <w:sz w:val="21"/>
          <w:color w:val="000000"/>
        </w:rPr>
        <w:t>五、双方约定，双方有义务对合同执行情况开展自查自纠，并自觉接受有关部门监督。</w:t>
      </w:r>
    </w:p>
    <w:p>
      <w:pPr>
        <w:pStyle w:val="null3"/>
        <w:ind w:firstLine="420"/>
        <w:jc w:val="both"/>
      </w:pPr>
      <w:r>
        <w:rPr>
          <w:sz w:val="21"/>
          <w:color w:val="000000"/>
        </w:rPr>
        <w:t>六、本协议有效期为甲乙双方签署之日起至该项目服务期满止。</w:t>
      </w:r>
    </w:p>
    <w:p>
      <w:pPr>
        <w:pStyle w:val="null3"/>
        <w:ind w:firstLine="420"/>
        <w:jc w:val="both"/>
      </w:pPr>
      <w:r>
        <w:rPr>
          <w:sz w:val="21"/>
          <w:color w:val="000000"/>
        </w:rPr>
        <w:t>七、本协议作为</w:t>
      </w:r>
      <w:r>
        <w:rPr>
          <w:sz w:val="21"/>
          <w:u w:val="single"/>
        </w:rPr>
        <w:t xml:space="preserve">                          </w:t>
      </w:r>
      <w:r>
        <w:rPr>
          <w:sz w:val="21"/>
          <w:color w:val="000000"/>
        </w:rPr>
        <w:t>合同的附件，与上述合同具有同等的法律效力，经合同双方签署后生效。</w:t>
      </w:r>
    </w:p>
    <w:tbl>
      <w:tblPr>
        <w:tblW w:w="0" w:type="auto"/>
        <w:tblBorders>
          <w:top w:val="none" w:color="000000" w:sz="4"/>
          <w:left w:val="none" w:color="000000" w:sz="4"/>
          <w:bottom w:val="none" w:color="000000" w:sz="4"/>
          <w:right w:val="none" w:color="000000" w:sz="4"/>
          <w:insideH w:val="none"/>
          <w:insideV w:val="none"/>
        </w:tblBorders>
      </w:tblPr>
      <w:tblGrid>
        <w:gridCol w:w="4145"/>
        <w:gridCol w:w="4145"/>
      </w:tblGrid>
      <w:tr>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委托方（甲方）：                 （盖</w:t>
            </w:r>
            <w:r>
              <w:rPr>
                <w:sz w:val="21"/>
                <w:color w:val="000000"/>
              </w:rPr>
              <w:t>单位公</w:t>
            </w:r>
            <w:r>
              <w:rPr>
                <w:sz w:val="21"/>
                <w:color w:val="000000"/>
              </w:rPr>
              <w:t>章）</w:t>
            </w:r>
          </w:p>
        </w:tc>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受托方（乙方）：               （盖</w:t>
            </w:r>
            <w:r>
              <w:rPr>
                <w:sz w:val="21"/>
                <w:color w:val="000000"/>
              </w:rPr>
              <w:t>公</w:t>
            </w:r>
            <w:r>
              <w:rPr>
                <w:sz w:val="21"/>
                <w:color w:val="000000"/>
              </w:rPr>
              <w:t>章）</w:t>
            </w:r>
          </w:p>
        </w:tc>
      </w:tr>
      <w:tr>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法定代表人</w:t>
            </w:r>
          </w:p>
        </w:tc>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法定代表人</w:t>
            </w:r>
          </w:p>
        </w:tc>
      </w:tr>
      <w:tr>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或其委托代理人</w:t>
            </w:r>
            <w:r>
              <w:rPr>
                <w:sz w:val="21"/>
                <w:color w:val="000000"/>
              </w:rPr>
              <w:t>（签名/章）</w:t>
            </w:r>
            <w:r>
              <w:rPr>
                <w:sz w:val="21"/>
                <w:color w:val="000000"/>
              </w:rPr>
              <w:t>：</w:t>
            </w:r>
          </w:p>
        </w:tc>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或其委托代理人</w:t>
            </w:r>
            <w:r>
              <w:rPr>
                <w:sz w:val="21"/>
                <w:color w:val="000000"/>
              </w:rPr>
              <w:t>（签名/章）</w:t>
            </w:r>
            <w:r>
              <w:rPr>
                <w:sz w:val="21"/>
                <w:color w:val="000000"/>
              </w:rPr>
              <w:t>：</w:t>
            </w:r>
          </w:p>
        </w:tc>
      </w:tr>
      <w:tr>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日  期：</w:t>
            </w:r>
          </w:p>
        </w:tc>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日  期：</w:t>
            </w:r>
          </w:p>
        </w:tc>
      </w:tr>
    </w:tbl>
    <w:p>
      <w:pPr>
        <w:pStyle w:val="null3"/>
        <w:jc w:val="both"/>
      </w:pPr>
      <w:r>
        <w:rPr/>
        <w:t xml:space="preserve"> </w:t>
      </w:r>
    </w:p>
    <w:p>
      <w:pPr>
        <w:pStyle w:val="null3"/>
      </w:pPr>
      <w:r>
        <w:rPr/>
        <w:t xml:space="preserve"> </w:t>
      </w:r>
    </w:p>
    <w:p>
      <w:pPr>
        <w:pStyle w:val="null3"/>
        <w:jc w:val="both"/>
      </w:pPr>
      <w:r>
        <w:rPr>
          <w:sz w:val="21"/>
          <w:b/>
          <w:color w:val="000000"/>
        </w:rPr>
        <w:t>附件</w:t>
      </w:r>
      <w:r>
        <w:rPr>
          <w:sz w:val="21"/>
          <w:b/>
          <w:color w:val="000000"/>
        </w:rPr>
        <w:t>7</w:t>
      </w:r>
      <w:r>
        <w:rPr>
          <w:sz w:val="21"/>
          <w:b/>
          <w:color w:val="000000"/>
        </w:rPr>
        <w:t>.</w:t>
      </w:r>
      <w:r>
        <w:rPr>
          <w:sz w:val="21"/>
          <w:b/>
          <w:color w:val="000000"/>
        </w:rPr>
        <w:t>软件委托开发协议书（涉及软件开发服务，且甲方独有或共有知识产权的情况）</w:t>
      </w:r>
    </w:p>
    <w:p>
      <w:pPr>
        <w:pStyle w:val="null3"/>
        <w:ind w:left="495"/>
        <w:jc w:val="left"/>
      </w:pPr>
      <w:r>
        <w:rPr>
          <w:sz w:val="32"/>
          <w:b/>
          <w:color w:val="000000"/>
        </w:rPr>
        <w:t>软件</w:t>
      </w:r>
      <w:r>
        <w:rPr>
          <w:sz w:val="32"/>
          <w:b/>
          <w:color w:val="000000"/>
        </w:rPr>
        <w:t>委托</w:t>
      </w:r>
      <w:r>
        <w:rPr>
          <w:sz w:val="32"/>
          <w:b/>
          <w:color w:val="000000"/>
        </w:rPr>
        <w:t>开发协议书</w:t>
      </w:r>
    </w:p>
    <w:p>
      <w:pPr>
        <w:pStyle w:val="null3"/>
        <w:jc w:val="left"/>
      </w:pPr>
      <w:r>
        <w:rPr>
          <w:sz w:val="21"/>
          <w:b/>
          <w:color w:val="000000"/>
        </w:rPr>
        <w:t>委托方：</w:t>
      </w:r>
    </w:p>
    <w:p>
      <w:pPr>
        <w:pStyle w:val="null3"/>
        <w:ind w:firstLine="211"/>
        <w:jc w:val="both"/>
      </w:pPr>
      <w:r>
        <w:rPr>
          <w:sz w:val="21"/>
          <w:b/>
          <w:color w:val="000000"/>
        </w:rPr>
        <w:t>受托方：</w:t>
      </w:r>
    </w:p>
    <w:p>
      <w:pPr>
        <w:pStyle w:val="null3"/>
        <w:jc w:val="both"/>
      </w:pPr>
      <w:r>
        <w:rPr>
          <w:sz w:val="21"/>
          <w:color w:val="000000"/>
        </w:rPr>
        <w:t>鉴于，本协议受托方为计算机软件专业开发机构，能够进行创造性的软件开发活动。并且，本协议委托方有意委托受托方完成XXX系统（版本号VX.X）软件的开发工作。为了规范各方的权利义务，在《中华人民共和国著作权法》和《中华人民共和国民法典》等相关法规之规定，订立本协议书，各方共同遵守：</w:t>
      </w:r>
    </w:p>
    <w:p>
      <w:pPr>
        <w:pStyle w:val="null3"/>
        <w:jc w:val="left"/>
      </w:pPr>
      <w:r>
        <w:rPr>
          <w:sz w:val="21"/>
          <w:color w:val="000000"/>
        </w:rPr>
        <w:t>第一条、项目宗旨</w:t>
      </w:r>
    </w:p>
    <w:p>
      <w:pPr>
        <w:pStyle w:val="null3"/>
        <w:jc w:val="left"/>
      </w:pPr>
      <w:r>
        <w:rPr>
          <w:sz w:val="21"/>
          <w:color w:val="000000"/>
        </w:rPr>
        <w:t>为完成</w:t>
      </w:r>
      <w:r>
        <w:rPr>
          <w:sz w:val="21"/>
          <w:color w:val="000000"/>
          <w:u w:val="single"/>
        </w:rPr>
        <w:t>XXX系统（版本号VX.X）</w:t>
      </w:r>
      <w:r>
        <w:rPr>
          <w:sz w:val="21"/>
          <w:color w:val="000000"/>
        </w:rPr>
        <w:t>软件（“本软件”）的开发工作，并由本协议约定主体享有开发成果而拟定本软件委托开发协议书。</w:t>
      </w:r>
    </w:p>
    <w:p>
      <w:pPr>
        <w:pStyle w:val="null3"/>
        <w:jc w:val="left"/>
      </w:pPr>
      <w:r>
        <w:rPr>
          <w:sz w:val="21"/>
          <w:color w:val="000000"/>
        </w:rPr>
        <w:t>第二条委托项目和范围</w:t>
      </w:r>
    </w:p>
    <w:p>
      <w:pPr>
        <w:pStyle w:val="null3"/>
        <w:jc w:val="left"/>
      </w:pPr>
      <w:r>
        <w:rPr>
          <w:sz w:val="21"/>
          <w:color w:val="000000"/>
        </w:rPr>
        <w:t>受托方负责开发本软件，包括本软件的代码编写、调试、测试等开发工作。</w:t>
      </w:r>
    </w:p>
    <w:p>
      <w:pPr>
        <w:pStyle w:val="null3"/>
        <w:jc w:val="left"/>
      </w:pPr>
      <w:r>
        <w:rPr>
          <w:sz w:val="21"/>
          <w:color w:val="000000"/>
        </w:rPr>
        <w:t>第三条委托期限</w:t>
      </w:r>
    </w:p>
    <w:p>
      <w:pPr>
        <w:pStyle w:val="null3"/>
        <w:jc w:val="left"/>
      </w:pPr>
      <w:r>
        <w:rPr>
          <w:sz w:val="21"/>
          <w:color w:val="000000"/>
        </w:rPr>
        <w:t>委托期限为自本协议签署之日起至本项目最终验收之日止。</w:t>
      </w:r>
    </w:p>
    <w:p>
      <w:pPr>
        <w:pStyle w:val="null3"/>
        <w:jc w:val="left"/>
      </w:pPr>
      <w:r>
        <w:rPr>
          <w:sz w:val="21"/>
          <w:color w:val="000000"/>
        </w:rPr>
        <w:t>第四条委托方式</w:t>
      </w:r>
    </w:p>
    <w:p>
      <w:pPr>
        <w:pStyle w:val="null3"/>
        <w:jc w:val="left"/>
      </w:pPr>
      <w:r>
        <w:rPr>
          <w:sz w:val="21"/>
          <w:color w:val="000000"/>
        </w:rPr>
        <w:t>１．受托方应严格依照双方约定开发目标完成本软件开发工作，不得随意更改本软件的重大功能和事项。</w:t>
      </w:r>
    </w:p>
    <w:p>
      <w:pPr>
        <w:pStyle w:val="null3"/>
        <w:jc w:val="left"/>
      </w:pPr>
      <w:r>
        <w:rPr>
          <w:sz w:val="21"/>
          <w:color w:val="000000"/>
        </w:rPr>
        <w:t>２．委托方应就本软件开发工作予以受托方相应的支持。</w:t>
      </w:r>
    </w:p>
    <w:p>
      <w:pPr>
        <w:pStyle w:val="null3"/>
        <w:jc w:val="left"/>
      </w:pPr>
      <w:r>
        <w:rPr>
          <w:sz w:val="21"/>
          <w:color w:val="000000"/>
        </w:rPr>
        <w:t>第五条知识产权</w:t>
      </w:r>
    </w:p>
    <w:p>
      <w:pPr>
        <w:pStyle w:val="null3"/>
        <w:jc w:val="left"/>
      </w:pPr>
      <w:r>
        <w:rPr>
          <w:sz w:val="21"/>
          <w:color w:val="000000"/>
        </w:rPr>
        <w:t>１．软件著作权的全部权利归</w:t>
      </w:r>
      <w:r>
        <w:rPr>
          <w:sz w:val="21"/>
          <w:color w:val="000000"/>
          <w:u w:val="single"/>
        </w:rPr>
        <w:t>双方共同所有/委托方所有。</w:t>
      </w:r>
    </w:p>
    <w:p>
      <w:pPr>
        <w:pStyle w:val="null3"/>
        <w:jc w:val="left"/>
      </w:pPr>
      <w:r>
        <w:rPr>
          <w:sz w:val="21"/>
          <w:color w:val="000000"/>
        </w:rPr>
        <w:t>２．受托方在编写软件的过程中，不得有侵犯他人知识产权的行为，否则，应</w:t>
      </w:r>
      <w:r>
        <w:rPr>
          <w:sz w:val="21"/>
          <w:color w:val="000000"/>
          <w:u w:val="single"/>
        </w:rPr>
        <w:t>单独</w:t>
      </w:r>
      <w:r>
        <w:rPr>
          <w:sz w:val="21"/>
          <w:color w:val="000000"/>
        </w:rPr>
        <w:t>对外承担全部侵权责任。</w:t>
      </w:r>
    </w:p>
    <w:p>
      <w:pPr>
        <w:pStyle w:val="null3"/>
        <w:jc w:val="left"/>
      </w:pPr>
      <w:r>
        <w:rPr>
          <w:sz w:val="21"/>
          <w:color w:val="000000"/>
        </w:rPr>
        <w:t>第六条协议变更及转让</w:t>
      </w:r>
    </w:p>
    <w:p>
      <w:pPr>
        <w:pStyle w:val="null3"/>
        <w:jc w:val="left"/>
      </w:pPr>
      <w:r>
        <w:rPr>
          <w:sz w:val="21"/>
          <w:color w:val="000000"/>
        </w:rPr>
        <w:t>１．经合作各方协商同意，本协议可以作相应变更；</w:t>
      </w:r>
    </w:p>
    <w:p>
      <w:pPr>
        <w:pStyle w:val="null3"/>
        <w:jc w:val="left"/>
      </w:pPr>
      <w:r>
        <w:rPr>
          <w:sz w:val="21"/>
          <w:color w:val="000000"/>
        </w:rPr>
        <w:t>２．本协议任何一方未经与其他各方协商，擅自变更本协议条款或者将本协议权利义务转让他人，均为无效。</w:t>
      </w:r>
    </w:p>
    <w:p>
      <w:pPr>
        <w:pStyle w:val="null3"/>
        <w:jc w:val="left"/>
      </w:pPr>
      <w:r>
        <w:rPr>
          <w:sz w:val="21"/>
          <w:color w:val="000000"/>
        </w:rPr>
        <w:t>第七条</w:t>
      </w:r>
      <w:r>
        <w:rPr>
          <w:sz w:val="21"/>
          <w:color w:val="000000"/>
        </w:rPr>
        <w:t>协议终止</w:t>
      </w:r>
    </w:p>
    <w:p>
      <w:pPr>
        <w:pStyle w:val="null3"/>
        <w:ind w:firstLine="420"/>
        <w:jc w:val="left"/>
      </w:pPr>
      <w:r>
        <w:rPr>
          <w:sz w:val="21"/>
          <w:color w:val="000000"/>
        </w:rPr>
        <w:t>本协议因以下事由之一得终止：</w:t>
      </w:r>
    </w:p>
    <w:p>
      <w:pPr>
        <w:pStyle w:val="null3"/>
        <w:ind w:firstLine="420"/>
        <w:jc w:val="left"/>
      </w:pPr>
      <w:r>
        <w:rPr>
          <w:sz w:val="21"/>
          <w:color w:val="000000"/>
        </w:rPr>
        <w:t>①经本协议各方协商一致；②委托开发项目因技术原因，根本不能完成；③委托开发项目违反法律被撤销。</w:t>
      </w:r>
    </w:p>
    <w:p>
      <w:pPr>
        <w:pStyle w:val="null3"/>
        <w:jc w:val="left"/>
      </w:pPr>
      <w:r>
        <w:rPr>
          <w:sz w:val="21"/>
          <w:color w:val="000000"/>
        </w:rPr>
        <w:t>第八条纠纷的解决</w:t>
      </w:r>
    </w:p>
    <w:p>
      <w:pPr>
        <w:pStyle w:val="null3"/>
        <w:jc w:val="left"/>
      </w:pPr>
      <w:r>
        <w:rPr>
          <w:sz w:val="21"/>
          <w:color w:val="000000"/>
        </w:rPr>
        <w:t>本协议各方之间如发生纠纷，应共同协商，本着有利于事业发展的原则予以解决。如协商不成，可以诉诸法院。</w:t>
      </w:r>
    </w:p>
    <w:p>
      <w:pPr>
        <w:pStyle w:val="null3"/>
        <w:ind w:firstLine="420"/>
        <w:jc w:val="left"/>
      </w:pPr>
      <w:r>
        <w:rPr>
          <w:sz w:val="21"/>
          <w:color w:val="000000"/>
        </w:rPr>
        <w:t>第九条  本协议自</w:t>
      </w:r>
      <w:r>
        <w:rPr>
          <w:sz w:val="21"/>
          <w:color w:val="000000"/>
          <w:u w:val="single"/>
        </w:rPr>
        <w:t xml:space="preserve">  各  </w:t>
      </w:r>
      <w:r>
        <w:rPr>
          <w:sz w:val="21"/>
          <w:color w:val="000000"/>
        </w:rPr>
        <w:t>方签字（或盖章）之日起生效，</w:t>
      </w:r>
    </w:p>
    <w:p>
      <w:pPr>
        <w:pStyle w:val="null3"/>
        <w:ind w:firstLine="420"/>
        <w:jc w:val="left"/>
      </w:pPr>
      <w:r>
        <w:rPr>
          <w:sz w:val="21"/>
          <w:color w:val="000000"/>
        </w:rPr>
        <w:t>委托方（签章）                             受托方（签章）</w:t>
      </w:r>
    </w:p>
    <w:p>
      <w:pPr>
        <w:pStyle w:val="null3"/>
        <w:ind w:firstLine="420"/>
        <w:jc w:val="left"/>
      </w:pPr>
      <w:r>
        <w:rPr>
          <w:sz w:val="21"/>
          <w:color w:val="000000"/>
        </w:rPr>
        <w:t>签署时间：   年  月  日</w:t>
      </w:r>
    </w:p>
    <w:p>
      <w:pPr>
        <w:pStyle w:val="null3"/>
        <w:jc w:val="both"/>
      </w:pPr>
      <w:r>
        <w:rPr/>
        <w:t xml:space="preserve"> </w:t>
      </w:r>
    </w:p>
    <w:p>
      <w:pPr>
        <w:pStyle w:val="null3"/>
      </w:pPr>
      <w:r>
        <w:rPr/>
        <w:t xml:space="preserve"> </w:t>
      </w:r>
    </w:p>
    <w:p>
      <w:pPr>
        <w:pStyle w:val="null3"/>
        <w:ind w:firstLine="422"/>
        <w:jc w:val="both"/>
      </w:pPr>
      <w:r>
        <w:rPr>
          <w:sz w:val="21"/>
          <w:b/>
          <w:color w:val="000000"/>
        </w:rPr>
        <w:t>附件8.服务违约行为表（适用于云服务项目）</w:t>
      </w:r>
    </w:p>
    <w:p>
      <w:pPr>
        <w:pStyle w:val="null3"/>
        <w:ind w:firstLine="422"/>
        <w:jc w:val="center"/>
      </w:pPr>
      <w:r>
        <w:rPr>
          <w:sz w:val="21"/>
          <w:b/>
          <w:color w:val="000000"/>
        </w:rPr>
        <w:t>服务违约行为表</w:t>
      </w:r>
    </w:p>
    <w:p>
      <w:pPr>
        <w:pStyle w:val="null3"/>
        <w:ind w:firstLine="422"/>
        <w:jc w:val="center"/>
      </w:pPr>
      <w:r>
        <w:rPr>
          <w:sz w:val="21"/>
          <w:b/>
          <w:color w:val="000000"/>
        </w:rPr>
        <w:t>一、重大违约行为</w:t>
      </w:r>
    </w:p>
    <w:p>
      <w:pPr>
        <w:pStyle w:val="null3"/>
        <w:ind w:firstLine="420"/>
        <w:jc w:val="both"/>
      </w:pPr>
      <w:r>
        <w:rPr>
          <w:sz w:val="21"/>
          <w:color w:val="000000"/>
        </w:rPr>
        <w:t>乙方服务期限内的违约行为造成云平台整体故障（非不可抗拒力条件下）或重大安全事故的（根据其严重程度分为A级事件和B级事件）。</w:t>
      </w:r>
    </w:p>
    <w:p>
      <w:pPr>
        <w:pStyle w:val="null3"/>
        <w:ind w:firstLine="422"/>
        <w:jc w:val="both"/>
      </w:pPr>
      <w:r>
        <w:rPr>
          <w:sz w:val="21"/>
          <w:b/>
          <w:color w:val="000000"/>
        </w:rPr>
        <w:t>违约金=当月所有业务系统云服务月租费</w:t>
      </w:r>
      <w:r>
        <w:rPr>
          <w:sz w:val="21"/>
          <w:color w:val="000000"/>
        </w:rPr>
        <w:t>（</w:t>
      </w:r>
      <w:r>
        <w:rPr>
          <w:sz w:val="21"/>
          <w:b/>
          <w:color w:val="000000"/>
        </w:rPr>
        <w:t>云服务月租费按省财政厅最新批复的标准执行</w:t>
      </w:r>
      <w:r>
        <w:rPr>
          <w:sz w:val="21"/>
          <w:color w:val="000000"/>
        </w:rPr>
        <w:t>）</w:t>
      </w:r>
    </w:p>
    <w:p>
      <w:pPr>
        <w:pStyle w:val="null3"/>
        <w:ind w:firstLine="422"/>
        <w:jc w:val="center"/>
      </w:pPr>
      <w:r>
        <w:rPr>
          <w:sz w:val="21"/>
          <w:b/>
          <w:color w:val="000000"/>
        </w:rPr>
        <w:t>表：重大违约行为表</w:t>
      </w:r>
    </w:p>
    <w:tbl>
      <w:tblPr>
        <w:tblW w:w="0" w:type="auto"/>
        <w:tblBorders>
          <w:top w:val="none" w:color="000000" w:sz="4"/>
          <w:left w:val="none" w:color="000000" w:sz="4"/>
          <w:bottom w:val="none" w:color="000000" w:sz="4"/>
          <w:right w:val="none" w:color="000000" w:sz="4"/>
          <w:insideH w:val="none"/>
          <w:insideV w:val="none"/>
        </w:tblBorders>
      </w:tblPr>
      <w:tblGrid>
        <w:gridCol w:w="1165"/>
        <w:gridCol w:w="1269"/>
        <w:gridCol w:w="3943"/>
        <w:gridCol w:w="956"/>
        <w:gridCol w:w="478"/>
        <w:gridCol w:w="463"/>
      </w:tblGrid>
      <w:tr>
        <w:tc>
          <w:tcPr>
            <w:tcW w:type="dxa" w:w="1165"/>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color w:val="000000"/>
              </w:rPr>
              <w:t>类别</w:t>
            </w:r>
          </w:p>
        </w:tc>
        <w:tc>
          <w:tcPr>
            <w:tcW w:type="dxa" w:w="126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color w:val="000000"/>
              </w:rPr>
              <w:t>范围</w:t>
            </w:r>
          </w:p>
        </w:tc>
        <w:tc>
          <w:tcPr>
            <w:tcW w:type="dxa" w:w="394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color w:val="000000"/>
              </w:rPr>
              <w:t>影响</w:t>
            </w:r>
          </w:p>
        </w:tc>
        <w:tc>
          <w:tcPr>
            <w:tcW w:type="dxa" w:w="95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color w:val="000000"/>
              </w:rPr>
              <w:t>影响时间</w:t>
            </w:r>
          </w:p>
        </w:tc>
        <w:tc>
          <w:tcPr>
            <w:tcW w:type="dxa" w:w="478"/>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color w:val="000000"/>
              </w:rPr>
              <w:t>事件级别</w:t>
            </w:r>
          </w:p>
        </w:tc>
        <w:tc>
          <w:tcPr>
            <w:tcW w:type="dxa" w:w="46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color w:val="000000"/>
              </w:rPr>
              <w:t>次数</w:t>
            </w:r>
          </w:p>
        </w:tc>
      </w:tr>
      <w:tr>
        <w:tc>
          <w:tcPr>
            <w:tcW w:type="dxa" w:w="1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12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394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9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1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12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394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9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1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12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394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9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1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12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394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9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1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12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394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9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1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12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394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9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1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12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394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9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bl>
    <w:p>
      <w:pPr>
        <w:pStyle w:val="null3"/>
        <w:jc w:val="both"/>
      </w:pPr>
      <w:r>
        <w:rPr>
          <w:sz w:val="21"/>
          <w:b/>
          <w:color w:val="000000"/>
        </w:rPr>
        <w:t>二、严重违约行为</w:t>
      </w:r>
    </w:p>
    <w:p>
      <w:pPr>
        <w:pStyle w:val="null3"/>
        <w:ind w:firstLine="420"/>
        <w:jc w:val="both"/>
      </w:pPr>
      <w:r>
        <w:rPr>
          <w:sz w:val="21"/>
          <w:color w:val="000000"/>
        </w:rPr>
        <w:t>乙方在服务期内的违约行为对用户业务系统产生一定的经济损失，但其影响和经济损失未达到重大违约行为中规定的B级事件的。</w:t>
      </w:r>
    </w:p>
    <w:p>
      <w:pPr>
        <w:pStyle w:val="null3"/>
        <w:ind w:firstLine="422"/>
        <w:jc w:val="both"/>
      </w:pPr>
      <w:r>
        <w:rPr>
          <w:sz w:val="21"/>
          <w:b/>
          <w:color w:val="000000"/>
        </w:rPr>
        <w:t>违约金=对应</w:t>
      </w:r>
      <w:r>
        <w:rPr>
          <w:sz w:val="21"/>
          <w:b/>
          <w:color w:val="000000"/>
        </w:rPr>
        <w:t>业务系统云合同金额/服务月数*违约金系数</w:t>
      </w:r>
      <w:r>
        <w:rPr>
          <w:sz w:val="21"/>
          <w:color w:val="000000"/>
        </w:rPr>
        <w:t>（违约金系数参见《严重违约行为表》）</w:t>
      </w:r>
    </w:p>
    <w:p>
      <w:pPr>
        <w:pStyle w:val="null3"/>
        <w:ind w:firstLine="422"/>
        <w:jc w:val="center"/>
      </w:pPr>
      <w:r>
        <w:rPr>
          <w:sz w:val="21"/>
          <w:b/>
          <w:color w:val="000000"/>
        </w:rPr>
        <w:t>表：严重违约行为表</w:t>
      </w:r>
    </w:p>
    <w:tbl>
      <w:tblPr>
        <w:tblW w:w="0" w:type="auto"/>
        <w:tblBorders>
          <w:top w:val="none" w:color="000000" w:sz="4"/>
          <w:left w:val="none" w:color="000000" w:sz="4"/>
          <w:bottom w:val="none" w:color="000000" w:sz="4"/>
          <w:right w:val="none" w:color="000000" w:sz="4"/>
          <w:insideH w:val="none"/>
          <w:insideV w:val="none"/>
        </w:tblBorders>
      </w:tblPr>
      <w:tblGrid>
        <w:gridCol w:w="628"/>
        <w:gridCol w:w="6390"/>
        <w:gridCol w:w="1272"/>
      </w:tblGrid>
      <w:tr>
        <w:tc>
          <w:tcPr>
            <w:tcW w:type="dxa" w:w="6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63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问题描述</w:t>
            </w:r>
          </w:p>
        </w:tc>
        <w:tc>
          <w:tcPr>
            <w:tcW w:type="dxa" w:w="12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违约金系数</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color w:val="000000"/>
        </w:rPr>
        <w:t>三、一般违约行为</w:t>
      </w:r>
    </w:p>
    <w:p>
      <w:pPr>
        <w:pStyle w:val="null3"/>
        <w:ind w:firstLine="420"/>
        <w:jc w:val="both"/>
      </w:pPr>
      <w:r>
        <w:rPr>
          <w:sz w:val="21"/>
          <w:color w:val="000000"/>
        </w:rPr>
        <w:t>乙方在服务期的违约行为对用户业务系统造成的影响未达到重大违约行为和严重违约行为的其他违约行为。</w:t>
      </w:r>
    </w:p>
    <w:p>
      <w:pPr>
        <w:pStyle w:val="null3"/>
        <w:ind w:firstLine="422"/>
        <w:jc w:val="both"/>
      </w:pPr>
      <w:r>
        <w:rPr>
          <w:sz w:val="21"/>
          <w:b/>
          <w:color w:val="000000"/>
        </w:rPr>
        <w:t>违约金=对应</w:t>
      </w:r>
      <w:r>
        <w:rPr>
          <w:sz w:val="21"/>
          <w:b/>
          <w:color w:val="000000"/>
        </w:rPr>
        <w:t>业务系统云合同金额/服务月数*违约金系数</w:t>
      </w:r>
      <w:r>
        <w:rPr>
          <w:sz w:val="21"/>
          <w:color w:val="000000"/>
        </w:rPr>
        <w:t>（违约金系数参见《一般违约行为表》）</w:t>
      </w:r>
    </w:p>
    <w:p>
      <w:pPr>
        <w:pStyle w:val="null3"/>
        <w:ind w:firstLine="422"/>
        <w:jc w:val="center"/>
      </w:pPr>
      <w:r>
        <w:rPr>
          <w:sz w:val="21"/>
          <w:b/>
          <w:color w:val="000000"/>
        </w:rPr>
        <w:t>表：一般违约行为表</w:t>
      </w:r>
    </w:p>
    <w:tbl>
      <w:tblPr>
        <w:tblW w:w="0" w:type="auto"/>
        <w:tblBorders>
          <w:top w:val="none" w:color="000000" w:sz="4"/>
          <w:left w:val="none" w:color="000000" w:sz="4"/>
          <w:bottom w:val="none" w:color="000000" w:sz="4"/>
          <w:right w:val="none" w:color="000000" w:sz="4"/>
          <w:insideH w:val="none"/>
          <w:insideV w:val="none"/>
        </w:tblBorders>
      </w:tblPr>
      <w:tblGrid>
        <w:gridCol w:w="630"/>
        <w:gridCol w:w="6315"/>
        <w:gridCol w:w="1320"/>
      </w:tblGrid>
      <w:tr>
        <w:tc>
          <w:tcPr>
            <w:tcW w:type="dxa" w:w="6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6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问题描述</w:t>
            </w:r>
          </w:p>
        </w:tc>
        <w:tc>
          <w:tcPr>
            <w:tcW w:type="dxa" w:w="13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违约金系数</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440001-2025-40971</w:t>
      </w:r>
    </w:p>
    <w:p>
      <w:pPr>
        <w:pStyle w:val="null3"/>
        <w:jc w:val="center"/>
        <w:outlineLvl w:val="3"/>
      </w:pPr>
      <w:r>
        <w:rPr>
          <w:sz w:val="24"/>
          <w:b/>
        </w:rPr>
        <w:t>采购项目编号：</w:t>
      </w:r>
      <w:r>
        <w:rPr>
          <w:sz w:val="24"/>
          <w:b/>
        </w:rPr>
        <w:t>ZZ0250600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省市场监管局基础设施租赁及运维服务（2025年）项目</w:t>
      </w:r>
      <w:r>
        <w:rPr>
          <w:u w:val="single"/>
        </w:rPr>
        <w:t>”</w:t>
      </w:r>
      <w:r>
        <w:rPr/>
        <w:t>项目的招标[采购项目编号为：</w:t>
      </w:r>
      <w:r>
        <w:rPr>
          <w:u w:val="single"/>
        </w:rPr>
        <w:t>ZZ0250600</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省市场监管局基础设施租赁及运维服务（2025年）项目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省市场监管局基础设施租赁及运维服务（2025年）项目</w:t>
      </w:r>
      <w:r>
        <w:rPr/>
        <w:t>”项目采购[采购项目编号为</w:t>
      </w:r>
      <w:r>
        <w:rPr/>
        <w:t>ZZ0250600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广东省市场监督管理局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省市场监管局基础设施租赁及运维服务（2025年）项目</w:t>
      </w:r>
      <w:r>
        <w:rPr/>
        <w:t>招标中获中标（采购项目编号：</w:t>
      </w:r>
      <w:r>
        <w:rPr/>
        <w:t>ZZ0250600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省市场监管局基础设施租赁及运维服务（2025年）项目</w:t>
      </w:r>
      <w:r>
        <w:rPr/>
        <w:t>”项目（采购项目编号：</w:t>
      </w:r>
      <w:r>
        <w:rPr/>
        <w:t>ZZ0250600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