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440101-2023-10415</w:t>
      </w:r>
    </w:p>
    <w:p>
      <w:pPr>
        <w:jc w:val="center"/>
      </w:pPr>
      <w:r>
        <w:rPr>
          <w:b/>
          <w:sz w:val="24"/>
        </w:rPr>
        <w:t>采购项目编号：</w:t>
      </w:r>
      <w:r>
        <w:rPr>
          <w:b/>
          <w:sz w:val="24"/>
        </w:rPr>
        <w:t>440101-2023-10415</w:t>
      </w:r>
    </w:p>
    <w:p>
      <w:pPr>
        <w:jc w:val="center"/>
      </w:pPr>
      <w:r>
        <w:rPr>
          <w:b/>
          <w:sz w:val="24"/>
        </w:rPr>
        <w:t>项目名称：</w:t>
      </w:r>
      <w:r>
        <w:rPr>
          <w:b/>
          <w:sz w:val="24"/>
        </w:rPr>
        <w:t>广州市生态环境局番禺环境监测站2023年环境质量自动监测运行维护项目(二次)</w:t>
      </w:r>
    </w:p>
    <w:p>
      <w:pPr>
        <w:jc w:val="center"/>
      </w:pPr>
      <w:r>
        <w:rPr>
          <w:b/>
          <w:sz w:val="24"/>
        </w:rPr>
        <w:t>采购人：</w:t>
      </w:r>
      <w:r>
        <w:rPr>
          <w:b/>
          <w:sz w:val="24"/>
        </w:rPr>
        <w:t>广州市生态环境局番禺环境监测站</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 磋商邀请</w:t>
      </w:r>
    </w:p>
    <w:p>
      <w:pPr>
        <w:ind w:firstLine="480"/>
      </w:pPr>
      <w:r>
        <w:rPr/>
        <w:t>广东志正招标有限公司</w:t>
      </w:r>
      <w:r>
        <w:rPr/>
        <w:t>受</w:t>
      </w:r>
      <w:r>
        <w:rPr/>
        <w:t>广州市生态环境局番禺环境监测站</w:t>
      </w:r>
      <w:r>
        <w:rPr/>
        <w:t>的委托，采用</w:t>
      </w:r>
      <w:r>
        <w:rPr/>
        <w:t>竞争性磋商</w:t>
      </w:r>
      <w:r>
        <w:rPr/>
        <w:t>方式组织采购</w:t>
      </w:r>
      <w:r>
        <w:rPr/>
        <w:t>广州市生态环境局番禺环境监测站2023年环境质量自动监测运行维护项目(二次)</w:t>
      </w:r>
      <w:r>
        <w:rPr/>
        <w:t>。欢迎符合资格条件的供应商参加。</w:t>
      </w:r>
    </w:p>
    <w:p>
      <w:r>
        <w:rPr>
          <w:b/>
          <w:sz w:val="28"/>
        </w:rPr>
        <w:t>一.项目概述</w:t>
      </w:r>
    </w:p>
    <w:p>
      <w:r>
        <w:rPr>
          <w:b/>
          <w:sz w:val="24"/>
        </w:rPr>
        <w:t>1.名称与编号</w:t>
      </w:r>
    </w:p>
    <w:p>
      <w:pPr>
        <w:ind w:firstLine="480"/>
      </w:pPr>
      <w:r>
        <w:rPr/>
        <w:t>采购项目名称：</w:t>
      </w:r>
      <w:r>
        <w:rPr/>
        <w:t>广州市生态环境局番禺环境监测站2023年环境质量自动监测运行维护项目(二次)</w:t>
      </w:r>
    </w:p>
    <w:p>
      <w:pPr>
        <w:ind w:firstLine="480"/>
      </w:pPr>
      <w:r>
        <w:rPr/>
        <w:t>采购计划编号：</w:t>
      </w:r>
      <w:r>
        <w:rPr/>
        <w:t>440101-2023-10415</w:t>
      </w:r>
    </w:p>
    <w:p>
      <w:pPr>
        <w:ind w:firstLine="480"/>
      </w:pPr>
      <w:r>
        <w:rPr/>
        <w:t>采购项目编号：</w:t>
      </w:r>
      <w:r>
        <w:rPr/>
        <w:t>440101-2023-10415</w:t>
      </w:r>
    </w:p>
    <w:p>
      <w:pPr>
        <w:ind w:firstLine="480"/>
      </w:pPr>
      <w:r>
        <w:rPr/>
        <w:t>采购方式：</w:t>
      </w:r>
      <w:r>
        <w:rPr/>
        <w:t>竞争性磋商</w:t>
      </w:r>
    </w:p>
    <w:p>
      <w:pPr>
        <w:ind w:firstLine="480"/>
      </w:pPr>
      <w:r>
        <w:rPr/>
        <w:t>预算金额：</w:t>
      </w:r>
      <w:r>
        <w:rPr/>
        <w:t>73,000.00</w:t>
      </w:r>
      <w:r>
        <w:rPr/>
        <w:t>元</w:t>
      </w:r>
    </w:p>
    <w:p>
      <w:r>
        <w:rPr>
          <w:b/>
          <w:sz w:val="24"/>
        </w:rPr>
        <w:t>2.项目内容及需求情况（采购项目技术规格、参数及要求）</w:t>
      </w:r>
    </w:p>
    <w:p>
      <w:pPr>
        <w:ind w:firstLine="480"/>
      </w:pPr>
    </w:p>
    <w:p/>
    <w:p>
      <w:r>
        <w:rPr/>
        <w:t>采购包1(番禺区国考自动监测设施安全保障项目运维服务):</w:t>
      </w:r>
    </w:p>
    <w:p>
      <w:r>
        <w:rPr/>
        <w:t>采购包预算金额：73,000.00元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其他维修和保养服务</w:t>
            </w:r>
          </w:p>
        </w:tc>
        <w:tc>
          <w:tcPr>
            <w:tcW w:type="dxa" w:w="2136"/>
          </w:tcPr>
          <w:p>
            <w:r>
              <w:rPr/>
              <w:t>番禺区国考自动监测设施安全保障项目运维服务</w:t>
            </w:r>
          </w:p>
        </w:tc>
        <w:tc>
          <w:tcPr>
            <w:tcW w:type="dxa" w:w="1187"/>
          </w:tcPr>
          <w:p>
            <w:r>
              <w:rPr/>
              <w:t>1(项)</w:t>
            </w:r>
          </w:p>
        </w:tc>
        <w:tc>
          <w:tcPr>
            <w:tcW w:type="dxa" w:w="1187"/>
          </w:tcPr>
          <w:p>
            <w:r>
              <w:rPr/>
              <w:t>详见第二章</w:t>
            </w:r>
          </w:p>
        </w:tc>
        <w:tc>
          <w:tcPr>
            <w:tcW w:type="dxa" w:w="1187"/>
          </w:tcPr>
          <w:p>
            <w:r>
              <w:rPr/>
              <w:t>否</w:t>
            </w:r>
          </w:p>
        </w:tc>
      </w:tr>
    </w:tbl>
    <w:p/>
    <w:p>
      <w:r>
        <w:rPr/>
        <w:t>本采购包不接受联合体响应</w:t>
      </w:r>
    </w:p>
    <w:p/>
    <w:p>
      <w:r>
        <w:rPr/>
        <w:t>合同履行期限：2023年9月1日至2024年6月30日</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2）有依法缴纳税收和社会保障资金的良好记录：有依法缴纳税收和社会保障资金的良好记录，提供签署及盖章合格的响应承诺函。</w:t>
      </w:r>
    </w:p>
    <w:p/>
    <w:p>
      <w:r>
        <w:rPr/>
        <w:t>3）具有良好的商业信誉和健全的财务会计制度：具有良好的商业信誉和健全的财务会计制度，提供签署及盖章合格的响应承诺函。</w:t>
      </w:r>
    </w:p>
    <w:p/>
    <w:p>
      <w:r>
        <w:rPr/>
        <w:t>4）履行合同所必需的设备和专业技术能力：具有履行合同所必需的设备和专业技术能力，提供签署及盖章合格的响应承诺函。</w:t>
      </w:r>
    </w:p>
    <w:p/>
    <w:p>
      <w:r>
        <w:rPr/>
        <w:t>5）参加采购活动前3年内，在经营活动中没有重大违法记录：参加采购活动前3年内，在经营活动中没有重大违法记录：参照投标（报价）函相关承诺格式内容。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采购包1（番禺区国考自动监测设施安全保障项目运维服务）：</w:t>
      </w:r>
      <w:r>
        <w:rPr/>
        <w:t>参与的供应商（联合体）服务全部由符合政策要求的中小企业承接</w:t>
      </w:r>
    </w:p>
    <w:p/>
    <w:p>
      <w:r>
        <w:rPr>
          <w:b/>
          <w:sz w:val="24"/>
        </w:rPr>
        <w:t>3.本项目特定的资格要求：</w:t>
      </w:r>
    </w:p>
    <w:p>
      <w:pPr>
        <w:ind w:firstLine="480"/>
      </w:pPr>
    </w:p>
    <w:p/>
    <w:p>
      <w:r>
        <w:rPr/>
        <w:t>采购包1（番禺区国考自动监测设施安全保障项目运维服务）：</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广东志正招标有限公司官网（www.zztender.com）</w:t>
      </w:r>
      <w:r>
        <w:rPr/>
        <w:t>。</w:t>
      </w:r>
    </w:p>
    <w:p>
      <w:r>
        <w:rPr>
          <w:b/>
          <w:sz w:val="28"/>
        </w:rPr>
        <w:t>六.本项目联系方式：</w:t>
      </w:r>
    </w:p>
    <w:p>
      <w:r>
        <w:rPr>
          <w:b/>
          <w:sz w:val="24"/>
        </w:rPr>
        <w:t>1.采购人信息</w:t>
      </w:r>
    </w:p>
    <w:p>
      <w:pPr>
        <w:ind w:firstLine="480"/>
      </w:pPr>
      <w:r>
        <w:rPr/>
        <w:t>名称：</w:t>
      </w:r>
      <w:r>
        <w:rPr/>
        <w:t>广州市生态环境局番禺环境监测站</w:t>
      </w:r>
    </w:p>
    <w:p>
      <w:pPr>
        <w:ind w:firstLine="480"/>
      </w:pPr>
      <w:r>
        <w:rPr/>
        <w:t>地址：</w:t>
      </w:r>
      <w:r>
        <w:rPr/>
        <w:t>番禺区沙湾镇南村大巷涌路171号</w:t>
      </w:r>
    </w:p>
    <w:p>
      <w:pPr>
        <w:ind w:firstLine="480"/>
      </w:pPr>
      <w:r>
        <w:rPr/>
        <w:t>联系方式：</w:t>
      </w:r>
      <w:r>
        <w:rPr/>
        <w:t>020-34835860</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020-87554038</w:t>
      </w:r>
    </w:p>
    <w:p>
      <w:r>
        <w:rPr>
          <w:b/>
          <w:sz w:val="24"/>
        </w:rPr>
        <w:t>3.项目联系方式</w:t>
      </w:r>
    </w:p>
    <w:p>
      <w:pPr>
        <w:ind w:firstLine="480"/>
      </w:pPr>
      <w:r>
        <w:rPr/>
        <w:t>项目联系人：</w:t>
      </w:r>
      <w:r>
        <w:rPr/>
        <w:t>魏先生、周小姐</w:t>
      </w:r>
    </w:p>
    <w:p>
      <w:pPr>
        <w:ind w:firstLine="480"/>
      </w:pPr>
      <w:r>
        <w:rPr/>
        <w:t>电话：</w:t>
      </w:r>
      <w:r>
        <w:rPr/>
        <w:t>020-87554038</w:t>
      </w:r>
    </w:p>
    <w:p>
      <w:r>
        <w:rPr>
          <w:b/>
          <w:sz w:val="24"/>
        </w:rPr>
        <w:t>4.技术支持联系方式</w:t>
      </w:r>
    </w:p>
    <w:p>
      <w:pPr>
        <w:ind w:firstLine="480"/>
      </w:pPr>
      <w:r>
        <w:rPr/>
        <w:t>云平台联系方式：020-88696588</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b/>
          <w:sz w:val="26"/>
        </w:rPr>
        <w:t>一、项目概况：</w:t>
      </w:r>
    </w:p>
    <w:p>
      <w:pPr>
        <w:ind w:firstLine="480"/>
        <w:jc w:val="both"/>
      </w:pPr>
      <w:r>
        <w:rPr>
          <w:sz w:val="21"/>
        </w:rPr>
        <w:t>1</w:t>
      </w:r>
      <w:r>
        <w:rPr>
          <w:sz w:val="21"/>
        </w:rPr>
        <w:t>、供应商须对本项目为单位（有划分包组的，则以包组为单位）的标的物进行整体投标，任何只对其中一部分内容进行的投标都被视为无效投标。</w:t>
      </w:r>
    </w:p>
    <w:p>
      <w:pPr>
        <w:ind w:firstLine="480"/>
        <w:jc w:val="both"/>
      </w:pPr>
      <w:r>
        <w:rPr>
          <w:sz w:val="21"/>
        </w:rPr>
        <w:t>2</w:t>
      </w:r>
      <w:r>
        <w:rPr>
          <w:sz w:val="21"/>
        </w:rPr>
        <w:t>、磋商文件中，凡标有“★”的地方均为实质性响应条款，供应商若有一项带“★”的条款未响应或不满足，将按无效响应处理。</w:t>
      </w:r>
    </w:p>
    <w:p>
      <w:pPr>
        <w:ind w:firstLine="480"/>
        <w:jc w:val="both"/>
      </w:pPr>
      <w:r>
        <w:rPr>
          <w:sz w:val="21"/>
        </w:rPr>
        <w:t>3</w:t>
      </w:r>
      <w:r>
        <w:rPr>
          <w:sz w:val="21"/>
        </w:rPr>
        <w:t>、落实政府采购政策需满足的资格要求</w:t>
      </w:r>
      <w:r>
        <w:rPr>
          <w:sz w:val="21"/>
          <w:u w:val="single"/>
        </w:rPr>
        <w:t>：本项目专门面向中小企业采购的项目的采购包，投标人应为中小微企业。</w:t>
      </w:r>
      <w:r>
        <w:rPr>
          <w:sz w:val="21"/>
        </w:rPr>
        <w:t>投标人应按要求出具《中小企业声明函》；属于监狱企业的，提供由省级以上监狱管理局、戒毒管理局(含新疆生产建设兵团)出具的属于监狱企业的证明文件；属于残疾人福利性单位的，提供《残疾人福利性单位声明函》。</w:t>
      </w:r>
    </w:p>
    <w:p>
      <w:pPr>
        <w:ind w:firstLine="480"/>
        <w:jc w:val="both"/>
      </w:pPr>
      <w:r>
        <w:rPr>
          <w:sz w:val="21"/>
        </w:rPr>
        <w:t>4</w:t>
      </w:r>
      <w:r>
        <w:rPr>
          <w:sz w:val="21"/>
        </w:rPr>
        <w:t>、中小企业声明函中，本项目</w:t>
      </w:r>
      <w:r>
        <w:rPr>
          <w:sz w:val="21"/>
          <w:u w:val="single"/>
        </w:rPr>
        <w:t xml:space="preserve">  </w:t>
      </w:r>
      <w:r>
        <w:rPr>
          <w:b/>
          <w:sz w:val="21"/>
          <w:u w:val="single"/>
        </w:rPr>
        <w:t>广州市生态环境局番禺环境监测站2023年环境质量自动监测运行维护项目</w:t>
      </w:r>
      <w:r>
        <w:rPr>
          <w:sz w:val="21"/>
          <w:u w:val="single"/>
        </w:rPr>
        <w:t xml:space="preserve"> </w:t>
      </w:r>
      <w:r>
        <w:rPr>
          <w:sz w:val="21"/>
        </w:rPr>
        <w:t>属于</w:t>
      </w:r>
      <w:r>
        <w:rPr>
          <w:sz w:val="21"/>
          <w:u w:val="single"/>
        </w:rPr>
        <w:t xml:space="preserve">  </w:t>
      </w:r>
      <w:r>
        <w:rPr>
          <w:b/>
          <w:sz w:val="21"/>
          <w:u w:val="single"/>
        </w:rPr>
        <w:t>其他未列明行业</w:t>
      </w:r>
      <w:r>
        <w:rPr>
          <w:sz w:val="21"/>
          <w:u w:val="single"/>
        </w:rPr>
        <w:t xml:space="preserve">  </w:t>
      </w:r>
      <w:r>
        <w:rPr>
          <w:sz w:val="21"/>
        </w:rPr>
        <w:t>行业。</w:t>
      </w:r>
    </w:p>
    <w:p>
      <w:pPr>
        <w:ind w:firstLine="420"/>
        <w:jc w:val="left"/>
      </w:pPr>
      <w:r>
        <w:rPr>
          <w:sz w:val="21"/>
        </w:rPr>
        <w:t>5.</w:t>
      </w:r>
      <w:r>
        <w:rPr>
          <w:sz w:val="21"/>
        </w:rPr>
        <w:t>供应商负责项目采购人需求书中列出的所有工作内容，以及其他隐含的配套工作。供应商应充分考虑影响报价的各种因素和风险。采购人不再支付成交金额以外的任何费用。</w:t>
      </w:r>
    </w:p>
    <w:p>
      <w:pPr>
        <w:ind w:firstLine="420"/>
        <w:jc w:val="left"/>
      </w:pPr>
      <w:r>
        <w:rPr>
          <w:sz w:val="21"/>
        </w:rPr>
        <w:t>6.</w:t>
      </w:r>
      <w:r>
        <w:rPr>
          <w:sz w:val="21"/>
        </w:rPr>
        <w:t>供应商必须确保项目的完整性和可靠性。对于磋商文件没有列出，而对该项目的正常运行和维护必不可少的部件、配件、模块和配套服务等，供应商有责任给予补充（所有费用包含在投标总价内）。</w:t>
      </w:r>
    </w:p>
    <w:p/>
    <w:p>
      <w:pPr>
        <w:ind w:firstLine="480"/>
      </w:pPr>
    </w:p>
    <w:p/>
    <w:p>
      <w:r>
        <w:rPr/>
        <w:t>采购包1（番禺区国考自动监测设施安全保障项目运维服务）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2023年9月1日至2024年6月30日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1期：支付比例30%,签订合同后5个工作日内，采购人向成交供应商支付合同金额的30%作为预付款。</w:t>
            </w:r>
          </w:p>
          <w:p/>
          <w:p>
            <w:r>
              <w:rPr/>
              <w:t>2期：支付比例70%,在完成一年的运维维护工作后，成交供应商年终的运维维护报告或相关材料并经采购人审核合格后5天内办理支付手续合同金额的70%。 付款方式：成交供应商在支付当月开具正式税务发票原件交采购人，采购人在收到发票审核无误后向成交供应商支付服务费（采购人办理请款手续后即视为付款，具体到帐时间以财政部门划拨为准）。成交供应商须在采购人办理支付手续前5个工作日内，提供等额的正式发票给采购人，以便采购人及时办理支付手续，如成交供应商未能按照约定提供合法有效发票给采购人，采购人办理手续的时间相应顺延。</w:t>
            </w:r>
          </w:p>
        </w:tc>
      </w:tr>
      <w:tr>
        <w:tc>
          <w:tcPr>
            <w:tcW w:type="dxa" w:w="4153"/>
          </w:tcPr>
          <w:p>
            <w:r>
              <w:rPr/>
              <w:t>验收要求</w:t>
            </w:r>
          </w:p>
        </w:tc>
        <w:tc>
          <w:tcPr>
            <w:tcW w:type="dxa" w:w="4153"/>
          </w:tcPr>
          <w:p/>
          <w:p/>
          <w:p/>
          <w:p>
            <w:r>
              <w:rPr/>
              <w:t>1期：合同约定日期作为运行维护服务起始日，运行维护满一年后，形成运维验收报告并经采购人会议通过。运维验收报告作为运行维护费用支付的凭证。</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其它，（一）★供应商必须如实提供所需证明材料，不得弄虚作假。供应商如果没有在响应文件中注明偏离的条款，被视为供应商已完全接受本磋商文件。 （二）在有效服务期内，如成交供应商在人员配置、作业管理、质量控制等各个方面不能满足磋商文件、政府采购合同的相关要求或没有实现响应文件中的相关承诺，采购人有权单方面无责解除合同，并保留追究其法律责任的权利。 （三）★除采购人在磋商文件中明确外，成交供应商不得以任何方式转包、分包或挂靠本项目。如发现成交供应商以转包、分包或挂靠的方式谋取中标，采购人有权解除合同并要求赔偿。 （四）本项目需求中未作细化详尽的地方，采购人将在服务项目开始前制定具体的要求，成交人应遵守执行；当政策法规发生调整或者工作形势发生变更，采购人可以调整有关工作要求，成交应按采购人要求实施。</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其他维修和保养服务</w:t>
            </w:r>
          </w:p>
        </w:tc>
        <w:tc>
          <w:tcPr>
            <w:tcW w:type="dxa" w:w="933"/>
          </w:tcPr>
          <w:p>
            <w:pPr>
              <w:jc w:val="left"/>
            </w:pPr>
            <w:r>
              <w:rPr/>
              <w:t>番禺区国考自动监测设施安全保障项目运维服务</w:t>
            </w:r>
          </w:p>
        </w:tc>
        <w:tc>
          <w:tcPr>
            <w:tcW w:type="dxa" w:w="933"/>
          </w:tcPr>
          <w:p>
            <w:pPr>
              <w:jc w:val="left"/>
            </w:pPr>
            <w:r>
              <w:rPr/>
              <w:t>项</w:t>
            </w:r>
          </w:p>
        </w:tc>
        <w:tc>
          <w:tcPr>
            <w:tcW w:type="dxa" w:w="933"/>
          </w:tcPr>
          <w:p>
            <w:pPr>
              <w:jc w:val="right"/>
            </w:pPr>
            <w:r>
              <w:rPr/>
              <w:t>1.00</w:t>
            </w:r>
          </w:p>
        </w:tc>
        <w:tc>
          <w:tcPr>
            <w:tcW w:type="dxa" w:w="933"/>
          </w:tcPr>
          <w:p>
            <w:pPr>
              <w:jc w:val="right"/>
            </w:pPr>
            <w:r>
              <w:rPr/>
              <w:t>73,000.00</w:t>
            </w:r>
          </w:p>
        </w:tc>
        <w:tc>
          <w:tcPr>
            <w:tcW w:type="dxa" w:w="933"/>
          </w:tcPr>
          <w:p>
            <w:pPr>
              <w:jc w:val="right"/>
            </w:pPr>
            <w:r>
              <w:rPr/>
              <w:t>73,000.00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番禺区国考自动监测设施安全保障项目运维服务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一、番禺区国考自动监测设施安全保障项目运维服务服务内容构成表</w:t>
            </w:r>
          </w:p>
          <w:tbl>
            <w:tblPr>
              <w:tblBorders>
                <w:top w:val="none" w:color="000000" w:sz="4"/>
                <w:left w:val="none" w:color="000000" w:sz="4"/>
                <w:bottom w:val="none" w:color="000000" w:sz="4"/>
                <w:right w:val="none" w:color="000000" w:sz="4"/>
                <w:insideH w:val="none"/>
                <w:insideV w:val="none"/>
              </w:tblBorders>
            </w:tblPr>
            <w:tblGrid>
              <w:gridCol w:w="764"/>
              <w:gridCol w:w="1658"/>
              <w:gridCol w:w="1101"/>
              <w:gridCol w:w="855"/>
              <w:gridCol w:w="1218"/>
            </w:tblGrid>
            <w:tr>
              <w:tc>
                <w:tcPr>
                  <w:tcW w:type="dxa" w:w="764"/>
                  <w:tcBorders>
                    <w:top w:val="single" w:color="000000" w:sz="4"/>
                    <w:left w:val="single" w:color="000000" w:sz="4"/>
                    <w:bottom w:val="single" w:color="000000" w:sz="4"/>
                    <w:right w:val="single" w:color="000000" w:sz="4"/>
                  </w:tcBorders>
                </w:tcPr>
                <w:p>
                  <w:pPr>
                    <w:jc w:val="center"/>
                  </w:pPr>
                  <w:r>
                    <w:rPr>
                      <w:sz w:val="21"/>
                    </w:rPr>
                    <w:t>序号</w:t>
                  </w:r>
                </w:p>
              </w:tc>
              <w:tc>
                <w:tcPr>
                  <w:tcW w:type="dxa" w:w="1658"/>
                  <w:tcBorders>
                    <w:top w:val="single" w:color="000000" w:sz="4"/>
                    <w:left w:val="none" w:color="000000" w:sz="4"/>
                    <w:bottom w:val="single" w:color="000000" w:sz="4"/>
                    <w:right w:val="single" w:color="000000" w:sz="4"/>
                  </w:tcBorders>
                </w:tcPr>
                <w:p>
                  <w:pPr>
                    <w:jc w:val="center"/>
                  </w:pPr>
                  <w:r>
                    <w:rPr>
                      <w:sz w:val="21"/>
                    </w:rPr>
                    <w:t>仪器/开支项目</w:t>
                  </w:r>
                </w:p>
              </w:tc>
              <w:tc>
                <w:tcPr>
                  <w:tcW w:type="dxa" w:w="1101"/>
                  <w:tcBorders>
                    <w:top w:val="single" w:color="000000" w:sz="4"/>
                    <w:left w:val="none" w:color="000000" w:sz="4"/>
                    <w:bottom w:val="single" w:color="000000" w:sz="4"/>
                    <w:right w:val="single" w:color="000000" w:sz="4"/>
                  </w:tcBorders>
                </w:tcPr>
                <w:p>
                  <w:pPr>
                    <w:jc w:val="center"/>
                  </w:pPr>
                  <w:r>
                    <w:rPr>
                      <w:sz w:val="21"/>
                    </w:rPr>
                    <w:t>型号</w:t>
                  </w:r>
                </w:p>
              </w:tc>
              <w:tc>
                <w:tcPr>
                  <w:tcW w:type="dxa" w:w="855"/>
                  <w:tcBorders>
                    <w:top w:val="single" w:color="000000" w:sz="4"/>
                    <w:left w:val="none" w:color="000000" w:sz="4"/>
                    <w:bottom w:val="single" w:color="000000" w:sz="4"/>
                    <w:right w:val="single" w:color="000000" w:sz="4"/>
                  </w:tcBorders>
                </w:tcPr>
                <w:p>
                  <w:pPr>
                    <w:jc w:val="center"/>
                  </w:pPr>
                  <w:r>
                    <w:rPr>
                      <w:sz w:val="21"/>
                    </w:rPr>
                    <w:t>数量</w:t>
                  </w:r>
                </w:p>
              </w:tc>
              <w:tc>
                <w:tcPr>
                  <w:tcW w:type="dxa" w:w="1218"/>
                  <w:tcBorders>
                    <w:top w:val="single" w:color="000000" w:sz="4"/>
                    <w:left w:val="none" w:color="000000" w:sz="4"/>
                    <w:bottom w:val="single" w:color="000000" w:sz="4"/>
                    <w:right w:val="single" w:color="000000" w:sz="4"/>
                  </w:tcBorders>
                </w:tcPr>
                <w:p>
                  <w:pPr>
                    <w:jc w:val="center"/>
                  </w:pPr>
                  <w:r>
                    <w:rPr>
                      <w:sz w:val="21"/>
                    </w:rPr>
                    <w:t>构成</w:t>
                  </w:r>
                </w:p>
              </w:tc>
            </w:tr>
            <w:tr>
              <w:tc>
                <w:tcPr>
                  <w:tcW w:type="dxa" w:w="764"/>
                  <w:tcBorders>
                    <w:top w:val="none" w:color="000000" w:sz="4"/>
                    <w:left w:val="single" w:color="000000" w:sz="4"/>
                    <w:bottom w:val="single" w:color="000000" w:sz="4"/>
                    <w:right w:val="single" w:color="000000" w:sz="4"/>
                  </w:tcBorders>
                </w:tcPr>
                <w:p>
                  <w:pPr>
                    <w:jc w:val="center"/>
                  </w:pPr>
                  <w:r>
                    <w:rPr>
                      <w:sz w:val="21"/>
                    </w:rPr>
                    <w:t>1</w:t>
                  </w:r>
                </w:p>
              </w:tc>
              <w:tc>
                <w:tcPr>
                  <w:tcW w:type="dxa" w:w="1658"/>
                  <w:tcBorders>
                    <w:top w:val="none" w:color="000000" w:sz="4"/>
                    <w:left w:val="none" w:color="000000" w:sz="4"/>
                    <w:bottom w:val="single" w:color="000000" w:sz="4"/>
                    <w:right w:val="single" w:color="000000" w:sz="4"/>
                  </w:tcBorders>
                </w:tcPr>
                <w:p>
                  <w:pPr>
                    <w:jc w:val="center"/>
                  </w:pPr>
                  <w:r>
                    <w:rPr>
                      <w:sz w:val="21"/>
                    </w:rPr>
                    <w:t>航标</w:t>
                  </w:r>
                </w:p>
              </w:tc>
              <w:tc>
                <w:tcPr>
                  <w:tcW w:type="dxa" w:w="1101"/>
                  <w:tcBorders>
                    <w:top w:val="none" w:color="000000" w:sz="4"/>
                    <w:left w:val="none" w:color="000000" w:sz="4"/>
                    <w:bottom w:val="single" w:color="000000" w:sz="4"/>
                    <w:right w:val="single" w:color="000000" w:sz="4"/>
                  </w:tcBorders>
                </w:tcPr>
                <w:p>
                  <w:pPr>
                    <w:jc w:val="center"/>
                  </w:pPr>
                  <w:r>
                    <w:rPr>
                      <w:sz w:val="21"/>
                    </w:rPr>
                    <w:t>HF1.5</w:t>
                  </w:r>
                  <w:r>
                    <w:rPr>
                      <w:sz w:val="21"/>
                    </w:rPr>
                    <w:t>米</w:t>
                  </w:r>
                </w:p>
              </w:tc>
              <w:tc>
                <w:tcPr>
                  <w:tcW w:type="dxa" w:w="855"/>
                  <w:tcBorders>
                    <w:top w:val="none" w:color="000000" w:sz="4"/>
                    <w:left w:val="none" w:color="000000" w:sz="4"/>
                    <w:bottom w:val="single" w:color="000000" w:sz="4"/>
                    <w:right w:val="single" w:color="000000" w:sz="4"/>
                  </w:tcBorders>
                </w:tcPr>
                <w:p>
                  <w:pPr>
                    <w:jc w:val="center"/>
                  </w:pPr>
                  <w:r>
                    <w:rPr>
                      <w:sz w:val="21"/>
                    </w:rPr>
                    <w:t>1</w:t>
                  </w:r>
                </w:p>
              </w:tc>
              <w:tc>
                <w:tcPr>
                  <w:tcW w:type="dxa" w:w="1218"/>
                  <w:tcBorders>
                    <w:top w:val="none" w:color="000000" w:sz="4"/>
                    <w:left w:val="none" w:color="000000" w:sz="4"/>
                    <w:bottom w:val="single" w:color="000000" w:sz="4"/>
                    <w:right w:val="single" w:color="000000" w:sz="4"/>
                  </w:tcBorders>
                </w:tcPr>
                <w:p>
                  <w:pPr>
                    <w:jc w:val="center"/>
                  </w:pPr>
                  <w:r>
                    <w:rPr>
                      <w:sz w:val="21"/>
                    </w:rPr>
                    <w:t>浮鼓、沉块、灯器、太阳能电板、蓄电池</w:t>
                  </w:r>
                </w:p>
              </w:tc>
            </w:tr>
            <w:tr>
              <w:tc>
                <w:tcPr>
                  <w:tcW w:type="dxa" w:w="764"/>
                  <w:tcBorders>
                    <w:top w:val="none" w:color="000000" w:sz="4"/>
                    <w:left w:val="single" w:color="000000" w:sz="4"/>
                    <w:bottom w:val="single" w:color="000000" w:sz="4"/>
                    <w:right w:val="single" w:color="000000" w:sz="4"/>
                  </w:tcBorders>
                </w:tcPr>
                <w:p>
                  <w:pPr>
                    <w:jc w:val="center"/>
                  </w:pPr>
                  <w:r>
                    <w:rPr>
                      <w:sz w:val="21"/>
                    </w:rPr>
                    <w:t>2</w:t>
                  </w:r>
                </w:p>
              </w:tc>
              <w:tc>
                <w:tcPr>
                  <w:tcW w:type="dxa" w:w="1658"/>
                  <w:tcBorders>
                    <w:top w:val="none" w:color="000000" w:sz="4"/>
                    <w:left w:val="none" w:color="000000" w:sz="4"/>
                    <w:bottom w:val="single" w:color="000000" w:sz="4"/>
                    <w:right w:val="single" w:color="000000" w:sz="4"/>
                  </w:tcBorders>
                </w:tcPr>
                <w:p>
                  <w:pPr>
                    <w:jc w:val="center"/>
                  </w:pPr>
                  <w:r>
                    <w:rPr>
                      <w:sz w:val="21"/>
                    </w:rPr>
                    <w:t>警示牌</w:t>
                  </w:r>
                </w:p>
              </w:tc>
              <w:tc>
                <w:tcPr>
                  <w:tcW w:type="dxa" w:w="1101"/>
                  <w:tcBorders>
                    <w:top w:val="none" w:color="000000" w:sz="4"/>
                    <w:left w:val="none" w:color="000000" w:sz="4"/>
                    <w:bottom w:val="single" w:color="000000" w:sz="4"/>
                    <w:right w:val="single" w:color="000000" w:sz="4"/>
                  </w:tcBorders>
                </w:tcPr>
                <w:p>
                  <w:pPr>
                    <w:jc w:val="center"/>
                  </w:pPr>
                  <w:r>
                    <w:rPr>
                      <w:sz w:val="21"/>
                    </w:rPr>
                    <w:t>/</w:t>
                  </w:r>
                </w:p>
              </w:tc>
              <w:tc>
                <w:tcPr>
                  <w:tcW w:type="dxa" w:w="855"/>
                  <w:tcBorders>
                    <w:top w:val="none" w:color="000000" w:sz="4"/>
                    <w:left w:val="none" w:color="000000" w:sz="4"/>
                    <w:bottom w:val="single" w:color="000000" w:sz="4"/>
                    <w:right w:val="single" w:color="000000" w:sz="4"/>
                  </w:tcBorders>
                </w:tcPr>
                <w:p>
                  <w:pPr>
                    <w:jc w:val="center"/>
                  </w:pPr>
                  <w:r>
                    <w:rPr>
                      <w:sz w:val="21"/>
                    </w:rPr>
                    <w:t>2</w:t>
                  </w:r>
                </w:p>
              </w:tc>
              <w:tc>
                <w:tcPr>
                  <w:tcW w:type="dxa" w:w="1218"/>
                  <w:tcBorders>
                    <w:top w:val="none" w:color="000000" w:sz="4"/>
                    <w:left w:val="none" w:color="000000" w:sz="4"/>
                    <w:bottom w:val="single" w:color="000000" w:sz="4"/>
                    <w:right w:val="single" w:color="000000" w:sz="4"/>
                  </w:tcBorders>
                </w:tcPr>
                <w:p>
                  <w:pPr>
                    <w:jc w:val="center"/>
                  </w:pPr>
                  <w:r>
                    <w:rPr>
                      <w:sz w:val="21"/>
                    </w:rPr>
                    <w:t>水泥结构及附着物</w:t>
                  </w:r>
                </w:p>
              </w:tc>
            </w:tr>
          </w:tbl>
        </w:tc>
      </w:tr>
      <w:tr>
        <w:tc>
          <w:tcPr>
            <w:tcW w:type="dxa" w:w="2076"/>
          </w:tcPr>
          <w:p/>
        </w:tc>
        <w:tc>
          <w:tcPr>
            <w:tcW w:type="dxa" w:w="415"/>
          </w:tcPr>
          <w:p>
            <w:r>
              <w:rPr/>
              <w:t>2</w:t>
            </w:r>
          </w:p>
        </w:tc>
        <w:tc>
          <w:tcPr>
            <w:tcW w:type="dxa" w:w="5814"/>
          </w:tcPr>
          <w:p>
            <w:pPr>
              <w:jc w:val="both"/>
            </w:pPr>
            <w:r>
              <w:rPr>
                <w:color w:val="000000"/>
                <w:sz w:val="21"/>
              </w:rPr>
              <w:t>二、番禺区国考自动监测设施安全保障项目运维服务服务工作目标要求</w:t>
            </w:r>
          </w:p>
          <w:p>
            <w:pPr>
              <w:jc w:val="both"/>
            </w:pPr>
            <w:r>
              <w:rPr>
                <w:color w:val="000000"/>
                <w:sz w:val="21"/>
              </w:rPr>
              <w:t>（一）参照执行标准及依据</w:t>
            </w:r>
          </w:p>
          <w:p>
            <w:pPr>
              <w:jc w:val="both"/>
            </w:pPr>
            <w:r>
              <w:rPr>
                <w:color w:val="000000"/>
                <w:sz w:val="21"/>
              </w:rPr>
              <w:t>1</w:t>
            </w:r>
            <w:r>
              <w:rPr>
                <w:color w:val="000000"/>
                <w:sz w:val="21"/>
              </w:rPr>
              <w:t>、《广东省航道局航标维护管理办法》；</w:t>
            </w:r>
          </w:p>
          <w:p>
            <w:pPr>
              <w:jc w:val="both"/>
            </w:pPr>
            <w:r>
              <w:rPr>
                <w:color w:val="000000"/>
                <w:sz w:val="21"/>
              </w:rPr>
              <w:t>2</w:t>
            </w:r>
            <w:r>
              <w:rPr>
                <w:color w:val="000000"/>
                <w:sz w:val="21"/>
              </w:rPr>
              <w:t>、《广东省航道局航标质量标准》；</w:t>
            </w:r>
          </w:p>
          <w:p>
            <w:pPr>
              <w:jc w:val="both"/>
            </w:pPr>
            <w:r>
              <w:rPr>
                <w:color w:val="000000"/>
                <w:sz w:val="21"/>
              </w:rPr>
              <w:t>3</w:t>
            </w:r>
            <w:r>
              <w:rPr>
                <w:color w:val="000000"/>
                <w:sz w:val="21"/>
              </w:rPr>
              <w:t>、广州航道事务中心相关规定。</w:t>
            </w:r>
          </w:p>
          <w:p>
            <w:pPr>
              <w:jc w:val="both"/>
            </w:pPr>
            <w:r>
              <w:rPr>
                <w:color w:val="000000"/>
                <w:sz w:val="21"/>
              </w:rPr>
              <w:t>（二）工作目标</w:t>
            </w:r>
          </w:p>
          <w:p>
            <w:pPr>
              <w:jc w:val="both"/>
            </w:pPr>
            <w:r>
              <w:rPr>
                <w:color w:val="000000"/>
                <w:sz w:val="21"/>
              </w:rPr>
              <w:t>1</w:t>
            </w:r>
            <w:r>
              <w:rPr>
                <w:color w:val="000000"/>
                <w:sz w:val="21"/>
              </w:rPr>
              <w:t>、保证大龙涌口国考水站防护浮标和警示牌的正常运作和安全。</w:t>
            </w:r>
          </w:p>
          <w:p>
            <w:pPr>
              <w:jc w:val="both"/>
            </w:pPr>
            <w:r>
              <w:rPr>
                <w:color w:val="000000"/>
                <w:sz w:val="21"/>
              </w:rPr>
              <w:t>（三）要求</w:t>
            </w:r>
          </w:p>
          <w:p>
            <w:pPr>
              <w:jc w:val="both"/>
            </w:pPr>
            <w:r>
              <w:rPr>
                <w:sz w:val="21"/>
              </w:rPr>
              <w:t>一、检查周期：</w:t>
            </w:r>
          </w:p>
          <w:p>
            <w:pPr>
              <w:jc w:val="both"/>
            </w:pPr>
            <w:r>
              <w:rPr>
                <w:sz w:val="21"/>
              </w:rPr>
              <w:t>1.</w:t>
            </w:r>
            <w:r>
              <w:rPr>
                <w:sz w:val="21"/>
              </w:rPr>
              <w:t>运维费用包含主要设施及配套设施的耗材及零配件更换费、交通费、人工费等所有因运维工作产生的费用。</w:t>
            </w:r>
          </w:p>
          <w:p>
            <w:pPr>
              <w:jc w:val="both"/>
            </w:pPr>
            <w:r>
              <w:rPr>
                <w:sz w:val="21"/>
              </w:rPr>
              <w:t>2.</w:t>
            </w:r>
            <w:r>
              <w:rPr>
                <w:sz w:val="21"/>
              </w:rPr>
              <w:t>日常检查周期按照航道主管部门要求执行，分为现场检查和航标遥控遥控系统检查，定期检查周期为30天。</w:t>
            </w:r>
          </w:p>
          <w:p>
            <w:pPr>
              <w:jc w:val="both"/>
            </w:pPr>
            <w:r>
              <w:rPr>
                <w:sz w:val="21"/>
              </w:rPr>
              <w:t>3.</w:t>
            </w:r>
            <w:r>
              <w:rPr>
                <w:sz w:val="21"/>
              </w:rPr>
              <w:t>夜晚巡查每月至少2次。</w:t>
            </w:r>
          </w:p>
          <w:p>
            <w:pPr>
              <w:jc w:val="both"/>
            </w:pPr>
            <w:r>
              <w:rPr>
                <w:sz w:val="21"/>
              </w:rPr>
              <w:t>4.</w:t>
            </w:r>
            <w:r>
              <w:rPr>
                <w:sz w:val="21"/>
              </w:rPr>
              <w:t>春运或者其他重大节假日期间加密巡查，必要时实行一天一巡。</w:t>
            </w:r>
          </w:p>
          <w:p>
            <w:pPr>
              <w:jc w:val="both"/>
            </w:pPr>
            <w:r>
              <w:rPr>
                <w:sz w:val="21"/>
              </w:rPr>
              <w:t>5.</w:t>
            </w:r>
            <w:r>
              <w:rPr>
                <w:sz w:val="21"/>
              </w:rPr>
              <w:t>洪峰前后和灾害性天气之后，在可出航的条件下要对码头专用标进行临时检查。</w:t>
            </w:r>
          </w:p>
          <w:p>
            <w:pPr>
              <w:jc w:val="both"/>
            </w:pPr>
            <w:r>
              <w:rPr>
                <w:sz w:val="21"/>
              </w:rPr>
              <w:t>三、航标维护检查的主要工作：</w:t>
            </w:r>
          </w:p>
          <w:p>
            <w:pPr>
              <w:jc w:val="both"/>
            </w:pPr>
            <w:r>
              <w:rPr>
                <w:sz w:val="21"/>
              </w:rPr>
              <w:t>1.</w:t>
            </w:r>
            <w:r>
              <w:rPr>
                <w:sz w:val="21"/>
              </w:rPr>
              <w:t>航道内水深、宽度是否足够，标位是否正确。</w:t>
            </w:r>
          </w:p>
          <w:p>
            <w:pPr>
              <w:jc w:val="both"/>
            </w:pPr>
            <w:r>
              <w:rPr>
                <w:sz w:val="21"/>
              </w:rPr>
              <w:t>2.</w:t>
            </w:r>
            <w:r>
              <w:rPr>
                <w:sz w:val="21"/>
              </w:rPr>
              <w:t>标志是否完好、牢固、整洁和鲜明。</w:t>
            </w:r>
          </w:p>
          <w:p>
            <w:pPr>
              <w:jc w:val="both"/>
            </w:pPr>
            <w:r>
              <w:rPr>
                <w:sz w:val="21"/>
              </w:rPr>
              <w:t>3.</w:t>
            </w:r>
            <w:r>
              <w:rPr>
                <w:sz w:val="21"/>
              </w:rPr>
              <w:t>锚链上有无缠挂物。</w:t>
            </w:r>
          </w:p>
          <w:p>
            <w:pPr>
              <w:jc w:val="both"/>
            </w:pPr>
            <w:r>
              <w:rPr>
                <w:sz w:val="21"/>
              </w:rPr>
              <w:t>4.</w:t>
            </w:r>
            <w:r>
              <w:rPr>
                <w:sz w:val="21"/>
              </w:rPr>
              <w:t>灯器、电源是否正常、有效。</w:t>
            </w:r>
          </w:p>
          <w:p>
            <w:pPr>
              <w:jc w:val="both"/>
            </w:pPr>
            <w:r>
              <w:rPr>
                <w:sz w:val="21"/>
              </w:rPr>
              <w:t>5.</w:t>
            </w:r>
            <w:r>
              <w:rPr>
                <w:sz w:val="21"/>
              </w:rPr>
              <w:t>夜航检查航标灯质和灯光亮度。</w:t>
            </w:r>
          </w:p>
          <w:p>
            <w:pPr>
              <w:jc w:val="both"/>
            </w:pPr>
            <w:r>
              <w:rPr>
                <w:sz w:val="21"/>
              </w:rPr>
              <w:t>四、航标维护工作要求：，保持航标的正常技术状态，保证标位正确，发光正常，颜色鲜明，外形完好，结构牢固，并符合《广东省航道局航标质量标准》要求。</w:t>
            </w:r>
          </w:p>
          <w:p>
            <w:pPr>
              <w:jc w:val="both"/>
            </w:pPr>
            <w:r>
              <w:rPr>
                <w:sz w:val="21"/>
              </w:rPr>
              <w:t>1.</w:t>
            </w:r>
            <w:r>
              <w:rPr>
                <w:sz w:val="21"/>
              </w:rPr>
              <w:t>钢质岸标每季度清洗1次，水标每月清洗2次，保持颜色鲜明；</w:t>
            </w:r>
          </w:p>
          <w:p>
            <w:pPr>
              <w:jc w:val="both"/>
            </w:pPr>
            <w:r>
              <w:rPr>
                <w:sz w:val="21"/>
              </w:rPr>
              <w:t>2.</w:t>
            </w:r>
            <w:r>
              <w:rPr>
                <w:sz w:val="21"/>
              </w:rPr>
              <w:t>钢质岸标每年油漆1次，每3年除锈大保养1次 ；钢质水标（含水中灯桩）每半年油漆1次；大保养（除锈、检修、油漆）内河标每2年1次；各种标志及其附属设备遇油漆脱落或颜色不鲜明时，应及时补漆刷新，遇损坏应及时修复或更换。</w:t>
            </w:r>
          </w:p>
          <w:p>
            <w:pPr>
              <w:jc w:val="both"/>
            </w:pPr>
            <w:r>
              <w:rPr>
                <w:sz w:val="21"/>
              </w:rPr>
              <w:t>3.</w:t>
            </w:r>
            <w:r>
              <w:rPr>
                <w:sz w:val="21"/>
              </w:rPr>
              <w:t>航标灯、蓄电池、太阳能电池每年进行1次质量检验，并做好记录。达不到技术性能指标的，应及时修理或更换。</w:t>
            </w:r>
          </w:p>
          <w:p>
            <w:pPr>
              <w:jc w:val="both"/>
            </w:pPr>
            <w:r>
              <w:rPr>
                <w:sz w:val="21"/>
              </w:rPr>
              <w:t>4.</w:t>
            </w:r>
            <w:r>
              <w:rPr>
                <w:sz w:val="21"/>
              </w:rPr>
              <w:t>浮标锚链应按有关规定及时更换磨损部分；应根据具体情况进行定期活锚，每半年至少1次活锚。</w:t>
            </w:r>
          </w:p>
          <w:p>
            <w:pPr>
              <w:jc w:val="both"/>
            </w:pPr>
            <w:r>
              <w:rPr>
                <w:sz w:val="21"/>
              </w:rPr>
              <w:t>5.</w:t>
            </w:r>
            <w:r>
              <w:rPr>
                <w:sz w:val="21"/>
              </w:rPr>
              <w:t>航标灯器（包括灯泡、电源等）必须经过检测符合使用要求后方可安装使用。连续试运行的时间，新灯器应为24小时；修复灯器应为72小时。</w:t>
            </w:r>
          </w:p>
          <w:p>
            <w:pPr>
              <w:jc w:val="both"/>
            </w:pPr>
            <w:r>
              <w:rPr>
                <w:sz w:val="21"/>
              </w:rPr>
              <w:t>6.</w:t>
            </w:r>
            <w:r>
              <w:rPr>
                <w:sz w:val="21"/>
              </w:rPr>
              <w:t>通航设施出现发光异常、标灯熄灭等失常现象应在发现或接到报告的当天出航进行恢复；因封航、航行条件、气象等客观原因不适航时，待天气等情况恢复正常后及时修复。 如因客观条件限制不能立即恢复的，必须采用有效方法通知过往船舶，以策安全。</w:t>
            </w:r>
          </w:p>
          <w:p>
            <w:pPr>
              <w:jc w:val="both"/>
            </w:pPr>
            <w:r>
              <w:rPr>
                <w:sz w:val="21"/>
              </w:rPr>
              <w:t>7.</w:t>
            </w:r>
            <w:r>
              <w:rPr>
                <w:sz w:val="21"/>
              </w:rPr>
              <w:t>航标器材要求一标一档。做好备用航标器材的更新使用计划和仓库管理。</w:t>
            </w:r>
          </w:p>
          <w:p>
            <w:pPr>
              <w:jc w:val="both"/>
            </w:pPr>
            <w:r>
              <w:rPr>
                <w:color w:val="000000"/>
                <w:sz w:val="21"/>
              </w:rPr>
              <w:t>8.</w:t>
            </w:r>
            <w:r>
              <w:rPr>
                <w:color w:val="000000"/>
                <w:sz w:val="21"/>
              </w:rPr>
              <w:t>码头专用航标等专用航标设置、搬迁、拆除或者调整等航标异动由区域中心批准，并在实施前发布航道通告、报备省中心。</w:t>
            </w:r>
          </w:p>
          <w:p>
            <w:pPr>
              <w:jc w:val="both"/>
            </w:pPr>
            <w:r>
              <w:rPr>
                <w:color w:val="000000"/>
                <w:sz w:val="21"/>
              </w:rPr>
              <w:t>9.</w:t>
            </w:r>
            <w:r>
              <w:rPr>
                <w:color w:val="000000"/>
                <w:sz w:val="21"/>
              </w:rPr>
              <w:t>航标维护性正常率要求为99.8%以上。</w:t>
            </w:r>
          </w:p>
          <w:p>
            <w:pPr>
              <w:jc w:val="both"/>
            </w:pPr>
            <w:r>
              <w:rPr>
                <w:color w:val="000000"/>
                <w:sz w:val="21"/>
              </w:rPr>
              <w:t>五、航标维护记录：</w:t>
            </w:r>
          </w:p>
          <w:p>
            <w:pPr>
              <w:jc w:val="both"/>
            </w:pPr>
            <w:r>
              <w:rPr>
                <w:color w:val="000000"/>
                <w:sz w:val="21"/>
              </w:rPr>
              <w:t>维护管理单位在做好航标维护工作的同时还要按要求做好相关记录工作，主要包括：</w:t>
            </w:r>
          </w:p>
          <w:p>
            <w:pPr>
              <w:jc w:val="both"/>
            </w:pPr>
            <w:r>
              <w:rPr>
                <w:color w:val="000000"/>
                <w:sz w:val="21"/>
              </w:rPr>
              <w:t>1.</w:t>
            </w:r>
            <w:r>
              <w:rPr>
                <w:color w:val="000000"/>
                <w:sz w:val="21"/>
              </w:rPr>
              <w:t>《航标维护记录表》，每次巡查均要求记录。</w:t>
            </w:r>
          </w:p>
          <w:p>
            <w:pPr>
              <w:jc w:val="both"/>
            </w:pPr>
            <w:r>
              <w:rPr>
                <w:color w:val="000000"/>
                <w:sz w:val="21"/>
              </w:rPr>
              <w:t>2.</w:t>
            </w:r>
            <w:r>
              <w:rPr>
                <w:color w:val="000000"/>
                <w:sz w:val="21"/>
              </w:rPr>
              <w:t>《航标维护维护情况统计表》，每月进行一次上标全面检查，根据检测结果逐项记录。</w:t>
            </w:r>
          </w:p>
          <w:p>
            <w:r>
              <w:rPr>
                <w:color w:val="000000"/>
                <w:sz w:val="21"/>
              </w:rPr>
              <w:t>3.</w:t>
            </w:r>
            <w:r>
              <w:rPr>
                <w:color w:val="000000"/>
                <w:sz w:val="21"/>
              </w:rPr>
              <w:t>每次检查发现的问题必须及时处理。维护人员检查后，应在《航标维护记录表》签署意见。</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1.采购代理机构：本项目是指广东志正招标有限公司，负责整个采购活动的组织，依法负责编制和发布磋商文件，对磋商文件拥有最终的解释权，不以任何身份出任磋商小组成员。</w:t>
      </w:r>
    </w:p>
    <w:p>
      <w:pPr>
        <w:ind w:firstLine="480"/>
      </w:pPr>
      <w:r>
        <w:rPr/>
        <w:t>2.采购人：本项目是指</w:t>
      </w:r>
      <w:r>
        <w:rPr/>
        <w:t>广州市生态环境局番禺环境监测站</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不兼中：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采购机构代理服务收费标准：收取。 采购包5的成交供应商按以下标准和规定向采购代理机构缴纳采购代理服务费：本次采购代理服务费为定额收费，金额为：3000.00元整。</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广东志正招标有限公司官网（www.zztender.com）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广东志正招标有限公司官网（www.zztender.com）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020-87554028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番禺区国考自动监测设施安全保障项目运维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广东志正招标有限公司</w:t>
      </w:r>
      <w:r>
        <w:rPr/>
        <w:t>统一对外发布。</w:t>
      </w:r>
    </w:p>
    <w:p>
      <w:pPr>
        <w:ind w:firstLine="480"/>
      </w:pPr>
      <w:r>
        <w:rPr/>
        <w:t>（2）对</w:t>
      </w:r>
      <w:r>
        <w:rPr/>
        <w:t>广东志正招标有限公司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采购包1（番禺区国考自动监测设施安全保障项目运维服务）：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采购包1（番禺区国考自动监测设施安全保障项目运维服务）：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有依法缴纳税收和社会保障资金的良好记录，提供签署及盖章合格的响应承诺函。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具有良好的商业信誉和健全的财务会计制度，提供签署及盖章合格的响应承诺函。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具有履行合同所必需的设备和专业技术能力，提供签署及盖章合格的响应承诺函。</w:t>
            </w:r>
          </w:p>
        </w:tc>
      </w:tr>
      <w:tr>
        <w:tc>
          <w:tcPr>
            <w:tcW w:type="dxa" w:w="890"/>
          </w:tcPr>
          <w:p>
            <w:r>
              <w:rPr/>
              <w:t>5</w:t>
            </w:r>
          </w:p>
        </w:tc>
        <w:tc>
          <w:tcPr>
            <w:tcW w:type="dxa" w:w="3178"/>
          </w:tcPr>
          <w:p>
            <w:r>
              <w:rPr/>
              <w:t>参加采购活动前3年内，在经营活动中没有重大违法记录</w:t>
            </w:r>
          </w:p>
        </w:tc>
        <w:tc>
          <w:tcPr>
            <w:tcW w:type="dxa" w:w="4238"/>
          </w:tcPr>
          <w:p>
            <w:r>
              <w:rPr/>
              <w:t>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采购包1（番禺区国考自动监测设施安全保障项目运维服务）：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第一阶段审查（磋商前）</w:t>
            </w:r>
          </w:p>
        </w:tc>
        <w:tc>
          <w:tcPr>
            <w:tcW w:type="dxa" w:w="4238"/>
          </w:tcPr>
          <w:p>
            <w:r>
              <w:rPr/>
              <w:t>符合磋商文件规定的资格要求。</w:t>
            </w:r>
          </w:p>
        </w:tc>
      </w:tr>
      <w:tr>
        <w:tc>
          <w:tcPr>
            <w:tcW w:type="dxa" w:w="890"/>
          </w:tcPr>
          <w:p>
            <w:r>
              <w:rPr/>
              <w:t>2</w:t>
            </w:r>
          </w:p>
        </w:tc>
        <w:tc>
          <w:tcPr>
            <w:tcW w:type="dxa" w:w="3178"/>
          </w:tcPr>
          <w:p>
            <w:r>
              <w:rPr/>
              <w:t>第一阶段审查（磋商前）</w:t>
            </w:r>
          </w:p>
        </w:tc>
        <w:tc>
          <w:tcPr>
            <w:tcW w:type="dxa" w:w="4238"/>
          </w:tcPr>
          <w:p>
            <w:r>
              <w:rPr/>
              <w:t>符合磋商有效期</w:t>
            </w:r>
          </w:p>
        </w:tc>
      </w:tr>
      <w:tr>
        <w:tc>
          <w:tcPr>
            <w:tcW w:type="dxa" w:w="890"/>
          </w:tcPr>
          <w:p>
            <w:r>
              <w:rPr/>
              <w:t>3</w:t>
            </w:r>
          </w:p>
        </w:tc>
        <w:tc>
          <w:tcPr>
            <w:tcW w:type="dxa" w:w="3178"/>
          </w:tcPr>
          <w:p>
            <w:r>
              <w:rPr/>
              <w:t>第一阶段审查（磋商前）</w:t>
            </w:r>
          </w:p>
        </w:tc>
        <w:tc>
          <w:tcPr>
            <w:tcW w:type="dxa" w:w="4238"/>
          </w:tcPr>
          <w:p>
            <w:r>
              <w:rPr/>
              <w:t>响应文件按照磋商文件规定要求签署、盖章，包含：①响应承诺函；②法定代表人证明书或法定代表人授权书；③首轮报价表；④分项报价表</w:t>
            </w:r>
          </w:p>
        </w:tc>
      </w:tr>
      <w:tr>
        <w:tc>
          <w:tcPr>
            <w:tcW w:type="dxa" w:w="890"/>
          </w:tcPr>
          <w:p>
            <w:r>
              <w:rPr/>
              <w:t>4</w:t>
            </w:r>
          </w:p>
        </w:tc>
        <w:tc>
          <w:tcPr>
            <w:tcW w:type="dxa" w:w="3178"/>
          </w:tcPr>
          <w:p>
            <w:r>
              <w:rPr/>
              <w:t>第一阶段审查（磋商前）</w:t>
            </w:r>
          </w:p>
        </w:tc>
        <w:tc>
          <w:tcPr>
            <w:tcW w:type="dxa" w:w="4238"/>
          </w:tcPr>
          <w:p>
            <w:r>
              <w:rPr/>
              <w:t>完全满足磋商文件中“★”标注的条款（若磋商文件“★”发生变动，本条将在第二阶段审查中进行评审）</w:t>
            </w:r>
          </w:p>
        </w:tc>
      </w:tr>
      <w:tr>
        <w:tc>
          <w:tcPr>
            <w:tcW w:type="dxa" w:w="890"/>
          </w:tcPr>
          <w:p>
            <w:r>
              <w:rPr/>
              <w:t>5</w:t>
            </w:r>
          </w:p>
        </w:tc>
        <w:tc>
          <w:tcPr>
            <w:tcW w:type="dxa" w:w="3178"/>
          </w:tcPr>
          <w:p>
            <w:r>
              <w:rPr/>
              <w:t>第二阶段审查（磋商后）</w:t>
            </w:r>
          </w:p>
        </w:tc>
        <w:tc>
          <w:tcPr>
            <w:tcW w:type="dxa" w:w="4238"/>
          </w:tcPr>
          <w:p>
            <w:r>
              <w:rPr/>
              <w:t>最终报价未超过本项目最高限价</w:t>
            </w:r>
          </w:p>
        </w:tc>
      </w:tr>
      <w:tr>
        <w:tc>
          <w:tcPr>
            <w:tcW w:type="dxa" w:w="890"/>
          </w:tcPr>
          <w:p>
            <w:r>
              <w:rPr/>
              <w:t>6</w:t>
            </w:r>
          </w:p>
        </w:tc>
        <w:tc>
          <w:tcPr>
            <w:tcW w:type="dxa" w:w="3178"/>
          </w:tcPr>
          <w:p>
            <w:r>
              <w:rPr/>
              <w:t>第二阶段审查（磋商后）</w:t>
            </w:r>
          </w:p>
        </w:tc>
        <w:tc>
          <w:tcPr>
            <w:tcW w:type="dxa" w:w="4238"/>
          </w:tcPr>
          <w:p>
            <w:r>
              <w:rPr/>
              <w:t>完全满足磋商文件中“★”标注的条款（若磋商文件“★”发生变动的，本条将针对供应商重新提交的响应文件进行评审）</w:t>
            </w:r>
          </w:p>
        </w:tc>
      </w:tr>
      <w:tr>
        <w:tc>
          <w:tcPr>
            <w:tcW w:type="dxa" w:w="890"/>
          </w:tcPr>
          <w:p>
            <w:r>
              <w:rPr/>
              <w:t>7</w:t>
            </w:r>
          </w:p>
        </w:tc>
        <w:tc>
          <w:tcPr>
            <w:tcW w:type="dxa" w:w="3178"/>
          </w:tcPr>
          <w:p>
            <w:r>
              <w:rPr/>
              <w:t>第二阶段审查（磋商后）</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采购包1(番禺区国考自动监测设施安全保障项目运维服务):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用户需求响应程度 (18.0分)</w:t>
            </w:r>
          </w:p>
        </w:tc>
        <w:tc>
          <w:tcPr>
            <w:tcW w:type="dxa" w:w="5076"/>
          </w:tcPr>
          <w:p>
            <w:pPr>
              <w:jc w:val="left"/>
            </w:pPr>
            <w:r>
              <w:rPr/>
              <w:t>根据各投标人对《第二章采购需求》中“2.技术标准与要求”的具体技术(参数)要求对应响应情况进行评审（注：凡是标有序号的一般条款均以一项单独的条款计算，无论是否隶属于上一级编号）： （1）全部满足，得18分；（2）负偏离总数≤9项的，每出现一项负偏离，扣2分； （3）负偏离总数＞9项的，得0分。 注：①凡是标有序号（如“（1）”“（2）”“（3）”…… 等，或者“1、”“2、”……等）的均以一项条款计算；②投标人应在《技术和服务要求响应表》中如实填写偏离情况说明。如上述条款要求中有要求提供相应证明材料的，必须在投标文件中提供相应的证明材料复印件（证明材料复印件须经投标人盖章确认）。</w:t>
            </w:r>
          </w:p>
        </w:tc>
      </w:tr>
      <w:tr>
        <w:tc>
          <w:tcPr>
            <w:tcW w:type="dxa" w:w="922"/>
            <w:gridSpan w:val="2"/>
            <w:vMerge/>
          </w:tcPr>
          <w:p/>
        </w:tc>
        <w:tc>
          <w:tcPr>
            <w:tcW w:type="dxa" w:w="2307"/>
          </w:tcPr>
          <w:p>
            <w:pPr>
              <w:jc w:val="left"/>
            </w:pPr>
            <w:r>
              <w:rPr/>
              <w:t>项目服务实施方案 (8.0分)</w:t>
            </w:r>
            <w:r>
              <w:rPr/>
              <w:t>，（等次分值选择：</w:t>
            </w:r>
            <w:r>
              <w:rPr/>
              <w:t>0.0;</w:t>
            </w:r>
            <w:r>
              <w:rPr/>
              <w:t>2.0;</w:t>
            </w:r>
            <w:r>
              <w:rPr/>
              <w:t>5.0;</w:t>
            </w:r>
            <w:r>
              <w:rPr/>
              <w:t>8.0;</w:t>
            </w:r>
            <w:r>
              <w:rPr/>
              <w:t>）</w:t>
            </w:r>
          </w:p>
        </w:tc>
        <w:tc>
          <w:tcPr>
            <w:tcW w:type="dxa" w:w="5076"/>
          </w:tcPr>
          <w:p>
            <w:pPr>
              <w:jc w:val="left"/>
            </w:pPr>
            <w:r>
              <w:rPr/>
              <w:t>根据投标人的总体服务方案（至少包括以下内容：服务人员配备计划、拟投入的服务工具配备情况、各项实施工作步骤、不可预见因素预案等）进行评审： 对项目理解全面独到，编制思路清晰明了，方案切实可行，提供合理完善的服务建议，得8分； 对项目理解较为全面，编制思路清晰，方案合理，提供的服务建议不够合理完善，得5分； 对项目理解片面，编制思路混乱，方案不可行，提供不合理建议或没有提供建议，得2分； 不提供上述内容或其他情形，不得分。</w:t>
            </w:r>
          </w:p>
        </w:tc>
      </w:tr>
      <w:tr>
        <w:tc>
          <w:tcPr>
            <w:tcW w:type="dxa" w:w="922"/>
            <w:gridSpan w:val="2"/>
            <w:vMerge/>
          </w:tcPr>
          <w:p/>
        </w:tc>
        <w:tc>
          <w:tcPr>
            <w:tcW w:type="dxa" w:w="2307"/>
          </w:tcPr>
          <w:p>
            <w:pPr>
              <w:jc w:val="left"/>
            </w:pPr>
            <w:r>
              <w:rPr/>
              <w:t>质量保证措施 (8.0分)</w:t>
            </w:r>
            <w:r>
              <w:rPr/>
              <w:t>，（等次分值选择：</w:t>
            </w:r>
            <w:r>
              <w:rPr/>
              <w:t>0.0;</w:t>
            </w:r>
            <w:r>
              <w:rPr/>
              <w:t>2.0;</w:t>
            </w:r>
            <w:r>
              <w:rPr/>
              <w:t>5.0;</w:t>
            </w:r>
            <w:r>
              <w:rPr/>
              <w:t>8.0;</w:t>
            </w:r>
            <w:r>
              <w:rPr/>
              <w:t>）</w:t>
            </w:r>
          </w:p>
        </w:tc>
        <w:tc>
          <w:tcPr>
            <w:tcW w:type="dxa" w:w="5076"/>
          </w:tcPr>
          <w:p>
            <w:pPr>
              <w:jc w:val="left"/>
            </w:pPr>
            <w:r>
              <w:rPr/>
              <w:t>根据投标人对本项目的质量保证措施合理性、可操作性进行综合评审： 对本项目的投入质量保证措施目标明确，质量控制流程合理，预控和动态控制措施得力，实施方法可行，手段科学的，得8分； 对本项目的投入质量保证措施目标较明确，质量控制流程较合理，预控和动态控制措施较合理，实施方法较合理的，得5 分； 对本项目的投入质量保证措施目标，质量控制流程，预控和动态控制措施合理性一般，实施方法合理性一般的，得2分；不提供上述内容或其他情形，不得分。</w:t>
            </w:r>
          </w:p>
        </w:tc>
      </w:tr>
      <w:tr>
        <w:tc>
          <w:tcPr>
            <w:tcW w:type="dxa" w:w="922"/>
            <w:gridSpan w:val="2"/>
            <w:vMerge/>
          </w:tcPr>
          <w:p/>
        </w:tc>
        <w:tc>
          <w:tcPr>
            <w:tcW w:type="dxa" w:w="2307"/>
          </w:tcPr>
          <w:p>
            <w:pPr>
              <w:jc w:val="left"/>
            </w:pPr>
            <w:r>
              <w:rPr/>
              <w:t>主要监测方法及工作程序 (8.0分)</w:t>
            </w:r>
            <w:r>
              <w:rPr/>
              <w:t>，（等次分值选择：</w:t>
            </w:r>
            <w:r>
              <w:rPr/>
              <w:t>0.0;</w:t>
            </w:r>
            <w:r>
              <w:rPr/>
              <w:t>2.0;</w:t>
            </w:r>
            <w:r>
              <w:rPr/>
              <w:t>5.0;</w:t>
            </w:r>
            <w:r>
              <w:rPr/>
              <w:t>8.0;</w:t>
            </w:r>
            <w:r>
              <w:rPr/>
              <w:t>）</w:t>
            </w:r>
          </w:p>
        </w:tc>
        <w:tc>
          <w:tcPr>
            <w:tcW w:type="dxa" w:w="5076"/>
          </w:tcPr>
          <w:p>
            <w:pPr>
              <w:jc w:val="left"/>
            </w:pPr>
            <w:r>
              <w:rPr/>
              <w:t>根据投标人提供的检测方法和工作的流程等进行评审： 监测方法科学先进，工作程序完善，可行性高，得8分； 监测方法满足采购人要求，工作程序基本完善，较为可行得，5分； 监测方法比较落后，工作程序不顺畅，不具备可行性，得2分；不提供上述内容或其他情形，不得分。</w:t>
            </w:r>
          </w:p>
        </w:tc>
      </w:tr>
      <w:tr>
        <w:tc>
          <w:tcPr>
            <w:tcW w:type="dxa" w:w="922"/>
            <w:gridSpan w:val="2"/>
            <w:vMerge/>
          </w:tcPr>
          <w:p/>
        </w:tc>
        <w:tc>
          <w:tcPr>
            <w:tcW w:type="dxa" w:w="2307"/>
          </w:tcPr>
          <w:p>
            <w:pPr>
              <w:jc w:val="left"/>
            </w:pPr>
            <w:r>
              <w:rPr/>
              <w:t>管理制度 (8.0分)</w:t>
            </w:r>
            <w:r>
              <w:rPr/>
              <w:t>，（等次分值选择：</w:t>
            </w:r>
            <w:r>
              <w:rPr/>
              <w:t>0.0;</w:t>
            </w:r>
            <w:r>
              <w:rPr/>
              <w:t>2.0;</w:t>
            </w:r>
            <w:r>
              <w:rPr/>
              <w:t>5.0;</w:t>
            </w:r>
            <w:r>
              <w:rPr/>
              <w:t>8.0;</w:t>
            </w:r>
            <w:r>
              <w:rPr/>
              <w:t>）</w:t>
            </w:r>
          </w:p>
        </w:tc>
        <w:tc>
          <w:tcPr>
            <w:tcW w:type="dxa" w:w="5076"/>
          </w:tcPr>
          <w:p>
            <w:pPr>
              <w:jc w:val="left"/>
            </w:pPr>
            <w:r>
              <w:rPr/>
              <w:t>根据供应商提供的管理制度，包括但不限于标准化内设机构和标准化服务职责、标准化工作管理及考核制度等进行综合评审： 方案健全合理，明确清晰，针对性强，得8分；方案较健全合理，较明确清晰，针对性较强，得5分；方案不够健全合理，较不确清晰，针对性欠缺，得2分；不提供上述内容或其他情形，不得分。</w:t>
            </w:r>
          </w:p>
        </w:tc>
      </w:tr>
      <w:tr>
        <w:tc>
          <w:tcPr>
            <w:tcW w:type="dxa" w:w="922"/>
            <w:gridSpan w:val="2"/>
            <w:vMerge w:val="restart"/>
          </w:tcPr>
          <w:p>
            <w:pPr>
              <w:jc w:val="center"/>
            </w:pPr>
            <w:r>
              <w:rPr/>
              <w:t>商务部分</w:t>
            </w:r>
          </w:p>
        </w:tc>
        <w:tc>
          <w:tcPr>
            <w:tcW w:type="dxa" w:w="2307"/>
          </w:tcPr>
          <w:p>
            <w:pPr>
              <w:jc w:val="left"/>
            </w:pPr>
            <w:r>
              <w:rPr/>
              <w:t>同类项目经验 (10.0分)</w:t>
            </w:r>
          </w:p>
        </w:tc>
        <w:tc>
          <w:tcPr>
            <w:tcW w:type="dxa" w:w="5076"/>
          </w:tcPr>
          <w:p>
            <w:pPr>
              <w:jc w:val="left"/>
            </w:pPr>
            <w:r>
              <w:rPr/>
              <w:t>投标人2020年1月1日至今同类项目每提供1个项目得2分，最高得10分。 注：须提供合同复印件，或者政府部门下达的文件/通知，两者都提供的以合同签订日期为准，不提供或者专家无法认定的不得分。</w:t>
            </w:r>
          </w:p>
        </w:tc>
      </w:tr>
      <w:tr>
        <w:tc>
          <w:tcPr>
            <w:tcW w:type="dxa" w:w="922"/>
            <w:gridSpan w:val="2"/>
            <w:vMerge/>
          </w:tcPr>
          <w:p/>
        </w:tc>
        <w:tc>
          <w:tcPr>
            <w:tcW w:type="dxa" w:w="2307"/>
          </w:tcPr>
          <w:p>
            <w:pPr>
              <w:jc w:val="left"/>
            </w:pPr>
            <w:r>
              <w:rPr/>
              <w:t>投入本项目维护人员配置 (15.0分)</w:t>
            </w:r>
          </w:p>
        </w:tc>
        <w:tc>
          <w:tcPr>
            <w:tcW w:type="dxa" w:w="5076"/>
          </w:tcPr>
          <w:p>
            <w:pPr>
              <w:jc w:val="left"/>
            </w:pPr>
            <w:r>
              <w:rPr/>
              <w:t>项目负责人为中级或以上技术职称得5分；维护人员持有视觉航标工证，每个得5分，最多得10分；最多共15分。 注：需提供人员职称证复印件、供应商所属社保机构出具的社保缴费证明或其他能够证明参加社保的完整有效证明材料的复印件（社保时段为磋商截止日之前六个月以内任一月的社保证明）。不符合要求或不提供均不得分。</w:t>
            </w:r>
          </w:p>
        </w:tc>
      </w:tr>
      <w:tr>
        <w:tc>
          <w:tcPr>
            <w:tcW w:type="dxa" w:w="922"/>
            <w:gridSpan w:val="2"/>
            <w:vMerge/>
          </w:tcPr>
          <w:p/>
        </w:tc>
        <w:tc>
          <w:tcPr>
            <w:tcW w:type="dxa" w:w="2307"/>
          </w:tcPr>
          <w:p>
            <w:pPr>
              <w:jc w:val="left"/>
            </w:pPr>
            <w:r>
              <w:rPr/>
              <w:t>拟投入本项目设备情况 (15.0分)</w:t>
            </w:r>
          </w:p>
        </w:tc>
        <w:tc>
          <w:tcPr>
            <w:tcW w:type="dxa" w:w="5076"/>
          </w:tcPr>
          <w:p>
            <w:pPr>
              <w:jc w:val="left"/>
            </w:pPr>
            <w:r>
              <w:rPr/>
              <w:t>投标人配备自有或租赁航标维护的专用船舶： 1、同时配备1艘2吨或以上的航标起吊船及1艘功率70KW或以上的航标快艇，得9分；只有其中一项船艇配置的得4分。 2、每增配1艘航标快艇功率70KW或以上的，得3分，本项最多得6分。 注：需提供船舶检验证书或租赁合同复印件，不符合要求或不提供不得分。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ind w:firstLine="480"/>
        <w:jc w:val="center"/>
      </w:pPr>
    </w:p>
    <w:p>
      <w:pPr>
        <w:ind w:firstLine="480"/>
        <w:jc w:val="center"/>
      </w:pPr>
    </w:p>
    <w:p>
      <w:pPr>
        <w:ind w:firstLine="480"/>
        <w:jc w:val="center"/>
      </w:pPr>
      <w:r>
        <w:rPr>
          <w:b/>
          <w:sz w:val="21"/>
        </w:rPr>
        <w:t xml:space="preserve"> </w:t>
      </w:r>
    </w:p>
    <w:p>
      <w:pPr>
        <w:ind w:firstLine="480"/>
        <w:jc w:val="center"/>
      </w:pPr>
      <w:r>
        <w:rPr>
          <w:b/>
          <w:sz w:val="44"/>
        </w:rPr>
        <w:t>广州市生态环境局番禺环境监测站2023年环境质量自动监测运行维护项目</w:t>
      </w:r>
    </w:p>
    <w:p>
      <w:pPr>
        <w:ind w:firstLine="480"/>
        <w:jc w:val="center"/>
      </w:pPr>
      <w:r>
        <w:rPr>
          <w:sz w:val="21"/>
        </w:rPr>
        <w:t xml:space="preserve"> </w:t>
      </w:r>
    </w:p>
    <w:p>
      <w:pPr>
        <w:ind w:firstLine="480"/>
        <w:jc w:val="center"/>
      </w:pPr>
      <w:r>
        <w:rPr>
          <w:sz w:val="21"/>
        </w:rPr>
        <w:t xml:space="preserve"> </w:t>
      </w:r>
    </w:p>
    <w:p>
      <w:pPr>
        <w:ind w:firstLine="480"/>
        <w:jc w:val="center"/>
      </w:pPr>
    </w:p>
    <w:p>
      <w:pPr>
        <w:ind w:firstLine="480"/>
        <w:jc w:val="center"/>
      </w:pPr>
    </w:p>
    <w:p>
      <w:pPr>
        <w:ind w:firstLine="480"/>
        <w:jc w:val="center"/>
      </w:pPr>
    </w:p>
    <w:p>
      <w:pPr>
        <w:ind w:firstLine="480"/>
        <w:jc w:val="center"/>
      </w:pPr>
    </w:p>
    <w:p>
      <w:pPr>
        <w:ind w:firstLine="480"/>
        <w:jc w:val="center"/>
      </w:pPr>
      <w:r>
        <w:rPr>
          <w:b/>
          <w:sz w:val="44"/>
        </w:rPr>
        <w:t>合同书</w:t>
      </w:r>
    </w:p>
    <w:p>
      <w:pPr>
        <w:ind w:firstLine="480"/>
        <w:jc w:val="center"/>
      </w:pPr>
      <w:r>
        <w:rPr>
          <w:sz w:val="21"/>
        </w:rPr>
        <w:t xml:space="preserve"> </w:t>
      </w:r>
    </w:p>
    <w:p>
      <w:pPr>
        <w:ind w:firstLine="480"/>
        <w:jc w:val="center"/>
      </w:pPr>
      <w:r>
        <w:rPr>
          <w:sz w:val="21"/>
        </w:rPr>
        <w:t xml:space="preserve"> </w:t>
      </w:r>
    </w:p>
    <w:p>
      <w:pPr>
        <w:ind w:firstLine="480"/>
        <w:jc w:val="center"/>
      </w:pPr>
    </w:p>
    <w:p>
      <w:pPr>
        <w:ind w:firstLine="480"/>
        <w:jc w:val="center"/>
      </w:pPr>
    </w:p>
    <w:p>
      <w:pPr>
        <w:ind w:firstLine="480"/>
        <w:jc w:val="center"/>
      </w:pPr>
    </w:p>
    <w:p>
      <w:pPr>
        <w:ind w:firstLine="480"/>
        <w:jc w:val="center"/>
      </w:pPr>
    </w:p>
    <w:p>
      <w:pPr>
        <w:ind w:firstLine="480"/>
        <w:jc w:val="both"/>
      </w:pPr>
      <w:r>
        <w:rPr>
          <w:b/>
          <w:sz w:val="20"/>
        </w:rPr>
        <w:t>项目名称：</w:t>
      </w:r>
      <w:r>
        <w:rPr>
          <w:b/>
          <w:sz w:val="20"/>
          <w:u w:val="single"/>
        </w:rPr>
        <w:t xml:space="preserve">                          </w:t>
      </w:r>
    </w:p>
    <w:p>
      <w:pPr>
        <w:ind w:firstLine="480"/>
        <w:jc w:val="both"/>
      </w:pPr>
      <w:r>
        <w:rPr>
          <w:b/>
          <w:sz w:val="20"/>
        </w:rPr>
        <w:t>合同编号：</w:t>
      </w:r>
      <w:r>
        <w:rPr>
          <w:b/>
          <w:sz w:val="20"/>
          <w:u w:val="single"/>
        </w:rPr>
        <w:t xml:space="preserve">                          </w:t>
      </w:r>
    </w:p>
    <w:p>
      <w:pPr>
        <w:ind w:firstLine="480"/>
        <w:jc w:val="both"/>
      </w:pPr>
      <w:r>
        <w:rPr>
          <w:b/>
          <w:sz w:val="20"/>
        </w:rPr>
        <w:t>包 组 号：</w:t>
      </w:r>
      <w:r>
        <w:rPr>
          <w:b/>
          <w:sz w:val="20"/>
          <w:u w:val="single"/>
        </w:rPr>
        <w:t xml:space="preserve">                          </w:t>
      </w:r>
    </w:p>
    <w:p>
      <w:pPr>
        <w:ind w:firstLine="480"/>
        <w:jc w:val="both"/>
      </w:pPr>
      <w:r>
        <w:rPr>
          <w:b/>
          <w:sz w:val="20"/>
        </w:rPr>
        <w:t>签约地点：</w:t>
      </w:r>
      <w:r>
        <w:rPr>
          <w:b/>
          <w:sz w:val="20"/>
          <w:u w:val="single"/>
        </w:rPr>
        <w:t xml:space="preserve">                          </w:t>
      </w:r>
    </w:p>
    <w:p>
      <w:pPr>
        <w:ind w:firstLine="480"/>
        <w:jc w:val="both"/>
      </w:pPr>
      <w:r>
        <w:rPr>
          <w:b/>
          <w:sz w:val="20"/>
        </w:rPr>
        <w:t>签订日期：       年    月     日</w:t>
      </w:r>
    </w:p>
    <w:p/>
    <w:p>
      <w:pPr>
        <w:jc w:val="left"/>
      </w:pPr>
    </w:p>
    <w:p>
      <w:pPr>
        <w:jc w:val="both"/>
      </w:pPr>
      <w:r>
        <w:rPr>
          <w:sz w:val="21"/>
        </w:rPr>
        <w:t>甲    方：广州市生态环境局番禺环境监测站</w:t>
      </w:r>
    </w:p>
    <w:p>
      <w:pPr>
        <w:jc w:val="both"/>
      </w:pPr>
      <w:r>
        <w:rPr>
          <w:sz w:val="21"/>
        </w:rPr>
        <w:t>电    话：           　   传  真：           地  址：</w:t>
      </w:r>
    </w:p>
    <w:p>
      <w:pPr>
        <w:jc w:val="both"/>
      </w:pPr>
      <w:r>
        <w:rPr>
          <w:sz w:val="21"/>
        </w:rPr>
        <w:t xml:space="preserve">乙    方：                 </w:t>
      </w:r>
      <w:r>
        <w:br/>
      </w:r>
      <w:r>
        <w:rPr>
          <w:sz w:val="21"/>
        </w:rPr>
        <w:t xml:space="preserve">电    话：                传  真：           地  址：  </w:t>
      </w:r>
    </w:p>
    <w:p>
      <w:pPr>
        <w:jc w:val="both"/>
      </w:pPr>
    </w:p>
    <w:p>
      <w:pPr>
        <w:ind w:firstLine="420"/>
        <w:jc w:val="both"/>
      </w:pPr>
      <w:r>
        <w:rPr>
          <w:sz w:val="21"/>
        </w:rPr>
        <w:t>根据</w:t>
      </w:r>
      <w:r>
        <w:rPr>
          <w:sz w:val="21"/>
          <w:u w:val="single"/>
        </w:rPr>
        <w:t xml:space="preserve"> 广州市生态环境局番禺环境监测站2023年环境质量自动监测运行维护项目  </w:t>
      </w:r>
      <w:r>
        <w:rPr>
          <w:sz w:val="21"/>
        </w:rPr>
        <w:t>的采购结果，按照《中华人民共和国政府采购法》、《中华人民共和国政府采购法实施条例》、《中华人民共和国民法典》第三编　合同的规定，经双方协商，本着平等互利和诚实信用的原则，一致同意签订本合同如下。</w:t>
      </w:r>
    </w:p>
    <w:p>
      <w:pPr>
        <w:ind w:firstLine="420"/>
        <w:jc w:val="both"/>
      </w:pPr>
      <w:r>
        <w:rPr>
          <w:sz w:val="21"/>
        </w:rPr>
        <w:t>一、合同金额</w:t>
      </w:r>
    </w:p>
    <w:p>
      <w:pPr>
        <w:ind w:firstLine="420"/>
        <w:jc w:val="both"/>
      </w:pPr>
      <w:r>
        <w:rPr>
          <w:sz w:val="21"/>
        </w:rPr>
        <w:t>合同金额为（大写）：</w:t>
      </w:r>
      <w:r>
        <w:rPr>
          <w:sz w:val="21"/>
          <w:u w:val="single"/>
        </w:rPr>
        <w:t xml:space="preserve">            </w:t>
      </w:r>
      <w:r>
        <w:rPr>
          <w:sz w:val="21"/>
        </w:rPr>
        <w:t>元（￥</w:t>
      </w:r>
      <w:r>
        <w:rPr>
          <w:sz w:val="21"/>
          <w:u w:val="single"/>
        </w:rPr>
        <w:t xml:space="preserve">           </w:t>
      </w:r>
      <w:r>
        <w:rPr>
          <w:sz w:val="21"/>
        </w:rPr>
        <w:t xml:space="preserve"> 元）人民币。</w:t>
      </w:r>
    </w:p>
    <w:p>
      <w:pPr>
        <w:ind w:firstLine="420"/>
        <w:jc w:val="both"/>
      </w:pPr>
      <w:r>
        <w:rPr>
          <w:sz w:val="21"/>
        </w:rPr>
        <w:t>二、服务范围</w:t>
      </w:r>
    </w:p>
    <w:p>
      <w:pPr>
        <w:ind w:firstLine="420"/>
        <w:jc w:val="both"/>
      </w:pPr>
      <w:r>
        <w:rPr>
          <w:sz w:val="21"/>
        </w:rPr>
        <w:t>包组五：保证大龙涌口国考水站防护浮标和警示牌的正常运作和安全。</w:t>
      </w:r>
    </w:p>
    <w:p>
      <w:pPr>
        <w:ind w:firstLine="420"/>
        <w:jc w:val="both"/>
      </w:pPr>
      <w:r>
        <w:rPr>
          <w:sz w:val="21"/>
        </w:rPr>
        <w:t>三、甲方乙方的权利和义务</w:t>
      </w:r>
    </w:p>
    <w:p>
      <w:pPr>
        <w:ind w:firstLine="420"/>
        <w:jc w:val="both"/>
      </w:pPr>
      <w:r>
        <w:rPr>
          <w:sz w:val="21"/>
        </w:rPr>
        <w:t>（一）甲方的权利和义务</w:t>
      </w:r>
    </w:p>
    <w:p>
      <w:pPr>
        <w:ind w:firstLine="420"/>
        <w:jc w:val="both"/>
      </w:pPr>
      <w:r>
        <w:rPr>
          <w:sz w:val="21"/>
        </w:rPr>
        <w:t>1.</w:t>
      </w:r>
      <w:r>
        <w:rPr>
          <w:sz w:val="21"/>
        </w:rPr>
        <w:t>甲方对乙方的工作安排，可根据本项目实际情况进行调整，乙方应予以服从。乙方也可根据实际情况和自身经验进行调整，但调整内容须得到甲方的认可方能执行。</w:t>
      </w:r>
    </w:p>
    <w:p>
      <w:pPr>
        <w:ind w:firstLine="420"/>
        <w:jc w:val="both"/>
      </w:pPr>
      <w:r>
        <w:rPr>
          <w:sz w:val="21"/>
        </w:rPr>
        <w:t>2.</w:t>
      </w:r>
      <w:r>
        <w:rPr>
          <w:sz w:val="21"/>
        </w:rPr>
        <w:t>甲方有权要求乙方按照本合同约定的期限、质量标准完成技术服务项目。</w:t>
      </w:r>
    </w:p>
    <w:p>
      <w:pPr>
        <w:ind w:firstLine="420"/>
        <w:jc w:val="both"/>
      </w:pPr>
      <w:r>
        <w:rPr>
          <w:sz w:val="21"/>
        </w:rPr>
        <w:t>3.</w:t>
      </w:r>
      <w:r>
        <w:rPr>
          <w:sz w:val="21"/>
        </w:rPr>
        <w:t>甲方在监督过程中发现问题的，或乙方将运行维护服务项目委托给第三方的，甲方有权取消乙方成交资格或终止委托合同。</w:t>
      </w:r>
    </w:p>
    <w:p>
      <w:pPr>
        <w:ind w:firstLine="420"/>
        <w:jc w:val="both"/>
      </w:pPr>
      <w:r>
        <w:rPr>
          <w:sz w:val="21"/>
        </w:rPr>
        <w:t>4.</w:t>
      </w:r>
      <w:r>
        <w:rPr>
          <w:sz w:val="21"/>
        </w:rPr>
        <w:t>甲方应按合同付款方式付清乙方款项。</w:t>
      </w:r>
    </w:p>
    <w:p>
      <w:pPr>
        <w:ind w:firstLine="420"/>
        <w:jc w:val="both"/>
      </w:pPr>
      <w:r>
        <w:rPr>
          <w:sz w:val="21"/>
        </w:rPr>
        <w:t>（二）乙方的权利和义务</w:t>
      </w:r>
    </w:p>
    <w:p>
      <w:pPr>
        <w:ind w:firstLine="420"/>
        <w:jc w:val="both"/>
      </w:pPr>
      <w:r>
        <w:rPr>
          <w:sz w:val="21"/>
        </w:rPr>
        <w:t>1</w:t>
      </w:r>
      <w:r>
        <w:rPr>
          <w:sz w:val="21"/>
        </w:rPr>
        <w:t>、乙方应依据有关法律法规及甲方的要求开展工作。</w:t>
      </w:r>
    </w:p>
    <w:p>
      <w:pPr>
        <w:ind w:firstLine="420"/>
        <w:jc w:val="both"/>
      </w:pPr>
      <w:r>
        <w:rPr>
          <w:sz w:val="21"/>
        </w:rPr>
        <w:t>2</w:t>
      </w:r>
      <w:r>
        <w:rPr>
          <w:sz w:val="21"/>
        </w:rPr>
        <w:t>、乙方应根据甲方的计划安排，按时完成本项目所有任务。</w:t>
      </w:r>
    </w:p>
    <w:p>
      <w:pPr>
        <w:ind w:firstLine="420"/>
        <w:jc w:val="both"/>
      </w:pPr>
      <w:r>
        <w:rPr>
          <w:sz w:val="21"/>
        </w:rPr>
        <w:t>3</w:t>
      </w:r>
      <w:r>
        <w:rPr>
          <w:sz w:val="21"/>
        </w:rPr>
        <w:t>、乙方应遵守相关规定，接受甲方对实施情况进行全程跟踪和监督。</w:t>
      </w:r>
    </w:p>
    <w:p>
      <w:pPr>
        <w:ind w:firstLine="420"/>
        <w:jc w:val="both"/>
      </w:pPr>
      <w:r>
        <w:rPr>
          <w:sz w:val="21"/>
        </w:rPr>
        <w:t>4.</w:t>
      </w:r>
      <w:r>
        <w:rPr>
          <w:sz w:val="21"/>
        </w:rPr>
        <w:t>乙方有权获得本合同约定的项目支付费用。</w:t>
      </w:r>
    </w:p>
    <w:p>
      <w:pPr>
        <w:ind w:firstLine="420"/>
        <w:jc w:val="both"/>
      </w:pPr>
      <w:r>
        <w:rPr>
          <w:sz w:val="21"/>
        </w:rPr>
        <w:t>四、服务期间（项目完成期限）</w:t>
      </w:r>
    </w:p>
    <w:p>
      <w:pPr>
        <w:ind w:firstLine="435"/>
        <w:jc w:val="both"/>
      </w:pPr>
      <w:r>
        <w:rPr>
          <w:sz w:val="21"/>
        </w:rPr>
        <w:t>委托服务期间自______年______月至______年______月止。</w:t>
      </w:r>
    </w:p>
    <w:p>
      <w:pPr>
        <w:ind w:firstLine="435"/>
        <w:jc w:val="both"/>
      </w:pPr>
      <w:r>
        <w:rPr>
          <w:sz w:val="21"/>
        </w:rPr>
        <w:t>五、付款方式</w:t>
      </w:r>
    </w:p>
    <w:p>
      <w:pPr>
        <w:ind w:firstLine="420"/>
        <w:jc w:val="both"/>
      </w:pPr>
      <w:r>
        <w:rPr>
          <w:sz w:val="21"/>
        </w:rPr>
        <w:t>1</w:t>
      </w:r>
      <w:r>
        <w:rPr>
          <w:sz w:val="21"/>
        </w:rPr>
        <w:t>、签订合同后5个工作日内，甲方向乙方支付合同金额的30%作为预付款，在完成一年的运维维护工作后，乙方年终的运维维护报告或相关材料并经甲方审核合格后5天内办理支付手续合同金额的70%。</w:t>
      </w:r>
    </w:p>
    <w:p>
      <w:pPr>
        <w:ind w:firstLine="420"/>
        <w:jc w:val="both"/>
      </w:pPr>
      <w:r>
        <w:rPr>
          <w:sz w:val="21"/>
        </w:rPr>
        <w:t>2</w:t>
      </w:r>
      <w:r>
        <w:rPr>
          <w:sz w:val="21"/>
        </w:rPr>
        <w:t>、付款方式：乙方在支付当月开具正式税务发票原件交甲方，甲方在收到发票审核无误后向乙方支付服务费（甲方办理请款手续后即视为付款，具体到帐时间以财政部门划拨为准）。乙方须在采购人办理支付手续前5个工作日内，提供等额的正式发票给甲方，以便甲方及时办理支付手续，如乙方未能按照约定提供合法有效发票给甲方，甲方办理手续的时间相应顺延。</w:t>
      </w:r>
    </w:p>
    <w:p>
      <w:pPr>
        <w:ind w:firstLine="420"/>
        <w:jc w:val="both"/>
      </w:pPr>
      <w:r>
        <w:rPr>
          <w:sz w:val="21"/>
        </w:rPr>
        <w:t>六、知识产权产权归属</w:t>
      </w:r>
    </w:p>
    <w:p>
      <w:pPr>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ind w:firstLine="420"/>
        <w:jc w:val="both"/>
      </w:pPr>
      <w:r>
        <w:rPr>
          <w:sz w:val="21"/>
        </w:rPr>
        <w:t>七、保密</w:t>
      </w:r>
    </w:p>
    <w:p>
      <w:pPr>
        <w:ind w:firstLine="420"/>
        <w:jc w:val="both"/>
      </w:pPr>
      <w:r>
        <w:rPr>
          <w:sz w:val="21"/>
        </w:rPr>
        <w:t xml:space="preserve">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  </w:t>
      </w:r>
    </w:p>
    <w:p>
      <w:pPr>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ind w:firstLine="420"/>
        <w:jc w:val="both"/>
      </w:pPr>
      <w:r>
        <w:rPr>
          <w:sz w:val="21"/>
        </w:rPr>
        <w:t>2</w:t>
      </w:r>
      <w:r>
        <w:rPr>
          <w:sz w:val="21"/>
        </w:rPr>
        <w:t>）除了合同本身之外，上款所列举的任何物件均是甲方的财产。乙方应当在完成合同后应将这些物件及全部复制件还给甲方，甲方同意由乙方持有的除外。</w:t>
      </w:r>
    </w:p>
    <w:p>
      <w:pPr>
        <w:ind w:firstLine="420"/>
        <w:jc w:val="both"/>
      </w:pPr>
      <w:r>
        <w:rPr>
          <w:sz w:val="21"/>
        </w:rPr>
        <w:t>八、违约责任与赔偿损失</w:t>
      </w:r>
    </w:p>
    <w:p>
      <w:pPr>
        <w:ind w:firstLine="420"/>
        <w:jc w:val="both"/>
      </w:pPr>
      <w:r>
        <w:rPr>
          <w:sz w:val="21"/>
        </w:rPr>
        <w:t>1)</w:t>
      </w:r>
      <w:r>
        <w:rPr>
          <w:sz w:val="21"/>
        </w:rPr>
        <w:t>乙方提供的服务不符合采购文件、投标文件或本合同规定的，甲方有权拒收，并且乙方须向甲方方支付本合同总价5%的违约金。</w:t>
      </w:r>
    </w:p>
    <w:p>
      <w:pPr>
        <w:ind w:firstLine="420"/>
        <w:jc w:val="both"/>
      </w:pPr>
      <w:r>
        <w:rPr>
          <w:sz w:val="21"/>
        </w:rPr>
        <w:t>2)</w:t>
      </w:r>
      <w:r>
        <w:rPr>
          <w:sz w:val="21"/>
        </w:rPr>
        <w:t>乙方未能按本合同规定的交货时间提供服务，从逾期之日起每日按本合同总价3‰的数额向甲方支付违约金；逾期半个月以上的，甲方有权终止合同，由此造成的甲方经济损失由乙方承担。</w:t>
      </w:r>
    </w:p>
    <w:p>
      <w:pPr>
        <w:ind w:firstLine="420"/>
        <w:jc w:val="both"/>
      </w:pPr>
      <w:r>
        <w:rPr>
          <w:sz w:val="21"/>
        </w:rPr>
        <w:t>3)</w:t>
      </w:r>
      <w:r>
        <w:rPr>
          <w:sz w:val="21"/>
        </w:rPr>
        <w:t>甲方无正当理由拒收接受服务，到期拒付服务款项的，甲方向乙方偿付本合同总的5%的违约金。甲方逾期付款，则每日按本合同总价的3‰向乙方偿付违约金。</w:t>
      </w:r>
    </w:p>
    <w:p>
      <w:pPr>
        <w:ind w:firstLine="420"/>
        <w:jc w:val="both"/>
      </w:pPr>
      <w:r>
        <w:rPr>
          <w:sz w:val="21"/>
        </w:rPr>
        <w:t>4)</w:t>
      </w:r>
      <w:r>
        <w:rPr>
          <w:sz w:val="21"/>
        </w:rPr>
        <w:t>其它违约责任按《中华人民共和国民法典》第三编　合同处理。</w:t>
      </w:r>
    </w:p>
    <w:p>
      <w:pPr>
        <w:ind w:firstLine="420"/>
        <w:jc w:val="both"/>
      </w:pPr>
      <w:r>
        <w:rPr>
          <w:sz w:val="21"/>
        </w:rPr>
        <w:t>九、争端的解决</w:t>
      </w:r>
    </w:p>
    <w:p>
      <w:pPr>
        <w:ind w:firstLine="420"/>
        <w:jc w:val="both"/>
      </w:pPr>
      <w:r>
        <w:rPr>
          <w:sz w:val="21"/>
        </w:rPr>
        <w:t>合同执行过程中发生的任何争议，如双方不能通过友好协商解决，按相关法律法规处理。</w:t>
      </w:r>
    </w:p>
    <w:p>
      <w:pPr>
        <w:ind w:firstLine="420"/>
        <w:jc w:val="both"/>
      </w:pPr>
      <w:r>
        <w:rPr>
          <w:sz w:val="21"/>
        </w:rPr>
        <w:t>十、不可抗力</w:t>
      </w:r>
    </w:p>
    <w:p>
      <w:pPr>
        <w:ind w:firstLine="412"/>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ind w:firstLine="412"/>
        <w:jc w:val="both"/>
      </w:pPr>
      <w:r>
        <w:rPr>
          <w:sz w:val="21"/>
        </w:rPr>
        <w:t>十一、税费</w:t>
      </w:r>
    </w:p>
    <w:p>
      <w:pPr>
        <w:ind w:firstLine="412"/>
        <w:jc w:val="both"/>
      </w:pPr>
      <w:r>
        <w:rPr>
          <w:sz w:val="21"/>
        </w:rPr>
        <w:t>在中国境内、外发生的与本合同执行有关的一切税费均由乙方负担。</w:t>
      </w:r>
    </w:p>
    <w:p>
      <w:pPr>
        <w:ind w:firstLine="412"/>
        <w:jc w:val="both"/>
      </w:pPr>
      <w:r>
        <w:rPr>
          <w:sz w:val="21"/>
        </w:rPr>
        <w:t>十二、其它</w:t>
      </w:r>
    </w:p>
    <w:p>
      <w:pPr>
        <w:ind w:firstLine="420"/>
        <w:jc w:val="both"/>
      </w:pPr>
      <w:r>
        <w:rPr>
          <w:sz w:val="21"/>
        </w:rPr>
        <w:t>1)</w:t>
      </w:r>
      <w:r>
        <w:rPr>
          <w:sz w:val="21"/>
        </w:rPr>
        <w:t>本合同所有附件、采购文件、投标文件、成交通知书通知书均为合同的有效组成部分，与本合同具有同等法律效力。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除甲方事先书面同意外，乙方不得部分或全部转让其应履行的合同项下的义务。</w:t>
      </w:r>
    </w:p>
    <w:p>
      <w:pPr>
        <w:ind w:firstLine="420"/>
        <w:jc w:val="both"/>
      </w:pPr>
      <w:r>
        <w:rPr>
          <w:sz w:val="21"/>
        </w:rPr>
        <w:t>十三、合同生效</w:t>
      </w:r>
    </w:p>
    <w:p>
      <w:pPr>
        <w:ind w:firstLine="420"/>
        <w:jc w:val="both"/>
      </w:pPr>
      <w:r>
        <w:rPr>
          <w:sz w:val="21"/>
        </w:rPr>
        <w:t>1</w:t>
      </w:r>
      <w:r>
        <w:rPr>
          <w:sz w:val="21"/>
        </w:rPr>
        <w:t>）本合同在甲乙双方法人代表或其授权代表签字盖章后生效。</w:t>
      </w:r>
    </w:p>
    <w:p>
      <w:pPr>
        <w:ind w:firstLine="420"/>
        <w:jc w:val="both"/>
      </w:pPr>
      <w:r>
        <w:rPr>
          <w:sz w:val="21"/>
        </w:rPr>
        <w:t>2</w:t>
      </w:r>
      <w:r>
        <w:rPr>
          <w:sz w:val="21"/>
        </w:rPr>
        <w:t>）合同一式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份，监管部门壹份，采购代理机构壹份。</w:t>
      </w:r>
    </w:p>
    <w:p>
      <w:pPr>
        <w:jc w:val="both"/>
      </w:pPr>
    </w:p>
    <w:p>
      <w:pPr>
        <w:jc w:val="both"/>
      </w:pPr>
    </w:p>
    <w:p>
      <w:pPr>
        <w:jc w:val="both"/>
      </w:pPr>
    </w:p>
    <w:p>
      <w:pPr>
        <w:jc w:val="left"/>
      </w:pPr>
    </w:p>
    <w:p>
      <w:pPr>
        <w:jc w:val="both"/>
      </w:pPr>
      <w:r>
        <w:rPr>
          <w:sz w:val="21"/>
        </w:rPr>
        <w:t>甲方（盖章）：                          乙方（盖章）：</w:t>
      </w:r>
    </w:p>
    <w:p>
      <w:pPr>
        <w:jc w:val="both"/>
      </w:pPr>
      <w:r>
        <w:rPr>
          <w:sz w:val="21"/>
        </w:rPr>
        <w:t>法定代表/授权代表（签字）：             法定代表/授权代表（签字）：</w:t>
      </w:r>
    </w:p>
    <w:p>
      <w:pPr>
        <w:jc w:val="both"/>
      </w:pPr>
      <w:r>
        <w:rPr>
          <w:sz w:val="21"/>
        </w:rPr>
        <w:t>日期：                                 日期：</w:t>
      </w:r>
    </w:p>
    <w:p>
      <w:pPr>
        <w:jc w:val="both"/>
      </w:pPr>
      <w:r>
        <w:rPr>
          <w:sz w:val="21"/>
        </w:rPr>
        <w:t>邮政编码：                             邮政编码：</w:t>
      </w:r>
    </w:p>
    <w:p>
      <w:pPr>
        <w:jc w:val="both"/>
      </w:pPr>
      <w:r>
        <w:rPr>
          <w:sz w:val="21"/>
        </w:rPr>
        <w:t>开户名称：                             开户名称：</w:t>
      </w:r>
    </w:p>
    <w:p>
      <w:pPr>
        <w:jc w:val="both"/>
      </w:pPr>
      <w:r>
        <w:rPr>
          <w:sz w:val="21"/>
        </w:rPr>
        <w:t>开户银行：                             开户银行：</w:t>
      </w:r>
    </w:p>
    <w:p>
      <w:pPr>
        <w:jc w:val="both"/>
      </w:pPr>
      <w:r>
        <w:rPr>
          <w:sz w:val="21"/>
        </w:rPr>
        <w:t>开户账号：                             开户账号:</w:t>
      </w:r>
    </w:p>
    <w:p>
      <w:pPr>
        <w:jc w:val="left"/>
      </w:pPr>
    </w:p>
    <w:p>
      <w:pPr>
        <w:jc w:val="left"/>
      </w:pPr>
      <w:r>
        <w:rPr>
          <w:sz w:val="21"/>
        </w:rPr>
        <w:t>注： 此为合同草案，可根据磋商情况进行变更！</w:t>
      </w:r>
    </w:p>
    <w:p/>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440101-2023-10415</w:t>
      </w:r>
    </w:p>
    <w:p>
      <w:pPr>
        <w:jc w:val="center"/>
      </w:pPr>
      <w:r>
        <w:rPr>
          <w:b/>
          <w:sz w:val="24"/>
        </w:rPr>
        <w:t>采购项目编号：</w:t>
      </w:r>
      <w:r>
        <w:rPr>
          <w:b/>
          <w:sz w:val="24"/>
        </w:rPr>
        <w:t>440101-2023-10415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广东志正招标有限公司</w:t>
      </w:r>
    </w:p>
    <w:p>
      <w:pPr>
        <w:ind w:firstLine="480"/>
      </w:pPr>
      <w:r>
        <w:rPr/>
        <w:t>你方组织的</w:t>
      </w:r>
      <w:r>
        <w:rPr>
          <w:u w:val="single"/>
        </w:rPr>
        <w:t>“</w:t>
      </w:r>
      <w:r>
        <w:rPr>
          <w:u w:val="single"/>
        </w:rPr>
        <w:t>广州市生态环境局番禺环境监测站2023年环境质量自动监测运行维护项目(二次)</w:t>
      </w:r>
      <w:r>
        <w:rPr>
          <w:u w:val="single"/>
        </w:rPr>
        <w:t>”</w:t>
      </w:r>
      <w:r>
        <w:rPr/>
        <w:t>项目的竞争性磋商[采购项目编号为：</w:t>
      </w:r>
      <w:r>
        <w:rPr>
          <w:u w:val="single"/>
        </w:rPr>
        <w:t>440101-2023-10415</w:t>
      </w:r>
      <w:r>
        <w:rPr/>
        <w:t>]，我方愿参与响应。</w:t>
      </w:r>
    </w:p>
    <w:p>
      <w:pPr>
        <w:ind w:firstLine="480"/>
      </w:pPr>
      <w:r>
        <w:rPr/>
        <w:t>我方确认收到贵方提供的</w:t>
      </w:r>
      <w:r>
        <w:rPr>
          <w:u w:val="single"/>
        </w:rPr>
        <w:t>“</w:t>
      </w:r>
      <w:r>
        <w:rPr>
          <w:u w:val="single"/>
        </w:rPr>
        <w:t>广州市生态环境局番禺环境监测站2023年环境质量自动监测运行维护项目(二次)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广州市生态环境局番禺环境监测站2023年环境质量自动监测运行维护项目(二次)</w:t>
      </w:r>
      <w:r>
        <w:rPr/>
        <w:t>”项目采购[采购项目编号为</w:t>
      </w:r>
      <w:r>
        <w:rPr/>
        <w:t>440101-2023-10415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广州市生态环境局番禺环境监测站</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广东志正招标有限公司</w:t>
      </w:r>
    </w:p>
    <w:p>
      <w:pPr>
        <w:ind w:firstLine="480"/>
      </w:pPr>
      <w:r>
        <w:rPr/>
        <w:t>我单位参加贵公司组织的</w:t>
      </w:r>
      <w:r>
        <w:rPr/>
        <w:t>广州市生态环境局番禺环境监测站2023年环境质量自动监测运行维护项目(二次)</w:t>
      </w:r>
      <w:r>
        <w:rPr/>
        <w:t>（采购项目编号：</w:t>
      </w:r>
      <w:r>
        <w:rPr/>
        <w:t>440101-2023-10415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