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440001-2022-58770</w:t>
      </w:r>
    </w:p>
    <w:p>
      <w:pPr>
        <w:jc w:val="center"/>
      </w:pPr>
      <w:r>
        <w:rPr>
          <w:b/>
          <w:sz w:val="24"/>
        </w:rPr>
        <w:t>采购项目编号：</w:t>
      </w:r>
      <w:r>
        <w:rPr>
          <w:b/>
          <w:sz w:val="24"/>
        </w:rPr>
        <w:t>440001-2022-58770</w:t>
      </w:r>
    </w:p>
    <w:p>
      <w:pPr>
        <w:jc w:val="center"/>
      </w:pPr>
      <w:r>
        <w:rPr>
          <w:b/>
          <w:sz w:val="24"/>
        </w:rPr>
        <w:t>项目名称：</w:t>
      </w:r>
      <w:r>
        <w:rPr>
          <w:b/>
          <w:sz w:val="24"/>
        </w:rPr>
        <w:t>汕头大学数据中心设备采购项目</w:t>
      </w:r>
    </w:p>
    <w:p>
      <w:pPr>
        <w:jc w:val="center"/>
      </w:pPr>
      <w:r>
        <w:rPr>
          <w:b/>
          <w:sz w:val="24"/>
        </w:rPr>
        <w:t>采购人：</w:t>
      </w:r>
      <w:r>
        <w:rPr>
          <w:b/>
          <w:sz w:val="24"/>
        </w:rPr>
        <w:t>汕头大学</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汕头大学</w:t>
      </w:r>
      <w:r>
        <w:rPr/>
        <w:t>的委托，采用</w:t>
      </w:r>
      <w:r>
        <w:rPr/>
        <w:t>公开招标</w:t>
      </w:r>
      <w:r>
        <w:rPr/>
        <w:t>方式组织采购</w:t>
      </w:r>
      <w:r>
        <w:rPr/>
        <w:t>汕头大学数据中心设备采购项目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汕头大学数据中心设备采购项目</w:t>
      </w:r>
    </w:p>
    <w:p>
      <w:pPr>
        <w:ind w:firstLine="480"/>
      </w:pPr>
      <w:r>
        <w:rPr/>
        <w:t>采购计划编号：</w:t>
      </w:r>
      <w:r>
        <w:rPr/>
        <w:t>440001-2022-58770</w:t>
      </w:r>
    </w:p>
    <w:p>
      <w:pPr>
        <w:ind w:firstLine="480"/>
      </w:pPr>
      <w:r>
        <w:rPr/>
        <w:t>采购项目编号：</w:t>
      </w:r>
      <w:r>
        <w:rPr/>
        <w:t>440001-2022-58770</w:t>
      </w:r>
    </w:p>
    <w:p>
      <w:pPr>
        <w:ind w:firstLine="480"/>
      </w:pPr>
      <w:r>
        <w:rPr/>
        <w:t>采购方式：</w:t>
      </w:r>
      <w:r>
        <w:rPr/>
        <w:t>公开招标</w:t>
      </w:r>
    </w:p>
    <w:p>
      <w:pPr>
        <w:ind w:firstLine="480"/>
      </w:pPr>
      <w:r>
        <w:rPr/>
        <w:t>预算金额：</w:t>
      </w:r>
      <w:r>
        <w:rPr/>
        <w:t>8,100,000.00</w:t>
      </w:r>
      <w:r>
        <w:rPr/>
        <w:t>元</w:t>
      </w:r>
    </w:p>
    <w:p>
      <w:r>
        <w:rPr>
          <w:b/>
          <w:sz w:val="24"/>
        </w:rPr>
        <w:t>2.项目内容及需求情况（采购项目技术规格、参数及要求）</w:t>
      </w:r>
    </w:p>
    <w:p>
      <w:pPr>
        <w:ind w:firstLine="480"/>
      </w:pPr>
    </w:p>
    <w:p/>
    <w:p>
      <w:r>
        <w:rPr/>
        <w:t>采购包1(数据中心设备采购项目):</w:t>
      </w:r>
    </w:p>
    <w:p>
      <w:r>
        <w:rPr/>
        <w:t>采购包预算金额：8,100,000.00元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其他存储设备</w:t>
            </w:r>
          </w:p>
        </w:tc>
        <w:tc>
          <w:tcPr>
            <w:tcW w:type="dxa" w:w="2136"/>
          </w:tcPr>
          <w:p>
            <w:r>
              <w:rPr/>
              <w:t>波分复用设备</w:t>
            </w:r>
          </w:p>
        </w:tc>
        <w:tc>
          <w:tcPr>
            <w:tcW w:type="dxa" w:w="1187"/>
          </w:tcPr>
          <w:p>
            <w:r>
              <w:rPr/>
              <w:t>2.0000(套)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其他存储设备</w:t>
            </w:r>
          </w:p>
        </w:tc>
        <w:tc>
          <w:tcPr>
            <w:tcW w:type="dxa" w:w="2136"/>
          </w:tcPr>
          <w:p>
            <w:r>
              <w:rPr/>
              <w:t>数据库一体机系统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其他存储设备</w:t>
            </w:r>
          </w:p>
        </w:tc>
        <w:tc>
          <w:tcPr>
            <w:tcW w:type="dxa" w:w="2136"/>
          </w:tcPr>
          <w:p>
            <w:r>
              <w:rPr/>
              <w:t>数据库备份一体机</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其他存储设备</w:t>
            </w:r>
          </w:p>
        </w:tc>
        <w:tc>
          <w:tcPr>
            <w:tcW w:type="dxa" w:w="2136"/>
          </w:tcPr>
          <w:p>
            <w:r>
              <w:rPr/>
              <w:t>核心交换机</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其他存储设备</w:t>
            </w:r>
          </w:p>
        </w:tc>
        <w:tc>
          <w:tcPr>
            <w:tcW w:type="dxa" w:w="2136"/>
          </w:tcPr>
          <w:p>
            <w:r>
              <w:rPr/>
              <w:t>超融合云平台扩容节点</w:t>
            </w:r>
          </w:p>
        </w:tc>
        <w:tc>
          <w:tcPr>
            <w:tcW w:type="dxa" w:w="1187"/>
          </w:tcPr>
          <w:p>
            <w:r>
              <w:rPr/>
              <w:t>20.0000(台)</w:t>
            </w:r>
          </w:p>
        </w:tc>
        <w:tc>
          <w:tcPr>
            <w:tcW w:type="dxa" w:w="1187"/>
          </w:tcPr>
          <w:p>
            <w:r>
              <w:rPr/>
              <w:t>详见第二章</w:t>
            </w:r>
          </w:p>
        </w:tc>
        <w:tc>
          <w:tcPr>
            <w:tcW w:type="dxa" w:w="1187"/>
          </w:tcPr>
          <w:p>
            <w:r>
              <w:rPr/>
              <w:t>否</w:t>
            </w:r>
          </w:p>
        </w:tc>
      </w:tr>
    </w:tbl>
    <w:p/>
    <w:p>
      <w:r>
        <w:rPr/>
        <w:t>本采购包不接受联合体投标</w:t>
      </w:r>
    </w:p>
    <w:p/>
    <w:p>
      <w:r>
        <w:rPr/>
        <w:t>合同履行期限：合同签订之日起至履约结束。</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具有独立承担民事责任的能力：提供最新的投标人营业执照（或事业单位法人证书，或社会团体法人登记证书，或执业许可证）副本复印件；若以不具有独立承担民事责任能力的分支机构投标，须取得具有法人资格的总公司的授权书，并提供总公司营业执照副本复印件；如投标人为自然人的需提供自然人身份证明。</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采购包1（数据中心设备采购项目）：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p>
    <w:p>
      <w:r>
        <w:rPr>
          <w:b/>
          <w:sz w:val="28"/>
        </w:rPr>
        <w:t>六.本项目联系方式：</w:t>
      </w:r>
    </w:p>
    <w:p>
      <w:r>
        <w:rPr>
          <w:b/>
          <w:sz w:val="24"/>
        </w:rPr>
        <w:t>1.采购人信息</w:t>
      </w:r>
    </w:p>
    <w:p>
      <w:pPr>
        <w:ind w:firstLine="480"/>
      </w:pPr>
      <w:r>
        <w:rPr/>
        <w:t>名称：</w:t>
      </w:r>
      <w:r>
        <w:rPr/>
        <w:t>汕头大学</w:t>
      </w:r>
    </w:p>
    <w:p>
      <w:pPr>
        <w:ind w:firstLine="480"/>
      </w:pPr>
      <w:r>
        <w:rPr/>
        <w:t>地址：</w:t>
      </w:r>
      <w:r>
        <w:rPr/>
        <w:t>汕头市大学路243号</w:t>
      </w:r>
    </w:p>
    <w:p>
      <w:pPr>
        <w:ind w:firstLine="480"/>
      </w:pPr>
      <w:r>
        <w:rPr/>
        <w:t>联系方式：</w:t>
      </w:r>
      <w:r>
        <w:rPr/>
        <w:t>0754-86502559</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02087554618</w:t>
      </w:r>
    </w:p>
    <w:p>
      <w:r>
        <w:rPr>
          <w:b/>
          <w:sz w:val="24"/>
        </w:rPr>
        <w:t>3.项目联系方式</w:t>
      </w:r>
    </w:p>
    <w:p>
      <w:pPr>
        <w:ind w:firstLine="480"/>
      </w:pPr>
      <w:r>
        <w:rPr/>
        <w:t>项目联系人：</w:t>
      </w:r>
      <w:r>
        <w:rPr/>
        <w:t>招标三部</w:t>
      </w:r>
    </w:p>
    <w:p>
      <w:pPr>
        <w:ind w:firstLine="480"/>
      </w:pPr>
      <w:r>
        <w:rPr/>
        <w:t>电话：</w:t>
      </w:r>
      <w:r>
        <w:rPr/>
        <w:t>02087554618</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说明：</w:t>
      </w:r>
      <w:r>
        <w:br/>
      </w:r>
      <w:r>
        <w:rPr>
          <w:sz w:val="21"/>
        </w:rPr>
        <w:t>1.投标人须对本项目为单位的所有标的物进行整体投标，任何只对其中一部分内容进行的投标都被视为无效投标。</w:t>
      </w:r>
      <w:r>
        <w:br/>
      </w:r>
      <w:r>
        <w:rPr>
          <w:sz w:val="21"/>
        </w:rPr>
        <w:t>2.本招标文件中，凡标有“★”的地方，投标人要特别加以注意，必须对此作出一一响应。若有一项带“★”的指标未响应或不满足，将导致其废标或投标无效。</w:t>
      </w:r>
      <w:r>
        <w:br/>
      </w:r>
      <w:r>
        <w:rPr>
          <w:sz w:val="21"/>
        </w:rPr>
        <w:t>3.本项目核心产品为：超融合云平台扩容节点。</w:t>
      </w:r>
    </w:p>
    <w:p>
      <w:pPr>
        <w:jc w:val="both"/>
      </w:pPr>
      <w:r>
        <w:rPr>
          <w:sz w:val="21"/>
        </w:rPr>
        <w:t>注：若存在多项核心产品，当不同供应商提供的任意一项核心产品的品牌相同，则视同其是所响应核心产品品牌相同供应商。</w:t>
      </w:r>
      <w:r>
        <w:br/>
      </w:r>
      <w:r>
        <w:rPr>
          <w:sz w:val="21"/>
        </w:rPr>
        <w:t>4.中小企业声明函中，本项目</w:t>
      </w:r>
      <w:r>
        <w:rPr>
          <w:sz w:val="21"/>
          <w:u w:val="single"/>
        </w:rPr>
        <w:t>汕头大学数据中心设备采购项目</w:t>
      </w:r>
      <w:r>
        <w:rPr>
          <w:sz w:val="21"/>
        </w:rPr>
        <w:t>属于</w:t>
      </w:r>
      <w:r>
        <w:rPr>
          <w:b/>
          <w:sz w:val="21"/>
        </w:rPr>
        <w:t>为工业。</w:t>
      </w:r>
      <w:r>
        <w:br/>
      </w:r>
      <w:r>
        <w:br/>
      </w:r>
      <w:r>
        <w:rPr>
          <w:b/>
          <w:sz w:val="21"/>
        </w:rPr>
        <w:t>（一）项目背景</w:t>
      </w:r>
    </w:p>
    <w:p>
      <w:pPr>
        <w:jc w:val="left"/>
      </w:pPr>
      <w:r>
        <w:rPr>
          <w:sz w:val="21"/>
        </w:rPr>
        <w:t>教育信息化是我国教育事业发展的战略要求，近年来各大高校纷纷加大了数据中心机房等信息基础设施的建设投入，力求打造一个布局合理、功能完备、安全可靠、可持续发展的现代化资源中心。数据中心因其负担了全校业务，所以其并发业务负荷能力和不间断运行能力是评价一个数据中心成熟与否的关键性指标。</w:t>
      </w:r>
    </w:p>
    <w:p>
      <w:pPr>
        <w:jc w:val="left"/>
      </w:pPr>
      <w:r>
        <w:rPr>
          <w:sz w:val="21"/>
        </w:rPr>
        <w:t>我校随着学校网站系统、数据交换系统、数据存储平台、办公系统、教务系统，在线选课系统、图书馆系统等各种业务的迅猛发展，数据中心的业务压力成倍增加，用户对于业务访问质量的要求也越来越高，保障业务系统的</w:t>
      </w:r>
      <w:r>
        <w:rPr>
          <w:sz w:val="21"/>
        </w:rPr>
        <w:t>7*24小时连续运营并提升用户体验成为网络信息部门的首要职责。</w:t>
      </w:r>
    </w:p>
    <w:p>
      <w:pPr>
        <w:jc w:val="left"/>
      </w:pPr>
      <w:r>
        <w:rPr>
          <w:sz w:val="21"/>
        </w:rPr>
        <w:t>高校信息系统的安全、稳定运行关系着学校业务运营的安全和学校运作的稳定，有关文件要求要高校重视的灾难备份体系建设，多次发布了高校信息系统灾难备份的相关标准和指引，对高校灾备系统建设提出了明确的要求。</w:t>
      </w:r>
    </w:p>
    <w:p>
      <w:pPr>
        <w:jc w:val="left"/>
      </w:pPr>
      <w:r>
        <w:rPr>
          <w:sz w:val="21"/>
        </w:rPr>
        <w:t>随着新校区的建成启用，我校业务快速增长和智慧校园应用建设，保障学校各业务安全稳定的不间断运行，同时云计算、大数据将贯彻于学校教学科研之中，在用的传统数据中心亟待改革，高可用、易扩容、节能美观的新型数据中心将成为信息化建设的刚需，建设同城多校区灾备、双活甚至多活数据中心正成为我校的必然选择。新校区数据中心未来将成为全校的计算中心、存储中心、备份中心，承载着校园的核心业务系统，并与校本部在用数据中心实现了高速互联。</w:t>
      </w:r>
    </w:p>
    <w:p>
      <w:pPr>
        <w:jc w:val="left"/>
      </w:pPr>
      <w:r>
        <w:rPr>
          <w:sz w:val="21"/>
        </w:rPr>
        <w:t>本次项目建设数据中心为</w:t>
      </w:r>
      <w:r>
        <w:rPr>
          <w:sz w:val="21"/>
        </w:rPr>
        <w:t>1个物理站点，并作为校本部数据中心的同城站点，与校本部数据中心构建同城数据中心（光纤路由距离约60公里），实现双活数据中心架构。该数据中心架构主要为各类应用业务提供高可用性基础保障，为构建虚拟数据中心提供资源和服务，保障数据的一致性和完整性。</w:t>
      </w:r>
    </w:p>
    <w:p>
      <w:pPr>
        <w:jc w:val="left"/>
      </w:pPr>
    </w:p>
    <w:p>
      <w:pPr>
        <w:ind w:firstLine="422"/>
        <w:jc w:val="left"/>
      </w:pPr>
      <w:r>
        <w:rPr>
          <w:b/>
          <w:sz w:val="21"/>
        </w:rPr>
        <w:t>（二）建设内容</w:t>
      </w:r>
    </w:p>
    <w:p>
      <w:pPr>
        <w:jc w:val="left"/>
      </w:pPr>
      <w:r>
        <w:rPr>
          <w:sz w:val="21"/>
        </w:rPr>
        <w:t>1、利用租用的裸光纤，校区之间部署一套光传输波分系统，承载两校区之间的有线网、无线网、一卡通、安防网、特殊专线等业务互联互通；</w:t>
      </w:r>
    </w:p>
    <w:p>
      <w:pPr>
        <w:jc w:val="left"/>
      </w:pPr>
      <w:r>
        <w:rPr>
          <w:sz w:val="21"/>
        </w:rPr>
        <w:t>2、数据库一体机提供高性能数据库处理和同城数据库数据容灾；</w:t>
      </w:r>
    </w:p>
    <w:p>
      <w:pPr>
        <w:jc w:val="left"/>
      </w:pPr>
      <w:r>
        <w:rPr>
          <w:sz w:val="21"/>
        </w:rPr>
        <w:t>3、数据库备份一体机对关键业务数据进行双校区容灾备份，在业务数据遭到破坏时，能完整快速恢复数据；</w:t>
      </w:r>
    </w:p>
    <w:p>
      <w:pPr>
        <w:jc w:val="left"/>
      </w:pPr>
      <w:r>
        <w:rPr>
          <w:sz w:val="21"/>
        </w:rPr>
        <w:t>4、超融合云平台新建20个节点满足新业务需求；</w:t>
      </w:r>
    </w:p>
    <w:p>
      <w:pPr>
        <w:jc w:val="left"/>
      </w:pPr>
      <w:r>
        <w:rPr>
          <w:sz w:val="21"/>
        </w:rPr>
        <w:t>5、数据中心核心交换机，支撑新校区中心机房的数据交换传输业务。</w:t>
      </w:r>
    </w:p>
    <w:p>
      <w:pPr>
        <w:ind w:firstLine="422"/>
        <w:jc w:val="left"/>
      </w:pPr>
      <w:r>
        <w:rPr>
          <w:b/>
          <w:sz w:val="21"/>
        </w:rPr>
        <w:t>（三）设备清单</w:t>
      </w:r>
    </w:p>
    <w:p>
      <w:pPr>
        <w:jc w:val="left"/>
      </w:pPr>
      <w:r>
        <w:rPr>
          <w:sz w:val="21"/>
        </w:rPr>
        <w:t>（</w:t>
      </w:r>
      <w:r>
        <w:rPr>
          <w:sz w:val="21"/>
        </w:rPr>
        <w:t>1）波分复用设备，2套</w:t>
      </w:r>
    </w:p>
    <w:p>
      <w:pPr>
        <w:jc w:val="left"/>
      </w:pPr>
      <w:r>
        <w:rPr>
          <w:sz w:val="21"/>
        </w:rPr>
        <w:t>（</w:t>
      </w:r>
      <w:r>
        <w:rPr>
          <w:sz w:val="21"/>
        </w:rPr>
        <w:t>2）数据库一体机系统，1套</w:t>
      </w:r>
    </w:p>
    <w:p>
      <w:pPr>
        <w:jc w:val="left"/>
      </w:pPr>
      <w:r>
        <w:rPr>
          <w:sz w:val="21"/>
        </w:rPr>
        <w:t>（</w:t>
      </w:r>
      <w:r>
        <w:rPr>
          <w:sz w:val="21"/>
        </w:rPr>
        <w:t>3）数据库备份一体机，1套</w:t>
      </w:r>
    </w:p>
    <w:p>
      <w:pPr>
        <w:jc w:val="left"/>
      </w:pPr>
      <w:r>
        <w:rPr>
          <w:sz w:val="21"/>
        </w:rPr>
        <w:t>（</w:t>
      </w:r>
      <w:r>
        <w:rPr>
          <w:sz w:val="21"/>
        </w:rPr>
        <w:t>4）核心交换机，2台</w:t>
      </w:r>
    </w:p>
    <w:p>
      <w:pPr>
        <w:jc w:val="left"/>
      </w:pPr>
      <w:r>
        <w:rPr>
          <w:sz w:val="21"/>
        </w:rPr>
        <w:t>（</w:t>
      </w:r>
      <w:r>
        <w:rPr>
          <w:sz w:val="21"/>
        </w:rPr>
        <w:t>5）超融合云平台扩容节点，20台</w:t>
      </w:r>
    </w:p>
    <w:p/>
    <w:p>
      <w:pPr>
        <w:ind w:firstLine="480"/>
      </w:pPr>
    </w:p>
    <w:p/>
    <w:p>
      <w:r>
        <w:rPr/>
        <w:t>采购包1（数据中心设备采购项目）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合同签订之日起60天内完成所有货物的送达、安装、调试并交付使用。</w:t>
            </w:r>
          </w:p>
        </w:tc>
      </w:tr>
      <w:tr>
        <w:tc>
          <w:tcPr>
            <w:tcW w:type="dxa" w:w="4153"/>
          </w:tcPr>
          <w:p>
            <w:r>
              <w:rPr/>
              <w:t>标的提供的地点</w:t>
            </w:r>
          </w:p>
        </w:tc>
        <w:tc>
          <w:tcPr>
            <w:tcW w:type="dxa" w:w="4153"/>
          </w:tcPr>
          <w:p/>
          <w:p>
            <w:r>
              <w:rPr/>
              <w:t>汕头大学指定地点</w:t>
            </w:r>
          </w:p>
        </w:tc>
      </w:tr>
      <w:tr>
        <w:tc>
          <w:tcPr>
            <w:tcW w:type="dxa" w:w="4153"/>
          </w:tcPr>
          <w:p>
            <w:r>
              <w:rPr/>
              <w:t>付款方式</w:t>
            </w:r>
          </w:p>
        </w:tc>
        <w:tc>
          <w:tcPr>
            <w:tcW w:type="dxa" w:w="4153"/>
          </w:tcPr>
          <w:p/>
          <w:p/>
          <w:p>
            <w:r>
              <w:rPr/>
              <w:t>1期：支付比例100%,合同签订后五个工作日内，中标人按本合同总金额的70%向采购人提供银行出具的预付款担保函和全额合同款的增值税专用发票。采购人在收到担保函及发票后十个工作日内向中标人支付100%合同款。在货物安装调试及验收合格后十个工作日内，采购人根据中标人的申请向中标人退还银行担保函。中标人在保修期内需按要求做好售后服务。 注意：开具银行保函可能需要较长时间，故请投标人注意提前联系银行准备和申请。以便合同签订后能够尽早完成付款。</w:t>
            </w:r>
          </w:p>
        </w:tc>
      </w:tr>
      <w:tr>
        <w:tc>
          <w:tcPr>
            <w:tcW w:type="dxa" w:w="4153"/>
          </w:tcPr>
          <w:p>
            <w:r>
              <w:rPr/>
              <w:t>验收要求</w:t>
            </w:r>
          </w:p>
        </w:tc>
        <w:tc>
          <w:tcPr>
            <w:tcW w:type="dxa" w:w="4153"/>
          </w:tcPr>
          <w:p/>
          <w:p/>
          <w:p/>
          <w:p>
            <w:r>
              <w:rPr/>
              <w:t>1期：1.验收应在采购人和中标人双方共同参加下按国家有关的规定、规范进行。交付验收标准依次序对照适用标准为：①符合中华人民共和国国家安全质量标准、环保标准或行业标准；②符合招标文件和投标承诺中采购人认可的合理最佳配置、参数及各项要求；③货物来源国官方标准。 2.货物为原厂商未启封全新包装，据出厂合格证，序列号、包装箱号与出厂批号一致，并可追索查阅，所有随设备的附件必须齐全。如发现所交付的设备有短装、次品、损坏或其它不符合招标文件规定之情形者，采购人应做出详尽的现场记录，或由采购人和中标人双方签署备忘录。此现场记录或备忘录可用作补充、缺失和更换损坏部件的有效证据。由此产生的有关费用由中标人承担。 3.采购人按照合同规定的技术、服务、安全标准组织对中标人履约情况进行验收，并出具验收报告。验收报告应当包括每一项技术、服务、安全标准的履约情况。 4.中标人将货物的用户手册、保修手册、有关单证资料及备品备件、随机工具等交付给采购人，使用操作及安全须知等重要资料应附有中文说明。 5.货物验收所发生的检验费用由中标人负担。 6.采购人组成验收小组，按照采购合同规定的技术、服务、安全标准组织对中标人履约情况进行验收。因货物质量问题发生争议时，由采购人本地市场监督管理部门鉴定。货物符合质量技术标准的，鉴定费由采购人承担；否则鉴定费由中标人承担。 7.中标人提供的技术参数数据须是真实可靠的，如果采购人验收时设备达不到所承诺的技术指标，中标人须无条件退货并重新提供符合所承诺技术指标的设备。</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其他存储设备</w:t>
            </w:r>
          </w:p>
        </w:tc>
        <w:tc>
          <w:tcPr>
            <w:tcW w:type="dxa" w:w="831"/>
          </w:tcPr>
          <w:p>
            <w:pPr>
              <w:jc w:val="left"/>
            </w:pPr>
            <w:r>
              <w:rPr/>
              <w:t>波分复用设备</w:t>
            </w:r>
          </w:p>
        </w:tc>
        <w:tc>
          <w:tcPr>
            <w:tcW w:type="dxa" w:w="831"/>
          </w:tcPr>
          <w:p>
            <w:pPr>
              <w:jc w:val="left"/>
            </w:pPr>
            <w:r>
              <w:rPr/>
              <w:t>套</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其他存储设备</w:t>
            </w:r>
          </w:p>
        </w:tc>
        <w:tc>
          <w:tcPr>
            <w:tcW w:type="dxa" w:w="831"/>
          </w:tcPr>
          <w:p>
            <w:pPr>
              <w:jc w:val="left"/>
            </w:pPr>
            <w:r>
              <w:rPr/>
              <w:t>数据库一体机系统</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其他存储设备</w:t>
            </w:r>
          </w:p>
        </w:tc>
        <w:tc>
          <w:tcPr>
            <w:tcW w:type="dxa" w:w="831"/>
          </w:tcPr>
          <w:p>
            <w:pPr>
              <w:jc w:val="left"/>
            </w:pPr>
            <w:r>
              <w:rPr/>
              <w:t>数据库备份一体机</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其他存储设备</w:t>
            </w:r>
          </w:p>
        </w:tc>
        <w:tc>
          <w:tcPr>
            <w:tcW w:type="dxa" w:w="831"/>
          </w:tcPr>
          <w:p>
            <w:pPr>
              <w:jc w:val="left"/>
            </w:pPr>
            <w:r>
              <w:rPr/>
              <w:t>核心交换机</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r>
              <w:rPr/>
              <w:t>△</w:t>
            </w:r>
          </w:p>
        </w:tc>
        <w:tc>
          <w:tcPr>
            <w:tcW w:type="dxa" w:w="831"/>
          </w:tcPr>
          <w:p>
            <w:pPr>
              <w:jc w:val="left"/>
            </w:pPr>
            <w:r>
              <w:rPr/>
              <w:t>其他存储设备</w:t>
            </w:r>
          </w:p>
        </w:tc>
        <w:tc>
          <w:tcPr>
            <w:tcW w:type="dxa" w:w="831"/>
          </w:tcPr>
          <w:p>
            <w:pPr>
              <w:jc w:val="left"/>
            </w:pPr>
            <w:r>
              <w:rPr/>
              <w:t>超融合云平台扩容节点</w:t>
            </w:r>
          </w:p>
        </w:tc>
        <w:tc>
          <w:tcPr>
            <w:tcW w:type="dxa" w:w="831"/>
          </w:tcPr>
          <w:p>
            <w:pPr>
              <w:jc w:val="left"/>
            </w:pPr>
            <w:r>
              <w:rPr/>
              <w:t>台</w:t>
            </w:r>
          </w:p>
        </w:tc>
        <w:tc>
          <w:tcPr>
            <w:tcW w:type="dxa" w:w="831"/>
          </w:tcPr>
          <w:p>
            <w:pPr>
              <w:jc w:val="right"/>
            </w:pPr>
            <w:r>
              <w:rPr/>
              <w:t>20.00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详见附表五</w:t>
            </w:r>
          </w:p>
        </w:tc>
      </w:tr>
    </w:tbl>
    <w:p/>
    <w:p>
      <w:r>
        <w:rPr>
          <w:b/>
        </w:rPr>
        <w:t>附表</w:t>
      </w:r>
      <w:r>
        <w:rPr>
          <w:b/>
        </w:rPr>
        <w:t>一</w:t>
      </w:r>
      <w:r>
        <w:rPr>
          <w:b/>
        </w:rPr>
        <w:t>：</w:t>
      </w:r>
      <w:r>
        <w:rPr>
          <w:b/>
        </w:rPr>
        <w:t>波分复用设备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OTN设备</w:t>
            </w:r>
          </w:p>
          <w:p>
            <w:pPr>
              <w:jc w:val="both"/>
            </w:pPr>
            <w:r>
              <w:rPr>
                <w:sz w:val="21"/>
              </w:rPr>
              <w:t>1、采用统一多功能子架，即电层单板（业务板卡）和光层单板(如光放大单板、合分波器等)支持共同安装在同一个子架内；</w:t>
            </w:r>
          </w:p>
          <w:p>
            <w:pPr>
              <w:jc w:val="both"/>
            </w:pPr>
            <w:r>
              <w:rPr>
                <w:sz w:val="21"/>
              </w:rPr>
              <w:t>2、▲最大支持80波DWDM系统；线路速率支持单波10Gbps、100Gbps和200Gbps；</w:t>
            </w:r>
          </w:p>
          <w:p>
            <w:pPr>
              <w:jc w:val="both"/>
            </w:pPr>
            <w:r>
              <w:rPr>
                <w:sz w:val="21"/>
              </w:rPr>
              <w:t>3、单子架最大支持不少于24路万兆以太网接口接入能力，支持不少于24路FC800/FC1200接口接入能力, 支持不少于12路FC1600接口接入能力，支持不少于8路FC3200接口接入能力；</w:t>
            </w:r>
          </w:p>
          <w:p>
            <w:pPr>
              <w:jc w:val="both"/>
            </w:pPr>
            <w:r>
              <w:rPr>
                <w:sz w:val="21"/>
              </w:rPr>
              <w:t>4、</w:t>
            </w:r>
            <w:r>
              <w:rPr>
                <w:sz w:val="21"/>
              </w:rPr>
              <w:t>★本次单台配置不低于8波平台，本次波分侧配置4个10G彩光模块，提供2块波长转换业务板（每块≥2个端口）,满足80km传输距离；业务侧配置4个万兆单模模块(10km)；</w:t>
            </w:r>
          </w:p>
          <w:p>
            <w:pPr>
              <w:jc w:val="both"/>
            </w:pPr>
            <w:r>
              <w:rPr>
                <w:sz w:val="21"/>
              </w:rPr>
              <w:t>5、业务槽位最大支持7个，支持19英寸机柜或ETSI标准机柜安装；</w:t>
            </w:r>
          </w:p>
          <w:p>
            <w:pPr>
              <w:jc w:val="both"/>
            </w:pPr>
            <w:r>
              <w:rPr>
                <w:sz w:val="21"/>
              </w:rPr>
              <w:t>6、支持交流或直流供电可选，实配电源1+1保护和散热风扇冗余；</w:t>
            </w:r>
          </w:p>
          <w:p>
            <w:pPr>
              <w:jc w:val="both"/>
            </w:pPr>
            <w:r>
              <w:rPr>
                <w:sz w:val="21"/>
              </w:rPr>
              <w:t>7、支持光线路保护、板内1+1保护、客户侧1+1保护、ODUk SNCP保护；</w:t>
            </w:r>
          </w:p>
          <w:p>
            <w:pPr>
              <w:jc w:val="both"/>
            </w:pPr>
            <w:r>
              <w:rPr>
                <w:sz w:val="21"/>
              </w:rPr>
              <w:t>8、支持SDH/SONET业务、OTN业务、以太网业务、CPRI业务、SAN业务、视频及其他业务的接入；</w:t>
            </w:r>
          </w:p>
          <w:p>
            <w:pPr>
              <w:jc w:val="both"/>
            </w:pPr>
            <w:r>
              <w:rPr>
                <w:sz w:val="21"/>
              </w:rPr>
              <w:t>9、▲应满足国产化自主可控，提供国家认证的第三方机构的自主可控检测报告复印件。</w:t>
            </w:r>
          </w:p>
          <w:p>
            <w:pPr>
              <w:jc w:val="both"/>
            </w:pPr>
            <w:r>
              <w:rPr>
                <w:sz w:val="21"/>
              </w:rPr>
              <w:t>10、提供投标产品的中华人民共和国工业和信息化部颁发的电信设备进网许可证；</w:t>
            </w:r>
          </w:p>
        </w:tc>
      </w:tr>
      <w:tr>
        <w:tc>
          <w:tcPr>
            <w:tcW w:type="dxa" w:w="2076"/>
          </w:tcPr>
          <w:p/>
        </w:tc>
        <w:tc>
          <w:tcPr>
            <w:tcW w:type="dxa" w:w="415"/>
          </w:tcPr>
          <w:p>
            <w:r>
              <w:rPr/>
              <w:t>2</w:t>
            </w:r>
          </w:p>
        </w:tc>
        <w:tc>
          <w:tcPr>
            <w:tcW w:type="dxa" w:w="5814"/>
          </w:tcPr>
          <w:p>
            <w:pPr>
              <w:jc w:val="both"/>
            </w:pPr>
            <w:r>
              <w:rPr>
                <w:b/>
                <w:sz w:val="20"/>
              </w:rPr>
              <w:t>OTN网管</w:t>
            </w:r>
          </w:p>
          <w:p>
            <w:pPr>
              <w:jc w:val="both"/>
            </w:pPr>
            <w:r>
              <w:rPr>
                <w:sz w:val="20"/>
              </w:rPr>
              <w:t>1、网络管理平台应配置统一的中文网络管理界面、包含配置管理、性能管理、故障管理和安全管理功能；</w:t>
            </w:r>
          </w:p>
          <w:p>
            <w:pPr>
              <w:jc w:val="both"/>
            </w:pPr>
            <w:r>
              <w:rPr>
                <w:sz w:val="20"/>
              </w:rPr>
              <w:t>2、网络管理平台应该能够提供网络存量、告警和性能上报的北向接口；支持远程通知的功能；</w:t>
            </w:r>
          </w:p>
          <w:p>
            <w:pPr>
              <w:jc w:val="both"/>
            </w:pPr>
            <w:r>
              <w:rPr>
                <w:sz w:val="20"/>
              </w:rPr>
              <w:t>3、网络管理平台提供完善的网元及网络级安全、拓扑、告警、性能、存量、网元软件管理等功能；能统一管理传送网络所有网元，具备1000等效网元管理能力；</w:t>
            </w:r>
          </w:p>
          <w:p>
            <w:pPr>
              <w:jc w:val="both"/>
            </w:pPr>
            <w:r>
              <w:rPr>
                <w:sz w:val="20"/>
              </w:rPr>
              <w:t>4、网络管理平台应支持存量管理，支持网元物理存量的统计功能，支持光纤、纤缆管理功能，支持添加、修改、删除单光纤或纤缆，支持SDH/WDM存量报表管理；</w:t>
            </w:r>
          </w:p>
          <w:p>
            <w:pPr>
              <w:jc w:val="both"/>
            </w:pPr>
            <w:r>
              <w:rPr>
                <w:sz w:val="20"/>
              </w:rPr>
              <w:t>5、网络管理平台应支持日志管理，支持控制器操作日志、系统日志、安全日志的查询与导出功能，并支持用户自定义日志自动转储的条件，支持网元操作日志、安全日志的查询与导出功能；</w:t>
            </w:r>
          </w:p>
          <w:p>
            <w:pPr>
              <w:jc w:val="both"/>
            </w:pPr>
            <w:r>
              <w:rPr>
                <w:sz w:val="20"/>
              </w:rPr>
              <w:t>6、网络管理平台应支持网元软件管理，支持对网元配置相关功能的管理，支持网元备份恢复、网元升降级。支持手工以及定期的网元备份功能；</w:t>
            </w:r>
          </w:p>
          <w:p>
            <w:pPr>
              <w:jc w:val="both"/>
            </w:pPr>
            <w:r>
              <w:rPr>
                <w:sz w:val="20"/>
              </w:rPr>
              <w:t>7、★网管软件满足未来扩展需求的设备管理授权、必须配置网管服务器（本次配置网管软件满足本项目至少</w:t>
            </w:r>
            <w:r>
              <w:rPr>
                <w:sz w:val="20"/>
              </w:rPr>
              <w:t>2套波分设备的管理授权。配</w:t>
            </w:r>
            <w:r>
              <w:rPr>
                <w:sz w:val="20"/>
              </w:rPr>
              <w:t>置的</w:t>
            </w:r>
            <w:r>
              <w:rPr>
                <w:sz w:val="20"/>
              </w:rPr>
              <w:t>网管硬件设备配置不低于</w:t>
            </w:r>
            <w:r>
              <w:rPr>
                <w:sz w:val="20"/>
              </w:rPr>
              <w:t>2*10Core/2.2GHz CPU,4*32G内存,2*960G STAT SSD +6*600GB SAS HDD,Raid卡(2G cache,带超级电容),4*2GE,2*900W AC，带KVM远程管理。</w:t>
            </w:r>
            <w:r>
              <w:rPr>
                <w:sz w:val="20"/>
              </w:rPr>
              <w:t>）。</w:t>
            </w:r>
          </w:p>
        </w:tc>
      </w:tr>
      <w:tr>
        <w:tc>
          <w:tcPr>
            <w:tcW w:type="dxa" w:w="2076"/>
          </w:tcPr>
          <w:p/>
        </w:tc>
        <w:tc>
          <w:tcPr>
            <w:tcW w:type="dxa" w:w="415"/>
          </w:tcPr>
          <w:p>
            <w:r>
              <w:rPr/>
              <w:t>3</w:t>
            </w:r>
          </w:p>
        </w:tc>
        <w:tc>
          <w:tcPr>
            <w:tcW w:type="dxa" w:w="5814"/>
          </w:tcPr>
          <w:p>
            <w:pPr>
              <w:jc w:val="both"/>
            </w:pPr>
            <w:r>
              <w:rPr>
                <w:b/>
                <w:sz w:val="20"/>
              </w:rPr>
              <w:t>商务要求</w:t>
            </w:r>
          </w:p>
          <w:p>
            <w:pPr>
              <w:jc w:val="both"/>
            </w:pPr>
            <w:r>
              <w:rPr>
                <w:sz w:val="20"/>
              </w:rPr>
              <w:t>1、</w:t>
            </w:r>
            <w:r>
              <w:rPr>
                <w:sz w:val="20"/>
              </w:rPr>
              <w:t>提供</w:t>
            </w:r>
            <w:r>
              <w:rPr>
                <w:sz w:val="20"/>
              </w:rPr>
              <w:t>投标产品</w:t>
            </w:r>
            <w:r>
              <w:rPr>
                <w:sz w:val="20"/>
              </w:rPr>
              <w:t>不少于</w:t>
            </w:r>
            <w:r>
              <w:rPr>
                <w:sz w:val="20"/>
              </w:rPr>
              <w:t>3个</w:t>
            </w:r>
            <w:r>
              <w:rPr>
                <w:sz w:val="20"/>
              </w:rPr>
              <w:t>销售</w:t>
            </w:r>
            <w:r>
              <w:rPr>
                <w:sz w:val="20"/>
              </w:rPr>
              <w:t>案例</w:t>
            </w:r>
            <w:r>
              <w:rPr>
                <w:sz w:val="20"/>
              </w:rPr>
              <w:t>，提供合同或协议书复印件</w:t>
            </w:r>
            <w:r>
              <w:rPr>
                <w:sz w:val="20"/>
              </w:rPr>
              <w:t>。</w:t>
            </w:r>
          </w:p>
          <w:p>
            <w:pPr>
              <w:jc w:val="both"/>
            </w:pPr>
            <w:r>
              <w:rPr>
                <w:sz w:val="20"/>
              </w:rPr>
              <w:t>2、</w:t>
            </w:r>
            <w:r>
              <w:rPr>
                <w:sz w:val="20"/>
              </w:rPr>
              <w:t>服务</w:t>
            </w:r>
            <w:r>
              <w:rPr>
                <w:sz w:val="20"/>
              </w:rPr>
              <w:t>：（</w:t>
            </w:r>
            <w:r>
              <w:rPr>
                <w:sz w:val="20"/>
              </w:rPr>
              <w:t>1）</w:t>
            </w:r>
            <w:r>
              <w:rPr>
                <w:sz w:val="20"/>
              </w:rPr>
              <w:t>提供不少于三年</w:t>
            </w:r>
            <w:r>
              <w:rPr>
                <w:sz w:val="20"/>
              </w:rPr>
              <w:t>7*24小时的售后服务承诺；</w:t>
            </w:r>
            <w:r>
              <w:rPr>
                <w:sz w:val="20"/>
              </w:rPr>
              <w:t>（</w:t>
            </w:r>
            <w:r>
              <w:rPr>
                <w:sz w:val="20"/>
              </w:rPr>
              <w:t>2）</w:t>
            </w:r>
            <w:r>
              <w:rPr>
                <w:sz w:val="20"/>
              </w:rPr>
              <w:t>提供三年原厂保修及原厂</w:t>
            </w:r>
            <w:r>
              <w:rPr>
                <w:color w:val="000000"/>
                <w:sz w:val="20"/>
              </w:rPr>
              <w:t>无条件</w:t>
            </w:r>
            <w:r>
              <w:rPr>
                <w:sz w:val="20"/>
              </w:rPr>
              <w:t>现场服务，安装由原厂工程师完成实施；</w:t>
            </w:r>
            <w:r>
              <w:rPr>
                <w:sz w:val="20"/>
              </w:rPr>
              <w:t>（</w:t>
            </w:r>
            <w:r>
              <w:rPr>
                <w:sz w:val="20"/>
              </w:rPr>
              <w:t>3）</w:t>
            </w:r>
            <w:r>
              <w:rPr>
                <w:sz w:val="20"/>
              </w:rPr>
              <w:t>提供对网管软件的</w:t>
            </w:r>
            <w:r>
              <w:rPr>
                <w:color w:val="000000"/>
                <w:sz w:val="20"/>
              </w:rPr>
              <w:t>无条件</w:t>
            </w:r>
            <w:r>
              <w:rPr>
                <w:sz w:val="20"/>
              </w:rPr>
              <w:t>升级服务，保证系统软件为最新版本；</w:t>
            </w:r>
            <w:r>
              <w:rPr>
                <w:sz w:val="20"/>
              </w:rPr>
              <w:t>（</w:t>
            </w:r>
            <w:r>
              <w:rPr>
                <w:sz w:val="20"/>
              </w:rPr>
              <w:t>4）</w:t>
            </w:r>
            <w:r>
              <w:rPr>
                <w:sz w:val="20"/>
              </w:rPr>
              <w:t>提供针对本项目的原厂工程师培训服务。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数据库一体机系统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0"/>
              </w:rPr>
              <w:t>总体介绍</w:t>
            </w:r>
          </w:p>
          <w:p>
            <w:pPr>
              <w:jc w:val="both"/>
            </w:pPr>
            <w:r>
              <w:rPr>
                <w:sz w:val="20"/>
              </w:rPr>
              <w:t>1、</w:t>
            </w:r>
            <w:r>
              <w:rPr>
                <w:sz w:val="20"/>
              </w:rPr>
              <w:t>★本项目需要将学校在用教务系统、学工系统、科研管理系统、一卡通管理系统、数据共享中心及网上办事大厅等使用的重要数据库完整迁移到本项目建设的数据库软硬件设备中，同时根据学校业务系统情况提供灾备建设架构、数据的备份环境与配置、备份恢复方案、灾备架构稳定性配置、灾备框架下数据同步、灾备架构的维护，实现两校区异地灾备功能。上述业务系统目前使用的数据库平台是Oracle 11.2.04、Oracle 12c版本，</w:t>
            </w:r>
            <w:r>
              <w:rPr>
                <w:sz w:val="20"/>
              </w:rPr>
              <w:t>中标人</w:t>
            </w:r>
            <w:r>
              <w:rPr>
                <w:sz w:val="20"/>
              </w:rPr>
              <w:t>须完成上述系统所用</w:t>
            </w:r>
            <w:r>
              <w:rPr>
                <w:sz w:val="20"/>
              </w:rPr>
              <w:t>Oracle数据库的数据迁移及优化。</w:t>
            </w:r>
          </w:p>
          <w:p>
            <w:pPr>
              <w:jc w:val="both"/>
            </w:pPr>
            <w:r>
              <w:rPr>
                <w:sz w:val="20"/>
              </w:rPr>
              <w:t>2、</w:t>
            </w:r>
            <w:r>
              <w:rPr>
                <w:sz w:val="20"/>
              </w:rPr>
              <w:t>每套数据库设备硬件包含</w:t>
            </w:r>
            <w:r>
              <w:rPr>
                <w:sz w:val="20"/>
              </w:rPr>
              <w:t>2个机架式服务设备节点与1个存储设备，其中每个存储设备至少包含6个≥7.68TB 的SSD（合计每个设备≥46TB裸容量）。该硬件</w:t>
            </w:r>
            <w:r>
              <w:rPr>
                <w:sz w:val="20"/>
              </w:rPr>
              <w:t>需</w:t>
            </w:r>
            <w:r>
              <w:rPr>
                <w:sz w:val="20"/>
              </w:rPr>
              <w:t>满足关键任务需求，支持热插拔组件以及冗余电源和冷却。</w:t>
            </w:r>
          </w:p>
          <w:p>
            <w:pPr>
              <w:jc w:val="both"/>
            </w:pPr>
            <w:r>
              <w:rPr>
                <w:sz w:val="20"/>
              </w:rPr>
              <w:t>3、要求</w:t>
            </w:r>
            <w:r>
              <w:rPr>
                <w:sz w:val="20"/>
              </w:rPr>
              <w:t>数据库设备软件、服务设备、存储和网络针对采用的数据库和应用进行统一设计和优化。</w:t>
            </w:r>
          </w:p>
          <w:p>
            <w:pPr>
              <w:jc w:val="both"/>
            </w:pPr>
            <w:r>
              <w:rPr>
                <w:sz w:val="20"/>
              </w:rPr>
              <w:t>4、</w:t>
            </w:r>
            <w:r>
              <w:rPr>
                <w:sz w:val="20"/>
              </w:rPr>
              <w:t>数据库软硬件设备为高可用架构，数据库、存储、网络、电源等全冗余，无单点故障风险。针对任意一个节点宕机提出详细、合理的解决方案，从技术上说明如何保证单个节点宕机不影响整体系统运行，并提供产品</w:t>
            </w:r>
            <w:r>
              <w:rPr>
                <w:sz w:val="20"/>
              </w:rPr>
              <w:t>相关</w:t>
            </w:r>
            <w:r>
              <w:rPr>
                <w:sz w:val="20"/>
              </w:rPr>
              <w:t>说明。</w:t>
            </w:r>
          </w:p>
        </w:tc>
      </w:tr>
      <w:tr>
        <w:tc>
          <w:tcPr>
            <w:tcW w:type="dxa" w:w="2076"/>
          </w:tcPr>
          <w:p/>
        </w:tc>
        <w:tc>
          <w:tcPr>
            <w:tcW w:type="dxa" w:w="415"/>
          </w:tcPr>
          <w:p>
            <w:r>
              <w:rPr/>
              <w:t>2</w:t>
            </w:r>
          </w:p>
        </w:tc>
        <w:tc>
          <w:tcPr>
            <w:tcW w:type="dxa" w:w="5814"/>
          </w:tcPr>
          <w:p>
            <w:pPr>
              <w:jc w:val="both"/>
            </w:pPr>
            <w:r>
              <w:rPr>
                <w:b/>
                <w:color w:val="000000"/>
                <w:sz w:val="20"/>
              </w:rPr>
              <w:t>总体要求</w:t>
            </w:r>
          </w:p>
          <w:p>
            <w:pPr>
              <w:jc w:val="both"/>
            </w:pPr>
            <w:r>
              <w:rPr>
                <w:sz w:val="20"/>
              </w:rPr>
              <w:t>1、</w:t>
            </w:r>
            <w:r>
              <w:rPr>
                <w:sz w:val="20"/>
              </w:rPr>
              <w:t>需要提供数据库厂商对硬件设备数据库完整支持的验证，</w:t>
            </w:r>
            <w:r>
              <w:rPr>
                <w:sz w:val="20"/>
              </w:rPr>
              <w:t>应</w:t>
            </w:r>
            <w:r>
              <w:rPr>
                <w:sz w:val="20"/>
              </w:rPr>
              <w:t>满足学校现在用业务系统的数据库性能和功能要求。</w:t>
            </w:r>
            <w:r>
              <w:rPr>
                <w:sz w:val="20"/>
              </w:rPr>
              <w:t>投标人在投标文件中作出相关说明并承诺</w:t>
            </w:r>
            <w:r>
              <w:rPr>
                <w:sz w:val="20"/>
              </w:rPr>
              <w:t>在供货时提供投标设备制造商官方关于支持投标数据库系统最新稳定版本的产品白皮书关键页截图证明。</w:t>
            </w:r>
          </w:p>
          <w:p>
            <w:pPr>
              <w:jc w:val="both"/>
            </w:pPr>
            <w:r>
              <w:rPr>
                <w:sz w:val="20"/>
              </w:rPr>
              <w:t>目前学校业务系统主要包括教学、科研、办公、资源管理等</w:t>
            </w:r>
            <w:r>
              <w:rPr>
                <w:sz w:val="20"/>
              </w:rPr>
              <w:t>20多个系统，目前近2万师生用户，上网终端4万个左右。数据库必须保证7*24小时不间断使用，达到99.99%高可用指标。</w:t>
            </w:r>
          </w:p>
          <w:p>
            <w:pPr>
              <w:jc w:val="both"/>
            </w:pPr>
            <w:r>
              <w:rPr>
                <w:sz w:val="20"/>
              </w:rPr>
              <w:t>目前学校核心数据资产</w:t>
            </w:r>
            <w:r>
              <w:rPr>
                <w:sz w:val="20"/>
              </w:rPr>
              <w:t>9个oracle数据库，教务系统、学工系统、人事系统、财务系统、研究生系统、一卡通系统、资产管理系统、办公系统、图书馆系统、学习平台采用oracle，水电系统、科研系统采用MS SQL，健康打卡系统等采用MySQL。</w:t>
            </w:r>
          </w:p>
          <w:p>
            <w:pPr>
              <w:jc w:val="both"/>
            </w:pPr>
            <w:r>
              <w:rPr>
                <w:sz w:val="20"/>
              </w:rPr>
              <w:t>2、</w:t>
            </w:r>
            <w:r>
              <w:rPr>
                <w:sz w:val="20"/>
              </w:rPr>
              <w:t>★提供定期安装投标数据库正版官方最新补丁包及升级数据库软件版本服务。</w:t>
            </w:r>
          </w:p>
          <w:p>
            <w:pPr>
              <w:jc w:val="both"/>
            </w:pPr>
            <w:r>
              <w:rPr>
                <w:sz w:val="20"/>
              </w:rPr>
              <w:t>3、</w:t>
            </w:r>
            <w:r>
              <w:rPr>
                <w:sz w:val="20"/>
              </w:rPr>
              <w:t>电源线</w:t>
            </w:r>
            <w:r>
              <w:rPr>
                <w:sz w:val="20"/>
              </w:rPr>
              <w:t>≥2根（长度</w:t>
            </w:r>
            <w:r>
              <w:rPr>
                <w:sz w:val="20"/>
              </w:rPr>
              <w:t>根据</w:t>
            </w:r>
            <w:r>
              <w:rPr>
                <w:sz w:val="20"/>
              </w:rPr>
              <w:t>实际需求定制），全冗余电源和风扇，无单点故障。</w:t>
            </w:r>
          </w:p>
          <w:p>
            <w:pPr>
              <w:jc w:val="both"/>
            </w:pPr>
            <w:r>
              <w:rPr>
                <w:sz w:val="20"/>
              </w:rPr>
              <w:t>4、</w:t>
            </w:r>
            <w:r>
              <w:rPr>
                <w:sz w:val="20"/>
              </w:rPr>
              <w:t>数据库服务器设备需要支持完全的可靠性要求，即任何的硬件或者软件故障</w:t>
            </w:r>
            <w:r>
              <w:rPr>
                <w:sz w:val="20"/>
              </w:rPr>
              <w:t>,均不会造成数据库的停机(不允许存在任何单点故障)。</w:t>
            </w:r>
          </w:p>
          <w:p>
            <w:pPr>
              <w:jc w:val="both"/>
            </w:pPr>
            <w:r>
              <w:rPr>
                <w:sz w:val="20"/>
              </w:rPr>
              <w:t>5、中标人应</w:t>
            </w:r>
            <w:r>
              <w:rPr>
                <w:sz w:val="20"/>
              </w:rPr>
              <w:t>负责不同时期采购数据库软硬件设备的部署，包括生产数据库，备份数据库作为双活灾备数据库整合的软硬件部署，使备份数据库保持与生产数据库在事务上一致的副本，当生产数据库停用时，可自动实时切换。</w:t>
            </w:r>
          </w:p>
        </w:tc>
      </w:tr>
      <w:tr>
        <w:tc>
          <w:tcPr>
            <w:tcW w:type="dxa" w:w="2076"/>
          </w:tcPr>
          <w:p/>
        </w:tc>
        <w:tc>
          <w:tcPr>
            <w:tcW w:type="dxa" w:w="415"/>
          </w:tcPr>
          <w:p>
            <w:r>
              <w:rPr/>
              <w:t>3</w:t>
            </w:r>
          </w:p>
        </w:tc>
        <w:tc>
          <w:tcPr>
            <w:tcW w:type="dxa" w:w="5814"/>
          </w:tcPr>
          <w:p>
            <w:pPr>
              <w:jc w:val="both"/>
            </w:pPr>
            <w:r>
              <w:rPr>
                <w:b/>
                <w:color w:val="000000"/>
                <w:sz w:val="20"/>
              </w:rPr>
              <w:t>数</w:t>
            </w:r>
            <w:r>
              <w:rPr>
                <w:b/>
                <w:sz w:val="20"/>
              </w:rPr>
              <w:t>据库服务设备</w:t>
            </w:r>
          </w:p>
          <w:p>
            <w:pPr>
              <w:jc w:val="both"/>
            </w:pPr>
            <w:r>
              <w:rPr>
                <w:sz w:val="20"/>
              </w:rPr>
              <w:t>1、</w:t>
            </w:r>
            <w:r>
              <w:rPr>
                <w:sz w:val="20"/>
              </w:rPr>
              <w:t>EPIC</w:t>
            </w:r>
            <w:r>
              <w:rPr>
                <w:sz w:val="20"/>
              </w:rPr>
              <w:t>、</w:t>
            </w:r>
            <w:r>
              <w:rPr>
                <w:sz w:val="20"/>
              </w:rPr>
              <w:t>RISC或CISC架构，数据库主机配置≥2台机架式服务设备节点；非刀片式服务设备。</w:t>
            </w:r>
          </w:p>
          <w:p>
            <w:pPr>
              <w:jc w:val="both"/>
            </w:pPr>
            <w:r>
              <w:rPr>
                <w:sz w:val="20"/>
              </w:rPr>
              <w:t>2、</w:t>
            </w:r>
            <w:r>
              <w:rPr>
                <w:sz w:val="20"/>
              </w:rPr>
              <w:t>每台服务设备节点配置处理器</w:t>
            </w:r>
            <w:r>
              <w:rPr>
                <w:sz w:val="20"/>
              </w:rPr>
              <w:t>≥2个16核64位CPU；CPU主频≥2.3GHz。</w:t>
            </w:r>
          </w:p>
          <w:p>
            <w:pPr>
              <w:jc w:val="both"/>
            </w:pPr>
            <w:r>
              <w:rPr>
                <w:sz w:val="20"/>
              </w:rPr>
              <w:t>3、</w:t>
            </w:r>
            <w:r>
              <w:rPr>
                <w:sz w:val="20"/>
              </w:rPr>
              <w:t>每台服务设备节点内存</w:t>
            </w:r>
            <w:r>
              <w:rPr>
                <w:sz w:val="20"/>
              </w:rPr>
              <w:t>≥384GB，单条内存容量≥32GB，每台服务设备节点可配置最大内存≥768GB。</w:t>
            </w:r>
          </w:p>
          <w:p>
            <w:pPr>
              <w:jc w:val="both"/>
            </w:pPr>
            <w:r>
              <w:rPr>
                <w:sz w:val="20"/>
              </w:rPr>
              <w:t>4、</w:t>
            </w:r>
            <w:r>
              <w:rPr>
                <w:sz w:val="20"/>
              </w:rPr>
              <w:t>每台服务设备需具备</w:t>
            </w:r>
            <w:r>
              <w:rPr>
                <w:sz w:val="20"/>
              </w:rPr>
              <w:t>≥4个端口10GbE网络适配器(RJ45)或≥2个端口10/25 GbE网络适配器(SFP28)用于业务访问。</w:t>
            </w:r>
          </w:p>
          <w:p>
            <w:pPr>
              <w:jc w:val="both"/>
            </w:pPr>
            <w:r>
              <w:rPr>
                <w:sz w:val="20"/>
              </w:rPr>
              <w:t>5、</w:t>
            </w:r>
            <w:r>
              <w:rPr>
                <w:sz w:val="20"/>
              </w:rPr>
              <w:t>每台服务设备</w:t>
            </w:r>
            <w:r>
              <w:rPr>
                <w:sz w:val="20"/>
              </w:rPr>
              <w:t>≥2个25 GbE端口(SFP28)用于集群心跳网络。</w:t>
            </w:r>
          </w:p>
          <w:p>
            <w:pPr>
              <w:jc w:val="both"/>
            </w:pPr>
            <w:r>
              <w:rPr>
                <w:sz w:val="20"/>
              </w:rPr>
              <w:t>6、</w:t>
            </w:r>
            <w:r>
              <w:rPr>
                <w:sz w:val="20"/>
              </w:rPr>
              <w:t>每台服务设备均配置双端口内部</w:t>
            </w:r>
            <w:r>
              <w:rPr>
                <w:sz w:val="20"/>
              </w:rPr>
              <w:t>12Gb/s SAS HBA，用于服务设备与存储直接连接。</w:t>
            </w:r>
          </w:p>
          <w:p>
            <w:pPr>
              <w:jc w:val="both"/>
            </w:pPr>
            <w:r>
              <w:rPr>
                <w:sz w:val="20"/>
              </w:rPr>
              <w:t>7、</w:t>
            </w:r>
            <w:r>
              <w:rPr>
                <w:sz w:val="20"/>
              </w:rPr>
              <w:t>每台服务设备节点配置</w:t>
            </w:r>
            <w:r>
              <w:rPr>
                <w:sz w:val="20"/>
              </w:rPr>
              <w:t>2个不少于240GB SATA SSD（镜像）用于安装操作系统。</w:t>
            </w:r>
          </w:p>
          <w:p>
            <w:pPr>
              <w:jc w:val="both"/>
            </w:pPr>
            <w:r>
              <w:rPr>
                <w:sz w:val="20"/>
              </w:rPr>
              <w:t>8、</w:t>
            </w:r>
            <w:r>
              <w:rPr>
                <w:sz w:val="20"/>
              </w:rPr>
              <w:t>每台服务设备节点配置</w:t>
            </w:r>
            <w:r>
              <w:rPr>
                <w:sz w:val="20"/>
              </w:rPr>
              <w:t>25Gbps带宽SFP28光模块≥2块（配SFP28光口），或者每台服务设备节点配置≥2*10 Gbps的电口模块（配电口）。</w:t>
            </w:r>
          </w:p>
          <w:p>
            <w:pPr>
              <w:jc w:val="both"/>
            </w:pPr>
            <w:r>
              <w:rPr>
                <w:sz w:val="20"/>
              </w:rPr>
              <w:t>9、</w:t>
            </w:r>
            <w:r>
              <w:rPr>
                <w:sz w:val="20"/>
              </w:rPr>
              <w:t>该系统</w:t>
            </w:r>
            <w:r>
              <w:rPr>
                <w:sz w:val="20"/>
              </w:rPr>
              <w:t>应</w:t>
            </w:r>
            <w:r>
              <w:rPr>
                <w:sz w:val="20"/>
              </w:rPr>
              <w:t>以数据库的容量变化进行动态的性能调优来解决数据库增大时的性能问题。</w:t>
            </w:r>
          </w:p>
          <w:p>
            <w:pPr>
              <w:jc w:val="both"/>
            </w:pPr>
            <w:r>
              <w:rPr>
                <w:sz w:val="20"/>
              </w:rPr>
              <w:t>10、</w:t>
            </w:r>
            <w:r>
              <w:rPr>
                <w:sz w:val="20"/>
              </w:rPr>
              <w:t>数据库实现双机并行访问，应用分区支持自动在两个计算节点间切换。</w:t>
            </w:r>
          </w:p>
        </w:tc>
      </w:tr>
      <w:tr>
        <w:tc>
          <w:tcPr>
            <w:tcW w:type="dxa" w:w="2076"/>
          </w:tcPr>
          <w:p/>
        </w:tc>
        <w:tc>
          <w:tcPr>
            <w:tcW w:type="dxa" w:w="415"/>
          </w:tcPr>
          <w:p>
            <w:r>
              <w:rPr/>
              <w:t>4</w:t>
            </w:r>
          </w:p>
        </w:tc>
        <w:tc>
          <w:tcPr>
            <w:tcW w:type="dxa" w:w="5814"/>
          </w:tcPr>
          <w:p>
            <w:pPr>
              <w:jc w:val="both"/>
            </w:pPr>
            <w:r>
              <w:rPr>
                <w:b/>
                <w:color w:val="000000"/>
                <w:sz w:val="20"/>
              </w:rPr>
              <w:t>存储系统</w:t>
            </w:r>
          </w:p>
          <w:p>
            <w:pPr>
              <w:jc w:val="both"/>
            </w:pPr>
            <w:r>
              <w:rPr>
                <w:color w:val="000000"/>
                <w:sz w:val="20"/>
              </w:rPr>
              <w:t>1、</w:t>
            </w:r>
            <w:r>
              <w:rPr>
                <w:color w:val="000000"/>
                <w:sz w:val="20"/>
              </w:rPr>
              <w:t>▲每个设备实配裸存储空间≥46TB SAS SSD，单SSD容量≥7.68TB。设备最小可配置裸存储空间≥360TB SAS SSD。</w:t>
            </w:r>
          </w:p>
          <w:p>
            <w:pPr>
              <w:jc w:val="both"/>
            </w:pPr>
            <w:r>
              <w:rPr>
                <w:color w:val="000000"/>
                <w:sz w:val="20"/>
              </w:rPr>
              <w:t>2、</w:t>
            </w:r>
            <w:r>
              <w:rPr>
                <w:color w:val="000000"/>
                <w:sz w:val="20"/>
              </w:rPr>
              <w:t>前端主机</w:t>
            </w:r>
            <w:r>
              <w:rPr>
                <w:color w:val="000000"/>
                <w:sz w:val="20"/>
              </w:rPr>
              <w:t>I/O接口数≥4个SAS-3口或≥4个SAN 32GB口（并配置两台SAN交换机）。</w:t>
            </w:r>
          </w:p>
          <w:p>
            <w:pPr>
              <w:jc w:val="both"/>
            </w:pPr>
            <w:r>
              <w:rPr>
                <w:color w:val="000000"/>
                <w:sz w:val="20"/>
              </w:rPr>
              <w:t>3、</w:t>
            </w:r>
            <w:r>
              <w:rPr>
                <w:color w:val="000000"/>
                <w:sz w:val="20"/>
              </w:rPr>
              <w:t>支持第二个存储盘柜用以扩展存储空间。</w:t>
            </w:r>
          </w:p>
          <w:p>
            <w:pPr>
              <w:jc w:val="both"/>
            </w:pPr>
            <w:r>
              <w:rPr>
                <w:color w:val="000000"/>
                <w:sz w:val="20"/>
              </w:rPr>
              <w:t>4、</w:t>
            </w:r>
            <w:r>
              <w:rPr>
                <w:color w:val="000000"/>
                <w:sz w:val="20"/>
              </w:rPr>
              <w:t>管理存储软件要求：内置存储管理软件；支持根据数据库</w:t>
            </w:r>
            <w:r>
              <w:rPr>
                <w:color w:val="000000"/>
                <w:sz w:val="20"/>
              </w:rPr>
              <w:t>IO类型分级存储管理；支持热点数据自动缓存，支持高容量和低容量SSD盘，支持混插两种盘；支持数据镜像，能实现二倍或三倍数据镜像。</w:t>
            </w:r>
          </w:p>
          <w:p>
            <w:pPr>
              <w:jc w:val="both"/>
            </w:pPr>
            <w:r>
              <w:rPr>
                <w:color w:val="000000"/>
                <w:sz w:val="20"/>
              </w:rPr>
              <w:t>5、</w:t>
            </w:r>
            <w:r>
              <w:rPr>
                <w:color w:val="000000"/>
                <w:sz w:val="20"/>
              </w:rPr>
              <w:t>▲操作系统许可：所有计算节点均配置，各版本64位或32位 Linux 或Unix操作系统，正版操作系统授权无限用户数。</w:t>
            </w:r>
          </w:p>
        </w:tc>
      </w:tr>
      <w:tr>
        <w:tc>
          <w:tcPr>
            <w:tcW w:type="dxa" w:w="2076"/>
          </w:tcPr>
          <w:p/>
        </w:tc>
        <w:tc>
          <w:tcPr>
            <w:tcW w:type="dxa" w:w="415"/>
          </w:tcPr>
          <w:p>
            <w:r>
              <w:rPr/>
              <w:t>5</w:t>
            </w:r>
          </w:p>
        </w:tc>
        <w:tc>
          <w:tcPr>
            <w:tcW w:type="dxa" w:w="5814"/>
          </w:tcPr>
          <w:p>
            <w:pPr>
              <w:jc w:val="both"/>
            </w:pPr>
            <w:r>
              <w:rPr>
                <w:b/>
                <w:color w:val="000000"/>
                <w:sz w:val="20"/>
              </w:rPr>
              <w:t>虚拟化软件要求</w:t>
            </w:r>
          </w:p>
          <w:p>
            <w:pPr>
              <w:jc w:val="both"/>
            </w:pPr>
            <w:r>
              <w:rPr>
                <w:color w:val="000000"/>
                <w:sz w:val="20"/>
              </w:rPr>
              <w:t>1、</w:t>
            </w:r>
            <w:r>
              <w:rPr>
                <w:color w:val="000000"/>
                <w:sz w:val="20"/>
              </w:rPr>
              <w:t>虚拟化软件许可：随主机配置正版的虚拟化软件，企业版，至少支持</w:t>
            </w:r>
            <w:r>
              <w:rPr>
                <w:color w:val="000000"/>
                <w:sz w:val="20"/>
              </w:rPr>
              <w:t>40CPU核，CPU资源动态调整，内存资源动态调整，虚拟机自动高可用，支持VM快照。</w:t>
            </w:r>
          </w:p>
          <w:p>
            <w:pPr>
              <w:jc w:val="both"/>
            </w:pPr>
            <w:r>
              <w:rPr>
                <w:color w:val="000000"/>
                <w:sz w:val="20"/>
              </w:rPr>
              <w:t>2、</w:t>
            </w:r>
            <w:r>
              <w:rPr>
                <w:color w:val="000000"/>
                <w:sz w:val="20"/>
              </w:rPr>
              <w:t>许可及授权：需带虚拟化企业版软件授权。</w:t>
            </w:r>
          </w:p>
          <w:p>
            <w:pPr>
              <w:jc w:val="both"/>
            </w:pPr>
            <w:r>
              <w:rPr>
                <w:color w:val="000000"/>
                <w:sz w:val="20"/>
              </w:rPr>
              <w:t>3、</w:t>
            </w:r>
            <w:r>
              <w:rPr>
                <w:color w:val="000000"/>
                <w:sz w:val="20"/>
              </w:rPr>
              <w:t>对设备预装正版虚拟化企业版软件，在供货验收时提供官方的白皮书文件或彩页文件关键页截图证明。</w:t>
            </w:r>
          </w:p>
          <w:p>
            <w:pPr>
              <w:jc w:val="both"/>
            </w:pPr>
            <w:r>
              <w:rPr>
                <w:color w:val="000000"/>
                <w:sz w:val="20"/>
              </w:rPr>
              <w:t>4、</w:t>
            </w:r>
            <w:r>
              <w:rPr>
                <w:color w:val="000000"/>
                <w:sz w:val="20"/>
              </w:rPr>
              <w:t>▲提供正版虚拟化软件服务的承诺。</w:t>
            </w:r>
          </w:p>
          <w:p>
            <w:pPr>
              <w:jc w:val="both"/>
            </w:pPr>
            <w:r>
              <w:rPr>
                <w:color w:val="000000"/>
                <w:sz w:val="20"/>
              </w:rPr>
              <w:t>5、</w:t>
            </w:r>
            <w:r>
              <w:rPr>
                <w:color w:val="000000"/>
                <w:sz w:val="20"/>
              </w:rPr>
              <w:t>虚机支持的操作系统包括：</w:t>
            </w:r>
            <w:r>
              <w:rPr>
                <w:color w:val="000000"/>
                <w:sz w:val="20"/>
              </w:rPr>
              <w:t>64位或32位Linux 或Unix各版本操作系统和各版本Windows操作系统。</w:t>
            </w:r>
          </w:p>
        </w:tc>
      </w:tr>
      <w:tr>
        <w:tc>
          <w:tcPr>
            <w:tcW w:type="dxa" w:w="2076"/>
          </w:tcPr>
          <w:p/>
        </w:tc>
        <w:tc>
          <w:tcPr>
            <w:tcW w:type="dxa" w:w="415"/>
          </w:tcPr>
          <w:p>
            <w:r>
              <w:rPr/>
              <w:t>6</w:t>
            </w:r>
          </w:p>
        </w:tc>
        <w:tc>
          <w:tcPr>
            <w:tcW w:type="dxa" w:w="5814"/>
          </w:tcPr>
          <w:p>
            <w:pPr>
              <w:jc w:val="both"/>
            </w:pPr>
            <w:r>
              <w:rPr>
                <w:b/>
                <w:color w:val="000000"/>
                <w:sz w:val="20"/>
              </w:rPr>
              <w:t>弹性管理软件要求</w:t>
            </w:r>
          </w:p>
          <w:p>
            <w:pPr>
              <w:jc w:val="both"/>
            </w:pPr>
            <w:r>
              <w:rPr>
                <w:color w:val="000000"/>
                <w:sz w:val="20"/>
              </w:rPr>
              <w:t>1、</w:t>
            </w:r>
            <w:r>
              <w:rPr>
                <w:color w:val="000000"/>
                <w:sz w:val="20"/>
              </w:rPr>
              <w:t>集群和数据库生命周期管理：提供一键式完整数据库业务系统快速安装和部署</w:t>
            </w:r>
            <w:r>
              <w:rPr>
                <w:color w:val="000000"/>
                <w:sz w:val="20"/>
              </w:rPr>
              <w:t>(包括操作系统、数据库、集群、存储、网络)；提供一键式完整数据库业务系统诊断和调优(包括操作系统、数据库、集群、存储、网络)，一键式完整数据库业务系统升级，一键式操作系统恢复。</w:t>
            </w:r>
          </w:p>
          <w:p>
            <w:pPr>
              <w:jc w:val="both"/>
            </w:pPr>
            <w:r>
              <w:rPr>
                <w:color w:val="000000"/>
                <w:sz w:val="20"/>
              </w:rPr>
              <w:t>2、</w:t>
            </w:r>
            <w:r>
              <w:rPr>
                <w:color w:val="000000"/>
                <w:sz w:val="20"/>
              </w:rPr>
              <w:t>配置远程管理模块，支持</w:t>
            </w:r>
            <w:r>
              <w:rPr>
                <w:color w:val="000000"/>
                <w:sz w:val="20"/>
              </w:rPr>
              <w:t>RKVM，支持远程监控、操作图形界面,可实现与操作系统无关的远程对服务设备控制，包括远程的开关机、重启、更新Firmware, 远程安装操作系统等。</w:t>
            </w:r>
          </w:p>
          <w:p>
            <w:pPr>
              <w:jc w:val="both"/>
            </w:pPr>
            <w:r>
              <w:rPr>
                <w:color w:val="000000"/>
                <w:sz w:val="20"/>
              </w:rPr>
              <w:t>3、</w:t>
            </w:r>
            <w:r>
              <w:rPr>
                <w:color w:val="000000"/>
                <w:sz w:val="20"/>
              </w:rPr>
              <w:t>配置图形化存储管理软件，统一对资源进行管理，可根据需要具有性能监测、分析等功能；可通过服务设备管理接口对服务设备、存储、交换机进行管理和监视</w:t>
            </w:r>
            <w:r>
              <w:rPr>
                <w:color w:val="000000"/>
                <w:sz w:val="20"/>
              </w:rPr>
              <w:t>,支持自动重启、风扇监视和控制、电源监控、温度监控、启动/关闭、按序重启、错误日志等；对CPU、内存、硬盘驱动器、电源及风扇等关键部分的潜在的故障具有提前预警能力。</w:t>
            </w:r>
          </w:p>
          <w:p>
            <w:pPr>
              <w:jc w:val="both"/>
            </w:pPr>
            <w:r>
              <w:rPr>
                <w:color w:val="000000"/>
                <w:sz w:val="20"/>
              </w:rPr>
              <w:t>4、</w:t>
            </w:r>
            <w:r>
              <w:rPr>
                <w:color w:val="000000"/>
                <w:sz w:val="20"/>
              </w:rPr>
              <w:t>数据库管理服务设备（或虚拟机）配置管理软件，集成数据库备份和恢复功能，用户可通过浏览器用户界面选择是备份至本机或备份至外部存储，能跟踪系统和数据库信息，并在浏览器用户界面中显示这些信息，内置的诊断功能可持续监视数据库机，并有相关的监控预警机制。</w:t>
            </w:r>
          </w:p>
          <w:p>
            <w:pPr>
              <w:jc w:val="both"/>
            </w:pPr>
            <w:r>
              <w:rPr>
                <w:color w:val="000000"/>
                <w:sz w:val="20"/>
              </w:rPr>
              <w:t>5、</w:t>
            </w:r>
            <w:r>
              <w:rPr>
                <w:color w:val="000000"/>
                <w:sz w:val="20"/>
              </w:rPr>
              <w:t>管理软件提供基于</w:t>
            </w:r>
            <w:r>
              <w:rPr>
                <w:color w:val="000000"/>
                <w:sz w:val="20"/>
              </w:rPr>
              <w:t>Web的GUI远程管理、基于移动终端设备实时监控管理。</w:t>
            </w:r>
          </w:p>
        </w:tc>
      </w:tr>
      <w:tr>
        <w:tc>
          <w:tcPr>
            <w:tcW w:type="dxa" w:w="2076"/>
          </w:tcPr>
          <w:p/>
        </w:tc>
        <w:tc>
          <w:tcPr>
            <w:tcW w:type="dxa" w:w="415"/>
          </w:tcPr>
          <w:p>
            <w:r>
              <w:rPr/>
              <w:t>7</w:t>
            </w:r>
          </w:p>
        </w:tc>
        <w:tc>
          <w:tcPr>
            <w:tcW w:type="dxa" w:w="5814"/>
          </w:tcPr>
          <w:p>
            <w:pPr>
              <w:jc w:val="both"/>
            </w:pPr>
            <w:r>
              <w:rPr>
                <w:b/>
                <w:color w:val="000000"/>
                <w:sz w:val="20"/>
              </w:rPr>
              <w:t>实施要求</w:t>
            </w:r>
          </w:p>
          <w:p>
            <w:pPr>
              <w:jc w:val="both"/>
            </w:pPr>
            <w:r>
              <w:rPr>
                <w:color w:val="000000"/>
                <w:sz w:val="20"/>
              </w:rPr>
              <w:t>中标人在货物进场前需组织现场勘查，按实际场地条件提供实施方案，经采购人签字盖章确认后方可实施安装。</w:t>
            </w:r>
          </w:p>
        </w:tc>
      </w:tr>
      <w:tr>
        <w:tc>
          <w:tcPr>
            <w:tcW w:type="dxa" w:w="2076"/>
          </w:tcPr>
          <w:p/>
        </w:tc>
        <w:tc>
          <w:tcPr>
            <w:tcW w:type="dxa" w:w="415"/>
          </w:tcPr>
          <w:p>
            <w:r>
              <w:rPr/>
              <w:t>8</w:t>
            </w:r>
          </w:p>
        </w:tc>
        <w:tc>
          <w:tcPr>
            <w:tcW w:type="dxa" w:w="5814"/>
          </w:tcPr>
          <w:p>
            <w:pPr>
              <w:jc w:val="both"/>
            </w:pPr>
            <w:r>
              <w:rPr>
                <w:b/>
                <w:color w:val="000000"/>
                <w:sz w:val="20"/>
              </w:rPr>
              <w:t>服务范围</w:t>
            </w:r>
          </w:p>
          <w:p>
            <w:pPr>
              <w:jc w:val="both"/>
            </w:pPr>
            <w:r>
              <w:rPr>
                <w:color w:val="000000"/>
                <w:sz w:val="20"/>
              </w:rPr>
              <w:t>提供数据库工程师服务，服务范围：数据库管理、巡检，数据迁移、调优，备份，故障应急，版本升级，补丁升级、数据库安全，性能优化。</w:t>
            </w:r>
          </w:p>
        </w:tc>
      </w:tr>
      <w:tr>
        <w:tc>
          <w:tcPr>
            <w:tcW w:type="dxa" w:w="2076"/>
          </w:tcPr>
          <w:p/>
        </w:tc>
        <w:tc>
          <w:tcPr>
            <w:tcW w:type="dxa" w:w="415"/>
          </w:tcPr>
          <w:p>
            <w:r>
              <w:rPr/>
              <w:t>9</w:t>
            </w:r>
          </w:p>
        </w:tc>
        <w:tc>
          <w:tcPr>
            <w:tcW w:type="dxa" w:w="5814"/>
          </w:tcPr>
          <w:p>
            <w:pPr>
              <w:jc w:val="both"/>
            </w:pPr>
            <w:r>
              <w:rPr>
                <w:b/>
                <w:color w:val="000000"/>
                <w:sz w:val="20"/>
              </w:rPr>
              <w:t>数据库管理</w:t>
            </w:r>
          </w:p>
          <w:p>
            <w:pPr>
              <w:jc w:val="both"/>
            </w:pPr>
            <w:r>
              <w:rPr>
                <w:color w:val="000000"/>
                <w:sz w:val="20"/>
              </w:rPr>
              <w:t>提供数据库核心参数调整，</w:t>
            </w:r>
            <w:r>
              <w:rPr>
                <w:color w:val="000000"/>
                <w:sz w:val="20"/>
              </w:rPr>
              <w:t>SQL语句调整，系统运行状态监控及预警，性能评估方案提供，针对数据库文件分布变化情况提出建议，以及根据应用压力变化，评测应用性能，评估系统中存在或潜在的问题，保证数据库高效运行。</w:t>
            </w:r>
          </w:p>
        </w:tc>
      </w:tr>
      <w:tr>
        <w:tc>
          <w:tcPr>
            <w:tcW w:type="dxa" w:w="2076"/>
          </w:tcPr>
          <w:p/>
        </w:tc>
        <w:tc>
          <w:tcPr>
            <w:tcW w:type="dxa" w:w="415"/>
          </w:tcPr>
          <w:p>
            <w:r>
              <w:rPr/>
              <w:t>10</w:t>
            </w:r>
          </w:p>
        </w:tc>
        <w:tc>
          <w:tcPr>
            <w:tcW w:type="dxa" w:w="5814"/>
          </w:tcPr>
          <w:p>
            <w:pPr>
              <w:jc w:val="both"/>
            </w:pPr>
            <w:r>
              <w:rPr>
                <w:b/>
                <w:color w:val="000000"/>
                <w:sz w:val="20"/>
              </w:rPr>
              <w:t>数据迁移</w:t>
            </w:r>
          </w:p>
          <w:p>
            <w:pPr>
              <w:jc w:val="both"/>
            </w:pPr>
            <w:r>
              <w:rPr>
                <w:color w:val="000000"/>
                <w:sz w:val="20"/>
              </w:rPr>
              <w:t>1、</w:t>
            </w:r>
            <w:r>
              <w:rPr>
                <w:color w:val="000000"/>
                <w:sz w:val="20"/>
              </w:rPr>
              <w:t>★</w:t>
            </w:r>
            <w:r>
              <w:rPr>
                <w:color w:val="000000"/>
                <w:sz w:val="20"/>
              </w:rPr>
              <w:t>中标人</w:t>
            </w:r>
            <w:r>
              <w:rPr>
                <w:color w:val="000000"/>
                <w:sz w:val="20"/>
              </w:rPr>
              <w:t>须完成学校在用系统所用的</w:t>
            </w:r>
            <w:r>
              <w:rPr>
                <w:color w:val="000000"/>
                <w:sz w:val="20"/>
              </w:rPr>
              <w:t>Oracle数据库的数据迁移及优化，迁移后的数据库完全兼容学校上述业务系统，保证数据安全和系统性能（实施迁移前，</w:t>
            </w:r>
            <w:r>
              <w:rPr>
                <w:color w:val="000000"/>
                <w:sz w:val="20"/>
              </w:rPr>
              <w:t>中标人</w:t>
            </w:r>
            <w:r>
              <w:rPr>
                <w:color w:val="000000"/>
                <w:sz w:val="20"/>
              </w:rPr>
              <w:t>完成以上业务系统的数据库性能指标测试，包括数据库实例负载、</w:t>
            </w:r>
            <w:r>
              <w:rPr>
                <w:color w:val="000000"/>
                <w:sz w:val="20"/>
              </w:rPr>
              <w:t>CPU情况、update/insert/delete频率、commit响应时间、每秒读写I/O操作次数、RAC性能指标等，形成测试报告给业务主管部门和项目建设单位，迁移后，</w:t>
            </w:r>
            <w:r>
              <w:rPr>
                <w:color w:val="000000"/>
                <w:sz w:val="20"/>
              </w:rPr>
              <w:t>中标人</w:t>
            </w:r>
            <w:r>
              <w:rPr>
                <w:color w:val="000000"/>
                <w:sz w:val="20"/>
              </w:rPr>
              <w:t>提交迁移优化后的数据库性能指标测试报告，方可验收。</w:t>
            </w:r>
          </w:p>
          <w:p>
            <w:pPr>
              <w:jc w:val="both"/>
            </w:pPr>
            <w:r>
              <w:rPr>
                <w:color w:val="000000"/>
                <w:sz w:val="20"/>
              </w:rPr>
              <w:t>2、</w:t>
            </w:r>
            <w:r>
              <w:rPr>
                <w:color w:val="000000"/>
                <w:sz w:val="20"/>
              </w:rPr>
              <w:t>按应用实际需求，将各应用系统数据迁移到数据库设备上</w:t>
            </w:r>
            <w:r>
              <w:rPr>
                <w:color w:val="000000"/>
                <w:sz w:val="20"/>
              </w:rPr>
              <w:t>, 确保数据安全；采用适配学校现用数据库的数据迁移工具，在校方要求的合理停机窗口内实现数据迁移。</w:t>
            </w:r>
          </w:p>
        </w:tc>
      </w:tr>
      <w:tr>
        <w:tc>
          <w:tcPr>
            <w:tcW w:type="dxa" w:w="2076"/>
          </w:tcPr>
          <w:p/>
        </w:tc>
        <w:tc>
          <w:tcPr>
            <w:tcW w:type="dxa" w:w="415"/>
          </w:tcPr>
          <w:p>
            <w:r>
              <w:rPr/>
              <w:t>11</w:t>
            </w:r>
          </w:p>
        </w:tc>
        <w:tc>
          <w:tcPr>
            <w:tcW w:type="dxa" w:w="5814"/>
          </w:tcPr>
          <w:p>
            <w:pPr>
              <w:jc w:val="both"/>
            </w:pPr>
            <w:r>
              <w:rPr>
                <w:b/>
                <w:color w:val="000000"/>
                <w:sz w:val="20"/>
              </w:rPr>
              <w:t>数据备份</w:t>
            </w:r>
          </w:p>
          <w:p>
            <w:pPr>
              <w:jc w:val="both"/>
            </w:pPr>
            <w:r>
              <w:rPr>
                <w:color w:val="000000"/>
                <w:sz w:val="20"/>
              </w:rPr>
              <w:t>数据库备份与恢复：提供数据库备份与恢复方案，指本地、异地、同步、实时的分级备份与恢复方案及实施。</w:t>
            </w:r>
          </w:p>
        </w:tc>
      </w:tr>
      <w:tr>
        <w:tc>
          <w:tcPr>
            <w:tcW w:type="dxa" w:w="2076"/>
          </w:tcPr>
          <w:p/>
        </w:tc>
        <w:tc>
          <w:tcPr>
            <w:tcW w:type="dxa" w:w="415"/>
          </w:tcPr>
          <w:p>
            <w:r>
              <w:rPr/>
              <w:t>12</w:t>
            </w:r>
          </w:p>
        </w:tc>
        <w:tc>
          <w:tcPr>
            <w:tcW w:type="dxa" w:w="5814"/>
          </w:tcPr>
          <w:p>
            <w:pPr>
              <w:jc w:val="both"/>
            </w:pPr>
            <w:r>
              <w:rPr>
                <w:b/>
                <w:color w:val="000000"/>
                <w:sz w:val="20"/>
              </w:rPr>
              <w:t>系统安全</w:t>
            </w:r>
          </w:p>
          <w:p>
            <w:pPr>
              <w:jc w:val="both"/>
            </w:pPr>
            <w:r>
              <w:rPr>
                <w:color w:val="000000"/>
                <w:sz w:val="20"/>
              </w:rPr>
              <w:t>定期安装数据库系统安全补丁包，修复系统漏洞，保证系统安全。</w:t>
            </w:r>
          </w:p>
        </w:tc>
      </w:tr>
      <w:tr>
        <w:tc>
          <w:tcPr>
            <w:tcW w:type="dxa" w:w="2076"/>
          </w:tcPr>
          <w:p/>
        </w:tc>
        <w:tc>
          <w:tcPr>
            <w:tcW w:type="dxa" w:w="415"/>
          </w:tcPr>
          <w:p>
            <w:r>
              <w:rPr/>
              <w:t>13</w:t>
            </w:r>
          </w:p>
        </w:tc>
        <w:tc>
          <w:tcPr>
            <w:tcW w:type="dxa" w:w="5814"/>
          </w:tcPr>
          <w:p>
            <w:pPr>
              <w:jc w:val="both"/>
            </w:pPr>
            <w:r>
              <w:rPr>
                <w:b/>
                <w:color w:val="000000"/>
                <w:sz w:val="20"/>
              </w:rPr>
              <w:t>数据库安全</w:t>
            </w:r>
          </w:p>
          <w:p>
            <w:pPr>
              <w:jc w:val="both"/>
            </w:pPr>
            <w:r>
              <w:rPr>
                <w:color w:val="000000"/>
                <w:sz w:val="20"/>
              </w:rPr>
              <w:t>提供数据库软件升级和补丁部署实施服务。确保数据库无中高危漏洞，数据安全可用。</w:t>
            </w:r>
          </w:p>
        </w:tc>
      </w:tr>
      <w:tr>
        <w:tc>
          <w:tcPr>
            <w:tcW w:type="dxa" w:w="2076"/>
          </w:tcPr>
          <w:p/>
        </w:tc>
        <w:tc>
          <w:tcPr>
            <w:tcW w:type="dxa" w:w="415"/>
          </w:tcPr>
          <w:p>
            <w:r>
              <w:rPr/>
              <w:t>14</w:t>
            </w:r>
          </w:p>
        </w:tc>
        <w:tc>
          <w:tcPr>
            <w:tcW w:type="dxa" w:w="5814"/>
          </w:tcPr>
          <w:p>
            <w:pPr>
              <w:jc w:val="both"/>
            </w:pPr>
            <w:r>
              <w:rPr>
                <w:b/>
                <w:color w:val="000000"/>
                <w:sz w:val="20"/>
              </w:rPr>
              <w:t>数据库容灾</w:t>
            </w:r>
          </w:p>
          <w:p>
            <w:pPr>
              <w:jc w:val="both"/>
            </w:pPr>
            <w:r>
              <w:rPr>
                <w:color w:val="000000"/>
                <w:sz w:val="20"/>
              </w:rPr>
              <w:t>采用基于数据库的复制技术，实时同步业务数据至容灾环境。</w:t>
            </w:r>
            <w:r>
              <w:rPr>
                <w:color w:val="000000"/>
                <w:sz w:val="20"/>
              </w:rPr>
              <w:t>“双活”部署，需要搭建容灾备份环境并可用。</w:t>
            </w:r>
          </w:p>
        </w:tc>
      </w:tr>
      <w:tr>
        <w:tc>
          <w:tcPr>
            <w:tcW w:type="dxa" w:w="2076"/>
          </w:tcPr>
          <w:p/>
        </w:tc>
        <w:tc>
          <w:tcPr>
            <w:tcW w:type="dxa" w:w="415"/>
          </w:tcPr>
          <w:p>
            <w:r>
              <w:rPr/>
              <w:t>15</w:t>
            </w:r>
          </w:p>
        </w:tc>
        <w:tc>
          <w:tcPr>
            <w:tcW w:type="dxa" w:w="5814"/>
          </w:tcPr>
          <w:p>
            <w:pPr>
              <w:jc w:val="both"/>
            </w:pPr>
            <w:r>
              <w:rPr>
                <w:b/>
                <w:color w:val="000000"/>
                <w:sz w:val="20"/>
              </w:rPr>
              <w:t>数据库优化</w:t>
            </w:r>
          </w:p>
          <w:p>
            <w:pPr>
              <w:jc w:val="both"/>
            </w:pPr>
            <w:r>
              <w:rPr>
                <w:color w:val="000000"/>
                <w:sz w:val="20"/>
              </w:rPr>
              <w:t>根据各业务系统数据库运行情况，定期收集性能指标，并据此调整相关参数，使各数据库运行于最佳性能状态。</w:t>
            </w:r>
          </w:p>
        </w:tc>
      </w:tr>
      <w:tr>
        <w:tc>
          <w:tcPr>
            <w:tcW w:type="dxa" w:w="2076"/>
          </w:tcPr>
          <w:p/>
        </w:tc>
        <w:tc>
          <w:tcPr>
            <w:tcW w:type="dxa" w:w="415"/>
          </w:tcPr>
          <w:p>
            <w:r>
              <w:rPr/>
              <w:t>16</w:t>
            </w:r>
          </w:p>
        </w:tc>
        <w:tc>
          <w:tcPr>
            <w:tcW w:type="dxa" w:w="5814"/>
          </w:tcPr>
          <w:p>
            <w:pPr>
              <w:jc w:val="both"/>
            </w:pPr>
            <w:r>
              <w:rPr>
                <w:b/>
                <w:color w:val="000000"/>
                <w:sz w:val="20"/>
              </w:rPr>
              <w:t>巡检服务</w:t>
            </w:r>
          </w:p>
          <w:p>
            <w:pPr>
              <w:jc w:val="both"/>
            </w:pPr>
            <w:r>
              <w:rPr>
                <w:color w:val="000000"/>
                <w:sz w:val="20"/>
              </w:rPr>
              <w:t>提供预防性巡检，并完成系统配置及补丁分发、安装服务；提供每季度数据库软硬件设备健康检查服务（含硬件</w:t>
            </w:r>
            <w:r>
              <w:rPr>
                <w:color w:val="000000"/>
                <w:sz w:val="20"/>
              </w:rPr>
              <w:t>+数据库软件），并提交巡检报告。</w:t>
            </w:r>
          </w:p>
        </w:tc>
      </w:tr>
      <w:tr>
        <w:tc>
          <w:tcPr>
            <w:tcW w:type="dxa" w:w="2076"/>
          </w:tcPr>
          <w:p/>
        </w:tc>
        <w:tc>
          <w:tcPr>
            <w:tcW w:type="dxa" w:w="415"/>
          </w:tcPr>
          <w:p>
            <w:r>
              <w:rPr/>
              <w:t>17</w:t>
            </w:r>
          </w:p>
        </w:tc>
        <w:tc>
          <w:tcPr>
            <w:tcW w:type="dxa" w:w="5814"/>
          </w:tcPr>
          <w:p>
            <w:pPr>
              <w:jc w:val="both"/>
            </w:pPr>
            <w:r>
              <w:rPr>
                <w:b/>
                <w:color w:val="000000"/>
                <w:sz w:val="20"/>
              </w:rPr>
              <w:t>驻场服务</w:t>
            </w:r>
          </w:p>
          <w:p>
            <w:pPr>
              <w:jc w:val="both"/>
            </w:pPr>
            <w:r>
              <w:rPr>
                <w:color w:val="000000"/>
                <w:sz w:val="20"/>
              </w:rPr>
              <w:t>▲实施期间提供</w:t>
            </w:r>
            <w:r>
              <w:rPr>
                <w:color w:val="000000"/>
                <w:sz w:val="20"/>
              </w:rPr>
              <w:t>累计不少于</w:t>
            </w:r>
            <w:r>
              <w:rPr>
                <w:color w:val="000000"/>
                <w:sz w:val="20"/>
              </w:rPr>
              <w:t>20个工作日（</w:t>
            </w:r>
            <w:r>
              <w:rPr>
                <w:color w:val="000000"/>
                <w:sz w:val="20"/>
              </w:rPr>
              <w:t>驻场时间以采购人通知为准</w:t>
            </w:r>
            <w:r>
              <w:rPr>
                <w:color w:val="000000"/>
                <w:sz w:val="20"/>
              </w:rPr>
              <w:t>）的不少于</w:t>
            </w:r>
            <w:r>
              <w:rPr>
                <w:color w:val="000000"/>
                <w:sz w:val="20"/>
              </w:rPr>
              <w:t>3名数据库工程师驻场服务。提供</w:t>
            </w:r>
            <w:r>
              <w:rPr>
                <w:color w:val="000000"/>
                <w:sz w:val="20"/>
              </w:rPr>
              <w:t>上述人员</w:t>
            </w:r>
            <w:r>
              <w:rPr>
                <w:color w:val="000000"/>
                <w:sz w:val="20"/>
              </w:rPr>
              <w:t>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2076"/>
          </w:tcPr>
          <w:p/>
        </w:tc>
        <w:tc>
          <w:tcPr>
            <w:tcW w:type="dxa" w:w="415"/>
          </w:tcPr>
          <w:p>
            <w:r>
              <w:rPr/>
              <w:t>18</w:t>
            </w:r>
          </w:p>
        </w:tc>
        <w:tc>
          <w:tcPr>
            <w:tcW w:type="dxa" w:w="5814"/>
          </w:tcPr>
          <w:p>
            <w:pPr>
              <w:jc w:val="both"/>
            </w:pPr>
            <w:r>
              <w:rPr>
                <w:b/>
                <w:color w:val="000000"/>
                <w:sz w:val="20"/>
              </w:rPr>
              <w:t>技术支持服务</w:t>
            </w:r>
          </w:p>
          <w:p>
            <w:pPr>
              <w:jc w:val="both"/>
            </w:pPr>
            <w:r>
              <w:rPr>
                <w:color w:val="000000"/>
                <w:sz w:val="20"/>
              </w:rPr>
              <w:t>提供专业数据库工程师</w:t>
            </w:r>
            <w:r>
              <w:rPr>
                <w:color w:val="000000"/>
                <w:sz w:val="20"/>
              </w:rPr>
              <w:t>3</w:t>
            </w:r>
            <w:r>
              <w:rPr>
                <w:color w:val="000000"/>
                <w:sz w:val="20"/>
              </w:rPr>
              <w:t>年技术支持服务（提供三年不低于制造商服务水平的服务），包括数据库设备的管理、系统硬件、软件和数据库等相关问题的技术支持，</w:t>
            </w:r>
            <w:r>
              <w:rPr>
                <w:color w:val="000000"/>
                <w:sz w:val="20"/>
              </w:rPr>
              <w:t>10分钟电话响应，不超过</w:t>
            </w:r>
            <w:r>
              <w:rPr>
                <w:color w:val="000000"/>
                <w:sz w:val="20"/>
              </w:rPr>
              <w:t>8</w:t>
            </w:r>
            <w:r>
              <w:rPr>
                <w:color w:val="000000"/>
                <w:sz w:val="20"/>
              </w:rPr>
              <w:t>小时到达现场（如电话响应无法解决），</w:t>
            </w:r>
            <w:r>
              <w:rPr>
                <w:color w:val="000000"/>
                <w:sz w:val="20"/>
              </w:rPr>
              <w:t>24小时内处理完毕。</w:t>
            </w:r>
          </w:p>
        </w:tc>
      </w:tr>
      <w:tr>
        <w:tc>
          <w:tcPr>
            <w:tcW w:type="dxa" w:w="2076"/>
          </w:tcPr>
          <w:p/>
        </w:tc>
        <w:tc>
          <w:tcPr>
            <w:tcW w:type="dxa" w:w="415"/>
          </w:tcPr>
          <w:p>
            <w:r>
              <w:rPr/>
              <w:t>19</w:t>
            </w:r>
          </w:p>
        </w:tc>
        <w:tc>
          <w:tcPr>
            <w:tcW w:type="dxa" w:w="5814"/>
          </w:tcPr>
          <w:p>
            <w:pPr>
              <w:jc w:val="both"/>
            </w:pPr>
            <w:r>
              <w:rPr>
                <w:b/>
                <w:color w:val="000000"/>
                <w:sz w:val="20"/>
              </w:rPr>
              <w:t>实施要求</w:t>
            </w:r>
          </w:p>
          <w:p>
            <w:pPr>
              <w:jc w:val="both"/>
            </w:pPr>
            <w:r>
              <w:rPr>
                <w:color w:val="000000"/>
                <w:sz w:val="20"/>
              </w:rPr>
              <w:t>1、</w:t>
            </w:r>
            <w:r>
              <w:rPr>
                <w:color w:val="000000"/>
                <w:sz w:val="20"/>
              </w:rPr>
              <w:t>实施人员要求：</w:t>
            </w:r>
          </w:p>
          <w:p>
            <w:pPr>
              <w:jc w:val="both"/>
            </w:pPr>
            <w:r>
              <w:rPr>
                <w:color w:val="000000"/>
                <w:sz w:val="20"/>
              </w:rPr>
              <w:t>提供不少于三人的现场实施人员</w:t>
            </w:r>
            <w:r>
              <w:rPr>
                <w:color w:val="000000"/>
                <w:sz w:val="20"/>
              </w:rPr>
              <w:t>（含一名</w:t>
            </w:r>
            <w:r>
              <w:rPr>
                <w:sz w:val="20"/>
              </w:rPr>
              <w:t>驻场工程师</w:t>
            </w:r>
            <w:r>
              <w:rPr>
                <w:color w:val="000000"/>
                <w:sz w:val="20"/>
              </w:rPr>
              <w:t>）</w:t>
            </w:r>
            <w:r>
              <w:rPr>
                <w:color w:val="000000"/>
                <w:sz w:val="20"/>
              </w:rPr>
              <w:t>。</w:t>
            </w:r>
          </w:p>
          <w:p>
            <w:pPr>
              <w:jc w:val="both"/>
            </w:pPr>
            <w:r>
              <w:rPr>
                <w:color w:val="000000"/>
                <w:sz w:val="20"/>
              </w:rPr>
              <w:t>为了保证项目实施的技术保障和维保期内的核心数据库维护的连贯性与一致性，实施人员在签合同前通过用户方确认，项目实施人员未经本项目主办或主管部门书面同意，实施和维保期内不得更换。</w:t>
            </w:r>
          </w:p>
          <w:p>
            <w:pPr>
              <w:jc w:val="both"/>
            </w:pPr>
            <w:r>
              <w:rPr>
                <w:color w:val="000000"/>
                <w:sz w:val="20"/>
              </w:rPr>
              <w:t>2、</w:t>
            </w:r>
            <w:r>
              <w:rPr>
                <w:color w:val="000000"/>
                <w:sz w:val="20"/>
              </w:rPr>
              <w:t>完成对采购人的管理人员、维护人员的技术培训，选派具有一定资质和实践经验、熟悉本项目内容和技术、且受过专门训练的高级专业技术人员负责此项目的实施管理、维护培训工作，提供最新培训教材（包括设备安装测试和维护技术），内容包括本项目中软硬件的架构原理和技术性能、操作维护方法、安装调测、排除故障和升级等方面，确保培训完成后能够完成本期系统日常维护工作，保证系统的正常运行。培训方式应包括技术讲课、操作示范和其它必须的业务指导和技术咨询。</w:t>
            </w:r>
          </w:p>
        </w:tc>
      </w:tr>
      <w:tr>
        <w:tc>
          <w:tcPr>
            <w:tcW w:type="dxa" w:w="2076"/>
          </w:tcPr>
          <w:p/>
        </w:tc>
        <w:tc>
          <w:tcPr>
            <w:tcW w:type="dxa" w:w="415"/>
          </w:tcPr>
          <w:p>
            <w:r>
              <w:rPr/>
              <w:t>20</w:t>
            </w:r>
          </w:p>
        </w:tc>
        <w:tc>
          <w:tcPr>
            <w:tcW w:type="dxa" w:w="5814"/>
          </w:tcPr>
          <w:p>
            <w:pPr>
              <w:jc w:val="both"/>
            </w:pPr>
            <w:r>
              <w:rPr>
                <w:b/>
                <w:color w:val="000000"/>
                <w:sz w:val="20"/>
              </w:rPr>
              <w:t>服务：</w:t>
            </w:r>
            <w:r>
              <w:rPr>
                <w:color w:val="000000"/>
                <w:sz w:val="20"/>
              </w:rPr>
              <w:t>投标人承诺</w:t>
            </w:r>
            <w:r>
              <w:rPr>
                <w:color w:val="000000"/>
                <w:sz w:val="20"/>
              </w:rPr>
              <w:t>在</w:t>
            </w:r>
            <w:r>
              <w:rPr>
                <w:color w:val="000000"/>
                <w:sz w:val="20"/>
              </w:rPr>
              <w:t>供货验收时提供针对本项目的制造商承诺函原件。提供三年保修服务（一年厂家保修和两年中标人的保修。）包括但不限于数据库设备的管理、系统硬件、软件和数据库及相关的技</w:t>
            </w:r>
            <w:r>
              <w:rPr>
                <w:color w:val="000000"/>
                <w:sz w:val="20"/>
              </w:rPr>
              <w:t>术服务支持，并提供故障监控与诊断服务。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数据库备份一体机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0"/>
              </w:rPr>
              <w:t>基本要求</w:t>
            </w:r>
          </w:p>
          <w:p>
            <w:pPr>
              <w:jc w:val="both"/>
            </w:pPr>
            <w:r>
              <w:rPr>
                <w:color w:val="000000"/>
                <w:sz w:val="20"/>
              </w:rPr>
              <w:t>1、</w:t>
            </w:r>
            <w:r>
              <w:rPr>
                <w:color w:val="000000"/>
                <w:sz w:val="20"/>
              </w:rPr>
              <w:t>★硬件配置要求：控制器,</w:t>
            </w:r>
            <w:r>
              <w:rPr>
                <w:color w:val="000000"/>
                <w:sz w:val="20"/>
              </w:rPr>
              <w:t>内存</w:t>
            </w:r>
            <w:r>
              <w:rPr>
                <w:color w:val="000000"/>
                <w:sz w:val="20"/>
              </w:rPr>
              <w:t>≥</w:t>
            </w:r>
            <w:r>
              <w:rPr>
                <w:color w:val="000000"/>
                <w:sz w:val="20"/>
              </w:rPr>
              <w:t>64GB,</w:t>
            </w:r>
            <w:r>
              <w:rPr>
                <w:color w:val="000000"/>
                <w:sz w:val="20"/>
              </w:rPr>
              <w:t>磁盘阵列卡</w:t>
            </w:r>
            <w:r>
              <w:rPr>
                <w:color w:val="000000"/>
                <w:sz w:val="20"/>
              </w:rPr>
              <w:t>≥</w:t>
            </w:r>
            <w:r>
              <w:rPr>
                <w:color w:val="000000"/>
                <w:sz w:val="20"/>
              </w:rPr>
              <w:t>4G,  2*480GB SSD,</w:t>
            </w:r>
            <w:r>
              <w:rPr>
                <w:color w:val="000000"/>
                <w:sz w:val="20"/>
              </w:rPr>
              <w:t>≥</w:t>
            </w:r>
            <w:r>
              <w:rPr>
                <w:color w:val="000000"/>
                <w:sz w:val="20"/>
              </w:rPr>
              <w:t>10块16TB SATA盘，</w:t>
            </w:r>
            <w:r>
              <w:rPr>
                <w:color w:val="000000"/>
                <w:sz w:val="20"/>
              </w:rPr>
              <w:t>≥</w:t>
            </w:r>
            <w:r>
              <w:rPr>
                <w:color w:val="000000"/>
                <w:sz w:val="20"/>
              </w:rPr>
              <w:t>1个4口千兆电口，</w:t>
            </w:r>
            <w:r>
              <w:rPr>
                <w:color w:val="000000"/>
                <w:sz w:val="20"/>
              </w:rPr>
              <w:t>≥</w:t>
            </w:r>
            <w:r>
              <w:rPr>
                <w:color w:val="000000"/>
                <w:sz w:val="20"/>
              </w:rPr>
              <w:t>2个双口10/25Gb，</w:t>
            </w:r>
            <w:r>
              <w:rPr>
                <w:color w:val="000000"/>
                <w:sz w:val="20"/>
              </w:rPr>
              <w:t>≥</w:t>
            </w:r>
            <w:r>
              <w:rPr>
                <w:color w:val="000000"/>
                <w:sz w:val="20"/>
              </w:rPr>
              <w:t>1个双口16Gb FC，</w:t>
            </w:r>
            <w:r>
              <w:rPr>
                <w:color w:val="000000"/>
                <w:sz w:val="20"/>
              </w:rPr>
              <w:t>≥</w:t>
            </w:r>
            <w:r>
              <w:rPr>
                <w:color w:val="000000"/>
                <w:sz w:val="20"/>
              </w:rPr>
              <w:t>4个万兆光模块。</w:t>
            </w:r>
          </w:p>
          <w:p>
            <w:pPr>
              <w:jc w:val="both"/>
            </w:pPr>
            <w:r>
              <w:rPr>
                <w:color w:val="000000"/>
                <w:sz w:val="20"/>
              </w:rPr>
              <w:t>2、</w:t>
            </w:r>
            <w:r>
              <w:rPr>
                <w:color w:val="000000"/>
                <w:sz w:val="20"/>
              </w:rPr>
              <w:t>▲不限制功能模块使用，提供一套备份软件</w:t>
            </w:r>
            <w:r>
              <w:rPr>
                <w:color w:val="000000"/>
                <w:sz w:val="20"/>
              </w:rPr>
              <w:t>。</w:t>
            </w:r>
          </w:p>
          <w:p>
            <w:pPr>
              <w:jc w:val="both"/>
            </w:pPr>
            <w:r>
              <w:rPr>
                <w:color w:val="000000"/>
                <w:sz w:val="20"/>
              </w:rPr>
              <w:t>3、</w:t>
            </w:r>
            <w:r>
              <w:rPr>
                <w:color w:val="000000"/>
                <w:sz w:val="20"/>
              </w:rPr>
              <w:t>原厂</w:t>
            </w:r>
            <w:r>
              <w:rPr>
                <w:color w:val="000000"/>
                <w:sz w:val="20"/>
              </w:rPr>
              <w:t>3年7</w:t>
            </w:r>
            <w:r>
              <w:rPr>
                <w:color w:val="000000"/>
                <w:sz w:val="20"/>
              </w:rPr>
              <w:t>天</w:t>
            </w:r>
            <w:r>
              <w:rPr>
                <w:color w:val="000000"/>
                <w:sz w:val="20"/>
              </w:rPr>
              <w:t>*24</w:t>
            </w:r>
            <w:r>
              <w:rPr>
                <w:color w:val="000000"/>
                <w:sz w:val="20"/>
              </w:rPr>
              <w:t>小时</w:t>
            </w:r>
            <w:r>
              <w:rPr>
                <w:color w:val="000000"/>
                <w:sz w:val="20"/>
              </w:rPr>
              <w:t>保修服务，</w:t>
            </w:r>
            <w:r>
              <w:rPr>
                <w:color w:val="000000"/>
                <w:sz w:val="20"/>
              </w:rPr>
              <w:t>投标人承诺供货时</w:t>
            </w:r>
            <w:r>
              <w:rPr>
                <w:color w:val="000000"/>
                <w:sz w:val="20"/>
              </w:rPr>
              <w:t>提供原厂授权函和服务售后服务承诺函。</w:t>
            </w:r>
          </w:p>
        </w:tc>
      </w:tr>
      <w:tr>
        <w:tc>
          <w:tcPr>
            <w:tcW w:type="dxa" w:w="2076"/>
          </w:tcPr>
          <w:p/>
        </w:tc>
        <w:tc>
          <w:tcPr>
            <w:tcW w:type="dxa" w:w="415"/>
          </w:tcPr>
          <w:p>
            <w:r>
              <w:rPr/>
              <w:t>2</w:t>
            </w:r>
          </w:p>
        </w:tc>
        <w:tc>
          <w:tcPr>
            <w:tcW w:type="dxa" w:w="5814"/>
          </w:tcPr>
          <w:p>
            <w:pPr>
              <w:jc w:val="both"/>
            </w:pPr>
            <w:r>
              <w:rPr>
                <w:b/>
                <w:sz w:val="20"/>
              </w:rPr>
              <w:t>功能要求</w:t>
            </w:r>
          </w:p>
          <w:p>
            <w:pPr>
              <w:jc w:val="both"/>
            </w:pPr>
            <w:r>
              <w:rPr>
                <w:sz w:val="20"/>
              </w:rPr>
              <w:t>1、</w:t>
            </w:r>
            <w:r>
              <w:rPr>
                <w:sz w:val="20"/>
              </w:rPr>
              <w:t>▲支持LAN备份和LAN-Free备份方式，也能满足未来可能使用的Server-Free的备份方式。支持新型的LAN-Free备份方式，无须业务服务器直接连接和管理备份介质，且新型的LAN-Free备份方式支持采用多块8Gb或多块16Gb光纤通道卡负载均衡备份，以提高备份性能和可靠性。具有灵活的重复数据删除选项功能，提供了源端以及目标端重复数据删除，还提供了处理中以及处理后重复数据删除。执行备份过程中具有减少存储空间和带宽的能力。可将备份存储减少高达50 倍，将带宽消耗减少高达 99%。</w:t>
            </w:r>
          </w:p>
          <w:p>
            <w:pPr>
              <w:jc w:val="both"/>
            </w:pPr>
            <w:r>
              <w:rPr>
                <w:sz w:val="20"/>
              </w:rPr>
              <w:t>2、</w:t>
            </w:r>
            <w:r>
              <w:rPr>
                <w:sz w:val="20"/>
              </w:rPr>
              <w:t>可以实现虚拟机增量恢复，无需恢复所有数据，可大幅提高</w:t>
            </w:r>
            <w:r>
              <w:rPr>
                <w:sz w:val="20"/>
              </w:rPr>
              <w:t>VM的恢复效率。支持定长与动态可变长块重复数据删除技术。支持消重数据直接上云，减少传输带宽，提高传输速度；支持备份到备份到本地/云/块/对象/BLOB。支持AI备份任务异常告警功能，可针对备份任务的属性值来进行提前预警，包括重删率、数据量、文件数量等，自动学习并判断该任务是否异常，如果异常则提供预警机制，提醒管理员优先检查相应业务系统，是否存在勒索病毒锁定或者人为恶意删除等情况。支持多种网络地址转换模式，如静态地址转换（SNAT）和动态地址转换（DNAT），提升备份系统安全性。</w:t>
            </w:r>
          </w:p>
          <w:p>
            <w:pPr>
              <w:jc w:val="both"/>
            </w:pPr>
            <w:r>
              <w:rPr>
                <w:sz w:val="20"/>
              </w:rPr>
              <w:t>3、</w:t>
            </w:r>
            <w:r>
              <w:rPr>
                <w:sz w:val="20"/>
              </w:rPr>
              <w:t>支持</w:t>
            </w:r>
            <w:r>
              <w:rPr>
                <w:sz w:val="20"/>
              </w:rPr>
              <w:t>Vmware以非快照方式的整机持续备份（CDP），并将CDP备份的数据存储在重删池，且可以支持跨备份域的异地容灾。</w:t>
            </w:r>
          </w:p>
          <w:p>
            <w:pPr>
              <w:jc w:val="both"/>
            </w:pPr>
            <w:r>
              <w:rPr>
                <w:sz w:val="20"/>
              </w:rPr>
              <w:t>4、</w:t>
            </w:r>
            <w:r>
              <w:rPr>
                <w:sz w:val="20"/>
              </w:rPr>
              <w:t>提供全集成变长数据重删算法，为确保重删数据安全性，重删算法</w:t>
            </w:r>
            <w:r>
              <w:rPr>
                <w:sz w:val="20"/>
              </w:rPr>
              <w:t>应</w:t>
            </w:r>
            <w:r>
              <w:rPr>
                <w:sz w:val="20"/>
              </w:rPr>
              <w:t>为自研产品，非开源工具。重删技术具有数据切分比对技术，能够对不同的文件采用变长而非定长的数据段进行分割；能够智能的找到文件更改后未发生变化的部分，而不会增加需要传输的备份数据量</w:t>
            </w:r>
            <w:r>
              <w:rPr>
                <w:sz w:val="20"/>
              </w:rPr>
              <w:t>；</w:t>
            </w:r>
            <w:r>
              <w:rPr>
                <w:sz w:val="20"/>
              </w:rPr>
              <w:t>同时支持并可自由选择备份客户端</w:t>
            </w:r>
            <w:r>
              <w:rPr>
                <w:sz w:val="20"/>
              </w:rPr>
              <w:t>/介质服务器/备份存储后端消重；支持将文件系统、数据库和虚拟机等多种数据类型备份到同一消重磁盘池中，实现跨数据类型、跨物理环境和虚拟环境的全局重复数据消除，支持多个备份任务间全局重复数据删除。基于普通磁盘也可实现源端和后端重复数据删除，无需特殊的服务器或硬件设备。</w:t>
            </w:r>
          </w:p>
          <w:p>
            <w:pPr>
              <w:jc w:val="both"/>
            </w:pPr>
            <w:r>
              <w:rPr>
                <w:sz w:val="20"/>
              </w:rPr>
              <w:t>5、</w:t>
            </w:r>
            <w:r>
              <w:rPr>
                <w:sz w:val="20"/>
              </w:rPr>
              <w:t>支持文件永久增量合成备份，一条备份作业即可完成增量备份和合成作业，无需配置额外的数据合成区和额外的合成作业，合成备份的数据</w:t>
            </w:r>
            <w:r>
              <w:rPr>
                <w:sz w:val="20"/>
              </w:rPr>
              <w:t>应</w:t>
            </w:r>
            <w:r>
              <w:rPr>
                <w:sz w:val="20"/>
              </w:rPr>
              <w:t>直接存储在重复数据删除池并执行合成操作，以降低存储成本。</w:t>
            </w:r>
          </w:p>
          <w:p>
            <w:pPr>
              <w:jc w:val="both"/>
            </w:pPr>
            <w:r>
              <w:rPr>
                <w:sz w:val="20"/>
              </w:rPr>
              <w:t>6、</w:t>
            </w:r>
            <w:r>
              <w:rPr>
                <w:sz w:val="20"/>
              </w:rPr>
              <w:t>▲支持通过网络对大型数据库实现永久增量备份（或称CDM），无需在生产数据库服务器上安装iScsi或其他额外的驱动，该方式备份的数据</w:t>
            </w:r>
            <w:r>
              <w:rPr>
                <w:sz w:val="20"/>
              </w:rPr>
              <w:t>应</w:t>
            </w:r>
            <w:r>
              <w:rPr>
                <w:sz w:val="20"/>
              </w:rPr>
              <w:t>支持自动存储在重复数据删除存储池，数据存储过程通过备份系统自动执行，无需人工干预。支持通过网络方式将备份数据直接挂载到目标服务器，实现数据库的即时恢复，需详细说明原理</w:t>
            </w:r>
            <w:r>
              <w:rPr>
                <w:b/>
                <w:sz w:val="20"/>
              </w:rPr>
              <w:t>（提供产品功能截图）</w:t>
            </w:r>
            <w:r>
              <w:rPr>
                <w:sz w:val="20"/>
              </w:rPr>
              <w:t>，提供说明该功能的公开可访问链接；</w:t>
            </w:r>
          </w:p>
          <w:p>
            <w:pPr>
              <w:jc w:val="both"/>
            </w:pPr>
            <w:r>
              <w:rPr>
                <w:sz w:val="20"/>
              </w:rPr>
              <w:t>7、</w:t>
            </w:r>
            <w:r>
              <w:rPr>
                <w:sz w:val="20"/>
              </w:rPr>
              <w:t>重复数据删除功能同时支持</w:t>
            </w:r>
            <w:r>
              <w:rPr>
                <w:sz w:val="20"/>
              </w:rPr>
              <w:t>LAN/LAN-Free、CDP、CDM、异地复制、即时恢复、即时挂载、WORM防篡改保护功能。</w:t>
            </w:r>
          </w:p>
          <w:p>
            <w:pPr>
              <w:jc w:val="both"/>
            </w:pPr>
            <w:r>
              <w:rPr>
                <w:sz w:val="20"/>
              </w:rPr>
              <w:t>8、</w:t>
            </w:r>
            <w:r>
              <w:rPr>
                <w:sz w:val="20"/>
              </w:rPr>
              <w:t>NAS备份加速：通过NDMP协议对网络附加存储设备（NAS）的备份和恢复，并支持细粒度恢复。支持主流NAS厂商的加速备份，只需第一次初始全备份，后续的增量备份和全备份在后台合并成新的全备份。支持对单一挂载点进行自动多流并行备份，无需人工为每个备份流指定具体目录和路径；</w:t>
            </w:r>
          </w:p>
          <w:p>
            <w:pPr>
              <w:jc w:val="both"/>
            </w:pPr>
            <w:r>
              <w:rPr>
                <w:sz w:val="20"/>
              </w:rPr>
              <w:t>9、</w:t>
            </w:r>
            <w:r>
              <w:rPr>
                <w:sz w:val="20"/>
              </w:rPr>
              <w:t>备份设备自带出库接口，备份数据可以直接出库归档到虚拟磁带库或物理磁带机，并支持直接从虚拟磁带库或物理磁带机来恢复数据，实现数据的离线保留及长久保存。</w:t>
            </w:r>
            <w:r>
              <w:rPr>
                <w:sz w:val="20"/>
              </w:rPr>
              <w:t>物理带库至少需支持主流的</w:t>
            </w:r>
            <w:r>
              <w:rPr>
                <w:sz w:val="20"/>
              </w:rPr>
              <w:t>IBM、HP、Oracle（STK）、Quantum、ADIC、Dell等供应商；支持ACS（Oracle Automated Cartridge System）、TLD（Tape Library DLT）、ATL（IBM Automated Tape Library）等多种机械手类型，支持LTO1~LOT6、DLT、DAT等多种驱动器和磁带类型；</w:t>
            </w:r>
          </w:p>
          <w:p>
            <w:pPr>
              <w:jc w:val="both"/>
            </w:pPr>
            <w:r>
              <w:rPr>
                <w:sz w:val="20"/>
              </w:rPr>
              <w:t>10、</w:t>
            </w:r>
            <w:r>
              <w:rPr>
                <w:sz w:val="20"/>
              </w:rPr>
              <w:t>内置数据复制和容灾功能，可将备份存储设备的数据复制到远程容灾端，并可在容灾端直接恢复数据，支持在备份服务器之间复制数据。要求能在多个备份站点（独立的备份域）间自动实现基于重复数据删除技术的备份数据远程优化复制，以便在窄带宽条件下实现数据级异地灾备，在容灾站点也可以独立的直接恢复数据。复制的对象可根据需要选择，最小颗粒度可支持单个文件、单个数据库、单个虚拟机等，同时复制备份数据和备份系统的数据库数据，无需对整个备份卷进行复制。支持一对一、一对多、多对一、双向复制及瀑布型等多种复制架构，支持跨多级恢复数据，支持单个作业多个复制流，支持多个作业同时并行复制。</w:t>
            </w:r>
          </w:p>
          <w:p>
            <w:pPr>
              <w:jc w:val="both"/>
            </w:pPr>
            <w:r>
              <w:rPr>
                <w:sz w:val="20"/>
              </w:rPr>
              <w:t>11、</w:t>
            </w:r>
            <w:r>
              <w:rPr>
                <w:sz w:val="20"/>
              </w:rPr>
              <w:t>提供虚拟机、数据库和文件的即时访问功能，虚拟机管理员无需恢复，即可在备份系统平台直接访问备份数据，对于粒度单文件恢复，无需在原虚拟机上安装备份代理软件，支持直接将备份数据文件恢复到原虚拟机上，支持</w:t>
            </w:r>
            <w:r>
              <w:rPr>
                <w:sz w:val="20"/>
              </w:rPr>
              <w:t>VM的增量回滚的恢复技术，自动比对和恢复损坏的数据，未损坏文件无需恢复，可大幅提高恢复性能，当生产端备份主服务器宕机时，支持从容灾端备份系统直接恢复所有数据，无需实现在容灾端恢复备份数据索引，支持包括数据库、实体机、虚拟机、文件和NAS等数据类型。</w:t>
            </w:r>
          </w:p>
        </w:tc>
      </w:tr>
      <w:tr>
        <w:tc>
          <w:tcPr>
            <w:tcW w:type="dxa" w:w="2076"/>
          </w:tcPr>
          <w:p/>
        </w:tc>
        <w:tc>
          <w:tcPr>
            <w:tcW w:type="dxa" w:w="415"/>
          </w:tcPr>
          <w:p>
            <w:r>
              <w:rPr/>
              <w:t>3</w:t>
            </w:r>
          </w:p>
        </w:tc>
        <w:tc>
          <w:tcPr>
            <w:tcW w:type="dxa" w:w="5814"/>
          </w:tcPr>
          <w:p>
            <w:pPr>
              <w:jc w:val="both"/>
            </w:pPr>
            <w:r>
              <w:rPr>
                <w:b/>
                <w:color w:val="000000"/>
                <w:sz w:val="20"/>
              </w:rPr>
              <w:t>安全性要求</w:t>
            </w:r>
          </w:p>
          <w:p>
            <w:pPr>
              <w:jc w:val="both"/>
            </w:pPr>
            <w:r>
              <w:rPr>
                <w:color w:val="000000"/>
                <w:sz w:val="20"/>
              </w:rPr>
              <w:t>1、</w:t>
            </w:r>
            <w:r>
              <w:rPr>
                <w:color w:val="000000"/>
                <w:sz w:val="20"/>
              </w:rPr>
              <w:t>支持对备份数据进行在线病毒扫描，无需事先恢复数据。支持对病毒文件进行标注，恢复时自动跳过，不将病毒恢复到生产环境。</w:t>
            </w:r>
          </w:p>
          <w:p>
            <w:pPr>
              <w:jc w:val="both"/>
            </w:pPr>
            <w:r>
              <w:rPr>
                <w:color w:val="000000"/>
                <w:sz w:val="20"/>
              </w:rPr>
              <w:t>2、</w:t>
            </w:r>
            <w:r>
              <w:rPr>
                <w:color w:val="000000"/>
                <w:sz w:val="20"/>
              </w:rPr>
              <w:t>提供</w:t>
            </w:r>
            <w:r>
              <w:rPr>
                <w:color w:val="000000"/>
                <w:sz w:val="20"/>
              </w:rPr>
              <w:t>AI和ML功能，自动对备份数据进行学习和分析，发生异常行为并发布警告，同时支持误报修正。异常行为包括勒索入侵导致的数据结构变化、重删变化、文件批量加密、文件访问时间批量修改等；</w:t>
            </w:r>
          </w:p>
          <w:p>
            <w:pPr>
              <w:jc w:val="both"/>
            </w:pPr>
            <w:r>
              <w:rPr>
                <w:color w:val="000000"/>
                <w:sz w:val="20"/>
              </w:rPr>
              <w:t>3、</w:t>
            </w:r>
            <w:r>
              <w:rPr>
                <w:color w:val="000000"/>
                <w:sz w:val="20"/>
              </w:rPr>
              <w:t>备份软件管理界面支持自动登出，在一段时间没有用户操作后能自动的退出登录，提高安全性。备份软件的服务器和客户端之间应通过证书进行相互验证和信任，保证服务器和客户端之间的安全通信，以防止诸如伪造客户端带来的数据安全风险，提高系统安全性。服务器与客户端间采用加密通道进行通信和数据传递，而不是简单的对数据进行加密，以减少客户端的性能开销。支持单点登录功能，提高系统管理安全性。为保证备份系统内部的通信安全，支持通信</w:t>
            </w:r>
            <w:r>
              <w:rPr>
                <w:color w:val="000000"/>
                <w:sz w:val="20"/>
              </w:rPr>
              <w:t>SSL加密方式。为了保障数据安全，能够支持客户传输加密、服务器端介质加密及备份设备硬件加密，以全面保障备份数据在传输存储过程中的安全性；支持任意类型数据的压缩，提供源端压缩（网络传输压缩）、目标端压缩及备份介质压缩。支持多种网络地址转换模式，如静态地址转换SNAT）和动态地址转换（DNAT），提升备份系统安全性；</w:t>
            </w:r>
          </w:p>
        </w:tc>
      </w:tr>
      <w:tr>
        <w:tc>
          <w:tcPr>
            <w:tcW w:type="dxa" w:w="2076"/>
          </w:tcPr>
          <w:p/>
        </w:tc>
        <w:tc>
          <w:tcPr>
            <w:tcW w:type="dxa" w:w="415"/>
          </w:tcPr>
          <w:p>
            <w:r>
              <w:rPr/>
              <w:t>4</w:t>
            </w:r>
          </w:p>
        </w:tc>
        <w:tc>
          <w:tcPr>
            <w:tcW w:type="dxa" w:w="5814"/>
          </w:tcPr>
          <w:p>
            <w:pPr>
              <w:jc w:val="both"/>
            </w:pPr>
            <w:r>
              <w:rPr>
                <w:color w:val="000000"/>
                <w:sz w:val="20"/>
              </w:rPr>
              <w:t>服务：</w:t>
            </w:r>
            <w:r>
              <w:rPr>
                <w:color w:val="000000"/>
                <w:sz w:val="20"/>
              </w:rPr>
              <w:t>提供不少于三年</w:t>
            </w:r>
            <w:r>
              <w:rPr>
                <w:color w:val="000000"/>
                <w:sz w:val="20"/>
              </w:rPr>
              <w:t>7*24小时的售后服务承诺；提供三年原厂保修及原厂</w:t>
            </w:r>
            <w:r>
              <w:rPr>
                <w:color w:val="000000"/>
                <w:sz w:val="20"/>
              </w:rPr>
              <w:t>无条件</w:t>
            </w:r>
            <w:r>
              <w:rPr>
                <w:color w:val="000000"/>
                <w:sz w:val="20"/>
              </w:rPr>
              <w:t>现场服务，安装由原厂工程师完成实施</w:t>
            </w:r>
            <w:r>
              <w:rPr>
                <w:color w:val="000000"/>
                <w:sz w:val="20"/>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核心交换机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color w:val="000000"/>
                <w:sz w:val="20"/>
              </w:rPr>
              <w:t>转发性能</w:t>
            </w:r>
          </w:p>
          <w:p>
            <w:pPr>
              <w:jc w:val="both"/>
            </w:pPr>
            <w:r>
              <w:rPr>
                <w:color w:val="000000"/>
                <w:sz w:val="20"/>
              </w:rPr>
              <w:t>★交换容量≥</w:t>
            </w:r>
            <w:r>
              <w:rPr>
                <w:color w:val="000000"/>
                <w:sz w:val="20"/>
              </w:rPr>
              <w:t>500</w:t>
            </w:r>
            <w:r>
              <w:rPr>
                <w:color w:val="000000"/>
                <w:sz w:val="20"/>
              </w:rPr>
              <w:t>Tbps；包转发率≥9</w:t>
            </w:r>
            <w:r>
              <w:rPr>
                <w:color w:val="000000"/>
                <w:sz w:val="20"/>
              </w:rPr>
              <w:t>0000Mpps</w:t>
            </w:r>
          </w:p>
        </w:tc>
      </w:tr>
      <w:tr>
        <w:tc>
          <w:tcPr>
            <w:tcW w:type="dxa" w:w="2076"/>
          </w:tcPr>
          <w:p/>
        </w:tc>
        <w:tc>
          <w:tcPr>
            <w:tcW w:type="dxa" w:w="415"/>
          </w:tcPr>
          <w:p>
            <w:r>
              <w:rPr/>
              <w:t>2</w:t>
            </w:r>
          </w:p>
        </w:tc>
        <w:tc>
          <w:tcPr>
            <w:tcW w:type="dxa" w:w="5814"/>
          </w:tcPr>
          <w:p>
            <w:pPr>
              <w:jc w:val="left"/>
            </w:pPr>
            <w:r>
              <w:rPr>
                <w:b/>
                <w:color w:val="000000"/>
                <w:sz w:val="20"/>
              </w:rPr>
              <w:t>硬件架构</w:t>
            </w:r>
          </w:p>
          <w:p>
            <w:pPr>
              <w:jc w:val="left"/>
            </w:pPr>
            <w:r>
              <w:rPr>
                <w:color w:val="000000"/>
                <w:sz w:val="20"/>
              </w:rPr>
              <w:t>1、★主控引擎与交换网板物理分离；主控引擎≥2；独立交换网板≥</w:t>
            </w:r>
            <w:r>
              <w:rPr>
                <w:color w:val="000000"/>
                <w:sz w:val="20"/>
              </w:rPr>
              <w:t>4</w:t>
            </w:r>
            <w:r>
              <w:rPr>
                <w:color w:val="000000"/>
                <w:sz w:val="20"/>
              </w:rPr>
              <w:t>；整机业务板槽位数</w:t>
            </w:r>
            <w:r>
              <w:rPr>
                <w:color w:val="000000"/>
                <w:sz w:val="20"/>
              </w:rPr>
              <w:t>≥8；配置1</w:t>
            </w:r>
            <w:r>
              <w:rPr>
                <w:color w:val="000000"/>
                <w:sz w:val="20"/>
              </w:rPr>
              <w:t>0</w:t>
            </w:r>
            <w:r>
              <w:rPr>
                <w:color w:val="000000"/>
                <w:sz w:val="20"/>
              </w:rPr>
              <w:t>GE光口≥</w:t>
            </w:r>
            <w:r>
              <w:rPr>
                <w:color w:val="000000"/>
                <w:sz w:val="20"/>
              </w:rPr>
              <w:t>96</w:t>
            </w:r>
            <w:r>
              <w:rPr>
                <w:color w:val="000000"/>
                <w:sz w:val="20"/>
              </w:rPr>
              <w:t>；</w:t>
            </w:r>
            <w:r>
              <w:rPr>
                <w:color w:val="000000"/>
                <w:sz w:val="20"/>
              </w:rPr>
              <w:t>4</w:t>
            </w:r>
            <w:r>
              <w:rPr>
                <w:color w:val="000000"/>
                <w:sz w:val="20"/>
              </w:rPr>
              <w:t>0GE光口≥</w:t>
            </w:r>
            <w:r>
              <w:rPr>
                <w:color w:val="000000"/>
                <w:sz w:val="20"/>
              </w:rPr>
              <w:t>12</w:t>
            </w:r>
            <w:r>
              <w:rPr>
                <w:color w:val="000000"/>
                <w:sz w:val="20"/>
              </w:rPr>
              <w:t>；配置</w:t>
            </w:r>
            <w:r>
              <w:rPr>
                <w:color w:val="000000"/>
                <w:sz w:val="20"/>
              </w:rPr>
              <w:t>4</w:t>
            </w:r>
            <w:r>
              <w:rPr>
                <w:color w:val="000000"/>
                <w:sz w:val="20"/>
              </w:rPr>
              <w:t>0GE多模光模块≥</w:t>
            </w:r>
            <w:r>
              <w:rPr>
                <w:color w:val="000000"/>
                <w:sz w:val="20"/>
              </w:rPr>
              <w:t>12</w:t>
            </w:r>
            <w:r>
              <w:rPr>
                <w:color w:val="000000"/>
                <w:sz w:val="20"/>
              </w:rPr>
              <w:t>；</w:t>
            </w:r>
            <w:r>
              <w:rPr>
                <w:color w:val="000000"/>
                <w:sz w:val="20"/>
              </w:rPr>
              <w:t>1</w:t>
            </w:r>
            <w:r>
              <w:rPr>
                <w:color w:val="000000"/>
                <w:sz w:val="20"/>
              </w:rPr>
              <w:t>0GE单模光模块≥</w:t>
            </w:r>
            <w:r>
              <w:rPr>
                <w:color w:val="000000"/>
                <w:sz w:val="20"/>
              </w:rPr>
              <w:t>96</w:t>
            </w:r>
            <w:r>
              <w:rPr>
                <w:color w:val="000000"/>
                <w:sz w:val="20"/>
              </w:rPr>
              <w:t>；配置电模块</w:t>
            </w:r>
            <w:r>
              <w:rPr>
                <w:color w:val="000000"/>
                <w:sz w:val="20"/>
              </w:rPr>
              <w:t>-SFP-GE-电接口模块≥</w:t>
            </w:r>
            <w:r>
              <w:rPr>
                <w:color w:val="000000"/>
                <w:sz w:val="20"/>
              </w:rPr>
              <w:t>48</w:t>
            </w:r>
            <w:r>
              <w:rPr>
                <w:color w:val="000000"/>
                <w:sz w:val="20"/>
              </w:rPr>
              <w:t>；两台设备堆叠部署，堆叠带宽</w:t>
            </w:r>
            <w:r>
              <w:rPr>
                <w:color w:val="000000"/>
                <w:sz w:val="20"/>
              </w:rPr>
              <w:t>≥</w:t>
            </w:r>
            <w:r>
              <w:rPr>
                <w:color w:val="000000"/>
                <w:sz w:val="20"/>
              </w:rPr>
              <w:t>40</w:t>
            </w:r>
            <w:r>
              <w:rPr>
                <w:color w:val="000000"/>
                <w:sz w:val="20"/>
              </w:rPr>
              <w:t>G。</w:t>
            </w:r>
          </w:p>
          <w:p>
            <w:pPr>
              <w:jc w:val="both"/>
            </w:pPr>
            <w:r>
              <w:rPr>
                <w:color w:val="000000"/>
                <w:sz w:val="20"/>
              </w:rPr>
              <w:t>2、</w:t>
            </w:r>
            <w:r>
              <w:rPr>
                <w:color w:val="000000"/>
                <w:sz w:val="20"/>
              </w:rPr>
              <w:t>采用正交</w:t>
            </w:r>
            <w:r>
              <w:rPr>
                <w:color w:val="000000"/>
                <w:sz w:val="20"/>
              </w:rPr>
              <w:t>CLOS架构</w:t>
            </w:r>
            <w:r>
              <w:rPr>
                <w:color w:val="000000"/>
                <w:sz w:val="20"/>
              </w:rPr>
              <w:t>。</w:t>
            </w:r>
          </w:p>
        </w:tc>
      </w:tr>
      <w:tr>
        <w:tc>
          <w:tcPr>
            <w:tcW w:type="dxa" w:w="2076"/>
          </w:tcPr>
          <w:p/>
        </w:tc>
        <w:tc>
          <w:tcPr>
            <w:tcW w:type="dxa" w:w="415"/>
          </w:tcPr>
          <w:p>
            <w:r>
              <w:rPr/>
              <w:t>3</w:t>
            </w:r>
          </w:p>
        </w:tc>
        <w:tc>
          <w:tcPr>
            <w:tcW w:type="dxa" w:w="5814"/>
          </w:tcPr>
          <w:p>
            <w:pPr>
              <w:jc w:val="left"/>
            </w:pPr>
            <w:r>
              <w:rPr>
                <w:b/>
                <w:color w:val="000000"/>
                <w:sz w:val="20"/>
              </w:rPr>
              <w:t>硬件要求</w:t>
            </w:r>
          </w:p>
          <w:p>
            <w:pPr>
              <w:jc w:val="left"/>
            </w:pPr>
            <w:r>
              <w:rPr>
                <w:color w:val="000000"/>
                <w:sz w:val="20"/>
              </w:rPr>
              <w:t>1、设备配置独立风扇框数≥4，模块化风扇框，可热插拔，当单个风扇框发生故障时，有其他风扇正常运行，保证设备散热</w:t>
            </w:r>
          </w:p>
          <w:p>
            <w:pPr>
              <w:jc w:val="left"/>
            </w:pPr>
            <w:r>
              <w:rPr>
                <w:color w:val="000000"/>
                <w:sz w:val="20"/>
              </w:rPr>
              <w:t>2、为了适应机柜并排部署，采用机箱（包括业务板卡区）后出风风道设计</w:t>
            </w:r>
          </w:p>
          <w:p>
            <w:pPr>
              <w:jc w:val="left"/>
            </w:pPr>
            <w:r>
              <w:rPr>
                <w:color w:val="000000"/>
                <w:sz w:val="20"/>
              </w:rPr>
              <w:t>3、支持颗粒化电源，支持M+N电源冗余（AC和DC均支持），电源插槽个数≥4；实配整机交流电源总功率≥4800W</w:t>
            </w:r>
          </w:p>
          <w:p>
            <w:pPr>
              <w:jc w:val="left"/>
            </w:pPr>
            <w:r>
              <w:rPr>
                <w:color w:val="000000"/>
                <w:sz w:val="20"/>
              </w:rPr>
              <w:t>4、所有可插拔板卡（主控、交换、业务板卡）是前插板，所有走线全部在前面板走线，包括业务和管理线缆，方便维护</w:t>
            </w:r>
          </w:p>
          <w:p>
            <w:pPr>
              <w:jc w:val="both"/>
            </w:pPr>
            <w:r>
              <w:rPr>
                <w:color w:val="000000"/>
                <w:sz w:val="20"/>
              </w:rPr>
              <w:t>5、支持独立的硬件监控板卡, 控制平面和监控平面物理槽位分离，支持1+1备份，能集中监控风扇、电源等模块，能调节能耗（如不支持需配置独立的业务板作为监控板使用）</w:t>
            </w:r>
          </w:p>
        </w:tc>
      </w:tr>
      <w:tr>
        <w:tc>
          <w:tcPr>
            <w:tcW w:type="dxa" w:w="2076"/>
          </w:tcPr>
          <w:p/>
        </w:tc>
        <w:tc>
          <w:tcPr>
            <w:tcW w:type="dxa" w:w="415"/>
          </w:tcPr>
          <w:p>
            <w:r>
              <w:rPr/>
              <w:t>4</w:t>
            </w:r>
          </w:p>
        </w:tc>
        <w:tc>
          <w:tcPr>
            <w:tcW w:type="dxa" w:w="5814"/>
          </w:tcPr>
          <w:p>
            <w:pPr>
              <w:jc w:val="left"/>
            </w:pPr>
            <w:r>
              <w:rPr>
                <w:b/>
                <w:color w:val="000000"/>
                <w:sz w:val="20"/>
              </w:rPr>
              <w:t>虚拟化技术</w:t>
            </w:r>
          </w:p>
          <w:p>
            <w:pPr>
              <w:jc w:val="left"/>
            </w:pPr>
            <w:r>
              <w:rPr>
                <w:color w:val="000000"/>
                <w:sz w:val="20"/>
              </w:rPr>
              <w:t>1、支持横向虚拟化技术，将多台设备虚拟为一台，支持长距离集群</w:t>
            </w:r>
          </w:p>
          <w:p>
            <w:pPr>
              <w:jc w:val="left"/>
            </w:pPr>
            <w:r>
              <w:rPr>
                <w:color w:val="000000"/>
                <w:sz w:val="20"/>
              </w:rPr>
              <w:t>2、支持纵向虚拟化技术，支持把多台交换机虚拟为一台设备</w:t>
            </w:r>
          </w:p>
          <w:p>
            <w:pPr>
              <w:jc w:val="both"/>
            </w:pPr>
            <w:r>
              <w:rPr>
                <w:color w:val="000000"/>
                <w:sz w:val="20"/>
              </w:rPr>
              <w:t>3、支持纵向虚拟化技术，支持两层client，client子节点支持堆叠</w:t>
            </w:r>
          </w:p>
        </w:tc>
      </w:tr>
      <w:tr>
        <w:tc>
          <w:tcPr>
            <w:tcW w:type="dxa" w:w="2076"/>
          </w:tcPr>
          <w:p/>
        </w:tc>
        <w:tc>
          <w:tcPr>
            <w:tcW w:type="dxa" w:w="415"/>
          </w:tcPr>
          <w:p>
            <w:r>
              <w:rPr/>
              <w:t>5</w:t>
            </w:r>
          </w:p>
        </w:tc>
        <w:tc>
          <w:tcPr>
            <w:tcW w:type="dxa" w:w="5814"/>
          </w:tcPr>
          <w:p>
            <w:pPr>
              <w:jc w:val="left"/>
            </w:pPr>
            <w:r>
              <w:rPr>
                <w:b/>
                <w:color w:val="000000"/>
                <w:sz w:val="20"/>
              </w:rPr>
              <w:t>V</w:t>
            </w:r>
            <w:r>
              <w:rPr>
                <w:b/>
                <w:color w:val="000000"/>
                <w:sz w:val="20"/>
              </w:rPr>
              <w:t>xLAN</w:t>
            </w:r>
          </w:p>
          <w:p>
            <w:pPr>
              <w:jc w:val="both"/>
            </w:pPr>
            <w:r>
              <w:rPr>
                <w:color w:val="000000"/>
                <w:sz w:val="20"/>
              </w:rPr>
              <w:t>支持</w:t>
            </w:r>
            <w:r>
              <w:rPr>
                <w:color w:val="000000"/>
                <w:sz w:val="20"/>
              </w:rPr>
              <w:t>VxLAN功能，支持VxLAN二层网关、三层网关，支持BGP EVP</w:t>
            </w:r>
            <w:r>
              <w:rPr>
                <w:color w:val="000000"/>
                <w:sz w:val="20"/>
              </w:rPr>
              <w:t>N</w:t>
            </w:r>
            <w:r>
              <w:rPr>
                <w:color w:val="000000"/>
                <w:sz w:val="20"/>
              </w:rPr>
              <w:t>，支持分布式</w:t>
            </w:r>
            <w:r>
              <w:rPr>
                <w:color w:val="000000"/>
                <w:sz w:val="20"/>
              </w:rPr>
              <w:t xml:space="preserve"> Anycast</w:t>
            </w:r>
            <w:r>
              <w:rPr>
                <w:color w:val="000000"/>
                <w:sz w:val="20"/>
              </w:rPr>
              <w:t>网关，支持</w:t>
            </w:r>
            <w:r>
              <w:rPr>
                <w:color w:val="000000"/>
                <w:sz w:val="20"/>
              </w:rPr>
              <w:t>VxLAN</w:t>
            </w:r>
            <w:r>
              <w:rPr>
                <w:sz w:val="21"/>
              </w:rPr>
              <w:t xml:space="preserve"> </w:t>
            </w:r>
            <w:r>
              <w:rPr>
                <w:color w:val="000000"/>
                <w:sz w:val="20"/>
              </w:rPr>
              <w:t>Fabric 的自动化部署。支持基于</w:t>
            </w:r>
            <w:r>
              <w:rPr>
                <w:color w:val="000000"/>
                <w:sz w:val="20"/>
              </w:rPr>
              <w:t>IPv4/IPv6的VxLAN二三层互通</w:t>
            </w:r>
          </w:p>
        </w:tc>
      </w:tr>
      <w:tr>
        <w:tc>
          <w:tcPr>
            <w:tcW w:type="dxa" w:w="2076"/>
          </w:tcPr>
          <w:p/>
        </w:tc>
        <w:tc>
          <w:tcPr>
            <w:tcW w:type="dxa" w:w="415"/>
          </w:tcPr>
          <w:p>
            <w:r>
              <w:rPr/>
              <w:t>6</w:t>
            </w:r>
          </w:p>
        </w:tc>
        <w:tc>
          <w:tcPr>
            <w:tcW w:type="dxa" w:w="5814"/>
          </w:tcPr>
          <w:p>
            <w:pPr>
              <w:jc w:val="left"/>
            </w:pPr>
            <w:r>
              <w:rPr>
                <w:b/>
                <w:color w:val="000000"/>
                <w:sz w:val="20"/>
              </w:rPr>
              <w:t>MAC</w:t>
            </w:r>
          </w:p>
          <w:p>
            <w:pPr>
              <w:jc w:val="both"/>
            </w:pPr>
            <w:r>
              <w:rPr>
                <w:color w:val="000000"/>
                <w:sz w:val="20"/>
              </w:rPr>
              <w:t>支持整机</w:t>
            </w:r>
            <w:r>
              <w:rPr>
                <w:color w:val="000000"/>
                <w:sz w:val="20"/>
              </w:rPr>
              <w:t>MAC地址≥</w:t>
            </w:r>
            <w:r>
              <w:rPr>
                <w:color w:val="000000"/>
                <w:sz w:val="20"/>
              </w:rPr>
              <w:t>1M</w:t>
            </w:r>
          </w:p>
        </w:tc>
      </w:tr>
      <w:tr>
        <w:tc>
          <w:tcPr>
            <w:tcW w:type="dxa" w:w="2076"/>
          </w:tcPr>
          <w:p/>
        </w:tc>
        <w:tc>
          <w:tcPr>
            <w:tcW w:type="dxa" w:w="415"/>
          </w:tcPr>
          <w:p>
            <w:r>
              <w:rPr/>
              <w:t>7</w:t>
            </w:r>
          </w:p>
        </w:tc>
        <w:tc>
          <w:tcPr>
            <w:tcW w:type="dxa" w:w="5814"/>
          </w:tcPr>
          <w:p>
            <w:pPr>
              <w:jc w:val="left"/>
            </w:pPr>
            <w:r>
              <w:rPr>
                <w:b/>
                <w:color w:val="000000"/>
                <w:sz w:val="20"/>
              </w:rPr>
              <w:t>ARP</w:t>
            </w:r>
          </w:p>
          <w:p>
            <w:pPr>
              <w:jc w:val="both"/>
            </w:pPr>
            <w:r>
              <w:rPr>
                <w:color w:val="000000"/>
                <w:sz w:val="20"/>
              </w:rPr>
              <w:t>支持</w:t>
            </w:r>
            <w:r>
              <w:rPr>
                <w:color w:val="000000"/>
                <w:sz w:val="20"/>
              </w:rPr>
              <w:t>ARP表项≥</w:t>
            </w:r>
            <w:r>
              <w:rPr>
                <w:color w:val="000000"/>
                <w:sz w:val="20"/>
              </w:rPr>
              <w:t>256K</w:t>
            </w:r>
          </w:p>
        </w:tc>
      </w:tr>
      <w:tr>
        <w:tc>
          <w:tcPr>
            <w:tcW w:type="dxa" w:w="2076"/>
          </w:tcPr>
          <w:p/>
        </w:tc>
        <w:tc>
          <w:tcPr>
            <w:tcW w:type="dxa" w:w="415"/>
          </w:tcPr>
          <w:p>
            <w:r>
              <w:rPr/>
              <w:t>8</w:t>
            </w:r>
          </w:p>
        </w:tc>
        <w:tc>
          <w:tcPr>
            <w:tcW w:type="dxa" w:w="5814"/>
          </w:tcPr>
          <w:p>
            <w:pPr>
              <w:jc w:val="left"/>
            </w:pPr>
            <w:r>
              <w:rPr>
                <w:b/>
                <w:color w:val="000000"/>
                <w:sz w:val="20"/>
              </w:rPr>
              <w:t>VLAN</w:t>
            </w:r>
          </w:p>
          <w:p>
            <w:pPr>
              <w:jc w:val="both"/>
            </w:pPr>
            <w:r>
              <w:rPr>
                <w:color w:val="000000"/>
                <w:sz w:val="20"/>
              </w:rPr>
              <w:t>支持</w:t>
            </w:r>
            <w:r>
              <w:rPr>
                <w:color w:val="000000"/>
                <w:sz w:val="20"/>
              </w:rPr>
              <w:t>4K VLAN，支持1：1、N：1 VLAN mapping，支持端口VLAN，支持Voice VLAN</w:t>
            </w:r>
          </w:p>
        </w:tc>
      </w:tr>
      <w:tr>
        <w:tc>
          <w:tcPr>
            <w:tcW w:type="dxa" w:w="2076"/>
          </w:tcPr>
          <w:p/>
        </w:tc>
        <w:tc>
          <w:tcPr>
            <w:tcW w:type="dxa" w:w="415"/>
          </w:tcPr>
          <w:p>
            <w:r>
              <w:rPr/>
              <w:t>9</w:t>
            </w:r>
          </w:p>
        </w:tc>
        <w:tc>
          <w:tcPr>
            <w:tcW w:type="dxa" w:w="5814"/>
          </w:tcPr>
          <w:p>
            <w:pPr>
              <w:jc w:val="left"/>
            </w:pPr>
            <w:r>
              <w:rPr>
                <w:b/>
                <w:color w:val="000000"/>
                <w:sz w:val="20"/>
              </w:rPr>
              <w:t>I</w:t>
            </w:r>
            <w:r>
              <w:rPr>
                <w:b/>
                <w:color w:val="000000"/>
                <w:sz w:val="20"/>
              </w:rPr>
              <w:t>P</w:t>
            </w:r>
            <w:r>
              <w:rPr>
                <w:b/>
                <w:color w:val="000000"/>
                <w:sz w:val="20"/>
              </w:rPr>
              <w:t>路由</w:t>
            </w:r>
          </w:p>
          <w:p>
            <w:pPr>
              <w:jc w:val="left"/>
            </w:pPr>
            <w:r>
              <w:rPr>
                <w:color w:val="000000"/>
                <w:sz w:val="20"/>
              </w:rPr>
              <w:t>1、支持IPv4路由转发表FIB规格≥512K；支持Ipv6 路由转发表FIB规格≥256K</w:t>
            </w:r>
          </w:p>
          <w:p>
            <w:pPr>
              <w:jc w:val="both"/>
            </w:pPr>
            <w:r>
              <w:rPr>
                <w:color w:val="000000"/>
                <w:sz w:val="20"/>
              </w:rPr>
              <w:t>2、支持静态路由、RIP、RIPng、OSPF、OSPFv3、BGP、BGP4+、ISIS、ISISv6</w:t>
            </w:r>
          </w:p>
        </w:tc>
      </w:tr>
      <w:tr>
        <w:tc>
          <w:tcPr>
            <w:tcW w:type="dxa" w:w="2076"/>
          </w:tcPr>
          <w:p/>
        </w:tc>
        <w:tc>
          <w:tcPr>
            <w:tcW w:type="dxa" w:w="415"/>
          </w:tcPr>
          <w:p>
            <w:r>
              <w:rPr/>
              <w:t>10</w:t>
            </w:r>
          </w:p>
        </w:tc>
        <w:tc>
          <w:tcPr>
            <w:tcW w:type="dxa" w:w="5814"/>
          </w:tcPr>
          <w:p>
            <w:pPr>
              <w:jc w:val="left"/>
            </w:pPr>
            <w:r>
              <w:rPr>
                <w:b/>
                <w:color w:val="000000"/>
                <w:sz w:val="20"/>
              </w:rPr>
              <w:t>IPv6</w:t>
            </w:r>
          </w:p>
          <w:p>
            <w:pPr>
              <w:jc w:val="left"/>
            </w:pPr>
            <w:r>
              <w:rPr>
                <w:color w:val="000000"/>
                <w:sz w:val="20"/>
              </w:rPr>
              <w:t>1、支持IPv6过渡技术，IPv4/IPv6双栈、6over4隧道、4 over6隧道</w:t>
            </w:r>
          </w:p>
          <w:p>
            <w:pPr>
              <w:jc w:val="both"/>
            </w:pPr>
            <w:r>
              <w:rPr>
                <w:color w:val="000000"/>
                <w:sz w:val="20"/>
              </w:rPr>
              <w:t>2、支持IPv6 DHCP SERVER、IPv6 DHCP Relay、DHCP Snooping</w:t>
            </w:r>
          </w:p>
        </w:tc>
      </w:tr>
      <w:tr>
        <w:tc>
          <w:tcPr>
            <w:tcW w:type="dxa" w:w="2076"/>
          </w:tcPr>
          <w:p/>
        </w:tc>
        <w:tc>
          <w:tcPr>
            <w:tcW w:type="dxa" w:w="415"/>
          </w:tcPr>
          <w:p>
            <w:r>
              <w:rPr/>
              <w:t>11</w:t>
            </w:r>
          </w:p>
        </w:tc>
        <w:tc>
          <w:tcPr>
            <w:tcW w:type="dxa" w:w="5814"/>
          </w:tcPr>
          <w:p>
            <w:pPr>
              <w:jc w:val="left"/>
            </w:pPr>
            <w:r>
              <w:rPr>
                <w:b/>
                <w:color w:val="000000"/>
                <w:sz w:val="20"/>
              </w:rPr>
              <w:t>MPLS</w:t>
            </w:r>
          </w:p>
          <w:p>
            <w:pPr>
              <w:jc w:val="both"/>
            </w:pPr>
            <w:r>
              <w:rPr>
                <w:color w:val="000000"/>
                <w:sz w:val="20"/>
              </w:rPr>
              <w:t>支持</w:t>
            </w:r>
            <w:r>
              <w:rPr>
                <w:color w:val="000000"/>
                <w:sz w:val="20"/>
              </w:rPr>
              <w:t>MPLS L3VPN、MPLS L2VPN(VPLS，VLL)、MPLS-TE、MPLS QoS</w:t>
            </w:r>
          </w:p>
        </w:tc>
      </w:tr>
      <w:tr>
        <w:tc>
          <w:tcPr>
            <w:tcW w:type="dxa" w:w="2076"/>
          </w:tcPr>
          <w:p/>
        </w:tc>
        <w:tc>
          <w:tcPr>
            <w:tcW w:type="dxa" w:w="415"/>
          </w:tcPr>
          <w:p>
            <w:r>
              <w:rPr/>
              <w:t>12</w:t>
            </w:r>
          </w:p>
        </w:tc>
        <w:tc>
          <w:tcPr>
            <w:tcW w:type="dxa" w:w="5814"/>
          </w:tcPr>
          <w:p>
            <w:pPr>
              <w:jc w:val="left"/>
            </w:pPr>
            <w:r>
              <w:rPr>
                <w:b/>
                <w:color w:val="000000"/>
                <w:sz w:val="20"/>
              </w:rPr>
              <w:t>管理运维</w:t>
            </w:r>
          </w:p>
          <w:p>
            <w:pPr>
              <w:jc w:val="left"/>
            </w:pPr>
            <w:r>
              <w:rPr>
                <w:color w:val="000000"/>
                <w:sz w:val="20"/>
              </w:rPr>
              <w:t>1、支持SNMP V1/V2/V3、Telnet、RMON、SSHV2；支持通过命令行、中文图形化配置软件等方式进行配置和管理。</w:t>
            </w:r>
          </w:p>
          <w:p>
            <w:pPr>
              <w:jc w:val="both"/>
            </w:pPr>
            <w:r>
              <w:rPr>
                <w:color w:val="000000"/>
                <w:sz w:val="20"/>
              </w:rPr>
              <w:t>2、支持 Telemetry 技术，实时采集设备数据并上送至网络分析组件平台，通过智能故障识别算法对网络数据进行分析，精准展现网络实时状态，及时定界故障以及故障发生原因，精准保障用户体验。</w:t>
            </w:r>
          </w:p>
        </w:tc>
      </w:tr>
      <w:tr>
        <w:tc>
          <w:tcPr>
            <w:tcW w:type="dxa" w:w="2076"/>
          </w:tcPr>
          <w:p/>
        </w:tc>
        <w:tc>
          <w:tcPr>
            <w:tcW w:type="dxa" w:w="415"/>
          </w:tcPr>
          <w:p>
            <w:r>
              <w:rPr/>
              <w:t>13</w:t>
            </w:r>
          </w:p>
        </w:tc>
        <w:tc>
          <w:tcPr>
            <w:tcW w:type="dxa" w:w="5814"/>
          </w:tcPr>
          <w:p>
            <w:pPr>
              <w:jc w:val="left"/>
            </w:pPr>
            <w:r>
              <w:rPr>
                <w:b/>
                <w:color w:val="000000"/>
                <w:sz w:val="20"/>
              </w:rPr>
              <w:t>绿色节能</w:t>
            </w:r>
          </w:p>
          <w:p>
            <w:pPr>
              <w:jc w:val="both"/>
            </w:pPr>
            <w:r>
              <w:rPr>
                <w:color w:val="000000"/>
                <w:sz w:val="20"/>
              </w:rPr>
              <w:t>支持能效以太网功能，</w:t>
            </w:r>
            <w:r>
              <w:rPr>
                <w:color w:val="000000"/>
                <w:sz w:val="20"/>
              </w:rPr>
              <w:t>IEEE 802.3az</w:t>
            </w:r>
          </w:p>
        </w:tc>
      </w:tr>
      <w:tr>
        <w:tc>
          <w:tcPr>
            <w:tcW w:type="dxa" w:w="2076"/>
          </w:tcPr>
          <w:p/>
        </w:tc>
        <w:tc>
          <w:tcPr>
            <w:tcW w:type="dxa" w:w="415"/>
          </w:tcPr>
          <w:p>
            <w:r>
              <w:rPr/>
              <w:t>14</w:t>
            </w:r>
          </w:p>
        </w:tc>
        <w:tc>
          <w:tcPr>
            <w:tcW w:type="dxa" w:w="5814"/>
          </w:tcPr>
          <w:p>
            <w:pPr>
              <w:jc w:val="both"/>
            </w:pPr>
            <w:r>
              <w:rPr>
                <w:color w:val="000000"/>
                <w:sz w:val="20"/>
              </w:rPr>
              <w:t>服务：</w:t>
            </w:r>
            <w:r>
              <w:rPr>
                <w:color w:val="000000"/>
                <w:sz w:val="20"/>
              </w:rPr>
              <w:t>（</w:t>
            </w:r>
            <w:r>
              <w:rPr>
                <w:color w:val="000000"/>
                <w:sz w:val="20"/>
              </w:rPr>
              <w:t>1）提供不少于三年7*24小时的售后服务承诺；（2）提供三年原厂保修及原厂无条件现场服务，安装由原厂工程师完成实施；（3）提供针对交换路由方向的高级认证工程师名额至少2名；提供对系统软件的无条件升级服务，保证系统软件为最新版本。</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超融合云平台扩容节点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0"/>
              </w:rPr>
              <w:t>整体要求</w:t>
            </w:r>
          </w:p>
          <w:p>
            <w:pPr>
              <w:jc w:val="both"/>
            </w:pPr>
            <w:r>
              <w:rPr>
                <w:b/>
                <w:color w:val="000000"/>
                <w:sz w:val="20"/>
              </w:rPr>
              <w:t>1、采购内容</w:t>
            </w:r>
          </w:p>
          <w:p>
            <w:pPr>
              <w:jc w:val="both"/>
            </w:pPr>
            <w:r>
              <w:rPr>
                <w:color w:val="000000"/>
                <w:sz w:val="20"/>
              </w:rPr>
              <w:t>基于通用</w:t>
            </w:r>
            <w:r>
              <w:rPr>
                <w:color w:val="000000"/>
                <w:sz w:val="20"/>
              </w:rPr>
              <w:t>X86架构的模块化的“超融合平台”设备，19英寸工业标准机架式，2U机架高度。</w:t>
            </w:r>
          </w:p>
          <w:p>
            <w:pPr>
              <w:jc w:val="both"/>
            </w:pPr>
            <w:r>
              <w:rPr>
                <w:b/>
                <w:color w:val="000000"/>
                <w:sz w:val="20"/>
              </w:rPr>
              <w:t>2、架构要求</w:t>
            </w:r>
          </w:p>
          <w:p>
            <w:pPr>
              <w:jc w:val="both"/>
            </w:pPr>
            <w:r>
              <w:rPr>
                <w:color w:val="000000"/>
                <w:sz w:val="20"/>
              </w:rPr>
              <w:t>所投产品采用符合超融合特性的系统架构横向扩展的体系结构，具有高可靠、无交换背板和</w:t>
            </w:r>
            <w:r>
              <w:rPr>
                <w:color w:val="000000"/>
                <w:sz w:val="20"/>
              </w:rPr>
              <w:t>No SAN等特性；在一个资源池内，支持横向扩展（Scale-out）；分布式架构需将所有节点的空间能无缝融合为单一的存储池，节间无主次之分,无计算、存储、管理节点之分。节点出厂配置服务器、存储虚拟化能力。</w:t>
            </w:r>
          </w:p>
          <w:p>
            <w:pPr>
              <w:jc w:val="both"/>
            </w:pPr>
            <w:r>
              <w:rPr>
                <w:b/>
                <w:color w:val="000000"/>
                <w:sz w:val="20"/>
              </w:rPr>
              <w:t>3、节点规模</w:t>
            </w:r>
          </w:p>
          <w:p>
            <w:pPr>
              <w:jc w:val="both"/>
            </w:pPr>
            <w:r>
              <w:rPr>
                <w:color w:val="000000"/>
                <w:sz w:val="20"/>
              </w:rPr>
              <w:t>所投产品单一集群节点规模无限制</w:t>
            </w:r>
          </w:p>
          <w:p>
            <w:pPr>
              <w:jc w:val="both"/>
            </w:pPr>
            <w:r>
              <w:rPr>
                <w:b/>
                <w:color w:val="000000"/>
                <w:sz w:val="20"/>
              </w:rPr>
              <w:t>4、节点配置</w:t>
            </w:r>
          </w:p>
          <w:p>
            <w:pPr>
              <w:jc w:val="both"/>
            </w:pPr>
            <w:r>
              <w:rPr>
                <w:sz w:val="21"/>
              </w:rPr>
              <w:t>★</w:t>
            </w:r>
            <w:r>
              <w:rPr>
                <w:color w:val="000000"/>
                <w:sz w:val="20"/>
              </w:rPr>
              <w:t>本次所采购的每个节点配置至少</w:t>
            </w:r>
            <w:r>
              <w:rPr>
                <w:color w:val="000000"/>
                <w:sz w:val="20"/>
              </w:rPr>
              <w:t>2颗≥ 核心数量16C/热设计功耗125W/主频2.3GHz处理器；本次配置≥512GB内存；配置至少2块≥1.92 TB SSD固态硬盘和至少6块≥8TB SATA硬盘，</w:t>
            </w:r>
            <w:r>
              <w:rPr>
                <w:sz w:val="20"/>
              </w:rPr>
              <w:t>应</w:t>
            </w:r>
            <w:r>
              <w:rPr>
                <w:color w:val="000000"/>
                <w:sz w:val="20"/>
              </w:rPr>
              <w:t>提供不低于</w:t>
            </w:r>
            <w:r>
              <w:rPr>
                <w:color w:val="000000"/>
                <w:sz w:val="20"/>
              </w:rPr>
              <w:t>48TB的裸容量，；内置至少2x M.2 Boot [240 GB] 用于系统安装；配置至少1个千兆自适应IPMI管理端口，外部业务交换配置至少2个10GbE SFP+端口以及相应的SFP+模块。支持热插拔冗余风扇；配置至少2个热插拔冗余电源。</w:t>
            </w:r>
          </w:p>
        </w:tc>
      </w:tr>
      <w:tr>
        <w:tc>
          <w:tcPr>
            <w:tcW w:type="dxa" w:w="2076"/>
          </w:tcPr>
          <w:p/>
        </w:tc>
        <w:tc>
          <w:tcPr>
            <w:tcW w:type="dxa" w:w="415"/>
          </w:tcPr>
          <w:p>
            <w:r>
              <w:rPr/>
              <w:t>2</w:t>
            </w:r>
          </w:p>
        </w:tc>
        <w:tc>
          <w:tcPr>
            <w:tcW w:type="dxa" w:w="5814"/>
          </w:tcPr>
          <w:p>
            <w:pPr>
              <w:jc w:val="both"/>
            </w:pPr>
            <w:r>
              <w:rPr>
                <w:b/>
                <w:color w:val="000000"/>
                <w:sz w:val="20"/>
              </w:rPr>
              <w:t>基础功能</w:t>
            </w:r>
          </w:p>
          <w:p>
            <w:pPr>
              <w:jc w:val="both"/>
            </w:pPr>
            <w:r>
              <w:rPr>
                <w:b/>
                <w:color w:val="000000"/>
                <w:sz w:val="20"/>
              </w:rPr>
              <w:t>1、异构虚拟化集群支持</w:t>
            </w:r>
          </w:p>
          <w:p>
            <w:pPr>
              <w:jc w:val="both"/>
            </w:pPr>
            <w:r>
              <w:rPr>
                <w:color w:val="000000"/>
                <w:sz w:val="20"/>
              </w:rPr>
              <w:t>支持异构虚拟化平台（</w:t>
            </w:r>
            <w:r>
              <w:rPr>
                <w:color w:val="000000"/>
                <w:sz w:val="20"/>
              </w:rPr>
              <w:t>VMware和KVM）混合在同一个集群中。</w:t>
            </w:r>
          </w:p>
          <w:p>
            <w:pPr>
              <w:jc w:val="both"/>
            </w:pPr>
            <w:r>
              <w:rPr>
                <w:b/>
                <w:color w:val="000000"/>
                <w:sz w:val="20"/>
              </w:rPr>
              <w:t>2</w:t>
            </w:r>
            <w:r>
              <w:rPr>
                <w:color w:val="000000"/>
                <w:sz w:val="21"/>
              </w:rPr>
              <w:t>、▲</w:t>
            </w:r>
            <w:r>
              <w:rPr>
                <w:b/>
                <w:color w:val="000000"/>
                <w:sz w:val="21"/>
              </w:rPr>
              <w:t>虚拟化平台支持能力：</w:t>
            </w:r>
            <w:r>
              <w:rPr>
                <w:color w:val="000000"/>
                <w:sz w:val="21"/>
              </w:rPr>
              <w:t>所投产品可以支持不少于3种的常见虚拟化产品，如VMware vSphere ESXi，XenServer，AHV等，可实现VMware vSphere和ASV或AHV或CAS或LHV等之间的VM一键式转换。</w:t>
            </w:r>
            <w:r>
              <w:rPr>
                <w:b/>
                <w:color w:val="000000"/>
                <w:sz w:val="21"/>
              </w:rPr>
              <w:t>并提供产品功能截图</w:t>
            </w:r>
            <w:r>
              <w:rPr>
                <w:color w:val="000000"/>
                <w:sz w:val="21"/>
              </w:rPr>
              <w:t>。</w:t>
            </w:r>
          </w:p>
          <w:p>
            <w:pPr>
              <w:jc w:val="both"/>
            </w:pPr>
            <w:r>
              <w:rPr>
                <w:b/>
                <w:color w:val="000000"/>
                <w:sz w:val="20"/>
              </w:rPr>
              <w:t>3、虚拟化平台一键式转化</w:t>
            </w:r>
          </w:p>
          <w:p>
            <w:pPr>
              <w:jc w:val="both"/>
            </w:pPr>
            <w:r>
              <w:rPr>
                <w:color w:val="000000"/>
                <w:sz w:val="20"/>
              </w:rPr>
              <w:t>通过界面点击即可将超融合集群的虚拟化平台（</w:t>
            </w:r>
            <w:r>
              <w:rPr>
                <w:color w:val="000000"/>
                <w:sz w:val="20"/>
              </w:rPr>
              <w:t>Hypervisor）转化为另一种虚拟化平台，虚拟机格式自动转化。</w:t>
            </w:r>
          </w:p>
          <w:p>
            <w:pPr>
              <w:jc w:val="both"/>
            </w:pPr>
            <w:r>
              <w:rPr>
                <w:b/>
                <w:color w:val="000000"/>
                <w:sz w:val="20"/>
              </w:rPr>
              <w:t>4、分布式文件系统</w:t>
            </w:r>
          </w:p>
          <w:p>
            <w:pPr>
              <w:jc w:val="both"/>
            </w:pPr>
            <w:r>
              <w:rPr>
                <w:color w:val="000000"/>
                <w:sz w:val="20"/>
              </w:rPr>
              <w:t>所投产品使用企业级分布式文件的解决方案，不接受采用开源产品（例如</w:t>
            </w:r>
            <w:r>
              <w:rPr>
                <w:color w:val="000000"/>
                <w:sz w:val="20"/>
              </w:rPr>
              <w:t>GlusterFS、Ceph等）进行二次开发，单节点故障时不会影响整个存储空间的使用且数据不会发生错误或丢失。</w:t>
            </w:r>
          </w:p>
          <w:p>
            <w:pPr>
              <w:jc w:val="both"/>
            </w:pPr>
            <w:r>
              <w:rPr>
                <w:b/>
                <w:color w:val="000000"/>
                <w:sz w:val="20"/>
              </w:rPr>
              <w:t>5、横向线性扩展：</w:t>
            </w:r>
            <w:r>
              <w:rPr>
                <w:color w:val="000000"/>
                <w:sz w:val="20"/>
              </w:rPr>
              <w:t>所投产品的集群内可自动发现新增节点，在不中断业务的情况下将新节点自动或手动加入现有集群中，实现集群计算和存储资源的无缝扩展，产品单一集群节点数量可扩展不小于</w:t>
            </w:r>
            <w:r>
              <w:rPr>
                <w:color w:val="000000"/>
                <w:sz w:val="20"/>
              </w:rPr>
              <w:t>6</w:t>
            </w:r>
            <w:r>
              <w:rPr>
                <w:color w:val="000000"/>
                <w:sz w:val="20"/>
              </w:rPr>
              <w:t>000</w:t>
            </w:r>
            <w:r>
              <w:rPr>
                <w:color w:val="000000"/>
                <w:sz w:val="20"/>
              </w:rPr>
              <w:t>个节点。</w:t>
            </w:r>
          </w:p>
          <w:p>
            <w:pPr>
              <w:jc w:val="both"/>
            </w:pPr>
            <w:r>
              <w:rPr>
                <w:b/>
                <w:color w:val="000000"/>
                <w:sz w:val="20"/>
              </w:rPr>
              <w:t>6、业务数据保护模式</w:t>
            </w:r>
          </w:p>
          <w:p>
            <w:pPr>
              <w:jc w:val="both"/>
            </w:pPr>
            <w:r>
              <w:rPr>
                <w:color w:val="000000"/>
                <w:sz w:val="20"/>
              </w:rPr>
              <w:t>所投产品提供多数据副本机制，可以实现数据保留</w:t>
            </w:r>
            <w:r>
              <w:rPr>
                <w:color w:val="000000"/>
                <w:sz w:val="20"/>
              </w:rPr>
              <w:t>2份或3份，充分保护数据；当一个或多个SSD损坏情况下，不影响本地磁盘组或分布式存储集群，本地存储的数据仍可用；当整个节点所有硬件全部失效时不会影响数据正常访问，业务不中断；要求节点不使用Raid技术或分布式Raid技术保护数据，无需使用热备盘，避免由于磁盘故障导致整个Raid组性能降级，从而影响业务正常运行。</w:t>
            </w:r>
          </w:p>
          <w:p>
            <w:pPr>
              <w:jc w:val="both"/>
            </w:pPr>
            <w:r>
              <w:rPr>
                <w:b/>
                <w:color w:val="000000"/>
                <w:sz w:val="20"/>
              </w:rPr>
              <w:t>7、跨机柜冗余</w:t>
            </w:r>
          </w:p>
          <w:p>
            <w:pPr>
              <w:jc w:val="both"/>
            </w:pPr>
            <w:r>
              <w:rPr>
                <w:color w:val="000000"/>
                <w:sz w:val="20"/>
              </w:rPr>
              <w:t>支持跨机柜冗余，防止单个机柜故障导致集群无法使用。</w:t>
            </w:r>
          </w:p>
          <w:p>
            <w:pPr>
              <w:jc w:val="both"/>
            </w:pPr>
            <w:r>
              <w:rPr>
                <w:b/>
                <w:color w:val="000000"/>
                <w:sz w:val="20"/>
              </w:rPr>
              <w:t>8、数据重建效率：</w:t>
            </w:r>
            <w:r>
              <w:rPr>
                <w:color w:val="000000"/>
                <w:sz w:val="20"/>
              </w:rPr>
              <w:t>超融合软件在发现故障后立刻进行数据重建。当</w:t>
            </w:r>
            <w:r>
              <w:rPr>
                <w:color w:val="000000"/>
                <w:sz w:val="20"/>
              </w:rPr>
              <w:t>SSD磁盘出现故障时，仅需重建SSD中的数据，减少重建时间，降低对整体集群的影响。</w:t>
            </w:r>
          </w:p>
          <w:p>
            <w:pPr>
              <w:jc w:val="both"/>
            </w:pPr>
            <w:r>
              <w:rPr>
                <w:b/>
                <w:color w:val="000000"/>
                <w:sz w:val="20"/>
              </w:rPr>
              <w:t>9、混合节点中VM性能加速：</w:t>
            </w:r>
            <w:r>
              <w:rPr>
                <w:color w:val="000000"/>
                <w:sz w:val="20"/>
              </w:rPr>
              <w:t>为了保障核心业务虚拟机的性能，可通过升级许可的方式支持在混合节点中将单个虚拟机或者虚拟机的卷指定存储到</w:t>
            </w:r>
            <w:r>
              <w:rPr>
                <w:color w:val="000000"/>
                <w:sz w:val="20"/>
              </w:rPr>
              <w:t>SSD层中提升性能。</w:t>
            </w:r>
          </w:p>
          <w:p>
            <w:pPr>
              <w:jc w:val="both"/>
            </w:pPr>
            <w:r>
              <w:rPr>
                <w:b/>
                <w:color w:val="000000"/>
                <w:sz w:val="20"/>
              </w:rPr>
              <w:t>10、数据本地化</w:t>
            </w:r>
          </w:p>
          <w:p>
            <w:pPr>
              <w:jc w:val="both"/>
            </w:pPr>
            <w:r>
              <w:rPr>
                <w:color w:val="000000"/>
                <w:sz w:val="20"/>
              </w:rPr>
              <w:t>为了满足本次项目的虚拟化环境下虚拟机因故障触发</w:t>
            </w:r>
            <w:r>
              <w:rPr>
                <w:color w:val="000000"/>
                <w:sz w:val="20"/>
              </w:rPr>
              <w:t>HA机制，或手动迁移时业务系统的性能一致性，所投产品支持在上述两种场景下，虚拟机的数据文件将会随虚拟机自动迁移到其所在主机的数据存储中，通过数据本地化提高虚拟机性能，并降低虚拟机跨界点数据读取带来的网络高负载。</w:t>
            </w:r>
          </w:p>
          <w:p>
            <w:pPr>
              <w:jc w:val="both"/>
            </w:pPr>
            <w:r>
              <w:rPr>
                <w:b/>
                <w:color w:val="000000"/>
                <w:sz w:val="20"/>
              </w:rPr>
              <w:t>11、智能数据分层</w:t>
            </w:r>
          </w:p>
          <w:p>
            <w:pPr>
              <w:jc w:val="both"/>
            </w:pPr>
            <w:r>
              <w:rPr>
                <w:color w:val="000000"/>
                <w:sz w:val="20"/>
              </w:rPr>
              <w:t>所投产品可实现将经常访问的热点数据自动缓存到</w:t>
            </w:r>
            <w:r>
              <w:rPr>
                <w:color w:val="000000"/>
                <w:sz w:val="20"/>
              </w:rPr>
              <w:t>SSD磁盘上，而将不常用的数据放在SATA磁盘上，无需手工干预；SSD既可作为缓存层又可作为数据容量层。</w:t>
            </w:r>
          </w:p>
          <w:p>
            <w:pPr>
              <w:jc w:val="both"/>
            </w:pPr>
            <w:r>
              <w:rPr>
                <w:b/>
                <w:color w:val="000000"/>
                <w:sz w:val="20"/>
              </w:rPr>
              <w:t>12、数据存储优先级</w:t>
            </w:r>
          </w:p>
          <w:p>
            <w:pPr>
              <w:jc w:val="both"/>
            </w:pPr>
            <w:r>
              <w:rPr>
                <w:color w:val="000000"/>
                <w:sz w:val="20"/>
              </w:rPr>
              <w:t>所投产品可以支持虚拟机优先使用该虚拟机所在节点的本地</w:t>
            </w:r>
            <w:r>
              <w:rPr>
                <w:color w:val="000000"/>
                <w:sz w:val="20"/>
              </w:rPr>
              <w:t>SSD磁盘进行IO吞吐，其次使用集群范围内其他节点SSD磁盘进行IO吞吐，不会由于SSD容量问题而导致性能降级，始终保持节点IO吞吐的高性能。</w:t>
            </w:r>
          </w:p>
          <w:p>
            <w:pPr>
              <w:jc w:val="both"/>
            </w:pPr>
            <w:r>
              <w:rPr>
                <w:b/>
                <w:color w:val="000000"/>
                <w:sz w:val="20"/>
              </w:rPr>
              <w:t>13、重复数据删除：</w:t>
            </w:r>
            <w:r>
              <w:rPr>
                <w:color w:val="000000"/>
                <w:sz w:val="20"/>
              </w:rPr>
              <w:t>本次许可</w:t>
            </w:r>
            <w:r>
              <w:rPr>
                <w:sz w:val="20"/>
              </w:rPr>
              <w:t>应</w:t>
            </w:r>
            <w:r>
              <w:rPr>
                <w:color w:val="000000"/>
                <w:sz w:val="20"/>
              </w:rPr>
              <w:t>包含重复数据删除功能，该功能既可支持全闪存架构，又能支持混合架构，可以提供内存、</w:t>
            </w:r>
            <w:r>
              <w:rPr>
                <w:color w:val="000000"/>
                <w:sz w:val="20"/>
              </w:rPr>
              <w:t>SSD、SATA不同性能层面的重复数据删除功能，并且使用几k到十几k的粒度保证重复数据删除的效率和效果。重复数据删除功能不依赖特殊硬件要求，为纯软件即可实现的能力。</w:t>
            </w:r>
          </w:p>
          <w:p>
            <w:pPr>
              <w:jc w:val="both"/>
            </w:pPr>
            <w:r>
              <w:rPr>
                <w:b/>
                <w:color w:val="000000"/>
                <w:sz w:val="20"/>
              </w:rPr>
              <w:t>14、数据压缩：</w:t>
            </w:r>
            <w:r>
              <w:rPr>
                <w:color w:val="000000"/>
                <w:sz w:val="20"/>
              </w:rPr>
              <w:t>本次许可</w:t>
            </w:r>
            <w:r>
              <w:rPr>
                <w:sz w:val="20"/>
              </w:rPr>
              <w:t>应</w:t>
            </w:r>
            <w:r>
              <w:rPr>
                <w:color w:val="000000"/>
                <w:sz w:val="20"/>
              </w:rPr>
              <w:t>包含数据压缩功能，该功能既可支持全闪存架构，又能支持混合架构，支持数据的在线压缩，写数据时同步压缩；也要支持线后压缩，在资源闲置时对于冷数据进行压缩处理，最大化存储层可用空间。数据压缩功能不依赖特殊硬件要求，为纯软件即可实现的能力。</w:t>
            </w:r>
          </w:p>
          <w:p>
            <w:pPr>
              <w:jc w:val="both"/>
            </w:pPr>
            <w:r>
              <w:rPr>
                <w:b/>
                <w:color w:val="000000"/>
                <w:sz w:val="20"/>
              </w:rPr>
              <w:t>15、纠删码</w:t>
            </w:r>
          </w:p>
          <w:p>
            <w:pPr>
              <w:jc w:val="both"/>
            </w:pPr>
            <w:r>
              <w:rPr>
                <w:color w:val="000000"/>
                <w:sz w:val="20"/>
              </w:rPr>
              <w:t>本次许可</w:t>
            </w:r>
            <w:r>
              <w:rPr>
                <w:sz w:val="20"/>
              </w:rPr>
              <w:t>应</w:t>
            </w:r>
            <w:r>
              <w:rPr>
                <w:color w:val="000000"/>
                <w:sz w:val="20"/>
              </w:rPr>
              <w:t>包含纠删码功能，该功能既可支持全闪存架构，又能支持混合架构，可以提供基于纠删码</w:t>
            </w:r>
            <w:r>
              <w:rPr>
                <w:color w:val="000000"/>
                <w:sz w:val="20"/>
              </w:rPr>
              <w:t>(Erasure Code)的数据保护方式，在不影响性能的情况下，实现数据的冗余保护和快速恢复机制；纠删码功能不依赖特殊硬件要求，为纯软件即可实现的能力。</w:t>
            </w:r>
          </w:p>
          <w:p>
            <w:pPr>
              <w:jc w:val="both"/>
            </w:pPr>
            <w:r>
              <w:rPr>
                <w:b/>
                <w:color w:val="000000"/>
                <w:sz w:val="20"/>
              </w:rPr>
              <w:t>16、▲纠删码功能：</w:t>
            </w:r>
            <w:r>
              <w:rPr>
                <w:color w:val="000000"/>
                <w:sz w:val="20"/>
              </w:rPr>
              <w:t>纠删码功能既可支持全闪存架构，又能支持混合架构；无论是</w:t>
            </w:r>
            <w:r>
              <w:rPr>
                <w:color w:val="000000"/>
                <w:sz w:val="20"/>
              </w:rPr>
              <w:t>SSD还是HDD的数据均可支持；在冗余2即两份数据的情况下，可用容量达到70%左右，在冗余3即三份数据的情况下，可用容量达到50%左右。</w:t>
            </w:r>
            <w:r>
              <w:rPr>
                <w:b/>
                <w:color w:val="000000"/>
                <w:sz w:val="20"/>
              </w:rPr>
              <w:t>提供产品功能截图。</w:t>
            </w:r>
          </w:p>
          <w:p>
            <w:pPr>
              <w:jc w:val="both"/>
            </w:pPr>
            <w:r>
              <w:rPr>
                <w:b/>
                <w:color w:val="000000"/>
                <w:sz w:val="20"/>
              </w:rPr>
              <w:t>17、存储快照</w:t>
            </w:r>
          </w:p>
          <w:p>
            <w:pPr>
              <w:jc w:val="both"/>
            </w:pPr>
            <w:r>
              <w:rPr>
                <w:color w:val="000000"/>
                <w:sz w:val="20"/>
              </w:rPr>
              <w:t>所投产品在存储层面提供基于虚拟机磁盘粒度的快照，并且具备自动快照管理功能，可以定制时间间隔自动拍摄快照，并且自定义保存最新的多个快照。</w:t>
            </w:r>
          </w:p>
          <w:p>
            <w:pPr>
              <w:jc w:val="both"/>
            </w:pPr>
            <w:r>
              <w:rPr>
                <w:b/>
                <w:color w:val="000000"/>
                <w:sz w:val="20"/>
              </w:rPr>
              <w:t>18、iSCSI块存储服务</w:t>
            </w:r>
          </w:p>
          <w:p>
            <w:pPr>
              <w:jc w:val="both"/>
            </w:pPr>
            <w:r>
              <w:rPr>
                <w:color w:val="000000"/>
                <w:sz w:val="20"/>
              </w:rPr>
              <w:t>投标产品本身即可提供</w:t>
            </w:r>
            <w:r>
              <w:rPr>
                <w:color w:val="000000"/>
                <w:sz w:val="20"/>
              </w:rPr>
              <w:t>iscsi块存储给虚拟机、物理机及容器；无需手动配置OS多路径软件即可自动实现路径高可用和负载均衡。</w:t>
            </w:r>
          </w:p>
          <w:p>
            <w:pPr>
              <w:jc w:val="both"/>
            </w:pPr>
            <w:r>
              <w:rPr>
                <w:b/>
                <w:color w:val="000000"/>
                <w:sz w:val="20"/>
              </w:rPr>
              <w:t>19、本地备份</w:t>
            </w:r>
          </w:p>
          <w:p>
            <w:pPr>
              <w:jc w:val="both"/>
            </w:pPr>
            <w:r>
              <w:rPr>
                <w:color w:val="000000"/>
                <w:sz w:val="20"/>
              </w:rPr>
              <w:t>所投产品在不需要额外备份软件的支持下，通过内置快照方式进行以虚拟机为中心的本地备份；也要能够支持主流虚拟化备份软件方案，并且经过厂商的相互认证，包括</w:t>
            </w:r>
            <w:r>
              <w:rPr>
                <w:color w:val="000000"/>
                <w:sz w:val="20"/>
              </w:rPr>
              <w:t>Veeam、Commvault等；针对于VMware vSphere存储备份，支持VAAI接口。</w:t>
            </w:r>
          </w:p>
          <w:p>
            <w:pPr>
              <w:jc w:val="both"/>
            </w:pPr>
            <w:r>
              <w:rPr>
                <w:b/>
                <w:color w:val="000000"/>
                <w:sz w:val="20"/>
              </w:rPr>
              <w:t>20、文件自恢复</w:t>
            </w:r>
          </w:p>
          <w:p>
            <w:pPr>
              <w:jc w:val="both"/>
            </w:pPr>
            <w:r>
              <w:rPr>
                <w:color w:val="000000"/>
                <w:sz w:val="20"/>
              </w:rPr>
              <w:t>虚拟机用户可以在</w:t>
            </w:r>
            <w:r>
              <w:rPr>
                <w:color w:val="000000"/>
                <w:sz w:val="20"/>
              </w:rPr>
              <w:t>Guest OS中挂载底层存储快照中的磁盘，并进行文件颗粒度的数据恢复。</w:t>
            </w:r>
          </w:p>
          <w:p>
            <w:pPr>
              <w:jc w:val="both"/>
            </w:pPr>
            <w:r>
              <w:rPr>
                <w:b/>
                <w:color w:val="000000"/>
                <w:sz w:val="20"/>
              </w:rPr>
              <w:t>21、数据双活及容灾</w:t>
            </w:r>
          </w:p>
          <w:p>
            <w:pPr>
              <w:jc w:val="both"/>
            </w:pPr>
            <w:r>
              <w:rPr>
                <w:color w:val="000000"/>
                <w:sz w:val="20"/>
              </w:rPr>
              <w:t>所投产品不需要额外的软硬件设备，即可以支持跨地域的远程数据容灾能力。支持两端是不同</w:t>
            </w:r>
            <w:r>
              <w:rPr>
                <w:color w:val="000000"/>
                <w:sz w:val="20"/>
              </w:rPr>
              <w:t>Hypervisor集群间的远程数据容灾。支持通过添加许可的方式支持多对多容灾，同城数据级双活解决方案。</w:t>
            </w:r>
          </w:p>
          <w:p>
            <w:pPr>
              <w:jc w:val="both"/>
            </w:pPr>
            <w:r>
              <w:rPr>
                <w:b/>
                <w:color w:val="000000"/>
                <w:sz w:val="20"/>
              </w:rPr>
              <w:t>22、近同步数据复制</w:t>
            </w:r>
          </w:p>
          <w:p>
            <w:pPr>
              <w:jc w:val="both"/>
            </w:pPr>
            <w:r>
              <w:rPr>
                <w:color w:val="000000"/>
                <w:sz w:val="20"/>
              </w:rPr>
              <w:t>支持通过添加许可的方式分布式存储自身支持异步数据复制，支持最小</w:t>
            </w:r>
            <w:r>
              <w:rPr>
                <w:color w:val="000000"/>
                <w:sz w:val="20"/>
              </w:rPr>
              <w:t>1分钟RPO，对链路延迟质量无特殊要求。</w:t>
            </w:r>
          </w:p>
          <w:p>
            <w:pPr>
              <w:jc w:val="both"/>
            </w:pPr>
            <w:r>
              <w:rPr>
                <w:b/>
                <w:color w:val="000000"/>
                <w:sz w:val="20"/>
              </w:rPr>
              <w:t>23、异构虚拟化平台数据保护</w:t>
            </w:r>
          </w:p>
          <w:p>
            <w:pPr>
              <w:jc w:val="both"/>
            </w:pPr>
            <w:r>
              <w:rPr>
                <w:color w:val="000000"/>
                <w:sz w:val="20"/>
              </w:rPr>
              <w:t>分布式存储本身支持跨异构虚拟化平台（</w:t>
            </w:r>
            <w:r>
              <w:rPr>
                <w:color w:val="000000"/>
                <w:sz w:val="20"/>
              </w:rPr>
              <w:t>Hypervisor）间的容灾，虚拟机格式可在异构虚拟化平台间自动转化。</w:t>
            </w:r>
          </w:p>
          <w:p>
            <w:pPr>
              <w:jc w:val="both"/>
            </w:pPr>
            <w:r>
              <w:rPr>
                <w:b/>
                <w:color w:val="000000"/>
                <w:sz w:val="20"/>
              </w:rPr>
              <w:t>24、▲支持云端备份功能：</w:t>
            </w:r>
            <w:r>
              <w:rPr>
                <w:color w:val="000000"/>
                <w:sz w:val="20"/>
              </w:rPr>
              <w:t>所投产品可以提供原生的云端备份功能，通过统一的管理平台即可实现虚拟机数据备份到公有云平台，如亚马逊</w:t>
            </w:r>
            <w:r>
              <w:rPr>
                <w:color w:val="000000"/>
                <w:sz w:val="20"/>
              </w:rPr>
              <w:t>AWS或微软Azure平台等，</w:t>
            </w:r>
            <w:r>
              <w:rPr>
                <w:b/>
                <w:color w:val="000000"/>
                <w:sz w:val="20"/>
              </w:rPr>
              <w:t>提供产品功能截图。</w:t>
            </w:r>
          </w:p>
          <w:p>
            <w:pPr>
              <w:jc w:val="both"/>
            </w:pPr>
            <w:r>
              <w:rPr>
                <w:b/>
                <w:color w:val="000000"/>
                <w:sz w:val="20"/>
              </w:rPr>
              <w:t>25、云原生支持能力：</w:t>
            </w:r>
            <w:r>
              <w:rPr>
                <w:color w:val="000000"/>
                <w:sz w:val="20"/>
              </w:rPr>
              <w:t>所投产品提供在超融合集群中快速部企业级</w:t>
            </w:r>
            <w:r>
              <w:rPr>
                <w:color w:val="000000"/>
                <w:sz w:val="20"/>
              </w:rPr>
              <w:t>kubernetes集群功能，支持客户的云原生应用部署，提供容器平台的集中应用和平台日志管理和运维监控功能。</w:t>
            </w:r>
          </w:p>
          <w:p>
            <w:pPr>
              <w:jc w:val="both"/>
            </w:pPr>
            <w:r>
              <w:rPr>
                <w:b/>
                <w:color w:val="000000"/>
                <w:sz w:val="20"/>
              </w:rPr>
              <w:t>26、▲跨地域的集中式管理能力：</w:t>
            </w:r>
            <w:r>
              <w:rPr>
                <w:color w:val="000000"/>
                <w:sz w:val="20"/>
              </w:rPr>
              <w:t>所投产品可以在同一界面中对分布在不同数据中心或物理位置的多个集群进行统一管理，通过一个界面统一管理到计算、存储、虚拟化等资源。</w:t>
            </w:r>
            <w:r>
              <w:rPr>
                <w:b/>
                <w:color w:val="000000"/>
                <w:sz w:val="20"/>
              </w:rPr>
              <w:t>提供产品功能截图</w:t>
            </w:r>
            <w:r>
              <w:rPr>
                <w:color w:val="000000"/>
                <w:sz w:val="20"/>
              </w:rPr>
              <w:t>。</w:t>
            </w:r>
          </w:p>
          <w:p>
            <w:pPr>
              <w:jc w:val="both"/>
            </w:pPr>
            <w:r>
              <w:rPr>
                <w:b/>
                <w:color w:val="000000"/>
                <w:sz w:val="20"/>
              </w:rPr>
              <w:t>27、▲云平台支持能力：</w:t>
            </w:r>
            <w:r>
              <w:rPr>
                <w:color w:val="000000"/>
                <w:sz w:val="20"/>
              </w:rPr>
              <w:t>无缝支持开源</w:t>
            </w:r>
            <w:r>
              <w:rPr>
                <w:color w:val="000000"/>
                <w:sz w:val="20"/>
              </w:rPr>
              <w:t>OpenStack框架，无需做二次开发就可以实现对资源的部署和调用。</w:t>
            </w:r>
            <w:r>
              <w:rPr>
                <w:b/>
                <w:color w:val="000000"/>
                <w:sz w:val="20"/>
              </w:rPr>
              <w:t>提供产品功能截图</w:t>
            </w:r>
            <w:r>
              <w:rPr>
                <w:color w:val="000000"/>
                <w:sz w:val="20"/>
              </w:rPr>
              <w:t>。</w:t>
            </w:r>
          </w:p>
          <w:p>
            <w:pPr>
              <w:jc w:val="both"/>
            </w:pPr>
            <w:r>
              <w:rPr>
                <w:b/>
                <w:color w:val="000000"/>
                <w:sz w:val="20"/>
              </w:rPr>
              <w:t>28、系统安全技术要求</w:t>
            </w:r>
          </w:p>
          <w:p>
            <w:pPr>
              <w:jc w:val="both"/>
            </w:pPr>
            <w:r>
              <w:rPr>
                <w:color w:val="000000"/>
                <w:sz w:val="20"/>
              </w:rPr>
              <w:t>★分布式存储系统可以根据安全标准基线持续监测系统组件安全状况，并在检测到违反安全标准的情况后无需人工干预自动恢复到标准安全设置。</w:t>
            </w:r>
          </w:p>
        </w:tc>
      </w:tr>
      <w:tr>
        <w:tc>
          <w:tcPr>
            <w:tcW w:type="dxa" w:w="2076"/>
          </w:tcPr>
          <w:p/>
        </w:tc>
        <w:tc>
          <w:tcPr>
            <w:tcW w:type="dxa" w:w="415"/>
          </w:tcPr>
          <w:p>
            <w:r>
              <w:rPr/>
              <w:t>3</w:t>
            </w:r>
          </w:p>
        </w:tc>
        <w:tc>
          <w:tcPr>
            <w:tcW w:type="dxa" w:w="5814"/>
          </w:tcPr>
          <w:p>
            <w:pPr>
              <w:jc w:val="both"/>
            </w:pPr>
            <w:r>
              <w:rPr>
                <w:b/>
                <w:color w:val="000000"/>
                <w:sz w:val="20"/>
              </w:rPr>
              <w:t>统一管理能力</w:t>
            </w:r>
          </w:p>
          <w:p>
            <w:pPr>
              <w:jc w:val="both"/>
            </w:pPr>
            <w:r>
              <w:rPr>
                <w:b/>
                <w:color w:val="000000"/>
                <w:sz w:val="20"/>
              </w:rPr>
              <w:t>1、统一运维管理平台</w:t>
            </w:r>
          </w:p>
          <w:p>
            <w:pPr>
              <w:jc w:val="both"/>
            </w:pPr>
            <w:r>
              <w:rPr>
                <w:color w:val="000000"/>
                <w:sz w:val="20"/>
              </w:rPr>
              <w:t>所投产品支持一个管理软件平台实现所有监控和运维能力，包括软硬件监控、容量评估、风险分析、健康检查、错误告警、备份容灾等，而不是多种监控管理、备份、容灾等软件的组合；统一管理平台也是分布式架构，而不是主备（高可用）架构，访问统一服务域名（</w:t>
            </w:r>
            <w:r>
              <w:rPr>
                <w:color w:val="000000"/>
                <w:sz w:val="20"/>
              </w:rPr>
              <w:t>IP地址）或任意硬件节点服务域名（IP地址）都可以管理整个集群；任意管理节点及组件出问题，都可通过访问其他健康节点实现对整个平台的管理。</w:t>
            </w:r>
          </w:p>
          <w:p>
            <w:pPr>
              <w:jc w:val="both"/>
            </w:pPr>
            <w:r>
              <w:rPr>
                <w:b/>
                <w:color w:val="000000"/>
                <w:sz w:val="20"/>
              </w:rPr>
              <w:t>2、虚拟机IO特征展示</w:t>
            </w:r>
          </w:p>
          <w:p>
            <w:pPr>
              <w:jc w:val="both"/>
            </w:pPr>
            <w:r>
              <w:rPr>
                <w:color w:val="000000"/>
                <w:sz w:val="20"/>
              </w:rPr>
              <w:t>提供（</w:t>
            </w:r>
            <w:r>
              <w:rPr>
                <w:color w:val="000000"/>
                <w:sz w:val="20"/>
              </w:rPr>
              <w:t>VMware、HyperV、KVM）平台下单个虚拟机IO特征（读写比例、读写块分布情况、随机顺序比例，读写响应时间曲线、读写响应时间分布情况）图示，便于管理员进行故障排查。</w:t>
            </w:r>
          </w:p>
          <w:p>
            <w:pPr>
              <w:jc w:val="both"/>
            </w:pPr>
            <w:r>
              <w:rPr>
                <w:b/>
                <w:color w:val="000000"/>
                <w:sz w:val="20"/>
              </w:rPr>
              <w:t>3、网络可视化</w:t>
            </w:r>
          </w:p>
          <w:p>
            <w:pPr>
              <w:jc w:val="both"/>
            </w:pPr>
            <w:r>
              <w:rPr>
                <w:color w:val="000000"/>
                <w:sz w:val="20"/>
              </w:rPr>
              <w:t>所投产品的运维管理平台提供网络可视化功能，可以动态的呈现虚拟机，主机及网络交换机的映射关系，方便管理人员快速的获取网络路径，快速定位网络故障。</w:t>
            </w:r>
          </w:p>
          <w:p>
            <w:pPr>
              <w:jc w:val="both"/>
            </w:pPr>
            <w:r>
              <w:rPr>
                <w:b/>
                <w:color w:val="000000"/>
                <w:sz w:val="20"/>
              </w:rPr>
              <w:t>4、自动故障切换</w:t>
            </w:r>
          </w:p>
          <w:p>
            <w:pPr>
              <w:jc w:val="both"/>
            </w:pPr>
            <w:r>
              <w:rPr>
                <w:color w:val="000000"/>
                <w:sz w:val="20"/>
              </w:rPr>
              <w:t>所投产品提供故障切换能力，当组件自身故障时，不影响整个集群正常运行，保证业务连续性；当</w:t>
            </w:r>
            <w:r>
              <w:rPr>
                <w:color w:val="000000"/>
                <w:sz w:val="20"/>
              </w:rPr>
              <w:t>SSD和SATA盘出现故障情况下，可以通过热插拔方式进行盘的替换；当整个节点处故障的情况下，可以支持整个节点的硬件替换。</w:t>
            </w:r>
          </w:p>
          <w:p>
            <w:pPr>
              <w:jc w:val="both"/>
            </w:pPr>
            <w:r>
              <w:rPr>
                <w:color w:val="000000"/>
                <w:sz w:val="20"/>
              </w:rPr>
              <w:t>5、▲自助服务门户：</w:t>
            </w:r>
            <w:r>
              <w:rPr>
                <w:color w:val="000000"/>
                <w:sz w:val="20"/>
              </w:rPr>
              <w:t>所投产品无需借助第三方系统，原生支持用户自助服务门户，与用户现网域环境进行对接，支持创建业务应用项目，分配资源，实现业务用户自助创建和管理业务应用虚拟机。</w:t>
            </w:r>
            <w:r>
              <w:rPr>
                <w:b/>
                <w:color w:val="000000"/>
                <w:sz w:val="20"/>
              </w:rPr>
              <w:t>提供产品功能截图。</w:t>
            </w:r>
          </w:p>
          <w:p>
            <w:pPr>
              <w:jc w:val="both"/>
            </w:pPr>
            <w:r>
              <w:rPr>
                <w:b/>
                <w:color w:val="000000"/>
                <w:sz w:val="20"/>
              </w:rPr>
              <w:t>6、在线升级</w:t>
            </w:r>
          </w:p>
          <w:p>
            <w:pPr>
              <w:jc w:val="both"/>
            </w:pPr>
            <w:r>
              <w:rPr>
                <w:color w:val="000000"/>
                <w:sz w:val="20"/>
              </w:rPr>
              <w:t>所投产品在不需要关闭或迁移业务虚拟机和主机节点的情况下，可以实现超融合平台软件的在线升级。</w:t>
            </w:r>
          </w:p>
          <w:p>
            <w:pPr>
              <w:jc w:val="both"/>
            </w:pPr>
            <w:r>
              <w:rPr>
                <w:b/>
                <w:color w:val="000000"/>
                <w:sz w:val="20"/>
              </w:rPr>
              <w:t>7、一键式升级操作功能：</w:t>
            </w:r>
            <w:r>
              <w:rPr>
                <w:color w:val="000000"/>
                <w:sz w:val="20"/>
              </w:rPr>
              <w:t>所投产品可支持无业务中断的一键式升级操作，包括平台软件、虚拟化</w:t>
            </w:r>
            <w:r>
              <w:rPr>
                <w:color w:val="000000"/>
                <w:sz w:val="20"/>
              </w:rPr>
              <w:t>Hypervisor、BIOS和磁盘固件等。</w:t>
            </w:r>
            <w:r>
              <w:rPr>
                <w:b/>
                <w:color w:val="000000"/>
                <w:sz w:val="20"/>
              </w:rPr>
              <w:t>提供产品功能截图</w:t>
            </w:r>
            <w:r>
              <w:rPr>
                <w:color w:val="000000"/>
                <w:sz w:val="20"/>
              </w:rPr>
              <w:t>。</w:t>
            </w:r>
          </w:p>
          <w:p>
            <w:pPr>
              <w:jc w:val="both"/>
            </w:pPr>
            <w:r>
              <w:rPr>
                <w:b/>
                <w:color w:val="000000"/>
                <w:sz w:val="20"/>
              </w:rPr>
              <w:t>8、其他要求：</w:t>
            </w:r>
            <w:r>
              <w:rPr>
                <w:color w:val="000000"/>
                <w:sz w:val="20"/>
              </w:rPr>
              <w:t>所投产品支持不同型号、不同年代的计算存储一体超融合设备的混用和兼容。</w:t>
            </w:r>
          </w:p>
        </w:tc>
      </w:tr>
      <w:tr>
        <w:tc>
          <w:tcPr>
            <w:tcW w:type="dxa" w:w="2076"/>
          </w:tcPr>
          <w:p/>
        </w:tc>
        <w:tc>
          <w:tcPr>
            <w:tcW w:type="dxa" w:w="415"/>
          </w:tcPr>
          <w:p>
            <w:r>
              <w:rPr/>
              <w:t>4</w:t>
            </w:r>
          </w:p>
        </w:tc>
        <w:tc>
          <w:tcPr>
            <w:tcW w:type="dxa" w:w="5814"/>
          </w:tcPr>
          <w:p>
            <w:pPr>
              <w:jc w:val="both"/>
            </w:pPr>
            <w:r>
              <w:rPr>
                <w:color w:val="000000"/>
                <w:sz w:val="20"/>
              </w:rPr>
              <w:t>服务</w:t>
            </w:r>
            <w:r>
              <w:rPr>
                <w:color w:val="000000"/>
                <w:sz w:val="20"/>
              </w:rPr>
              <w:t>：</w:t>
            </w:r>
            <w:r>
              <w:rPr>
                <w:color w:val="000000"/>
                <w:sz w:val="20"/>
              </w:rPr>
              <w:t>提供不少于三年</w:t>
            </w:r>
            <w:r>
              <w:rPr>
                <w:color w:val="000000"/>
                <w:sz w:val="20"/>
              </w:rPr>
              <w:t>7*24小时的售后服务承诺；</w:t>
            </w:r>
            <w:r>
              <w:rPr>
                <w:color w:val="000000"/>
                <w:sz w:val="20"/>
              </w:rPr>
              <w:t>提供三年原厂保修及原厂无条件现场服务，安装由原厂工程师完成实施。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汕头大学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采购包1：保证金人民币：81,000.00元整。</w:t>
            </w:r>
          </w:p>
          <w:p>
            <w:r>
              <w:rPr/>
              <w:t>开户单位：</w:t>
            </w:r>
            <w:r>
              <w:rPr/>
              <w:t>广东志正招标有限公司</w:t>
            </w:r>
          </w:p>
          <w:p>
            <w:r>
              <w:rPr/>
              <w:t>开户账号：</w:t>
            </w:r>
            <w:r>
              <w:rPr/>
              <w:t>800201177509011</w:t>
            </w:r>
          </w:p>
          <w:p>
            <w:r>
              <w:rPr/>
              <w:t>开户银行：</w:t>
            </w:r>
            <w:r>
              <w:rPr/>
              <w:t>广州银行龙口西支行</w:t>
            </w:r>
          </w:p>
          <w:p>
            <w:r>
              <w:rPr/>
              <w:t>支票提交方式：</w:t>
            </w:r>
            <w:r>
              <w:rPr/>
              <w:t>保证金相关事宜联系人：郑小姐     联系电话：020-87554268</w:t>
            </w:r>
          </w:p>
          <w:p>
            <w:r>
              <w:rPr/>
              <w:t>汇票、本票提交方式：</w:t>
            </w:r>
            <w:r>
              <w:rPr/>
              <w:t>保证金相关事宜联系人：郑小姐     联系电话：020-87554268</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采购机构代理服务收费标准：采购机构代理服务收费标准：中标人须向采购代理机构按如下标准和规定缴纳招标代理服务费（不含税）： （1）以中标金额作为招标代理服务费的计算基数； （2）招标代理服务费采用差额定率累进法进行计算，按照以下标准下浮20%计取： 100万元以下的部分，按照1.5%计取； 100-500万元的部分，按照1.1%计取； 500-1000万元的部分，按照0.8%计取。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新型冠状病毒感染肺炎疫情防控期间的便利化措施（本招标文件其他条款与本条不一致的，以本条为准），投标文件的递交与开标 1. 疫情防控期间，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罗小姐 3）注明采购项目编号、包组号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罗小姐 3）注明采购项目编号、包组号</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采购包1(数据中心设备采购项目)：综合评分法,是指投标文件满足招标文件全部实质性要求，且按照评审因素的量化指标评审得分最高的投标人为中标候选人的评标方法。（最低报价不是中标的唯一依据。）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采购包1（数据中心设备采购项目）：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 《工业和信息化部、国家统计局、国家发展和改革委员会、 财政部关于印发中小企业划型标准规定的通知》（工信部联企业[2011]300号）规定的对小型或微型企业的划分标准； e)参加政府采购活动的中小企业应当提供《中小企业声明函 》，符合残疾人福利性单位认定条件的，应当提供《残疾人 福利性单位声明函》（见第五部分投标文件格式）；监狱企 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 1.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2.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3.对属于强制采购的节能产品，节能要求作为实质性响应指标，不再享受评审优惠。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采购包1（数据中心设备采购项目）：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提供最新的投标人营业执照（或事业单位法人证书，或社会团体法人登记证书，或执业许可证）副本复印件；若以不具有独立承担民事责任能力的分支机构投标，须取得具有法人资格的总公司的授权书，并提供总公司营业执照副本复印件；如投标人为自然人的需提供自然人身份证明。</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采购包1（数据中心设备采购项目）：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符合招标文件规定的投标有效期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采购包1数据中心设备采购项目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▲条款响应情况 (30.0分)</w:t>
            </w:r>
          </w:p>
        </w:tc>
        <w:tc>
          <w:tcPr>
            <w:tcW w:type="dxa" w:w="5076"/>
          </w:tcPr>
          <w:p>
            <w:pPr>
              <w:jc w:val="left"/>
            </w:pPr>
            <w:r>
              <w:rPr/>
              <w:t>根据招标文件的技术参数要求与投标文件的响应程度进行评审，每一项带“▲”满足要求的得2分。本项最高得30分，直到扣完为止。 注：如采购需求中有明确要求的证明资料，则以招标需求中要求的为准，如采购需求中无明确要求的，以投标人响应资料为准。未明确响应为“正偏离”或“无偏离”或“完全符合”的视为“负偏离”。</w:t>
            </w:r>
          </w:p>
        </w:tc>
      </w:tr>
      <w:tr>
        <w:tc>
          <w:tcPr>
            <w:tcW w:type="dxa" w:w="922"/>
            <w:gridSpan w:val="2"/>
            <w:vMerge/>
          </w:tcPr>
          <w:p/>
        </w:tc>
        <w:tc>
          <w:tcPr>
            <w:tcW w:type="dxa" w:w="2307"/>
          </w:tcPr>
          <w:p>
            <w:pPr>
              <w:jc w:val="left"/>
            </w:pPr>
            <w:r>
              <w:rPr/>
              <w:t>技术服务方案 (9.0分)</w:t>
            </w:r>
            <w:r>
              <w:rPr/>
              <w:t>，（等次分值选择：</w:t>
            </w:r>
            <w:r>
              <w:rPr/>
              <w:t>0.0;</w:t>
            </w:r>
            <w:r>
              <w:rPr/>
              <w:t>3.0;</w:t>
            </w:r>
            <w:r>
              <w:rPr/>
              <w:t>6.0;</w:t>
            </w:r>
            <w:r>
              <w:rPr/>
              <w:t>9.0;</w:t>
            </w:r>
            <w:r>
              <w:rPr/>
              <w:t>）</w:t>
            </w:r>
          </w:p>
        </w:tc>
        <w:tc>
          <w:tcPr>
            <w:tcW w:type="dxa" w:w="5076"/>
          </w:tcPr>
          <w:p>
            <w:pPr>
              <w:jc w:val="left"/>
            </w:pPr>
            <w:r>
              <w:rPr/>
              <w:t>根据投标人提供的技术服务（包括但不限于总体技术思路、服务响应时间等）进行评审： 方案详细具体，可行性高、可操作性强，各时间进度安排合理，得9分； 方案较详细具体，可行性较高、可操作性较强，各时间进度安排较合理，得6分； 方案基本详细具体，可行性欠缺、可操作性欠缺，各时间进度安排基本合理，得3分； 不提供不得分。</w:t>
            </w:r>
          </w:p>
        </w:tc>
      </w:tr>
      <w:tr>
        <w:tc>
          <w:tcPr>
            <w:tcW w:type="dxa" w:w="922"/>
            <w:gridSpan w:val="2"/>
            <w:vMerge/>
          </w:tcPr>
          <w:p/>
        </w:tc>
        <w:tc>
          <w:tcPr>
            <w:tcW w:type="dxa" w:w="2307"/>
          </w:tcPr>
          <w:p>
            <w:pPr>
              <w:jc w:val="left"/>
            </w:pPr>
            <w:r>
              <w:rPr/>
              <w:t>安装实施方案 (6.0分)</w:t>
            </w:r>
            <w:r>
              <w:rPr/>
              <w:t>，（等次分值选择：</w:t>
            </w:r>
            <w:r>
              <w:rPr/>
              <w:t>0.0;</w:t>
            </w:r>
            <w:r>
              <w:rPr/>
              <w:t>1.0;</w:t>
            </w:r>
            <w:r>
              <w:rPr/>
              <w:t>3.0;</w:t>
            </w:r>
            <w:r>
              <w:rPr/>
              <w:t>6.0;</w:t>
            </w:r>
            <w:r>
              <w:rPr/>
              <w:t>）</w:t>
            </w:r>
          </w:p>
        </w:tc>
        <w:tc>
          <w:tcPr>
            <w:tcW w:type="dxa" w:w="5076"/>
          </w:tcPr>
          <w:p>
            <w:pPr>
              <w:jc w:val="left"/>
            </w:pPr>
            <w:r>
              <w:rPr/>
              <w:t>根据投标人提供的安装实施方案（包括但不限于供货时间安排，安装、检测、调试计划等等）进行评审： 方案详细具体，可行性高、可操作性强，各时间进度安排合理，得6分； 方案较详细具体，可行性较高、可操作性较强，各时间进度安排较合理，得3分； 方案基本详细具体，可行性欠缺、可操作性欠缺，各时间进度安排基本合理，得1分； 不提供不得分。</w:t>
            </w:r>
          </w:p>
        </w:tc>
      </w:tr>
      <w:tr>
        <w:tc>
          <w:tcPr>
            <w:tcW w:type="dxa" w:w="922"/>
            <w:gridSpan w:val="2"/>
            <w:vMerge/>
          </w:tcPr>
          <w:p/>
        </w:tc>
        <w:tc>
          <w:tcPr>
            <w:tcW w:type="dxa" w:w="2307"/>
          </w:tcPr>
          <w:p>
            <w:pPr>
              <w:jc w:val="left"/>
            </w:pPr>
            <w:r>
              <w:rPr/>
              <w:t>培训、验收方案 (5.0分)</w:t>
            </w:r>
            <w:r>
              <w:rPr/>
              <w:t>，（等次分值选择：</w:t>
            </w:r>
            <w:r>
              <w:rPr/>
              <w:t>0.0;</w:t>
            </w:r>
            <w:r>
              <w:rPr/>
              <w:t>1.0;</w:t>
            </w:r>
            <w:r>
              <w:rPr/>
              <w:t>3.0;</w:t>
            </w:r>
            <w:r>
              <w:rPr/>
              <w:t>5.0;</w:t>
            </w:r>
            <w:r>
              <w:rPr/>
              <w:t>）</w:t>
            </w:r>
          </w:p>
        </w:tc>
        <w:tc>
          <w:tcPr>
            <w:tcW w:type="dxa" w:w="5076"/>
          </w:tcPr>
          <w:p>
            <w:pPr>
              <w:jc w:val="left"/>
            </w:pPr>
            <w:r>
              <w:rPr/>
              <w:t>根据投标人提供的培训、验收方案内容（包括但不限于培训时间安排、培训方式、培训内容，验收标准、验收方式、验收流程等）进行评审： 方案完整具体，科学合理，切合实际，得5分； 方案较完整具体，较科学合理，较切合实际，得3分； 方案基本完整具体，基本科学合理，基本切合实际，得1分； 不提供不得分。</w:t>
            </w:r>
          </w:p>
        </w:tc>
      </w:tr>
      <w:tr>
        <w:tc>
          <w:tcPr>
            <w:tcW w:type="dxa" w:w="922"/>
            <w:gridSpan w:val="2"/>
            <w:vMerge/>
          </w:tcPr>
          <w:p/>
        </w:tc>
        <w:tc>
          <w:tcPr>
            <w:tcW w:type="dxa" w:w="2307"/>
          </w:tcPr>
          <w:p>
            <w:pPr>
              <w:jc w:val="left"/>
            </w:pPr>
            <w:r>
              <w:rPr/>
              <w:t>售后服务方案  (3.0分)</w:t>
            </w:r>
            <w:r>
              <w:rPr/>
              <w:t>，（等次分值选择：</w:t>
            </w:r>
            <w:r>
              <w:rPr/>
              <w:t>0.0;</w:t>
            </w:r>
            <w:r>
              <w:rPr/>
              <w:t>1.0;</w:t>
            </w:r>
            <w:r>
              <w:rPr/>
              <w:t>2.0;</w:t>
            </w:r>
            <w:r>
              <w:rPr/>
              <w:t>3.0;</w:t>
            </w:r>
            <w:r>
              <w:rPr/>
              <w:t>）</w:t>
            </w:r>
          </w:p>
        </w:tc>
        <w:tc>
          <w:tcPr>
            <w:tcW w:type="dxa" w:w="5076"/>
          </w:tcPr>
          <w:p>
            <w:pPr>
              <w:jc w:val="left"/>
            </w:pPr>
            <w:r>
              <w:rPr/>
              <w:t>根据投标人提供的售后服务方案（包括但不限质保期期、应急维修时间安排、质保期满后的承诺、其它服务承诺等）：  售后服务方案较为详细，科学合理，得3分； 售后服务方案基本完善，基本科学合理，得2分； 售后服务方案不够完善，得1分。 不提供不得分。</w:t>
            </w:r>
          </w:p>
        </w:tc>
      </w:tr>
      <w:tr>
        <w:tc>
          <w:tcPr>
            <w:tcW w:type="dxa" w:w="922"/>
            <w:gridSpan w:val="2"/>
            <w:vMerge/>
          </w:tcPr>
          <w:p/>
        </w:tc>
        <w:tc>
          <w:tcPr>
            <w:tcW w:type="dxa" w:w="2307"/>
          </w:tcPr>
          <w:p>
            <w:pPr>
              <w:jc w:val="left"/>
            </w:pPr>
            <w:r>
              <w:rPr/>
              <w:t>保修期年限  (2.0分)</w:t>
            </w:r>
          </w:p>
        </w:tc>
        <w:tc>
          <w:tcPr>
            <w:tcW w:type="dxa" w:w="5076"/>
          </w:tcPr>
          <w:p>
            <w:pPr>
              <w:jc w:val="left"/>
            </w:pPr>
            <w:r>
              <w:rPr/>
              <w:t>对投标人在投标文件中承诺的项目保修期年限进行评审，投标人承诺在满足本项目招标文件所要求及保修期年限的基础上，所有货物每延长一年加1分，此项最高得2分。不提供承诺不得分。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投标人自2019年1月1日至今，完成同类项目业绩情况（本项最高得6分）： （1）业绩包含超融合云平台的，每提供一项得1分，最高得3分； （2）业绩包含本项目其他设备之一的，每提供一项得1分，最高得3分。  注：提供合同关键页复印件，否则不得分；以合同签订时间为准，合同关键页须包含项目名称、设备清单、双方签字盖章页等。</w:t>
            </w:r>
          </w:p>
        </w:tc>
      </w:tr>
      <w:tr>
        <w:tc>
          <w:tcPr>
            <w:tcW w:type="dxa" w:w="922"/>
            <w:gridSpan w:val="2"/>
            <w:vMerge/>
          </w:tcPr>
          <w:p/>
        </w:tc>
        <w:tc>
          <w:tcPr>
            <w:tcW w:type="dxa" w:w="2307"/>
          </w:tcPr>
          <w:p>
            <w:pPr>
              <w:jc w:val="left"/>
            </w:pPr>
            <w:r>
              <w:rPr/>
              <w:t>体系认证证书 (3.0分)</w:t>
            </w:r>
          </w:p>
        </w:tc>
        <w:tc>
          <w:tcPr>
            <w:tcW w:type="dxa" w:w="5076"/>
          </w:tcPr>
          <w:p>
            <w:pPr>
              <w:jc w:val="left"/>
            </w:pPr>
            <w:r>
              <w:rPr/>
              <w:t>投标人具有有效的质量管理体系认证、环境管理体系认证、信息安全管理体系认证认证证书，每提供一项得1分，最高得3分。  注：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tcPr>
          <w:p/>
        </w:tc>
        <w:tc>
          <w:tcPr>
            <w:tcW w:type="dxa" w:w="2307"/>
          </w:tcPr>
          <w:p>
            <w:pPr>
              <w:jc w:val="left"/>
            </w:pPr>
            <w:r>
              <w:rPr/>
              <w:t>项目团队成员 (6.0分)</w:t>
            </w:r>
          </w:p>
        </w:tc>
        <w:tc>
          <w:tcPr>
            <w:tcW w:type="dxa" w:w="5076"/>
          </w:tcPr>
          <w:p>
            <w:pPr>
              <w:jc w:val="left"/>
            </w:pPr>
            <w:r>
              <w:rPr/>
              <w:t>投标人拟投入本项目人员（驻场人员除外）情况： 具有计算机类中级及以上职称或资格证书，每满足一人得2分，最高得6分。 注：提供上述人员对应的证书复印件及在本单位任职的证明材料（如加盖所在地区政府有关部门印章的打印日期在本项目投标截止日之前三个月任一个月的《投保单》或《社会保险参保人员证明》，或单位代缴个人所得税税单等。）。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p>
    <w:p>
      <w:pPr>
        <w:jc w:val="center"/>
      </w:pPr>
      <w:r>
        <w:rPr>
          <w:b/>
          <w:sz w:val="44"/>
        </w:rPr>
        <w:t>汕头大学数据中心设备采购项目</w:t>
      </w:r>
    </w:p>
    <w:p>
      <w:pPr>
        <w:jc w:val="center"/>
      </w:pPr>
    </w:p>
    <w:p>
      <w:pPr>
        <w:jc w:val="center"/>
      </w:pPr>
    </w:p>
    <w:p>
      <w:pPr>
        <w:jc w:val="center"/>
      </w:pPr>
      <w:r>
        <w:rPr>
          <w:b/>
          <w:sz w:val="72"/>
        </w:rPr>
        <w:t>合同书</w:t>
      </w:r>
    </w:p>
    <w:p>
      <w:pPr>
        <w:jc w:val="center"/>
      </w:pPr>
    </w:p>
    <w:p>
      <w:pPr>
        <w:jc w:val="center"/>
      </w:pPr>
    </w:p>
    <w:p>
      <w:pPr>
        <w:jc w:val="both"/>
      </w:pPr>
      <w:r>
        <w:rPr>
          <w:b/>
          <w:sz w:val="28"/>
        </w:rPr>
        <w:t>项目名称：</w:t>
      </w:r>
      <w:r>
        <w:rPr>
          <w:b/>
          <w:sz w:val="21"/>
          <w:u w:val="single"/>
        </w:rPr>
        <w:t xml:space="preserve">                           </w:t>
      </w:r>
    </w:p>
    <w:p>
      <w:pPr>
        <w:jc w:val="both"/>
      </w:pPr>
      <w:r>
        <w:rPr>
          <w:b/>
          <w:sz w:val="28"/>
        </w:rPr>
        <w:t>合同编号：</w:t>
      </w:r>
      <w:r>
        <w:rPr>
          <w:b/>
          <w:sz w:val="21"/>
          <w:u w:val="single"/>
        </w:rPr>
        <w:t xml:space="preserve">                           </w:t>
      </w:r>
    </w:p>
    <w:p>
      <w:pPr>
        <w:jc w:val="both"/>
      </w:pPr>
      <w:r>
        <w:rPr>
          <w:b/>
          <w:sz w:val="28"/>
        </w:rPr>
        <w:t>签约地点：</w:t>
      </w:r>
      <w:r>
        <w:rPr>
          <w:b/>
          <w:sz w:val="21"/>
          <w:u w:val="single"/>
        </w:rPr>
        <w:t xml:space="preserve">                           </w:t>
      </w:r>
    </w:p>
    <w:p>
      <w:pPr>
        <w:jc w:val="both"/>
      </w:pPr>
      <w:r>
        <w:rPr>
          <w:b/>
          <w:sz w:val="28"/>
        </w:rPr>
        <w:t>签订日期：</w:t>
      </w:r>
      <w:r>
        <w:rPr>
          <w:b/>
          <w:sz w:val="28"/>
        </w:rPr>
        <w:t xml:space="preserve">      </w:t>
      </w:r>
      <w:r>
        <w:rPr>
          <w:b/>
          <w:sz w:val="28"/>
        </w:rPr>
        <w:t>年</w:t>
      </w:r>
      <w:r>
        <w:rPr>
          <w:b/>
          <w:sz w:val="28"/>
        </w:rPr>
        <w:t xml:space="preserve">   </w:t>
      </w:r>
      <w:r>
        <w:rPr>
          <w:b/>
          <w:sz w:val="28"/>
        </w:rPr>
        <w:t>月</w:t>
      </w:r>
      <w:r>
        <w:rPr>
          <w:b/>
          <w:sz w:val="28"/>
        </w:rPr>
        <w:t xml:space="preserve">    </w:t>
      </w:r>
      <w:r>
        <w:rPr>
          <w:b/>
          <w:sz w:val="28"/>
        </w:rPr>
        <w:t>日</w:t>
      </w:r>
    </w:p>
    <w:p>
      <w:pPr>
        <w:jc w:val="both"/>
      </w:pPr>
    </w:p>
    <w:p>
      <w:pPr>
        <w:jc w:val="both"/>
      </w:pPr>
    </w:p>
    <w:p>
      <w:pPr>
        <w:jc w:val="both"/>
      </w:pPr>
    </w:p>
    <w:p>
      <w:pPr>
        <w:jc w:val="both"/>
      </w:pPr>
    </w:p>
    <w:p/>
    <w:p>
      <w:r>
        <w:rPr/>
        <w:t xml:space="preserve"> </w:t>
      </w:r>
    </w:p>
    <w:p>
      <w:pPr>
        <w:jc w:val="center"/>
      </w:pPr>
      <w:r>
        <w:rPr>
          <w:sz w:val="21"/>
        </w:rPr>
        <w:t xml:space="preserve"> </w:t>
      </w:r>
      <w:r>
        <w:rPr>
          <w:b/>
          <w:sz w:val="21"/>
        </w:rPr>
        <w:t>（甲乙</w:t>
      </w:r>
      <w:r>
        <w:rPr>
          <w:b/>
          <w:sz w:val="21"/>
        </w:rPr>
        <w:t>双方可根据项目的具体要求进行修订，但不得修改实质性条款</w:t>
      </w:r>
      <w:r>
        <w:rPr>
          <w:b/>
          <w:sz w:val="21"/>
        </w:rPr>
        <w:t>）</w:t>
      </w:r>
    </w:p>
    <w:p>
      <w:pPr>
        <w:jc w:val="center"/>
      </w:pPr>
    </w:p>
    <w:p>
      <w:pPr>
        <w:jc w:val="center"/>
      </w:pPr>
      <w:r>
        <w:rPr>
          <w:sz w:val="36"/>
        </w:rPr>
        <w:t>汕头大学购置合同</w:t>
      </w:r>
    </w:p>
    <w:p>
      <w:pPr>
        <w:jc w:val="center"/>
      </w:pPr>
      <w:r>
        <w:rPr>
          <w:sz w:val="21"/>
        </w:rPr>
        <w:t xml:space="preserve">                          </w:t>
      </w:r>
      <w:r>
        <w:rPr>
          <w:sz w:val="24"/>
        </w:rPr>
        <w:t>合同编号：</w:t>
      </w:r>
    </w:p>
    <w:tbl>
      <w:tblPr>
        <w:tblW w:w="0" w:type="auto"/>
        <w:tblBorders>
          <w:top w:val="none" w:color="000000" w:sz="4"/>
          <w:left w:val="none" w:color="000000" w:sz="4"/>
          <w:bottom w:val="none" w:color="000000" w:sz="4"/>
          <w:right w:val="none" w:color="000000" w:sz="4"/>
          <w:insideH w:val="none"/>
          <w:insideV w:val="none"/>
        </w:tblBorders>
      </w:tblPr>
      <w:tblGrid>
        <w:gridCol w:w="4197"/>
        <w:gridCol w:w="4096"/>
      </w:tblGrid>
      <w:tr>
        <w:tc>
          <w:tcPr>
            <w:tcW w:type="dxa" w:w="4197"/>
            <w:tcBorders>
              <w:top w:val="single" w:color="F2F2F2" w:sz="8"/>
              <w:left w:val="single" w:color="F2F2F2" w:sz="8"/>
              <w:bottom w:val="single" w:color="F2F2F2" w:sz="8"/>
              <w:right w:val="single" w:color="F2F2F2" w:sz="8"/>
            </w:tcBorders>
            <w:vAlign w:val="top"/>
          </w:tcPr>
          <w:p>
            <w:pPr>
              <w:jc w:val="both"/>
            </w:pPr>
            <w:r>
              <w:rPr>
                <w:b/>
                <w:sz w:val="21"/>
              </w:rPr>
              <w:t>甲方：</w:t>
            </w:r>
            <w:r>
              <w:rPr>
                <w:sz w:val="21"/>
              </w:rPr>
              <w:t>汕头大学</w:t>
            </w:r>
          </w:p>
        </w:tc>
        <w:tc>
          <w:tcPr>
            <w:tcW w:type="dxa" w:w="4096"/>
            <w:tcBorders>
              <w:top w:val="single" w:color="F2F2F2" w:sz="8"/>
              <w:left w:val="none" w:color="000000" w:sz="4"/>
              <w:bottom w:val="single" w:color="F2F2F2" w:sz="8"/>
              <w:right w:val="single" w:color="F2F2F2" w:sz="8"/>
            </w:tcBorders>
            <w:vAlign w:val="top"/>
          </w:tcPr>
          <w:p>
            <w:pPr>
              <w:jc w:val="both"/>
            </w:pPr>
            <w:r>
              <w:rPr>
                <w:b/>
                <w:sz w:val="21"/>
              </w:rPr>
              <w:t>乙方：</w:t>
            </w:r>
            <w:r>
              <w:rPr>
                <w:sz w:val="21"/>
              </w:rPr>
              <w:t xml:space="preserve"> </w:t>
            </w:r>
          </w:p>
        </w:tc>
      </w:tr>
      <w:tr>
        <w:tc>
          <w:tcPr>
            <w:tcW w:type="dxa" w:w="4197"/>
            <w:tcBorders>
              <w:top w:val="none" w:color="000000" w:sz="4"/>
              <w:left w:val="single" w:color="F2F2F2" w:sz="8"/>
              <w:bottom w:val="single" w:color="F2F2F2" w:sz="8"/>
              <w:right w:val="single" w:color="F2F2F2" w:sz="8"/>
            </w:tcBorders>
            <w:vAlign w:val="top"/>
          </w:tcPr>
          <w:p>
            <w:pPr>
              <w:jc w:val="both"/>
            </w:pPr>
            <w:r>
              <w:rPr>
                <w:b/>
                <w:sz w:val="21"/>
              </w:rPr>
              <w:t>法定代表人：</w:t>
            </w:r>
            <w:r>
              <w:rPr>
                <w:sz w:val="21"/>
              </w:rPr>
              <w:t>郝志峰</w:t>
            </w:r>
          </w:p>
        </w:tc>
        <w:tc>
          <w:tcPr>
            <w:tcW w:type="dxa" w:w="4096"/>
            <w:tcBorders>
              <w:top w:val="none" w:color="000000" w:sz="4"/>
              <w:left w:val="none" w:color="000000" w:sz="4"/>
              <w:bottom w:val="single" w:color="F2F2F2" w:sz="8"/>
              <w:right w:val="single" w:color="F2F2F2" w:sz="8"/>
            </w:tcBorders>
            <w:vAlign w:val="top"/>
          </w:tcPr>
          <w:p>
            <w:pPr>
              <w:jc w:val="both"/>
            </w:pPr>
            <w:r>
              <w:rPr>
                <w:b/>
                <w:sz w:val="21"/>
              </w:rPr>
              <w:t>法定代表人：</w:t>
            </w:r>
          </w:p>
        </w:tc>
      </w:tr>
      <w:tr>
        <w:tc>
          <w:tcPr>
            <w:tcW w:type="dxa" w:w="4197"/>
            <w:tcBorders>
              <w:top w:val="none" w:color="000000" w:sz="4"/>
              <w:left w:val="single" w:color="F2F2F2" w:sz="8"/>
              <w:bottom w:val="single" w:color="F2F2F2" w:sz="8"/>
              <w:right w:val="single" w:color="F2F2F2" w:sz="8"/>
            </w:tcBorders>
            <w:vAlign w:val="top"/>
          </w:tcPr>
          <w:p>
            <w:pPr>
              <w:jc w:val="both"/>
            </w:pPr>
            <w:r>
              <w:rPr>
                <w:b/>
                <w:sz w:val="21"/>
              </w:rPr>
              <w:t>地址：</w:t>
            </w:r>
            <w:r>
              <w:rPr>
                <w:sz w:val="21"/>
              </w:rPr>
              <w:t>汕头市金平区大学路243号</w:t>
            </w:r>
          </w:p>
        </w:tc>
        <w:tc>
          <w:tcPr>
            <w:tcW w:type="dxa" w:w="4096"/>
            <w:tcBorders>
              <w:top w:val="none" w:color="000000" w:sz="4"/>
              <w:left w:val="none" w:color="000000" w:sz="4"/>
              <w:bottom w:val="single" w:color="F2F2F2" w:sz="8"/>
              <w:right w:val="single" w:color="F2F2F2" w:sz="8"/>
            </w:tcBorders>
            <w:vAlign w:val="top"/>
          </w:tcPr>
          <w:p>
            <w:pPr>
              <w:jc w:val="both"/>
            </w:pPr>
            <w:r>
              <w:rPr>
                <w:b/>
                <w:sz w:val="21"/>
              </w:rPr>
              <w:t>地址：</w:t>
            </w:r>
            <w:r>
              <w:rPr>
                <w:sz w:val="21"/>
              </w:rPr>
              <w:t xml:space="preserve"> </w:t>
            </w:r>
          </w:p>
        </w:tc>
      </w:tr>
      <w:tr>
        <w:tc>
          <w:tcPr>
            <w:tcW w:type="dxa" w:w="4197"/>
            <w:tcBorders>
              <w:top w:val="none" w:color="000000" w:sz="4"/>
              <w:left w:val="single" w:color="F2F2F2" w:sz="8"/>
              <w:bottom w:val="single" w:color="F2F2F2" w:sz="8"/>
              <w:right w:val="single" w:color="F2F2F2" w:sz="8"/>
            </w:tcBorders>
            <w:vAlign w:val="top"/>
          </w:tcPr>
          <w:p>
            <w:pPr>
              <w:jc w:val="both"/>
            </w:pPr>
            <w:r>
              <w:rPr>
                <w:b/>
                <w:sz w:val="21"/>
              </w:rPr>
              <w:t>开户银行：</w:t>
            </w:r>
            <w:r>
              <w:rPr>
                <w:sz w:val="21"/>
              </w:rPr>
              <w:t>中国银行汕头大学支行</w:t>
            </w:r>
          </w:p>
        </w:tc>
        <w:tc>
          <w:tcPr>
            <w:tcW w:type="dxa" w:w="4096"/>
            <w:tcBorders>
              <w:top w:val="none" w:color="000000" w:sz="4"/>
              <w:left w:val="none" w:color="000000" w:sz="4"/>
              <w:bottom w:val="single" w:color="F2F2F2" w:sz="8"/>
              <w:right w:val="single" w:color="F2F2F2" w:sz="8"/>
            </w:tcBorders>
            <w:vAlign w:val="top"/>
          </w:tcPr>
          <w:p>
            <w:pPr>
              <w:jc w:val="both"/>
            </w:pPr>
            <w:r>
              <w:rPr>
                <w:b/>
                <w:sz w:val="21"/>
              </w:rPr>
              <w:t>开户银行：</w:t>
            </w:r>
          </w:p>
        </w:tc>
      </w:tr>
      <w:tr>
        <w:tc>
          <w:tcPr>
            <w:tcW w:type="dxa" w:w="4197"/>
            <w:tcBorders>
              <w:top w:val="none" w:color="000000" w:sz="4"/>
              <w:left w:val="single" w:color="F2F2F2" w:sz="8"/>
              <w:bottom w:val="single" w:color="F2F2F2" w:sz="8"/>
              <w:right w:val="single" w:color="F2F2F2" w:sz="8"/>
            </w:tcBorders>
            <w:vAlign w:val="top"/>
          </w:tcPr>
          <w:p>
            <w:pPr>
              <w:jc w:val="both"/>
            </w:pPr>
            <w:r>
              <w:rPr>
                <w:b/>
                <w:sz w:val="21"/>
              </w:rPr>
              <w:t>帐号：</w:t>
            </w:r>
            <w:r>
              <w:rPr>
                <w:sz w:val="21"/>
              </w:rPr>
              <w:t>628857760147</w:t>
            </w:r>
          </w:p>
        </w:tc>
        <w:tc>
          <w:tcPr>
            <w:tcW w:type="dxa" w:w="4096"/>
            <w:tcBorders>
              <w:top w:val="none" w:color="000000" w:sz="4"/>
              <w:left w:val="none" w:color="000000" w:sz="4"/>
              <w:bottom w:val="single" w:color="F2F2F2" w:sz="8"/>
              <w:right w:val="single" w:color="F2F2F2" w:sz="8"/>
            </w:tcBorders>
            <w:vAlign w:val="top"/>
          </w:tcPr>
          <w:p>
            <w:pPr>
              <w:jc w:val="both"/>
            </w:pPr>
            <w:r>
              <w:rPr>
                <w:b/>
                <w:sz w:val="21"/>
              </w:rPr>
              <w:t>帐号：</w:t>
            </w:r>
          </w:p>
        </w:tc>
      </w:tr>
      <w:tr>
        <w:tc>
          <w:tcPr>
            <w:tcW w:type="dxa" w:w="4197"/>
            <w:tcBorders>
              <w:top w:val="none" w:color="000000" w:sz="4"/>
              <w:left w:val="single" w:color="F2F2F2" w:sz="8"/>
              <w:bottom w:val="single" w:color="F2F2F2" w:sz="8"/>
              <w:right w:val="single" w:color="F2F2F2" w:sz="8"/>
            </w:tcBorders>
            <w:vAlign w:val="top"/>
          </w:tcPr>
          <w:p>
            <w:pPr>
              <w:jc w:val="both"/>
            </w:pPr>
            <w:r>
              <w:rPr>
                <w:b/>
                <w:sz w:val="21"/>
              </w:rPr>
              <w:t>统一社会信用代码：</w:t>
            </w:r>
            <w:r>
              <w:rPr>
                <w:sz w:val="21"/>
              </w:rPr>
              <w:t>1244000045594645X2</w:t>
            </w:r>
          </w:p>
        </w:tc>
        <w:tc>
          <w:tcPr>
            <w:tcW w:type="dxa" w:w="4096"/>
            <w:tcBorders>
              <w:top w:val="none" w:color="000000" w:sz="4"/>
              <w:left w:val="none" w:color="000000" w:sz="4"/>
              <w:bottom w:val="single" w:color="F2F2F2" w:sz="8"/>
              <w:right w:val="single" w:color="F2F2F2" w:sz="8"/>
            </w:tcBorders>
            <w:vAlign w:val="top"/>
          </w:tcPr>
          <w:p>
            <w:pPr>
              <w:jc w:val="both"/>
            </w:pPr>
            <w:r>
              <w:rPr>
                <w:b/>
                <w:sz w:val="21"/>
              </w:rPr>
              <w:t>统一社会信用代码：</w:t>
            </w:r>
          </w:p>
        </w:tc>
      </w:tr>
      <w:tr>
        <w:tc>
          <w:tcPr>
            <w:tcW w:type="dxa" w:w="4197"/>
            <w:tcBorders>
              <w:top w:val="none" w:color="000000" w:sz="4"/>
              <w:left w:val="single" w:color="F2F2F2" w:sz="8"/>
              <w:bottom w:val="single" w:color="F2F2F2" w:sz="8"/>
              <w:right w:val="single" w:color="F2F2F2" w:sz="8"/>
            </w:tcBorders>
            <w:vAlign w:val="top"/>
          </w:tcPr>
          <w:p>
            <w:pPr>
              <w:jc w:val="both"/>
            </w:pPr>
            <w:r>
              <w:rPr>
                <w:b/>
                <w:sz w:val="21"/>
              </w:rPr>
              <w:t>电话：</w:t>
            </w:r>
          </w:p>
        </w:tc>
        <w:tc>
          <w:tcPr>
            <w:tcW w:type="dxa" w:w="4096"/>
            <w:tcBorders>
              <w:top w:val="none" w:color="000000" w:sz="4"/>
              <w:left w:val="none" w:color="000000" w:sz="4"/>
              <w:bottom w:val="single" w:color="F2F2F2" w:sz="8"/>
              <w:right w:val="single" w:color="F2F2F2" w:sz="8"/>
            </w:tcBorders>
            <w:vAlign w:val="top"/>
          </w:tcPr>
          <w:p>
            <w:pPr>
              <w:jc w:val="both"/>
            </w:pPr>
            <w:r>
              <w:rPr>
                <w:b/>
                <w:sz w:val="21"/>
              </w:rPr>
              <w:t>电话：</w:t>
            </w:r>
          </w:p>
        </w:tc>
      </w:tr>
    </w:tbl>
    <w:p>
      <w:pPr>
        <w:jc w:val="both"/>
      </w:pPr>
    </w:p>
    <w:p>
      <w:pPr>
        <w:ind w:firstLine="480"/>
        <w:jc w:val="both"/>
      </w:pPr>
      <w:r>
        <w:rPr>
          <w:sz w:val="24"/>
        </w:rPr>
        <w:t>根据《中华人民共和国政府采购法》《中华人民共和国民法典》的规定及</w:t>
      </w:r>
      <w:r>
        <w:rPr>
          <w:sz w:val="21"/>
          <w:u w:val="single"/>
        </w:rPr>
        <w:t xml:space="preserve"> </w:t>
      </w:r>
      <w:r>
        <w:rPr>
          <w:sz w:val="21"/>
          <w:u w:val="single"/>
        </w:rPr>
        <w:t xml:space="preserve"> </w:t>
      </w:r>
      <w:r>
        <w:rPr>
          <w:sz w:val="24"/>
          <w:u w:val="single"/>
        </w:rPr>
        <w:t>汕头大学数据中心设备采购项目</w:t>
      </w:r>
      <w:r>
        <w:rPr>
          <w:sz w:val="24"/>
        </w:rPr>
        <w:t>（项目编号：</w:t>
      </w:r>
      <w:r>
        <w:rPr>
          <w:sz w:val="21"/>
          <w:u w:val="single"/>
        </w:rPr>
        <w:t xml:space="preserve"> </w:t>
      </w:r>
      <w:r>
        <w:rPr>
          <w:sz w:val="24"/>
          <w:u w:val="single"/>
        </w:rPr>
        <w:t>440001-2022-58770</w:t>
      </w:r>
      <w:r>
        <w:rPr>
          <w:sz w:val="21"/>
          <w:u w:val="single"/>
        </w:rPr>
        <w:t xml:space="preserve"> </w:t>
      </w:r>
      <w:r>
        <w:rPr>
          <w:sz w:val="24"/>
        </w:rPr>
        <w:t>）的采购结果，经甲、乙双方平等协商，本着诚实信用的原则，签订本合同。</w:t>
      </w:r>
    </w:p>
    <w:p>
      <w:pPr>
        <w:jc w:val="both"/>
      </w:pPr>
      <w:r>
        <w:rPr>
          <w:b/>
          <w:sz w:val="24"/>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441"/>
        <w:gridCol w:w="1408"/>
        <w:gridCol w:w="980"/>
        <w:gridCol w:w="1078"/>
        <w:gridCol w:w="1396"/>
        <w:gridCol w:w="637"/>
        <w:gridCol w:w="539"/>
        <w:gridCol w:w="857"/>
        <w:gridCol w:w="906"/>
      </w:tblGrid>
      <w:tr>
        <w:tc>
          <w:tcPr>
            <w:tcW w:type="dxa" w:w="441"/>
            <w:tcBorders>
              <w:top w:val="single" w:color="000000" w:sz="8"/>
              <w:left w:val="single" w:color="000000" w:sz="8"/>
              <w:bottom w:val="single" w:color="000000" w:sz="8"/>
              <w:right w:val="single" w:color="000000" w:sz="8"/>
            </w:tcBorders>
            <w:vAlign w:val="top"/>
          </w:tcPr>
          <w:p>
            <w:pPr>
              <w:jc w:val="center"/>
            </w:pPr>
            <w:r>
              <w:rPr>
                <w:b/>
                <w:sz w:val="21"/>
              </w:rPr>
              <w:t>序号</w:t>
            </w:r>
          </w:p>
        </w:tc>
        <w:tc>
          <w:tcPr>
            <w:tcW w:type="dxa" w:w="1408"/>
            <w:tcBorders>
              <w:top w:val="single" w:color="000000" w:sz="8"/>
              <w:left w:val="none" w:color="000000" w:sz="4"/>
              <w:bottom w:val="single" w:color="000000" w:sz="8"/>
              <w:right w:val="single" w:color="000000" w:sz="8"/>
            </w:tcBorders>
            <w:vAlign w:val="top"/>
          </w:tcPr>
          <w:p>
            <w:pPr>
              <w:jc w:val="center"/>
            </w:pPr>
            <w:r>
              <w:rPr>
                <w:b/>
                <w:sz w:val="21"/>
              </w:rPr>
              <w:t>设备名称</w:t>
            </w:r>
          </w:p>
        </w:tc>
        <w:tc>
          <w:tcPr>
            <w:tcW w:type="dxa" w:w="980"/>
            <w:tcBorders>
              <w:top w:val="single" w:color="000000" w:sz="8"/>
              <w:left w:val="none" w:color="000000" w:sz="4"/>
              <w:bottom w:val="single" w:color="000000" w:sz="8"/>
              <w:right w:val="single" w:color="000000" w:sz="8"/>
            </w:tcBorders>
            <w:vAlign w:val="top"/>
          </w:tcPr>
          <w:p>
            <w:pPr>
              <w:jc w:val="center"/>
            </w:pPr>
            <w:r>
              <w:rPr>
                <w:b/>
                <w:sz w:val="21"/>
              </w:rPr>
              <w:t>品牌</w:t>
            </w:r>
          </w:p>
        </w:tc>
        <w:tc>
          <w:tcPr>
            <w:tcW w:type="dxa" w:w="1078"/>
            <w:tcBorders>
              <w:top w:val="single" w:color="000000" w:sz="8"/>
              <w:left w:val="none" w:color="000000" w:sz="4"/>
              <w:bottom w:val="single" w:color="000000" w:sz="8"/>
              <w:right w:val="single" w:color="000000" w:sz="8"/>
            </w:tcBorders>
            <w:vAlign w:val="top"/>
          </w:tcPr>
          <w:p>
            <w:pPr>
              <w:jc w:val="center"/>
            </w:pPr>
            <w:r>
              <w:rPr>
                <w:b/>
                <w:sz w:val="21"/>
              </w:rPr>
              <w:t>型号、规格</w:t>
            </w:r>
          </w:p>
        </w:tc>
        <w:tc>
          <w:tcPr>
            <w:tcW w:type="dxa" w:w="1396"/>
            <w:tcBorders>
              <w:top w:val="single" w:color="000000" w:sz="8"/>
              <w:left w:val="none" w:color="000000" w:sz="4"/>
              <w:bottom w:val="single" w:color="000000" w:sz="8"/>
              <w:right w:val="single" w:color="000000" w:sz="8"/>
            </w:tcBorders>
            <w:vAlign w:val="top"/>
          </w:tcPr>
          <w:p>
            <w:pPr>
              <w:jc w:val="center"/>
            </w:pPr>
            <w:r>
              <w:rPr>
                <w:b/>
                <w:sz w:val="21"/>
              </w:rPr>
              <w:t>制造商/产地</w:t>
            </w:r>
          </w:p>
        </w:tc>
        <w:tc>
          <w:tcPr>
            <w:tcW w:type="dxa" w:w="637"/>
            <w:tcBorders>
              <w:top w:val="single" w:color="000000" w:sz="8"/>
              <w:left w:val="none" w:color="000000" w:sz="4"/>
              <w:bottom w:val="single" w:color="000000" w:sz="8"/>
              <w:right w:val="single" w:color="000000" w:sz="8"/>
            </w:tcBorders>
            <w:vAlign w:val="top"/>
          </w:tcPr>
          <w:p>
            <w:pPr>
              <w:jc w:val="center"/>
            </w:pPr>
            <w:r>
              <w:rPr>
                <w:b/>
                <w:sz w:val="21"/>
              </w:rPr>
              <w:t>数量</w:t>
            </w:r>
          </w:p>
        </w:tc>
        <w:tc>
          <w:tcPr>
            <w:tcW w:type="dxa" w:w="539"/>
            <w:tcBorders>
              <w:top w:val="single" w:color="000000" w:sz="8"/>
              <w:left w:val="none" w:color="000000" w:sz="4"/>
              <w:bottom w:val="single" w:color="000000" w:sz="8"/>
              <w:right w:val="single" w:color="000000" w:sz="8"/>
            </w:tcBorders>
            <w:vAlign w:val="top"/>
          </w:tcPr>
          <w:p>
            <w:pPr>
              <w:jc w:val="center"/>
            </w:pPr>
            <w:r>
              <w:rPr>
                <w:b/>
                <w:sz w:val="21"/>
              </w:rPr>
              <w:t>单位</w:t>
            </w:r>
          </w:p>
        </w:tc>
        <w:tc>
          <w:tcPr>
            <w:tcW w:type="dxa" w:w="857"/>
            <w:tcBorders>
              <w:top w:val="single" w:color="000000" w:sz="8"/>
              <w:left w:val="none" w:color="000000" w:sz="4"/>
              <w:bottom w:val="single" w:color="000000" w:sz="8"/>
              <w:right w:val="single" w:color="000000" w:sz="8"/>
            </w:tcBorders>
            <w:vAlign w:val="top"/>
          </w:tcPr>
          <w:p>
            <w:pPr>
              <w:jc w:val="center"/>
            </w:pPr>
            <w:r>
              <w:rPr>
                <w:b/>
                <w:sz w:val="21"/>
              </w:rPr>
              <w:t>单价</w:t>
            </w:r>
            <w:r>
              <w:rPr>
                <w:b/>
                <w:sz w:val="21"/>
              </w:rPr>
              <w:t>(</w:t>
            </w:r>
            <w:r>
              <w:rPr>
                <w:b/>
                <w:sz w:val="21"/>
              </w:rPr>
              <w:t>元</w:t>
            </w:r>
            <w:r>
              <w:rPr>
                <w:b/>
                <w:sz w:val="21"/>
              </w:rPr>
              <w:t>)</w:t>
            </w:r>
          </w:p>
        </w:tc>
        <w:tc>
          <w:tcPr>
            <w:tcW w:type="dxa" w:w="906"/>
            <w:tcBorders>
              <w:top w:val="single" w:color="000000" w:sz="8"/>
              <w:left w:val="none" w:color="000000" w:sz="4"/>
              <w:bottom w:val="single" w:color="000000" w:sz="8"/>
              <w:right w:val="single" w:color="000000" w:sz="8"/>
            </w:tcBorders>
            <w:vAlign w:val="top"/>
          </w:tcPr>
          <w:p>
            <w:pPr>
              <w:jc w:val="center"/>
            </w:pPr>
            <w:r>
              <w:rPr>
                <w:b/>
                <w:sz w:val="21"/>
              </w:rPr>
              <w:t>总价</w:t>
            </w:r>
            <w:r>
              <w:rPr>
                <w:b/>
                <w:sz w:val="21"/>
              </w:rPr>
              <w:t>(</w:t>
            </w:r>
            <w:r>
              <w:rPr>
                <w:b/>
                <w:sz w:val="21"/>
              </w:rPr>
              <w:t>元</w:t>
            </w:r>
            <w:r>
              <w:rPr>
                <w:b/>
                <w:sz w:val="21"/>
              </w:rPr>
              <w:t>)</w:t>
            </w:r>
          </w:p>
        </w:tc>
      </w:tr>
      <w:tr>
        <w:tc>
          <w:tcPr>
            <w:tcW w:type="dxa" w:w="441"/>
            <w:tcBorders>
              <w:top w:val="none" w:color="000000" w:sz="4"/>
              <w:left w:val="single" w:color="000000" w:sz="8"/>
              <w:bottom w:val="single" w:color="000000" w:sz="8"/>
              <w:right w:val="single" w:color="000000" w:sz="8"/>
            </w:tcBorders>
            <w:vAlign w:val="top"/>
          </w:tcPr>
          <w:p>
            <w:pPr>
              <w:jc w:val="center"/>
            </w:pPr>
            <w:r>
              <w:rPr>
                <w:sz w:val="21"/>
              </w:rPr>
              <w:t>1</w:t>
            </w:r>
          </w:p>
        </w:tc>
        <w:tc>
          <w:tcPr>
            <w:tcW w:type="dxa" w:w="1408"/>
            <w:tcBorders>
              <w:top w:val="none" w:color="000000" w:sz="4"/>
              <w:left w:val="none" w:color="000000" w:sz="4"/>
              <w:bottom w:val="single" w:color="000000" w:sz="8"/>
              <w:right w:val="single" w:color="000000" w:sz="8"/>
            </w:tcBorders>
            <w:vAlign w:val="top"/>
          </w:tcPr>
          <w:p>
            <w:pPr>
              <w:jc w:val="center"/>
            </w:pPr>
          </w:p>
        </w:tc>
        <w:tc>
          <w:tcPr>
            <w:tcW w:type="dxa" w:w="980"/>
            <w:tcBorders>
              <w:top w:val="none" w:color="000000" w:sz="4"/>
              <w:left w:val="none" w:color="000000" w:sz="4"/>
              <w:bottom w:val="single" w:color="000000" w:sz="8"/>
              <w:right w:val="single" w:color="000000" w:sz="8"/>
            </w:tcBorders>
            <w:vAlign w:val="top"/>
          </w:tcPr>
          <w:p>
            <w:pPr>
              <w:jc w:val="center"/>
            </w:pPr>
          </w:p>
        </w:tc>
        <w:tc>
          <w:tcPr>
            <w:tcW w:type="dxa" w:w="1078"/>
            <w:tcBorders>
              <w:top w:val="none" w:color="000000" w:sz="4"/>
              <w:left w:val="none" w:color="000000" w:sz="4"/>
              <w:bottom w:val="single" w:color="000000" w:sz="8"/>
              <w:right w:val="single" w:color="000000" w:sz="8"/>
            </w:tcBorders>
            <w:vAlign w:val="top"/>
          </w:tcPr>
          <w:p>
            <w:pPr>
              <w:jc w:val="center"/>
            </w:pPr>
          </w:p>
        </w:tc>
        <w:tc>
          <w:tcPr>
            <w:tcW w:type="dxa" w:w="1396"/>
            <w:tcBorders>
              <w:top w:val="none" w:color="000000" w:sz="4"/>
              <w:left w:val="none" w:color="000000" w:sz="4"/>
              <w:bottom w:val="single" w:color="000000" w:sz="8"/>
              <w:right w:val="single" w:color="000000" w:sz="8"/>
            </w:tcBorders>
            <w:vAlign w:val="top"/>
          </w:tcPr>
          <w:p>
            <w:pPr>
              <w:jc w:val="center"/>
            </w:pPr>
          </w:p>
        </w:tc>
        <w:tc>
          <w:tcPr>
            <w:tcW w:type="dxa" w:w="637"/>
            <w:tcBorders>
              <w:top w:val="none" w:color="000000" w:sz="4"/>
              <w:left w:val="none" w:color="000000" w:sz="4"/>
              <w:bottom w:val="single" w:color="000000" w:sz="8"/>
              <w:right w:val="single" w:color="000000" w:sz="8"/>
            </w:tcBorders>
            <w:vAlign w:val="top"/>
          </w:tcPr>
          <w:p>
            <w:pPr>
              <w:jc w:val="center"/>
            </w:pPr>
          </w:p>
        </w:tc>
        <w:tc>
          <w:tcPr>
            <w:tcW w:type="dxa" w:w="539"/>
            <w:tcBorders>
              <w:top w:val="none" w:color="000000" w:sz="4"/>
              <w:left w:val="none" w:color="000000" w:sz="4"/>
              <w:bottom w:val="single" w:color="000000" w:sz="8"/>
              <w:right w:val="single" w:color="000000" w:sz="8"/>
            </w:tcBorders>
            <w:vAlign w:val="top"/>
          </w:tcPr>
          <w:p>
            <w:pPr>
              <w:jc w:val="center"/>
            </w:pPr>
          </w:p>
        </w:tc>
        <w:tc>
          <w:tcPr>
            <w:tcW w:type="dxa" w:w="857"/>
            <w:tcBorders>
              <w:top w:val="none" w:color="000000" w:sz="4"/>
              <w:left w:val="none" w:color="000000" w:sz="4"/>
              <w:bottom w:val="single" w:color="000000" w:sz="8"/>
              <w:right w:val="single" w:color="000000" w:sz="8"/>
            </w:tcBorders>
            <w:vAlign w:val="top"/>
          </w:tcPr>
          <w:p>
            <w:pPr>
              <w:jc w:val="center"/>
            </w:pPr>
          </w:p>
        </w:tc>
        <w:tc>
          <w:tcPr>
            <w:tcW w:type="dxa" w:w="906"/>
            <w:tcBorders>
              <w:top w:val="none" w:color="000000" w:sz="4"/>
              <w:left w:val="none" w:color="000000" w:sz="4"/>
              <w:bottom w:val="single" w:color="000000" w:sz="8"/>
              <w:right w:val="single" w:color="000000" w:sz="8"/>
            </w:tcBorders>
            <w:vAlign w:val="top"/>
          </w:tcPr>
          <w:p>
            <w:pPr>
              <w:jc w:val="center"/>
            </w:pPr>
          </w:p>
        </w:tc>
      </w:tr>
      <w:tr>
        <w:tc>
          <w:tcPr>
            <w:tcW w:type="dxa" w:w="441"/>
            <w:tcBorders>
              <w:top w:val="none" w:color="000000" w:sz="4"/>
              <w:left w:val="single" w:color="000000" w:sz="8"/>
              <w:bottom w:val="single" w:color="000000" w:sz="8"/>
              <w:right w:val="single" w:color="000000" w:sz="8"/>
            </w:tcBorders>
            <w:vAlign w:val="top"/>
          </w:tcPr>
          <w:p>
            <w:pPr>
              <w:jc w:val="center"/>
            </w:pPr>
            <w:r>
              <w:rPr>
                <w:sz w:val="21"/>
              </w:rPr>
              <w:t>2</w:t>
            </w:r>
          </w:p>
        </w:tc>
        <w:tc>
          <w:tcPr>
            <w:tcW w:type="dxa" w:w="1408"/>
            <w:tcBorders>
              <w:top w:val="none" w:color="000000" w:sz="4"/>
              <w:left w:val="none" w:color="000000" w:sz="4"/>
              <w:bottom w:val="single" w:color="000000" w:sz="8"/>
              <w:right w:val="single" w:color="000000" w:sz="8"/>
            </w:tcBorders>
            <w:vAlign w:val="top"/>
          </w:tcPr>
          <w:p>
            <w:pPr>
              <w:jc w:val="center"/>
            </w:pPr>
          </w:p>
        </w:tc>
        <w:tc>
          <w:tcPr>
            <w:tcW w:type="dxa" w:w="980"/>
            <w:tcBorders>
              <w:top w:val="none" w:color="000000" w:sz="4"/>
              <w:left w:val="none" w:color="000000" w:sz="4"/>
              <w:bottom w:val="single" w:color="000000" w:sz="8"/>
              <w:right w:val="single" w:color="000000" w:sz="8"/>
            </w:tcBorders>
            <w:vAlign w:val="top"/>
          </w:tcPr>
          <w:p>
            <w:pPr>
              <w:jc w:val="center"/>
            </w:pPr>
          </w:p>
        </w:tc>
        <w:tc>
          <w:tcPr>
            <w:tcW w:type="dxa" w:w="1078"/>
            <w:tcBorders>
              <w:top w:val="none" w:color="000000" w:sz="4"/>
              <w:left w:val="none" w:color="000000" w:sz="4"/>
              <w:bottom w:val="single" w:color="000000" w:sz="8"/>
              <w:right w:val="single" w:color="000000" w:sz="8"/>
            </w:tcBorders>
            <w:vAlign w:val="top"/>
          </w:tcPr>
          <w:p>
            <w:pPr>
              <w:jc w:val="center"/>
            </w:pPr>
          </w:p>
        </w:tc>
        <w:tc>
          <w:tcPr>
            <w:tcW w:type="dxa" w:w="1396"/>
            <w:tcBorders>
              <w:top w:val="none" w:color="000000" w:sz="4"/>
              <w:left w:val="none" w:color="000000" w:sz="4"/>
              <w:bottom w:val="single" w:color="000000" w:sz="8"/>
              <w:right w:val="single" w:color="000000" w:sz="8"/>
            </w:tcBorders>
            <w:vAlign w:val="top"/>
          </w:tcPr>
          <w:p>
            <w:pPr>
              <w:jc w:val="center"/>
            </w:pPr>
          </w:p>
        </w:tc>
        <w:tc>
          <w:tcPr>
            <w:tcW w:type="dxa" w:w="637"/>
            <w:tcBorders>
              <w:top w:val="none" w:color="000000" w:sz="4"/>
              <w:left w:val="none" w:color="000000" w:sz="4"/>
              <w:bottom w:val="single" w:color="000000" w:sz="8"/>
              <w:right w:val="single" w:color="000000" w:sz="8"/>
            </w:tcBorders>
            <w:vAlign w:val="top"/>
          </w:tcPr>
          <w:p>
            <w:pPr>
              <w:jc w:val="center"/>
            </w:pPr>
          </w:p>
        </w:tc>
        <w:tc>
          <w:tcPr>
            <w:tcW w:type="dxa" w:w="539"/>
            <w:tcBorders>
              <w:top w:val="none" w:color="000000" w:sz="4"/>
              <w:left w:val="none" w:color="000000" w:sz="4"/>
              <w:bottom w:val="single" w:color="000000" w:sz="8"/>
              <w:right w:val="single" w:color="000000" w:sz="8"/>
            </w:tcBorders>
            <w:vAlign w:val="top"/>
          </w:tcPr>
          <w:p>
            <w:pPr>
              <w:jc w:val="center"/>
            </w:pPr>
          </w:p>
        </w:tc>
        <w:tc>
          <w:tcPr>
            <w:tcW w:type="dxa" w:w="857"/>
            <w:tcBorders>
              <w:top w:val="none" w:color="000000" w:sz="4"/>
              <w:left w:val="none" w:color="000000" w:sz="4"/>
              <w:bottom w:val="single" w:color="000000" w:sz="8"/>
              <w:right w:val="single" w:color="000000" w:sz="8"/>
            </w:tcBorders>
            <w:vAlign w:val="top"/>
          </w:tcPr>
          <w:p>
            <w:pPr>
              <w:jc w:val="center"/>
            </w:pPr>
          </w:p>
        </w:tc>
        <w:tc>
          <w:tcPr>
            <w:tcW w:type="dxa" w:w="906"/>
            <w:tcBorders>
              <w:top w:val="none" w:color="000000" w:sz="4"/>
              <w:left w:val="none" w:color="000000" w:sz="4"/>
              <w:bottom w:val="single" w:color="000000" w:sz="8"/>
              <w:right w:val="single" w:color="000000" w:sz="8"/>
            </w:tcBorders>
            <w:vAlign w:val="top"/>
          </w:tcPr>
          <w:p>
            <w:pPr>
              <w:jc w:val="center"/>
            </w:pPr>
          </w:p>
        </w:tc>
      </w:tr>
      <w:tr>
        <w:tc>
          <w:tcPr>
            <w:tcW w:type="dxa" w:w="441"/>
            <w:tcBorders>
              <w:top w:val="none" w:color="000000" w:sz="4"/>
              <w:left w:val="single" w:color="000000" w:sz="8"/>
              <w:bottom w:val="single" w:color="000000" w:sz="8"/>
              <w:right w:val="single" w:color="000000" w:sz="8"/>
            </w:tcBorders>
            <w:vAlign w:val="top"/>
          </w:tcPr>
          <w:p>
            <w:pPr>
              <w:jc w:val="center"/>
            </w:pPr>
            <w:r>
              <w:rPr>
                <w:sz w:val="21"/>
              </w:rPr>
              <w:t>3</w:t>
            </w:r>
          </w:p>
        </w:tc>
        <w:tc>
          <w:tcPr>
            <w:tcW w:type="dxa" w:w="1408"/>
            <w:tcBorders>
              <w:top w:val="none" w:color="000000" w:sz="4"/>
              <w:left w:val="none" w:color="000000" w:sz="4"/>
              <w:bottom w:val="single" w:color="000000" w:sz="8"/>
              <w:right w:val="single" w:color="000000" w:sz="8"/>
            </w:tcBorders>
            <w:vAlign w:val="top"/>
          </w:tcPr>
          <w:p>
            <w:pPr>
              <w:jc w:val="center"/>
            </w:pPr>
          </w:p>
        </w:tc>
        <w:tc>
          <w:tcPr>
            <w:tcW w:type="dxa" w:w="980"/>
            <w:tcBorders>
              <w:top w:val="none" w:color="000000" w:sz="4"/>
              <w:left w:val="none" w:color="000000" w:sz="4"/>
              <w:bottom w:val="single" w:color="000000" w:sz="8"/>
              <w:right w:val="single" w:color="000000" w:sz="8"/>
            </w:tcBorders>
            <w:vAlign w:val="top"/>
          </w:tcPr>
          <w:p>
            <w:pPr>
              <w:jc w:val="center"/>
            </w:pPr>
          </w:p>
        </w:tc>
        <w:tc>
          <w:tcPr>
            <w:tcW w:type="dxa" w:w="1078"/>
            <w:tcBorders>
              <w:top w:val="none" w:color="000000" w:sz="4"/>
              <w:left w:val="none" w:color="000000" w:sz="4"/>
              <w:bottom w:val="single" w:color="000000" w:sz="8"/>
              <w:right w:val="single" w:color="000000" w:sz="8"/>
            </w:tcBorders>
            <w:vAlign w:val="top"/>
          </w:tcPr>
          <w:p>
            <w:pPr>
              <w:jc w:val="center"/>
            </w:pPr>
          </w:p>
        </w:tc>
        <w:tc>
          <w:tcPr>
            <w:tcW w:type="dxa" w:w="1396"/>
            <w:tcBorders>
              <w:top w:val="none" w:color="000000" w:sz="4"/>
              <w:left w:val="none" w:color="000000" w:sz="4"/>
              <w:bottom w:val="single" w:color="000000" w:sz="8"/>
              <w:right w:val="single" w:color="000000" w:sz="8"/>
            </w:tcBorders>
            <w:vAlign w:val="top"/>
          </w:tcPr>
          <w:p>
            <w:pPr>
              <w:jc w:val="center"/>
            </w:pPr>
          </w:p>
        </w:tc>
        <w:tc>
          <w:tcPr>
            <w:tcW w:type="dxa" w:w="637"/>
            <w:tcBorders>
              <w:top w:val="none" w:color="000000" w:sz="4"/>
              <w:left w:val="none" w:color="000000" w:sz="4"/>
              <w:bottom w:val="single" w:color="000000" w:sz="8"/>
              <w:right w:val="single" w:color="000000" w:sz="8"/>
            </w:tcBorders>
            <w:vAlign w:val="top"/>
          </w:tcPr>
          <w:p>
            <w:pPr>
              <w:jc w:val="center"/>
            </w:pPr>
          </w:p>
        </w:tc>
        <w:tc>
          <w:tcPr>
            <w:tcW w:type="dxa" w:w="539"/>
            <w:tcBorders>
              <w:top w:val="none" w:color="000000" w:sz="4"/>
              <w:left w:val="none" w:color="000000" w:sz="4"/>
              <w:bottom w:val="single" w:color="000000" w:sz="8"/>
              <w:right w:val="single" w:color="000000" w:sz="8"/>
            </w:tcBorders>
            <w:vAlign w:val="top"/>
          </w:tcPr>
          <w:p>
            <w:pPr>
              <w:jc w:val="center"/>
            </w:pPr>
          </w:p>
        </w:tc>
        <w:tc>
          <w:tcPr>
            <w:tcW w:type="dxa" w:w="857"/>
            <w:tcBorders>
              <w:top w:val="none" w:color="000000" w:sz="4"/>
              <w:left w:val="none" w:color="000000" w:sz="4"/>
              <w:bottom w:val="single" w:color="000000" w:sz="8"/>
              <w:right w:val="single" w:color="000000" w:sz="8"/>
            </w:tcBorders>
            <w:vAlign w:val="top"/>
          </w:tcPr>
          <w:p>
            <w:pPr>
              <w:jc w:val="center"/>
            </w:pPr>
          </w:p>
        </w:tc>
        <w:tc>
          <w:tcPr>
            <w:tcW w:type="dxa" w:w="906"/>
            <w:tcBorders>
              <w:top w:val="none" w:color="000000" w:sz="4"/>
              <w:left w:val="none" w:color="000000" w:sz="4"/>
              <w:bottom w:val="single" w:color="000000" w:sz="8"/>
              <w:right w:val="single" w:color="000000" w:sz="8"/>
            </w:tcBorders>
            <w:vAlign w:val="top"/>
          </w:tcPr>
          <w:p>
            <w:pPr>
              <w:jc w:val="center"/>
            </w:pPr>
          </w:p>
        </w:tc>
      </w:tr>
      <w:tr>
        <w:tc>
          <w:tcPr>
            <w:tcW w:type="dxa" w:w="8242"/>
            <w:gridSpan w:val="9"/>
            <w:tcBorders>
              <w:top w:val="none" w:color="000000" w:sz="4"/>
              <w:left w:val="single" w:color="000000" w:sz="8"/>
              <w:bottom w:val="single" w:color="000000" w:sz="8"/>
              <w:right w:val="single" w:color="000000" w:sz="8"/>
            </w:tcBorders>
            <w:vAlign w:val="top"/>
          </w:tcPr>
          <w:p>
            <w:pPr>
              <w:jc w:val="both"/>
            </w:pPr>
            <w:r>
              <w:rPr>
                <w:b/>
                <w:sz w:val="24"/>
              </w:rPr>
              <w:t>合同总金额（大写）：</w:t>
            </w:r>
            <w:r>
              <w:rPr>
                <w:sz w:val="24"/>
              </w:rPr>
              <w:t>人民币</w:t>
            </w:r>
            <w:r>
              <w:rPr>
                <w:sz w:val="24"/>
                <w:u w:val="single"/>
              </w:rPr>
              <w:t xml:space="preserve"> XXX</w:t>
            </w:r>
            <w:r>
              <w:rPr>
                <w:sz w:val="21"/>
                <w:u w:val="single"/>
              </w:rPr>
              <w:t xml:space="preserve"> </w:t>
            </w:r>
            <w:r>
              <w:rPr>
                <w:sz w:val="24"/>
              </w:rPr>
              <w:t>元整</w:t>
            </w:r>
            <w:r>
              <w:rPr>
                <w:sz w:val="24"/>
              </w:rPr>
              <w:t>；（</w:t>
            </w:r>
            <w:r>
              <w:rPr>
                <w:b/>
                <w:sz w:val="24"/>
              </w:rPr>
              <w:t>小写</w:t>
            </w:r>
            <w:r>
              <w:rPr>
                <w:sz w:val="24"/>
              </w:rPr>
              <w:t>¥</w:t>
            </w:r>
            <w:r>
              <w:rPr>
                <w:sz w:val="24"/>
                <w:u w:val="single"/>
              </w:rPr>
              <w:t xml:space="preserve"> XXX</w:t>
            </w:r>
            <w:r>
              <w:rPr>
                <w:sz w:val="21"/>
                <w:u w:val="single"/>
              </w:rPr>
              <w:t xml:space="preserve"> </w:t>
            </w:r>
            <w:r>
              <w:rPr>
                <w:sz w:val="24"/>
              </w:rPr>
              <w:t>元</w:t>
            </w:r>
            <w:r>
              <w:rPr>
                <w:sz w:val="24"/>
              </w:rPr>
              <w:t>）</w:t>
            </w:r>
          </w:p>
        </w:tc>
      </w:tr>
      <w:tr>
        <w:tc>
          <w:tcPr>
            <w:tcW w:type="dxa" w:w="441"/>
            <w:tcBorders>
              <w:top w:val="none" w:color="000000" w:sz="4"/>
              <w:left w:val="single" w:color="000000" w:sz="8"/>
              <w:bottom w:val="single" w:color="000000" w:sz="8"/>
              <w:right w:val="single" w:color="000000" w:sz="8"/>
            </w:tcBorders>
            <w:vAlign w:val="top"/>
          </w:tcPr>
          <w:p>
            <w:pPr>
              <w:jc w:val="center"/>
            </w:pPr>
            <w:r>
              <w:rPr>
                <w:sz w:val="21"/>
              </w:rPr>
              <w:t>备注</w:t>
            </w:r>
          </w:p>
        </w:tc>
        <w:tc>
          <w:tcPr>
            <w:tcW w:type="dxa" w:w="7801"/>
            <w:gridSpan w:val="8"/>
            <w:tcBorders>
              <w:top w:val="single" w:color="000000" w:sz="8"/>
              <w:left w:val="none" w:color="000000" w:sz="4"/>
              <w:bottom w:val="single" w:color="000000" w:sz="8"/>
              <w:right w:val="single" w:color="000000" w:sz="8"/>
            </w:tcBorders>
            <w:vAlign w:val="top"/>
          </w:tcPr>
          <w:p>
            <w:pPr>
              <w:jc w:val="both"/>
            </w:pPr>
            <w:r>
              <w:rPr>
                <w:sz w:val="21"/>
              </w:rPr>
              <w:t>1.</w:t>
            </w:r>
            <w:r>
              <w:rPr>
                <w:sz w:val="21"/>
              </w:rPr>
              <w:t xml:space="preserve"> </w:t>
            </w:r>
            <w:r>
              <w:rPr>
                <w:sz w:val="21"/>
              </w:rPr>
              <w:t>合同</w:t>
            </w:r>
            <w:r>
              <w:rPr>
                <w:sz w:val="21"/>
              </w:rPr>
              <w:t>总金额</w:t>
            </w:r>
            <w:r>
              <w:rPr>
                <w:sz w:val="21"/>
              </w:rPr>
              <w:t>为</w:t>
            </w:r>
            <w:r>
              <w:rPr>
                <w:sz w:val="21"/>
              </w:rPr>
              <w:t>约</w:t>
            </w:r>
            <w:r>
              <w:rPr>
                <w:sz w:val="21"/>
              </w:rPr>
              <w:t>定地点交货价</w:t>
            </w:r>
            <w:r>
              <w:rPr>
                <w:sz w:val="21"/>
              </w:rPr>
              <w:t>（包括安装施工、调试、配件、培训费和一切运杂费及税费）</w:t>
            </w:r>
            <w:r>
              <w:rPr>
                <w:sz w:val="21"/>
              </w:rPr>
              <w:t>；</w:t>
            </w:r>
          </w:p>
          <w:p>
            <w:pPr>
              <w:jc w:val="both"/>
            </w:pPr>
            <w:r>
              <w:rPr>
                <w:sz w:val="21"/>
              </w:rPr>
              <w:t>2</w:t>
            </w:r>
            <w:r>
              <w:rPr>
                <w:sz w:val="21"/>
              </w:rPr>
              <w:t>.</w:t>
            </w:r>
            <w:r>
              <w:rPr>
                <w:sz w:val="21"/>
              </w:rPr>
              <w:t xml:space="preserve"> </w:t>
            </w:r>
            <w:r>
              <w:rPr>
                <w:sz w:val="21"/>
              </w:rPr>
              <w:t>为避免影响验收，请确保投标/报价文件中的货物名称、品牌、规格型号、生产厂家、技术参数等信息与投标实物信息相一致！</w:t>
            </w:r>
            <w:r>
              <w:rPr>
                <w:sz w:val="21"/>
              </w:rPr>
              <w:t xml:space="preserve"> </w:t>
            </w:r>
          </w:p>
          <w:p>
            <w:pPr>
              <w:jc w:val="both"/>
            </w:pPr>
            <w:r>
              <w:rPr>
                <w:sz w:val="21"/>
              </w:rPr>
              <w:t>3.</w:t>
            </w:r>
            <w:r>
              <w:rPr>
                <w:sz w:val="21"/>
              </w:rPr>
              <w:t xml:space="preserve"> 若为国外制造的设备，设备名称栏中需同时填写中、外文名称。</w:t>
            </w:r>
          </w:p>
        </w:tc>
      </w:tr>
    </w:tbl>
    <w:p>
      <w:pPr>
        <w:jc w:val="both"/>
      </w:pPr>
      <w:r>
        <w:rPr>
          <w:b/>
          <w:sz w:val="24"/>
        </w:rPr>
        <w:t>二、设备质量要求</w:t>
      </w:r>
    </w:p>
    <w:p>
      <w:pPr>
        <w:ind w:firstLine="424"/>
        <w:jc w:val="both"/>
      </w:pPr>
      <w:r>
        <w:rPr>
          <w:sz w:val="24"/>
        </w:rPr>
        <w:t>1</w:t>
      </w:r>
      <w:r>
        <w:rPr>
          <w:sz w:val="24"/>
        </w:rPr>
        <w:t>.</w:t>
      </w:r>
      <w:r>
        <w:rPr>
          <w:sz w:val="24"/>
        </w:rPr>
        <w:t>乙</w:t>
      </w:r>
      <w:r>
        <w:rPr>
          <w:sz w:val="24"/>
        </w:rPr>
        <w:t>方提供的设备必须符合中华人民共和国国家标准、行业标准以及该产品的出厂标准，符合采购文件和响应承诺中甲方认可的合理最佳配置、参数及各项要求。</w:t>
      </w:r>
    </w:p>
    <w:p>
      <w:pPr>
        <w:ind w:firstLine="424"/>
        <w:jc w:val="both"/>
      </w:pPr>
      <w:r>
        <w:rPr>
          <w:sz w:val="24"/>
        </w:rPr>
        <w:t>2</w:t>
      </w:r>
      <w:r>
        <w:rPr>
          <w:sz w:val="24"/>
        </w:rPr>
        <w:t>.</w:t>
      </w:r>
      <w:r>
        <w:rPr>
          <w:sz w:val="24"/>
        </w:rPr>
        <w:t>乙方提供的设备必须是全新的原装设备（含零部件、配件、随机工具等），表面无划痕、</w:t>
      </w:r>
      <w:r>
        <w:rPr>
          <w:sz w:val="24"/>
        </w:rPr>
        <w:t>无碰撞，符合招标文件各项性能指标要求。</w:t>
      </w:r>
    </w:p>
    <w:p>
      <w:pPr>
        <w:ind w:firstLine="424"/>
        <w:jc w:val="both"/>
      </w:pPr>
      <w:r>
        <w:rPr>
          <w:sz w:val="24"/>
        </w:rPr>
        <w:t>3</w:t>
      </w:r>
      <w:r>
        <w:rPr>
          <w:sz w:val="24"/>
        </w:rPr>
        <w:t>.</w:t>
      </w:r>
      <w:r>
        <w:rPr>
          <w:sz w:val="24"/>
        </w:rPr>
        <w:t>乙方提供的设备包装材料必须符合中华人民共和国国家安全环保标准，如属有毒有害包装材料由乙方清运回收。</w:t>
      </w:r>
    </w:p>
    <w:p>
      <w:pPr>
        <w:ind w:firstLine="424"/>
        <w:jc w:val="both"/>
      </w:pPr>
      <w:r>
        <w:rPr>
          <w:sz w:val="24"/>
        </w:rPr>
        <w:t>4</w:t>
      </w:r>
      <w:r>
        <w:rPr>
          <w:sz w:val="24"/>
        </w:rPr>
        <w:t>.</w:t>
      </w:r>
      <w:r>
        <w:rPr>
          <w:sz w:val="24"/>
        </w:rPr>
        <w:t>因设备的质量问题发生争议，由汕头市商检部门进行质量鉴定。设备符合质量标准的，鉴定费由甲方承担；设备不符合质量标准的，鉴定费由乙方承担。</w:t>
      </w:r>
    </w:p>
    <w:p>
      <w:pPr>
        <w:ind w:firstLine="424"/>
        <w:jc w:val="both"/>
      </w:pPr>
      <w:r>
        <w:rPr>
          <w:sz w:val="24"/>
        </w:rPr>
        <w:t>5</w:t>
      </w:r>
      <w:r>
        <w:rPr>
          <w:sz w:val="24"/>
        </w:rPr>
        <w:t>.</w:t>
      </w:r>
      <w:r>
        <w:rPr>
          <w:sz w:val="24"/>
        </w:rPr>
        <w:t>免费质保期期限：设备验</w:t>
      </w:r>
      <w:r>
        <w:rPr>
          <w:sz w:val="24"/>
        </w:rPr>
        <w:t>收合格后</w:t>
      </w:r>
      <w:r>
        <w:rPr>
          <w:sz w:val="21"/>
          <w:u w:val="single"/>
        </w:rPr>
        <w:t xml:space="preserve">  </w:t>
      </w:r>
      <w:r>
        <w:rPr>
          <w:sz w:val="21"/>
          <w:u w:val="single"/>
        </w:rPr>
        <w:t xml:space="preserve">  </w:t>
      </w:r>
      <w:r>
        <w:rPr>
          <w:sz w:val="21"/>
          <w:u w:val="single"/>
        </w:rPr>
        <w:t xml:space="preserve">  </w:t>
      </w:r>
      <w:r>
        <w:rPr>
          <w:sz w:val="24"/>
        </w:rPr>
        <w:t>年。乙方应按服务承诺提供设备免费上门维修保养。</w:t>
      </w:r>
    </w:p>
    <w:p>
      <w:pPr>
        <w:jc w:val="both"/>
      </w:pPr>
      <w:r>
        <w:rPr>
          <w:b/>
          <w:sz w:val="24"/>
        </w:rPr>
        <w:t>三、交货及交付</w:t>
      </w:r>
    </w:p>
    <w:p>
      <w:pPr>
        <w:ind w:firstLine="424"/>
        <w:jc w:val="both"/>
      </w:pPr>
      <w:r>
        <w:rPr>
          <w:sz w:val="24"/>
        </w:rPr>
        <w:t>1</w:t>
      </w:r>
      <w:r>
        <w:rPr>
          <w:sz w:val="24"/>
        </w:rPr>
        <w:t>.</w:t>
      </w:r>
      <w:r>
        <w:rPr>
          <w:sz w:val="24"/>
        </w:rPr>
        <w:t>交货时间：合同签订后</w:t>
      </w:r>
      <w:r>
        <w:rPr>
          <w:sz w:val="21"/>
          <w:u w:val="single"/>
        </w:rPr>
        <w:t xml:space="preserve"> </w:t>
      </w:r>
      <w:r>
        <w:rPr>
          <w:sz w:val="21"/>
          <w:u w:val="single"/>
        </w:rPr>
        <w:t xml:space="preserve">   </w:t>
      </w:r>
      <w:r>
        <w:rPr>
          <w:sz w:val="21"/>
          <w:u w:val="single"/>
        </w:rPr>
        <w:t xml:space="preserve">  </w:t>
      </w:r>
      <w:r>
        <w:rPr>
          <w:sz w:val="24"/>
        </w:rPr>
        <w:t>天内交货。</w:t>
      </w:r>
    </w:p>
    <w:p>
      <w:pPr>
        <w:ind w:firstLine="424"/>
        <w:jc w:val="both"/>
      </w:pPr>
      <w:r>
        <w:rPr>
          <w:sz w:val="24"/>
        </w:rPr>
        <w:t>2.</w:t>
      </w:r>
      <w:r>
        <w:rPr>
          <w:sz w:val="21"/>
        </w:rPr>
        <w:t xml:space="preserve"> </w:t>
      </w:r>
      <w:r>
        <w:rPr>
          <w:sz w:val="24"/>
        </w:rPr>
        <w:t>交货方式：送货上门安装调试。</w:t>
      </w:r>
      <w:r>
        <w:rPr>
          <w:sz w:val="21"/>
        </w:rPr>
        <w:t xml:space="preserve"> </w:t>
      </w:r>
    </w:p>
    <w:p>
      <w:pPr>
        <w:ind w:firstLine="424"/>
        <w:jc w:val="both"/>
      </w:pPr>
      <w:r>
        <w:rPr>
          <w:sz w:val="24"/>
        </w:rPr>
        <w:t>3</w:t>
      </w:r>
      <w:r>
        <w:rPr>
          <w:sz w:val="24"/>
        </w:rPr>
        <w:t>.</w:t>
      </w:r>
      <w:r>
        <w:rPr>
          <w:sz w:val="24"/>
        </w:rPr>
        <w:t>交货地点</w:t>
      </w:r>
      <w:r>
        <w:rPr>
          <w:sz w:val="24"/>
        </w:rPr>
        <w:t>：汕头大学校内指定地点</w:t>
      </w:r>
      <w:r>
        <w:rPr>
          <w:sz w:val="21"/>
        </w:rPr>
        <w:t xml:space="preserve"> </w:t>
      </w:r>
      <w:r>
        <w:rPr>
          <w:sz w:val="24"/>
        </w:rPr>
        <w:t>。</w:t>
      </w:r>
    </w:p>
    <w:p>
      <w:pPr>
        <w:jc w:val="both"/>
      </w:pPr>
      <w:r>
        <w:rPr>
          <w:b/>
          <w:sz w:val="24"/>
        </w:rPr>
        <w:t>四、付款方式</w:t>
      </w:r>
    </w:p>
    <w:p>
      <w:pPr>
        <w:ind w:firstLine="424"/>
        <w:jc w:val="both"/>
      </w:pPr>
      <w:r>
        <w:rPr>
          <w:sz w:val="24"/>
        </w:rPr>
        <w:t>（依招标文件）</w:t>
      </w:r>
    </w:p>
    <w:p>
      <w:pPr>
        <w:jc w:val="both"/>
      </w:pPr>
      <w:r>
        <w:rPr>
          <w:b/>
          <w:sz w:val="24"/>
        </w:rPr>
        <w:t>五、验收要求</w:t>
      </w:r>
    </w:p>
    <w:p>
      <w:pPr>
        <w:ind w:firstLine="424"/>
        <w:jc w:val="both"/>
      </w:pPr>
      <w:r>
        <w:rPr>
          <w:sz w:val="24"/>
        </w:rPr>
        <w:t>1</w:t>
      </w:r>
      <w:r>
        <w:rPr>
          <w:sz w:val="24"/>
        </w:rPr>
        <w:t>.</w:t>
      </w:r>
      <w:r>
        <w:rPr>
          <w:sz w:val="24"/>
        </w:rPr>
        <w:t>货物为原厂制造的全新产品，整机无污染，无侵权行为，表面无划损、无任何缺陷隐患。国产产品具备出厂合格证，乙方应将所供设备的用户手册、保修手册、有关资料及配件、随机工具等交付给甲方。</w:t>
      </w:r>
    </w:p>
    <w:p>
      <w:pPr>
        <w:ind w:firstLine="424"/>
        <w:jc w:val="both"/>
      </w:pPr>
      <w:r>
        <w:rPr>
          <w:sz w:val="24"/>
        </w:rPr>
        <w:t>2</w:t>
      </w:r>
      <w:r>
        <w:rPr>
          <w:sz w:val="24"/>
        </w:rPr>
        <w:t>.</w:t>
      </w:r>
      <w:r>
        <w:rPr>
          <w:sz w:val="24"/>
        </w:rPr>
        <w:t>乙方向甲方保证其提供的设备（含软件、硬件）未侵犯任何第三方的产权（包括但不限于专利、商业秘密、商标权），若有第三方以甲方使用的设备侵犯其知识产权为由向甲方索赔，乙方应赔偿甲方由此而遭受的一切损失。</w:t>
      </w:r>
    </w:p>
    <w:p>
      <w:pPr>
        <w:ind w:firstLine="424"/>
        <w:jc w:val="both"/>
      </w:pPr>
      <w:r>
        <w:rPr>
          <w:sz w:val="24"/>
        </w:rPr>
        <w:t>3</w:t>
      </w:r>
      <w:r>
        <w:rPr>
          <w:sz w:val="24"/>
        </w:rPr>
        <w:t>.</w:t>
      </w:r>
      <w:r>
        <w:rPr>
          <w:sz w:val="24"/>
        </w:rPr>
        <w:t>进口部件须按国家有关规定办理进口商检手续，并提供原产地证明（原件）、报关单（原件）、装箱单等有效证明文件，其中证明文件与设备的序列号、包装箱号一致，并可追索查阅。所有物件均应是原厂正品，不能伪造或以次充好，一经发现，乙方需无条件退还已付款项并按本合同总金额的</w:t>
      </w:r>
      <w:r>
        <w:rPr>
          <w:sz w:val="24"/>
        </w:rPr>
        <w:t>30%赔偿甲方损失。</w:t>
      </w:r>
    </w:p>
    <w:p>
      <w:pPr>
        <w:ind w:firstLine="424"/>
        <w:jc w:val="both"/>
      </w:pPr>
      <w:r>
        <w:rPr>
          <w:sz w:val="24"/>
        </w:rPr>
        <w:t>4</w:t>
      </w:r>
      <w:r>
        <w:rPr>
          <w:sz w:val="24"/>
        </w:rPr>
        <w:t>.</w:t>
      </w:r>
      <w:r>
        <w:rPr>
          <w:sz w:val="24"/>
        </w:rPr>
        <w:t>原则上应在全部货物抵达验收地点、现场安装调试并培训完毕、完成试运行后</w:t>
      </w:r>
      <w:r>
        <w:rPr>
          <w:sz w:val="24"/>
        </w:rPr>
        <w:t>60天内由甲方组织各相关人员对设备进行验收（另有约定除外）。验收主要涉及设备的精度、操作可靠性、数据准确性、人员培训等方面，期间乙方有义务向甲方解释数据得出及计算原理，以及在不涉及核心技术前提下的数据结构，便于甲方后续使用及数据验证。验收前的质量及安全风险由乙方承担，甲方为此可无偿提供必要的临时仓储场所。</w:t>
      </w:r>
    </w:p>
    <w:p>
      <w:pPr>
        <w:ind w:firstLine="424"/>
        <w:jc w:val="both"/>
      </w:pPr>
      <w:r>
        <w:rPr>
          <w:sz w:val="24"/>
        </w:rPr>
        <w:t>5</w:t>
      </w:r>
      <w:r>
        <w:rPr>
          <w:sz w:val="24"/>
        </w:rPr>
        <w:t>.</w:t>
      </w:r>
      <w:r>
        <w:rPr>
          <w:sz w:val="24"/>
        </w:rPr>
        <w:t>验收过程中，若因产品质量或本身技术参数不能满足采购项目的技术要求或达不到承诺的技术参数，甲方有权要求乙方在协商的期限内予以整改，整改后仍达不到要求，甲方有权索赔，乙方需按合同约定赔偿甲方损失。设备在甲方验收付款前的所有权属于乙方，设备及乙方人员的安全责任及保险费用均由乙方承担。</w:t>
      </w:r>
    </w:p>
    <w:p>
      <w:pPr>
        <w:ind w:firstLine="424"/>
        <w:jc w:val="both"/>
      </w:pPr>
      <w:r>
        <w:rPr>
          <w:sz w:val="24"/>
        </w:rPr>
        <w:t>6</w:t>
      </w:r>
      <w:r>
        <w:rPr>
          <w:sz w:val="24"/>
        </w:rPr>
        <w:t>.</w:t>
      </w:r>
      <w:r>
        <w:rPr>
          <w:sz w:val="24"/>
        </w:rPr>
        <w:t>交付验收标准依次序对照适用标准为：（</w:t>
      </w:r>
      <w:r>
        <w:rPr>
          <w:sz w:val="24"/>
        </w:rPr>
        <w:t>1）符合中华人民共和国国家安全质量标准、环保标准或行业标准，乙方应随货提供该产品合格或满足相应技术标准规范的证明材料；（2）符合采购文件和响应承诺中甲方认可的合理最佳配置、参数及各项要求</w:t>
      </w:r>
      <w:r>
        <w:rPr>
          <w:sz w:val="24"/>
        </w:rPr>
        <w:t>。</w:t>
      </w:r>
    </w:p>
    <w:p>
      <w:pPr>
        <w:jc w:val="both"/>
      </w:pPr>
      <w:r>
        <w:rPr>
          <w:b/>
          <w:sz w:val="24"/>
        </w:rPr>
        <w:t>六、售后服务</w:t>
      </w:r>
    </w:p>
    <w:p>
      <w:pPr>
        <w:ind w:firstLine="424"/>
        <w:jc w:val="both"/>
      </w:pPr>
      <w:r>
        <w:rPr>
          <w:sz w:val="24"/>
        </w:rPr>
        <w:t>1.</w:t>
      </w:r>
      <w:r>
        <w:rPr>
          <w:sz w:val="21"/>
        </w:rPr>
        <w:t xml:space="preserve"> </w:t>
      </w:r>
      <w:r>
        <w:rPr>
          <w:sz w:val="24"/>
        </w:rPr>
        <w:t>所有设备均须由乙方提供</w:t>
      </w:r>
      <w:r>
        <w:rPr>
          <w:sz w:val="21"/>
          <w:u w:val="single"/>
        </w:rPr>
        <w:t xml:space="preserve"> </w:t>
      </w:r>
      <w:r>
        <w:rPr>
          <w:sz w:val="21"/>
          <w:u w:val="single"/>
        </w:rPr>
        <w:t xml:space="preserve"> </w:t>
      </w:r>
      <w:r>
        <w:rPr>
          <w:sz w:val="21"/>
          <w:u w:val="single"/>
        </w:rPr>
        <w:t xml:space="preserve"> </w:t>
      </w:r>
      <w:r>
        <w:rPr>
          <w:sz w:val="24"/>
        </w:rPr>
        <w:t>年的整机保修服务，关键设备享有原生产厂家的技术支持和售后服务，费用包含在合同价之中。货物制造商必须有专业的售后服务力量，提供售后服务联系电话及联系人。</w:t>
      </w:r>
    </w:p>
    <w:p>
      <w:pPr>
        <w:ind w:firstLine="424"/>
        <w:jc w:val="both"/>
      </w:pPr>
      <w:r>
        <w:rPr>
          <w:sz w:val="24"/>
        </w:rPr>
        <w:t>2.</w:t>
      </w:r>
      <w:r>
        <w:rPr>
          <w:sz w:val="24"/>
        </w:rPr>
        <w:t xml:space="preserve"> </w:t>
      </w:r>
      <w:r>
        <w:rPr>
          <w:sz w:val="24"/>
        </w:rPr>
        <w:t>免费保修期内</w:t>
      </w:r>
      <w:r>
        <w:rPr>
          <w:sz w:val="24"/>
        </w:rPr>
        <w:t>设备维护服务要求（自然灾害等非乙方设备质量原因的除外）：接到保障电话后，</w:t>
      </w:r>
      <w:r>
        <w:rPr>
          <w:sz w:val="24"/>
        </w:rPr>
        <w:t>在</w:t>
      </w:r>
      <w:r>
        <w:rPr>
          <w:sz w:val="24"/>
        </w:rPr>
        <w:t>8个小时内进行答复、确定</w:t>
      </w:r>
      <w:r>
        <w:rPr>
          <w:sz w:val="24"/>
        </w:rPr>
        <w:t>派</w:t>
      </w:r>
      <w:r>
        <w:rPr>
          <w:sz w:val="24"/>
        </w:rPr>
        <w:t>人</w:t>
      </w:r>
      <w:r>
        <w:rPr>
          <w:sz w:val="24"/>
        </w:rPr>
        <w:t>修理，</w:t>
      </w:r>
      <w:r>
        <w:rPr>
          <w:sz w:val="24"/>
        </w:rPr>
        <w:t>在</w:t>
      </w:r>
      <w:r>
        <w:rPr>
          <w:sz w:val="24"/>
        </w:rPr>
        <w:t>24 小时内上门服务并解决问题；如果设备故障在检修</w:t>
      </w:r>
      <w:r>
        <w:rPr>
          <w:sz w:val="24"/>
        </w:rPr>
        <w:t>48</w:t>
      </w:r>
      <w:r>
        <w:rPr>
          <w:sz w:val="24"/>
        </w:rPr>
        <w:t>小时后仍无法排除，则乙方必须在双方协商的时间内提供相同规格的替代设备部件，以免影响正常的工作。在</w:t>
      </w:r>
      <w:r>
        <w:rPr>
          <w:sz w:val="24"/>
        </w:rPr>
        <w:t>15个工作日内仍无法修复设备故障，甲方有权要求乙方无条件更换该设备的零部件；</w:t>
      </w:r>
      <w:r>
        <w:rPr>
          <w:sz w:val="24"/>
        </w:rPr>
        <w:t>免费质保期内同一硬件一个月内连续</w:t>
      </w:r>
      <w:r>
        <w:rPr>
          <w:sz w:val="24"/>
        </w:rPr>
        <w:t>2次出现同一故障，乙方无偿更换同一档次的设备或部件。</w:t>
      </w:r>
      <w:r>
        <w:rPr>
          <w:sz w:val="24"/>
        </w:rPr>
        <w:t>所有设备保修服务方式均为上门保修由此产生的一切费用均由乙方承担。</w:t>
      </w:r>
    </w:p>
    <w:p>
      <w:pPr>
        <w:ind w:firstLine="424"/>
        <w:jc w:val="both"/>
      </w:pPr>
      <w:r>
        <w:rPr>
          <w:sz w:val="24"/>
        </w:rPr>
        <w:t>3.乙方在质保期内负责软硬件系统运行的稳定性，负责更换硬件故障部件或修改出错的软件系统，费用包含在合同价之中。若乙方提供的软硬件系统在功能上、性能上达不到使用要求，甲方有权要求乙方进行及时完善和修改。如果在质量保证期内乙方未能按上述约定承担维修责任，甲方有权对由此引起的损失要求乙方进行赔偿。</w:t>
      </w:r>
    </w:p>
    <w:p>
      <w:pPr>
        <w:ind w:firstLine="424"/>
        <w:jc w:val="both"/>
      </w:pPr>
      <w:r>
        <w:rPr>
          <w:sz w:val="24"/>
        </w:rPr>
        <w:t>4.</w:t>
      </w:r>
      <w:r>
        <w:rPr>
          <w:sz w:val="21"/>
        </w:rPr>
        <w:t xml:space="preserve"> </w:t>
      </w:r>
      <w:r>
        <w:rPr>
          <w:sz w:val="24"/>
        </w:rPr>
        <w:t>保修期后设备维护服务要求：</w:t>
      </w:r>
      <w:r>
        <w:rPr>
          <w:sz w:val="24"/>
        </w:rPr>
        <w:t>(1)保修期过后，乙方需继续为所售设备提供支持服务。(2)服务内容：与保修期内的售后服务内容相同。(3)服务费用：设备硬件故障需维修时，乙方收取设备维修成本费用。软件新增模块需升级时，乙方收取升级的成本费用，其它服务(乙方工程师现场支持、维护、设备定期检查等)均无条件提供。(4)服务方式和响应时间：与保修期内售后服务方式和响应时间相同。(5)服务范围：乙方所售所有设备及相关软件。</w:t>
      </w:r>
    </w:p>
    <w:p>
      <w:pPr>
        <w:ind w:firstLine="424"/>
        <w:jc w:val="both"/>
      </w:pPr>
      <w:r>
        <w:rPr>
          <w:sz w:val="24"/>
        </w:rPr>
        <w:t>5.质量保证期内由于设备本身质量原因导致的问题或故障，由乙方负责解决并承担所有费用，期满后仍须提供良好的技术支持及零配件的优惠供应，定期对甲方的设备进行维护和回访。</w:t>
      </w:r>
    </w:p>
    <w:p>
      <w:pPr>
        <w:ind w:firstLine="424"/>
        <w:jc w:val="both"/>
      </w:pPr>
      <w:r>
        <w:rPr>
          <w:sz w:val="24"/>
        </w:rPr>
        <w:t>6.如因为调试、安装及运输等非质量原因导致的设备损坏乙方负责解决并承担所有费用。</w:t>
      </w:r>
    </w:p>
    <w:p>
      <w:pPr>
        <w:ind w:firstLine="424"/>
        <w:jc w:val="both"/>
      </w:pPr>
      <w:r>
        <w:rPr>
          <w:sz w:val="24"/>
        </w:rPr>
        <w:t>7.质量保证期内，如设备或零部件非人为因素出现故障而造成短期停用时，则质量保证期和维修期不需要顺延。如设备因自身故障致停用时间单次超过30天则质保期在设备状态恢复正常时重新起计。</w:t>
      </w:r>
    </w:p>
    <w:p>
      <w:pPr>
        <w:ind w:firstLine="424"/>
        <w:jc w:val="both"/>
      </w:pPr>
      <w:r>
        <w:rPr>
          <w:sz w:val="24"/>
        </w:rPr>
        <w:t>8.如果在质量保证期内乙方未能按上述约定承担维修责任，甲方有权对由此引起的损失要求乙方进行赔偿。乙方负责向甲方提供现场安全操作及必要的维护保养培训。</w:t>
      </w:r>
    </w:p>
    <w:p>
      <w:pPr>
        <w:ind w:firstLine="17"/>
        <w:jc w:val="both"/>
      </w:pPr>
      <w:r>
        <w:rPr>
          <w:b/>
          <w:sz w:val="24"/>
        </w:rPr>
        <w:t>七、信息保密</w:t>
      </w:r>
    </w:p>
    <w:p>
      <w:pPr>
        <w:ind w:firstLine="480"/>
        <w:jc w:val="both"/>
      </w:pPr>
      <w:r>
        <w:rPr>
          <w:sz w:val="24"/>
        </w:rPr>
        <w:t>1.保密的内容和范围：（1）本合同所称工作秘密包括但不限于：甲方提供师生个人信息数据、设备配置、信息化项目的各类文档。乙方对此工作秘密承担保密义务。本协议之签订可认为甲方已对上述工作秘密采取了合理的保密措施；（2）凡以直接、间接、口头或书面等形式提供设计保密内容的行为均属泄密。</w:t>
      </w:r>
    </w:p>
    <w:p>
      <w:pPr>
        <w:ind w:firstLine="480"/>
        <w:jc w:val="both"/>
      </w:pPr>
      <w:r>
        <w:rPr>
          <w:sz w:val="24"/>
        </w:rPr>
        <w:t>2.双方的权利与义务、责任：（1）乙方应自觉维护甲方的利益，严格遵守本委托方的保密规定；（2）乙方不得向任何单位和个人泄露甲方的任何资料信息；（3）乙方不得利用所掌握的商业秘密牟取私利；（4）乙方了解并承认，甲方会将具有商业价值的保密信息保存在由乙方维护的服务器或终端设备上，并且由于系统维护服务、数据备份服务等原因，乙方有可能在某些情况下访问这些服务器和终端计算机。乙方同意并承诺，如果这些数据未经甲方许可披露给他人，所造成的对甲方的直接损失，并经证实，甲方有权通过法律途径向乙方索赔；（5）乙方同意并承诺，对所有保密信息予以严格保密，在未得到甲方事先许可的情况下不披露给任何其他人士或机构；（6）乙方同意并承诺，未经甲方书面许可，乙方不得将有关保密信息，通过存储介质、网络等途径，传播至甲方不可控制区域；（7）除为执行项目目的外，乙方不得对保密信息进行复制。未经甲方同意，乙方也不得利用保密信息进行新的研究或开发。如发现本系统保密信息或本系统发生安全隐患事件时，乙方应采取有效措施防止泄密进一步扩大，并及时通知甲方。项目若终止，乙方应及时将承载保密信息的介质原件及备份件全部清理销毁，并将销毁情况通知甲方。</w:t>
      </w:r>
    </w:p>
    <w:p>
      <w:pPr>
        <w:ind w:firstLine="480"/>
        <w:jc w:val="both"/>
      </w:pPr>
      <w:r>
        <w:rPr>
          <w:sz w:val="24"/>
        </w:rPr>
        <w:t>3.本合同项下的保密义务不适用于如下信息：（1）非由于乙方的原因已经为公众所知的不可抗力及其他合法范围内的不能预见、不能避免并不能克服的客观情况；（2）由于乙方以外其他渠道被他人获知的信息，这些渠道并不受保密义务的限制；（3）由于法律的适用，法院或其他国家有权机关的要求而被披露的信息。</w:t>
      </w:r>
    </w:p>
    <w:p>
      <w:pPr>
        <w:jc w:val="both"/>
      </w:pPr>
      <w:r>
        <w:rPr>
          <w:b/>
          <w:sz w:val="24"/>
        </w:rPr>
        <w:t>八、违约责任</w:t>
      </w:r>
    </w:p>
    <w:p>
      <w:pPr>
        <w:ind w:firstLine="424"/>
        <w:jc w:val="both"/>
      </w:pPr>
      <w:r>
        <w:rPr>
          <w:sz w:val="24"/>
        </w:rPr>
        <w:t>1</w:t>
      </w:r>
      <w:r>
        <w:rPr>
          <w:sz w:val="24"/>
        </w:rPr>
        <w:t>.</w:t>
      </w:r>
      <w:r>
        <w:rPr>
          <w:sz w:val="24"/>
        </w:rPr>
        <w:t>乙方未能交付部分</w:t>
      </w:r>
      <w:r>
        <w:rPr>
          <w:sz w:val="24"/>
        </w:rPr>
        <w:t>/全部设备，则需向甲方退还未交付部分设备款项并支付未交付部分设备金额的30%的违约金；</w:t>
      </w:r>
      <w:r>
        <w:rPr>
          <w:sz w:val="24"/>
        </w:rPr>
        <w:t>未交付的设备影响其他设备使用的，则视为全部未交付。</w:t>
      </w:r>
    </w:p>
    <w:p>
      <w:pPr>
        <w:ind w:firstLine="424"/>
        <w:jc w:val="both"/>
      </w:pPr>
      <w:r>
        <w:rPr>
          <w:sz w:val="24"/>
        </w:rPr>
        <w:t>2</w:t>
      </w:r>
      <w:r>
        <w:rPr>
          <w:sz w:val="24"/>
        </w:rPr>
        <w:t>.乙方交付的部分/全部设备不符合合同规定的，对于不符合合同约定的设备按以下情况执行：</w:t>
      </w:r>
    </w:p>
    <w:p>
      <w:pPr>
        <w:ind w:firstLine="424"/>
        <w:jc w:val="both"/>
      </w:pPr>
      <w:r>
        <w:rPr>
          <w:sz w:val="24"/>
        </w:rPr>
        <w:t>（</w:t>
      </w:r>
      <w:r>
        <w:rPr>
          <w:sz w:val="24"/>
        </w:rPr>
        <w:t>1）如上述设备不影响本次采购目的，乙方有权向甲方主张符合合同规定的部分设备价款并应按甲方已支付的情况多退少补，同时向甲方支付不符合合同规定部分设备金额的30%的违约金。</w:t>
      </w:r>
    </w:p>
    <w:p>
      <w:pPr>
        <w:ind w:firstLine="424"/>
        <w:jc w:val="both"/>
      </w:pPr>
      <w:r>
        <w:rPr>
          <w:sz w:val="24"/>
        </w:rPr>
        <w:t>（</w:t>
      </w:r>
      <w:r>
        <w:rPr>
          <w:sz w:val="24"/>
        </w:rPr>
        <w:t>2）如上述设备影响本次采购目的，则乙方应返还甲方已支付的款项并向甲方支付不符合合同规定部分设备金额的30%的违约金。</w:t>
      </w:r>
    </w:p>
    <w:p>
      <w:pPr>
        <w:ind w:firstLine="424"/>
        <w:jc w:val="both"/>
      </w:pPr>
      <w:r>
        <w:rPr>
          <w:sz w:val="24"/>
        </w:rPr>
        <w:t>甲方无正当理由拒收设备，拒付货款的，甲方向乙方偿付</w:t>
      </w:r>
      <w:r>
        <w:rPr>
          <w:sz w:val="24"/>
        </w:rPr>
        <w:t>本</w:t>
      </w:r>
      <w:r>
        <w:rPr>
          <w:sz w:val="24"/>
        </w:rPr>
        <w:t>合同总金额</w:t>
      </w:r>
      <w:r>
        <w:rPr>
          <w:sz w:val="24"/>
        </w:rPr>
        <w:t>5%的违约金。</w:t>
      </w:r>
    </w:p>
    <w:p>
      <w:pPr>
        <w:ind w:firstLine="424"/>
        <w:jc w:val="both"/>
      </w:pPr>
      <w:r>
        <w:rPr>
          <w:sz w:val="24"/>
        </w:rPr>
        <w:t>3</w:t>
      </w:r>
      <w:r>
        <w:rPr>
          <w:sz w:val="24"/>
        </w:rPr>
        <w:t>.</w:t>
      </w:r>
      <w:r>
        <w:rPr>
          <w:sz w:val="24"/>
        </w:rPr>
        <w:t>乙方逾期交付部分或全部设备，则每日按本合同总金额</w:t>
      </w:r>
      <w:r>
        <w:rPr>
          <w:sz w:val="24"/>
        </w:rPr>
        <w:t>3‰向甲方偿付违约金。逾期交付超过15天，则视为乙方无法交付，乙方的违约责任按照第八条第1款执行。</w:t>
      </w:r>
    </w:p>
    <w:p>
      <w:pPr>
        <w:ind w:firstLine="424"/>
        <w:jc w:val="both"/>
      </w:pPr>
      <w:r>
        <w:rPr>
          <w:sz w:val="24"/>
        </w:rPr>
        <w:t>4</w:t>
      </w:r>
      <w:r>
        <w:rPr>
          <w:sz w:val="24"/>
        </w:rPr>
        <w:t>.</w:t>
      </w:r>
      <w:r>
        <w:rPr>
          <w:sz w:val="24"/>
        </w:rPr>
        <w:t>甲方若逾期拒绝付款，则每日按本合同总金额万分之三向乙方偿付违约金。</w:t>
      </w:r>
    </w:p>
    <w:p>
      <w:pPr>
        <w:ind w:firstLine="424"/>
        <w:jc w:val="both"/>
      </w:pPr>
      <w:r>
        <w:rPr>
          <w:sz w:val="24"/>
        </w:rPr>
        <w:t>5</w:t>
      </w:r>
      <w:r>
        <w:rPr>
          <w:sz w:val="24"/>
        </w:rPr>
        <w:t>.</w:t>
      </w:r>
      <w:r>
        <w:rPr>
          <w:sz w:val="24"/>
        </w:rPr>
        <w:t>乙方未履行售后服务，应当承担违约责任。经甲方通知未及时维修保养的，甲方有权另找第三方提供维修保养服务，因此产生的费用由乙方承担。或经甲方通知未及时维修保养的，按延迟每日支付本合同总金额万分之三的违约金。</w:t>
      </w:r>
    </w:p>
    <w:p>
      <w:pPr>
        <w:ind w:firstLine="424"/>
        <w:jc w:val="both"/>
      </w:pPr>
      <w:r>
        <w:rPr>
          <w:sz w:val="24"/>
        </w:rPr>
        <w:t>6</w:t>
      </w:r>
      <w:r>
        <w:rPr>
          <w:sz w:val="24"/>
        </w:rPr>
        <w:t>.</w:t>
      </w:r>
      <w:r>
        <w:rPr>
          <w:sz w:val="24"/>
        </w:rPr>
        <w:t>乙方交付的设备或设施如不符合质量约定、或交付后出现质量瑕疵无法满足甲方使用、或未履行售后服务义务，应承担违约责任，甲方损失或费用根据质量与服务情形要求乙方进行承担。</w:t>
      </w:r>
      <w:r>
        <w:rPr>
          <w:sz w:val="24"/>
        </w:rPr>
        <w:t>乙方全面履行合同义务的，甲方若无故逾期退还履行保证金的，须自逾期日起支付乙方逾期退款利息。</w:t>
      </w:r>
    </w:p>
    <w:p>
      <w:pPr>
        <w:jc w:val="both"/>
      </w:pPr>
      <w:r>
        <w:rPr>
          <w:b/>
          <w:sz w:val="24"/>
        </w:rPr>
        <w:t>九、技术支持及培训</w:t>
      </w:r>
    </w:p>
    <w:p>
      <w:pPr>
        <w:ind w:firstLine="424"/>
        <w:jc w:val="both"/>
      </w:pPr>
      <w:r>
        <w:rPr>
          <w:sz w:val="24"/>
        </w:rPr>
        <w:t>乙方负责对设备进行免费安装、调试；设备到达后，在甲方人员在场的情况下开箱清点货物，组织安装、调试。并由乙方技术人员负责免费培训甲方操作人员。经装机培训后，若甲方仍有技术、操作疑难，乙方负责免费技术支持。乙方将为甲方建立质量跟踪档案，对甲方进行不定期回访，以保证设备的正常高效运行。</w:t>
      </w:r>
    </w:p>
    <w:p>
      <w:pPr>
        <w:jc w:val="both"/>
      </w:pPr>
      <w:r>
        <w:rPr>
          <w:b/>
          <w:sz w:val="24"/>
        </w:rPr>
        <w:t>十、争议解决</w:t>
      </w:r>
    </w:p>
    <w:p>
      <w:pPr>
        <w:ind w:firstLine="424"/>
        <w:jc w:val="both"/>
      </w:pPr>
      <w:r>
        <w:rPr>
          <w:sz w:val="24"/>
        </w:rPr>
        <w:t>因履行合同产生的争议双方协商解决，协商不成提交汕头仲裁委员会仲裁，仲裁结果对双方具有法律约束力。</w:t>
      </w:r>
    </w:p>
    <w:p>
      <w:pPr>
        <w:jc w:val="both"/>
      </w:pPr>
      <w:r>
        <w:rPr>
          <w:b/>
          <w:sz w:val="24"/>
        </w:rPr>
        <w:t>十一、其它</w:t>
      </w:r>
    </w:p>
    <w:p>
      <w:pPr>
        <w:ind w:firstLine="424"/>
        <w:jc w:val="both"/>
      </w:pPr>
      <w:r>
        <w:rPr>
          <w:sz w:val="24"/>
        </w:rPr>
        <w:t>1.</w:t>
      </w:r>
      <w:r>
        <w:rPr>
          <w:sz w:val="21"/>
        </w:rPr>
        <w:t xml:space="preserve"> </w:t>
      </w:r>
      <w:r>
        <w:rPr>
          <w:sz w:val="24"/>
        </w:rPr>
        <w:t>本合同所有附件</w:t>
      </w:r>
      <w:r>
        <w:rPr>
          <w:sz w:val="24"/>
        </w:rPr>
        <w:t>/采购文件/投标文件/中标（成交）通知书等均为合同的有效组成部分，与本合同具有同等法律效力。在执行本合同的过程中，所有经双方签署确认的文件（包括会议纪要、补充协议、往来信函）即成为本合同的有效组成部分。</w:t>
      </w:r>
    </w:p>
    <w:p>
      <w:pPr>
        <w:ind w:firstLine="424"/>
        <w:jc w:val="both"/>
      </w:pPr>
      <w:r>
        <w:rPr>
          <w:sz w:val="24"/>
        </w:rPr>
        <w:t>2</w:t>
      </w:r>
      <w:r>
        <w:rPr>
          <w:sz w:val="24"/>
        </w:rPr>
        <w:t>．如一方地址、电话、传真号码有变更，应在变更当日内书面通知对方，否则因此造成的损失应承担相应责任。</w:t>
      </w:r>
    </w:p>
    <w:p>
      <w:pPr>
        <w:ind w:firstLine="424"/>
        <w:jc w:val="both"/>
      </w:pPr>
      <w:r>
        <w:rPr>
          <w:sz w:val="24"/>
        </w:rPr>
        <w:t>3</w:t>
      </w:r>
      <w:r>
        <w:rPr>
          <w:sz w:val="24"/>
        </w:rPr>
        <w:t>．除甲方事先书面同意外，乙方不得部分或全部转让其应履行的合同项下的义务。</w:t>
      </w:r>
    </w:p>
    <w:p>
      <w:pPr>
        <w:ind w:firstLine="424"/>
        <w:jc w:val="both"/>
      </w:pPr>
      <w:r>
        <w:rPr>
          <w:sz w:val="24"/>
        </w:rPr>
        <w:t>4</w:t>
      </w:r>
      <w:r>
        <w:rPr>
          <w:sz w:val="24"/>
        </w:rPr>
        <w:t>.</w:t>
      </w:r>
      <w:r>
        <w:rPr>
          <w:sz w:val="21"/>
        </w:rPr>
        <w:t xml:space="preserve"> </w:t>
      </w:r>
      <w:r>
        <w:rPr>
          <w:sz w:val="24"/>
        </w:rPr>
        <w:t>本合同一式三份，由甲方执二份、乙方执一份，本合同自签定之日起生效（以最后一个签字日期为准）。</w:t>
      </w:r>
    </w:p>
    <w:p>
      <w:pPr>
        <w:ind w:firstLine="424"/>
        <w:jc w:val="both"/>
      </w:pPr>
      <w:r>
        <w:rPr>
          <w:sz w:val="24"/>
        </w:rPr>
        <w:t>以下无正文。</w:t>
      </w: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87"/>
        <w:gridCol w:w="4004"/>
      </w:tblGrid>
      <w:tr>
        <w:tc>
          <w:tcPr>
            <w:tcW w:type="dxa" w:w="4287"/>
            <w:tcBorders>
              <w:top w:val="single" w:color="F2F2F2" w:sz="8"/>
              <w:left w:val="single" w:color="F2F2F2" w:sz="8"/>
              <w:bottom w:val="single" w:color="F2F2F2" w:sz="8"/>
              <w:right w:val="single" w:color="F2F2F2" w:sz="8"/>
            </w:tcBorders>
            <w:vAlign w:val="top"/>
          </w:tcPr>
          <w:p>
            <w:pPr>
              <w:jc w:val="both"/>
            </w:pPr>
            <w:r>
              <w:rPr>
                <w:b/>
                <w:sz w:val="24"/>
              </w:rPr>
              <w:t>甲方（盖章）：</w:t>
            </w:r>
            <w:r>
              <w:rPr>
                <w:sz w:val="24"/>
              </w:rPr>
              <w:t>汕头大学</w:t>
            </w:r>
          </w:p>
        </w:tc>
        <w:tc>
          <w:tcPr>
            <w:tcW w:type="dxa" w:w="4004"/>
            <w:tcBorders>
              <w:top w:val="single" w:color="F2F2F2" w:sz="8"/>
              <w:left w:val="none" w:color="000000" w:sz="4"/>
              <w:bottom w:val="single" w:color="F2F2F2" w:sz="8"/>
              <w:right w:val="single" w:color="F2F2F2" w:sz="8"/>
            </w:tcBorders>
            <w:vAlign w:val="top"/>
          </w:tcPr>
          <w:p>
            <w:pPr>
              <w:jc w:val="left"/>
            </w:pPr>
            <w:r>
              <w:rPr>
                <w:b/>
                <w:sz w:val="24"/>
              </w:rPr>
              <w:t>乙方（盖章）：</w:t>
            </w:r>
            <w:r>
              <w:rPr>
                <w:sz w:val="24"/>
              </w:rPr>
              <w:t>（中标方）</w:t>
            </w:r>
          </w:p>
        </w:tc>
      </w:tr>
      <w:tr>
        <w:tc>
          <w:tcPr>
            <w:tcW w:type="dxa" w:w="4287"/>
            <w:tcBorders>
              <w:top w:val="none" w:color="000000" w:sz="4"/>
              <w:left w:val="single" w:color="F2F2F2" w:sz="8"/>
              <w:bottom w:val="single" w:color="F2F2F2" w:sz="8"/>
              <w:right w:val="single" w:color="F2F2F2" w:sz="8"/>
            </w:tcBorders>
            <w:vAlign w:val="top"/>
          </w:tcPr>
          <w:p>
            <w:pPr>
              <w:jc w:val="both"/>
            </w:pPr>
            <w:r>
              <w:rPr>
                <w:b/>
                <w:sz w:val="24"/>
              </w:rPr>
              <w:t>授权代表（签字）：</w:t>
            </w:r>
          </w:p>
        </w:tc>
        <w:tc>
          <w:tcPr>
            <w:tcW w:type="dxa" w:w="4004"/>
            <w:tcBorders>
              <w:top w:val="none" w:color="000000" w:sz="4"/>
              <w:left w:val="none" w:color="000000" w:sz="4"/>
              <w:bottom w:val="single" w:color="F2F2F2" w:sz="8"/>
              <w:right w:val="single" w:color="F2F2F2" w:sz="8"/>
            </w:tcBorders>
            <w:vAlign w:val="top"/>
          </w:tcPr>
          <w:p>
            <w:pPr>
              <w:jc w:val="both"/>
            </w:pPr>
            <w:r>
              <w:rPr>
                <w:b/>
                <w:sz w:val="24"/>
              </w:rPr>
              <w:t>授权代表（签字）：</w:t>
            </w:r>
          </w:p>
        </w:tc>
      </w:tr>
    </w:tbl>
    <w:p>
      <w:pPr>
        <w:jc w:val="both"/>
      </w:pPr>
    </w:p>
    <w:p>
      <w:pPr>
        <w:jc w:val="left"/>
      </w:pPr>
    </w:p>
    <w:p>
      <w:pPr>
        <w:jc w:val="left"/>
      </w:pPr>
      <w:r>
        <w:rPr>
          <w:sz w:val="24"/>
        </w:rPr>
        <w:t>签订时间：</w:t>
      </w:r>
      <w:r>
        <w:rPr>
          <w:sz w:val="24"/>
        </w:rPr>
        <w:t>X 年 X月 X日</w:t>
      </w:r>
    </w:p>
    <w:p>
      <w:pPr>
        <w:jc w:val="left"/>
      </w:pPr>
      <w:r>
        <w:rPr>
          <w:sz w:val="24"/>
        </w:rPr>
        <w:t>签约地点：汕头市</w:t>
      </w:r>
    </w:p>
    <w:p>
      <w:pPr>
        <w:jc w:val="left"/>
      </w:pPr>
    </w:p>
    <w:p>
      <w:pPr>
        <w:jc w:val="left"/>
      </w:pPr>
    </w:p>
    <w:p>
      <w:pPr>
        <w:jc w:val="left"/>
      </w:pPr>
    </w:p>
    <w:p>
      <w:pPr>
        <w:jc w:val="left"/>
      </w:pPr>
      <w:r>
        <w:rPr>
          <w:b/>
          <w:sz w:val="24"/>
        </w:rPr>
        <w:t>货物配置清单</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986"/>
        <w:gridCol w:w="2140"/>
        <w:gridCol w:w="5139"/>
      </w:tblGrid>
      <w:tr>
        <w:tc>
          <w:tcPr>
            <w:tcW w:type="dxa" w:w="986"/>
            <w:tcBorders>
              <w:top w:val="single" w:color="000000" w:sz="8"/>
              <w:left w:val="single" w:color="000000" w:sz="8"/>
              <w:bottom w:val="single" w:color="000000" w:sz="8"/>
              <w:right w:val="single" w:color="000000" w:sz="8"/>
            </w:tcBorders>
            <w:vAlign w:val="top"/>
          </w:tcPr>
          <w:p>
            <w:pPr>
              <w:jc w:val="center"/>
            </w:pPr>
            <w:r>
              <w:rPr>
                <w:b/>
                <w:sz w:val="24"/>
              </w:rPr>
              <w:t>序号</w:t>
            </w:r>
          </w:p>
        </w:tc>
        <w:tc>
          <w:tcPr>
            <w:tcW w:type="dxa" w:w="2140"/>
            <w:tcBorders>
              <w:top w:val="single" w:color="000000" w:sz="8"/>
              <w:left w:val="none" w:color="000000" w:sz="4"/>
              <w:bottom w:val="single" w:color="000000" w:sz="8"/>
              <w:right w:val="single" w:color="000000" w:sz="8"/>
            </w:tcBorders>
            <w:vAlign w:val="top"/>
          </w:tcPr>
          <w:p>
            <w:pPr>
              <w:jc w:val="center"/>
            </w:pPr>
            <w:r>
              <w:rPr>
                <w:b/>
                <w:sz w:val="24"/>
              </w:rPr>
              <w:t>产品</w:t>
            </w:r>
          </w:p>
        </w:tc>
        <w:tc>
          <w:tcPr>
            <w:tcW w:type="dxa" w:w="5139"/>
            <w:tcBorders>
              <w:top w:val="single" w:color="000000" w:sz="8"/>
              <w:left w:val="none" w:color="000000" w:sz="4"/>
              <w:bottom w:val="single" w:color="000000" w:sz="8"/>
              <w:right w:val="single" w:color="000000" w:sz="8"/>
            </w:tcBorders>
            <w:vAlign w:val="top"/>
          </w:tcPr>
          <w:p>
            <w:pPr>
              <w:jc w:val="center"/>
            </w:pPr>
            <w:r>
              <w:rPr>
                <w:b/>
                <w:sz w:val="24"/>
              </w:rPr>
              <w:t>配置</w:t>
            </w:r>
          </w:p>
        </w:tc>
      </w:tr>
      <w:tr>
        <w:tc>
          <w:tcPr>
            <w:tcW w:type="dxa" w:w="986"/>
            <w:tcBorders>
              <w:top w:val="none" w:color="000000" w:sz="4"/>
              <w:left w:val="single" w:color="000000" w:sz="8"/>
              <w:bottom w:val="single" w:color="000000" w:sz="8"/>
              <w:right w:val="single" w:color="000000" w:sz="8"/>
            </w:tcBorders>
            <w:vAlign w:val="top"/>
          </w:tcPr>
          <w:p>
            <w:pPr>
              <w:jc w:val="center"/>
            </w:pPr>
            <w:r>
              <w:rPr>
                <w:sz w:val="24"/>
              </w:rPr>
              <w:t>1</w:t>
            </w:r>
          </w:p>
        </w:tc>
        <w:tc>
          <w:tcPr>
            <w:tcW w:type="dxa" w:w="2140"/>
            <w:tcBorders>
              <w:top w:val="none" w:color="000000" w:sz="4"/>
              <w:left w:val="none" w:color="000000" w:sz="4"/>
              <w:bottom w:val="single" w:color="000000" w:sz="8"/>
              <w:right w:val="single" w:color="000000" w:sz="8"/>
            </w:tcBorders>
            <w:vAlign w:val="top"/>
          </w:tcPr>
          <w:p>
            <w:pPr>
              <w:jc w:val="center"/>
            </w:pPr>
          </w:p>
        </w:tc>
        <w:tc>
          <w:tcPr>
            <w:tcW w:type="dxa" w:w="5139"/>
            <w:tcBorders>
              <w:top w:val="none" w:color="000000" w:sz="4"/>
              <w:left w:val="none" w:color="000000" w:sz="4"/>
              <w:bottom w:val="single" w:color="000000" w:sz="8"/>
              <w:right w:val="single" w:color="000000" w:sz="8"/>
            </w:tcBorders>
            <w:vAlign w:val="top"/>
          </w:tcPr>
          <w:p>
            <w:pPr>
              <w:jc w:val="both"/>
            </w:pPr>
          </w:p>
        </w:tc>
      </w:tr>
      <w:tr>
        <w:tc>
          <w:tcPr>
            <w:tcW w:type="dxa" w:w="986"/>
            <w:tcBorders>
              <w:top w:val="none" w:color="000000" w:sz="4"/>
              <w:left w:val="single" w:color="000000" w:sz="8"/>
              <w:bottom w:val="single" w:color="000000" w:sz="8"/>
              <w:right w:val="single" w:color="000000" w:sz="8"/>
            </w:tcBorders>
            <w:vAlign w:val="top"/>
          </w:tcPr>
          <w:p>
            <w:pPr>
              <w:jc w:val="center"/>
            </w:pPr>
            <w:r>
              <w:rPr>
                <w:sz w:val="24"/>
              </w:rPr>
              <w:t>2</w:t>
            </w:r>
          </w:p>
        </w:tc>
        <w:tc>
          <w:tcPr>
            <w:tcW w:type="dxa" w:w="2140"/>
            <w:tcBorders>
              <w:top w:val="none" w:color="000000" w:sz="4"/>
              <w:left w:val="none" w:color="000000" w:sz="4"/>
              <w:bottom w:val="single" w:color="000000" w:sz="8"/>
              <w:right w:val="single" w:color="000000" w:sz="8"/>
            </w:tcBorders>
            <w:vAlign w:val="top"/>
          </w:tcPr>
          <w:p>
            <w:pPr>
              <w:jc w:val="center"/>
            </w:pPr>
          </w:p>
        </w:tc>
        <w:tc>
          <w:tcPr>
            <w:tcW w:type="dxa" w:w="5139"/>
            <w:tcBorders>
              <w:top w:val="none" w:color="000000" w:sz="4"/>
              <w:left w:val="none" w:color="000000" w:sz="4"/>
              <w:bottom w:val="single" w:color="000000" w:sz="8"/>
              <w:right w:val="single" w:color="000000" w:sz="8"/>
            </w:tcBorders>
            <w:vAlign w:val="top"/>
          </w:tcPr>
          <w:p>
            <w:pPr>
              <w:jc w:val="both"/>
            </w:pPr>
          </w:p>
        </w:tc>
      </w:tr>
      <w:tr>
        <w:tc>
          <w:tcPr>
            <w:tcW w:type="dxa" w:w="986"/>
            <w:tcBorders>
              <w:top w:val="none" w:color="000000" w:sz="4"/>
              <w:left w:val="single" w:color="000000" w:sz="8"/>
              <w:bottom w:val="single" w:color="000000" w:sz="8"/>
              <w:right w:val="single" w:color="000000" w:sz="8"/>
            </w:tcBorders>
            <w:vAlign w:val="top"/>
          </w:tcPr>
          <w:p>
            <w:pPr>
              <w:jc w:val="center"/>
            </w:pPr>
            <w:r>
              <w:rPr>
                <w:sz w:val="24"/>
              </w:rPr>
              <w:t>3</w:t>
            </w:r>
          </w:p>
        </w:tc>
        <w:tc>
          <w:tcPr>
            <w:tcW w:type="dxa" w:w="2140"/>
            <w:tcBorders>
              <w:top w:val="none" w:color="000000" w:sz="4"/>
              <w:left w:val="none" w:color="000000" w:sz="4"/>
              <w:bottom w:val="single" w:color="000000" w:sz="8"/>
              <w:right w:val="single" w:color="000000" w:sz="8"/>
            </w:tcBorders>
            <w:vAlign w:val="top"/>
          </w:tcPr>
          <w:p>
            <w:pPr>
              <w:jc w:val="center"/>
            </w:pPr>
          </w:p>
        </w:tc>
        <w:tc>
          <w:tcPr>
            <w:tcW w:type="dxa" w:w="5139"/>
            <w:tcBorders>
              <w:top w:val="none" w:color="000000" w:sz="4"/>
              <w:left w:val="none" w:color="000000" w:sz="4"/>
              <w:bottom w:val="single" w:color="000000" w:sz="8"/>
              <w:right w:val="single" w:color="000000" w:sz="8"/>
            </w:tcBorders>
            <w:vAlign w:val="top"/>
          </w:tcPr>
          <w:p>
            <w:pPr>
              <w:jc w:val="both"/>
            </w:pPr>
          </w:p>
        </w:tc>
      </w:tr>
      <w:tr>
        <w:tc>
          <w:tcPr>
            <w:tcW w:type="dxa" w:w="986"/>
            <w:tcBorders>
              <w:top w:val="none" w:color="000000" w:sz="4"/>
              <w:left w:val="single" w:color="000000" w:sz="8"/>
              <w:bottom w:val="single" w:color="000000" w:sz="8"/>
              <w:right w:val="single" w:color="000000" w:sz="8"/>
            </w:tcBorders>
            <w:vAlign w:val="top"/>
          </w:tcPr>
          <w:p>
            <w:pPr>
              <w:jc w:val="center"/>
            </w:pPr>
          </w:p>
        </w:tc>
        <w:tc>
          <w:tcPr>
            <w:tcW w:type="dxa" w:w="2140"/>
            <w:tcBorders>
              <w:top w:val="none" w:color="000000" w:sz="4"/>
              <w:left w:val="none" w:color="000000" w:sz="4"/>
              <w:bottom w:val="single" w:color="000000" w:sz="8"/>
              <w:right w:val="single" w:color="000000" w:sz="8"/>
            </w:tcBorders>
            <w:vAlign w:val="top"/>
          </w:tcPr>
          <w:p>
            <w:pPr>
              <w:jc w:val="center"/>
            </w:pPr>
          </w:p>
        </w:tc>
        <w:tc>
          <w:tcPr>
            <w:tcW w:type="dxa" w:w="5139"/>
            <w:tcBorders>
              <w:top w:val="none" w:color="000000" w:sz="4"/>
              <w:left w:val="none" w:color="000000" w:sz="4"/>
              <w:bottom w:val="single" w:color="000000" w:sz="8"/>
              <w:right w:val="single" w:color="000000" w:sz="8"/>
            </w:tcBorders>
            <w:vAlign w:val="top"/>
          </w:tcPr>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440001-2022-58770</w:t>
      </w:r>
    </w:p>
    <w:p>
      <w:pPr>
        <w:jc w:val="center"/>
      </w:pPr>
      <w:r>
        <w:rPr>
          <w:b/>
          <w:sz w:val="24"/>
        </w:rPr>
        <w:t>采购项目编号：</w:t>
      </w:r>
      <w:r>
        <w:rPr>
          <w:b/>
          <w:sz w:val="24"/>
        </w:rPr>
        <w:t>440001-2022-58770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w:t>
      </w:r>
      <w:r>
        <w:rPr>
          <w:u w:val="single"/>
        </w:rPr>
        <w:t>汕头大学数据中心设备采购项目</w:t>
      </w:r>
      <w:r>
        <w:rPr>
          <w:u w:val="single"/>
        </w:rPr>
        <w:t>”</w:t>
      </w:r>
      <w:r>
        <w:rPr/>
        <w:t>项目的招标[采购项目编号为：</w:t>
      </w:r>
      <w:r>
        <w:rPr>
          <w:u w:val="single"/>
        </w:rPr>
        <w:t>440001-2022-58770</w:t>
      </w:r>
      <w:r>
        <w:rPr/>
        <w:t>]，我方愿参与投标。</w:t>
      </w:r>
    </w:p>
    <w:p>
      <w:pPr>
        <w:ind w:firstLine="480"/>
      </w:pPr>
      <w:r>
        <w:rPr/>
        <w:t>我方确认收到贵方提供的</w:t>
      </w:r>
      <w:r>
        <w:rPr>
          <w:u w:val="single"/>
        </w:rPr>
        <w:t>“</w:t>
      </w:r>
      <w:r>
        <w:rPr>
          <w:u w:val="single"/>
        </w:rPr>
        <w:t>汕头大学数据中心设备采购项目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汕头大学数据中心设备采购项目</w:t>
      </w:r>
      <w:r>
        <w:rPr/>
        <w:t>”项目采购[采购项目编号为</w:t>
      </w:r>
      <w:r>
        <w:rPr/>
        <w:t>440001-2022-58770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汕头大学数据中心设备采购项目</w:t>
      </w:r>
      <w:r>
        <w:rPr/>
        <w:t>招标中获中标（采购项目编号：</w:t>
      </w:r>
      <w:r>
        <w:rPr/>
        <w:t>440001-2022-58770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汕头大学数据中心设备采购项目</w:t>
      </w:r>
      <w:r>
        <w:rPr/>
        <w:t>”项目（采购项目编号：</w:t>
      </w:r>
      <w:r>
        <w:rPr/>
        <w:t>440001-2022-58770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