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440001-2026-31209</w:t>
      </w:r>
    </w:p>
    <w:p>
      <w:pPr>
        <w:pStyle w:val="null3"/>
        <w:jc w:val="center"/>
        <w:outlineLvl w:val="3"/>
      </w:pPr>
      <w:r>
        <w:rPr>
          <w:sz w:val="24"/>
          <w:b/>
        </w:rPr>
        <w:t>采购项目编号：</w:t>
      </w:r>
      <w:r>
        <w:rPr>
          <w:sz w:val="24"/>
          <w:b/>
        </w:rPr>
        <w:t>ZZ0260563</w:t>
      </w:r>
    </w:p>
    <w:p>
      <w:pPr>
        <w:pStyle w:val="null3"/>
        <w:jc w:val="center"/>
        <w:outlineLvl w:val="3"/>
      </w:pPr>
      <w:r>
        <w:rPr>
          <w:sz w:val="24"/>
          <w:b/>
        </w:rPr>
        <w:t>项目名称：</w:t>
      </w:r>
      <w:r>
        <w:rPr>
          <w:sz w:val="24"/>
          <w:b/>
        </w:rPr>
        <w:t>广东技术师范大学广州校区学生宿舍家具采购项目</w:t>
      </w:r>
    </w:p>
    <w:p>
      <w:pPr>
        <w:pStyle w:val="null3"/>
        <w:jc w:val="center"/>
        <w:outlineLvl w:val="3"/>
      </w:pPr>
      <w:r>
        <w:rPr>
          <w:sz w:val="24"/>
          <w:b/>
        </w:rPr>
        <w:t>采购人：</w:t>
      </w:r>
      <w:r>
        <w:rPr>
          <w:sz w:val="24"/>
          <w:b/>
        </w:rPr>
        <w:t>广东技术师范大学</w:t>
      </w:r>
    </w:p>
    <w:p>
      <w:pPr>
        <w:pStyle w:val="null3"/>
        <w:jc w:val="center"/>
        <w:outlineLvl w:val="3"/>
      </w:pPr>
      <w:r>
        <w:rPr>
          <w:sz w:val="24"/>
          <w:b/>
        </w:rPr>
        <w:t>采购代理机构：</w:t>
      </w:r>
      <w:r>
        <w:rPr>
          <w:sz w:val="24"/>
          <w:b/>
        </w:rPr>
        <w:t>广东志正招标有限公司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广东志正招标有限公司</w:t>
      </w:r>
      <w:r>
        <w:rPr/>
        <w:t>受</w:t>
      </w:r>
      <w:r>
        <w:rPr/>
        <w:t>广东技术师范大学</w:t>
      </w:r>
      <w:r>
        <w:rPr/>
        <w:t>的委托，采用</w:t>
      </w:r>
      <w:r>
        <w:rPr/>
        <w:t>公开招标</w:t>
      </w:r>
      <w:r>
        <w:rPr/>
        <w:t>方式组织采购</w:t>
      </w:r>
      <w:r>
        <w:rPr/>
        <w:t>广东技术师范大学广州校区学生宿舍家具采购项目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广东技术师范大学广州校区学生宿舍家具采购项目</w:t>
      </w:r>
    </w:p>
    <w:p>
      <w:pPr>
        <w:pStyle w:val="null3"/>
        <w:ind w:firstLine="480"/>
      </w:pPr>
      <w:r>
        <w:rPr/>
        <w:t>采购计划编号：</w:t>
      </w:r>
      <w:r>
        <w:rPr/>
        <w:t>440001-2026-31209</w:t>
      </w:r>
    </w:p>
    <w:p>
      <w:pPr>
        <w:pStyle w:val="null3"/>
        <w:ind w:firstLine="480"/>
      </w:pPr>
      <w:r>
        <w:rPr/>
        <w:t>采购项目编号：</w:t>
      </w:r>
      <w:r>
        <w:rPr/>
        <w:t>ZZ0260563</w:t>
      </w:r>
    </w:p>
    <w:p>
      <w:pPr>
        <w:pStyle w:val="null3"/>
        <w:ind w:firstLine="480"/>
      </w:pPr>
      <w:r>
        <w:rPr/>
        <w:t>采购方式：</w:t>
      </w:r>
      <w:r>
        <w:rPr/>
        <w:t>公开招标</w:t>
      </w:r>
    </w:p>
    <w:p>
      <w:pPr>
        <w:pStyle w:val="null3"/>
        <w:ind w:firstLine="480"/>
      </w:pPr>
      <w:r>
        <w:rPr/>
        <w:t>预算金额：</w:t>
      </w:r>
      <w:r>
        <w:rPr/>
        <w:t>1,957,000.00</w:t>
      </w:r>
      <w:r>
        <w:rPr/>
        <w:t>元</w:t>
      </w:r>
    </w:p>
    <w:p>
      <w:pPr>
        <w:pStyle w:val="null3"/>
        <w:outlineLvl w:val="3"/>
      </w:pPr>
      <w:r>
        <w:rPr>
          <w:sz w:val="24"/>
          <w:b/>
        </w:rPr>
        <w:t>2.项目内容及需求情况（采购项目技术规格、参数及要求）</w:t>
      </w:r>
    </w:p>
    <w:p>
      <w:pPr>
        <w:pStyle w:val="null3"/>
      </w:pPr>
      <w:r>
        <w:rPr/>
        <w:t>采购包1(广东技术师范大学广州校区学生宿舍家具采购项目):</w:t>
      </w:r>
    </w:p>
    <w:p>
      <w:pPr>
        <w:pStyle w:val="null3"/>
      </w:pPr>
      <w:r>
        <w:rPr/>
        <w:t>采购包预算金额：1,957,000.00元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其他家具</w:t>
            </w:r>
          </w:p>
        </w:tc>
        <w:tc>
          <w:tcPr>
            <w:tcW w:type="dxa" w:w="2136"/>
          </w:tcPr>
          <w:p>
            <w:pPr>
              <w:pStyle w:val="null3"/>
            </w:pPr>
            <w:r>
              <w:rPr/>
              <w:t>单人位公寓组合床 （上床下桌）</w:t>
            </w:r>
          </w:p>
        </w:tc>
        <w:tc>
          <w:tcPr>
            <w:tcW w:type="dxa" w:w="1187"/>
          </w:tcPr>
          <w:p>
            <w:pPr>
              <w:pStyle w:val="null3"/>
            </w:pPr>
            <w:r>
              <w:rPr/>
              <w:t>342.00(套)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其他家具</w:t>
            </w:r>
          </w:p>
        </w:tc>
        <w:tc>
          <w:tcPr>
            <w:tcW w:type="dxa" w:w="2136"/>
          </w:tcPr>
          <w:p>
            <w:pPr>
              <w:pStyle w:val="null3"/>
            </w:pPr>
            <w:r>
              <w:rPr/>
              <w:t>二连体三人位组合床</w:t>
            </w:r>
          </w:p>
        </w:tc>
        <w:tc>
          <w:tcPr>
            <w:tcW w:type="dxa" w:w="1187"/>
          </w:tcPr>
          <w:p>
            <w:pPr>
              <w:pStyle w:val="null3"/>
            </w:pPr>
            <w:r>
              <w:rPr/>
              <w:t>250.00(套)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其他家具</w:t>
            </w:r>
          </w:p>
        </w:tc>
        <w:tc>
          <w:tcPr>
            <w:tcW w:type="dxa" w:w="2136"/>
          </w:tcPr>
          <w:p>
            <w:pPr>
              <w:pStyle w:val="null3"/>
            </w:pPr>
            <w:r>
              <w:rPr/>
              <w:t>学生椅</w:t>
            </w:r>
          </w:p>
        </w:tc>
        <w:tc>
          <w:tcPr>
            <w:tcW w:type="dxa" w:w="1187"/>
          </w:tcPr>
          <w:p>
            <w:pPr>
              <w:pStyle w:val="null3"/>
            </w:pPr>
            <w:r>
              <w:rPr/>
              <w:t>840.00(张)</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其他家具</w:t>
            </w:r>
          </w:p>
        </w:tc>
        <w:tc>
          <w:tcPr>
            <w:tcW w:type="dxa" w:w="2076"/>
          </w:tcPr>
          <w:p>
            <w:pPr>
              <w:pStyle w:val="null3"/>
              <w:jc w:val="left"/>
            </w:pPr>
            <w:r>
              <w:rPr/>
              <w:t>单人位公寓组合床 （上床下桌）</w:t>
            </w:r>
          </w:p>
        </w:tc>
        <w:tc>
          <w:tcPr>
            <w:tcW w:type="dxa" w:w="2076"/>
          </w:tcPr>
          <w:p>
            <w:pPr>
              <w:pStyle w:val="null3"/>
              <w:jc w:val="left"/>
            </w:pPr>
            <w:r>
              <w:rPr/>
              <w:t>单人位公寓组合床 （上床下桌）</w:t>
            </w:r>
          </w:p>
        </w:tc>
      </w:tr>
      <w:tr>
        <w:tc>
          <w:tcPr>
            <w:tcW w:type="dxa" w:w="2076"/>
          </w:tcPr>
          <w:p>
            <w:pPr>
              <w:pStyle w:val="null3"/>
              <w:jc w:val="center"/>
            </w:pPr>
            <w:r>
              <w:rPr/>
              <w:t>2</w:t>
            </w:r>
          </w:p>
        </w:tc>
        <w:tc>
          <w:tcPr>
            <w:tcW w:type="dxa" w:w="2076"/>
          </w:tcPr>
          <w:p>
            <w:pPr>
              <w:pStyle w:val="null3"/>
              <w:jc w:val="left"/>
            </w:pPr>
            <w:r>
              <w:rPr/>
              <w:t>其他家具</w:t>
            </w:r>
          </w:p>
        </w:tc>
        <w:tc>
          <w:tcPr>
            <w:tcW w:type="dxa" w:w="2076"/>
          </w:tcPr>
          <w:p>
            <w:pPr>
              <w:pStyle w:val="null3"/>
              <w:jc w:val="left"/>
            </w:pPr>
            <w:r>
              <w:rPr/>
              <w:t>二连体三人位组合床</w:t>
            </w:r>
          </w:p>
        </w:tc>
        <w:tc>
          <w:tcPr>
            <w:tcW w:type="dxa" w:w="2076"/>
          </w:tcPr>
          <w:p>
            <w:pPr>
              <w:pStyle w:val="null3"/>
              <w:jc w:val="left"/>
            </w:pPr>
            <w:r>
              <w:rPr/>
              <w:t>二连体三人位组合床</w:t>
            </w:r>
          </w:p>
        </w:tc>
      </w:tr>
      <w:tr>
        <w:tc>
          <w:tcPr>
            <w:tcW w:type="dxa" w:w="2076"/>
          </w:tcPr>
          <w:p>
            <w:pPr>
              <w:pStyle w:val="null3"/>
              <w:jc w:val="center"/>
            </w:pPr>
            <w:r>
              <w:rPr/>
              <w:t>3</w:t>
            </w:r>
          </w:p>
        </w:tc>
        <w:tc>
          <w:tcPr>
            <w:tcW w:type="dxa" w:w="2076"/>
          </w:tcPr>
          <w:p>
            <w:pPr>
              <w:pStyle w:val="null3"/>
              <w:jc w:val="left"/>
            </w:pPr>
            <w:r>
              <w:rPr/>
              <w:t>其他家具</w:t>
            </w:r>
          </w:p>
        </w:tc>
        <w:tc>
          <w:tcPr>
            <w:tcW w:type="dxa" w:w="2076"/>
          </w:tcPr>
          <w:p>
            <w:pPr>
              <w:pStyle w:val="null3"/>
              <w:jc w:val="left"/>
            </w:pPr>
            <w:r>
              <w:rPr/>
              <w:t>学生椅</w:t>
            </w:r>
          </w:p>
        </w:tc>
        <w:tc>
          <w:tcPr>
            <w:tcW w:type="dxa" w:w="2076"/>
          </w:tcPr>
          <w:p>
            <w:pPr>
              <w:pStyle w:val="null3"/>
              <w:jc w:val="left"/>
            </w:pPr>
            <w:r>
              <w:rPr/>
              <w:t>学生椅</w:t>
            </w:r>
          </w:p>
        </w:tc>
      </w:tr>
    </w:tbl>
    <w:p>
      <w:pPr>
        <w:pStyle w:val="null3"/>
      </w:pPr>
      <w:r>
        <w:rPr/>
        <w:t>本采购包不接受联合体投标</w:t>
      </w:r>
    </w:p>
    <w:p>
      <w:pPr>
        <w:pStyle w:val="null3"/>
      </w:pPr>
      <w:r>
        <w:rPr/>
        <w:t>合同分包：不允许合同分包</w:t>
      </w:r>
    </w:p>
    <w:p>
      <w:pPr>
        <w:pStyle w:val="null3"/>
      </w:pPr>
      <w:r>
        <w:rPr/>
        <w:t>合同履行期限：各标的提供的时间见“交货批次”中的安排。</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3）具有良好的商业信誉和健全的财务会计制度：提供2025年度财务状况报告或投标截止日前6个月内任意1个月的财务报表复印件；或银行出具的资信证明材料复印件。</w:t>
      </w:r>
    </w:p>
    <w:p>
      <w:pPr>
        <w:pStyle w:val="null3"/>
      </w:pPr>
      <w:r>
        <w:rPr/>
        <w:t>4）履行合同所必需的设备和专业技术能力：填报设备及专业技术能力情况，格式自拟。</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采购包1（广东技术师范大学广州校区学生宿舍家具采购项目）：</w:t>
      </w:r>
      <w:r>
        <w:rPr/>
        <w:t>本项目专门面向中小企业采购，所有货物由符合货物(采购标的)所属行业(工业)政策划分标准的中小微企业生产且使用该中小微企业商号或注册商标，投标人应按规定提供《中小企业声明函》。属于监狱企业的，提供由省级以上监狱管理局、戒毒管理局(含新疆生产建设兵团)出具的属于监狱企业的证明文件；属于残疾人福利性单位的，提供《残疾人福利性单位声明函》。</w:t>
      </w:r>
    </w:p>
    <w:p>
      <w:pPr>
        <w:pStyle w:val="null3"/>
        <w:outlineLvl w:val="3"/>
      </w:pPr>
      <w:r>
        <w:rPr>
          <w:sz w:val="24"/>
          <w:b/>
        </w:rPr>
        <w:t>3.本项目特定的资格要求：</w:t>
      </w:r>
    </w:p>
    <w:p>
      <w:pPr>
        <w:pStyle w:val="null3"/>
      </w:pPr>
      <w:r>
        <w:rPr/>
        <w:t>采购包1（广东技术师范大学广州校区学生宿舍家具采购项目）：</w:t>
      </w: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广东志正招标有限公司（https://www.zztender.com/）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广东技术师范大学</w:t>
      </w:r>
    </w:p>
    <w:p>
      <w:pPr>
        <w:pStyle w:val="null3"/>
        <w:ind w:firstLine="480"/>
      </w:pPr>
      <w:r>
        <w:rPr/>
        <w:t xml:space="preserve"> 地址：</w:t>
      </w:r>
      <w:r>
        <w:rPr/>
        <w:t>广州市天河区中山大道西293号</w:t>
      </w:r>
    </w:p>
    <w:p>
      <w:pPr>
        <w:pStyle w:val="null3"/>
        <w:ind w:firstLine="480"/>
      </w:pPr>
      <w:r>
        <w:rPr/>
        <w:t xml:space="preserve"> 联系方式：</w:t>
      </w:r>
      <w:r>
        <w:rPr/>
        <w:t>黄老师 020-38265553</w:t>
      </w:r>
    </w:p>
    <w:p>
      <w:pPr>
        <w:pStyle w:val="null3"/>
        <w:outlineLvl w:val="3"/>
      </w:pPr>
      <w:r>
        <w:rPr>
          <w:sz w:val="24"/>
          <w:b/>
        </w:rPr>
        <w:t xml:space="preserve"> 2.采购代理机构信息</w:t>
      </w:r>
    </w:p>
    <w:p>
      <w:pPr>
        <w:pStyle w:val="null3"/>
        <w:ind w:firstLine="480"/>
      </w:pPr>
      <w:r>
        <w:rPr/>
        <w:t xml:space="preserve"> 名称：</w:t>
      </w:r>
      <w:r>
        <w:rPr/>
        <w:t>广东志正招标有限公司</w:t>
      </w:r>
    </w:p>
    <w:p>
      <w:pPr>
        <w:pStyle w:val="null3"/>
        <w:ind w:firstLine="480"/>
      </w:pPr>
      <w:r>
        <w:rPr/>
        <w:t xml:space="preserve"> 地址：</w:t>
      </w:r>
      <w:r>
        <w:rPr/>
        <w:t>广东省广州市天河区龙怡路117号501、503、504、505、506房</w:t>
      </w:r>
    </w:p>
    <w:p>
      <w:pPr>
        <w:pStyle w:val="null3"/>
        <w:ind w:firstLine="480"/>
      </w:pPr>
      <w:r>
        <w:rPr/>
        <w:t xml:space="preserve"> 联系方式：</w:t>
      </w:r>
      <w:r>
        <w:rPr/>
        <w:t>020-87554618</w:t>
      </w:r>
    </w:p>
    <w:p>
      <w:pPr>
        <w:pStyle w:val="null3"/>
        <w:outlineLvl w:val="3"/>
      </w:pPr>
      <w:r>
        <w:rPr>
          <w:sz w:val="24"/>
          <w:b/>
        </w:rPr>
        <w:t xml:space="preserve"> 3.项目联系方式</w:t>
      </w:r>
    </w:p>
    <w:p>
      <w:pPr>
        <w:pStyle w:val="null3"/>
        <w:ind w:firstLine="480"/>
      </w:pPr>
      <w:r>
        <w:rPr/>
        <w:t xml:space="preserve"> 项目联系人：</w:t>
      </w:r>
      <w:r>
        <w:rPr/>
        <w:t>李先生、吴小姐</w:t>
      </w:r>
    </w:p>
    <w:p>
      <w:pPr>
        <w:pStyle w:val="null3"/>
        <w:ind w:firstLine="480"/>
      </w:pPr>
      <w:r>
        <w:rPr/>
        <w:t xml:space="preserve"> 电话：</w:t>
      </w:r>
      <w:r>
        <w:rPr/>
        <w:t>020-87554618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广东志正招标有限公司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说明：</w:t>
      </w:r>
    </w:p>
    <w:p>
      <w:pPr>
        <w:pStyle w:val="null3"/>
        <w:jc w:val="both"/>
      </w:pPr>
      <w:r>
        <w:rPr>
          <w:sz w:val="21"/>
          <w:b/>
        </w:rPr>
        <w:t>1、投标人须对本项目为单位（有划分包组的，则以包组为单位）的标的物进行整体投标，任何只对其中一部分内容进行的投标都被视为无效投标。</w:t>
      </w:r>
    </w:p>
    <w:p>
      <w:pPr>
        <w:pStyle w:val="null3"/>
        <w:jc w:val="both"/>
      </w:pPr>
      <w:r>
        <w:rPr>
          <w:sz w:val="21"/>
          <w:b/>
        </w:rPr>
        <w:t>2、本招标文件中，凡标有“★”的地方，投标人要特别加以注意，必须对此作出一一响应。若有一项带“★”的指标未响应或不满足，将导致其废标或投标无效。</w:t>
      </w:r>
    </w:p>
    <w:p>
      <w:pPr>
        <w:pStyle w:val="null3"/>
        <w:jc w:val="both"/>
      </w:pPr>
      <w:r>
        <w:rPr>
          <w:sz w:val="21"/>
          <w:b/>
        </w:rPr>
        <w:t>3</w:t>
      </w:r>
      <w:r>
        <w:rPr>
          <w:sz w:val="21"/>
          <w:b/>
        </w:rPr>
        <w:t>、本项目核心产品为：</w:t>
      </w:r>
      <w:r>
        <w:rPr>
          <w:sz w:val="21"/>
          <w:b/>
        </w:rPr>
        <w:t>二连体三人位组合床</w:t>
      </w:r>
      <w:r>
        <w:rPr>
          <w:sz w:val="21"/>
          <w:b/>
        </w:rPr>
        <w:t>。</w:t>
      </w:r>
    </w:p>
    <w:p>
      <w:pPr>
        <w:pStyle w:val="null3"/>
        <w:ind w:firstLine="422"/>
        <w:jc w:val="both"/>
      </w:pPr>
      <w:r>
        <w:rPr>
          <w:sz w:val="21"/>
          <w:b/>
        </w:rPr>
        <w:t>投标人应在</w:t>
      </w:r>
      <w:r>
        <w:rPr>
          <w:sz w:val="21"/>
          <w:b/>
        </w:rPr>
        <w:t>投标</w:t>
      </w:r>
      <w:r>
        <w:rPr>
          <w:sz w:val="21"/>
          <w:b/>
        </w:rPr>
        <w:t>文件中清晰列明</w:t>
      </w:r>
      <w:r>
        <w:rPr>
          <w:sz w:val="21"/>
          <w:b/>
        </w:rPr>
        <w:t>“货物名称、品牌”。注：若存在多项核心产品，当不同供应商提供的任意一项核心产品的品牌相同，则视同其是所响应核心产品品牌相同供应商。</w:t>
      </w:r>
    </w:p>
    <w:p>
      <w:pPr>
        <w:pStyle w:val="null3"/>
      </w:pPr>
      <w:r>
        <w:rPr>
          <w:sz w:val="21"/>
          <w:b/>
        </w:rPr>
        <w:t>4、</w:t>
      </w:r>
      <w:r>
        <w:rPr>
          <w:sz w:val="21"/>
        </w:rPr>
        <w:t>本项目为总价包干，投标总价应包括（但不限于）：（</w:t>
      </w:r>
      <w:r>
        <w:rPr>
          <w:sz w:val="21"/>
        </w:rPr>
        <w:t>1）本项目的所有设备和材料、采购、运输、保险（含货物运输保险及安装人员保险）、仓储、安装、调试并伴随服务费用（包括旧家具拆除并搬运到指定地点）、试运行、项目的各项安全责任、培训、相关部门验收、质量保修期内的维护保养等全部费用，含增值税及其他法定税费；（2）上述未包含的其他一切伴随服务，如售后服务、一切不可预见的费用等所有费用。</w:t>
      </w:r>
    </w:p>
    <w:p>
      <w:pPr>
        <w:pStyle w:val="null3"/>
        <w:jc w:val="both"/>
      </w:pPr>
      <w:r>
        <w:rPr>
          <w:sz w:val="21"/>
          <w:b/>
        </w:rPr>
        <w:t>二、</w:t>
      </w:r>
      <w:r>
        <w:rPr>
          <w:sz w:val="21"/>
          <w:b/>
        </w:rPr>
        <w:t>家具备件清单</w:t>
      </w:r>
    </w:p>
    <w:tbl>
      <w:tblPr>
        <w:tblW w:w="0" w:type="auto"/>
        <w:tblBorders>
          <w:top w:val="none" w:color="000000" w:sz="4"/>
          <w:left w:val="none" w:color="000000" w:sz="4"/>
          <w:bottom w:val="none" w:color="000000" w:sz="4"/>
          <w:right w:val="none" w:color="000000" w:sz="4"/>
          <w:insideH w:val="none"/>
          <w:insideV w:val="none"/>
        </w:tblBorders>
      </w:tblPr>
      <w:tblGrid>
        <w:gridCol w:w="1054"/>
        <w:gridCol w:w="2705"/>
        <w:gridCol w:w="1763"/>
        <w:gridCol w:w="1267"/>
        <w:gridCol w:w="1467"/>
      </w:tblGrid>
      <w:tr>
        <w:tc>
          <w:tcPr>
            <w:tcW w:type="dxa" w:w="10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7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17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规格型号</w:t>
            </w:r>
          </w:p>
        </w:tc>
        <w:tc>
          <w:tcPr>
            <w:tcW w:type="dxa" w:w="12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14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r>
      <w:tr>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导轨</w:t>
            </w:r>
          </w:p>
        </w:tc>
        <w:tc>
          <w:tcPr>
            <w:tcW w:type="dxa" w:w="1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标准</w:t>
            </w:r>
          </w:p>
        </w:tc>
        <w:tc>
          <w:tcPr>
            <w:tcW w:type="dxa" w:w="1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副</w:t>
            </w:r>
          </w:p>
        </w:tc>
        <w:tc>
          <w:tcPr>
            <w:tcW w:type="dxa" w:w="1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拉手</w:t>
            </w:r>
          </w:p>
        </w:tc>
        <w:tc>
          <w:tcPr>
            <w:tcW w:type="dxa" w:w="1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标准</w:t>
            </w:r>
          </w:p>
        </w:tc>
        <w:tc>
          <w:tcPr>
            <w:tcW w:type="dxa" w:w="1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明挂锁扣</w:t>
            </w:r>
          </w:p>
        </w:tc>
        <w:tc>
          <w:tcPr>
            <w:tcW w:type="dxa" w:w="1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标准</w:t>
            </w:r>
          </w:p>
        </w:tc>
        <w:tc>
          <w:tcPr>
            <w:tcW w:type="dxa" w:w="1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平头螺丝</w:t>
            </w:r>
          </w:p>
        </w:tc>
        <w:tc>
          <w:tcPr>
            <w:tcW w:type="dxa" w:w="1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8mm</w:t>
            </w:r>
          </w:p>
        </w:tc>
        <w:tc>
          <w:tcPr>
            <w:tcW w:type="dxa" w:w="1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w:t>
            </w:r>
          </w:p>
        </w:tc>
      </w:tr>
      <w:tr>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自攻螺丝</w:t>
            </w:r>
          </w:p>
        </w:tc>
        <w:tc>
          <w:tcPr>
            <w:tcW w:type="dxa" w:w="1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5mm</w:t>
            </w:r>
          </w:p>
        </w:tc>
        <w:tc>
          <w:tcPr>
            <w:tcW w:type="dxa" w:w="1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w:t>
            </w:r>
          </w:p>
        </w:tc>
      </w:tr>
      <w:tr>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铁锤</w:t>
            </w:r>
          </w:p>
        </w:tc>
        <w:tc>
          <w:tcPr>
            <w:tcW w:type="dxa" w:w="1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半角锤</w:t>
            </w:r>
          </w:p>
        </w:tc>
        <w:tc>
          <w:tcPr>
            <w:tcW w:type="dxa" w:w="1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1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老虎钳</w:t>
            </w:r>
          </w:p>
        </w:tc>
        <w:tc>
          <w:tcPr>
            <w:tcW w:type="dxa" w:w="1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8寸老虎钳</w:t>
            </w:r>
          </w:p>
        </w:tc>
        <w:tc>
          <w:tcPr>
            <w:tcW w:type="dxa" w:w="1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1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螺丝十字批</w:t>
            </w:r>
          </w:p>
        </w:tc>
        <w:tc>
          <w:tcPr>
            <w:tcW w:type="dxa" w:w="1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8寸、6寸</w:t>
            </w:r>
          </w:p>
        </w:tc>
        <w:tc>
          <w:tcPr>
            <w:tcW w:type="dxa" w:w="1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螺丝一字批</w:t>
            </w:r>
          </w:p>
        </w:tc>
        <w:tc>
          <w:tcPr>
            <w:tcW w:type="dxa" w:w="1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8寸、6寸</w:t>
            </w:r>
          </w:p>
        </w:tc>
        <w:tc>
          <w:tcPr>
            <w:tcW w:type="dxa" w:w="1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防潮脚套</w:t>
            </w:r>
          </w:p>
        </w:tc>
        <w:tc>
          <w:tcPr>
            <w:tcW w:type="dxa" w:w="1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立柱配套</w:t>
            </w:r>
          </w:p>
        </w:tc>
        <w:tc>
          <w:tcPr>
            <w:tcW w:type="dxa" w:w="1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r>
      <w:tr>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防潮脚垫</w:t>
            </w:r>
          </w:p>
        </w:tc>
        <w:tc>
          <w:tcPr>
            <w:tcW w:type="dxa" w:w="1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床梯配套</w:t>
            </w:r>
          </w:p>
        </w:tc>
        <w:tc>
          <w:tcPr>
            <w:tcW w:type="dxa" w:w="1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r>
      <w:tr>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2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椅子防潮脚套</w:t>
            </w:r>
          </w:p>
        </w:tc>
        <w:tc>
          <w:tcPr>
            <w:tcW w:type="dxa" w:w="1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椅子</w:t>
            </w:r>
          </w:p>
        </w:tc>
        <w:tc>
          <w:tcPr>
            <w:tcW w:type="dxa" w:w="1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r>
      <w:tr>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2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修补自喷漆</w:t>
            </w:r>
          </w:p>
        </w:tc>
        <w:tc>
          <w:tcPr>
            <w:tcW w:type="dxa" w:w="1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灰白</w:t>
            </w:r>
          </w:p>
        </w:tc>
        <w:tc>
          <w:tcPr>
            <w:tcW w:type="dxa" w:w="1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床板</w:t>
            </w:r>
          </w:p>
        </w:tc>
        <w:tc>
          <w:tcPr>
            <w:tcW w:type="dxa" w:w="1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标准</w:t>
            </w:r>
          </w:p>
        </w:tc>
        <w:tc>
          <w:tcPr>
            <w:tcW w:type="dxa" w:w="1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1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bl>
    <w:p>
      <w:pPr>
        <w:pStyle w:val="null3"/>
      </w:pPr>
      <w:r>
        <w:rPr>
          <w:sz w:val="21"/>
        </w:rPr>
        <w:t>注：以上备件仅用于应急维修使用，不适用于维保期内中标人需提供的维修件数量。</w:t>
      </w:r>
    </w:p>
    <w:p>
      <w:pPr>
        <w:pStyle w:val="null3"/>
      </w:pPr>
      <w:r>
        <w:rPr>
          <w:sz w:val="21"/>
          <w:b/>
        </w:rPr>
        <w:t>三、交货批次</w:t>
      </w:r>
    </w:p>
    <w:tbl>
      <w:tblPr>
        <w:tblW w:w="0" w:type="auto"/>
        <w:tblBorders>
          <w:top w:val="none" w:color="000000" w:sz="4"/>
          <w:left w:val="none" w:color="000000" w:sz="4"/>
          <w:bottom w:val="none" w:color="000000" w:sz="4"/>
          <w:right w:val="none" w:color="000000" w:sz="4"/>
          <w:insideH w:val="none"/>
          <w:insideV w:val="none"/>
        </w:tblBorders>
      </w:tblPr>
      <w:tblGrid>
        <w:gridCol w:w="1172"/>
        <w:gridCol w:w="4623"/>
        <w:gridCol w:w="878"/>
        <w:gridCol w:w="1578"/>
      </w:tblGrid>
      <w:tr>
        <w:tc>
          <w:tcPr>
            <w:tcW w:type="dxa" w:w="11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批次</w:t>
            </w:r>
          </w:p>
        </w:tc>
        <w:tc>
          <w:tcPr>
            <w:tcW w:type="dxa" w:w="46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设备名称</w:t>
            </w:r>
          </w:p>
        </w:tc>
        <w:tc>
          <w:tcPr>
            <w:tcW w:type="dxa" w:w="8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5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交付日期</w:t>
            </w:r>
          </w:p>
        </w:tc>
      </w:tr>
      <w:tr>
        <w:tc>
          <w:tcPr>
            <w:tcW w:type="dxa" w:w="11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第一批</w:t>
            </w:r>
          </w:p>
        </w:tc>
        <w:tc>
          <w:tcPr>
            <w:tcW w:type="dxa" w:w="4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单人位公寓组合床（上床下桌）</w:t>
            </w:r>
            <w:r>
              <w:rPr>
                <w:sz w:val="21"/>
              </w:rPr>
              <w:t>（白云校区</w:t>
            </w:r>
            <w:r>
              <w:rPr>
                <w:sz w:val="21"/>
              </w:rPr>
              <w:t>、东校区</w:t>
            </w:r>
            <w:r>
              <w:rPr>
                <w:sz w:val="21"/>
              </w:rPr>
              <w:t>）</w:t>
            </w:r>
          </w:p>
        </w:tc>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76套</w:t>
            </w:r>
          </w:p>
        </w:tc>
        <w:tc>
          <w:tcPr>
            <w:tcW w:type="dxa" w:w="15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2027年1月</w:t>
            </w:r>
          </w:p>
        </w:tc>
      </w:tr>
      <w:tr>
        <w:tc>
          <w:tcPr>
            <w:tcW w:type="dxa" w:w="1172"/>
            <w:vMerge/>
            <w:tcBorders>
              <w:top w:val="none" w:color="000000" w:sz="4"/>
              <w:left w:val="single" w:color="000000" w:sz="4"/>
              <w:bottom w:val="single" w:color="000000" w:sz="4"/>
              <w:right w:val="single" w:color="000000" w:sz="4"/>
            </w:tcBorders>
          </w:tcPr>
          <w:p/>
        </w:tc>
        <w:tc>
          <w:tcPr>
            <w:tcW w:type="dxa" w:w="4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二连体</w:t>
            </w:r>
            <w:r>
              <w:rPr>
                <w:sz w:val="21"/>
              </w:rPr>
              <w:t>三人位组合床</w:t>
            </w:r>
            <w:r>
              <w:rPr>
                <w:sz w:val="21"/>
              </w:rPr>
              <w:t>（东校区）</w:t>
            </w:r>
          </w:p>
        </w:tc>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80套</w:t>
            </w:r>
          </w:p>
        </w:tc>
        <w:tc>
          <w:tcPr>
            <w:tcW w:type="dxa" w:w="1578"/>
            <w:vMerge/>
            <w:tcBorders>
              <w:top w:val="none" w:color="000000" w:sz="4"/>
              <w:left w:val="single" w:color="000000" w:sz="4"/>
              <w:bottom w:val="single" w:color="000000" w:sz="4"/>
              <w:right w:val="single" w:color="000000" w:sz="4"/>
            </w:tcBorders>
          </w:tcPr>
          <w:p/>
        </w:tc>
      </w:tr>
      <w:tr>
        <w:tc>
          <w:tcPr>
            <w:tcW w:type="dxa" w:w="1172"/>
            <w:vMerge/>
            <w:tcBorders>
              <w:top w:val="none" w:color="000000" w:sz="4"/>
              <w:left w:val="single" w:color="000000" w:sz="4"/>
              <w:bottom w:val="single" w:color="000000" w:sz="4"/>
              <w:right w:val="single" w:color="000000" w:sz="4"/>
            </w:tcBorders>
          </w:tcPr>
          <w:p/>
        </w:tc>
        <w:tc>
          <w:tcPr>
            <w:tcW w:type="dxa" w:w="4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学生椅（东校区）</w:t>
            </w:r>
          </w:p>
        </w:tc>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264张</w:t>
            </w:r>
          </w:p>
        </w:tc>
        <w:tc>
          <w:tcPr>
            <w:tcW w:type="dxa" w:w="1578"/>
            <w:vMerge/>
            <w:tcBorders>
              <w:top w:val="none" w:color="000000" w:sz="4"/>
              <w:left w:val="single" w:color="000000" w:sz="4"/>
              <w:bottom w:val="single" w:color="000000" w:sz="4"/>
              <w:right w:val="single" w:color="000000" w:sz="4"/>
            </w:tcBorders>
          </w:tcPr>
          <w:p/>
        </w:tc>
      </w:tr>
      <w:tr>
        <w:tc>
          <w:tcPr>
            <w:tcW w:type="dxa" w:w="11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第二批</w:t>
            </w:r>
          </w:p>
        </w:tc>
        <w:tc>
          <w:tcPr>
            <w:tcW w:type="dxa" w:w="4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单人位公寓组合床（上床下桌）</w:t>
            </w:r>
            <w:r>
              <w:rPr>
                <w:sz w:val="21"/>
              </w:rPr>
              <w:t>（东校区）</w:t>
            </w:r>
          </w:p>
        </w:tc>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266套</w:t>
            </w:r>
          </w:p>
        </w:tc>
        <w:tc>
          <w:tcPr>
            <w:tcW w:type="dxa" w:w="15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2027年8月</w:t>
            </w:r>
          </w:p>
        </w:tc>
      </w:tr>
      <w:tr>
        <w:tc>
          <w:tcPr>
            <w:tcW w:type="dxa" w:w="1172"/>
            <w:vMerge/>
            <w:tcBorders>
              <w:top w:val="none" w:color="000000" w:sz="4"/>
              <w:left w:val="single" w:color="000000" w:sz="4"/>
              <w:bottom w:val="single" w:color="000000" w:sz="4"/>
              <w:right w:val="single" w:color="000000" w:sz="4"/>
            </w:tcBorders>
          </w:tcPr>
          <w:p/>
        </w:tc>
        <w:tc>
          <w:tcPr>
            <w:tcW w:type="dxa" w:w="4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二连体</w:t>
            </w:r>
            <w:r>
              <w:rPr>
                <w:sz w:val="21"/>
              </w:rPr>
              <w:t>三人位组合床</w:t>
            </w:r>
            <w:r>
              <w:rPr>
                <w:sz w:val="21"/>
              </w:rPr>
              <w:t>（东校区）</w:t>
            </w:r>
          </w:p>
        </w:tc>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170套</w:t>
            </w:r>
          </w:p>
        </w:tc>
        <w:tc>
          <w:tcPr>
            <w:tcW w:type="dxa" w:w="1578"/>
            <w:vMerge/>
            <w:tcBorders>
              <w:top w:val="none" w:color="000000" w:sz="4"/>
              <w:left w:val="single" w:color="000000" w:sz="4"/>
              <w:bottom w:val="single" w:color="000000" w:sz="4"/>
              <w:right w:val="single" w:color="000000" w:sz="4"/>
            </w:tcBorders>
          </w:tcPr>
          <w:p/>
        </w:tc>
      </w:tr>
      <w:tr>
        <w:tc>
          <w:tcPr>
            <w:tcW w:type="dxa" w:w="1172"/>
            <w:vMerge/>
            <w:tcBorders>
              <w:top w:val="none" w:color="000000" w:sz="4"/>
              <w:left w:val="single" w:color="000000" w:sz="4"/>
              <w:bottom w:val="single" w:color="000000" w:sz="4"/>
              <w:right w:val="single" w:color="000000" w:sz="4"/>
            </w:tcBorders>
          </w:tcPr>
          <w:p/>
        </w:tc>
        <w:tc>
          <w:tcPr>
            <w:tcW w:type="dxa" w:w="4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学生椅（东校区）</w:t>
            </w:r>
          </w:p>
        </w:tc>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576张</w:t>
            </w:r>
          </w:p>
        </w:tc>
        <w:tc>
          <w:tcPr>
            <w:tcW w:type="dxa" w:w="1578"/>
            <w:vMerge/>
            <w:tcBorders>
              <w:top w:val="none" w:color="000000" w:sz="4"/>
              <w:left w:val="single" w:color="000000" w:sz="4"/>
              <w:bottom w:val="single" w:color="000000" w:sz="4"/>
              <w:right w:val="single" w:color="000000" w:sz="4"/>
            </w:tcBorders>
          </w:tcPr>
          <w:p/>
        </w:tc>
      </w:tr>
    </w:tbl>
    <w:p>
      <w:pPr>
        <w:pStyle w:val="null3"/>
      </w:pPr>
      <w:r>
        <w:rPr>
          <w:sz w:val="21"/>
          <w:b/>
        </w:rPr>
        <w:t>注：供货总数不变，但以上各批次供货数量安排仅为预估，各批次实际供货数量以采购人通知为准。</w:t>
      </w:r>
    </w:p>
    <w:p>
      <w:pPr>
        <w:pStyle w:val="null3"/>
        <w:jc w:val="both"/>
      </w:pPr>
      <w:r>
        <w:rPr>
          <w:sz w:val="21"/>
          <w:b/>
        </w:rPr>
        <w:t>四、</w:t>
      </w:r>
      <w:r>
        <w:rPr>
          <w:sz w:val="21"/>
          <w:b/>
        </w:rPr>
        <w:t>拆除清单</w:t>
      </w:r>
      <w:r>
        <w:rPr>
          <w:sz w:val="21"/>
          <w:b/>
        </w:rPr>
        <w:t>（</w:t>
      </w:r>
      <w:r>
        <w:rPr>
          <w:sz w:val="21"/>
          <w:b/>
        </w:rPr>
        <w:t>费用包含在投标报价中）</w:t>
      </w:r>
    </w:p>
    <w:tbl>
      <w:tblPr>
        <w:tblW w:w="0" w:type="auto"/>
        <w:tblBorders>
          <w:top w:val="none" w:color="000000" w:sz="4"/>
          <w:left w:val="none" w:color="000000" w:sz="4"/>
          <w:bottom w:val="none" w:color="000000" w:sz="4"/>
          <w:right w:val="none" w:color="000000" w:sz="4"/>
          <w:insideH w:val="none"/>
          <w:insideV w:val="none"/>
        </w:tblBorders>
      </w:tblPr>
      <w:tblGrid>
        <w:gridCol w:w="787"/>
        <w:gridCol w:w="1372"/>
        <w:gridCol w:w="4070"/>
        <w:gridCol w:w="1126"/>
        <w:gridCol w:w="947"/>
      </w:tblGrid>
      <w:tr>
        <w:tc>
          <w:tcPr>
            <w:tcW w:type="dxa" w:w="7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校区</w:t>
            </w:r>
          </w:p>
        </w:tc>
        <w:tc>
          <w:tcPr>
            <w:tcW w:type="dxa" w:w="13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拆除标的名称</w:t>
            </w:r>
          </w:p>
        </w:tc>
        <w:tc>
          <w:tcPr>
            <w:tcW w:type="dxa" w:w="40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服务要求</w:t>
            </w:r>
          </w:p>
        </w:tc>
        <w:tc>
          <w:tcPr>
            <w:tcW w:type="dxa" w:w="11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9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东校区</w:t>
            </w:r>
          </w:p>
        </w:tc>
        <w:tc>
          <w:tcPr>
            <w:tcW w:type="dxa" w:w="1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旧上下铁架床</w:t>
            </w:r>
          </w:p>
        </w:tc>
        <w:tc>
          <w:tcPr>
            <w:tcW w:type="dxa" w:w="4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规范拆除、无暴力施工，完整拆卸所有配件，搬运至采购人指定点位有序摆放，配合校方数量清点并验收。</w:t>
            </w:r>
          </w:p>
        </w:tc>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665张</w:t>
            </w:r>
          </w:p>
        </w:tc>
        <w:tc>
          <w:tcPr>
            <w:tcW w:type="dxa" w:w="9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最高层高为九层、均无电梯</w:t>
            </w: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东校区</w:t>
            </w:r>
          </w:p>
        </w:tc>
        <w:tc>
          <w:tcPr>
            <w:tcW w:type="dxa" w:w="1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旧学生桌</w:t>
            </w:r>
          </w:p>
        </w:tc>
        <w:tc>
          <w:tcPr>
            <w:tcW w:type="dxa" w:w="4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完好搬运至采购人指定点位有序摆放，配合校方数量清点并验收。</w:t>
            </w:r>
          </w:p>
        </w:tc>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1110张</w:t>
            </w:r>
          </w:p>
        </w:tc>
        <w:tc>
          <w:tcPr>
            <w:tcW w:type="dxa" w:w="947"/>
            <w:vMerge/>
            <w:tcBorders>
              <w:top w:val="none" w:color="000000" w:sz="4"/>
              <w:left w:val="single" w:color="000000" w:sz="4"/>
              <w:bottom w:val="single" w:color="000000" w:sz="4"/>
              <w:right w:val="single" w:color="000000" w:sz="4"/>
            </w:tcBorders>
          </w:tcP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东校区</w:t>
            </w:r>
          </w:p>
        </w:tc>
        <w:tc>
          <w:tcPr>
            <w:tcW w:type="dxa" w:w="1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旧学生椅</w:t>
            </w:r>
          </w:p>
        </w:tc>
        <w:tc>
          <w:tcPr>
            <w:tcW w:type="dxa" w:w="4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完好搬运至采购人指定点位有序摆放，配合校方数量清点并验收。</w:t>
            </w:r>
          </w:p>
        </w:tc>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840张</w:t>
            </w:r>
          </w:p>
        </w:tc>
        <w:tc>
          <w:tcPr>
            <w:tcW w:type="dxa" w:w="947"/>
            <w:vMerge/>
            <w:tcBorders>
              <w:top w:val="none" w:color="000000" w:sz="4"/>
              <w:left w:val="single" w:color="000000" w:sz="4"/>
              <w:bottom w:val="single" w:color="000000" w:sz="4"/>
              <w:right w:val="single" w:color="000000" w:sz="4"/>
            </w:tcBorders>
          </w:tcP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东校区</w:t>
            </w:r>
          </w:p>
        </w:tc>
        <w:tc>
          <w:tcPr>
            <w:tcW w:type="dxa" w:w="1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旧行李架（柜）</w:t>
            </w:r>
          </w:p>
        </w:tc>
        <w:tc>
          <w:tcPr>
            <w:tcW w:type="dxa" w:w="4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规范拆除、无暴力施工，完整拆卸所有配件，搬运至采购人指定点位有序摆放，配合校方数量清点并验收。</w:t>
            </w:r>
          </w:p>
        </w:tc>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320个</w:t>
            </w:r>
          </w:p>
        </w:tc>
        <w:tc>
          <w:tcPr>
            <w:tcW w:type="dxa" w:w="947"/>
            <w:vMerge/>
            <w:tcBorders>
              <w:top w:val="none" w:color="000000" w:sz="4"/>
              <w:left w:val="single" w:color="000000" w:sz="4"/>
              <w:bottom w:val="single" w:color="000000" w:sz="4"/>
              <w:right w:val="single" w:color="000000" w:sz="4"/>
            </w:tcBorders>
          </w:tcPr>
          <w:p/>
        </w:tc>
      </w:tr>
    </w:tbl>
    <w:p>
      <w:pPr>
        <w:pStyle w:val="null3"/>
      </w:pPr>
      <w:r>
        <w:rPr>
          <w:sz w:val="21"/>
          <w:b/>
        </w:rPr>
        <w:t>1.</w:t>
      </w:r>
      <w:r>
        <w:rPr>
          <w:sz w:val="21"/>
          <w:b/>
        </w:rPr>
        <w:t>拆除通用要求：</w:t>
      </w:r>
      <w:r>
        <w:rPr>
          <w:sz w:val="21"/>
        </w:rPr>
        <w:t>拆除全过程禁止暴力拆解，保护原有建筑墙体、地面、门窗、水电设施；所有旧家具及配件分类、整齐、有序堆放，全程配合采购人清点核对，完工后清理施工垃圾及场地杂物。</w:t>
      </w:r>
    </w:p>
    <w:p>
      <w:pPr>
        <w:pStyle w:val="null3"/>
      </w:pPr>
      <w:r>
        <w:rPr/>
        <w:t xml:space="preserve"> </w:t>
      </w:r>
    </w:p>
    <w:p>
      <w:pPr>
        <w:pStyle w:val="null3"/>
        <w:jc w:val="both"/>
      </w:pPr>
      <w:r>
        <w:rPr>
          <w:sz w:val="21"/>
          <w:b/>
        </w:rPr>
        <w:t>五、设计图（仅供参考，具体尺寸等要求以附表一至附表三的内容为准）</w:t>
      </w:r>
      <w:r>
        <w:br/>
      </w:r>
    </w:p>
    <w:tbl>
      <w:tblPr>
        <w:tblW w:w="0" w:type="auto"/>
        <w:tblBorders>
          <w:top w:val="none" w:color="000000" w:sz="4"/>
          <w:left w:val="none" w:color="000000" w:sz="4"/>
          <w:bottom w:val="none" w:color="000000" w:sz="4"/>
          <w:right w:val="none" w:color="000000" w:sz="4"/>
          <w:insideH w:val="none"/>
          <w:insideV w:val="none"/>
        </w:tblBorders>
      </w:tblPr>
      <w:tblGrid>
        <w:gridCol w:w="590"/>
        <w:gridCol w:w="907"/>
        <w:gridCol w:w="6809"/>
      </w:tblGrid>
      <w:tr>
        <w:tc>
          <w:tcPr>
            <w:tcW w:type="dxa" w:w="5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9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68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家具图</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单人位公寓组合床（上床下桌）</w:t>
            </w:r>
          </w:p>
        </w:tc>
        <w:tc>
          <w:tcPr>
            <w:tcW w:type="dxa" w:w="6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        </w:t>
            </w:r>
            <w:r>
              <w:drawing>
                <wp:inline distT="0" distR="0" distB="0" distL="0">
                  <wp:extent cx="3431300" cy="4586980"/>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5"/>
                          <a:stretch>
                            <a:fillRect/>
                          </a:stretch>
                        </pic:blipFill>
                        <pic:spPr>
                          <a:xfrm>
                            <a:off x="0" y="0"/>
                            <a:ext cx="3431300" cy="4586980"/>
                          </a:xfrm>
                          <a:prstGeom prst="rect">
                            <a:avLst/>
                          </a:prstGeom>
                        </pic:spPr>
                      </pic:pic>
                    </a:graphicData>
                  </a:graphic>
                </wp:inline>
              </w:drawing>
            </w:r>
            <w:r>
              <w:rPr>
                <w:sz w:val="21"/>
              </w:rPr>
              <w:t xml:space="preserve">   </w:t>
            </w:r>
            <w:r>
              <w:drawing>
                <wp:inline distT="0" distR="0" distB="0" distL="0">
                  <wp:extent cx="3431300" cy="3153622"/>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6"/>
                          <a:stretch>
                            <a:fillRect/>
                          </a:stretch>
                        </pic:blipFill>
                        <pic:spPr>
                          <a:xfrm>
                            <a:off x="0" y="0"/>
                            <a:ext cx="3431300" cy="3153622"/>
                          </a:xfrm>
                          <a:prstGeom prst="rect">
                            <a:avLst/>
                          </a:prstGeom>
                        </pic:spPr>
                      </pic:pic>
                    </a:graphicData>
                  </a:graphic>
                </wp:inline>
              </w:drawing>
            </w:r>
            <w:r>
              <w:rPr>
                <w:sz w:val="21"/>
              </w:rPr>
              <w:t xml:space="preserve">   </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二连体</w:t>
            </w:r>
            <w:r>
              <w:rPr>
                <w:sz w:val="20"/>
                <w:b/>
              </w:rPr>
              <w:t>三人位组合床</w:t>
            </w:r>
          </w:p>
        </w:tc>
        <w:tc>
          <w:tcPr>
            <w:tcW w:type="dxa" w:w="6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  </w:t>
            </w:r>
            <w:r>
              <w:drawing>
                <wp:inline distT="0" distR="0" distB="0" distL="0">
                  <wp:extent cx="3431300" cy="2165383"/>
                  <wp:docPr id="3" name="Drawing 3" descr="img"/>
                  <a:graphic xmlns:a="http://schemas.openxmlformats.org/drawingml/2006/main">
                    <a:graphicData uri="http://schemas.openxmlformats.org/drawingml/2006/picture">
                      <pic:pic xmlns:pic="http://schemas.openxmlformats.org/drawingml/2006/picture">
                        <pic:nvPicPr>
                          <pic:cNvPr id="0" name="Picture 3" descr="img"/>
                          <pic:cNvPicPr>
                            <a:picLocks noChangeAspect="true"/>
                          </pic:cNvPicPr>
                        </pic:nvPicPr>
                        <pic:blipFill>
                          <a:blip r:embed="rId7"/>
                          <a:stretch>
                            <a:fillRect/>
                          </a:stretch>
                        </pic:blipFill>
                        <pic:spPr>
                          <a:xfrm>
                            <a:off x="0" y="0"/>
                            <a:ext cx="3431300" cy="2165383"/>
                          </a:xfrm>
                          <a:prstGeom prst="rect">
                            <a:avLst/>
                          </a:prstGeom>
                        </pic:spPr>
                      </pic:pic>
                    </a:graphicData>
                  </a:graphic>
                </wp:inline>
              </w:drawing>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学生椅</w:t>
            </w:r>
          </w:p>
        </w:tc>
        <w:tc>
          <w:tcPr>
            <w:tcW w:type="dxa" w:w="6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drawing>
                <wp:inline distT="0" distR="0" distB="0" distL="0">
                  <wp:extent cx="3431300" cy="4799476"/>
                  <wp:docPr id="4" name="Drawing 4" descr="img"/>
                  <a:graphic xmlns:a="http://schemas.openxmlformats.org/drawingml/2006/main">
                    <a:graphicData uri="http://schemas.openxmlformats.org/drawingml/2006/picture">
                      <pic:pic xmlns:pic="http://schemas.openxmlformats.org/drawingml/2006/picture">
                        <pic:nvPicPr>
                          <pic:cNvPr id="0" name="Picture 4" descr="img"/>
                          <pic:cNvPicPr>
                            <a:picLocks noChangeAspect="true"/>
                          </pic:cNvPicPr>
                        </pic:nvPicPr>
                        <pic:blipFill>
                          <a:blip r:embed="rId8"/>
                          <a:stretch>
                            <a:fillRect/>
                          </a:stretch>
                        </pic:blipFill>
                        <pic:spPr>
                          <a:xfrm>
                            <a:off x="0" y="0"/>
                            <a:ext cx="3431300" cy="4799476"/>
                          </a:xfrm>
                          <a:prstGeom prst="rect">
                            <a:avLst/>
                          </a:prstGeom>
                        </pic:spPr>
                      </pic:pic>
                    </a:graphicData>
                  </a:graphic>
                </wp:inline>
              </w:drawing>
            </w:r>
          </w:p>
        </w:tc>
      </w:tr>
    </w:tbl>
    <w:p>
      <w:pPr>
        <w:pStyle w:val="null3"/>
        <w:jc w:val="both"/>
      </w:pPr>
      <w:r>
        <w:rPr>
          <w:sz w:val="21"/>
          <w:b/>
        </w:rPr>
        <w:t>六、投标人需按以下要求提供样品</w:t>
      </w:r>
    </w:p>
    <w:p>
      <w:pPr>
        <w:pStyle w:val="null3"/>
        <w:jc w:val="center"/>
      </w:pPr>
      <w:r>
        <w:rPr>
          <w:sz w:val="22"/>
          <w:b/>
        </w:rPr>
        <w:t>投标样品清单</w:t>
      </w:r>
    </w:p>
    <w:tbl>
      <w:tblPr>
        <w:tblW w:w="0" w:type="auto"/>
        <w:tblBorders>
          <w:top w:val="none" w:color="000000" w:sz="4"/>
          <w:left w:val="none" w:color="000000" w:sz="4"/>
          <w:bottom w:val="none" w:color="000000" w:sz="4"/>
          <w:right w:val="none" w:color="000000" w:sz="4"/>
          <w:insideH w:val="none"/>
          <w:insideV w:val="none"/>
        </w:tblBorders>
      </w:tblPr>
      <w:tblGrid>
        <w:gridCol w:w="812"/>
        <w:gridCol w:w="2940"/>
        <w:gridCol w:w="3773"/>
        <w:gridCol w:w="777"/>
      </w:tblGrid>
      <w:tr>
        <w:tc>
          <w:tcPr>
            <w:tcW w:type="dxa" w:w="8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9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样品名称</w:t>
            </w:r>
          </w:p>
        </w:tc>
        <w:tc>
          <w:tcPr>
            <w:tcW w:type="dxa" w:w="37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规格（单位：</w:t>
            </w:r>
            <w:r>
              <w:rPr>
                <w:sz w:val="21"/>
                <w:b/>
              </w:rPr>
              <w:t>mm）</w:t>
            </w:r>
          </w:p>
        </w:tc>
        <w:tc>
          <w:tcPr>
            <w:tcW w:type="dxa" w:w="7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r>
      <w:tr>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床立柱</w:t>
            </w:r>
          </w:p>
        </w:tc>
        <w:tc>
          <w:tcPr>
            <w:tcW w:type="dxa" w:w="3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76*76(厚度1.2，长度300）</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床横梁</w:t>
            </w:r>
          </w:p>
        </w:tc>
        <w:tc>
          <w:tcPr>
            <w:tcW w:type="dxa" w:w="3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90*40(厚度1.2，长度300）</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床前护挡板（中空吹塑）</w:t>
            </w:r>
          </w:p>
        </w:tc>
        <w:tc>
          <w:tcPr>
            <w:tcW w:type="dxa" w:w="3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1320*140（厚度25）</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中空吹塑板桌面</w:t>
            </w:r>
          </w:p>
        </w:tc>
        <w:tc>
          <w:tcPr>
            <w:tcW w:type="dxa" w:w="3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r>
              <w:rPr>
                <w:sz w:val="21"/>
              </w:rPr>
              <w:t>0</w:t>
            </w:r>
            <w:r>
              <w:rPr>
                <w:sz w:val="21"/>
              </w:rPr>
              <w:t>*40</w:t>
            </w:r>
            <w:r>
              <w:rPr>
                <w:sz w:val="21"/>
              </w:rPr>
              <w:t>0</w:t>
            </w:r>
            <w:r>
              <w:rPr>
                <w:sz w:val="21"/>
              </w:rPr>
              <w:t>(厚度36）</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衣柜门板材（含颜色）</w:t>
            </w:r>
          </w:p>
        </w:tc>
        <w:tc>
          <w:tcPr>
            <w:tcW w:type="dxa" w:w="3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300*300(厚度0.8）</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学生椅成品</w:t>
            </w:r>
          </w:p>
        </w:tc>
        <w:tc>
          <w:tcPr>
            <w:tcW w:type="dxa" w:w="3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宽</w:t>
            </w:r>
            <w:r>
              <w:rPr>
                <w:sz w:val="21"/>
              </w:rPr>
              <w:t>410mm*深420mm*</w:t>
            </w:r>
            <w:r>
              <w:rPr>
                <w:sz w:val="21"/>
              </w:rPr>
              <w:t>靠背高</w:t>
            </w:r>
            <w:r>
              <w:rPr>
                <w:sz w:val="21"/>
              </w:rPr>
              <w:t>810mm</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bl>
    <w:p>
      <w:pPr>
        <w:pStyle w:val="null3"/>
        <w:jc w:val="both"/>
      </w:pPr>
      <w:r>
        <w:rPr>
          <w:sz w:val="21"/>
          <w:shd w:fill="FFFFFF" w:val="clear"/>
        </w:rPr>
        <w:t>注意事项：</w:t>
      </w:r>
    </w:p>
    <w:p>
      <w:pPr>
        <w:pStyle w:val="null3"/>
        <w:jc w:val="both"/>
      </w:pPr>
      <w:r>
        <w:rPr>
          <w:sz w:val="21"/>
          <w:shd w:fill="FFFFFF" w:val="clear"/>
        </w:rPr>
        <w:t>1.所有投标人均需在投标截止时间前将样品送至采购代理机构地点。逾期送达的投标样品将拒绝接收。</w:t>
      </w:r>
    </w:p>
    <w:p>
      <w:pPr>
        <w:pStyle w:val="null3"/>
        <w:jc w:val="both"/>
      </w:pPr>
      <w:r>
        <w:rPr>
          <w:sz w:val="21"/>
          <w:shd w:fill="FFFFFF" w:val="clear"/>
        </w:rPr>
        <w:t>2.投标样品进场注意事项：</w:t>
      </w:r>
    </w:p>
    <w:p>
      <w:pPr>
        <w:pStyle w:val="null3"/>
        <w:jc w:val="both"/>
      </w:pPr>
      <w:r>
        <w:rPr>
          <w:sz w:val="21"/>
          <w:shd w:fill="FFFFFF" w:val="clear"/>
        </w:rPr>
        <w:t>（</w:t>
      </w:r>
      <w:r>
        <w:rPr>
          <w:sz w:val="21"/>
          <w:shd w:fill="FFFFFF" w:val="clear"/>
        </w:rPr>
        <w:t>1）投标人须遵守样品摆放场地管理规定，外来人员听从现场工作人员指挥。</w:t>
      </w:r>
    </w:p>
    <w:p>
      <w:pPr>
        <w:pStyle w:val="null3"/>
        <w:jc w:val="both"/>
      </w:pPr>
      <w:r>
        <w:rPr>
          <w:sz w:val="21"/>
          <w:shd w:fill="FFFFFF" w:val="clear"/>
        </w:rPr>
        <w:t>（</w:t>
      </w:r>
      <w:r>
        <w:rPr>
          <w:sz w:val="21"/>
          <w:shd w:fill="FFFFFF" w:val="clear"/>
        </w:rPr>
        <w:t>3）投标人应当在规定时间前、指定地点内将所有样品摆放及登记完毕。</w:t>
      </w:r>
    </w:p>
    <w:p>
      <w:pPr>
        <w:pStyle w:val="null3"/>
        <w:jc w:val="both"/>
      </w:pPr>
      <w:r>
        <w:rPr>
          <w:sz w:val="21"/>
          <w:shd w:fill="FFFFFF" w:val="clear"/>
        </w:rPr>
        <w:t>（</w:t>
      </w:r>
      <w:r>
        <w:rPr>
          <w:sz w:val="21"/>
          <w:shd w:fill="FFFFFF" w:val="clear"/>
        </w:rPr>
        <w:t>4）为维护投标人自身的利益，建议投标人提供样品时，自带布料覆盖于样品上。</w:t>
      </w:r>
    </w:p>
    <w:p>
      <w:pPr>
        <w:pStyle w:val="null3"/>
        <w:jc w:val="both"/>
      </w:pPr>
      <w:r>
        <w:rPr>
          <w:sz w:val="21"/>
          <w:shd w:fill="FFFFFF" w:val="clear"/>
        </w:rPr>
        <w:t>（</w:t>
      </w:r>
      <w:r>
        <w:rPr>
          <w:sz w:val="21"/>
          <w:shd w:fill="FFFFFF" w:val="clear"/>
        </w:rPr>
        <w:t>5）除采购人、代理机构及评标委员会外，其他单位或个人未经允许不得对非本单位样品进行拍照或者查看。</w:t>
      </w:r>
    </w:p>
    <w:p>
      <w:pPr>
        <w:pStyle w:val="null3"/>
        <w:jc w:val="both"/>
      </w:pPr>
      <w:r>
        <w:rPr>
          <w:sz w:val="21"/>
          <w:shd w:fill="FFFFFF" w:val="clear"/>
        </w:rPr>
        <w:t>3.样品制作要求：</w:t>
      </w:r>
    </w:p>
    <w:p>
      <w:pPr>
        <w:pStyle w:val="null3"/>
        <w:jc w:val="both"/>
      </w:pPr>
      <w:r>
        <w:rPr>
          <w:sz w:val="21"/>
          <w:shd w:fill="FFFFFF" w:val="clear"/>
        </w:rPr>
        <w:t>（</w:t>
      </w:r>
      <w:r>
        <w:rPr>
          <w:sz w:val="21"/>
          <w:shd w:fill="FFFFFF" w:val="clear"/>
        </w:rPr>
        <w:t>1）投标人应按上述样品规格要求及数量提交样品。须注明项目名称、项目编号、投标人名称、样品名称、样品规格等信息。未粘贴标签或标签信息不完整导致无法识别投标人身份的，</w:t>
      </w:r>
      <w:r>
        <w:rPr>
          <w:sz w:val="21"/>
          <w:shd w:fill="FFFFFF" w:val="clear"/>
        </w:rPr>
        <w:t>产生的</w:t>
      </w:r>
      <w:r>
        <w:rPr>
          <w:sz w:val="21"/>
          <w:shd w:fill="FFFFFF" w:val="clear"/>
        </w:rPr>
        <w:t>一切责任由投标人自行承担。</w:t>
      </w:r>
    </w:p>
    <w:p>
      <w:pPr>
        <w:pStyle w:val="null3"/>
        <w:jc w:val="both"/>
      </w:pPr>
      <w:r>
        <w:rPr>
          <w:sz w:val="21"/>
          <w:shd w:fill="FFFFFF" w:val="clear"/>
        </w:rPr>
        <w:t>（</w:t>
      </w:r>
      <w:r>
        <w:rPr>
          <w:sz w:val="21"/>
          <w:shd w:fill="FFFFFF" w:val="clear"/>
        </w:rPr>
        <w:t>2）投标样品应与投标文件所响应的一致，如出现投标文件书面响应与投标实物样品不一致的情况，则以投标文件书面响应为准。</w:t>
      </w:r>
    </w:p>
    <w:p>
      <w:pPr>
        <w:pStyle w:val="null3"/>
        <w:jc w:val="both"/>
      </w:pPr>
      <w:r>
        <w:rPr>
          <w:sz w:val="21"/>
          <w:shd w:fill="FFFFFF" w:val="clear"/>
        </w:rPr>
        <w:t>4.采购人及采购代理机构对投标人所递交样品污损不负任何责任。中标人的样品封存于采购人单位，作为履约验收的参考。未中标的投标人应在本项目中标公告发布之日起7个工作日后的3个工作日内自行至采购代理机构取回投标样品。投标人逾期不取回样品，则视为同意采购代理机构有权自行处置相关样品。</w:t>
      </w:r>
    </w:p>
    <w:p>
      <w:pPr>
        <w:pStyle w:val="null3"/>
      </w:pPr>
      <w:r>
        <w:rPr/>
        <w:t>采购包1（广东技术师范大学广州校区学生宿舍家具采购项目）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各标的提供的时间见“交货批次”中的安排。</w:t>
            </w:r>
          </w:p>
        </w:tc>
      </w:tr>
      <w:tr>
        <w:tc>
          <w:tcPr>
            <w:tcW w:type="dxa" w:w="4153"/>
          </w:tcPr>
          <w:p>
            <w:pPr>
              <w:pStyle w:val="null3"/>
            </w:pPr>
            <w:r>
              <w:rPr/>
              <w:t>标的提供的地点</w:t>
            </w:r>
          </w:p>
        </w:tc>
        <w:tc>
          <w:tcPr>
            <w:tcW w:type="dxa" w:w="4153"/>
          </w:tcPr>
          <w:p>
            <w:pPr>
              <w:pStyle w:val="null3"/>
            </w:pPr>
            <w:r>
              <w:rPr/>
              <w:t>东校区（广州市天河区中山大道西293号）；白云校区（广州市白云区江高镇环镇西路155号）。</w:t>
            </w:r>
          </w:p>
        </w:tc>
      </w:tr>
      <w:tr>
        <w:tc>
          <w:tcPr>
            <w:tcW w:type="dxa" w:w="4153"/>
          </w:tcPr>
          <w:p>
            <w:pPr>
              <w:pStyle w:val="null3"/>
            </w:pPr>
            <w:r>
              <w:rPr/>
              <w:t>付款方式</w:t>
            </w:r>
          </w:p>
        </w:tc>
        <w:tc>
          <w:tcPr>
            <w:tcW w:type="dxa" w:w="4153"/>
          </w:tcPr>
          <w:p>
            <w:pPr>
              <w:pStyle w:val="null3"/>
            </w:pPr>
            <w:r>
              <w:rPr/>
              <w:t>1期：支付比例100%,投标人中标后，中标人须按采购人要求以中标人的名义开立一个由采购人、中标人及银行三方监管的账户，同时采购人、中标人与银行签订三方监管协议。签订合同且三方监管账户、监管协议落地后5个工作日内，采购人将100%合同款支付至三方监管账户。三方监管账户合同款按以下实际情形选择使用： 1.若中标人为中小企业（根据投标人在投标文件中提供的中小企业声明函为准）： （1）由中标人提出申请且开具等额增值税专用发票后，采购人在收到发票后的5个工作日内审核同意中标人从三方监管账户转出合同总金额的30%作为预付款。 （2）中标人按合同约定完成第一批次供货安装调试及验收合格后，且第一批次总货款＞预付款时，经采购人认可，中标人按采购人要求提出付款申请且开具等额增值税专用发票，采购人收到发票后的10个工作日内审核同意中标人转出三方监管账户的第一批次的剩余货款（即第一批次总货款-预付款）。 （3）中标人按合同约定完成第二批次供货安装调试及验收合格后，经采购人认可，中标人按采购人要求提出付款申请且开具等额增值税专用发票，采购人收到发票后的10个工作日内审核同意中标人转出三方监管账户的剩余全部资金。 2.若中标人为非中小企业： （1）中标人按合同约定完成第一批次供货安装调试及验收合格后，经采购人认可，中标人按采购人要求提出付款申请且开具等额增值税专用发票，采购人收到发票后的10个工作日内审核同意中标人转出三方监管账户的第一批次的供货的总货款。 （2）中标人按合同约定完成第二批次供货安装调试及验收合格后，经采购人认可，中标人按采购人要求提出付款申请且开具等额增值税专用发票，采购人收到发票后的10个工作日内审核同意中标人转出三方监管账户的剩余全部资金。</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1期：1.验收时间：安装完成后10个工作日内中标人提交验收申请，采购人收到申请后7日内组织验收(具体验收时间以采购人通知为准)。 2.中标人货物到达采购人指定地点后通知采购人验收，采购人组成验收小组按照合同第三条约定的标准进行货物验收，必要时邀请相关专业人员或机构参与验收。 3.如中标人所供货物在数量、品种、规格和技术规范等方面不符合国家标准或采购人招标文件需求，采购人有权不签收所供货物，且中标人应根据采购人书面通知要求按照以下方式处理： （1）中标人按采购人招标文件需求对不符合要求的货物进行更换，并承担由此发生的全部更换费用及给采购人造成的一切损失（包括但不限于运杂费、检验费、仓储费、装卸费以及为更换有缺陷合同货物所造成的施工拆除费、误工损失费等其他费用）。 （2）中标人无条件接受经采购人验收不合格货物的退货（包括货物数量不符、货物型号不符、经检验货物存在质量缺陷、随货资料不全等），并由中标人承担由此给采购人造成的一切损失。 4.中标人在收到采购人上述书面更换或退货通知后3个工作日内未作出书面答复的，则应理解为中标人已接受采购人的通知要求。如收到采购人上述书面更换或退货通知后5个工作日内未按照采购人要求的上述任一方式来人（来函）处理相关事宜，则采购人有权单方解除合同，将中标人已供货物放置于采购人认为合理的位置，并理解为中标人已接受退货。由此而造成的货物损毁、灭失责任均由中标人承担，中标人同时应向采购人承担迟延交货的违约责任，并赔偿由此而给采购人造成的一切经济损失。 5.因货物质量问题发生争议时，由广东省或广州市质检部门进行质量鉴定。采购人与中标人认为有需要，可以共同提出或分别提出质量鉴定，广东省质检部门与广州市质检部门的鉴定结论不一致的，以广东省质检部门的鉴定结论为准。货物符合质量技术标准的，鉴定费由采购人承担；否则鉴定费由中标人承担，且采购人有权退货处理，中标人应积极配合并承担因此产生的相关责任。 6.采购人的验收不作为中标人货物内在质量合格的依据，中标人在质保期内仍需对货物的内在质量承担责任。 7.中标人需明确施工方场地保护责任，若搬运、安装过程中造成校区场地、设施损坏，需按标准原状修复或承担赔偿责任；同时规范施工全过程场地卫生保洁标准，完工后需完成场地清洁验收。 ★8.空气检测:全部家具安装完毕后，由采购人邀请具备CMA资质的第三方检测机构在中标的宿舍楼更换家具总房间内随机抽取房间数的5%，按GB/T18883-2022《室内空气质量标准》进行空气质量检测（检测内容至少包含甲醛、苯、甲苯、二甲苯、TVOC等），相关费用包含在合同总价中，由中标人支付。第三方检测机构根据检测结果出具具备CMA标志的室内空气质量检验检测报告，如果检测结果为不合格，则中标人必须在学校要求的整改期内更换为合格产品，以符合验收标准为准。整改后仍不合格的，采购人有权拒收，扣除空气检测不合格房间产品的货款，并按不合格房间货款总价的2倍进行处罚。整改后不合格率达10%及以上的，采购人有权终止合同，并不再支付剩余货款，保留追究法律责任的权力。</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账号：44001470513050317023</w:t>
            </w:r>
          </w:p>
          <w:p>
            <w:pPr>
              <w:pStyle w:val="null3"/>
            </w:pPr>
            <w:r>
              <w:rPr/>
              <w:t>户名：广东技术师范大学</w:t>
            </w:r>
          </w:p>
          <w:p>
            <w:pPr>
              <w:pStyle w:val="null3"/>
            </w:pPr>
            <w:r>
              <w:rPr/>
              <w:t>开户行：中国建设银行广州天河工业园支行</w:t>
            </w:r>
          </w:p>
          <w:p>
            <w:pPr>
              <w:pStyle w:val="null3"/>
            </w:pPr>
            <w:r>
              <w:rPr/>
              <w:t>支票提交方式：广东技术师范大学财务处办公室现场提交</w:t>
            </w:r>
          </w:p>
          <w:p>
            <w:pPr>
              <w:pStyle w:val="null3"/>
            </w:pPr>
            <w:r>
              <w:rPr/>
              <w:t>汇票、本票提交方式：广东技术师范大学财务处办公室现场提交</w:t>
            </w:r>
          </w:p>
          <w:p>
            <w:pPr>
              <w:pStyle w:val="null3"/>
            </w:pPr>
            <w:r>
              <w:rPr/>
              <w:t>说明：合同签订5个工作日内，中标人向采购人支付合同金额的5%作为履约保证金，允许以非现金（包括支票、汇票、本票、保函等）形式。项目验收合格后，由中标人提出申请，凭用户出具的无质量及违约问题的证明及履约保证金收据，采购人在15个工作日内无息退还给中标人。如在合同履约过程中发生履约保证金扣减行为，中标人须自扣减之日起3个工作日内将履约保证金补足至合同总金额5%。如中标人提供履约保函的，货物在履约保函有效期内未能完成验收，中标人应当在有效期届满前30日内向采购人提供新的或续期的有效履约保函。如中标人不按期提供新的履约保函，采购人有权解除合同并要求中标人退还合同总金额。采购人逾期退还履约保证金的，除应当退还履约保证金本金外，还应当每日按收取的履约保证金金额的万分之三向中标人偿付违约金，违约金总额不超过收取的履约保证金金额，但因合同的履行产生争议中标人自身原因导致无法及时退还的除外。</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整体服务要求，（一）货物设备要求 1.中标人提供的货物须是全新产品、表面无划损、破损、无任何缺陷及隐患，须具备出厂合格证，且进货渠道合法，在中国境内可依常规安全合法使用。 2.交付验收标准依次为照适用标准为： （1）符合中华人民共和国国家安全质量标准、环保标准或行业标准； （2）符合招标文件和响应承诺中采购人认可的合理最佳配置、参数及各项要求； （3）货物来源国官方标准。 3.中标人提供的货物应达到以下技术指标和参数要求：按招标文件中作出的承诺及本合同附表中各设备的具体技术性能参数的要求。 4.货物为未启封全新包装，具有出厂合格证，序列号、包装箱号与出厂批号一致，并可追索查阅。 （二）安装与调试 1.中标人须依照招标文件的要求和投标文件的承诺，将设备或系统安装并调试至正常运行的最佳状态。 2.中标人在安装调试过程中造成自身或他人的人身财产损害的，由中标人承担全部责任。 3.中标人提供安装调试服务的人员应具备相应的资质，如因缺乏资质导致发生事故或损害的，中标人承担全部责任。 4.项目所有安装尺寸需以中标人现场复核、校方最终确认数据为准。 5.中标人可结合校区场地实际条件，灵活采用云梯等专业设备开展搬运安装作业，规范拆除、搬运、安装全流程安全生产作业，严禁高空抛物。 6.保险服务:中标人须为其派遣的所有搬运、安装、维保人员购买人身意外伤害保险及意外伤害医疗保险，保险责任覆盖项目全周期，并在投标时向采购人提交加盖公章的《作业人员意外伤害保险购买承诺函》（格式自拟）。中标人应在进场前向采购人提交保险凭证，未按要求投保的人员不得进场作业。项目实施过程中发生的任何人身伤亡、财产损失等安全事故，全部责任及费用由中标人独立承担，采购人不承担任何连带责任。相关费用包含在合同总价中，由中标人支付。</w:t>
            </w:r>
          </w:p>
          <w:p>
            <w:pPr>
              <w:pStyle w:val="null3"/>
            </w:pPr>
            <w:r>
              <w:rPr/>
              <w:t>质保期及售后服务要求，1.项目整体提供至少10年保修，质保期自验收合格之日起计算，保修费用已计入总价。 2.质保期内中标人对所供货物实行包修、包换、包退及合同约定的其它事项，期满后可同时提供终身有偿维修保养服务,且维修只收取零配件成本费用。 3.质保期内，如设备或零部件因质量原因出现故障而造成短期停用时，则质保期和无条件维修期相应顺延（费用包含在投标报价中）。如停用时间累计超过60天则质保期重新计算。 4.对采购人的服务通知，中标人在接报后1小时内响应，6小时内到达现场，12小时内处理完毕。若在24小时内仍未能有效解决，中标人须无条件提供同等档次的设备予采购人临时使用（费用包含在投标报价中）。 5.若厂家提供更优的服务，则按厂家的标准执行。如厂家标准保修期限不满足招标文件要求的，中标人须承诺保修期限不限于招标文件的要求。 6.为保证设备的正常使用和日常维护，中标人须对采购人设备管理人员和操作人员进行技术培训，直至采购人熟练操作所采购的设备为止。由此产生的一切费用由中标人承担。 7.质保期内，中标人怠于履行其质量保修责任或未能按照招标文件、投标文件、合同约定提供售后服务的，采购人有权自行委托第三方提供同类售后服务，因此支出的费用有权向中标人追偿，或从履约保证金中予以扣除，履约保证金不足以扣除的，采购人有权继续向中标人追偿。 8.设备售后服务由非中标人的第三方提供的，中标人应于设备送达采购人时一并向采购人提供有效的、涵盖本合同标的的中标人与第三方间的售后服务协议或由第三方给予中标人的售后服务承诺书，承诺书内容应符合本项目采购文件确定的货物售后服务条款。中标人对该第三方的服务承担连带责任，第三方服务达不到采购合同要求的，采购人有权要求中标人承担赔偿责任及违约责任。</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其他家具</w:t>
            </w:r>
          </w:p>
        </w:tc>
        <w:tc>
          <w:tcPr>
            <w:tcW w:type="dxa" w:w="831"/>
          </w:tcPr>
          <w:p>
            <w:pPr>
              <w:pStyle w:val="null3"/>
              <w:jc w:val="left"/>
            </w:pPr>
            <w:r>
              <w:rPr/>
              <w:t>单人位公寓组合床 （上床下桌）</w:t>
            </w:r>
          </w:p>
        </w:tc>
        <w:tc>
          <w:tcPr>
            <w:tcW w:type="dxa" w:w="831"/>
          </w:tcPr>
          <w:p>
            <w:pPr>
              <w:pStyle w:val="null3"/>
              <w:jc w:val="left"/>
            </w:pPr>
            <w:r>
              <w:rPr/>
              <w:t>套</w:t>
            </w:r>
          </w:p>
        </w:tc>
        <w:tc>
          <w:tcPr>
            <w:tcW w:type="dxa" w:w="831"/>
          </w:tcPr>
          <w:p>
            <w:pPr>
              <w:pStyle w:val="null3"/>
              <w:jc w:val="right"/>
            </w:pPr>
            <w:r>
              <w:rPr/>
              <w:t>342.00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其他家具</w:t>
            </w:r>
          </w:p>
        </w:tc>
        <w:tc>
          <w:tcPr>
            <w:tcW w:type="dxa" w:w="831"/>
          </w:tcPr>
          <w:p>
            <w:pPr>
              <w:pStyle w:val="null3"/>
              <w:jc w:val="left"/>
            </w:pPr>
            <w:r>
              <w:rPr/>
              <w:t>二连体三人位组合床</w:t>
            </w:r>
          </w:p>
        </w:tc>
        <w:tc>
          <w:tcPr>
            <w:tcW w:type="dxa" w:w="831"/>
          </w:tcPr>
          <w:p>
            <w:pPr>
              <w:pStyle w:val="null3"/>
              <w:jc w:val="left"/>
            </w:pPr>
            <w:r>
              <w:rPr/>
              <w:t>套</w:t>
            </w:r>
          </w:p>
        </w:tc>
        <w:tc>
          <w:tcPr>
            <w:tcW w:type="dxa" w:w="831"/>
          </w:tcPr>
          <w:p>
            <w:pPr>
              <w:pStyle w:val="null3"/>
              <w:jc w:val="right"/>
            </w:pPr>
            <w:r>
              <w:rPr/>
              <w:t>250.00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其他家具</w:t>
            </w:r>
          </w:p>
        </w:tc>
        <w:tc>
          <w:tcPr>
            <w:tcW w:type="dxa" w:w="831"/>
          </w:tcPr>
          <w:p>
            <w:pPr>
              <w:pStyle w:val="null3"/>
              <w:jc w:val="left"/>
            </w:pPr>
            <w:r>
              <w:rPr/>
              <w:t>学生椅</w:t>
            </w:r>
          </w:p>
        </w:tc>
        <w:tc>
          <w:tcPr>
            <w:tcW w:type="dxa" w:w="831"/>
          </w:tcPr>
          <w:p>
            <w:pPr>
              <w:pStyle w:val="null3"/>
              <w:jc w:val="left"/>
            </w:pPr>
            <w:r>
              <w:rPr/>
              <w:t>张</w:t>
            </w:r>
          </w:p>
        </w:tc>
        <w:tc>
          <w:tcPr>
            <w:tcW w:type="dxa" w:w="831"/>
          </w:tcPr>
          <w:p>
            <w:pPr>
              <w:pStyle w:val="null3"/>
              <w:jc w:val="right"/>
            </w:pPr>
            <w:r>
              <w:rPr/>
              <w:t>840.00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详见附表三</w:t>
            </w:r>
          </w:p>
        </w:tc>
      </w:tr>
    </w:tbl>
    <w:p>
      <w:pPr>
        <w:pStyle w:val="null3"/>
      </w:pPr>
      <w:r>
        <w:rPr>
          <w:b/>
        </w:rPr>
        <w:t>附表</w:t>
      </w:r>
      <w:r>
        <w:rPr>
          <w:b/>
        </w:rPr>
        <w:t>一</w:t>
      </w:r>
      <w:r>
        <w:rPr>
          <w:b/>
        </w:rPr>
        <w:t>：</w:t>
      </w:r>
      <w:r>
        <w:rPr>
          <w:b/>
        </w:rPr>
        <w:t>单人位公寓组合床 （上床下桌）</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1.1</w:t>
            </w:r>
            <w:r>
              <w:rPr>
                <w:sz w:val="21"/>
              </w:rPr>
              <w:t>.1</w:t>
            </w:r>
            <w:r>
              <w:rPr>
                <w:sz w:val="21"/>
              </w:rPr>
              <w:t>、</w:t>
            </w:r>
            <w:r>
              <w:rPr>
                <w:sz w:val="21"/>
              </w:rPr>
              <w:t>铁床规格：</w:t>
            </w:r>
            <w:r>
              <w:rPr>
                <w:sz w:val="21"/>
              </w:rPr>
              <w:t>≥宽2000*深980*高2100mm（不含蚊帐架高度）/2900mm（含蚊帐架高度）；其中8套加长床位（规格：宽2200mm*深</w:t>
            </w:r>
            <w:r>
              <w:rPr>
                <w:sz w:val="21"/>
              </w:rPr>
              <w:t>980</w:t>
            </w:r>
            <w:r>
              <w:rPr>
                <w:sz w:val="21"/>
              </w:rPr>
              <w:t>mm*高2100mm）。每套床由1张单人位床架（含1块床板）、1个衣柜、1张书桌、1个书架等组成。</w:t>
            </w:r>
          </w:p>
          <w:p>
            <w:pPr>
              <w:pStyle w:val="null3"/>
            </w:pPr>
            <w:r>
              <w:rPr>
                <w:sz w:val="21"/>
              </w:rPr>
              <w:t>★</w:t>
            </w:r>
            <w:r>
              <w:rPr>
                <w:sz w:val="21"/>
              </w:rPr>
              <w:t>1.1.</w:t>
            </w:r>
            <w:r>
              <w:rPr>
                <w:sz w:val="21"/>
              </w:rPr>
              <w:t>2</w:t>
            </w:r>
            <w:r>
              <w:rPr>
                <w:sz w:val="21"/>
              </w:rPr>
              <w:t>、</w:t>
            </w:r>
            <w:r>
              <w:rPr>
                <w:sz w:val="21"/>
              </w:rPr>
              <w:t>立柱：采用冷轧钢板经特制成型线轧制而成，其立面为中空异形开口管材，管材可以达到双面全覆盖静电喷涂，立柱正面为斜面保护设计斜边宽度</w:t>
            </w:r>
            <w:r>
              <w:rPr>
                <w:sz w:val="21"/>
              </w:rPr>
              <w:t>45mm，并有≥3条凹型加强筋起到防撞作用，立面成型后尺寸为≥76mm*76mm，材料厚度为≥1.2mm。</w:t>
            </w:r>
          </w:p>
          <w:p>
            <w:pPr>
              <w:pStyle w:val="null3"/>
            </w:pPr>
            <w:r>
              <w:rPr>
                <w:sz w:val="21"/>
              </w:rPr>
              <w:t>1.1.</w:t>
            </w:r>
            <w:r>
              <w:rPr>
                <w:sz w:val="21"/>
              </w:rPr>
              <w:t>3</w:t>
            </w:r>
            <w:r>
              <w:rPr>
                <w:sz w:val="21"/>
              </w:rPr>
              <w:t>、</w:t>
            </w:r>
            <w:r>
              <w:rPr>
                <w:sz w:val="21"/>
              </w:rPr>
              <w:t>床架长横梁：采用冷轧钢板经模压一次成型，其立面为中空异形开口管材，管材达到双面全覆盖静电喷涂，横梁正面有</w:t>
            </w:r>
            <w:r>
              <w:rPr>
                <w:sz w:val="21"/>
              </w:rPr>
              <w:t>≥3条凹槽型加强筋，底部为圆弧防撞形设计，立面成型后尺寸为≥90mm（</w:t>
            </w:r>
            <w:r>
              <w:rPr>
                <w:sz w:val="21"/>
              </w:rPr>
              <w:t>长）</w:t>
            </w:r>
            <w:r>
              <w:rPr>
                <w:sz w:val="21"/>
              </w:rPr>
              <w:t>*40mm（</w:t>
            </w:r>
            <w:r>
              <w:rPr>
                <w:sz w:val="21"/>
              </w:rPr>
              <w:t>宽）</w:t>
            </w:r>
            <w:r>
              <w:rPr>
                <w:sz w:val="21"/>
              </w:rPr>
              <w:t>，材料厚度为</w:t>
            </w:r>
            <w:r>
              <w:rPr>
                <w:sz w:val="21"/>
              </w:rPr>
              <w:t>≥1.2mm。</w:t>
            </w:r>
          </w:p>
          <w:p>
            <w:pPr>
              <w:pStyle w:val="null3"/>
            </w:pPr>
            <w:r>
              <w:rPr>
                <w:sz w:val="21"/>
              </w:rPr>
              <w:t>1.1.</w:t>
            </w:r>
            <w:r>
              <w:rPr>
                <w:sz w:val="21"/>
              </w:rPr>
              <w:t>4</w:t>
            </w:r>
            <w:r>
              <w:rPr>
                <w:sz w:val="21"/>
              </w:rPr>
              <w:t>、</w:t>
            </w:r>
            <w:r>
              <w:rPr>
                <w:sz w:val="21"/>
              </w:rPr>
              <w:t>床头短横梁：采用冷轧钢板经模压一次成型，其立面为中空异形开口管材，管材可以达到双面全覆盖静电喷涂，横梁正面有</w:t>
            </w:r>
            <w:r>
              <w:rPr>
                <w:sz w:val="21"/>
              </w:rPr>
              <w:t>≥3条凹槽型加强筋，底部为圆弧防撞形设计，立面成型后尺寸为≥90mm（</w:t>
            </w:r>
            <w:r>
              <w:rPr>
                <w:sz w:val="21"/>
              </w:rPr>
              <w:t>长）</w:t>
            </w:r>
            <w:r>
              <w:rPr>
                <w:sz w:val="21"/>
              </w:rPr>
              <w:t>*40mm（</w:t>
            </w:r>
            <w:r>
              <w:rPr>
                <w:sz w:val="21"/>
              </w:rPr>
              <w:t>宽）</w:t>
            </w:r>
            <w:r>
              <w:rPr>
                <w:sz w:val="21"/>
              </w:rPr>
              <w:t>，材料厚度为</w:t>
            </w:r>
            <w:r>
              <w:rPr>
                <w:sz w:val="21"/>
              </w:rPr>
              <w:t>≥1.2mm。</w:t>
            </w:r>
          </w:p>
          <w:p>
            <w:pPr>
              <w:pStyle w:val="null3"/>
            </w:pPr>
            <w:r>
              <w:rPr>
                <w:sz w:val="21"/>
              </w:rPr>
              <w:t>1.1.</w:t>
            </w:r>
            <w:r>
              <w:rPr>
                <w:sz w:val="21"/>
              </w:rPr>
              <w:t>5</w:t>
            </w:r>
            <w:r>
              <w:rPr>
                <w:sz w:val="21"/>
              </w:rPr>
              <w:t>、</w:t>
            </w:r>
            <w:r>
              <w:rPr>
                <w:sz w:val="21"/>
              </w:rPr>
              <w:t>侧下横梁：采用</w:t>
            </w:r>
            <w:r>
              <w:rPr>
                <w:sz w:val="21"/>
              </w:rPr>
              <w:t>≥50mm（</w:t>
            </w:r>
            <w:r>
              <w:rPr>
                <w:sz w:val="21"/>
              </w:rPr>
              <w:t>长）</w:t>
            </w:r>
            <w:r>
              <w:rPr>
                <w:sz w:val="21"/>
              </w:rPr>
              <w:t>*25mm（</w:t>
            </w:r>
            <w:r>
              <w:rPr>
                <w:sz w:val="21"/>
              </w:rPr>
              <w:t>宽）</w:t>
            </w:r>
            <w:r>
              <w:rPr>
                <w:sz w:val="21"/>
              </w:rPr>
              <w:t>*</w:t>
            </w:r>
            <w:r>
              <w:rPr>
                <w:sz w:val="21"/>
              </w:rPr>
              <w:t>不低于</w:t>
            </w:r>
            <w:r>
              <w:rPr>
                <w:sz w:val="21"/>
              </w:rPr>
              <w:t>1.2mm厚方管制作。</w:t>
            </w:r>
          </w:p>
          <w:p>
            <w:pPr>
              <w:pStyle w:val="null3"/>
            </w:pPr>
            <w:r>
              <w:rPr>
                <w:sz w:val="21"/>
              </w:rPr>
              <w:t>1.1.</w:t>
            </w:r>
            <w:r>
              <w:rPr>
                <w:sz w:val="21"/>
              </w:rPr>
              <w:t>6</w:t>
            </w:r>
            <w:r>
              <w:rPr>
                <w:sz w:val="21"/>
              </w:rPr>
              <w:t>、</w:t>
            </w:r>
            <w:r>
              <w:rPr>
                <w:sz w:val="21"/>
              </w:rPr>
              <w:t>床板支撑：采用五根</w:t>
            </w:r>
            <w:r>
              <w:rPr>
                <w:sz w:val="21"/>
              </w:rPr>
              <w:t>≥20mm（</w:t>
            </w:r>
            <w:r>
              <w:rPr>
                <w:sz w:val="21"/>
              </w:rPr>
              <w:t>长）</w:t>
            </w:r>
            <w:r>
              <w:rPr>
                <w:sz w:val="21"/>
              </w:rPr>
              <w:t>*60mm（</w:t>
            </w:r>
            <w:r>
              <w:rPr>
                <w:sz w:val="21"/>
              </w:rPr>
              <w:t>宽）</w:t>
            </w:r>
            <w:r>
              <w:rPr>
                <w:sz w:val="21"/>
              </w:rPr>
              <w:t>*</w:t>
            </w:r>
            <w:r>
              <w:rPr>
                <w:sz w:val="21"/>
              </w:rPr>
              <w:t>不低于</w:t>
            </w:r>
            <w:r>
              <w:rPr>
                <w:sz w:val="21"/>
              </w:rPr>
              <w:t>1.2mm厚方管制作,支撑横梁横向设卡口功能。方管与床架间应满焊或用贯穿式螺丝锁紧，并进行倒角，接触面无锐角。增加消音垫，避免使用时的异响。支撑符合GB/T228.1-2021标准以及GB/T11253-2019标准且断后伸长率≥40%，规定的塑性延伸强度≥358Mpa。</w:t>
            </w:r>
          </w:p>
          <w:p>
            <w:pPr>
              <w:pStyle w:val="null3"/>
            </w:pPr>
            <w:r>
              <w:rPr>
                <w:sz w:val="21"/>
              </w:rPr>
              <w:t>▲1.1.</w:t>
            </w:r>
            <w:r>
              <w:rPr>
                <w:sz w:val="21"/>
              </w:rPr>
              <w:t>7</w:t>
            </w:r>
            <w:r>
              <w:rPr>
                <w:sz w:val="21"/>
              </w:rPr>
              <w:t>、</w:t>
            </w:r>
            <w:r>
              <w:rPr>
                <w:sz w:val="21"/>
              </w:rPr>
              <w:t>前护栏：采用</w:t>
            </w:r>
            <w:r>
              <w:rPr>
                <w:sz w:val="21"/>
              </w:rPr>
              <w:t>≥25mm（</w:t>
            </w:r>
            <w:r>
              <w:rPr>
                <w:sz w:val="21"/>
              </w:rPr>
              <w:t>长）</w:t>
            </w:r>
            <w:r>
              <w:rPr>
                <w:sz w:val="21"/>
              </w:rPr>
              <w:t>*25mm（</w:t>
            </w:r>
            <w:r>
              <w:rPr>
                <w:sz w:val="21"/>
              </w:rPr>
              <w:t>宽）</w:t>
            </w:r>
            <w:r>
              <w:rPr>
                <w:sz w:val="21"/>
              </w:rPr>
              <w:t>*</w:t>
            </w:r>
            <w:r>
              <w:rPr>
                <w:sz w:val="21"/>
              </w:rPr>
              <w:t>不低于</w:t>
            </w:r>
            <w:r>
              <w:rPr>
                <w:sz w:val="21"/>
              </w:rPr>
              <w:t>1.2mm厚方管弯制而成，长度需根据床实际使用长度，确保学生安全，高度为≥300mm。为保证隐私，护栏中间需要加装中空吹塑挡板，材料为HDPE 高密度聚乙烯，挡板规格≥1320mm（</w:t>
            </w:r>
            <w:r>
              <w:rPr>
                <w:sz w:val="21"/>
              </w:rPr>
              <w:t>长）</w:t>
            </w:r>
            <w:r>
              <w:rPr>
                <w:sz w:val="21"/>
              </w:rPr>
              <w:t>*140mm（</w:t>
            </w:r>
            <w:r>
              <w:rPr>
                <w:sz w:val="21"/>
              </w:rPr>
              <w:t>宽）</w:t>
            </w:r>
            <w:r>
              <w:rPr>
                <w:sz w:val="21"/>
              </w:rPr>
              <w:t>*25mm（</w:t>
            </w:r>
            <w:r>
              <w:rPr>
                <w:sz w:val="21"/>
              </w:rPr>
              <w:t>厚）</w:t>
            </w:r>
            <w:r>
              <w:rPr>
                <w:sz w:val="21"/>
              </w:rPr>
              <w:t>，挡板中间带有</w:t>
            </w:r>
            <w:r>
              <w:rPr>
                <w:sz w:val="21"/>
              </w:rPr>
              <w:t>100mm（</w:t>
            </w:r>
            <w:r>
              <w:rPr>
                <w:sz w:val="21"/>
              </w:rPr>
              <w:t>长）</w:t>
            </w:r>
            <w:r>
              <w:rPr>
                <w:sz w:val="21"/>
              </w:rPr>
              <w:t>*60mm（</w:t>
            </w:r>
            <w:r>
              <w:rPr>
                <w:sz w:val="21"/>
              </w:rPr>
              <w:t>宽）</w:t>
            </w:r>
            <w:r>
              <w:rPr>
                <w:sz w:val="21"/>
              </w:rPr>
              <w:t>号牌框，内侧带置物架，在挡板的左右两侧均设有床垫厚度的带有刻度的安全警示线，以确保符合国家标准安全性能的要求。</w:t>
            </w:r>
          </w:p>
          <w:p>
            <w:pPr>
              <w:pStyle w:val="null3"/>
            </w:pPr>
            <w:r>
              <w:rPr>
                <w:sz w:val="21"/>
              </w:rPr>
              <w:t>1.1.</w:t>
            </w:r>
            <w:r>
              <w:rPr>
                <w:sz w:val="21"/>
              </w:rPr>
              <w:t>8</w:t>
            </w:r>
            <w:r>
              <w:rPr>
                <w:sz w:val="21"/>
              </w:rPr>
              <w:t>、</w:t>
            </w:r>
            <w:r>
              <w:rPr>
                <w:sz w:val="21"/>
              </w:rPr>
              <w:t>后护栏：后护栏为满护栏制作，采用</w:t>
            </w:r>
            <w:r>
              <w:rPr>
                <w:sz w:val="21"/>
              </w:rPr>
              <w:t>25mm（</w:t>
            </w:r>
            <w:r>
              <w:rPr>
                <w:sz w:val="21"/>
              </w:rPr>
              <w:t>长）</w:t>
            </w:r>
            <w:r>
              <w:rPr>
                <w:sz w:val="21"/>
              </w:rPr>
              <w:t>*25mm（</w:t>
            </w:r>
            <w:r>
              <w:rPr>
                <w:sz w:val="21"/>
              </w:rPr>
              <w:t>宽）</w:t>
            </w:r>
            <w:r>
              <w:rPr>
                <w:sz w:val="21"/>
              </w:rPr>
              <w:t>*</w:t>
            </w:r>
            <w:r>
              <w:rPr>
                <w:sz w:val="21"/>
              </w:rPr>
              <w:t>不低于</w:t>
            </w:r>
            <w:r>
              <w:rPr>
                <w:sz w:val="21"/>
              </w:rPr>
              <w:t>1.2mm</w:t>
            </w:r>
            <w:r>
              <w:rPr>
                <w:sz w:val="21"/>
              </w:rPr>
              <w:t>厚</w:t>
            </w:r>
            <w:r>
              <w:rPr>
                <w:sz w:val="21"/>
              </w:rPr>
              <w:t>冷轧钢管，上部栅栏造型，下部采用</w:t>
            </w:r>
            <w:r>
              <w:rPr>
                <w:sz w:val="21"/>
              </w:rPr>
              <w:t>0.8mm冷轧钢板锣直径4mm圆形筛孔，一次性冲压冲孔成型，上下部高度均分，护栏板固定焊接工艺制作，非活动工艺。</w:t>
            </w:r>
          </w:p>
          <w:p>
            <w:pPr>
              <w:pStyle w:val="null3"/>
            </w:pPr>
            <w:r>
              <w:rPr>
                <w:sz w:val="21"/>
              </w:rPr>
              <w:t>1.1.</w:t>
            </w:r>
            <w:r>
              <w:rPr>
                <w:sz w:val="21"/>
              </w:rPr>
              <w:t>9</w:t>
            </w:r>
            <w:r>
              <w:rPr>
                <w:sz w:val="21"/>
              </w:rPr>
              <w:t>、</w:t>
            </w:r>
            <w:r>
              <w:rPr>
                <w:sz w:val="21"/>
              </w:rPr>
              <w:t>侧护栏：采用</w:t>
            </w:r>
            <w:r>
              <w:rPr>
                <w:sz w:val="21"/>
              </w:rPr>
              <w:t>≥￠19*1.2mm厚圆管。</w:t>
            </w:r>
          </w:p>
          <w:p>
            <w:pPr>
              <w:pStyle w:val="null3"/>
            </w:pPr>
            <w:r>
              <w:rPr>
                <w:sz w:val="21"/>
              </w:rPr>
              <w:t>1.1.</w:t>
            </w:r>
            <w:r>
              <w:rPr>
                <w:sz w:val="21"/>
              </w:rPr>
              <w:t>10</w:t>
            </w:r>
            <w:r>
              <w:rPr>
                <w:sz w:val="21"/>
              </w:rPr>
              <w:t>、</w:t>
            </w:r>
            <w:r>
              <w:rPr>
                <w:sz w:val="21"/>
              </w:rPr>
              <w:t>爬梯：床梯立柱为</w:t>
            </w:r>
            <w:r>
              <w:rPr>
                <w:sz w:val="21"/>
              </w:rPr>
              <w:t>50mm（</w:t>
            </w:r>
            <w:r>
              <w:rPr>
                <w:sz w:val="21"/>
              </w:rPr>
              <w:t>长）</w:t>
            </w:r>
            <w:r>
              <w:rPr>
                <w:sz w:val="21"/>
              </w:rPr>
              <w:t>*25mm（</w:t>
            </w:r>
            <w:r>
              <w:rPr>
                <w:sz w:val="21"/>
              </w:rPr>
              <w:t>宽）</w:t>
            </w:r>
            <w:r>
              <w:rPr>
                <w:sz w:val="21"/>
              </w:rPr>
              <w:t>*</w:t>
            </w:r>
            <w:r>
              <w:rPr>
                <w:sz w:val="21"/>
              </w:rPr>
              <w:t>不低于</w:t>
            </w:r>
            <w:r>
              <w:rPr>
                <w:sz w:val="21"/>
              </w:rPr>
              <w:t>1.2mm</w:t>
            </w:r>
            <w:r>
              <w:rPr>
                <w:sz w:val="21"/>
              </w:rPr>
              <w:t>厚</w:t>
            </w:r>
            <w:r>
              <w:rPr>
                <w:sz w:val="21"/>
              </w:rPr>
              <w:t>椭圆管，横梁为</w:t>
            </w:r>
            <w:r>
              <w:rPr>
                <w:sz w:val="21"/>
              </w:rPr>
              <w:t>40mm（</w:t>
            </w:r>
            <w:r>
              <w:rPr>
                <w:sz w:val="21"/>
              </w:rPr>
              <w:t>长）</w:t>
            </w:r>
            <w:r>
              <w:rPr>
                <w:sz w:val="21"/>
              </w:rPr>
              <w:t>*20mm（</w:t>
            </w:r>
            <w:r>
              <w:rPr>
                <w:sz w:val="21"/>
              </w:rPr>
              <w:t>宽）</w:t>
            </w:r>
            <w:r>
              <w:rPr>
                <w:sz w:val="21"/>
              </w:rPr>
              <w:t>*</w:t>
            </w:r>
            <w:r>
              <w:rPr>
                <w:sz w:val="21"/>
              </w:rPr>
              <w:t>不低于</w:t>
            </w:r>
            <w:r>
              <w:rPr>
                <w:sz w:val="21"/>
              </w:rPr>
              <w:t>1.0mm</w:t>
            </w:r>
            <w:r>
              <w:rPr>
                <w:sz w:val="21"/>
              </w:rPr>
              <w:t>厚</w:t>
            </w:r>
            <w:r>
              <w:rPr>
                <w:sz w:val="21"/>
              </w:rPr>
              <w:t>矩形管，覆盖</w:t>
            </w:r>
            <w:r>
              <w:rPr>
                <w:sz w:val="21"/>
              </w:rPr>
              <w:t>PE聚乙烯塑胶踏板，</w:t>
            </w:r>
            <w:r>
              <w:rPr>
                <w:sz w:val="21"/>
              </w:rPr>
              <w:t>需</w:t>
            </w:r>
            <w:r>
              <w:rPr>
                <w:sz w:val="21"/>
              </w:rPr>
              <w:t>为一次性中空吹塑而成，不得拼接和实心。踏板（尺寸</w:t>
            </w:r>
            <w:r>
              <w:rPr>
                <w:sz w:val="21"/>
              </w:rPr>
              <w:t>≥长430mm*宽120mm）,厚度≥35m</w:t>
            </w:r>
            <w:r>
              <w:rPr>
                <w:sz w:val="21"/>
              </w:rPr>
              <w:t>m采用</w:t>
            </w:r>
            <w:r>
              <w:rPr>
                <w:sz w:val="21"/>
              </w:rPr>
              <w:t>中空吹塑工艺，材质</w:t>
            </w:r>
            <w:r>
              <w:rPr>
                <w:sz w:val="21"/>
              </w:rPr>
              <w:t>HDPE（高密度聚乙烯），表面设置有防滑横条，并配备≥5个荧光点，背面预埋螺帽件，踏步下方与钢管牢固结合。爬梯底部离床边≥400mm。</w:t>
            </w:r>
          </w:p>
          <w:p>
            <w:pPr>
              <w:pStyle w:val="null3"/>
            </w:pPr>
            <w:r>
              <w:rPr>
                <w:sz w:val="21"/>
              </w:rPr>
              <w:t>1.1.</w:t>
            </w:r>
            <w:r>
              <w:rPr>
                <w:sz w:val="21"/>
              </w:rPr>
              <w:t>11</w:t>
            </w:r>
            <w:r>
              <w:rPr>
                <w:sz w:val="21"/>
              </w:rPr>
              <w:t>、</w:t>
            </w:r>
            <w:r>
              <w:rPr>
                <w:sz w:val="21"/>
              </w:rPr>
              <w:t>蚊帐架：采用</w:t>
            </w:r>
            <w:r>
              <w:rPr>
                <w:sz w:val="21"/>
              </w:rPr>
              <w:t>≥φ19mm*</w:t>
            </w:r>
            <w:r>
              <w:rPr>
                <w:sz w:val="21"/>
              </w:rPr>
              <w:t>不低于</w:t>
            </w:r>
            <w:r>
              <w:rPr>
                <w:sz w:val="21"/>
              </w:rPr>
              <w:t>1.0mm厚管材，表面喷涂处理。</w:t>
            </w:r>
          </w:p>
          <w:p>
            <w:pPr>
              <w:pStyle w:val="null3"/>
            </w:pPr>
            <w:r>
              <w:rPr>
                <w:sz w:val="21"/>
              </w:rPr>
              <w:t>1.1.</w:t>
            </w:r>
            <w:r>
              <w:rPr>
                <w:sz w:val="21"/>
              </w:rPr>
              <w:t>12</w:t>
            </w:r>
            <w:r>
              <w:rPr>
                <w:sz w:val="21"/>
              </w:rPr>
              <w:t>、</w:t>
            </w:r>
            <w:r>
              <w:rPr>
                <w:sz w:val="21"/>
              </w:rPr>
              <w:t>连接处挂钩：经冲床冲压成</w:t>
            </w:r>
            <w:r>
              <w:rPr>
                <w:sz w:val="21"/>
              </w:rPr>
              <w:t>L型，需有三个连接卡口，成型后尺寸为≥202mm（</w:t>
            </w:r>
            <w:r>
              <w:rPr>
                <w:sz w:val="21"/>
              </w:rPr>
              <w:t>长）</w:t>
            </w:r>
            <w:r>
              <w:rPr>
                <w:sz w:val="21"/>
              </w:rPr>
              <w:t>*29mm（</w:t>
            </w:r>
            <w:r>
              <w:rPr>
                <w:sz w:val="21"/>
              </w:rPr>
              <w:t>宽）</w:t>
            </w:r>
            <w:r>
              <w:rPr>
                <w:sz w:val="21"/>
              </w:rPr>
              <w:t>*29mm（</w:t>
            </w:r>
            <w:r>
              <w:rPr>
                <w:sz w:val="21"/>
              </w:rPr>
              <w:t>高）</w:t>
            </w:r>
            <w:r>
              <w:rPr>
                <w:sz w:val="21"/>
              </w:rPr>
              <w:t>，材料厚度为</w:t>
            </w:r>
            <w:r>
              <w:rPr>
                <w:sz w:val="21"/>
              </w:rPr>
              <w:t>≥2.0（mm）。</w:t>
            </w:r>
          </w:p>
          <w:p>
            <w:pPr>
              <w:pStyle w:val="null3"/>
            </w:pPr>
            <w:r>
              <w:rPr>
                <w:sz w:val="21"/>
              </w:rPr>
              <w:t>1.1.</w:t>
            </w:r>
            <w:r>
              <w:rPr>
                <w:sz w:val="21"/>
              </w:rPr>
              <w:t>13</w:t>
            </w:r>
            <w:r>
              <w:rPr>
                <w:sz w:val="21"/>
              </w:rPr>
              <w:t>、</w:t>
            </w:r>
            <w:r>
              <w:rPr>
                <w:sz w:val="21"/>
              </w:rPr>
              <w:t>胶套：立柱上端及下端均采用</w:t>
            </w:r>
            <w:r>
              <w:rPr>
                <w:sz w:val="21"/>
              </w:rPr>
              <w:t>ABS工程塑料套（塞），形状与立柱完全吻合，高度为≥40mm，起到防潮的作用；蚊帐杆胶套要带有可升降功能。</w:t>
            </w:r>
          </w:p>
          <w:p>
            <w:pPr>
              <w:pStyle w:val="null3"/>
            </w:pPr>
            <w:r>
              <w:rPr>
                <w:sz w:val="21"/>
              </w:rPr>
              <w:t>1.1.</w:t>
            </w:r>
            <w:r>
              <w:rPr>
                <w:sz w:val="21"/>
              </w:rPr>
              <w:t>14</w:t>
            </w:r>
            <w:r>
              <w:rPr>
                <w:sz w:val="21"/>
              </w:rPr>
              <w:t>、</w:t>
            </w:r>
            <w:r>
              <w:rPr>
                <w:sz w:val="21"/>
              </w:rPr>
              <w:t>铁床部份焊接采用二氧化碳保护焊接，铁板表面经除油，去锈，静电喷粉、高温固化而成。</w:t>
            </w:r>
          </w:p>
          <w:p>
            <w:pPr>
              <w:pStyle w:val="null3"/>
            </w:pPr>
            <w:r>
              <w:rPr>
                <w:sz w:val="21"/>
              </w:rPr>
              <w:t>▲1.1.</w:t>
            </w:r>
            <w:r>
              <w:rPr>
                <w:sz w:val="21"/>
              </w:rPr>
              <w:t>15</w:t>
            </w:r>
            <w:r>
              <w:rPr>
                <w:sz w:val="21"/>
              </w:rPr>
              <w:t>、</w:t>
            </w:r>
            <w:r>
              <w:rPr>
                <w:sz w:val="21"/>
              </w:rPr>
              <w:t>床板采用</w:t>
            </w:r>
            <w:r>
              <w:rPr>
                <w:sz w:val="21"/>
              </w:rPr>
              <w:t>≥18mm厚杉木板（床板数≦7块合成）板材足料，无边料，无霉点，双面抛光，床板符合铁床规格要求，床板底部需要四根≥30mm（</w:t>
            </w:r>
            <w:r>
              <w:rPr>
                <w:sz w:val="21"/>
              </w:rPr>
              <w:t>长）</w:t>
            </w:r>
            <w:r>
              <w:rPr>
                <w:sz w:val="21"/>
              </w:rPr>
              <w:t>*40mm（</w:t>
            </w:r>
            <w:r>
              <w:rPr>
                <w:sz w:val="21"/>
              </w:rPr>
              <w:t>宽）</w:t>
            </w:r>
            <w:r>
              <w:rPr>
                <w:sz w:val="21"/>
              </w:rPr>
              <w:t>的方木连接固定，增加床板稳固性。</w:t>
            </w:r>
          </w:p>
          <w:p>
            <w:pPr>
              <w:pStyle w:val="null3"/>
            </w:pPr>
            <w:r>
              <w:rPr>
                <w:sz w:val="21"/>
              </w:rPr>
              <w:t>1.2</w:t>
            </w:r>
            <w:r>
              <w:rPr>
                <w:sz w:val="21"/>
              </w:rPr>
              <w:t>.1</w:t>
            </w:r>
            <w:r>
              <w:rPr>
                <w:sz w:val="21"/>
              </w:rPr>
              <w:t>、</w:t>
            </w:r>
            <w:r>
              <w:rPr>
                <w:sz w:val="21"/>
              </w:rPr>
              <w:t>衣柜：规格</w:t>
            </w:r>
            <w:r>
              <w:rPr>
                <w:sz w:val="21"/>
              </w:rPr>
              <w:t>≥宽760*深600*高1690mm。</w:t>
            </w:r>
          </w:p>
          <w:p>
            <w:pPr>
              <w:pStyle w:val="null3"/>
            </w:pPr>
            <w:r>
              <w:rPr>
                <w:sz w:val="21"/>
              </w:rPr>
              <w:t>1.2.</w:t>
            </w:r>
            <w:r>
              <w:rPr>
                <w:sz w:val="21"/>
              </w:rPr>
              <w:t>2</w:t>
            </w:r>
            <w:r>
              <w:rPr>
                <w:sz w:val="21"/>
              </w:rPr>
              <w:t>、</w:t>
            </w:r>
            <w:r>
              <w:rPr>
                <w:sz w:val="21"/>
              </w:rPr>
              <w:t>基材：冷轧钢板，材料厚度</w:t>
            </w:r>
            <w:r>
              <w:rPr>
                <w:sz w:val="21"/>
              </w:rPr>
              <w:t>≥0.8mm。</w:t>
            </w:r>
          </w:p>
          <w:p>
            <w:pPr>
              <w:pStyle w:val="null3"/>
            </w:pPr>
            <w:r>
              <w:rPr>
                <w:sz w:val="21"/>
              </w:rPr>
              <w:t>1.2.</w:t>
            </w:r>
            <w:r>
              <w:rPr>
                <w:sz w:val="21"/>
              </w:rPr>
              <w:t>3</w:t>
            </w:r>
            <w:r>
              <w:rPr>
                <w:sz w:val="21"/>
              </w:rPr>
              <w:t>、</w:t>
            </w:r>
            <w:r>
              <w:rPr>
                <w:sz w:val="21"/>
              </w:rPr>
              <w:t>结构：柜体上部双门对开，带不锈钢挂衣杆，内置一层置物层板，层板加焊加强筋，增加承重。下部设计一层储物格方便学生放鞋，柜体底部带防潮脚垫。</w:t>
            </w:r>
          </w:p>
          <w:p>
            <w:pPr>
              <w:pStyle w:val="null3"/>
            </w:pPr>
            <w:r>
              <w:rPr>
                <w:sz w:val="21"/>
              </w:rPr>
              <w:t>1.2.</w:t>
            </w:r>
            <w:r>
              <w:rPr>
                <w:sz w:val="21"/>
              </w:rPr>
              <w:t>4</w:t>
            </w:r>
            <w:r>
              <w:rPr>
                <w:sz w:val="21"/>
              </w:rPr>
              <w:t>、</w:t>
            </w:r>
            <w:r>
              <w:rPr>
                <w:sz w:val="21"/>
              </w:rPr>
              <w:t>配件：采用明挂锁，铝合金内扣拉手；不锈钢挂衣杆，带钢制号签、百叶风窗，保证衣物通风干燥。</w:t>
            </w:r>
          </w:p>
          <w:p>
            <w:pPr>
              <w:pStyle w:val="null3"/>
            </w:pPr>
            <w:r>
              <w:rPr>
                <w:sz w:val="21"/>
              </w:rPr>
              <w:t>1.2.</w:t>
            </w:r>
            <w:r>
              <w:rPr>
                <w:sz w:val="21"/>
              </w:rPr>
              <w:t>5</w:t>
            </w:r>
            <w:r>
              <w:rPr>
                <w:sz w:val="21"/>
              </w:rPr>
              <w:t>、</w:t>
            </w:r>
            <w:r>
              <w:rPr>
                <w:sz w:val="21"/>
              </w:rPr>
              <w:t>柜门要印有校徽及校训（厚德博学，唯实求新）；采用丝印工艺，不可用贴纸及喷漆工艺；校徽颜色与柜体颜色相同；</w:t>
            </w:r>
          </w:p>
          <w:p>
            <w:pPr>
              <w:pStyle w:val="null3"/>
            </w:pPr>
            <w:r>
              <w:rPr>
                <w:sz w:val="21"/>
              </w:rPr>
              <w:t>1.3</w:t>
            </w:r>
            <w:r>
              <w:rPr>
                <w:sz w:val="21"/>
              </w:rPr>
              <w:t>.1</w:t>
            </w:r>
            <w:r>
              <w:rPr>
                <w:sz w:val="21"/>
              </w:rPr>
              <w:t>、</w:t>
            </w:r>
            <w:r>
              <w:rPr>
                <w:sz w:val="21"/>
              </w:rPr>
              <w:t>书桌：规格</w:t>
            </w:r>
            <w:r>
              <w:rPr>
                <w:sz w:val="21"/>
              </w:rPr>
              <w:t>≥宽1155mm*深830*高750mm。</w:t>
            </w:r>
          </w:p>
          <w:p>
            <w:pPr>
              <w:pStyle w:val="null3"/>
            </w:pPr>
            <w:r>
              <w:rPr>
                <w:sz w:val="21"/>
              </w:rPr>
              <w:t>▲1.3.</w:t>
            </w:r>
            <w:r>
              <w:rPr>
                <w:sz w:val="21"/>
              </w:rPr>
              <w:t>2</w:t>
            </w:r>
            <w:r>
              <w:rPr>
                <w:sz w:val="21"/>
              </w:rPr>
              <w:t>、</w:t>
            </w:r>
            <w:r>
              <w:rPr>
                <w:sz w:val="21"/>
              </w:rPr>
              <w:t>中空吹塑板桌面：规格</w:t>
            </w:r>
            <w:r>
              <w:rPr>
                <w:sz w:val="21"/>
              </w:rPr>
              <w:t>≥115</w:t>
            </w:r>
            <w:r>
              <w:rPr>
                <w:sz w:val="21"/>
              </w:rPr>
              <w:t>5mm（</w:t>
            </w:r>
            <w:r>
              <w:rPr>
                <w:sz w:val="21"/>
              </w:rPr>
              <w:t>长）</w:t>
            </w:r>
            <w:r>
              <w:rPr>
                <w:sz w:val="21"/>
              </w:rPr>
              <w:t>*830（600）mm（</w:t>
            </w:r>
            <w:r>
              <w:rPr>
                <w:sz w:val="21"/>
              </w:rPr>
              <w:t>宽）</w:t>
            </w:r>
            <w:r>
              <w:rPr>
                <w:sz w:val="21"/>
              </w:rPr>
              <w:t>*36mm（</w:t>
            </w:r>
            <w:r>
              <w:rPr>
                <w:sz w:val="21"/>
              </w:rPr>
              <w:t>高）</w:t>
            </w:r>
            <w:r>
              <w:rPr>
                <w:sz w:val="21"/>
              </w:rPr>
              <w:t>。多功能桌</w:t>
            </w:r>
            <w:r>
              <w:rPr>
                <w:sz w:val="21"/>
              </w:rPr>
              <w:t>面板</w:t>
            </w:r>
            <w:r>
              <w:rPr>
                <w:sz w:val="21"/>
              </w:rPr>
              <w:t>L型，分左右向，采用中空吹塑工艺，颜色为果绿色，材料为HDPE高密度聚乙烯。具有较高的刚性和韧性，机械强度好，表面耐磨、抗污、防水、不褪色等良好的特性。桌面板前面采用鸭嘴边设计。</w:t>
            </w:r>
          </w:p>
          <w:p>
            <w:pPr>
              <w:pStyle w:val="null3"/>
            </w:pPr>
            <w:r>
              <w:rPr>
                <w:sz w:val="21"/>
              </w:rPr>
              <w:t>1.3.</w:t>
            </w:r>
            <w:r>
              <w:rPr>
                <w:sz w:val="21"/>
              </w:rPr>
              <w:t>3</w:t>
            </w:r>
            <w:r>
              <w:rPr>
                <w:sz w:val="21"/>
              </w:rPr>
              <w:t>、</w:t>
            </w:r>
            <w:r>
              <w:rPr>
                <w:sz w:val="21"/>
              </w:rPr>
              <w:t>书桌柜：规格</w:t>
            </w:r>
            <w:r>
              <w:rPr>
                <w:sz w:val="21"/>
              </w:rPr>
              <w:t>≥800mm（</w:t>
            </w:r>
            <w:r>
              <w:rPr>
                <w:sz w:val="21"/>
              </w:rPr>
              <w:t>长）</w:t>
            </w:r>
            <w:r>
              <w:rPr>
                <w:sz w:val="21"/>
              </w:rPr>
              <w:t>*400mm（</w:t>
            </w:r>
            <w:r>
              <w:rPr>
                <w:sz w:val="21"/>
              </w:rPr>
              <w:t>宽）</w:t>
            </w:r>
            <w:r>
              <w:rPr>
                <w:sz w:val="21"/>
              </w:rPr>
              <w:t>*714mm（</w:t>
            </w:r>
            <w:r>
              <w:rPr>
                <w:sz w:val="21"/>
              </w:rPr>
              <w:t>高），</w:t>
            </w:r>
            <w:r>
              <w:rPr>
                <w:sz w:val="21"/>
              </w:rPr>
              <w:t>移门（推拉）设计，内部一层隔板。柜体底部带套防潮脚垫，采用冷轧钢板，材料厚度</w:t>
            </w:r>
            <w:r>
              <w:rPr>
                <w:sz w:val="21"/>
              </w:rPr>
              <w:t>≥0.8mm。</w:t>
            </w:r>
          </w:p>
          <w:p>
            <w:pPr>
              <w:pStyle w:val="null3"/>
            </w:pPr>
            <w:r>
              <w:rPr>
                <w:sz w:val="21"/>
              </w:rPr>
              <w:t>1.4</w:t>
            </w:r>
            <w:r>
              <w:rPr>
                <w:sz w:val="21"/>
              </w:rPr>
              <w:t>.1</w:t>
            </w:r>
            <w:r>
              <w:rPr>
                <w:sz w:val="21"/>
              </w:rPr>
              <w:t>、</w:t>
            </w:r>
            <w:r>
              <w:rPr>
                <w:sz w:val="21"/>
              </w:rPr>
              <w:t>书架：规格</w:t>
            </w:r>
            <w:r>
              <w:rPr>
                <w:sz w:val="21"/>
              </w:rPr>
              <w:t>≥宽1155*深300*高940mm</w:t>
            </w:r>
          </w:p>
          <w:p>
            <w:pPr>
              <w:pStyle w:val="null3"/>
            </w:pPr>
            <w:r>
              <w:rPr>
                <w:sz w:val="21"/>
              </w:rPr>
              <w:t>1.4.</w:t>
            </w:r>
            <w:r>
              <w:rPr>
                <w:sz w:val="21"/>
              </w:rPr>
              <w:t>2</w:t>
            </w:r>
            <w:r>
              <w:rPr>
                <w:sz w:val="21"/>
              </w:rPr>
              <w:t>、</w:t>
            </w:r>
            <w:r>
              <w:rPr>
                <w:sz w:val="21"/>
              </w:rPr>
              <w:t>基材：冷轧钢板，材料厚度</w:t>
            </w:r>
            <w:r>
              <w:rPr>
                <w:sz w:val="21"/>
              </w:rPr>
              <w:t>≥0.8mm。</w:t>
            </w:r>
          </w:p>
          <w:p>
            <w:pPr>
              <w:pStyle w:val="null3"/>
            </w:pPr>
            <w:r>
              <w:rPr>
                <w:sz w:val="21"/>
              </w:rPr>
              <w:t>1.4.</w:t>
            </w:r>
            <w:r>
              <w:rPr>
                <w:sz w:val="21"/>
              </w:rPr>
              <w:t>3</w:t>
            </w:r>
            <w:r>
              <w:rPr>
                <w:sz w:val="21"/>
              </w:rPr>
              <w:t>、</w:t>
            </w:r>
            <w:r>
              <w:rPr>
                <w:sz w:val="21"/>
              </w:rPr>
              <w:t>结构：书架一侧与衣柜连接，一侧与桌面固定，增加整体强度，质量合格的五金配件。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二连体三人位组合床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2.1</w:t>
            </w:r>
            <w:r>
              <w:rPr>
                <w:sz w:val="21"/>
              </w:rPr>
              <w:t>.1</w:t>
            </w:r>
            <w:r>
              <w:rPr>
                <w:sz w:val="21"/>
              </w:rPr>
              <w:t>、铁床规格：</w:t>
            </w:r>
            <w:r>
              <w:rPr>
                <w:sz w:val="21"/>
              </w:rPr>
              <w:t>≥宽3890*深980*高2212mm（不含蚊帐架高度）/2812mm（含蚊帐架高度）</w:t>
            </w:r>
            <w:r>
              <w:rPr>
                <w:sz w:val="21"/>
              </w:rPr>
              <w:t>，</w:t>
            </w:r>
            <w:r>
              <w:rPr>
                <w:sz w:val="21"/>
              </w:rPr>
              <w:t>每</w:t>
            </w:r>
            <w:r>
              <w:rPr>
                <w:sz w:val="21"/>
              </w:rPr>
              <w:t>套床包含：两连体</w:t>
            </w:r>
            <w:r>
              <w:rPr>
                <w:sz w:val="21"/>
              </w:rPr>
              <w:t>3人位床、2个爬梯、3块床板、1个双人衣柜、1个单人衣柜、3人位书桌、三人位书架等组成。</w:t>
            </w:r>
          </w:p>
          <w:p>
            <w:pPr>
              <w:pStyle w:val="null3"/>
            </w:pPr>
            <w:r>
              <w:rPr>
                <w:sz w:val="21"/>
              </w:rPr>
              <w:t>★</w:t>
            </w:r>
            <w:r>
              <w:rPr>
                <w:sz w:val="21"/>
              </w:rPr>
              <w:t>2.1.</w:t>
            </w:r>
            <w:r>
              <w:rPr>
                <w:sz w:val="21"/>
              </w:rPr>
              <w:t>2</w:t>
            </w:r>
            <w:r>
              <w:rPr>
                <w:sz w:val="21"/>
              </w:rPr>
              <w:t>、立柱：采用冷轧钢板经特制成型线轧制而成，其立面为中空异形开口管材，管材达到双面全覆盖静电喷涂，立柱正面为斜面保护设计斜边宽度</w:t>
            </w:r>
            <w:r>
              <w:rPr>
                <w:sz w:val="21"/>
              </w:rPr>
              <w:t>45mm，并有≥3条凹型加强筋起到防撞作用，立面成型后尺寸为≥76mm*76mm，材料厚度为≥1.2mm。</w:t>
            </w:r>
          </w:p>
          <w:p>
            <w:pPr>
              <w:pStyle w:val="null3"/>
            </w:pPr>
            <w:r>
              <w:rPr>
                <w:sz w:val="21"/>
              </w:rPr>
              <w:t>2.1.</w:t>
            </w:r>
            <w:r>
              <w:rPr>
                <w:sz w:val="21"/>
              </w:rPr>
              <w:t>3</w:t>
            </w:r>
            <w:r>
              <w:rPr>
                <w:sz w:val="21"/>
              </w:rPr>
              <w:t>、床架长横梁：采用冷轧钢板经模压一次成型，其立面为中空异形开口管材，管材可以达到双面全覆盖静电喷涂，横梁正面有</w:t>
            </w:r>
            <w:r>
              <w:rPr>
                <w:sz w:val="21"/>
              </w:rPr>
              <w:t>≥3条凹槽型加强筋，底部为圆弧防撞形设计，立面成型后</w:t>
            </w:r>
            <w:r>
              <w:rPr>
                <w:sz w:val="21"/>
              </w:rPr>
              <w:t>尺寸为</w:t>
            </w:r>
            <w:r>
              <w:rPr>
                <w:sz w:val="21"/>
              </w:rPr>
              <w:t>≥90mm</w:t>
            </w:r>
            <w:r>
              <w:rPr>
                <w:sz w:val="21"/>
              </w:rPr>
              <w:t>（</w:t>
            </w:r>
            <w:r>
              <w:rPr>
                <w:sz w:val="21"/>
              </w:rPr>
              <w:t>长）</w:t>
            </w:r>
            <w:r>
              <w:rPr>
                <w:sz w:val="21"/>
              </w:rPr>
              <w:t>*40mm</w:t>
            </w:r>
            <w:r>
              <w:rPr>
                <w:sz w:val="21"/>
              </w:rPr>
              <w:t>（</w:t>
            </w:r>
            <w:r>
              <w:rPr>
                <w:sz w:val="21"/>
              </w:rPr>
              <w:t>宽）</w:t>
            </w:r>
            <w:r>
              <w:rPr>
                <w:sz w:val="21"/>
              </w:rPr>
              <w:t>，材料厚度为</w:t>
            </w:r>
            <w:r>
              <w:rPr>
                <w:sz w:val="21"/>
              </w:rPr>
              <w:t>≥1.2mm。</w:t>
            </w:r>
          </w:p>
          <w:p>
            <w:pPr>
              <w:pStyle w:val="null3"/>
            </w:pPr>
            <w:r>
              <w:rPr>
                <w:sz w:val="21"/>
              </w:rPr>
              <w:t>2.1.</w:t>
            </w:r>
            <w:r>
              <w:rPr>
                <w:sz w:val="21"/>
              </w:rPr>
              <w:t>4</w:t>
            </w:r>
            <w:r>
              <w:rPr>
                <w:sz w:val="21"/>
              </w:rPr>
              <w:t>、床头短横梁：采用冷轧钢板经模压一次成型，其立面为中空异形开口管材，管材可以达到双面全覆盖静电喷涂，横梁正面有</w:t>
            </w:r>
            <w:r>
              <w:rPr>
                <w:sz w:val="21"/>
              </w:rPr>
              <w:t>≥3条凹槽型加强筋，底部为圆弧防撞形设计，立面成型后尺寸为≥90mm</w:t>
            </w:r>
            <w:r>
              <w:rPr>
                <w:sz w:val="21"/>
              </w:rPr>
              <w:t>（</w:t>
            </w:r>
            <w:r>
              <w:rPr>
                <w:sz w:val="21"/>
              </w:rPr>
              <w:t>长）</w:t>
            </w:r>
            <w:r>
              <w:rPr>
                <w:sz w:val="21"/>
              </w:rPr>
              <w:t>*40mm</w:t>
            </w:r>
            <w:r>
              <w:rPr>
                <w:sz w:val="21"/>
              </w:rPr>
              <w:t>（</w:t>
            </w:r>
            <w:r>
              <w:rPr>
                <w:sz w:val="21"/>
              </w:rPr>
              <w:t>宽）</w:t>
            </w:r>
            <w:r>
              <w:rPr>
                <w:sz w:val="21"/>
              </w:rPr>
              <w:t>，材料厚度为</w:t>
            </w:r>
            <w:r>
              <w:rPr>
                <w:sz w:val="21"/>
              </w:rPr>
              <w:t>≥1.2mm。</w:t>
            </w:r>
          </w:p>
          <w:p>
            <w:pPr>
              <w:pStyle w:val="null3"/>
            </w:pPr>
            <w:r>
              <w:rPr>
                <w:sz w:val="21"/>
              </w:rPr>
              <w:t>2.1.</w:t>
            </w:r>
            <w:r>
              <w:rPr>
                <w:sz w:val="21"/>
              </w:rPr>
              <w:t>5</w:t>
            </w:r>
            <w:r>
              <w:rPr>
                <w:sz w:val="21"/>
              </w:rPr>
              <w:t>、侧下横梁：采用</w:t>
            </w:r>
            <w:r>
              <w:rPr>
                <w:sz w:val="21"/>
              </w:rPr>
              <w:t>≥50mm</w:t>
            </w:r>
            <w:r>
              <w:rPr>
                <w:sz w:val="21"/>
              </w:rPr>
              <w:t>（</w:t>
            </w:r>
            <w:r>
              <w:rPr>
                <w:sz w:val="21"/>
              </w:rPr>
              <w:t>长）</w:t>
            </w:r>
            <w:r>
              <w:rPr>
                <w:sz w:val="21"/>
              </w:rPr>
              <w:t>*25mm</w:t>
            </w:r>
            <w:r>
              <w:rPr>
                <w:sz w:val="21"/>
              </w:rPr>
              <w:t>（</w:t>
            </w:r>
            <w:r>
              <w:rPr>
                <w:sz w:val="21"/>
              </w:rPr>
              <w:t>宽）</w:t>
            </w:r>
            <w:r>
              <w:rPr>
                <w:sz w:val="21"/>
              </w:rPr>
              <w:t>*</w:t>
            </w:r>
            <w:r>
              <w:rPr>
                <w:sz w:val="21"/>
              </w:rPr>
              <w:t>不低于</w:t>
            </w:r>
            <w:r>
              <w:rPr>
                <w:sz w:val="21"/>
              </w:rPr>
              <w:t>1.2mm厚方管制作。</w:t>
            </w:r>
          </w:p>
          <w:p>
            <w:pPr>
              <w:pStyle w:val="null3"/>
            </w:pPr>
            <w:r>
              <w:rPr>
                <w:sz w:val="21"/>
              </w:rPr>
              <w:t>2.1.</w:t>
            </w:r>
            <w:r>
              <w:rPr>
                <w:sz w:val="21"/>
              </w:rPr>
              <w:t>6</w:t>
            </w:r>
            <w:r>
              <w:rPr>
                <w:sz w:val="21"/>
              </w:rPr>
              <w:t>、床板支撑：采用五根</w:t>
            </w:r>
            <w:r>
              <w:rPr>
                <w:sz w:val="21"/>
              </w:rPr>
              <w:t>≥20mm</w:t>
            </w:r>
            <w:r>
              <w:rPr>
                <w:sz w:val="21"/>
              </w:rPr>
              <w:t>（</w:t>
            </w:r>
            <w:r>
              <w:rPr>
                <w:sz w:val="21"/>
              </w:rPr>
              <w:t>长）</w:t>
            </w:r>
            <w:r>
              <w:rPr>
                <w:sz w:val="21"/>
              </w:rPr>
              <w:t>*60mm</w:t>
            </w:r>
            <w:r>
              <w:rPr>
                <w:sz w:val="21"/>
              </w:rPr>
              <w:t>（</w:t>
            </w:r>
            <w:r>
              <w:rPr>
                <w:sz w:val="21"/>
              </w:rPr>
              <w:t>宽）</w:t>
            </w:r>
            <w:r>
              <w:rPr>
                <w:sz w:val="21"/>
              </w:rPr>
              <w:t>*</w:t>
            </w:r>
            <w:r>
              <w:rPr>
                <w:sz w:val="21"/>
              </w:rPr>
              <w:t>不低于</w:t>
            </w:r>
            <w:r>
              <w:rPr>
                <w:sz w:val="21"/>
              </w:rPr>
              <w:t>1.2mm厚方管制作,支撑横梁横向设卡口功能。方管与床架间应满焊或用贯穿式螺丝锁紧，并进行倒角，接触面无锐角。增加消音垫，避免使用时的异响。支撑符合GB/T228.1-2021标准以及GB/T11253-2019标准且断后伸长率≥40%，规定的塑性延伸强度≥358Mpa。</w:t>
            </w:r>
          </w:p>
          <w:p>
            <w:pPr>
              <w:pStyle w:val="null3"/>
            </w:pPr>
            <w:r>
              <w:rPr>
                <w:sz w:val="21"/>
              </w:rPr>
              <w:t>▲</w:t>
            </w:r>
            <w:r>
              <w:rPr>
                <w:sz w:val="21"/>
              </w:rPr>
              <w:t>2.1.</w:t>
            </w:r>
            <w:r>
              <w:rPr>
                <w:sz w:val="21"/>
              </w:rPr>
              <w:t>7</w:t>
            </w:r>
            <w:r>
              <w:rPr>
                <w:sz w:val="21"/>
              </w:rPr>
              <w:t>、前护栏：采用</w:t>
            </w:r>
            <w:r>
              <w:rPr>
                <w:sz w:val="21"/>
              </w:rPr>
              <w:t>≥25mm*25mm*</w:t>
            </w:r>
            <w:r>
              <w:rPr>
                <w:sz w:val="21"/>
              </w:rPr>
              <w:t>不低于</w:t>
            </w:r>
            <w:r>
              <w:rPr>
                <w:sz w:val="21"/>
              </w:rPr>
              <w:t>1.2mm厚方管弯制而成，长度需根据床实际使用长度，确保学生安全，高度为≥300mm。为保证隐私，护栏中间需要加装中空吹塑挡板，材料为HDPE 高密度聚乙烯，挡板规格≥1320mm</w:t>
            </w:r>
            <w:r>
              <w:rPr>
                <w:sz w:val="21"/>
              </w:rPr>
              <w:t>（</w:t>
            </w:r>
            <w:r>
              <w:rPr>
                <w:sz w:val="21"/>
              </w:rPr>
              <w:t>长）</w:t>
            </w:r>
            <w:r>
              <w:rPr>
                <w:sz w:val="21"/>
              </w:rPr>
              <w:t>*140mm</w:t>
            </w:r>
            <w:r>
              <w:rPr>
                <w:sz w:val="21"/>
              </w:rPr>
              <w:t>（</w:t>
            </w:r>
            <w:r>
              <w:rPr>
                <w:sz w:val="21"/>
              </w:rPr>
              <w:t>宽）</w:t>
            </w:r>
            <w:r>
              <w:rPr>
                <w:sz w:val="21"/>
              </w:rPr>
              <w:t>*25mm</w:t>
            </w:r>
            <w:r>
              <w:rPr>
                <w:sz w:val="21"/>
              </w:rPr>
              <w:t>（</w:t>
            </w:r>
            <w:r>
              <w:rPr>
                <w:sz w:val="21"/>
              </w:rPr>
              <w:t>厚）</w:t>
            </w:r>
            <w:r>
              <w:rPr>
                <w:sz w:val="21"/>
              </w:rPr>
              <w:t>，挡板中间带有</w:t>
            </w:r>
            <w:r>
              <w:rPr>
                <w:sz w:val="21"/>
              </w:rPr>
              <w:t>100mm</w:t>
            </w:r>
            <w:r>
              <w:rPr>
                <w:sz w:val="21"/>
              </w:rPr>
              <w:t>（</w:t>
            </w:r>
            <w:r>
              <w:rPr>
                <w:sz w:val="21"/>
              </w:rPr>
              <w:t>长）</w:t>
            </w:r>
            <w:r>
              <w:rPr>
                <w:sz w:val="21"/>
              </w:rPr>
              <w:t>*60mm</w:t>
            </w:r>
            <w:r>
              <w:rPr>
                <w:sz w:val="21"/>
              </w:rPr>
              <w:t>（</w:t>
            </w:r>
            <w:r>
              <w:rPr>
                <w:sz w:val="21"/>
              </w:rPr>
              <w:t>宽）</w:t>
            </w:r>
            <w:r>
              <w:rPr>
                <w:sz w:val="21"/>
              </w:rPr>
              <w:t>号牌框，内侧带置物架，</w:t>
            </w:r>
            <w:r>
              <w:rPr>
                <w:sz w:val="21"/>
              </w:rPr>
              <w:t>在挡板的左右两侧均设有床垫厚度的带有刻度的安全警示线，以确保符合国家标准安全性能的要求。</w:t>
            </w:r>
          </w:p>
          <w:p>
            <w:pPr>
              <w:pStyle w:val="null3"/>
            </w:pPr>
            <w:r>
              <w:rPr>
                <w:sz w:val="21"/>
              </w:rPr>
              <w:t>2.1.</w:t>
            </w:r>
            <w:r>
              <w:rPr>
                <w:sz w:val="21"/>
              </w:rPr>
              <w:t>8</w:t>
            </w:r>
            <w:r>
              <w:rPr>
                <w:sz w:val="21"/>
              </w:rPr>
              <w:t>、侧护栏：采用</w:t>
            </w:r>
            <w:r>
              <w:rPr>
                <w:sz w:val="21"/>
              </w:rPr>
              <w:t>≥￠19*1.2mm厚圆管。</w:t>
            </w:r>
          </w:p>
          <w:p>
            <w:pPr>
              <w:pStyle w:val="null3"/>
            </w:pPr>
            <w:r>
              <w:rPr>
                <w:sz w:val="21"/>
              </w:rPr>
              <w:t>2.1.</w:t>
            </w:r>
            <w:r>
              <w:rPr>
                <w:sz w:val="21"/>
              </w:rPr>
              <w:t>9</w:t>
            </w:r>
            <w:r>
              <w:rPr>
                <w:sz w:val="21"/>
              </w:rPr>
              <w:t>、</w:t>
            </w:r>
            <w:r>
              <w:rPr>
                <w:sz w:val="21"/>
              </w:rPr>
              <w:t>后护栏：后护栏为满护栏制作，采用</w:t>
            </w:r>
            <w:r>
              <w:rPr>
                <w:sz w:val="21"/>
              </w:rPr>
              <w:t>25mm*25mm*</w:t>
            </w:r>
            <w:r>
              <w:rPr>
                <w:sz w:val="21"/>
              </w:rPr>
              <w:t>不低于</w:t>
            </w:r>
            <w:r>
              <w:rPr>
                <w:sz w:val="21"/>
              </w:rPr>
              <w:t>1.2mm</w:t>
            </w:r>
            <w:r>
              <w:rPr>
                <w:sz w:val="21"/>
              </w:rPr>
              <w:t>厚</w:t>
            </w:r>
            <w:r>
              <w:rPr>
                <w:sz w:val="21"/>
              </w:rPr>
              <w:t>冷轧钢管，上部栅栏造型，下部采用</w:t>
            </w:r>
            <w:r>
              <w:rPr>
                <w:sz w:val="21"/>
              </w:rPr>
              <w:t>0.8mm冷轧钢板锣直径4mm圆形筛孔，一次性冲压冲孔成型，上下部高度均分，护栏板固定焊接工艺制作，非活动工艺</w:t>
            </w:r>
            <w:r>
              <w:rPr>
                <w:sz w:val="21"/>
              </w:rPr>
              <w:t>。</w:t>
            </w:r>
          </w:p>
          <w:p>
            <w:pPr>
              <w:pStyle w:val="null3"/>
            </w:pPr>
            <w:r>
              <w:rPr>
                <w:sz w:val="21"/>
              </w:rPr>
              <w:t>2.1.</w:t>
            </w:r>
            <w:r>
              <w:rPr>
                <w:sz w:val="21"/>
              </w:rPr>
              <w:t>10</w:t>
            </w:r>
            <w:r>
              <w:rPr>
                <w:sz w:val="21"/>
              </w:rPr>
              <w:t>、爬梯：床梯立柱为</w:t>
            </w:r>
            <w:r>
              <w:rPr>
                <w:sz w:val="21"/>
              </w:rPr>
              <w:t>50mm</w:t>
            </w:r>
            <w:r>
              <w:rPr>
                <w:sz w:val="21"/>
              </w:rPr>
              <w:t>（</w:t>
            </w:r>
            <w:r>
              <w:rPr>
                <w:sz w:val="21"/>
              </w:rPr>
              <w:t>长）</w:t>
            </w:r>
            <w:r>
              <w:rPr>
                <w:sz w:val="21"/>
              </w:rPr>
              <w:t>*25mm</w:t>
            </w:r>
            <w:r>
              <w:rPr>
                <w:sz w:val="21"/>
              </w:rPr>
              <w:t>（</w:t>
            </w:r>
            <w:r>
              <w:rPr>
                <w:sz w:val="21"/>
              </w:rPr>
              <w:t>宽）</w:t>
            </w:r>
            <w:r>
              <w:rPr>
                <w:sz w:val="21"/>
              </w:rPr>
              <w:t>*1.2mm</w:t>
            </w:r>
            <w:r>
              <w:rPr>
                <w:sz w:val="21"/>
              </w:rPr>
              <w:t>（</w:t>
            </w:r>
            <w:r>
              <w:rPr>
                <w:sz w:val="21"/>
              </w:rPr>
              <w:t>厚）</w:t>
            </w:r>
            <w:r>
              <w:rPr>
                <w:sz w:val="21"/>
              </w:rPr>
              <w:t>椭圆管，横梁为</w:t>
            </w:r>
            <w:r>
              <w:rPr>
                <w:sz w:val="21"/>
              </w:rPr>
              <w:t>40mm</w:t>
            </w:r>
            <w:r>
              <w:rPr>
                <w:sz w:val="21"/>
              </w:rPr>
              <w:t>（</w:t>
            </w:r>
            <w:r>
              <w:rPr>
                <w:sz w:val="21"/>
              </w:rPr>
              <w:t>长）</w:t>
            </w:r>
            <w:r>
              <w:rPr>
                <w:sz w:val="21"/>
              </w:rPr>
              <w:t>*20mm</w:t>
            </w:r>
            <w:r>
              <w:rPr>
                <w:sz w:val="21"/>
              </w:rPr>
              <w:t>（</w:t>
            </w:r>
            <w:r>
              <w:rPr>
                <w:sz w:val="21"/>
              </w:rPr>
              <w:t>宽）</w:t>
            </w:r>
            <w:r>
              <w:rPr>
                <w:sz w:val="21"/>
              </w:rPr>
              <w:t>*</w:t>
            </w:r>
            <w:r>
              <w:rPr>
                <w:sz w:val="21"/>
              </w:rPr>
              <w:t>不低于</w:t>
            </w:r>
            <w:r>
              <w:rPr>
                <w:sz w:val="21"/>
              </w:rPr>
              <w:t>1.0mm</w:t>
            </w:r>
            <w:r>
              <w:rPr>
                <w:sz w:val="21"/>
              </w:rPr>
              <w:t>厚</w:t>
            </w:r>
            <w:r>
              <w:rPr>
                <w:sz w:val="21"/>
              </w:rPr>
              <w:t>矩形管，覆盖</w:t>
            </w:r>
            <w:r>
              <w:rPr>
                <w:sz w:val="21"/>
              </w:rPr>
              <w:t>PE聚乙烯塑胶踏板，</w:t>
            </w:r>
            <w:r>
              <w:rPr>
                <w:sz w:val="21"/>
              </w:rPr>
              <w:t>需</w:t>
            </w:r>
            <w:r>
              <w:rPr>
                <w:sz w:val="21"/>
              </w:rPr>
              <w:t>为一次性中空吹塑而成，不得拼接和实心。踏板（尺寸</w:t>
            </w:r>
            <w:r>
              <w:rPr>
                <w:sz w:val="21"/>
              </w:rPr>
              <w:t>≥长430mm*宽120mm）,厚度≥35mm采用中空吹塑工艺，材质HDPE（高密度聚乙烯），表面设置有防滑横条，并配备≥5个荧光点，背面预埋螺帽件，踏步下方与钢管牢固结合。爬梯底部离床边≥400mm。</w:t>
            </w:r>
          </w:p>
          <w:p>
            <w:pPr>
              <w:pStyle w:val="null3"/>
            </w:pPr>
            <w:r>
              <w:rPr>
                <w:sz w:val="21"/>
              </w:rPr>
              <w:t>2.1.</w:t>
            </w:r>
            <w:r>
              <w:rPr>
                <w:sz w:val="21"/>
              </w:rPr>
              <w:t>11</w:t>
            </w:r>
            <w:r>
              <w:rPr>
                <w:sz w:val="21"/>
              </w:rPr>
              <w:t>、蚊帐架：采用</w:t>
            </w:r>
            <w:r>
              <w:rPr>
                <w:sz w:val="21"/>
              </w:rPr>
              <w:t>≥φ19mm*1.0mm厚管材，表面喷涂处理。</w:t>
            </w:r>
          </w:p>
          <w:p>
            <w:pPr>
              <w:pStyle w:val="null3"/>
            </w:pPr>
            <w:r>
              <w:rPr>
                <w:sz w:val="21"/>
              </w:rPr>
              <w:t>2.1.</w:t>
            </w:r>
            <w:r>
              <w:rPr>
                <w:sz w:val="21"/>
              </w:rPr>
              <w:t>12</w:t>
            </w:r>
            <w:r>
              <w:rPr>
                <w:sz w:val="21"/>
              </w:rPr>
              <w:t>、连接处挂钩：经冲床冲压成</w:t>
            </w:r>
            <w:r>
              <w:rPr>
                <w:sz w:val="21"/>
              </w:rPr>
              <w:t>L型，需有三个连接卡口，成型后尺寸为≥202mm</w:t>
            </w:r>
            <w:r>
              <w:rPr>
                <w:sz w:val="21"/>
              </w:rPr>
              <w:t>（</w:t>
            </w:r>
            <w:r>
              <w:rPr>
                <w:sz w:val="21"/>
              </w:rPr>
              <w:t>长）</w:t>
            </w:r>
            <w:r>
              <w:rPr>
                <w:sz w:val="21"/>
              </w:rPr>
              <w:t>*29mm</w:t>
            </w:r>
            <w:r>
              <w:rPr>
                <w:sz w:val="21"/>
              </w:rPr>
              <w:t>（</w:t>
            </w:r>
            <w:r>
              <w:rPr>
                <w:sz w:val="21"/>
              </w:rPr>
              <w:t>宽）</w:t>
            </w:r>
            <w:r>
              <w:rPr>
                <w:sz w:val="21"/>
              </w:rPr>
              <w:t>*29mm</w:t>
            </w:r>
            <w:r>
              <w:rPr>
                <w:sz w:val="21"/>
              </w:rPr>
              <w:t>（</w:t>
            </w:r>
            <w:r>
              <w:rPr>
                <w:sz w:val="21"/>
              </w:rPr>
              <w:t>高）</w:t>
            </w:r>
            <w:r>
              <w:rPr>
                <w:sz w:val="21"/>
              </w:rPr>
              <w:t>，材料厚度为</w:t>
            </w:r>
            <w:r>
              <w:rPr>
                <w:sz w:val="21"/>
              </w:rPr>
              <w:t>≥2.0（mm）。</w:t>
            </w:r>
          </w:p>
          <w:p>
            <w:pPr>
              <w:pStyle w:val="null3"/>
            </w:pPr>
            <w:r>
              <w:rPr>
                <w:sz w:val="21"/>
              </w:rPr>
              <w:t>2.1.</w:t>
            </w:r>
            <w:r>
              <w:rPr>
                <w:sz w:val="21"/>
              </w:rPr>
              <w:t>13</w:t>
            </w:r>
            <w:r>
              <w:rPr>
                <w:sz w:val="21"/>
              </w:rPr>
              <w:t>、胶套：立柱上端及下端均采用</w:t>
            </w:r>
            <w:r>
              <w:rPr>
                <w:sz w:val="21"/>
              </w:rPr>
              <w:t>ABS工程塑料套（塞），形状与立柱完全吻合，高度为≥40mm；蚊帐杆胶套要带有可升降功能。</w:t>
            </w:r>
          </w:p>
          <w:p>
            <w:pPr>
              <w:pStyle w:val="null3"/>
            </w:pPr>
            <w:r>
              <w:rPr>
                <w:sz w:val="21"/>
              </w:rPr>
              <w:t>2.1.</w:t>
            </w:r>
            <w:r>
              <w:rPr>
                <w:sz w:val="21"/>
              </w:rPr>
              <w:t>14</w:t>
            </w:r>
            <w:r>
              <w:rPr>
                <w:sz w:val="21"/>
              </w:rPr>
              <w:t>、铁床部份焊接采用二氧化碳保护焊接，铁板表面经除油，去锈，静电喷粉、高温固化而成。</w:t>
            </w:r>
          </w:p>
          <w:p>
            <w:pPr>
              <w:pStyle w:val="null3"/>
            </w:pPr>
            <w:r>
              <w:rPr>
                <w:sz w:val="21"/>
              </w:rPr>
              <w:t>▲</w:t>
            </w:r>
            <w:r>
              <w:rPr>
                <w:sz w:val="21"/>
              </w:rPr>
              <w:t>2.1.1</w:t>
            </w:r>
            <w:r>
              <w:rPr>
                <w:sz w:val="21"/>
              </w:rPr>
              <w:t>5</w:t>
            </w:r>
            <w:r>
              <w:rPr>
                <w:sz w:val="21"/>
              </w:rPr>
              <w:t>、</w:t>
            </w:r>
            <w:r>
              <w:rPr>
                <w:sz w:val="21"/>
              </w:rPr>
              <w:t>床板采用</w:t>
            </w:r>
            <w:r>
              <w:rPr>
                <w:sz w:val="21"/>
              </w:rPr>
              <w:t>≥18mm厚杉木板（床板数≦7块合成）板材足料，无边料，无霉点，双面抛光，床板符合铁床规格要求，床板底部需要四根≥30mm</w:t>
            </w:r>
            <w:r>
              <w:rPr>
                <w:sz w:val="21"/>
              </w:rPr>
              <w:t>（</w:t>
            </w:r>
            <w:r>
              <w:rPr>
                <w:sz w:val="21"/>
              </w:rPr>
              <w:t>长）</w:t>
            </w:r>
            <w:r>
              <w:rPr>
                <w:sz w:val="21"/>
              </w:rPr>
              <w:t>*40mm</w:t>
            </w:r>
            <w:r>
              <w:rPr>
                <w:sz w:val="21"/>
              </w:rPr>
              <w:t>（</w:t>
            </w:r>
            <w:r>
              <w:rPr>
                <w:sz w:val="21"/>
              </w:rPr>
              <w:t>宽）</w:t>
            </w:r>
            <w:r>
              <w:rPr>
                <w:sz w:val="21"/>
              </w:rPr>
              <w:t>的方木连接固定。</w:t>
            </w:r>
          </w:p>
          <w:p>
            <w:pPr>
              <w:pStyle w:val="null3"/>
            </w:pPr>
            <w:r>
              <w:rPr>
                <w:sz w:val="21"/>
              </w:rPr>
              <w:t>2.2</w:t>
            </w:r>
            <w:r>
              <w:rPr>
                <w:sz w:val="21"/>
              </w:rPr>
              <w:t>.1</w:t>
            </w:r>
            <w:r>
              <w:rPr>
                <w:sz w:val="21"/>
              </w:rPr>
              <w:t>、下铺与书桌连接处增加一块</w:t>
            </w:r>
            <w:r>
              <w:rPr>
                <w:sz w:val="21"/>
              </w:rPr>
              <w:t>760mm</w:t>
            </w:r>
            <w:r>
              <w:rPr>
                <w:sz w:val="21"/>
              </w:rPr>
              <w:t>（</w:t>
            </w:r>
            <w:r>
              <w:rPr>
                <w:sz w:val="21"/>
              </w:rPr>
              <w:t>长）</w:t>
            </w:r>
            <w:r>
              <w:rPr>
                <w:sz w:val="21"/>
              </w:rPr>
              <w:t>*1210mm</w:t>
            </w:r>
            <w:r>
              <w:rPr>
                <w:sz w:val="21"/>
              </w:rPr>
              <w:t>（</w:t>
            </w:r>
            <w:r>
              <w:rPr>
                <w:sz w:val="21"/>
              </w:rPr>
              <w:t>宽）</w:t>
            </w:r>
            <w:r>
              <w:rPr>
                <w:sz w:val="21"/>
              </w:rPr>
              <w:t>*</w:t>
            </w:r>
            <w:r>
              <w:rPr>
                <w:sz w:val="21"/>
              </w:rPr>
              <w:t>不低于</w:t>
            </w:r>
            <w:r>
              <w:rPr>
                <w:sz w:val="21"/>
              </w:rPr>
              <w:t>1.0mm</w:t>
            </w:r>
            <w:r>
              <w:rPr>
                <w:sz w:val="21"/>
              </w:rPr>
              <w:t>厚</w:t>
            </w:r>
            <w:r>
              <w:rPr>
                <w:sz w:val="21"/>
              </w:rPr>
              <w:t>的双面镂空校训字的钢板封板。</w:t>
            </w:r>
          </w:p>
          <w:p>
            <w:pPr>
              <w:pStyle w:val="null3"/>
            </w:pPr>
            <w:r>
              <w:rPr>
                <w:sz w:val="21"/>
              </w:rPr>
              <w:t>2.3</w:t>
            </w:r>
            <w:r>
              <w:rPr>
                <w:sz w:val="21"/>
              </w:rPr>
              <w:t>.1</w:t>
            </w:r>
            <w:r>
              <w:rPr>
                <w:sz w:val="21"/>
              </w:rPr>
              <w:t>、衣柜规格：</w:t>
            </w:r>
            <w:r>
              <w:rPr>
                <w:sz w:val="21"/>
              </w:rPr>
              <w:t>≥宽450mm*深700mm*高3000mm</w:t>
            </w:r>
            <w:r>
              <w:rPr>
                <w:sz w:val="21"/>
              </w:rPr>
              <w:t>，</w:t>
            </w:r>
            <w:r>
              <w:rPr>
                <w:sz w:val="21"/>
              </w:rPr>
              <w:t>储物柜制作要求</w:t>
            </w:r>
            <w:r>
              <w:rPr>
                <w:sz w:val="21"/>
              </w:rPr>
              <w:t>:钢制三层对开铁门，门内一块活动搁板。分上下两节，上节≥1000mm高，推拉趟门朝床位方向开，推拉趟门上侧加安全挡板，下节≥2100mm高，四门对开。上下节采用穿心螺丝固定。采用国标一级冷轧钢板制作，门、侧、下底裸板用料厚度≥0.8mm，其他用料厚度不小于0.7mm。须配防滑、耐磨脚垫一套。底脚边宽高≥80mm。带门鼻(可用挂锁)不锈钢扣手，柜内搁板下底设加强筋。</w:t>
            </w:r>
          </w:p>
          <w:p>
            <w:pPr>
              <w:pStyle w:val="null3"/>
            </w:pPr>
            <w:r>
              <w:rPr>
                <w:sz w:val="21"/>
              </w:rPr>
              <w:t>2.4</w:t>
            </w:r>
            <w:r>
              <w:rPr>
                <w:sz w:val="21"/>
              </w:rPr>
              <w:t>.1</w:t>
            </w:r>
            <w:r>
              <w:rPr>
                <w:sz w:val="21"/>
              </w:rPr>
              <w:t>、学习桌规格</w:t>
            </w:r>
            <w:r>
              <w:rPr>
                <w:sz w:val="21"/>
              </w:rPr>
              <w:t>≥宽1950mm*深620mm*高750mm</w:t>
            </w:r>
            <w:r>
              <w:rPr>
                <w:sz w:val="21"/>
              </w:rPr>
              <w:t>。</w:t>
            </w:r>
          </w:p>
          <w:p>
            <w:pPr>
              <w:pStyle w:val="null3"/>
            </w:pPr>
            <w:r>
              <w:rPr>
                <w:sz w:val="21"/>
              </w:rPr>
              <w:t>▲</w:t>
            </w:r>
            <w:r>
              <w:rPr>
                <w:sz w:val="21"/>
              </w:rPr>
              <w:t>2.4.</w:t>
            </w:r>
            <w:r>
              <w:rPr>
                <w:sz w:val="21"/>
              </w:rPr>
              <w:t>2</w:t>
            </w:r>
            <w:r>
              <w:rPr>
                <w:sz w:val="21"/>
              </w:rPr>
              <w:t>、中空吹塑板桌面</w:t>
            </w:r>
            <w:r>
              <w:rPr>
                <w:sz w:val="21"/>
              </w:rPr>
              <w:t>：规格</w:t>
            </w:r>
            <w:r>
              <w:rPr>
                <w:sz w:val="21"/>
              </w:rPr>
              <w:t>≥1950mm</w:t>
            </w:r>
            <w:r>
              <w:rPr>
                <w:sz w:val="21"/>
              </w:rPr>
              <w:t>（</w:t>
            </w:r>
            <w:r>
              <w:rPr>
                <w:sz w:val="21"/>
              </w:rPr>
              <w:t>长）</w:t>
            </w:r>
            <w:r>
              <w:rPr>
                <w:sz w:val="21"/>
              </w:rPr>
              <w:t>*620mm</w:t>
            </w:r>
            <w:r>
              <w:rPr>
                <w:sz w:val="21"/>
              </w:rPr>
              <w:t>（</w:t>
            </w:r>
            <w:r>
              <w:rPr>
                <w:sz w:val="21"/>
              </w:rPr>
              <w:t>宽）</w:t>
            </w:r>
            <w:r>
              <w:rPr>
                <w:sz w:val="21"/>
              </w:rPr>
              <w:t>*36mm</w:t>
            </w:r>
            <w:r>
              <w:rPr>
                <w:sz w:val="21"/>
              </w:rPr>
              <w:t>（</w:t>
            </w:r>
            <w:r>
              <w:rPr>
                <w:sz w:val="21"/>
              </w:rPr>
              <w:t>高）</w:t>
            </w:r>
            <w:r>
              <w:rPr>
                <w:sz w:val="21"/>
              </w:rPr>
              <w:t>,多功能桌面板L型，分左右向，采用中空吹塑工艺，颜色为果绿色，材料为HDPE高密度聚乙烯。具有较高的刚性和韧性，机械强度好，表面耐磨、抗污、防水、不褪色等良好的特性。桌面板前面采用鸭嘴边设计。</w:t>
            </w:r>
          </w:p>
          <w:p>
            <w:pPr>
              <w:pStyle w:val="null3"/>
            </w:pPr>
            <w:r>
              <w:rPr>
                <w:sz w:val="21"/>
              </w:rPr>
              <w:t>2.4.</w:t>
            </w:r>
            <w:r>
              <w:rPr>
                <w:sz w:val="21"/>
              </w:rPr>
              <w:t>3</w:t>
            </w:r>
            <w:r>
              <w:rPr>
                <w:sz w:val="21"/>
              </w:rPr>
              <w:t>、立柱采用</w:t>
            </w:r>
            <w:r>
              <w:rPr>
                <w:sz w:val="21"/>
              </w:rPr>
              <w:t>40mm</w:t>
            </w:r>
            <w:r>
              <w:rPr>
                <w:sz w:val="21"/>
              </w:rPr>
              <w:t>（</w:t>
            </w:r>
            <w:r>
              <w:rPr>
                <w:sz w:val="21"/>
              </w:rPr>
              <w:t>长）</w:t>
            </w:r>
            <w:r>
              <w:rPr>
                <w:sz w:val="21"/>
              </w:rPr>
              <w:t>*40mm</w:t>
            </w:r>
            <w:r>
              <w:rPr>
                <w:sz w:val="21"/>
              </w:rPr>
              <w:t>（</w:t>
            </w:r>
            <w:r>
              <w:rPr>
                <w:sz w:val="21"/>
              </w:rPr>
              <w:t>宽）</w:t>
            </w:r>
            <w:r>
              <w:rPr>
                <w:sz w:val="21"/>
              </w:rPr>
              <w:t>*</w:t>
            </w:r>
            <w:r>
              <w:rPr>
                <w:sz w:val="21"/>
              </w:rPr>
              <w:t>不低于</w:t>
            </w:r>
            <w:r>
              <w:rPr>
                <w:sz w:val="21"/>
              </w:rPr>
              <w:t>1.2mm</w:t>
            </w:r>
            <w:r>
              <w:rPr>
                <w:sz w:val="21"/>
              </w:rPr>
              <w:t>厚</w:t>
            </w:r>
            <w:r>
              <w:rPr>
                <w:sz w:val="21"/>
              </w:rPr>
              <w:t>方管。</w:t>
            </w:r>
          </w:p>
          <w:p>
            <w:pPr>
              <w:pStyle w:val="null3"/>
            </w:pPr>
            <w:r>
              <w:rPr>
                <w:sz w:val="21"/>
              </w:rPr>
              <w:t>2.4.</w:t>
            </w:r>
            <w:r>
              <w:rPr>
                <w:sz w:val="21"/>
              </w:rPr>
              <w:t>4</w:t>
            </w:r>
            <w:r>
              <w:rPr>
                <w:sz w:val="21"/>
              </w:rPr>
              <w:t>、配有三个抽屉长度</w:t>
            </w:r>
            <w:r>
              <w:rPr>
                <w:sz w:val="21"/>
              </w:rPr>
              <w:t>616mm，深度350mm，高度120mm,安装明锁具，安装铝合金拉手扣，安装三节钢珠滑轨，抽屉下面要有安全防护措施防止脱轨砸伤人。抽屉离地净空≥600mm。</w:t>
            </w:r>
          </w:p>
          <w:p>
            <w:pPr>
              <w:pStyle w:val="null3"/>
            </w:pPr>
            <w:r>
              <w:rPr>
                <w:sz w:val="21"/>
              </w:rPr>
              <w:t>2.4.</w:t>
            </w:r>
            <w:r>
              <w:rPr>
                <w:sz w:val="21"/>
              </w:rPr>
              <w:t>5</w:t>
            </w:r>
            <w:r>
              <w:rPr>
                <w:sz w:val="21"/>
              </w:rPr>
              <w:t>、台面板有后档条，台面板具备防污、防水、不褪色功能。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学生椅</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3.1.1、</w:t>
            </w:r>
            <w:r>
              <w:rPr>
                <w:sz w:val="21"/>
              </w:rPr>
              <w:t>座椅尺寸：</w:t>
            </w:r>
            <w:r>
              <w:rPr>
                <w:sz w:val="21"/>
              </w:rPr>
              <w:t>≥宽410mm*深420mm*高430mm，靠背高≥810mm。</w:t>
            </w:r>
          </w:p>
          <w:p>
            <w:pPr>
              <w:pStyle w:val="null3"/>
            </w:pPr>
            <w:r>
              <w:rPr>
                <w:sz w:val="21"/>
              </w:rPr>
              <w:t>3.1.2、椅靠背钢架:1.材质:采用40mm（</w:t>
            </w:r>
            <w:r>
              <w:rPr>
                <w:sz w:val="21"/>
              </w:rPr>
              <w:t>长）</w:t>
            </w:r>
            <w:r>
              <w:rPr>
                <w:sz w:val="21"/>
              </w:rPr>
              <w:t>*20mm（</w:t>
            </w:r>
            <w:r>
              <w:rPr>
                <w:sz w:val="21"/>
              </w:rPr>
              <w:t>宽）</w:t>
            </w:r>
            <w:r>
              <w:rPr>
                <w:sz w:val="21"/>
              </w:rPr>
              <w:t>圆形冷轧钢管，壁厚</w:t>
            </w:r>
            <w:r>
              <w:rPr>
                <w:sz w:val="21"/>
              </w:rPr>
              <w:t>不低于</w:t>
            </w:r>
            <w:r>
              <w:rPr>
                <w:sz w:val="21"/>
              </w:rPr>
              <w:t>1.2mm；样式:靠背做S型弯曲处理，符合人体工学。</w:t>
            </w:r>
          </w:p>
          <w:p>
            <w:pPr>
              <w:pStyle w:val="null3"/>
            </w:pPr>
            <w:r>
              <w:rPr>
                <w:sz w:val="21"/>
              </w:rPr>
              <w:t>3.1.3、座垫板: ≥410（</w:t>
            </w:r>
            <w:r>
              <w:rPr>
                <w:sz w:val="21"/>
              </w:rPr>
              <w:t>宽）</w:t>
            </w:r>
            <w:r>
              <w:rPr>
                <w:sz w:val="21"/>
              </w:rPr>
              <w:t>*420（</w:t>
            </w:r>
            <w:r>
              <w:rPr>
                <w:sz w:val="21"/>
              </w:rPr>
              <w:t>深）</w:t>
            </w:r>
            <w:r>
              <w:rPr>
                <w:sz w:val="21"/>
              </w:rPr>
              <w:t>mm,采用环保PP工程塑料注塑成型，颜色为果绿色。</w:t>
            </w:r>
          </w:p>
          <w:p>
            <w:pPr>
              <w:pStyle w:val="null3"/>
            </w:pPr>
            <w:r>
              <w:rPr>
                <w:sz w:val="21"/>
              </w:rPr>
              <w:t>3.1.4、靠背板: ≥宽410*深360mm采用环保PP工程塑料注塑成型，上方有提手位，颜色为果绿色。</w:t>
            </w:r>
          </w:p>
          <w:p>
            <w:pPr>
              <w:pStyle w:val="null3"/>
            </w:pPr>
            <w:r>
              <w:rPr>
                <w:sz w:val="21"/>
              </w:rPr>
              <w:t>3.1.5、椅脚:采用40mm（</w:t>
            </w:r>
            <w:r>
              <w:rPr>
                <w:sz w:val="21"/>
              </w:rPr>
              <w:t>长）</w:t>
            </w:r>
            <w:r>
              <w:rPr>
                <w:sz w:val="21"/>
              </w:rPr>
              <w:t>*20mm（</w:t>
            </w:r>
            <w:r>
              <w:rPr>
                <w:sz w:val="21"/>
              </w:rPr>
              <w:t>宽）</w:t>
            </w:r>
            <w:r>
              <w:rPr>
                <w:sz w:val="21"/>
              </w:rPr>
              <w:t>随圆形冷钢管，壁厚</w:t>
            </w:r>
            <w:r>
              <w:rPr>
                <w:sz w:val="21"/>
              </w:rPr>
              <w:t>不低于</w:t>
            </w:r>
            <w:r>
              <w:rPr>
                <w:sz w:val="21"/>
              </w:rPr>
              <w:t>1.2mn；样式:椅脚做Z型弯曲处理。</w:t>
            </w:r>
          </w:p>
          <w:p>
            <w:pPr>
              <w:pStyle w:val="null3"/>
            </w:pPr>
            <w:r>
              <w:rPr>
                <w:sz w:val="21"/>
              </w:rPr>
              <w:t>3.1.6、脚垫:采用ABS塑料注塑一体成型。</w:t>
            </w:r>
          </w:p>
          <w:p>
            <w:pPr>
              <w:pStyle w:val="null3"/>
            </w:pPr>
            <w:r>
              <w:rPr>
                <w:sz w:val="21"/>
              </w:rPr>
              <w:t>3.1.7、所有金属采用高频焊接，无虚焊、漏焊，焊渣经专业工具精细打磨、处理干净，保证外观光洁平整；除油、除锈、水洗等工艺后经环氧聚酯热固粉末静电喷塑，高温固化而成；钢构件经脱脂处理后形成的磷化膜。喷涂面平整、光滑、无颗粒、气泡、渣点，喷塑厚度≥60μm（微米） ，漆膜附着力、硬度、耐冲击力等均符合国家标准。</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1.采购代理机构：本项目是指广东志正招标有限公司，负责整个采购活动的组织，依法负责编制和发布招标文件，对招标文件拥有最终的解释权，不以任何身份出任评标委员会成员。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广东技术师范大学</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1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采购机构代理服务收费标准：中标人须向采购代理机构按如下标准和规定缴纳招标代理服务费： （1）以中标金额作为代理服务费的计算基数； （2）代理服务费采用差额定率累进法进行计算，按照以下标准计算后下浮20%计取：100万元以下的部分，按照1.5%计取；100-500万元的部分，按照1.1%计取； （3）增值税另行计入招标代理服务费中。</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其他，一、便利化措施，投标文件及样品（如有）的递交与开标，1. 各投标供应商可以通过“中国邮政”、“EMS”、“顺丰快递”等快递方式，按照采购文件要求在规定的投标截止时间前将《投标文件》及相关样品（如有）送达到开标地点，快递单上应清晰写明如下信息： 1）收件地址：广州市天河区龙怡路117号银汇大厦5楼 2）收件人：广东志正招标有限公司前台 3）注明采购项目编号 如需现场安装或调试的样品，不接受邮寄送达的方式。 需现场陈述的项目，请供应商派代表参与。 2.通过快递方式递交《投标文件》及相关样品（如有）的，递交时间为送达我司由我司前台人员签收的时间，请投标供应商预留邮寄所需的时间。建议投标供应商在邮递之后，主动在投标截止时间前及时与我司联系，核实投标文件是否在规定的时间内送达。 3. 通过快递方式递交《投标文件》及相关样品（如有）的，寄错地址、逾期送达、未按照采购文件要求密封或者邮寄过程导致包装密封出现破损的，我司将拒绝接收，由投标供应商自行承担相应责任与后果，我司不承担责任。 4.投标人采用现场递交投标文件及样品的，须按照采购文件要求在规定的投标截止时间前将《投标文件》及相关样品（如有）送达到代理机构处，逾期送达的将不予接收。5. 投标供应商未参加现场开标的，视同认可开标结果。 中标（成交）通知书与发票送达 我司鼓励通过快递方式送达给中标（成交）人，服务费（标书款）发票以邮件方式发送电子发票。 采购合同送达 我司提倡中标（成交）人优先采用邮寄方式将签订的合同及时送达我司。 1）收件地址：广州市天河区龙怡路117号银汇大厦5 楼 2）收件人：广东志正招标有限公司前台 3）注明采购项目编号</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广东志正招标有限公司</w:t>
      </w:r>
      <w:r>
        <w:rPr/>
        <w:t>代收。具体操作要求详见</w:t>
      </w:r>
      <w:r>
        <w:rPr/>
        <w:t>广东志正招标有限公司</w:t>
      </w:r>
      <w:r>
        <w:rPr/>
        <w:t>有关指引，递交事宜请自行咨询</w:t>
      </w:r>
      <w:r>
        <w:rPr/>
        <w:t>广东志正招标有限公司</w:t>
      </w:r>
      <w:r>
        <w:rPr/>
        <w:t>；请各投标人在投标文件递交截止时间前按须知前附表规定的金额递交至</w:t>
      </w:r>
      <w:r>
        <w:rPr/>
        <w:t>广东志正招标有限公司</w:t>
      </w:r>
      <w:r>
        <w:rPr/>
        <w:t>，到账情况以开标时</w:t>
      </w:r>
      <w:r>
        <w:rPr/>
        <w:t>广东志正招标有限公司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广东志正招标有限公司（https://www.zztender.com/）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广东志正招标有限公司（https://www.zztender.com/）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内控部</w:t>
      </w:r>
    </w:p>
    <w:p>
      <w:pPr>
        <w:pStyle w:val="null3"/>
        <w:ind w:firstLine="480"/>
      </w:pPr>
      <w:r>
        <w:rPr/>
        <w:t>电话：</w:t>
      </w:r>
      <w:r>
        <w:rPr/>
        <w:t>020-87512543</w:t>
      </w:r>
    </w:p>
    <w:p>
      <w:pPr>
        <w:pStyle w:val="null3"/>
        <w:ind w:firstLine="480"/>
      </w:pPr>
      <w:r>
        <w:rPr/>
        <w:t>传真：</w:t>
      </w:r>
      <w:r>
        <w:rPr/>
        <w:t>020-87554028</w:t>
      </w:r>
    </w:p>
    <w:p>
      <w:pPr>
        <w:pStyle w:val="null3"/>
        <w:ind w:firstLine="480"/>
      </w:pPr>
      <w:r>
        <w:rPr/>
        <w:t>邮箱：</w:t>
      </w:r>
      <w:r>
        <w:rPr/>
        <w:t>nkb@zztender.com</w:t>
      </w:r>
    </w:p>
    <w:p>
      <w:pPr>
        <w:pStyle w:val="null3"/>
        <w:ind w:firstLine="480"/>
      </w:pPr>
      <w:r>
        <w:rPr/>
        <w:t>地址：</w:t>
      </w:r>
      <w:r>
        <w:rPr/>
        <w:t>广东省广州市天河区龙怡路117号银汇大厦5楼</w:t>
      </w:r>
    </w:p>
    <w:p>
      <w:pPr>
        <w:pStyle w:val="null3"/>
        <w:ind w:firstLine="480"/>
      </w:pPr>
      <w:r>
        <w:rPr/>
        <w:t>邮编：</w:t>
      </w:r>
      <w:r>
        <w:rPr/>
        <w:t>510640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东技术师范大学广州校区学生宿舍家具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广东志正招标有限公司</w:t>
      </w:r>
      <w:r>
        <w:rPr/>
        <w:t>统一对外发布。</w:t>
      </w:r>
    </w:p>
    <w:p>
      <w:pPr>
        <w:pStyle w:val="null3"/>
        <w:ind w:firstLine="480"/>
      </w:pPr>
      <w:r>
        <w:rPr/>
        <w:t>（2）对</w:t>
      </w:r>
      <w:r>
        <w:rPr/>
        <w:t>广东志正招标有限公司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采购包1（广东技术师范大学广州校区学生宿舍家具采购项目）：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采购包1（广东技术师范大学广州校区学生宿舍家具采购项目）：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提供2025年度财务状况报告或投标截止日前6个月内任意1个月的财务报表复印件；或银行出具的资信证明材料复印件。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填报设备及专业技术能力情况，格式自拟。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专门面向中小企业采购，所有货物由符合货物(采购标的)所属行业(工业)政策划分标准的中小微企业生产且使用该中小微企业商号或注册商标，投标人应按规定提供《中小企业声明函》。属于监狱企业的，提供由省级以上监狱管理局、戒毒管理局(含新疆生产建设兵团)出具的属于监狱企业的证明文件；属于残疾人福利性单位的，提供《残疾人福利性单位声明函》。</w:t>
            </w:r>
          </w:p>
        </w:tc>
      </w:tr>
    </w:tbl>
    <w:p>
      <w:pPr>
        <w:pStyle w:val="null3"/>
        <w:ind w:firstLine="480"/>
      </w:pPr>
      <w:r>
        <w:rPr/>
        <w:t>表二符合性审查表：</w:t>
      </w:r>
    </w:p>
    <w:p>
      <w:pPr>
        <w:pStyle w:val="null3"/>
      </w:pPr>
      <w:r>
        <w:rPr/>
        <w:t>采购包1（广东技术师范大学广州校区学生宿舍家具采购项目）：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投标文件按照招标文件规定要求签署、盖章</w:t>
            </w:r>
          </w:p>
        </w:tc>
        <w:tc>
          <w:tcPr>
            <w:tcW w:type="dxa" w:w="4238"/>
          </w:tcPr>
          <w:p>
            <w:pPr>
              <w:pStyle w:val="null3"/>
            </w:pPr>
            <w:r>
              <w:rPr/>
              <w:t>投标文件按照招标文件规定要求签署、盖章，包含：①投标函；②法定代表人证明书或法定代表人授权书；③开标一览表；④分项报价表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投标报价没有超出最高限价</w:t>
            </w:r>
          </w:p>
        </w:tc>
      </w:tr>
      <w:tr>
        <w:tc>
          <w:tcPr>
            <w:tcW w:type="dxa" w:w="890"/>
          </w:tcPr>
          <w:p>
            <w:pPr>
              <w:pStyle w:val="null3"/>
            </w:pPr>
            <w:r>
              <w:rPr/>
              <w:t>4</w:t>
            </w:r>
          </w:p>
        </w:tc>
        <w:tc>
          <w:tcPr>
            <w:tcW w:type="dxa" w:w="3178"/>
          </w:tcPr>
          <w:p>
            <w:pPr>
              <w:pStyle w:val="null3"/>
            </w:pPr>
            <w:r>
              <w:rPr/>
              <w:t>标注“★”的条款的满足情况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未出现有关法律、法规、规章或招标文件规定的属于投标无效的情形</w:t>
            </w:r>
          </w:p>
        </w:tc>
        <w:tc>
          <w:tcPr>
            <w:tcW w:type="dxa" w:w="4238"/>
          </w:tcPr>
          <w:p>
            <w:pPr>
              <w:pStyle w:val="null3"/>
            </w:pPr>
            <w:r>
              <w:rPr/>
              <w:t>未出现有关法律、法规、规章或招标文件规定的属于投标无效的情形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采购包1(广东技术师范大学广州校区学生宿舍家具采购项目):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商务部分18.0分</w:t>
            </w:r>
          </w:p>
          <w:p>
            <w:pPr>
              <w:pStyle w:val="null3"/>
            </w:pPr>
            <w:r>
              <w:rPr/>
              <w:t>技术部分52.0分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所投货物技术指标响应情况 (9.0分)</w:t>
            </w:r>
          </w:p>
        </w:tc>
        <w:tc>
          <w:tcPr>
            <w:tcW w:type="dxa" w:w="5076"/>
          </w:tcPr>
          <w:p>
            <w:pPr>
              <w:pStyle w:val="null3"/>
              <w:jc w:val="left"/>
            </w:pPr>
            <w:r>
              <w:rPr/>
              <w:t>根据投标人对采购需求中附表一至附表三的“具体技术(参数)要求”中带“▲”条款的响应情况进行评审（带“▲”条款共6条）： 1、每满足任一条带“▲”的条款，得1.5分，最高得9分。 注：如采购需求有要求提供具体证明材料的，需按采购需求要求提供；如采购需求无明确要求提供的证明材料，则以投标人提供的《技术和服务要求响应表》响应情况为准，不按要求提供或提供不符的视为负偏离。</w:t>
            </w:r>
          </w:p>
        </w:tc>
      </w:tr>
      <w:tr>
        <w:tc>
          <w:tcPr>
            <w:tcW w:type="dxa" w:w="922"/>
            <w:gridSpan w:val="2"/>
            <w:vMerge/>
          </w:tcPr>
          <w:p/>
        </w:tc>
        <w:tc>
          <w:tcPr>
            <w:tcW w:type="dxa" w:w="2307"/>
          </w:tcPr>
          <w:p>
            <w:pPr>
              <w:pStyle w:val="null3"/>
              <w:jc w:val="left"/>
            </w:pPr>
            <w:r>
              <w:rPr/>
              <w:t>所投货物技术指标响应情况 (21.0分)</w:t>
            </w:r>
          </w:p>
        </w:tc>
        <w:tc>
          <w:tcPr>
            <w:tcW w:type="dxa" w:w="5076"/>
          </w:tcPr>
          <w:p>
            <w:pPr>
              <w:pStyle w:val="null3"/>
              <w:jc w:val="left"/>
            </w:pPr>
            <w:r>
              <w:rPr/>
              <w:t>根据投标人对采购需求中附表一至附表三的“具体技术(参数)要求”中一般技术参数条款（不含带“▲”、“★”的条款）的响应情况进行评审： 得分计算公式=（一般技术参数总数-负偏离总数）/一般技术参数总数×21分，结果四舍五入保留两位小数；本项目的一般技术参数共47条。 注：如采购需求有要求提供具体证明材料的，需 按采购需求要求提供；如采购需求无明确要求提供的证明材料，则以投标人提供的《技术和服务要求响应表》响应情况为准，不按要求提供或提供不符的视为负偏离。</w:t>
            </w:r>
          </w:p>
        </w:tc>
      </w:tr>
      <w:tr>
        <w:tc>
          <w:tcPr>
            <w:tcW w:type="dxa" w:w="922"/>
            <w:gridSpan w:val="2"/>
            <w:vMerge/>
          </w:tcPr>
          <w:p/>
        </w:tc>
        <w:tc>
          <w:tcPr>
            <w:tcW w:type="dxa" w:w="2307"/>
          </w:tcPr>
          <w:p>
            <w:pPr>
              <w:pStyle w:val="null3"/>
              <w:jc w:val="left"/>
            </w:pPr>
            <w:r>
              <w:rPr/>
              <w:t>样品规格尺寸、材质 (10.0分)</w:t>
            </w:r>
          </w:p>
        </w:tc>
        <w:tc>
          <w:tcPr>
            <w:tcW w:type="dxa" w:w="5076"/>
          </w:tcPr>
          <w:p>
            <w:pPr>
              <w:pStyle w:val="null3"/>
              <w:jc w:val="left"/>
            </w:pPr>
            <w:r>
              <w:rPr/>
              <w:t>根据投标人提供的样品（床立柱、床横梁、床前护挡板（中空吹塑）、中空吹塑板桌面、衣柜门板材（含颜色）、学生椅成品）的质量等进行综合评价: （1）板材色泽、纹理、质感应保持整体一致性，封边接缝平顺，无明显翘边，表面喷涂厚薄均匀，光泽统一，涂层触感平整，板材表面不得存在气孔、裂纹、外来杂质，无刺激性气味，得10分； （2）板材纹理、色泽无明显色差，封边拼接处过渡自然；喷涂面无流挂、漏喷现象，光泽符合设计要求，涂层表面触感顺滑，板面无气孔、开裂、颗粒物杂质，释放气味无刺激性，得6分； （3）板材纹理、色泽有明显色差或封边拼接处过渡不自然或喷涂面有流挂、漏喷现象或涂层表面有大面积不均或板面有气孔、开裂、颗粒物杂质或释放气味有刺激性，得2分； 注：未提供样品或样品不全的不得分。</w:t>
            </w:r>
          </w:p>
        </w:tc>
      </w:tr>
      <w:tr>
        <w:tc>
          <w:tcPr>
            <w:tcW w:type="dxa" w:w="922"/>
            <w:gridSpan w:val="2"/>
            <w:vMerge/>
          </w:tcPr>
          <w:p/>
        </w:tc>
        <w:tc>
          <w:tcPr>
            <w:tcW w:type="dxa" w:w="2307"/>
          </w:tcPr>
          <w:p>
            <w:pPr>
              <w:pStyle w:val="null3"/>
              <w:jc w:val="left"/>
            </w:pPr>
            <w:r>
              <w:rPr/>
              <w:t>实施方案和培训方案 (4.0分)</w:t>
            </w:r>
          </w:p>
        </w:tc>
        <w:tc>
          <w:tcPr>
            <w:tcW w:type="dxa" w:w="5076"/>
          </w:tcPr>
          <w:p>
            <w:pPr>
              <w:pStyle w:val="null3"/>
              <w:jc w:val="left"/>
            </w:pPr>
            <w:r>
              <w:rPr/>
              <w:t>根据投标人提供的实施方案和培训方案（包含但不限于①包装、运输方案、②安装与调试方案、③培训方案等）进行评审： （1）实施方案和培训方案具有针对性、可行性，能满足本项目需求，得4分； （2）实施方案和培训方案具有一定针对性、可行性，较能满足本项目需求，得3分； （3）实施方案和培训方案具有的针对性或可行性欠缺，不能满足本项目需求，得2分； （4）不提供实施方案和培训方案的，得0分。</w:t>
            </w:r>
          </w:p>
        </w:tc>
      </w:tr>
      <w:tr>
        <w:tc>
          <w:tcPr>
            <w:tcW w:type="dxa" w:w="922"/>
            <w:gridSpan w:val="2"/>
            <w:vMerge/>
          </w:tcPr>
          <w:p/>
        </w:tc>
        <w:tc>
          <w:tcPr>
            <w:tcW w:type="dxa" w:w="2307"/>
          </w:tcPr>
          <w:p>
            <w:pPr>
              <w:pStyle w:val="null3"/>
              <w:jc w:val="left"/>
            </w:pPr>
            <w:r>
              <w:rPr/>
              <w:t>质量保证方案 (4.0分)</w:t>
            </w:r>
          </w:p>
        </w:tc>
        <w:tc>
          <w:tcPr>
            <w:tcW w:type="dxa" w:w="5076"/>
          </w:tcPr>
          <w:p>
            <w:pPr>
              <w:pStyle w:val="null3"/>
              <w:jc w:val="left"/>
            </w:pPr>
            <w:r>
              <w:rPr/>
              <w:t>根据投标人提供的质量保证方案（包括但不限于质量保证措施等）进行评审： （1）项目质量保证方案具有针对性、可行性，完全适用采购需求的，得4分； （2）项目质量保证方案具有一定针对性、可行性，较能适用采购需求的，得3分； （3）项目质量保证方案具有的针对性或可行性欠缺，不能适用采购需求的，得2分； （4）不提供质量保证提供方案的，得0分。</w:t>
            </w:r>
          </w:p>
        </w:tc>
      </w:tr>
      <w:tr>
        <w:tc>
          <w:tcPr>
            <w:tcW w:type="dxa" w:w="922"/>
            <w:gridSpan w:val="2"/>
            <w:vMerge/>
          </w:tcPr>
          <w:p/>
        </w:tc>
        <w:tc>
          <w:tcPr>
            <w:tcW w:type="dxa" w:w="2307"/>
          </w:tcPr>
          <w:p>
            <w:pPr>
              <w:pStyle w:val="null3"/>
              <w:jc w:val="left"/>
            </w:pPr>
            <w:r>
              <w:rPr/>
              <w:t>售后服务方案 (4.0分)</w:t>
            </w:r>
          </w:p>
        </w:tc>
        <w:tc>
          <w:tcPr>
            <w:tcW w:type="dxa" w:w="5076"/>
          </w:tcPr>
          <w:p>
            <w:pPr>
              <w:pStyle w:val="null3"/>
              <w:jc w:val="left"/>
            </w:pPr>
            <w:r>
              <w:rPr/>
              <w:t>根据投标人提供的售后服务方案（包括但不限于售后质量保证、售后服务内容等）进行评审： （1）售后服务方案具有针对性、可行性，能满足本项目需求，得4分； （2）售后服务方案具有一定针对性、可行性，较能满足本项目需求，得3分； （3）售后服务方案具有的针对性或可行性欠缺，不能满足本项目需求，得2分； （4）不提供售后服务方案的，得0分。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(10.0分)</w:t>
            </w:r>
          </w:p>
        </w:tc>
        <w:tc>
          <w:tcPr>
            <w:tcW w:type="dxa" w:w="5076"/>
          </w:tcPr>
          <w:p>
            <w:pPr>
              <w:pStyle w:val="null3"/>
              <w:jc w:val="left"/>
            </w:pPr>
            <w:r>
              <w:rPr/>
              <w:t>根据投标人提供的自2023年1月1日以来的同类业绩，每提供1个业绩得1分，最高得10分。 注：需提供合同复印件及验收合格证明材料（均须含客户或其使用单位的盖章）。时间以合同签订时间为准。不提供或无法认定的不得分。</w:t>
            </w:r>
          </w:p>
        </w:tc>
      </w:tr>
      <w:tr>
        <w:tc>
          <w:tcPr>
            <w:tcW w:type="dxa" w:w="922"/>
            <w:gridSpan w:val="2"/>
            <w:vMerge/>
          </w:tcPr>
          <w:p/>
        </w:tc>
        <w:tc>
          <w:tcPr>
            <w:tcW w:type="dxa" w:w="2307"/>
          </w:tcPr>
          <w:p>
            <w:pPr>
              <w:pStyle w:val="null3"/>
              <w:jc w:val="left"/>
            </w:pPr>
            <w:r>
              <w:rPr/>
              <w:t>满意度评价 (5.0分)</w:t>
            </w:r>
          </w:p>
        </w:tc>
        <w:tc>
          <w:tcPr>
            <w:tcW w:type="dxa" w:w="5076"/>
          </w:tcPr>
          <w:p>
            <w:pPr>
              <w:pStyle w:val="null3"/>
              <w:jc w:val="left"/>
            </w:pPr>
            <w:r>
              <w:rPr/>
              <w:t>满足上述“同类项目业绩”要求的有效业绩，获得客户满意度评价为满意或优或百分制得分为90分（及以上）或同等评价的，每提供一个得0.5分，最高得5分。 注：提供客户满意度评价证明材料（须含客户或其使用单位的盖章），不提供或无法认定的不得分。</w:t>
            </w:r>
          </w:p>
        </w:tc>
      </w:tr>
      <w:tr>
        <w:tc>
          <w:tcPr>
            <w:tcW w:type="dxa" w:w="922"/>
            <w:gridSpan w:val="2"/>
            <w:vMerge/>
          </w:tcPr>
          <w:p/>
        </w:tc>
        <w:tc>
          <w:tcPr>
            <w:tcW w:type="dxa" w:w="2307"/>
          </w:tcPr>
          <w:p>
            <w:pPr>
              <w:pStyle w:val="null3"/>
              <w:jc w:val="left"/>
            </w:pPr>
            <w:r>
              <w:rPr/>
              <w:t>环境标志认证证书 (3.0分)</w:t>
            </w:r>
          </w:p>
        </w:tc>
        <w:tc>
          <w:tcPr>
            <w:tcW w:type="dxa" w:w="5076"/>
          </w:tcPr>
          <w:p>
            <w:pPr>
              <w:pStyle w:val="null3"/>
              <w:jc w:val="left"/>
            </w:pPr>
            <w:r>
              <w:rPr/>
              <w:t>投标人每提供一份所投产品（单人位公寓组合床（上床下桌）或二连体三人位组合床或学生椅）的环境标志产品认证证书得1分，本项累计最高得3分。 注：提供环境标志产品认证证书复印件，同一产品不重复计分，不提供不得分。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0"/>
          <w:b/>
        </w:rPr>
        <w:t>合　同　书</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b/>
              </w:rPr>
              <w:t>采购编号：</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b/>
              </w:rPr>
              <w:t>项目名称：</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b/>
              </w:rPr>
              <w:t>签署地点：广州市天河区</w:t>
            </w:r>
          </w:p>
        </w:tc>
      </w:tr>
    </w:tbl>
    <w:p>
      <w:pPr>
        <w:pStyle w:val="null3"/>
        <w:jc w:val="both"/>
      </w:pPr>
      <w:r>
        <w:rPr/>
        <w:t xml:space="preserve"> </w:t>
      </w:r>
    </w:p>
    <w:p>
      <w:pPr>
        <w:pStyle w:val="null3"/>
      </w:pPr>
      <w:r>
        <w:rPr>
          <w:sz w:val="21"/>
        </w:rPr>
        <w:t>甲　　方（采购人）：　　　　　　　　　　</w:t>
      </w:r>
    </w:p>
    <w:p>
      <w:pPr>
        <w:pStyle w:val="null3"/>
      </w:pPr>
      <w:r>
        <w:rPr>
          <w:sz w:val="21"/>
        </w:rPr>
        <w:t>统一社会信用代码：</w:t>
      </w:r>
    </w:p>
    <w:p>
      <w:pPr>
        <w:pStyle w:val="null3"/>
      </w:pPr>
      <w:r>
        <w:rPr>
          <w:sz w:val="21"/>
        </w:rPr>
        <w:t>法定代表人：</w:t>
      </w:r>
    </w:p>
    <w:p>
      <w:pPr>
        <w:pStyle w:val="null3"/>
      </w:pPr>
      <w:r>
        <w:rPr>
          <w:sz w:val="21"/>
        </w:rPr>
        <w:t>指定联系人：</w:t>
      </w:r>
    </w:p>
    <w:p>
      <w:pPr>
        <w:pStyle w:val="null3"/>
      </w:pPr>
      <w:r>
        <w:rPr>
          <w:sz w:val="21"/>
        </w:rPr>
        <w:t>联系电话：</w:t>
      </w:r>
    </w:p>
    <w:p>
      <w:pPr>
        <w:pStyle w:val="null3"/>
      </w:pPr>
      <w:r>
        <w:rPr>
          <w:sz w:val="21"/>
        </w:rPr>
        <w:t>通讯地址：</w:t>
      </w:r>
    </w:p>
    <w:p>
      <w:pPr>
        <w:pStyle w:val="null3"/>
      </w:pPr>
      <w:r>
        <w:rPr>
          <w:sz w:val="21"/>
        </w:rPr>
        <w:t>电子邮箱：</w:t>
      </w:r>
    </w:p>
    <w:p>
      <w:pPr>
        <w:pStyle w:val="null3"/>
      </w:pPr>
      <w:r>
        <w:rPr>
          <w:sz w:val="21"/>
        </w:rPr>
        <w:t>传真：</w:t>
      </w:r>
    </w:p>
    <w:p>
      <w:pPr>
        <w:pStyle w:val="null3"/>
      </w:pPr>
      <w:r>
        <w:rPr>
          <w:sz w:val="21"/>
        </w:rPr>
        <w:t>乙　　方（中标供应商）：　　　　　　　　　　</w:t>
      </w:r>
    </w:p>
    <w:p>
      <w:pPr>
        <w:pStyle w:val="null3"/>
      </w:pPr>
      <w:r>
        <w:rPr>
          <w:sz w:val="21"/>
        </w:rPr>
        <w:t>统一社会信用代码：</w:t>
      </w:r>
    </w:p>
    <w:p>
      <w:pPr>
        <w:pStyle w:val="null3"/>
      </w:pPr>
      <w:r>
        <w:rPr>
          <w:sz w:val="21"/>
        </w:rPr>
        <w:t>法定代表人：</w:t>
      </w:r>
    </w:p>
    <w:p>
      <w:pPr>
        <w:pStyle w:val="null3"/>
      </w:pPr>
      <w:r>
        <w:rPr>
          <w:sz w:val="21"/>
        </w:rPr>
        <w:t>指定联系人：</w:t>
      </w:r>
    </w:p>
    <w:p>
      <w:pPr>
        <w:pStyle w:val="null3"/>
      </w:pPr>
      <w:r>
        <w:rPr>
          <w:sz w:val="21"/>
        </w:rPr>
        <w:t>联系电话：</w:t>
      </w:r>
    </w:p>
    <w:p>
      <w:pPr>
        <w:pStyle w:val="null3"/>
      </w:pPr>
      <w:r>
        <w:rPr>
          <w:sz w:val="21"/>
        </w:rPr>
        <w:t>通讯地址：</w:t>
      </w:r>
    </w:p>
    <w:p>
      <w:pPr>
        <w:pStyle w:val="null3"/>
      </w:pPr>
      <w:r>
        <w:rPr>
          <w:sz w:val="21"/>
        </w:rPr>
        <w:t>电子邮箱：</w:t>
      </w:r>
    </w:p>
    <w:p>
      <w:pPr>
        <w:pStyle w:val="null3"/>
      </w:pPr>
      <w:r>
        <w:rPr>
          <w:sz w:val="21"/>
        </w:rPr>
        <w:t>传真：</w:t>
      </w:r>
    </w:p>
    <w:p>
      <w:pPr>
        <w:pStyle w:val="null3"/>
      </w:pPr>
      <w:r>
        <w:rPr>
          <w:sz w:val="21"/>
        </w:rPr>
        <w:t>根据</w:t>
      </w:r>
      <w:r>
        <w:rPr>
          <w:u w:val="single"/>
        </w:rPr>
        <w:t xml:space="preserve">               </w:t>
      </w:r>
      <w:r>
        <w:rPr>
          <w:sz w:val="21"/>
        </w:rPr>
        <w:t>项目的采购结果，按照《中华人民共和国政府采购法》、《中华人民共和国民法典》的规定，经双方协商，本着平等互利和诚实信用的原则，一致同意签订本合同如下。</w:t>
      </w:r>
    </w:p>
    <w:p>
      <w:pPr>
        <w:pStyle w:val="null3"/>
      </w:pPr>
      <w:r>
        <w:rPr>
          <w:sz w:val="21"/>
          <w:b/>
        </w:rPr>
        <w:t>一、标的物明细</w:t>
      </w:r>
    </w:p>
    <w:tbl>
      <w:tblPr>
        <w:tblW w:w="0" w:type="auto"/>
        <w:tblBorders>
          <w:top w:val="none" w:color="000000" w:sz="4"/>
          <w:left w:val="none" w:color="000000" w:sz="4"/>
          <w:bottom w:val="none" w:color="000000" w:sz="4"/>
          <w:right w:val="none" w:color="000000" w:sz="4"/>
          <w:insideH w:val="none"/>
          <w:insideV w:val="none"/>
        </w:tblBorders>
      </w:tblPr>
      <w:tblGrid>
        <w:gridCol w:w="522"/>
        <w:gridCol w:w="1418"/>
        <w:gridCol w:w="3128"/>
        <w:gridCol w:w="962"/>
        <w:gridCol w:w="522"/>
        <w:gridCol w:w="874"/>
        <w:gridCol w:w="877"/>
      </w:tblGrid>
      <w:tr>
        <w:tc>
          <w:tcPr>
            <w:tcW w:type="dxa" w:w="5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4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设备（货物）名称</w:t>
            </w:r>
          </w:p>
        </w:tc>
        <w:tc>
          <w:tcPr>
            <w:tcW w:type="dxa" w:w="31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品牌、规格型号、配置（性能参数）</w:t>
            </w:r>
          </w:p>
        </w:tc>
        <w:tc>
          <w:tcPr>
            <w:tcW w:type="dxa" w:w="9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厂家</w:t>
            </w:r>
            <w:r>
              <w:rPr>
                <w:sz w:val="21"/>
              </w:rPr>
              <w:t>/</w:t>
            </w:r>
          </w:p>
          <w:p>
            <w:pPr>
              <w:pStyle w:val="null3"/>
              <w:jc w:val="center"/>
            </w:pPr>
            <w:r>
              <w:rPr>
                <w:sz w:val="21"/>
              </w:rPr>
              <w:t>产地</w:t>
            </w:r>
          </w:p>
        </w:tc>
        <w:tc>
          <w:tcPr>
            <w:tcW w:type="dxa" w:w="5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874"/>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单价</w:t>
            </w:r>
            <w:r>
              <w:rPr>
                <w:sz w:val="21"/>
              </w:rPr>
              <w:t>(元)</w:t>
            </w:r>
          </w:p>
        </w:tc>
        <w:tc>
          <w:tcPr>
            <w:tcW w:type="dxa" w:w="877"/>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金额</w:t>
            </w:r>
            <w:r>
              <w:rPr>
                <w:sz w:val="21"/>
              </w:rPr>
              <w:t>(元)</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4"/>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877"/>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4"/>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877"/>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4"/>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877"/>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4"/>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877"/>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r>
      <w:tr>
        <w:tc>
          <w:tcPr>
            <w:tcW w:type="dxa" w:w="8303"/>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合计总额（人民币）：</w:t>
            </w:r>
            <w:r>
              <w:rPr>
                <w:sz w:val="21"/>
              </w:rPr>
              <w:t xml:space="preserve">     </w:t>
            </w:r>
            <w:r>
              <w:rPr>
                <w:sz w:val="21"/>
              </w:rPr>
              <w:t>万</w:t>
            </w:r>
            <w:r>
              <w:rPr>
                <w:sz w:val="21"/>
              </w:rPr>
              <w:t xml:space="preserve">   </w:t>
            </w:r>
            <w:r>
              <w:rPr>
                <w:sz w:val="21"/>
              </w:rPr>
              <w:t>仟</w:t>
            </w:r>
            <w:r>
              <w:rPr>
                <w:sz w:val="21"/>
              </w:rPr>
              <w:t xml:space="preserve">   </w:t>
            </w:r>
            <w:r>
              <w:rPr>
                <w:sz w:val="21"/>
              </w:rPr>
              <w:t>佰</w:t>
            </w:r>
            <w:r>
              <w:rPr>
                <w:sz w:val="21"/>
              </w:rPr>
              <w:t xml:space="preserve">   </w:t>
            </w:r>
            <w:r>
              <w:rPr>
                <w:sz w:val="21"/>
              </w:rPr>
              <w:t>拾</w:t>
            </w:r>
            <w:r>
              <w:rPr>
                <w:sz w:val="21"/>
              </w:rPr>
              <w:t xml:space="preserve">   </w:t>
            </w:r>
            <w:r>
              <w:rPr>
                <w:sz w:val="21"/>
              </w:rPr>
              <w:t>元</w:t>
            </w:r>
            <w:r>
              <w:rPr>
                <w:sz w:val="21"/>
              </w:rPr>
              <w:t xml:space="preserve">   </w:t>
            </w:r>
            <w:r>
              <w:rPr>
                <w:sz w:val="21"/>
              </w:rPr>
              <w:t>角</w:t>
            </w:r>
            <w:r>
              <w:rPr>
                <w:sz w:val="21"/>
              </w:rPr>
              <w:t xml:space="preserve">   </w:t>
            </w:r>
            <w:r>
              <w:rPr>
                <w:sz w:val="21"/>
              </w:rPr>
              <w:t>分（</w:t>
            </w:r>
            <w:r>
              <w:rPr>
                <w:sz w:val="21"/>
              </w:rPr>
              <w:t>¥              ）</w:t>
            </w:r>
          </w:p>
        </w:tc>
      </w:tr>
    </w:tbl>
    <w:p>
      <w:pPr>
        <w:pStyle w:val="null3"/>
        <w:ind w:firstLine="420"/>
      </w:pPr>
      <w:r>
        <w:rPr>
          <w:sz w:val="21"/>
        </w:rPr>
        <w:t>1.上述合同价款为包干总价，</w:t>
      </w:r>
      <w:r>
        <w:rPr>
          <w:sz w:val="21"/>
        </w:rPr>
        <w:t>包含</w:t>
      </w:r>
      <w:r>
        <w:rPr>
          <w:sz w:val="21"/>
        </w:rPr>
        <w:t>本</w:t>
      </w:r>
      <w:r>
        <w:rPr>
          <w:sz w:val="21"/>
        </w:rPr>
        <w:t>合同</w:t>
      </w:r>
      <w:r>
        <w:rPr>
          <w:sz w:val="21"/>
        </w:rPr>
        <w:t>的所有设备和材料、采购、运输、保险（含货物运输保险及安装人员保险）、仓储、安装、调试并伴随服务费用（包括旧家具拆除并搬运到指定地点）、试运行、项目的各项安全责任、培训、相关部门验收、质量保修期内的维护保养等全部费用，含增值税及其他法定税费；</w:t>
      </w:r>
      <w:r>
        <w:rPr>
          <w:sz w:val="21"/>
        </w:rPr>
        <w:t>以及</w:t>
      </w:r>
      <w:r>
        <w:rPr>
          <w:sz w:val="21"/>
        </w:rPr>
        <w:t>上述未包含的其他一切伴随服务，如售后服务、一切不可预见的费用等所有费用。。</w:t>
      </w:r>
    </w:p>
    <w:p>
      <w:pPr>
        <w:pStyle w:val="null3"/>
        <w:ind w:firstLine="420"/>
      </w:pPr>
      <w:r>
        <w:rPr>
          <w:sz w:val="21"/>
        </w:rPr>
        <w:t>2.在实际合同履行过程中，如果乙方未完全履行合同义务或履行的合同义务不符合约定的，则未履行或履行不符合合同约定的内容所对应的价款由甲方直接从上述约定的包干价中扣除。</w:t>
      </w:r>
    </w:p>
    <w:p>
      <w:pPr>
        <w:pStyle w:val="null3"/>
        <w:ind w:firstLine="420"/>
      </w:pPr>
      <w:r>
        <w:rPr>
          <w:sz w:val="21"/>
        </w:rPr>
        <w:t>注：货物名称规格型号、数量、质量、价款等实质性内容必须与投标文件中有关内容一致。</w:t>
      </w:r>
    </w:p>
    <w:p>
      <w:pPr>
        <w:pStyle w:val="null3"/>
        <w:ind w:firstLine="420"/>
        <w:jc w:val="both"/>
      </w:pPr>
      <w:r>
        <w:rPr>
          <w:sz w:val="21"/>
        </w:rPr>
        <w:t>3.</w:t>
      </w:r>
      <w:r>
        <w:rPr>
          <w:sz w:val="21"/>
        </w:rPr>
        <w:t>拆除清单</w:t>
      </w:r>
    </w:p>
    <w:tbl>
      <w:tblPr>
        <w:tblW w:w="0" w:type="auto"/>
        <w:tblBorders>
          <w:top w:val="none" w:color="000000" w:sz="4"/>
          <w:left w:val="none" w:color="000000" w:sz="4"/>
          <w:bottom w:val="none" w:color="000000" w:sz="4"/>
          <w:right w:val="none" w:color="000000" w:sz="4"/>
          <w:insideH w:val="none"/>
          <w:insideV w:val="none"/>
        </w:tblBorders>
      </w:tblPr>
      <w:tblGrid>
        <w:gridCol w:w="1085"/>
        <w:gridCol w:w="1689"/>
        <w:gridCol w:w="4459"/>
        <w:gridCol w:w="1070"/>
      </w:tblGrid>
      <w:tr>
        <w:tc>
          <w:tcPr>
            <w:tcW w:type="dxa" w:w="10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校区</w:t>
            </w:r>
          </w:p>
        </w:tc>
        <w:tc>
          <w:tcPr>
            <w:tcW w:type="dxa" w:w="16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拆除标的名称</w:t>
            </w:r>
          </w:p>
        </w:tc>
        <w:tc>
          <w:tcPr>
            <w:tcW w:type="dxa" w:w="44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服务要求</w:t>
            </w:r>
          </w:p>
        </w:tc>
        <w:tc>
          <w:tcPr>
            <w:tcW w:type="dxa" w:w="10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r>
      <w:tr>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东校区</w:t>
            </w: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旧上下铁架床</w:t>
            </w:r>
          </w:p>
        </w:tc>
        <w:tc>
          <w:tcPr>
            <w:tcW w:type="dxa" w:w="4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规范拆除、无暴力施工，完整拆卸所有配件，搬运至甲方指定点位有序摆放，配合校方数量清点并验收。</w:t>
            </w:r>
          </w:p>
        </w:tc>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665张</w:t>
            </w:r>
          </w:p>
        </w:tc>
      </w:tr>
      <w:tr>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东校区</w:t>
            </w: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旧学生桌</w:t>
            </w:r>
          </w:p>
        </w:tc>
        <w:tc>
          <w:tcPr>
            <w:tcW w:type="dxa" w:w="4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完好搬运至</w:t>
            </w:r>
            <w:r>
              <w:rPr>
                <w:sz w:val="21"/>
              </w:rPr>
              <w:t>甲方</w:t>
            </w:r>
            <w:r>
              <w:rPr>
                <w:sz w:val="21"/>
              </w:rPr>
              <w:t>指定点位有序摆放，配合校方数量清点并验收。</w:t>
            </w:r>
          </w:p>
        </w:tc>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1110张</w:t>
            </w:r>
          </w:p>
        </w:tc>
      </w:tr>
      <w:tr>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东校区</w:t>
            </w: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旧学生椅</w:t>
            </w:r>
          </w:p>
        </w:tc>
        <w:tc>
          <w:tcPr>
            <w:tcW w:type="dxa" w:w="4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完好搬运至甲方指定点位有序摆放，配合校方数量清点并验收。</w:t>
            </w:r>
          </w:p>
        </w:tc>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840张</w:t>
            </w:r>
          </w:p>
        </w:tc>
      </w:tr>
      <w:tr>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东校区</w:t>
            </w: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旧行李架（柜）</w:t>
            </w:r>
          </w:p>
        </w:tc>
        <w:tc>
          <w:tcPr>
            <w:tcW w:type="dxa" w:w="4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规范拆除、无暴力施工，完整拆卸所有配件，搬运至甲方指定点位有序摆放，配合校方数量清点并验收。</w:t>
            </w:r>
          </w:p>
        </w:tc>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320个</w:t>
            </w:r>
          </w:p>
        </w:tc>
      </w:tr>
    </w:tbl>
    <w:p>
      <w:pPr>
        <w:pStyle w:val="null3"/>
        <w:ind w:firstLine="420"/>
      </w:pPr>
      <w:r>
        <w:rPr>
          <w:sz w:val="21"/>
        </w:rPr>
        <w:t>3.1</w:t>
      </w:r>
      <w:r>
        <w:rPr>
          <w:sz w:val="21"/>
        </w:rPr>
        <w:t>拆除通用要求：</w:t>
      </w:r>
      <w:r>
        <w:rPr>
          <w:sz w:val="21"/>
        </w:rPr>
        <w:t>拆除全过程禁止暴力拆解，保护原有建筑墙体、地面、门窗、水电设施；所有旧家具及配件分类、整齐、有序堆放，全程配合</w:t>
      </w:r>
      <w:r>
        <w:rPr>
          <w:sz w:val="21"/>
        </w:rPr>
        <w:t>甲方</w:t>
      </w:r>
      <w:r>
        <w:rPr>
          <w:sz w:val="21"/>
        </w:rPr>
        <w:t>清点核对，完工后清理施工垃圾及场地杂物。</w:t>
      </w:r>
    </w:p>
    <w:p>
      <w:pPr>
        <w:pStyle w:val="null3"/>
      </w:pPr>
      <w:r>
        <w:rPr>
          <w:sz w:val="21"/>
          <w:b/>
        </w:rPr>
        <w:t>二、合同金额</w:t>
      </w:r>
    </w:p>
    <w:p>
      <w:pPr>
        <w:pStyle w:val="null3"/>
        <w:ind w:firstLine="420"/>
      </w:pPr>
      <w:r>
        <w:rPr>
          <w:sz w:val="21"/>
        </w:rPr>
        <w:t>合同金额为（大写）：</w:t>
      </w:r>
      <w:r>
        <w:rPr>
          <w:sz w:val="21"/>
        </w:rPr>
        <w:t>_________________元（¥_______________元）人民币。</w:t>
      </w:r>
    </w:p>
    <w:p>
      <w:pPr>
        <w:pStyle w:val="null3"/>
      </w:pPr>
      <w:r>
        <w:rPr>
          <w:sz w:val="21"/>
          <w:b/>
        </w:rPr>
        <w:t>三、货物设备要求</w:t>
      </w:r>
    </w:p>
    <w:p>
      <w:pPr>
        <w:pStyle w:val="null3"/>
        <w:ind w:firstLine="420"/>
      </w:pPr>
      <w:r>
        <w:rPr>
          <w:sz w:val="21"/>
        </w:rPr>
        <w:t>1.</w:t>
      </w:r>
      <w:r>
        <w:rPr>
          <w:sz w:val="21"/>
        </w:rPr>
        <w:t>乙方</w:t>
      </w:r>
      <w:r>
        <w:rPr>
          <w:sz w:val="21"/>
        </w:rPr>
        <w:t>提供的货物须是全新产品、表面无划损、破损、无任何缺陷及隐患，须具备出厂合格证，且进货渠道合法，在中国境内可依常规安全合法使用。</w:t>
      </w:r>
    </w:p>
    <w:p>
      <w:pPr>
        <w:pStyle w:val="null3"/>
        <w:ind w:firstLine="420"/>
      </w:pPr>
      <w:r>
        <w:rPr>
          <w:sz w:val="21"/>
        </w:rPr>
        <w:t>2.交付验收标准依次为照适用标准为：</w:t>
      </w:r>
    </w:p>
    <w:p>
      <w:pPr>
        <w:pStyle w:val="null3"/>
        <w:ind w:firstLine="420"/>
      </w:pPr>
      <w:r>
        <w:rPr>
          <w:sz w:val="21"/>
        </w:rPr>
        <w:t>（</w:t>
      </w:r>
      <w:r>
        <w:rPr>
          <w:sz w:val="21"/>
        </w:rPr>
        <w:t>1）符合中华人民共和国国家安全质量标准、环保标准或行业标准；</w:t>
      </w:r>
    </w:p>
    <w:p>
      <w:pPr>
        <w:pStyle w:val="null3"/>
        <w:ind w:firstLine="420"/>
      </w:pPr>
      <w:r>
        <w:rPr>
          <w:sz w:val="21"/>
        </w:rPr>
        <w:t>（</w:t>
      </w:r>
      <w:r>
        <w:rPr>
          <w:sz w:val="21"/>
        </w:rPr>
        <w:t>2）符合</w:t>
      </w:r>
      <w:r>
        <w:rPr>
          <w:sz w:val="21"/>
        </w:rPr>
        <w:t>招标</w:t>
      </w:r>
      <w:r>
        <w:rPr>
          <w:sz w:val="21"/>
        </w:rPr>
        <w:t>文件和响应承诺中</w:t>
      </w:r>
      <w:r>
        <w:rPr>
          <w:sz w:val="21"/>
        </w:rPr>
        <w:t>甲方</w:t>
      </w:r>
      <w:r>
        <w:rPr>
          <w:sz w:val="21"/>
        </w:rPr>
        <w:t>认可的合理最佳配置、参数及各项要求；</w:t>
      </w:r>
    </w:p>
    <w:p>
      <w:pPr>
        <w:pStyle w:val="null3"/>
        <w:ind w:firstLine="420"/>
      </w:pPr>
      <w:r>
        <w:rPr>
          <w:sz w:val="21"/>
        </w:rPr>
        <w:t>（</w:t>
      </w:r>
      <w:r>
        <w:rPr>
          <w:sz w:val="21"/>
        </w:rPr>
        <w:t>3）货物来源国官方标准。</w:t>
      </w:r>
    </w:p>
    <w:p>
      <w:pPr>
        <w:pStyle w:val="null3"/>
        <w:ind w:firstLine="420"/>
      </w:pPr>
      <w:r>
        <w:rPr>
          <w:sz w:val="21"/>
        </w:rPr>
        <w:t>3.</w:t>
      </w:r>
      <w:r>
        <w:rPr>
          <w:sz w:val="21"/>
        </w:rPr>
        <w:t>乙方</w:t>
      </w:r>
      <w:r>
        <w:rPr>
          <w:sz w:val="21"/>
        </w:rPr>
        <w:t>提供的货物应达到以下技术指标和参数要求：按</w:t>
      </w:r>
      <w:r>
        <w:rPr>
          <w:sz w:val="21"/>
        </w:rPr>
        <w:t>招标</w:t>
      </w:r>
      <w:r>
        <w:rPr>
          <w:sz w:val="21"/>
        </w:rPr>
        <w:t>文件中作出的承诺及本合同附表中各设备的具体技术性能参数的要求。</w:t>
      </w:r>
    </w:p>
    <w:p>
      <w:pPr>
        <w:pStyle w:val="null3"/>
        <w:ind w:firstLine="420"/>
      </w:pPr>
      <w:r>
        <w:rPr>
          <w:sz w:val="21"/>
        </w:rPr>
        <w:t>4.货物为未启封全新包装，具有出厂合格证，序列号、包装箱号与出厂批号一致，并可追索查阅。</w:t>
      </w:r>
    </w:p>
    <w:p>
      <w:pPr>
        <w:pStyle w:val="null3"/>
        <w:ind w:firstLine="420"/>
      </w:pPr>
      <w:r>
        <w:rPr>
          <w:sz w:val="21"/>
          <w:b/>
        </w:rPr>
        <w:t>四、交货期、交货方式及交货地点</w:t>
      </w:r>
    </w:p>
    <w:p>
      <w:pPr>
        <w:pStyle w:val="null3"/>
        <w:ind w:firstLine="420"/>
        <w:jc w:val="both"/>
      </w:pPr>
      <w:r>
        <w:rPr>
          <w:sz w:val="21"/>
        </w:rPr>
        <w:t>1.交货期：</w:t>
      </w:r>
    </w:p>
    <w:tbl>
      <w:tblPr>
        <w:tblW w:w="0" w:type="auto"/>
        <w:tblBorders>
          <w:top w:val="none" w:color="000000" w:sz="4"/>
          <w:left w:val="none" w:color="000000" w:sz="4"/>
          <w:bottom w:val="none" w:color="000000" w:sz="4"/>
          <w:right w:val="none" w:color="000000" w:sz="4"/>
          <w:insideH w:val="none"/>
          <w:insideV w:val="none"/>
        </w:tblBorders>
      </w:tblPr>
      <w:tblGrid>
        <w:gridCol w:w="985"/>
        <w:gridCol w:w="4571"/>
        <w:gridCol w:w="823"/>
        <w:gridCol w:w="1896"/>
      </w:tblGrid>
      <w:tr>
        <w:tc>
          <w:tcPr>
            <w:tcW w:type="dxa" w:w="9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批次</w:t>
            </w:r>
          </w:p>
        </w:tc>
        <w:tc>
          <w:tcPr>
            <w:tcW w:type="dxa" w:w="45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设备名称</w:t>
            </w:r>
          </w:p>
        </w:tc>
        <w:tc>
          <w:tcPr>
            <w:tcW w:type="dxa" w:w="8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8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交付日期</w:t>
            </w:r>
          </w:p>
        </w:tc>
      </w:tr>
      <w:tr>
        <w:tc>
          <w:tcPr>
            <w:tcW w:type="dxa" w:w="9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第一批</w:t>
            </w:r>
          </w:p>
        </w:tc>
        <w:tc>
          <w:tcPr>
            <w:tcW w:type="dxa" w:w="4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单人位公寓组合床（上床下桌）（白云校区、东校区）</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76套</w:t>
            </w:r>
          </w:p>
        </w:tc>
        <w:tc>
          <w:tcPr>
            <w:tcW w:type="dxa" w:w="18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2027年1月</w:t>
            </w:r>
          </w:p>
        </w:tc>
      </w:tr>
      <w:tr>
        <w:tc>
          <w:tcPr>
            <w:tcW w:type="dxa" w:w="985"/>
            <w:vMerge/>
            <w:tcBorders>
              <w:top w:val="none" w:color="000000" w:sz="4"/>
              <w:left w:val="single" w:color="000000" w:sz="4"/>
              <w:bottom w:val="single" w:color="000000" w:sz="4"/>
              <w:right w:val="single" w:color="000000" w:sz="4"/>
            </w:tcBorders>
          </w:tcPr>
          <w:p/>
        </w:tc>
        <w:tc>
          <w:tcPr>
            <w:tcW w:type="dxa" w:w="4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二连体</w:t>
            </w:r>
            <w:r>
              <w:rPr>
                <w:sz w:val="21"/>
              </w:rPr>
              <w:t>三人位组合床</w:t>
            </w:r>
            <w:r>
              <w:rPr>
                <w:sz w:val="21"/>
              </w:rPr>
              <w:t>（</w:t>
            </w:r>
            <w:r>
              <w:rPr>
                <w:sz w:val="21"/>
              </w:rPr>
              <w:t>东校区）</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80套</w:t>
            </w:r>
          </w:p>
        </w:tc>
        <w:tc>
          <w:tcPr>
            <w:tcW w:type="dxa" w:w="1896"/>
            <w:vMerge/>
            <w:tcBorders>
              <w:top w:val="none" w:color="000000" w:sz="4"/>
              <w:left w:val="single" w:color="000000" w:sz="4"/>
              <w:bottom w:val="single" w:color="000000" w:sz="4"/>
              <w:right w:val="single" w:color="000000" w:sz="4"/>
            </w:tcBorders>
          </w:tcPr>
          <w:p/>
        </w:tc>
      </w:tr>
      <w:tr>
        <w:tc>
          <w:tcPr>
            <w:tcW w:type="dxa" w:w="985"/>
            <w:vMerge/>
            <w:tcBorders>
              <w:top w:val="none" w:color="000000" w:sz="4"/>
              <w:left w:val="single" w:color="000000" w:sz="4"/>
              <w:bottom w:val="single" w:color="000000" w:sz="4"/>
              <w:right w:val="single" w:color="000000" w:sz="4"/>
            </w:tcBorders>
          </w:tcPr>
          <w:p/>
        </w:tc>
        <w:tc>
          <w:tcPr>
            <w:tcW w:type="dxa" w:w="4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学生椅</w:t>
            </w:r>
            <w:r>
              <w:rPr>
                <w:sz w:val="21"/>
              </w:rPr>
              <w:t>（</w:t>
            </w:r>
            <w:r>
              <w:rPr>
                <w:sz w:val="21"/>
              </w:rPr>
              <w:t>东校区）</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264张</w:t>
            </w:r>
          </w:p>
        </w:tc>
        <w:tc>
          <w:tcPr>
            <w:tcW w:type="dxa" w:w="1896"/>
            <w:vMerge/>
            <w:tcBorders>
              <w:top w:val="none" w:color="000000" w:sz="4"/>
              <w:left w:val="single" w:color="000000" w:sz="4"/>
              <w:bottom w:val="single" w:color="000000" w:sz="4"/>
              <w:right w:val="single" w:color="000000" w:sz="4"/>
            </w:tcBorders>
          </w:tcPr>
          <w:p/>
        </w:tc>
      </w:tr>
      <w:tr>
        <w:tc>
          <w:tcPr>
            <w:tcW w:type="dxa" w:w="9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第二批</w:t>
            </w:r>
          </w:p>
        </w:tc>
        <w:tc>
          <w:tcPr>
            <w:tcW w:type="dxa" w:w="4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单人位公寓组合床（上床下桌）</w:t>
            </w:r>
            <w:r>
              <w:rPr>
                <w:sz w:val="21"/>
              </w:rPr>
              <w:t>（</w:t>
            </w:r>
            <w:r>
              <w:rPr>
                <w:sz w:val="21"/>
              </w:rPr>
              <w:t>东校区）</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266套</w:t>
            </w:r>
          </w:p>
        </w:tc>
        <w:tc>
          <w:tcPr>
            <w:tcW w:type="dxa" w:w="18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2027年8月</w:t>
            </w:r>
          </w:p>
        </w:tc>
      </w:tr>
      <w:tr>
        <w:tc>
          <w:tcPr>
            <w:tcW w:type="dxa" w:w="985"/>
            <w:vMerge/>
            <w:tcBorders>
              <w:top w:val="none" w:color="000000" w:sz="4"/>
              <w:left w:val="single" w:color="000000" w:sz="4"/>
              <w:bottom w:val="single" w:color="000000" w:sz="4"/>
              <w:right w:val="single" w:color="000000" w:sz="4"/>
            </w:tcBorders>
          </w:tcPr>
          <w:p/>
        </w:tc>
        <w:tc>
          <w:tcPr>
            <w:tcW w:type="dxa" w:w="4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二连体</w:t>
            </w:r>
            <w:r>
              <w:rPr>
                <w:sz w:val="21"/>
              </w:rPr>
              <w:t>三人位组合床</w:t>
            </w:r>
            <w:r>
              <w:rPr>
                <w:sz w:val="21"/>
              </w:rPr>
              <w:t>（</w:t>
            </w:r>
            <w:r>
              <w:rPr>
                <w:sz w:val="21"/>
              </w:rPr>
              <w:t>东校区）</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170套</w:t>
            </w:r>
          </w:p>
        </w:tc>
        <w:tc>
          <w:tcPr>
            <w:tcW w:type="dxa" w:w="1896"/>
            <w:vMerge/>
            <w:tcBorders>
              <w:top w:val="none" w:color="000000" w:sz="4"/>
              <w:left w:val="single" w:color="000000" w:sz="4"/>
              <w:bottom w:val="single" w:color="000000" w:sz="4"/>
              <w:right w:val="single" w:color="000000" w:sz="4"/>
            </w:tcBorders>
          </w:tcPr>
          <w:p/>
        </w:tc>
      </w:tr>
      <w:tr>
        <w:tc>
          <w:tcPr>
            <w:tcW w:type="dxa" w:w="985"/>
            <w:vMerge/>
            <w:tcBorders>
              <w:top w:val="none" w:color="000000" w:sz="4"/>
              <w:left w:val="single" w:color="000000" w:sz="4"/>
              <w:bottom w:val="single" w:color="000000" w:sz="4"/>
              <w:right w:val="single" w:color="000000" w:sz="4"/>
            </w:tcBorders>
          </w:tcPr>
          <w:p/>
        </w:tc>
        <w:tc>
          <w:tcPr>
            <w:tcW w:type="dxa" w:w="4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学生椅</w:t>
            </w:r>
            <w:r>
              <w:rPr>
                <w:sz w:val="21"/>
              </w:rPr>
              <w:t>（</w:t>
            </w:r>
            <w:r>
              <w:rPr>
                <w:sz w:val="21"/>
              </w:rPr>
              <w:t>东校区）</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576张</w:t>
            </w:r>
          </w:p>
        </w:tc>
        <w:tc>
          <w:tcPr>
            <w:tcW w:type="dxa" w:w="1896"/>
            <w:vMerge/>
            <w:tcBorders>
              <w:top w:val="none" w:color="000000" w:sz="4"/>
              <w:left w:val="single" w:color="000000" w:sz="4"/>
              <w:bottom w:val="single" w:color="000000" w:sz="4"/>
              <w:right w:val="single" w:color="000000" w:sz="4"/>
            </w:tcBorders>
          </w:tcPr>
          <w:p/>
        </w:tc>
      </w:tr>
    </w:tbl>
    <w:p>
      <w:pPr>
        <w:pStyle w:val="null3"/>
        <w:ind w:firstLine="420"/>
        <w:jc w:val="both"/>
      </w:pPr>
      <w:r>
        <w:rPr>
          <w:sz w:val="21"/>
        </w:rPr>
        <w:t>注：供货总数不变，但以上各批次供货数量安排仅为预估，各批次实际供货数量以甲方通知为准。</w:t>
      </w:r>
    </w:p>
    <w:p>
      <w:pPr>
        <w:pStyle w:val="null3"/>
        <w:ind w:firstLine="420"/>
        <w:jc w:val="both"/>
      </w:pPr>
      <w:r>
        <w:rPr>
          <w:sz w:val="21"/>
        </w:rPr>
        <w:t>2</w:t>
      </w:r>
      <w:r>
        <w:rPr>
          <w:sz w:val="21"/>
        </w:rPr>
        <w:t>.交货地点：东校区（广州市天河区中山大道西293号）；白云校区（广州市白云区江高镇环镇西路155号）。</w:t>
      </w:r>
    </w:p>
    <w:p>
      <w:pPr>
        <w:pStyle w:val="null3"/>
        <w:ind w:firstLine="420"/>
        <w:jc w:val="both"/>
      </w:pPr>
      <w:r>
        <w:rPr>
          <w:sz w:val="21"/>
        </w:rPr>
        <w:t>3</w:t>
      </w:r>
      <w:r>
        <w:rPr>
          <w:sz w:val="21"/>
        </w:rPr>
        <w:t>.乙方负责将货物运输至上述约定的交货地点并交付予甲方。乙方承担因运输货物所发生的一切费用，包括但不限于包装费、运输费、保险费、装卸费等。</w:t>
      </w:r>
    </w:p>
    <w:p>
      <w:pPr>
        <w:pStyle w:val="null3"/>
        <w:ind w:firstLine="420"/>
        <w:jc w:val="both"/>
      </w:pPr>
      <w:r>
        <w:rPr>
          <w:sz w:val="21"/>
        </w:rPr>
        <w:t>4</w:t>
      </w:r>
      <w:r>
        <w:rPr>
          <w:sz w:val="21"/>
        </w:rPr>
        <w:t>.乙方应保证货物包装符合运输要求，足以保护货物在运输过程中不受锈蚀、损坏或灭失。</w:t>
      </w:r>
    </w:p>
    <w:p>
      <w:pPr>
        <w:pStyle w:val="null3"/>
        <w:ind w:firstLine="420"/>
        <w:jc w:val="both"/>
      </w:pPr>
      <w:r>
        <w:rPr>
          <w:sz w:val="21"/>
        </w:rPr>
        <w:t>5</w:t>
      </w:r>
      <w:r>
        <w:rPr>
          <w:sz w:val="21"/>
        </w:rPr>
        <w:t>.乙方应在交货的同时向甲方提供与本合同项下货物相符且完整的技术资料，包括但不限于关键主机设备的用户手册、保修手册、有关单证资料及配备件、随机工具、产地证书、供产地证书、质保证书、仪器使用手册等，具体内容根据项目设备实际情况提供。技术资料须以简体中文书写。</w:t>
      </w:r>
    </w:p>
    <w:p>
      <w:pPr>
        <w:pStyle w:val="null3"/>
      </w:pPr>
      <w:r>
        <w:rPr>
          <w:sz w:val="21"/>
          <w:b/>
        </w:rPr>
        <w:t>五、包装、安装、调试要求</w:t>
      </w:r>
    </w:p>
    <w:p>
      <w:pPr>
        <w:pStyle w:val="null3"/>
        <w:ind w:firstLine="420"/>
      </w:pPr>
      <w:r>
        <w:rPr>
          <w:sz w:val="21"/>
        </w:rPr>
        <w:t>1.</w:t>
      </w:r>
      <w:r>
        <w:rPr>
          <w:sz w:val="21"/>
        </w:rPr>
        <w:t>乙方</w:t>
      </w:r>
      <w:r>
        <w:rPr>
          <w:sz w:val="21"/>
        </w:rPr>
        <w:t>须依照招标文件的要求和报价文件的承诺，将设备或系统安装并调试至正常运行的最佳状态。</w:t>
      </w:r>
    </w:p>
    <w:p>
      <w:pPr>
        <w:pStyle w:val="null3"/>
        <w:ind w:firstLine="420"/>
      </w:pPr>
      <w:r>
        <w:rPr>
          <w:sz w:val="21"/>
        </w:rPr>
        <w:t>2.</w:t>
      </w:r>
      <w:r>
        <w:rPr>
          <w:sz w:val="21"/>
        </w:rPr>
        <w:t>乙方</w:t>
      </w:r>
      <w:r>
        <w:rPr>
          <w:sz w:val="21"/>
        </w:rPr>
        <w:t>在安装调试过程中造成自身或他人的人身财产损害的，由</w:t>
      </w:r>
      <w:r>
        <w:rPr>
          <w:sz w:val="21"/>
        </w:rPr>
        <w:t>乙方</w:t>
      </w:r>
      <w:r>
        <w:rPr>
          <w:sz w:val="21"/>
        </w:rPr>
        <w:t>承担全部责任。</w:t>
      </w:r>
    </w:p>
    <w:p>
      <w:pPr>
        <w:pStyle w:val="null3"/>
        <w:ind w:firstLine="420"/>
      </w:pPr>
      <w:r>
        <w:rPr>
          <w:sz w:val="21"/>
        </w:rPr>
        <w:t>3.</w:t>
      </w:r>
      <w:r>
        <w:rPr>
          <w:sz w:val="21"/>
        </w:rPr>
        <w:t>乙方</w:t>
      </w:r>
      <w:r>
        <w:rPr>
          <w:sz w:val="21"/>
        </w:rPr>
        <w:t>提供安装调试服务的人员应具备相应的资质，如因缺乏资质导致发生事故或损害的，</w:t>
      </w:r>
      <w:r>
        <w:rPr>
          <w:sz w:val="21"/>
        </w:rPr>
        <w:t>乙方</w:t>
      </w:r>
      <w:r>
        <w:rPr>
          <w:sz w:val="21"/>
        </w:rPr>
        <w:t>承担全部责任。</w:t>
      </w:r>
    </w:p>
    <w:p>
      <w:pPr>
        <w:pStyle w:val="null3"/>
        <w:ind w:firstLine="420"/>
      </w:pPr>
      <w:r>
        <w:rPr>
          <w:sz w:val="21"/>
        </w:rPr>
        <w:t>4.项目所有安装尺寸需以</w:t>
      </w:r>
      <w:r>
        <w:rPr>
          <w:sz w:val="21"/>
        </w:rPr>
        <w:t>乙方</w:t>
      </w:r>
      <w:r>
        <w:rPr>
          <w:sz w:val="21"/>
        </w:rPr>
        <w:t>现场复核、校方最终确认数据为准。</w:t>
      </w:r>
    </w:p>
    <w:p>
      <w:pPr>
        <w:pStyle w:val="null3"/>
        <w:ind w:firstLine="420"/>
      </w:pPr>
      <w:r>
        <w:rPr>
          <w:sz w:val="21"/>
        </w:rPr>
        <w:t>5.</w:t>
      </w:r>
      <w:r>
        <w:rPr>
          <w:sz w:val="21"/>
        </w:rPr>
        <w:t>乙方</w:t>
      </w:r>
      <w:r>
        <w:rPr>
          <w:sz w:val="21"/>
        </w:rPr>
        <w:t>可结合校区场地实际条件，灵活采用云梯等专业设备开展搬运安装作业，规范拆除、搬运、安装全流程安全生产作业，严禁高空抛物。</w:t>
      </w:r>
    </w:p>
    <w:p>
      <w:pPr>
        <w:pStyle w:val="null3"/>
        <w:ind w:firstLine="420"/>
        <w:jc w:val="both"/>
      </w:pPr>
      <w:r>
        <w:rPr>
          <w:sz w:val="21"/>
        </w:rPr>
        <w:t>6.保险服务:</w:t>
      </w:r>
      <w:r>
        <w:rPr>
          <w:sz w:val="21"/>
        </w:rPr>
        <w:t>乙方</w:t>
      </w:r>
      <w:r>
        <w:rPr>
          <w:sz w:val="21"/>
        </w:rPr>
        <w:t>须为其派遣的所有搬运、安装、维保人员购买人身意外伤害保险及意外伤害医疗保险，保险责任覆盖项目全周期</w:t>
      </w:r>
      <w:r>
        <w:rPr>
          <w:sz w:val="21"/>
        </w:rPr>
        <w:t>。</w:t>
      </w:r>
      <w:r>
        <w:rPr>
          <w:sz w:val="21"/>
        </w:rPr>
        <w:t>乙方</w:t>
      </w:r>
      <w:r>
        <w:rPr>
          <w:sz w:val="21"/>
        </w:rPr>
        <w:t>应在进场前向</w:t>
      </w:r>
      <w:r>
        <w:rPr>
          <w:sz w:val="21"/>
        </w:rPr>
        <w:t>甲方</w:t>
      </w:r>
      <w:r>
        <w:rPr>
          <w:sz w:val="21"/>
        </w:rPr>
        <w:t>提交保险凭证，未按要求投保的人员不得进场作业。项目实施过程中发生的任何人身伤亡、财产损失等安全事故，全部责任及费用由</w:t>
      </w:r>
      <w:r>
        <w:rPr>
          <w:sz w:val="21"/>
        </w:rPr>
        <w:t>乙方</w:t>
      </w:r>
      <w:r>
        <w:rPr>
          <w:sz w:val="21"/>
        </w:rPr>
        <w:t>独立承担，</w:t>
      </w:r>
      <w:r>
        <w:rPr>
          <w:sz w:val="21"/>
        </w:rPr>
        <w:t>甲方</w:t>
      </w:r>
      <w:r>
        <w:rPr>
          <w:sz w:val="21"/>
        </w:rPr>
        <w:t>不承担任何连带责任。相关费用包含在合同总价中，由</w:t>
      </w:r>
      <w:r>
        <w:rPr>
          <w:sz w:val="21"/>
        </w:rPr>
        <w:t>乙方</w:t>
      </w:r>
      <w:r>
        <w:rPr>
          <w:sz w:val="21"/>
        </w:rPr>
        <w:t>支付。</w:t>
      </w:r>
    </w:p>
    <w:p>
      <w:pPr>
        <w:pStyle w:val="null3"/>
      </w:pPr>
      <w:r>
        <w:rPr>
          <w:sz w:val="21"/>
          <w:b/>
        </w:rPr>
        <w:t>六、甲方付款方式与履约保证金</w:t>
      </w:r>
    </w:p>
    <w:p>
      <w:pPr>
        <w:pStyle w:val="null3"/>
        <w:ind w:firstLine="420"/>
        <w:jc w:val="left"/>
      </w:pPr>
      <w:r>
        <w:rPr>
          <w:sz w:val="21"/>
        </w:rPr>
        <w:t>（一）乙方须按甲方要求以乙方的名义开立一个由甲方、乙方及银行三方监管的账户，同时甲方、乙方与银行签订三方监管协议。签订合同且三方监管账户、监管协议落地后</w:t>
      </w:r>
      <w:r>
        <w:rPr>
          <w:sz w:val="21"/>
        </w:rPr>
        <w:t>5个工作日内，甲方将100%合同款支付至三方监管账户。三方监管账户合同款按以下实际情形选择使用：</w:t>
      </w:r>
    </w:p>
    <w:p>
      <w:pPr>
        <w:pStyle w:val="null3"/>
        <w:ind w:firstLine="422"/>
        <w:jc w:val="left"/>
      </w:pPr>
      <w:r>
        <w:rPr>
          <w:sz w:val="21"/>
          <w:b/>
        </w:rPr>
        <w:t>1.若乙方为中小企业（根据乙方在投标文件中提供的中小企业声明函为准）：</w:t>
      </w:r>
    </w:p>
    <w:p>
      <w:pPr>
        <w:pStyle w:val="null3"/>
        <w:ind w:firstLine="420"/>
        <w:jc w:val="left"/>
      </w:pPr>
      <w:r>
        <w:rPr>
          <w:sz w:val="21"/>
        </w:rPr>
        <w:t>（</w:t>
      </w:r>
      <w:r>
        <w:rPr>
          <w:sz w:val="21"/>
        </w:rPr>
        <w:t>1）由乙方提出申请且开具等额增值税专用发票后，甲方在收到发票后的5个工作日内审核同意乙方从三方监管账户转出合同总金额的30%作为预付款。</w:t>
      </w:r>
    </w:p>
    <w:p>
      <w:pPr>
        <w:pStyle w:val="null3"/>
        <w:ind w:firstLine="420"/>
        <w:jc w:val="left"/>
      </w:pPr>
      <w:r>
        <w:rPr>
          <w:sz w:val="21"/>
        </w:rPr>
        <w:t>（</w:t>
      </w:r>
      <w:r>
        <w:rPr>
          <w:sz w:val="21"/>
        </w:rPr>
        <w:t>2）乙方按合同约定完成第一批次供货安装调试及验收合格后，且第一批次总货款＞预付款时，经甲方认可，乙方按甲方要求提出付款申请且开具等额增值税专用发票，甲方收到发票后的10个工作日内审核同意乙方转出三方监管账户的第一批次的剩余货款（即第一批次总货款-预付款）。</w:t>
      </w:r>
    </w:p>
    <w:p>
      <w:pPr>
        <w:pStyle w:val="null3"/>
        <w:ind w:firstLine="420"/>
        <w:jc w:val="left"/>
      </w:pPr>
      <w:r>
        <w:rPr>
          <w:sz w:val="21"/>
        </w:rPr>
        <w:t>（</w:t>
      </w:r>
      <w:r>
        <w:rPr>
          <w:sz w:val="21"/>
        </w:rPr>
        <w:t>3）乙方按合同约定完成第二批次供货安装调试及验收合格后，经甲方认可，乙方按甲方要求提出付款申请且开具等额增值税专用发票，甲方收到发票后的10个工作日内审核同意乙方转出三方监管账户的剩余全部资金。</w:t>
      </w:r>
    </w:p>
    <w:p>
      <w:pPr>
        <w:pStyle w:val="null3"/>
        <w:ind w:firstLine="422"/>
        <w:jc w:val="left"/>
      </w:pPr>
      <w:r>
        <w:rPr>
          <w:sz w:val="21"/>
          <w:b/>
        </w:rPr>
        <w:t>2.若乙方为非中小企业：</w:t>
      </w:r>
    </w:p>
    <w:p>
      <w:pPr>
        <w:pStyle w:val="null3"/>
        <w:ind w:firstLine="420"/>
        <w:jc w:val="left"/>
      </w:pPr>
      <w:r>
        <w:rPr>
          <w:sz w:val="21"/>
        </w:rPr>
        <w:t>（</w:t>
      </w:r>
      <w:r>
        <w:rPr>
          <w:sz w:val="21"/>
        </w:rPr>
        <w:t>1）乙方按合同约定完成第一批次供货安装调试及验收合格后，经甲方认可，乙方按甲方要求提出付款申请且开具等额增值税专用发票，甲方收到发票后的10个工作日内审核同意乙方转出三方监管账户的第一批次的供货的总货款。</w:t>
      </w:r>
    </w:p>
    <w:p>
      <w:pPr>
        <w:pStyle w:val="null3"/>
        <w:ind w:firstLine="420"/>
      </w:pPr>
      <w:r>
        <w:rPr>
          <w:sz w:val="21"/>
        </w:rPr>
        <w:t>（</w:t>
      </w:r>
      <w:r>
        <w:rPr>
          <w:sz w:val="21"/>
        </w:rPr>
        <w:t>2）乙方按合同约定完成第二批次供货安装调试及验收合格后，经甲方认可，乙方按甲方要求提出付款申请且开具等额增值税专用发票，甲方收到发票后的10个工作日内审核同意乙方转出三方监管账户的剩余全部资金</w:t>
      </w:r>
      <w:r>
        <w:rPr>
          <w:sz w:val="21"/>
        </w:rPr>
        <w:t>。</w:t>
      </w:r>
    </w:p>
    <w:p>
      <w:pPr>
        <w:pStyle w:val="null3"/>
        <w:ind w:firstLine="420"/>
      </w:pPr>
      <w:r>
        <w:rPr>
          <w:sz w:val="21"/>
        </w:rPr>
        <w:t>（二）履约保证金</w:t>
      </w:r>
      <w:r>
        <w:rPr>
          <w:sz w:val="21"/>
        </w:rPr>
        <w:t>交纳比例：</w:t>
      </w:r>
      <w:r>
        <w:rPr>
          <w:sz w:val="21"/>
        </w:rPr>
        <w:t>合同签订</w:t>
      </w:r>
      <w:r>
        <w:rPr>
          <w:sz w:val="21"/>
        </w:rPr>
        <w:t>5个工作日内，</w:t>
      </w:r>
      <w:r>
        <w:rPr>
          <w:sz w:val="21"/>
        </w:rPr>
        <w:t>乙方</w:t>
      </w:r>
      <w:r>
        <w:rPr>
          <w:sz w:val="21"/>
        </w:rPr>
        <w:t>向</w:t>
      </w:r>
      <w:r>
        <w:rPr>
          <w:sz w:val="21"/>
        </w:rPr>
        <w:t>甲方</w:t>
      </w:r>
      <w:r>
        <w:rPr>
          <w:sz w:val="21"/>
        </w:rPr>
        <w:t>支付合同金额的</w:t>
      </w:r>
      <w:r>
        <w:rPr>
          <w:sz w:val="21"/>
        </w:rPr>
        <w:t>5%作为履约保证金，允许以非现金（包括支票、汇票、本票、保函等）形式。项目验收合格后，由</w:t>
      </w:r>
      <w:r>
        <w:rPr>
          <w:sz w:val="21"/>
        </w:rPr>
        <w:t>乙方</w:t>
      </w:r>
      <w:r>
        <w:rPr>
          <w:sz w:val="21"/>
        </w:rPr>
        <w:t>提出申请，凭</w:t>
      </w:r>
      <w:r>
        <w:rPr>
          <w:sz w:val="21"/>
        </w:rPr>
        <w:t>甲方</w:t>
      </w:r>
      <w:r>
        <w:rPr>
          <w:sz w:val="21"/>
        </w:rPr>
        <w:t>用户出具的无质量及违约问题的证明及履约保证金收据，</w:t>
      </w:r>
      <w:r>
        <w:rPr>
          <w:sz w:val="21"/>
        </w:rPr>
        <w:t>甲方</w:t>
      </w:r>
      <w:r>
        <w:rPr>
          <w:sz w:val="21"/>
        </w:rPr>
        <w:t>在</w:t>
      </w:r>
      <w:r>
        <w:rPr>
          <w:sz w:val="21"/>
        </w:rPr>
        <w:t>15个工作日内无息退还给</w:t>
      </w:r>
      <w:r>
        <w:rPr>
          <w:sz w:val="21"/>
        </w:rPr>
        <w:t>乙方</w:t>
      </w:r>
      <w:r>
        <w:rPr>
          <w:sz w:val="21"/>
        </w:rPr>
        <w:t>。如在合同履约过程中发生履约保证金扣减行为，</w:t>
      </w:r>
      <w:r>
        <w:rPr>
          <w:sz w:val="21"/>
        </w:rPr>
        <w:t>乙方</w:t>
      </w:r>
      <w:r>
        <w:rPr>
          <w:sz w:val="21"/>
        </w:rPr>
        <w:t>须自扣减之日起</w:t>
      </w:r>
      <w:r>
        <w:rPr>
          <w:sz w:val="21"/>
        </w:rPr>
        <w:t>3个工作日内将履约保证金补足至合同总金额5%。如</w:t>
      </w:r>
      <w:r>
        <w:rPr>
          <w:sz w:val="21"/>
        </w:rPr>
        <w:t>乙方</w:t>
      </w:r>
      <w:r>
        <w:rPr>
          <w:sz w:val="21"/>
        </w:rPr>
        <w:t>提供履约保函的，货物在履约保函有效期内未能完成验收，</w:t>
      </w:r>
      <w:r>
        <w:rPr>
          <w:sz w:val="21"/>
        </w:rPr>
        <w:t>乙方</w:t>
      </w:r>
      <w:r>
        <w:rPr>
          <w:sz w:val="21"/>
        </w:rPr>
        <w:t>应当在有效期届满前</w:t>
      </w:r>
      <w:r>
        <w:rPr>
          <w:sz w:val="21"/>
        </w:rPr>
        <w:t>30日内向</w:t>
      </w:r>
      <w:r>
        <w:rPr>
          <w:sz w:val="21"/>
        </w:rPr>
        <w:t>甲方</w:t>
      </w:r>
      <w:r>
        <w:rPr>
          <w:sz w:val="21"/>
        </w:rPr>
        <w:t>提供新的或续期的有效履约保函。如</w:t>
      </w:r>
      <w:r>
        <w:rPr>
          <w:sz w:val="21"/>
        </w:rPr>
        <w:t>乙方</w:t>
      </w:r>
      <w:r>
        <w:rPr>
          <w:sz w:val="21"/>
        </w:rPr>
        <w:t>不按期提供新的履约保函，</w:t>
      </w:r>
      <w:r>
        <w:rPr>
          <w:sz w:val="21"/>
        </w:rPr>
        <w:t>甲方</w:t>
      </w:r>
      <w:r>
        <w:rPr>
          <w:sz w:val="21"/>
        </w:rPr>
        <w:t>有权解除合同并要求</w:t>
      </w:r>
      <w:r>
        <w:rPr>
          <w:sz w:val="21"/>
        </w:rPr>
        <w:t>乙方</w:t>
      </w:r>
      <w:r>
        <w:rPr>
          <w:sz w:val="21"/>
        </w:rPr>
        <w:t>退还合同总金额。</w:t>
      </w:r>
      <w:r>
        <w:rPr>
          <w:sz w:val="21"/>
        </w:rPr>
        <w:t>甲方</w:t>
      </w:r>
      <w:r>
        <w:rPr>
          <w:sz w:val="21"/>
        </w:rPr>
        <w:t>逾期退还履约保证金的，除应当退还履约保证金本金外，还应当每日按收取的履约保证金金额的万分之三向</w:t>
      </w:r>
      <w:r>
        <w:rPr>
          <w:sz w:val="21"/>
        </w:rPr>
        <w:t>乙方</w:t>
      </w:r>
      <w:r>
        <w:rPr>
          <w:sz w:val="21"/>
        </w:rPr>
        <w:t>偿付违约金，违约金总额不超过收取的履约保证金金额，但因合同的履行产生争议</w:t>
      </w:r>
      <w:r>
        <w:rPr>
          <w:sz w:val="21"/>
        </w:rPr>
        <w:t>乙方</w:t>
      </w:r>
      <w:r>
        <w:rPr>
          <w:sz w:val="21"/>
        </w:rPr>
        <w:t>自身原因导致无法及时退还的除外。</w:t>
      </w:r>
    </w:p>
    <w:p>
      <w:pPr>
        <w:pStyle w:val="null3"/>
        <w:ind w:firstLine="420"/>
      </w:pPr>
      <w:r>
        <w:rPr>
          <w:sz w:val="21"/>
        </w:rPr>
        <w:t>（三）</w:t>
      </w:r>
      <w:r>
        <w:rPr>
          <w:sz w:val="21"/>
        </w:rPr>
        <w:t>乙方向甲方开具发票的信息：</w:t>
      </w:r>
    </w:p>
    <w:p>
      <w:pPr>
        <w:pStyle w:val="null3"/>
        <w:ind w:firstLine="420"/>
      </w:pPr>
      <w:r>
        <w:rPr>
          <w:sz w:val="21"/>
        </w:rPr>
        <w:t>单位名称：广东技术师范大学</w:t>
      </w:r>
    </w:p>
    <w:p>
      <w:pPr>
        <w:pStyle w:val="null3"/>
        <w:ind w:firstLine="420"/>
      </w:pPr>
      <w:r>
        <w:rPr>
          <w:sz w:val="21"/>
        </w:rPr>
        <w:t>纳税人识别号：</w:t>
      </w:r>
      <w:r>
        <w:rPr>
          <w:sz w:val="21"/>
        </w:rPr>
        <w:t>124400004558595242</w:t>
      </w:r>
    </w:p>
    <w:p>
      <w:pPr>
        <w:pStyle w:val="null3"/>
        <w:ind w:firstLine="420"/>
      </w:pPr>
      <w:r>
        <w:rPr>
          <w:sz w:val="21"/>
        </w:rPr>
        <w:t>地址：广州市天河区中山大道西</w:t>
      </w:r>
      <w:r>
        <w:rPr>
          <w:sz w:val="21"/>
        </w:rPr>
        <w:t>293号</w:t>
      </w:r>
    </w:p>
    <w:p>
      <w:pPr>
        <w:pStyle w:val="null3"/>
        <w:ind w:firstLine="420"/>
      </w:pPr>
      <w:r>
        <w:rPr>
          <w:sz w:val="21"/>
        </w:rPr>
        <w:t>电话号码：</w:t>
      </w:r>
      <w:r>
        <w:rPr>
          <w:sz w:val="21"/>
        </w:rPr>
        <w:t>020-38265721</w:t>
      </w:r>
    </w:p>
    <w:p>
      <w:pPr>
        <w:pStyle w:val="null3"/>
        <w:ind w:firstLine="420"/>
      </w:pPr>
      <w:r>
        <w:rPr>
          <w:sz w:val="21"/>
        </w:rPr>
        <w:t>纳税账户开户银行：中国建设银行广州天河工业园支行</w:t>
      </w:r>
    </w:p>
    <w:p>
      <w:pPr>
        <w:pStyle w:val="null3"/>
        <w:ind w:firstLine="420"/>
      </w:pPr>
      <w:r>
        <w:rPr>
          <w:sz w:val="21"/>
        </w:rPr>
        <w:t>银行账号：</w:t>
      </w:r>
      <w:r>
        <w:rPr>
          <w:sz w:val="21"/>
        </w:rPr>
        <w:t>44001470513050317023</w:t>
      </w:r>
    </w:p>
    <w:p>
      <w:pPr>
        <w:pStyle w:val="null3"/>
        <w:ind w:firstLine="420"/>
      </w:pPr>
      <w:r>
        <w:rPr>
          <w:sz w:val="21"/>
        </w:rPr>
        <w:t>（四）</w:t>
      </w:r>
      <w:r>
        <w:rPr>
          <w:sz w:val="21"/>
        </w:rPr>
        <w:t>乙方收款账户信息：</w:t>
      </w:r>
    </w:p>
    <w:p>
      <w:pPr>
        <w:pStyle w:val="null3"/>
        <w:ind w:firstLine="420"/>
      </w:pPr>
      <w:r>
        <w:rPr>
          <w:sz w:val="21"/>
        </w:rPr>
        <w:t>账户名称：</w:t>
      </w:r>
      <w:r>
        <w:rPr>
          <w:u w:val="single"/>
        </w:rPr>
        <w:t xml:space="preserve">                      </w:t>
      </w:r>
    </w:p>
    <w:p>
      <w:pPr>
        <w:pStyle w:val="null3"/>
        <w:ind w:firstLine="420"/>
      </w:pPr>
      <w:r>
        <w:rPr>
          <w:sz w:val="21"/>
        </w:rPr>
        <w:t>开户银行：</w:t>
      </w:r>
      <w:r>
        <w:rPr>
          <w:u w:val="single"/>
        </w:rPr>
        <w:t xml:space="preserve">                      </w:t>
      </w:r>
    </w:p>
    <w:p>
      <w:pPr>
        <w:pStyle w:val="null3"/>
        <w:ind w:firstLine="420"/>
      </w:pPr>
      <w:r>
        <w:rPr>
          <w:sz w:val="21"/>
        </w:rPr>
        <w:t>银行账号：</w:t>
      </w:r>
      <w:r>
        <w:rPr>
          <w:u w:val="single"/>
        </w:rPr>
        <w:t xml:space="preserve">                      </w:t>
      </w:r>
    </w:p>
    <w:p>
      <w:pPr>
        <w:pStyle w:val="null3"/>
        <w:ind w:firstLine="422"/>
      </w:pPr>
      <w:r>
        <w:rPr>
          <w:sz w:val="21"/>
          <w:b/>
          <w:u w:val="single"/>
        </w:rPr>
        <w:t>甲方向上述账户汇出款项后，即视为已履行付款义务，在汇款过程中，因乙方账户的原因</w:t>
      </w:r>
      <w:r>
        <w:rPr>
          <w:sz w:val="21"/>
          <w:b/>
          <w:u w:val="single"/>
        </w:rPr>
        <w:t>(包括但不限于账号被注销、被冻结等)导致其无法收取款项的，由乙方承担相应后果。</w:t>
      </w:r>
    </w:p>
    <w:p>
      <w:pPr>
        <w:pStyle w:val="null3"/>
      </w:pPr>
      <w:r>
        <w:rPr>
          <w:sz w:val="21"/>
          <w:b/>
        </w:rPr>
        <w:t>七、质保期及售后服务要求</w:t>
      </w:r>
    </w:p>
    <w:p>
      <w:pPr>
        <w:pStyle w:val="null3"/>
        <w:ind w:firstLine="420"/>
        <w:jc w:val="both"/>
      </w:pPr>
      <w:r>
        <w:rPr>
          <w:sz w:val="21"/>
        </w:rPr>
        <w:t>1.</w:t>
      </w:r>
      <w:r>
        <w:rPr>
          <w:sz w:val="21"/>
        </w:rPr>
        <w:t>项目整体提供至少</w:t>
      </w:r>
      <w:r>
        <w:rPr>
          <w:sz w:val="21"/>
          <w:u w:val="single"/>
        </w:rPr>
        <w:t xml:space="preserve">    </w:t>
      </w:r>
      <w:r>
        <w:rPr>
          <w:sz w:val="21"/>
        </w:rPr>
        <w:t>年</w:t>
      </w:r>
      <w:r>
        <w:rPr>
          <w:sz w:val="21"/>
        </w:rPr>
        <w:t>保修，</w:t>
      </w:r>
      <w:r>
        <w:rPr>
          <w:sz w:val="21"/>
        </w:rPr>
        <w:t>质保期自验收合格之日起计算，保修费用已计入总价。</w:t>
      </w:r>
    </w:p>
    <w:p>
      <w:pPr>
        <w:pStyle w:val="null3"/>
        <w:ind w:firstLine="420"/>
        <w:jc w:val="both"/>
      </w:pPr>
      <w:r>
        <w:rPr>
          <w:sz w:val="21"/>
        </w:rPr>
        <w:t>2.质保期内</w:t>
      </w:r>
      <w:r>
        <w:rPr>
          <w:sz w:val="21"/>
        </w:rPr>
        <w:t>乙方</w:t>
      </w:r>
      <w:r>
        <w:rPr>
          <w:sz w:val="21"/>
        </w:rPr>
        <w:t>对所供货物实行包修、包换、包退及合同约定的其它事项，期满后可同时提供终身有偿维修保养服务</w:t>
      </w:r>
      <w:r>
        <w:rPr>
          <w:sz w:val="21"/>
        </w:rPr>
        <w:t>,且维修只收取零配件成本费用。</w:t>
      </w:r>
    </w:p>
    <w:p>
      <w:pPr>
        <w:pStyle w:val="null3"/>
        <w:ind w:firstLine="420"/>
        <w:jc w:val="both"/>
      </w:pPr>
      <w:r>
        <w:rPr>
          <w:sz w:val="21"/>
        </w:rPr>
        <w:t>3.质保期内，如设备或零部件因质量原因出现故障而造成短期停用时，则质保期和</w:t>
      </w:r>
      <w:r>
        <w:rPr>
          <w:sz w:val="21"/>
        </w:rPr>
        <w:t>无条件</w:t>
      </w:r>
      <w:r>
        <w:rPr>
          <w:sz w:val="21"/>
        </w:rPr>
        <w:t>维修期相应顺延</w:t>
      </w:r>
      <w:r>
        <w:rPr>
          <w:sz w:val="21"/>
        </w:rPr>
        <w:t>（</w:t>
      </w:r>
      <w:r>
        <w:rPr>
          <w:sz w:val="21"/>
        </w:rPr>
        <w:t>费用包含在投标报价中）</w:t>
      </w:r>
      <w:r>
        <w:rPr>
          <w:sz w:val="21"/>
        </w:rPr>
        <w:t>。如停用时间累计超过</w:t>
      </w:r>
      <w:r>
        <w:rPr>
          <w:sz w:val="21"/>
        </w:rPr>
        <w:t>60天则质保期重新计算。</w:t>
      </w:r>
    </w:p>
    <w:p>
      <w:pPr>
        <w:pStyle w:val="null3"/>
        <w:ind w:firstLine="420"/>
        <w:jc w:val="both"/>
      </w:pPr>
      <w:r>
        <w:rPr>
          <w:sz w:val="21"/>
        </w:rPr>
        <w:t>4.对</w:t>
      </w:r>
      <w:r>
        <w:rPr>
          <w:sz w:val="21"/>
        </w:rPr>
        <w:t>甲方</w:t>
      </w:r>
      <w:r>
        <w:rPr>
          <w:sz w:val="21"/>
        </w:rPr>
        <w:t>的服务通知，</w:t>
      </w:r>
      <w:r>
        <w:rPr>
          <w:sz w:val="21"/>
        </w:rPr>
        <w:t>乙方</w:t>
      </w:r>
      <w:r>
        <w:rPr>
          <w:sz w:val="21"/>
        </w:rPr>
        <w:t>在接报后</w:t>
      </w:r>
      <w:r>
        <w:rPr>
          <w:sz w:val="21"/>
        </w:rPr>
        <w:t>1小时内响应，6小时内到达现场，12小时内处理完毕。若在</w:t>
      </w:r>
      <w:r>
        <w:rPr>
          <w:sz w:val="21"/>
        </w:rPr>
        <w:t>2</w:t>
      </w:r>
      <w:r>
        <w:rPr>
          <w:sz w:val="21"/>
        </w:rPr>
        <w:t>4</w:t>
      </w:r>
      <w:r>
        <w:rPr>
          <w:sz w:val="21"/>
        </w:rPr>
        <w:t>小时内仍未能有效解决，</w:t>
      </w:r>
      <w:r>
        <w:rPr>
          <w:sz w:val="21"/>
        </w:rPr>
        <w:t>乙方</w:t>
      </w:r>
      <w:r>
        <w:rPr>
          <w:sz w:val="21"/>
        </w:rPr>
        <w:t>须</w:t>
      </w:r>
      <w:r>
        <w:rPr>
          <w:sz w:val="21"/>
        </w:rPr>
        <w:t>无条件</w:t>
      </w:r>
      <w:r>
        <w:rPr>
          <w:sz w:val="21"/>
        </w:rPr>
        <w:t>提供同等档次的设备予</w:t>
      </w:r>
      <w:r>
        <w:rPr>
          <w:sz w:val="21"/>
        </w:rPr>
        <w:t>甲方</w:t>
      </w:r>
      <w:r>
        <w:rPr>
          <w:sz w:val="21"/>
        </w:rPr>
        <w:t>临时使用</w:t>
      </w:r>
      <w:r>
        <w:rPr>
          <w:sz w:val="21"/>
        </w:rPr>
        <w:t>（</w:t>
      </w:r>
      <w:r>
        <w:rPr>
          <w:sz w:val="21"/>
        </w:rPr>
        <w:t>费用包含在投标报价中）</w:t>
      </w:r>
      <w:r>
        <w:rPr>
          <w:sz w:val="21"/>
        </w:rPr>
        <w:t>。</w:t>
      </w:r>
    </w:p>
    <w:p>
      <w:pPr>
        <w:pStyle w:val="null3"/>
        <w:ind w:firstLine="420"/>
        <w:jc w:val="both"/>
      </w:pPr>
      <w:r>
        <w:rPr>
          <w:sz w:val="21"/>
        </w:rPr>
        <w:t>5.若厂家提供更优的服务，则按厂家的标准执行。如厂家标准保修期限不满足招标文件要求的，</w:t>
      </w:r>
      <w:r>
        <w:rPr>
          <w:sz w:val="21"/>
        </w:rPr>
        <w:t>乙方</w:t>
      </w:r>
      <w:r>
        <w:rPr>
          <w:sz w:val="21"/>
        </w:rPr>
        <w:t>须承诺保修期限不限于招标文件的要求。</w:t>
      </w:r>
    </w:p>
    <w:p>
      <w:pPr>
        <w:pStyle w:val="null3"/>
        <w:ind w:firstLine="420"/>
        <w:jc w:val="both"/>
      </w:pPr>
      <w:r>
        <w:rPr>
          <w:sz w:val="21"/>
        </w:rPr>
        <w:t>6.为保证设备的正常使用和日常维护，</w:t>
      </w:r>
      <w:r>
        <w:rPr>
          <w:sz w:val="21"/>
        </w:rPr>
        <w:t>乙方</w:t>
      </w:r>
      <w:r>
        <w:rPr>
          <w:sz w:val="21"/>
        </w:rPr>
        <w:t>须对</w:t>
      </w:r>
      <w:r>
        <w:rPr>
          <w:sz w:val="21"/>
        </w:rPr>
        <w:t>甲方</w:t>
      </w:r>
      <w:r>
        <w:rPr>
          <w:sz w:val="21"/>
        </w:rPr>
        <w:t>设备管理人员和操作人员进行技术培训，直至</w:t>
      </w:r>
      <w:r>
        <w:rPr>
          <w:sz w:val="21"/>
        </w:rPr>
        <w:t>甲方</w:t>
      </w:r>
      <w:r>
        <w:rPr>
          <w:sz w:val="21"/>
        </w:rPr>
        <w:t>熟练操作所采购的设备为止。由此产生的一切费用由</w:t>
      </w:r>
      <w:r>
        <w:rPr>
          <w:sz w:val="21"/>
        </w:rPr>
        <w:t>乙方</w:t>
      </w:r>
      <w:r>
        <w:rPr>
          <w:sz w:val="21"/>
        </w:rPr>
        <w:t>承担。</w:t>
      </w:r>
    </w:p>
    <w:p>
      <w:pPr>
        <w:pStyle w:val="null3"/>
        <w:ind w:firstLine="420"/>
        <w:jc w:val="both"/>
      </w:pPr>
      <w:r>
        <w:rPr>
          <w:sz w:val="21"/>
        </w:rPr>
        <w:t>7.质保期内，</w:t>
      </w:r>
      <w:r>
        <w:rPr>
          <w:sz w:val="21"/>
        </w:rPr>
        <w:t>乙方</w:t>
      </w:r>
      <w:r>
        <w:rPr>
          <w:sz w:val="21"/>
        </w:rPr>
        <w:t>怠于履行其质量保修责任或未能按照招标文件、投标文件、合同约定提供售后服务的，</w:t>
      </w:r>
      <w:r>
        <w:rPr>
          <w:sz w:val="21"/>
        </w:rPr>
        <w:t>甲方</w:t>
      </w:r>
      <w:r>
        <w:rPr>
          <w:sz w:val="21"/>
        </w:rPr>
        <w:t>有权自行委托第三方提供同类售后服务，因此支出的费用有权向</w:t>
      </w:r>
      <w:r>
        <w:rPr>
          <w:sz w:val="21"/>
        </w:rPr>
        <w:t>乙方</w:t>
      </w:r>
      <w:r>
        <w:rPr>
          <w:sz w:val="21"/>
        </w:rPr>
        <w:t>追偿，或从履约保证金中予以扣除，履约保证金不足以扣除的，</w:t>
      </w:r>
      <w:r>
        <w:rPr>
          <w:sz w:val="21"/>
        </w:rPr>
        <w:t>甲方</w:t>
      </w:r>
      <w:r>
        <w:rPr>
          <w:sz w:val="21"/>
        </w:rPr>
        <w:t>有权继续向</w:t>
      </w:r>
      <w:r>
        <w:rPr>
          <w:sz w:val="21"/>
        </w:rPr>
        <w:t>乙方</w:t>
      </w:r>
      <w:r>
        <w:rPr>
          <w:sz w:val="21"/>
        </w:rPr>
        <w:t>追偿。</w:t>
      </w:r>
    </w:p>
    <w:p>
      <w:pPr>
        <w:pStyle w:val="null3"/>
        <w:ind w:firstLine="420"/>
        <w:jc w:val="both"/>
      </w:pPr>
      <w:r>
        <w:rPr>
          <w:sz w:val="21"/>
        </w:rPr>
        <w:t>8.设备售后服务由非</w:t>
      </w:r>
      <w:r>
        <w:rPr>
          <w:sz w:val="21"/>
        </w:rPr>
        <w:t>乙方</w:t>
      </w:r>
      <w:r>
        <w:rPr>
          <w:sz w:val="21"/>
        </w:rPr>
        <w:t>的第三方提供的，</w:t>
      </w:r>
      <w:r>
        <w:rPr>
          <w:sz w:val="21"/>
        </w:rPr>
        <w:t>乙方</w:t>
      </w:r>
      <w:r>
        <w:rPr>
          <w:sz w:val="21"/>
        </w:rPr>
        <w:t>应于设备送达</w:t>
      </w:r>
      <w:r>
        <w:rPr>
          <w:sz w:val="21"/>
        </w:rPr>
        <w:t>甲方</w:t>
      </w:r>
      <w:r>
        <w:rPr>
          <w:sz w:val="21"/>
        </w:rPr>
        <w:t>时一并向</w:t>
      </w:r>
      <w:r>
        <w:rPr>
          <w:sz w:val="21"/>
        </w:rPr>
        <w:t>甲方</w:t>
      </w:r>
      <w:r>
        <w:rPr>
          <w:sz w:val="21"/>
        </w:rPr>
        <w:t>提供有效的、涵盖本合同标的的</w:t>
      </w:r>
      <w:r>
        <w:rPr>
          <w:sz w:val="21"/>
        </w:rPr>
        <w:t>乙方</w:t>
      </w:r>
      <w:r>
        <w:rPr>
          <w:sz w:val="21"/>
        </w:rPr>
        <w:t>与第三方间的售后服务协议或由第三方给予</w:t>
      </w:r>
      <w:r>
        <w:rPr>
          <w:sz w:val="21"/>
        </w:rPr>
        <w:t>乙方</w:t>
      </w:r>
      <w:r>
        <w:rPr>
          <w:sz w:val="21"/>
        </w:rPr>
        <w:t>的售后服务承诺书，承诺书内容应符合本项目采购文件确定的货物售后服务条款。</w:t>
      </w:r>
      <w:r>
        <w:rPr>
          <w:sz w:val="21"/>
        </w:rPr>
        <w:t>乙方</w:t>
      </w:r>
      <w:r>
        <w:rPr>
          <w:sz w:val="21"/>
        </w:rPr>
        <w:t>对该第三方的服务承担连带责任，第三方服务达不到采购合同要求的，</w:t>
      </w:r>
      <w:r>
        <w:rPr>
          <w:sz w:val="21"/>
        </w:rPr>
        <w:t>甲方</w:t>
      </w:r>
      <w:r>
        <w:rPr>
          <w:sz w:val="21"/>
        </w:rPr>
        <w:t>有权要求</w:t>
      </w:r>
      <w:r>
        <w:rPr>
          <w:sz w:val="21"/>
        </w:rPr>
        <w:t>乙方</w:t>
      </w:r>
      <w:r>
        <w:rPr>
          <w:sz w:val="21"/>
        </w:rPr>
        <w:t>承担赔偿责任及违约责任。</w:t>
      </w:r>
    </w:p>
    <w:p>
      <w:pPr>
        <w:pStyle w:val="null3"/>
        <w:ind w:left="420"/>
        <w:jc w:val="both"/>
      </w:pPr>
      <w:r>
        <w:rPr>
          <w:sz w:val="21"/>
        </w:rPr>
        <w:t>9.家具备件清单</w:t>
      </w:r>
    </w:p>
    <w:tbl>
      <w:tblPr>
        <w:tblW w:w="0" w:type="auto"/>
        <w:tblBorders>
          <w:top w:val="none" w:color="000000" w:sz="4"/>
          <w:left w:val="none" w:color="000000" w:sz="4"/>
          <w:bottom w:val="none" w:color="000000" w:sz="4"/>
          <w:right w:val="none" w:color="000000" w:sz="4"/>
          <w:insideH w:val="none"/>
          <w:insideV w:val="none"/>
        </w:tblBorders>
      </w:tblPr>
      <w:tblGrid>
        <w:gridCol w:w="1032"/>
        <w:gridCol w:w="2646"/>
        <w:gridCol w:w="1724"/>
        <w:gridCol w:w="1239"/>
        <w:gridCol w:w="1661"/>
      </w:tblGrid>
      <w:tr>
        <w:tc>
          <w:tcPr>
            <w:tcW w:type="dxa" w:w="10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6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17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规格型号</w:t>
            </w:r>
          </w:p>
        </w:tc>
        <w:tc>
          <w:tcPr>
            <w:tcW w:type="dxa" w:w="12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r>
      <w:tr>
        <w:tc>
          <w:tcPr>
            <w:tcW w:type="dxa" w:w="1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导轨</w:t>
            </w:r>
          </w:p>
        </w:tc>
        <w:tc>
          <w:tcPr>
            <w:tcW w:type="dxa" w:w="1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标准</w:t>
            </w: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副</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1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拉手</w:t>
            </w:r>
          </w:p>
        </w:tc>
        <w:tc>
          <w:tcPr>
            <w:tcW w:type="dxa" w:w="1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标准</w:t>
            </w: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1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明挂锁扣</w:t>
            </w:r>
          </w:p>
        </w:tc>
        <w:tc>
          <w:tcPr>
            <w:tcW w:type="dxa" w:w="1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标准</w:t>
            </w: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1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平头螺丝</w:t>
            </w:r>
          </w:p>
        </w:tc>
        <w:tc>
          <w:tcPr>
            <w:tcW w:type="dxa" w:w="1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8mm</w:t>
            </w: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w:t>
            </w:r>
          </w:p>
        </w:tc>
      </w:tr>
      <w:tr>
        <w:tc>
          <w:tcPr>
            <w:tcW w:type="dxa" w:w="1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自攻螺丝</w:t>
            </w:r>
          </w:p>
        </w:tc>
        <w:tc>
          <w:tcPr>
            <w:tcW w:type="dxa" w:w="1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5mm</w:t>
            </w: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w:t>
            </w:r>
          </w:p>
        </w:tc>
      </w:tr>
      <w:tr>
        <w:tc>
          <w:tcPr>
            <w:tcW w:type="dxa" w:w="1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铁锤</w:t>
            </w:r>
          </w:p>
        </w:tc>
        <w:tc>
          <w:tcPr>
            <w:tcW w:type="dxa" w:w="1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半角锤</w:t>
            </w: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1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老虎钳</w:t>
            </w:r>
          </w:p>
        </w:tc>
        <w:tc>
          <w:tcPr>
            <w:tcW w:type="dxa" w:w="1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8寸老虎钳</w:t>
            </w: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1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螺丝十字批</w:t>
            </w:r>
          </w:p>
        </w:tc>
        <w:tc>
          <w:tcPr>
            <w:tcW w:type="dxa" w:w="1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8寸、6寸</w:t>
            </w: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1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螺丝一字批</w:t>
            </w:r>
          </w:p>
        </w:tc>
        <w:tc>
          <w:tcPr>
            <w:tcW w:type="dxa" w:w="1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8寸、6寸</w:t>
            </w: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1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防潮脚套</w:t>
            </w:r>
          </w:p>
        </w:tc>
        <w:tc>
          <w:tcPr>
            <w:tcW w:type="dxa" w:w="1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立柱配套</w:t>
            </w: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r>
      <w:tr>
        <w:tc>
          <w:tcPr>
            <w:tcW w:type="dxa" w:w="1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防潮脚垫</w:t>
            </w:r>
          </w:p>
        </w:tc>
        <w:tc>
          <w:tcPr>
            <w:tcW w:type="dxa" w:w="1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床梯配套</w:t>
            </w: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r>
      <w:tr>
        <w:tc>
          <w:tcPr>
            <w:tcW w:type="dxa" w:w="1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2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椅子防潮脚套</w:t>
            </w:r>
          </w:p>
        </w:tc>
        <w:tc>
          <w:tcPr>
            <w:tcW w:type="dxa" w:w="1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椅子</w:t>
            </w: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r>
      <w:tr>
        <w:tc>
          <w:tcPr>
            <w:tcW w:type="dxa" w:w="1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2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修补自喷漆</w:t>
            </w:r>
          </w:p>
        </w:tc>
        <w:tc>
          <w:tcPr>
            <w:tcW w:type="dxa" w:w="1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灰白</w:t>
            </w: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1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床板</w:t>
            </w:r>
          </w:p>
        </w:tc>
        <w:tc>
          <w:tcPr>
            <w:tcW w:type="dxa" w:w="1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标准</w:t>
            </w: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bl>
    <w:p>
      <w:pPr>
        <w:pStyle w:val="null3"/>
        <w:ind w:firstLine="420"/>
        <w:jc w:val="both"/>
      </w:pPr>
      <w:r>
        <w:rPr>
          <w:sz w:val="21"/>
        </w:rPr>
        <w:t>备注：以上备件仅用于应急维修使用，不适用于维保期内乙方需提供的维修件数量。</w:t>
      </w:r>
    </w:p>
    <w:p>
      <w:pPr>
        <w:pStyle w:val="null3"/>
      </w:pPr>
      <w:r>
        <w:rPr>
          <w:sz w:val="21"/>
          <w:b/>
        </w:rPr>
        <w:t>八</w:t>
      </w:r>
      <w:r>
        <w:rPr>
          <w:sz w:val="21"/>
          <w:b/>
        </w:rPr>
        <w:t>、验收</w:t>
      </w:r>
    </w:p>
    <w:p>
      <w:pPr>
        <w:pStyle w:val="null3"/>
        <w:ind w:firstLine="420"/>
      </w:pPr>
      <w:r>
        <w:rPr>
          <w:sz w:val="21"/>
        </w:rPr>
        <w:t>1.验收时间：安装完成后10个工作日内</w:t>
      </w:r>
      <w:r>
        <w:rPr>
          <w:sz w:val="21"/>
        </w:rPr>
        <w:t>乙方</w:t>
      </w:r>
      <w:r>
        <w:rPr>
          <w:sz w:val="21"/>
        </w:rPr>
        <w:t>提交验收申请</w:t>
      </w:r>
      <w:r>
        <w:rPr>
          <w:sz w:val="21"/>
        </w:rPr>
        <w:t>，</w:t>
      </w:r>
      <w:r>
        <w:rPr>
          <w:sz w:val="21"/>
        </w:rPr>
        <w:t>甲方</w:t>
      </w:r>
      <w:r>
        <w:rPr>
          <w:sz w:val="21"/>
        </w:rPr>
        <w:t>收到申请后</w:t>
      </w:r>
      <w:r>
        <w:rPr>
          <w:sz w:val="21"/>
        </w:rPr>
        <w:t>7日内组织验收</w:t>
      </w:r>
      <w:r>
        <w:rPr>
          <w:sz w:val="21"/>
        </w:rPr>
        <w:t>(具体验收时间以甲方通知为准)。</w:t>
      </w:r>
    </w:p>
    <w:p>
      <w:pPr>
        <w:pStyle w:val="null3"/>
        <w:ind w:firstLine="420"/>
      </w:pPr>
      <w:r>
        <w:rPr>
          <w:sz w:val="21"/>
        </w:rPr>
        <w:t>2.</w:t>
      </w:r>
      <w:r>
        <w:rPr>
          <w:sz w:val="21"/>
        </w:rPr>
        <w:t>乙方</w:t>
      </w:r>
      <w:r>
        <w:rPr>
          <w:sz w:val="21"/>
        </w:rPr>
        <w:t>货物到达</w:t>
      </w:r>
      <w:r>
        <w:rPr>
          <w:sz w:val="21"/>
        </w:rPr>
        <w:t>甲方</w:t>
      </w:r>
      <w:r>
        <w:rPr>
          <w:sz w:val="21"/>
        </w:rPr>
        <w:t>指定地点后通知</w:t>
      </w:r>
      <w:r>
        <w:rPr>
          <w:sz w:val="21"/>
        </w:rPr>
        <w:t>甲方</w:t>
      </w:r>
      <w:r>
        <w:rPr>
          <w:sz w:val="21"/>
        </w:rPr>
        <w:t>验收，</w:t>
      </w:r>
      <w:r>
        <w:rPr>
          <w:sz w:val="21"/>
        </w:rPr>
        <w:t>甲方</w:t>
      </w:r>
      <w:r>
        <w:rPr>
          <w:sz w:val="21"/>
        </w:rPr>
        <w:t>组成验收小组按照合同第三条约定的标准进行货物验收，必要时邀请相关专业人员或机构参与验收。</w:t>
      </w:r>
    </w:p>
    <w:p>
      <w:pPr>
        <w:pStyle w:val="null3"/>
        <w:ind w:firstLine="420"/>
      </w:pPr>
      <w:r>
        <w:rPr>
          <w:sz w:val="21"/>
        </w:rPr>
        <w:t>3.如</w:t>
      </w:r>
      <w:r>
        <w:rPr>
          <w:sz w:val="21"/>
        </w:rPr>
        <w:t>乙方</w:t>
      </w:r>
      <w:r>
        <w:rPr>
          <w:sz w:val="21"/>
        </w:rPr>
        <w:t>所供货物在数量、品种、规格和技术规范等方面不符合国家标准或</w:t>
      </w:r>
      <w:r>
        <w:rPr>
          <w:sz w:val="21"/>
        </w:rPr>
        <w:t>甲方</w:t>
      </w:r>
      <w:r>
        <w:rPr>
          <w:sz w:val="21"/>
        </w:rPr>
        <w:t>招标文件需求，</w:t>
      </w:r>
      <w:r>
        <w:rPr>
          <w:sz w:val="21"/>
        </w:rPr>
        <w:t>甲方</w:t>
      </w:r>
      <w:r>
        <w:rPr>
          <w:sz w:val="21"/>
        </w:rPr>
        <w:t>有权不签收所供货物，且</w:t>
      </w:r>
      <w:r>
        <w:rPr>
          <w:sz w:val="21"/>
        </w:rPr>
        <w:t>乙方</w:t>
      </w:r>
      <w:r>
        <w:rPr>
          <w:sz w:val="21"/>
        </w:rPr>
        <w:t>应根据</w:t>
      </w:r>
      <w:r>
        <w:rPr>
          <w:sz w:val="21"/>
        </w:rPr>
        <w:t>甲方</w:t>
      </w:r>
      <w:r>
        <w:rPr>
          <w:sz w:val="21"/>
        </w:rPr>
        <w:t>书面通知要求按照以下方式处理：</w:t>
      </w:r>
    </w:p>
    <w:p>
      <w:pPr>
        <w:pStyle w:val="null3"/>
        <w:ind w:firstLine="420"/>
      </w:pPr>
      <w:r>
        <w:rPr>
          <w:sz w:val="21"/>
        </w:rPr>
        <w:t>（</w:t>
      </w:r>
      <w:r>
        <w:rPr>
          <w:sz w:val="21"/>
        </w:rPr>
        <w:t>1）</w:t>
      </w:r>
      <w:r>
        <w:rPr>
          <w:sz w:val="21"/>
        </w:rPr>
        <w:t>乙方</w:t>
      </w:r>
      <w:r>
        <w:rPr>
          <w:sz w:val="21"/>
        </w:rPr>
        <w:t>按</w:t>
      </w:r>
      <w:r>
        <w:rPr>
          <w:sz w:val="21"/>
        </w:rPr>
        <w:t>甲方</w:t>
      </w:r>
      <w:r>
        <w:rPr>
          <w:sz w:val="21"/>
        </w:rPr>
        <w:t>招标文件需求对不符合要求的货物进行更换，并承担由此发生的全部更换费用及给</w:t>
      </w:r>
      <w:r>
        <w:rPr>
          <w:sz w:val="21"/>
        </w:rPr>
        <w:t>甲方</w:t>
      </w:r>
      <w:r>
        <w:rPr>
          <w:sz w:val="21"/>
        </w:rPr>
        <w:t>造成的一切损失（包括但不限于运杂费、检验费、仓储费、装卸费以及为更换有缺陷合同货物所造成的施工拆除费、误工损失费等其他费用）。</w:t>
      </w:r>
    </w:p>
    <w:p>
      <w:pPr>
        <w:pStyle w:val="null3"/>
        <w:ind w:firstLine="420"/>
      </w:pPr>
      <w:r>
        <w:rPr>
          <w:sz w:val="21"/>
        </w:rPr>
        <w:t>（</w:t>
      </w:r>
      <w:r>
        <w:rPr>
          <w:sz w:val="21"/>
        </w:rPr>
        <w:t>2）</w:t>
      </w:r>
      <w:r>
        <w:rPr>
          <w:sz w:val="21"/>
        </w:rPr>
        <w:t>乙方</w:t>
      </w:r>
      <w:r>
        <w:rPr>
          <w:sz w:val="21"/>
        </w:rPr>
        <w:t>无条件接受经</w:t>
      </w:r>
      <w:r>
        <w:rPr>
          <w:sz w:val="21"/>
        </w:rPr>
        <w:t>甲方</w:t>
      </w:r>
      <w:r>
        <w:rPr>
          <w:sz w:val="21"/>
        </w:rPr>
        <w:t>验收不合格货物的退货（包括货物数量不符、货物型号不符、经检验货物存在质量缺陷、随货资料不全等），并由</w:t>
      </w:r>
      <w:r>
        <w:rPr>
          <w:sz w:val="21"/>
        </w:rPr>
        <w:t>乙方</w:t>
      </w:r>
      <w:r>
        <w:rPr>
          <w:sz w:val="21"/>
        </w:rPr>
        <w:t>承担由此给</w:t>
      </w:r>
      <w:r>
        <w:rPr>
          <w:sz w:val="21"/>
        </w:rPr>
        <w:t>甲方</w:t>
      </w:r>
      <w:r>
        <w:rPr>
          <w:sz w:val="21"/>
        </w:rPr>
        <w:t>造成的一切损失。</w:t>
      </w:r>
    </w:p>
    <w:p>
      <w:pPr>
        <w:pStyle w:val="null3"/>
        <w:ind w:firstLine="420"/>
      </w:pPr>
      <w:r>
        <w:rPr>
          <w:sz w:val="21"/>
        </w:rPr>
        <w:t>4.</w:t>
      </w:r>
      <w:r>
        <w:rPr>
          <w:sz w:val="21"/>
        </w:rPr>
        <w:t>乙方</w:t>
      </w:r>
      <w:r>
        <w:rPr>
          <w:sz w:val="21"/>
        </w:rPr>
        <w:t>在收到</w:t>
      </w:r>
      <w:r>
        <w:rPr>
          <w:sz w:val="21"/>
        </w:rPr>
        <w:t>甲方</w:t>
      </w:r>
      <w:r>
        <w:rPr>
          <w:sz w:val="21"/>
        </w:rPr>
        <w:t>上述书面更换或退货通知后</w:t>
      </w:r>
      <w:r>
        <w:rPr>
          <w:sz w:val="21"/>
        </w:rPr>
        <w:t>3个工作日内未作出书面答复的，则应理解为</w:t>
      </w:r>
      <w:r>
        <w:rPr>
          <w:sz w:val="21"/>
        </w:rPr>
        <w:t>乙方</w:t>
      </w:r>
      <w:r>
        <w:rPr>
          <w:sz w:val="21"/>
        </w:rPr>
        <w:t>已接受</w:t>
      </w:r>
      <w:r>
        <w:rPr>
          <w:sz w:val="21"/>
        </w:rPr>
        <w:t>甲方</w:t>
      </w:r>
      <w:r>
        <w:rPr>
          <w:sz w:val="21"/>
        </w:rPr>
        <w:t>的通知要求。如收到</w:t>
      </w:r>
      <w:r>
        <w:rPr>
          <w:sz w:val="21"/>
        </w:rPr>
        <w:t>甲方</w:t>
      </w:r>
      <w:r>
        <w:rPr>
          <w:sz w:val="21"/>
        </w:rPr>
        <w:t>上述书面更换或退货通知后</w:t>
      </w:r>
      <w:r>
        <w:rPr>
          <w:sz w:val="21"/>
        </w:rPr>
        <w:t>5个工作日内未按照</w:t>
      </w:r>
      <w:r>
        <w:rPr>
          <w:sz w:val="21"/>
        </w:rPr>
        <w:t>甲方</w:t>
      </w:r>
      <w:r>
        <w:rPr>
          <w:sz w:val="21"/>
        </w:rPr>
        <w:t>要求的上述任一方式来人（来函）处理相关事宜，则</w:t>
      </w:r>
      <w:r>
        <w:rPr>
          <w:sz w:val="21"/>
        </w:rPr>
        <w:t>甲方</w:t>
      </w:r>
      <w:r>
        <w:rPr>
          <w:sz w:val="21"/>
        </w:rPr>
        <w:t>有权单方解除合同，将</w:t>
      </w:r>
      <w:r>
        <w:rPr>
          <w:sz w:val="21"/>
        </w:rPr>
        <w:t>乙方</w:t>
      </w:r>
      <w:r>
        <w:rPr>
          <w:sz w:val="21"/>
        </w:rPr>
        <w:t>已供货物放置于</w:t>
      </w:r>
      <w:r>
        <w:rPr>
          <w:sz w:val="21"/>
        </w:rPr>
        <w:t>甲方</w:t>
      </w:r>
      <w:r>
        <w:rPr>
          <w:sz w:val="21"/>
        </w:rPr>
        <w:t>认为合理的位置，并理解为</w:t>
      </w:r>
      <w:r>
        <w:rPr>
          <w:sz w:val="21"/>
        </w:rPr>
        <w:t>乙方</w:t>
      </w:r>
      <w:r>
        <w:rPr>
          <w:sz w:val="21"/>
        </w:rPr>
        <w:t>已接受退货。由此而造成的货物损毁、灭失责任均</w:t>
      </w:r>
      <w:r>
        <w:rPr>
          <w:sz w:val="21"/>
        </w:rPr>
        <w:t>由乙方</w:t>
      </w:r>
      <w:r>
        <w:rPr>
          <w:sz w:val="21"/>
        </w:rPr>
        <w:t>承担，</w:t>
      </w:r>
      <w:r>
        <w:rPr>
          <w:sz w:val="21"/>
        </w:rPr>
        <w:t>乙方</w:t>
      </w:r>
      <w:r>
        <w:rPr>
          <w:sz w:val="21"/>
        </w:rPr>
        <w:t>同时应向</w:t>
      </w:r>
      <w:r>
        <w:rPr>
          <w:sz w:val="21"/>
        </w:rPr>
        <w:t>甲方</w:t>
      </w:r>
      <w:r>
        <w:rPr>
          <w:sz w:val="21"/>
        </w:rPr>
        <w:t>承担迟延交货的违约责任，并赔偿由此而给</w:t>
      </w:r>
      <w:r>
        <w:rPr>
          <w:sz w:val="21"/>
        </w:rPr>
        <w:t>甲方</w:t>
      </w:r>
      <w:r>
        <w:rPr>
          <w:sz w:val="21"/>
        </w:rPr>
        <w:t>造成的一切经济损失。</w:t>
      </w:r>
    </w:p>
    <w:p>
      <w:pPr>
        <w:pStyle w:val="null3"/>
        <w:ind w:firstLine="420"/>
      </w:pPr>
      <w:r>
        <w:rPr>
          <w:sz w:val="21"/>
        </w:rPr>
        <w:t>5.因货物质量问题发生争议时，由广东省或广州市质检部门进行质量鉴定。</w:t>
      </w:r>
      <w:r>
        <w:rPr>
          <w:sz w:val="21"/>
        </w:rPr>
        <w:t>甲方</w:t>
      </w:r>
      <w:r>
        <w:rPr>
          <w:sz w:val="21"/>
        </w:rPr>
        <w:t>与</w:t>
      </w:r>
      <w:r>
        <w:rPr>
          <w:sz w:val="21"/>
        </w:rPr>
        <w:t>乙方</w:t>
      </w:r>
      <w:r>
        <w:rPr>
          <w:sz w:val="21"/>
        </w:rPr>
        <w:t>认为有需要，可以共同提出或分别提出质量鉴定，广东省质检部门与广州市质检部门的鉴定结论不一致的，以广东省质检部门的鉴定结论为准。货物符合质量技术标准的，鉴定费由</w:t>
      </w:r>
      <w:r>
        <w:rPr>
          <w:sz w:val="21"/>
        </w:rPr>
        <w:t>甲方</w:t>
      </w:r>
      <w:r>
        <w:rPr>
          <w:sz w:val="21"/>
        </w:rPr>
        <w:t>承担；否则鉴定费由</w:t>
      </w:r>
      <w:r>
        <w:rPr>
          <w:sz w:val="21"/>
        </w:rPr>
        <w:t>乙方</w:t>
      </w:r>
      <w:r>
        <w:rPr>
          <w:sz w:val="21"/>
        </w:rPr>
        <w:t>承担，且</w:t>
      </w:r>
      <w:r>
        <w:rPr>
          <w:sz w:val="21"/>
        </w:rPr>
        <w:t>甲方</w:t>
      </w:r>
      <w:r>
        <w:rPr>
          <w:sz w:val="21"/>
        </w:rPr>
        <w:t>有权退货处理，</w:t>
      </w:r>
      <w:r>
        <w:rPr>
          <w:sz w:val="21"/>
        </w:rPr>
        <w:t>乙方</w:t>
      </w:r>
      <w:r>
        <w:rPr>
          <w:sz w:val="21"/>
        </w:rPr>
        <w:t>应积极配合并承担因此产生的相关责任。</w:t>
      </w:r>
    </w:p>
    <w:p>
      <w:pPr>
        <w:pStyle w:val="null3"/>
        <w:ind w:firstLine="420"/>
      </w:pPr>
      <w:r>
        <w:rPr>
          <w:sz w:val="21"/>
        </w:rPr>
        <w:t>6.</w:t>
      </w:r>
      <w:r>
        <w:rPr>
          <w:sz w:val="21"/>
        </w:rPr>
        <w:t>甲方</w:t>
      </w:r>
      <w:r>
        <w:rPr>
          <w:sz w:val="21"/>
        </w:rPr>
        <w:t>的验收不作为</w:t>
      </w:r>
      <w:r>
        <w:rPr>
          <w:sz w:val="21"/>
        </w:rPr>
        <w:t>乙方</w:t>
      </w:r>
      <w:r>
        <w:rPr>
          <w:sz w:val="21"/>
        </w:rPr>
        <w:t>货物内在质量合格的依据，</w:t>
      </w:r>
      <w:r>
        <w:rPr>
          <w:sz w:val="21"/>
        </w:rPr>
        <w:t>乙方</w:t>
      </w:r>
      <w:r>
        <w:rPr>
          <w:sz w:val="21"/>
        </w:rPr>
        <w:t>在质保期内仍需对货物的内在质量承担责任。</w:t>
      </w:r>
    </w:p>
    <w:p>
      <w:pPr>
        <w:pStyle w:val="null3"/>
        <w:ind w:firstLine="420"/>
      </w:pPr>
      <w:r>
        <w:rPr>
          <w:sz w:val="21"/>
        </w:rPr>
        <w:t>7.</w:t>
      </w:r>
      <w:r>
        <w:rPr>
          <w:sz w:val="21"/>
        </w:rPr>
        <w:t>乙方</w:t>
      </w:r>
      <w:r>
        <w:rPr>
          <w:sz w:val="21"/>
        </w:rPr>
        <w:t>需明确施工方场地保护责任，若搬运、安装过程中造成校区场地、设施损坏，需按标准原状修复或承担赔偿责任；同时规范施工全过程场地卫生保洁标准，完工后需完成场地清洁验收。</w:t>
      </w:r>
    </w:p>
    <w:p>
      <w:pPr>
        <w:pStyle w:val="null3"/>
        <w:ind w:firstLine="420"/>
        <w:jc w:val="both"/>
      </w:pPr>
      <w:r>
        <w:rPr>
          <w:sz w:val="21"/>
        </w:rPr>
        <w:t>8.空气检测:全部家具安装完毕后，由</w:t>
      </w:r>
      <w:r>
        <w:rPr>
          <w:sz w:val="21"/>
        </w:rPr>
        <w:t>甲方</w:t>
      </w:r>
      <w:r>
        <w:rPr>
          <w:sz w:val="21"/>
        </w:rPr>
        <w:t>邀请具备</w:t>
      </w:r>
      <w:r>
        <w:rPr>
          <w:sz w:val="21"/>
        </w:rPr>
        <w:t>CMA资质的第三方检测机构在中标的宿舍楼更换家具总房间内随机抽取房间数的5%，按GB/T18883-2022《室内空气质量标准》进行空气质量检测</w:t>
      </w:r>
      <w:r>
        <w:rPr>
          <w:sz w:val="21"/>
        </w:rPr>
        <w:t>（</w:t>
      </w:r>
      <w:r>
        <w:rPr>
          <w:sz w:val="21"/>
        </w:rPr>
        <w:t>检测内容至少包含甲醛、苯、甲苯、二甲苯、</w:t>
      </w:r>
      <w:r>
        <w:rPr>
          <w:sz w:val="21"/>
        </w:rPr>
        <w:t>TVOC等）</w:t>
      </w:r>
      <w:r>
        <w:rPr>
          <w:sz w:val="21"/>
        </w:rPr>
        <w:t>，相关费用包含在合同总价中，由</w:t>
      </w:r>
      <w:r>
        <w:rPr>
          <w:sz w:val="21"/>
        </w:rPr>
        <w:t>乙方</w:t>
      </w:r>
      <w:r>
        <w:rPr>
          <w:sz w:val="21"/>
        </w:rPr>
        <w:t>支付。第三方检测机构根据检测结果出具具备符合</w:t>
      </w:r>
      <w:r>
        <w:rPr>
          <w:sz w:val="21"/>
        </w:rPr>
        <w:t>CMA标志的室内空气质量检验检测报告，如果检测结果为不合格，则</w:t>
      </w:r>
      <w:r>
        <w:rPr>
          <w:sz w:val="21"/>
        </w:rPr>
        <w:t>乙方</w:t>
      </w:r>
      <w:r>
        <w:rPr>
          <w:sz w:val="21"/>
        </w:rPr>
        <w:t>必须在学校要求的整改期内更换为合格产品，以符合验收标准为准。整改后仍不合格的，</w:t>
      </w:r>
      <w:r>
        <w:rPr>
          <w:sz w:val="21"/>
        </w:rPr>
        <w:t>甲方</w:t>
      </w:r>
      <w:r>
        <w:rPr>
          <w:sz w:val="21"/>
        </w:rPr>
        <w:t>有权拒收，扣除空气检测不合格房间产品的货款，并按不合格房间货款总价的</w:t>
      </w:r>
      <w:r>
        <w:rPr>
          <w:sz w:val="21"/>
        </w:rPr>
        <w:t>2倍进行处罚</w:t>
      </w:r>
      <w:r>
        <w:rPr>
          <w:sz w:val="21"/>
        </w:rPr>
        <w:t>。</w:t>
      </w:r>
      <w:r>
        <w:rPr>
          <w:sz w:val="21"/>
        </w:rPr>
        <w:t>整改后不合格率达</w:t>
      </w:r>
      <w:r>
        <w:rPr>
          <w:sz w:val="21"/>
        </w:rPr>
        <w:t>10%及以上的，</w:t>
      </w:r>
      <w:r>
        <w:rPr>
          <w:sz w:val="21"/>
        </w:rPr>
        <w:t>甲方</w:t>
      </w:r>
      <w:r>
        <w:rPr>
          <w:sz w:val="21"/>
        </w:rPr>
        <w:t>有权终止合同，并不再支付剩余货款，保留追究法律责任的权力。</w:t>
      </w:r>
    </w:p>
    <w:p>
      <w:pPr>
        <w:pStyle w:val="null3"/>
      </w:pPr>
      <w:r>
        <w:rPr>
          <w:sz w:val="21"/>
          <w:b/>
        </w:rPr>
        <w:t>九</w:t>
      </w:r>
      <w:r>
        <w:rPr>
          <w:sz w:val="21"/>
          <w:b/>
        </w:rPr>
        <w:t>、甲方的权利和义务</w:t>
      </w:r>
    </w:p>
    <w:p>
      <w:pPr>
        <w:pStyle w:val="null3"/>
        <w:ind w:firstLine="420"/>
      </w:pPr>
      <w:r>
        <w:rPr>
          <w:sz w:val="21"/>
        </w:rPr>
        <w:t>1.甲方承诺具有签署与履行本合同的合法权利、资质与能力。</w:t>
      </w:r>
    </w:p>
    <w:p>
      <w:pPr>
        <w:pStyle w:val="null3"/>
        <w:ind w:firstLine="420"/>
      </w:pPr>
      <w:r>
        <w:rPr>
          <w:sz w:val="21"/>
        </w:rPr>
        <w:t>2.甲方应按本合同约定支付款项。</w:t>
      </w:r>
    </w:p>
    <w:p>
      <w:pPr>
        <w:pStyle w:val="null3"/>
        <w:ind w:firstLine="420"/>
      </w:pPr>
      <w:r>
        <w:rPr>
          <w:sz w:val="21"/>
        </w:rPr>
        <w:t>3.甲方有权对乙方履行合同的行为进行监督管理，甲方提出整改意见的，乙方应予以配合并按甲方要求履行。</w:t>
      </w:r>
    </w:p>
    <w:p>
      <w:pPr>
        <w:pStyle w:val="null3"/>
      </w:pPr>
      <w:r>
        <w:rPr>
          <w:sz w:val="21"/>
          <w:b/>
        </w:rPr>
        <w:t>十、乙方的权利和义务</w:t>
      </w:r>
    </w:p>
    <w:p>
      <w:pPr>
        <w:pStyle w:val="null3"/>
        <w:ind w:firstLine="420"/>
      </w:pPr>
      <w:r>
        <w:rPr>
          <w:sz w:val="21"/>
        </w:rPr>
        <w:t>1.乙方承诺具有签署与履行本合同的合法权利、资质与能力。乙方须向甲方提供以下材料作为合同附件，供甲方留存备查。</w:t>
      </w:r>
    </w:p>
    <w:p>
      <w:pPr>
        <w:pStyle w:val="null3"/>
        <w:ind w:firstLine="420"/>
      </w:pPr>
      <w:r>
        <w:rPr>
          <w:sz w:val="21"/>
        </w:rPr>
        <w:t>（</w:t>
      </w:r>
      <w:r>
        <w:rPr>
          <w:sz w:val="21"/>
        </w:rPr>
        <w:t>1）企事业单位登记证书或公司营业执照；</w:t>
      </w:r>
    </w:p>
    <w:p>
      <w:pPr>
        <w:pStyle w:val="null3"/>
        <w:ind w:firstLine="420"/>
      </w:pPr>
      <w:r>
        <w:rPr>
          <w:sz w:val="21"/>
        </w:rPr>
        <w:t>（</w:t>
      </w:r>
      <w:r>
        <w:rPr>
          <w:sz w:val="21"/>
        </w:rPr>
        <w:t>2）法人身份证复印件，复印件须盖本企业事业单位（公司）公章；</w:t>
      </w:r>
    </w:p>
    <w:p>
      <w:pPr>
        <w:pStyle w:val="null3"/>
        <w:ind w:firstLine="420"/>
      </w:pPr>
      <w:r>
        <w:rPr>
          <w:sz w:val="21"/>
        </w:rPr>
        <w:t>（</w:t>
      </w:r>
      <w:r>
        <w:rPr>
          <w:sz w:val="21"/>
        </w:rPr>
        <w:t>3）提供购销人员身份证复印件，复印件须盖本企业事业单位（公司）公章；</w:t>
      </w:r>
    </w:p>
    <w:p>
      <w:pPr>
        <w:pStyle w:val="null3"/>
        <w:ind w:firstLine="420"/>
      </w:pPr>
      <w:r>
        <w:rPr>
          <w:sz w:val="21"/>
        </w:rPr>
        <w:t>加盖本企事业单位（公司）公章的授权书原件；授权书应载明授权项目、授权期限，并注明购销人员的身份证号码及联系方式。</w:t>
      </w:r>
    </w:p>
    <w:p>
      <w:pPr>
        <w:pStyle w:val="null3"/>
        <w:ind w:firstLine="420"/>
      </w:pPr>
      <w:r>
        <w:rPr>
          <w:sz w:val="21"/>
        </w:rPr>
        <w:t>乙方所提供的资料均须盖企事业单位（公司）公章。</w:t>
      </w:r>
    </w:p>
    <w:p>
      <w:pPr>
        <w:pStyle w:val="null3"/>
        <w:ind w:firstLine="420"/>
      </w:pPr>
      <w:r>
        <w:rPr>
          <w:sz w:val="21"/>
        </w:rPr>
        <w:t>2.乙方保证其对交付的货物拥有完全、合法的所有权与处置权，保证甲方免受任何第三方主张任何权利。</w:t>
      </w:r>
    </w:p>
    <w:p>
      <w:pPr>
        <w:pStyle w:val="null3"/>
        <w:ind w:firstLine="420"/>
      </w:pPr>
      <w:r>
        <w:rPr>
          <w:sz w:val="21"/>
        </w:rPr>
        <w:t>3.乙方保证其交付的货物无任何质量缺陷或瑕疵，无任何著作权、商标权或其他知识产权方面的权利限制或瑕疵，不会侵犯任何专利、商标、企业或贸易名称、版权、肖像权、技术秘密、商业秘密或其他任何权益。</w:t>
      </w:r>
    </w:p>
    <w:p>
      <w:pPr>
        <w:pStyle w:val="null3"/>
        <w:ind w:firstLine="420"/>
      </w:pPr>
      <w:r>
        <w:rPr>
          <w:sz w:val="21"/>
        </w:rPr>
        <w:t>4.乙方保证其交付的货物符合现行适用的相关法律法规和规定以及相应的国家标准、行业标准、地方标准或在政府部门备案的企业标准。</w:t>
      </w:r>
    </w:p>
    <w:p>
      <w:pPr>
        <w:pStyle w:val="null3"/>
      </w:pPr>
      <w:r>
        <w:rPr>
          <w:sz w:val="21"/>
          <w:b/>
        </w:rPr>
        <w:t>十一、违约责任与赔偿损失</w:t>
      </w:r>
    </w:p>
    <w:p>
      <w:pPr>
        <w:pStyle w:val="null3"/>
        <w:ind w:firstLine="420"/>
      </w:pPr>
      <w:r>
        <w:rPr>
          <w:sz w:val="21"/>
        </w:rPr>
        <w:t>1.乙方交付的货物、工程/提供的服务不符合本合同质量规定的，甲方有权要求乙方在规定期限内更换货物或整改服务，如乙方不能在规定期限内按甲方要求更换货物或整改服务，则须向甲方支付本合同总价5%的违约金。</w:t>
      </w:r>
    </w:p>
    <w:p>
      <w:pPr>
        <w:pStyle w:val="null3"/>
        <w:ind w:firstLine="420"/>
      </w:pPr>
      <w:r>
        <w:rPr>
          <w:sz w:val="21"/>
        </w:rPr>
        <w:t>2.乙方未能按本合同规定的交货时间交付货物的/提供服务，从逾期之日起每日按本合同总价万分之三的数额向甲方支付违约金；逾期半个月以上的，甲方有权单方终止合同，由此造成的甲方经济损失由乙方承担。</w:t>
      </w:r>
    </w:p>
    <w:p>
      <w:pPr>
        <w:pStyle w:val="null3"/>
        <w:ind w:firstLine="420"/>
      </w:pPr>
      <w:r>
        <w:rPr>
          <w:sz w:val="21"/>
        </w:rPr>
        <w:t>3.甲方无正当理由拒收货物/接受服务，到期拒付货物/服务款项的，甲方向乙方偿付本合同总价的5%的违约金。</w:t>
      </w:r>
    </w:p>
    <w:p>
      <w:pPr>
        <w:pStyle w:val="null3"/>
        <w:ind w:firstLine="420"/>
      </w:pPr>
      <w:r>
        <w:rPr>
          <w:sz w:val="21"/>
        </w:rPr>
        <w:t>4.甲方逾期付款，则每日按未付款金额的万分之三向乙方偿付违约金,但不超过合同总额的5%。</w:t>
      </w:r>
    </w:p>
    <w:p>
      <w:pPr>
        <w:pStyle w:val="null3"/>
        <w:ind w:firstLine="420"/>
      </w:pPr>
      <w:r>
        <w:rPr>
          <w:sz w:val="21"/>
        </w:rPr>
        <w:t>5.对于因甲方原因导致变更、中止或者终止政府采购合同的，甲乙双方通过友好协商解决。</w:t>
      </w:r>
    </w:p>
    <w:p>
      <w:pPr>
        <w:pStyle w:val="null3"/>
        <w:ind w:firstLine="420"/>
      </w:pPr>
      <w:r>
        <w:rPr>
          <w:sz w:val="21"/>
        </w:rPr>
        <w:t>6.其它违约责任按《中华人民共和国民法典合同编》处理。</w:t>
      </w:r>
    </w:p>
    <w:p>
      <w:pPr>
        <w:pStyle w:val="null3"/>
      </w:pPr>
      <w:r>
        <w:rPr>
          <w:sz w:val="21"/>
          <w:b/>
        </w:rPr>
        <w:t>十二、保密责任</w:t>
      </w:r>
    </w:p>
    <w:p>
      <w:pPr>
        <w:pStyle w:val="null3"/>
        <w:ind w:firstLine="420"/>
      </w:pPr>
      <w:r>
        <w:rPr>
          <w:sz w:val="21"/>
        </w:rPr>
        <w:t>双方应保守通过签订和履行本合同而获取的对方之商业及技术秘密，包括本合同文本，相关技术文件、相关数据，以及其他有关信息。任何一方违反上述约定的，应赔偿合同守约方的损失。本保密条款不因合同终止而终止。</w:t>
      </w:r>
    </w:p>
    <w:p>
      <w:pPr>
        <w:pStyle w:val="null3"/>
      </w:pPr>
      <w:r>
        <w:rPr>
          <w:sz w:val="21"/>
          <w:b/>
        </w:rPr>
        <w:t>十三、适用法律与争议解决</w:t>
      </w:r>
    </w:p>
    <w:p>
      <w:pPr>
        <w:pStyle w:val="null3"/>
        <w:ind w:firstLine="420"/>
      </w:pPr>
      <w:r>
        <w:rPr>
          <w:sz w:val="21"/>
        </w:rPr>
        <w:t>1.本合同的成立、有效性、解释、履行、签署、修订和终止以及争议的解决均应适用中华人民共和国法律。</w:t>
      </w:r>
    </w:p>
    <w:p>
      <w:pPr>
        <w:pStyle w:val="null3"/>
        <w:ind w:firstLine="420"/>
      </w:pPr>
      <w:r>
        <w:rPr>
          <w:sz w:val="21"/>
        </w:rPr>
        <w:t>2.合同执行过程中发生的任何争议，如双方不能通过友好协商解决，双方通过协商不能解决争议，则各方同意向合同签订地人民法院提起诉讼。</w:t>
      </w:r>
    </w:p>
    <w:p>
      <w:pPr>
        <w:pStyle w:val="null3"/>
        <w:ind w:firstLine="420"/>
      </w:pPr>
      <w:r>
        <w:rPr>
          <w:sz w:val="21"/>
        </w:rPr>
        <w:t>3.诉讼进行过程中，除双方有争议的部分外，本合同其他部分仍然有效，各方应继续履行。</w:t>
      </w:r>
    </w:p>
    <w:p>
      <w:pPr>
        <w:pStyle w:val="null3"/>
      </w:pPr>
      <w:r>
        <w:rPr>
          <w:sz w:val="21"/>
          <w:b/>
        </w:rPr>
        <w:t>十四、不可抗力</w:t>
      </w:r>
    </w:p>
    <w:p>
      <w:pPr>
        <w:pStyle w:val="null3"/>
        <w:ind w:firstLine="420"/>
      </w:pP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pPr>
      <w:r>
        <w:rPr>
          <w:sz w:val="21"/>
          <w:b/>
        </w:rPr>
        <w:t>十五、税费</w:t>
      </w:r>
    </w:p>
    <w:p>
      <w:pPr>
        <w:pStyle w:val="null3"/>
        <w:ind w:firstLine="420"/>
      </w:pPr>
      <w:r>
        <w:rPr>
          <w:sz w:val="21"/>
        </w:rPr>
        <w:t>在中国境内、外发生的与本合同执行有关的一切税费均由乙方负担。</w:t>
      </w:r>
    </w:p>
    <w:p>
      <w:pPr>
        <w:pStyle w:val="null3"/>
      </w:pPr>
      <w:r>
        <w:rPr>
          <w:sz w:val="21"/>
          <w:b/>
        </w:rPr>
        <w:t>十六、其它</w:t>
      </w:r>
    </w:p>
    <w:p>
      <w:pPr>
        <w:pStyle w:val="null3"/>
        <w:ind w:firstLine="420"/>
      </w:pPr>
      <w:r>
        <w:rPr>
          <w:sz w:val="21"/>
        </w:rPr>
        <w:t>1.本合同所有附件、招标文件、投标文件、中标通知书均为合同的有效组成部分，与本合同具有同等法律效力。本合同未尽事宜，应由双方友好协商解决。如需对本合同及其附件作任何修改或补充，须由双方以书面做出方为有效。修改或补充文件与本合同有不一致的，以修改或补充文件为准。</w:t>
      </w:r>
    </w:p>
    <w:p>
      <w:pPr>
        <w:pStyle w:val="null3"/>
        <w:ind w:firstLine="420"/>
      </w:pPr>
      <w:r>
        <w:rPr>
          <w:sz w:val="21"/>
        </w:rPr>
        <w:t>2.在执行本合同的过程中，所有经双方签署确认的文件（包括会议纪要、补充协议、往来信函）即成为本合同的有效组成部分。</w:t>
      </w:r>
    </w:p>
    <w:p>
      <w:pPr>
        <w:pStyle w:val="null3"/>
        <w:ind w:firstLine="420"/>
      </w:pPr>
      <w:r>
        <w:rPr>
          <w:sz w:val="21"/>
        </w:rPr>
        <w:t>3.如一方地址、电话、传真号码有变更，应在变更当日内书面通知对方，否则，一方按原地址邮寄相关材料或通知相关信息即视为已履行送达义务。</w:t>
      </w:r>
    </w:p>
    <w:p>
      <w:pPr>
        <w:pStyle w:val="null3"/>
        <w:ind w:firstLine="420"/>
      </w:pPr>
      <w:r>
        <w:rPr>
          <w:sz w:val="21"/>
        </w:rPr>
        <w:t>4.除甲方事先书面同意外，乙方不得部分或全部转让其应履行的合同项下的义务。</w:t>
      </w:r>
    </w:p>
    <w:p>
      <w:pPr>
        <w:pStyle w:val="null3"/>
        <w:ind w:firstLine="420"/>
      </w:pPr>
      <w:r>
        <w:rPr>
          <w:sz w:val="21"/>
        </w:rPr>
        <w:t>5.乙方在履行合同过程中如被法院强制执行，乙方应配合做好强制执行工作，并如实向甲方反馈情况。甲方在不知情的情况下向乙方支付合同款项或退还履约保证金，造成甲方损失，甲方有权向乙方追索，由此产生的费用，包括但不限于诉讼费、律师费等由乙方承担。</w:t>
      </w:r>
    </w:p>
    <w:p>
      <w:pPr>
        <w:pStyle w:val="null3"/>
      </w:pPr>
      <w:r>
        <w:rPr>
          <w:sz w:val="21"/>
          <w:b/>
        </w:rPr>
        <w:t>十七、合同生效</w:t>
      </w:r>
    </w:p>
    <w:p>
      <w:pPr>
        <w:pStyle w:val="null3"/>
        <w:ind w:firstLine="420"/>
      </w:pPr>
      <w:r>
        <w:rPr>
          <w:sz w:val="21"/>
        </w:rPr>
        <w:t>1.本合同在甲乙双方法人代表或其授权代表签字盖章后生效。</w:t>
      </w:r>
    </w:p>
    <w:p>
      <w:pPr>
        <w:pStyle w:val="null3"/>
        <w:ind w:firstLine="420"/>
      </w:pPr>
      <w:r>
        <w:rPr>
          <w:sz w:val="21"/>
        </w:rPr>
        <w:t>2.合同一式</w:t>
      </w:r>
      <w:r>
        <w:rPr>
          <w:u w:val="single"/>
        </w:rPr>
        <w:t xml:space="preserve">    </w:t>
      </w:r>
      <w:r>
        <w:rPr>
          <w:sz w:val="21"/>
        </w:rPr>
        <w:t>份。甲方执</w:t>
      </w:r>
      <w:r>
        <w:rPr>
          <w:u w:val="single"/>
        </w:rPr>
        <w:t xml:space="preserve">     </w:t>
      </w:r>
      <w:r>
        <w:rPr>
          <w:sz w:val="21"/>
        </w:rPr>
        <w:t>份，乙方执</w:t>
      </w:r>
      <w:r>
        <w:rPr>
          <w:u w:val="single"/>
        </w:rPr>
        <w:t xml:space="preserve">       </w:t>
      </w:r>
      <w:r>
        <w:rPr>
          <w:sz w:val="21"/>
        </w:rPr>
        <w:t>份。</w:t>
      </w:r>
    </w:p>
    <w:p>
      <w:pPr>
        <w:pStyle w:val="null3"/>
      </w:pPr>
      <w:r>
        <w:rPr>
          <w:sz w:val="21"/>
        </w:rPr>
        <w:t>甲方（盖章）：</w:t>
      </w:r>
      <w:r>
        <w:rPr>
          <w:sz w:val="21"/>
        </w:rPr>
        <w:t xml:space="preserve">                              </w:t>
      </w:r>
      <w:r>
        <w:rPr>
          <w:sz w:val="21"/>
        </w:rPr>
        <w:t>乙方（盖章）：</w:t>
      </w:r>
    </w:p>
    <w:p>
      <w:pPr>
        <w:pStyle w:val="null3"/>
      </w:pPr>
      <w:r>
        <w:rPr>
          <w:sz w:val="21"/>
        </w:rPr>
        <w:t>代表：</w:t>
      </w:r>
      <w:r>
        <w:rPr>
          <w:sz w:val="21"/>
        </w:rPr>
        <w:t xml:space="preserve">                                     </w:t>
      </w:r>
      <w:r>
        <w:rPr>
          <w:sz w:val="21"/>
        </w:rPr>
        <w:t>代表：</w:t>
      </w:r>
    </w:p>
    <w:p>
      <w:pPr>
        <w:pStyle w:val="null3"/>
      </w:pPr>
      <w:r>
        <w:rPr>
          <w:sz w:val="21"/>
        </w:rPr>
        <w:t>签定日期：　　　年　　月　　日</w:t>
      </w:r>
      <w:r>
        <w:rPr>
          <w:sz w:val="21"/>
        </w:rPr>
        <w:t xml:space="preserve">             </w:t>
      </w:r>
      <w:r>
        <w:rPr>
          <w:sz w:val="21"/>
        </w:rPr>
        <w:t>签定日期：　　　年　　月　　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440001-2026-31209</w:t>
      </w:r>
    </w:p>
    <w:p>
      <w:pPr>
        <w:pStyle w:val="null3"/>
        <w:jc w:val="center"/>
        <w:outlineLvl w:val="3"/>
      </w:pPr>
      <w:r>
        <w:rPr>
          <w:sz w:val="24"/>
          <w:b/>
        </w:rPr>
        <w:t>采购项目编号：</w:t>
      </w:r>
      <w:r>
        <w:rPr>
          <w:sz w:val="24"/>
          <w:b/>
        </w:rPr>
        <w:t>ZZ0260563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广东志正招标有限公司</w:t>
      </w:r>
    </w:p>
    <w:p>
      <w:pPr>
        <w:pStyle w:val="null3"/>
        <w:ind w:firstLine="480"/>
      </w:pPr>
      <w:r>
        <w:rPr/>
        <w:t xml:space="preserve"> 你方组织的</w:t>
      </w:r>
      <w:r>
        <w:rPr>
          <w:u w:val="single"/>
        </w:rPr>
        <w:t>“</w:t>
      </w:r>
      <w:r>
        <w:rPr>
          <w:u w:val="single"/>
        </w:rPr>
        <w:t>广东技术师范大学广州校区学生宿舍家具采购项目</w:t>
      </w:r>
      <w:r>
        <w:rPr>
          <w:u w:val="single"/>
        </w:rPr>
        <w:t>”</w:t>
      </w:r>
      <w:r>
        <w:rPr/>
        <w:t>项目的招标[采购项目编号为：</w:t>
      </w:r>
      <w:r>
        <w:rPr>
          <w:u w:val="single"/>
        </w:rPr>
        <w:t>ZZ0260563</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广东技术师范大学广州校区学生宿舍家具采购项目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广东志正招标有限公司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广东技术师范大学广州校区学生宿舍家具采购项目</w:t>
      </w:r>
      <w:r>
        <w:rPr/>
        <w:t>”项目采购[采购项目编号为</w:t>
      </w:r>
      <w:r>
        <w:rPr/>
        <w:t>ZZ0260563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广东技术师范大学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广东志正招标有限公司</w:t>
      </w:r>
    </w:p>
    <w:p>
      <w:pPr>
        <w:pStyle w:val="null3"/>
        <w:ind w:firstLine="480"/>
      </w:pPr>
      <w:r>
        <w:rPr/>
        <w:t xml:space="preserve"> 如果我方在贵采购代理机构组织的</w:t>
      </w:r>
      <w:r>
        <w:rPr/>
        <w:t>广东技术师范大学广州校区学生宿舍家具采购项目</w:t>
      </w:r>
      <w:r>
        <w:rPr/>
        <w:t>招标中获中标（采购项目编号：</w:t>
      </w:r>
      <w:r>
        <w:rPr/>
        <w:t>ZZ0260563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广东志正招标有限公司</w:t>
      </w:r>
    </w:p>
    <w:p>
      <w:pPr>
        <w:pStyle w:val="null3"/>
        <w:ind w:firstLine="480"/>
      </w:pPr>
      <w:r>
        <w:rPr/>
        <w:t>我单位已登记并准备参与“</w:t>
      </w:r>
      <w:r>
        <w:rPr/>
        <w:t>广东技术师范大学广州校区学生宿舍家具采购项目</w:t>
      </w:r>
      <w:r>
        <w:rPr/>
        <w:t>”项目（采购项目编号：</w:t>
      </w:r>
      <w:r>
        <w:rPr/>
        <w:t>ZZ0260563</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media/image1.png" Type="http://schemas.openxmlformats.org/officeDocument/2006/relationships/image"/><Relationship Id="rId6" Target="media/image2.png" Type="http://schemas.openxmlformats.org/officeDocument/2006/relationships/image"/><Relationship Id="rId7" Target="media/image3.png" Type="http://schemas.openxmlformats.org/officeDocument/2006/relationships/image"/><Relationship Id="rId8" Target="media/image4.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