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440101-2026-10727</w:t>
      </w:r>
    </w:p>
    <w:p>
      <w:pPr>
        <w:pStyle w:val="null3"/>
        <w:jc w:val="center"/>
        <w:outlineLvl w:val="3"/>
      </w:pPr>
      <w:r>
        <w:rPr>
          <w:sz w:val="24"/>
          <w:b/>
        </w:rPr>
        <w:t>采购项目编号：</w:t>
      </w:r>
      <w:r>
        <w:rPr>
          <w:sz w:val="24"/>
          <w:b/>
        </w:rPr>
        <w:t>440101-2026-10727</w:t>
      </w:r>
    </w:p>
    <w:p>
      <w:pPr>
        <w:pStyle w:val="null3"/>
        <w:jc w:val="center"/>
        <w:outlineLvl w:val="3"/>
      </w:pPr>
      <w:r>
        <w:rPr>
          <w:sz w:val="24"/>
          <w:b/>
        </w:rPr>
        <w:t>项目名称：</w:t>
      </w:r>
      <w:r>
        <w:rPr>
          <w:sz w:val="24"/>
          <w:b/>
        </w:rPr>
        <w:t>广州市无线电监测站-广东省2026年智能化无线电监测管制设备新建项目</w:t>
      </w:r>
    </w:p>
    <w:p>
      <w:pPr>
        <w:pStyle w:val="null3"/>
        <w:jc w:val="center"/>
        <w:outlineLvl w:val="3"/>
      </w:pPr>
      <w:r>
        <w:rPr>
          <w:sz w:val="24"/>
          <w:b/>
        </w:rPr>
        <w:t>采购人：</w:t>
      </w:r>
      <w:r>
        <w:rPr>
          <w:sz w:val="24"/>
          <w:b/>
        </w:rPr>
        <w:t>广州市无线电监测站</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广州市无线电监测站</w:t>
      </w:r>
      <w:r>
        <w:rPr/>
        <w:t>的委托，采用</w:t>
      </w:r>
      <w:r>
        <w:rPr/>
        <w:t>公开招标</w:t>
      </w:r>
      <w:r>
        <w:rPr/>
        <w:t>方式组织采购</w:t>
      </w:r>
      <w:r>
        <w:rPr/>
        <w:t>广州市无线电监测站-广东省2026年智能化无线电监测管制设备新建项目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广州市无线电监测站-广东省2026年智能化无线电监测管制设备新建项目</w:t>
      </w:r>
    </w:p>
    <w:p>
      <w:pPr>
        <w:pStyle w:val="null3"/>
        <w:ind w:firstLine="480"/>
      </w:pPr>
      <w:r>
        <w:rPr/>
        <w:t>采购计划编号：</w:t>
      </w:r>
      <w:r>
        <w:rPr/>
        <w:t>440101-2026-10727</w:t>
      </w:r>
    </w:p>
    <w:p>
      <w:pPr>
        <w:pStyle w:val="null3"/>
        <w:ind w:firstLine="480"/>
      </w:pPr>
      <w:r>
        <w:rPr/>
        <w:t>采购项目编号：</w:t>
      </w:r>
      <w:r>
        <w:rPr/>
        <w:t>440101-2026-10727</w:t>
      </w:r>
    </w:p>
    <w:p>
      <w:pPr>
        <w:pStyle w:val="null3"/>
        <w:ind w:firstLine="480"/>
      </w:pPr>
      <w:r>
        <w:rPr/>
        <w:t>采购方式：</w:t>
      </w:r>
      <w:r>
        <w:rPr/>
        <w:t>公开招标</w:t>
      </w:r>
    </w:p>
    <w:p>
      <w:pPr>
        <w:pStyle w:val="null3"/>
        <w:ind w:firstLine="480"/>
      </w:pPr>
      <w:r>
        <w:rPr/>
        <w:t>预算金额：</w:t>
      </w:r>
      <w:r>
        <w:rPr/>
        <w:t>2,100,000.00</w:t>
      </w:r>
      <w:r>
        <w:rPr/>
        <w:t>元</w:t>
      </w:r>
    </w:p>
    <w:p>
      <w:pPr>
        <w:pStyle w:val="null3"/>
        <w:outlineLvl w:val="3"/>
      </w:pPr>
      <w:r>
        <w:rPr>
          <w:sz w:val="24"/>
          <w:b/>
        </w:rPr>
        <w:t>2.项目内容及需求情况（采购项目技术规格、参数及要求）</w:t>
      </w:r>
    </w:p>
    <w:p>
      <w:pPr>
        <w:pStyle w:val="null3"/>
      </w:pPr>
      <w:r>
        <w:rPr/>
        <w:t>采购包1(广州市无线电监测站-广东省2026年智能化无线电监测管制设备新建项目):</w:t>
      </w:r>
    </w:p>
    <w:p>
      <w:pPr>
        <w:pStyle w:val="null3"/>
      </w:pPr>
      <w:r>
        <w:rPr/>
        <w:t>采购包预算金额：2,100,000.00元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其他电子和通信测量仪器</w:t>
            </w:r>
          </w:p>
        </w:tc>
        <w:tc>
          <w:tcPr>
            <w:tcW w:type="dxa" w:w="2136"/>
          </w:tcPr>
          <w:p>
            <w:pPr>
              <w:pStyle w:val="null3"/>
            </w:pPr>
            <w:r>
              <w:rPr/>
              <w:t>广州市无线电监测站-广东省2026年智能化无线电监测管制设备新建项目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其他电子和通信测量仪器</w:t>
            </w:r>
          </w:p>
        </w:tc>
        <w:tc>
          <w:tcPr>
            <w:tcW w:type="dxa" w:w="2076"/>
          </w:tcPr>
          <w:p>
            <w:pPr>
              <w:pStyle w:val="null3"/>
              <w:jc w:val="left"/>
            </w:pPr>
            <w:r>
              <w:rPr/>
              <w:t>广州市无线电监测站-广东省2026年智能化无线电监测管制设备新建项目</w:t>
            </w:r>
          </w:p>
        </w:tc>
        <w:tc>
          <w:tcPr>
            <w:tcW w:type="dxa" w:w="2076"/>
          </w:tcPr>
          <w:p>
            <w:pPr>
              <w:pStyle w:val="null3"/>
              <w:jc w:val="left"/>
            </w:pPr>
            <w:r>
              <w:rPr/>
              <w:t>广州市无线电监测站-广东省2026年智能化无线电监测管制设备新建项目</w:t>
            </w:r>
          </w:p>
        </w:tc>
      </w:tr>
    </w:tbl>
    <w:p>
      <w:pPr>
        <w:pStyle w:val="null3"/>
      </w:pPr>
      <w:r>
        <w:rPr/>
        <w:t>本采购包不接受联合体投标</w:t>
      </w:r>
    </w:p>
    <w:p>
      <w:pPr>
        <w:pStyle w:val="null3"/>
      </w:pPr>
      <w:r>
        <w:rPr/>
        <w:t>合同分包：不允许合同分包</w:t>
      </w:r>
    </w:p>
    <w:p>
      <w:pPr>
        <w:pStyle w:val="null3"/>
      </w:pPr>
      <w:r>
        <w:rPr/>
        <w:t>合同履行期限：自合同签订之日起至项目竣工验收合格之日止，项目建设工期为2026年8月至2026年12月（具体以合同签订为准）。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2）有依法缴纳税收和社会保障资金的良好记录：有依法缴纳税收和社会保障资金的良好记录，提供签署及盖章合格的投标函。</w:t>
      </w:r>
    </w:p>
    <w:p>
      <w:pPr>
        <w:pStyle w:val="null3"/>
      </w:pPr>
      <w:r>
        <w:rPr/>
        <w:t>3）具有良好的商业信誉和健全的财务会计制度：具有良好的商业信誉和健全的财务会计制度，提供签署及盖章合格的投标函。</w:t>
      </w:r>
    </w:p>
    <w:p>
      <w:pPr>
        <w:pStyle w:val="null3"/>
      </w:pPr>
      <w:r>
        <w:rPr/>
        <w:t>4）履行合同所必需的设备和专业技术能力：具有履行合同所必需的设备和专业技术能力，提供签署及盖章合格的投标函。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采购包1（广州市无线电监测站-广东省2026年智能化无线电监测管制设备新建项目）：</w:t>
      </w:r>
      <w:r>
        <w:rPr/>
        <w:t>本项目属于整体预留专门面向中小企业采购的项目,所有货物由符合货物所属行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采购包1（广州市无线电监测站-广东省2026年智能化无线电监测管制设备新建项目）：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广州市无线电监测站</w:t>
      </w:r>
    </w:p>
    <w:p>
      <w:pPr>
        <w:pStyle w:val="null3"/>
        <w:ind w:firstLine="480"/>
      </w:pPr>
      <w:r>
        <w:rPr/>
        <w:t xml:space="preserve"> 地址：</w:t>
      </w:r>
      <w:r>
        <w:rPr/>
        <w:t>广州市越秀区东风中路268号广州交易广场3010</w:t>
      </w:r>
    </w:p>
    <w:p>
      <w:pPr>
        <w:pStyle w:val="null3"/>
        <w:ind w:firstLine="480"/>
      </w:pPr>
      <w:r>
        <w:rPr/>
        <w:t xml:space="preserve"> 联系方式：</w:t>
      </w:r>
      <w:r>
        <w:rPr/>
        <w:t>020-83511551</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广东省广州市天河区龙怡路117号5楼</w:t>
      </w:r>
    </w:p>
    <w:p>
      <w:pPr>
        <w:pStyle w:val="null3"/>
        <w:ind w:firstLine="480"/>
      </w:pPr>
      <w:r>
        <w:rPr/>
        <w:t xml:space="preserve"> 联系方式：</w:t>
      </w:r>
      <w:r>
        <w:rPr/>
        <w:t>020-85165610</w:t>
      </w:r>
    </w:p>
    <w:p>
      <w:pPr>
        <w:pStyle w:val="null3"/>
        <w:outlineLvl w:val="3"/>
      </w:pPr>
      <w:r>
        <w:rPr>
          <w:sz w:val="24"/>
          <w:b/>
        </w:rPr>
        <w:t xml:space="preserve"> 3.项目联系方式</w:t>
      </w:r>
    </w:p>
    <w:p>
      <w:pPr>
        <w:pStyle w:val="null3"/>
        <w:ind w:firstLine="480"/>
      </w:pPr>
      <w:r>
        <w:rPr/>
        <w:t xml:space="preserve"> 项目联系人：</w:t>
      </w:r>
      <w:r>
        <w:rPr/>
        <w:t>罗小姐、滕小姐</w:t>
      </w:r>
    </w:p>
    <w:p>
      <w:pPr>
        <w:pStyle w:val="null3"/>
        <w:ind w:firstLine="480"/>
      </w:pPr>
      <w:r>
        <w:rPr/>
        <w:t xml:space="preserve"> 电话：</w:t>
      </w:r>
      <w:r>
        <w:rPr/>
        <w:t>020-85165610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w:t>
      </w:r>
      <w:r>
        <w:rPr>
          <w:sz w:val="21"/>
          <w:b/>
        </w:rPr>
        <w:t>、投标人须对本项目为单位（有划分包组的，则以包组为单位）的标的物进行整体投标，任何只对其中一部分内容进行的投标都被视为无效投标。</w:t>
      </w:r>
    </w:p>
    <w:p>
      <w:pPr>
        <w:pStyle w:val="null3"/>
        <w:jc w:val="both"/>
      </w:pPr>
      <w:r>
        <w:rPr>
          <w:sz w:val="21"/>
          <w:b/>
        </w:rPr>
        <w:t>2</w:t>
      </w:r>
      <w:r>
        <w:rPr>
          <w:sz w:val="21"/>
          <w:b/>
        </w:rPr>
        <w:t>、本招标文件中，凡标有“★”的地方，投标人要特别加以注意，必须对此作出一一响应。若有一项带“★”的指标未响应或不满足，将导致其废标或投标无效。</w:t>
      </w:r>
    </w:p>
    <w:p>
      <w:pPr>
        <w:pStyle w:val="null3"/>
        <w:jc w:val="both"/>
      </w:pPr>
      <w:r>
        <w:rPr>
          <w:sz w:val="21"/>
          <w:b/>
        </w:rPr>
        <w:t>3</w:t>
      </w:r>
      <w:r>
        <w:rPr>
          <w:sz w:val="21"/>
          <w:b/>
        </w:rPr>
        <w:t>、无论招标文件中是否有具体要求，投标人所投的货物及伴随的服务和工程均应符合国家的强制性标准。同时，所投产品的生产制造商应遵守国家关于生产许可的强制规定。</w:t>
      </w:r>
    </w:p>
    <w:p>
      <w:pPr>
        <w:pStyle w:val="null3"/>
        <w:jc w:val="left"/>
      </w:pPr>
      <w:r>
        <w:rPr>
          <w:sz w:val="21"/>
          <w:b/>
        </w:rPr>
        <w:t>4</w:t>
      </w:r>
      <w:r>
        <w:rPr>
          <w:sz w:val="21"/>
          <w:b/>
        </w:rPr>
        <w:t>、</w:t>
      </w:r>
      <w:r>
        <w:rPr>
          <w:sz w:val="21"/>
          <w:b/>
        </w:rPr>
        <w:t>演示说明：</w:t>
      </w:r>
    </w:p>
    <w:tbl>
      <w:tblPr>
        <w:tblW w:w="0" w:type="auto"/>
        <w:tblBorders>
          <w:top w:val="none" w:color="000000" w:sz="4"/>
          <w:left w:val="none" w:color="000000" w:sz="4"/>
          <w:bottom w:val="none" w:color="000000" w:sz="4"/>
          <w:right w:val="none" w:color="000000" w:sz="4"/>
          <w:insideH w:val="none"/>
          <w:insideV w:val="none"/>
        </w:tblBorders>
      </w:tblPr>
      <w:tblGrid>
        <w:gridCol w:w="751"/>
        <w:gridCol w:w="7555"/>
      </w:tblGrid>
      <w:tr>
        <w:tc>
          <w:tcPr>
            <w:tcW w:type="dxa" w:w="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演示内容</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信号</w:t>
            </w:r>
            <w:r>
              <w:rPr>
                <w:sz w:val="21"/>
              </w:rPr>
              <w:t>监测分析</w:t>
            </w:r>
            <w:r>
              <w:rPr>
                <w:sz w:val="21"/>
              </w:rPr>
              <w:t>：显示中频全景</w:t>
            </w:r>
            <w:r>
              <w:rPr>
                <w:sz w:val="21"/>
              </w:rPr>
              <w:t>8</w:t>
            </w:r>
            <w:r>
              <w:rPr>
                <w:sz w:val="21"/>
              </w:rPr>
              <w:t>0MHz带宽频谱，对</w:t>
            </w:r>
            <w:r>
              <w:rPr>
                <w:sz w:val="21"/>
              </w:rPr>
              <w:t>8</w:t>
            </w:r>
            <w:r>
              <w:rPr>
                <w:sz w:val="21"/>
              </w:rPr>
              <w:t>0MHz全景频谱中任一信号进行分析及解调监测。</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解析及压制功能：</w:t>
            </w:r>
            <w:r>
              <w:rPr>
                <w:sz w:val="21"/>
              </w:rPr>
              <w:t>使用测试信号源，</w:t>
            </w:r>
            <w:r>
              <w:rPr>
                <w:sz w:val="21"/>
              </w:rPr>
              <w:t>同时</w:t>
            </w:r>
            <w:r>
              <w:rPr>
                <w:sz w:val="21"/>
              </w:rPr>
              <w:t>发送</w:t>
            </w:r>
            <w:r>
              <w:rPr>
                <w:sz w:val="21"/>
              </w:rPr>
              <w:t>4</w:t>
            </w:r>
            <w:r>
              <w:rPr>
                <w:sz w:val="21"/>
              </w:rPr>
              <w:t>条</w:t>
            </w:r>
            <w:r>
              <w:rPr>
                <w:sz w:val="21"/>
              </w:rPr>
              <w:t>指定内容的</w:t>
            </w:r>
            <w:r>
              <w:rPr>
                <w:sz w:val="21"/>
              </w:rPr>
              <w:t>作弊信号，</w:t>
            </w:r>
            <w:r>
              <w:rPr>
                <w:sz w:val="21"/>
              </w:rPr>
              <w:t>展示监测管制</w:t>
            </w:r>
            <w:r>
              <w:rPr>
                <w:sz w:val="21"/>
              </w:rPr>
              <w:t>设备能否解析成功，解码内容是否正确。解码成功后设备开启持续性</w:t>
            </w:r>
            <w:r>
              <w:rPr>
                <w:sz w:val="21"/>
              </w:rPr>
              <w:t>压制</w:t>
            </w:r>
            <w:r>
              <w:rPr>
                <w:sz w:val="21"/>
              </w:rPr>
              <w:t>，通过</w:t>
            </w:r>
            <w:r>
              <w:rPr>
                <w:sz w:val="21"/>
              </w:rPr>
              <w:t>外部监测</w:t>
            </w:r>
            <w:r>
              <w:rPr>
                <w:sz w:val="21"/>
              </w:rPr>
              <w:t>接收</w:t>
            </w:r>
            <w:r>
              <w:rPr>
                <w:sz w:val="21"/>
              </w:rPr>
              <w:t>设备展示监测管制</w:t>
            </w:r>
            <w:r>
              <w:rPr>
                <w:sz w:val="21"/>
              </w:rPr>
              <w:t>设备是否已经发出阻断信号且</w:t>
            </w:r>
            <w:r>
              <w:rPr>
                <w:sz w:val="21"/>
              </w:rPr>
              <w:t>作弊</w:t>
            </w:r>
            <w:r>
              <w:rPr>
                <w:sz w:val="21"/>
              </w:rPr>
              <w:t>接收器无法接收新信息。</w:t>
            </w:r>
          </w:p>
        </w:tc>
      </w:tr>
    </w:tbl>
    <w:p>
      <w:pPr>
        <w:pStyle w:val="null3"/>
        <w:jc w:val="both"/>
      </w:pPr>
      <w:r>
        <w:rPr>
          <w:sz w:val="21"/>
        </w:rPr>
        <w:t>备注：</w:t>
      </w:r>
    </w:p>
    <w:p>
      <w:pPr>
        <w:pStyle w:val="null3"/>
        <w:jc w:val="both"/>
      </w:pPr>
      <w:r>
        <w:rPr>
          <w:sz w:val="21"/>
        </w:rPr>
        <w:t>1.</w:t>
      </w:r>
      <w:r>
        <w:rPr>
          <w:sz w:val="21"/>
        </w:rPr>
        <w:t>请投标人自行准备演示所需要的设备，演示现场只提供电源和投影（</w:t>
      </w:r>
      <w:r>
        <w:rPr>
          <w:sz w:val="21"/>
        </w:rPr>
        <w:t>HDMI</w:t>
      </w:r>
      <w:r>
        <w:rPr>
          <w:sz w:val="21"/>
        </w:rPr>
        <w:t>接口）。</w:t>
      </w:r>
    </w:p>
    <w:p>
      <w:pPr>
        <w:pStyle w:val="null3"/>
        <w:jc w:val="left"/>
      </w:pPr>
      <w:r>
        <w:rPr>
          <w:sz w:val="21"/>
        </w:rPr>
        <w:t>2.</w:t>
      </w:r>
      <w:r>
        <w:rPr>
          <w:sz w:val="21"/>
        </w:rPr>
        <w:t>演示时间不超过</w:t>
      </w:r>
      <w:r>
        <w:rPr>
          <w:sz w:val="21"/>
        </w:rPr>
        <w:t>20</w:t>
      </w:r>
      <w:r>
        <w:rPr>
          <w:sz w:val="21"/>
        </w:rPr>
        <w:t>分钟，</w:t>
      </w:r>
      <w:r>
        <w:rPr>
          <w:sz w:val="21"/>
        </w:rPr>
        <w:t>演示人员</w:t>
      </w:r>
      <w:r>
        <w:rPr>
          <w:sz w:val="21"/>
        </w:rPr>
        <w:t>须凭身份证原件</w:t>
      </w:r>
      <w:r>
        <w:rPr>
          <w:sz w:val="21"/>
        </w:rPr>
        <w:t>及授权委托书</w:t>
      </w:r>
      <w:r>
        <w:rPr>
          <w:sz w:val="21"/>
        </w:rPr>
        <w:t>参加演示，参加人数一般不超过</w:t>
      </w:r>
      <w:r>
        <w:rPr>
          <w:sz w:val="21"/>
        </w:rPr>
        <w:t>2</w:t>
      </w:r>
      <w:r>
        <w:rPr>
          <w:sz w:val="21"/>
        </w:rPr>
        <w:t>人</w:t>
      </w:r>
      <w:r>
        <w:rPr>
          <w:sz w:val="21"/>
        </w:rPr>
        <w:t>。</w:t>
      </w:r>
    </w:p>
    <w:p>
      <w:pPr>
        <w:pStyle w:val="null3"/>
        <w:jc w:val="both"/>
      </w:pPr>
      <w:r>
        <w:rPr>
          <w:sz w:val="21"/>
        </w:rPr>
        <w:t>3.</w:t>
      </w:r>
      <w:r>
        <w:rPr>
          <w:sz w:val="21"/>
        </w:rPr>
        <w:t>详细的演示内容参考技术评分表。</w:t>
      </w:r>
    </w:p>
    <w:p>
      <w:pPr>
        <w:pStyle w:val="null3"/>
      </w:pPr>
      <w:r>
        <w:rPr/>
        <w:t>采购包1（广州市无线电监测站-广东省2026年智能化无线电监测管制设备新建项目）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自合同签订之日起至项目竣工验收合格之日止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1期：支付比例50%,合同签订后，采购人收到中标人提交的与拟支付金额等额正规税务发票5个工作日内，采购人启动首期款支付手续，采购人向中标人支付合同总金额的50%的预付款。</w:t>
            </w:r>
          </w:p>
          <w:p>
            <w:pPr>
              <w:pStyle w:val="null3"/>
            </w:pPr>
            <w:r>
              <w:rPr/>
              <w:t>2期：支付比例50%,在全部满足下述2个条件后5个工作日内，采购人向当地财政部门申请办理相当于合同总额50%的支付手续：1）中标人向采购人提交与拟支付金额等额的正规税务发票；2）中标人提交采购人认可的金额为合同总金额50%的银行无条件承兑保函一份，银行保函有效期为竣工验收后30天内。 3.竣工验收合格后，如没有出现采购人不可接受的问题，中标人提出书面申请后10个工作日内，采购人退还中标人银行保函。 4.因采购人使用的是财政资金，采购人在前述约定的付款时间为向政府采购支付部门提出办理财政支付申请手续的时间（不含政府财政支付部门审核的时间），在约定时间内提出支付申请手续后中标人不得追究采购人任何延期支付的违约责任。 5.中标人应当在银行保函有效期前15个工作日内主动完成更换保函工作，否则采购人有权在保函期限届满前3个工作日内全额兑现该保函，直至中标人提交新保函后方退还兑现款项，且由此产生的一切损失，由中标人承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1期：1.验收：（1）中标人应提供所代表品牌厂商原装、完整、全新的、符合国家及采购人提出的有关质量标准的设备及部件。 （2）要求对全部设备的配置和性能进行验收。 （3）中标人应负责在项目验收时将系统的全部有关产品说明书、原厂家安装手册、技术文件、资料、及安装、验收报告等文档汇集成册交付设备使用单位。 （4）所有设备、器材在开箱时须完好，无破损。配置与装箱单相符，数量、质量及性能不低于合同要求。拆箱后，中标人应对其全部产品、零件、配件、用户许可证书、资料、介质造册登记，并与装箱单对比，如有出入应立即书面记录，由供货商解决，如影响安装则按合同有关条款处理。登记册作为验收文档之一。 （5）项目系统软件验收包括检查设备性能和软件系统功能是否实现了采购人在本标书中的要求。（6）投标人应在投标文件中提出详细的验收方案,经采购人审核并同意后实施。（7）验收过程中存在争议的，采购人有权委托有资质的第三方机构开展测试验证工作，相关费用由中标人承担。 2.出厂验收：货物出厂前，采购人和中标人共同对货物进行验收，验收内容包括货物的功能、性能指标和相关的配件和文档，验收方法遵照国家相关标准和规范。硬件技术指标采取实验室、标准场地验收，软件功能采取现场操作比对验收。如发现货物与合同不相符或达不到合同的要求，中标人应在规定的时间内解决问题，由此引起的一切费用由中标人负担。若在规定的时间内仍未能解决，采购人有权拒收并要求赔偿。 3.项目验收：（1）满足验收条件后，采购人将按照广东省工信厅《广东省无线电管理基础和技术设施建设项目管理办法》要求开展合同验收和初步验收。中标人需事先准备验收文件并经采购人确认。验收合格后项目正式交付使用。中标人必须将项目相关的文档资料移交给采购人，文档须符合国家、省有关政府采购和项目管理中对档案验收的有关要求。各种文档和资料，须提供电子文档和纸面文档，文件格式为Word文档或Pdf文档或其他可视化文件。为本项目全新定制开发的应用软件部分，知识产权归采购人所有，需交付完整源代码及相关技术文档。若本项目中包含投标人既有的成熟软件产品，投标人应书面说明，该部分知识产权仍归投标人所有，但需承诺提供在本项目部署版本基础上的免费升级维护服务，并开放满足二次开发需求的API接口。（2）若验收通过，但还存在缺陷，双方订立限期改正协定。在限期内仍不达到要求，采购人有权索赔。（3）初步验收完成后，采购人将根据相关规定开展竣工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管理团队：（1）中标人必须针对本项目建立专门的管理组织机构，具有专职的项目负责人，其中必须包括一名专职负责的项目经理。（2）在项目实施期间，中标人如中途更换项目经理，必须征得采购人书面同意。中标人必须无条件接受采购人的监督检查，并承担人力不足、人员不到位所导致的相关质量、进度等违约责任。免费维护期间，中标人如更换项目经理或关键人员，须及时书面通知采购人。（3）对中标人在项目实施过程中出现资源、进度、质量协调控制不力的情况，采购人有权要求更换相关项目人员，中标人必须予以配合，并确保不影响项目建设的进度和质量。（4）投标人应在投标文件中提出项目组织方案、人员名单及沟通方案。 2.计划与进度：（1）投标人应在投标文件中提出详细的工作方案，明确项目开发方法、所采用的关键技术，项目管理过程，充分分析项目的可行性及存在的风险，提出完善的项目解决方案及项目计划，包括需求调研计划、软件开发计划、测试计划、部署及试运行计划、售后服务计划等，各阶段设立里程碑，经采购人审核批准后，作为项目的最终实施计划。（2）投标人应承诺允许采购人的全过程监管系统的调研、设计、开发、测试、集成、诊断及解决遇到的问题等各项工作。提出在开发过程中的开发计划及详细的进度安排计划，在项目实施过程中进行追踪和控制，定时总结并提交开发进度报告。投标人应在投标文件中提出项目的开发计划、进度安排计划、项目实施过程中的追踪和控制方案。 3.项目工期及交货：（1）项目建设工期为2026年8月至2026年12月（具体以合同签订为准）。（2）2026年10月31日前须完成货物交付和安装调试，交付之前须通过双方测试，并出具测试报告。测试通过后进入试运行期。（3）系统试运行期为1个月。试运行期间，采购人可对系统的配置和功能提出合理修改，中标人应积极配合解决。在试运行期，如出现重大故障(设备瘫痪24小时以上无法恢复)，中标人应当立即修复，试运行期从故障修复之日起重新计算，故障超过5周仍未解决的，采购人有权拒收并要求赔偿。 4.培训 4.1投标人在投标文件中提出全面的培训计划和课程内容安排，合同签订后征得采购人同意后实施，培训产生的所有费用由中标人承担。 4.2本项目培训包括用户培训和系统管理员培训。投标人在投标文件中必须针对不同的对象制定不同的培训计划，投标人一旦中标则应根据实际数量分别培训。 4.3普通用户培训：中标人完成对用户的普通用户进行技术培训，用户能够正确熟练地使用设备和应用系统。 4.4系统管理员培训：提供设备运行维护、系统配置、系统管理等相关的技术培训。 5.售后服务： 5.1 保修期（1）本项目的保修期为3年，时间自项目竣工验收合格之日起计算。中标人须提供持续的功能更新和维护服务。维护包括系统维护、功能完善、性能提升、故障检测、不超出系统功能范围的二次开发，以及因本项目所涉及的计算机或操作系统变更而导致的应用软件重新适配。（2）在保修期内如有设备损坏，更换件享受原有保修期的剩余时长或自更换日起1年的保修期，以二者中期限较长者为准。 5.2重大活动无线电安全保障期间中标人应根据采购人要求安排现场服务技术人员在采购人指定工作场所开展现场服务，主要职责包括操作指导、故障紧急排除。. 5.3 售后服务质量 （1）保修期内，要求提供7*24故障随时响应电话或邮件服务。无线电监测设施故障分为一级故障、二级故障、三级故障。系统出现故障时，中标人必须根据故障等级，在相应的时限之内响应并赴现场解决问题、恢复系统运行： 一级故障指无线电监测设施和相关系统出现瘫痪，监测测向功能丧失、设施运行中断或关键业务数据丢失，导致监测业务不能正常开展，且情况紧急。一级故障的响应时限应在30 分钟内，业务恢复时限应在 24 小时内，故障解决时限根据实际情况确定；二级故障指无线电监测设施和相关系统部分功能出现故障、系统性能下降，影响设施正常运行或监测测向结果出现较大误差，以及可能造成设施瘫痪或监测业务中断的重大隐患。二级故障的响应时限应在2 小时以内，业务恢复时限应在 48 小时以内，故障解决时限根据实际情况确定；三级故障指无线电监测设施和相关系统部分功能和性能受影响，但监测业务及其他主要功能仍可正常运行的情况。三级故障的响应时限应在12 小时以内，业务恢复时限应在 72 小时以内，故障解决时限根据实际情况确定。在规定时间内无法解决问题，要求提供不低于原产品性能的产品供采购人代用，直到故障设备修复并正常使用。（2）保修期内，中标人每季度需要赴现场对设备巡检不少于一次，巡检检查项目及要求按工业和信息化部无线电管理局的《省级无线电监测设施运行维护规定》（国无办〔2020〕4号附件2）执行。 5.4 投标人在响应文件中要求提出详细的售后服务方案和承诺。</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其他电子和通信测量仪器</w:t>
            </w:r>
          </w:p>
        </w:tc>
        <w:tc>
          <w:tcPr>
            <w:tcW w:type="dxa" w:w="831"/>
          </w:tcPr>
          <w:p>
            <w:pPr>
              <w:pStyle w:val="null3"/>
              <w:jc w:val="left"/>
            </w:pPr>
            <w:r>
              <w:rPr/>
              <w:t>广州市无线电监测站-广东省2026年智能化无线电监测管制设备新建项目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2,100,000.00</w:t>
            </w:r>
          </w:p>
        </w:tc>
        <w:tc>
          <w:tcPr>
            <w:tcW w:type="dxa" w:w="831"/>
          </w:tcPr>
          <w:p>
            <w:pPr>
              <w:pStyle w:val="null3"/>
              <w:jc w:val="right"/>
            </w:pPr>
            <w:r>
              <w:rPr/>
              <w:t>2,100,000.00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广州市无线电监测站-广东省2026年智能化无线电监测管制设备新建项目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项目总则</w:t>
            </w:r>
          </w:p>
          <w:p>
            <w:pPr>
              <w:pStyle w:val="null3"/>
            </w:pPr>
            <w:r>
              <w:rPr>
                <w:sz w:val="21"/>
              </w:rPr>
              <w:t>本项目名称为</w:t>
            </w:r>
            <w:r>
              <w:rPr>
                <w:sz w:val="21"/>
              </w:rPr>
              <w:t>“</w:t>
            </w:r>
            <w:r>
              <w:rPr>
                <w:sz w:val="21"/>
              </w:rPr>
              <w:t>广州市无线电监测站</w:t>
            </w:r>
            <w:r>
              <w:rPr>
                <w:sz w:val="21"/>
              </w:rPr>
              <w:t>-</w:t>
            </w:r>
            <w:r>
              <w:rPr>
                <w:sz w:val="21"/>
              </w:rPr>
              <w:t>广东省</w:t>
            </w:r>
            <w:r>
              <w:rPr>
                <w:sz w:val="21"/>
              </w:rPr>
              <w:t>2026</w:t>
            </w:r>
            <w:r>
              <w:rPr>
                <w:sz w:val="21"/>
              </w:rPr>
              <w:t>年智能化无线电监测管制设备新建项目</w:t>
            </w:r>
            <w:r>
              <w:rPr>
                <w:sz w:val="21"/>
              </w:rPr>
              <w:t>”</w:t>
            </w:r>
            <w:r>
              <w:rPr>
                <w:sz w:val="21"/>
              </w:rPr>
              <w:t>（以下简称</w:t>
            </w:r>
            <w:r>
              <w:rPr>
                <w:sz w:val="21"/>
              </w:rPr>
              <w:t>“</w:t>
            </w:r>
            <w:r>
              <w:rPr>
                <w:sz w:val="21"/>
              </w:rPr>
              <w:t>项目</w:t>
            </w:r>
            <w:r>
              <w:rPr>
                <w:sz w:val="21"/>
              </w:rPr>
              <w:t>”</w:t>
            </w:r>
            <w:r>
              <w:rPr>
                <w:sz w:val="21"/>
              </w:rPr>
              <w:t>），项目内容为在广州市</w:t>
            </w:r>
            <w:r>
              <w:rPr>
                <w:sz w:val="21"/>
              </w:rPr>
              <w:t>建设</w:t>
            </w:r>
            <w:r>
              <w:rPr>
                <w:sz w:val="21"/>
              </w:rPr>
              <w:t>6</w:t>
            </w:r>
            <w:r>
              <w:rPr>
                <w:sz w:val="21"/>
              </w:rPr>
              <w:t>套新一代智能化数字信号监测及管制系统，系统可灵活组网，应用场景适应性强，可进行常规监测，可对破坏无线电秩序的干扰源进行联合监测，满足重大事件和重大活动无线电使用安全保障</w:t>
            </w:r>
            <w:r>
              <w:rPr>
                <w:sz w:val="21"/>
              </w:rPr>
              <w:t>。</w:t>
            </w:r>
          </w:p>
        </w:tc>
      </w:tr>
      <w:tr>
        <w:tc>
          <w:tcPr>
            <w:tcW w:type="dxa" w:w="2076"/>
          </w:tcPr>
          <w:p/>
        </w:tc>
        <w:tc>
          <w:tcPr>
            <w:tcW w:type="dxa" w:w="415"/>
          </w:tcPr>
          <w:p>
            <w:pPr>
              <w:pStyle w:val="null3"/>
            </w:pPr>
            <w:r>
              <w:rPr/>
              <w:t>2</w:t>
            </w:r>
          </w:p>
        </w:tc>
        <w:tc>
          <w:tcPr>
            <w:tcW w:type="dxa" w:w="5814"/>
          </w:tcPr>
          <w:p>
            <w:pPr>
              <w:pStyle w:val="null3"/>
              <w:jc w:val="both"/>
            </w:pPr>
            <w:r>
              <w:rPr/>
              <w:t>二、项目</w:t>
            </w:r>
            <w:r>
              <w:rPr/>
              <w:t>要求</w:t>
            </w:r>
          </w:p>
          <w:p>
            <w:pPr>
              <w:pStyle w:val="null3"/>
              <w:jc w:val="both"/>
            </w:pPr>
            <w:r>
              <w:rPr>
                <w:sz w:val="20"/>
              </w:rPr>
              <w:t>本项目建设应符合国家关于无线电监测网建设规范和无线电管理一体化平台相关技术规范、联网协议要求、监测数据库、频率台站数据库等业务数据库结构相关规范、业务数据库接口服务规范，及其他相关技术标准：</w:t>
            </w:r>
          </w:p>
          <w:p>
            <w:pPr>
              <w:pStyle w:val="null3"/>
              <w:jc w:val="both"/>
            </w:pPr>
            <w:r>
              <w:rPr>
                <w:sz w:val="20"/>
              </w:rPr>
              <w:t>（</w:t>
            </w:r>
            <w:r>
              <w:rPr>
                <w:sz w:val="20"/>
              </w:rPr>
              <w:t>1</w:t>
            </w:r>
            <w:r>
              <w:rPr>
                <w:sz w:val="20"/>
              </w:rPr>
              <w:t>）《中华人民共和国无线电管理条例》（</w:t>
            </w:r>
            <w:r>
              <w:rPr>
                <w:sz w:val="20"/>
              </w:rPr>
              <w:t>2016</w:t>
            </w:r>
            <w:r>
              <w:rPr>
                <w:sz w:val="20"/>
              </w:rPr>
              <w:t>年版）</w:t>
            </w:r>
          </w:p>
          <w:p>
            <w:pPr>
              <w:pStyle w:val="null3"/>
              <w:jc w:val="both"/>
            </w:pPr>
            <w:r>
              <w:rPr>
                <w:sz w:val="20"/>
              </w:rPr>
              <w:t>（</w:t>
            </w:r>
            <w:r>
              <w:rPr>
                <w:sz w:val="20"/>
              </w:rPr>
              <w:t>2</w:t>
            </w:r>
            <w:r>
              <w:rPr>
                <w:sz w:val="20"/>
              </w:rPr>
              <w:t>）《省级无线电监测设施建设规范和技术要求（试行）》（</w:t>
            </w:r>
            <w:r>
              <w:rPr>
                <w:sz w:val="20"/>
              </w:rPr>
              <w:t>2019</w:t>
            </w:r>
            <w:r>
              <w:rPr>
                <w:sz w:val="20"/>
              </w:rPr>
              <w:t>年）</w:t>
            </w:r>
          </w:p>
          <w:p>
            <w:pPr>
              <w:pStyle w:val="null3"/>
              <w:jc w:val="both"/>
            </w:pPr>
            <w:r>
              <w:rPr>
                <w:sz w:val="20"/>
              </w:rPr>
              <w:t>（</w:t>
            </w:r>
            <w:r>
              <w:rPr>
                <w:sz w:val="20"/>
              </w:rPr>
              <w:t>3</w:t>
            </w:r>
            <w:r>
              <w:rPr>
                <w:sz w:val="20"/>
              </w:rPr>
              <w:t>）</w:t>
            </w:r>
            <w:r>
              <w:rPr>
                <w:sz w:val="20"/>
              </w:rPr>
              <w:t>《无线电监测软件功能的基本要求》（</w:t>
            </w:r>
            <w:r>
              <w:rPr>
                <w:sz w:val="20"/>
              </w:rPr>
              <w:t>2016</w:t>
            </w:r>
            <w:r>
              <w:rPr>
                <w:sz w:val="20"/>
              </w:rPr>
              <w:t>年）</w:t>
            </w:r>
          </w:p>
          <w:p>
            <w:pPr>
              <w:pStyle w:val="null3"/>
              <w:jc w:val="both"/>
            </w:pPr>
            <w:r>
              <w:rPr>
                <w:sz w:val="20"/>
              </w:rPr>
              <w:t>（</w:t>
            </w:r>
            <w:r>
              <w:rPr>
                <w:sz w:val="20"/>
              </w:rPr>
              <w:t>4</w:t>
            </w:r>
            <w:r>
              <w:rPr>
                <w:sz w:val="20"/>
              </w:rPr>
              <w:t>）《无线电监测网数据传输</w:t>
            </w:r>
            <w:r>
              <w:rPr>
                <w:sz w:val="20"/>
              </w:rPr>
              <w:t>RMTP</w:t>
            </w:r>
            <w:r>
              <w:rPr>
                <w:sz w:val="20"/>
              </w:rPr>
              <w:t>协议规范》（</w:t>
            </w:r>
            <w:r>
              <w:rPr>
                <w:sz w:val="20"/>
              </w:rPr>
              <w:t>2016</w:t>
            </w:r>
            <w:r>
              <w:rPr>
                <w:sz w:val="20"/>
              </w:rPr>
              <w:t>年）</w:t>
            </w:r>
          </w:p>
          <w:p>
            <w:pPr>
              <w:pStyle w:val="null3"/>
              <w:jc w:val="both"/>
            </w:pPr>
            <w:r>
              <w:rPr>
                <w:sz w:val="20"/>
              </w:rPr>
              <w:t>（</w:t>
            </w:r>
            <w:r>
              <w:rPr>
                <w:sz w:val="20"/>
              </w:rPr>
              <w:t>5</w:t>
            </w:r>
            <w:r>
              <w:rPr>
                <w:sz w:val="20"/>
              </w:rPr>
              <w:t>）《超短波监测管理一体化平台技术规范》（</w:t>
            </w:r>
            <w:r>
              <w:rPr>
                <w:sz w:val="20"/>
              </w:rPr>
              <w:t>2020</w:t>
            </w:r>
            <w:r>
              <w:rPr>
                <w:sz w:val="20"/>
              </w:rPr>
              <w:t>年）</w:t>
            </w:r>
          </w:p>
          <w:p>
            <w:pPr>
              <w:pStyle w:val="null3"/>
              <w:jc w:val="both"/>
            </w:pPr>
            <w:r>
              <w:rPr>
                <w:sz w:val="20"/>
              </w:rPr>
              <w:t>（</w:t>
            </w:r>
            <w:r>
              <w:rPr>
                <w:sz w:val="20"/>
              </w:rPr>
              <w:t>6</w:t>
            </w:r>
            <w:r>
              <w:rPr>
                <w:sz w:val="20"/>
              </w:rPr>
              <w:t>）《超短波频段监测基础数据存储结构技术规范》（</w:t>
            </w:r>
            <w:r>
              <w:rPr>
                <w:sz w:val="20"/>
              </w:rPr>
              <w:t>2020</w:t>
            </w:r>
            <w:r>
              <w:rPr>
                <w:sz w:val="20"/>
              </w:rPr>
              <w:t>年）</w:t>
            </w:r>
          </w:p>
          <w:p>
            <w:pPr>
              <w:pStyle w:val="null3"/>
              <w:jc w:val="both"/>
            </w:pPr>
            <w:r>
              <w:rPr>
                <w:sz w:val="20"/>
              </w:rPr>
              <w:t>（</w:t>
            </w:r>
            <w:r>
              <w:rPr>
                <w:sz w:val="20"/>
              </w:rPr>
              <w:t>7</w:t>
            </w:r>
            <w:r>
              <w:rPr>
                <w:sz w:val="20"/>
              </w:rPr>
              <w:t>）</w:t>
            </w:r>
            <w:r>
              <w:rPr>
                <w:sz w:val="20"/>
              </w:rPr>
              <w:t>《省级无线电管理一体化平台建设规范及技术要求》（</w:t>
            </w:r>
            <w:r>
              <w:rPr>
                <w:sz w:val="20"/>
              </w:rPr>
              <w:t>2024</w:t>
            </w:r>
            <w:r>
              <w:rPr>
                <w:sz w:val="20"/>
              </w:rPr>
              <w:t>年）</w:t>
            </w:r>
          </w:p>
          <w:p>
            <w:pPr>
              <w:pStyle w:val="null3"/>
              <w:jc w:val="both"/>
            </w:pPr>
            <w:r>
              <w:rPr>
                <w:sz w:val="20"/>
              </w:rPr>
              <w:t>（</w:t>
            </w:r>
            <w:r>
              <w:rPr>
                <w:sz w:val="20"/>
              </w:rPr>
              <w:t>8</w:t>
            </w:r>
            <w:r>
              <w:rPr>
                <w:sz w:val="20"/>
              </w:rPr>
              <w:t>）</w:t>
            </w:r>
            <w:r>
              <w:rPr>
                <w:sz w:val="20"/>
              </w:rPr>
              <w:t>《无线电管理一体化平台体系架构及应用规范》</w:t>
            </w:r>
          </w:p>
          <w:p>
            <w:pPr>
              <w:pStyle w:val="null3"/>
              <w:jc w:val="both"/>
            </w:pPr>
            <w:r>
              <w:rPr>
                <w:sz w:val="20"/>
              </w:rPr>
              <w:t>（</w:t>
            </w:r>
            <w:r>
              <w:rPr>
                <w:sz w:val="20"/>
              </w:rPr>
              <w:t>9</w:t>
            </w:r>
            <w:r>
              <w:rPr>
                <w:sz w:val="20"/>
              </w:rPr>
              <w:t>）</w:t>
            </w:r>
            <w:r>
              <w:rPr>
                <w:sz w:val="21"/>
              </w:rPr>
              <w:t xml:space="preserve"> </w:t>
            </w:r>
            <w:r>
              <w:rPr>
                <w:sz w:val="20"/>
              </w:rPr>
              <w:t>《超短波监测管理一体化平台技术规范，共五部分》</w:t>
            </w:r>
          </w:p>
          <w:p>
            <w:pPr>
              <w:pStyle w:val="null3"/>
              <w:jc w:val="both"/>
            </w:pPr>
            <w:r>
              <w:rPr>
                <w:sz w:val="20"/>
              </w:rPr>
              <w:t>（</w:t>
            </w:r>
            <w:r>
              <w:rPr>
                <w:sz w:val="20"/>
              </w:rPr>
              <w:t>1</w:t>
            </w:r>
            <w:r>
              <w:rPr>
                <w:sz w:val="20"/>
              </w:rPr>
              <w:t>0</w:t>
            </w:r>
            <w:r>
              <w:rPr>
                <w:sz w:val="20"/>
              </w:rPr>
              <w:t>）《无线电监测设施测试验证工作规定（试行）》</w:t>
            </w:r>
          </w:p>
          <w:p>
            <w:pPr>
              <w:pStyle w:val="null3"/>
              <w:jc w:val="both"/>
            </w:pPr>
            <w:r>
              <w:rPr>
                <w:sz w:val="20"/>
              </w:rPr>
              <w:t>（</w:t>
            </w:r>
            <w:r>
              <w:rPr>
                <w:sz w:val="20"/>
              </w:rPr>
              <w:t>1</w:t>
            </w:r>
            <w:r>
              <w:rPr>
                <w:sz w:val="20"/>
              </w:rPr>
              <w:t>1</w:t>
            </w:r>
            <w:r>
              <w:rPr>
                <w:sz w:val="20"/>
              </w:rPr>
              <w:t>）《</w:t>
            </w:r>
            <w:r>
              <w:rPr>
                <w:sz w:val="20"/>
              </w:rPr>
              <w:t>VHF/UHF</w:t>
            </w:r>
            <w:r>
              <w:rPr>
                <w:sz w:val="20"/>
              </w:rPr>
              <w:t>无线电监测测向系统开场测试参数和测试方法》</w:t>
            </w:r>
          </w:p>
          <w:p>
            <w:pPr>
              <w:pStyle w:val="null3"/>
              <w:jc w:val="both"/>
            </w:pPr>
            <w:r>
              <w:rPr>
                <w:sz w:val="20"/>
              </w:rPr>
              <w:t>（</w:t>
            </w:r>
            <w:r>
              <w:rPr>
                <w:sz w:val="20"/>
              </w:rPr>
              <w:t>1</w:t>
            </w:r>
            <w:r>
              <w:rPr>
                <w:sz w:val="20"/>
              </w:rPr>
              <w:t>2</w:t>
            </w:r>
            <w:r>
              <w:rPr>
                <w:sz w:val="20"/>
              </w:rPr>
              <w:t>）《</w:t>
            </w:r>
            <w:r>
              <w:rPr>
                <w:sz w:val="20"/>
              </w:rPr>
              <w:t>VHF/UHF</w:t>
            </w:r>
            <w:r>
              <w:rPr>
                <w:sz w:val="20"/>
              </w:rPr>
              <w:t>频段无线电监测接收机技术要求及测试方法》</w:t>
            </w:r>
          </w:p>
          <w:p>
            <w:pPr>
              <w:pStyle w:val="null3"/>
              <w:jc w:val="both"/>
            </w:pPr>
            <w:r>
              <w:rPr>
                <w:sz w:val="20"/>
              </w:rPr>
              <w:t>（</w:t>
            </w:r>
            <w:r>
              <w:rPr>
                <w:sz w:val="20"/>
              </w:rPr>
              <w:t>1</w:t>
            </w:r>
            <w:r>
              <w:rPr>
                <w:sz w:val="20"/>
              </w:rPr>
              <w:t>3</w:t>
            </w:r>
            <w:r>
              <w:rPr>
                <w:sz w:val="20"/>
              </w:rPr>
              <w:t>）《无线电监测技术设施电磁兼容性要求和测量方法》</w:t>
            </w:r>
          </w:p>
          <w:p>
            <w:pPr>
              <w:pStyle w:val="null3"/>
            </w:pPr>
            <w:r>
              <w:rPr>
                <w:sz w:val="21"/>
              </w:rPr>
              <w:t>如国家有新规定的按照新规定执行</w:t>
            </w:r>
            <w:r>
              <w:rPr>
                <w:sz w:val="21"/>
              </w:rPr>
              <w:t>。</w:t>
            </w:r>
          </w:p>
        </w:tc>
      </w:tr>
      <w:tr>
        <w:tc>
          <w:tcPr>
            <w:tcW w:type="dxa" w:w="2076"/>
          </w:tcPr>
          <w:p/>
        </w:tc>
        <w:tc>
          <w:tcPr>
            <w:tcW w:type="dxa" w:w="415"/>
          </w:tcPr>
          <w:p>
            <w:pPr>
              <w:pStyle w:val="null3"/>
            </w:pPr>
            <w:r>
              <w:rPr/>
              <w:t>3</w:t>
            </w:r>
          </w:p>
        </w:tc>
        <w:tc>
          <w:tcPr>
            <w:tcW w:type="dxa" w:w="5814"/>
          </w:tcPr>
          <w:p>
            <w:pPr>
              <w:pStyle w:val="null3"/>
              <w:jc w:val="both"/>
            </w:pPr>
            <w:r>
              <w:rPr/>
              <w:t>三、总体要求</w:t>
            </w:r>
          </w:p>
          <w:p>
            <w:pPr>
              <w:pStyle w:val="null3"/>
              <w:jc w:val="both"/>
            </w:pPr>
            <w:r>
              <w:rPr/>
              <w:t>1</w:t>
            </w:r>
            <w:r>
              <w:rPr/>
              <w:t>.</w:t>
            </w:r>
            <w:r>
              <w:rPr/>
              <w:t>规范性要求</w:t>
            </w:r>
          </w:p>
          <w:p>
            <w:pPr>
              <w:pStyle w:val="null3"/>
              <w:jc w:val="both"/>
            </w:pPr>
            <w:r>
              <w:rPr/>
              <w:t>本项目建设应符合国家关于无线电监测网建设规范和无线电管理一体化平台相关技术规范、联网协议要求、监测数据库、频率台站数据库等业务数据库结构相关规范、业务数据库接口服务规范，及其他相关技术标准：</w:t>
            </w:r>
          </w:p>
          <w:p>
            <w:pPr>
              <w:pStyle w:val="null3"/>
              <w:jc w:val="both"/>
            </w:pPr>
            <w:r>
              <w:rPr/>
              <w:t>2</w:t>
            </w:r>
            <w:r>
              <w:rPr/>
              <w:t>.</w:t>
            </w:r>
            <w:r>
              <w:rPr/>
              <w:t>设备服务化封装要求</w:t>
            </w:r>
            <w:r>
              <w:rPr/>
              <w:t>：</w:t>
            </w:r>
            <w:r>
              <w:rPr/>
              <w:t>系统应用软件符合国家原子化封装服务要求，监测设备应依据《超短波监测管理一体化平台技术规范</w:t>
            </w:r>
            <w:r>
              <w:rPr/>
              <w:t>第</w:t>
            </w:r>
            <w:r>
              <w:rPr/>
              <w:t>3</w:t>
            </w:r>
            <w:r>
              <w:rPr/>
              <w:t>部分：设备操作服务》（</w:t>
            </w:r>
            <w:r>
              <w:rPr/>
              <w:t>2023</w:t>
            </w:r>
            <w:r>
              <w:rPr/>
              <w:t>修订）与《超短波监测管理一体化平台技术规范</w:t>
            </w:r>
            <w:r>
              <w:rPr/>
              <w:t>SOAP</w:t>
            </w:r>
            <w:r>
              <w:rPr/>
              <w:t>报文结构补充说明（共</w:t>
            </w:r>
            <w:r>
              <w:rPr/>
              <w:t>3</w:t>
            </w:r>
            <w:r>
              <w:rPr/>
              <w:t>部分）》的相关要求实现</w:t>
            </w:r>
            <w:r>
              <w:rPr/>
              <w:t>WebService</w:t>
            </w:r>
            <w:r>
              <w:rPr/>
              <w:t>服务封装（含所有设备操作服务）。设备服务封装需完成原厂设备所有功能的封装，包括控制命令和返回数据流，避免仅封装基础功能造成原生功能丢失的情况。</w:t>
            </w:r>
          </w:p>
          <w:p>
            <w:pPr>
              <w:pStyle w:val="null3"/>
              <w:jc w:val="both"/>
            </w:pPr>
            <w:r>
              <w:rPr/>
              <w:t>3.</w:t>
            </w:r>
            <w:r>
              <w:rPr/>
              <w:t>本项目建设完成后，</w:t>
            </w:r>
            <w:r>
              <w:rPr/>
              <w:t>需实现由广东无线电管理一体化平台的统一管理和监测数据的分析、交换与共享，且所有设备操作服务的接入和调用均需符合《省级无线电管理一体化平台建设规范及技术要求（</w:t>
            </w:r>
            <w:r>
              <w:rPr/>
              <w:t>2024</w:t>
            </w:r>
            <w:r>
              <w:rPr/>
              <w:t>版）》的相关要求。项目建设完成后，各原子化服务通过现有广东无线电管理一体化平台的调用应稳定可靠。</w:t>
            </w:r>
            <w:r>
              <w:rPr>
                <w:sz w:val="20"/>
              </w:rPr>
              <w:t>根据《广东省工业和信息化厅关于加强无线电管理基础和技术设施建设项目一体化平台验收符合性测试工作的通知》（粤工信无监函</w:t>
            </w:r>
            <w:r>
              <w:rPr>
                <w:sz w:val="20"/>
              </w:rPr>
              <w:t>[2025]171</w:t>
            </w:r>
            <w:r>
              <w:rPr>
                <w:sz w:val="20"/>
              </w:rPr>
              <w:t>号）要求，项目验收前需通过由广东省工业和信息化厅组织的超短波监测资源调配平台符合性测试。</w:t>
            </w:r>
          </w:p>
          <w:p>
            <w:pPr>
              <w:pStyle w:val="null3"/>
            </w:pPr>
            <w:r>
              <w:rPr>
                <w:sz w:val="21"/>
              </w:rPr>
              <w:t>4</w:t>
            </w:r>
            <w:r>
              <w:rPr>
                <w:sz w:val="21"/>
              </w:rPr>
              <w:t>.</w:t>
            </w:r>
            <w:r>
              <w:rPr>
                <w:sz w:val="21"/>
              </w:rPr>
              <w:t>扩展性要求</w:t>
            </w:r>
            <w:r>
              <w:rPr>
                <w:sz w:val="21"/>
              </w:rPr>
              <w:t>：</w:t>
            </w:r>
            <w:r>
              <w:rPr>
                <w:sz w:val="21"/>
              </w:rPr>
              <w:t>系统应采用模块化设计，实现配置模块化，具备良好的可扩展能力，提供必要的扩展接口（如监测频段、接收机通道、中频带宽等），以适应未来系统扩展需求，同时便于故障排查与维修。在硬件系统性能满足处理能力要求的条件下，系统应支持通过升级软件达到对新类型信号源的分析、识别、解调等功能，有效地控制建设成本，避免多次重复投资。</w:t>
            </w:r>
          </w:p>
        </w:tc>
      </w:tr>
      <w:tr>
        <w:tc>
          <w:tcPr>
            <w:tcW w:type="dxa" w:w="2076"/>
          </w:tcPr>
          <w:p/>
        </w:tc>
        <w:tc>
          <w:tcPr>
            <w:tcW w:type="dxa" w:w="415"/>
          </w:tcPr>
          <w:p>
            <w:pPr>
              <w:pStyle w:val="null3"/>
            </w:pPr>
            <w:r>
              <w:rPr/>
              <w:t>4</w:t>
            </w:r>
          </w:p>
        </w:tc>
        <w:tc>
          <w:tcPr>
            <w:tcW w:type="dxa" w:w="5814"/>
          </w:tcPr>
          <w:p>
            <w:pPr>
              <w:pStyle w:val="null3"/>
              <w:jc w:val="both"/>
            </w:pPr>
            <w:r>
              <w:rPr>
                <w:sz w:val="20"/>
                <w:b/>
              </w:rPr>
              <w:t>四、</w:t>
            </w:r>
            <w:r>
              <w:rPr>
                <w:sz w:val="20"/>
                <w:b/>
              </w:rPr>
              <w:t>设备概述</w:t>
            </w:r>
            <w:r>
              <w:rPr>
                <w:sz w:val="20"/>
                <w:b/>
              </w:rPr>
              <w:t>、功能和技术参数</w:t>
            </w:r>
          </w:p>
          <w:p>
            <w:pPr>
              <w:pStyle w:val="null3"/>
              <w:jc w:val="both"/>
            </w:pPr>
            <w:r>
              <w:rPr>
                <w:sz w:val="20"/>
                <w:b/>
              </w:rPr>
              <w:t>（一）</w:t>
            </w:r>
            <w:r>
              <w:rPr>
                <w:sz w:val="20"/>
                <w:b/>
              </w:rPr>
              <w:t>设备概述</w:t>
            </w:r>
          </w:p>
          <w:p>
            <w:pPr>
              <w:pStyle w:val="null3"/>
              <w:jc w:val="both"/>
            </w:pPr>
            <w:r>
              <w:rPr>
                <w:sz w:val="20"/>
              </w:rPr>
              <w:t>1.</w:t>
            </w:r>
            <w:r>
              <w:rPr>
                <w:sz w:val="20"/>
              </w:rPr>
              <w:t>针对考试作弊常用的</w:t>
            </w:r>
            <w:r>
              <w:rPr>
                <w:sz w:val="20"/>
              </w:rPr>
              <w:t>30-6000MHz频段内非公众移动通信考试作弊信号进行监测和管制，本设施应具备发现并解析考试作弊信号的能力，以及对不同的考试作弊信号发射相应无线电压制信号的功能。本设施可独立工作或与固定监测站、移动监测站、可搬移监测站、空中平台配合工作。</w:t>
            </w:r>
          </w:p>
          <w:p>
            <w:pPr>
              <w:pStyle w:val="null3"/>
              <w:jc w:val="both"/>
            </w:pPr>
            <w:r>
              <w:rPr>
                <w:sz w:val="20"/>
              </w:rPr>
              <w:t>2.本设施</w:t>
            </w:r>
            <w:r>
              <w:rPr>
                <w:sz w:val="20"/>
              </w:rPr>
              <w:t>内含独立主、副通道的监测接收机、数字信号解码模块</w:t>
            </w:r>
            <w:r>
              <w:rPr>
                <w:sz w:val="20"/>
              </w:rPr>
              <w:t>及</w:t>
            </w:r>
            <w:r>
              <w:rPr>
                <w:sz w:val="20"/>
              </w:rPr>
              <w:t>嵌入式计算机等相关模块。主、副两个通道可并行监测（</w:t>
            </w:r>
            <w:r>
              <w:rPr>
                <w:sz w:val="20"/>
              </w:rPr>
              <w:t>例</w:t>
            </w:r>
            <w:r>
              <w:rPr>
                <w:sz w:val="20"/>
              </w:rPr>
              <w:t>如一个通道全景扫描，一个通道固定频点分析）。</w:t>
            </w:r>
          </w:p>
          <w:p>
            <w:pPr>
              <w:pStyle w:val="null3"/>
              <w:jc w:val="both"/>
            </w:pPr>
            <w:r>
              <w:rPr>
                <w:sz w:val="20"/>
              </w:rPr>
              <w:t>3.</w:t>
            </w:r>
            <w:r>
              <w:rPr>
                <w:sz w:val="20"/>
              </w:rPr>
              <w:t>本设施应具备监测和管制功能，根据应用场景可具备车载、可搬移、固定安装形态。</w:t>
            </w:r>
          </w:p>
          <w:p>
            <w:pPr>
              <w:pStyle w:val="null3"/>
              <w:jc w:val="both"/>
            </w:pPr>
            <w:r>
              <w:rPr>
                <w:sz w:val="20"/>
              </w:rPr>
              <w:t>4.</w:t>
            </w:r>
            <w:r>
              <w:rPr>
                <w:sz w:val="20"/>
              </w:rPr>
              <w:t>在</w:t>
            </w:r>
            <w:r>
              <w:rPr>
                <w:sz w:val="20"/>
              </w:rPr>
              <w:t>−20℃-+40℃温度范围内正常工作，</w:t>
            </w:r>
            <w:r>
              <w:rPr>
                <w:sz w:val="20"/>
              </w:rPr>
              <w:t>应至少具备</w:t>
            </w:r>
            <w:r>
              <w:rPr>
                <w:sz w:val="20"/>
              </w:rPr>
              <w:t>8小时以上连续工作能力，车载、</w:t>
            </w:r>
            <w:r>
              <w:rPr>
                <w:sz w:val="20"/>
              </w:rPr>
              <w:t>可搬移和固定安装形态下具备防雨能力</w:t>
            </w:r>
            <w:r>
              <w:rPr>
                <w:sz w:val="20"/>
              </w:rPr>
              <w:t>（</w:t>
            </w:r>
            <w:r>
              <w:rPr>
                <w:sz w:val="20"/>
              </w:rPr>
              <w:t>符合</w:t>
            </w:r>
            <w:r>
              <w:rPr>
                <w:sz w:val="20"/>
              </w:rPr>
              <w:t>IP67或以上防雨水能力，国标GB/T4208定义的防护等级，完全防尘和短时浸水防水)</w:t>
            </w:r>
            <w:r>
              <w:rPr>
                <w:sz w:val="20"/>
              </w:rPr>
              <w:t>。</w:t>
            </w:r>
          </w:p>
          <w:p>
            <w:pPr>
              <w:pStyle w:val="null3"/>
              <w:jc w:val="both"/>
            </w:pPr>
            <w:r>
              <w:rPr>
                <w:sz w:val="20"/>
              </w:rPr>
              <w:t>5.本设施应配备2套车载，</w:t>
            </w:r>
            <w:r>
              <w:rPr>
                <w:sz w:val="20"/>
              </w:rPr>
              <w:t>3</w:t>
            </w:r>
            <w:r>
              <w:rPr>
                <w:sz w:val="20"/>
              </w:rPr>
              <w:t>套可搬移，</w:t>
            </w:r>
            <w:r>
              <w:rPr>
                <w:sz w:val="20"/>
              </w:rPr>
              <w:t>1</w:t>
            </w:r>
            <w:r>
              <w:rPr>
                <w:sz w:val="20"/>
              </w:rPr>
              <w:t>套固定安装形态所需的安装构件和安装服务。</w:t>
            </w:r>
          </w:p>
          <w:p>
            <w:pPr>
              <w:pStyle w:val="null3"/>
              <w:jc w:val="both"/>
            </w:pPr>
            <w:r>
              <w:rPr>
                <w:sz w:val="20"/>
              </w:rPr>
              <w:t>6.车载安装对车辆的改装不改变原车底盘的发动机、传动系统、制动系统、行驶系统和转向系统等关键结构；具备适应国内路面行驶的抗震性能，所有工具、配件及其他物品均固定牢固；系统设备、柜体、车厢的加固能够承受80-120km/h的急刹车的附加负载；放置天线的位置必须进行加固；设备机柜安装时，须配置过渡底板，并须采取二次减振措施；具有漏电流保护装置，车体及设备柜等人手可触及部件不带电,采取必要的保护措施；配备必要的自救工具和灭火设备。车辆改装后最大乘员数应不低于4人，整车整备质量不大于原车的规定最大总质量，满载爬坡能力满足原车指标；整车重心分布合理。监测车电源供电方案需具备汽车车载逆变供电、车载电池组、市电三种供电方式，在发动汽车的情况下通过电源控制器为设备提供无间断稳定可靠供电，供电功率可满足整套系统满负荷工作总功率的两倍以上。在无市电、无车载逆变供电模式下，车载电池组电源系统供电能确保车载系统正常工作时间≥</w:t>
            </w:r>
            <w:r>
              <w:rPr>
                <w:sz w:val="20"/>
              </w:rPr>
              <w:t>4</w:t>
            </w:r>
            <w:r>
              <w:rPr>
                <w:sz w:val="20"/>
              </w:rPr>
              <w:t xml:space="preserve"> </w:t>
            </w:r>
            <w:r>
              <w:rPr>
                <w:sz w:val="20"/>
              </w:rPr>
              <w:t>小时。选用的电池组具有使用寿命长和安全防爆的特点，适宜作为车载后备电池使用。</w:t>
            </w:r>
            <w:r>
              <w:rPr>
                <w:sz w:val="20"/>
              </w:rPr>
              <w:t>车辆改装后，整车高度不得超过</w:t>
            </w:r>
            <w:r>
              <w:rPr>
                <w:sz w:val="20"/>
              </w:rPr>
              <w:t>2.18米。</w:t>
            </w:r>
          </w:p>
          <w:p>
            <w:pPr>
              <w:pStyle w:val="null3"/>
              <w:jc w:val="both"/>
            </w:pPr>
            <w:r>
              <w:rPr>
                <w:sz w:val="20"/>
                <w:b/>
              </w:rPr>
              <w:t>（二）</w:t>
            </w:r>
            <w:r>
              <w:rPr>
                <w:sz w:val="20"/>
                <w:b/>
              </w:rPr>
              <w:t>设备</w:t>
            </w:r>
            <w:r>
              <w:rPr>
                <w:sz w:val="20"/>
                <w:b/>
              </w:rPr>
              <w:t>功能</w:t>
            </w:r>
          </w:p>
          <w:p>
            <w:pPr>
              <w:pStyle w:val="null3"/>
              <w:jc w:val="both"/>
            </w:pPr>
            <w:r>
              <w:rPr>
                <w:sz w:val="20"/>
              </w:rPr>
              <w:t>本</w:t>
            </w:r>
            <w:r>
              <w:rPr>
                <w:sz w:val="20"/>
              </w:rPr>
              <w:t>项目</w:t>
            </w:r>
            <w:r>
              <w:rPr>
                <w:sz w:val="20"/>
              </w:rPr>
              <w:t>建设的智能化无线电监测管制设备应具备以下功能：</w:t>
            </w:r>
          </w:p>
          <w:p>
            <w:pPr>
              <w:pStyle w:val="null3"/>
              <w:jc w:val="both"/>
            </w:pPr>
            <w:r>
              <w:rPr>
                <w:sz w:val="20"/>
              </w:rPr>
              <w:t>1.监测功能</w:t>
            </w:r>
          </w:p>
          <w:p>
            <w:pPr>
              <w:pStyle w:val="null3"/>
              <w:jc w:val="both"/>
            </w:pPr>
            <w:r>
              <w:rPr>
                <w:sz w:val="20"/>
              </w:rPr>
              <w:t>（</w:t>
            </w:r>
            <w:r>
              <w:rPr>
                <w:sz w:val="20"/>
              </w:rPr>
              <w:t>1）具备</w:t>
            </w:r>
            <w:r>
              <w:rPr>
                <w:sz w:val="20"/>
              </w:rPr>
              <w:t>对无线电信号实施测量、采集处理及分析识别</w:t>
            </w:r>
            <w:r>
              <w:rPr>
                <w:sz w:val="20"/>
              </w:rPr>
              <w:t>的功能</w:t>
            </w:r>
            <w:r>
              <w:rPr>
                <w:sz w:val="20"/>
              </w:rPr>
              <w:t>。</w:t>
            </w:r>
          </w:p>
          <w:p>
            <w:pPr>
              <w:pStyle w:val="null3"/>
              <w:jc w:val="both"/>
            </w:pPr>
            <w:r>
              <w:rPr>
                <w:sz w:val="20"/>
              </w:rPr>
              <w:t>（</w:t>
            </w:r>
            <w:r>
              <w:rPr>
                <w:sz w:val="20"/>
              </w:rPr>
              <w:t>2）具备频谱模板扫频功能，能够生成扫描模板。具备对超出设置门限的信号自动发现、跳转并解析、判断该信号是否为考试作弊信号的能力。</w:t>
            </w:r>
          </w:p>
          <w:p>
            <w:pPr>
              <w:pStyle w:val="null3"/>
              <w:jc w:val="both"/>
            </w:pPr>
            <w:r>
              <w:rPr>
                <w:sz w:val="20"/>
              </w:rPr>
              <w:t>（</w:t>
            </w:r>
            <w:r>
              <w:rPr>
                <w:sz w:val="20"/>
              </w:rPr>
              <w:t>3）具备对调频（FM）、数字对讲机、倒频调制</w:t>
            </w:r>
            <w:r>
              <w:rPr>
                <w:sz w:val="20"/>
              </w:rPr>
              <w:t>、</w:t>
            </w:r>
            <w:r>
              <w:rPr>
                <w:sz w:val="20"/>
              </w:rPr>
              <w:t>二进制数字频率调制（</w:t>
            </w:r>
            <w:r>
              <w:rPr>
                <w:sz w:val="20"/>
              </w:rPr>
              <w:t>2FSK）或LORA技术的考试作弊信号解调功能，信号分类见下表。</w:t>
            </w:r>
          </w:p>
          <w:p>
            <w:pPr>
              <w:pStyle w:val="null3"/>
              <w:jc w:val="both"/>
            </w:pPr>
            <w:r>
              <w:rPr>
                <w:sz w:val="20"/>
              </w:rPr>
              <w:t>表</w:t>
            </w:r>
            <w:r>
              <w:rPr>
                <w:sz w:val="20"/>
              </w:rPr>
              <w:t>1</w:t>
            </w:r>
          </w:p>
          <w:tbl>
            <w:tblPr>
              <w:tblBorders>
                <w:top w:val="none" w:color="000000" w:sz="4"/>
                <w:left w:val="none" w:color="000000" w:sz="4"/>
                <w:bottom w:val="none" w:color="000000" w:sz="4"/>
                <w:right w:val="none" w:color="000000" w:sz="4"/>
                <w:insideH w:val="none"/>
                <w:insideV w:val="none"/>
              </w:tblBorders>
            </w:tblPr>
            <w:tblGrid>
              <w:gridCol w:w="1622"/>
              <w:gridCol w:w="3976"/>
            </w:tblGrid>
            <w:tr>
              <w:tc>
                <w:tcPr>
                  <w:tcW w:type="dxa" w:w="1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调制方式</w:t>
                  </w:r>
                  <w:r>
                    <w:rPr>
                      <w:sz w:val="20"/>
                    </w:rPr>
                    <w:t>/</w:t>
                  </w:r>
                </w:p>
                <w:p>
                  <w:pPr>
                    <w:pStyle w:val="null3"/>
                    <w:jc w:val="both"/>
                  </w:pPr>
                  <w:r>
                    <w:rPr>
                      <w:sz w:val="20"/>
                    </w:rPr>
                    <w:t>通信技术</w:t>
                  </w:r>
                </w:p>
              </w:tc>
              <w:tc>
                <w:tcPr>
                  <w:tcW w:type="dxa" w:w="39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信号主要参数</w:t>
                  </w:r>
                </w:p>
              </w:tc>
            </w:tr>
            <w:tr>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FM</w:t>
                  </w:r>
                </w:p>
              </w:tc>
              <w:tc>
                <w:tcPr>
                  <w:tcW w:type="dxa" w:w="3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带宽：</w:t>
                  </w:r>
                  <w:r>
                    <w:rPr>
                      <w:sz w:val="20"/>
                    </w:rPr>
                    <w:t>12.5kHz，25kHz</w:t>
                  </w:r>
                </w:p>
              </w:tc>
            </w:tr>
            <w:tr>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2FSK</w:t>
                  </w:r>
                </w:p>
              </w:tc>
              <w:tc>
                <w:tcPr>
                  <w:tcW w:type="dxa" w:w="3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r>
                    <w:rPr>
                      <w:sz w:val="20"/>
                    </w:rPr>
                    <w:t>1）典型信号：云5，带宽：12.5kHz</w:t>
                  </w:r>
                </w:p>
                <w:p>
                  <w:pPr>
                    <w:pStyle w:val="null3"/>
                    <w:jc w:val="both"/>
                  </w:pPr>
                  <w:r>
                    <w:rPr>
                      <w:sz w:val="20"/>
                    </w:rPr>
                    <w:t>（</w:t>
                  </w:r>
                  <w:r>
                    <w:rPr>
                      <w:sz w:val="20"/>
                    </w:rPr>
                    <w:t>2）典型信号：TK F3，带宽：25kHz</w:t>
                  </w:r>
                </w:p>
                <w:p>
                  <w:pPr>
                    <w:pStyle w:val="null3"/>
                    <w:jc w:val="both"/>
                  </w:pPr>
                  <w:r>
                    <w:rPr>
                      <w:sz w:val="20"/>
                    </w:rPr>
                    <w:t>（</w:t>
                  </w:r>
                  <w:r>
                    <w:rPr>
                      <w:sz w:val="20"/>
                    </w:rPr>
                    <w:t>3）典型信号：RS2009，带宽：50kHz</w:t>
                  </w:r>
                </w:p>
                <w:p>
                  <w:pPr>
                    <w:pStyle w:val="null3"/>
                    <w:jc w:val="both"/>
                  </w:pPr>
                  <w:r>
                    <w:rPr>
                      <w:sz w:val="20"/>
                    </w:rPr>
                    <w:t>（</w:t>
                  </w:r>
                  <w:r>
                    <w:rPr>
                      <w:sz w:val="20"/>
                    </w:rPr>
                    <w:t>4）典型信号：Sunlips，带宽：60kHz</w:t>
                  </w:r>
                </w:p>
              </w:tc>
            </w:tr>
            <w:tr>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LORA</w:t>
                  </w:r>
                </w:p>
              </w:tc>
              <w:tc>
                <w:tcPr>
                  <w:tcW w:type="dxa" w:w="3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r>
                    <w:rPr>
                      <w:sz w:val="20"/>
                    </w:rPr>
                    <w:t>1）典型信号：云6，带宽：62.5kHz</w:t>
                  </w:r>
                </w:p>
                <w:p>
                  <w:pPr>
                    <w:pStyle w:val="null3"/>
                    <w:jc w:val="both"/>
                  </w:pPr>
                  <w:r>
                    <w:rPr>
                      <w:sz w:val="20"/>
                    </w:rPr>
                    <w:t>（</w:t>
                  </w:r>
                  <w:r>
                    <w:rPr>
                      <w:sz w:val="20"/>
                    </w:rPr>
                    <w:t>2）典型信号：TK F6，带宽：62.5kHz</w:t>
                  </w:r>
                </w:p>
                <w:p>
                  <w:pPr>
                    <w:pStyle w:val="null3"/>
                    <w:jc w:val="both"/>
                  </w:pPr>
                  <w:r>
                    <w:rPr>
                      <w:sz w:val="20"/>
                    </w:rPr>
                    <w:t>（</w:t>
                  </w:r>
                  <w:r>
                    <w:rPr>
                      <w:sz w:val="20"/>
                    </w:rPr>
                    <w:t>3）典型信号：TK F10，带宽：62.5kHz</w:t>
                  </w:r>
                </w:p>
                <w:p>
                  <w:pPr>
                    <w:pStyle w:val="null3"/>
                    <w:jc w:val="both"/>
                  </w:pPr>
                  <w:r>
                    <w:rPr>
                      <w:sz w:val="20"/>
                    </w:rPr>
                    <w:t>（</w:t>
                  </w:r>
                  <w:r>
                    <w:rPr>
                      <w:sz w:val="20"/>
                    </w:rPr>
                    <w:t>4）典型信号：TK F6+，带宽：62.5kHz</w:t>
                  </w:r>
                </w:p>
                <w:p>
                  <w:pPr>
                    <w:pStyle w:val="null3"/>
                    <w:jc w:val="both"/>
                  </w:pPr>
                  <w:r>
                    <w:rPr>
                      <w:sz w:val="20"/>
                    </w:rPr>
                    <w:t>（</w:t>
                  </w:r>
                  <w:r>
                    <w:rPr>
                      <w:sz w:val="20"/>
                    </w:rPr>
                    <w:t>5）典型信号：云8，带宽：250kHz</w:t>
                  </w:r>
                </w:p>
                <w:p>
                  <w:pPr>
                    <w:pStyle w:val="null3"/>
                    <w:jc w:val="both"/>
                  </w:pPr>
                  <w:r>
                    <w:rPr>
                      <w:sz w:val="20"/>
                    </w:rPr>
                    <w:t>（</w:t>
                  </w:r>
                  <w:r>
                    <w:rPr>
                      <w:sz w:val="20"/>
                    </w:rPr>
                    <w:t>6）典型信号：XSERVER2，带宽：125kHz</w:t>
                  </w:r>
                </w:p>
              </w:tc>
            </w:tr>
          </w:tbl>
          <w:p>
            <w:pPr>
              <w:pStyle w:val="null3"/>
              <w:jc w:val="both"/>
            </w:pPr>
            <w:r>
              <w:rPr>
                <w:sz w:val="20"/>
              </w:rPr>
              <w:t>注：应覆盖表中的所有信号类型，随着新型考试作弊信号的出现，应支持解析功能扩展。</w:t>
            </w:r>
          </w:p>
          <w:p>
            <w:pPr>
              <w:pStyle w:val="null3"/>
              <w:jc w:val="both"/>
            </w:pPr>
            <w:r>
              <w:rPr>
                <w:sz w:val="20"/>
              </w:rPr>
              <w:t>（</w:t>
            </w:r>
            <w:r>
              <w:rPr>
                <w:sz w:val="20"/>
              </w:rPr>
              <w:t>4）具备对信号内容解析能力，</w:t>
            </w:r>
            <w:r>
              <w:rPr>
                <w:sz w:val="20"/>
              </w:rPr>
              <w:t>依据</w:t>
            </w:r>
            <w:r>
              <w:rPr>
                <w:sz w:val="20"/>
              </w:rPr>
              <w:t>目标信号类型，能够实时获取考试作弊信号的中心频率、信号强度、信号类型、调制方式、信道</w:t>
            </w:r>
            <w:r>
              <w:rPr>
                <w:sz w:val="20"/>
              </w:rPr>
              <w:t>ID号、用户ID，以及解调的语音或文字内容等</w:t>
            </w:r>
            <w:r>
              <w:rPr>
                <w:sz w:val="20"/>
              </w:rPr>
              <w:t>，</w:t>
            </w:r>
            <w:r>
              <w:rPr>
                <w:sz w:val="20"/>
              </w:rPr>
              <w:t>具备关键词、可疑内容提醒、告警功能</w:t>
            </w:r>
            <w:r>
              <w:rPr>
                <w:sz w:val="20"/>
              </w:rPr>
              <w:t>。</w:t>
            </w:r>
          </w:p>
          <w:p>
            <w:pPr>
              <w:pStyle w:val="null3"/>
              <w:jc w:val="both"/>
            </w:pPr>
            <w:r>
              <w:rPr>
                <w:sz w:val="20"/>
              </w:rPr>
              <w:t>（</w:t>
            </w:r>
            <w:r>
              <w:rPr>
                <w:sz w:val="20"/>
              </w:rPr>
              <w:t>5）具备单频测量功能，可显示指定频率的频谱图和瀑布图。</w:t>
            </w:r>
          </w:p>
          <w:p>
            <w:pPr>
              <w:pStyle w:val="null3"/>
              <w:jc w:val="both"/>
            </w:pPr>
            <w:r>
              <w:rPr>
                <w:sz w:val="20"/>
              </w:rPr>
              <w:t>（</w:t>
            </w:r>
            <w:r>
              <w:rPr>
                <w:sz w:val="20"/>
              </w:rPr>
              <w:t>6）具备频谱、相位正交调制信号（IQ）数据存储功能。</w:t>
            </w:r>
          </w:p>
          <w:p>
            <w:pPr>
              <w:pStyle w:val="null3"/>
              <w:jc w:val="both"/>
            </w:pPr>
            <w:r>
              <w:rPr>
                <w:sz w:val="20"/>
              </w:rPr>
              <w:t>（</w:t>
            </w:r>
            <w:r>
              <w:rPr>
                <w:sz w:val="20"/>
              </w:rPr>
              <w:t>7）解码内容、以及所有功能的操作记录能够在控制软件上实时显示，且必须保存在系统工作日志中，供事后查询；如现场不具备网络环境，则必须保存在设备内置存储器中，可下载查询。</w:t>
            </w:r>
          </w:p>
          <w:p>
            <w:pPr>
              <w:pStyle w:val="null3"/>
              <w:jc w:val="both"/>
            </w:pPr>
            <w:r>
              <w:rPr>
                <w:sz w:val="20"/>
              </w:rPr>
              <w:t>（</w:t>
            </w:r>
            <w:r>
              <w:rPr>
                <w:sz w:val="20"/>
              </w:rPr>
              <w:t>8）</w:t>
            </w:r>
            <w:r>
              <w:rPr>
                <w:sz w:val="20"/>
              </w:rPr>
              <w:t>具备对数字对讲机</w:t>
            </w:r>
            <w:r>
              <w:rPr>
                <w:sz w:val="20"/>
              </w:rPr>
              <w:t>DMR/DPMR/NXDN/PDT</w:t>
            </w:r>
            <w:r>
              <w:rPr>
                <w:sz w:val="20"/>
              </w:rPr>
              <w:t>解码和</w:t>
            </w:r>
            <w:r>
              <w:rPr>
                <w:sz w:val="20"/>
              </w:rPr>
              <w:t>语音警示功能，</w:t>
            </w:r>
            <w:r>
              <w:rPr>
                <w:sz w:val="20"/>
              </w:rPr>
              <w:t>支持智能分析，对于新发现的可疑扩频作弊频点，可输入中心频率和信号带宽参数后，自动比对分析该信号的扩频因子等其它传输参数，可解出信号原始码，并作为依据进行手动管制。</w:t>
            </w:r>
          </w:p>
          <w:p>
            <w:pPr>
              <w:pStyle w:val="null3"/>
              <w:jc w:val="both"/>
            </w:pPr>
            <w:r>
              <w:rPr>
                <w:sz w:val="20"/>
              </w:rPr>
              <w:t>2.管制功能</w:t>
            </w:r>
          </w:p>
          <w:p>
            <w:pPr>
              <w:pStyle w:val="null3"/>
              <w:jc w:val="both"/>
            </w:pPr>
            <w:r>
              <w:rPr>
                <w:sz w:val="20"/>
              </w:rPr>
              <w:t>（</w:t>
            </w:r>
            <w:r>
              <w:rPr>
                <w:sz w:val="20"/>
              </w:rPr>
              <w:t>1）具备压制考试作弊信号的功能。发射压制信号后，使接收设备无法正常接收作弊内容。</w:t>
            </w:r>
          </w:p>
          <w:p>
            <w:pPr>
              <w:pStyle w:val="null3"/>
              <w:jc w:val="both"/>
            </w:pPr>
            <w:r>
              <w:rPr>
                <w:sz w:val="20"/>
              </w:rPr>
              <w:t>（</w:t>
            </w:r>
            <w:r>
              <w:rPr>
                <w:sz w:val="20"/>
              </w:rPr>
              <w:t>2）具备作弊内容擦除功能。能够对考试作弊信号内容进行擦除，发送警示内容进行管制（警示内容可自定义），且不对其他正常使用的无线电信号产生干扰。</w:t>
            </w:r>
          </w:p>
          <w:p>
            <w:pPr>
              <w:pStyle w:val="null3"/>
              <w:jc w:val="both"/>
            </w:pPr>
            <w:r>
              <w:rPr>
                <w:sz w:val="20"/>
              </w:rPr>
              <w:t>（</w:t>
            </w:r>
            <w:r>
              <w:rPr>
                <w:sz w:val="20"/>
              </w:rPr>
              <w:t>3）具备单次压制和循环压制功能，用户可自定义单个频点压制时间或多频点循环压制总时间。</w:t>
            </w:r>
          </w:p>
          <w:p>
            <w:pPr>
              <w:pStyle w:val="null3"/>
              <w:jc w:val="both"/>
            </w:pPr>
            <w:r>
              <w:rPr>
                <w:sz w:val="20"/>
              </w:rPr>
              <w:t>（</w:t>
            </w:r>
            <w:r>
              <w:rPr>
                <w:sz w:val="20"/>
              </w:rPr>
              <w:t>4）具备人工管制和自动管制功能。人工管制可手动设置参数和启停管制，自动管制可根据自动识别作弊信号内容自动设置参数和启停管制。</w:t>
            </w:r>
          </w:p>
          <w:p>
            <w:pPr>
              <w:pStyle w:val="null3"/>
              <w:jc w:val="both"/>
            </w:pPr>
            <w:r>
              <w:rPr>
                <w:sz w:val="20"/>
              </w:rPr>
              <w:t>（</w:t>
            </w:r>
            <w:r>
              <w:rPr>
                <w:sz w:val="20"/>
              </w:rPr>
              <w:t>5）解码功能可开机自动运行，成功解码后有相应提示，可实时对扩频作弊信号进行解码，解码内容可自行存储在内置存储器内，供事后分析。</w:t>
            </w:r>
          </w:p>
          <w:p>
            <w:pPr>
              <w:pStyle w:val="null3"/>
              <w:jc w:val="both"/>
            </w:pPr>
            <w:r>
              <w:rPr>
                <w:sz w:val="20"/>
              </w:rPr>
              <w:t>（</w:t>
            </w:r>
            <w:r>
              <w:rPr>
                <w:sz w:val="20"/>
              </w:rPr>
              <w:t>6）首次解码成功后，可自动或手动对作弊接收器材发送警示信息，可对目标信号自动或者主动进行持续性阻断发射，阻止作弊接收器继续接收作弊信息，可自动或手动对目标信道发射远程锁定指令，锁定作弊接收器屏幕。</w:t>
            </w:r>
          </w:p>
          <w:p>
            <w:pPr>
              <w:pStyle w:val="null3"/>
              <w:jc w:val="both"/>
            </w:pPr>
            <w:r>
              <w:rPr>
                <w:sz w:val="20"/>
              </w:rPr>
              <w:t>（</w:t>
            </w:r>
            <w:r>
              <w:rPr>
                <w:sz w:val="20"/>
              </w:rPr>
              <w:t>7）解码功能为设备基本功能，开机即自动运行，无需操作人员进行设置；删除、阻断、警示等功能应为可选功能，可由操作人员设置是否启用，该设置工作可通过网络远程执行；针对不同的作弊设备，可以设置不同的管制模式，用户可以自由配置各种管制方案。</w:t>
            </w:r>
          </w:p>
          <w:p>
            <w:pPr>
              <w:pStyle w:val="null3"/>
              <w:jc w:val="both"/>
            </w:pPr>
            <w:r>
              <w:rPr>
                <w:sz w:val="20"/>
              </w:rPr>
              <w:t>（</w:t>
            </w:r>
            <w:r>
              <w:rPr>
                <w:sz w:val="20"/>
              </w:rPr>
              <w:t>8）该设施同样适用于各类重大活动保障对对讲机等通信设备的无线电管制。</w:t>
            </w:r>
          </w:p>
          <w:p>
            <w:pPr>
              <w:pStyle w:val="null3"/>
              <w:jc w:val="both"/>
            </w:pPr>
            <w:r>
              <w:rPr>
                <w:sz w:val="20"/>
              </w:rPr>
              <w:t>3.其它功能</w:t>
            </w:r>
          </w:p>
          <w:p>
            <w:pPr>
              <w:pStyle w:val="null3"/>
              <w:jc w:val="both"/>
            </w:pPr>
            <w:r>
              <w:rPr>
                <w:sz w:val="20"/>
              </w:rPr>
              <w:t>（</w:t>
            </w:r>
            <w:r>
              <w:rPr>
                <w:sz w:val="20"/>
              </w:rPr>
              <w:t>1）软件可对发现信号进行初步分析，识别目标信号的信号带宽，并准确计算信号中心频点；</w:t>
            </w:r>
          </w:p>
          <w:p>
            <w:pPr>
              <w:pStyle w:val="null3"/>
              <w:jc w:val="both"/>
            </w:pPr>
            <w:r>
              <w:rPr>
                <w:sz w:val="20"/>
              </w:rPr>
              <w:t>（</w:t>
            </w:r>
            <w:r>
              <w:rPr>
                <w:sz w:val="20"/>
              </w:rPr>
              <w:t>2）软件能够快速准确</w:t>
            </w:r>
            <w:r>
              <w:rPr>
                <w:sz w:val="20"/>
              </w:rPr>
              <w:t>地</w:t>
            </w:r>
            <w:r>
              <w:rPr>
                <w:sz w:val="20"/>
              </w:rPr>
              <w:t>识别作弊信号，具备对数字作弊信号的解码和抑制、阻断、清除、锁定、填充能力，并具备可扩展性。</w:t>
            </w:r>
          </w:p>
          <w:p>
            <w:pPr>
              <w:pStyle w:val="null3"/>
              <w:jc w:val="both"/>
            </w:pPr>
            <w:r>
              <w:rPr>
                <w:sz w:val="20"/>
              </w:rPr>
              <w:t>（</w:t>
            </w:r>
            <w:r>
              <w:rPr>
                <w:sz w:val="20"/>
              </w:rPr>
              <w:t>3）支持信号源晶振频率调整功能，可通过软件设置晶振频率，以匹配不同类型的作弊器材。</w:t>
            </w:r>
          </w:p>
          <w:p>
            <w:pPr>
              <w:pStyle w:val="null3"/>
              <w:jc w:val="both"/>
            </w:pPr>
            <w:r>
              <w:rPr>
                <w:sz w:val="20"/>
              </w:rPr>
              <w:t>（</w:t>
            </w:r>
            <w:r>
              <w:rPr>
                <w:sz w:val="20"/>
              </w:rPr>
              <w:t>4）支持智能分析，对于新发现的可疑作弊频点，通过智能分析，可解出信号原始码，并作为依据进行手动管制。</w:t>
            </w:r>
          </w:p>
          <w:p>
            <w:pPr>
              <w:pStyle w:val="null3"/>
              <w:jc w:val="both"/>
            </w:pPr>
            <w:r>
              <w:rPr>
                <w:sz w:val="20"/>
              </w:rPr>
              <w:t>（</w:t>
            </w:r>
            <w:r>
              <w:rPr>
                <w:sz w:val="20"/>
              </w:rPr>
              <w:t>5）控制软件可查看设备的工作状态、操作记录、解码内容等信息。</w:t>
            </w:r>
          </w:p>
          <w:p>
            <w:pPr>
              <w:pStyle w:val="null3"/>
              <w:jc w:val="both"/>
            </w:pPr>
            <w:r>
              <w:rPr>
                <w:sz w:val="20"/>
              </w:rPr>
              <w:t>（</w:t>
            </w:r>
            <w:r>
              <w:rPr>
                <w:sz w:val="20"/>
              </w:rPr>
              <w:t>6）对于后续出现的扩频数传作弊设备，如其主要通讯方式未发生变化，设备能够通过软件升级来提供对新型设备的解码管制功能。</w:t>
            </w:r>
          </w:p>
          <w:p>
            <w:pPr>
              <w:pStyle w:val="null3"/>
              <w:jc w:val="both"/>
            </w:pPr>
            <w:r>
              <w:rPr>
                <w:sz w:val="20"/>
              </w:rPr>
              <w:t>4.</w:t>
            </w:r>
            <w:r>
              <w:rPr>
                <w:sz w:val="20"/>
              </w:rPr>
              <w:t>一体化平台接入</w:t>
            </w:r>
          </w:p>
          <w:p>
            <w:pPr>
              <w:pStyle w:val="null3"/>
              <w:jc w:val="both"/>
            </w:pPr>
            <w:r>
              <w:rPr>
                <w:sz w:val="20"/>
                <w:b/>
              </w:rPr>
              <w:t>设备支持</w:t>
            </w:r>
            <w:r>
              <w:rPr>
                <w:sz w:val="20"/>
                <w:b/>
              </w:rPr>
              <w:t>国家监测中心</w:t>
            </w:r>
            <w:r>
              <w:rPr>
                <w:sz w:val="20"/>
                <w:b/>
              </w:rPr>
              <w:t>原子化服务接口，能够接入广东省无线电监测一体化平台，实现统一管控、互联互通。</w:t>
            </w:r>
          </w:p>
          <w:p>
            <w:pPr>
              <w:pStyle w:val="null3"/>
              <w:jc w:val="both"/>
            </w:pPr>
            <w:r>
              <w:rPr>
                <w:sz w:val="20"/>
              </w:rPr>
              <w:t>5.</w:t>
            </w:r>
            <w:r>
              <w:rPr>
                <w:sz w:val="20"/>
              </w:rPr>
              <w:t>功能接口开放</w:t>
            </w:r>
          </w:p>
          <w:p>
            <w:pPr>
              <w:pStyle w:val="null3"/>
              <w:jc w:val="both"/>
            </w:pPr>
            <w:r>
              <w:rPr>
                <w:sz w:val="20"/>
              </w:rPr>
              <w:t>监测设备支持开放完整功能的</w:t>
            </w:r>
            <w:r>
              <w:rPr>
                <w:sz w:val="20"/>
              </w:rPr>
              <w:t>API协议或提供SDK，支持使用数据进行二次开发。</w:t>
            </w:r>
          </w:p>
          <w:p>
            <w:pPr>
              <w:pStyle w:val="null3"/>
              <w:jc w:val="both"/>
            </w:pPr>
            <w:r>
              <w:rPr>
                <w:sz w:val="20"/>
              </w:rPr>
              <w:t>6.</w:t>
            </w:r>
            <w:r>
              <w:rPr>
                <w:sz w:val="20"/>
              </w:rPr>
              <w:t>离线自动运行</w:t>
            </w:r>
          </w:p>
          <w:p>
            <w:pPr>
              <w:pStyle w:val="null3"/>
              <w:jc w:val="both"/>
            </w:pPr>
            <w:r>
              <w:rPr>
                <w:sz w:val="20"/>
              </w:rPr>
              <w:t>设备支持离线自动运行，上电后按计划任务自动执行监测和管制，发现异常信号可通过网络、短信等方式推送结果。</w:t>
            </w:r>
          </w:p>
          <w:p>
            <w:pPr>
              <w:pStyle w:val="null3"/>
              <w:jc w:val="both"/>
            </w:pPr>
            <w:r>
              <w:rPr>
                <w:sz w:val="20"/>
              </w:rPr>
              <w:t>7.</w:t>
            </w:r>
            <w:r>
              <w:rPr>
                <w:sz w:val="20"/>
              </w:rPr>
              <w:t>报告功能</w:t>
            </w:r>
          </w:p>
          <w:p>
            <w:pPr>
              <w:pStyle w:val="null3"/>
              <w:jc w:val="both"/>
            </w:pPr>
            <w:r>
              <w:rPr>
                <w:sz w:val="20"/>
              </w:rPr>
              <w:t>每次任务执行完成后均能按照模板自动或手动生成报告。</w:t>
            </w:r>
          </w:p>
          <w:p>
            <w:pPr>
              <w:pStyle w:val="null3"/>
              <w:jc w:val="both"/>
            </w:pPr>
            <w:r>
              <w:rPr>
                <w:sz w:val="20"/>
                <w:b/>
              </w:rPr>
              <w:t>（三）</w:t>
            </w:r>
            <w:r>
              <w:rPr>
                <w:sz w:val="20"/>
                <w:b/>
              </w:rPr>
              <w:t>主要性能指标</w:t>
            </w:r>
            <w:r>
              <w:rPr>
                <w:sz w:val="20"/>
                <w:b/>
              </w:rPr>
              <w:t>要求</w:t>
            </w:r>
          </w:p>
          <w:p>
            <w:pPr>
              <w:pStyle w:val="null3"/>
              <w:jc w:val="both"/>
            </w:pPr>
            <w:r>
              <w:rPr>
                <w:sz w:val="20"/>
              </w:rPr>
              <w:t>本项目</w:t>
            </w:r>
            <w:r>
              <w:rPr>
                <w:sz w:val="20"/>
              </w:rPr>
              <w:t>建设的智能化无线电监测管制设备</w:t>
            </w:r>
            <w:r>
              <w:rPr>
                <w:sz w:val="20"/>
              </w:rPr>
              <w:t>相关指标和功能要求如下：</w:t>
            </w:r>
          </w:p>
          <w:p>
            <w:pPr>
              <w:pStyle w:val="null3"/>
              <w:jc w:val="both"/>
            </w:pPr>
            <w:r>
              <w:rPr>
                <w:sz w:val="20"/>
              </w:rPr>
              <w:t>1.</w:t>
            </w:r>
            <w:r>
              <w:rPr>
                <w:sz w:val="20"/>
              </w:rPr>
              <w:t>监测技术指标</w:t>
            </w:r>
          </w:p>
          <w:p>
            <w:pPr>
              <w:pStyle w:val="null3"/>
              <w:ind w:left="435"/>
              <w:jc w:val="both"/>
            </w:pPr>
            <w:r>
              <w:rPr>
                <w:sz w:val="20"/>
              </w:rPr>
              <w:t>（</w:t>
            </w:r>
            <w:r>
              <w:rPr>
                <w:sz w:val="20"/>
              </w:rPr>
              <w:t>1</w:t>
            </w:r>
            <w:r>
              <w:rPr>
                <w:sz w:val="20"/>
              </w:rPr>
              <w:t>）</w:t>
            </w:r>
            <w:r>
              <w:rPr>
                <w:sz w:val="21"/>
              </w:rPr>
              <w:t>▲</w:t>
            </w:r>
            <w:r>
              <w:rPr>
                <w:sz w:val="20"/>
              </w:rPr>
              <w:t>监测频率范围</w:t>
            </w:r>
            <w:r>
              <w:rPr>
                <w:sz w:val="20"/>
              </w:rPr>
              <w:t>：</w:t>
            </w:r>
            <w:r>
              <w:rPr>
                <w:sz w:val="20"/>
              </w:rPr>
              <w:t>涵盖</w:t>
            </w:r>
            <w:r>
              <w:rPr>
                <w:sz w:val="20"/>
              </w:rPr>
              <w:t>30-</w:t>
            </w:r>
            <w:r>
              <w:rPr>
                <w:sz w:val="20"/>
              </w:rPr>
              <w:t>8</w:t>
            </w:r>
            <w:r>
              <w:rPr>
                <w:sz w:val="20"/>
              </w:rPr>
              <w:t>000MHz</w:t>
            </w:r>
          </w:p>
          <w:p>
            <w:pPr>
              <w:pStyle w:val="null3"/>
              <w:ind w:left="435"/>
              <w:jc w:val="both"/>
            </w:pPr>
            <w:r>
              <w:rPr>
                <w:sz w:val="20"/>
              </w:rPr>
              <w:t>（</w:t>
            </w:r>
            <w:r>
              <w:rPr>
                <w:sz w:val="20"/>
              </w:rPr>
              <w:t>2</w:t>
            </w:r>
            <w:r>
              <w:rPr>
                <w:sz w:val="20"/>
              </w:rPr>
              <w:t>）</w:t>
            </w:r>
            <w:r>
              <w:rPr>
                <w:sz w:val="20"/>
              </w:rPr>
              <w:t>捕获时间</w:t>
            </w:r>
            <w:r>
              <w:rPr>
                <w:sz w:val="20"/>
              </w:rPr>
              <w:t>：</w:t>
            </w:r>
            <w:r>
              <w:rPr>
                <w:sz w:val="20"/>
              </w:rPr>
              <w:t>≤3s</w:t>
            </w:r>
          </w:p>
          <w:p>
            <w:pPr>
              <w:pStyle w:val="null3"/>
              <w:ind w:left="435"/>
              <w:jc w:val="both"/>
            </w:pPr>
            <w:r>
              <w:rPr>
                <w:sz w:val="20"/>
              </w:rPr>
              <w:t>（</w:t>
            </w:r>
            <w:r>
              <w:rPr>
                <w:sz w:val="20"/>
              </w:rPr>
              <w:t>3</w:t>
            </w:r>
            <w:r>
              <w:rPr>
                <w:sz w:val="20"/>
              </w:rPr>
              <w:t>）</w:t>
            </w:r>
            <w:r>
              <w:rPr>
                <w:sz w:val="20"/>
              </w:rPr>
              <w:t>解调灵敏度</w:t>
            </w:r>
            <w:r>
              <w:rPr>
                <w:sz w:val="20"/>
              </w:rPr>
              <w:t>：</w:t>
            </w:r>
            <w:r>
              <w:rPr>
                <w:sz w:val="20"/>
              </w:rPr>
              <w:t>≤-100dBm(30-</w:t>
            </w:r>
            <w:r>
              <w:rPr>
                <w:sz w:val="20"/>
              </w:rPr>
              <w:t>8</w:t>
            </w:r>
            <w:r>
              <w:rPr>
                <w:sz w:val="20"/>
              </w:rPr>
              <w:t>000MHz,RBW@25kHz)</w:t>
            </w:r>
          </w:p>
          <w:p>
            <w:pPr>
              <w:pStyle w:val="null3"/>
              <w:ind w:left="435"/>
              <w:jc w:val="both"/>
            </w:pPr>
            <w:r>
              <w:rPr>
                <w:sz w:val="20"/>
              </w:rPr>
              <w:t>（</w:t>
            </w:r>
            <w:r>
              <w:rPr>
                <w:sz w:val="20"/>
              </w:rPr>
              <w:t>4</w:t>
            </w:r>
            <w:r>
              <w:rPr>
                <w:sz w:val="20"/>
              </w:rPr>
              <w:t>）</w:t>
            </w:r>
            <w:r>
              <w:rPr>
                <w:sz w:val="21"/>
              </w:rPr>
              <w:t>▲</w:t>
            </w:r>
            <w:r>
              <w:rPr>
                <w:sz w:val="21"/>
              </w:rPr>
              <w:t>接收机监测灵敏度：</w:t>
            </w:r>
            <w:r>
              <w:rPr>
                <w:sz w:val="20"/>
              </w:rPr>
              <w:t>≤-110dBm</w:t>
            </w:r>
            <w:r>
              <w:rPr>
                <w:sz w:val="20"/>
              </w:rPr>
              <w:t>(30-</w:t>
            </w:r>
            <w:r>
              <w:rPr>
                <w:sz w:val="20"/>
              </w:rPr>
              <w:t>8</w:t>
            </w:r>
            <w:r>
              <w:rPr>
                <w:sz w:val="20"/>
              </w:rPr>
              <w:t>000MHz,RBW@25kHz)</w:t>
            </w:r>
          </w:p>
          <w:p>
            <w:pPr>
              <w:pStyle w:val="null3"/>
              <w:ind w:firstLine="400"/>
              <w:jc w:val="both"/>
            </w:pPr>
            <w:r>
              <w:rPr>
                <w:sz w:val="20"/>
              </w:rPr>
              <w:t>（</w:t>
            </w:r>
            <w:r>
              <w:rPr>
                <w:sz w:val="20"/>
              </w:rPr>
              <w:t>5</w:t>
            </w:r>
            <w:r>
              <w:rPr>
                <w:sz w:val="20"/>
              </w:rPr>
              <w:t>）</w:t>
            </w:r>
            <w:r>
              <w:rPr>
                <w:sz w:val="20"/>
              </w:rPr>
              <w:t>监测解码守候通道</w:t>
            </w:r>
            <w:r>
              <w:rPr>
                <w:sz w:val="20"/>
              </w:rPr>
              <w:t>：</w:t>
            </w:r>
            <w:r>
              <w:rPr>
                <w:sz w:val="20"/>
              </w:rPr>
              <w:t>≥32路</w:t>
            </w:r>
          </w:p>
          <w:p>
            <w:pPr>
              <w:pStyle w:val="null3"/>
              <w:ind w:firstLine="400"/>
              <w:jc w:val="both"/>
            </w:pPr>
            <w:r>
              <w:rPr>
                <w:sz w:val="20"/>
              </w:rPr>
              <w:t>（</w:t>
            </w:r>
            <w:r>
              <w:rPr>
                <w:sz w:val="20"/>
              </w:rPr>
              <w:t>6</w:t>
            </w:r>
            <w:r>
              <w:rPr>
                <w:sz w:val="20"/>
              </w:rPr>
              <w:t>）</w:t>
            </w:r>
            <w:r>
              <w:rPr>
                <w:sz w:val="21"/>
              </w:rPr>
              <w:t>▲</w:t>
            </w:r>
            <w:r>
              <w:rPr>
                <w:sz w:val="20"/>
              </w:rPr>
              <w:t>扫描速度</w:t>
            </w:r>
            <w:r>
              <w:rPr>
                <w:sz w:val="20"/>
              </w:rPr>
              <w:t>(25kHz步进)</w:t>
            </w:r>
            <w:r>
              <w:rPr>
                <w:sz w:val="21"/>
              </w:rPr>
              <w:t>：</w:t>
            </w:r>
            <w:r>
              <w:rPr>
                <w:sz w:val="20"/>
              </w:rPr>
              <w:t>≥</w:t>
            </w:r>
            <w:r>
              <w:rPr>
                <w:sz w:val="20"/>
              </w:rPr>
              <w:t>10</w:t>
            </w:r>
            <w:r>
              <w:rPr>
                <w:sz w:val="20"/>
              </w:rPr>
              <w:t>0GHz/s</w:t>
            </w:r>
          </w:p>
          <w:p>
            <w:pPr>
              <w:pStyle w:val="null3"/>
              <w:ind w:left="435"/>
              <w:jc w:val="both"/>
            </w:pPr>
            <w:r>
              <w:rPr>
                <w:sz w:val="20"/>
              </w:rPr>
              <w:t>（</w:t>
            </w:r>
            <w:r>
              <w:rPr>
                <w:sz w:val="20"/>
              </w:rPr>
              <w:t>7</w:t>
            </w:r>
            <w:r>
              <w:rPr>
                <w:sz w:val="20"/>
              </w:rPr>
              <w:t>）</w:t>
            </w:r>
            <w:r>
              <w:rPr>
                <w:sz w:val="21"/>
              </w:rPr>
              <w:t>▲</w:t>
            </w:r>
            <w:r>
              <w:rPr>
                <w:sz w:val="20"/>
              </w:rPr>
              <w:t>中频带宽</w:t>
            </w:r>
            <w:r>
              <w:rPr>
                <w:sz w:val="20"/>
              </w:rPr>
              <w:t>：</w:t>
            </w:r>
            <w:r>
              <w:rPr>
                <w:sz w:val="20"/>
              </w:rPr>
              <w:t>≥</w:t>
            </w:r>
            <w:r>
              <w:rPr>
                <w:sz w:val="20"/>
              </w:rPr>
              <w:t>8</w:t>
            </w:r>
            <w:r>
              <w:rPr>
                <w:sz w:val="20"/>
              </w:rPr>
              <w:t>0MHz</w:t>
            </w:r>
            <w:r>
              <w:rPr>
                <w:sz w:val="20"/>
              </w:rPr>
              <w:t>，</w:t>
            </w:r>
            <w:r>
              <w:rPr>
                <w:sz w:val="20"/>
              </w:rPr>
              <w:t>支持</w:t>
            </w:r>
            <w:r>
              <w:rPr>
                <w:sz w:val="20"/>
              </w:rPr>
              <w:t>40MHz、500kHz、30kHz等</w:t>
            </w:r>
            <w:r>
              <w:rPr>
                <w:sz w:val="20"/>
              </w:rPr>
              <w:t>带宽设置</w:t>
            </w:r>
          </w:p>
          <w:p>
            <w:pPr>
              <w:pStyle w:val="null3"/>
              <w:ind w:left="435"/>
              <w:jc w:val="both"/>
            </w:pPr>
            <w:r>
              <w:rPr>
                <w:sz w:val="20"/>
              </w:rPr>
              <w:t>（</w:t>
            </w:r>
            <w:r>
              <w:rPr>
                <w:sz w:val="20"/>
              </w:rPr>
              <w:t>8</w:t>
            </w:r>
            <w:r>
              <w:rPr>
                <w:sz w:val="20"/>
              </w:rPr>
              <w:t>）</w:t>
            </w:r>
            <w:r>
              <w:rPr>
                <w:sz w:val="20"/>
              </w:rPr>
              <w:t>频率容限</w:t>
            </w:r>
            <w:r>
              <w:rPr>
                <w:sz w:val="20"/>
              </w:rPr>
              <w:t>：</w:t>
            </w:r>
            <w:r>
              <w:rPr>
                <w:sz w:val="20"/>
              </w:rPr>
              <w:t>≤±</w:t>
            </w:r>
            <w:r>
              <w:rPr>
                <w:sz w:val="20"/>
              </w:rPr>
              <w:t>3</w:t>
            </w:r>
            <w:r>
              <w:rPr>
                <w:sz w:val="20"/>
              </w:rPr>
              <w:t>×10</w:t>
            </w:r>
            <w:r>
              <w:rPr>
                <w:sz w:val="20"/>
                <w:vertAlign w:val="superscript"/>
              </w:rPr>
              <w:t>-7</w:t>
            </w:r>
          </w:p>
          <w:p>
            <w:pPr>
              <w:pStyle w:val="null3"/>
              <w:ind w:left="435"/>
              <w:jc w:val="both"/>
            </w:pPr>
            <w:r>
              <w:rPr>
                <w:sz w:val="20"/>
              </w:rPr>
              <w:t>（</w:t>
            </w:r>
            <w:r>
              <w:rPr>
                <w:sz w:val="20"/>
              </w:rPr>
              <w:t>9</w:t>
            </w:r>
            <w:r>
              <w:rPr>
                <w:sz w:val="20"/>
              </w:rPr>
              <w:t>）</w:t>
            </w:r>
            <w:r>
              <w:rPr>
                <w:sz w:val="21"/>
              </w:rPr>
              <w:t>▲</w:t>
            </w:r>
            <w:r>
              <w:rPr>
                <w:sz w:val="20"/>
              </w:rPr>
              <w:t>噪声系数</w:t>
            </w:r>
            <w:r>
              <w:rPr>
                <w:sz w:val="20"/>
              </w:rPr>
              <w:t>：</w:t>
            </w:r>
            <w:r>
              <w:rPr>
                <w:sz w:val="20"/>
              </w:rPr>
              <w:t>≤15dB</w:t>
            </w:r>
          </w:p>
          <w:p>
            <w:pPr>
              <w:pStyle w:val="null3"/>
              <w:jc w:val="both"/>
            </w:pPr>
            <w:r>
              <w:rPr>
                <w:sz w:val="20"/>
              </w:rPr>
              <w:t>（</w:t>
            </w:r>
            <w:r>
              <w:rPr>
                <w:sz w:val="20"/>
              </w:rPr>
              <w:t>10</w:t>
            </w:r>
            <w:r>
              <w:rPr>
                <w:sz w:val="20"/>
              </w:rPr>
              <w:t>）</w:t>
            </w:r>
            <w:r>
              <w:rPr>
                <w:sz w:val="21"/>
              </w:rPr>
              <w:t>▲</w:t>
            </w:r>
            <w:r>
              <w:rPr>
                <w:sz w:val="20"/>
              </w:rPr>
              <w:t>二阶截断点</w:t>
            </w:r>
            <w:r>
              <w:rPr>
                <w:sz w:val="20"/>
              </w:rPr>
              <w:t>（低失真模式）</w:t>
            </w:r>
            <w:r>
              <w:rPr>
                <w:sz w:val="20"/>
              </w:rPr>
              <w:t>：</w:t>
            </w:r>
            <w:r>
              <w:rPr>
                <w:sz w:val="20"/>
              </w:rPr>
              <w:t>≥50dBm（30-6</w:t>
            </w:r>
            <w:r>
              <w:rPr>
                <w:sz w:val="20"/>
              </w:rPr>
              <w:t>000M</w:t>
            </w:r>
            <w:r>
              <w:rPr>
                <w:sz w:val="20"/>
              </w:rPr>
              <w:t>Hz）</w:t>
            </w:r>
          </w:p>
          <w:p>
            <w:pPr>
              <w:pStyle w:val="null3"/>
              <w:ind w:firstLine="3800"/>
              <w:jc w:val="both"/>
            </w:pPr>
            <w:r>
              <w:rPr>
                <w:sz w:val="20"/>
              </w:rPr>
              <w:t>≥40dBm（6-8GHz）</w:t>
            </w:r>
          </w:p>
          <w:p>
            <w:pPr>
              <w:pStyle w:val="null3"/>
              <w:jc w:val="both"/>
            </w:pPr>
            <w:r>
              <w:rPr/>
              <w:t xml:space="preserve">    </w:t>
            </w:r>
            <w:r>
              <w:rPr>
                <w:sz w:val="20"/>
              </w:rPr>
              <w:t>（</w:t>
            </w:r>
            <w:r>
              <w:rPr>
                <w:sz w:val="20"/>
              </w:rPr>
              <w:t>11</w:t>
            </w:r>
            <w:r>
              <w:rPr>
                <w:sz w:val="20"/>
              </w:rPr>
              <w:t>）</w:t>
            </w:r>
            <w:r>
              <w:rPr>
                <w:sz w:val="21"/>
              </w:rPr>
              <w:t>▲</w:t>
            </w:r>
            <w:r>
              <w:rPr>
                <w:sz w:val="20"/>
              </w:rPr>
              <w:t>三阶截断点</w:t>
            </w:r>
            <w:r>
              <w:rPr>
                <w:sz w:val="20"/>
              </w:rPr>
              <w:t>（低失真模式）</w:t>
            </w:r>
            <w:r>
              <w:rPr>
                <w:sz w:val="20"/>
              </w:rPr>
              <w:t>：</w:t>
            </w:r>
            <w:r>
              <w:rPr>
                <w:sz w:val="20"/>
              </w:rPr>
              <w:t>≥</w:t>
            </w:r>
            <w:r>
              <w:rPr>
                <w:sz w:val="20"/>
              </w:rPr>
              <w:t>1</w:t>
            </w:r>
            <w:r>
              <w:rPr>
                <w:sz w:val="20"/>
              </w:rPr>
              <w:t>0dBm（30-6</w:t>
            </w:r>
            <w:r>
              <w:rPr>
                <w:sz w:val="20"/>
              </w:rPr>
              <w:t>000M</w:t>
            </w:r>
            <w:r>
              <w:rPr>
                <w:sz w:val="20"/>
              </w:rPr>
              <w:t>Hz）</w:t>
            </w:r>
          </w:p>
          <w:p>
            <w:pPr>
              <w:pStyle w:val="null3"/>
              <w:ind w:firstLine="3800"/>
              <w:jc w:val="both"/>
            </w:pPr>
            <w:r>
              <w:rPr>
                <w:sz w:val="20"/>
              </w:rPr>
              <w:t>≥0dBm（6-8GHz）</w:t>
            </w:r>
          </w:p>
          <w:p>
            <w:pPr>
              <w:pStyle w:val="null3"/>
              <w:jc w:val="both"/>
            </w:pPr>
            <w:r>
              <w:rPr/>
              <w:t xml:space="preserve">    </w:t>
            </w:r>
            <w:r>
              <w:rPr>
                <w:sz w:val="20"/>
              </w:rPr>
              <w:t>（</w:t>
            </w:r>
            <w:r>
              <w:rPr>
                <w:sz w:val="20"/>
              </w:rPr>
              <w:t>12</w:t>
            </w:r>
            <w:r>
              <w:rPr>
                <w:sz w:val="20"/>
              </w:rPr>
              <w:t>）</w:t>
            </w:r>
            <w:r>
              <w:rPr>
                <w:sz w:val="21"/>
              </w:rPr>
              <w:t>▲</w:t>
            </w:r>
            <w:r>
              <w:rPr>
                <w:sz w:val="20"/>
              </w:rPr>
              <w:t>相位</w:t>
            </w:r>
            <w:r>
              <w:rPr>
                <w:sz w:val="20"/>
              </w:rPr>
              <w:t>噪声</w:t>
            </w:r>
            <w:r>
              <w:rPr>
                <w:sz w:val="20"/>
              </w:rPr>
              <w:t>：</w:t>
            </w:r>
            <w:r>
              <w:rPr/>
              <w:t xml:space="preserve"> </w:t>
            </w:r>
            <w:r>
              <w:rPr>
                <w:sz w:val="20"/>
              </w:rPr>
              <w:t>≤-1</w:t>
            </w:r>
            <w:r>
              <w:rPr>
                <w:sz w:val="20"/>
              </w:rPr>
              <w:t>10</w:t>
            </w:r>
            <w:r>
              <w:rPr>
                <w:sz w:val="20"/>
              </w:rPr>
              <w:t>dBc/Hz(@10kHz,f=1GHz)</w:t>
            </w:r>
          </w:p>
          <w:p>
            <w:pPr>
              <w:pStyle w:val="null3"/>
              <w:ind w:left="435"/>
              <w:jc w:val="both"/>
            </w:pPr>
            <w:r>
              <w:rPr>
                <w:sz w:val="20"/>
              </w:rPr>
              <w:t>（</w:t>
            </w:r>
            <w:r>
              <w:rPr>
                <w:sz w:val="20"/>
              </w:rPr>
              <w:t>13</w:t>
            </w:r>
            <w:r>
              <w:rPr>
                <w:sz w:val="20"/>
              </w:rPr>
              <w:t>）</w:t>
            </w:r>
            <w:r>
              <w:rPr>
                <w:sz w:val="21"/>
              </w:rPr>
              <w:t>▲</w:t>
            </w:r>
            <w:r>
              <w:rPr>
                <w:sz w:val="20"/>
              </w:rPr>
              <w:t>系统</w:t>
            </w:r>
            <w:r>
              <w:rPr>
                <w:sz w:val="20"/>
              </w:rPr>
              <w:t>监测灵敏度</w:t>
            </w:r>
            <w:r>
              <w:rPr>
                <w:sz w:val="20"/>
              </w:rPr>
              <w:t>：</w:t>
            </w:r>
            <w:r>
              <w:rPr/>
              <w:t xml:space="preserve"> </w:t>
            </w:r>
            <w:r>
              <w:rPr>
                <w:sz w:val="20"/>
              </w:rPr>
              <w:t>≤15dBμV/m ((30-</w:t>
            </w:r>
            <w:r>
              <w:rPr>
                <w:sz w:val="20"/>
              </w:rPr>
              <w:t>3</w:t>
            </w:r>
            <w:r>
              <w:rPr>
                <w:sz w:val="20"/>
              </w:rPr>
              <w:t>000MHz)</w:t>
            </w:r>
          </w:p>
          <w:p>
            <w:pPr>
              <w:pStyle w:val="null3"/>
              <w:ind w:firstLine="2800"/>
              <w:jc w:val="both"/>
            </w:pPr>
            <w:r>
              <w:rPr>
                <w:sz w:val="20"/>
              </w:rPr>
              <w:t>≤20dBμV/m（(3-</w:t>
            </w:r>
            <w:r>
              <w:rPr>
                <w:sz w:val="20"/>
              </w:rPr>
              <w:t>8G</w:t>
            </w:r>
            <w:r>
              <w:rPr>
                <w:sz w:val="20"/>
              </w:rPr>
              <w:t>Hz）</w:t>
            </w:r>
          </w:p>
          <w:p>
            <w:pPr>
              <w:pStyle w:val="null3"/>
              <w:ind w:firstLine="400"/>
              <w:jc w:val="both"/>
            </w:pPr>
            <w:r>
              <w:rPr>
                <w:sz w:val="20"/>
              </w:rPr>
              <w:t>（</w:t>
            </w:r>
            <w:r>
              <w:rPr>
                <w:sz w:val="20"/>
              </w:rPr>
              <w:t>14</w:t>
            </w:r>
            <w:r>
              <w:rPr>
                <w:sz w:val="20"/>
              </w:rPr>
              <w:t>）</w:t>
            </w:r>
            <w:r>
              <w:rPr>
                <w:sz w:val="20"/>
              </w:rPr>
              <w:t>无杂散动态范围</w:t>
            </w:r>
            <w:r>
              <w:rPr>
                <w:sz w:val="20"/>
              </w:rPr>
              <w:t>：</w:t>
            </w:r>
            <w:r>
              <w:rPr>
                <w:sz w:val="20"/>
              </w:rPr>
              <w:t>≥70dBc（典型值，30MHz~6GHz，至少80%的测试点满足要求）</w:t>
            </w:r>
          </w:p>
          <w:p>
            <w:pPr>
              <w:pStyle w:val="null3"/>
              <w:ind w:firstLine="400"/>
              <w:jc w:val="both"/>
            </w:pPr>
            <w:r>
              <w:rPr>
                <w:sz w:val="20"/>
              </w:rPr>
              <w:t>（</w:t>
            </w:r>
            <w:r>
              <w:rPr>
                <w:sz w:val="20"/>
              </w:rPr>
              <w:t>1</w:t>
            </w:r>
            <w:r>
              <w:rPr>
                <w:sz w:val="20"/>
              </w:rPr>
              <w:t>5</w:t>
            </w:r>
            <w:r>
              <w:rPr>
                <w:sz w:val="20"/>
              </w:rPr>
              <w:t>）</w:t>
            </w:r>
            <w:r>
              <w:rPr>
                <w:sz w:val="21"/>
              </w:rPr>
              <w:t>▲</w:t>
            </w:r>
            <w:r>
              <w:rPr>
                <w:sz w:val="20"/>
              </w:rPr>
              <w:t>LORA扩频数传信号监测分析专用接收/解码通道：</w:t>
            </w:r>
            <w:r>
              <w:rPr>
                <w:sz w:val="20"/>
              </w:rPr>
              <w:t>≥</w:t>
            </w:r>
            <w:r>
              <w:rPr>
                <w:sz w:val="20"/>
              </w:rPr>
              <w:t>64</w:t>
            </w:r>
            <w:r>
              <w:rPr>
                <w:sz w:val="20"/>
              </w:rPr>
              <w:t>路</w:t>
            </w:r>
          </w:p>
          <w:p>
            <w:pPr>
              <w:pStyle w:val="null3"/>
              <w:ind w:firstLine="482"/>
              <w:jc w:val="left"/>
            </w:pPr>
            <w:r>
              <w:rPr/>
              <w:t xml:space="preserve"> </w:t>
            </w:r>
            <w:r>
              <w:rPr/>
              <w:t>★</w:t>
            </w:r>
            <w:r>
              <w:rPr/>
              <w:t>（</w:t>
            </w:r>
            <w:r>
              <w:rPr/>
              <w:t>16）须与现有监测节点实现联合TDOA，</w:t>
            </w:r>
            <w:r>
              <w:rPr>
                <w:sz w:val="20"/>
              </w:rPr>
              <w:t>授时精度：</w:t>
            </w:r>
            <w:r>
              <w:rPr>
                <w:sz w:val="20"/>
              </w:rPr>
              <w:t>≤30ns</w:t>
            </w:r>
            <w:r>
              <w:rPr>
                <w:sz w:val="20"/>
              </w:rPr>
              <w:t>，</w:t>
            </w:r>
            <w:r>
              <w:rPr>
                <w:sz w:val="20"/>
              </w:rPr>
              <w:t>定位速度：</w:t>
            </w:r>
            <w:r>
              <w:rPr>
                <w:sz w:val="20"/>
              </w:rPr>
              <w:t>≥1次/秒</w:t>
            </w:r>
            <w:r>
              <w:rPr>
                <w:sz w:val="20"/>
              </w:rPr>
              <w:t>，</w:t>
            </w:r>
            <w:r>
              <w:rPr>
                <w:sz w:val="20"/>
              </w:rPr>
              <w:t>定位准确度：</w:t>
            </w:r>
            <w:r>
              <w:rPr>
                <w:sz w:val="20"/>
              </w:rPr>
              <w:t>≤100米内（均方根误差，开阔场地，100kHz带宽信号）</w:t>
            </w:r>
            <w:r>
              <w:rPr/>
              <w:t>。</w:t>
            </w:r>
          </w:p>
          <w:p>
            <w:pPr>
              <w:pStyle w:val="null3"/>
              <w:jc w:val="both"/>
            </w:pPr>
            <w:r>
              <w:rPr>
                <w:sz w:val="20"/>
              </w:rPr>
              <w:t>2.</w:t>
            </w:r>
            <w:r>
              <w:rPr>
                <w:sz w:val="20"/>
              </w:rPr>
              <w:t>管制</w:t>
            </w:r>
            <w:r>
              <w:rPr>
                <w:sz w:val="20"/>
              </w:rPr>
              <w:t>技术指标</w:t>
            </w:r>
          </w:p>
          <w:p>
            <w:pPr>
              <w:pStyle w:val="null3"/>
              <w:ind w:left="435"/>
              <w:jc w:val="both"/>
            </w:pPr>
            <w:r>
              <w:rPr>
                <w:sz w:val="20"/>
              </w:rPr>
              <w:t>（</w:t>
            </w:r>
            <w:r>
              <w:rPr>
                <w:sz w:val="20"/>
              </w:rPr>
              <w:t>1</w:t>
            </w:r>
            <w:r>
              <w:rPr>
                <w:sz w:val="20"/>
              </w:rPr>
              <w:t>）</w:t>
            </w:r>
            <w:r>
              <w:rPr>
                <w:sz w:val="20"/>
              </w:rPr>
              <w:t>频率范围</w:t>
            </w:r>
            <w:r>
              <w:rPr>
                <w:sz w:val="20"/>
              </w:rPr>
              <w:t>：</w:t>
            </w:r>
            <w:r>
              <w:rPr>
                <w:sz w:val="20"/>
              </w:rPr>
              <w:t>涵盖</w:t>
            </w:r>
            <w:r>
              <w:rPr>
                <w:sz w:val="20"/>
              </w:rPr>
              <w:t>137-1500MHz</w:t>
            </w:r>
          </w:p>
          <w:p>
            <w:pPr>
              <w:pStyle w:val="null3"/>
              <w:ind w:left="435"/>
              <w:jc w:val="both"/>
            </w:pPr>
            <w:r>
              <w:rPr>
                <w:sz w:val="20"/>
              </w:rPr>
              <w:t>（</w:t>
            </w:r>
            <w:r>
              <w:rPr>
                <w:sz w:val="20"/>
              </w:rPr>
              <w:t>2</w:t>
            </w:r>
            <w:r>
              <w:rPr>
                <w:sz w:val="20"/>
              </w:rPr>
              <w:t>）</w:t>
            </w:r>
            <w:r>
              <w:rPr>
                <w:sz w:val="20"/>
              </w:rPr>
              <w:t>功率精度</w:t>
            </w:r>
            <w:r>
              <w:rPr>
                <w:sz w:val="20"/>
              </w:rPr>
              <w:t>：</w:t>
            </w:r>
            <w:r>
              <w:rPr>
                <w:sz w:val="20"/>
              </w:rPr>
              <w:t>≤±1.5dB</w:t>
            </w:r>
          </w:p>
          <w:p>
            <w:pPr>
              <w:pStyle w:val="null3"/>
              <w:ind w:left="435"/>
              <w:jc w:val="both"/>
            </w:pPr>
            <w:r>
              <w:rPr>
                <w:sz w:val="20"/>
              </w:rPr>
              <w:t>（</w:t>
            </w:r>
            <w:r>
              <w:rPr>
                <w:sz w:val="20"/>
              </w:rPr>
              <w:t>3</w:t>
            </w:r>
            <w:r>
              <w:rPr>
                <w:sz w:val="20"/>
              </w:rPr>
              <w:t>）</w:t>
            </w:r>
            <w:r>
              <w:rPr>
                <w:sz w:val="20"/>
              </w:rPr>
              <w:t>杂散发射</w:t>
            </w:r>
            <w:r>
              <w:rPr>
                <w:sz w:val="20"/>
              </w:rPr>
              <w:t>：</w:t>
            </w:r>
            <w:r>
              <w:rPr>
                <w:sz w:val="20"/>
              </w:rPr>
              <w:t>≤-36dBm(137MHz-1GHz,RBW@100kHz)</w:t>
            </w:r>
          </w:p>
          <w:p>
            <w:pPr>
              <w:pStyle w:val="null3"/>
              <w:ind w:left="435"/>
              <w:jc w:val="both"/>
            </w:pPr>
            <w:r>
              <w:rPr>
                <w:sz w:val="20"/>
              </w:rPr>
              <w:t xml:space="preserve"> </w:t>
            </w:r>
            <w:r>
              <w:rPr>
                <w:sz w:val="20"/>
              </w:rPr>
              <w:t>≤-30dBm(1GHz-1.5GHz,RBW@1MHz)</w:t>
            </w:r>
          </w:p>
          <w:p>
            <w:pPr>
              <w:pStyle w:val="null3"/>
              <w:ind w:left="435"/>
              <w:jc w:val="both"/>
            </w:pPr>
            <w:r>
              <w:rPr>
                <w:sz w:val="20"/>
              </w:rPr>
              <w:t>（</w:t>
            </w:r>
            <w:r>
              <w:rPr>
                <w:sz w:val="20"/>
              </w:rPr>
              <w:t>4</w:t>
            </w:r>
            <w:r>
              <w:rPr>
                <w:sz w:val="20"/>
              </w:rPr>
              <w:t>）</w:t>
            </w:r>
            <w:r>
              <w:rPr>
                <w:sz w:val="20"/>
              </w:rPr>
              <w:t>发射模式下传导杂散抑制比</w:t>
            </w:r>
            <w:r>
              <w:rPr>
                <w:sz w:val="20"/>
              </w:rPr>
              <w:t>：</w:t>
            </w:r>
            <w:r>
              <w:rPr>
                <w:sz w:val="20"/>
              </w:rPr>
              <w:t>≥40dB(137MHz-1GHz,测量分辨率带宽100kHz)</w:t>
            </w:r>
          </w:p>
          <w:p>
            <w:pPr>
              <w:pStyle w:val="null3"/>
              <w:ind w:left="435"/>
              <w:jc w:val="both"/>
            </w:pPr>
            <w:r>
              <w:rPr>
                <w:sz w:val="20"/>
              </w:rPr>
              <w:t>≥45dB(1GHz-1.5GHz,测量分辨率带宽1MHz)</w:t>
            </w:r>
          </w:p>
          <w:p>
            <w:pPr>
              <w:pStyle w:val="null3"/>
              <w:ind w:left="435"/>
              <w:jc w:val="both"/>
            </w:pPr>
            <w:r>
              <w:rPr>
                <w:sz w:val="20"/>
              </w:rPr>
              <w:t>（</w:t>
            </w:r>
            <w:r>
              <w:rPr>
                <w:sz w:val="20"/>
              </w:rPr>
              <w:t>5</w:t>
            </w:r>
            <w:r>
              <w:rPr>
                <w:sz w:val="20"/>
              </w:rPr>
              <w:t>）</w:t>
            </w:r>
            <w:r>
              <w:rPr>
                <w:sz w:val="20"/>
              </w:rPr>
              <w:t>二次谐波抑制</w:t>
            </w:r>
            <w:r>
              <w:rPr>
                <w:sz w:val="20"/>
              </w:rPr>
              <w:t>：</w:t>
            </w:r>
            <w:r>
              <w:rPr>
                <w:sz w:val="20"/>
              </w:rPr>
              <w:t>≥30dBc(单载波标称发射功率下)</w:t>
            </w:r>
          </w:p>
          <w:p>
            <w:pPr>
              <w:pStyle w:val="null3"/>
              <w:ind w:left="435"/>
              <w:jc w:val="both"/>
            </w:pPr>
            <w:r>
              <w:rPr>
                <w:sz w:val="20"/>
              </w:rPr>
              <w:t>（</w:t>
            </w:r>
            <w:r>
              <w:rPr>
                <w:sz w:val="20"/>
              </w:rPr>
              <w:t>6</w:t>
            </w:r>
            <w:r>
              <w:rPr>
                <w:sz w:val="20"/>
              </w:rPr>
              <w:t>）</w:t>
            </w:r>
            <w:r>
              <w:rPr>
                <w:sz w:val="20"/>
              </w:rPr>
              <w:t>频率容限</w:t>
            </w:r>
            <w:r>
              <w:rPr>
                <w:sz w:val="20"/>
              </w:rPr>
              <w:t>：</w:t>
            </w:r>
            <w:r>
              <w:rPr>
                <w:sz w:val="20"/>
              </w:rPr>
              <w:t>≤±2×10</w:t>
            </w:r>
            <w:r>
              <w:rPr>
                <w:sz w:val="20"/>
                <w:vertAlign w:val="superscript"/>
              </w:rPr>
              <w:t>-6</w:t>
            </w:r>
          </w:p>
          <w:p>
            <w:pPr>
              <w:pStyle w:val="null3"/>
              <w:ind w:left="435"/>
              <w:jc w:val="both"/>
            </w:pPr>
            <w:r>
              <w:rPr>
                <w:sz w:val="20"/>
              </w:rPr>
              <w:t>（</w:t>
            </w:r>
            <w:r>
              <w:rPr>
                <w:sz w:val="20"/>
              </w:rPr>
              <w:t>7</w:t>
            </w:r>
            <w:r>
              <w:rPr>
                <w:sz w:val="20"/>
              </w:rPr>
              <w:t>）</w:t>
            </w:r>
            <w:r>
              <w:rPr>
                <w:sz w:val="20"/>
              </w:rPr>
              <w:t>可覆盖信号类型</w:t>
            </w:r>
            <w:r>
              <w:rPr>
                <w:sz w:val="20"/>
              </w:rPr>
              <w:t>(含带宽)</w:t>
            </w:r>
            <w:r>
              <w:rPr>
                <w:sz w:val="20"/>
              </w:rPr>
              <w:t>：</w:t>
            </w:r>
            <w:r>
              <w:rPr>
                <w:sz w:val="20"/>
              </w:rPr>
              <w:t>覆盖常见考试作弊信号，详细内容参考附</w:t>
            </w:r>
            <w:r>
              <w:rPr>
                <w:sz w:val="20"/>
              </w:rPr>
              <w:t>表</w:t>
            </w:r>
            <w:r>
              <w:rPr>
                <w:sz w:val="20"/>
              </w:rPr>
              <w:t>1</w:t>
            </w:r>
          </w:p>
          <w:p>
            <w:pPr>
              <w:pStyle w:val="null3"/>
              <w:ind w:left="435"/>
              <w:jc w:val="both"/>
            </w:pPr>
            <w:r>
              <w:rPr>
                <w:sz w:val="20"/>
              </w:rPr>
              <w:t>（</w:t>
            </w:r>
            <w:r>
              <w:rPr>
                <w:sz w:val="20"/>
              </w:rPr>
              <w:t>8</w:t>
            </w:r>
            <w:r>
              <w:rPr>
                <w:sz w:val="20"/>
              </w:rPr>
              <w:t>）</w:t>
            </w:r>
            <w:r>
              <w:rPr>
                <w:sz w:val="20"/>
              </w:rPr>
              <w:t>反制方式</w:t>
            </w:r>
            <w:r>
              <w:rPr>
                <w:sz w:val="20"/>
              </w:rPr>
              <w:t>：</w:t>
            </w:r>
            <w:r>
              <w:rPr>
                <w:sz w:val="20"/>
              </w:rPr>
              <w:t>单频点</w:t>
            </w:r>
            <w:r>
              <w:rPr>
                <w:sz w:val="20"/>
              </w:rPr>
              <w:t>/多频点切换</w:t>
            </w:r>
          </w:p>
          <w:p>
            <w:pPr>
              <w:pStyle w:val="null3"/>
              <w:ind w:left="435"/>
              <w:jc w:val="both"/>
            </w:pPr>
            <w:r>
              <w:rPr>
                <w:sz w:val="20"/>
              </w:rPr>
              <w:t>（</w:t>
            </w:r>
            <w:r>
              <w:rPr>
                <w:sz w:val="20"/>
              </w:rPr>
              <w:t>9</w:t>
            </w:r>
            <w:r>
              <w:rPr>
                <w:sz w:val="20"/>
              </w:rPr>
              <w:t>）</w:t>
            </w:r>
            <w:r>
              <w:rPr>
                <w:sz w:val="20"/>
              </w:rPr>
              <w:t>反制响应时间</w:t>
            </w:r>
            <w:r>
              <w:rPr>
                <w:sz w:val="20"/>
              </w:rPr>
              <w:t>：</w:t>
            </w:r>
            <w:r>
              <w:rPr>
                <w:sz w:val="20"/>
              </w:rPr>
              <w:t>≤</w:t>
            </w:r>
            <w:r>
              <w:rPr>
                <w:sz w:val="20"/>
              </w:rPr>
              <w:t>1</w:t>
            </w:r>
            <w:r>
              <w:rPr>
                <w:sz w:val="20"/>
              </w:rPr>
              <w:t>s(达到设定功率输出状态)</w:t>
            </w:r>
          </w:p>
          <w:p>
            <w:pPr>
              <w:pStyle w:val="null3"/>
              <w:ind w:left="435"/>
              <w:jc w:val="both"/>
            </w:pPr>
            <w:r>
              <w:rPr>
                <w:sz w:val="20"/>
              </w:rPr>
              <w:t>（</w:t>
            </w:r>
            <w:r>
              <w:rPr>
                <w:sz w:val="20"/>
              </w:rPr>
              <w:t>10</w:t>
            </w:r>
            <w:r>
              <w:rPr>
                <w:sz w:val="20"/>
              </w:rPr>
              <w:t>）</w:t>
            </w:r>
            <w:r>
              <w:rPr>
                <w:sz w:val="21"/>
              </w:rPr>
              <w:t>▲</w:t>
            </w:r>
            <w:r>
              <w:rPr>
                <w:sz w:val="20"/>
              </w:rPr>
              <w:t>同时压制通道数量</w:t>
            </w:r>
            <w:r>
              <w:rPr>
                <w:sz w:val="20"/>
              </w:rPr>
              <w:t>：</w:t>
            </w:r>
            <w:r>
              <w:rPr>
                <w:sz w:val="20"/>
              </w:rPr>
              <w:t>≥4路</w:t>
            </w:r>
          </w:p>
          <w:p>
            <w:pPr>
              <w:pStyle w:val="null3"/>
              <w:ind w:left="435"/>
              <w:jc w:val="both"/>
            </w:pPr>
            <w:r>
              <w:rPr>
                <w:sz w:val="20"/>
              </w:rPr>
              <w:t>（</w:t>
            </w:r>
            <w:r>
              <w:rPr>
                <w:sz w:val="20"/>
              </w:rPr>
              <w:t>11</w:t>
            </w:r>
            <w:r>
              <w:rPr>
                <w:sz w:val="20"/>
              </w:rPr>
              <w:t>）</w:t>
            </w:r>
            <w:r>
              <w:rPr>
                <w:sz w:val="20"/>
              </w:rPr>
              <w:t>扩展升级能力</w:t>
            </w:r>
            <w:r>
              <w:rPr>
                <w:sz w:val="20"/>
              </w:rPr>
              <w:t>：</w:t>
            </w:r>
            <w:r>
              <w:rPr>
                <w:sz w:val="20"/>
              </w:rPr>
              <w:t>反制信号类型应具备在现有硬件基础上实现对新型考试作弊信号的升级能力</w:t>
            </w:r>
          </w:p>
          <w:p>
            <w:pPr>
              <w:pStyle w:val="null3"/>
              <w:ind w:left="435"/>
              <w:jc w:val="both"/>
            </w:pPr>
            <w:r>
              <w:rPr>
                <w:sz w:val="20"/>
              </w:rPr>
              <w:t>（</w:t>
            </w:r>
            <w:r>
              <w:rPr>
                <w:sz w:val="20"/>
              </w:rPr>
              <w:t>12</w:t>
            </w:r>
            <w:r>
              <w:rPr>
                <w:sz w:val="20"/>
              </w:rPr>
              <w:t>）</w:t>
            </w:r>
            <w:r>
              <w:rPr>
                <w:sz w:val="21"/>
              </w:rPr>
              <w:t>▲</w:t>
            </w:r>
            <w:r>
              <w:rPr>
                <w:sz w:val="20"/>
              </w:rPr>
              <w:t>输出功率</w:t>
            </w:r>
            <w:r>
              <w:rPr>
                <w:sz w:val="20"/>
              </w:rPr>
              <w:t>：</w:t>
            </w:r>
            <w:r>
              <w:rPr>
                <w:sz w:val="20"/>
              </w:rPr>
              <w:t>≥20W（43dBm）</w:t>
            </w:r>
          </w:p>
          <w:p>
            <w:pPr>
              <w:pStyle w:val="null3"/>
              <w:ind w:left="435"/>
              <w:jc w:val="both"/>
            </w:pPr>
            <w:r>
              <w:rPr>
                <w:sz w:val="20"/>
              </w:rPr>
              <w:t>（</w:t>
            </w:r>
            <w:r>
              <w:rPr>
                <w:sz w:val="20"/>
              </w:rPr>
              <w:t>13</w:t>
            </w:r>
            <w:r>
              <w:rPr>
                <w:sz w:val="20"/>
              </w:rPr>
              <w:t>）</w:t>
            </w:r>
            <w:r>
              <w:rPr>
                <w:sz w:val="20"/>
              </w:rPr>
              <w:t>天线配置</w:t>
            </w:r>
            <w:r>
              <w:rPr>
                <w:sz w:val="20"/>
              </w:rPr>
              <w:t>：</w:t>
            </w:r>
          </w:p>
          <w:p>
            <w:pPr>
              <w:pStyle w:val="null3"/>
              <w:ind w:left="435"/>
              <w:jc w:val="both"/>
            </w:pPr>
            <w:r>
              <w:rPr>
                <w:sz w:val="20"/>
              </w:rPr>
              <w:t>全向天线增益：</w:t>
            </w:r>
            <w:r>
              <w:rPr>
                <w:sz w:val="20"/>
              </w:rPr>
              <w:t>137-200MHz:-5-+2dBi(典型值)</w:t>
            </w:r>
          </w:p>
          <w:p>
            <w:pPr>
              <w:pStyle w:val="null3"/>
              <w:ind w:left="435"/>
              <w:jc w:val="both"/>
            </w:pPr>
            <w:r>
              <w:rPr>
                <w:sz w:val="20"/>
              </w:rPr>
              <w:t>200-500MHz:+1-+3dBi(典型值)</w:t>
            </w:r>
          </w:p>
          <w:p>
            <w:pPr>
              <w:pStyle w:val="null3"/>
              <w:ind w:left="435"/>
              <w:jc w:val="both"/>
            </w:pPr>
            <w:r>
              <w:rPr>
                <w:sz w:val="20"/>
              </w:rPr>
              <w:t>500-1500MHz:0-+2dBi(典型值)</w:t>
            </w:r>
          </w:p>
          <w:p>
            <w:pPr>
              <w:pStyle w:val="null3"/>
              <w:ind w:left="435"/>
              <w:jc w:val="both"/>
            </w:pPr>
            <w:r>
              <w:rPr>
                <w:sz w:val="20"/>
              </w:rPr>
              <w:t>定向天线增益：</w:t>
            </w:r>
            <w:r>
              <w:rPr>
                <w:sz w:val="20"/>
              </w:rPr>
              <w:t>137-200MHz:0-+2dBi(典型值)</w:t>
            </w:r>
          </w:p>
          <w:p>
            <w:pPr>
              <w:pStyle w:val="null3"/>
              <w:ind w:left="435"/>
              <w:jc w:val="both"/>
            </w:pPr>
            <w:r>
              <w:rPr>
                <w:sz w:val="20"/>
              </w:rPr>
              <w:t>200-500MHz:+1-+5dBi(典型值)</w:t>
            </w:r>
          </w:p>
          <w:p>
            <w:pPr>
              <w:pStyle w:val="null3"/>
              <w:ind w:left="435"/>
              <w:jc w:val="both"/>
            </w:pPr>
            <w:r>
              <w:rPr>
                <w:sz w:val="20"/>
              </w:rPr>
              <w:t>500-1500MHz:+2-+5dBi(典型值)</w:t>
            </w:r>
          </w:p>
          <w:p>
            <w:pPr>
              <w:pStyle w:val="null3"/>
              <w:ind w:left="435"/>
              <w:jc w:val="both"/>
            </w:pPr>
            <w:r>
              <w:rPr>
                <w:sz w:val="20"/>
              </w:rPr>
              <w:t>驻波比：</w:t>
            </w:r>
            <w:r>
              <w:rPr>
                <w:sz w:val="20"/>
              </w:rPr>
              <w:t>30-200MHz:≤3(典型值)</w:t>
            </w:r>
          </w:p>
          <w:p>
            <w:pPr>
              <w:pStyle w:val="null3"/>
              <w:ind w:left="435"/>
              <w:jc w:val="both"/>
            </w:pPr>
            <w:r>
              <w:rPr>
                <w:sz w:val="20"/>
              </w:rPr>
              <w:t>2</w:t>
            </w:r>
            <w:r>
              <w:rPr>
                <w:sz w:val="20"/>
              </w:rPr>
              <w:t>00-500MHz:≤2.5(典型值)</w:t>
            </w:r>
          </w:p>
          <w:p>
            <w:pPr>
              <w:pStyle w:val="null3"/>
              <w:ind w:left="435"/>
              <w:jc w:val="both"/>
            </w:pPr>
            <w:r>
              <w:rPr>
                <w:sz w:val="20"/>
              </w:rPr>
              <w:t>500-1500MHz:≤2.5(典型值)</w:t>
            </w:r>
          </w:p>
          <w:p>
            <w:pPr>
              <w:pStyle w:val="null3"/>
              <w:ind w:left="435"/>
              <w:jc w:val="both"/>
            </w:pPr>
            <w:r>
              <w:rPr>
                <w:sz w:val="20"/>
              </w:rPr>
              <w:t>系统供电</w:t>
            </w:r>
            <w:r>
              <w:rPr>
                <w:sz w:val="20"/>
              </w:rPr>
              <w:t>：</w:t>
            </w:r>
            <w:r>
              <w:rPr>
                <w:sz w:val="20"/>
              </w:rPr>
              <w:t>220V交流供电或直流供电</w:t>
            </w:r>
          </w:p>
          <w:p>
            <w:pPr>
              <w:pStyle w:val="null3"/>
              <w:ind w:left="435"/>
              <w:jc w:val="both"/>
            </w:pPr>
            <w:r>
              <w:rPr>
                <w:sz w:val="20"/>
              </w:rPr>
              <w:t>3.控制终端</w:t>
            </w:r>
          </w:p>
          <w:p>
            <w:pPr>
              <w:pStyle w:val="null3"/>
              <w:ind w:left="435"/>
              <w:jc w:val="both"/>
            </w:pPr>
            <w:r>
              <w:rPr>
                <w:sz w:val="20"/>
              </w:rPr>
              <w:t>（</w:t>
            </w:r>
            <w:r>
              <w:rPr>
                <w:sz w:val="20"/>
              </w:rPr>
              <w:t>1）配套终端</w:t>
            </w:r>
          </w:p>
          <w:p>
            <w:pPr>
              <w:pStyle w:val="null3"/>
              <w:ind w:left="435"/>
              <w:jc w:val="both"/>
            </w:pPr>
            <w:r>
              <w:rPr>
                <w:sz w:val="20"/>
              </w:rPr>
              <w:t>处理器：</w:t>
            </w:r>
            <w:r>
              <w:rPr>
                <w:sz w:val="20"/>
              </w:rPr>
              <w:t>核心数</w:t>
            </w:r>
            <w:r>
              <w:rPr>
                <w:sz w:val="20"/>
              </w:rPr>
              <w:t>≥8核，线程数≥12线程，主频(≥2.0GHz)</w:t>
            </w:r>
          </w:p>
          <w:p>
            <w:pPr>
              <w:pStyle w:val="null3"/>
              <w:ind w:left="435"/>
              <w:jc w:val="both"/>
            </w:pPr>
            <w:r>
              <w:rPr>
                <w:sz w:val="20"/>
              </w:rPr>
              <w:t>屏幕</w:t>
            </w:r>
            <w:r>
              <w:rPr>
                <w:sz w:val="20"/>
              </w:rPr>
              <w:t>：</w:t>
            </w:r>
            <w:r>
              <w:rPr>
                <w:sz w:val="20"/>
              </w:rPr>
              <w:t>不低于</w:t>
            </w:r>
            <w:r>
              <w:rPr>
                <w:sz w:val="20"/>
              </w:rPr>
              <w:t>14英寸</w:t>
            </w:r>
          </w:p>
          <w:p>
            <w:pPr>
              <w:pStyle w:val="null3"/>
              <w:jc w:val="both"/>
            </w:pPr>
            <w:r>
              <w:rPr>
                <w:sz w:val="20"/>
              </w:rPr>
              <w:t>存储空间：</w:t>
            </w:r>
            <w:r>
              <w:rPr>
                <w:sz w:val="20"/>
              </w:rPr>
              <w:t>≥</w:t>
            </w:r>
            <w:r>
              <w:rPr>
                <w:sz w:val="20"/>
              </w:rPr>
              <w:t>1TB SSD</w:t>
            </w:r>
          </w:p>
          <w:p>
            <w:pPr>
              <w:pStyle w:val="null3"/>
              <w:jc w:val="both"/>
            </w:pPr>
            <w:r>
              <w:rPr>
                <w:sz w:val="20"/>
              </w:rPr>
              <w:t>内存：</w:t>
            </w:r>
            <w:r>
              <w:rPr>
                <w:sz w:val="20"/>
              </w:rPr>
              <w:t>≥</w:t>
            </w:r>
            <w:r>
              <w:rPr>
                <w:sz w:val="20"/>
              </w:rPr>
              <w:t>32GB</w:t>
            </w:r>
          </w:p>
          <w:p>
            <w:pPr>
              <w:pStyle w:val="null3"/>
              <w:ind w:firstLine="400"/>
              <w:jc w:val="both"/>
            </w:pPr>
            <w:r>
              <w:rPr>
                <w:sz w:val="20"/>
              </w:rPr>
              <w:t>（</w:t>
            </w:r>
            <w:r>
              <w:rPr>
                <w:sz w:val="20"/>
              </w:rPr>
              <w:t>2）</w:t>
            </w:r>
            <w:r>
              <w:rPr>
                <w:sz w:val="20"/>
              </w:rPr>
              <w:t>数据存储</w:t>
            </w:r>
            <w:r>
              <w:rPr>
                <w:sz w:val="20"/>
              </w:rPr>
              <w:t>与分析</w:t>
            </w:r>
            <w:r>
              <w:rPr>
                <w:sz w:val="20"/>
              </w:rPr>
              <w:t>工控机</w:t>
            </w:r>
          </w:p>
          <w:p>
            <w:pPr>
              <w:pStyle w:val="null3"/>
              <w:jc w:val="left"/>
            </w:pPr>
            <w:r>
              <w:rPr>
                <w:sz w:val="20"/>
              </w:rPr>
              <w:t>处理器：性能不低于</w:t>
            </w:r>
            <w:r>
              <w:rPr>
                <w:sz w:val="20"/>
              </w:rPr>
              <w:t>2*64核2.6G</w:t>
            </w:r>
          </w:p>
          <w:p>
            <w:pPr>
              <w:pStyle w:val="null3"/>
              <w:jc w:val="left"/>
            </w:pPr>
            <w:r>
              <w:rPr>
                <w:sz w:val="20"/>
              </w:rPr>
              <w:t xml:space="preserve"> </w:t>
            </w:r>
            <w:r>
              <w:rPr>
                <w:sz w:val="20"/>
              </w:rPr>
              <w:t>存储空间：</w:t>
            </w:r>
            <w:r>
              <w:rPr>
                <w:sz w:val="20"/>
              </w:rPr>
              <w:t>≥</w:t>
            </w:r>
            <w:r>
              <w:rPr>
                <w:sz w:val="20"/>
              </w:rPr>
              <w:t>3</w:t>
            </w:r>
            <w:r>
              <w:rPr>
                <w:sz w:val="20"/>
              </w:rPr>
              <w:t>0TB+2TB SSD</w:t>
            </w:r>
          </w:p>
          <w:p>
            <w:pPr>
              <w:pStyle w:val="null3"/>
              <w:ind w:firstLine="200"/>
              <w:jc w:val="left"/>
            </w:pPr>
            <w:r>
              <w:rPr>
                <w:sz w:val="20"/>
              </w:rPr>
              <w:t>内存：</w:t>
            </w:r>
            <w:r>
              <w:rPr>
                <w:sz w:val="20"/>
              </w:rPr>
              <w:t>≥</w:t>
            </w:r>
            <w:r>
              <w:rPr>
                <w:sz w:val="20"/>
              </w:rPr>
              <w:t>6</w:t>
            </w:r>
            <w:r>
              <w:rPr>
                <w:sz w:val="20"/>
              </w:rPr>
              <w:t>4</w:t>
            </w:r>
            <w:r>
              <w:rPr>
                <w:sz w:val="20"/>
              </w:rPr>
              <w:t>GB</w:t>
            </w:r>
          </w:p>
          <w:p>
            <w:pPr>
              <w:pStyle w:val="null3"/>
              <w:jc w:val="both"/>
            </w:pPr>
            <w:r>
              <w:rPr>
                <w:sz w:val="21"/>
              </w:rPr>
              <w:t>高性能</w:t>
            </w:r>
            <w:r>
              <w:rPr>
                <w:sz w:val="21"/>
              </w:rPr>
              <w:t>AI计算模组：</w:t>
            </w:r>
            <w:r>
              <w:rPr>
                <w:sz w:val="21"/>
              </w:rPr>
              <w:t>推理算力</w:t>
            </w:r>
            <w:r>
              <w:rPr>
                <w:sz w:val="21"/>
              </w:rPr>
              <w:t>≥200 TOPS（INT8稀疏化）</w:t>
            </w:r>
            <w:r>
              <w:rPr>
                <w:sz w:val="21"/>
              </w:rPr>
              <w:t>，内存容量</w:t>
            </w:r>
            <w:r>
              <w:rPr>
                <w:sz w:val="21"/>
              </w:rPr>
              <w:t>≥32GB，</w:t>
            </w:r>
            <w:r>
              <w:rPr>
                <w:sz w:val="21"/>
              </w:rPr>
              <w:t>配备专用神经网络加速引擎，支持主流深度学习框架的硬件加速。</w:t>
            </w:r>
          </w:p>
          <w:p>
            <w:pPr>
              <w:pStyle w:val="null3"/>
              <w:jc w:val="both"/>
            </w:pPr>
            <w:r>
              <w:rPr>
                <w:sz w:val="20"/>
              </w:rPr>
              <w:t xml:space="preserve"> </w:t>
            </w:r>
            <w:r>
              <w:rPr>
                <w:sz w:val="20"/>
              </w:rPr>
              <w:t>网口：</w:t>
            </w:r>
            <w:r>
              <w:rPr>
                <w:sz w:val="20"/>
              </w:rPr>
              <w:t>4*GBE，支持光纤扩展</w:t>
            </w:r>
          </w:p>
        </w:tc>
      </w:tr>
      <w:tr>
        <w:tc>
          <w:tcPr>
            <w:tcW w:type="dxa" w:w="2076"/>
          </w:tcPr>
          <w:p/>
        </w:tc>
        <w:tc>
          <w:tcPr>
            <w:tcW w:type="dxa" w:w="415"/>
          </w:tcPr>
          <w:p>
            <w:pPr>
              <w:pStyle w:val="null3"/>
            </w:pPr>
            <w:r>
              <w:rPr/>
              <w:t>5</w:t>
            </w:r>
          </w:p>
        </w:tc>
        <w:tc>
          <w:tcPr>
            <w:tcW w:type="dxa" w:w="5814"/>
          </w:tcPr>
          <w:p>
            <w:pPr>
              <w:pStyle w:val="null3"/>
              <w:jc w:val="both"/>
            </w:pPr>
            <w:r>
              <w:rPr>
                <w:sz w:val="21"/>
                <w:b/>
              </w:rPr>
              <w:t>1</w:t>
            </w:r>
            <w:r>
              <w:rPr>
                <w:sz w:val="21"/>
                <w:b/>
              </w:rPr>
              <w:t>、</w:t>
            </w:r>
            <w:r>
              <w:rPr>
                <w:sz w:val="21"/>
                <w:b/>
              </w:rPr>
              <w:t>投标时需提供本项目同型号</w:t>
            </w:r>
            <w:r>
              <w:rPr>
                <w:sz w:val="21"/>
                <w:b/>
              </w:rPr>
              <w:t>设备检测项目：接收机</w:t>
            </w:r>
            <w:r>
              <w:rPr>
                <w:sz w:val="21"/>
                <w:b/>
              </w:rPr>
              <w:t>监测灵敏度、二阶截断点、三阶截断点、扫描速度由具备</w:t>
            </w:r>
            <w:r>
              <w:rPr>
                <w:sz w:val="21"/>
                <w:b/>
              </w:rPr>
              <w:t>CMA</w:t>
            </w:r>
            <w:r>
              <w:rPr>
                <w:sz w:val="21"/>
                <w:b/>
              </w:rPr>
              <w:t>资质的第三方检测机构出具的检测报告</w:t>
            </w:r>
            <w:r>
              <w:rPr>
                <w:sz w:val="21"/>
                <w:b/>
              </w:rPr>
              <w:t>，</w:t>
            </w:r>
            <w:r>
              <w:rPr>
                <w:sz w:val="21"/>
                <w:b/>
              </w:rPr>
              <w:t>依据</w:t>
            </w:r>
            <w:r>
              <w:rPr>
                <w:sz w:val="21"/>
                <w:b/>
              </w:rPr>
              <w:t>GB/T32401-2015</w:t>
            </w:r>
            <w:r>
              <w:rPr>
                <w:b/>
              </w:rPr>
              <w:t xml:space="preserve"> </w:t>
            </w:r>
            <w:r>
              <w:rPr>
                <w:sz w:val="21"/>
                <w:b/>
              </w:rPr>
              <w:t>5.2</w:t>
            </w:r>
            <w:r>
              <w:rPr>
                <w:sz w:val="21"/>
                <w:b/>
              </w:rPr>
              <w:t>中相应检测项目的测试方法进行检测</w:t>
            </w:r>
            <w:r>
              <w:rPr>
                <w:sz w:val="21"/>
                <w:b/>
              </w:rPr>
              <w:t>。</w:t>
            </w:r>
          </w:p>
          <w:p>
            <w:pPr>
              <w:pStyle w:val="null3"/>
              <w:jc w:val="both"/>
            </w:pPr>
            <w:r>
              <w:rPr/>
              <w:t>2</w:t>
            </w:r>
            <w:r>
              <w:rPr/>
              <w:t>、</w:t>
            </w:r>
            <w:r>
              <w:rPr/>
              <w:t>投标人提供具备</w:t>
            </w:r>
            <w:r>
              <w:rPr/>
              <w:t>CMA</w:t>
            </w:r>
            <w:r>
              <w:rPr/>
              <w:t>标识的第三方检测报告作为证明材料</w:t>
            </w:r>
            <w:r>
              <w:rPr/>
              <w:t>的需要满足以下要求</w:t>
            </w:r>
            <w:r>
              <w:rPr/>
              <w:t>：</w:t>
            </w:r>
          </w:p>
          <w:p>
            <w:pPr>
              <w:pStyle w:val="null3"/>
              <w:jc w:val="both"/>
            </w:pPr>
            <w:r>
              <w:rPr/>
              <w:t>（</w:t>
            </w:r>
            <w:r>
              <w:rPr/>
              <w:t>1</w:t>
            </w:r>
            <w:r>
              <w:rPr/>
              <w:t>）第三方检验检测机构出具的带</w:t>
            </w:r>
            <w:r>
              <w:rPr/>
              <w:t>CMA</w:t>
            </w:r>
            <w:r>
              <w:rPr/>
              <w:t>标志的检验（检测）报告；</w:t>
            </w:r>
          </w:p>
          <w:p>
            <w:pPr>
              <w:pStyle w:val="null3"/>
              <w:jc w:val="both"/>
            </w:pPr>
            <w:r>
              <w:rPr/>
              <w:t>（</w:t>
            </w:r>
            <w:r>
              <w:rPr/>
              <w:t>2</w:t>
            </w:r>
            <w:r>
              <w:rPr/>
              <w:t>）在“国家市场监督管理总局检验检测机构资质认定网上审批系统（</w:t>
            </w:r>
            <w:r>
              <w:rPr/>
              <w:t>http://cma.cnca.cn/cma/solr/tBzAbilitySearch/list?flag=hide</w:t>
            </w:r>
            <w:r>
              <w:rPr/>
              <w:t>）”或“省级资质认定获证机构查询入口（</w:t>
            </w:r>
            <w:r>
              <w:rPr/>
              <w:t>https://cx.cnca.cn/CertECloud/dm/qtsOrgInfo/list</w:t>
            </w:r>
            <w:r>
              <w:rPr/>
              <w:t>）”查询该出具机构的</w:t>
            </w:r>
            <w:r>
              <w:rPr/>
              <w:t>CMA</w:t>
            </w:r>
            <w:r>
              <w:rPr/>
              <w:t>能力范围截图，截图须清晰显示</w:t>
            </w:r>
            <w:r>
              <w:rPr/>
              <w:t>"</w:t>
            </w:r>
            <w:r>
              <w:rPr/>
              <w:t>机构名称、资质认定证书编号、能力范围中所列的本项对应标准</w:t>
            </w:r>
            <w:r>
              <w:rPr/>
              <w:t>"</w:t>
            </w:r>
            <w:r>
              <w:rPr/>
              <w:t>。如平台未展示标准明细，供应商须补充提供该机构</w:t>
            </w:r>
            <w:r>
              <w:rPr/>
              <w:t>CMA</w:t>
            </w:r>
            <w:r>
              <w:rPr/>
              <w:t>证书附表中对应页或出具机构盖章的能力说明。</w:t>
            </w:r>
          </w:p>
          <w:p>
            <w:pPr>
              <w:pStyle w:val="null3"/>
              <w:jc w:val="both"/>
            </w:pPr>
            <w:r>
              <w:rPr/>
              <w:t>（</w:t>
            </w:r>
            <w:r>
              <w:rPr/>
              <w:t>3</w:t>
            </w:r>
            <w:r>
              <w:rPr/>
              <w:t>）</w:t>
            </w:r>
            <w:r>
              <w:rPr/>
              <w:t>为便于评审，供应商须对报告中对应参数行、及查询截图（或附表）中的对应能力行进行标识（加方框</w:t>
            </w:r>
            <w:r>
              <w:rPr/>
              <w:t>/</w:t>
            </w:r>
            <w:r>
              <w:rPr/>
              <w:t>箭头</w:t>
            </w:r>
            <w:r>
              <w:rPr/>
              <w:t>/</w:t>
            </w:r>
            <w:r>
              <w:rPr/>
              <w:t>高亮均可），并注明对应本采购需求的参数序号。</w:t>
            </w:r>
          </w:p>
          <w:p>
            <w:pPr>
              <w:pStyle w:val="null3"/>
              <w:jc w:val="both"/>
            </w:pPr>
            <w:r>
              <w:rPr/>
              <w:t>（</w:t>
            </w:r>
            <w:r>
              <w:rPr/>
              <w:t>4</w:t>
            </w:r>
            <w:r>
              <w:rPr/>
              <w:t>）</w:t>
            </w:r>
            <w:r>
              <w:rPr/>
              <w:t>根据《广东省市场监督管理局</w:t>
            </w:r>
            <w:r>
              <w:rPr/>
              <w:t>广东省财政厅关于规范使用</w:t>
            </w:r>
            <w:r>
              <w:rPr/>
              <w:t>CMA</w:t>
            </w:r>
            <w:r>
              <w:rPr/>
              <w:t>检验检测报告的通知》（粤市监〔</w:t>
            </w:r>
            <w:r>
              <w:rPr/>
              <w:t>2026</w:t>
            </w:r>
            <w:r>
              <w:rPr/>
              <w:t>〕</w:t>
            </w:r>
            <w:r>
              <w:rPr/>
              <w:t>49</w:t>
            </w:r>
            <w:r>
              <w:rPr/>
              <w:t>号），有下列情形之一，该份</w:t>
            </w:r>
            <w:r>
              <w:rPr/>
              <w:t>CMA</w:t>
            </w:r>
            <w:r>
              <w:rPr/>
              <w:t>报告不予采信：</w:t>
            </w:r>
          </w:p>
          <w:p>
            <w:pPr>
              <w:pStyle w:val="null3"/>
              <w:jc w:val="both"/>
            </w:pPr>
            <w:r>
              <w:rPr/>
              <w:t>（一）</w:t>
            </w:r>
            <w:r>
              <w:rPr/>
              <w:t>CMA</w:t>
            </w:r>
            <w:r>
              <w:rPr/>
              <w:t>报告中“检验依据”或“检验项目”栏内具体项目标注“＊”“★”“▲”及类似符号，并在报告中声明标注以上符号的检验检测项目超出或未获得</w:t>
            </w:r>
            <w:r>
              <w:rPr/>
              <w:t>CMA</w:t>
            </w:r>
            <w:r>
              <w:rPr/>
              <w:t>资质认定，相关数据不具备公证性。</w:t>
            </w:r>
          </w:p>
          <w:p>
            <w:pPr>
              <w:pStyle w:val="null3"/>
              <w:jc w:val="both"/>
            </w:pPr>
            <w:r>
              <w:rPr/>
              <w:t>（二）</w:t>
            </w:r>
            <w:r>
              <w:rPr/>
              <w:t>CMA</w:t>
            </w:r>
            <w:r>
              <w:rPr/>
              <w:t>报告的“检验检测依据</w:t>
            </w:r>
            <w:r>
              <w:rPr/>
              <w:t>/</w:t>
            </w:r>
            <w:r>
              <w:rPr/>
              <w:t>标准”栏未注明具体检验检测方法或标准，或标注“根据企业委托”或“企业技术要求”等的。</w:t>
            </w:r>
          </w:p>
          <w:p>
            <w:pPr>
              <w:pStyle w:val="null3"/>
              <w:jc w:val="both"/>
            </w:pPr>
            <w:r>
              <w:rPr/>
              <w:t>（三）</w:t>
            </w:r>
            <w:r>
              <w:rPr/>
              <w:t>CMA</w:t>
            </w:r>
            <w:r>
              <w:rPr/>
              <w:t>报告中声明“检验检测数据由委托方提供，缺乏机构自身检测验证”或类似内容的。</w:t>
            </w:r>
          </w:p>
          <w:p>
            <w:pPr>
              <w:pStyle w:val="null3"/>
              <w:jc w:val="both"/>
            </w:pPr>
            <w:r>
              <w:rPr/>
              <w:t>（</w:t>
            </w:r>
            <w:r>
              <w:rPr/>
              <w:t>5</w:t>
            </w:r>
            <w:r>
              <w:rPr/>
              <w:t>）</w:t>
            </w:r>
            <w:r>
              <w:rPr/>
              <w:t>检验（检测）报告上载明的出具机构存在异常情形的，建议供应商从严查验，审慎使用。检验检测认证机构信用记录查询路径如下：</w:t>
            </w:r>
          </w:p>
          <w:p>
            <w:pPr>
              <w:pStyle w:val="null3"/>
              <w:jc w:val="both"/>
            </w:pPr>
            <w:r>
              <w:rPr/>
              <w:t>方法一：登录</w:t>
            </w:r>
            <w:r>
              <w:rPr/>
              <w:t>“信用中国”平台“信息公示”页面，输入查询内容，可查询机构信用评级、失信记录及联合惩戒等信息。网址：</w:t>
            </w:r>
            <w:r>
              <w:rPr/>
              <w:t>https://www.creditchina.gov.cn/xinxigongshi/</w:t>
            </w:r>
            <w:r>
              <w:rPr/>
              <w:t>。</w:t>
            </w:r>
          </w:p>
          <w:p>
            <w:pPr>
              <w:pStyle w:val="null3"/>
              <w:jc w:val="both"/>
            </w:pPr>
            <w:r>
              <w:rPr/>
              <w:t>方法二：登录</w:t>
            </w:r>
            <w:r>
              <w:rPr/>
              <w:t>“国家企业信用信息公示系统”（</w:t>
            </w:r>
            <w:r>
              <w:rPr/>
              <w:t>https://www.</w:t>
            </w:r>
          </w:p>
          <w:p>
            <w:pPr>
              <w:pStyle w:val="null3"/>
            </w:pPr>
            <w:r>
              <w:rPr>
                <w:sz w:val="21"/>
              </w:rPr>
              <w:t>gsxt.gov.cn/index.html</w:t>
            </w:r>
            <w:r>
              <w:rPr>
                <w:sz w:val="21"/>
              </w:rPr>
              <w:t>），可查询机构登记状态、年报信息及市场监管部门行政处罚等记录。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广州市无线电监测站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采购机构代理服务收费标准：中标人须向采购代理机构按如下标准和规定缴纳招标代理服务费： （1）以中标金额作为招标代理服务费的计算基数； （2）招标代理服务费采用差额定率累进法进行计算，按照以下标准计取：100万元以下的部分，按照1.5%计取；100-500万元的部分，按照1.1%计取。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便利化措施，1.中标（成交）通知书与发票送达：中标（成交）通知书、服务费（标书款）发票现场领取或邮寄，中标（成交）通知书、我司可通过快递方式送达给中标（成交）人，服务费（标书款）发票以邮件方式发送电子发票。 2.采购合同送达：中标（成交）人可采用邮寄方式将签订的合同或现场递交我司。1）收件地址：广州市天河区龙怡路117号银汇大厦5楼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无线电监测站-广东省2026年智能化无线电监测管制设备新建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采购包1（广州市无线电监测站-广东省2026年智能化无线电监测管制设备新建项目）：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采购包1（广州市无线电监测站-广东省2026年智能化无线电监测管制设备新建项目）：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整体预留专门面向中小企业采购的项目,所有货物由符合货物所属行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采购包1（广州市无线电监测站-广东省2026年智能化无线电监测管制设备新建项目）：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采购包1(广州市无线电监测站-广东省2026年智能化无线电监测管制设备新建项目):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带“▲”的条款响应情况 (18.0分)</w:t>
            </w:r>
          </w:p>
        </w:tc>
        <w:tc>
          <w:tcPr>
            <w:tcW w:type="dxa" w:w="5076"/>
          </w:tcPr>
          <w:p>
            <w:pPr>
              <w:pStyle w:val="null3"/>
              <w:jc w:val="left"/>
            </w:pPr>
            <w:r>
              <w:rPr/>
              <w:t>投标人所投产品均满足或优于招标文件“具体技术(参数)要求”中的“（三）主要性能指标要求”中带“▲”的条款（共12项），每满足1项得1.5分，最高得18分。 注：1、带“▲”号的核心参数部分，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一般条款响应情况 (11.0分)</w:t>
            </w:r>
          </w:p>
        </w:tc>
        <w:tc>
          <w:tcPr>
            <w:tcW w:type="dxa" w:w="5076"/>
          </w:tcPr>
          <w:p>
            <w:pPr>
              <w:pStyle w:val="null3"/>
              <w:jc w:val="left"/>
            </w:pPr>
            <w:r>
              <w:rPr/>
              <w:t>投标人所投产品的功能和技术参数均满足招标文件“具体技术(参数)要求”中的“（二）设备功能、（三）主要性能指标要求”中一般条款（不带“★”、“▲”的条款）（共44项），每满足1项得0.25分，最高得11分。 【注： ①若采购需求中要求提供证明文件的，以采购需求中要求的为准，无或未按要求提供证明材料的视为负偏离；如采购需求中无明确证明材料的，以投标人投标文件中的《技术和服务要求响应表》中的响应情况填写内容为准；但如发现实际响应参数（相关证明文件）与投标人提供的《技术和服务要求响应表》上内容不一致时，以实际响应参数（相关证明文件）为准。不按上述要求提供材料的，不得分。②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现场演示 (15.0分)</w:t>
            </w:r>
          </w:p>
        </w:tc>
        <w:tc>
          <w:tcPr>
            <w:tcW w:type="dxa" w:w="5076"/>
          </w:tcPr>
          <w:p>
            <w:pPr>
              <w:pStyle w:val="null3"/>
              <w:jc w:val="left"/>
            </w:pPr>
            <w:r>
              <w:rPr/>
              <w:t>1.信号监测分析：显示中频全景80MHz带宽频谱，对80MHz全景频谱中任一信号进行分析及解调监测。 满足要求的得3分，不满足不得分。 2.解析及压制功能：使用测试信号源，同时发送4条指定内容（内容为四个随机汉字）的作弊信号，展示监测管制设备能否解析成功，解码内容是否正确。解码成功后设备开启持续性压制，通过外部监测接收设备展示监测管制设备是否已经发出阻断信号且作弊接收器无法接收新信息。 （1）每成功解码1个作弊信号得1.5分，最高得6分； （2）每成功压制1个作弊接收器，使其无法接收新的作弊信息的，得1.5分，最高得6分； 备注： 1.请投标人自行准备演示所需要的设备，演示现场只提供电源和投影（HDMI接口）。 2.演示时间不超过20分钟，演示人员须凭身份证原件及授权委托书参加演示，参加人数一般不超过2人。 3.陈述演示的先后顺序将按照开标一览表的先后顺序排序，投标人逐一演示。 4.现场用软件按参数描述与要求进行该功能演示。如果采用PPT、视频、图片等或不参与演示的不得分。</w:t>
            </w:r>
          </w:p>
        </w:tc>
      </w:tr>
      <w:tr>
        <w:tc>
          <w:tcPr>
            <w:tcW w:type="dxa" w:w="922"/>
            <w:gridSpan w:val="2"/>
            <w:vMerge/>
          </w:tcPr>
          <w:p/>
        </w:tc>
        <w:tc>
          <w:tcPr>
            <w:tcW w:type="dxa" w:w="2307"/>
          </w:tcPr>
          <w:p>
            <w:pPr>
              <w:pStyle w:val="null3"/>
              <w:jc w:val="left"/>
            </w:pPr>
            <w:r>
              <w:rPr/>
              <w:t>系统方案响应情况 (3.0分)</w:t>
            </w:r>
          </w:p>
        </w:tc>
        <w:tc>
          <w:tcPr>
            <w:tcW w:type="dxa" w:w="5076"/>
          </w:tcPr>
          <w:p>
            <w:pPr>
              <w:pStyle w:val="null3"/>
              <w:jc w:val="left"/>
            </w:pPr>
            <w:r>
              <w:rPr/>
              <w:t>根据投标人提供的系统方案（包括但不限于监测功能、管制功能、系统集成与平台对接等）进行评审： 完整可行、可操作性强且合理，完全满足且优于采购需求的得3分； 投标人提供的系统方案基本完整，可操作性较强，较为合理，完全满足采购需求的得2分； 投标人提供的系统方案完整性差，可操作性差，合理性差，不完全满足采购需求的得1分； 不提供或其他不得分。</w:t>
            </w:r>
          </w:p>
        </w:tc>
      </w:tr>
      <w:tr>
        <w:tc>
          <w:tcPr>
            <w:tcW w:type="dxa" w:w="922"/>
            <w:gridSpan w:val="2"/>
            <w:vMerge/>
          </w:tcPr>
          <w:p/>
        </w:tc>
        <w:tc>
          <w:tcPr>
            <w:tcW w:type="dxa" w:w="2307"/>
          </w:tcPr>
          <w:p>
            <w:pPr>
              <w:pStyle w:val="null3"/>
              <w:jc w:val="left"/>
            </w:pPr>
            <w:r>
              <w:rPr/>
              <w:t>项目管理和质量保证措施 (3.0分)</w:t>
            </w:r>
          </w:p>
        </w:tc>
        <w:tc>
          <w:tcPr>
            <w:tcW w:type="dxa" w:w="5076"/>
          </w:tcPr>
          <w:p>
            <w:pPr>
              <w:pStyle w:val="null3"/>
              <w:jc w:val="left"/>
            </w:pPr>
            <w:r>
              <w:rPr/>
              <w:t>根据投标人提供的项目管理和质量保证措施（包括但不限于进度管理与流程控制、组织架构与责任机制等）进行评审： 项目管理和质量保证措施完善、合理，完全满足且优于采购需求的得3分； 项目管理和质量保证措施较完善、较合理，完全满足采购需求的得2分； 项目管理和质量保证措施不够完善、合理性较差，不完全满足采购需求的得1分； 不提供或其他不得分。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(3.0分)</w:t>
            </w:r>
          </w:p>
        </w:tc>
        <w:tc>
          <w:tcPr>
            <w:tcW w:type="dxa" w:w="5076"/>
          </w:tcPr>
          <w:p>
            <w:pPr>
              <w:pStyle w:val="null3"/>
              <w:jc w:val="left"/>
            </w:pPr>
            <w:r>
              <w:rPr/>
              <w:t>2023年1月1日（以合同签订时间为准）至今，有承接过无线电监测类或管制类项目的业绩，每个项目1分，最高得3分。投标文件中应提供相应证明材料，包括合同及验收报告关键页扫描件且加盖投标人公章，缺项不得分。</w:t>
            </w:r>
          </w:p>
        </w:tc>
      </w:tr>
      <w:tr>
        <w:tc>
          <w:tcPr>
            <w:tcW w:type="dxa" w:w="922"/>
            <w:gridSpan w:val="2"/>
            <w:vMerge/>
          </w:tcPr>
          <w:p/>
        </w:tc>
        <w:tc>
          <w:tcPr>
            <w:tcW w:type="dxa" w:w="2307"/>
          </w:tcPr>
          <w:p>
            <w:pPr>
              <w:pStyle w:val="null3"/>
              <w:jc w:val="left"/>
            </w:pPr>
            <w:r>
              <w:rPr/>
              <w:t>综合实力 (2.0分)</w:t>
            </w:r>
          </w:p>
        </w:tc>
        <w:tc>
          <w:tcPr>
            <w:tcW w:type="dxa" w:w="5076"/>
          </w:tcPr>
          <w:p>
            <w:pPr>
              <w:pStyle w:val="null3"/>
              <w:jc w:val="left"/>
            </w:pPr>
            <w:r>
              <w:rPr/>
              <w:t>投标人具有有效期内的质量管理体系认证证书（认证范围须与无线电相关），得2分。 注：提供证书复印件和在“全国认证认可信息公共服务平台”（http://cx.cnca.cn）对体系证书的信息查询截图作为评审依据，证书处于过期、撤销、注销或暂停状态的，或未按要求提供证明材料的，对应证书不得分。上述证书如因成立时间不足三个月的原因未能获得的，可对应得分。</w:t>
            </w:r>
          </w:p>
        </w:tc>
      </w:tr>
      <w:tr>
        <w:tc>
          <w:tcPr>
            <w:tcW w:type="dxa" w:w="922"/>
            <w:gridSpan w:val="2"/>
            <w:vMerge/>
          </w:tcPr>
          <w:p/>
        </w:tc>
        <w:tc>
          <w:tcPr>
            <w:tcW w:type="dxa" w:w="2307"/>
          </w:tcPr>
          <w:p>
            <w:pPr>
              <w:pStyle w:val="null3"/>
              <w:jc w:val="left"/>
            </w:pPr>
            <w:r>
              <w:rPr/>
              <w:t>保修期要求 (4.0分)</w:t>
            </w:r>
          </w:p>
        </w:tc>
        <w:tc>
          <w:tcPr>
            <w:tcW w:type="dxa" w:w="5076"/>
          </w:tcPr>
          <w:p>
            <w:pPr>
              <w:pStyle w:val="null3"/>
              <w:jc w:val="left"/>
            </w:pPr>
            <w:r>
              <w:rPr/>
              <w:t>满足或优于招标文件中保修期3年要求得4分，不满足不得分。 注：须提供承诺函，格式自拟。</w:t>
            </w:r>
          </w:p>
        </w:tc>
      </w:tr>
      <w:tr>
        <w:tc>
          <w:tcPr>
            <w:tcW w:type="dxa" w:w="922"/>
            <w:gridSpan w:val="2"/>
            <w:vMerge/>
          </w:tcPr>
          <w:p/>
        </w:tc>
        <w:tc>
          <w:tcPr>
            <w:tcW w:type="dxa" w:w="2307"/>
          </w:tcPr>
          <w:p>
            <w:pPr>
              <w:pStyle w:val="null3"/>
              <w:jc w:val="left"/>
            </w:pPr>
            <w:r>
              <w:rPr/>
              <w:t>售后服务及培训 (6.0分)</w:t>
            </w:r>
          </w:p>
        </w:tc>
        <w:tc>
          <w:tcPr>
            <w:tcW w:type="dxa" w:w="5076"/>
          </w:tcPr>
          <w:p>
            <w:pPr>
              <w:pStyle w:val="null3"/>
              <w:jc w:val="left"/>
            </w:pPr>
            <w:r>
              <w:rPr/>
              <w:t>1. 根据投标人的售后服务方案（3分），包括①服务响应时间；②售后人员安排，方案包含以上全部内容且符合招标文件要求得3分，每有一项缺失或不满足项目需求的得1.5分，两项均缺失或不满足项目需求的得0分。 2.投标人提供针对本项目的培训方案（3分），包含①培训计划；②培训方式，方案包含以上全部内容且符合招标文件要求得3分，每有一项缺失或不满足项目需求的得1.5分，两项均缺失或不满足项目需求的得0分。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84"/>
        </w:rPr>
        <w:t>合同书</w:t>
      </w:r>
    </w:p>
    <w:p>
      <w:pPr>
        <w:pStyle w:val="null3"/>
        <w:ind w:firstLine="480"/>
        <w:jc w:val="both"/>
      </w:pPr>
      <w:r>
        <w:rPr>
          <w:sz w:val="21"/>
          <w:b/>
        </w:rPr>
        <w:t>项目名称：</w:t>
      </w:r>
      <w:r>
        <w:rPr>
          <w:b/>
          <w:u w:val="single"/>
        </w:rPr>
        <w:t xml:space="preserve">                 </w:t>
      </w:r>
    </w:p>
    <w:p>
      <w:pPr>
        <w:pStyle w:val="null3"/>
        <w:ind w:firstLine="480"/>
      </w:pPr>
      <w:r>
        <w:rPr>
          <w:sz w:val="21"/>
          <w:b/>
        </w:rPr>
        <w:t>合同编号：</w:t>
      </w:r>
      <w:r>
        <w:rPr>
          <w:b/>
          <w:u w:val="single"/>
        </w:rPr>
        <w:t xml:space="preserve">                  </w:t>
      </w:r>
    </w:p>
    <w:p>
      <w:pPr>
        <w:pStyle w:val="null3"/>
        <w:ind w:firstLine="480"/>
      </w:pPr>
      <w:r>
        <w:rPr>
          <w:sz w:val="21"/>
          <w:b/>
        </w:rPr>
        <w:t>签约地点：</w:t>
      </w:r>
      <w:r>
        <w:rPr>
          <w:b/>
          <w:u w:val="single"/>
        </w:rPr>
        <w:t xml:space="preserve">                 </w:t>
      </w:r>
    </w:p>
    <w:p>
      <w:pPr>
        <w:pStyle w:val="null3"/>
        <w:ind w:firstLine="310"/>
      </w:pPr>
      <w:r>
        <w:rPr>
          <w:sz w:val="21"/>
          <w:b/>
        </w:rPr>
        <w:t xml:space="preserve">  </w:t>
      </w:r>
      <w:r>
        <w:rPr>
          <w:sz w:val="21"/>
          <w:b/>
        </w:rPr>
        <w:t>签订日期：二〇</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ind w:firstLine="480"/>
      </w:pPr>
      <w:r>
        <w:rPr>
          <w:sz w:val="21"/>
        </w:rPr>
        <w:t>甲方：</w:t>
      </w:r>
      <w:r>
        <w:rPr>
          <w:sz w:val="21"/>
          <w:u w:val="single"/>
        </w:rPr>
        <w:t xml:space="preserve">                          </w:t>
      </w:r>
      <w:r>
        <w:rPr>
          <w:sz w:val="21"/>
          <w:u w:val="single"/>
        </w:rPr>
        <w:t>（采购人名称）</w:t>
      </w:r>
    </w:p>
    <w:p>
      <w:pPr>
        <w:pStyle w:val="null3"/>
        <w:ind w:firstLine="480"/>
        <w:jc w:val="both"/>
      </w:pPr>
      <w:r>
        <w:rPr>
          <w:sz w:val="21"/>
        </w:rPr>
        <w:t>乙方：</w:t>
      </w:r>
      <w:r>
        <w:rPr>
          <w:sz w:val="21"/>
          <w:u w:val="single"/>
        </w:rPr>
        <w:t xml:space="preserve">                          </w:t>
      </w:r>
      <w:r>
        <w:rPr>
          <w:sz w:val="21"/>
          <w:u w:val="single"/>
        </w:rPr>
        <w:t>（中标人名称）</w:t>
      </w:r>
    </w:p>
    <w:p>
      <w:pPr>
        <w:pStyle w:val="null3"/>
        <w:ind w:firstLine="315"/>
        <w:jc w:val="both"/>
      </w:pPr>
      <w:r>
        <w:rPr>
          <w:sz w:val="21"/>
        </w:rPr>
        <w:t xml:space="preserve"> </w:t>
      </w:r>
      <w:r>
        <w:rPr>
          <w:sz w:val="21"/>
        </w:rPr>
        <w:t>根据《中华人民共和国政府采购法》、《中华人民共和国民法典》合同编、</w:t>
      </w:r>
      <w:r>
        <w:rPr>
          <w:sz w:val="21"/>
        </w:rPr>
        <w:t>广州市无线电监测站</w:t>
      </w:r>
      <w:r>
        <w:rPr>
          <w:sz w:val="21"/>
        </w:rPr>
        <w:t>-</w:t>
      </w:r>
      <w:r>
        <w:rPr>
          <w:sz w:val="21"/>
        </w:rPr>
        <w:t>广东省</w:t>
      </w:r>
      <w:r>
        <w:rPr>
          <w:sz w:val="21"/>
        </w:rPr>
        <w:t>2026</w:t>
      </w:r>
      <w:r>
        <w:rPr>
          <w:sz w:val="21"/>
        </w:rPr>
        <w:t>年智能化无线电监测管制设备新建项目</w:t>
      </w:r>
      <w:r>
        <w:rPr>
          <w:sz w:val="21"/>
        </w:rPr>
        <w:t>招标文件（项目编号：</w:t>
      </w:r>
      <w:r>
        <w:rPr>
          <w:sz w:val="21"/>
        </w:rPr>
        <w:t>XXX</w:t>
      </w:r>
      <w:r>
        <w:rPr>
          <w:sz w:val="21"/>
        </w:rPr>
        <w:t>），采购代理机构：</w:t>
      </w:r>
      <w:r>
        <w:rPr>
          <w:sz w:val="21"/>
        </w:rPr>
        <w:t>XX</w:t>
      </w:r>
      <w:r>
        <w:rPr>
          <w:sz w:val="21"/>
        </w:rPr>
        <w:t>公司）、投标文件的要求，经双方协商一致，签订本合同。</w:t>
      </w:r>
    </w:p>
    <w:p>
      <w:pPr>
        <w:pStyle w:val="null3"/>
        <w:ind w:firstLine="480"/>
        <w:jc w:val="both"/>
      </w:pPr>
      <w:r>
        <w:rPr>
          <w:sz w:val="21"/>
          <w:b/>
        </w:rPr>
        <w:t>1</w:t>
      </w:r>
      <w:r>
        <w:rPr>
          <w:sz w:val="21"/>
          <w:b/>
        </w:rPr>
        <w:t>．货物</w:t>
      </w:r>
    </w:p>
    <w:p>
      <w:pPr>
        <w:pStyle w:val="null3"/>
        <w:ind w:firstLine="420"/>
        <w:jc w:val="both"/>
      </w:pPr>
      <w:r>
        <w:rPr>
          <w:sz w:val="21"/>
        </w:rPr>
        <w:t>货物名称、型号、规格、数量及交货时间</w:t>
      </w:r>
    </w:p>
    <w:tbl>
      <w:tblPr>
        <w:tblW w:w="0" w:type="auto"/>
        <w:tblBorders>
          <w:top w:val="none" w:color="000000" w:sz="4"/>
          <w:left w:val="none" w:color="000000" w:sz="4"/>
          <w:bottom w:val="none" w:color="000000" w:sz="4"/>
          <w:right w:val="none" w:color="000000" w:sz="4"/>
          <w:insideH w:val="none"/>
          <w:insideV w:val="none"/>
        </w:tblBorders>
      </w:tblPr>
      <w:tblGrid>
        <w:gridCol w:w="831"/>
        <w:gridCol w:w="831"/>
        <w:gridCol w:w="831"/>
        <w:gridCol w:w="831"/>
        <w:gridCol w:w="831"/>
        <w:gridCol w:w="831"/>
        <w:gridCol w:w="831"/>
        <w:gridCol w:w="831"/>
        <w:gridCol w:w="831"/>
        <w:gridCol w:w="831"/>
      </w:tblGrid>
      <w:tr>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货物</w:t>
            </w:r>
          </w:p>
          <w:p>
            <w:pPr>
              <w:pStyle w:val="null3"/>
              <w:ind w:firstLine="480"/>
              <w:jc w:val="center"/>
            </w:pPr>
            <w:r>
              <w:rPr>
                <w:sz w:val="21"/>
              </w:rPr>
              <w:t>名称</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规格</w:t>
            </w:r>
          </w:p>
          <w:p>
            <w:pPr>
              <w:pStyle w:val="null3"/>
              <w:ind w:firstLine="480"/>
              <w:jc w:val="center"/>
            </w:pPr>
            <w:r>
              <w:rPr>
                <w:sz w:val="21"/>
              </w:rPr>
              <w:t>型号</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生产</w:t>
            </w:r>
          </w:p>
          <w:p>
            <w:pPr>
              <w:pStyle w:val="null3"/>
              <w:ind w:firstLine="480"/>
              <w:jc w:val="center"/>
            </w:pPr>
            <w:r>
              <w:rPr>
                <w:sz w:val="21"/>
              </w:rPr>
              <w:t>厂家</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产地</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单位</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数量</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单价</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总价</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交货</w:t>
            </w:r>
          </w:p>
          <w:p>
            <w:pPr>
              <w:pStyle w:val="null3"/>
              <w:ind w:firstLine="480"/>
              <w:jc w:val="center"/>
            </w:pPr>
            <w:r>
              <w:rPr>
                <w:sz w:val="21"/>
              </w:rPr>
              <w:t>地点</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交货</w:t>
            </w:r>
          </w:p>
          <w:p>
            <w:pPr>
              <w:pStyle w:val="null3"/>
              <w:ind w:firstLine="480"/>
              <w:jc w:val="center"/>
            </w:pPr>
            <w:r>
              <w:rPr>
                <w:sz w:val="21"/>
              </w:rPr>
              <w:t>时间</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2</w:t>
      </w:r>
      <w:r>
        <w:rPr>
          <w:sz w:val="21"/>
          <w:b/>
        </w:rPr>
        <w:t>．合同总价和支付方式</w:t>
      </w:r>
    </w:p>
    <w:p>
      <w:pPr>
        <w:pStyle w:val="null3"/>
        <w:ind w:firstLine="480"/>
        <w:jc w:val="both"/>
      </w:pPr>
      <w:r>
        <w:rPr>
          <w:sz w:val="21"/>
        </w:rPr>
        <w:t>2.1</w:t>
      </w:r>
      <w:r>
        <w:rPr>
          <w:sz w:val="21"/>
        </w:rPr>
        <w:t>合同总价：总价为人民币（大写）：</w:t>
      </w:r>
      <w:r>
        <w:rPr>
          <w:u w:val="single"/>
        </w:rPr>
        <w:t xml:space="preserve">                </w:t>
      </w:r>
      <w:r>
        <w:rPr>
          <w:sz w:val="21"/>
        </w:rPr>
        <w:t>，即</w:t>
      </w:r>
      <w:r>
        <w:rPr>
          <w:sz w:val="21"/>
          <w:u w:val="single"/>
        </w:rPr>
        <w:t>￥</w:t>
      </w:r>
      <w:r>
        <w:rPr>
          <w:sz w:val="21"/>
          <w:u w:val="single"/>
        </w:rPr>
        <w:t xml:space="preserve">         </w:t>
      </w:r>
      <w:r>
        <w:rPr>
          <w:sz w:val="21"/>
        </w:rPr>
        <w:t>元，该合同总金额是设计、设备制造、包装、仓储、运输、安装、调试、试运行、培训及验收合格之前及保修期与备品备件发生的所有含税费用。本合同执行期间合同总金额不变。</w:t>
      </w:r>
    </w:p>
    <w:p>
      <w:pPr>
        <w:pStyle w:val="null3"/>
        <w:ind w:firstLine="480"/>
        <w:jc w:val="both"/>
      </w:pPr>
      <w:r>
        <w:rPr>
          <w:sz w:val="21"/>
        </w:rPr>
        <w:t>2.2</w:t>
      </w:r>
      <w:r>
        <w:rPr>
          <w:sz w:val="21"/>
        </w:rPr>
        <w:t>保费：货物到达交货地点之前的所有保险费用和派往甲方进行服务人员的人身险和其他有关险种，以及有关费用由乙方负责。</w:t>
      </w:r>
    </w:p>
    <w:p>
      <w:pPr>
        <w:pStyle w:val="null3"/>
        <w:ind w:firstLine="480"/>
        <w:jc w:val="both"/>
      </w:pPr>
      <w:r>
        <w:rPr>
          <w:sz w:val="21"/>
        </w:rPr>
        <w:t>2.3</w:t>
      </w:r>
      <w:r>
        <w:rPr>
          <w:sz w:val="21"/>
        </w:rPr>
        <w:t>付款方式</w:t>
      </w:r>
    </w:p>
    <w:p>
      <w:pPr>
        <w:pStyle w:val="null3"/>
        <w:ind w:firstLine="480"/>
      </w:pPr>
      <w:r>
        <w:rPr>
          <w:sz w:val="21"/>
        </w:rPr>
        <w:t>2.3.1</w:t>
      </w:r>
      <w:r>
        <w:rPr>
          <w:sz w:val="21"/>
        </w:rPr>
        <w:t>合同签订生效后，甲方收到乙方提交的与拟支付金额等额正规税务发票</w:t>
      </w:r>
      <w:r>
        <w:rPr>
          <w:sz w:val="21"/>
        </w:rPr>
        <w:t>5</w:t>
      </w:r>
      <w:r>
        <w:rPr>
          <w:sz w:val="21"/>
        </w:rPr>
        <w:t>个工作日内，甲方向当地财政部门申请办理相当于合同总额</w:t>
      </w:r>
      <w:r>
        <w:rPr>
          <w:sz w:val="21"/>
        </w:rPr>
        <w:t>50%</w:t>
      </w:r>
      <w:r>
        <w:rPr>
          <w:sz w:val="21"/>
        </w:rPr>
        <w:t>的支付手续，甲方向乙方支付合同总金额的</w:t>
      </w:r>
      <w:r>
        <w:rPr>
          <w:sz w:val="21"/>
        </w:rPr>
        <w:t>50%</w:t>
      </w:r>
      <w:r>
        <w:rPr>
          <w:sz w:val="21"/>
        </w:rPr>
        <w:t>的预付款。</w:t>
      </w:r>
    </w:p>
    <w:p>
      <w:pPr>
        <w:pStyle w:val="null3"/>
        <w:ind w:firstLine="480"/>
      </w:pPr>
      <w:r>
        <w:rPr>
          <w:sz w:val="21"/>
        </w:rPr>
        <w:t>2.3.2</w:t>
      </w:r>
      <w:r>
        <w:rPr>
          <w:sz w:val="21"/>
        </w:rPr>
        <w:t>在全部满足下述</w:t>
      </w:r>
      <w:r>
        <w:rPr>
          <w:sz w:val="21"/>
        </w:rPr>
        <w:t>2</w:t>
      </w:r>
      <w:r>
        <w:rPr>
          <w:sz w:val="21"/>
        </w:rPr>
        <w:t>个条件后</w:t>
      </w:r>
      <w:r>
        <w:rPr>
          <w:sz w:val="21"/>
        </w:rPr>
        <w:t>5</w:t>
      </w:r>
      <w:r>
        <w:rPr>
          <w:sz w:val="21"/>
        </w:rPr>
        <w:t>个工作日内，甲方向当地财政部门申请办理相当于合同总额</w:t>
      </w:r>
      <w:r>
        <w:rPr>
          <w:sz w:val="21"/>
        </w:rPr>
        <w:t>50%</w:t>
      </w:r>
      <w:r>
        <w:rPr>
          <w:sz w:val="21"/>
        </w:rPr>
        <w:t>的支付手续：</w:t>
      </w:r>
      <w:r>
        <w:rPr>
          <w:sz w:val="21"/>
        </w:rPr>
        <w:t>1</w:t>
      </w:r>
      <w:r>
        <w:rPr>
          <w:sz w:val="21"/>
        </w:rPr>
        <w:t>）乙方向甲方提交与拟支付金额等额的正规税务发票；</w:t>
      </w:r>
      <w:r>
        <w:rPr>
          <w:sz w:val="21"/>
        </w:rPr>
        <w:t>2</w:t>
      </w:r>
      <w:r>
        <w:rPr>
          <w:sz w:val="21"/>
        </w:rPr>
        <w:t>）乙方应同时提交甲方认可的金额为合同总金额</w:t>
      </w:r>
      <w:r>
        <w:rPr>
          <w:sz w:val="21"/>
        </w:rPr>
        <w:t>50%</w:t>
      </w:r>
      <w:r>
        <w:rPr>
          <w:sz w:val="21"/>
        </w:rPr>
        <w:t>的银行无条件承兑保函一份，</w:t>
      </w:r>
      <w:r>
        <w:rPr>
          <w:sz w:val="21"/>
        </w:rPr>
        <w:t>银行保函有效期为竣工验收后</w:t>
      </w:r>
      <w:r>
        <w:rPr>
          <w:sz w:val="21"/>
        </w:rPr>
        <w:t>30</w:t>
      </w:r>
      <w:r>
        <w:rPr>
          <w:sz w:val="21"/>
        </w:rPr>
        <w:t>天内</w:t>
      </w:r>
      <w:r>
        <w:rPr>
          <w:sz w:val="21"/>
        </w:rPr>
        <w:t>。</w:t>
      </w:r>
    </w:p>
    <w:p>
      <w:pPr>
        <w:pStyle w:val="null3"/>
        <w:ind w:firstLine="480"/>
      </w:pPr>
      <w:r>
        <w:rPr>
          <w:sz w:val="21"/>
        </w:rPr>
        <w:t>2.3.3</w:t>
      </w:r>
      <w:r>
        <w:rPr>
          <w:sz w:val="21"/>
        </w:rPr>
        <w:t>竣工验收合格后，如没有出现甲方不可接受的问题，在乙方提出书面申请后</w:t>
      </w:r>
      <w:r>
        <w:rPr>
          <w:sz w:val="21"/>
        </w:rPr>
        <w:t>10</w:t>
      </w:r>
      <w:r>
        <w:rPr>
          <w:sz w:val="21"/>
        </w:rPr>
        <w:t>个工作日内，甲方退还乙方银行保函。</w:t>
      </w:r>
    </w:p>
    <w:p>
      <w:pPr>
        <w:pStyle w:val="null3"/>
        <w:ind w:firstLine="480"/>
      </w:pPr>
      <w:r>
        <w:rPr>
          <w:sz w:val="21"/>
        </w:rPr>
        <w:t>2.3.4</w:t>
      </w:r>
      <w:r>
        <w:rPr>
          <w:sz w:val="21"/>
        </w:rPr>
        <w:t>因甲方使用的是政府财政资金，甲方在前述约定的付款时间为向政府采购支付部门提出办理财政支付申请手续的时间（不含政府财政支付部门审核的时间），在约定时间内提出支付申请手续后乙方不得再以任何理由追究甲方任何延期支付的违约责任。</w:t>
      </w:r>
    </w:p>
    <w:p>
      <w:pPr>
        <w:pStyle w:val="null3"/>
        <w:ind w:firstLine="480"/>
        <w:jc w:val="both"/>
      </w:pPr>
      <w:r>
        <w:rPr>
          <w:sz w:val="21"/>
        </w:rPr>
        <w:t>2.3.5</w:t>
      </w:r>
      <w:r>
        <w:rPr>
          <w:sz w:val="21"/>
        </w:rPr>
        <w:t>乙方应当在银行保函有效期前</w:t>
      </w:r>
      <w:r>
        <w:rPr>
          <w:sz w:val="21"/>
        </w:rPr>
        <w:t>15</w:t>
      </w:r>
      <w:r>
        <w:rPr>
          <w:sz w:val="21"/>
        </w:rPr>
        <w:t>个工作日内主动完成更换保函工作，否则甲方有权在保函期限届满前</w:t>
      </w:r>
      <w:r>
        <w:rPr>
          <w:sz w:val="21"/>
        </w:rPr>
        <w:t>3</w:t>
      </w:r>
      <w:r>
        <w:rPr>
          <w:sz w:val="21"/>
        </w:rPr>
        <w:t>个工作日内全额兑现该保函，直至乙方提交新保函后方可退还兑现款项，且由此产生的一切损失，由乙方承担。</w:t>
      </w:r>
    </w:p>
    <w:p>
      <w:pPr>
        <w:pStyle w:val="null3"/>
        <w:ind w:firstLine="480"/>
        <w:jc w:val="both"/>
      </w:pPr>
      <w:r>
        <w:rPr>
          <w:sz w:val="21"/>
          <w:b/>
        </w:rPr>
        <w:t>3.</w:t>
      </w:r>
      <w:r>
        <w:rPr>
          <w:sz w:val="21"/>
          <w:b/>
        </w:rPr>
        <w:t>合同组成</w:t>
      </w:r>
    </w:p>
    <w:p>
      <w:pPr>
        <w:pStyle w:val="null3"/>
        <w:ind w:firstLine="420"/>
        <w:jc w:val="both"/>
      </w:pPr>
      <w:r>
        <w:rPr>
          <w:sz w:val="21"/>
        </w:rPr>
        <w:t>详细价格、技术说明及其它有关合同设备的特定信息由合同附件说明。所有附件及本项目的招投标文件、会议纪要、协议等均为本合同不可分割之一部分。</w:t>
      </w:r>
    </w:p>
    <w:p>
      <w:pPr>
        <w:pStyle w:val="null3"/>
        <w:ind w:firstLine="480"/>
        <w:jc w:val="both"/>
      </w:pPr>
      <w:r>
        <w:rPr>
          <w:sz w:val="21"/>
          <w:b/>
        </w:rPr>
        <w:t>4</w:t>
      </w:r>
      <w:r>
        <w:rPr>
          <w:sz w:val="21"/>
          <w:b/>
        </w:rPr>
        <w:t>．技术要求</w:t>
      </w:r>
    </w:p>
    <w:p>
      <w:pPr>
        <w:pStyle w:val="null3"/>
        <w:ind w:firstLine="480"/>
        <w:jc w:val="both"/>
      </w:pPr>
      <w:r>
        <w:rPr>
          <w:sz w:val="21"/>
        </w:rPr>
        <w:t>4.1</w:t>
      </w:r>
      <w:r>
        <w:rPr>
          <w:sz w:val="21"/>
        </w:rPr>
        <w:t>乙方所提供货物为原制造商制造的全新产品，无任何权利瑕疵或其他侵权行为、表面无划损、无任何缺陷隐患，在中国境内可依常规安全合法使用，必须符合国家有关规范和环保要求及甲方的技术要求，并提供设备的出厂测试报告及合格证，进口产品必须具备原产地证明或商检局的检验证明及合法进货渠道证明。</w:t>
      </w:r>
    </w:p>
    <w:p>
      <w:pPr>
        <w:pStyle w:val="null3"/>
        <w:ind w:firstLine="480"/>
        <w:jc w:val="both"/>
      </w:pPr>
      <w:r>
        <w:rPr>
          <w:sz w:val="21"/>
        </w:rPr>
        <w:t>4.2</w:t>
      </w:r>
      <w:r>
        <w:rPr>
          <w:sz w:val="21"/>
        </w:rPr>
        <w:t>本合同所指的货物及服务应符合合同附件及相关文件的技术规格和标准；如果没有提及适用标准，则应符合中华人民共和国国家标准或行业标准；如果中华人民共和国没有相关标准的，则采用货物来源国适用的官方标准。这些标准必须是有关机构发布的最新版本的标准。</w:t>
      </w:r>
    </w:p>
    <w:p>
      <w:pPr>
        <w:pStyle w:val="null3"/>
        <w:ind w:firstLine="480"/>
        <w:jc w:val="both"/>
      </w:pPr>
      <w:r>
        <w:rPr>
          <w:sz w:val="21"/>
        </w:rPr>
        <w:t>4.3</w:t>
      </w:r>
      <w:r>
        <w:rPr>
          <w:sz w:val="21"/>
        </w:rPr>
        <w:t>乙方交货时应将所供货物经国家有关部门颁发的产品鉴定证书、使用许可证、用户手册、产品合格证、保修手册、有关图纸、资料及配件、随机工具等一并交付给甲方，乙方未全部交付的视为违约。</w:t>
      </w:r>
    </w:p>
    <w:p>
      <w:pPr>
        <w:pStyle w:val="null3"/>
        <w:ind w:firstLine="480"/>
        <w:jc w:val="both"/>
      </w:pPr>
      <w:r>
        <w:rPr>
          <w:sz w:val="21"/>
          <w:b/>
        </w:rPr>
        <w:t>5</w:t>
      </w:r>
      <w:r>
        <w:rPr>
          <w:sz w:val="21"/>
          <w:b/>
        </w:rPr>
        <w:t>．采购项目产品安装、测试及验收要求</w:t>
      </w:r>
    </w:p>
    <w:p>
      <w:pPr>
        <w:pStyle w:val="null3"/>
        <w:ind w:firstLine="480"/>
        <w:jc w:val="both"/>
      </w:pPr>
      <w:r>
        <w:rPr>
          <w:sz w:val="21"/>
        </w:rPr>
        <w:t>5.1</w:t>
      </w:r>
      <w:r>
        <w:rPr>
          <w:sz w:val="21"/>
        </w:rPr>
        <w:t>包装</w:t>
      </w:r>
      <w:r>
        <w:rPr>
          <w:sz w:val="21"/>
        </w:rPr>
        <w:t>:</w:t>
      </w:r>
      <w:r>
        <w:rPr>
          <w:sz w:val="21"/>
        </w:rPr>
        <w:t>均应有良好的防湿、防锈、防潮、防雨、防腐及防碰撞的措施。凡由于包装不良造成的损失和由此产生的费用均由乙方承担。</w:t>
      </w:r>
    </w:p>
    <w:p>
      <w:pPr>
        <w:pStyle w:val="null3"/>
        <w:ind w:firstLine="480"/>
        <w:jc w:val="both"/>
      </w:pPr>
      <w:r>
        <w:rPr>
          <w:sz w:val="21"/>
        </w:rPr>
        <w:t>5.2</w:t>
      </w:r>
      <w:r>
        <w:rPr>
          <w:sz w:val="21"/>
        </w:rPr>
        <w:t>中标货物的交货：</w:t>
      </w:r>
    </w:p>
    <w:p>
      <w:pPr>
        <w:pStyle w:val="null3"/>
        <w:ind w:firstLine="480"/>
        <w:jc w:val="both"/>
      </w:pPr>
      <w:r>
        <w:rPr>
          <w:sz w:val="21"/>
        </w:rPr>
        <w:t>交货时间：在2026年10月31日前须完成货物交付和安装调试，交付之前须通过双方测试，并出具测试报告，测试通过后进入试运行期。</w:t>
      </w:r>
    </w:p>
    <w:p>
      <w:pPr>
        <w:pStyle w:val="null3"/>
        <w:ind w:firstLine="480"/>
        <w:jc w:val="both"/>
      </w:pPr>
      <w:r>
        <w:rPr>
          <w:sz w:val="21"/>
        </w:rPr>
        <w:t>系统试运行期为</w:t>
      </w:r>
      <w:r>
        <w:rPr>
          <w:sz w:val="21"/>
        </w:rPr>
        <w:t>1</w:t>
      </w:r>
      <w:r>
        <w:rPr>
          <w:sz w:val="21"/>
        </w:rPr>
        <w:t>个月。试运行期间，</w:t>
      </w:r>
      <w:r>
        <w:rPr>
          <w:sz w:val="21"/>
        </w:rPr>
        <w:t>甲方</w:t>
      </w:r>
      <w:r>
        <w:rPr>
          <w:sz w:val="21"/>
        </w:rPr>
        <w:t>可对系统的配置和功能提出合理修改，</w:t>
      </w:r>
      <w:r>
        <w:rPr>
          <w:sz w:val="21"/>
        </w:rPr>
        <w:t>乙方</w:t>
      </w:r>
      <w:r>
        <w:rPr>
          <w:sz w:val="21"/>
        </w:rPr>
        <w:t>应积极配合解决。在试运行期，如出现重大故障</w:t>
      </w:r>
      <w:r>
        <w:rPr>
          <w:sz w:val="21"/>
        </w:rPr>
        <w:t>(</w:t>
      </w:r>
      <w:r>
        <w:rPr>
          <w:sz w:val="21"/>
        </w:rPr>
        <w:t>设备瘫痪</w:t>
      </w:r>
      <w:r>
        <w:rPr>
          <w:sz w:val="21"/>
        </w:rPr>
        <w:t>24</w:t>
      </w:r>
      <w:r>
        <w:rPr>
          <w:sz w:val="21"/>
        </w:rPr>
        <w:t>小时以上无法恢复</w:t>
      </w:r>
      <w:r>
        <w:rPr>
          <w:sz w:val="21"/>
        </w:rPr>
        <w:t>)</w:t>
      </w:r>
      <w:r>
        <w:rPr>
          <w:sz w:val="21"/>
        </w:rPr>
        <w:t>，</w:t>
      </w:r>
      <w:r>
        <w:rPr>
          <w:sz w:val="21"/>
        </w:rPr>
        <w:t>乙方</w:t>
      </w:r>
      <w:r>
        <w:rPr>
          <w:sz w:val="21"/>
        </w:rPr>
        <w:t>应当立即修复，试运行期从故障修复之日起重新计算，故障超过</w:t>
      </w:r>
      <w:r>
        <w:rPr>
          <w:sz w:val="21"/>
        </w:rPr>
        <w:t>5</w:t>
      </w:r>
      <w:r>
        <w:rPr>
          <w:sz w:val="21"/>
        </w:rPr>
        <w:t>周仍未解决的，</w:t>
      </w:r>
      <w:r>
        <w:rPr>
          <w:sz w:val="21"/>
        </w:rPr>
        <w:t>甲方</w:t>
      </w:r>
      <w:r>
        <w:rPr>
          <w:sz w:val="21"/>
        </w:rPr>
        <w:t>有权拒收并要求赔偿。</w:t>
      </w:r>
    </w:p>
    <w:p>
      <w:pPr>
        <w:pStyle w:val="null3"/>
        <w:ind w:firstLine="480"/>
        <w:jc w:val="both"/>
      </w:pPr>
      <w:r>
        <w:rPr>
          <w:sz w:val="21"/>
        </w:rPr>
        <w:t>交货方式及地点：乙方负责讲货物运输至甲方指定地点。费用：乙方负责运输过程中及与其相关的全部费用。</w:t>
      </w:r>
    </w:p>
    <w:p>
      <w:pPr>
        <w:pStyle w:val="null3"/>
        <w:ind w:firstLine="480"/>
        <w:jc w:val="both"/>
      </w:pPr>
      <w:r>
        <w:rPr>
          <w:sz w:val="21"/>
        </w:rPr>
        <w:t>5.3</w:t>
      </w:r>
      <w:r>
        <w:rPr>
          <w:sz w:val="21"/>
        </w:rPr>
        <w:t>货物的验收</w:t>
      </w:r>
    </w:p>
    <w:p>
      <w:pPr>
        <w:pStyle w:val="null3"/>
        <w:ind w:firstLine="480"/>
      </w:pPr>
      <w:r>
        <w:rPr>
          <w:sz w:val="21"/>
        </w:rPr>
        <w:t>5.3.1</w:t>
      </w:r>
      <w:r>
        <w:rPr>
          <w:sz w:val="21"/>
        </w:rPr>
        <w:t>出厂验收：货物出厂前，甲方和乙方共同对货物进行验收，验收内容包括货物的功能、性能指标和相关的配件和文档，验收方法遵照国家相关标准和规范。硬件技术指标采取实验室、标准场地验收，软件功能采取现场操作比对验收。如发现货物与合同不相符或达不到合同的要求，乙方应在甲方要求的时间内解决问题，由此引起的一切费用由乙方自行负担。若在甲方指定的时间内仍未能解决，甲方有权拒收并要求赔偿。</w:t>
      </w:r>
    </w:p>
    <w:p>
      <w:pPr>
        <w:pStyle w:val="null3"/>
        <w:ind w:firstLine="480"/>
      </w:pPr>
      <w:r>
        <w:rPr>
          <w:sz w:val="21"/>
        </w:rPr>
        <w:t>5.3.2</w:t>
      </w:r>
      <w:r>
        <w:rPr>
          <w:sz w:val="21"/>
        </w:rPr>
        <w:t>项目验收：满足验收条件后，甲方将按照广东省工信厅《广东省无线电管理基础和技术设施建设项目管理办法》要求开展合同验收和初步验收。乙方需事先准备验收文件并经甲方确认。验收合格后项目正式交付使用。乙方必须将项目相关的文档资料移交给甲方，文档须符合国家、省有关政府采购和项目管理中对档案验收的有关要求。各种文档和资料，须提供电子文档和纸面文档，文件格式为</w:t>
      </w:r>
      <w:r>
        <w:rPr>
          <w:sz w:val="21"/>
        </w:rPr>
        <w:t>Word</w:t>
      </w:r>
      <w:r>
        <w:rPr>
          <w:sz w:val="21"/>
        </w:rPr>
        <w:t>文档或</w:t>
      </w:r>
      <w:r>
        <w:rPr>
          <w:sz w:val="21"/>
        </w:rPr>
        <w:t>Pdf</w:t>
      </w:r>
      <w:r>
        <w:rPr>
          <w:sz w:val="21"/>
        </w:rPr>
        <w:t>文档或其他可视化文件。为本项目定制开发的软件，需提供源代码。</w:t>
      </w:r>
      <w:r>
        <w:rPr>
          <w:sz w:val="21"/>
        </w:rPr>
        <w:t>若本项目中包含</w:t>
      </w:r>
      <w:r>
        <w:rPr>
          <w:sz w:val="21"/>
        </w:rPr>
        <w:t>乙方</w:t>
      </w:r>
      <w:r>
        <w:rPr>
          <w:sz w:val="21"/>
        </w:rPr>
        <w:t>既有的成熟软件产品，</w:t>
      </w:r>
      <w:r>
        <w:rPr>
          <w:sz w:val="21"/>
        </w:rPr>
        <w:t>乙方</w:t>
      </w:r>
      <w:r>
        <w:rPr>
          <w:sz w:val="21"/>
        </w:rPr>
        <w:t>应书面说明，该部分知识产权仍归</w:t>
      </w:r>
      <w:r>
        <w:rPr>
          <w:sz w:val="21"/>
        </w:rPr>
        <w:t>乙方</w:t>
      </w:r>
      <w:r>
        <w:rPr>
          <w:sz w:val="21"/>
        </w:rPr>
        <w:t>所有，但需承诺提供在本项目部署版本基础上的免费升级维护服务，并开放满足二次开发需求的</w:t>
      </w:r>
      <w:r>
        <w:rPr>
          <w:sz w:val="21"/>
        </w:rPr>
        <w:t>API</w:t>
      </w:r>
      <w:r>
        <w:rPr>
          <w:sz w:val="21"/>
        </w:rPr>
        <w:t>接口。</w:t>
      </w:r>
      <w:r>
        <w:rPr>
          <w:sz w:val="21"/>
        </w:rPr>
        <w:t>若验收通过，但还存在缺陷，双方订立限期改正协定。在限期内仍不达到要求，甲方有权索赔。初步验收完成后，甲方将根据相关规定开展竣工验收。</w:t>
      </w:r>
    </w:p>
    <w:p>
      <w:pPr>
        <w:pStyle w:val="null3"/>
        <w:ind w:firstLine="480"/>
      </w:pPr>
      <w:r>
        <w:rPr>
          <w:sz w:val="21"/>
        </w:rPr>
        <w:t>5.3.3</w:t>
      </w:r>
      <w:r>
        <w:rPr>
          <w:sz w:val="21"/>
        </w:rPr>
        <w:t>按照技术、服务、安全标准组织对乙方履约情况进行验收。验收时如发现所交付的货物有短装、次品、损坏或其它不符合本合同规定之情形者，甲方应做出详尽的现场记录，或由甲方和乙方双方签署备忘录。此现场记录或备忘录可用作补充、缺失和更换损坏部件的有效证据。由此产生的有关费用由乙方承担。</w:t>
      </w:r>
    </w:p>
    <w:p>
      <w:pPr>
        <w:pStyle w:val="null3"/>
        <w:ind w:firstLine="480"/>
      </w:pPr>
      <w:r>
        <w:rPr>
          <w:sz w:val="21"/>
        </w:rPr>
        <w:t>5.3.4</w:t>
      </w:r>
      <w:r>
        <w:rPr>
          <w:sz w:val="21"/>
        </w:rPr>
        <w:t>如果合同货物运输和安装调试过程中因事故造成货物短缺、损坏，乙方应及时安排换货，以保证合同货物成功完整交付。换货的相关费用由乙方承担。</w:t>
      </w:r>
    </w:p>
    <w:p>
      <w:pPr>
        <w:pStyle w:val="null3"/>
        <w:ind w:firstLine="480"/>
      </w:pPr>
      <w:r>
        <w:rPr>
          <w:sz w:val="21"/>
        </w:rPr>
        <w:t>5.3.5</w:t>
      </w:r>
      <w:r>
        <w:rPr>
          <w:sz w:val="21"/>
        </w:rPr>
        <w:t>验收过程中存在争议的，甲方有权委托有资质的第三方机构开展测试验证工作，相关费用由乙方承担。</w:t>
      </w:r>
    </w:p>
    <w:p>
      <w:pPr>
        <w:pStyle w:val="null3"/>
        <w:ind w:firstLine="480"/>
        <w:jc w:val="both"/>
      </w:pPr>
      <w:r>
        <w:rPr>
          <w:sz w:val="21"/>
          <w:b/>
        </w:rPr>
        <w:t>6</w:t>
      </w:r>
      <w:r>
        <w:rPr>
          <w:sz w:val="21"/>
          <w:b/>
        </w:rPr>
        <w:t>．</w:t>
      </w:r>
      <w:r>
        <w:rPr>
          <w:sz w:val="21"/>
          <w:b/>
          <w:color w:val="000000"/>
        </w:rPr>
        <w:t>采购项目培训及售后服务要求</w:t>
      </w:r>
    </w:p>
    <w:p>
      <w:pPr>
        <w:pStyle w:val="null3"/>
        <w:ind w:firstLine="480"/>
      </w:pPr>
      <w:r>
        <w:rPr>
          <w:sz w:val="21"/>
        </w:rPr>
        <w:t>6.1</w:t>
      </w:r>
      <w:r>
        <w:rPr>
          <w:sz w:val="21"/>
        </w:rPr>
        <w:t>乙方在合同期及保修期内负责对甲方操作、维修人员和有关的技术人员进行操作培训、维修培训、设备保养培训，使之熟练并完全掌握全部使用技术，以便使甲方人员正常地使用、维修保养设备。乙方应当提出全面的培训计划和课程内容安排，培训内容征得甲方书面同意后实施，培训产生的所有费用由乙方承担。本项目培训包括用户培训和系统管理员培训。乙方必须针对不同的对象制定不同的培训计划，根据实际数量分别培训。普通用户培训：完成对用户的普通用户进行技术培训，用户能够正确熟练地使用设备和应用系统。系统管理员培训：提供设备运行维护、系统配置、系统管理等相关的技术培训。</w:t>
      </w:r>
    </w:p>
    <w:p>
      <w:pPr>
        <w:pStyle w:val="null3"/>
        <w:ind w:firstLine="480"/>
      </w:pPr>
      <w:r>
        <w:rPr>
          <w:sz w:val="21"/>
        </w:rPr>
        <w:t>6.2</w:t>
      </w:r>
      <w:r>
        <w:rPr>
          <w:sz w:val="21"/>
        </w:rPr>
        <w:t xml:space="preserve">保修期为不少于 </w:t>
      </w:r>
      <w:r>
        <w:rPr>
          <w:sz w:val="21"/>
        </w:rPr>
        <w:t>3</w:t>
      </w:r>
      <w:r>
        <w:rPr>
          <w:sz w:val="21"/>
        </w:rPr>
        <w:t>年，时间自项目竣工验收合格之日起计算。在保修期内如有设备损坏，更换件享受原有保修期的剩余时长或自更换日起</w:t>
      </w:r>
      <w:r>
        <w:rPr>
          <w:sz w:val="21"/>
        </w:rPr>
        <w:t>1</w:t>
      </w:r>
      <w:r>
        <w:rPr>
          <w:sz w:val="21"/>
        </w:rPr>
        <w:t>年的保修期，以二者中期限较长者为准。乙方须提供持续的功能更新和维护服务。维护包括系统维护、功能完善、性能提升、故障检测、不超出系统功能范围的二次开发，以及因本项目所涉及的计算机或操作系统变更而导致的应用软件重新适配。</w:t>
      </w:r>
    </w:p>
    <w:p>
      <w:pPr>
        <w:pStyle w:val="null3"/>
        <w:ind w:firstLine="480"/>
      </w:pPr>
      <w:r>
        <w:rPr>
          <w:sz w:val="21"/>
        </w:rPr>
        <w:t>6.3</w:t>
      </w:r>
      <w:r>
        <w:rPr>
          <w:sz w:val="21"/>
        </w:rPr>
        <w:t>保修期内，如设备或零部件因非人为因素出现故障而造成短期停用时，则保修期和免费维修期相应顺延。如停用时间累计超过</w:t>
      </w:r>
      <w:r>
        <w:rPr>
          <w:sz w:val="21"/>
        </w:rPr>
        <w:t>60</w:t>
      </w:r>
      <w:r>
        <w:rPr>
          <w:sz w:val="21"/>
        </w:rPr>
        <w:t>天则保修期重新计算。</w:t>
      </w:r>
    </w:p>
    <w:p>
      <w:pPr>
        <w:pStyle w:val="null3"/>
        <w:ind w:firstLine="480"/>
      </w:pPr>
      <w:r>
        <w:rPr>
          <w:sz w:val="21"/>
        </w:rPr>
        <w:t>6.4</w:t>
      </w:r>
      <w:r>
        <w:rPr>
          <w:sz w:val="21"/>
        </w:rPr>
        <w:t>保修期内，要求提供</w:t>
      </w:r>
      <w:r>
        <w:rPr>
          <w:sz w:val="21"/>
        </w:rPr>
        <w:t>7*24</w:t>
      </w:r>
      <w:r>
        <w:rPr>
          <w:sz w:val="21"/>
        </w:rPr>
        <w:t>故障随时响应电话或邮件服务。无线电监测设施故障分为一级故障、二级故障、三级故障。系统出现故障时，乙方必须根据故障等级，在相应的时限之内响应并赴现场解决问题、恢复系统运行：</w:t>
      </w:r>
    </w:p>
    <w:p>
      <w:pPr>
        <w:pStyle w:val="null3"/>
        <w:ind w:firstLine="480"/>
      </w:pPr>
      <w:r>
        <w:rPr>
          <w:sz w:val="21"/>
        </w:rPr>
        <w:t>一级故障指无线电监测设施和相关系统出现瘫痪，监测测向功能丧失、设施运行中断或关键业务数据丢失，导致监测业务不能正常开展，且情况紧急。一级故障的响应时限应在</w:t>
      </w:r>
      <w:r>
        <w:rPr>
          <w:sz w:val="21"/>
        </w:rPr>
        <w:t>30</w:t>
      </w:r>
      <w:r>
        <w:rPr>
          <w:sz w:val="21"/>
        </w:rPr>
        <w:t xml:space="preserve">分钟内，业务恢复时限应在 </w:t>
      </w:r>
      <w:r>
        <w:rPr>
          <w:sz w:val="21"/>
        </w:rPr>
        <w:t xml:space="preserve">24 </w:t>
      </w:r>
      <w:r>
        <w:rPr>
          <w:sz w:val="21"/>
        </w:rPr>
        <w:t>小时内，故障解决时限根据实际情况确定；</w:t>
      </w:r>
    </w:p>
    <w:p>
      <w:pPr>
        <w:pStyle w:val="null3"/>
        <w:ind w:firstLine="480"/>
      </w:pPr>
      <w:r>
        <w:rPr>
          <w:sz w:val="21"/>
        </w:rPr>
        <w:t>二级故障指无线电监测设施和相关系统部分功能出现故障、系统性能下降，影响设施正常运行或监测测向结果出现较大误差，以及可能造成设施瘫痪或监测业务中断的重大隐患。二级故障的响应时限应在</w:t>
      </w:r>
      <w:r>
        <w:rPr>
          <w:sz w:val="21"/>
        </w:rPr>
        <w:t>2</w:t>
      </w:r>
      <w:r>
        <w:rPr>
          <w:sz w:val="21"/>
        </w:rPr>
        <w:t xml:space="preserve">小时以内，业务恢复时限应在 </w:t>
      </w:r>
      <w:r>
        <w:rPr>
          <w:sz w:val="21"/>
        </w:rPr>
        <w:t xml:space="preserve">48 </w:t>
      </w:r>
      <w:r>
        <w:rPr>
          <w:sz w:val="21"/>
        </w:rPr>
        <w:t>小时以内，故障解决时限根据实际情况确定；</w:t>
      </w:r>
    </w:p>
    <w:p>
      <w:pPr>
        <w:pStyle w:val="null3"/>
        <w:ind w:firstLine="480"/>
      </w:pPr>
      <w:r>
        <w:rPr>
          <w:sz w:val="21"/>
        </w:rPr>
        <w:t>三级故障指无线电监测设施和相关系统部分功能和性能受影响，但监测业务及其他主要功能仍可正常运行的情况。三级故障的响应时限应在</w:t>
      </w:r>
      <w:r>
        <w:rPr>
          <w:sz w:val="21"/>
        </w:rPr>
        <w:t>12</w:t>
      </w:r>
      <w:r>
        <w:rPr>
          <w:sz w:val="21"/>
        </w:rPr>
        <w:t>小时以内，业务恢复时限应在</w:t>
      </w:r>
      <w:r>
        <w:rPr>
          <w:sz w:val="21"/>
        </w:rPr>
        <w:t>72</w:t>
      </w:r>
      <w:r>
        <w:rPr>
          <w:sz w:val="21"/>
        </w:rPr>
        <w:t>小时以内，故障解决时限根据实际情况确定。在规定时间内无法解决问题，要求提供不低于原产品性能的产品供甲方代用，直到故障设备修复并正常使用。</w:t>
      </w:r>
    </w:p>
    <w:p>
      <w:pPr>
        <w:pStyle w:val="null3"/>
        <w:ind w:firstLine="480"/>
      </w:pPr>
      <w:r>
        <w:rPr>
          <w:sz w:val="21"/>
        </w:rPr>
        <w:t>6.5</w:t>
      </w:r>
      <w:r>
        <w:rPr>
          <w:sz w:val="21"/>
        </w:rPr>
        <w:t>保修期内，乙方每季度需要赴现场对设备巡检不少于一次，巡检检查项目及要求按工业和信息化部无线电管理局的《省级无线电监测设施运行维护规定》（国无办〔</w:t>
      </w:r>
      <w:r>
        <w:rPr>
          <w:sz w:val="21"/>
        </w:rPr>
        <w:t>2020</w:t>
      </w:r>
      <w:r>
        <w:rPr>
          <w:sz w:val="21"/>
        </w:rPr>
        <w:t>〕</w:t>
      </w:r>
      <w:r>
        <w:rPr>
          <w:sz w:val="21"/>
        </w:rPr>
        <w:t>4</w:t>
      </w:r>
      <w:r>
        <w:rPr>
          <w:sz w:val="21"/>
        </w:rPr>
        <w:t>号附件</w:t>
      </w:r>
      <w:r>
        <w:rPr>
          <w:sz w:val="21"/>
        </w:rPr>
        <w:t>2</w:t>
      </w:r>
      <w:r>
        <w:rPr>
          <w:sz w:val="21"/>
        </w:rPr>
        <w:t>）执行。</w:t>
      </w:r>
    </w:p>
    <w:p>
      <w:pPr>
        <w:pStyle w:val="null3"/>
        <w:ind w:firstLine="480"/>
      </w:pPr>
      <w:r>
        <w:rPr>
          <w:sz w:val="21"/>
        </w:rPr>
        <w:t>6.6</w:t>
      </w:r>
      <w:r>
        <w:rPr>
          <w:sz w:val="21"/>
        </w:rPr>
        <w:t>重大活动无线电安全保障期间，乙方应根据甲方要求安排现场服务技术人员在甲方指定工作场所开展现场服务，主要职责包括操作指导、故障紧急排除。</w:t>
      </w:r>
    </w:p>
    <w:p>
      <w:pPr>
        <w:pStyle w:val="null3"/>
        <w:ind w:firstLine="480"/>
        <w:jc w:val="both"/>
      </w:pPr>
      <w:r>
        <w:rPr>
          <w:sz w:val="21"/>
          <w:b/>
        </w:rPr>
        <w:t>7</w:t>
      </w:r>
      <w:r>
        <w:rPr>
          <w:sz w:val="21"/>
          <w:b/>
        </w:rPr>
        <w:t>．技术服务</w:t>
      </w:r>
    </w:p>
    <w:p>
      <w:pPr>
        <w:pStyle w:val="null3"/>
        <w:ind w:firstLine="480"/>
        <w:jc w:val="both"/>
      </w:pPr>
      <w:r>
        <w:rPr>
          <w:sz w:val="21"/>
        </w:rPr>
        <w:t>7.1</w:t>
      </w:r>
      <w:r>
        <w:rPr>
          <w:sz w:val="21"/>
        </w:rPr>
        <w:t>乙方应派员到甲方指定地点配合工作。</w:t>
      </w:r>
    </w:p>
    <w:p>
      <w:pPr>
        <w:pStyle w:val="null3"/>
        <w:ind w:firstLine="480"/>
        <w:jc w:val="both"/>
      </w:pPr>
      <w:r>
        <w:rPr>
          <w:sz w:val="21"/>
        </w:rPr>
        <w:t>7.2</w:t>
      </w:r>
      <w:r>
        <w:rPr>
          <w:sz w:val="21"/>
        </w:rPr>
        <w:t>乙方按甲方提供的合同执行进度计划，再配合甲方及有关单位，以此做好合同执行进度上的配合工作。</w:t>
      </w:r>
    </w:p>
    <w:p>
      <w:pPr>
        <w:pStyle w:val="null3"/>
        <w:ind w:firstLine="480"/>
        <w:jc w:val="both"/>
      </w:pPr>
      <w:r>
        <w:rPr>
          <w:sz w:val="21"/>
          <w:b/>
        </w:rPr>
        <w:t>8</w:t>
      </w:r>
      <w:r>
        <w:rPr>
          <w:sz w:val="21"/>
          <w:b/>
        </w:rPr>
        <w:t>．不可抗力</w:t>
      </w:r>
    </w:p>
    <w:p>
      <w:pPr>
        <w:pStyle w:val="null3"/>
        <w:ind w:firstLine="480"/>
        <w:jc w:val="both"/>
      </w:pPr>
      <w:r>
        <w:rPr>
          <w:sz w:val="21"/>
        </w:rPr>
        <w:t>8.1</w:t>
      </w:r>
      <w:r>
        <w:rPr>
          <w:sz w:val="21"/>
        </w:rPr>
        <w:t>不可抗力指战争、严重火灾、洪水、台风、地震等或其它双方认定的不可抗力事件。</w:t>
      </w:r>
    </w:p>
    <w:p>
      <w:pPr>
        <w:pStyle w:val="null3"/>
        <w:ind w:firstLine="480"/>
        <w:jc w:val="both"/>
      </w:pPr>
      <w:r>
        <w:rPr>
          <w:sz w:val="21"/>
        </w:rPr>
        <w:t>8.2</w:t>
      </w:r>
      <w:r>
        <w:rPr>
          <w:sz w:val="21"/>
        </w:rPr>
        <w:t>签约双方中任何一方由于不可抗力影响合同执行时，发生不可抗力一方应尽快将事故通知另一方，同时需要提供相关的证明。在此情况下，乙方仍然有责任采取必要的措施加速供货或提供服务，双方应通过友好协商尽快解决本合同的执行问题。</w:t>
      </w:r>
    </w:p>
    <w:p>
      <w:pPr>
        <w:pStyle w:val="null3"/>
        <w:ind w:firstLine="480"/>
        <w:jc w:val="both"/>
      </w:pPr>
      <w:r>
        <w:rPr>
          <w:sz w:val="21"/>
          <w:b/>
        </w:rPr>
        <w:t>9</w:t>
      </w:r>
      <w:r>
        <w:rPr>
          <w:sz w:val="21"/>
          <w:b/>
        </w:rPr>
        <w:t>．索赔</w:t>
      </w:r>
    </w:p>
    <w:p>
      <w:pPr>
        <w:pStyle w:val="null3"/>
        <w:ind w:firstLine="480"/>
        <w:jc w:val="both"/>
      </w:pPr>
      <w:r>
        <w:rPr>
          <w:sz w:val="21"/>
        </w:rPr>
        <w:t>9.1</w:t>
      </w:r>
      <w:r>
        <w:rPr>
          <w:sz w:val="21"/>
        </w:rPr>
        <w:t>如有异议，甲方有权根据有关政府部门或机构的检验结果向乙方提出索赔。</w:t>
      </w:r>
    </w:p>
    <w:p>
      <w:pPr>
        <w:pStyle w:val="null3"/>
        <w:ind w:firstLine="480"/>
        <w:jc w:val="both"/>
      </w:pPr>
      <w:r>
        <w:rPr>
          <w:sz w:val="21"/>
        </w:rPr>
        <w:t>9.2</w:t>
      </w:r>
      <w:r>
        <w:rPr>
          <w:sz w:val="21"/>
        </w:rPr>
        <w:t>在合同执行期间，如果乙方对甲方提出的索赔和异议负有责任，乙方应按照甲方同意的下列一种或多种方式解决索赔事宜：</w:t>
      </w:r>
    </w:p>
    <w:p>
      <w:pPr>
        <w:pStyle w:val="null3"/>
        <w:ind w:firstLine="480"/>
        <w:jc w:val="both"/>
      </w:pPr>
      <w:r>
        <w:rPr>
          <w:sz w:val="21"/>
        </w:rPr>
        <w:t>9.2.1</w:t>
      </w:r>
      <w:r>
        <w:rPr>
          <w:sz w:val="21"/>
        </w:rPr>
        <w:t>乙方同意退货，并按合同约定的同种货币将货款在约定期限内退还给甲方，并承担由此发生的一切损失和费用。</w:t>
      </w:r>
    </w:p>
    <w:p>
      <w:pPr>
        <w:pStyle w:val="null3"/>
        <w:ind w:firstLine="480"/>
        <w:jc w:val="both"/>
      </w:pPr>
      <w:r>
        <w:rPr>
          <w:sz w:val="21"/>
        </w:rPr>
        <w:t>9.2.2</w:t>
      </w:r>
      <w:r>
        <w:rPr>
          <w:sz w:val="21"/>
        </w:rPr>
        <w:t>根据货物低劣程度、损坏或瑕疵程度以及甲方所遭受损失的数额甲乙双方商定降低本合同标的金额。</w:t>
      </w:r>
    </w:p>
    <w:p>
      <w:pPr>
        <w:pStyle w:val="null3"/>
        <w:ind w:firstLine="480"/>
        <w:jc w:val="both"/>
      </w:pPr>
      <w:r>
        <w:rPr>
          <w:sz w:val="21"/>
        </w:rPr>
        <w:t>9.2.3</w:t>
      </w:r>
      <w:r>
        <w:rPr>
          <w:sz w:val="21"/>
        </w:rPr>
        <w:t>用符合规格、质量和性能要求的新零件、部件或货物来更换有缺陷的部分或修补缺陷的部分，乙方应承担一切费用和风险并负责甲方因此产生的一切损失或费用。同时，相应延长保修期。</w:t>
      </w:r>
    </w:p>
    <w:p>
      <w:pPr>
        <w:pStyle w:val="null3"/>
        <w:ind w:firstLine="480"/>
        <w:jc w:val="both"/>
      </w:pPr>
      <w:r>
        <w:rPr>
          <w:sz w:val="21"/>
        </w:rPr>
        <w:t>9.2.4</w:t>
      </w:r>
      <w:r>
        <w:rPr>
          <w:sz w:val="21"/>
        </w:rPr>
        <w:t>如果在甲方发出索赔通知后</w:t>
      </w:r>
      <w:r>
        <w:rPr>
          <w:sz w:val="21"/>
        </w:rPr>
        <w:t>30</w:t>
      </w:r>
      <w:r>
        <w:rPr>
          <w:sz w:val="21"/>
        </w:rPr>
        <w:t>天内，乙方未作答复，上述索赔应视为已被乙方接受。甲方将从未付的合同款项中直接扣除索赔金额。如果这些金额不足以补偿索赔金额，甲方有权向乙方提出不足部分的补偿。</w:t>
      </w:r>
    </w:p>
    <w:p>
      <w:pPr>
        <w:pStyle w:val="null3"/>
        <w:ind w:firstLine="480"/>
        <w:jc w:val="both"/>
      </w:pPr>
      <w:r>
        <w:rPr>
          <w:sz w:val="21"/>
          <w:b/>
        </w:rPr>
        <w:t>10</w:t>
      </w:r>
      <w:r>
        <w:rPr>
          <w:sz w:val="21"/>
          <w:b/>
        </w:rPr>
        <w:t>．违约与处罚</w:t>
      </w:r>
    </w:p>
    <w:p>
      <w:pPr>
        <w:pStyle w:val="null3"/>
        <w:ind w:firstLine="480"/>
        <w:jc w:val="both"/>
      </w:pPr>
      <w:r>
        <w:rPr>
          <w:sz w:val="21"/>
        </w:rPr>
        <w:t>10.1</w:t>
      </w:r>
      <w:r>
        <w:rPr>
          <w:sz w:val="21"/>
        </w:rPr>
        <w:t>甲方应依合同约定时间内，向乙方支付货款，每拖延一天乙方可向甲方加收合同总金额的</w:t>
      </w:r>
      <w:r>
        <w:rPr>
          <w:sz w:val="21"/>
        </w:rPr>
        <w:t>3</w:t>
      </w:r>
      <w:r>
        <w:rPr>
          <w:sz w:val="21"/>
        </w:rPr>
        <w:t>‰作为违约金。</w:t>
      </w:r>
    </w:p>
    <w:p>
      <w:pPr>
        <w:pStyle w:val="null3"/>
        <w:ind w:firstLine="480"/>
        <w:jc w:val="both"/>
      </w:pPr>
      <w:r>
        <w:rPr>
          <w:sz w:val="21"/>
        </w:rPr>
        <w:t>10.2</w:t>
      </w:r>
      <w:r>
        <w:rPr>
          <w:sz w:val="21"/>
        </w:rPr>
        <w:t>乙方未能按时交货或完成验收的，每拖延一天，须向甲方支付合同总金额的</w:t>
      </w:r>
      <w:r>
        <w:rPr>
          <w:sz w:val="21"/>
        </w:rPr>
        <w:t>5</w:t>
      </w:r>
      <w:r>
        <w:rPr>
          <w:sz w:val="21"/>
        </w:rPr>
        <w:t>‰作为违约金，计到交货之日为止。如乙方逾期</w:t>
      </w:r>
      <w:r>
        <w:rPr>
          <w:sz w:val="21"/>
        </w:rPr>
        <w:t>30</w:t>
      </w:r>
      <w:r>
        <w:rPr>
          <w:sz w:val="21"/>
        </w:rPr>
        <w:t>天仍未交货，甲方有权终止合同，乙方向甲方支付合同总金额的</w:t>
      </w:r>
      <w:r>
        <w:rPr>
          <w:sz w:val="21"/>
        </w:rPr>
        <w:t>5%</w:t>
      </w:r>
      <w:r>
        <w:rPr>
          <w:sz w:val="21"/>
        </w:rPr>
        <w:t>作为违约金。</w:t>
      </w:r>
    </w:p>
    <w:p>
      <w:pPr>
        <w:pStyle w:val="null3"/>
        <w:ind w:firstLine="480"/>
        <w:jc w:val="both"/>
      </w:pPr>
      <w:r>
        <w:rPr>
          <w:sz w:val="21"/>
        </w:rPr>
        <w:t>10.3</w:t>
      </w:r>
      <w:r>
        <w:rPr>
          <w:sz w:val="21"/>
        </w:rPr>
        <w:t>乙方交付的货物不符合合同约定或不符合相关文件标准的，甲方有权拒收，乙方向甲方支付合同金额的</w:t>
      </w:r>
      <w:r>
        <w:rPr>
          <w:sz w:val="21"/>
        </w:rPr>
        <w:t>5%</w:t>
      </w:r>
      <w:r>
        <w:rPr>
          <w:sz w:val="21"/>
        </w:rPr>
        <w:t>的违约金。若乙方有其他违反本合同或本项目相关文件内容的行为，或未按约履行的，构成违约的，甲方有权要求乙方支付合同金额的</w:t>
      </w:r>
      <w:r>
        <w:rPr>
          <w:sz w:val="21"/>
        </w:rPr>
        <w:t>5%</w:t>
      </w:r>
      <w:r>
        <w:rPr>
          <w:sz w:val="21"/>
        </w:rPr>
        <w:t>的违约金。</w:t>
      </w:r>
    </w:p>
    <w:p>
      <w:pPr>
        <w:pStyle w:val="null3"/>
        <w:ind w:firstLine="480"/>
        <w:jc w:val="both"/>
      </w:pPr>
      <w:r>
        <w:rPr>
          <w:sz w:val="21"/>
        </w:rPr>
        <w:t>10.4</w:t>
      </w:r>
      <w:r>
        <w:rPr>
          <w:sz w:val="21"/>
        </w:rPr>
        <w:t>甲方无正当理由拒收货物的，甲方向乙方支付合同总金额的</w:t>
      </w:r>
      <w:r>
        <w:rPr>
          <w:sz w:val="21"/>
        </w:rPr>
        <w:t>5%</w:t>
      </w:r>
      <w:r>
        <w:rPr>
          <w:sz w:val="21"/>
        </w:rPr>
        <w:t>作为违约金。</w:t>
      </w:r>
    </w:p>
    <w:p>
      <w:pPr>
        <w:pStyle w:val="null3"/>
        <w:ind w:firstLine="480"/>
        <w:jc w:val="both"/>
      </w:pPr>
      <w:r>
        <w:rPr>
          <w:sz w:val="21"/>
        </w:rPr>
        <w:t>10.5</w:t>
      </w:r>
      <w:r>
        <w:rPr>
          <w:sz w:val="21"/>
        </w:rPr>
        <w:t>乙方交付货物的品质、性能、技术标准、质量要求轻微不符合合同约定的，甲方有权向乙方提出更换货物及索赔，乙方应在甲方提出之日起</w:t>
      </w:r>
      <w:r>
        <w:rPr>
          <w:sz w:val="21"/>
          <w:u w:val="single"/>
        </w:rPr>
        <w:t>30</w:t>
      </w:r>
      <w:r>
        <w:rPr>
          <w:sz w:val="21"/>
        </w:rPr>
        <w:t>天内免费更换货物，此段时间属逾期交货，按本条第</w:t>
      </w:r>
      <w:r>
        <w:rPr>
          <w:sz w:val="21"/>
        </w:rPr>
        <w:t>2</w:t>
      </w:r>
      <w:r>
        <w:rPr>
          <w:sz w:val="21"/>
        </w:rPr>
        <w:t>款处理。如经更换，货物质量仍不符合合同约定的，甲方有权终止合同，乙方应向甲方返还已付款项，并应向甲方支付按合同总金额的</w:t>
      </w:r>
      <w:r>
        <w:rPr>
          <w:sz w:val="21"/>
        </w:rPr>
        <w:t>5%</w:t>
      </w:r>
      <w:r>
        <w:rPr>
          <w:sz w:val="21"/>
        </w:rPr>
        <w:t>计算的违约金。</w:t>
      </w:r>
    </w:p>
    <w:p>
      <w:pPr>
        <w:pStyle w:val="null3"/>
        <w:ind w:firstLine="480"/>
        <w:jc w:val="both"/>
      </w:pPr>
      <w:r>
        <w:rPr>
          <w:sz w:val="21"/>
        </w:rPr>
        <w:t>10.6</w:t>
      </w:r>
      <w:r>
        <w:rPr>
          <w:sz w:val="21"/>
        </w:rPr>
        <w:t>乙方未能按照合同约定提供相应服务或培训的，则甲方有权自行委托第三方另行提供相应服务或培训，因此而所支出的费用全部由乙方承担。因乙方该行为造成甲方损失的，甲方还有权追究乙方的责任，双方对损失金额无法确定的，则同意按照合同总金额的</w:t>
      </w:r>
      <w:r>
        <w:rPr>
          <w:sz w:val="21"/>
        </w:rPr>
        <w:t>30%</w:t>
      </w:r>
      <w:r>
        <w:rPr>
          <w:sz w:val="21"/>
        </w:rPr>
        <w:t>作为确定损失金额。</w:t>
      </w:r>
    </w:p>
    <w:p>
      <w:pPr>
        <w:pStyle w:val="null3"/>
        <w:ind w:firstLine="480"/>
        <w:jc w:val="both"/>
      </w:pPr>
      <w:r>
        <w:rPr>
          <w:sz w:val="21"/>
        </w:rPr>
        <w:t>10.7</w:t>
      </w:r>
      <w:r>
        <w:rPr>
          <w:sz w:val="21"/>
        </w:rPr>
        <w:t>乙方保证本合同项下货物的权利无瑕疵，包括货物所有权及知识产权等权利无瑕疵。如任何第三方经法院（或仲裁机构）裁决有权对上述货物主张权利或国家机关依法对货物进行没收查处的，乙方除应向甲方返还已收款项外，还应按合同总价</w:t>
      </w:r>
      <w:r>
        <w:rPr>
          <w:sz w:val="21"/>
        </w:rPr>
        <w:t>30%</w:t>
      </w:r>
      <w:r>
        <w:rPr>
          <w:sz w:val="21"/>
        </w:rPr>
        <w:t>向甲方支付的违约金并赔偿因此给甲方造成的一切损失。</w:t>
      </w:r>
    </w:p>
    <w:p>
      <w:pPr>
        <w:pStyle w:val="null3"/>
        <w:ind w:firstLine="480"/>
        <w:jc w:val="both"/>
      </w:pPr>
      <w:r>
        <w:rPr>
          <w:sz w:val="21"/>
        </w:rPr>
        <w:t>10.8</w:t>
      </w:r>
      <w:r>
        <w:rPr>
          <w:sz w:val="21"/>
        </w:rPr>
        <w:t>因任何一方违约导致守约方维权所涉及的全部费用及由此造成的其他损失包括但不限于诉讼费、律师费等费用均应由违约一方承担。</w:t>
      </w:r>
    </w:p>
    <w:p>
      <w:pPr>
        <w:pStyle w:val="null3"/>
        <w:ind w:firstLine="480"/>
        <w:jc w:val="both"/>
      </w:pPr>
      <w:r>
        <w:rPr>
          <w:sz w:val="21"/>
          <w:b/>
        </w:rPr>
        <w:t>11</w:t>
      </w:r>
      <w:r>
        <w:rPr>
          <w:sz w:val="21"/>
          <w:b/>
        </w:rPr>
        <w:t>．合同转让与分包</w:t>
      </w:r>
    </w:p>
    <w:p>
      <w:pPr>
        <w:pStyle w:val="null3"/>
        <w:ind w:firstLine="480"/>
        <w:jc w:val="both"/>
      </w:pPr>
      <w:r>
        <w:rPr>
          <w:sz w:val="21"/>
        </w:rPr>
        <w:t xml:space="preserve">  </w:t>
      </w:r>
      <w:r>
        <w:rPr>
          <w:sz w:val="21"/>
        </w:rPr>
        <w:t>本合同乙方在任何情况下都不得转让其应履行的合同义务，否则应当按合同总价</w:t>
      </w:r>
      <w:r>
        <w:rPr>
          <w:sz w:val="21"/>
        </w:rPr>
        <w:t>30%</w:t>
      </w:r>
      <w:r>
        <w:rPr>
          <w:sz w:val="21"/>
        </w:rPr>
        <w:t>向甲方支付违约金并赔偿因此给甲方造成的一切损失。</w:t>
      </w:r>
    </w:p>
    <w:p>
      <w:pPr>
        <w:pStyle w:val="null3"/>
        <w:ind w:firstLine="480"/>
        <w:jc w:val="both"/>
      </w:pPr>
      <w:r>
        <w:rPr>
          <w:sz w:val="21"/>
          <w:b/>
        </w:rPr>
        <w:t>12</w:t>
      </w:r>
      <w:r>
        <w:rPr>
          <w:sz w:val="21"/>
          <w:b/>
        </w:rPr>
        <w:t>．合同终止</w:t>
      </w:r>
    </w:p>
    <w:p>
      <w:pPr>
        <w:pStyle w:val="null3"/>
        <w:ind w:firstLine="420"/>
        <w:jc w:val="both"/>
      </w:pPr>
      <w:r>
        <w:rPr>
          <w:sz w:val="21"/>
        </w:rPr>
        <w:t>如果一方严重违反合同，并在收到对方违约通知书后在</w:t>
      </w:r>
      <w:r>
        <w:rPr>
          <w:sz w:val="21"/>
        </w:rPr>
        <w:t>30</w:t>
      </w:r>
      <w:r>
        <w:rPr>
          <w:sz w:val="21"/>
        </w:rPr>
        <w:t>天内仍未能改正违约的，另一方可立即终止本合同。</w:t>
      </w:r>
    </w:p>
    <w:p>
      <w:pPr>
        <w:pStyle w:val="null3"/>
        <w:ind w:firstLine="480"/>
        <w:jc w:val="both"/>
      </w:pPr>
      <w:r>
        <w:rPr>
          <w:sz w:val="21"/>
          <w:b/>
        </w:rPr>
        <w:t>13</w:t>
      </w:r>
      <w:r>
        <w:rPr>
          <w:sz w:val="21"/>
          <w:b/>
        </w:rPr>
        <w:t>．法律诉讼</w:t>
      </w:r>
    </w:p>
    <w:p>
      <w:pPr>
        <w:pStyle w:val="null3"/>
        <w:ind w:firstLine="420"/>
        <w:jc w:val="both"/>
      </w:pPr>
      <w:r>
        <w:rPr>
          <w:sz w:val="21"/>
        </w:rPr>
        <w:t>签约双方在履约中发生争执和分歧，双方应通过友好协商解决，若经协商不能达成协议时，则向甲方所在地人民法院提起诉讼解决。受理期间，双方应继续执行合同其余部分。</w:t>
      </w:r>
    </w:p>
    <w:p>
      <w:pPr>
        <w:pStyle w:val="null3"/>
        <w:ind w:firstLine="480"/>
        <w:jc w:val="both"/>
      </w:pPr>
      <w:r>
        <w:rPr>
          <w:sz w:val="21"/>
          <w:b/>
        </w:rPr>
        <w:t>14</w:t>
      </w:r>
      <w:r>
        <w:rPr>
          <w:sz w:val="21"/>
          <w:b/>
        </w:rPr>
        <w:t>．其它</w:t>
      </w:r>
    </w:p>
    <w:p>
      <w:pPr>
        <w:pStyle w:val="null3"/>
        <w:ind w:firstLine="420"/>
        <w:jc w:val="both"/>
      </w:pPr>
      <w:r>
        <w:rPr>
          <w:sz w:val="21"/>
        </w:rPr>
        <w:t>14.1</w:t>
      </w:r>
      <w:r>
        <w:rPr>
          <w:sz w:val="21"/>
        </w:rPr>
        <w:t>乙方完全遵守《中华人民共和国劳动合同法》有关规定和《中华人民共和国妇女权益保障法》中关于“劳动和社会保障权益”的有关要求。</w:t>
      </w:r>
    </w:p>
    <w:p>
      <w:pPr>
        <w:pStyle w:val="null3"/>
        <w:ind w:firstLine="420"/>
        <w:jc w:val="both"/>
      </w:pPr>
      <w:r>
        <w:rPr>
          <w:sz w:val="21"/>
        </w:rPr>
        <w:t>14.2</w:t>
      </w:r>
      <w:r>
        <w:rPr>
          <w:sz w:val="21"/>
        </w:rPr>
        <w:t>本合同正本五份，具有同等法律效力，甲方执两份、乙方执一份，财政部门一份，采购代理机构一份。合同自双方签字盖章之日起即时生效。</w:t>
      </w:r>
    </w:p>
    <w:p>
      <w:pPr>
        <w:pStyle w:val="null3"/>
        <w:ind w:firstLine="420"/>
        <w:jc w:val="both"/>
      </w:pPr>
      <w:r>
        <w:rPr>
          <w:sz w:val="21"/>
        </w:rPr>
        <w:t>14.3</w:t>
      </w:r>
      <w:r>
        <w:rPr>
          <w:sz w:val="21"/>
        </w:rPr>
        <w:t>下列文件是本合同的一部分，并与本合同一起阅读和解释</w:t>
      </w:r>
    </w:p>
    <w:p>
      <w:pPr>
        <w:pStyle w:val="null3"/>
        <w:ind w:firstLine="420"/>
        <w:jc w:val="both"/>
      </w:pPr>
      <w:r>
        <w:rPr>
          <w:sz w:val="21"/>
        </w:rPr>
        <w:t>14.3.1</w:t>
      </w:r>
      <w:r>
        <w:rPr>
          <w:sz w:val="21"/>
        </w:rPr>
        <w:t>乙方提交的投标函和报价一览表；</w:t>
      </w:r>
    </w:p>
    <w:p>
      <w:pPr>
        <w:pStyle w:val="null3"/>
        <w:ind w:firstLine="420"/>
        <w:jc w:val="both"/>
      </w:pPr>
      <w:r>
        <w:rPr>
          <w:sz w:val="21"/>
        </w:rPr>
        <w:t>14.3.2</w:t>
      </w:r>
      <w:r>
        <w:rPr>
          <w:sz w:val="21"/>
        </w:rPr>
        <w:t>资格声明函；</w:t>
      </w:r>
    </w:p>
    <w:p>
      <w:pPr>
        <w:pStyle w:val="null3"/>
        <w:ind w:firstLine="420"/>
        <w:jc w:val="both"/>
      </w:pPr>
      <w:r>
        <w:rPr>
          <w:sz w:val="21"/>
        </w:rPr>
        <w:t>14.3.3</w:t>
      </w:r>
      <w:r>
        <w:rPr>
          <w:sz w:val="21"/>
        </w:rPr>
        <w:t>中标通知书；</w:t>
      </w:r>
    </w:p>
    <w:p>
      <w:pPr>
        <w:pStyle w:val="null3"/>
        <w:ind w:firstLine="420"/>
        <w:jc w:val="both"/>
      </w:pPr>
      <w:r>
        <w:rPr>
          <w:sz w:val="21"/>
        </w:rPr>
        <w:t>14.3.4</w:t>
      </w:r>
      <w:r>
        <w:rPr>
          <w:sz w:val="21"/>
        </w:rPr>
        <w:t>其他相关投标文件。</w:t>
      </w:r>
    </w:p>
    <w:p>
      <w:pPr>
        <w:pStyle w:val="null3"/>
        <w:ind w:firstLine="420"/>
        <w:jc w:val="both"/>
      </w:pPr>
      <w:r>
        <w:rPr>
          <w:sz w:val="21"/>
        </w:rPr>
        <w:t>14.4</w:t>
      </w:r>
      <w:r>
        <w:rPr>
          <w:sz w:val="21"/>
        </w:rPr>
        <w:t>本合同未尽事宜，由双方协商处理。</w:t>
      </w:r>
    </w:p>
    <w:p>
      <w:pPr>
        <w:pStyle w:val="null3"/>
        <w:ind w:firstLine="480"/>
        <w:jc w:val="both"/>
      </w:pPr>
      <w:r>
        <w:rPr>
          <w:sz w:val="21"/>
        </w:rPr>
        <w:t>以下无正文。</w:t>
      </w:r>
    </w:p>
    <w:p>
      <w:pPr>
        <w:pStyle w:val="null3"/>
        <w:ind w:firstLine="480"/>
        <w:jc w:val="both"/>
      </w:pPr>
      <w:r>
        <w:rPr>
          <w:sz w:val="21"/>
        </w:rPr>
        <w:t>甲方：</w:t>
      </w:r>
      <w:r>
        <w:rPr>
          <w:sz w:val="21"/>
        </w:rPr>
        <w:t xml:space="preserve">                                  </w:t>
      </w:r>
      <w:r>
        <w:rPr>
          <w:sz w:val="21"/>
        </w:rPr>
        <w:t>乙方：</w:t>
      </w:r>
    </w:p>
    <w:p>
      <w:pPr>
        <w:pStyle w:val="null3"/>
        <w:ind w:firstLine="480"/>
        <w:jc w:val="both"/>
      </w:pPr>
      <w:r>
        <w:rPr>
          <w:u w:val="single"/>
        </w:rPr>
        <w:t xml:space="preserve">                         </w:t>
      </w:r>
      <w:r>
        <w:rPr/>
        <w:t xml:space="preserve">              </w:t>
      </w:r>
      <w:r>
        <w:rPr>
          <w:u w:val="single"/>
        </w:rPr>
        <w:t xml:space="preserve">                          </w:t>
      </w:r>
    </w:p>
    <w:p>
      <w:pPr>
        <w:pStyle w:val="null3"/>
        <w:ind w:firstLine="480"/>
        <w:jc w:val="both"/>
      </w:pPr>
      <w:r>
        <w:rPr>
          <w:sz w:val="21"/>
        </w:rPr>
        <w:t>签约代表：</w:t>
      </w:r>
      <w:r>
        <w:rPr>
          <w:sz w:val="21"/>
        </w:rPr>
        <w:t xml:space="preserve">                              </w:t>
      </w:r>
      <w:r>
        <w:rPr>
          <w:sz w:val="21"/>
        </w:rPr>
        <w:t>签约代表：</w:t>
      </w:r>
    </w:p>
    <w:p>
      <w:pPr>
        <w:pStyle w:val="null3"/>
        <w:ind w:firstLine="480"/>
        <w:jc w:val="both"/>
      </w:pPr>
      <w:r>
        <w:rPr>
          <w:sz w:val="21"/>
        </w:rPr>
        <w:t>地址：</w:t>
      </w:r>
      <w:r>
        <w:rPr>
          <w:sz w:val="21"/>
        </w:rPr>
        <w:t xml:space="preserve">                                  </w:t>
      </w:r>
      <w:r>
        <w:rPr>
          <w:sz w:val="21"/>
        </w:rPr>
        <w:t>地址：</w:t>
      </w:r>
    </w:p>
    <w:p>
      <w:pPr>
        <w:pStyle w:val="null3"/>
        <w:ind w:firstLine="480"/>
        <w:jc w:val="both"/>
      </w:pPr>
      <w:r>
        <w:rPr>
          <w:sz w:val="21"/>
        </w:rPr>
        <w:t>电话：　　　</w:t>
      </w:r>
      <w:r>
        <w:rPr>
          <w:sz w:val="21"/>
        </w:rPr>
        <w:t xml:space="preserve">                            </w:t>
      </w:r>
      <w:r>
        <w:rPr>
          <w:sz w:val="21"/>
        </w:rPr>
        <w:t>电话：</w:t>
      </w:r>
    </w:p>
    <w:p>
      <w:pPr>
        <w:pStyle w:val="null3"/>
        <w:ind w:firstLine="480"/>
        <w:jc w:val="both"/>
      </w:pPr>
      <w:r>
        <w:rPr>
          <w:sz w:val="21"/>
        </w:rPr>
        <w:t>传真：　　　</w:t>
      </w:r>
      <w:r>
        <w:rPr>
          <w:sz w:val="21"/>
        </w:rPr>
        <w:t xml:space="preserve">                            </w:t>
      </w:r>
      <w:r>
        <w:rPr>
          <w:sz w:val="21"/>
        </w:rPr>
        <w:t>传真：</w:t>
      </w:r>
    </w:p>
    <w:p>
      <w:pPr>
        <w:pStyle w:val="null3"/>
        <w:ind w:firstLine="420"/>
        <w:jc w:val="both"/>
      </w:pPr>
      <w:r>
        <w:rPr>
          <w:sz w:val="21"/>
        </w:rPr>
        <w:t>签约日期：</w:t>
      </w:r>
      <w:r>
        <w:rPr>
          <w:sz w:val="21"/>
        </w:rPr>
        <w:t xml:space="preserve">20 </w:t>
      </w:r>
      <w:r>
        <w:rPr>
          <w:sz w:val="21"/>
        </w:rPr>
        <w:t>年月日</w:t>
      </w:r>
      <w:r>
        <w:rPr>
          <w:sz w:val="21"/>
        </w:rPr>
        <w:t xml:space="preserve">                    </w:t>
      </w:r>
      <w:r>
        <w:rPr>
          <w:sz w:val="21"/>
        </w:rPr>
        <w:t>签约日期：</w:t>
      </w:r>
      <w:r>
        <w:rPr>
          <w:sz w:val="21"/>
        </w:rPr>
        <w:t xml:space="preserve">20 </w:t>
      </w:r>
      <w:r>
        <w:rPr>
          <w:sz w:val="21"/>
        </w:rPr>
        <w:t>年</w:t>
      </w:r>
      <w:r>
        <w:rPr>
          <w:sz w:val="21"/>
          <w:u w:val="single"/>
        </w:rPr>
        <w:t xml:space="preserve">  </w:t>
      </w:r>
      <w:r>
        <w:rPr>
          <w:sz w:val="21"/>
        </w:rPr>
        <w:t>月</w:t>
      </w:r>
      <w:r>
        <w:rPr>
          <w:sz w:val="21"/>
          <w:u w:val="single"/>
        </w:rPr>
        <w:t xml:space="preserve">  </w:t>
      </w:r>
      <w:r>
        <w:rPr>
          <w:sz w:val="21"/>
        </w:rPr>
        <w:t>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440101-2026-10727</w:t>
      </w:r>
    </w:p>
    <w:p>
      <w:pPr>
        <w:pStyle w:val="null3"/>
        <w:jc w:val="center"/>
        <w:outlineLvl w:val="3"/>
      </w:pPr>
      <w:r>
        <w:rPr>
          <w:sz w:val="24"/>
          <w:b/>
        </w:rPr>
        <w:t>采购项目编号：</w:t>
      </w:r>
      <w:r>
        <w:rPr>
          <w:sz w:val="24"/>
          <w:b/>
        </w:rPr>
        <w:t>440101-2026-10727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广州市无线电监测站-广东省2026年智能化无线电监测管制设备新建项目</w:t>
      </w:r>
      <w:r>
        <w:rPr>
          <w:u w:val="single"/>
        </w:rPr>
        <w:t>”</w:t>
      </w:r>
      <w:r>
        <w:rPr/>
        <w:t>项目的招标[采购项目编号为：</w:t>
      </w:r>
      <w:r>
        <w:rPr>
          <w:u w:val="single"/>
        </w:rPr>
        <w:t>440101-2026-10727</w:t>
      </w:r>
      <w:r>
        <w:rPr/>
        <w:t>]，我方愿参与投标。</w:t>
      </w:r>
    </w:p>
    <w:p>
      <w:pPr>
        <w:pStyle w:val="null3"/>
        <w:ind w:firstLine="480"/>
      </w:pPr>
      <w:r>
        <w:rPr/>
        <w:t>我方确认收到贵方提供的</w:t>
      </w:r>
      <w:r>
        <w:rPr>
          <w:u w:val="single"/>
        </w:rPr>
        <w:t>“</w:t>
      </w:r>
      <w:r>
        <w:rPr>
          <w:u w:val="single"/>
        </w:rPr>
        <w:t>广州市无线电监测站-广东省2026年智能化无线电监测管制设备新建项目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广州市无线电监测站-广东省2026年智能化无线电监测管制设备新建项目</w:t>
      </w:r>
      <w:r>
        <w:rPr/>
        <w:t>”项目采购[采购项目编号为</w:t>
      </w:r>
      <w:r>
        <w:rPr/>
        <w:t>440101-2026-10727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广州市无线电监测站</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广州市无线电监测站-广东省2026年智能化无线电监测管制设备新建项目</w:t>
      </w:r>
      <w:r>
        <w:rPr/>
        <w:t>招标中获中标（采购项目编号：</w:t>
      </w:r>
      <w:r>
        <w:rPr/>
        <w:t>440101-2026-10727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