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440001-2026-26094</w:t>
      </w:r>
    </w:p>
    <w:p>
      <w:pPr>
        <w:pStyle w:val="null3"/>
        <w:jc w:val="center"/>
        <w:outlineLvl w:val="3"/>
      </w:pPr>
      <w:r>
        <w:rPr>
          <w:sz w:val="24"/>
          <w:b/>
        </w:rPr>
        <w:t>采购项目编号：</w:t>
      </w:r>
      <w:r>
        <w:rPr>
          <w:sz w:val="24"/>
          <w:b/>
        </w:rPr>
        <w:t>ZZ0260428</w:t>
      </w:r>
    </w:p>
    <w:p>
      <w:pPr>
        <w:pStyle w:val="null3"/>
        <w:jc w:val="center"/>
        <w:outlineLvl w:val="3"/>
      </w:pPr>
      <w:r>
        <w:rPr>
          <w:sz w:val="24"/>
          <w:b/>
        </w:rPr>
        <w:t>项目名称：</w:t>
      </w:r>
      <w:r>
        <w:rPr>
          <w:sz w:val="24"/>
          <w:b/>
        </w:rPr>
        <w:t>2026年中国数学奥林匹克竞赛决赛活动配套服务</w:t>
      </w:r>
    </w:p>
    <w:p>
      <w:pPr>
        <w:pStyle w:val="null3"/>
        <w:jc w:val="center"/>
        <w:outlineLvl w:val="3"/>
      </w:pPr>
      <w:r>
        <w:rPr>
          <w:sz w:val="24"/>
          <w:b/>
        </w:rPr>
        <w:t>采购人：</w:t>
      </w:r>
      <w:r>
        <w:rPr>
          <w:sz w:val="24"/>
          <w:b/>
        </w:rPr>
        <w:t>华南师范大学附属中学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华南师范大学附属中学</w:t>
      </w:r>
      <w:r>
        <w:rPr/>
        <w:t>的委托，采用</w:t>
      </w:r>
      <w:r>
        <w:rPr/>
        <w:t>公开招标</w:t>
      </w:r>
      <w:r>
        <w:rPr/>
        <w:t>方式组织采购</w:t>
      </w:r>
      <w:r>
        <w:rPr/>
        <w:t>2026年中国数学奥林匹克竞赛决赛活动配套服务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2026年中国数学奥林匹克竞赛决赛活动配套服务</w:t>
      </w:r>
    </w:p>
    <w:p>
      <w:pPr>
        <w:pStyle w:val="null3"/>
        <w:ind w:firstLine="480"/>
      </w:pPr>
      <w:r>
        <w:rPr/>
        <w:t>采购计划编号：</w:t>
      </w:r>
      <w:r>
        <w:rPr/>
        <w:t>440001-2026-26094</w:t>
      </w:r>
    </w:p>
    <w:p>
      <w:pPr>
        <w:pStyle w:val="null3"/>
        <w:ind w:firstLine="480"/>
      </w:pPr>
      <w:r>
        <w:rPr/>
        <w:t>采购项目编号：</w:t>
      </w:r>
      <w:r>
        <w:rPr/>
        <w:t>ZZ0260428</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采购包1(2026年中国数学奥林匹克竞赛决赛活动配套服务):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学生活动组织实施服务</w:t>
            </w:r>
          </w:p>
        </w:tc>
        <w:tc>
          <w:tcPr>
            <w:tcW w:type="dxa" w:w="2136"/>
          </w:tcPr>
          <w:p>
            <w:pPr>
              <w:pStyle w:val="null3"/>
            </w:pPr>
            <w:r>
              <w:rPr/>
              <w:t>2026年中国数学奥林匹克竞赛决赛活动配套服务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合同履行期限：活动预计举办时间为2026年11月，以实际举办时间为准。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3）具有良好的商业信誉和健全的财务会计制度：提供2025年年度财务状况报告或投标截止日前6个月内任意1个月的财务报表或基本开户行出具的资信证明。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采购包1（2026年中国数学奥林匹克竞赛决赛活动配套服务）：</w:t>
      </w:r>
      <w:r>
        <w:rPr/>
        <w:t>本项目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采购包1（2026年中国数学奥林匹克竞赛决赛活动配套服务）：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华南师范大学附属中学</w:t>
      </w:r>
    </w:p>
    <w:p>
      <w:pPr>
        <w:pStyle w:val="null3"/>
        <w:ind w:firstLine="480"/>
      </w:pPr>
      <w:r>
        <w:rPr/>
        <w:t xml:space="preserve"> 地址：</w:t>
      </w:r>
      <w:r>
        <w:rPr/>
        <w:t>广州市天河区中山大道西1号</w:t>
      </w:r>
    </w:p>
    <w:p>
      <w:pPr>
        <w:pStyle w:val="null3"/>
        <w:ind w:firstLine="480"/>
      </w:pPr>
      <w:r>
        <w:rPr/>
        <w:t xml:space="preserve"> 联系方式：</w:t>
      </w:r>
      <w:r>
        <w:rPr/>
        <w:t>张老师020-38630602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w:t>
      </w:r>
      <w:r>
        <w:rPr>
          <w:sz w:val="21"/>
          <w:b/>
        </w:rPr>
        <w:t>项目</w:t>
      </w:r>
      <w:r>
        <w:rPr>
          <w:sz w:val="21"/>
          <w:b/>
        </w:rPr>
        <w:t>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w:t>
      </w:r>
      <w:r>
        <w:rPr>
          <w:sz w:val="21"/>
          <w:b/>
        </w:rPr>
        <w:t>★</w:t>
      </w:r>
      <w:r>
        <w:rPr>
          <w:sz w:val="21"/>
          <w:b/>
        </w:rPr>
        <w:t>”的指标未响应或不满足，将导致其废标或投标无效。</w:t>
      </w:r>
    </w:p>
    <w:p>
      <w:pPr>
        <w:pStyle w:val="null3"/>
        <w:jc w:val="both"/>
      </w:pPr>
      <w:r>
        <w:rPr>
          <w:sz w:val="21"/>
          <w:b/>
        </w:rPr>
        <w:t>二、赛事概况</w:t>
      </w:r>
    </w:p>
    <w:p>
      <w:pPr>
        <w:pStyle w:val="null3"/>
        <w:ind w:firstLine="400"/>
        <w:jc w:val="both"/>
      </w:pPr>
      <w:r>
        <w:rPr>
          <w:sz w:val="20"/>
        </w:rPr>
        <w:t>2026年中国数学奥林匹克（CMO，全国数学决赛/冬令营）相关信息如下：</w:t>
      </w:r>
    </w:p>
    <w:p>
      <w:pPr>
        <w:pStyle w:val="null3"/>
        <w:ind w:firstLine="400"/>
        <w:jc w:val="both"/>
      </w:pPr>
      <w:r>
        <w:rPr>
          <w:sz w:val="20"/>
        </w:rPr>
        <w:t>1、基础定位</w:t>
      </w:r>
    </w:p>
    <w:p>
      <w:pPr>
        <w:pStyle w:val="null3"/>
        <w:ind w:firstLine="400"/>
        <w:jc w:val="both"/>
      </w:pPr>
      <w:r>
        <w:rPr>
          <w:sz w:val="20"/>
        </w:rPr>
        <w:t>（</w:t>
      </w:r>
      <w:r>
        <w:rPr>
          <w:sz w:val="20"/>
        </w:rPr>
        <w:t>1）全称：第42 届全国中学生数学冬令营（2026 CMO）</w:t>
      </w:r>
    </w:p>
    <w:p>
      <w:pPr>
        <w:pStyle w:val="null3"/>
        <w:ind w:firstLine="400"/>
        <w:jc w:val="both"/>
      </w:pPr>
      <w:r>
        <w:rPr>
          <w:sz w:val="20"/>
        </w:rPr>
        <w:t>（</w:t>
      </w:r>
      <w:r>
        <w:rPr>
          <w:sz w:val="20"/>
        </w:rPr>
        <w:t>2）主办单位：中国数学会</w:t>
      </w:r>
    </w:p>
    <w:p>
      <w:pPr>
        <w:pStyle w:val="null3"/>
        <w:ind w:firstLine="400"/>
        <w:jc w:val="both"/>
      </w:pPr>
      <w:r>
        <w:rPr>
          <w:sz w:val="20"/>
        </w:rPr>
        <w:t>（</w:t>
      </w:r>
      <w:r>
        <w:rPr>
          <w:sz w:val="20"/>
        </w:rPr>
        <w:t>3）承办单位：华南师范大学附属中学（广州）</w:t>
      </w:r>
    </w:p>
    <w:p>
      <w:pPr>
        <w:pStyle w:val="null3"/>
        <w:ind w:firstLine="400"/>
        <w:jc w:val="both"/>
      </w:pPr>
      <w:r>
        <w:rPr>
          <w:sz w:val="20"/>
        </w:rPr>
        <w:t>（</w:t>
      </w:r>
      <w:r>
        <w:rPr>
          <w:sz w:val="20"/>
        </w:rPr>
        <w:t>4）赛事等级：国内最高中学生数学竞赛，教育部白名单五大学科竞赛，用于选拔国家集训队、强基破格、保送资格。</w:t>
      </w:r>
    </w:p>
    <w:p>
      <w:pPr>
        <w:pStyle w:val="null3"/>
        <w:ind w:firstLine="400"/>
        <w:jc w:val="both"/>
      </w:pPr>
      <w:r>
        <w:rPr>
          <w:sz w:val="20"/>
        </w:rPr>
        <w:t>2、关键赛出时间节点</w:t>
      </w:r>
    </w:p>
    <w:p>
      <w:pPr>
        <w:pStyle w:val="null3"/>
        <w:ind w:firstLine="400"/>
        <w:jc w:val="both"/>
      </w:pPr>
      <w:r>
        <w:rPr>
          <w:sz w:val="20"/>
        </w:rPr>
        <w:t>（</w:t>
      </w:r>
      <w:r>
        <w:rPr>
          <w:sz w:val="20"/>
        </w:rPr>
        <w:t>1）举办时间：2026 年11月下旬（官方暂未公布精确日期，统一预判11月底）</w:t>
      </w:r>
    </w:p>
    <w:p>
      <w:pPr>
        <w:pStyle w:val="null3"/>
        <w:ind w:firstLine="400"/>
        <w:jc w:val="both"/>
      </w:pPr>
      <w:r>
        <w:rPr>
          <w:sz w:val="20"/>
        </w:rPr>
        <w:t>（</w:t>
      </w:r>
      <w:r>
        <w:rPr>
          <w:sz w:val="20"/>
        </w:rPr>
        <w:t>2）举办地点：广州・华南师范大学附属中学</w:t>
      </w:r>
    </w:p>
    <w:p>
      <w:pPr>
        <w:pStyle w:val="null3"/>
        <w:ind w:firstLine="400"/>
        <w:jc w:val="both"/>
      </w:pPr>
      <w:r>
        <w:rPr>
          <w:sz w:val="20"/>
        </w:rPr>
        <w:t>（</w:t>
      </w:r>
      <w:r>
        <w:rPr>
          <w:sz w:val="20"/>
        </w:rPr>
        <w:t>3）营期常规安排（往年时间7天完成）：</w:t>
      </w:r>
    </w:p>
    <w:p>
      <w:pPr>
        <w:pStyle w:val="null3"/>
        <w:ind w:firstLine="400"/>
        <w:jc w:val="both"/>
      </w:pPr>
      <w:r>
        <w:rPr>
          <w:sz w:val="20"/>
        </w:rPr>
        <w:t>第</w:t>
      </w:r>
      <w:r>
        <w:rPr>
          <w:sz w:val="20"/>
        </w:rPr>
        <w:t>1天：报到、领队会、开幕式</w:t>
      </w:r>
    </w:p>
    <w:p>
      <w:pPr>
        <w:pStyle w:val="null3"/>
        <w:ind w:firstLine="400"/>
        <w:jc w:val="both"/>
      </w:pPr>
      <w:r>
        <w:rPr>
          <w:sz w:val="20"/>
        </w:rPr>
        <w:t>第</w:t>
      </w:r>
      <w:r>
        <w:rPr>
          <w:sz w:val="20"/>
        </w:rPr>
        <w:t>2、3天：正式考试（每日4.5小时，共6道大题）</w:t>
      </w:r>
    </w:p>
    <w:p>
      <w:pPr>
        <w:pStyle w:val="null3"/>
        <w:ind w:firstLine="400"/>
        <w:jc w:val="both"/>
      </w:pPr>
      <w:r>
        <w:rPr>
          <w:sz w:val="20"/>
        </w:rPr>
        <w:t>第</w:t>
      </w:r>
      <w:r>
        <w:rPr>
          <w:sz w:val="20"/>
        </w:rPr>
        <w:t>4-6天：阅卷、数学讲座、交流活动</w:t>
      </w:r>
    </w:p>
    <w:p>
      <w:pPr>
        <w:pStyle w:val="null3"/>
        <w:ind w:firstLine="400"/>
        <w:jc w:val="both"/>
      </w:pPr>
      <w:r>
        <w:rPr>
          <w:sz w:val="20"/>
        </w:rPr>
        <w:t>第</w:t>
      </w:r>
      <w:r>
        <w:rPr>
          <w:sz w:val="20"/>
        </w:rPr>
        <w:t>7天：闭幕式、颁奖、公布金银铜牌与国家集训队名单</w:t>
      </w:r>
    </w:p>
    <w:p>
      <w:pPr>
        <w:pStyle w:val="null3"/>
        <w:ind w:firstLine="400"/>
        <w:jc w:val="both"/>
      </w:pPr>
      <w:r>
        <w:rPr>
          <w:sz w:val="20"/>
        </w:rPr>
        <w:t>完整赛程以中国数学会后续发布正式红头通知为准。</w:t>
      </w:r>
    </w:p>
    <w:p>
      <w:pPr>
        <w:pStyle w:val="null3"/>
      </w:pPr>
      <w:r>
        <w:rPr/>
        <w:t>采购包1（2026年中国数学奥林匹克竞赛决赛活动配套服务）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活动预计举办时间为2026年11月，以实际举办时间为准。</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1期：支付比例70%,签订合同且提供有效等额发票后10个工作日内，采购人支付合同总金额的70%；</w:t>
            </w:r>
          </w:p>
          <w:p>
            <w:pPr>
              <w:pStyle w:val="null3"/>
            </w:pPr>
            <w:r>
              <w:rPr/>
              <w:t>2期：支付比例30%,完成所有服务项目后，由中标人提供项目成果文件，经采购人确认且中标人提供有效等额发票后10个工作日内，支付合同总金额的30%。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1期：1.项目启动后，采购人对项目实施情况进行全程跟踪和监督； 2.项目完成后，中标人应在7日内向采购人提出验收申请，并提交完整的工作总结、相关数据资料及相应的电子文档。 3.采购人在验收申请后5日内组织验收小组与中标人共同进行验收并形成验收报告。</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5%作为本采购包的履约保证金，可通过银行转账、支票、汇票、本票、履约保函（保险）等非现金形式支付。验收合格后20个工作日内一次性返还履约保证金（不计息）。 2.如以保函方式，采购人验收合格且无违约情况后二十个工作日内(不含审批时间)保函原件退回。 3.履约保证金的违约责任： （1）未经采购人同意，中标人将本项目进行分包或转包给他人；（2）在履行合同期间，中标人未经采购人同意提前终止本项目合同；（3）在履行合同期间，中标人因在经营活动中存在违法被吊销营业执照或相关许可，导致本项目合同无法继续履行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人员要求，投标人拟投入本项目的人员应当自2023年1月1日以来具有竞赛活动配套服务经验，且不少于6人。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学生活动组织实施服务</w:t>
            </w:r>
          </w:p>
        </w:tc>
        <w:tc>
          <w:tcPr>
            <w:tcW w:type="dxa" w:w="933"/>
          </w:tcPr>
          <w:p>
            <w:pPr>
              <w:pStyle w:val="null3"/>
              <w:jc w:val="left"/>
            </w:pPr>
            <w:r>
              <w:rPr/>
              <w:t>2026年中国数学奥林匹克竞赛决赛活动配套服务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2026年中国数学奥林匹克竞赛决赛活动配套服务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一、赛事接待服务清单</w:t>
            </w:r>
          </w:p>
          <w:tbl>
            <w:tblPr>
              <w:tblBorders>
                <w:top w:val="none" w:color="000000" w:sz="4"/>
                <w:left w:val="none" w:color="000000" w:sz="4"/>
                <w:bottom w:val="none" w:color="000000" w:sz="4"/>
                <w:right w:val="none" w:color="000000" w:sz="4"/>
                <w:insideH w:val="none"/>
                <w:insideV w:val="none"/>
              </w:tblBorders>
            </w:tblPr>
            <w:tblGrid>
              <w:gridCol w:w="688"/>
              <w:gridCol w:w="1508"/>
              <w:gridCol w:w="1552"/>
              <w:gridCol w:w="535"/>
              <w:gridCol w:w="524"/>
              <w:gridCol w:w="382"/>
              <w:gridCol w:w="382"/>
            </w:tblGrid>
            <w:tr>
              <w:tc>
                <w:tcPr>
                  <w:tcW w:type="dxa" w:w="68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项目类别</w:t>
                  </w:r>
                </w:p>
              </w:tc>
              <w:tc>
                <w:tcPr>
                  <w:tcW w:type="dxa" w:w="15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品目名称</w:t>
                  </w:r>
                </w:p>
              </w:tc>
              <w:tc>
                <w:tcPr>
                  <w:tcW w:type="dxa" w:w="155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制作规格要求</w:t>
                  </w:r>
                </w:p>
              </w:tc>
              <w:tc>
                <w:tcPr>
                  <w:tcW w:type="dxa" w:w="5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间数</w:t>
                  </w:r>
                  <w:r>
                    <w:rPr>
                      <w:sz w:val="20"/>
                      <w:b/>
                    </w:rPr>
                    <w:t>/ 人数</w:t>
                  </w:r>
                </w:p>
              </w:tc>
              <w:tc>
                <w:tcPr>
                  <w:tcW w:type="dxa" w:w="52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天数</w:t>
                  </w:r>
                  <w:r>
                    <w:rPr>
                      <w:sz w:val="20"/>
                      <w:b/>
                    </w:rPr>
                    <w:t>/ 次数</w:t>
                  </w:r>
                </w:p>
              </w:tc>
              <w:tc>
                <w:tcPr>
                  <w:tcW w:type="dxa" w:w="38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总量</w:t>
                  </w:r>
                </w:p>
              </w:tc>
              <w:tc>
                <w:tcPr>
                  <w:tcW w:type="dxa" w:w="38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单位</w:t>
                  </w:r>
                </w:p>
              </w:tc>
            </w:tr>
            <w:tr>
              <w:tc>
                <w:tcPr>
                  <w:tcW w:type="dxa" w:w="688"/>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住宿</w:t>
                  </w: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专家、医护人员住宿</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单间，</w:t>
                  </w:r>
                  <w:r>
                    <w:rPr>
                      <w:sz w:val="20"/>
                    </w:rPr>
                    <w:t>7 天</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700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间</w:t>
                  </w:r>
                </w:p>
              </w:tc>
            </w:tr>
            <w:tr>
              <w:tc>
                <w:tcPr>
                  <w:tcW w:type="dxa" w:w="688"/>
                  <w:vMerge/>
                  <w:tcBorders>
                    <w:top w:val="non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港澳、海外选手住宿</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单间，</w:t>
                  </w:r>
                  <w:r>
                    <w:rPr>
                      <w:sz w:val="20"/>
                    </w:rPr>
                    <w:t>7 天</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28</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间</w:t>
                  </w:r>
                </w:p>
              </w:tc>
            </w:tr>
            <w:tr>
              <w:tc>
                <w:tcPr>
                  <w:tcW w:type="dxa" w:w="688"/>
                  <w:vMerge/>
                  <w:tcBorders>
                    <w:top w:val="non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港澳、海外选手住宿</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标间，</w:t>
                  </w:r>
                  <w:r>
                    <w:rPr>
                      <w:sz w:val="20"/>
                    </w:rPr>
                    <w:t>7 天</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16</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112</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间</w:t>
                  </w:r>
                </w:p>
              </w:tc>
            </w:tr>
            <w:tr>
              <w:tc>
                <w:tcPr>
                  <w:tcW w:type="dxa" w:w="688"/>
                  <w:vMerge/>
                  <w:tcBorders>
                    <w:top w:val="non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医护人员住宿（两地）</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单间，</w:t>
                  </w:r>
                  <w:r>
                    <w:rPr>
                      <w:sz w:val="20"/>
                    </w:rPr>
                    <w:t>7 天</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28</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间</w:t>
                  </w:r>
                </w:p>
              </w:tc>
            </w:tr>
            <w:tr>
              <w:tc>
                <w:tcPr>
                  <w:tcW w:type="dxa" w:w="688"/>
                  <w:vMerge w:val="restart"/>
                  <w:tcBorders>
                    <w:top w:val="none" w:color="000000" w:sz="4"/>
                    <w:left w:val="single" w:color="000000" w:sz="4"/>
                    <w:bottom w:val="none" w:color="000000" w:sz="4"/>
                    <w:right w:val="single" w:color="000000" w:sz="4"/>
                  </w:tcBorders>
                  <w:tcMar>
                    <w:top w:type="dxa" w:w="0"/>
                    <w:left w:type="dxa" w:w="60"/>
                    <w:bottom w:type="dxa" w:w="0"/>
                    <w:right w:type="dxa" w:w="60"/>
                  </w:tcMar>
                  <w:vAlign w:val="top"/>
                </w:tcPr>
                <w:p>
                  <w:pPr>
                    <w:pStyle w:val="null3"/>
                    <w:jc w:val="center"/>
                  </w:pPr>
                  <w:r>
                    <w:rPr>
                      <w:sz w:val="20"/>
                    </w:rPr>
                    <w:t>用餐</w:t>
                  </w: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专家、医护人员用餐</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午餐</w:t>
                  </w:r>
                  <w:r>
                    <w:rPr>
                      <w:sz w:val="20"/>
                    </w:rPr>
                    <w:t>7 天</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700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餐</w:t>
                  </w:r>
                </w:p>
              </w:tc>
            </w:tr>
            <w:tr>
              <w:tc>
                <w:tcPr>
                  <w:tcW w:type="dxa" w:w="688"/>
                  <w:vMerge/>
                  <w:tcBorders>
                    <w:top w:val="none" w:color="000000" w:sz="4"/>
                    <w:left w:val="single" w:color="000000" w:sz="4"/>
                    <w:bottom w:val="non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专家、医护人员用餐</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晚餐</w:t>
                  </w:r>
                  <w:r>
                    <w:rPr>
                      <w:sz w:val="20"/>
                    </w:rPr>
                    <w:t>7 天</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700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餐</w:t>
                  </w:r>
                </w:p>
              </w:tc>
            </w:tr>
            <w:tr>
              <w:tc>
                <w:tcPr>
                  <w:tcW w:type="dxa" w:w="688"/>
                  <w:vMerge/>
                  <w:tcBorders>
                    <w:top w:val="none" w:color="000000" w:sz="4"/>
                    <w:left w:val="single" w:color="000000" w:sz="4"/>
                    <w:bottom w:val="non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港澳、海外选手用餐</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午餐</w:t>
                  </w:r>
                  <w:r>
                    <w:rPr>
                      <w:sz w:val="20"/>
                    </w:rPr>
                    <w:t>7 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420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餐</w:t>
                  </w:r>
                </w:p>
              </w:tc>
            </w:tr>
            <w:tr>
              <w:tc>
                <w:tcPr>
                  <w:tcW w:type="dxa" w:w="688"/>
                  <w:vMerge/>
                  <w:tcBorders>
                    <w:top w:val="none" w:color="000000" w:sz="4"/>
                    <w:left w:val="single" w:color="000000" w:sz="4"/>
                    <w:bottom w:val="non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港澳、海外选手用餐</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晚餐</w:t>
                  </w:r>
                  <w:r>
                    <w:rPr>
                      <w:sz w:val="20"/>
                    </w:rPr>
                    <w:t>7 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420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餐</w:t>
                  </w:r>
                </w:p>
              </w:tc>
            </w:tr>
            <w:tr>
              <w:tc>
                <w:tcPr>
                  <w:tcW w:type="dxa" w:w="688"/>
                  <w:vMerge/>
                  <w:tcBorders>
                    <w:top w:val="none" w:color="000000" w:sz="4"/>
                    <w:left w:val="single" w:color="000000" w:sz="4"/>
                    <w:bottom w:val="non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医护人员（两地）用餐</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午餐</w:t>
                  </w:r>
                  <w:r>
                    <w:rPr>
                      <w:sz w:val="20"/>
                    </w:rPr>
                    <w:t>7 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28</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餐</w:t>
                  </w:r>
                </w:p>
              </w:tc>
            </w:tr>
            <w:tr>
              <w:tc>
                <w:tcPr>
                  <w:tcW w:type="dxa" w:w="688"/>
                  <w:vMerge/>
                  <w:tcBorders>
                    <w:top w:val="none" w:color="000000" w:sz="4"/>
                    <w:left w:val="single" w:color="000000" w:sz="4"/>
                    <w:bottom w:val="non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医护人员（两地）用餐</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晚餐</w:t>
                  </w:r>
                  <w:r>
                    <w:rPr>
                      <w:sz w:val="20"/>
                    </w:rPr>
                    <w:t>7 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28</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餐</w:t>
                  </w:r>
                </w:p>
              </w:tc>
            </w:tr>
            <w:tr>
              <w:tc>
                <w:tcPr>
                  <w:tcW w:type="dxa" w:w="688"/>
                  <w:vMerge w:val="restart"/>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用车</w:t>
                  </w: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中巴车（</w:t>
                  </w:r>
                  <w:r>
                    <w:rPr>
                      <w:sz w:val="20"/>
                    </w:rPr>
                    <w:t>20座）</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考斯特，全天待命接送</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5</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35</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辆</w:t>
                  </w:r>
                </w:p>
              </w:tc>
            </w:tr>
            <w:tr>
              <w:tc>
                <w:tcPr>
                  <w:tcW w:type="dxa" w:w="688"/>
                  <w:vMerge/>
                  <w:tcBorders>
                    <w:top w:val="singl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大巴车（</w:t>
                  </w:r>
                  <w:r>
                    <w:rPr>
                      <w:sz w:val="20"/>
                    </w:rPr>
                    <w:t>45座以上）</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大巴车，全天待命接送</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210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辆</w:t>
                  </w:r>
                </w:p>
              </w:tc>
            </w:tr>
            <w:tr>
              <w:tc>
                <w:tcPr>
                  <w:tcW w:type="dxa" w:w="688"/>
                  <w:vMerge/>
                  <w:tcBorders>
                    <w:top w:val="singl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商务车（</w:t>
                  </w:r>
                  <w:r>
                    <w:rPr>
                      <w:sz w:val="20"/>
                    </w:rPr>
                    <w:t>7座）</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7座商务车，全天待命接送</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14</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辆</w:t>
                  </w:r>
                </w:p>
              </w:tc>
            </w:tr>
            <w:tr>
              <w:tc>
                <w:tcPr>
                  <w:tcW w:type="dxa" w:w="688"/>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服务人员</w:t>
                  </w: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专职管控</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7天，车辆住宿*1人、用餐*1人、流程*1人、物料*1人</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28</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人</w:t>
                  </w:r>
                </w:p>
              </w:tc>
            </w:tr>
            <w:tr>
              <w:tc>
                <w:tcPr>
                  <w:tcW w:type="dxa" w:w="688"/>
                  <w:vMerge/>
                  <w:tcBorders>
                    <w:top w:val="non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接待人员</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酒店接待、签到等</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人</w:t>
                  </w:r>
                </w:p>
              </w:tc>
            </w:tr>
            <w:tr>
              <w:tc>
                <w:tcPr>
                  <w:tcW w:type="dxa" w:w="688"/>
                  <w:vMerge/>
                  <w:tcBorders>
                    <w:top w:val="non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工作人员</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全程跟随管家服务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45</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8</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360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人</w:t>
                  </w:r>
                </w:p>
              </w:tc>
            </w:tr>
            <w:tr>
              <w:tc>
                <w:tcPr>
                  <w:tcW w:type="dxa" w:w="688"/>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工作人员住宿用餐保险费</w:t>
                  </w: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工作人员住宿</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标间，</w:t>
                  </w:r>
                  <w:r>
                    <w:rPr>
                      <w:sz w:val="20"/>
                    </w:rPr>
                    <w:t>7 天</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35</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245</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间</w:t>
                  </w:r>
                </w:p>
              </w:tc>
            </w:tr>
            <w:tr>
              <w:tc>
                <w:tcPr>
                  <w:tcW w:type="dxa" w:w="688"/>
                  <w:vMerge/>
                  <w:tcBorders>
                    <w:top w:val="non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工作人员用餐</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午餐</w:t>
                  </w:r>
                  <w:r>
                    <w:rPr>
                      <w:sz w:val="20"/>
                    </w:rPr>
                    <w:t>7 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90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630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餐</w:t>
                  </w:r>
                </w:p>
              </w:tc>
            </w:tr>
            <w:tr>
              <w:tc>
                <w:tcPr>
                  <w:tcW w:type="dxa" w:w="688"/>
                  <w:vMerge/>
                  <w:tcBorders>
                    <w:top w:val="non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工作人员用餐</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晚餐</w:t>
                  </w:r>
                  <w:r>
                    <w:rPr>
                      <w:sz w:val="20"/>
                    </w:rPr>
                    <w:t>7 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90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630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餐</w:t>
                  </w:r>
                </w:p>
              </w:tc>
            </w:tr>
            <w:tr>
              <w:tc>
                <w:tcPr>
                  <w:tcW w:type="dxa" w:w="688"/>
                  <w:vMerge/>
                  <w:tcBorders>
                    <w:top w:val="none" w:color="000000" w:sz="4"/>
                    <w:left w:val="single" w:color="000000" w:sz="4"/>
                    <w:bottom w:val="single" w:color="000000" w:sz="4"/>
                    <w:right w:val="single" w:color="000000" w:sz="4"/>
                  </w:tcBorders>
                </w:tcP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保险费</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与会人员保险费</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1500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1500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人</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参赛学生</w:t>
                  </w:r>
                </w:p>
              </w:tc>
              <w:tc>
                <w:tcPr>
                  <w:tcW w:type="dxa" w:w="1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参赛学生广州研学</w:t>
                  </w:r>
                </w:p>
              </w:tc>
              <w:tc>
                <w:tcPr>
                  <w:tcW w:type="dxa" w:w="1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联系安排研学公司（当天交通、用餐、保险等已经包含在上述专项的数量中）</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700</w:t>
                  </w:r>
                </w:p>
              </w:tc>
              <w:tc>
                <w:tcPr>
                  <w:tcW w:type="dxa" w:w="52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700</w:t>
                  </w:r>
                </w:p>
              </w:tc>
              <w:tc>
                <w:tcPr>
                  <w:tcW w:type="dxa" w:w="38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人</w:t>
                  </w:r>
                </w:p>
              </w:tc>
            </w:tr>
          </w:tbl>
          <w:p>
            <w:pPr>
              <w:pStyle w:val="null3"/>
              <w:spacing w:before="150"/>
              <w:jc w:val="both"/>
            </w:pPr>
            <w:r>
              <w:rPr>
                <w:b/>
              </w:rPr>
              <w:t>二、宣传及物料设计制作清单</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456"/>
              <w:gridCol w:w="646"/>
              <w:gridCol w:w="3560"/>
              <w:gridCol w:w="393"/>
              <w:gridCol w:w="259"/>
            </w:tblGrid>
            <w:tr>
              <w:tc>
                <w:tcPr>
                  <w:tcW w:type="dxa" w:w="28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序号</w:t>
                  </w:r>
                </w:p>
              </w:tc>
              <w:tc>
                <w:tcPr>
                  <w:tcW w:type="dxa" w:w="4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项目类别</w:t>
                  </w:r>
                </w:p>
              </w:tc>
              <w:tc>
                <w:tcPr>
                  <w:tcW w:type="dxa" w:w="64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品目名称</w:t>
                  </w:r>
                </w:p>
              </w:tc>
              <w:tc>
                <w:tcPr>
                  <w:tcW w:type="dxa" w:w="356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规格要求</w:t>
                  </w:r>
                </w:p>
              </w:tc>
              <w:tc>
                <w:tcPr>
                  <w:tcW w:type="dxa" w:w="3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数量</w:t>
                  </w:r>
                </w:p>
              </w:tc>
              <w:tc>
                <w:tcPr>
                  <w:tcW w:type="dxa" w:w="25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单位</w:t>
                  </w:r>
                </w:p>
              </w:tc>
            </w:tr>
            <w:tr>
              <w:tc>
                <w:tcPr>
                  <w:tcW w:type="dxa" w:w="28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45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创意设计</w:t>
                  </w: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会徽设计</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以代表全国中学生数学奥林匹克竞赛（</w:t>
                  </w:r>
                  <w:r>
                    <w:rPr>
                      <w:sz w:val="20"/>
                    </w:rPr>
                    <w:t>CMO）的符号、元素为主，融合体现广州及华附人文地域文化的有关元素，如五羊、穗城、木棉、珠江、华附等，且能体现 2026 年全国中学生数学奥林匹克竞赛暨第 42 届全国中学生数学冬令营（广州华附站）的特点，图案直径/边长8～10cm</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会歌创作</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主题融合数学、</w:t>
                  </w:r>
                  <w:r>
                    <w:rPr>
                      <w:sz w:val="20"/>
                    </w:rPr>
                    <w:t>CMO、华附、广州等元素，时长3分半至4分钟。</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首</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吉祥物设计</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吉祥物应体现全国中学生数学奥林匹克竞赛（</w:t>
                  </w:r>
                  <w:r>
                    <w:rPr>
                      <w:sz w:val="20"/>
                    </w:rPr>
                    <w:t>CMO）精神，融合广州地域文化和华南师范大学附属中学校园文化特色，具有象征意义。造型灵动，色彩搭配和谐，构思新颖独特，呈现一定的拟人化特征并富有亲和力。可以是单独一个形象，也可以是一组形象。吉祥物设计应具有实用性，易于应用于产品的二次开发，适配盲盒、公仔等各类赛事周边</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吉祥物三视图设计</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为保证产品二次开发，需要完成吉祥物的转面图设计</w:t>
                  </w:r>
                  <w:r>
                    <w:rPr>
                      <w:sz w:val="20"/>
                    </w:rPr>
                    <w:t>(三视图设计)，设计图为</w:t>
                  </w:r>
                  <w:r>
                    <w:rPr>
                      <w:sz w:val="20"/>
                    </w:rPr>
                    <w:t>A4纸，图案占比不低于60%（13cmX18cm），配文字说明</w:t>
                  </w:r>
                  <w:r>
                    <w:rPr>
                      <w:sz w:val="20"/>
                    </w:rPr>
                    <w:t>。方便动画制作、周边产品开发</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主视觉及物料设计</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活动主视觉设计，</w:t>
                  </w:r>
                  <w:r>
                    <w:rPr>
                      <w:sz w:val="20"/>
                    </w:rPr>
                    <w:t>二维矢量图片（放大不损分辨率）</w:t>
                  </w:r>
                  <w:r>
                    <w:rPr>
                      <w:sz w:val="20"/>
                    </w:rPr>
                    <w:t>+3维动画图片</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活动物料延展设计；宣传海报设计（含横版、竖版、眉头、倒计时、多平台海报宣发、奖牌、奖杯、会务指南等），两种尺寸：</w:t>
                  </w:r>
                  <w:r>
                    <w:rPr>
                      <w:sz w:val="20"/>
                    </w:rPr>
                    <w:t>90mm×130mm（±5%）、80mm×120mm（±5%）</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c>
                <w:tcPr>
                  <w:tcW w:type="dxa" w:w="45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氛围及宣传物料制作</w:t>
                  </w: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证件类</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嘉宾证、专家证、教练证、领队证、观察员、营员证、工作证，含挂绳</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1600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车辆包装及接站物料</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30 辆大巴车A3纸大小（±5%） 两侧车贴（包含安装）</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辆</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大巴车标识车号贴，圆形直径</w:t>
                  </w:r>
                  <w:r>
                    <w:rPr>
                      <w:sz w:val="20"/>
                    </w:rPr>
                    <w:t>25cm（±5%），可移背胶</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接机手举牌，规格：</w:t>
                  </w:r>
                  <w:r>
                    <w:rPr>
                      <w:sz w:val="20"/>
                    </w:rPr>
                    <w:t>50cm*30cm（±5%），KT 板双面背胶 +手举牌</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37</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套</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车辆前档玻璃主题板，</w:t>
                  </w:r>
                  <w:r>
                    <w:rPr>
                      <w:sz w:val="20"/>
                    </w:rPr>
                    <w:t>50cm*30cm（±5%），单面 KT 板</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35</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衣服定制</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工作人员马甲，前胸印刷</w:t>
                  </w:r>
                  <w:r>
                    <w:rPr>
                      <w:sz w:val="20"/>
                    </w:rPr>
                    <w:t>LOGO，后背印刷主题 + 吉祥物彩印</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件</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奖牌类</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奖牌，金牌</w:t>
                  </w:r>
                  <w:r>
                    <w:rPr>
                      <w:sz w:val="20"/>
                    </w:rPr>
                    <w:t>240个，银牌320个，铜牌200个，材质为普通金属，直径 ≥ 60mm（6 厘米），厚度 ≥ 3mm ，牌子颜色与对应金属相同，绶带分三种颜色，绶带上有比赛字样，牌上有比赛字样，另一面有吉祥物图案。</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730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团体第一奖杯</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省队队牌，</w:t>
                  </w:r>
                  <w:r>
                    <w:rPr>
                      <w:sz w:val="20"/>
                    </w:rPr>
                    <w:t>60cm*40cm（±5%），异形 PVC 双面 UV 印制，55cm-85cm 可伸缩不锈钢材质手举杆</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印刷品</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参赛指南，规格：竖版，成品尺寸</w:t>
                  </w:r>
                  <w:r>
                    <w:rPr>
                      <w:sz w:val="20"/>
                    </w:rPr>
                    <w:t>210X285mm（±5%），封皮 200g 铜版纸双面彩印，单面覆哑膜，内页 157g 无光铜双面彩印，胶装</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1500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册</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开闭幕式主持人手卡，规格：</w:t>
                  </w:r>
                  <w:r>
                    <w:rPr>
                      <w:sz w:val="20"/>
                    </w:rPr>
                    <w:t>21cmx14.85cm（±5%），250g 铜版纸双面彩印</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张</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亚克力麦克风盒</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会旗</w:t>
                  </w:r>
                  <w:r>
                    <w:rPr>
                      <w:sz w:val="20"/>
                    </w:rPr>
                    <w:t>240×160cm</w:t>
                  </w:r>
                  <w:r>
                    <w:rPr>
                      <w:sz w:val="20"/>
                    </w:rPr>
                    <w:t>（</w:t>
                  </w:r>
                  <w:r>
                    <w:rPr>
                      <w:sz w:val="20"/>
                    </w:rPr>
                    <w:t>±5%）</w:t>
                  </w:r>
                  <w:r>
                    <w:rPr>
                      <w:sz w:val="20"/>
                    </w:rPr>
                    <w:t>。贡缎涤纶</w:t>
                  </w:r>
                  <w:r>
                    <w:rPr>
                      <w:sz w:val="20"/>
                    </w:rPr>
                    <w:t>，大会会旗定制</w:t>
                  </w:r>
                  <w:r>
                    <w:rPr>
                      <w:sz w:val="20"/>
                    </w:rPr>
                    <w:t>+ 可伸缩手柄</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面</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现场打印支持及耗材</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A4 铜版纸打印机 + 压痕机 + 裁纸器，配套墨盒，A4 普通打印纸及铜版纸</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文创品</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无纺布手提袋，无纺布，尺寸</w:t>
                  </w:r>
                  <w:r>
                    <w:rPr>
                      <w:sz w:val="20"/>
                    </w:rPr>
                    <w:t>42cm*35cm（±5%），双面热转印</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1600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文创产品一</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1000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文创产品二</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600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吉祥物</w:t>
                  </w:r>
                  <w:r>
                    <w:rPr>
                      <w:sz w:val="20"/>
                    </w:rPr>
                    <w:t>1</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开幕式场馆门口按比例制作</w:t>
                  </w:r>
                  <w:r>
                    <w:rPr>
                      <w:sz w:val="20"/>
                    </w:rPr>
                    <w:t>1M（±5%） 玻璃钢吉祥物一组（2个）</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组</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吉祥物</w:t>
                  </w:r>
                  <w:r>
                    <w:rPr>
                      <w:sz w:val="20"/>
                    </w:rPr>
                    <w:t>2</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20cm（±5%） 吉祥物纪念品，材质绒布</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1600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个</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酒店氛围</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欢迎背景板（</w:t>
                  </w:r>
                  <w:r>
                    <w:rPr>
                      <w:sz w:val="20"/>
                    </w:rPr>
                    <w:t>4m×2.4m±5%）*1；，喷绘布，桁架搭建；签到背景板（ KT 板1.5m×2.2m±5%）*1；桌子（含绒布）*3、椅子*5；签到本，签到笔3盒</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8</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校门口及入校区域</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校内氛围布置</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w:t>
                  </w:r>
                </w:p>
              </w:tc>
              <w:tc>
                <w:tcPr>
                  <w:tcW w:type="dxa" w:w="45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摄影部分</w:t>
                  </w: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接机、接站拍摄</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每台设备至少配备</w:t>
                  </w:r>
                  <w:r>
                    <w:rPr>
                      <w:sz w:val="20"/>
                    </w:rPr>
                    <w:t>1名专业摄影师，机场接站拍摄（南站、T1、T2）全天</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台</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酒店报到拍摄</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每台设备至少配备</w:t>
                  </w:r>
                  <w:r>
                    <w:rPr>
                      <w:sz w:val="20"/>
                    </w:rPr>
                    <w:t>1名专业摄影师，酒店报到拍摄全天</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台</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开幕式拍摄</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每台设备至少配备</w:t>
                  </w:r>
                  <w:r>
                    <w:rPr>
                      <w:sz w:val="20"/>
                    </w:rPr>
                    <w:t>1名专业摄像师，开幕式半天</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台</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考试考场拍摄</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每台设备至少配备</w:t>
                  </w:r>
                  <w:r>
                    <w:rPr>
                      <w:sz w:val="20"/>
                    </w:rPr>
                    <w:t>1名专业摄影师，提前拍摄空镜</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台</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自由交流、专家报告拍摄</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每台设备至少配备</w:t>
                  </w:r>
                  <w:r>
                    <w:rPr>
                      <w:sz w:val="20"/>
                    </w:rPr>
                    <w:t>1名专业摄影师，自由交流及专家报告全天</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台</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闭幕式拍摄</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每台设备至少配备</w:t>
                  </w:r>
                  <w:r>
                    <w:rPr>
                      <w:sz w:val="20"/>
                    </w:rPr>
                    <w:t>1名专业摄像师，闭幕式半天</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台</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修图</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直播平台后台人工修图</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直播平台搭建</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开幕式及闭幕式，照片直播平台搭建</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花絮视频剪辑</w:t>
                  </w:r>
                </w:p>
              </w:tc>
              <w:tc>
                <w:tcPr>
                  <w:tcW w:type="dxa" w:w="356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sz w:val="20"/>
                    </w:rPr>
                    <w:t>开闭幕式花絮视频剪辑，开幕式视频</w:t>
                  </w:r>
                  <w:r>
                    <w:rPr>
                      <w:sz w:val="20"/>
                    </w:rPr>
                    <w:t>1</w:t>
                  </w:r>
                  <w:r>
                    <w:rPr>
                      <w:sz w:val="20"/>
                    </w:rPr>
                    <w:t>8</w:t>
                  </w:r>
                  <w:r>
                    <w:rPr>
                      <w:sz w:val="20"/>
                    </w:rPr>
                    <w:t>0秒（±5%）花絮；闭幕式视频</w:t>
                  </w:r>
                  <w:r>
                    <w:rPr>
                      <w:sz w:val="20"/>
                    </w:rPr>
                    <w:t>24</w:t>
                  </w:r>
                  <w:r>
                    <w:rPr>
                      <w:sz w:val="20"/>
                    </w:rPr>
                    <w:t>0秒（±5%）花絮</w:t>
                  </w:r>
                </w:p>
              </w:tc>
              <w:tc>
                <w:tcPr>
                  <w:tcW w:type="dxa" w:w="39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sz w:val="20"/>
                    </w:rPr>
                    <w:t>3</w:t>
                  </w:r>
                </w:p>
              </w:tc>
              <w:tc>
                <w:tcPr>
                  <w:tcW w:type="dxa" w:w="259"/>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sz w:val="20"/>
                    </w:rPr>
                    <w:t>项</w:t>
                  </w:r>
                </w:p>
              </w:tc>
            </w:tr>
            <w:tr>
              <w:tc>
                <w:tcPr>
                  <w:tcW w:type="dxa" w:w="28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大合影冲印</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长幅合影照片冲印</w:t>
                  </w:r>
                  <w:r>
                    <w:rPr>
                      <w:sz w:val="20"/>
                    </w:rPr>
                    <w:t>+ 礼盒</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400</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套</w:t>
                  </w:r>
                </w:p>
              </w:tc>
            </w:tr>
            <w:tr>
              <w:tc>
                <w:tcPr>
                  <w:tcW w:type="dxa" w:w="28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4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执行人员</w:t>
                  </w: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现场执行</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项目执行服务费，活动统筹；前期策划</w:t>
                  </w:r>
                  <w:r>
                    <w:rPr>
                      <w:sz w:val="20"/>
                    </w:rPr>
                    <w:t>+前站沟通+流程管理+行程管控等</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r>
              <w:tc>
                <w:tcPr>
                  <w:tcW w:type="dxa" w:w="28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5</w:t>
                  </w:r>
                </w:p>
              </w:tc>
              <w:tc>
                <w:tcPr>
                  <w:tcW w:type="dxa" w:w="4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执行人员</w:t>
                  </w:r>
                </w:p>
              </w:tc>
              <w:tc>
                <w:tcPr>
                  <w:tcW w:type="dxa" w:w="6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现场执行</w:t>
                  </w:r>
                </w:p>
              </w:tc>
              <w:tc>
                <w:tcPr>
                  <w:tcW w:type="dxa" w:w="356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rPr>
                    <w:t>使用时间：开幕式和闭幕式（一般是第</w:t>
                  </w:r>
                  <w:r>
                    <w:rPr>
                      <w:sz w:val="20"/>
                    </w:rPr>
                    <w:t>2天安排开幕式，倒数第2天安排闭幕式，具体时间以中国数学会通知为准），使用次数2次。</w:t>
                  </w:r>
                </w:p>
              </w:tc>
              <w:tc>
                <w:tcPr>
                  <w:tcW w:type="dxa" w:w="3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5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w:t>
                  </w:r>
                </w:p>
              </w:tc>
            </w:tr>
          </w:tbl>
          <w:p>
            <w:pPr>
              <w:pStyle w:val="null3"/>
              <w:jc w:val="both"/>
            </w:pPr>
            <w:r>
              <w:rPr>
                <w:b/>
              </w:rPr>
              <w:t>三、</w:t>
            </w:r>
            <w:r>
              <w:rPr>
                <w:b/>
              </w:rPr>
              <w:t>开闭幕式舞台搭建要求</w:t>
            </w:r>
          </w:p>
          <w:p>
            <w:pPr>
              <w:pStyle w:val="null3"/>
              <w:jc w:val="both"/>
            </w:pPr>
            <w:r>
              <w:rPr>
                <w:sz w:val="20"/>
                <w:b/>
              </w:rPr>
              <w:t>（</w:t>
            </w:r>
            <w:r>
              <w:rPr>
                <w:sz w:val="20"/>
                <w:b/>
              </w:rPr>
              <w:t>一</w:t>
            </w:r>
            <w:r>
              <w:rPr>
                <w:sz w:val="20"/>
                <w:b/>
              </w:rPr>
              <w:t>）</w:t>
            </w:r>
            <w:r>
              <w:rPr>
                <w:sz w:val="20"/>
                <w:b/>
              </w:rPr>
              <w:t>音响设备性能参数表</w:t>
            </w:r>
          </w:p>
          <w:tbl>
            <w:tblPr>
              <w:tblInd w:type="dxa" w:w="120"/>
              <w:tblBorders>
                <w:top w:val="none" w:color="000000" w:sz="4"/>
                <w:left w:val="none" w:color="000000" w:sz="4"/>
                <w:bottom w:val="none" w:color="000000" w:sz="4"/>
                <w:right w:val="none" w:color="000000" w:sz="4"/>
                <w:insideH w:val="none"/>
                <w:insideV w:val="none"/>
              </w:tblBorders>
            </w:tblPr>
            <w:tblGrid>
              <w:gridCol w:w="430"/>
              <w:gridCol w:w="426"/>
              <w:gridCol w:w="4289"/>
              <w:gridCol w:w="452"/>
            </w:tblGrid>
            <w:tr>
              <w:tc>
                <w:tcPr>
                  <w:tcW w:type="dxa" w:w="43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设备名称</w:t>
                  </w:r>
                </w:p>
              </w:tc>
              <w:tc>
                <w:tcPr>
                  <w:tcW w:type="dxa" w:w="42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规格型号</w:t>
                  </w:r>
                </w:p>
              </w:tc>
              <w:tc>
                <w:tcPr>
                  <w:tcW w:type="dxa" w:w="428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核心性能参数</w:t>
                  </w:r>
                  <w:r>
                    <w:rPr>
                      <w:sz w:val="20"/>
                      <w:b/>
                    </w:rPr>
                    <w:t>（不低于下列要求）</w:t>
                  </w:r>
                </w:p>
              </w:tc>
              <w:tc>
                <w:tcPr>
                  <w:tcW w:type="dxa" w:w="45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数量</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远程线阵列音箱</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双</w:t>
                  </w:r>
                  <w:r>
                    <w:rPr>
                      <w:sz w:val="20"/>
                    </w:rPr>
                    <w:t>10 寸线阵列全频箱</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1.单元配置：2×10 寸低频单元 + 1.7 寸高音压缩驱动器，水平覆盖角 90°、垂直覆盖角 10°，满足舞台主扩声覆盖；</w:t>
                  </w:r>
                </w:p>
                <w:p>
                  <w:pPr>
                    <w:pStyle w:val="null3"/>
                    <w:jc w:val="both"/>
                  </w:pPr>
                  <w:r>
                    <w:rPr>
                      <w:sz w:val="20"/>
                    </w:rPr>
                    <w:t>2.功率阻抗：额定 RMS 功率≥600W，阻抗≥ 8Ω；</w:t>
                  </w:r>
                </w:p>
                <w:p>
                  <w:pPr>
                    <w:pStyle w:val="null3"/>
                    <w:jc w:val="both"/>
                  </w:pPr>
                  <w:r>
                    <w:rPr>
                      <w:sz w:val="20"/>
                    </w:rPr>
                    <w:t>3.声学指标：频响范围 80Hz~18kHz，单只峰值 SPL≥132dB，灵敏度≥103dB，满足</w:t>
                  </w:r>
                  <w:r>
                    <w:rPr>
                      <w:sz w:val="20"/>
                    </w:rPr>
                    <w:t>本项目</w:t>
                  </w:r>
                  <w:r>
                    <w:rPr>
                      <w:sz w:val="20"/>
                    </w:rPr>
                    <w:t>场馆扩声需求；</w:t>
                  </w:r>
                </w:p>
                <w:p>
                  <w:pPr>
                    <w:pStyle w:val="null3"/>
                    <w:jc w:val="both"/>
                  </w:pPr>
                  <w:r>
                    <w:rPr>
                      <w:sz w:val="20"/>
                    </w:rPr>
                    <w:t>4.适配性：标配成套吊挂五金件，NL4 专业音频接口，适配快速吊挂/堆叠搭建；</w:t>
                  </w:r>
                </w:p>
                <w:p>
                  <w:pPr>
                    <w:pStyle w:val="null3"/>
                    <w:jc w:val="both"/>
                  </w:pPr>
                  <w:r>
                    <w:rPr>
                      <w:sz w:val="20"/>
                    </w:rPr>
                    <w:t>5.符合 GB/T 14360-2016 声学基础标准</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12（主扩）</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超低音箱</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双</w:t>
                  </w:r>
                  <w:r>
                    <w:rPr>
                      <w:sz w:val="20"/>
                    </w:rPr>
                    <w:t>18 寸线阵列超低箱</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1.单元配置：2×18 寸长冲程低频单元，额定 RMS 功率≥1000W，阻抗 4Ω；</w:t>
                  </w:r>
                </w:p>
                <w:p>
                  <w:pPr>
                    <w:pStyle w:val="null3"/>
                    <w:jc w:val="both"/>
                  </w:pPr>
                  <w:r>
                    <w:rPr>
                      <w:sz w:val="20"/>
                    </w:rPr>
                    <w:t>2.声学指标：频响范围 35Hz~120Hz，峰值 SPL≥135dB，灵敏度≥105dB，匹配主扩声低频下潜需求；</w:t>
                  </w:r>
                </w:p>
                <w:p>
                  <w:pPr>
                    <w:pStyle w:val="null3"/>
                    <w:jc w:val="both"/>
                  </w:pPr>
                  <w:r>
                    <w:rPr>
                      <w:sz w:val="20"/>
                    </w:rPr>
                    <w:t>3.适配性：支持吊挂/堆叠双模式，标配专用吊挂五金，箱体带防滑支撑脚垫，适配快速搭建</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6（主扩）</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返送音箱</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12 寸舞台返听音箱</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1.单元配置：1×12 寸低频单元 + 1×1.35 寸高音单元，额定功率 300W，阻抗 8Ω；</w:t>
                  </w:r>
                </w:p>
                <w:p>
                  <w:pPr>
                    <w:pStyle w:val="null3"/>
                    <w:jc w:val="both"/>
                  </w:pPr>
                  <w:r>
                    <w:rPr>
                      <w:sz w:val="20"/>
                    </w:rPr>
                    <w:t>2.声学指标：频响范围 70Hz~18kHz，峰值 SPL≥126dB，灵敏度≥100dB，满足舞台演员监听需求；</w:t>
                  </w:r>
                </w:p>
                <w:p>
                  <w:pPr>
                    <w:pStyle w:val="null3"/>
                    <w:jc w:val="both"/>
                  </w:pPr>
                  <w:r>
                    <w:rPr>
                      <w:sz w:val="20"/>
                    </w:rPr>
                    <w:t>3.适配性：箱体可斜放地面返听，自带防滑脚垫，支持立杆安装，内置分频网络，支持全频/高通切换，适配快速接线</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专业数字功放</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 通道数字功放</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1.核心架构：全数字D类后级功放，内置DSP处理模块，支持模拟+数字双路输入，可单台驱动主扩、返听、超低音箱；</w:t>
                  </w:r>
                </w:p>
                <w:p>
                  <w:pPr>
                    <w:pStyle w:val="null3"/>
                    <w:jc w:val="both"/>
                  </w:pPr>
                  <w:r>
                    <w:rPr>
                      <w:sz w:val="20"/>
                    </w:rPr>
                    <w:t>2.功率输出：4×1000W @8Ω；4×2000W @4Ω，支持通道桥接模式；</w:t>
                  </w:r>
                </w:p>
                <w:p>
                  <w:pPr>
                    <w:pStyle w:val="null3"/>
                    <w:jc w:val="both"/>
                  </w:pPr>
                  <w:r>
                    <w:rPr>
                      <w:sz w:val="20"/>
                    </w:rPr>
                    <w:t>3.保护功能：具备过压、欠压、过流、过热、短路全功能保护，每通道独立状态指示，适配</w:t>
                  </w:r>
                  <w:r>
                    <w:rPr>
                      <w:sz w:val="20"/>
                    </w:rPr>
                    <w:t>本项目舞台</w:t>
                  </w:r>
                  <w:r>
                    <w:rPr>
                      <w:sz w:val="20"/>
                    </w:rPr>
                    <w:t>场景的复杂用电环境；</w:t>
                  </w:r>
                </w:p>
                <w:p>
                  <w:pPr>
                    <w:pStyle w:val="null3"/>
                    <w:jc w:val="both"/>
                  </w:pPr>
                  <w:r>
                    <w:rPr>
                      <w:sz w:val="20"/>
                    </w:rPr>
                    <w:t>4.适配性：标准19英寸机柜尺寸，适配快速装机，支持宽电压输入AC100V~240V 50/60Hz</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数码调音台</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32 路数码专业调音台</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1.通道配置：整机 DSP 最大逻辑输入通道≥32 路，支持本地模拟输入+数字接口箱扩展，满足30支以内话筒/音源同时混音；</w:t>
                  </w:r>
                </w:p>
                <w:p>
                  <w:pPr>
                    <w:pStyle w:val="null3"/>
                    <w:jc w:val="both"/>
                  </w:pPr>
                  <w:r>
                    <w:rPr>
                      <w:sz w:val="20"/>
                    </w:rPr>
                    <w:t>2. 本地输入：台面标配≥16 路XLR/TRS 复合输入，每通道独立话放、独立 48V 幻象电源单路可控开关；</w:t>
                  </w:r>
                </w:p>
                <w:p>
                  <w:pPr>
                    <w:pStyle w:val="null3"/>
                    <w:jc w:val="both"/>
                  </w:pPr>
                  <w:r>
                    <w:rPr>
                      <w:sz w:val="20"/>
                    </w:rPr>
                    <w:t>3.功能配置：每通道≥4 段参量均衡、压缩器、噪声门，支持场景一键 recall，内置效果器，支持USB录音/播放，适配</w:t>
                  </w:r>
                  <w:r>
                    <w:rPr>
                      <w:sz w:val="20"/>
                    </w:rPr>
                    <w:t>本项目舞台</w:t>
                  </w:r>
                  <w:r>
                    <w:rPr>
                      <w:sz w:val="20"/>
                    </w:rPr>
                    <w:t>场景的快速调试；</w:t>
                  </w:r>
                </w:p>
                <w:p>
                  <w:pPr>
                    <w:pStyle w:val="null3"/>
                    <w:jc w:val="both"/>
                  </w:pPr>
                  <w:r>
                    <w:rPr>
                      <w:sz w:val="20"/>
                    </w:rPr>
                    <w:t>4.适配性：兼容主流数字接口箱，支持多设备级联</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L32 数字接口箱</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32 路数字接口箱</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1.模拟输入：32 路独立 XLR 话筒/线路复合输入，每通道独立远程可控话放，单路48V幻象电源可单路独立开关；</w:t>
                  </w:r>
                </w:p>
                <w:p>
                  <w:pPr>
                    <w:pStyle w:val="null3"/>
                    <w:jc w:val="both"/>
                  </w:pPr>
                  <w:r>
                    <w:rPr>
                      <w:sz w:val="20"/>
                    </w:rPr>
                    <w:t>2.模拟输出：16 路电子平衡XLR线路输出，用于舞台返听、乐器监听，信号路由可由调音台统一指派；</w:t>
                  </w:r>
                </w:p>
                <w:p>
                  <w:pPr>
                    <w:pStyle w:val="null3"/>
                    <w:jc w:val="both"/>
                  </w:pPr>
                  <w:r>
                    <w:rPr>
                      <w:sz w:val="20"/>
                    </w:rPr>
                    <w:t>3.核心功能：机身带MUTE ALL一键全通道静音，适配舞台换麦、布线时一键静默，杜绝插拔噪音；</w:t>
                  </w:r>
                </w:p>
                <w:p>
                  <w:pPr>
                    <w:pStyle w:val="null3"/>
                    <w:jc w:val="both"/>
                  </w:pPr>
                  <w:r>
                    <w:rPr>
                      <w:sz w:val="20"/>
                    </w:rPr>
                    <w:t>4. 适配性：支持冗余双网口备份，兼容主流调音台数字传输协议，支持快速部署</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1（在用）</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无线手持话筒</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专业</w:t>
                  </w:r>
                  <w:r>
                    <w:rPr>
                      <w:sz w:val="20"/>
                    </w:rPr>
                    <w:t>UHF 无线手持话筒</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1.频段规格：UHF频段470～960MHz，支持频段扫描与自动选频，频率稳定度≤±10ppm，适配租赁场地的电磁环境；</w:t>
                  </w:r>
                </w:p>
                <w:p>
                  <w:pPr>
                    <w:pStyle w:val="null3"/>
                    <w:jc w:val="both"/>
                  </w:pPr>
                  <w:r>
                    <w:rPr>
                      <w:sz w:val="20"/>
                    </w:rPr>
                    <w:t>2.接收性能：真分集双天线双路接收，接收灵敏度-95dBm，可同时兼容≥12套设备同场地使用无干扰；</w:t>
                  </w:r>
                </w:p>
                <w:p>
                  <w:pPr>
                    <w:pStyle w:val="null3"/>
                    <w:jc w:val="both"/>
                  </w:pPr>
                  <w:r>
                    <w:rPr>
                      <w:sz w:val="20"/>
                    </w:rPr>
                    <w:t>3.声学指标：频率响应50Hz～18kHz，总谐波失真 THD≤0.3%，满足现场演出拾音需求；</w:t>
                  </w:r>
                </w:p>
                <w:p>
                  <w:pPr>
                    <w:pStyle w:val="null3"/>
                    <w:jc w:val="both"/>
                  </w:pPr>
                  <w:r>
                    <w:rPr>
                      <w:sz w:val="20"/>
                    </w:rPr>
                    <w:t>4.适配性：手持发射机内置锂电池，连续工作≥6 小时，支持OLED屏显，接收机带IR红外对频功能，支持一键同步频率，快速调试</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6（在用）+2（备用）</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无线头戴话筒</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专业</w:t>
                  </w:r>
                  <w:r>
                    <w:rPr>
                      <w:sz w:val="20"/>
                    </w:rPr>
                    <w:t>UHF 无线头戴话筒</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1.频段规格：UHF频段470～960MHz，支持频段扫描与自动选频，频率稳定度≤±10ppm；</w:t>
                  </w:r>
                </w:p>
                <w:p>
                  <w:pPr>
                    <w:pStyle w:val="null3"/>
                    <w:jc w:val="both"/>
                  </w:pPr>
                  <w:r>
                    <w:rPr>
                      <w:sz w:val="20"/>
                    </w:rPr>
                    <w:t>2.接收性能：真分集双天线双路接收，接收灵敏度-95dBm，可同时兼容≥12 套设备同场地使用无干扰；</w:t>
                  </w:r>
                </w:p>
                <w:p>
                  <w:pPr>
                    <w:pStyle w:val="null3"/>
                    <w:jc w:val="both"/>
                  </w:pPr>
                  <w:r>
                    <w:rPr>
                      <w:sz w:val="20"/>
                    </w:rPr>
                    <w:t>3.声学指标：频率响应50Hz～18kHz，总谐波失真 THD≤0.3%，满足主持、演员头戴拾音需求；</w:t>
                  </w:r>
                </w:p>
                <w:p>
                  <w:pPr>
                    <w:pStyle w:val="null3"/>
                    <w:jc w:val="both"/>
                  </w:pPr>
                  <w:r>
                    <w:rPr>
                      <w:sz w:val="20"/>
                    </w:rPr>
                    <w:t>4.适配性：微型头戴拾音头，发射机内置锂电池，连续工作≥6小时，支持OLED屏显，接收机带IR红外对频功能，快速调试</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4（在用）+2（备用）</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无线乐器发射系统</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无线手雷</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 频段规格：UHF频段470～960MHz，支持频段扫描与自动选频，频率稳定度≤±10ppm；</w:t>
                  </w:r>
                </w:p>
                <w:p>
                  <w:pPr>
                    <w:pStyle w:val="null3"/>
                    <w:jc w:val="both"/>
                  </w:pPr>
                  <w:r>
                    <w:rPr>
                      <w:sz w:val="20"/>
                    </w:rPr>
                    <w:t>2.接收性能：真分集双天线双路接收，接收灵敏度-95dBm；3.声学指标：频率响应50Hz～18kHz，总谐波失真 THD≤0.3%，适配电吉他、贝斯、键盘等乐器拾音；</w:t>
                  </w:r>
                </w:p>
                <w:p>
                  <w:pPr>
                    <w:pStyle w:val="null3"/>
                    <w:jc w:val="both"/>
                  </w:pPr>
                  <w:r>
                    <w:rPr>
                      <w:sz w:val="20"/>
                    </w:rPr>
                    <w:t>4. 适配性：手雷式发射机，支持有线/无线双模式切换，内置锂电池，连续工作≥8 小时，带IR红外对频功能，快速调试</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2（在用）+1（备用）</w:t>
                  </w:r>
                </w:p>
              </w:tc>
            </w:tr>
            <w:tr>
              <w:tc>
                <w:tcPr>
                  <w:tcW w:type="dxa" w:w="430"/>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无线放大系统</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无线话筒分配放大器</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工作频率范围：</w:t>
                  </w:r>
                  <w:r>
                    <w:rPr>
                      <w:sz w:val="20"/>
                    </w:rPr>
                    <w:t>450～960MHz全UHF专业频段；射频增益指标：单通道增益可调范围0～12dB；驻波比VSWR：全频段≤1.5:1；噪声系数：≤2.5dB；频率稳定度：≤±10ppm</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430"/>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定向增益天线</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w:t>
                  </w:r>
                  <w:r>
                    <w:rPr>
                      <w:sz w:val="20"/>
                    </w:rPr>
                    <w:t>1.</w:t>
                  </w:r>
                  <w:r>
                    <w:rPr>
                      <w:sz w:val="20"/>
                    </w:rPr>
                    <w:t>工作频率范围：</w:t>
                  </w:r>
                  <w:r>
                    <w:rPr>
                      <w:sz w:val="20"/>
                    </w:rPr>
                    <w:t>470MHz～960MHz，完整覆盖 UHF 专业无线话筒常用频段，带内置带通滤波，屏蔽对讲机、广电信号、LED 大屏杂波干扰。</w:t>
                  </w:r>
                </w:p>
                <w:p>
                  <w:pPr>
                    <w:pStyle w:val="null3"/>
                    <w:jc w:val="both"/>
                  </w:pPr>
                  <w:r>
                    <w:rPr>
                      <w:sz w:val="20"/>
                    </w:rPr>
                    <w:t>★</w:t>
                  </w:r>
                  <w:r>
                    <w:rPr>
                      <w:sz w:val="20"/>
                    </w:rPr>
                    <w:t>2.</w:t>
                  </w:r>
                  <w:r>
                    <w:rPr>
                      <w:sz w:val="20"/>
                    </w:rPr>
                    <w:t>增益值：定向增益</w:t>
                  </w:r>
                  <w:r>
                    <w:rPr>
                      <w:sz w:val="20"/>
                    </w:rPr>
                    <w:t>6～12dBi；</w:t>
                  </w:r>
                </w:p>
                <w:p>
                  <w:pPr>
                    <w:pStyle w:val="null3"/>
                    <w:jc w:val="both"/>
                  </w:pPr>
                  <w:r>
                    <w:rPr>
                      <w:sz w:val="20"/>
                    </w:rPr>
                    <w:t>★</w:t>
                  </w:r>
                  <w:r>
                    <w:rPr>
                      <w:sz w:val="20"/>
                    </w:rPr>
                    <w:t>3.</w:t>
                  </w:r>
                  <w:r>
                    <w:rPr>
                      <w:sz w:val="20"/>
                    </w:rPr>
                    <w:t>驻波比</w:t>
                  </w:r>
                  <w:r>
                    <w:rPr>
                      <w:sz w:val="20"/>
                    </w:rPr>
                    <w:t>VSWR：全频段≤1.5:1；阻抗：标准50Ω射频阻抗，与接收机、天线分配器、馈线阻抗完全匹配，无信号失配损耗。</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数字音频处理器</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8 进 8 出数字音频处理器</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1.通道配置：模拟输入≥8路，单路独立48V幻象；模拟输出≥8路，支持矩阵自由路由；</w:t>
                  </w:r>
                </w:p>
                <w:p>
                  <w:pPr>
                    <w:pStyle w:val="null3"/>
                    <w:jc w:val="both"/>
                  </w:pPr>
                  <w:r>
                    <w:rPr>
                      <w:sz w:val="20"/>
                    </w:rPr>
                    <w:t>2.处理功能：输入PEQ每路≥8段参量均衡；输出处理支持分频、延时、限幅、输出PEQ，支持FIR滤波；</w:t>
                  </w:r>
                </w:p>
                <w:p>
                  <w:pPr>
                    <w:pStyle w:val="null3"/>
                    <w:jc w:val="both"/>
                  </w:pPr>
                  <w:r>
                    <w:rPr>
                      <w:sz w:val="20"/>
                    </w:rPr>
                    <w:t>3.转换指标：24bit模数/数模转换，48kHz采样率，THD 失真≤0.01%，信噪比≥110dB；</w:t>
                  </w:r>
                </w:p>
                <w:p>
                  <w:pPr>
                    <w:pStyle w:val="null3"/>
                    <w:jc w:val="both"/>
                  </w:pPr>
                  <w:r>
                    <w:rPr>
                      <w:sz w:val="20"/>
                    </w:rPr>
                    <w:t>4.适配性：支持面板控制、PC软件远程控制，支持场景一键保存recall，适配</w:t>
                  </w:r>
                  <w:r>
                    <w:rPr>
                      <w:sz w:val="20"/>
                    </w:rPr>
                    <w:t>本项目舞台</w:t>
                  </w:r>
                  <w:r>
                    <w:rPr>
                      <w:sz w:val="20"/>
                    </w:rPr>
                    <w:t>场景的快速调试</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43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音频播放机</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专业音频播放设备</w:t>
                  </w:r>
                </w:p>
              </w:tc>
              <w:tc>
                <w:tcPr>
                  <w:tcW w:type="dxa" w:w="4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 接口配置：支持USBU盘、SD卡本地读取，支持蓝牙无线音频输入，支持AUX模拟音频输入；</w:t>
                  </w:r>
                </w:p>
                <w:p>
                  <w:pPr>
                    <w:pStyle w:val="null3"/>
                    <w:jc w:val="both"/>
                  </w:pPr>
                  <w:r>
                    <w:rPr>
                      <w:sz w:val="20"/>
                    </w:rPr>
                    <w:t>2.格式兼容：兼容MP3、WAV、FLAC、APE等主流音频格式，支持高清音频解码；</w:t>
                  </w:r>
                </w:p>
                <w:p>
                  <w:pPr>
                    <w:pStyle w:val="null3"/>
                    <w:jc w:val="both"/>
                  </w:pPr>
                  <w:r>
                    <w:rPr>
                      <w:sz w:val="20"/>
                    </w:rPr>
                    <w:t>3.适配性：支持文件夹分类读取、断点续播、循环播放，带OLED显示屏，支持遥控操作，适配</w:t>
                  </w:r>
                  <w:r>
                    <w:rPr>
                      <w:sz w:val="20"/>
                    </w:rPr>
                    <w:t>本项目舞台</w:t>
                  </w:r>
                  <w:r>
                    <w:rPr>
                      <w:sz w:val="20"/>
                    </w:rPr>
                    <w:t>场景的快速部署；</w:t>
                  </w:r>
                </w:p>
                <w:p>
                  <w:pPr>
                    <w:pStyle w:val="null3"/>
                    <w:jc w:val="both"/>
                  </w:pPr>
                  <w:r>
                    <w:rPr>
                      <w:sz w:val="20"/>
                    </w:rPr>
                    <w:t>4.输出规格：立体声模拟音频输出，支持光纤数字音频输出，适配功放、调音台</w:t>
                  </w:r>
                  <w:r>
                    <w:rPr>
                      <w:sz w:val="20"/>
                    </w:rPr>
                    <w:t>。</w:t>
                  </w:r>
                </w:p>
              </w:tc>
              <w:tc>
                <w:tcPr>
                  <w:tcW w:type="dxa" w:w="4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bl>
          <w:p>
            <w:pPr>
              <w:pStyle w:val="null3"/>
              <w:spacing w:before="150"/>
              <w:jc w:val="both"/>
            </w:pPr>
            <w:r>
              <w:rPr>
                <w:sz w:val="20"/>
                <w:b/>
              </w:rPr>
              <w:t>（</w:t>
            </w:r>
            <w:r>
              <w:rPr>
                <w:sz w:val="20"/>
                <w:b/>
              </w:rPr>
              <w:t>二</w:t>
            </w:r>
            <w:r>
              <w:rPr>
                <w:sz w:val="20"/>
                <w:b/>
              </w:rPr>
              <w:t>）</w:t>
            </w:r>
            <w:r>
              <w:rPr>
                <w:sz w:val="20"/>
                <w:b/>
              </w:rPr>
              <w:t>灯光设备性能参数表</w:t>
            </w:r>
          </w:p>
          <w:tbl>
            <w:tblPr>
              <w:tblInd w:type="dxa" w:w="120"/>
              <w:tblBorders>
                <w:top w:val="none" w:color="000000" w:sz="4"/>
                <w:left w:val="none" w:color="000000" w:sz="4"/>
                <w:bottom w:val="none" w:color="000000" w:sz="4"/>
                <w:right w:val="none" w:color="000000" w:sz="4"/>
                <w:insideH w:val="none"/>
                <w:insideV w:val="none"/>
              </w:tblBorders>
            </w:tblPr>
            <w:tblGrid>
              <w:gridCol w:w="401"/>
              <w:gridCol w:w="441"/>
              <w:gridCol w:w="4324"/>
              <w:gridCol w:w="431"/>
            </w:tblGrid>
            <w:tr>
              <w:tc>
                <w:tcPr>
                  <w:tcW w:type="dxa" w:w="40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设备名称</w:t>
                  </w:r>
                </w:p>
              </w:tc>
              <w:tc>
                <w:tcPr>
                  <w:tcW w:type="dxa" w:w="44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规格型号</w:t>
                  </w:r>
                </w:p>
              </w:tc>
              <w:tc>
                <w:tcPr>
                  <w:tcW w:type="dxa" w:w="432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核心性能参数</w:t>
                  </w:r>
                  <w:r>
                    <w:rPr>
                      <w:sz w:val="20"/>
                      <w:b/>
                    </w:rPr>
                    <w:t>（不低于下列要求）</w:t>
                  </w:r>
                </w:p>
              </w:tc>
              <w:tc>
                <w:tcPr>
                  <w:tcW w:type="dxa" w:w="43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数量</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LED 调焦面光灯</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200W LED 调焦面光灯</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1.光源配置：200W COB LED 暖白光源，显色指数 Ra≥90，色温 3200K/5600K 可选，光通量≥15000lm，满足舞台面光照明需求；</w:t>
                  </w:r>
                </w:p>
                <w:p>
                  <w:pPr>
                    <w:pStyle w:val="null3"/>
                    <w:jc w:val="both"/>
                  </w:pPr>
                  <w:r>
                    <w:rPr>
                      <w:sz w:val="20"/>
                    </w:rPr>
                    <w:t>2.光学系统：电动调焦，变焦范围15°~60° 线性可调，镜头高透光学玻璃，透光率≥90%；</w:t>
                  </w:r>
                </w:p>
                <w:p>
                  <w:pPr>
                    <w:pStyle w:val="null3"/>
                    <w:jc w:val="both"/>
                  </w:pPr>
                  <w:r>
                    <w:rPr>
                      <w:sz w:val="20"/>
                    </w:rPr>
                    <w:t>3.控制模式：支持DMX512、RDM、主从、声控模式，DMX通道数≥4CH，适配主流灯控台；</w:t>
                  </w:r>
                </w:p>
                <w:p>
                  <w:pPr>
                    <w:pStyle w:val="null3"/>
                    <w:jc w:val="both"/>
                  </w:pPr>
                  <w:r>
                    <w:rPr>
                      <w:sz w:val="20"/>
                    </w:rPr>
                    <w:t>4.适配性：0-100% 线性调光，频闪频率≥20kHz无频闪，内置调光曲线，带标准灯钩，支持吊挂/地面放置，快速拆装</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LED 蜂眼染色灯</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19 颗 15W LED 蜂眼灯</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1.光源配置：19 颗15W4合1LED 灯珠（RGBW），显色指数 Ra≥85，总光通量≥5000lm；</w:t>
                  </w:r>
                </w:p>
                <w:p>
                  <w:pPr>
                    <w:pStyle w:val="null3"/>
                    <w:jc w:val="both"/>
                  </w:pPr>
                  <w:r>
                    <w:rPr>
                      <w:sz w:val="20"/>
                    </w:rPr>
                    <w:t>2.光学系统：蜂眼式透镜设计，光束角≥120°，支持线性调焦，光斑均匀无暗区；</w:t>
                  </w:r>
                </w:p>
                <w:p>
                  <w:pPr>
                    <w:pStyle w:val="null3"/>
                    <w:jc w:val="both"/>
                  </w:pPr>
                  <w:r>
                    <w:rPr>
                      <w:sz w:val="20"/>
                    </w:rPr>
                    <w:t>3.控制模式：支持 DMX512、RDM、主从、声控模式，DMX通道数≥16CH，支持像素点控制；</w:t>
                  </w:r>
                </w:p>
                <w:p>
                  <w:pPr>
                    <w:pStyle w:val="null3"/>
                    <w:jc w:val="both"/>
                  </w:pPr>
                  <w:r>
                    <w:rPr>
                      <w:sz w:val="20"/>
                    </w:rPr>
                    <w:t>4.适配性：RGBW独立调光，0-100% 线性调光，内置颜色宏、动态跑马效果，带标准灯钩，支持吊挂安装，快速拆装</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12</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LED PAR 灯</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54*3W LED PAR 灯</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1.光源配置：54颗3W4合1 LED灯珠（RGBW），显色指数 Ra≥85，总光通量≥5000lm；</w:t>
                  </w:r>
                </w:p>
                <w:p>
                  <w:pPr>
                    <w:pStyle w:val="null3"/>
                    <w:jc w:val="both"/>
                  </w:pPr>
                  <w:r>
                    <w:rPr>
                      <w:sz w:val="20"/>
                    </w:rPr>
                    <w:t>2.光学系统：标配15°/25°/45°三种角度透镜可选，光斑均匀，支持混色、彩虹效果；</w:t>
                  </w:r>
                </w:p>
                <w:p>
                  <w:pPr>
                    <w:pStyle w:val="null3"/>
                    <w:jc w:val="both"/>
                  </w:pPr>
                  <w:r>
                    <w:rPr>
                      <w:sz w:val="20"/>
                    </w:rPr>
                    <w:t>3.控制模式：支持 DMX512、RDM、主从、声控模式，DMX 通道数≥8CH；</w:t>
                  </w:r>
                </w:p>
                <w:p>
                  <w:pPr>
                    <w:pStyle w:val="null3"/>
                    <w:jc w:val="both"/>
                  </w:pPr>
                  <w:r>
                    <w:rPr>
                      <w:sz w:val="20"/>
                    </w:rPr>
                    <w:t>4.适配性：RGBW独立调光，0-100% 线性调光，内置颜色宏、动态效果，带标准灯钩与防滑脚垫，支持吊挂/地面放置，快速拆装</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36</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LED 洗墙长条灯</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 米 LED 洗墙灯</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1.光源配置：1米长度，内置≥100 颗0.5W4合1LED灯珠（RGBW），显色指数 Ra≥85，总光通量≥5000lm；</w:t>
                  </w:r>
                </w:p>
                <w:p>
                  <w:pPr>
                    <w:pStyle w:val="null3"/>
                    <w:jc w:val="both"/>
                  </w:pPr>
                  <w:r>
                    <w:rPr>
                      <w:sz w:val="20"/>
                    </w:rPr>
                    <w:t>2.光学系统：光束角≥120°，洗墙均匀无暗区，支持线性调焦；3.控制模式：支持DMX512、RDM、主从、声控模式，DMX通道数≥16CH，支持像素点控制；</w:t>
                  </w:r>
                </w:p>
                <w:p>
                  <w:pPr>
                    <w:pStyle w:val="null3"/>
                    <w:jc w:val="both"/>
                  </w:pPr>
                  <w:r>
                    <w:rPr>
                      <w:sz w:val="20"/>
                    </w:rPr>
                    <w:t>4.适配性：RGBW独立调光，0-100% 线性调光，内置颜色宏、动态跑马效果，带标准安装支架，支持吊挂/贴墙安装，快速拆装</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20</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三合一电脑灯</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230W LED 三合一电脑灯</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1.光源配置：230W LED 光源，显色指数 Ra≥85，色温 6500K，光通量≥20000lm；</w:t>
                  </w:r>
                </w:p>
                <w:p>
                  <w:pPr>
                    <w:pStyle w:val="null3"/>
                    <w:jc w:val="both"/>
                  </w:pPr>
                  <w:r>
                    <w:rPr>
                      <w:sz w:val="20"/>
                    </w:rPr>
                    <w:t>2.功能集成：集成图案、光束、染色三合一功能，支持图案切换、图案旋转、光束缩放、染色混色；</w:t>
                  </w:r>
                </w:p>
                <w:p>
                  <w:pPr>
                    <w:pStyle w:val="null3"/>
                    <w:jc w:val="both"/>
                  </w:pPr>
                  <w:r>
                    <w:rPr>
                      <w:sz w:val="20"/>
                    </w:rPr>
                    <w:t>3.光学系统：电动调焦，变焦范围3°~40° 线性可调，标配≥15种固定图案</w:t>
                  </w:r>
                  <w:r>
                    <w:rPr>
                      <w:sz w:val="20"/>
                    </w:rPr>
                    <w:t>，</w:t>
                  </w:r>
                  <w:r>
                    <w:rPr>
                      <w:sz w:val="20"/>
                    </w:rPr>
                    <w:t>≥8 种动态图案，图案可双向旋转；</w:t>
                  </w:r>
                </w:p>
                <w:p>
                  <w:pPr>
                    <w:pStyle w:val="null3"/>
                    <w:jc w:val="both"/>
                  </w:pPr>
                  <w:r>
                    <w:rPr>
                      <w:sz w:val="20"/>
                    </w:rPr>
                    <w:t>4.控制模式：支持DMX512、RDM、主从、声控模式，DMX通道数≥16CH，支持X/Y轴电子限位、复位功能；</w:t>
                  </w:r>
                </w:p>
                <w:p>
                  <w:pPr>
                    <w:pStyle w:val="null3"/>
                    <w:jc w:val="both"/>
                  </w:pPr>
                  <w:r>
                    <w:rPr>
                      <w:sz w:val="20"/>
                    </w:rPr>
                    <w:t>5.适配性：0-100% 线性调光，频闪频率≥20kHz，内置颜色宏、动态效果，带标准灯钩，支持吊挂安装，快速拆装</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24</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专业灯光控制台</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租赁主流灯控台</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1.通道配置：最大控制通道≥4096个DMX通道，支持≥1024个灯具控制，内置≥10英寸高清触摸屏，支持多点触控；</w:t>
                  </w:r>
                </w:p>
                <w:p>
                  <w:pPr>
                    <w:pStyle w:val="null3"/>
                    <w:jc w:val="both"/>
                  </w:pPr>
                  <w:r>
                    <w:rPr>
                      <w:sz w:val="20"/>
                    </w:rPr>
                    <w:t>2.控制功能：支持灯具配接、场景编辑、Cue 列表、跑灯程序、特效生成，支持内置≥500 个场景、200 个 Cue、100 个跑灯程序；</w:t>
                  </w:r>
                </w:p>
                <w:p>
                  <w:pPr>
                    <w:pStyle w:val="null3"/>
                    <w:jc w:val="both"/>
                  </w:pPr>
                  <w:r>
                    <w:rPr>
                      <w:sz w:val="20"/>
                    </w:rPr>
                    <w:t>3.接口配置：≥2个DMX512输出接口，支持Art-Net、sACN网络协议，支持USB接口导入导出程序、固件升级；</w:t>
                  </w:r>
                </w:p>
                <w:p>
                  <w:pPr>
                    <w:pStyle w:val="null3"/>
                    <w:jc w:val="both"/>
                  </w:pPr>
                  <w:r>
                    <w:rPr>
                      <w:sz w:val="20"/>
                    </w:rPr>
                    <w:t>4.适配性：兼容主流品牌灯光设备，支持RDM远程设备管理，支持快速配接调试</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切割电脑灯</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330W LED 切割电脑灯</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1.光源配置：330W LED 光源，显色指数Ra≥85，色温6500K，光通量≥30000lm；</w:t>
                  </w:r>
                </w:p>
                <w:p>
                  <w:pPr>
                    <w:pStyle w:val="null3"/>
                    <w:jc w:val="both"/>
                  </w:pPr>
                  <w:r>
                    <w:rPr>
                      <w:sz w:val="20"/>
                    </w:rPr>
                    <w:t>2.切割功能：标配4片电动切割片，可实现任意角度切割、旋转、定位，支持图案与切割叠加效果；</w:t>
                  </w:r>
                </w:p>
                <w:p>
                  <w:pPr>
                    <w:pStyle w:val="null3"/>
                    <w:jc w:val="both"/>
                  </w:pPr>
                  <w:r>
                    <w:rPr>
                      <w:sz w:val="20"/>
                    </w:rPr>
                    <w:t>3.光学系统：电动调焦，变焦范围4°~45°线性可调，标配≥18种固定图案</w:t>
                  </w:r>
                  <w:r>
                    <w:rPr>
                      <w:sz w:val="20"/>
                    </w:rPr>
                    <w:t>，</w:t>
                  </w:r>
                  <w:r>
                    <w:rPr>
                      <w:sz w:val="20"/>
                    </w:rPr>
                    <w:t>≥12种动态图案，支持棱镜效果；</w:t>
                  </w:r>
                </w:p>
                <w:p>
                  <w:pPr>
                    <w:pStyle w:val="null3"/>
                    <w:jc w:val="both"/>
                  </w:pPr>
                  <w:r>
                    <w:rPr>
                      <w:sz w:val="20"/>
                    </w:rPr>
                    <w:t>4.控制模式：支持DMX512、RDM、主从、声控模式，DMX通道数≥24CH，支持X/Y轴电子限位、复位功能；</w:t>
                  </w:r>
                </w:p>
                <w:p>
                  <w:pPr>
                    <w:pStyle w:val="null3"/>
                    <w:jc w:val="both"/>
                  </w:pPr>
                  <w:r>
                    <w:rPr>
                      <w:sz w:val="20"/>
                    </w:rPr>
                    <w:t>5.适配性：0-100% 线性调光，频闪频率≥20kHz，内置颜色宏、动态效果，带标准灯钩，支持吊挂安装，快速拆装</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8</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舞台烟雾机</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3000W 烟雾机</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1.烟雾输出量≥20000CFM，烟雾覆盖范围≥150㎡，烟雾浓度可调，支持淡入淡出效果；</w:t>
                  </w:r>
                </w:p>
                <w:p>
                  <w:pPr>
                    <w:pStyle w:val="null3"/>
                    <w:jc w:val="both"/>
                  </w:pPr>
                  <w:r>
                    <w:rPr>
                      <w:sz w:val="20"/>
                    </w:rPr>
                    <w:t>2.控制模式：支持DMX512控制、遥控控制、手动控制，支持定时定量出烟、连续出烟模式；</w:t>
                  </w:r>
                </w:p>
                <w:p>
                  <w:pPr>
                    <w:pStyle w:val="null3"/>
                    <w:jc w:val="both"/>
                  </w:pPr>
                  <w:r>
                    <w:rPr>
                      <w:sz w:val="20"/>
                    </w:rPr>
                    <w:t>3.适配性：内置≥5L液箱，连续工作时间≥6小时，预热时间≤5分钟，支持恒温控制，过热自动保护，烟质细腻无残留；</w:t>
                  </w:r>
                </w:p>
                <w:p>
                  <w:pPr>
                    <w:pStyle w:val="null3"/>
                    <w:jc w:val="both"/>
                  </w:pPr>
                  <w:r>
                    <w:rPr>
                      <w:sz w:val="20"/>
                    </w:rPr>
                    <w:t>4. 物理规格：带滑轮与把手，方便移动，电源 AC220V 50Hz</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舞台泡泡机</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大型泡泡机</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 核心参数：泡泡覆盖范围≥80㎡，泡泡输出量≥8000 个 / 分钟，泡泡直径 2mm~20mm 可调；</w:t>
                  </w:r>
                </w:p>
                <w:p>
                  <w:pPr>
                    <w:pStyle w:val="null3"/>
                    <w:jc w:val="both"/>
                  </w:pPr>
                  <w:r>
                    <w:rPr>
                      <w:sz w:val="20"/>
                    </w:rPr>
                    <w:t>2. 控制模式：支持 DMX512 控制、遥控控制、手动控制，支持定时定量出泡、连续出泡模式；</w:t>
                  </w:r>
                </w:p>
                <w:p>
                  <w:pPr>
                    <w:pStyle w:val="null3"/>
                    <w:jc w:val="both"/>
                  </w:pPr>
                  <w:r>
                    <w:rPr>
                      <w:sz w:val="20"/>
                    </w:rPr>
                    <w:t>3. 适配性：内置≥4L 液箱，连续工作时间≥6 小时，支持低液位自动报警，带滑轮与把手，方便移动；</w:t>
                  </w:r>
                </w:p>
                <w:p>
                  <w:pPr>
                    <w:pStyle w:val="null3"/>
                    <w:jc w:val="both"/>
                  </w:pPr>
                  <w:r>
                    <w:rPr>
                      <w:sz w:val="20"/>
                    </w:rPr>
                    <w:t>4. 物理规格：电源 AC220V 50Hz</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4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电源直通箱</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12 路电源直通箱</w:t>
                  </w:r>
                </w:p>
              </w:tc>
              <w:tc>
                <w:tcPr>
                  <w:tcW w:type="dxa" w:w="43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1.额定电压：AC220V/380V 50Hz，额定总功率≥100kW，总输入电流≥160A；</w:t>
                  </w:r>
                </w:p>
                <w:p>
                  <w:pPr>
                    <w:pStyle w:val="null3"/>
                    <w:jc w:val="both"/>
                  </w:pPr>
                  <w:r>
                    <w:rPr>
                      <w:sz w:val="20"/>
                    </w:rPr>
                    <w:t>2.通道配置：≥12路独立输出，每路额定电流≥16A，每路独立断路器保护，支持过载、短路、漏电保护；</w:t>
                  </w:r>
                </w:p>
                <w:p>
                  <w:pPr>
                    <w:pStyle w:val="null3"/>
                    <w:jc w:val="both"/>
                  </w:pPr>
                  <w:r>
                    <w:rPr>
                      <w:sz w:val="20"/>
                    </w:rPr>
                    <w:t>3.适配性：每路独立开关控制，带电流、电压显示，支持 DMX512 远程控制，可与灯控台联动，适配舞台灯光、音响设备供电；</w:t>
                  </w:r>
                </w:p>
                <w:p>
                  <w:pPr>
                    <w:pStyle w:val="null3"/>
                    <w:jc w:val="both"/>
                  </w:pPr>
                  <w:r>
                    <w:rPr>
                      <w:sz w:val="20"/>
                    </w:rPr>
                    <w:t>4.接口配置：输入接口≥1个三相五线制工业接口，输出接口≥12个16A工业插座</w:t>
                  </w:r>
                  <w:r>
                    <w:rPr>
                      <w:sz w:val="20"/>
                    </w:rPr>
                    <w:t>。</w:t>
                  </w:r>
                </w:p>
              </w:tc>
              <w:tc>
                <w:tcPr>
                  <w:tcW w:type="dxa" w:w="4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r>
          </w:tbl>
          <w:p>
            <w:pPr>
              <w:pStyle w:val="null3"/>
              <w:spacing w:before="150"/>
              <w:jc w:val="both"/>
            </w:pPr>
            <w:r>
              <w:rPr>
                <w:sz w:val="20"/>
                <w:b/>
              </w:rPr>
              <w:t>（</w:t>
            </w:r>
            <w:r>
              <w:rPr>
                <w:sz w:val="20"/>
                <w:b/>
              </w:rPr>
              <w:t>三</w:t>
            </w:r>
            <w:r>
              <w:rPr>
                <w:sz w:val="20"/>
                <w:b/>
              </w:rPr>
              <w:t>）</w:t>
            </w:r>
            <w:r>
              <w:rPr>
                <w:sz w:val="20"/>
                <w:b/>
              </w:rPr>
              <w:t>大屏幕视频设备性能参数表</w:t>
            </w:r>
          </w:p>
          <w:tbl>
            <w:tblPr>
              <w:tblInd w:type="dxa" w:w="120"/>
              <w:tblBorders>
                <w:top w:val="none" w:color="000000" w:sz="4"/>
                <w:left w:val="none" w:color="000000" w:sz="4"/>
                <w:bottom w:val="none" w:color="000000" w:sz="4"/>
                <w:right w:val="none" w:color="000000" w:sz="4"/>
                <w:insideH w:val="none"/>
                <w:insideV w:val="none"/>
              </w:tblBorders>
            </w:tblPr>
            <w:tblGrid>
              <w:gridCol w:w="411"/>
              <w:gridCol w:w="441"/>
              <w:gridCol w:w="4326"/>
              <w:gridCol w:w="421"/>
            </w:tblGrid>
            <w:tr>
              <w:tc>
                <w:tcPr>
                  <w:tcW w:type="dxa" w:w="41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设备名称</w:t>
                  </w:r>
                </w:p>
              </w:tc>
              <w:tc>
                <w:tcPr>
                  <w:tcW w:type="dxa" w:w="44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规格型号</w:t>
                  </w:r>
                </w:p>
              </w:tc>
              <w:tc>
                <w:tcPr>
                  <w:tcW w:type="dxa" w:w="432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核心性能参数</w:t>
                  </w:r>
                  <w:r>
                    <w:rPr>
                      <w:sz w:val="20"/>
                      <w:b/>
                    </w:rPr>
                    <w:t>（不低于下列要求）</w:t>
                  </w:r>
                </w:p>
              </w:tc>
              <w:tc>
                <w:tcPr>
                  <w:tcW w:type="dxa" w:w="42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数量</w:t>
                  </w:r>
                </w:p>
              </w:tc>
            </w:tr>
            <w:tr>
              <w:tc>
                <w:tcPr>
                  <w:tcW w:type="dxa" w:w="4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主屏幕</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P3.91 租赁型 LED 显示屏</w:t>
                  </w:r>
                </w:p>
              </w:tc>
              <w:tc>
                <w:tcPr>
                  <w:tcW w:type="dxa" w:w="43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1.基础规格：像素间距3.91mm，模组尺寸250mm×250mm，单元分辨率64×64点，屏体尺寸16m×6m，总面积96㎡，总像素数≥629万点；</w:t>
                  </w:r>
                </w:p>
                <w:p>
                  <w:pPr>
                    <w:pStyle w:val="null3"/>
                    <w:jc w:val="both"/>
                  </w:pPr>
                  <w:r>
                    <w:rPr>
                      <w:sz w:val="20"/>
                    </w:rPr>
                    <w:t>2.核心指标：驱动方式1/16恒流驱动，刷新频率≥3840Hz，亮度≥800cd/㎡，对比度≥4000:1，可视角度水平≥160°、垂直≥160°；</w:t>
                  </w:r>
                </w:p>
                <w:p>
                  <w:pPr>
                    <w:pStyle w:val="null3"/>
                    <w:jc w:val="both"/>
                  </w:pPr>
                  <w:r>
                    <w:rPr>
                      <w:sz w:val="20"/>
                    </w:rPr>
                    <w:t>3.色彩性能：色域≥NTSC 105%，色彩深度≥16bit，色温可调 3000K~10000K，支持白平衡、伽马校正；</w:t>
                  </w:r>
                </w:p>
                <w:p>
                  <w:pPr>
                    <w:pStyle w:val="null3"/>
                    <w:jc w:val="both"/>
                  </w:pPr>
                  <w:r>
                    <w:rPr>
                      <w:sz w:val="20"/>
                    </w:rPr>
                    <w:t>4.适配性：快速拆装结构，模组支持前后维护，磁吸式快速安装，适配临时搭建拆卸；</w:t>
                  </w:r>
                </w:p>
                <w:p>
                  <w:pPr>
                    <w:pStyle w:val="null3"/>
                    <w:jc w:val="both"/>
                  </w:pPr>
                  <w:r>
                    <w:rPr>
                      <w:sz w:val="20"/>
                    </w:rPr>
                    <w:t>5.供电系统：采用开关电源，AC220V 50Hz供电，屏体总功耗≤350W/㎡，平均功耗≤120W/㎡，支持亮度自动调节；</w:t>
                  </w:r>
                </w:p>
                <w:p>
                  <w:pPr>
                    <w:pStyle w:val="null3"/>
                    <w:jc w:val="both"/>
                  </w:pPr>
                  <w:r>
                    <w:rPr>
                      <w:sz w:val="20"/>
                    </w:rPr>
                    <w:t>6.符合 GB/T 28169-2011 标准</w:t>
                  </w:r>
                </w:p>
              </w:tc>
              <w:tc>
                <w:tcPr>
                  <w:tcW w:type="dxa" w:w="42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96</w:t>
                  </w:r>
                </w:p>
              </w:tc>
            </w:tr>
            <w:tr>
              <w:tc>
                <w:tcPr>
                  <w:tcW w:type="dxa" w:w="4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侧屏幕</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P4.81 租赁型 LED 显示屏</w:t>
                  </w:r>
                </w:p>
              </w:tc>
              <w:tc>
                <w:tcPr>
                  <w:tcW w:type="dxa" w:w="43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1.基础规格：像素间距4.81mm，模组尺寸300mm×300mm，单元分辨率64×64点，屏体规格：2m×4m两组、1.5m×5m两组，总面积 31㎡，总像素数≥133 万点；</w:t>
                  </w:r>
                </w:p>
                <w:p>
                  <w:pPr>
                    <w:pStyle w:val="null3"/>
                    <w:jc w:val="both"/>
                  </w:pPr>
                  <w:r>
                    <w:rPr>
                      <w:sz w:val="20"/>
                    </w:rPr>
                    <w:t>2.核心指标：驱动方式1/16恒流驱动，刷新频率≥3840Hz，亮度≥700cd/㎡，对比度≥3000:1，可视角度水平≥160°、垂直≥160°；</w:t>
                  </w:r>
                </w:p>
                <w:p>
                  <w:pPr>
                    <w:pStyle w:val="null3"/>
                    <w:jc w:val="both"/>
                  </w:pPr>
                  <w:r>
                    <w:rPr>
                      <w:sz w:val="20"/>
                    </w:rPr>
                    <w:t>3.色彩性能：色域≥NTSC 100%，色彩深度≥16bit，色温可调 3000K~10000K；</w:t>
                  </w:r>
                </w:p>
                <w:p>
                  <w:pPr>
                    <w:pStyle w:val="null3"/>
                    <w:jc w:val="both"/>
                  </w:pPr>
                  <w:r>
                    <w:rPr>
                      <w:sz w:val="20"/>
                    </w:rPr>
                    <w:t>4.适配性：快速拆装结构，模组支持前后维护，磁吸式快速安装，适配临时搭建拆卸；</w:t>
                  </w:r>
                </w:p>
                <w:p>
                  <w:pPr>
                    <w:pStyle w:val="null3"/>
                    <w:jc w:val="both"/>
                  </w:pPr>
                  <w:r>
                    <w:rPr>
                      <w:sz w:val="20"/>
                    </w:rPr>
                    <w:t>5.供电系统：采用开关电源，AC220V 50Hz供电，屏体总功耗≤300W/㎡，平均功耗≤100W/㎡；</w:t>
                  </w:r>
                </w:p>
                <w:p>
                  <w:pPr>
                    <w:pStyle w:val="null3"/>
                    <w:jc w:val="both"/>
                  </w:pPr>
                  <w:r>
                    <w:rPr>
                      <w:sz w:val="20"/>
                    </w:rPr>
                    <w:t>6.符合 GB/T 28169-2011 标准</w:t>
                  </w:r>
                </w:p>
              </w:tc>
              <w:tc>
                <w:tcPr>
                  <w:tcW w:type="dxa" w:w="42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31</w:t>
                  </w:r>
                </w:p>
              </w:tc>
            </w:tr>
            <w:tr>
              <w:tc>
                <w:tcPr>
                  <w:tcW w:type="dxa" w:w="4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4K 视频播放处理器</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租赁主流视频处理器</w:t>
                  </w:r>
                </w:p>
              </w:tc>
              <w:tc>
                <w:tcPr>
                  <w:tcW w:type="dxa" w:w="43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 输入接口：支持 HDMI2.0、DP1.2、SDI、VGA、AV等≥8路输入，支持 4K@60Hz、2K@144Hz 高清视频输入，兼容主流视频格式；</w:t>
                  </w:r>
                </w:p>
                <w:p>
                  <w:pPr>
                    <w:pStyle w:val="null3"/>
                    <w:jc w:val="both"/>
                  </w:pPr>
                  <w:r>
                    <w:rPr>
                      <w:sz w:val="20"/>
                    </w:rPr>
                    <w:t>2.输出接口：支持≥6路千兆网口输出，支持HDMI、SDI环出，可同时控制≥4096×2160 分辨率LED显示屏，支持多屏拼接、异形屏校正；</w:t>
                  </w:r>
                </w:p>
                <w:p>
                  <w:pPr>
                    <w:pStyle w:val="null3"/>
                    <w:jc w:val="both"/>
                  </w:pPr>
                  <w:r>
                    <w:rPr>
                      <w:sz w:val="20"/>
                    </w:rPr>
                    <w:t>3.处理功能：支持画面分割、缩放、叠加、漫游、画中画，支持亮度、对比度、饱和度调节，支持一键场景切换；</w:t>
                  </w:r>
                </w:p>
                <w:p>
                  <w:pPr>
                    <w:pStyle w:val="null3"/>
                    <w:jc w:val="both"/>
                  </w:pPr>
                  <w:r>
                    <w:rPr>
                      <w:sz w:val="20"/>
                    </w:rPr>
                    <w:t>4.适配性：支持面板按键、PC软件、中控系统远程控制，支持USB接口导入播放列表、固件升级，支持定时播放、循环播放</w:t>
                  </w:r>
                  <w:r>
                    <w:rPr>
                      <w:sz w:val="20"/>
                    </w:rPr>
                    <w:t>。</w:t>
                  </w:r>
                </w:p>
              </w:tc>
              <w:tc>
                <w:tcPr>
                  <w:tcW w:type="dxa" w:w="42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4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视频光纤线缆</w:t>
                  </w:r>
                </w:p>
              </w:tc>
              <w:tc>
                <w:tcPr>
                  <w:tcW w:type="dxa" w:w="4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单模光纤线缆</w:t>
                  </w:r>
                </w:p>
              </w:tc>
              <w:tc>
                <w:tcPr>
                  <w:tcW w:type="dxa" w:w="43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1.光纤规格：单模9/125μm光纤，芯数≥8芯，符合ITU-T G.652 标准，工作波长1310nm/1550nm；</w:t>
                  </w:r>
                </w:p>
                <w:p>
                  <w:pPr>
                    <w:pStyle w:val="null3"/>
                    <w:jc w:val="both"/>
                  </w:pPr>
                  <w:r>
                    <w:rPr>
                      <w:sz w:val="20"/>
                    </w:rPr>
                    <w:t>2.传输性能：衰减系数≤0.36dB/km@1310nm，支持4K高清视频信号长距离传输；</w:t>
                  </w:r>
                </w:p>
                <w:p>
                  <w:pPr>
                    <w:pStyle w:val="null3"/>
                    <w:jc w:val="both"/>
                  </w:pPr>
                  <w:r>
                    <w:rPr>
                      <w:sz w:val="20"/>
                    </w:rPr>
                    <w:t>3.适配性：紧套光纤，芳纶纱加强，LSZH低烟无卤阻燃护套，两端标配SC/PC光纤熔接头，适配LED显示屏、视频处理器、光纤收发器，快速布线；</w:t>
                  </w:r>
                </w:p>
                <w:p>
                  <w:pPr>
                    <w:pStyle w:val="null3"/>
                    <w:jc w:val="both"/>
                  </w:pPr>
                  <w:r>
                    <w:rPr>
                      <w:sz w:val="20"/>
                    </w:rPr>
                    <w:t>4.使用环境：工作温度-40℃~60℃，适配室内外舞台布线，防鼠咬、耐弯折</w:t>
                  </w:r>
                  <w:r>
                    <w:rPr>
                      <w:sz w:val="20"/>
                    </w:rPr>
                    <w:t>。</w:t>
                  </w:r>
                </w:p>
              </w:tc>
              <w:tc>
                <w:tcPr>
                  <w:tcW w:type="dxa" w:w="42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8</w:t>
                  </w:r>
                </w:p>
              </w:tc>
            </w:tr>
          </w:tbl>
          <w:p>
            <w:pPr>
              <w:pStyle w:val="null3"/>
              <w:spacing w:before="150"/>
              <w:jc w:val="both"/>
            </w:pPr>
            <w:r>
              <w:rPr>
                <w:sz w:val="20"/>
                <w:b/>
              </w:rPr>
              <w:t>（</w:t>
            </w:r>
            <w:r>
              <w:rPr>
                <w:sz w:val="20"/>
                <w:b/>
              </w:rPr>
              <w:t>四</w:t>
            </w:r>
            <w:r>
              <w:rPr>
                <w:sz w:val="20"/>
                <w:b/>
              </w:rPr>
              <w:t>）</w:t>
            </w:r>
            <w:r>
              <w:rPr>
                <w:sz w:val="20"/>
                <w:b/>
              </w:rPr>
              <w:t>舞台搭建设施参数表</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460"/>
              <w:gridCol w:w="4338"/>
              <w:gridCol w:w="400"/>
            </w:tblGrid>
            <w:tr>
              <w:tc>
                <w:tcPr>
                  <w:tcW w:type="dxa" w:w="40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设施名称</w:t>
                  </w:r>
                </w:p>
              </w:tc>
              <w:tc>
                <w:tcPr>
                  <w:tcW w:type="dxa" w:w="46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规格型号</w:t>
                  </w:r>
                </w:p>
              </w:tc>
              <w:tc>
                <w:tcPr>
                  <w:tcW w:type="dxa" w:w="433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核心性能参数</w:t>
                  </w:r>
                  <w:r>
                    <w:rPr>
                      <w:sz w:val="20"/>
                      <w:b/>
                    </w:rPr>
                    <w:t>（不低于下列要求）</w:t>
                  </w:r>
                </w:p>
              </w:tc>
              <w:tc>
                <w:tcPr>
                  <w:tcW w:type="dxa" w:w="40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数量</w:t>
                  </w:r>
                </w:p>
              </w:tc>
            </w:tr>
            <w:tr>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灯光音响桁架</w:t>
                  </w:r>
                </w:p>
              </w:tc>
              <w:tc>
                <w:tcPr>
                  <w:tcW w:type="dxa" w:w="4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铝合金灯光桁架</w:t>
                  </w:r>
                </w:p>
              </w:tc>
              <w:tc>
                <w:tcPr>
                  <w:tcW w:type="dxa" w:w="433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1.主架规格：≥16m×10m双层桁架，采用6061-T6铝合金材质，桁架规格≥400mm×400mm，壁厚≥2mm，最大承重≥400kg/㎡，满足灯光、音响设备吊挂需求；</w:t>
                  </w:r>
                </w:p>
                <w:p>
                  <w:pPr>
                    <w:pStyle w:val="null3"/>
                    <w:jc w:val="both"/>
                  </w:pPr>
                  <w:r>
                    <w:rPr>
                      <w:sz w:val="20"/>
                    </w:rPr>
                    <w:t>2.侧架规格：2m×6m桁架6组，采用6061-T6铝合金材质，桁架规格≥300mm×300mm，壁厚≥1.5mm，单组最大承重≥150kg；</w:t>
                  </w:r>
                </w:p>
                <w:p>
                  <w:pPr>
                    <w:pStyle w:val="null3"/>
                    <w:jc w:val="both"/>
                  </w:pPr>
                  <w:r>
                    <w:rPr>
                      <w:sz w:val="20"/>
                    </w:rPr>
                    <w:t>3.适配性：双层结构，主架层间距≥1.2m，标配专用连接件、支撑脚、斜拉筋，模块化设计，快速拆装，适配临时搭建拆卸；</w:t>
                  </w:r>
                </w:p>
                <w:p>
                  <w:pPr>
                    <w:pStyle w:val="null3"/>
                    <w:jc w:val="both"/>
                  </w:pPr>
                  <w:r>
                    <w:rPr>
                      <w:sz w:val="20"/>
                    </w:rPr>
                    <w:t>4.安全合规：结构稳定性符合 GB/T 26949-2011 标准，阳极氧化防腐处理，表面光滑无毛刺，防锈防腐蚀</w:t>
                  </w:r>
                  <w:r>
                    <w:rPr>
                      <w:sz w:val="20"/>
                    </w:rPr>
                    <w:t>。</w:t>
                  </w:r>
                </w:p>
              </w:tc>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主舞台</w:t>
                  </w:r>
                </w:p>
              </w:tc>
              <w:tc>
                <w:tcPr>
                  <w:tcW w:type="dxa" w:w="4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拼装式舞台</w:t>
                  </w:r>
                </w:p>
              </w:tc>
              <w:tc>
                <w:tcPr>
                  <w:tcW w:type="dxa" w:w="433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1.舞台规格：主体尺寸≥17m×9.</w:t>
                  </w:r>
                  <w:r>
                    <w:rPr>
                      <w:sz w:val="20"/>
                    </w:rPr>
                    <w:t>8</w:t>
                  </w:r>
                  <w:r>
                    <w:rPr>
                      <w:sz w:val="20"/>
                    </w:rPr>
                    <w:t>m，加两侧延伸部分，总面积≥200㎡，舞台高度≥0.6m~1.2m可调，常规高度0.8m；</w:t>
                  </w:r>
                </w:p>
                <w:p>
                  <w:pPr>
                    <w:pStyle w:val="null3"/>
                    <w:jc w:val="both"/>
                  </w:pPr>
                  <w:r>
                    <w:rPr>
                      <w:sz w:val="20"/>
                    </w:rPr>
                    <w:t>2.结构材质：舞台面板采用≥15mm 厚多层防滑胶合板，表面防滑耐磨处理，承载力≥400kg/㎡；支架采用 6061-T6铝合金材质，壁厚≥1.5mm，单根支架承重≥150kg；</w:t>
                  </w:r>
                </w:p>
                <w:p>
                  <w:pPr>
                    <w:pStyle w:val="null3"/>
                    <w:jc w:val="both"/>
                  </w:pPr>
                  <w:r>
                    <w:rPr>
                      <w:sz w:val="20"/>
                    </w:rPr>
                    <w:t>3.适配性：拼装式模块化结构，拆装便捷，标配专用连接件、支撑脚、可调脚垫，舞台边缘带防滑护边，适配临时搭建拆卸；</w:t>
                  </w:r>
                </w:p>
                <w:p>
                  <w:pPr>
                    <w:pStyle w:val="null3"/>
                    <w:jc w:val="both"/>
                  </w:pPr>
                  <w:r>
                    <w:rPr>
                      <w:sz w:val="20"/>
                    </w:rPr>
                    <w:t>4.安全合规：结构稳定性符合GB/T 26949-2011标准，铝合金支架阳极氧化防腐处理，舞台面板防水、防滑、耐磨</w:t>
                  </w:r>
                  <w:r>
                    <w:rPr>
                      <w:sz w:val="20"/>
                    </w:rPr>
                    <w:t>。</w:t>
                  </w:r>
                </w:p>
              </w:tc>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200</w:t>
                  </w:r>
                </w:p>
              </w:tc>
            </w:tr>
            <w:tr>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舞台地毯</w:t>
                  </w:r>
                </w:p>
              </w:tc>
              <w:tc>
                <w:tcPr>
                  <w:tcW w:type="dxa" w:w="4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阻燃舞台地毯</w:t>
                  </w:r>
                </w:p>
              </w:tc>
              <w:tc>
                <w:tcPr>
                  <w:tcW w:type="dxa" w:w="433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1.材质规格：丙纶材质，簇绒结构，绒高≥5mm，克重≥600g/㎡，厚度≥6mm；</w:t>
                  </w:r>
                </w:p>
                <w:p>
                  <w:pPr>
                    <w:pStyle w:val="null3"/>
                    <w:jc w:val="both"/>
                  </w:pPr>
                  <w:r>
                    <w:rPr>
                      <w:sz w:val="20"/>
                    </w:rPr>
                    <w:t>2.性能指标：阻燃性能达到B1级标准，防火、防污、防滑、耐磨，可重复使用；</w:t>
                  </w:r>
                </w:p>
                <w:p>
                  <w:pPr>
                    <w:pStyle w:val="null3"/>
                    <w:jc w:val="both"/>
                  </w:pPr>
                  <w:r>
                    <w:rPr>
                      <w:sz w:val="20"/>
                    </w:rPr>
                    <w:t>3.适配性：颜色均匀，无色差，无掉毛、无起球，平整度≤2mm/㎡，适配舞台、展台铺设，可快速裁剪、铺设、回收；</w:t>
                  </w:r>
                </w:p>
                <w:p>
                  <w:pPr>
                    <w:pStyle w:val="null3"/>
                    <w:jc w:val="both"/>
                  </w:pPr>
                  <w:r>
                    <w:rPr>
                      <w:sz w:val="20"/>
                    </w:rPr>
                    <w:t>4.使用环境：工作温度-10℃~40℃，防潮、防霉，适配短期临时使用</w:t>
                  </w:r>
                  <w:r>
                    <w:rPr>
                      <w:sz w:val="20"/>
                    </w:rPr>
                    <w:t>。</w:t>
                  </w:r>
                </w:p>
              </w:tc>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250（在用）</w:t>
                  </w:r>
                </w:p>
              </w:tc>
            </w:tr>
            <w:tr>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舞台阶梯</w:t>
                  </w:r>
                </w:p>
              </w:tc>
              <w:tc>
                <w:tcPr>
                  <w:tcW w:type="dxa" w:w="4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铝合金舞台阶梯</w:t>
                  </w:r>
                </w:p>
              </w:tc>
              <w:tc>
                <w:tcPr>
                  <w:tcW w:type="dxa" w:w="433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1.规格尺寸：单组长度≥2.44m（6组），阶梯高度 0.2m~0.3m 可调，阶梯宽度≥1.2m，适配舞台高度；</w:t>
                  </w:r>
                </w:p>
                <w:p>
                  <w:pPr>
                    <w:pStyle w:val="null3"/>
                    <w:jc w:val="both"/>
                  </w:pPr>
                  <w:r>
                    <w:rPr>
                      <w:sz w:val="20"/>
                    </w:rPr>
                    <w:t>2.结构材质：踏步板采用≥12mm 厚防滑胶合板，表面防滑处理，承载力≥300kg/㎡；支架采用6061-T6铝合金材质，壁厚≥1.5mm，结构稳固；</w:t>
                  </w:r>
                </w:p>
                <w:p>
                  <w:pPr>
                    <w:pStyle w:val="null3"/>
                    <w:jc w:val="both"/>
                  </w:pPr>
                  <w:r>
                    <w:rPr>
                      <w:sz w:val="20"/>
                    </w:rPr>
                    <w:t>3.适配性：拼装式模块化结构，拆装便捷，标配扶手、防滑条、支撑脚、可调脚垫，适配临时搭建拆卸；</w:t>
                  </w:r>
                </w:p>
                <w:p>
                  <w:pPr>
                    <w:pStyle w:val="null3"/>
                    <w:jc w:val="both"/>
                  </w:pPr>
                  <w:r>
                    <w:rPr>
                      <w:sz w:val="20"/>
                    </w:rPr>
                    <w:t>4.安全合规：结构稳定性符合舞台安全行业标准，铝合金支架阳极氧化防腐处理，踏步板防水、防滑、耐磨</w:t>
                  </w:r>
                  <w:r>
                    <w:rPr>
                      <w:sz w:val="20"/>
                    </w:rPr>
                    <w:t>。</w:t>
                  </w:r>
                </w:p>
              </w:tc>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w:t>
                  </w:r>
                </w:p>
              </w:tc>
            </w:tr>
            <w:tr>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舞台遮黑幕布</w:t>
                  </w:r>
                </w:p>
              </w:tc>
              <w:tc>
                <w:tcPr>
                  <w:tcW w:type="dxa" w:w="4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阻燃丝绒幕布</w:t>
                  </w:r>
                </w:p>
              </w:tc>
              <w:tc>
                <w:tcPr>
                  <w:tcW w:type="dxa" w:w="433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1.材质规格：100% 涤纶丝绒材质，克重≥250g/㎡，厚度≥0.4mm，绒面平整，无倒毛、无起球；</w:t>
                  </w:r>
                </w:p>
                <w:p>
                  <w:pPr>
                    <w:pStyle w:val="null3"/>
                    <w:jc w:val="both"/>
                  </w:pPr>
                  <w:r>
                    <w:rPr>
                      <w:sz w:val="20"/>
                    </w:rPr>
                    <w:t>2.性能指标：遮光率≥99%，遮黑效果好，阻燃性能达到B1级标准，防火、防污、耐磨，可重复使用；</w:t>
                  </w:r>
                </w:p>
                <w:p>
                  <w:pPr>
                    <w:pStyle w:val="null3"/>
                    <w:jc w:val="both"/>
                  </w:pPr>
                  <w:r>
                    <w:rPr>
                      <w:sz w:val="20"/>
                    </w:rPr>
                    <w:t>3.适配性：适配舞台桁架安装，高度≥6m，宽度适配桁架长度，标配专用挂钩、配重条，安装便捷，可快速搭建、回收；</w:t>
                  </w:r>
                </w:p>
                <w:p>
                  <w:pPr>
                    <w:pStyle w:val="null3"/>
                    <w:jc w:val="both"/>
                  </w:pPr>
                  <w:r>
                    <w:rPr>
                      <w:sz w:val="20"/>
                    </w:rPr>
                    <w:t>4.使用环境：工作温度-10℃~40℃，防潮、防霉，适配舞台背景、侧幕、顶幕遮黑使用</w:t>
                  </w:r>
                  <w:r>
                    <w:rPr>
                      <w:sz w:val="20"/>
                    </w:rPr>
                    <w:t>。</w:t>
                  </w:r>
                </w:p>
              </w:tc>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2（在用）</w:t>
                  </w:r>
                </w:p>
              </w:tc>
            </w:tr>
            <w:tr>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舞台主题造型板</w:t>
                  </w:r>
                </w:p>
              </w:tc>
              <w:tc>
                <w:tcPr>
                  <w:tcW w:type="dxa" w:w="4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PVC 发泡板造型板</w:t>
                  </w:r>
                </w:p>
              </w:tc>
              <w:tc>
                <w:tcPr>
                  <w:tcW w:type="dxa" w:w="433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1.材质规格：≥5mm厚PVC发泡板，密度≥0.5g/cm³，表面光滑平整，无划痕、无变形；</w:t>
                  </w:r>
                </w:p>
                <w:p>
                  <w:pPr>
                    <w:pStyle w:val="null3"/>
                    <w:jc w:val="both"/>
                  </w:pPr>
                  <w:r>
                    <w:rPr>
                      <w:sz w:val="20"/>
                    </w:rPr>
                    <w:t>2.尺寸规格：总尺寸≥12.2m×1.22m，斜面造型，支持雕刻、UV 印刷、喷绘，适配舞台主题造型、背景装饰；</w:t>
                  </w:r>
                </w:p>
                <w:p>
                  <w:pPr>
                    <w:pStyle w:val="null3"/>
                    <w:jc w:val="both"/>
                  </w:pPr>
                  <w:r>
                    <w:rPr>
                      <w:sz w:val="20"/>
                    </w:rPr>
                    <w:t>3.适配性：防水、防潮、防腐蚀，可重复使用，拆装便捷，标配专用安装配件，可与舞台桁架、舞台结构固定，安装稳固；</w:t>
                  </w:r>
                </w:p>
                <w:p>
                  <w:pPr>
                    <w:pStyle w:val="null3"/>
                    <w:jc w:val="both"/>
                  </w:pPr>
                  <w:r>
                    <w:rPr>
                      <w:sz w:val="20"/>
                    </w:rPr>
                    <w:t>4.符合 PVC 板材行业标准</w:t>
                  </w:r>
                  <w:r>
                    <w:rPr>
                      <w:sz w:val="20"/>
                    </w:rPr>
                    <w:t>。</w:t>
                  </w:r>
                </w:p>
              </w:tc>
              <w:tc>
                <w:tcPr>
                  <w:tcW w:type="dxa" w:w="4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15</w:t>
                  </w:r>
                </w:p>
              </w:tc>
            </w:tr>
          </w:tbl>
          <w:p>
            <w:pPr>
              <w:pStyle w:val="null3"/>
              <w:spacing w:before="150"/>
              <w:jc w:val="left"/>
            </w:pPr>
            <w:r>
              <w:rPr>
                <w:sz w:val="20"/>
                <w:b/>
              </w:rPr>
              <w:t>（</w:t>
            </w:r>
            <w:r>
              <w:rPr>
                <w:sz w:val="20"/>
                <w:b/>
              </w:rPr>
              <w:t>五</w:t>
            </w:r>
            <w:r>
              <w:rPr>
                <w:sz w:val="20"/>
                <w:b/>
              </w:rPr>
              <w:t>）</w:t>
            </w:r>
            <w:r>
              <w:rPr>
                <w:sz w:val="20"/>
                <w:b/>
              </w:rPr>
              <w:t>场景专属交付与服务要求</w:t>
            </w:r>
          </w:p>
          <w:p>
            <w:pPr>
              <w:pStyle w:val="null3"/>
              <w:jc w:val="both"/>
            </w:pPr>
            <w:r>
              <w:rPr>
                <w:sz w:val="20"/>
              </w:rPr>
              <w:t>1.</w:t>
            </w:r>
            <w:r>
              <w:rPr>
                <w:sz w:val="20"/>
              </w:rPr>
              <w:t>设备交付：所有设备需在活动前</w:t>
            </w:r>
            <w:r>
              <w:rPr>
                <w:sz w:val="20"/>
              </w:rPr>
              <w:t>1天完成现场搭建、安装、调试，确保活动当天可直接使用；活动结束后1天内完成拆除、回收。</w:t>
            </w:r>
          </w:p>
          <w:p>
            <w:pPr>
              <w:pStyle w:val="null3"/>
              <w:jc w:val="both"/>
            </w:pPr>
            <w:r>
              <w:rPr>
                <w:sz w:val="20"/>
              </w:rPr>
              <w:t>2.</w:t>
            </w:r>
            <w:r>
              <w:rPr>
                <w:sz w:val="20"/>
              </w:rPr>
              <w:t>人员配套：需配备专业音响师、灯光师、视频工程师、搭建工人，全程驻场配合活动执行，负责设备操作、应急调试、故障处理。</w:t>
            </w:r>
          </w:p>
          <w:p>
            <w:pPr>
              <w:pStyle w:val="null3"/>
              <w:jc w:val="both"/>
            </w:pPr>
            <w:r>
              <w:rPr>
                <w:sz w:val="20"/>
              </w:rPr>
              <w:t>3.</w:t>
            </w:r>
            <w:r>
              <w:rPr>
                <w:sz w:val="20"/>
              </w:rPr>
              <w:t>应急保障：核心设备（调音台、灯控台、处理器、功放）需提供同型号备用设备驻场，出现故障可</w:t>
            </w:r>
            <w:r>
              <w:rPr>
                <w:sz w:val="20"/>
              </w:rPr>
              <w:t>10分钟内完成更换；易损件（话筒电池、保险丝、信号线）需提供足量备用。</w:t>
            </w:r>
          </w:p>
          <w:p>
            <w:pPr>
              <w:pStyle w:val="null3"/>
              <w:jc w:val="both"/>
            </w:pPr>
            <w:r>
              <w:rPr>
                <w:sz w:val="20"/>
              </w:rPr>
              <w:t>4.</w:t>
            </w:r>
            <w:r>
              <w:rPr>
                <w:sz w:val="20"/>
              </w:rPr>
              <w:t>设备完好度：设备需确保外观完好、功能正常，无破损、故障，符合安全使用标准；活动结束后，非人为损坏的设备故障，由</w:t>
            </w:r>
            <w:r>
              <w:rPr>
                <w:sz w:val="20"/>
              </w:rPr>
              <w:t>中标人</w:t>
            </w:r>
            <w:r>
              <w:rPr>
                <w:sz w:val="20"/>
              </w:rPr>
              <w:t>承担维修责任。</w:t>
            </w:r>
          </w:p>
          <w:p>
            <w:pPr>
              <w:pStyle w:val="null3"/>
              <w:jc w:val="both"/>
            </w:pPr>
            <w:r>
              <w:rPr>
                <w:sz w:val="20"/>
              </w:rPr>
              <w:t>5.</w:t>
            </w:r>
            <w:r>
              <w:rPr>
                <w:sz w:val="20"/>
              </w:rPr>
              <w:t>合规承诺：所有设备需符合国家相关产品质量、安全标准，提供合法合规的产品资质，确保活动场地消防、安全检查通过。</w:t>
            </w:r>
          </w:p>
          <w:p>
            <w:pPr>
              <w:pStyle w:val="null3"/>
              <w:jc w:val="both"/>
            </w:pPr>
            <w:r>
              <w:rPr>
                <w:b/>
              </w:rPr>
              <w:t>四</w:t>
            </w:r>
            <w:r>
              <w:rPr>
                <w:b/>
              </w:rPr>
              <w:t>、服务要求</w:t>
            </w:r>
          </w:p>
          <w:p>
            <w:pPr>
              <w:pStyle w:val="null3"/>
              <w:jc w:val="both"/>
            </w:pPr>
            <w:r>
              <w:rPr/>
              <w:t>1.由中标人负责本项目赛事接待服务（清单详见第一项）、宣传及物料设计制作（清单详见第二项）相关工作，并制定。</w:t>
            </w:r>
          </w:p>
          <w:p>
            <w:pPr>
              <w:pStyle w:val="null3"/>
              <w:jc w:val="both"/>
            </w:pPr>
            <w:r>
              <w:rPr/>
              <w:t>2.中标人需全面负责决赛阶段的策划执行工作，在策划过程中与</w:t>
            </w:r>
            <w:r>
              <w:rPr/>
              <w:t>采购人进行沟通，待采购人确认后再进入执行工作；</w:t>
            </w:r>
            <w:r>
              <w:rPr/>
              <w:t>中标人需做好决赛全流程衔接工作，确保赛事按执行计划顺利开展。</w:t>
            </w:r>
          </w:p>
          <w:p>
            <w:pPr>
              <w:pStyle w:val="null3"/>
              <w:jc w:val="both"/>
            </w:pPr>
            <w:r>
              <w:rPr/>
              <w:t>3.中标人应组建专业的统筹团队，负责整体项目的沟通与协调，统筹团队应由具有相关工作经验的人员担当。</w:t>
            </w:r>
          </w:p>
          <w:p>
            <w:pPr>
              <w:pStyle w:val="null3"/>
              <w:jc w:val="both"/>
            </w:pPr>
            <w:r>
              <w:rPr/>
              <w:t>3.中标人在提供服务过程中涉及第三方知识产权的，应当告知采购人详细情况，并提交第三方对中标人的授权或其他证明材料，保证未侵犯任何单位和个人的知识产权。</w:t>
            </w:r>
          </w:p>
          <w:p>
            <w:pPr>
              <w:pStyle w:val="null3"/>
              <w:jc w:val="both"/>
            </w:pPr>
            <w:r>
              <w:rPr/>
              <w:t>4.中标人提供给采购人的方案、资料等不得涉及敏感性内容，不得违反国家法律法规及相关规定。</w:t>
            </w:r>
          </w:p>
          <w:p>
            <w:pPr>
              <w:pStyle w:val="null3"/>
              <w:jc w:val="both"/>
            </w:pPr>
            <w:r>
              <w:rPr/>
              <w:t>5.中标人在服务过程中遇到涉及人身安全、设备故障等紧急情况的，应第一时间告知采购人并及时采取应对措施。</w:t>
            </w:r>
          </w:p>
          <w:p>
            <w:pPr>
              <w:pStyle w:val="null3"/>
              <w:jc w:val="both"/>
            </w:pPr>
            <w:r>
              <w:rPr/>
              <w:t>6.中标人应妥善使用采购人提供的场地、设施，如因中标人操作不当、擅自改建、改变使用功能等原因造成采购人损失的，由中标人负责赔偿。中标人不得在活动组织过程中进行任何形式的经营活动。</w:t>
            </w:r>
          </w:p>
          <w:p>
            <w:pPr>
              <w:pStyle w:val="null3"/>
              <w:jc w:val="both"/>
            </w:pPr>
            <w:r>
              <w:rPr/>
              <w:t>7.中标人应确保活动期间由中标人安排的住宿、交通、餐饮等方面的安全、卫生，保障参与人员的人身和财产安全。因中标人组织不当等原因导致参与人员受到人身伤害或财产损失的，中标人负责妥善处理并承担赔偿责任。</w:t>
            </w:r>
          </w:p>
          <w:p>
            <w:pPr>
              <w:pStyle w:val="null3"/>
              <w:jc w:val="both"/>
            </w:pPr>
            <w:r>
              <w:rPr/>
              <w:t>8.中标人负责活动现场的清理善后工作。</w:t>
            </w:r>
          </w:p>
          <w:p>
            <w:pPr>
              <w:pStyle w:val="null3"/>
              <w:jc w:val="both"/>
            </w:pPr>
            <w:r>
              <w:rPr>
                <w:sz w:val="21"/>
              </w:rPr>
              <w:t>9.</w:t>
            </w:r>
            <w:r>
              <w:rPr>
                <w:sz w:val="21"/>
              </w:rPr>
              <w:t>项目实施过程中，如需双方现场协商的，在接到采购人书面或电话通知后，项目负责人在</w:t>
            </w:r>
            <w:r>
              <w:rPr>
                <w:sz w:val="21"/>
              </w:rPr>
              <w:t>2小时内到达采购人指定现场并及时解决问题</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华南师范大学附属中学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采购包1：保证金人民币30000.0元整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 （1）以项目预算金额作为代理服务费的计算基数； （2）代理服务费采用差额定率累进法进行计算，按照以下标准计取： 100万元以下的部分，按照1.5%计取； 100-500万元的部分，按照0.8%计取。 （3）增值税另行计入代理服务费中。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中国数学奥林匹克竞赛决赛活动配套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采购包1（2026年中国数学奥林匹克竞赛决赛活动配套服务）：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采购包1（2026年中国数学奥林匹克竞赛决赛活动配套服务）：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采购包1（2026年中国数学奥林匹克竞赛决赛活动配套服务）：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采购包1(2026年中国数学奥林匹克竞赛决赛活动配套服务):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对项目整体的理解程度 (10.0分)</w:t>
            </w:r>
          </w:p>
        </w:tc>
        <w:tc>
          <w:tcPr>
            <w:tcW w:type="dxa" w:w="5076"/>
          </w:tcPr>
          <w:p>
            <w:pPr>
              <w:pStyle w:val="null3"/>
              <w:jc w:val="left"/>
            </w:pPr>
            <w:r>
              <w:rPr/>
              <w:t>根据投标人对项目整体的理解程度（包括但不限于需求分析及理解、针对本项目提出的合理化建议等）进行评审： 需求分析到位、理解充分，能针对本项目提出合理的建议，得10分； 需求分析较到位、理解较充分，能针对本项目提出较合理的建议，得6分； 需求分析基本到位、理解基本充分，能针对本项目提出建议，得2分； 不提供不得分。</w:t>
            </w:r>
          </w:p>
        </w:tc>
      </w:tr>
      <w:tr>
        <w:tc>
          <w:tcPr>
            <w:tcW w:type="dxa" w:w="922"/>
            <w:gridSpan w:val="2"/>
            <w:vMerge/>
          </w:tcPr>
          <w:p/>
        </w:tc>
        <w:tc>
          <w:tcPr>
            <w:tcW w:type="dxa" w:w="2307"/>
          </w:tcPr>
          <w:p>
            <w:pPr>
              <w:pStyle w:val="null3"/>
              <w:jc w:val="left"/>
            </w:pPr>
            <w:r>
              <w:rPr/>
              <w:t>赛事接待服务方案 (10.0分)</w:t>
            </w:r>
          </w:p>
        </w:tc>
        <w:tc>
          <w:tcPr>
            <w:tcW w:type="dxa" w:w="5076"/>
          </w:tcPr>
          <w:p>
            <w:pPr>
              <w:pStyle w:val="null3"/>
              <w:jc w:val="left"/>
            </w:pPr>
            <w:r>
              <w:rPr/>
              <w:t>根据投标人对赛事接待服务方案（包括但不限于住宿安排、用餐安排、用车安排、人员接待安排、保险购买方案等）进行评审： 方案内容完整详细、合理可行、具有针对性，得10分； 方案内容较完整详细、较合理可行、具有针对性，得6分； 方案内容基本完整详细、基本合理可行、针对性欠缺，得2分； 不提供不得分。</w:t>
            </w:r>
          </w:p>
        </w:tc>
      </w:tr>
      <w:tr>
        <w:tc>
          <w:tcPr>
            <w:tcW w:type="dxa" w:w="922"/>
            <w:gridSpan w:val="2"/>
            <w:vMerge/>
          </w:tcPr>
          <w:p/>
        </w:tc>
        <w:tc>
          <w:tcPr>
            <w:tcW w:type="dxa" w:w="2307"/>
          </w:tcPr>
          <w:p>
            <w:pPr>
              <w:pStyle w:val="null3"/>
              <w:jc w:val="left"/>
            </w:pPr>
            <w:r>
              <w:rPr/>
              <w:t>宣传及物料设计制作方案 (10.0分)</w:t>
            </w:r>
          </w:p>
        </w:tc>
        <w:tc>
          <w:tcPr>
            <w:tcW w:type="dxa" w:w="5076"/>
          </w:tcPr>
          <w:p>
            <w:pPr>
              <w:pStyle w:val="null3"/>
              <w:jc w:val="left"/>
            </w:pPr>
            <w:r>
              <w:rPr/>
              <w:t>根据投标人对宣传及物料设计制作方案（包括但不限于创意设计思路、氛围及宣传物料制作思路、摄影安排、活动统筹方案、开闭幕式舞台及现场搭建方案等）进行评审： 方案内容完整详细、合理可行、具有针对性，初步效果图完整、符合本项目需求，得10分； 方案内容较完整详细、较合理可行、具有针对性，初步效果图较完整、较符合本项目需求，得6分； 方案内容基本完整详细、基本合理可行、针对性欠缺，初步效果图基本完整、基本符合本项目需求，得2分； 不提供不得分。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根据投标人对项目实施方案（包括但不限于团队组成及分工方案、突发事件应急预案等）进行评审： 方案内容完整详细、合理可行、具有针对性，得10分； 方案内容较完整详细、较合理可行、具有针对性，得6分； 方案内容基本完整详细、基本合理可行、针对性欠缺，得2分； 不提供不得分。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根据投标人对质量保证措施（包括但不限于安全保障措施、服务质量保障措施等）进行评审： 方案内容完整详细、合理可行、具有针对性，得10分； 方案内容较完整详细、较合理可行、具有针对性，得6分； 方案内容基本完整详细、基本合理可行、针对性欠缺，得2分； 不提供不得分。</w:t>
            </w:r>
          </w:p>
        </w:tc>
      </w:tr>
      <w:tr>
        <w:tc>
          <w:tcPr>
            <w:tcW w:type="dxa" w:w="922"/>
            <w:gridSpan w:val="2"/>
            <w:vMerge/>
          </w:tcPr>
          <w:p/>
        </w:tc>
        <w:tc>
          <w:tcPr>
            <w:tcW w:type="dxa" w:w="2307"/>
          </w:tcPr>
          <w:p>
            <w:pPr>
              <w:pStyle w:val="null3"/>
              <w:jc w:val="left"/>
            </w:pPr>
            <w:r>
              <w:rPr/>
              <w:t>工作进度保证方案 (10.0分)</w:t>
            </w:r>
          </w:p>
        </w:tc>
        <w:tc>
          <w:tcPr>
            <w:tcW w:type="dxa" w:w="5076"/>
          </w:tcPr>
          <w:p>
            <w:pPr>
              <w:pStyle w:val="null3"/>
              <w:jc w:val="left"/>
            </w:pPr>
            <w:r>
              <w:rPr/>
              <w:t>根据投标人对工作进度保障措施（包括但不限于工作进度安排、进度保障措施等）进行评审： 方案内容完整详细、合理可行、具有针对性，得10分； 方案内容较完整详细、较合理可行、具有针对性，得6分； 方案内容基本完整详细、基本合理可行、针对性欠缺，得2分； 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2023年1月1日至今（以合同签订时间为准），投标人承担过的同类项目业绩，每个得2分，最高得10分。 注：须提供业绩的合同复印件，不提供或无法认定的不得分。</w:t>
            </w:r>
          </w:p>
        </w:tc>
      </w:tr>
      <w:tr>
        <w:tc>
          <w:tcPr>
            <w:tcW w:type="dxa" w:w="922"/>
            <w:gridSpan w:val="2"/>
            <w:vMerge/>
          </w:tcPr>
          <w:p/>
        </w:tc>
        <w:tc>
          <w:tcPr>
            <w:tcW w:type="dxa" w:w="2307"/>
          </w:tcPr>
          <w:p>
            <w:pPr>
              <w:pStyle w:val="null3"/>
              <w:jc w:val="left"/>
            </w:pPr>
            <w:r>
              <w:rPr/>
              <w:t>客户满意度评价 (5.0分)</w:t>
            </w:r>
          </w:p>
        </w:tc>
        <w:tc>
          <w:tcPr>
            <w:tcW w:type="dxa" w:w="5076"/>
          </w:tcPr>
          <w:p>
            <w:pPr>
              <w:pStyle w:val="null3"/>
              <w:jc w:val="left"/>
            </w:pPr>
            <w:r>
              <w:rPr/>
              <w:t>投标人提供的上述“同类项目业绩”中有效业绩，具有甲方出具的“满意”或“优”或“百分制90分或以上”等同等满意度评价，得1分，最高得5分。 注：提供甲方出具的满意度评价证明文件复印件，不提供或无法认定的不得分。</w:t>
            </w:r>
          </w:p>
        </w:tc>
      </w:tr>
      <w:tr>
        <w:tc>
          <w:tcPr>
            <w:tcW w:type="dxa" w:w="922"/>
            <w:gridSpan w:val="2"/>
            <w:vMerge/>
          </w:tcPr>
          <w:p/>
        </w:tc>
        <w:tc>
          <w:tcPr>
            <w:tcW w:type="dxa" w:w="2307"/>
          </w:tcPr>
          <w:p>
            <w:pPr>
              <w:pStyle w:val="null3"/>
              <w:jc w:val="left"/>
            </w:pPr>
            <w:r>
              <w:rPr/>
              <w:t>项目组成员 (12.0分)</w:t>
            </w:r>
          </w:p>
        </w:tc>
        <w:tc>
          <w:tcPr>
            <w:tcW w:type="dxa" w:w="5076"/>
          </w:tcPr>
          <w:p>
            <w:pPr>
              <w:pStyle w:val="null3"/>
              <w:jc w:val="left"/>
            </w:pPr>
            <w:r>
              <w:rPr/>
              <w:t>投标人拟投入本项目的项目组成员： 自2023年1月1日以来具有竞赛活动配套服务经验的，每投入一人得2分，最高得12分。 注：提供上述人员的简历表（包括但不限于姓名、年龄、从业的年限、竞赛经验的证明文件复印件），以及在投标人单位任职的证明材料（如加盖所在地区政府有关部门印章的缴纳日期在本项目投标截止日之前三个月以内任一月的《投保单》或《社会保险参保人员证明》等）；未按要求提供或无法认定的不得分。</w:t>
            </w:r>
          </w:p>
        </w:tc>
      </w:tr>
      <w:tr>
        <w:tc>
          <w:tcPr>
            <w:tcW w:type="dxa" w:w="922"/>
            <w:gridSpan w:val="2"/>
            <w:vMerge/>
          </w:tcPr>
          <w:p/>
        </w:tc>
        <w:tc>
          <w:tcPr>
            <w:tcW w:type="dxa" w:w="2307"/>
          </w:tcPr>
          <w:p>
            <w:pPr>
              <w:pStyle w:val="null3"/>
              <w:jc w:val="left"/>
            </w:pPr>
            <w:r>
              <w:rPr/>
              <w:t>服务响应能力 (3.0分)</w:t>
            </w:r>
          </w:p>
        </w:tc>
        <w:tc>
          <w:tcPr>
            <w:tcW w:type="dxa" w:w="5076"/>
          </w:tcPr>
          <w:p>
            <w:pPr>
              <w:pStyle w:val="null3"/>
              <w:jc w:val="left"/>
            </w:pPr>
            <w:r>
              <w:rPr/>
              <w:t>投标人承诺（格式自拟）：项目实施过程中，如需双方现场协商的，在接到采购人书面或电话通知后，项目负责人在2小时内到达采购人指定现场并及时解决问题。 满足上述要要求的得3分。不满足或不提供或无法认定的不得分。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华南师范大学附属中学</w:t>
      </w:r>
    </w:p>
    <w:p>
      <w:pPr>
        <w:pStyle w:val="null3"/>
        <w:jc w:val="center"/>
      </w:pPr>
      <w:r>
        <w:rPr>
          <w:sz w:val="32"/>
          <w:b/>
        </w:rPr>
        <w:t>服务合同</w:t>
      </w:r>
      <w:r>
        <w:rPr>
          <w:sz w:val="32"/>
          <w:b/>
        </w:rPr>
        <w:t>-</w:t>
      </w:r>
      <w:r>
        <w:rPr>
          <w:sz w:val="32"/>
          <w:b/>
        </w:rPr>
        <w:t>活动类（试行）</w:t>
      </w:r>
    </w:p>
    <w:p>
      <w:pPr>
        <w:pStyle w:val="null3"/>
        <w:spacing w:before="315" w:after="150"/>
        <w:jc w:val="both"/>
      </w:pPr>
      <w:r>
        <w:rPr>
          <w:sz w:val="21"/>
          <w:b/>
        </w:rPr>
        <w:t>范本编号：</w:t>
      </w:r>
      <w:r>
        <w:rPr>
          <w:sz w:val="21"/>
          <w:b/>
        </w:rPr>
        <w:t xml:space="preserve">HF202110-G2                            </w:t>
      </w:r>
      <w:r>
        <w:rPr>
          <w:sz w:val="21"/>
          <w:b/>
        </w:rPr>
        <w:t xml:space="preserve">合同编号：      </w:t>
      </w:r>
    </w:p>
    <w:p>
      <w:pPr>
        <w:pStyle w:val="null3"/>
      </w:pPr>
      <w:r>
        <w:rPr>
          <w:sz w:val="21"/>
        </w:rPr>
        <w:t>甲方：华南师范大学附属中学</w:t>
      </w:r>
    </w:p>
    <w:p>
      <w:pPr>
        <w:pStyle w:val="null3"/>
      </w:pPr>
      <w:r>
        <w:rPr>
          <w:sz w:val="21"/>
        </w:rPr>
        <w:t>法定代表人：</w:t>
      </w:r>
      <w:r>
        <w:rPr>
          <w:sz w:val="21"/>
        </w:rPr>
        <w:t>彭斌</w:t>
      </w:r>
    </w:p>
    <w:p>
      <w:pPr>
        <w:pStyle w:val="null3"/>
      </w:pPr>
      <w:r>
        <w:rPr>
          <w:sz w:val="21"/>
        </w:rPr>
        <w:t>地址：广州市天河区石牌中山大道西</w:t>
      </w:r>
      <w:r>
        <w:rPr>
          <w:sz w:val="21"/>
        </w:rPr>
        <w:t>1号</w:t>
      </w:r>
    </w:p>
    <w:p>
      <w:pPr>
        <w:pStyle w:val="null3"/>
      </w:pPr>
      <w:r>
        <w:rPr>
          <w:sz w:val="21"/>
        </w:rPr>
        <w:t>合同联系人：</w:t>
      </w:r>
    </w:p>
    <w:p>
      <w:pPr>
        <w:pStyle w:val="null3"/>
      </w:pPr>
      <w:r>
        <w:rPr>
          <w:sz w:val="21"/>
        </w:rPr>
        <w:t>联系方式：</w:t>
      </w:r>
    </w:p>
    <w:p>
      <w:pPr>
        <w:pStyle w:val="null3"/>
        <w:ind w:left="345"/>
      </w:pPr>
      <w:r>
        <w:rPr>
          <w:sz w:val="21"/>
        </w:rPr>
        <w:t>乙方：</w:t>
      </w:r>
    </w:p>
    <w:p>
      <w:pPr>
        <w:pStyle w:val="null3"/>
      </w:pPr>
      <w:r>
        <w:rPr>
          <w:sz w:val="21"/>
        </w:rPr>
        <w:t>法定代表人：</w:t>
      </w:r>
    </w:p>
    <w:p>
      <w:pPr>
        <w:pStyle w:val="null3"/>
      </w:pPr>
      <w:r>
        <w:rPr>
          <w:sz w:val="21"/>
        </w:rPr>
        <w:t>地址：</w:t>
      </w:r>
    </w:p>
    <w:p>
      <w:pPr>
        <w:pStyle w:val="null3"/>
      </w:pPr>
      <w:r>
        <w:rPr>
          <w:sz w:val="21"/>
        </w:rPr>
        <w:t>合同联系人：</w:t>
      </w:r>
    </w:p>
    <w:p>
      <w:pPr>
        <w:pStyle w:val="null3"/>
      </w:pPr>
      <w:r>
        <w:rPr>
          <w:sz w:val="21"/>
        </w:rPr>
        <w:t>联系方式：</w:t>
      </w:r>
    </w:p>
    <w:p>
      <w:pPr>
        <w:pStyle w:val="null3"/>
        <w:jc w:val="both"/>
      </w:pPr>
      <w:r>
        <w:rPr>
          <w:sz w:val="21"/>
          <w:color w:val="000000"/>
        </w:rPr>
        <w:t>甲乙双方根据《中华人民共和国民法典》及相关法律法规的规定，本着平等、自愿、公平和诚实信用的原则，就甲方委托乙方提供</w:t>
      </w:r>
      <w:r>
        <w:rPr>
          <w:sz w:val="21"/>
          <w:u w:val="single"/>
        </w:rPr>
        <w:t>2026</w:t>
      </w:r>
      <w:r>
        <w:rPr>
          <w:sz w:val="21"/>
          <w:u w:val="single"/>
        </w:rPr>
        <w:t>年中国数学奥林匹克竞赛决赛活动配套服务</w:t>
      </w:r>
      <w:r>
        <w:rPr>
          <w:sz w:val="21"/>
          <w:color w:val="000000"/>
        </w:rPr>
        <w:t>的相关事宜协商一致并达成如下合同条款，以资共同遵守。</w:t>
      </w:r>
    </w:p>
    <w:p>
      <w:pPr>
        <w:pStyle w:val="null3"/>
        <w:ind w:left="345"/>
      </w:pPr>
      <w:r>
        <w:rPr>
          <w:sz w:val="21"/>
          <w:b/>
        </w:rPr>
        <w:t>第</w:t>
      </w:r>
      <w:r>
        <w:rPr>
          <w:sz w:val="21"/>
          <w:b/>
        </w:rPr>
        <w:t>一</w:t>
      </w:r>
      <w:r>
        <w:rPr>
          <w:sz w:val="21"/>
          <w:b/>
        </w:rPr>
        <w:t>条、服务</w:t>
      </w:r>
      <w:r>
        <w:rPr>
          <w:sz w:val="21"/>
          <w:b/>
        </w:rPr>
        <w:t>内容</w:t>
      </w:r>
    </w:p>
    <w:p>
      <w:pPr>
        <w:pStyle w:val="null3"/>
        <w:ind w:firstLine="420"/>
        <w:jc w:val="both"/>
      </w:pPr>
      <w:r>
        <w:rPr>
          <w:sz w:val="21"/>
        </w:rPr>
        <w:t>（一）服务名称：</w:t>
      </w:r>
      <w:r>
        <w:rPr>
          <w:sz w:val="21"/>
          <w:u w:val="single"/>
        </w:rPr>
        <w:t>2026年中国数学奥林匹克竞赛决赛活动配套服务</w:t>
      </w:r>
    </w:p>
    <w:p>
      <w:pPr>
        <w:pStyle w:val="null3"/>
        <w:ind w:firstLine="420"/>
        <w:jc w:val="both"/>
      </w:pPr>
      <w:r>
        <w:rPr>
          <w:sz w:val="21"/>
        </w:rPr>
        <w:t>（二）服务时间：自</w:t>
      </w:r>
      <w:r>
        <w:rPr>
          <w:u w:val="single"/>
        </w:rPr>
        <w:t xml:space="preserve">         </w:t>
      </w:r>
      <w:r>
        <w:rPr>
          <w:sz w:val="21"/>
        </w:rPr>
        <w:t>年</w:t>
      </w:r>
      <w:r>
        <w:rPr>
          <w:u w:val="single"/>
        </w:rPr>
        <w:t xml:space="preserve">     </w:t>
      </w:r>
      <w:r>
        <w:rPr>
          <w:sz w:val="21"/>
        </w:rPr>
        <w:t>月</w:t>
      </w:r>
      <w:r>
        <w:rPr>
          <w:u w:val="single"/>
        </w:rPr>
        <w:t xml:space="preserve">     </w:t>
      </w:r>
      <w:r>
        <w:rPr>
          <w:sz w:val="21"/>
        </w:rPr>
        <w:t>日起至</w:t>
      </w:r>
      <w:r>
        <w:rPr>
          <w:u w:val="single"/>
        </w:rPr>
        <w:t xml:space="preserve">         </w:t>
      </w:r>
      <w:r>
        <w:rPr>
          <w:sz w:val="21"/>
        </w:rPr>
        <w:t>年</w:t>
      </w:r>
      <w:r>
        <w:rPr>
          <w:u w:val="single"/>
        </w:rPr>
        <w:t xml:space="preserve">     </w:t>
      </w:r>
      <w:r>
        <w:rPr>
          <w:sz w:val="21"/>
        </w:rPr>
        <w:t>月</w:t>
      </w:r>
      <w:r>
        <w:rPr>
          <w:u w:val="single"/>
        </w:rPr>
        <w:t xml:space="preserve">     </w:t>
      </w:r>
      <w:r>
        <w:rPr>
          <w:sz w:val="21"/>
        </w:rPr>
        <w:t>日止。</w:t>
      </w:r>
    </w:p>
    <w:p>
      <w:pPr>
        <w:pStyle w:val="null3"/>
        <w:ind w:firstLine="420"/>
        <w:jc w:val="both"/>
      </w:pPr>
      <w:r>
        <w:rPr>
          <w:sz w:val="21"/>
        </w:rPr>
        <w:t>（三）服务地点：</w:t>
      </w:r>
      <w:r>
        <w:rPr>
          <w:u w:val="single"/>
        </w:rPr>
        <w:t xml:space="preserve">                      </w:t>
      </w:r>
    </w:p>
    <w:p>
      <w:pPr>
        <w:pStyle w:val="null3"/>
        <w:ind w:firstLine="420"/>
        <w:jc w:val="both"/>
      </w:pPr>
      <w:r>
        <w:rPr>
          <w:sz w:val="21"/>
        </w:rPr>
        <w:t>（四）服务要求：详见招标文件用户需求。</w:t>
      </w:r>
    </w:p>
    <w:p>
      <w:pPr>
        <w:pStyle w:val="null3"/>
      </w:pPr>
      <w:r>
        <w:rPr>
          <w:sz w:val="21"/>
          <w:b/>
        </w:rPr>
        <w:t>第二条、双方责任</w:t>
      </w:r>
    </w:p>
    <w:p>
      <w:pPr>
        <w:pStyle w:val="null3"/>
        <w:ind w:firstLine="420"/>
        <w:jc w:val="both"/>
      </w:pPr>
      <w:r>
        <w:rPr>
          <w:sz w:val="21"/>
        </w:rPr>
        <w:t>（一）甲方责任：</w:t>
      </w:r>
    </w:p>
    <w:p>
      <w:pPr>
        <w:pStyle w:val="null3"/>
        <w:ind w:firstLine="420"/>
        <w:jc w:val="both"/>
      </w:pPr>
      <w:r>
        <w:rPr>
          <w:sz w:val="21"/>
        </w:rPr>
        <w:t>1.根据活动开展的需求，提供相关的文件、数据等资料。</w:t>
      </w:r>
    </w:p>
    <w:p>
      <w:pPr>
        <w:pStyle w:val="null3"/>
        <w:ind w:firstLine="420"/>
        <w:jc w:val="both"/>
      </w:pPr>
      <w:r>
        <w:rPr>
          <w:sz w:val="21"/>
        </w:rPr>
        <w:t>2.活动中由甲方负责邀请的活动参与人员的通知工作。</w:t>
      </w:r>
    </w:p>
    <w:p>
      <w:pPr>
        <w:pStyle w:val="null3"/>
        <w:ind w:firstLine="420"/>
        <w:jc w:val="both"/>
      </w:pPr>
      <w:r>
        <w:rPr>
          <w:sz w:val="21"/>
        </w:rPr>
        <w:t>3.活动中由甲方提供场地、设施的安排与协调工作。</w:t>
      </w:r>
    </w:p>
    <w:p>
      <w:pPr>
        <w:pStyle w:val="null3"/>
        <w:ind w:firstLine="420"/>
        <w:jc w:val="both"/>
      </w:pPr>
      <w:r>
        <w:rPr>
          <w:sz w:val="21"/>
        </w:rPr>
        <w:t>4.对乙方提交的活动实施方案进行审核与确认。</w:t>
      </w:r>
    </w:p>
    <w:p>
      <w:pPr>
        <w:pStyle w:val="null3"/>
        <w:ind w:firstLine="420"/>
        <w:jc w:val="both"/>
      </w:pPr>
      <w:r>
        <w:rPr>
          <w:sz w:val="21"/>
        </w:rPr>
        <w:t>5.乙方按照合同约定提供服务的，甲方应及时向乙方支付相应的服务费。</w:t>
      </w:r>
    </w:p>
    <w:p>
      <w:pPr>
        <w:pStyle w:val="null3"/>
        <w:ind w:firstLine="420"/>
        <w:jc w:val="both"/>
      </w:pPr>
      <w:r>
        <w:rPr>
          <w:sz w:val="21"/>
        </w:rPr>
        <w:t>（二）乙方责任：</w:t>
      </w:r>
    </w:p>
    <w:p>
      <w:pPr>
        <w:pStyle w:val="null3"/>
        <w:ind w:firstLine="420"/>
        <w:jc w:val="both"/>
      </w:pPr>
      <w:r>
        <w:rPr>
          <w:sz w:val="21"/>
        </w:rPr>
        <w:t>1.乙方保证己方为依法设立并合法存续的企业，有权签署并有资质及能力履行本合同，乙方在合同签订前应提供与实施本项目相关的人员资质证明文件交由甲方存档备查。</w:t>
      </w:r>
    </w:p>
    <w:p>
      <w:pPr>
        <w:pStyle w:val="null3"/>
        <w:ind w:firstLine="420"/>
        <w:jc w:val="both"/>
      </w:pPr>
      <w:r>
        <w:rPr>
          <w:sz w:val="21"/>
        </w:rPr>
        <w:t>2.乙方不得将本合同约定的服务内容通过任何形式分包、转包给第三方，否则甲方有权终止本合同。</w:t>
      </w:r>
    </w:p>
    <w:p>
      <w:pPr>
        <w:pStyle w:val="null3"/>
        <w:ind w:firstLine="420"/>
        <w:jc w:val="both"/>
      </w:pPr>
      <w:r>
        <w:rPr>
          <w:sz w:val="21"/>
        </w:rPr>
        <w:t>3.乙方根据</w:t>
      </w:r>
      <w:r>
        <w:rPr>
          <w:sz w:val="21"/>
          <w:u w:val="single"/>
        </w:rPr>
        <w:t>招标文件</w:t>
      </w:r>
      <w:r>
        <w:rPr>
          <w:sz w:val="21"/>
        </w:rPr>
        <w:t>的要求制作《实施方案》，并于</w:t>
      </w:r>
      <w:r>
        <w:rPr>
          <w:u w:val="single"/>
        </w:rPr>
        <w:t xml:space="preserve">     </w:t>
      </w:r>
      <w:r>
        <w:rPr>
          <w:sz w:val="21"/>
        </w:rPr>
        <w:t>年</w:t>
      </w:r>
      <w:r>
        <w:rPr>
          <w:u w:val="single"/>
        </w:rPr>
        <w:t xml:space="preserve">    </w:t>
      </w:r>
      <w:r>
        <w:rPr>
          <w:sz w:val="21"/>
        </w:rPr>
        <w:t>月</w:t>
      </w:r>
      <w:r>
        <w:rPr>
          <w:u w:val="single"/>
        </w:rPr>
        <w:t xml:space="preserve">    </w:t>
      </w:r>
      <w:r>
        <w:rPr>
          <w:sz w:val="21"/>
        </w:rPr>
        <w:t>日前提交给甲方审议。乙方按照甲方书面确认后的方案开展组织服务。乙方指派</w:t>
      </w:r>
      <w:r>
        <w:rPr>
          <w:u w:val="single"/>
        </w:rPr>
        <w:t xml:space="preserve">        </w:t>
      </w:r>
      <w:r>
        <w:rPr>
          <w:sz w:val="21"/>
        </w:rPr>
        <w:t>（联系电话：</w:t>
      </w:r>
      <w:r>
        <w:rPr>
          <w:u w:val="single"/>
        </w:rPr>
        <w:t xml:space="preserve">             </w:t>
      </w:r>
      <w:r>
        <w:rPr>
          <w:sz w:val="21"/>
        </w:rPr>
        <w:t>）作为本合同负责人，负责实施方案的具体执行和工作安排，保障活动按期顺利进行。</w:t>
      </w:r>
    </w:p>
    <w:p>
      <w:pPr>
        <w:pStyle w:val="null3"/>
        <w:ind w:firstLine="420"/>
        <w:jc w:val="both"/>
      </w:pPr>
      <w:r>
        <w:rPr>
          <w:sz w:val="21"/>
        </w:rPr>
        <w:t>4.乙方在提供服务过程中涉及第三方知识产权的，应当告知甲方详细情况，并提交第三方对乙方的授权或其他证明材料，保证未侵犯任何单位和个人的知识产权。</w:t>
      </w:r>
    </w:p>
    <w:p>
      <w:pPr>
        <w:pStyle w:val="null3"/>
        <w:ind w:firstLine="420"/>
        <w:jc w:val="both"/>
      </w:pPr>
      <w:r>
        <w:rPr>
          <w:sz w:val="21"/>
        </w:rPr>
        <w:t>5.乙方提供给甲方的方案、资料等不得涉及政治敏感性内容，不得违反国家法律法规及相关规定。</w:t>
      </w:r>
    </w:p>
    <w:p>
      <w:pPr>
        <w:pStyle w:val="null3"/>
        <w:ind w:firstLine="420"/>
        <w:jc w:val="both"/>
      </w:pPr>
      <w:r>
        <w:rPr>
          <w:sz w:val="21"/>
        </w:rPr>
        <w:t>6.乙方在服务过程中遇到涉及人身安全、设备故障等紧急情况的，应第一时间告知甲方并及时采取应对措施。</w:t>
      </w:r>
    </w:p>
    <w:p>
      <w:pPr>
        <w:pStyle w:val="null3"/>
        <w:ind w:firstLine="420"/>
        <w:jc w:val="both"/>
      </w:pPr>
      <w:r>
        <w:rPr>
          <w:sz w:val="21"/>
        </w:rPr>
        <w:t>7.乙方应妥善使用甲方提供的场地、设施，如因乙方操作不当、擅自改建、改变使用功能等原因造成甲方损失的，由乙方负责赔偿。乙方不得在活动组织过程中进行任何形式的经营活动。</w:t>
      </w:r>
    </w:p>
    <w:p>
      <w:pPr>
        <w:pStyle w:val="null3"/>
        <w:ind w:firstLine="420"/>
        <w:jc w:val="both"/>
      </w:pPr>
      <w:r>
        <w:rPr>
          <w:sz w:val="21"/>
        </w:rPr>
        <w:t>8.乙方应确保活动期间由乙方安排的住宿、交通、餐饮等方面的安全、卫生，保障活动参与人员的人身和财产安全。因乙方组织不当等原因导致活动参与人员受到人身伤害或财产损失的，乙方负责妥善处理并承担赔偿责任。</w:t>
      </w:r>
    </w:p>
    <w:p>
      <w:pPr>
        <w:pStyle w:val="null3"/>
        <w:ind w:firstLine="420"/>
        <w:jc w:val="both"/>
      </w:pPr>
      <w:r>
        <w:rPr>
          <w:sz w:val="21"/>
        </w:rPr>
        <w:t>9.负责活动现场的清理善后工作。</w:t>
      </w:r>
    </w:p>
    <w:p>
      <w:pPr>
        <w:pStyle w:val="null3"/>
        <w:ind w:firstLine="420"/>
        <w:jc w:val="both"/>
      </w:pPr>
      <w:r>
        <w:rPr>
          <w:sz w:val="21"/>
          <w:color w:val="000000"/>
        </w:rPr>
        <w:t>10.</w:t>
      </w:r>
      <w:r>
        <w:rPr>
          <w:sz w:val="21"/>
          <w:color w:val="000000"/>
        </w:rPr>
        <w:t>由于乙方未足额缴纳应缴税款或开具不符合相关规定的发票而引起的一切责任（包括商业责任和法律责任）和损失，由乙方承担。</w:t>
      </w:r>
    </w:p>
    <w:p>
      <w:pPr>
        <w:pStyle w:val="null3"/>
        <w:ind w:firstLine="420"/>
        <w:jc w:val="both"/>
      </w:pPr>
      <w:r>
        <w:rPr>
          <w:sz w:val="21"/>
          <w:color w:val="000000"/>
        </w:rPr>
        <w:t>11.</w:t>
      </w:r>
      <w:r>
        <w:rPr>
          <w:sz w:val="21"/>
          <w:color w:val="000000"/>
        </w:rPr>
        <w:t>如</w:t>
      </w:r>
      <w:r>
        <w:rPr>
          <w:sz w:val="21"/>
          <w:color w:val="000000"/>
        </w:rPr>
        <w:t>果乙方有赔偿和</w:t>
      </w:r>
      <w:r>
        <w:rPr>
          <w:sz w:val="21"/>
          <w:color w:val="000000"/>
        </w:rPr>
        <w:t>/</w:t>
      </w:r>
      <w:r>
        <w:rPr>
          <w:sz w:val="21"/>
          <w:color w:val="000000"/>
        </w:rPr>
        <w:t>或支付违约金的责任，则甲方有权从未付款项及质量保证金中自行扣减相应金额以优先受偿。对未足额抵扣的违约金，乙方仍应向甲方足额支付。</w:t>
      </w:r>
    </w:p>
    <w:p>
      <w:pPr>
        <w:pStyle w:val="null3"/>
      </w:pPr>
      <w:r>
        <w:rPr>
          <w:sz w:val="21"/>
          <w:b/>
          <w:color w:val="000000"/>
        </w:rPr>
        <w:t>第三条、活动验收</w:t>
      </w:r>
    </w:p>
    <w:p>
      <w:pPr>
        <w:pStyle w:val="null3"/>
        <w:ind w:firstLine="420"/>
        <w:jc w:val="both"/>
      </w:pPr>
      <w:r>
        <w:rPr>
          <w:sz w:val="21"/>
          <w:color w:val="000000"/>
        </w:rPr>
        <w:t>（一）验收标准：</w:t>
      </w:r>
    </w:p>
    <w:p>
      <w:pPr>
        <w:pStyle w:val="null3"/>
        <w:ind w:firstLine="420"/>
        <w:jc w:val="both"/>
      </w:pPr>
      <w:r>
        <w:rPr>
          <w:sz w:val="21"/>
          <w:color w:val="000000"/>
        </w:rPr>
        <w:t>（二）验收时间：</w:t>
      </w:r>
    </w:p>
    <w:p>
      <w:pPr>
        <w:pStyle w:val="null3"/>
        <w:jc w:val="both"/>
      </w:pPr>
      <w:r>
        <w:rPr>
          <w:sz w:val="21"/>
          <w:b/>
          <w:color w:val="000000"/>
        </w:rPr>
        <w:t>第四条、付款条件</w:t>
      </w:r>
    </w:p>
    <w:p>
      <w:pPr>
        <w:pStyle w:val="null3"/>
        <w:ind w:firstLine="420"/>
        <w:jc w:val="both"/>
      </w:pPr>
      <w:r>
        <w:rPr>
          <w:sz w:val="21"/>
          <w:color w:val="000000"/>
        </w:rPr>
        <w:t>（一）甲方已出具验收报告。</w:t>
      </w:r>
    </w:p>
    <w:p>
      <w:pPr>
        <w:pStyle w:val="null3"/>
        <w:ind w:firstLine="420"/>
        <w:jc w:val="both"/>
      </w:pPr>
      <w:r>
        <w:rPr>
          <w:sz w:val="21"/>
          <w:color w:val="000000"/>
        </w:rPr>
        <w:t>（二）向甲方提供以下资料（请</w:t>
      </w:r>
      <w:r>
        <w:rPr>
          <w:sz w:val="21"/>
          <w:color w:val="000000"/>
        </w:rPr>
        <w:t>进行选择）：</w:t>
      </w:r>
    </w:p>
    <w:p>
      <w:pPr>
        <w:pStyle w:val="null3"/>
        <w:ind w:firstLine="420"/>
        <w:jc w:val="both"/>
      </w:pPr>
      <w:r>
        <w:rPr>
          <w:sz w:val="21"/>
          <w:color w:val="000000"/>
        </w:rPr>
        <w:t>□足额的增值税专用发票。</w:t>
      </w:r>
    </w:p>
    <w:p>
      <w:pPr>
        <w:pStyle w:val="null3"/>
        <w:ind w:firstLine="420"/>
        <w:jc w:val="both"/>
      </w:pPr>
      <w:r>
        <w:rPr>
          <w:sz w:val="21"/>
          <w:color w:val="000000"/>
        </w:rPr>
        <w:t>□附件</w:t>
      </w:r>
      <w:r>
        <w:rPr>
          <w:sz w:val="21"/>
          <w:color w:val="000000"/>
        </w:rPr>
        <w:t>3</w:t>
      </w:r>
      <w:r>
        <w:rPr>
          <w:sz w:val="21"/>
          <w:color w:val="000000"/>
        </w:rPr>
        <w:t>：《付款资料清单》要求的其他付款资料。</w:t>
      </w:r>
    </w:p>
    <w:p>
      <w:pPr>
        <w:pStyle w:val="null3"/>
        <w:ind w:firstLine="420"/>
        <w:jc w:val="both"/>
      </w:pPr>
      <w:r>
        <w:rPr>
          <w:sz w:val="21"/>
          <w:color w:val="000000"/>
        </w:rPr>
        <w:t>□其他资料：</w:t>
      </w:r>
      <w:r>
        <w:rPr>
          <w:sz w:val="21"/>
          <w:u w:val="single"/>
        </w:rPr>
        <w:t xml:space="preserve">                                                               </w:t>
      </w:r>
      <w:r>
        <w:rPr>
          <w:sz w:val="21"/>
          <w:color w:val="000000"/>
        </w:rPr>
        <w:t>。</w:t>
      </w:r>
    </w:p>
    <w:p>
      <w:pPr>
        <w:pStyle w:val="null3"/>
        <w:ind w:firstLine="420"/>
        <w:jc w:val="both"/>
      </w:pPr>
      <w:r>
        <w:rPr>
          <w:sz w:val="21"/>
          <w:color w:val="000000"/>
        </w:rPr>
        <w:t>因乙方提交付款资料不符合要求的，甲方有权延迟或拒绝支付合同款项且不承担任何违约责任，同</w:t>
      </w:r>
      <w:r>
        <w:rPr>
          <w:sz w:val="21"/>
        </w:rPr>
        <w:t>时乙方的各项合同义务仍应按合同约定履行。</w:t>
      </w:r>
    </w:p>
    <w:p>
      <w:pPr>
        <w:pStyle w:val="null3"/>
        <w:ind w:firstLine="420"/>
        <w:jc w:val="both"/>
      </w:pPr>
      <w:r>
        <w:rPr>
          <w:sz w:val="21"/>
        </w:rPr>
        <w:t>（三）甲方发票信息如下：</w:t>
      </w:r>
    </w:p>
    <w:p>
      <w:pPr>
        <w:pStyle w:val="null3"/>
        <w:ind w:firstLine="420"/>
        <w:jc w:val="both"/>
      </w:pPr>
      <w:r>
        <w:rPr>
          <w:sz w:val="21"/>
        </w:rPr>
        <w:t>单位名称：华南师范大学附属中学</w:t>
      </w:r>
    </w:p>
    <w:p>
      <w:pPr>
        <w:pStyle w:val="null3"/>
        <w:ind w:firstLine="420"/>
        <w:jc w:val="both"/>
      </w:pPr>
      <w:r>
        <w:rPr>
          <w:sz w:val="21"/>
        </w:rPr>
        <w:t>纳税人识别号：</w:t>
      </w:r>
      <w:r>
        <w:rPr>
          <w:sz w:val="21"/>
        </w:rPr>
        <w:t>12440000455860613A</w:t>
      </w:r>
    </w:p>
    <w:p>
      <w:pPr>
        <w:pStyle w:val="null3"/>
        <w:ind w:firstLine="420"/>
        <w:jc w:val="both"/>
      </w:pPr>
      <w:r>
        <w:rPr>
          <w:sz w:val="21"/>
        </w:rPr>
        <w:t>地址、电话：广州市天河区石牌中山大道西</w:t>
      </w:r>
      <w:r>
        <w:rPr>
          <w:sz w:val="21"/>
        </w:rPr>
        <w:t>1</w:t>
      </w:r>
      <w:r>
        <w:rPr>
          <w:sz w:val="21"/>
        </w:rPr>
        <w:t>号</w:t>
      </w:r>
      <w:r>
        <w:rPr>
          <w:sz w:val="21"/>
        </w:rPr>
        <w:t xml:space="preserve"> 020-38630560</w:t>
      </w:r>
    </w:p>
    <w:p>
      <w:pPr>
        <w:pStyle w:val="null3"/>
        <w:ind w:firstLine="420"/>
        <w:jc w:val="both"/>
      </w:pPr>
      <w:r>
        <w:rPr>
          <w:sz w:val="21"/>
        </w:rPr>
        <w:t>开户银行：中国工商银行股份有限公司石牌支行</w:t>
      </w:r>
    </w:p>
    <w:p>
      <w:pPr>
        <w:pStyle w:val="null3"/>
        <w:ind w:firstLine="420"/>
        <w:jc w:val="both"/>
      </w:pPr>
      <w:r>
        <w:rPr>
          <w:sz w:val="21"/>
        </w:rPr>
        <w:t>银行账号：</w:t>
      </w:r>
      <w:r>
        <w:rPr>
          <w:sz w:val="21"/>
        </w:rPr>
        <w:t>3602098609000035392</w:t>
      </w:r>
    </w:p>
    <w:p>
      <w:pPr>
        <w:pStyle w:val="null3"/>
        <w:ind w:firstLine="420"/>
        <w:jc w:val="both"/>
      </w:pPr>
      <w:r>
        <w:rPr>
          <w:sz w:val="21"/>
        </w:rPr>
        <w:t>（四）乙方银行账号信息如下：</w:t>
      </w:r>
    </w:p>
    <w:p>
      <w:pPr>
        <w:pStyle w:val="null3"/>
        <w:ind w:firstLine="420"/>
        <w:jc w:val="both"/>
      </w:pPr>
      <w:r>
        <w:rPr>
          <w:sz w:val="21"/>
        </w:rPr>
        <w:t>收款账号：</w:t>
      </w:r>
      <w:r>
        <w:rPr>
          <w:sz w:val="21"/>
          <w:u w:val="single"/>
        </w:rPr>
        <w:t xml:space="preserve">                                                                    </w:t>
      </w:r>
      <w:r>
        <w:rPr>
          <w:sz w:val="21"/>
        </w:rPr>
        <w:t>。</w:t>
      </w:r>
    </w:p>
    <w:p>
      <w:pPr>
        <w:pStyle w:val="null3"/>
        <w:ind w:firstLine="420"/>
        <w:jc w:val="both"/>
      </w:pPr>
      <w:r>
        <w:rPr>
          <w:sz w:val="21"/>
        </w:rPr>
        <w:t>开户银行：</w:t>
      </w:r>
      <w:r>
        <w:rPr>
          <w:sz w:val="21"/>
          <w:u w:val="single"/>
        </w:rPr>
        <w:t xml:space="preserve">                                                                    </w:t>
      </w:r>
      <w:r>
        <w:rPr>
          <w:sz w:val="21"/>
        </w:rPr>
        <w:t>。</w:t>
      </w:r>
    </w:p>
    <w:p>
      <w:pPr>
        <w:pStyle w:val="null3"/>
        <w:ind w:firstLine="420"/>
        <w:jc w:val="both"/>
      </w:pPr>
      <w:r>
        <w:rPr>
          <w:sz w:val="21"/>
        </w:rPr>
        <w:t>开户名称：</w:t>
      </w:r>
      <w:r>
        <w:rPr>
          <w:sz w:val="21"/>
          <w:u w:val="single"/>
        </w:rPr>
        <w:t xml:space="preserve">                         </w:t>
      </w:r>
      <w:r>
        <w:rPr>
          <w:sz w:val="21"/>
          <w:u w:val="single"/>
        </w:rPr>
        <w:t xml:space="preserve">                                           </w:t>
      </w:r>
      <w:r>
        <w:rPr>
          <w:sz w:val="21"/>
          <w:color w:val="000000"/>
        </w:rPr>
        <w:t>。</w:t>
      </w:r>
    </w:p>
    <w:p>
      <w:pPr>
        <w:pStyle w:val="null3"/>
      </w:pPr>
      <w:r>
        <w:rPr>
          <w:sz w:val="21"/>
          <w:b/>
        </w:rPr>
        <w:t>第五条、合同价款与支付</w:t>
      </w:r>
    </w:p>
    <w:p>
      <w:pPr>
        <w:pStyle w:val="null3"/>
        <w:ind w:firstLine="420"/>
        <w:jc w:val="both"/>
      </w:pPr>
      <w:r>
        <w:rPr>
          <w:sz w:val="21"/>
          <w:color w:val="000000"/>
        </w:rPr>
        <w:t>（一）合同总金额为：</w:t>
      </w:r>
      <w:r>
        <w:rPr>
          <w:sz w:val="21"/>
          <w:color w:val="000000"/>
        </w:rPr>
        <w:t>¥</w:t>
      </w:r>
      <w:r>
        <w:rPr>
          <w:sz w:val="21"/>
          <w:u w:val="single"/>
        </w:rPr>
        <w:t xml:space="preserve">        </w:t>
      </w:r>
      <w:r>
        <w:rPr>
          <w:sz w:val="21"/>
          <w:color w:val="000000"/>
        </w:rPr>
        <w:t>元（大写人民币：</w:t>
      </w:r>
      <w:r>
        <w:rPr>
          <w:sz w:val="21"/>
          <w:u w:val="single"/>
        </w:rPr>
        <w:t xml:space="preserve">                          </w:t>
      </w:r>
      <w:r>
        <w:rPr>
          <w:sz w:val="21"/>
          <w:color w:val="000000"/>
        </w:rPr>
        <w:t>元整）。在乙方完全履行本合同下的全部义务情形下，除另有书面约定外，否则合同金额是甲方应当向乙方支付的全部款项。</w:t>
      </w:r>
    </w:p>
    <w:p>
      <w:pPr>
        <w:pStyle w:val="null3"/>
        <w:ind w:firstLine="420"/>
        <w:jc w:val="both"/>
      </w:pPr>
      <w:r>
        <w:rPr>
          <w:sz w:val="21"/>
          <w:color w:val="000000"/>
        </w:rPr>
        <w:t>（二）采用以下第</w:t>
      </w:r>
      <w:r>
        <w:rPr>
          <w:sz w:val="21"/>
          <w:u w:val="single"/>
        </w:rPr>
        <w:t xml:space="preserve">     </w:t>
      </w:r>
      <w:r>
        <w:rPr>
          <w:sz w:val="21"/>
          <w:color w:val="000000"/>
        </w:rPr>
        <w:t>种方式付款：</w:t>
      </w:r>
    </w:p>
    <w:p>
      <w:pPr>
        <w:pStyle w:val="null3"/>
        <w:ind w:firstLine="420"/>
        <w:jc w:val="both"/>
      </w:pPr>
      <w:r>
        <w:rPr>
          <w:sz w:val="21"/>
          <w:color w:val="000000"/>
        </w:rPr>
        <w:t>1.一次性支付：于</w:t>
      </w:r>
      <w:r>
        <w:rPr>
          <w:sz w:val="21"/>
          <w:u w:val="single"/>
        </w:rPr>
        <w:t xml:space="preserve">    </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日前一次性支付所有款项。</w:t>
      </w:r>
    </w:p>
    <w:p>
      <w:pPr>
        <w:pStyle w:val="null3"/>
        <w:ind w:firstLine="420"/>
        <w:jc w:val="both"/>
      </w:pPr>
      <w:r>
        <w:rPr>
          <w:sz w:val="21"/>
          <w:color w:val="000000"/>
        </w:rPr>
        <w:t>2.分期支付：</w:t>
      </w:r>
    </w:p>
    <w:p>
      <w:pPr>
        <w:pStyle w:val="null3"/>
        <w:ind w:firstLine="420"/>
        <w:jc w:val="both"/>
      </w:pPr>
      <w:r>
        <w:rPr>
          <w:sz w:val="21"/>
          <w:color w:val="000000"/>
        </w:rPr>
        <w:t>（</w:t>
      </w:r>
      <w:r>
        <w:rPr>
          <w:sz w:val="21"/>
          <w:color w:val="000000"/>
        </w:rPr>
        <w:t>1）</w:t>
      </w:r>
      <w:r>
        <w:rPr>
          <w:sz w:val="21"/>
        </w:rPr>
        <w:t>合同签订后十个工作日内，支付合同价款的</w:t>
      </w:r>
      <w:r>
        <w:rPr>
          <w:sz w:val="21"/>
        </w:rPr>
        <w:t>70%</w:t>
      </w:r>
      <w:r>
        <w:rPr>
          <w:sz w:val="21"/>
          <w:color w:val="000000"/>
        </w:rPr>
        <w:t>，共计</w:t>
      </w:r>
      <w:r>
        <w:rPr>
          <w:sz w:val="21"/>
          <w:color w:val="000000"/>
        </w:rPr>
        <w:t>¥</w:t>
      </w:r>
      <w:r>
        <w:rPr>
          <w:sz w:val="21"/>
          <w:u w:val="single"/>
        </w:rPr>
        <w:t xml:space="preserve">         </w:t>
      </w:r>
      <w:r>
        <w:rPr>
          <w:sz w:val="21"/>
          <w:color w:val="000000"/>
        </w:rPr>
        <w:t>元（大写人民币：</w:t>
      </w:r>
      <w:r>
        <w:rPr>
          <w:sz w:val="21"/>
          <w:u w:val="single"/>
        </w:rPr>
        <w:t xml:space="preserve">                               </w:t>
      </w:r>
      <w:r>
        <w:rPr>
          <w:sz w:val="21"/>
          <w:color w:val="000000"/>
        </w:rPr>
        <w:t>元整）。</w:t>
      </w:r>
    </w:p>
    <w:p>
      <w:pPr>
        <w:pStyle w:val="null3"/>
        <w:ind w:firstLine="420"/>
        <w:jc w:val="left"/>
      </w:pPr>
      <w:r>
        <w:rPr>
          <w:sz w:val="21"/>
          <w:color w:val="000000"/>
        </w:rPr>
        <w:t>（</w:t>
      </w:r>
      <w:r>
        <w:rPr>
          <w:sz w:val="21"/>
          <w:color w:val="000000"/>
        </w:rPr>
        <w:t>3）</w:t>
      </w:r>
      <w:r>
        <w:rPr>
          <w:sz w:val="21"/>
        </w:rPr>
        <w:t>服务验收合格后十个工作日内，支付合同价款的</w:t>
      </w:r>
      <w:r>
        <w:rPr>
          <w:sz w:val="21"/>
        </w:rPr>
        <w:t>30%</w:t>
      </w:r>
      <w:r>
        <w:rPr>
          <w:sz w:val="21"/>
          <w:color w:val="000000"/>
        </w:rPr>
        <w:t>，共计</w:t>
      </w:r>
      <w:r>
        <w:rPr>
          <w:sz w:val="21"/>
          <w:color w:val="000000"/>
        </w:rPr>
        <w:t>¥</w:t>
      </w:r>
      <w:r>
        <w:rPr>
          <w:sz w:val="21"/>
          <w:u w:val="single"/>
        </w:rPr>
        <w:t xml:space="preserve">         </w:t>
      </w:r>
      <w:r>
        <w:rPr>
          <w:sz w:val="21"/>
          <w:color w:val="000000"/>
        </w:rPr>
        <w:t>元（大写人民币：</w:t>
      </w:r>
      <w:r>
        <w:rPr>
          <w:sz w:val="21"/>
          <w:u w:val="single"/>
        </w:rPr>
        <w:t xml:space="preserve">                                 </w:t>
      </w:r>
      <w:r>
        <w:rPr>
          <w:sz w:val="21"/>
          <w:color w:val="000000"/>
        </w:rPr>
        <w:t>元整）。</w:t>
      </w:r>
    </w:p>
    <w:p>
      <w:pPr>
        <w:pStyle w:val="null3"/>
        <w:ind w:firstLine="420"/>
        <w:jc w:val="both"/>
      </w:pPr>
      <w:r>
        <w:rPr>
          <w:sz w:val="21"/>
        </w:rPr>
        <w:t>（</w:t>
      </w:r>
      <w:r>
        <w:rPr>
          <w:sz w:val="21"/>
        </w:rPr>
        <w:t>4）每次甲方支付款项前，应由乙方提出付款申请及材料并提供等额增值税发票，甲方在收到乙方付款申请及材料和发票后在前款规定的期限内支付价款。</w:t>
      </w:r>
    </w:p>
    <w:p>
      <w:pPr>
        <w:pStyle w:val="null3"/>
        <w:ind w:firstLine="420"/>
        <w:jc w:val="both"/>
      </w:pPr>
      <w:r>
        <w:rPr>
          <w:sz w:val="21"/>
        </w:rPr>
        <w:t>（</w:t>
      </w:r>
      <w:r>
        <w:rPr>
          <w:sz w:val="21"/>
        </w:rPr>
        <w:t>5）因甲方使用财政资金，甲方应在前款规定付款时间内向政府采购支付部门提出办理财政支付申请手续（不含政府财政支付部门审核的时间），在规定时间提出支付申请手续后即视为甲方已经完成支付。</w:t>
      </w:r>
    </w:p>
    <w:p>
      <w:pPr>
        <w:pStyle w:val="null3"/>
      </w:pPr>
      <w:r>
        <w:rPr>
          <w:sz w:val="21"/>
          <w:b/>
        </w:rPr>
        <w:t>第六条、违约责任</w:t>
      </w:r>
    </w:p>
    <w:p>
      <w:pPr>
        <w:pStyle w:val="null3"/>
        <w:ind w:firstLine="420"/>
      </w:pPr>
      <w:r>
        <w:rPr>
          <w:sz w:val="21"/>
        </w:rPr>
        <w:t>（一）甲方违约责任</w:t>
      </w:r>
    </w:p>
    <w:p>
      <w:pPr>
        <w:pStyle w:val="null3"/>
        <w:ind w:firstLine="420"/>
        <w:jc w:val="left"/>
      </w:pPr>
      <w:r>
        <w:rPr>
          <w:sz w:val="21"/>
          <w:color w:val="000000"/>
        </w:rPr>
        <w:t>1.甲方无正当理由延期付款时，每逾期1日，甲方应按合同金额3‰向乙方支付违约金。</w:t>
      </w:r>
    </w:p>
    <w:p>
      <w:pPr>
        <w:pStyle w:val="null3"/>
        <w:ind w:firstLine="420"/>
        <w:jc w:val="left"/>
      </w:pPr>
      <w:r>
        <w:rPr>
          <w:sz w:val="21"/>
          <w:color w:val="000000"/>
        </w:rPr>
        <w:t>2.因甲方违约导致解除合同的，甲方应付未付的费用应于合同解除之日起10个工作日内一次性支付完毕。</w:t>
      </w:r>
    </w:p>
    <w:p>
      <w:pPr>
        <w:pStyle w:val="null3"/>
        <w:ind w:firstLine="420"/>
      </w:pPr>
      <w:r>
        <w:rPr>
          <w:sz w:val="21"/>
        </w:rPr>
        <w:t>（二）乙方违约责任</w:t>
      </w:r>
    </w:p>
    <w:p>
      <w:pPr>
        <w:pStyle w:val="null3"/>
        <w:ind w:firstLine="420"/>
        <w:jc w:val="left"/>
      </w:pPr>
      <w:r>
        <w:rPr>
          <w:sz w:val="21"/>
          <w:color w:val="000000"/>
        </w:rPr>
        <w:t>1.乙方未按合同约定期限履行义务的，每逾期1日，应按合同总额的3‰向甲方支付违约金；逾期达到5日的，甲方有权单方解除本合同，并要求乙方赔偿由此造成的一切损失。</w:t>
      </w:r>
    </w:p>
    <w:p>
      <w:pPr>
        <w:pStyle w:val="null3"/>
        <w:ind w:firstLine="420"/>
        <w:jc w:val="left"/>
      </w:pPr>
      <w:r>
        <w:rPr>
          <w:sz w:val="21"/>
          <w:color w:val="000000"/>
        </w:rPr>
        <w:t>2.乙方未履行本合同中乙方责任的，甲方有权单方解除本合同，不予支付未支付的费用，乙方按违约责任约定支付违约金。</w:t>
      </w:r>
    </w:p>
    <w:p>
      <w:pPr>
        <w:pStyle w:val="null3"/>
        <w:ind w:firstLine="420"/>
        <w:jc w:val="left"/>
      </w:pPr>
      <w:r>
        <w:rPr>
          <w:sz w:val="21"/>
          <w:color w:val="000000"/>
        </w:rPr>
        <w:t>3.乙方在本合同期限内擅自停止服务的行为给甲方造成损失的，乙方应当赔偿相应的损失；乙方在本合同终止后拒不撤出的，甲方有权清退乙方，前述行为给甲方造成损失的，乙方应当赔偿相应的损失。</w:t>
      </w:r>
    </w:p>
    <w:p>
      <w:pPr>
        <w:pStyle w:val="null3"/>
        <w:ind w:firstLine="420"/>
        <w:jc w:val="left"/>
      </w:pPr>
      <w:r>
        <w:rPr>
          <w:sz w:val="21"/>
          <w:color w:val="000000"/>
        </w:rPr>
        <w:t>4.乙方在服务过程中因操作不当、考虑不全面等原因，导致甲方受到不利影响或产生损失的，除不可抗力的情形外，甲方有权要求乙方限期解决不利影响并赔偿甲方因此造成的损失。</w:t>
      </w:r>
    </w:p>
    <w:p>
      <w:pPr>
        <w:pStyle w:val="null3"/>
        <w:ind w:firstLine="420"/>
        <w:jc w:val="left"/>
      </w:pPr>
      <w:r>
        <w:rPr>
          <w:sz w:val="21"/>
          <w:color w:val="000000"/>
        </w:rPr>
        <w:t>5.根据双方验收结果确认属于乙方未尽责任的，甲方有权扣减相应的服务费用。</w:t>
      </w:r>
    </w:p>
    <w:p>
      <w:pPr>
        <w:pStyle w:val="null3"/>
        <w:ind w:firstLine="420"/>
        <w:jc w:val="left"/>
      </w:pPr>
      <w:r>
        <w:rPr>
          <w:sz w:val="21"/>
          <w:color w:val="000000"/>
        </w:rPr>
        <w:t>6.因乙方违约导致解除合同的，乙方</w:t>
      </w:r>
      <w:r>
        <w:rPr>
          <w:sz w:val="21"/>
          <w:color w:val="000000"/>
        </w:rPr>
        <w:t>应向</w:t>
      </w:r>
      <w:r>
        <w:rPr>
          <w:sz w:val="21"/>
          <w:color w:val="000000"/>
        </w:rPr>
        <w:t>甲</w:t>
      </w:r>
      <w:r>
        <w:rPr>
          <w:sz w:val="21"/>
          <w:color w:val="000000"/>
        </w:rPr>
        <w:t>方支付合同总额的</w:t>
      </w:r>
      <w:r>
        <w:rPr>
          <w:sz w:val="21"/>
          <w:color w:val="000000"/>
        </w:rPr>
        <w:t>20%</w:t>
      </w:r>
      <w:r>
        <w:rPr>
          <w:sz w:val="21"/>
          <w:color w:val="000000"/>
        </w:rPr>
        <w:t>作为违约金，违约金不足以弥补损失的应另行赔偿。</w:t>
      </w:r>
    </w:p>
    <w:p>
      <w:pPr>
        <w:pStyle w:val="null3"/>
        <w:ind w:firstLine="420"/>
        <w:jc w:val="both"/>
      </w:pPr>
      <w:r>
        <w:rPr>
          <w:sz w:val="21"/>
          <w:b/>
        </w:rPr>
        <w:t>第七条、保密条款</w:t>
      </w:r>
    </w:p>
    <w:p>
      <w:pPr>
        <w:pStyle w:val="null3"/>
        <w:ind w:firstLine="420"/>
        <w:jc w:val="left"/>
      </w:pPr>
      <w:r>
        <w:rPr>
          <w:sz w:val="21"/>
          <w:color w:val="000000"/>
        </w:rPr>
        <w:t>（一）甲乙双方保证对在履行本合同过程中所获悉的属于对方的商业秘密、技术秘密、相关资料所记载的信息，以及其他经营管理信息予以保密。未经一方同意，另一方不得向任何第三方泄露。</w:t>
      </w:r>
    </w:p>
    <w:p>
      <w:pPr>
        <w:pStyle w:val="null3"/>
        <w:ind w:firstLine="420"/>
        <w:jc w:val="left"/>
      </w:pPr>
      <w:r>
        <w:rPr>
          <w:sz w:val="21"/>
          <w:color w:val="000000"/>
        </w:rPr>
        <w:t>（二）全部或部分有关资料在下述情况下，甲乙双方的保密义务不适用或终止：</w:t>
      </w:r>
      <w:r>
        <w:rPr>
          <w:sz w:val="21"/>
          <w:color w:val="000000"/>
        </w:rPr>
        <w:t>1.在透露给对方时可公开得到或因其他原因已进入公有领域；2.非因对方的行为遗失而在随后为公众所知；3.在按照本合同提供给对方之前已为对方占有的；4.如果国家司法、行政机关根据法律、行政法规的规定要求透露任何保密资料，甲乙双方可仅将须依法透露的有关资料的任何部分透露给相关国家司法、行政机关而无本合同项下任何责任。</w:t>
      </w:r>
    </w:p>
    <w:p>
      <w:pPr>
        <w:pStyle w:val="null3"/>
      </w:pPr>
      <w:r>
        <w:rPr>
          <w:sz w:val="21"/>
          <w:b/>
        </w:rPr>
        <w:t>第八条、不可抗力</w:t>
      </w:r>
    </w:p>
    <w:p>
      <w:pPr>
        <w:pStyle w:val="null3"/>
        <w:ind w:firstLine="420"/>
      </w:pPr>
      <w:r>
        <w:rPr>
          <w:sz w:val="21"/>
          <w:color w:val="000000"/>
        </w:rPr>
        <w:t>（一）不可抗力事件是指合同双方在签署本合同时不能预见、不能避免并不能克服的客观情况。包括：</w:t>
      </w:r>
      <w:r>
        <w:rPr>
          <w:sz w:val="21"/>
          <w:color w:val="000000"/>
        </w:rPr>
        <w:t>1.自然灾害，如台风、冰雹、地震、海啸、洪水、火山爆发、山体滑坡；2.政府行为，如征收、征用；3.社会异常事件，如战争、武装冲突、罢工、骚乱、暴动等。</w:t>
      </w:r>
    </w:p>
    <w:p>
      <w:pPr>
        <w:pStyle w:val="null3"/>
        <w:ind w:firstLine="420"/>
      </w:pPr>
      <w:r>
        <w:rPr>
          <w:sz w:val="21"/>
          <w:color w:val="000000"/>
        </w:rPr>
        <w:t>（二）若任何一方因不可抗力事件影响本合同履行，应在不可抗力发生起</w:t>
      </w:r>
      <w:r>
        <w:rPr>
          <w:sz w:val="21"/>
          <w:color w:val="000000"/>
        </w:rPr>
        <w:t>3个工作日内书面通知对方不能或不能完全履行的理由。双方应及时协商制定并实施补救计划和合理的替代措施，减少或消除不可抗力事件的影响。在取得有关机构的证明后，允许延期履行、部分履行或不履行合同，并根据情况部分或全部免于承担违约责任。</w:t>
      </w:r>
    </w:p>
    <w:p>
      <w:pPr>
        <w:pStyle w:val="null3"/>
        <w:ind w:firstLine="420"/>
      </w:pPr>
      <w:r>
        <w:rPr>
          <w:sz w:val="21"/>
          <w:color w:val="000000"/>
        </w:rPr>
        <w:t>（三）受不可抗力事件影响的一方应迅速采取合理的措施，尽量减少因不可抗力事件给各方带来的损失。如果未能尽其努力采取积极的措施减少不可抗力事件的影响，则当事方应承担由此而扩大的损失。当事方已尽力采取补救措施但仍未能避免损失的情况下，可不负赔偿责任。</w:t>
      </w:r>
    </w:p>
    <w:p>
      <w:pPr>
        <w:pStyle w:val="null3"/>
        <w:ind w:firstLine="420"/>
      </w:pPr>
      <w:r>
        <w:rPr>
          <w:sz w:val="21"/>
          <w:color w:val="000000"/>
        </w:rPr>
        <w:t>（四）不可抗力影响合同履行超过</w:t>
      </w:r>
      <w:r>
        <w:rPr>
          <w:sz w:val="21"/>
          <w:color w:val="000000"/>
        </w:rPr>
        <w:t>30日的，双方可协商解除合同。</w:t>
      </w:r>
    </w:p>
    <w:p>
      <w:pPr>
        <w:pStyle w:val="null3"/>
      </w:pPr>
      <w:r>
        <w:rPr>
          <w:sz w:val="21"/>
          <w:b/>
          <w:color w:val="000000"/>
        </w:rPr>
        <w:t>第九条、合同争议解决</w:t>
      </w:r>
    </w:p>
    <w:p>
      <w:pPr>
        <w:pStyle w:val="null3"/>
        <w:ind w:firstLine="420"/>
        <w:jc w:val="left"/>
      </w:pPr>
      <w:r>
        <w:rPr>
          <w:sz w:val="21"/>
          <w:color w:val="000000"/>
        </w:rPr>
        <w:t>（一）</w:t>
      </w:r>
      <w:r>
        <w:rPr>
          <w:sz w:val="21"/>
          <w:color w:val="000000"/>
        </w:rPr>
        <w:t>甲、乙双方因本合同发生争议的，由双方通过友好协商解决。如协商不成，应就争议事项向甲方所在地人民法院提起诉讼解决。</w:t>
      </w:r>
    </w:p>
    <w:p>
      <w:pPr>
        <w:pStyle w:val="null3"/>
        <w:ind w:firstLine="420"/>
        <w:jc w:val="left"/>
      </w:pPr>
      <w:r>
        <w:rPr>
          <w:sz w:val="21"/>
          <w:color w:val="000000"/>
        </w:rPr>
        <w:t>（二）</w:t>
      </w:r>
      <w:r>
        <w:rPr>
          <w:sz w:val="21"/>
          <w:color w:val="000000"/>
        </w:rPr>
        <w:t>在诉讼期间，除提交法院判决的争议事项外，甲方要求乙方仍继续履行合同的其他义务，乙方应无条件继续履行。</w:t>
      </w:r>
    </w:p>
    <w:p>
      <w:pPr>
        <w:pStyle w:val="null3"/>
      </w:pPr>
      <w:r>
        <w:rPr>
          <w:sz w:val="21"/>
          <w:b/>
        </w:rPr>
        <w:t>第十条、通知送达</w:t>
      </w:r>
    </w:p>
    <w:p>
      <w:pPr>
        <w:pStyle w:val="null3"/>
        <w:ind w:firstLine="420"/>
        <w:jc w:val="both"/>
      </w:pPr>
      <w:r>
        <w:rPr>
          <w:sz w:val="21"/>
        </w:rPr>
        <w:t>（一）本合同项下任何一方向对方发出的通知、文件、材料、数据电文等，应当发送至本合同下列约定的地址或联系人。一方当事人迁址或变更联系人或变更联系方式的，应当在变更日起</w:t>
      </w:r>
      <w:r>
        <w:rPr>
          <w:sz w:val="21"/>
        </w:rPr>
        <w:t>3个工作日内书面通知对方当事人，对方当事人实际收到变更通知前的送达仍为有效送达，电子送达与书面送达具有同等法律效力。因联系方式的错误致使无法送达而造成的不利后果均由未通知方承担。</w:t>
      </w:r>
    </w:p>
    <w:p>
      <w:pPr>
        <w:pStyle w:val="null3"/>
        <w:ind w:firstLine="420"/>
        <w:jc w:val="both"/>
      </w:pPr>
      <w:r>
        <w:rPr>
          <w:sz w:val="21"/>
        </w:rPr>
        <w:t>（二）通知送达条款、保密条款、合同争议解决条款均为独立条款，不受合同整体或其他条款效力的影响。</w:t>
      </w:r>
    </w:p>
    <w:p>
      <w:pPr>
        <w:pStyle w:val="null3"/>
      </w:pPr>
      <w:r>
        <w:rPr>
          <w:sz w:val="21"/>
          <w:b/>
        </w:rPr>
        <w:t>第十一条、其他事项</w:t>
      </w:r>
    </w:p>
    <w:p>
      <w:pPr>
        <w:pStyle w:val="null3"/>
        <w:ind w:firstLine="420"/>
        <w:jc w:val="both"/>
      </w:pPr>
      <w:r>
        <w:rPr>
          <w:sz w:val="21"/>
        </w:rPr>
        <w:t>（一）合同如有未尽事宜或有需要变更、调整的事项，经双方协商达成一致后，可签订补充协议。补充协议与本合同具有同等法律效力。</w:t>
      </w:r>
    </w:p>
    <w:p>
      <w:pPr>
        <w:pStyle w:val="null3"/>
        <w:ind w:firstLine="420"/>
        <w:jc w:val="both"/>
      </w:pPr>
      <w:r>
        <w:rPr>
          <w:sz w:val="21"/>
        </w:rPr>
        <w:t>（二）本合同自甲乙双方法定代表人或授权代表签字或捺印并加盖双方公章后生效。本合同还应以双方公章加盖骑缝章（盖完骑缝章后合同的每一页应该均有印记）。</w:t>
      </w:r>
    </w:p>
    <w:p>
      <w:pPr>
        <w:pStyle w:val="null3"/>
        <w:ind w:firstLine="420"/>
        <w:jc w:val="both"/>
      </w:pPr>
      <w:r>
        <w:rPr>
          <w:sz w:val="21"/>
        </w:rPr>
        <w:t>（三）本合同一式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份，具有同等法律效力。</w:t>
      </w:r>
    </w:p>
    <w:p>
      <w:pPr>
        <w:pStyle w:val="null3"/>
        <w:ind w:firstLine="210"/>
        <w:jc w:val="both"/>
      </w:pPr>
      <w:r>
        <w:rPr>
          <w:sz w:val="21"/>
          <w:color w:val="000000"/>
        </w:rPr>
        <w:t>（以下无正文）</w:t>
      </w:r>
    </w:p>
    <w:p>
      <w:pPr>
        <w:pStyle w:val="null3"/>
        <w:jc w:val="left"/>
      </w:pPr>
      <w:r>
        <w:rPr>
          <w:sz w:val="21"/>
          <w:color w:val="000000"/>
        </w:rPr>
        <w:t>甲方（盖章）：</w:t>
      </w:r>
      <w:r>
        <w:rPr>
          <w:sz w:val="21"/>
          <w:color w:val="000000"/>
        </w:rPr>
        <w:t xml:space="preserve">                        </w:t>
      </w:r>
      <w:r>
        <w:rPr>
          <w:sz w:val="21"/>
          <w:color w:val="000000"/>
        </w:rPr>
        <w:t>乙方（盖章）：</w:t>
      </w:r>
    </w:p>
    <w:p>
      <w:pPr>
        <w:pStyle w:val="null3"/>
        <w:jc w:val="left"/>
      </w:pPr>
      <w:r>
        <w:rPr>
          <w:sz w:val="21"/>
          <w:color w:val="000000"/>
        </w:rPr>
        <w:t>法定代表人或授权代表：</w:t>
      </w:r>
      <w:r>
        <w:rPr>
          <w:sz w:val="21"/>
          <w:color w:val="000000"/>
        </w:rPr>
        <w:t xml:space="preserve">                </w:t>
      </w:r>
      <w:r>
        <w:rPr>
          <w:sz w:val="21"/>
          <w:color w:val="000000"/>
        </w:rPr>
        <w:t>法定代表人或授权代表：：</w:t>
      </w:r>
      <w:r>
        <w:rPr>
          <w:sz w:val="21"/>
          <w:color w:val="000000"/>
        </w:rPr>
        <w:t xml:space="preserve">         </w:t>
      </w:r>
    </w:p>
    <w:p>
      <w:pPr>
        <w:pStyle w:val="null3"/>
        <w:jc w:val="left"/>
      </w:pPr>
      <w:r>
        <w:rPr>
          <w:sz w:val="21"/>
          <w:color w:val="000000"/>
        </w:rPr>
        <w:t>签订日期：</w:t>
      </w:r>
      <w:r>
        <w:rPr>
          <w:sz w:val="21"/>
          <w:color w:val="000000"/>
        </w:rPr>
        <w:t xml:space="preserve">                            </w:t>
      </w:r>
      <w:r>
        <w:rPr>
          <w:sz w:val="21"/>
          <w:color w:val="000000"/>
        </w:rPr>
        <w:t>签订日期：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440001-2026-26094</w:t>
      </w:r>
    </w:p>
    <w:p>
      <w:pPr>
        <w:pStyle w:val="null3"/>
        <w:jc w:val="center"/>
        <w:outlineLvl w:val="3"/>
      </w:pPr>
      <w:r>
        <w:rPr>
          <w:sz w:val="24"/>
          <w:b/>
        </w:rPr>
        <w:t>采购项目编号：</w:t>
      </w:r>
      <w:r>
        <w:rPr>
          <w:sz w:val="24"/>
          <w:b/>
        </w:rPr>
        <w:t>ZZ0260428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2026年中国数学奥林匹克竞赛决赛活动配套服务</w:t>
      </w:r>
      <w:r>
        <w:rPr>
          <w:u w:val="single"/>
        </w:rPr>
        <w:t>”</w:t>
      </w:r>
      <w:r>
        <w:rPr/>
        <w:t>项目的招标[采购项目编号为：</w:t>
      </w:r>
      <w:r>
        <w:rPr>
          <w:u w:val="single"/>
        </w:rPr>
        <w:t>ZZ0260428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2026年中国数学奥林匹克竞赛决赛活动配套服务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2026年中国数学奥林匹克竞赛决赛活动配套服务</w:t>
      </w:r>
      <w:r>
        <w:rPr/>
        <w:t>”项目采购[采购项目编号为</w:t>
      </w:r>
      <w:r>
        <w:rPr/>
        <w:t>ZZ0260428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华南师范大学附属中学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2026年中国数学奥林匹克竞赛决赛活动配套服务</w:t>
      </w:r>
      <w:r>
        <w:rPr/>
        <w:t>招标中获中标（采购项目编号：</w:t>
      </w:r>
      <w:r>
        <w:rPr/>
        <w:t>ZZ0260428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2026年中国数学奥林匹克竞赛决赛活动配套服务</w:t>
      </w:r>
      <w:r>
        <w:rPr/>
        <w:t>”项目（采购项目编号：</w:t>
      </w:r>
      <w:r>
        <w:rPr/>
        <w:t>ZZ0260428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