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440112-2026-02193</w:t>
      </w:r>
    </w:p>
    <w:p>
      <w:pPr>
        <w:pStyle w:val="null3"/>
        <w:jc w:val="center"/>
        <w:outlineLvl w:val="3"/>
      </w:pPr>
      <w:r>
        <w:rPr>
          <w:sz w:val="24"/>
          <w:b/>
        </w:rPr>
        <w:t>采购项目编号：</w:t>
      </w:r>
      <w:r>
        <w:rPr>
          <w:sz w:val="24"/>
          <w:b/>
        </w:rPr>
        <w:t>ZZ0260313</w:t>
      </w:r>
    </w:p>
    <w:p>
      <w:pPr>
        <w:pStyle w:val="null3"/>
        <w:jc w:val="center"/>
        <w:outlineLvl w:val="3"/>
      </w:pPr>
      <w:r>
        <w:rPr>
          <w:sz w:val="24"/>
          <w:b/>
        </w:rPr>
        <w:t>项目名称：</w:t>
      </w:r>
      <w:r>
        <w:rPr>
          <w:sz w:val="24"/>
          <w:b/>
        </w:rPr>
        <w:t>知识城已征未开发地块综合服务项目</w:t>
      </w:r>
    </w:p>
    <w:p>
      <w:pPr>
        <w:pStyle w:val="null3"/>
        <w:jc w:val="center"/>
        <w:outlineLvl w:val="3"/>
      </w:pPr>
      <w:r>
        <w:rPr>
          <w:sz w:val="24"/>
          <w:b/>
        </w:rPr>
        <w:t>采购人：</w:t>
      </w:r>
      <w:r>
        <w:rPr>
          <w:sz w:val="24"/>
          <w:b/>
        </w:rPr>
        <w:t>中新广州知识城合作项目服务管理中心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中新广州知识城合作项目服务管理中心</w:t>
      </w:r>
      <w:r>
        <w:rPr/>
        <w:t>的委托，采用</w:t>
      </w:r>
      <w:r>
        <w:rPr/>
        <w:t>公开招标</w:t>
      </w:r>
      <w:r>
        <w:rPr/>
        <w:t>方式组织采购</w:t>
      </w:r>
      <w:r>
        <w:rPr/>
        <w:t>知识城已征未开发地块综合服务项目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知识城已征未开发地块综合服务项目</w:t>
      </w:r>
    </w:p>
    <w:p>
      <w:pPr>
        <w:pStyle w:val="null3"/>
        <w:ind w:firstLine="480"/>
      </w:pPr>
      <w:r>
        <w:rPr/>
        <w:t>采购计划编号：</w:t>
      </w:r>
      <w:r>
        <w:rPr/>
        <w:t>440112-2026-02193</w:t>
      </w:r>
    </w:p>
    <w:p>
      <w:pPr>
        <w:pStyle w:val="null3"/>
        <w:ind w:firstLine="480"/>
      </w:pPr>
      <w:r>
        <w:rPr/>
        <w:t>采购项目编号：</w:t>
      </w:r>
      <w:r>
        <w:rPr/>
        <w:t>ZZ0260313</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采购包1(知识城已征未开发地块综合服务项目):</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知识城已征未开发地块综合服务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合同履行期限：自签订合同之日起1年。合同期满或提前终止时，合同自动终止。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采购包1（知识城已征未开发地块综合服务项目）：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中新广州知识城合作项目服务管理中心</w:t>
      </w:r>
    </w:p>
    <w:p>
      <w:pPr>
        <w:pStyle w:val="null3"/>
        <w:ind w:firstLine="480"/>
      </w:pPr>
      <w:r>
        <w:rPr/>
        <w:t xml:space="preserve"> 地址：</w:t>
      </w:r>
      <w:r>
        <w:rPr/>
        <w:t>广东省广州市黄埔区中新广州知识城亿创街1号人才大厦30层</w:t>
      </w:r>
    </w:p>
    <w:p>
      <w:pPr>
        <w:pStyle w:val="null3"/>
        <w:ind w:firstLine="480"/>
      </w:pPr>
      <w:r>
        <w:rPr/>
        <w:t xml:space="preserve"> 联系方式：</w:t>
      </w:r>
      <w:r>
        <w:rPr/>
        <w:t>杨先生 020-82119627</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shd w:fill="FFFFFF" w:val="clear"/>
        </w:rPr>
        <w:t>说明：</w:t>
      </w:r>
    </w:p>
    <w:p>
      <w:pPr>
        <w:pStyle w:val="null3"/>
        <w:ind w:left="135"/>
        <w:jc w:val="both"/>
      </w:pPr>
      <w:r>
        <w:rPr>
          <w:sz w:val="21"/>
          <w:b/>
          <w:shd w:fill="FFFFFF" w:val="clear"/>
        </w:rPr>
        <w:t>1</w:t>
      </w:r>
      <w:r>
        <w:rPr>
          <w:sz w:val="21"/>
          <w:b/>
          <w:shd w:fill="FFFFFF" w:val="clear"/>
        </w:rPr>
        <w:t>、投标人须对本项目为单位（有划分包组的，则以包组为单位）的标的物进行整体投标，任何只对其中一部分内容进行的投标都被视为无效投标。</w:t>
      </w:r>
    </w:p>
    <w:p>
      <w:pPr>
        <w:pStyle w:val="null3"/>
        <w:ind w:left="135"/>
        <w:jc w:val="both"/>
      </w:pPr>
      <w:r>
        <w:rPr>
          <w:sz w:val="21"/>
          <w:b/>
          <w:shd w:fill="FFFFFF" w:val="clear"/>
        </w:rPr>
        <w:t>2</w:t>
      </w:r>
      <w:r>
        <w:rPr>
          <w:sz w:val="21"/>
          <w:b/>
          <w:shd w:fill="FFFFFF" w:val="clear"/>
        </w:rPr>
        <w:t>、本招标文件中，凡标有“★”的地方，投标人要特别加以注意，必须对此作出一一响应。若有一项带“★”的指标未响应或不满足，将导致其废标或投标无效。</w:t>
      </w:r>
    </w:p>
    <w:p>
      <w:pPr>
        <w:pStyle w:val="null3"/>
        <w:ind w:left="135"/>
        <w:jc w:val="both"/>
      </w:pPr>
      <w:r>
        <w:rPr>
          <w:sz w:val="21"/>
          <w:b/>
          <w:shd w:fill="FFFFFF" w:val="clear"/>
        </w:rPr>
        <w:t>3</w:t>
      </w:r>
      <w:r>
        <w:rPr>
          <w:sz w:val="21"/>
          <w:b/>
          <w:shd w:fill="FFFFFF" w:val="clear"/>
        </w:rPr>
        <w:t>、本项目对应的中小企业划分标准所属行业为：“租赁和商务服务业”。</w:t>
      </w:r>
    </w:p>
    <w:p>
      <w:pPr>
        <w:pStyle w:val="null3"/>
        <w:ind w:left="135"/>
        <w:jc w:val="both"/>
      </w:pPr>
      <w:r>
        <w:rPr>
          <w:sz w:val="21"/>
          <w:b/>
          <w:shd w:fill="FFFFFF" w:val="clear"/>
        </w:rPr>
        <w:t>4</w:t>
      </w:r>
      <w:r>
        <w:rPr>
          <w:sz w:val="21"/>
          <w:b/>
          <w:shd w:fill="FFFFFF" w:val="clear"/>
        </w:rPr>
        <w:t>、本项目不专门面向中小企业预留采购份额的理由：本项目属于面向中小企业预留采购份额无法确保充分供应、充分竞争，或者存在可能影响政府采购目标实现的情形。</w:t>
      </w:r>
    </w:p>
    <w:p>
      <w:pPr>
        <w:pStyle w:val="null3"/>
        <w:ind w:firstLine="480"/>
        <w:jc w:val="both"/>
      </w:pPr>
      <w:r>
        <w:rPr>
          <w:sz w:val="21"/>
          <w:b/>
        </w:rPr>
        <w:t>二、采购内容：</w:t>
      </w:r>
    </w:p>
    <w:p>
      <w:pPr>
        <w:pStyle w:val="null3"/>
        <w:ind w:firstLine="420"/>
        <w:jc w:val="both"/>
      </w:pPr>
      <w:r>
        <w:rPr>
          <w:sz w:val="21"/>
        </w:rPr>
        <w:t>为采购人提供知识城政府储备土地综合管护服务，负责委托管理地块的管护、环境卫生和安全管理；及时发现并有效制止违法用地、违法建设、地块被侵占、违规排放污染物、挖石挖沙取土和倾倒余泥渣土垃圾等行为；积极防范管护服务区域内发生火灾、土壤污染、水土流失、山体滑坡、泥石流、塌方、滚石等自然事故及扰乱公共秩序、妨害公共安全、侵犯人身权利、财产权利、妨害社会管理等治安、刑事案件；协助采购人完成其他工作。</w:t>
      </w:r>
    </w:p>
    <w:p>
      <w:pPr>
        <w:pStyle w:val="null3"/>
        <w:ind w:firstLine="420"/>
        <w:jc w:val="both"/>
      </w:pPr>
      <w:r>
        <w:rPr>
          <w:sz w:val="21"/>
        </w:rPr>
        <w:t>预算金额：¥4,000,000.00元（2026年拟安排数为¥1,600,000.00元，2027年拟安排数为¥2,400,000.00元。）</w:t>
      </w:r>
    </w:p>
    <w:tbl>
      <w:tblPr>
        <w:tblW w:w="0" w:type="auto"/>
        <w:tblBorders>
          <w:top w:val="none" w:color="000000" w:sz="4"/>
          <w:left w:val="none" w:color="000000" w:sz="4"/>
          <w:bottom w:val="none" w:color="000000" w:sz="4"/>
          <w:right w:val="none" w:color="000000" w:sz="4"/>
          <w:insideH w:val="none"/>
          <w:insideV w:val="none"/>
        </w:tblBorders>
      </w:tblPr>
      <w:tblGrid>
        <w:gridCol w:w="1298"/>
        <w:gridCol w:w="1211"/>
        <w:gridCol w:w="1384"/>
        <w:gridCol w:w="1817"/>
        <w:gridCol w:w="1298"/>
        <w:gridCol w:w="1298"/>
      </w:tblGrid>
      <w:tr>
        <w:tc>
          <w:tcPr>
            <w:tcW w:type="dxa" w:w="12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采购内容</w:t>
            </w:r>
          </w:p>
        </w:tc>
        <w:tc>
          <w:tcPr>
            <w:tcW w:type="dxa" w:w="1211"/>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中标供应商</w:t>
            </w:r>
          </w:p>
        </w:tc>
        <w:tc>
          <w:tcPr>
            <w:tcW w:type="dxa" w:w="1384"/>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合同履行期限</w:t>
            </w:r>
          </w:p>
        </w:tc>
        <w:tc>
          <w:tcPr>
            <w:tcW w:type="dxa" w:w="1817"/>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综合单价最高限价</w:t>
            </w:r>
          </w:p>
          <w:p>
            <w:pPr>
              <w:pStyle w:val="null3"/>
              <w:jc w:val="center"/>
            </w:pPr>
            <w:r>
              <w:rPr>
                <w:sz w:val="21"/>
                <w:b/>
              </w:rPr>
              <w:t>（每月每平方米）</w:t>
            </w:r>
          </w:p>
        </w:tc>
        <w:tc>
          <w:tcPr>
            <w:tcW w:type="dxa" w:w="1298"/>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采购预算</w:t>
            </w:r>
          </w:p>
          <w:p>
            <w:pPr>
              <w:pStyle w:val="null3"/>
              <w:jc w:val="center"/>
            </w:pPr>
            <w:r>
              <w:rPr>
                <w:sz w:val="21"/>
                <w:b/>
              </w:rPr>
              <w:t>人民币（元）</w:t>
            </w:r>
          </w:p>
        </w:tc>
        <w:tc>
          <w:tcPr>
            <w:tcW w:type="dxa" w:w="1298"/>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jc w:val="center"/>
            </w:pPr>
            <w:r>
              <w:rPr>
                <w:sz w:val="21"/>
                <w:b/>
              </w:rPr>
              <w:t>备注</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知识城已征未开发地块综合服务</w:t>
            </w:r>
          </w:p>
        </w:tc>
        <w:tc>
          <w:tcPr>
            <w:tcW w:type="dxa" w:w="12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自签订合同之日起1年。合同期满或提前终止时，合同自动终止。</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0.20</w:t>
            </w:r>
            <w:r>
              <w:rPr>
                <w:sz w:val="21"/>
              </w:rPr>
              <w:t>元</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¥4,000,000.00</w:t>
            </w:r>
            <w:r>
              <w:rPr>
                <w:sz w:val="21"/>
              </w:rPr>
              <w:t>元</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最终实施管理的地块及面积以采购人委托为准。</w:t>
            </w:r>
          </w:p>
        </w:tc>
      </w:tr>
    </w:tbl>
    <w:p>
      <w:pPr>
        <w:pStyle w:val="null3"/>
        <w:ind w:firstLine="422"/>
        <w:jc w:val="both"/>
      </w:pPr>
      <w:r>
        <w:rPr>
          <w:sz w:val="21"/>
          <w:b/>
        </w:rPr>
        <w:t>★注：委托管理费按中标供应商中标折扣率折算的综合单价、实际管理的面积、管理时间据实结算；项目执行期内，若服务质量考核不达标需扣减服务费，采购人将按考核结果核算扣款金额，在费用支付时直接扣除后再支付。</w:t>
      </w:r>
    </w:p>
    <w:p>
      <w:pPr>
        <w:pStyle w:val="null3"/>
      </w:pPr>
      <w:r>
        <w:rPr/>
        <w:t>采购包1（知识城已征未开发地块综合服务项目）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自签订合同之日起1年。合同期满或提前终止时，合同自动终止。</w:t>
            </w:r>
          </w:p>
        </w:tc>
      </w:tr>
      <w:tr>
        <w:tc>
          <w:tcPr>
            <w:tcW w:type="dxa" w:w="4153"/>
          </w:tcPr>
          <w:p>
            <w:pPr>
              <w:pStyle w:val="null3"/>
            </w:pPr>
            <w:r>
              <w:rPr/>
              <w:t>标的提供的地点</w:t>
            </w:r>
          </w:p>
        </w:tc>
        <w:tc>
          <w:tcPr>
            <w:tcW w:type="dxa" w:w="4153"/>
          </w:tcPr>
          <w:p>
            <w:pPr>
              <w:pStyle w:val="null3"/>
            </w:pPr>
            <w:r>
              <w:rPr/>
              <w:t>广州市黄埔区知识城。</w:t>
            </w:r>
          </w:p>
        </w:tc>
      </w:tr>
      <w:tr>
        <w:tc>
          <w:tcPr>
            <w:tcW w:type="dxa" w:w="4153"/>
          </w:tcPr>
          <w:p>
            <w:pPr>
              <w:pStyle w:val="null3"/>
            </w:pPr>
            <w:r>
              <w:rPr/>
              <w:t>付款方式</w:t>
            </w:r>
          </w:p>
        </w:tc>
        <w:tc>
          <w:tcPr>
            <w:tcW w:type="dxa" w:w="4153"/>
          </w:tcPr>
          <w:p>
            <w:pPr>
              <w:pStyle w:val="null3"/>
            </w:pPr>
            <w:r>
              <w:rPr/>
              <w:t>1期：支付比例100%,（1）服务期限为1年，委托管理费采用“综合单价×实际管理面积×管理时间”的方式计算，按月结算。综合单价按中标供应商中标折扣率折算。 （2）本项目委托管理费实行最高限价管理，合同金额（项目预算）即为费用结算的最高上限。实际发生的委托管理费用未超过合同金额，双方按实际发生额办理结算；实际发生的委托管理费用超出合同金额，按合同金额进行结算。因中标供应商违约或项目考核不达标产生的扣款，视为合同结算金额的组成部分，计入合同总额核算，采购人有权从应付服务费中直接扣除相应款项。 （3）合同签订生效后，采购人收到中标供应商提供的有效发票及完整请款资料，且在财政用款计划正式下达后5个工作日内，按国库集中支付制度相关规定，向中标供应商支付合同总金额的30%作为预付款。 （4）自合同签订之日起，中标供应商应于每月15日前向采购人提交上月服务结算文件及履约情况报告。项目执行期间，若服务质量考核未达标，采购人有权依据考核结果扣减相应服务费，并在月度结算金额中直接核减应付费用。每月进度款按经核定的结算金额的90%支付，剩余10%作为合同尾款。月度结算金额计算公式：综合单价最高限价×折扣率×实际管理面积。若服务期不足整月，按实际服务天数折算支付（按自然日计算，每月以30天为基准）。 进度款支付根据预付款余额情况分阶段处理： 阶段一：若预付款余额≥当月应付款项金额，则直接从预付款余额中抵扣当月结算款； 阶段二：若预付款余额＜当月应付款项金额，则结算款按以下公式计算支付：当月实际支付金额=当月应付款项金额-预付款余额。 采购人在收到中标供应商开具的等额、合法且符合财务规定的发票后5个工作日内，按国库集中支付流程办理付款手续。 （5）政府采购合同履行完毕且通过采购人组织的履约验收后，中标供应商向采购人提交等额、合法且符合财务规定的发票，采购人于收到发票后5个工作日内按国库集中支付流程一次性付清剩余10%的合同尾款。 （6）该管理费为全包价，包含人员工资、社保、装备、物资、围蔽、消杀、税费及风险金等所有费用。除合同另有约定外，采购人不再支付其他费用。 （7）当委托管理宗地的面积发生变化时，采购人对委托宗地面积进行变更，具体变更内容以采购人书面通知书为准。 （8）中标供应商凭以下有效文件与采购人结算： 1）合同； 2）中标供应商开具的正式发票； 3）请款报告和支付清单； 4）月度考核评分表； 5）各月度受委托管护地块管护报告。 （9）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1期：（1）每月服务考核要求： 中标供应商须严格按照采购人要求及约定时间节点提交相关报告。采购人将在支付服务费用前，以中标供应商当月实际管理面积及服务履约为依据，每月对其服务质量开展一次全面考核评估，并将考核结果作为支付服务费用的前置条件，具体考核细则如下(采购人可根据管护要求进行修订)： ①月度考核细则：（详见附表） ②考核实行月度百分制。月评分&lt;90分时，每低1分扣除当月服务费的5%；月评分&lt;70分时，不予支付当月服务费（采购人可视情况调整扣费标准）。 ③服务期内累计3次月评分&lt;70分，或针对问题整改3次仍不达标的，采购人有权上报政府采购监管部门并终止合同。 （2）合同履约验收要求 ①中标供应商按月编制《受委托管理地块管理报告》，于每月15日（休息日或法定节假日可顺延至下一个工作日）前向采购人提交上个月度受委托管理地块的管理情况。 ②服务期满或合同终止前，中标供应商需将所有档案资料（含电子档）装订成册，形成台账上交采购人。本项目产生的所有数据（航拍图、监控视频、测绘数据）归采购人所有，中标供应商不得留存或商用。 ③政府采购合同履行完毕，中标供应商应向采购人提交履约验收申请及项目全流程资料。采购人应在收到供应商验收申请及相关资料后七日内，依据《财政部关于印发&lt;政府采购需求管理办法&gt;的通知》（财库〔2021〕22号）、《广东省财政厅关于进一步加强政府采购需求管理工作的通知》（粤财采购函〔2023〕29号）及合同相关规定，结合本单位职能与项目实际情况组织考核验收。验收标准以采购文件、投标承诺及双方共同认可的各项要求为准。若验收不合格，中标供应商须配合进行返工或采取其他补救措施，直至满足合同约定及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①中标供应商应对其派驻人员的行为承担全部法律责任。若上述人员出现违法行为，或违反相关管理规定构成严重违纪、违规，或因履职不当给采购人及第三方造成损失的，中标供应商应承担全部责任并负责赔偿，同时采购人有权单方解除合同，并不承担任何违约责任。 ③中标供应商应按照委托管理方案，积极履行巡查和日常管理义务，并接受采购人对委托管理期间合同履行情况的考核。 ④本项目合同解除或终止时，中标供应商应按采购人通知的时间恢复地块原状，并配合采购人完成委托管理地块的移交工作。 ⑤土地的所有权、收益权全部归采购人所有，中标供应商仅享有本项目约定的委托管理权，中标供应商不得将本项目合同项下土地、建（构）筑物、附着物用于经营、出租、或提供给任何第三方使用。 ⑥在不增加车辆、路障设施、岗亭等数量的情况下，中标供应商应根据采购人要求提供其他需要管理地块的地块综合管理服务。 ⑦服务期内如遇公共市政配套等工程建设需要在委托管理地块上施工的，中标供应商应立即通知采购人，由采购人、中标供应商双方及项目建设方共同协商解决。 ⑧服务期内如管理土地遭遇第三方侵权，中标供应商应立即通知采购人，采取积极有效措施防止损害结果的扩大，并协助采购人向侵权方索赔。已征已收土地历史存在非法侵占、非法建筑及开垦耕种情况，在收到采购人书面通知后，中标供应商应在规定时间内协助采购人进行清理。 ⑨本次招标的投标报价应为人民币含税全包价，包括但不限于：1）服务人员（含管理人员）工资、保险、税费及相关费用；2）购置从事安保工作必备的统一工作服装、器械等装备费用；3）管护地块公示牌制作安装和日常维护保养费用；4）应急救援物资设备费用；5）管护管理地块环境卫生、虫害防治等措施费用；6）根据宗地管理需要对地块出入口设置巡查亭、路障，或对地块实施围蔽的费用；7）测量放桩、地形测量费用；8）其他地块管理相关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知识城已征未开发地块综合服务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4,000,000.00</w:t>
            </w:r>
          </w:p>
        </w:tc>
        <w:tc>
          <w:tcPr>
            <w:tcW w:type="dxa" w:w="831"/>
          </w:tcPr>
          <w:p>
            <w:pPr>
              <w:pStyle w:val="null3"/>
              <w:jc w:val="right"/>
            </w:pPr>
            <w:r>
              <w:rPr/>
              <w:t>4,000,000.00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知识城已征未开发地块综合服务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ind w:firstLine="420"/>
              <w:jc w:val="both"/>
            </w:pPr>
            <w:r>
              <w:rPr>
                <w:sz w:val="21"/>
              </w:rPr>
              <w:t>（一）综合管护与风险防控：中标供应商须为采购人提供知识城政府储备土地的综合管护服务，全面负责委托管理地块的秩序维护、环境卫生及安全管理。供应商应建立并严格执行巡查与管理制度，对违法用地、违法建设、地块侵占、违规排放污染物、挖石挖沙取土、倾倒余泥渣土垃圾等行为，做到及时发现、有效制止，并立即向采购人及相关主管部门报告。供应商应主动开展安全隐患排查与整改，采取切实有效的预防措施，防范火灾、土壤污染、水土流失、山体滑坡、泥石流、塌方、滚石等自然事故，以及扰乱公共秩序、妨害公共安全、侵犯人身及财产权利等治安或刑事案件的发生。一旦发生上述事件，供应商须立即启动应急预案，采取必要措施控制事态、防止损失扩大，并第一时间通知采购人，积极配合开展后续处置工作。</w:t>
            </w:r>
          </w:p>
          <w:p>
            <w:pPr>
              <w:pStyle w:val="null3"/>
              <w:ind w:firstLine="420"/>
              <w:jc w:val="both"/>
            </w:pPr>
            <w:r>
              <w:rPr>
                <w:sz w:val="21"/>
              </w:rPr>
              <w:t>（二）出入管控与资产保护：中标供应商应开展常态化综合管护，严格禁止任何未经采购人批准的车辆及人员进出受委托管护地块或借道通行。供应商应妥善管理和保护地块范围内的基础设施、建（构）筑物、林木、果树、绿地、围墙（网）等附着物，确保地块状况不因非自然因素或第三方侵害而发生未经采购人书面批准的改变。</w:t>
            </w:r>
          </w:p>
          <w:p>
            <w:pPr>
              <w:pStyle w:val="null3"/>
              <w:ind w:firstLine="420"/>
              <w:jc w:val="both"/>
            </w:pPr>
            <w:r>
              <w:rPr>
                <w:sz w:val="21"/>
              </w:rPr>
              <w:t>（三）环境卫生与消杀：中标供应商应负责地块的环境卫生保洁及病虫害防治工作，保证地块环境整洁、无垃圾杂物，符合所在区域公共卫生标准。供应商应按季度对地块开展虫害消杀作业，并于每季度首月10日（遇休息日或法定节假日顺延至下一个工作日）向采购人提交消杀工作报告。</w:t>
            </w:r>
          </w:p>
          <w:p>
            <w:pPr>
              <w:pStyle w:val="null3"/>
              <w:ind w:firstLine="420"/>
              <w:jc w:val="both"/>
            </w:pPr>
            <w:r>
              <w:rPr>
                <w:sz w:val="21"/>
              </w:rPr>
              <w:t>（四）巡查监督与记录：中标供应商应配合采购人对知识城已征未收土地开展巡查监督及航拍工作，及时报告巡查情况并按要求提供相关影像数据。</w:t>
            </w:r>
          </w:p>
          <w:p>
            <w:pPr>
              <w:pStyle w:val="null3"/>
              <w:ind w:firstLine="420"/>
              <w:jc w:val="both"/>
            </w:pPr>
            <w:r>
              <w:rPr>
                <w:sz w:val="21"/>
              </w:rPr>
              <w:t>（五）安全生产责任：中标供应商须严格贯彻执行国家及省市区安全生产管理相关法律法规、政策文件要求，全面落实各项安全管理措施。因供应商管理失职、未履行安全生产责任或未尽到合理管理义务，导致管护土地上发生人身伤亡、财产损害等安全事故的，由供应商承担全部法律责任及赔偿责任。若因此致使采购人向第三方承担赔偿责任的，采购人有权向供应商全额追偿，并要求供应商赔偿由此产生的全部损失（包括但不限于赔偿款、诉讼费、律师费等）。</w:t>
            </w:r>
          </w:p>
          <w:p>
            <w:pPr>
              <w:pStyle w:val="null3"/>
              <w:ind w:firstLine="420"/>
              <w:jc w:val="both"/>
            </w:pPr>
            <w:r>
              <w:rPr>
                <w:sz w:val="21"/>
              </w:rPr>
              <w:t>（六）突发事件应急处置：如遇突发事件，中标供应商应及时上报采购人及相关部门，做好应急处置并协助相关部门妥善处理。如因供应商失责或处置不当造成经济损失的，由中标供应商承担全部赔偿责任。</w:t>
            </w:r>
          </w:p>
          <w:p>
            <w:pPr>
              <w:pStyle w:val="null3"/>
              <w:ind w:firstLine="420"/>
              <w:jc w:val="both"/>
            </w:pPr>
            <w:r>
              <w:rPr>
                <w:sz w:val="21"/>
              </w:rPr>
              <w:t>（七）费用结算方式：委托管理费用按中标供应商实际管理时间结算。实际管理时间自采购人正式移交中标供应商管理之日起，至解除或终止委托管理宗地管理之日止（解除或终止日期以采购人发出书面通知书为准）。若实际管理期限存在非整月情况，管理费将精确到自然日支付（均按每月30日折算）。各投标供应商投标时需充分考虑由此带来的商业风险并自行承担。</w:t>
            </w:r>
          </w:p>
          <w:p>
            <w:pPr>
              <w:pStyle w:val="null3"/>
              <w:ind w:firstLine="420"/>
              <w:jc w:val="both"/>
            </w:pPr>
            <w:r>
              <w:rPr>
                <w:sz w:val="21"/>
              </w:rPr>
              <w:t>（八）合同变更与解除：因土地储备工作、开发建设和管理主体发生变更及政策调整等原因，导致本项目项下宗地全部或者部分使用或管理主体发生变更的，采购人有权单方提前变更、终止或部分解除本合同，中标供应商应无条件配合服从，采购人将以书面形式通知中标供应商。</w:t>
            </w:r>
          </w:p>
          <w:p>
            <w:pPr>
              <w:pStyle w:val="null3"/>
              <w:ind w:firstLine="420"/>
              <w:jc w:val="both"/>
            </w:pPr>
            <w:r>
              <w:rPr>
                <w:sz w:val="21"/>
              </w:rPr>
              <w:t>★</w:t>
            </w:r>
            <w:r>
              <w:rPr>
                <w:sz w:val="21"/>
              </w:rPr>
              <w:t>（九）禁止转包分包：中标供应商严禁将项目内容进行转包或分包，不得转移中标供应商的承包责任，不得对管护范围内的设施及布置任意作变更。否则，采购人有权单方面解除合同且不承担任何责任。（提供承诺函，格式自拟）</w:t>
            </w:r>
          </w:p>
          <w:p>
            <w:pPr>
              <w:pStyle w:val="null3"/>
              <w:ind w:firstLine="420"/>
              <w:jc w:val="both"/>
            </w:pPr>
            <w:r>
              <w:rPr>
                <w:sz w:val="21"/>
              </w:rPr>
              <w:t>（十）其他委托事项：采购人委托的其他相关管护工作。</w:t>
            </w:r>
          </w:p>
        </w:tc>
      </w:tr>
      <w:tr>
        <w:tc>
          <w:tcPr>
            <w:tcW w:type="dxa" w:w="2076"/>
          </w:tcPr>
          <w:p/>
        </w:tc>
        <w:tc>
          <w:tcPr>
            <w:tcW w:type="dxa" w:w="415"/>
          </w:tcPr>
          <w:p>
            <w:pPr>
              <w:pStyle w:val="null3"/>
            </w:pPr>
            <w:r>
              <w:rPr/>
              <w:t>2</w:t>
            </w:r>
          </w:p>
        </w:tc>
        <w:tc>
          <w:tcPr>
            <w:tcW w:type="dxa" w:w="5814"/>
          </w:tcPr>
          <w:p>
            <w:pPr>
              <w:pStyle w:val="null3"/>
              <w:jc w:val="both"/>
            </w:pPr>
            <w:r>
              <w:rPr>
                <w:sz w:val="21"/>
                <w:b/>
              </w:rPr>
              <w:t>二、服务事项要求：</w:t>
            </w:r>
          </w:p>
          <w:p>
            <w:pPr>
              <w:pStyle w:val="null3"/>
              <w:ind w:firstLine="420"/>
              <w:jc w:val="both"/>
            </w:pPr>
            <w:r>
              <w:rPr>
                <w:sz w:val="21"/>
              </w:rPr>
              <w:t>★（一）具体管护地块由采购人指派委托，以采购人书面发出的任务函为准，包括宗地坐落、面积、起始时间等，中标供应商须服从指派。</w:t>
            </w:r>
            <w:r>
              <w:rPr>
                <w:sz w:val="21"/>
                <w:b/>
              </w:rPr>
              <w:t>（提供承诺函，格式自拟）</w:t>
            </w:r>
          </w:p>
          <w:p>
            <w:pPr>
              <w:pStyle w:val="null3"/>
              <w:ind w:firstLine="420"/>
              <w:jc w:val="both"/>
            </w:pPr>
            <w:r>
              <w:rPr>
                <w:sz w:val="21"/>
              </w:rPr>
              <w:t>（二）中标供应商须在接到采购人通知后立即组织进场开展管护工作，并在15日内编制并提交具体管护方案。</w:t>
            </w:r>
            <w:r>
              <w:rPr>
                <w:sz w:val="21"/>
                <w:b/>
              </w:rPr>
              <w:t>（提供承诺函，格式自拟）</w:t>
            </w:r>
          </w:p>
          <w:p>
            <w:pPr>
              <w:pStyle w:val="null3"/>
              <w:ind w:firstLine="420"/>
              <w:jc w:val="both"/>
            </w:pPr>
            <w:r>
              <w:rPr>
                <w:sz w:val="21"/>
              </w:rPr>
              <w:t>1.</w:t>
            </w:r>
            <w:r>
              <w:rPr>
                <w:sz w:val="21"/>
              </w:rPr>
              <w:t>管护方案内容要求：方案应全面涵盖项目部设置、管理组织架构、管理地块现状分析、风险出入口位置及数量统计、岗亭设置规划、人员组成配置、具体管理方式及相关管理制度等核心内容。</w:t>
            </w:r>
          </w:p>
          <w:p>
            <w:pPr>
              <w:pStyle w:val="null3"/>
              <w:ind w:firstLine="420"/>
              <w:jc w:val="both"/>
            </w:pPr>
            <w:r>
              <w:rPr>
                <w:sz w:val="21"/>
              </w:rPr>
              <w:t>2.</w:t>
            </w:r>
            <w:r>
              <w:rPr>
                <w:sz w:val="21"/>
              </w:rPr>
              <w:t>地块排查与建档：中标供应商须对管理宗地开展“拉网式”排查，全面梳理宗地位置、面积、现状等基础信息，深入排查并分析存在的安全生产隐患问题。在此基础上建立信息库，形成“一地一册”标准化的地块管理手册，并据此针对性开展专业管理看护工作。</w:t>
            </w:r>
          </w:p>
          <w:p>
            <w:pPr>
              <w:pStyle w:val="null3"/>
              <w:ind w:firstLine="420"/>
              <w:jc w:val="both"/>
            </w:pPr>
            <w:r>
              <w:rPr>
                <w:sz w:val="21"/>
              </w:rPr>
              <w:t>3.</w:t>
            </w:r>
            <w:r>
              <w:rPr>
                <w:sz w:val="21"/>
              </w:rPr>
              <w:t>制度与应急保障：中标供应商应制定包含岗位职责在内的三级责任人清单、安全生产应急预案、应急救援物资设备台账（物资需随时备查）以及管护责任清单，并按要求提供相关备案资料。</w:t>
            </w:r>
          </w:p>
          <w:p>
            <w:pPr>
              <w:pStyle w:val="null3"/>
              <w:ind w:firstLine="420"/>
              <w:jc w:val="both"/>
            </w:pPr>
            <w:r>
              <w:rPr>
                <w:sz w:val="21"/>
              </w:rPr>
              <w:t>4.</w:t>
            </w:r>
            <w:r>
              <w:rPr>
                <w:sz w:val="21"/>
              </w:rPr>
              <w:t>项目部设置与响应时效：中标供应商须在中新广州知识城范围内设置实体项目部，并确保项目负责人在接到采购人通知后的一小时内抵达地块现场。</w:t>
            </w:r>
          </w:p>
          <w:p>
            <w:pPr>
              <w:pStyle w:val="null3"/>
              <w:ind w:firstLine="420"/>
              <w:jc w:val="both"/>
            </w:pPr>
            <w:r>
              <w:rPr>
                <w:sz w:val="21"/>
              </w:rPr>
              <w:t>（三）中标供应商应根据采购人指派的地地块提供现状固化材料</w:t>
            </w:r>
            <w:r>
              <w:rPr>
                <w:sz w:val="21"/>
                <w:b/>
              </w:rPr>
              <w:t>（提供承诺函，格式自拟）</w:t>
            </w:r>
            <w:r>
              <w:rPr>
                <w:sz w:val="21"/>
              </w:rPr>
              <w:t>。</w:t>
            </w:r>
          </w:p>
          <w:p>
            <w:pPr>
              <w:pStyle w:val="null3"/>
              <w:ind w:firstLine="420"/>
              <w:jc w:val="both"/>
            </w:pPr>
            <w:r>
              <w:rPr>
                <w:sz w:val="21"/>
              </w:rPr>
              <w:t>1.</w:t>
            </w:r>
            <w:r>
              <w:rPr>
                <w:sz w:val="21"/>
              </w:rPr>
              <w:t>入场交接确认：入场前，中标供应商须向采购人提供“现状航拍图”，作为双方确认并交接管理土地的依据。</w:t>
            </w:r>
          </w:p>
          <w:p>
            <w:pPr>
              <w:pStyle w:val="null3"/>
              <w:ind w:firstLine="420"/>
              <w:jc w:val="both"/>
            </w:pPr>
            <w:r>
              <w:rPr>
                <w:sz w:val="21"/>
              </w:rPr>
              <w:t>2.</w:t>
            </w:r>
            <w:r>
              <w:rPr>
                <w:sz w:val="21"/>
              </w:rPr>
              <w:t>界桩测绘与维护：须在入场15天内完成地块界限确认工作。对于未实施界桩的地块，须按测绘相关标准进行测量放桩，并提供包含注记、坐标、桩点分布现场照片的界桩测绘报告，界桩点应采用水泥或玻璃钢等耐久材质；对于已有界桩的地块，须负责日常维护保养，若界桩点发生变动，须在3个工作日内完成重新放桩更新。</w:t>
            </w:r>
          </w:p>
          <w:p>
            <w:pPr>
              <w:pStyle w:val="null3"/>
              <w:ind w:firstLine="420"/>
              <w:jc w:val="both"/>
            </w:pPr>
            <w:r>
              <w:rPr>
                <w:sz w:val="21"/>
              </w:rPr>
              <w:t>3.</w:t>
            </w:r>
            <w:r>
              <w:rPr>
                <w:sz w:val="21"/>
              </w:rPr>
              <w:t>航拍设备保障：中标供应商须配备航拍无人机用于日常管护及地块航拍更新。若无人机出现损坏，须及时维修或补充到位，严禁以此为由中断地块航拍图的更新工作。</w:t>
            </w:r>
          </w:p>
          <w:p>
            <w:pPr>
              <w:pStyle w:val="null3"/>
              <w:ind w:firstLine="420"/>
              <w:jc w:val="both"/>
            </w:pPr>
            <w:r>
              <w:rPr>
                <w:sz w:val="21"/>
              </w:rPr>
              <w:t>（四）开展日常综合管护，配置的管护人员及设施设备等须充分满足地块管护需求：</w:t>
            </w:r>
          </w:p>
          <w:p>
            <w:pPr>
              <w:pStyle w:val="null3"/>
              <w:ind w:firstLine="420"/>
              <w:jc w:val="both"/>
            </w:pPr>
            <w:r>
              <w:rPr>
                <w:sz w:val="21"/>
              </w:rPr>
              <w:t>1.</w:t>
            </w:r>
            <w:r>
              <w:rPr>
                <w:sz w:val="21"/>
              </w:rPr>
              <w:t>出入管控与现状保护：严禁任何未经批准的车辆及人员进出受委托管护地块或借道通行，坚决遏制违法用地、违法建设、非法倾倒排放、挖石挖沙取土等行为。须妥善管理和保护地块上的基础设施、建（构）筑物及其他附着物，确保在服务期限内，地块现状不发生任何未经批准的非自然因素改变。</w:t>
            </w:r>
          </w:p>
          <w:p>
            <w:pPr>
              <w:pStyle w:val="null3"/>
              <w:ind w:firstLine="420"/>
              <w:jc w:val="both"/>
            </w:pPr>
            <w:r>
              <w:rPr>
                <w:sz w:val="21"/>
              </w:rPr>
              <w:t>2.</w:t>
            </w:r>
            <w:r>
              <w:rPr>
                <w:sz w:val="21"/>
              </w:rPr>
              <w:t>公示与警示标识管理：须在各地块醒目位置设立地块公示牌，并做好日常维护保养，若地块面积等内容发生调整，须在5个工作日内完成公示牌的更新；须在存在安全隐患的位置设立警示牌，严防无关人员靠近隐患点。</w:t>
            </w:r>
          </w:p>
          <w:p>
            <w:pPr>
              <w:pStyle w:val="null3"/>
              <w:ind w:firstLine="420"/>
              <w:jc w:val="both"/>
            </w:pPr>
            <w:r>
              <w:rPr>
                <w:sz w:val="21"/>
              </w:rPr>
              <w:t>3.</w:t>
            </w:r>
            <w:r>
              <w:rPr>
                <w:sz w:val="21"/>
              </w:rPr>
              <w:t>环境卫生与消杀：定期开展管护地块范围内的环境卫生维护，确保卫生状况符合区域公共卫生标准；根据实际情况，每季度至少开展一次消杀工作并向采购人提交消杀报告。</w:t>
            </w:r>
          </w:p>
          <w:p>
            <w:pPr>
              <w:pStyle w:val="null3"/>
              <w:ind w:firstLine="420"/>
              <w:jc w:val="both"/>
            </w:pPr>
            <w:r>
              <w:rPr>
                <w:sz w:val="21"/>
              </w:rPr>
              <w:t>4.</w:t>
            </w:r>
            <w:r>
              <w:rPr>
                <w:sz w:val="21"/>
              </w:rPr>
              <w:t>绿化附属物保护：严禁私自处置、移植或砍伐管护地块内的林木、果树、绿地等绿化树木，并须切实做好防火、防盗等保护工作。</w:t>
            </w:r>
          </w:p>
          <w:p>
            <w:pPr>
              <w:pStyle w:val="null3"/>
              <w:ind w:firstLine="420"/>
              <w:jc w:val="both"/>
            </w:pPr>
            <w:r>
              <w:rPr>
                <w:sz w:val="21"/>
              </w:rPr>
              <w:t>5.</w:t>
            </w:r>
            <w:r>
              <w:rPr>
                <w:sz w:val="21"/>
              </w:rPr>
              <w:t>历史文化遗产保护：须对管护地块内的历史建筑、传统风貌、不可移动文化遗产及名木古树履行重点保护与监测责任。</w:t>
            </w:r>
          </w:p>
          <w:p>
            <w:pPr>
              <w:pStyle w:val="null3"/>
              <w:ind w:firstLine="420"/>
              <w:jc w:val="both"/>
            </w:pPr>
            <w:r>
              <w:rPr>
                <w:sz w:val="21"/>
              </w:rPr>
              <w:t>（五）若发生违法用地、违法建设、非法偷倒排放、挖石挖沙取土等违法行为，中标供应商须负责做好以下应急处置工作：</w:t>
            </w:r>
          </w:p>
          <w:p>
            <w:pPr>
              <w:pStyle w:val="null3"/>
              <w:ind w:firstLine="420"/>
              <w:jc w:val="both"/>
            </w:pPr>
            <w:r>
              <w:rPr>
                <w:sz w:val="21"/>
              </w:rPr>
              <w:t>1.</w:t>
            </w:r>
            <w:r>
              <w:rPr>
                <w:sz w:val="21"/>
              </w:rPr>
              <w:t>现场取证与上报：须利用巡查记录仪等设备做好现场取证，立即上报区城管、公安等相关执法部门请求派员处理，并在执法人员到场后积极配合做好问询等相关工作。</w:t>
            </w:r>
          </w:p>
          <w:p>
            <w:pPr>
              <w:pStyle w:val="null3"/>
              <w:ind w:firstLine="420"/>
              <w:jc w:val="both"/>
            </w:pPr>
            <w:r>
              <w:rPr>
                <w:sz w:val="21"/>
              </w:rPr>
              <w:t>2.</w:t>
            </w:r>
            <w:r>
              <w:rPr>
                <w:sz w:val="21"/>
              </w:rPr>
              <w:t>人员增援与控制：须在事发后半小时内增派不少于15名管护人员赶赴现场进行积极控制，防止局面进一步失控及恶化。</w:t>
            </w:r>
          </w:p>
          <w:p>
            <w:pPr>
              <w:pStyle w:val="null3"/>
              <w:ind w:firstLine="420"/>
              <w:jc w:val="both"/>
            </w:pPr>
            <w:r>
              <w:rPr>
                <w:sz w:val="21"/>
              </w:rPr>
              <w:t>3.</w:t>
            </w:r>
            <w:r>
              <w:rPr>
                <w:sz w:val="21"/>
              </w:rPr>
              <w:t>情况汇报：须将情况及时口头汇报采购人，并在3个工作日内向采购人提交正式书面报告。</w:t>
            </w:r>
          </w:p>
          <w:p>
            <w:pPr>
              <w:pStyle w:val="null3"/>
              <w:ind w:firstLine="420"/>
              <w:jc w:val="both"/>
            </w:pPr>
            <w:r>
              <w:rPr>
                <w:sz w:val="21"/>
              </w:rPr>
              <w:t>4.</w:t>
            </w:r>
            <w:r>
              <w:rPr>
                <w:sz w:val="21"/>
              </w:rPr>
              <w:t>限期恢复与验收：须在发现上述违法行为之日起10个工作日内，无偿将地块恢复原状并由采购人进行验收。若验收不通过，采购人有权依据合同相关条款进行处理。</w:t>
            </w:r>
          </w:p>
          <w:p>
            <w:pPr>
              <w:pStyle w:val="null3"/>
              <w:ind w:firstLine="420"/>
              <w:jc w:val="both"/>
            </w:pPr>
            <w:r>
              <w:rPr>
                <w:sz w:val="21"/>
              </w:rPr>
              <w:t>（六）中标供应商须按月编制《受委托管护地块管护报告》，于每月10日（遇休息日或法定节假日顺延至下一个工作日）向采购人提交上一个月的管护情况报告。</w:t>
            </w:r>
          </w:p>
          <w:p>
            <w:pPr>
              <w:pStyle w:val="null3"/>
              <w:ind w:firstLine="420"/>
              <w:jc w:val="both"/>
            </w:pPr>
            <w:r>
              <w:rPr>
                <w:sz w:val="21"/>
              </w:rPr>
              <w:t>（七）中标供应商应建立健全管理档案，档案内容须涵盖管理土地基础资料和日常管理资料，并随时接受采购人的调阅与检查。</w:t>
            </w:r>
          </w:p>
        </w:tc>
      </w:tr>
      <w:tr>
        <w:tc>
          <w:tcPr>
            <w:tcW w:type="dxa" w:w="2076"/>
          </w:tcPr>
          <w:p/>
        </w:tc>
        <w:tc>
          <w:tcPr>
            <w:tcW w:type="dxa" w:w="415"/>
          </w:tcPr>
          <w:p>
            <w:pPr>
              <w:pStyle w:val="null3"/>
            </w:pPr>
            <w:r>
              <w:rPr/>
              <w:t>3</w:t>
            </w:r>
          </w:p>
        </w:tc>
        <w:tc>
          <w:tcPr>
            <w:tcW w:type="dxa" w:w="5814"/>
          </w:tcPr>
          <w:p>
            <w:pPr>
              <w:pStyle w:val="null3"/>
              <w:jc w:val="both"/>
            </w:pPr>
            <w:r>
              <w:rPr>
                <w:sz w:val="21"/>
                <w:b/>
              </w:rPr>
              <w:t>三、服务保障要求：</w:t>
            </w:r>
          </w:p>
          <w:p>
            <w:pPr>
              <w:pStyle w:val="null3"/>
              <w:ind w:firstLine="420"/>
              <w:jc w:val="both"/>
            </w:pPr>
            <w:r>
              <w:rPr>
                <w:sz w:val="21"/>
              </w:rPr>
              <w:t>（一）人员与岗亭配置：中标供应商须根据具体受委托管护地块的实际情况制定管护服务方案。原则上，每宗地块应设置岗亭，且配置的管护人员数量及设施设备等必须充分满足地块的管护需求。采购人对岗亭的具体设置拥有建议权和最终审核权。</w:t>
            </w:r>
          </w:p>
          <w:p>
            <w:pPr>
              <w:pStyle w:val="null3"/>
              <w:ind w:firstLine="420"/>
              <w:jc w:val="both"/>
            </w:pPr>
            <w:r>
              <w:rPr>
                <w:sz w:val="21"/>
              </w:rPr>
              <w:t>（二）信息化与监控设备：中标供应商应配备相应设备（</w:t>
            </w:r>
            <w:r>
              <w:rPr>
                <w:sz w:val="21"/>
              </w:rPr>
              <w:t>如预警或巡护等信息化管理系统或软件等（包括但不限于调度指挥与应急响应类、过程管理与质量监管类、智能监控与风险预警类）</w:t>
            </w:r>
            <w:r>
              <w:rPr>
                <w:sz w:val="21"/>
              </w:rPr>
              <w:t>），以提升信息化管理水平。结合管护方案，须在具备条件的地块安装高清摄像头设备，且所安装设备须具备实时监控预警及录像回放功能。</w:t>
            </w:r>
          </w:p>
          <w:p>
            <w:pPr>
              <w:pStyle w:val="null3"/>
              <w:ind w:firstLine="420"/>
              <w:jc w:val="both"/>
            </w:pPr>
            <w:r>
              <w:rPr>
                <w:sz w:val="21"/>
              </w:rPr>
              <w:t>（三）项目负责人资质要求：</w:t>
            </w:r>
          </w:p>
          <w:p>
            <w:pPr>
              <w:pStyle w:val="null3"/>
              <w:ind w:firstLine="420"/>
              <w:jc w:val="both"/>
            </w:pPr>
            <w:r>
              <w:rPr>
                <w:sz w:val="21"/>
              </w:rPr>
              <w:t>1.</w:t>
            </w:r>
            <w:r>
              <w:rPr>
                <w:sz w:val="21"/>
              </w:rPr>
              <w:t>具备大专（含）及以上学历；</w:t>
            </w:r>
          </w:p>
          <w:p>
            <w:pPr>
              <w:pStyle w:val="null3"/>
              <w:ind w:firstLine="420"/>
              <w:jc w:val="both"/>
            </w:pPr>
            <w:r>
              <w:rPr>
                <w:sz w:val="21"/>
              </w:rPr>
              <w:t>2.</w:t>
            </w:r>
            <w:r>
              <w:rPr>
                <w:sz w:val="21"/>
              </w:rPr>
              <w:t>负责统筹管理现场各项工作，与相关单位保持常态化沟通，确保各方要求与指令在项目服务中得到有效贯彻实施；</w:t>
            </w:r>
          </w:p>
          <w:p>
            <w:pPr>
              <w:pStyle w:val="null3"/>
              <w:ind w:firstLine="420"/>
              <w:jc w:val="both"/>
            </w:pPr>
            <w:r>
              <w:rPr>
                <w:sz w:val="21"/>
              </w:rPr>
              <w:t>3.</w:t>
            </w:r>
            <w:r>
              <w:rPr>
                <w:sz w:val="21"/>
              </w:rPr>
              <w:t>具备较强的组织统筹能力与协调沟通能力，能够胜任综合服务管理工作；</w:t>
            </w:r>
          </w:p>
          <w:p>
            <w:pPr>
              <w:pStyle w:val="null3"/>
              <w:ind w:firstLine="420"/>
              <w:jc w:val="both"/>
            </w:pPr>
            <w:r>
              <w:rPr>
                <w:sz w:val="21"/>
              </w:rPr>
              <w:t>4.</w:t>
            </w:r>
            <w:r>
              <w:rPr>
                <w:sz w:val="21"/>
              </w:rPr>
              <w:t>具有同类项目的管理或服务工作经验。</w:t>
            </w:r>
          </w:p>
          <w:p>
            <w:pPr>
              <w:pStyle w:val="null3"/>
              <w:ind w:firstLine="420"/>
              <w:jc w:val="both"/>
            </w:pPr>
            <w:r>
              <w:rPr>
                <w:sz w:val="21"/>
              </w:rPr>
              <w:t>（四）负责人更换机制：投标文件所列明的项目负责人应投入到项目实际服务中，不得擅自更换。若确需更换的，应书面报采购人批准。项目实施阶段若项目负责人的管理能力无法满足项目需求，采购人有权要求中标供应商更换项目负责人，中标供应商必须无条件遵照执行。</w:t>
            </w:r>
          </w:p>
          <w:p>
            <w:pPr>
              <w:pStyle w:val="null3"/>
              <w:ind w:firstLine="420"/>
              <w:jc w:val="both"/>
            </w:pPr>
            <w:r>
              <w:rPr>
                <w:sz w:val="21"/>
              </w:rPr>
              <w:t>（五）人员培训与责任界定：中标供应商须定期对配置的管护人员进行培训，切实提高其专业水平及职业操守，确保管护人员熟知所管地块的红线范围、明确自身岗位职责并掌握突发事件的应急处理方法。服务期间，采购人将不定期按考核制度对管护人员的出勤、仪容仪表及工作情况进行抽查。管护人员在工作期间发生的任何安全事故，均由中标供应商承担全部责任。</w:t>
            </w:r>
          </w:p>
          <w:p>
            <w:pPr>
              <w:pStyle w:val="null3"/>
              <w:ind w:firstLine="420"/>
              <w:jc w:val="both"/>
            </w:pPr>
            <w:r>
              <w:rPr>
                <w:sz w:val="21"/>
              </w:rPr>
              <w:t>（六）巡查取证装备：中标供应商须为管护人员配备巡查记录仪，或提供具备同等功能的智能化信息平台，以保障巡查工作的可追溯性。</w:t>
            </w:r>
          </w:p>
          <w:p>
            <w:pPr>
              <w:pStyle w:val="null3"/>
              <w:ind w:firstLine="420"/>
              <w:jc w:val="both"/>
            </w:pPr>
            <w:r>
              <w:rPr>
                <w:sz w:val="21"/>
              </w:rPr>
              <w:t>（七）物理隔离设施：水泥隔离墩应根据地块管理的实际情况进行科学设置，重点布防于存在安全风险的出入口位置。</w:t>
            </w:r>
          </w:p>
          <w:p>
            <w:pPr>
              <w:pStyle w:val="null3"/>
              <w:ind w:firstLine="420"/>
              <w:jc w:val="both"/>
            </w:pPr>
            <w:r>
              <w:rPr>
                <w:sz w:val="21"/>
              </w:rPr>
              <w:t>（八）巡查车辆配置：中标供应商须为本项目提供不少于一辆专用的巡查机动车辆，以保障日常巡查与应急响应的机动性。</w:t>
            </w:r>
          </w:p>
          <w:p>
            <w:pPr>
              <w:pStyle w:val="null3"/>
              <w:ind w:firstLine="420"/>
              <w:jc w:val="both"/>
            </w:pPr>
            <w:r>
              <w:rPr>
                <w:sz w:val="21"/>
              </w:rPr>
              <w:t>（九）统一着装要求：中标供应商须为所有管护人员配备统一制式的工作服装，确保队伍形象规范整齐。</w:t>
            </w:r>
          </w:p>
          <w:p>
            <w:pPr>
              <w:pStyle w:val="null3"/>
              <w:ind w:firstLine="420"/>
              <w:jc w:val="both"/>
            </w:pPr>
            <w:r>
              <w:rPr>
                <w:sz w:val="21"/>
              </w:rPr>
              <w:t>（十）人员基本条件：所有管护人员的年龄须在18周岁至55周岁之间，且必须身体健康、品行良好。</w:t>
            </w:r>
          </w:p>
        </w:tc>
      </w:tr>
      <w:tr>
        <w:tc>
          <w:tcPr>
            <w:tcW w:type="dxa" w:w="2076"/>
          </w:tcPr>
          <w:p/>
        </w:tc>
        <w:tc>
          <w:tcPr>
            <w:tcW w:type="dxa" w:w="415"/>
          </w:tcPr>
          <w:p>
            <w:pPr>
              <w:pStyle w:val="null3"/>
            </w:pPr>
            <w:r>
              <w:rPr/>
              <w:t>4</w:t>
            </w:r>
          </w:p>
        </w:tc>
        <w:tc>
          <w:tcPr>
            <w:tcW w:type="dxa" w:w="5814"/>
          </w:tcPr>
          <w:p>
            <w:pPr>
              <w:pStyle w:val="null3"/>
              <w:jc w:val="both"/>
            </w:pPr>
            <w:r>
              <w:rPr>
                <w:sz w:val="21"/>
                <w:b/>
              </w:rPr>
              <w:t>四、服务制度要求：</w:t>
            </w:r>
          </w:p>
          <w:p>
            <w:pPr>
              <w:pStyle w:val="null3"/>
              <w:ind w:firstLine="420"/>
              <w:jc w:val="both"/>
            </w:pPr>
            <w:r>
              <w:rPr>
                <w:sz w:val="21"/>
              </w:rPr>
              <w:t>（一）人员岗位审核：采购人对中标供应商拟派出的管护人员岗位设置及具体管护工作安排拥有最终审核权。</w:t>
            </w:r>
          </w:p>
          <w:p>
            <w:pPr>
              <w:pStyle w:val="null3"/>
              <w:ind w:firstLine="420"/>
              <w:jc w:val="both"/>
            </w:pPr>
            <w:r>
              <w:rPr>
                <w:sz w:val="21"/>
              </w:rPr>
              <w:t>（二）安全管理制度备案：中标供应商须针对本项目制定总体管护方案，并建立健全安全生产管理体系，包括但不限于三级责任人清单（含岗位职责）、安全生产应急预案、应急救援队伍名册、应急救援物资设备台账（物资须随时备查）、管护责任清单及调度方案等。上述制度与方案须在实施前向采购人报备，并经采购人审核确认后方可执行。</w:t>
            </w:r>
          </w:p>
          <w:p>
            <w:pPr>
              <w:pStyle w:val="null3"/>
              <w:ind w:firstLine="420"/>
              <w:jc w:val="both"/>
            </w:pPr>
            <w:r>
              <w:rPr>
                <w:sz w:val="21"/>
              </w:rPr>
              <w:t>（三）人员背景审查：中标供应商须对拟派出的管护人员进行严格的背景审查与资质核验，确保所有录入系统的管护人员均无犯罪记录。</w:t>
            </w:r>
          </w:p>
          <w:p>
            <w:pPr>
              <w:pStyle w:val="null3"/>
              <w:ind w:firstLine="420"/>
              <w:jc w:val="both"/>
            </w:pPr>
            <w:r>
              <w:rPr>
                <w:sz w:val="21"/>
              </w:rPr>
              <w:t>（四）劳动用工与权益保障：中标供应商须严格遵守国家相关劳动法律法规及保险条例，为所有管护人员依法购买“五险一金”或意外伤害保险，切实保障员工在社会保险、劳动用工、劳动保护、工资福利等方面的合法权益，确保本项目顺利实施。若发生劳资纠纷等事件，由中标供应商全权负责解决，采购人不承担任何责任；若因此影响采购人的工作进度或给采购人带来不良社会影响，中标供应商须承担相应的法律责任，并赔偿采购人因此遭受的一切损失。</w:t>
            </w:r>
          </w:p>
          <w:p>
            <w:pPr>
              <w:pStyle w:val="null3"/>
              <w:ind w:firstLine="420"/>
              <w:jc w:val="both"/>
            </w:pPr>
            <w:r>
              <w:rPr>
                <w:sz w:val="21"/>
              </w:rPr>
              <w:t>（五）考勤与替补机制：中标供应商须在日常管护中建立并严格执行交接班、请（休）假等备案制度，采购人有权随时查阅并检查相关记录。如因管护人员休假、撤换或辞退等原因造成秩序维护岗位空缺，中标供应商须在当天内予以补充到位，确保护管力量不减。</w:t>
            </w:r>
          </w:p>
          <w:p>
            <w:pPr>
              <w:pStyle w:val="null3"/>
              <w:ind w:firstLine="420"/>
              <w:jc w:val="both"/>
            </w:pPr>
            <w:r>
              <w:rPr>
                <w:sz w:val="21"/>
              </w:rPr>
              <w:t>（六）人员更换机制：若中标供应商派出的管护人员管理能力不足或服务质量不达标，采购人有权要求中标供应商限期更换相关人员。</w:t>
            </w:r>
          </w:p>
          <w:p>
            <w:pPr>
              <w:pStyle w:val="null3"/>
              <w:ind w:firstLine="420"/>
              <w:jc w:val="both"/>
            </w:pPr>
            <w:r>
              <w:rPr>
                <w:sz w:val="21"/>
              </w:rPr>
              <w:t>（七）独立法律责任：若发生劳动争议，或管护人员出现伤、病及意外死亡等情况，均由中标供应商自行解决并承担相应的法律责任，采购人不承担任何连带责任。</w:t>
            </w:r>
          </w:p>
          <w:p>
            <w:pPr>
              <w:pStyle w:val="null3"/>
              <w:ind w:firstLine="420"/>
              <w:jc w:val="both"/>
            </w:pPr>
            <w:r>
              <w:rPr>
                <w:sz w:val="21"/>
              </w:rPr>
              <w:t>（八）职务侵权赔偿：中标供应商派出的管理人员在执行职务过程中造成第三人人身或财产损害的，由此引发的损害赔偿责任由中标供应商自行承担，与采购人无关。若因此导致采购人向第三人承担了责任，采购人在承担责任后，有权向中标供应商全额追偿，中标供应商应赔偿采购人因此遭受的实际损失。</w:t>
            </w:r>
          </w:p>
          <w:p>
            <w:pPr>
              <w:pStyle w:val="null3"/>
              <w:ind w:firstLine="420"/>
              <w:jc w:val="both"/>
            </w:pPr>
            <w:r>
              <w:rPr>
                <w:sz w:val="21"/>
              </w:rPr>
              <w:t>（九）保密责任：中标供应商及其参与本项目的所有服务人员，对在服务过程中接触到的采购人不允许公开发布的信息、文稿、数据等保密信息，负有严格的保密义务。</w:t>
            </w:r>
          </w:p>
          <w:p>
            <w:pPr>
              <w:pStyle w:val="null3"/>
              <w:ind w:firstLine="420"/>
              <w:jc w:val="both"/>
            </w:pPr>
            <w:r>
              <w:rPr>
                <w:sz w:val="21"/>
              </w:rPr>
              <w:t>（十）资料保密承诺：中标供应商须承诺对本项目原始资料进行严格保密。未经采购人书面同意，不得将本项目相关的资料、数据泄露给第三方，也不得将其用于履行本合同之外的其他用途，否则由中标供应商承担一切法律责任。项目完成后，采购人与中标供应商双方均对本项目的相关技术资料等负有持续保密义务。</w:t>
            </w:r>
          </w:p>
          <w:p>
            <w:pPr>
              <w:pStyle w:val="null3"/>
              <w:ind w:firstLine="420"/>
              <w:jc w:val="both"/>
            </w:pPr>
            <w:r>
              <w:rPr>
                <w:sz w:val="21"/>
              </w:rPr>
              <w:t>（十一）第三方资料限制：未经采购人事先书面同意，中标供应商不得将由采购人为本合同提供的资料提供给与本合同无关的任何第三方，不得将其用于履行本合同之外的其他用途。即使向与履行本合同有关的人员提供，也应注意保密并严格限于履行合同所必需的范围。</w:t>
            </w:r>
          </w:p>
        </w:tc>
      </w:tr>
      <w:tr>
        <w:tc>
          <w:tcPr>
            <w:tcW w:type="dxa" w:w="2076"/>
          </w:tcPr>
          <w:p/>
        </w:tc>
        <w:tc>
          <w:tcPr>
            <w:tcW w:type="dxa" w:w="415"/>
          </w:tcPr>
          <w:p>
            <w:pPr>
              <w:pStyle w:val="null3"/>
            </w:pPr>
            <w:r>
              <w:rPr/>
              <w:t>5</w:t>
            </w:r>
          </w:p>
        </w:tc>
        <w:tc>
          <w:tcPr>
            <w:tcW w:type="dxa" w:w="5814"/>
          </w:tcPr>
          <w:p>
            <w:pPr>
              <w:pStyle w:val="null3"/>
            </w:pPr>
            <w:r>
              <w:rPr>
                <w:sz w:val="21"/>
                <w:b/>
              </w:rPr>
              <w:t>五、违约责任</w:t>
            </w:r>
          </w:p>
          <w:p>
            <w:pPr>
              <w:pStyle w:val="null3"/>
              <w:ind w:firstLine="420"/>
              <w:jc w:val="both"/>
            </w:pPr>
            <w:r>
              <w:rPr>
                <w:sz w:val="21"/>
              </w:rPr>
              <w:t>（一）一般违约处理：服务期间，若中标供应商未能按合同或委托管理方案的规定履行义务，采购人有权暂停支付委托管理费用，并书面通知中标供应商限期整改。若中标供应商拒绝整改或整改结果不符合采购人要求，采购人有权单方面终止委托管理合同。在此情形下，中标供应商须向采购人支付相当于中标合同总价20%的违约金。</w:t>
            </w:r>
          </w:p>
          <w:p>
            <w:pPr>
              <w:pStyle w:val="null3"/>
              <w:ind w:firstLine="420"/>
              <w:jc w:val="both"/>
            </w:pPr>
            <w:r>
              <w:rPr>
                <w:sz w:val="21"/>
              </w:rPr>
              <w:t>（二）重大违约情形：服务期间，在委托管理的土地上出现下列情形之一的，采购人有权立即终止委托管理合同，中标供应商须向采购人支付相当于中标合同总价20%的违约金；若因此给采购人造成其他损失的，中标供应商还应承担相应的赔偿责任：</w:t>
            </w:r>
          </w:p>
          <w:p>
            <w:pPr>
              <w:pStyle w:val="null3"/>
              <w:ind w:firstLine="420"/>
              <w:jc w:val="both"/>
            </w:pPr>
            <w:r>
              <w:rPr>
                <w:sz w:val="21"/>
              </w:rPr>
              <w:t>1.</w:t>
            </w:r>
            <w:r>
              <w:rPr>
                <w:sz w:val="21"/>
              </w:rPr>
              <w:t>管理土地被非法侵占的；</w:t>
            </w:r>
          </w:p>
          <w:p>
            <w:pPr>
              <w:pStyle w:val="null3"/>
              <w:ind w:firstLine="420"/>
              <w:jc w:val="both"/>
            </w:pPr>
            <w:r>
              <w:rPr>
                <w:sz w:val="21"/>
              </w:rPr>
              <w:t>2.</w:t>
            </w:r>
            <w:r>
              <w:rPr>
                <w:sz w:val="21"/>
              </w:rPr>
              <w:t>管理土地上出现违法建筑的；</w:t>
            </w:r>
          </w:p>
          <w:p>
            <w:pPr>
              <w:pStyle w:val="null3"/>
              <w:ind w:firstLine="420"/>
              <w:jc w:val="both"/>
            </w:pPr>
            <w:r>
              <w:rPr>
                <w:sz w:val="21"/>
              </w:rPr>
              <w:t>3.</w:t>
            </w:r>
            <w:r>
              <w:rPr>
                <w:sz w:val="21"/>
              </w:rPr>
              <w:t>管理土地上出现非法利用储备土地从事生产经营活动的；</w:t>
            </w:r>
          </w:p>
          <w:p>
            <w:pPr>
              <w:pStyle w:val="null3"/>
              <w:ind w:firstLine="420"/>
              <w:jc w:val="both"/>
            </w:pPr>
            <w:r>
              <w:rPr>
                <w:sz w:val="21"/>
              </w:rPr>
              <w:t>4.</w:t>
            </w:r>
            <w:r>
              <w:rPr>
                <w:sz w:val="21"/>
              </w:rPr>
              <w:t>擅自将管理土地转包或分包，导致管理权部分或全部转移给第三方的；</w:t>
            </w:r>
          </w:p>
          <w:p>
            <w:pPr>
              <w:pStyle w:val="null3"/>
              <w:ind w:firstLine="420"/>
              <w:jc w:val="both"/>
            </w:pPr>
            <w:r>
              <w:rPr>
                <w:sz w:val="21"/>
              </w:rPr>
              <w:t>5.</w:t>
            </w:r>
            <w:r>
              <w:rPr>
                <w:sz w:val="21"/>
              </w:rPr>
              <w:t>不配合管理土地的清理、移交工作的；</w:t>
            </w:r>
          </w:p>
          <w:p>
            <w:pPr>
              <w:pStyle w:val="null3"/>
              <w:ind w:firstLine="420"/>
              <w:jc w:val="both"/>
            </w:pPr>
            <w:r>
              <w:rPr>
                <w:sz w:val="21"/>
              </w:rPr>
              <w:t>6.</w:t>
            </w:r>
            <w:r>
              <w:rPr>
                <w:sz w:val="21"/>
              </w:rPr>
              <w:t>违反土地管理法规，导致管理土地产生五亩以上违法用地，构成非法行为并被相关单位立案追诉的；</w:t>
            </w:r>
          </w:p>
          <w:p>
            <w:pPr>
              <w:pStyle w:val="null3"/>
              <w:ind w:firstLine="420"/>
              <w:jc w:val="both"/>
            </w:pPr>
            <w:r>
              <w:rPr>
                <w:sz w:val="21"/>
              </w:rPr>
              <w:t>7.</w:t>
            </w:r>
            <w:r>
              <w:rPr>
                <w:sz w:val="21"/>
              </w:rPr>
              <w:t>未严格遵守各项防疫规定，拒不履行疫情防控法定义务，引发疫情传播或造成疫情传播严重风险的；</w:t>
            </w:r>
          </w:p>
          <w:p>
            <w:pPr>
              <w:pStyle w:val="null3"/>
              <w:ind w:firstLine="420"/>
              <w:jc w:val="both"/>
            </w:pPr>
            <w:r>
              <w:rPr>
                <w:sz w:val="21"/>
              </w:rPr>
              <w:t>8.</w:t>
            </w:r>
            <w:r>
              <w:rPr>
                <w:sz w:val="21"/>
              </w:rPr>
              <w:t>因中标供应商未尽管理义务，导致管理土地上发生人身伤亡或财产损害事故的，中标供应商须承担全部赔偿责任。</w:t>
            </w:r>
          </w:p>
          <w:p>
            <w:pPr>
              <w:pStyle w:val="null3"/>
              <w:ind w:firstLine="420"/>
              <w:jc w:val="both"/>
            </w:pPr>
            <w:r>
              <w:rPr>
                <w:sz w:val="21"/>
              </w:rPr>
              <w:t>（三）合同终止交接：无论因何种原因导致本合同终止或解除，中标供应商在接到采购人的书面通知后，必须积极配合采购人完成各项交接工作。中标供应商不得以任何理由拖延办理交接手续，也不得无故滞留管理场地。否则，中标供应商须向采购人支付相当于中标合同总价20%的违约金。</w:t>
            </w:r>
          </w:p>
          <w:p>
            <w:pPr>
              <w:pStyle w:val="null3"/>
              <w:ind w:firstLine="420"/>
              <w:jc w:val="both"/>
            </w:pPr>
            <w:r>
              <w:rPr>
                <w:sz w:val="21"/>
              </w:rPr>
              <w:t>（四）政策与客观情况变更：本次招标范围内的全部或部分宗地，可能因土地储备工作、开发建设和管理主体发生变更以及政策调整等原因，导致无需中标供应商继续提供管理服务。在此情况下，采购人有权在书面通知中标供应商后，提前变更、终止本合同或解除部分委托管理内容，且采购人无需承担任何违约责任。各投标供应商在投标时应充分考虑由此带来的商业风险并自行承担。</w:t>
            </w:r>
          </w:p>
        </w:tc>
      </w:tr>
      <w:tr>
        <w:tc>
          <w:tcPr>
            <w:tcW w:type="dxa" w:w="2076"/>
          </w:tcPr>
          <w:p/>
        </w:tc>
        <w:tc>
          <w:tcPr>
            <w:tcW w:type="dxa" w:w="415"/>
          </w:tcPr>
          <w:p>
            <w:pPr>
              <w:pStyle w:val="null3"/>
            </w:pPr>
            <w:r>
              <w:rPr/>
              <w:t>6</w:t>
            </w:r>
          </w:p>
        </w:tc>
        <w:tc>
          <w:tcPr>
            <w:tcW w:type="dxa" w:w="5814"/>
          </w:tcPr>
          <w:p>
            <w:pPr>
              <w:pStyle w:val="null3"/>
            </w:pPr>
            <w:r>
              <w:rPr>
                <w:sz w:val="21"/>
              </w:rPr>
              <w:t>附表：</w:t>
            </w:r>
            <w:r>
              <w:rPr>
                <w:sz w:val="21"/>
              </w:rPr>
              <w:t>月度考核细则</w:t>
            </w:r>
          </w:p>
          <w:tbl>
            <w:tblGrid>
              <w:gridCol w:w="700"/>
              <w:gridCol w:w="606"/>
              <w:gridCol w:w="933"/>
              <w:gridCol w:w="2426"/>
              <w:gridCol w:w="0"/>
            </w:tblGrid>
            <w:tr>
              <w:tc>
                <w:tcPr>
                  <w:tcW w:type="dxa" w:w="4665"/>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知识城已征未开发地块综合服务管理月度考核表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受考核单位</w:t>
                  </w:r>
                </w:p>
              </w:tc>
              <w:tc>
                <w:tcPr>
                  <w:tcW w:type="dxa" w:w="335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考核时段</w:t>
                  </w:r>
                </w:p>
              </w:tc>
              <w:tc>
                <w:tcPr>
                  <w:tcW w:type="dxa" w:w="335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年  月</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tcBorders>
                    <w:top w:val="none" w:color="000000" w:sz="4"/>
                    <w:left w:val="singl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考核项目</w:t>
                  </w:r>
                </w:p>
              </w:tc>
              <w:tc>
                <w:tcPr>
                  <w:tcW w:type="dxa" w:w="606"/>
                  <w:tcBorders>
                    <w:top w:val="none" w:color="000000" w:sz="4"/>
                    <w:left w:val="non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检查标准</w:t>
                  </w:r>
                </w:p>
              </w:tc>
              <w:tc>
                <w:tcPr>
                  <w:tcW w:type="dxa" w:w="3359"/>
                  <w:gridSpan w:val="2"/>
                  <w:tcBorders>
                    <w:top w:val="none" w:color="000000" w:sz="4"/>
                    <w:left w:val="non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考核内容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基础履约与</w:t>
                  </w:r>
                </w:p>
                <w:p>
                  <w:pPr>
                    <w:pStyle w:val="null3"/>
                    <w:jc w:val="center"/>
                  </w:pPr>
                  <w:r>
                    <w:rPr>
                      <w:sz w:val="21"/>
                      <w:b/>
                    </w:rPr>
                    <w:t>资源配置</w:t>
                  </w:r>
                </w:p>
                <w:p>
                  <w:pPr>
                    <w:pStyle w:val="null3"/>
                    <w:jc w:val="center"/>
                  </w:pPr>
                  <w:r>
                    <w:rPr>
                      <w:sz w:val="21"/>
                      <w:b/>
                    </w:rPr>
                    <w:t>（20分）</w:t>
                  </w:r>
                </w:p>
              </w:tc>
              <w:tc>
                <w:tcPr>
                  <w:tcW w:type="dxa" w:w="6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合同履行与</w:t>
                  </w:r>
                </w:p>
                <w:p>
                  <w:pPr>
                    <w:pStyle w:val="null3"/>
                    <w:jc w:val="center"/>
                  </w:pPr>
                  <w:r>
                    <w:rPr>
                      <w:sz w:val="21"/>
                      <w:b/>
                    </w:rPr>
                    <w:t>设施配置</w:t>
                  </w: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未按照合同约定制定并执行管护方案，或未设立项目管理机构的；</w:t>
                  </w:r>
                </w:p>
                <w:p>
                  <w:pPr>
                    <w:pStyle w:val="null3"/>
                    <w:jc w:val="left"/>
                  </w:pPr>
                  <w:r>
                    <w:rPr>
                      <w:sz w:val="21"/>
                    </w:rPr>
                    <w:t>2.</w:t>
                  </w:r>
                  <w:r>
                    <w:rPr>
                      <w:sz w:val="21"/>
                    </w:rPr>
                    <w:t>未按要求配置岗亭、足额配备管护人员，或未设置石墩等基础设施的；</w:t>
                  </w:r>
                </w:p>
                <w:p>
                  <w:pPr>
                    <w:pStyle w:val="null3"/>
                    <w:jc w:val="left"/>
                  </w:pPr>
                  <w:r>
                    <w:rPr>
                      <w:sz w:val="21"/>
                    </w:rPr>
                    <w:t>3.</w:t>
                  </w:r>
                  <w:r>
                    <w:rPr>
                      <w:sz w:val="21"/>
                    </w:rPr>
                    <w:t>未按合同规定提供固化材料（航拍图、测量放桩记录、桩点维护记录），或未规范设置公示牌且未及时更新的；</w:t>
                  </w:r>
                </w:p>
                <w:p>
                  <w:pPr>
                    <w:pStyle w:val="null3"/>
                    <w:jc w:val="left"/>
                  </w:pPr>
                  <w:r>
                    <w:rPr>
                      <w:sz w:val="21"/>
                    </w:rPr>
                    <w:t>4.</w:t>
                  </w:r>
                  <w:r>
                    <w:rPr>
                      <w:sz w:val="21"/>
                    </w:rPr>
                    <w:t>未按要求配备必要设施设备保障的（无人机、灭火器材、巡查车辆、应急物资、巡查记录仪等）；</w:t>
                  </w:r>
                </w:p>
                <w:p>
                  <w:pPr>
                    <w:pStyle w:val="null3"/>
                    <w:jc w:val="left"/>
                  </w:pPr>
                  <w:r>
                    <w:rPr>
                      <w:sz w:val="21"/>
                    </w:rPr>
                    <w:t>5.</w:t>
                  </w:r>
                  <w:r>
                    <w:rPr>
                      <w:sz w:val="21"/>
                    </w:rPr>
                    <w:t>未建立管理台账或台账记录不完整的；</w:t>
                  </w:r>
                </w:p>
                <w:p>
                  <w:pPr>
                    <w:pStyle w:val="null3"/>
                    <w:jc w:val="left"/>
                  </w:pPr>
                  <w:r>
                    <w:rPr>
                      <w:sz w:val="21"/>
                    </w:rPr>
                    <w:t>抽查每发现一次每项扣10分。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人员管理与行为规范（20分）</w:t>
                  </w:r>
                </w:p>
              </w:tc>
              <w:tc>
                <w:tcPr>
                  <w:tcW w:type="dxa" w:w="6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考勤纪律与仪容风貌</w:t>
                  </w: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管护人员出勤抽查中，每发现一人次缺岗、脱岗的，扣10分，扣分不设上限。</w:t>
                  </w:r>
                </w:p>
                <w:p>
                  <w:pPr>
                    <w:pStyle w:val="null3"/>
                    <w:jc w:val="left"/>
                  </w:pPr>
                  <w:r>
                    <w:rPr>
                      <w:sz w:val="21"/>
                    </w:rPr>
                    <w:t>2.</w:t>
                  </w:r>
                  <w:r>
                    <w:rPr>
                      <w:sz w:val="21"/>
                    </w:rPr>
                    <w:t>执勤人员未按规定统一着装或着装不整的，每人次扣2分。</w:t>
                  </w:r>
                </w:p>
                <w:p>
                  <w:pPr>
                    <w:pStyle w:val="null3"/>
                    <w:jc w:val="left"/>
                  </w:pPr>
                  <w:r>
                    <w:rPr>
                      <w:sz w:val="21"/>
                    </w:rPr>
                    <w:t>3.</w:t>
                  </w:r>
                  <w:r>
                    <w:rPr>
                      <w:sz w:val="21"/>
                    </w:rPr>
                    <w:t>未严格执行考勤登记、巡查日志记录、防疫管理制度，或未为服务人员购买保险、存在拖欠工资行为的，每发现一项违规扣10分。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日常管护与环境卫生</w:t>
                  </w:r>
                </w:p>
                <w:p>
                  <w:pPr>
                    <w:pStyle w:val="null3"/>
                    <w:jc w:val="center"/>
                  </w:pPr>
                  <w:r>
                    <w:rPr>
                      <w:sz w:val="21"/>
                      <w:b/>
                    </w:rPr>
                    <w:t>（10分）</w:t>
                  </w:r>
                </w:p>
              </w:tc>
              <w:tc>
                <w:tcPr>
                  <w:tcW w:type="dxa" w:w="6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保洁消杀与市容整治</w:t>
                  </w: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未落实定期卫生清理、除虫消杀措施，或未按时提交消杀报告的，每次扣5分。</w:t>
                  </w:r>
                </w:p>
                <w:p>
                  <w:pPr>
                    <w:pStyle w:val="null3"/>
                    <w:jc w:val="left"/>
                  </w:pPr>
                  <w:r>
                    <w:rPr>
                      <w:sz w:val="21"/>
                    </w:rPr>
                    <w:t>2.</w:t>
                  </w:r>
                  <w:r>
                    <w:rPr>
                      <w:sz w:val="21"/>
                    </w:rPr>
                    <w:t>未定期对管护地块内的杂树进行清理修剪，或道路两侧、出入口、门岗等区域存在杂树灌木遮挡、垃圾堆积、黄泥裸露未覆盖绿网等影响市容情形的，每发现一次扣5分。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综合管控与履职实效（50分）</w:t>
                  </w:r>
                </w:p>
              </w:tc>
              <w:tc>
                <w:tcPr>
                  <w:tcW w:type="dxa" w:w="6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风险防控与职责落实</w:t>
                  </w: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发生违法用地、违建、非法倾倒、侵占、火灾、治安事件等，导致地块现状发生非自然因素改变的，每发现一次扣10分；若造成不良社会影响的，每次扣15分。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对违法用地、违建、非法倾倒等行为未采取有效制止措施，或对检查要求的整改事项未落实、整改不到位的，每次扣10分。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擅自将管护地块或设施出租、转租、提供给第三方使用或经营，擅自对管护范围内的设施及布置作变更，或违规转包、分包项目内容的，每发现一次扣10分。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管理期间发生土地被侵占、围墙（网）遭破坏、现场有人违规钓鱼，或未在规定时限内完成采购人要求的非法侵占清理、违建拆除、围墙修复等任务的，每发现一次扣10分。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未按时提交《受委托管理地块管护报告》，或报告内容存在雷同、数据不实、与航拍对比图不符等质量问题的，每次扣10分。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700"/>
                  <w:vMerge/>
                  <w:tcBorders>
                    <w:top w:val="none" w:color="000000" w:sz="4"/>
                    <w:left w:val="single" w:color="000000" w:sz="4"/>
                    <w:bottom w:val="single" w:color="000000" w:sz="4"/>
                    <w:right w:val="single" w:color="000000" w:sz="4"/>
                  </w:tcBorders>
                </w:tcPr>
                <w:p/>
              </w:tc>
              <w:tc>
                <w:tcPr>
                  <w:tcW w:type="dxa" w:w="606"/>
                  <w:vMerge/>
                  <w:tcBorders>
                    <w:top w:val="none" w:color="000000" w:sz="4"/>
                    <w:left w:val="none" w:color="000000" w:sz="4"/>
                    <w:bottom w:val="single" w:color="000000" w:sz="4"/>
                    <w:right w:val="single" w:color="000000" w:sz="4"/>
                  </w:tcBorders>
                </w:tcPr>
                <w:p/>
              </w:tc>
              <w:tc>
                <w:tcPr>
                  <w:tcW w:type="dxa" w:w="3359"/>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665"/>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本月地块考核总分：</w:t>
                  </w:r>
                  <w:r>
                    <w:rPr>
                      <w:sz w:val="21"/>
                      <w:u w:val="single"/>
                    </w:rPr>
                    <w:t xml:space="preserve">  **  </w:t>
                  </w:r>
                  <w:r>
                    <w:rPr>
                      <w:sz w:val="21"/>
                    </w:rPr>
                    <w:t>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466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注：（一）考核实行月度百分制。月评分&lt;90分时，每低1分扣除当月服务费的5%；月评分&lt;70分时，不予支付当月服务费（采购人可视情况调整扣费标准）。</w:t>
                  </w:r>
                </w:p>
                <w:p>
                  <w:pPr>
                    <w:pStyle w:val="null3"/>
                    <w:jc w:val="left"/>
                  </w:pPr>
                  <w:r>
                    <w:rPr>
                      <w:sz w:val="21"/>
                    </w:rPr>
                    <w:t>（二）服务期内累计3次月评分&lt;70分，或针对问题整改3次仍不达标的，采购人有权上报政府采购监管部门并终止合同。</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23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中标供应商签名、盖章确认:</w:t>
                  </w:r>
                </w:p>
                <w:p>
                  <w:pPr>
                    <w:pStyle w:val="null3"/>
                    <w:jc w:val="left"/>
                  </w:pPr>
                  <w:r>
                    <w:rPr>
                      <w:sz w:val="24"/>
                    </w:rPr>
                    <w:t xml:space="preserve">                  </w:t>
                  </w:r>
                  <w:r>
                    <w:rPr>
                      <w:sz w:val="21"/>
                    </w:rPr>
                    <w:t>年  月  日</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采购人盖章确认：</w:t>
                  </w:r>
                </w:p>
                <w:p>
                  <w:pPr>
                    <w:pStyle w:val="null3"/>
                    <w:jc w:val="left"/>
                  </w:pPr>
                  <w:r>
                    <w:rPr>
                      <w:sz w:val="24"/>
                    </w:rPr>
                    <w:t xml:space="preserve">                </w:t>
                  </w:r>
                  <w:r>
                    <w:rPr>
                      <w:sz w:val="21"/>
                    </w:rPr>
                    <w:t>年   月   日</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中新广州知识城合作项目服务管理中心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采购机构代理服务收费标准：中标人须向采购代理机构按如下标准和规定缴纳招标代理服务费（不含税）： （1）以项目中标金额作为招标代理服务费的计算基数； （2）招标代理服务费采用差额定率累进法进行计算，按照以下标准计取： 100万元以下的部分，按照1.5%计取； 100-500万元的部分，按照0.8%计取。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综合信用得分，（一）综合信用评价得分(属于商务部分的一部分)=投标人的广州公共资源交易信用评价（政府采购供应商信用评价分）×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w:t>
            </w:r>
          </w:p>
          <w:p>
            <w:pPr>
              <w:pStyle w:val="null3"/>
              <w:jc w:val="left"/>
            </w:pPr>
            <w:r>
              <w:rPr/>
              <w:t>2、履约评价，采购人负责对成交供应商的履约行为进行评价。采购人在合同备案后可通过广东政府采购智慧云平台-诚信管理-评价管理进行评价。评价结果会影响供应商的综合信用得分。</w:t>
            </w:r>
          </w:p>
          <w:p>
            <w:pPr>
              <w:pStyle w:val="null3"/>
              <w:jc w:val="left"/>
            </w:pPr>
            <w:r>
              <w:rPr/>
              <w:t>3、关于提供前期服务的供应商，为采购项目提供整体设计、规范编制或者项目管理、监理、检测等服务的供应商，不得再参加该采购项目的其他采购活动。</w:t>
            </w:r>
          </w:p>
          <w:p>
            <w:pPr>
              <w:pStyle w:val="null3"/>
              <w:jc w:val="left"/>
            </w:pPr>
            <w:r>
              <w:rPr/>
              <w:t>4.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知识城已征未开发地块综合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采购包1（知识城已征未开发地块综合服务项目）：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 服务由小微企业承接，报价给予K1的价格扣除（K1的取值为10% ），即：评标价＝修正后的报价*（1-K1）；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采购包1（知识城已征未开发地块综合服务项目）：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采购包1（知识城已征未开发地块综合服务项目）：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投标折扣率需是固定且唯一值。</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采购包1(知识城已征未开发地块综合服务项目):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服务总体实施方案 (10.0分)</w:t>
            </w:r>
          </w:p>
        </w:tc>
        <w:tc>
          <w:tcPr>
            <w:tcW w:type="dxa" w:w="5076"/>
          </w:tcPr>
          <w:p>
            <w:pPr>
              <w:pStyle w:val="null3"/>
              <w:jc w:val="left"/>
            </w:pPr>
            <w:r>
              <w:rPr/>
              <w:t>根据投标人针对本项目制定的服务总体实施方案（包括但不仅限于①对项目服务内容的熟悉理解程度；②实施计划；③工作流程等相关内容）情况进行综合评审： 1.服务总体实施方案对需求响应全面具体，完全熟悉本项目的服务内容，能提供详细且符合要求的实施计划和工作流程，工作流程图清晰，方案合理可行，能有效保障本项目实施，得10分； 2.服务总体实施方案对需求响应全面具体，基本了解本项目的服务内容，能提供符合要求的实施计划和工作流程但内容简单，或没有提供工作流程图，方案基本合理可行，基本能保障本项目实施，得6分； 3.服务总体实施方案对需求响应不全面具体，不太了解本项目的服务内容，提供实施计划和工作流程内容简单或部分欠缺，没有提供工作流程图，对于违法用地侵占和破坏行为不能提供措施或提供的措施不合理，方案不太合理，可行性低，不太能保障本项目实施，得2分； 4. 不提供不得分。</w:t>
            </w:r>
          </w:p>
        </w:tc>
      </w:tr>
      <w:tr>
        <w:tc>
          <w:tcPr>
            <w:tcW w:type="dxa" w:w="922"/>
            <w:gridSpan w:val="2"/>
            <w:vMerge/>
          </w:tcPr>
          <w:p/>
        </w:tc>
        <w:tc>
          <w:tcPr>
            <w:tcW w:type="dxa" w:w="2307"/>
          </w:tcPr>
          <w:p>
            <w:pPr>
              <w:pStyle w:val="null3"/>
              <w:jc w:val="left"/>
            </w:pPr>
            <w:r>
              <w:rPr/>
              <w:t>处理侵占、破环行为措施 (10.0分)</w:t>
            </w:r>
            <w:r>
              <w:rPr/>
              <w:t>）</w:t>
            </w:r>
          </w:p>
        </w:tc>
        <w:tc>
          <w:tcPr>
            <w:tcW w:type="dxa" w:w="5076"/>
          </w:tcPr>
          <w:p>
            <w:pPr>
              <w:pStyle w:val="null3"/>
              <w:jc w:val="left"/>
            </w:pPr>
            <w:r>
              <w:rPr/>
              <w:t>根据投标人针对本项目制定的处理侵占、破环行为措施（包括但不仅限于①违法用地侵占；②破坏行为；③违规排放污染物的措施等相关内容）情况进行综合评审： 1.对于违法用地侵占和破坏行为能提供针对性的措施，方案合理可行，能有效保障本项目实施，得10分； 2.对于违法用地侵占和破坏行为能提供部分措施，方案基本合理可行，基本能保障本项目实施，得6分； 3.对于违法用地侵占和破坏行为不能提供措施或提供的措施不合理，方案不太合理，可行性低，不太能保障本项目实施，得2分； 4.不提供不得分。</w:t>
            </w:r>
          </w:p>
        </w:tc>
      </w:tr>
      <w:tr>
        <w:tc>
          <w:tcPr>
            <w:tcW w:type="dxa" w:w="922"/>
            <w:gridSpan w:val="2"/>
            <w:vMerge/>
          </w:tcPr>
          <w:p/>
        </w:tc>
        <w:tc>
          <w:tcPr>
            <w:tcW w:type="dxa" w:w="2307"/>
          </w:tcPr>
          <w:p>
            <w:pPr>
              <w:pStyle w:val="null3"/>
              <w:jc w:val="left"/>
            </w:pPr>
            <w:r>
              <w:rPr/>
              <w:t>管护人员培训及管理措施 (10.0分)</w:t>
            </w:r>
            <w:r>
              <w:rPr/>
              <w:t>）</w:t>
            </w:r>
          </w:p>
        </w:tc>
        <w:tc>
          <w:tcPr>
            <w:tcW w:type="dxa" w:w="5076"/>
          </w:tcPr>
          <w:p>
            <w:pPr>
              <w:pStyle w:val="null3"/>
              <w:jc w:val="left"/>
            </w:pPr>
            <w:r>
              <w:rPr/>
              <w:t>根据投标人针对本项目制定的对管护人员培训及管理措施（包括但不仅限于①人员管理措施；②日常服务培训内容和安排；③专业技能提升措施等）情况进行综合评审： 1.管护人员培训及管理措施内容清晰详细，能提供具体且符合实际要求的人员管理措施，对于日常服务有针对性的培训内容和计划表，能提供专业技能提升措施，针对性强，实操性高，得10分； 2.管护人员培训及管理措施内容基本清晰，能提供符合实际要求的人员管理措施，但部分内容简单，对于日常服务有提供培训内容，但提供的计划表不清晰或没有提供，能提供基本的专业技能提升措施，具有一定的实操性，得6分； 3.管护人员培训及管理措施内容简单且不清晰，提供的措施内容简单且缺乏针对性，不太具有针对性和实操性，得2分； 4. 不提供不得分。</w:t>
            </w:r>
          </w:p>
        </w:tc>
      </w:tr>
      <w:tr>
        <w:tc>
          <w:tcPr>
            <w:tcW w:type="dxa" w:w="922"/>
            <w:gridSpan w:val="2"/>
            <w:vMerge/>
          </w:tcPr>
          <w:p/>
        </w:tc>
        <w:tc>
          <w:tcPr>
            <w:tcW w:type="dxa" w:w="2307"/>
          </w:tcPr>
          <w:p>
            <w:pPr>
              <w:pStyle w:val="null3"/>
              <w:jc w:val="left"/>
            </w:pPr>
            <w:r>
              <w:rPr/>
              <w:t>突发事件应急管理措施 (10.0分)</w:t>
            </w:r>
            <w:r>
              <w:rPr/>
              <w:t>）</w:t>
            </w:r>
          </w:p>
        </w:tc>
        <w:tc>
          <w:tcPr>
            <w:tcW w:type="dxa" w:w="5076"/>
          </w:tcPr>
          <w:p>
            <w:pPr>
              <w:pStyle w:val="null3"/>
              <w:jc w:val="left"/>
            </w:pPr>
            <w:r>
              <w:rPr/>
              <w:t>根据投标人针对本项目制定的突发事件应急管理措施（包括但不仅限于①安全生产应急措施；②应急救援物资台账；③应急事件处理措施；④应急队伍及工作职责等）情况进行综合评审： 1.突发事件应急管理措施内容全面，能提供具体且符合实际要求的安全生产应急措施，应急救援物资台账清晰，提供相关设备图片，符合实际工作要求，提供的应急事件处理措施内容针对性强，应急队伍及工作职责清晰，分工明确，能有效保障本项目实施，得10分； 2.突发事件应急管理措施内容基本全面，能提供实际要求的安全生产应急措施但部分内容简单，应急救援物资台账清晰但不能提供相关设备图片，提供的应急事件处理措施内容具有针对性，应急队伍及工作职责简单，内容不太清晰，分工基本合理，基本能保障本项目实施，得6分； 3.突发事件应急管理措施内容不全面，提供的安全生产应急措施不清晰，应急救援物资台账简单且不能提供相关设备图片，提供的应急事件处理措施内容不具有针对性或无提供，应急队伍及工作职责简单，内容不明确，不太能保障本项目实施，得2分； 4.不提供不得分。</w:t>
            </w:r>
          </w:p>
        </w:tc>
      </w:tr>
      <w:tr>
        <w:tc>
          <w:tcPr>
            <w:tcW w:type="dxa" w:w="922"/>
            <w:gridSpan w:val="2"/>
            <w:vMerge/>
          </w:tcPr>
          <w:p/>
        </w:tc>
        <w:tc>
          <w:tcPr>
            <w:tcW w:type="dxa" w:w="2307"/>
          </w:tcPr>
          <w:p>
            <w:pPr>
              <w:pStyle w:val="null3"/>
              <w:jc w:val="left"/>
            </w:pPr>
            <w:r>
              <w:rPr/>
              <w:t>重点管护监测措施 (10.0分)</w:t>
            </w:r>
            <w:r>
              <w:rPr/>
              <w:t>）</w:t>
            </w:r>
          </w:p>
        </w:tc>
        <w:tc>
          <w:tcPr>
            <w:tcW w:type="dxa" w:w="5076"/>
          </w:tcPr>
          <w:p>
            <w:pPr>
              <w:pStyle w:val="null3"/>
              <w:jc w:val="left"/>
            </w:pPr>
            <w:r>
              <w:rPr/>
              <w:t>根据投标人对本项目的重点管护监测措施（包括但不限于对管护地块内历史建筑、传统风貌、不可移动文化遗产、名木古树等）进行评审： 1.能够提供重点管护监测措施，且内容贴合本项目的服务工作要求，能够符合本项目的重点管护监测要求得10分； 2.能够提供重点管护监测措施，内容符合本项目的工作要求，但部分内容简单，基本能符合本项目的重点管护监测要求，得6分； 3.不太能够提供重点管护监测措施，内容简单或部分欠缺，且内容不太能符合本项目的工作要求，不太能符合本项目的重点管护监测要求，得2分； 4.不提供不得分。</w:t>
            </w:r>
          </w:p>
        </w:tc>
      </w:tr>
      <w:tr>
        <w:tc>
          <w:tcPr>
            <w:tcW w:type="dxa" w:w="922"/>
            <w:gridSpan w:val="2"/>
            <w:vMerge/>
          </w:tcPr>
          <w:p/>
        </w:tc>
        <w:tc>
          <w:tcPr>
            <w:tcW w:type="dxa" w:w="2307"/>
          </w:tcPr>
          <w:p>
            <w:pPr>
              <w:pStyle w:val="null3"/>
              <w:jc w:val="left"/>
            </w:pPr>
            <w:r>
              <w:rPr/>
              <w:t>日常综合管护措施 (10.0分)</w:t>
            </w:r>
            <w:r>
              <w:rPr/>
              <w:t>）</w:t>
            </w:r>
          </w:p>
        </w:tc>
        <w:tc>
          <w:tcPr>
            <w:tcW w:type="dxa" w:w="5076"/>
          </w:tcPr>
          <w:p>
            <w:pPr>
              <w:pStyle w:val="null3"/>
              <w:jc w:val="left"/>
            </w:pPr>
            <w:r>
              <w:rPr/>
              <w:t>根据投标人对本项目的日常综合管护措施（包括但不限于①日常管护措施；②环境卫生管护措施等）进行评审： 1.日常管护措施和环境卫生管护措施详细清晰明确，且内容贴合本项目的服务工作要求，能够符合本项目的日常综合管护要求得10分； 2.能够提供日常管护措施、环境卫生管护措施，内容符合本项目的工作要求，但部分内容简单，基本能符合本项目的日常管护要求，得6分； 3.不太能够提供日常管护措施、环境卫生管护措施，内容简单或部分欠缺，且内容不太能符合本项目的工作要求，不太能符合本项目的日常管护要求，得2分；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投标人2023年1月1日起至今，具有同类项目业绩的（合同内容包括土地管理服务或土地管护内容），每提供一个业绩得2.5分，最高得7.5分。 注：投标文件中需提供服务合同扫描件或中标/成交通知书复印件，时间以合同签订时间或合同内载明时间为准，不提供不得分。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拟投入的本项目负责人： 1.具有本科或以上学历得4分；具有专科学历得2分； 2.具有同类项目管理或服务工作经验（同类经验与评审“类似项目业绩”要求一致）：3分。 本项最高得7分。 注：需提供上述人员学历证明、工作经验证明及在本单位任职的证明材料（如加盖所在地区政府有关部门印章的缴纳日期在本项目投标截止日之前六个月以内任一月的《投保单》或《社会保险参保人员证明》，或单位代缴个人所得税税单等。），不提供不得分。</w:t>
            </w:r>
          </w:p>
        </w:tc>
      </w:tr>
      <w:tr>
        <w:tc>
          <w:tcPr>
            <w:tcW w:type="dxa" w:w="922"/>
            <w:gridSpan w:val="2"/>
            <w:vMerge/>
          </w:tcPr>
          <w:p/>
        </w:tc>
        <w:tc>
          <w:tcPr>
            <w:tcW w:type="dxa" w:w="2307"/>
          </w:tcPr>
          <w:p>
            <w:pPr>
              <w:pStyle w:val="null3"/>
              <w:jc w:val="left"/>
            </w:pPr>
            <w:r>
              <w:rPr/>
              <w:t>信息化管理 (8.0分)</w:t>
            </w:r>
          </w:p>
        </w:tc>
        <w:tc>
          <w:tcPr>
            <w:tcW w:type="dxa" w:w="5076"/>
          </w:tcPr>
          <w:p>
            <w:pPr>
              <w:pStyle w:val="null3"/>
              <w:jc w:val="left"/>
            </w:pPr>
            <w:r>
              <w:rPr/>
              <w:t>投标人拟投入与本项目相关的预警或巡护等信息化管理软件或设备： 1. 投标人提供以下承诺（格式自拟）：具备巡查记录仪以及项目开展时须在具备条件的地块安装高清摄像头设备，且所安装设备须具备实时监控预警及录像回放功能。提供以上承诺的，得2分。 2. 投标人在本项目中能投入以下软件（系统）的：调度指挥与应急响应类、过程管理与质量监管类、智能监控与风险预警类，每提供一类得2分，同一类别不重复得分，本项最高得6分。 注： （1）按上述第1小点要求提供承诺函（格式自拟），不提供该小点不得分。 （2）投标文件中需提供管理软件（系统）的功能介绍材料，无相关内容该小点不得分；以及需提供以下第①或第②任一的证明材料： ①当软件（系统）为自主研发的须提供软件著作权登记证书扫描件（复印件）； ②当软件（系统）非自主研发的须提供购买或租赁合同的扫描件（复印件）或软件著作权登记证书著作权人给予使用的授权书扫描件（复印件）。 （3）无提供或提供的内容不符合的不得分。</w:t>
            </w:r>
          </w:p>
        </w:tc>
      </w:tr>
      <w:tr>
        <w:tc>
          <w:tcPr>
            <w:tcW w:type="dxa" w:w="922"/>
            <w:gridSpan w:val="2"/>
            <w:vMerge/>
          </w:tcPr>
          <w:p/>
        </w:tc>
        <w:tc>
          <w:tcPr>
            <w:tcW w:type="dxa" w:w="2307"/>
          </w:tcPr>
          <w:p>
            <w:pPr>
              <w:pStyle w:val="null3"/>
              <w:jc w:val="left"/>
            </w:pPr>
            <w:r>
              <w:rPr/>
              <w:t>服务承诺 (2.5分)</w:t>
            </w:r>
          </w:p>
        </w:tc>
        <w:tc>
          <w:tcPr>
            <w:tcW w:type="dxa" w:w="5076"/>
          </w:tcPr>
          <w:p>
            <w:pPr>
              <w:pStyle w:val="null3"/>
              <w:jc w:val="left"/>
            </w:pPr>
            <w:r>
              <w:rPr/>
              <w:t>在接到采购人工作通知后，投标供应商承诺的服务响应时间： （1）在1小时（含）内响应并提供服务的，得2.5分； （2）在1小时以上-3小时（含）内响应并提供服务的，得1分； （3）其他或无提供不得分。 注：提供承诺函并加盖投标供应商公章，格式自拟。不符合或无提供不得分。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合同编号：穗开知合报批〔2025〕号</w:t>
      </w:r>
    </w:p>
    <w:p>
      <w:pPr>
        <w:pStyle w:val="null3"/>
        <w:jc w:val="center"/>
      </w:pPr>
      <w:r>
        <w:rPr>
          <w:sz w:val="44"/>
          <w:b/>
        </w:rPr>
        <w:t>广 东 省 政 府 采 购</w:t>
      </w:r>
    </w:p>
    <w:p>
      <w:pPr>
        <w:pStyle w:val="null3"/>
        <w:spacing w:before="75" w:after="75"/>
        <w:jc w:val="center"/>
      </w:pPr>
      <w:r>
        <w:rPr>
          <w:sz w:val="24"/>
          <w:b/>
        </w:rPr>
        <w:t xml:space="preserve"> </w:t>
      </w:r>
    </w:p>
    <w:p>
      <w:pPr>
        <w:pStyle w:val="null3"/>
        <w:spacing w:before="75" w:after="75"/>
        <w:jc w:val="center"/>
      </w:pPr>
      <w:r>
        <w:rPr>
          <w:sz w:val="44"/>
          <w:b/>
        </w:rPr>
        <w:t>合　同　书</w:t>
      </w:r>
    </w:p>
    <w:p>
      <w:pPr>
        <w:pStyle w:val="null3"/>
        <w:jc w:val="center"/>
      </w:pPr>
      <w:r>
        <w:br/>
      </w:r>
      <w:r>
        <w:br/>
      </w:r>
      <w:r>
        <w:rPr/>
        <w:t xml:space="preserve">  </w:t>
      </w:r>
    </w:p>
    <w:p>
      <w:pPr>
        <w:pStyle w:val="null3"/>
        <w:jc w:val="both"/>
      </w:pPr>
      <w:r>
        <w:rPr>
          <w:sz w:val="28"/>
          <w:b/>
        </w:rPr>
        <w:t>项目编号：</w:t>
      </w:r>
      <w:r>
        <w:rPr>
          <w:sz w:val="24"/>
          <w:u w:val="single"/>
        </w:rPr>
        <w:t xml:space="preserve">                                 </w:t>
      </w:r>
    </w:p>
    <w:p>
      <w:pPr>
        <w:pStyle w:val="null3"/>
        <w:ind w:left="2790"/>
        <w:jc w:val="both"/>
      </w:pPr>
      <w:r>
        <w:rPr>
          <w:sz w:val="28"/>
          <w:b/>
        </w:rPr>
        <w:t>项目名称：</w:t>
      </w:r>
      <w:r>
        <w:rPr>
          <w:sz w:val="28"/>
          <w:b/>
          <w:u w:val="single"/>
        </w:rPr>
        <w:t>知识城已征未开发地块综合服务项目</w:t>
      </w:r>
    </w:p>
    <w:p>
      <w:pPr>
        <w:pStyle w:val="null3"/>
        <w:jc w:val="both"/>
      </w:pPr>
      <w:r>
        <w:rPr>
          <w:sz w:val="21"/>
        </w:rPr>
        <w:t>甲　方：</w:t>
      </w:r>
      <w:r>
        <w:rPr>
          <w:sz w:val="21"/>
          <w:u w:val="single"/>
        </w:rPr>
        <w:t>中新广州知识城合作项目服务管理中心</w:t>
      </w:r>
    </w:p>
    <w:p>
      <w:pPr>
        <w:pStyle w:val="null3"/>
        <w:jc w:val="both"/>
      </w:pPr>
      <w:r>
        <w:rPr>
          <w:sz w:val="21"/>
        </w:rPr>
        <w:t>电　话：</w:t>
      </w:r>
      <w:r>
        <w:rPr>
          <w:sz w:val="21"/>
          <w:u w:val="single"/>
        </w:rPr>
        <w:t>020-82119639</w:t>
      </w:r>
    </w:p>
    <w:p>
      <w:pPr>
        <w:pStyle w:val="null3"/>
        <w:jc w:val="both"/>
      </w:pPr>
      <w:r>
        <w:rPr>
          <w:sz w:val="21"/>
        </w:rPr>
        <w:t>传　真：</w:t>
      </w:r>
      <w:r>
        <w:rPr>
          <w:sz w:val="21"/>
          <w:u w:val="single"/>
        </w:rPr>
        <w:t xml:space="preserve">     /     </w:t>
      </w:r>
    </w:p>
    <w:p>
      <w:pPr>
        <w:pStyle w:val="null3"/>
        <w:jc w:val="both"/>
      </w:pPr>
      <w:r>
        <w:rPr>
          <w:sz w:val="21"/>
        </w:rPr>
        <w:t>地　址：</w:t>
      </w:r>
      <w:r>
        <w:rPr>
          <w:sz w:val="21"/>
          <w:u w:val="single"/>
        </w:rPr>
        <w:t>广州市黄埔区中新广州知识城亿创街1号人才大厦30层</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根据</w:t>
      </w:r>
      <w:r>
        <w:rPr>
          <w:sz w:val="21"/>
          <w:u w:val="single"/>
        </w:rPr>
        <w:t>知识城已征未开发地块综合服务项目（项目编号：</w:t>
      </w:r>
      <w:r>
        <w:rPr>
          <w:sz w:val="21"/>
          <w:u w:val="single"/>
        </w:rPr>
        <w:t>ZZ0260313</w:t>
      </w:r>
      <w:r>
        <w:rPr>
          <w:sz w:val="21"/>
          <w:u w:val="single"/>
        </w:rPr>
        <w:t>）</w:t>
      </w:r>
      <w:r>
        <w:rPr>
          <w:sz w:val="21"/>
        </w:rPr>
        <w:t>的采购结果，按照《中华人民共和国政府采购法》及其实施条例、《中华人民共和国民法典》的规定，经双方协商，本着平等互利和诚实信用的原则，一致同意签订本协议如下。</w:t>
      </w:r>
    </w:p>
    <w:p>
      <w:pPr>
        <w:pStyle w:val="null3"/>
      </w:pPr>
      <w:r>
        <w:rPr>
          <w:sz w:val="21"/>
          <w:b/>
        </w:rPr>
        <w:t>一、服务内容</w:t>
      </w:r>
    </w:p>
    <w:p>
      <w:pPr>
        <w:pStyle w:val="null3"/>
        <w:ind w:firstLine="460"/>
        <w:jc w:val="both"/>
      </w:pPr>
      <w:r>
        <w:rPr>
          <w:sz w:val="21"/>
        </w:rPr>
        <w:t>甲方</w:t>
      </w:r>
      <w:r>
        <w:rPr>
          <w:sz w:val="21"/>
        </w:rPr>
        <w:t>委托乙方开展知识城政府储备土地综合服务，具体管护地块由甲方书面指派委托，</w:t>
      </w:r>
      <w:r>
        <w:rPr>
          <w:sz w:val="21"/>
        </w:rPr>
        <w:t>具体服务事项如下：</w:t>
      </w:r>
    </w:p>
    <w:p>
      <w:pPr>
        <w:pStyle w:val="null3"/>
        <w:ind w:firstLine="420"/>
      </w:pPr>
      <w:r>
        <w:rPr>
          <w:sz w:val="21"/>
        </w:rPr>
        <w:t>（一）综合管护与风险防控：乙方须为甲方提供</w:t>
      </w:r>
      <w:r>
        <w:rPr>
          <w:sz w:val="21"/>
        </w:rPr>
        <w:t>知识城政府储备</w:t>
      </w:r>
      <w:r>
        <w:rPr>
          <w:sz w:val="21"/>
        </w:rPr>
        <w:t>土地的综合管护服务，全面负责委托管理地块的秩序维护、环境卫生及安全管理。</w:t>
      </w:r>
      <w:r>
        <w:rPr>
          <w:sz w:val="21"/>
        </w:rPr>
        <w:t>乙方</w:t>
      </w:r>
      <w:r>
        <w:rPr>
          <w:sz w:val="21"/>
        </w:rPr>
        <w:t>应建立并严格执行巡查与管理制度，</w:t>
      </w:r>
      <w:r>
        <w:rPr>
          <w:sz w:val="21"/>
        </w:rPr>
        <w:t>对</w:t>
      </w:r>
      <w:r>
        <w:rPr>
          <w:sz w:val="21"/>
        </w:rPr>
        <w:t>违法用地、违法建设、地块侵占、违规排放污染物、挖石挖沙取土、倾倒余泥渣土垃圾等行为，做到及时发现、有效制止，并立即向甲方及相关主管部门报告。供应商应主动开展安全隐患排查与整改，采取切实有效的预防措施，防范火灾、土壤污染、水土流失、山体滑坡、泥石流、塌方、滚石等自然事故，以及扰乱公共秩序、妨害公共安全、侵犯人身及财产权利等治安或刑事案件的发生。一旦发生上述事件，</w:t>
      </w:r>
      <w:r>
        <w:rPr>
          <w:sz w:val="21"/>
        </w:rPr>
        <w:t>乙方</w:t>
      </w:r>
      <w:r>
        <w:rPr>
          <w:sz w:val="21"/>
        </w:rPr>
        <w:t>须立即启动应急预案，采取必要措施控制事态、防止损失扩大，并第一时间通知甲方，积极配合开展后续处置工作。</w:t>
      </w:r>
    </w:p>
    <w:p>
      <w:pPr>
        <w:pStyle w:val="null3"/>
        <w:ind w:firstLine="420"/>
      </w:pPr>
      <w:r>
        <w:rPr>
          <w:sz w:val="21"/>
        </w:rPr>
        <w:t>（二）出入管控与资产保护：乙方应开展常态化综合管护，严格禁止任何未经甲方批准的车辆及人员进出受委托管护地块或借道通行。</w:t>
      </w:r>
      <w:r>
        <w:rPr>
          <w:sz w:val="21"/>
        </w:rPr>
        <w:t>乙方</w:t>
      </w:r>
      <w:r>
        <w:rPr>
          <w:sz w:val="21"/>
        </w:rPr>
        <w:t>应妥善管理和保护地块范围内的基础设施、建（构）筑物、林木、果树、绿地、围墙（网）等附着物，确保地块状况不因非自然因素或第三方侵害而发生未经甲方书面批准的改变。</w:t>
      </w:r>
    </w:p>
    <w:p>
      <w:pPr>
        <w:pStyle w:val="null3"/>
        <w:ind w:firstLine="420"/>
      </w:pPr>
      <w:r>
        <w:rPr>
          <w:sz w:val="21"/>
        </w:rPr>
        <w:t>（三）环境卫生与消杀：乙方应负责地块的环境卫生保洁及病虫害防治工作，保证地块环境整洁、无垃圾杂物，符合所在区域公共卫生标准。</w:t>
      </w:r>
      <w:r>
        <w:rPr>
          <w:sz w:val="21"/>
        </w:rPr>
        <w:t>乙方</w:t>
      </w:r>
      <w:r>
        <w:rPr>
          <w:sz w:val="21"/>
        </w:rPr>
        <w:t>应按季度对地块开展虫害消杀作业，并于每季度首月</w:t>
      </w:r>
      <w:r>
        <w:rPr>
          <w:sz w:val="21"/>
        </w:rPr>
        <w:t>10</w:t>
      </w:r>
      <w:r>
        <w:rPr>
          <w:sz w:val="21"/>
        </w:rPr>
        <w:t>日（遇休息日或法定节假日顺延至下一个工作日）向甲方提交消杀工作报告。</w:t>
      </w:r>
    </w:p>
    <w:p>
      <w:pPr>
        <w:pStyle w:val="null3"/>
        <w:ind w:firstLine="420"/>
      </w:pPr>
      <w:r>
        <w:rPr>
          <w:sz w:val="21"/>
        </w:rPr>
        <w:t>（四）巡查监督与记录：乙方应配合甲方对知识城已征未收土地开展巡查监督及航拍工作，及时报告巡查情况并按要求提供相关影像数据。</w:t>
      </w:r>
    </w:p>
    <w:p>
      <w:pPr>
        <w:pStyle w:val="null3"/>
        <w:ind w:firstLine="420"/>
      </w:pPr>
      <w:r>
        <w:rPr>
          <w:sz w:val="21"/>
        </w:rPr>
        <w:t>（五）安全生产责任：乙方须严格贯彻执行国家及省市区安全生产管理相关法律法规、政策文件要求，全面落实各项安全管理措施。因</w:t>
      </w:r>
      <w:r>
        <w:rPr>
          <w:sz w:val="21"/>
        </w:rPr>
        <w:t>乙方</w:t>
      </w:r>
      <w:r>
        <w:rPr>
          <w:sz w:val="21"/>
        </w:rPr>
        <w:t>管理失职、未履行安全生产责任或未尽到合理管理义务，导致管护土地上发生人身伤亡、财产损害等安全事故的，由</w:t>
      </w:r>
      <w:r>
        <w:rPr>
          <w:sz w:val="21"/>
        </w:rPr>
        <w:t>乙方</w:t>
      </w:r>
      <w:r>
        <w:rPr>
          <w:sz w:val="21"/>
        </w:rPr>
        <w:t>承担全部法律责任及赔偿责任。若因此致使甲方向第三方承担赔偿责任的，甲方有权向</w:t>
      </w:r>
      <w:r>
        <w:rPr>
          <w:sz w:val="21"/>
        </w:rPr>
        <w:t>乙方</w:t>
      </w:r>
      <w:r>
        <w:rPr>
          <w:sz w:val="21"/>
        </w:rPr>
        <w:t>全额追偿，并要求</w:t>
      </w:r>
      <w:r>
        <w:rPr>
          <w:sz w:val="21"/>
        </w:rPr>
        <w:t>乙方</w:t>
      </w:r>
      <w:r>
        <w:rPr>
          <w:sz w:val="21"/>
        </w:rPr>
        <w:t>赔偿由此产生的全部损失（包括但不限于赔偿款、诉讼费、律师费等）。</w:t>
      </w:r>
    </w:p>
    <w:p>
      <w:pPr>
        <w:pStyle w:val="null3"/>
        <w:ind w:firstLine="420"/>
      </w:pPr>
      <w:r>
        <w:rPr>
          <w:sz w:val="21"/>
        </w:rPr>
        <w:t>（六）突发事件应急处置：如遇突发事件，乙方应及时上报甲方及相关部门，做好应急处置并协助相关部门妥善处理。如因</w:t>
      </w:r>
      <w:r>
        <w:rPr>
          <w:sz w:val="21"/>
        </w:rPr>
        <w:t>乙方</w:t>
      </w:r>
      <w:r>
        <w:rPr>
          <w:sz w:val="21"/>
        </w:rPr>
        <w:t>失责或处置不当造成经济损失的，由乙方承担全部赔偿责任。</w:t>
      </w:r>
    </w:p>
    <w:p>
      <w:pPr>
        <w:pStyle w:val="null3"/>
        <w:ind w:firstLine="420"/>
      </w:pPr>
      <w:r>
        <w:rPr>
          <w:sz w:val="21"/>
        </w:rPr>
        <w:t>（七）费用结算方式：委托管理费用按乙方实际管理时间结算。实际管理时间自甲方正式移交乙方管理之日起，至解除或终止委托管理宗地管理之日止（解除或终止日期以甲方发出书面通知书为准）。若实际管理期限存在非整月情况，管理费将精确到自然日支付（均按每月</w:t>
      </w:r>
      <w:r>
        <w:rPr>
          <w:sz w:val="21"/>
        </w:rPr>
        <w:t>30</w:t>
      </w:r>
      <w:r>
        <w:rPr>
          <w:sz w:val="21"/>
        </w:rPr>
        <w:t>日折算）</w:t>
      </w:r>
      <w:r>
        <w:rPr>
          <w:sz w:val="21"/>
        </w:rPr>
        <w:t>，</w:t>
      </w:r>
      <w:r>
        <w:rPr>
          <w:sz w:val="21"/>
        </w:rPr>
        <w:t>由此带来的商业风险</w:t>
      </w:r>
      <w:r>
        <w:rPr>
          <w:sz w:val="21"/>
        </w:rPr>
        <w:t>由乙方</w:t>
      </w:r>
      <w:r>
        <w:rPr>
          <w:sz w:val="21"/>
        </w:rPr>
        <w:t>自行承担。</w:t>
      </w:r>
    </w:p>
    <w:p>
      <w:pPr>
        <w:pStyle w:val="null3"/>
        <w:ind w:firstLine="420"/>
      </w:pPr>
      <w:r>
        <w:rPr>
          <w:sz w:val="21"/>
        </w:rPr>
        <w:t>（八）合同变更与解除：因土地储备工作、开发建设和管理主体发生变更及政策调整等原因，导致本项目项下宗地全部或者部分使用或管理主体发生变更的，甲方有权单方提前变更、终止或部分解除本合同，乙方应无条件配合服从，甲方将以书面形式通知乙方。</w:t>
      </w:r>
    </w:p>
    <w:p>
      <w:pPr>
        <w:pStyle w:val="null3"/>
        <w:ind w:firstLine="420"/>
      </w:pPr>
      <w:r>
        <w:rPr>
          <w:sz w:val="21"/>
        </w:rPr>
        <w:t>（九）禁止转包分包：乙方严禁将项目内容进行转包或分包，不得转移乙方的承包责任，不得对管护范围内的设施及布置任意作变更。否则，甲方有权单方面解除合同且不承担任何责任。</w:t>
      </w:r>
    </w:p>
    <w:p>
      <w:pPr>
        <w:pStyle w:val="null3"/>
        <w:ind w:firstLine="420"/>
      </w:pPr>
      <w:r>
        <w:rPr>
          <w:sz w:val="21"/>
        </w:rPr>
        <w:t>（十）其他委托事项：甲方委托的其他相关管护工作。</w:t>
      </w:r>
    </w:p>
    <w:p>
      <w:pPr>
        <w:pStyle w:val="null3"/>
      </w:pPr>
      <w:r>
        <w:rPr>
          <w:sz w:val="21"/>
          <w:b/>
        </w:rPr>
        <w:t>二、委托管理服务期限</w:t>
      </w:r>
    </w:p>
    <w:p>
      <w:pPr>
        <w:pStyle w:val="null3"/>
        <w:ind w:firstLine="420"/>
      </w:pPr>
      <w:r>
        <w:rPr>
          <w:sz w:val="21"/>
        </w:rPr>
        <w:t>自签订合同之日起</w:t>
      </w:r>
      <w:r>
        <w:rPr>
          <w:sz w:val="21"/>
        </w:rPr>
        <w:t>1</w:t>
      </w:r>
      <w:r>
        <w:rPr>
          <w:sz w:val="21"/>
        </w:rPr>
        <w:t>年。合同期满或提前终止时，合同自动终止。</w:t>
      </w:r>
    </w:p>
    <w:p>
      <w:pPr>
        <w:pStyle w:val="null3"/>
      </w:pPr>
      <w:r>
        <w:rPr>
          <w:sz w:val="21"/>
          <w:b/>
        </w:rPr>
        <w:t>三、委托管理费用及其支付</w:t>
      </w:r>
    </w:p>
    <w:p>
      <w:pPr>
        <w:pStyle w:val="null3"/>
        <w:ind w:firstLine="480"/>
        <w:jc w:val="both"/>
      </w:pPr>
      <w:r>
        <w:rPr>
          <w:sz w:val="21"/>
        </w:rPr>
        <w:t>（一）按中标</w:t>
      </w:r>
      <w:r>
        <w:rPr>
          <w:sz w:val="21"/>
        </w:rPr>
        <w:t>折扣率</w:t>
      </w:r>
      <w:r>
        <w:rPr>
          <w:sz w:val="20"/>
          <w:u w:val="single"/>
        </w:rPr>
        <w:t xml:space="preserve">     </w:t>
      </w:r>
      <w:r>
        <w:rPr>
          <w:sz w:val="21"/>
        </w:rPr>
        <w:t>%</w:t>
      </w:r>
      <w:r>
        <w:rPr>
          <w:sz w:val="21"/>
        </w:rPr>
        <w:t>，折算的中标综合单价</w:t>
      </w:r>
      <w:r>
        <w:rPr>
          <w:sz w:val="20"/>
          <w:u w:val="single"/>
        </w:rPr>
        <w:t xml:space="preserve">     </w:t>
      </w:r>
      <w:r>
        <w:rPr>
          <w:sz w:val="21"/>
        </w:rPr>
        <w:t>元</w:t>
      </w:r>
      <w:r>
        <w:rPr>
          <w:sz w:val="21"/>
        </w:rPr>
        <w:t>/</w:t>
      </w:r>
      <w:r>
        <w:rPr>
          <w:sz w:val="21"/>
        </w:rPr>
        <w:t>每月每平方米，中标控制总价（预算金额）为</w:t>
      </w:r>
      <w:r>
        <w:rPr>
          <w:sz w:val="21"/>
        </w:rPr>
        <w:t>¥</w:t>
      </w:r>
      <w:r>
        <w:rPr>
          <w:sz w:val="21"/>
          <w:u w:val="single"/>
        </w:rPr>
        <w:t xml:space="preserve">          </w:t>
      </w:r>
      <w:r>
        <w:rPr>
          <w:sz w:val="21"/>
        </w:rPr>
        <w:t>元，合同最终价结算价不得超过中标控制总价。管理费用计算方式：</w:t>
      </w:r>
      <w:r>
        <w:rPr>
          <w:sz w:val="20"/>
          <w:u w:val="single"/>
        </w:rPr>
        <w:t xml:space="preserve">      </w:t>
      </w:r>
      <w:r>
        <w:rPr>
          <w:sz w:val="21"/>
        </w:rPr>
        <w:t>平方米管理面积</w:t>
      </w:r>
      <w:r>
        <w:rPr>
          <w:sz w:val="21"/>
        </w:rPr>
        <w:t>*</w:t>
      </w:r>
      <w:r>
        <w:rPr>
          <w:sz w:val="21"/>
          <w:u w:val="single"/>
        </w:rPr>
        <w:t xml:space="preserve">      </w:t>
      </w:r>
      <w:r>
        <w:rPr>
          <w:sz w:val="21"/>
        </w:rPr>
        <w:t>元</w:t>
      </w:r>
      <w:r>
        <w:rPr>
          <w:sz w:val="21"/>
        </w:rPr>
        <w:t>*12</w:t>
      </w:r>
      <w:r>
        <w:rPr>
          <w:sz w:val="21"/>
        </w:rPr>
        <w:t>个月</w:t>
      </w:r>
      <w:r>
        <w:rPr>
          <w:sz w:val="21"/>
        </w:rPr>
        <w:t>=</w:t>
      </w:r>
      <w:r>
        <w:rPr>
          <w:sz w:val="21"/>
          <w:u w:val="single"/>
        </w:rPr>
        <w:t xml:space="preserve">      </w:t>
      </w:r>
      <w:r>
        <w:rPr>
          <w:sz w:val="21"/>
        </w:rPr>
        <w:t>元，其中每月</w:t>
      </w:r>
      <w:r>
        <w:rPr>
          <w:sz w:val="20"/>
          <w:u w:val="single"/>
        </w:rPr>
        <w:t xml:space="preserve">     </w:t>
      </w:r>
      <w:r>
        <w:rPr>
          <w:sz w:val="21"/>
        </w:rPr>
        <w:t>元。（计算方式保留</w:t>
      </w:r>
      <w:r>
        <w:rPr>
          <w:sz w:val="21"/>
        </w:rPr>
        <w:t>2</w:t>
      </w:r>
      <w:r>
        <w:rPr>
          <w:sz w:val="21"/>
        </w:rPr>
        <w:t>个小数点）。按月份结算。</w:t>
      </w:r>
    </w:p>
    <w:p>
      <w:pPr>
        <w:pStyle w:val="null3"/>
        <w:ind w:firstLine="480"/>
      </w:pPr>
      <w:r>
        <w:rPr>
          <w:sz w:val="21"/>
        </w:rPr>
        <w:t>（</w:t>
      </w:r>
      <w:r>
        <w:rPr>
          <w:sz w:val="21"/>
        </w:rPr>
        <w:t>1</w:t>
      </w:r>
      <w:r>
        <w:rPr>
          <w:sz w:val="21"/>
        </w:rPr>
        <w:t>）服务期限为</w:t>
      </w:r>
      <w:r>
        <w:rPr>
          <w:sz w:val="21"/>
        </w:rPr>
        <w:t>1</w:t>
      </w:r>
      <w:r>
        <w:rPr>
          <w:sz w:val="21"/>
        </w:rPr>
        <w:t>年，委托管理费采用“综合单价×实际管理面积×管理时间”的方式计算，按月结算。综合单价按乙方中标</w:t>
      </w:r>
      <w:r>
        <w:rPr>
          <w:sz w:val="21"/>
          <w:b/>
        </w:rPr>
        <w:t>折扣率</w:t>
      </w:r>
      <w:r>
        <w:rPr>
          <w:sz w:val="21"/>
        </w:rPr>
        <w:t>折算。</w:t>
      </w:r>
    </w:p>
    <w:p>
      <w:pPr>
        <w:pStyle w:val="null3"/>
        <w:ind w:firstLine="480"/>
      </w:pPr>
      <w:r>
        <w:rPr>
          <w:sz w:val="21"/>
        </w:rPr>
        <w:t>（</w:t>
      </w:r>
      <w:r>
        <w:rPr>
          <w:sz w:val="21"/>
        </w:rPr>
        <w:t>2</w:t>
      </w:r>
      <w:r>
        <w:rPr>
          <w:sz w:val="21"/>
        </w:rPr>
        <w:t>）本</w:t>
      </w:r>
      <w:r>
        <w:rPr>
          <w:sz w:val="21"/>
        </w:rPr>
        <w:t>合同</w:t>
      </w:r>
      <w:r>
        <w:rPr>
          <w:sz w:val="21"/>
        </w:rPr>
        <w:t>委托管理费实行最高限价管理，合同金额</w:t>
      </w:r>
      <w:r>
        <w:rPr>
          <w:sz w:val="21"/>
        </w:rPr>
        <w:t>（</w:t>
      </w:r>
      <w:r>
        <w:rPr>
          <w:sz w:val="21"/>
        </w:rPr>
        <w:t>¥</w:t>
      </w:r>
      <w:r>
        <w:rPr>
          <w:sz w:val="21"/>
          <w:u w:val="single"/>
        </w:rPr>
        <w:t xml:space="preserve">          </w:t>
      </w:r>
      <w:r>
        <w:rPr>
          <w:sz w:val="21"/>
        </w:rPr>
        <w:t>元</w:t>
      </w:r>
      <w:r>
        <w:rPr>
          <w:sz w:val="21"/>
        </w:rPr>
        <w:t>）</w:t>
      </w:r>
      <w:r>
        <w:rPr>
          <w:sz w:val="21"/>
        </w:rPr>
        <w:t>即为费用结算的最高上限。实际发生的委托管理费用未超过合同金额，双方按实际发生额办理结算；实际发生的委托管理费用超出合同金额，按合同金额进行结算 。因乙方违约或项目考核不达标产生的扣款，视为合同结算金额的组成部分，计入合同总额核算，甲方有权从应付服务费中直接扣除相应款项。</w:t>
      </w:r>
    </w:p>
    <w:p>
      <w:pPr>
        <w:pStyle w:val="null3"/>
        <w:ind w:firstLine="480"/>
      </w:pPr>
      <w:r>
        <w:rPr>
          <w:sz w:val="21"/>
        </w:rPr>
        <w:t>（</w:t>
      </w:r>
      <w:r>
        <w:rPr>
          <w:sz w:val="21"/>
        </w:rPr>
        <w:t>3</w:t>
      </w:r>
      <w:r>
        <w:rPr>
          <w:sz w:val="21"/>
        </w:rPr>
        <w:t>）合同签订生效后，甲方收到乙方提供的有效发票及完整请款资料，且在财政用款计划正式下达后</w:t>
      </w:r>
      <w:r>
        <w:rPr>
          <w:sz w:val="21"/>
        </w:rPr>
        <w:t>5</w:t>
      </w:r>
      <w:r>
        <w:rPr>
          <w:sz w:val="21"/>
        </w:rPr>
        <w:t>个工作日内，按国库集中支付制度相关规定，向乙方支付合同总金额的</w:t>
      </w:r>
      <w:r>
        <w:rPr>
          <w:sz w:val="21"/>
        </w:rPr>
        <w:t>30%</w:t>
      </w:r>
      <w:r>
        <w:rPr>
          <w:sz w:val="21"/>
        </w:rPr>
        <w:t>作为预付款</w:t>
      </w:r>
      <w:r>
        <w:rPr>
          <w:sz w:val="21"/>
        </w:rPr>
        <w:t>（</w:t>
      </w:r>
      <w:r>
        <w:rPr>
          <w:sz w:val="21"/>
        </w:rPr>
        <w:t>¥</w:t>
      </w:r>
      <w:r>
        <w:rPr>
          <w:sz w:val="21"/>
          <w:u w:val="single"/>
        </w:rPr>
        <w:t xml:space="preserve">          </w:t>
      </w:r>
      <w:r>
        <w:rPr>
          <w:sz w:val="21"/>
        </w:rPr>
        <w:t>元</w:t>
      </w:r>
      <w:r>
        <w:rPr>
          <w:sz w:val="21"/>
        </w:rPr>
        <w:t>）</w:t>
      </w:r>
      <w:r>
        <w:rPr>
          <w:sz w:val="21"/>
        </w:rPr>
        <w:t>。</w:t>
      </w:r>
    </w:p>
    <w:p>
      <w:pPr>
        <w:pStyle w:val="null3"/>
        <w:ind w:firstLine="480"/>
      </w:pPr>
      <w:r>
        <w:rPr>
          <w:sz w:val="21"/>
        </w:rPr>
        <w:t>（</w:t>
      </w:r>
      <w:r>
        <w:rPr>
          <w:sz w:val="21"/>
        </w:rPr>
        <w:t>4</w:t>
      </w:r>
      <w:r>
        <w:rPr>
          <w:sz w:val="21"/>
        </w:rPr>
        <w:t>）自合同签订之日起，乙方应于每月</w:t>
      </w:r>
      <w:r>
        <w:rPr>
          <w:sz w:val="21"/>
        </w:rPr>
        <w:t>15</w:t>
      </w:r>
      <w:r>
        <w:rPr>
          <w:sz w:val="21"/>
        </w:rPr>
        <w:t>日前向甲方提交上月服务结算文件及履约情况报告。项目执行期间，若服务质量考核未达标，甲方有权依据考核结果扣减相应服务费，并在月度结算金额中直接核减应付费用。每月进度款按经核定的结算金额的</w:t>
      </w:r>
      <w:r>
        <w:rPr>
          <w:sz w:val="21"/>
        </w:rPr>
        <w:t>90%</w:t>
      </w:r>
      <w:r>
        <w:rPr>
          <w:sz w:val="21"/>
        </w:rPr>
        <w:t>支付，剩余</w:t>
      </w:r>
      <w:r>
        <w:rPr>
          <w:sz w:val="21"/>
        </w:rPr>
        <w:t>10%</w:t>
      </w:r>
      <w:r>
        <w:rPr>
          <w:sz w:val="21"/>
        </w:rPr>
        <w:t>作为合同尾款。月度结算金额计算公式：综合单价最高限价×</w:t>
      </w:r>
      <w:r>
        <w:rPr>
          <w:sz w:val="21"/>
        </w:rPr>
        <w:t>折扣率</w:t>
      </w:r>
      <w:r>
        <w:rPr>
          <w:sz w:val="21"/>
        </w:rPr>
        <w:t>×实际管理面积。若服务期不足整月，按实际服务天数折算支付（按自然日计算，每月以</w:t>
      </w:r>
      <w:r>
        <w:rPr>
          <w:sz w:val="21"/>
        </w:rPr>
        <w:t>30</w:t>
      </w:r>
      <w:r>
        <w:rPr>
          <w:sz w:val="21"/>
        </w:rPr>
        <w:t>天为基准）。</w:t>
      </w:r>
    </w:p>
    <w:p>
      <w:pPr>
        <w:pStyle w:val="null3"/>
        <w:ind w:firstLine="480"/>
      </w:pPr>
      <w:r>
        <w:rPr>
          <w:sz w:val="21"/>
        </w:rPr>
        <w:t>进度款支付根据预付款余额情况分阶段处理：</w:t>
      </w:r>
    </w:p>
    <w:p>
      <w:pPr>
        <w:pStyle w:val="null3"/>
        <w:ind w:firstLine="480"/>
      </w:pPr>
      <w:r>
        <w:rPr>
          <w:sz w:val="21"/>
        </w:rPr>
        <w:t>阶段一：若预付款余额≥当月应付款项金额，则直接从预付款余额中抵扣当月结算款；</w:t>
      </w:r>
    </w:p>
    <w:p>
      <w:pPr>
        <w:pStyle w:val="null3"/>
        <w:ind w:firstLine="480"/>
      </w:pPr>
      <w:r>
        <w:rPr>
          <w:sz w:val="21"/>
        </w:rPr>
        <w:t>阶段二：若预付款余额＜当月应付款项金额，则结算款按以下公式计算支付：当月实际支付金额</w:t>
      </w:r>
      <w:r>
        <w:rPr>
          <w:sz w:val="21"/>
        </w:rPr>
        <w:t>=</w:t>
      </w:r>
      <w:r>
        <w:rPr>
          <w:sz w:val="21"/>
        </w:rPr>
        <w:t>当月应付款项金额</w:t>
      </w:r>
      <w:r>
        <w:rPr>
          <w:sz w:val="21"/>
        </w:rPr>
        <w:t>-</w:t>
      </w:r>
      <w:r>
        <w:rPr>
          <w:sz w:val="21"/>
        </w:rPr>
        <w:t>预付款余额。</w:t>
      </w:r>
    </w:p>
    <w:p>
      <w:pPr>
        <w:pStyle w:val="null3"/>
        <w:ind w:firstLine="480"/>
      </w:pPr>
      <w:r>
        <w:rPr>
          <w:sz w:val="21"/>
        </w:rPr>
        <w:t>甲方在收到乙方开具的等额、合法且符合财务规定的发票后</w:t>
      </w:r>
      <w:r>
        <w:rPr>
          <w:sz w:val="21"/>
        </w:rPr>
        <w:t>5</w:t>
      </w:r>
      <w:r>
        <w:rPr>
          <w:sz w:val="21"/>
        </w:rPr>
        <w:t>个工作日内，按国库集中支付流程办理付款手续。</w:t>
      </w:r>
    </w:p>
    <w:p>
      <w:pPr>
        <w:pStyle w:val="null3"/>
        <w:ind w:firstLine="480"/>
      </w:pPr>
      <w:r>
        <w:rPr>
          <w:sz w:val="21"/>
        </w:rPr>
        <w:t>（</w:t>
      </w:r>
      <w:r>
        <w:rPr>
          <w:sz w:val="21"/>
        </w:rPr>
        <w:t>5</w:t>
      </w:r>
      <w:r>
        <w:rPr>
          <w:sz w:val="21"/>
        </w:rPr>
        <w:t>）政府采购合同履行完毕且通过甲方组织的履约验收后，乙方向甲方提交等额、合法且符合财务规定的发票，甲方于收到发票后</w:t>
      </w:r>
      <w:r>
        <w:rPr>
          <w:sz w:val="21"/>
        </w:rPr>
        <w:t>5</w:t>
      </w:r>
      <w:r>
        <w:rPr>
          <w:sz w:val="21"/>
        </w:rPr>
        <w:t>个工作日内按国库集中支付流程一次性付清剩余</w:t>
      </w:r>
      <w:r>
        <w:rPr>
          <w:sz w:val="21"/>
        </w:rPr>
        <w:t>10%</w:t>
      </w:r>
      <w:r>
        <w:rPr>
          <w:sz w:val="21"/>
        </w:rPr>
        <w:t>的合同尾款。</w:t>
      </w:r>
    </w:p>
    <w:p>
      <w:pPr>
        <w:pStyle w:val="null3"/>
        <w:ind w:firstLine="480"/>
      </w:pPr>
      <w:r>
        <w:rPr>
          <w:sz w:val="21"/>
        </w:rPr>
        <w:t>（</w:t>
      </w:r>
      <w:r>
        <w:rPr>
          <w:sz w:val="21"/>
        </w:rPr>
        <w:t>6</w:t>
      </w:r>
      <w:r>
        <w:rPr>
          <w:sz w:val="21"/>
        </w:rPr>
        <w:t>）该管理费为全包价，包含人员工资、社保、装备、物资、围蔽、消杀、税费及风险金等所有费用。除合同另有约定外，甲方不再支付其他费用。</w:t>
      </w:r>
    </w:p>
    <w:p>
      <w:pPr>
        <w:pStyle w:val="null3"/>
        <w:ind w:firstLine="480"/>
      </w:pPr>
      <w:r>
        <w:rPr>
          <w:sz w:val="21"/>
        </w:rPr>
        <w:t>（</w:t>
      </w:r>
      <w:r>
        <w:rPr>
          <w:sz w:val="21"/>
        </w:rPr>
        <w:t>7</w:t>
      </w:r>
      <w:r>
        <w:rPr>
          <w:sz w:val="21"/>
        </w:rPr>
        <w:t>）当委托管理宗地的面积发生变化时，甲方对委托宗地面积进行变更，具体变更内容以甲方书面通知书为准。</w:t>
      </w:r>
    </w:p>
    <w:p>
      <w:pPr>
        <w:pStyle w:val="null3"/>
        <w:ind w:firstLine="480"/>
      </w:pPr>
      <w:r>
        <w:rPr>
          <w:sz w:val="21"/>
        </w:rPr>
        <w:t>（</w:t>
      </w:r>
      <w:r>
        <w:rPr>
          <w:sz w:val="21"/>
        </w:rPr>
        <w:t>8</w:t>
      </w:r>
      <w:r>
        <w:rPr>
          <w:sz w:val="21"/>
        </w:rPr>
        <w:t>）乙方凭以下有效文件与甲方结算：</w:t>
      </w:r>
    </w:p>
    <w:p>
      <w:pPr>
        <w:pStyle w:val="null3"/>
        <w:ind w:firstLine="480"/>
      </w:pPr>
      <w:r>
        <w:rPr>
          <w:sz w:val="21"/>
        </w:rPr>
        <w:t>1</w:t>
      </w:r>
      <w:r>
        <w:rPr>
          <w:sz w:val="21"/>
        </w:rPr>
        <w:t>）合同；</w:t>
      </w:r>
    </w:p>
    <w:p>
      <w:pPr>
        <w:pStyle w:val="null3"/>
        <w:ind w:firstLine="480"/>
      </w:pPr>
      <w:r>
        <w:rPr>
          <w:sz w:val="21"/>
        </w:rPr>
        <w:t>2</w:t>
      </w:r>
      <w:r>
        <w:rPr>
          <w:sz w:val="21"/>
        </w:rPr>
        <w:t>）乙方开具的正式发票；</w:t>
      </w:r>
    </w:p>
    <w:p>
      <w:pPr>
        <w:pStyle w:val="null3"/>
        <w:ind w:firstLine="480"/>
      </w:pPr>
      <w:r>
        <w:rPr>
          <w:sz w:val="21"/>
        </w:rPr>
        <w:t>3</w:t>
      </w:r>
      <w:r>
        <w:rPr>
          <w:sz w:val="21"/>
        </w:rPr>
        <w:t>）请款报告和支付清单；</w:t>
      </w:r>
    </w:p>
    <w:p>
      <w:pPr>
        <w:pStyle w:val="null3"/>
        <w:ind w:firstLine="480"/>
      </w:pPr>
      <w:r>
        <w:rPr>
          <w:sz w:val="21"/>
        </w:rPr>
        <w:t>4</w:t>
      </w:r>
      <w:r>
        <w:rPr>
          <w:sz w:val="21"/>
        </w:rPr>
        <w:t>）月度考核评分表；</w:t>
      </w:r>
    </w:p>
    <w:p>
      <w:pPr>
        <w:pStyle w:val="null3"/>
        <w:ind w:firstLine="480"/>
      </w:pPr>
      <w:r>
        <w:rPr>
          <w:sz w:val="21"/>
        </w:rPr>
        <w:t>5</w:t>
      </w:r>
      <w:r>
        <w:rPr>
          <w:sz w:val="21"/>
        </w:rPr>
        <w:t>）各月度受委托管护地块管护报告。</w:t>
      </w:r>
    </w:p>
    <w:p>
      <w:pPr>
        <w:pStyle w:val="null3"/>
        <w:ind w:firstLine="480"/>
        <w:jc w:val="both"/>
      </w:pPr>
      <w:r>
        <w:rPr>
          <w:sz w:val="21"/>
        </w:rPr>
        <w:t>（</w:t>
      </w:r>
      <w:r>
        <w:rPr>
          <w:sz w:val="21"/>
        </w:rPr>
        <w:t>9</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pPr>
      <w:r>
        <w:rPr>
          <w:sz w:val="21"/>
          <w:b/>
        </w:rPr>
        <w:t>四、服务事项要求</w:t>
      </w:r>
    </w:p>
    <w:p>
      <w:pPr>
        <w:pStyle w:val="null3"/>
        <w:ind w:firstLine="480"/>
        <w:jc w:val="both"/>
      </w:pPr>
      <w:r>
        <w:rPr>
          <w:sz w:val="21"/>
        </w:rPr>
        <w:t>（一）具体管护地块由甲方指派委托，以甲方书面发出的任务函为准，包括宗地坐落、面积、起始时间等，乙方须服从指派。</w:t>
      </w:r>
    </w:p>
    <w:p>
      <w:pPr>
        <w:pStyle w:val="null3"/>
        <w:ind w:firstLine="480"/>
        <w:jc w:val="both"/>
      </w:pPr>
      <w:r>
        <w:rPr>
          <w:sz w:val="21"/>
        </w:rPr>
        <w:t>（二）乙方须在接到甲方通知后立即组织进场开展管护工作，并在</w:t>
      </w:r>
      <w:r>
        <w:rPr>
          <w:sz w:val="21"/>
        </w:rPr>
        <w:t>15</w:t>
      </w:r>
      <w:r>
        <w:rPr>
          <w:sz w:val="21"/>
        </w:rPr>
        <w:t>日内编制并提交具体管护方案。</w:t>
      </w:r>
    </w:p>
    <w:p>
      <w:pPr>
        <w:pStyle w:val="null3"/>
        <w:ind w:firstLine="480"/>
        <w:jc w:val="both"/>
      </w:pPr>
      <w:r>
        <w:rPr>
          <w:sz w:val="21"/>
        </w:rPr>
        <w:t>1.</w:t>
      </w:r>
      <w:r>
        <w:rPr>
          <w:sz w:val="21"/>
        </w:rPr>
        <w:t>管护方案内容要求：方案应全面涵盖项目部设置、管理组织架构、管理地块现状分析、风险出入口位置及数量统计、岗亭设置规划、人员组成配置、具体管理方式及相关管理制度等核心内容。</w:t>
      </w:r>
    </w:p>
    <w:p>
      <w:pPr>
        <w:pStyle w:val="null3"/>
        <w:ind w:firstLine="480"/>
        <w:jc w:val="both"/>
      </w:pPr>
      <w:r>
        <w:rPr>
          <w:sz w:val="21"/>
        </w:rPr>
        <w:t>2.</w:t>
      </w:r>
      <w:r>
        <w:rPr>
          <w:sz w:val="21"/>
        </w:rPr>
        <w:t>地块排查与建档：乙方须对管理宗地开展“拉网式”排查，全面梳理宗地位置、面积、现状等基础信息，深入排查并分析存在的安全生产隐患问题。在此基础上建立信息库，形成“一地一册”标准化的地块管理手册，并据此针对性开展专业管理看护工作。</w:t>
      </w:r>
    </w:p>
    <w:p>
      <w:pPr>
        <w:pStyle w:val="null3"/>
        <w:ind w:firstLine="480"/>
        <w:jc w:val="both"/>
      </w:pPr>
      <w:r>
        <w:rPr>
          <w:sz w:val="21"/>
        </w:rPr>
        <w:t>3.</w:t>
      </w:r>
      <w:r>
        <w:rPr>
          <w:sz w:val="21"/>
        </w:rPr>
        <w:t>制度与应急保障：乙方应制定包含岗位职责在内的三级责任人清单、安全生产应急预案、应急救援物资设备台账（物资需随时备查）以及管护责任清单，并按要求提供相关备案资料。</w:t>
      </w:r>
    </w:p>
    <w:p>
      <w:pPr>
        <w:pStyle w:val="null3"/>
        <w:ind w:firstLine="480"/>
        <w:jc w:val="both"/>
      </w:pPr>
      <w:r>
        <w:rPr>
          <w:sz w:val="21"/>
        </w:rPr>
        <w:t>4.</w:t>
      </w:r>
      <w:r>
        <w:rPr>
          <w:sz w:val="21"/>
        </w:rPr>
        <w:t>项目部设置与响应时效：乙方须在中新广州知识城范围内设置实体项目部，并确保项目负责人在接到甲方通知后的</w:t>
      </w:r>
      <w:r>
        <w:rPr>
          <w:sz w:val="21"/>
        </w:rPr>
        <w:t>一</w:t>
      </w:r>
      <w:r>
        <w:rPr>
          <w:sz w:val="21"/>
        </w:rPr>
        <w:t>小时内抵达地块现场。</w:t>
      </w:r>
    </w:p>
    <w:p>
      <w:pPr>
        <w:pStyle w:val="null3"/>
        <w:ind w:firstLine="480"/>
        <w:jc w:val="both"/>
      </w:pPr>
      <w:r>
        <w:rPr>
          <w:sz w:val="21"/>
        </w:rPr>
        <w:t>（三）乙方应根据甲方指派的地地块提供现状固化材料（提供承诺函，格式自拟）。</w:t>
      </w:r>
    </w:p>
    <w:p>
      <w:pPr>
        <w:pStyle w:val="null3"/>
        <w:ind w:firstLine="480"/>
        <w:jc w:val="both"/>
      </w:pPr>
      <w:r>
        <w:rPr>
          <w:sz w:val="21"/>
        </w:rPr>
        <w:t>1.</w:t>
      </w:r>
      <w:r>
        <w:rPr>
          <w:sz w:val="21"/>
        </w:rPr>
        <w:t>入场交接确认：入场前，乙方须向甲方提供“现状航拍图”，作为双方确认并交接管理土地的依据。</w:t>
      </w:r>
    </w:p>
    <w:p>
      <w:pPr>
        <w:pStyle w:val="null3"/>
        <w:ind w:firstLine="480"/>
        <w:jc w:val="both"/>
      </w:pPr>
      <w:r>
        <w:rPr>
          <w:sz w:val="21"/>
        </w:rPr>
        <w:t>2.</w:t>
      </w:r>
      <w:r>
        <w:rPr>
          <w:sz w:val="21"/>
        </w:rPr>
        <w:t>界桩测绘与维护：须在入场</w:t>
      </w:r>
      <w:r>
        <w:rPr>
          <w:sz w:val="21"/>
        </w:rPr>
        <w:t>15</w:t>
      </w:r>
      <w:r>
        <w:rPr>
          <w:sz w:val="21"/>
        </w:rPr>
        <w:t>天内完成地块界限确认工作。对于未实施界桩的地块，须按测绘相关标准进行测量放桩，并提供包含注记、坐标、桩点分布现场照片的界桩测绘报告，界桩点应采用水泥或玻璃钢等耐久材质；对于已有界桩的地块，须负责日常维护保养，若界桩点发生变动，须在</w:t>
      </w:r>
      <w:r>
        <w:rPr>
          <w:sz w:val="21"/>
        </w:rPr>
        <w:t>3</w:t>
      </w:r>
      <w:r>
        <w:rPr>
          <w:sz w:val="21"/>
        </w:rPr>
        <w:t>个工作日内完成重新放桩更新。</w:t>
      </w:r>
    </w:p>
    <w:p>
      <w:pPr>
        <w:pStyle w:val="null3"/>
        <w:ind w:firstLine="480"/>
        <w:jc w:val="both"/>
      </w:pPr>
      <w:r>
        <w:rPr>
          <w:sz w:val="21"/>
        </w:rPr>
        <w:t>3.</w:t>
      </w:r>
      <w:r>
        <w:rPr>
          <w:sz w:val="21"/>
        </w:rPr>
        <w:t>航拍设备保障：乙方须配备航拍无人机用于日常管护及地块航拍更新。若无人机出现损坏，须及时维修或补充到位，严禁以此为由中断地块航拍图的更新工作。</w:t>
      </w:r>
    </w:p>
    <w:p>
      <w:pPr>
        <w:pStyle w:val="null3"/>
        <w:ind w:firstLine="480"/>
        <w:jc w:val="both"/>
      </w:pPr>
      <w:r>
        <w:rPr>
          <w:sz w:val="21"/>
        </w:rPr>
        <w:t>（四）开展日常综合管护，配置的管护人员及设施设备等须充分满足地块管护需求：</w:t>
      </w:r>
    </w:p>
    <w:p>
      <w:pPr>
        <w:pStyle w:val="null3"/>
        <w:ind w:firstLine="480"/>
        <w:jc w:val="both"/>
      </w:pPr>
      <w:r>
        <w:rPr>
          <w:sz w:val="21"/>
        </w:rPr>
        <w:t>1.</w:t>
      </w:r>
      <w:r>
        <w:rPr>
          <w:sz w:val="21"/>
        </w:rPr>
        <w:t>出入管控与现状保护：严禁任何未经批准的车辆及人员进出受委托管护地块或借道通行，坚决遏制违法用地、违法建设、非法倾倒排放、挖石挖沙取土等行为。须妥善管理和保护地块上的基础设施、建（构）筑物及其他附着物，确保在服务期限内，地块现状不发生任何未经批准的非自然因素改变。</w:t>
      </w:r>
    </w:p>
    <w:p>
      <w:pPr>
        <w:pStyle w:val="null3"/>
        <w:ind w:firstLine="480"/>
        <w:jc w:val="both"/>
      </w:pPr>
      <w:r>
        <w:rPr>
          <w:sz w:val="21"/>
        </w:rPr>
        <w:t>2.</w:t>
      </w:r>
      <w:r>
        <w:rPr>
          <w:sz w:val="21"/>
        </w:rPr>
        <w:t>公示与警示标识管理：须在各地块醒目位置设立地块公示牌，并做好日常维护保养，若地块面积等内容发生调整，须在</w:t>
      </w:r>
      <w:r>
        <w:rPr>
          <w:sz w:val="21"/>
        </w:rPr>
        <w:t>5</w:t>
      </w:r>
      <w:r>
        <w:rPr>
          <w:sz w:val="21"/>
        </w:rPr>
        <w:t>个工作日内完成公示牌的更新；须在存在安全隐患的位置设立警示牌，严防无关人员靠近隐患点。</w:t>
      </w:r>
    </w:p>
    <w:p>
      <w:pPr>
        <w:pStyle w:val="null3"/>
        <w:ind w:firstLine="480"/>
        <w:jc w:val="both"/>
      </w:pPr>
      <w:r>
        <w:rPr>
          <w:sz w:val="21"/>
        </w:rPr>
        <w:t>3.</w:t>
      </w:r>
      <w:r>
        <w:rPr>
          <w:sz w:val="21"/>
        </w:rPr>
        <w:t>环境卫生与消杀：定期开展管护地块范围内的环境卫生维护，确保卫生状况符合区域公共卫生标准；根据实际情况，每季度至少开展一次消杀工作并向</w:t>
      </w:r>
      <w:r>
        <w:rPr>
          <w:sz w:val="21"/>
        </w:rPr>
        <w:t>甲方</w:t>
      </w:r>
      <w:r>
        <w:rPr>
          <w:sz w:val="21"/>
        </w:rPr>
        <w:t>提交消杀报告。</w:t>
      </w:r>
    </w:p>
    <w:p>
      <w:pPr>
        <w:pStyle w:val="null3"/>
        <w:ind w:firstLine="480"/>
        <w:jc w:val="both"/>
      </w:pPr>
      <w:r>
        <w:rPr>
          <w:sz w:val="21"/>
        </w:rPr>
        <w:t>4.</w:t>
      </w:r>
      <w:r>
        <w:rPr>
          <w:sz w:val="21"/>
        </w:rPr>
        <w:t>绿化附属物保护：严禁私自处置、移植或砍伐管护地块内的林木、果树、绿地等绿化树木，并须切实做好防火、防盗等保护工作。</w:t>
      </w:r>
    </w:p>
    <w:p>
      <w:pPr>
        <w:pStyle w:val="null3"/>
        <w:ind w:firstLine="480"/>
        <w:jc w:val="both"/>
      </w:pPr>
      <w:r>
        <w:rPr>
          <w:sz w:val="21"/>
        </w:rPr>
        <w:t>5.</w:t>
      </w:r>
      <w:r>
        <w:rPr>
          <w:sz w:val="21"/>
        </w:rPr>
        <w:t>历史文化遗产保护：须对管护地块内的历史建筑、传统风貌、不可移动文化遗产及名木古树履行重点保护与监测责任。</w:t>
      </w:r>
    </w:p>
    <w:p>
      <w:pPr>
        <w:pStyle w:val="null3"/>
        <w:ind w:firstLine="480"/>
        <w:jc w:val="both"/>
      </w:pPr>
      <w:r>
        <w:rPr>
          <w:sz w:val="21"/>
        </w:rPr>
        <w:t>（五）若发生违法用地、违法建设、非法偷倒排放、挖石挖沙取土等违法行为，乙方须负责做好以下应急处置工作：</w:t>
      </w:r>
    </w:p>
    <w:p>
      <w:pPr>
        <w:pStyle w:val="null3"/>
        <w:ind w:firstLine="480"/>
        <w:jc w:val="both"/>
      </w:pPr>
      <w:r>
        <w:rPr>
          <w:sz w:val="21"/>
        </w:rPr>
        <w:t>1.</w:t>
      </w:r>
      <w:r>
        <w:rPr>
          <w:sz w:val="21"/>
        </w:rPr>
        <w:t>现场取证与上报：须利用巡查记录仪等设备做好现场取证，立即上报区城管、公安等相关执法部门请求派员处理，并在执法人员到场后积极配合做好问询等相关工作。</w:t>
      </w:r>
    </w:p>
    <w:p>
      <w:pPr>
        <w:pStyle w:val="null3"/>
        <w:ind w:firstLine="480"/>
        <w:jc w:val="both"/>
      </w:pPr>
      <w:r>
        <w:rPr>
          <w:sz w:val="21"/>
        </w:rPr>
        <w:t>2.</w:t>
      </w:r>
      <w:r>
        <w:rPr>
          <w:sz w:val="21"/>
        </w:rPr>
        <w:t>人员增援与控制：须在事发后半小时内增派不少于</w:t>
      </w:r>
      <w:r>
        <w:rPr>
          <w:sz w:val="21"/>
        </w:rPr>
        <w:t>15</w:t>
      </w:r>
      <w:r>
        <w:rPr>
          <w:sz w:val="21"/>
        </w:rPr>
        <w:t>名管护人员赶赴现场进行积极控制，防止局面进一步失控及恶化。</w:t>
      </w:r>
    </w:p>
    <w:p>
      <w:pPr>
        <w:pStyle w:val="null3"/>
        <w:ind w:firstLine="480"/>
        <w:jc w:val="both"/>
      </w:pPr>
      <w:r>
        <w:rPr>
          <w:sz w:val="21"/>
        </w:rPr>
        <w:t>3.</w:t>
      </w:r>
      <w:r>
        <w:rPr>
          <w:sz w:val="21"/>
        </w:rPr>
        <w:t>情况汇报：须将情况及时口头汇报甲方，并在</w:t>
      </w:r>
      <w:r>
        <w:rPr>
          <w:sz w:val="21"/>
        </w:rPr>
        <w:t>3</w:t>
      </w:r>
      <w:r>
        <w:rPr>
          <w:sz w:val="21"/>
        </w:rPr>
        <w:t>个工作日内向甲方提交正式书面报告。</w:t>
      </w:r>
    </w:p>
    <w:p>
      <w:pPr>
        <w:pStyle w:val="null3"/>
        <w:ind w:firstLine="480"/>
        <w:jc w:val="both"/>
      </w:pPr>
      <w:r>
        <w:rPr>
          <w:sz w:val="21"/>
        </w:rPr>
        <w:t>4.</w:t>
      </w:r>
      <w:r>
        <w:rPr>
          <w:sz w:val="21"/>
        </w:rPr>
        <w:t>限期恢复与验收：须在发现上述违法行为之日起</w:t>
      </w:r>
      <w:r>
        <w:rPr>
          <w:sz w:val="21"/>
        </w:rPr>
        <w:t>10</w:t>
      </w:r>
      <w:r>
        <w:rPr>
          <w:sz w:val="21"/>
        </w:rPr>
        <w:t>个工作日内，无偿将地块恢复原状并由甲方进行验收。若验收不通过，甲方有权依据合同相关条款进行处理。</w:t>
      </w:r>
    </w:p>
    <w:p>
      <w:pPr>
        <w:pStyle w:val="null3"/>
        <w:ind w:firstLine="480"/>
        <w:jc w:val="both"/>
      </w:pPr>
      <w:r>
        <w:rPr>
          <w:sz w:val="21"/>
        </w:rPr>
        <w:t>（六）乙方须按月编制《受委托管护地块管护报告》，于每月</w:t>
      </w:r>
      <w:r>
        <w:rPr>
          <w:sz w:val="21"/>
        </w:rPr>
        <w:t>10</w:t>
      </w:r>
      <w:r>
        <w:rPr>
          <w:sz w:val="21"/>
        </w:rPr>
        <w:t>日（遇休息日或法定节假日顺延至下一个工作日）向甲方提交上一个月的管护情况报告。</w:t>
      </w:r>
    </w:p>
    <w:p>
      <w:pPr>
        <w:pStyle w:val="null3"/>
        <w:ind w:firstLine="480"/>
        <w:jc w:val="both"/>
      </w:pPr>
      <w:r>
        <w:rPr>
          <w:sz w:val="21"/>
        </w:rPr>
        <w:t>（七）乙方应建立健全管理档案，档案内容须涵盖管理土地基础资料和日常管理资料，并随时接受甲方的调阅与检查。</w:t>
      </w:r>
    </w:p>
    <w:p>
      <w:pPr>
        <w:pStyle w:val="null3"/>
      </w:pPr>
      <w:r>
        <w:rPr>
          <w:sz w:val="21"/>
          <w:b/>
        </w:rPr>
        <w:t>五、服务保障要求</w:t>
      </w:r>
    </w:p>
    <w:p>
      <w:pPr>
        <w:pStyle w:val="null3"/>
        <w:ind w:firstLine="480"/>
        <w:jc w:val="both"/>
      </w:pPr>
      <w:r>
        <w:rPr>
          <w:sz w:val="21"/>
        </w:rPr>
        <w:t>（一）人员与岗亭配置：乙方须根据具体受委托管护地块的实际情况制定管护服务方案。原则上，每宗地块应设置岗亭，且配置的管护人员数量及设施设备等必须充分满足地块的管护需求。甲方对岗亭的具体设置拥有建议权和最终审核权。</w:t>
      </w:r>
    </w:p>
    <w:p>
      <w:pPr>
        <w:pStyle w:val="null3"/>
        <w:ind w:firstLine="480"/>
        <w:jc w:val="both"/>
      </w:pPr>
      <w:r>
        <w:rPr>
          <w:sz w:val="21"/>
        </w:rPr>
        <w:t>（二）信息化与监控设备：</w:t>
      </w:r>
      <w:r>
        <w:rPr>
          <w:sz w:val="21"/>
        </w:rPr>
        <w:t>乙方</w:t>
      </w:r>
      <w:r>
        <w:rPr>
          <w:sz w:val="21"/>
        </w:rPr>
        <w:t>应配备相应设备</w:t>
      </w:r>
      <w:r>
        <w:rPr>
          <w:sz w:val="21"/>
        </w:rPr>
        <w:t>（如</w:t>
      </w:r>
      <w:r>
        <w:rPr>
          <w:sz w:val="21"/>
        </w:rPr>
        <w:t>预警或巡护等信息化管理系统或软件</w:t>
      </w:r>
      <w:r>
        <w:rPr>
          <w:sz w:val="21"/>
        </w:rPr>
        <w:t>等（包括但不限于调度指挥与应急响应类、过程管理与质量监管类、智能监控与风险预警类）），</w:t>
      </w:r>
      <w:r>
        <w:rPr>
          <w:sz w:val="21"/>
        </w:rPr>
        <w:t>以提升信息化管理水平</w:t>
      </w:r>
      <w:r>
        <w:rPr>
          <w:sz w:val="21"/>
        </w:rPr>
        <w:t>。结合管护方案，须在具备条件的地块安装高清摄像头设备，且所安装设备须具备实时监控预警及录像回放功能。</w:t>
      </w:r>
    </w:p>
    <w:p>
      <w:pPr>
        <w:pStyle w:val="null3"/>
        <w:ind w:firstLine="480"/>
        <w:jc w:val="both"/>
      </w:pPr>
      <w:r>
        <w:rPr>
          <w:sz w:val="21"/>
        </w:rPr>
        <w:t>（三）项目负责人资质要求：</w:t>
      </w:r>
    </w:p>
    <w:p>
      <w:pPr>
        <w:pStyle w:val="null3"/>
        <w:ind w:firstLine="480"/>
        <w:jc w:val="both"/>
      </w:pPr>
      <w:r>
        <w:rPr>
          <w:sz w:val="21"/>
        </w:rPr>
        <w:t>1.</w:t>
      </w:r>
      <w:r>
        <w:rPr>
          <w:sz w:val="21"/>
        </w:rPr>
        <w:t>具备大专（含）及以上学历；</w:t>
      </w:r>
    </w:p>
    <w:p>
      <w:pPr>
        <w:pStyle w:val="null3"/>
        <w:ind w:firstLine="480"/>
        <w:jc w:val="both"/>
      </w:pPr>
      <w:r>
        <w:rPr>
          <w:sz w:val="21"/>
        </w:rPr>
        <w:t>2.</w:t>
      </w:r>
      <w:r>
        <w:rPr>
          <w:sz w:val="21"/>
        </w:rPr>
        <w:t>负责统筹管理现场各项工作，与相关单位保持常态化沟通，确保各方要求与指令在项目服务中得到有效贯彻实施；</w:t>
      </w:r>
    </w:p>
    <w:p>
      <w:pPr>
        <w:pStyle w:val="null3"/>
        <w:ind w:firstLine="480"/>
        <w:jc w:val="both"/>
      </w:pPr>
      <w:r>
        <w:rPr>
          <w:sz w:val="21"/>
        </w:rPr>
        <w:t>3.</w:t>
      </w:r>
      <w:r>
        <w:rPr>
          <w:sz w:val="21"/>
        </w:rPr>
        <w:t>具备较强的组织统筹能力与协调沟通能力，能够胜任综合服务管理工作；</w:t>
      </w:r>
    </w:p>
    <w:p>
      <w:pPr>
        <w:pStyle w:val="null3"/>
        <w:ind w:firstLine="480"/>
        <w:jc w:val="both"/>
      </w:pPr>
      <w:r>
        <w:rPr>
          <w:sz w:val="21"/>
        </w:rPr>
        <w:t>4.</w:t>
      </w:r>
      <w:r>
        <w:rPr>
          <w:sz w:val="21"/>
        </w:rPr>
        <w:t>具有同类项目的管理或服务工作经验。</w:t>
      </w:r>
    </w:p>
    <w:p>
      <w:pPr>
        <w:pStyle w:val="null3"/>
        <w:ind w:firstLine="480"/>
        <w:jc w:val="both"/>
      </w:pPr>
      <w:r>
        <w:rPr>
          <w:sz w:val="21"/>
        </w:rPr>
        <w:t>（四）负责人更换机制：投标文件所列明的项目负责人应投入到项目实际服务中，不得擅自更换。若确需更换的，应书面报</w:t>
      </w:r>
      <w:r>
        <w:rPr>
          <w:sz w:val="21"/>
        </w:rPr>
        <w:t>甲方</w:t>
      </w:r>
      <w:r>
        <w:rPr>
          <w:sz w:val="21"/>
        </w:rPr>
        <w:t>批准。项目实施阶段若项目负责人的管理能力无法满足项目需求，甲方有权要求乙方更换项目负责人，乙方必须无条件遵照执行。</w:t>
      </w:r>
    </w:p>
    <w:p>
      <w:pPr>
        <w:pStyle w:val="null3"/>
        <w:ind w:firstLine="480"/>
        <w:jc w:val="both"/>
      </w:pPr>
      <w:r>
        <w:rPr>
          <w:sz w:val="21"/>
        </w:rPr>
        <w:t>（五）人员培训与责任界定：乙方须定期对配置的管护人员进行培训，切实提高其专业水平及职业操守，确保管护人员熟知所管地块的红线范围、明确自身岗位职责并掌握突发事件的应急处理方法。服务期间，甲方将不定期按考核制度对管护人员的出勤、仪容仪表及工作情况进行抽查。管护人员在工作期间发生的任何安全事故，均由乙方承担全部责任。</w:t>
      </w:r>
    </w:p>
    <w:p>
      <w:pPr>
        <w:pStyle w:val="null3"/>
        <w:ind w:firstLine="480"/>
        <w:jc w:val="both"/>
      </w:pPr>
      <w:r>
        <w:rPr>
          <w:sz w:val="21"/>
        </w:rPr>
        <w:t>（六）巡查取证装备：乙方须为管护人员配备巡查记录仪，或提供具备同等功能的智能化信息平台，以保障巡查工作的可追溯性。</w:t>
      </w:r>
    </w:p>
    <w:p>
      <w:pPr>
        <w:pStyle w:val="null3"/>
        <w:ind w:firstLine="480"/>
        <w:jc w:val="both"/>
      </w:pPr>
      <w:r>
        <w:rPr>
          <w:sz w:val="21"/>
        </w:rPr>
        <w:t>（七）物理隔离设施：水泥隔离墩应根据地块管理的实际情况进行科学设置，重点布防于存在安全风险的出入口位置。</w:t>
      </w:r>
    </w:p>
    <w:p>
      <w:pPr>
        <w:pStyle w:val="null3"/>
        <w:ind w:firstLine="480"/>
        <w:jc w:val="both"/>
      </w:pPr>
      <w:r>
        <w:rPr>
          <w:sz w:val="21"/>
        </w:rPr>
        <w:t>（八）巡查车辆配置：乙方须为本项目提供不少于一辆专用的巡查机动车辆，以保障日常巡查与应急响应的机动性。</w:t>
      </w:r>
    </w:p>
    <w:p>
      <w:pPr>
        <w:pStyle w:val="null3"/>
        <w:ind w:firstLine="480"/>
        <w:jc w:val="both"/>
      </w:pPr>
      <w:r>
        <w:rPr>
          <w:sz w:val="21"/>
        </w:rPr>
        <w:t>（九）统一着装要求：乙方须为所有管护人员配备统一制式的工作服装，确保队伍形象规范整齐。</w:t>
      </w:r>
    </w:p>
    <w:p>
      <w:pPr>
        <w:pStyle w:val="null3"/>
        <w:ind w:firstLine="480"/>
        <w:jc w:val="both"/>
      </w:pPr>
      <w:r>
        <w:rPr>
          <w:sz w:val="21"/>
        </w:rPr>
        <w:t>（十）人员基本条件：所有管护人员的年龄须在</w:t>
      </w:r>
      <w:r>
        <w:rPr>
          <w:sz w:val="21"/>
        </w:rPr>
        <w:t>18</w:t>
      </w:r>
      <w:r>
        <w:rPr>
          <w:sz w:val="21"/>
        </w:rPr>
        <w:t>周岁至</w:t>
      </w:r>
      <w:r>
        <w:rPr>
          <w:sz w:val="21"/>
        </w:rPr>
        <w:t>55</w:t>
      </w:r>
      <w:r>
        <w:rPr>
          <w:sz w:val="21"/>
        </w:rPr>
        <w:t>周岁之间，且必须身体健康、品行良好。</w:t>
      </w:r>
    </w:p>
    <w:p>
      <w:pPr>
        <w:pStyle w:val="null3"/>
        <w:jc w:val="both"/>
      </w:pPr>
      <w:r>
        <w:rPr>
          <w:sz w:val="21"/>
          <w:b/>
        </w:rPr>
        <w:t>六、服务制度要求</w:t>
      </w:r>
    </w:p>
    <w:p>
      <w:pPr>
        <w:pStyle w:val="null3"/>
        <w:ind w:firstLine="480"/>
      </w:pPr>
      <w:r>
        <w:rPr>
          <w:sz w:val="21"/>
        </w:rPr>
        <w:t>（一）人员岗位审核：甲方对乙方拟派出的管护人员岗位设置及具体管护工作安排拥有最终审核权。</w:t>
      </w:r>
    </w:p>
    <w:p>
      <w:pPr>
        <w:pStyle w:val="null3"/>
        <w:ind w:firstLine="480"/>
      </w:pPr>
      <w:r>
        <w:rPr>
          <w:sz w:val="21"/>
        </w:rPr>
        <w:t>（二）安全管理制度备案：乙方须针对本项目制定总体管护方案，并建立健全安全生产管理体系，包括但不限于三级责任人清单（含岗位职责）、安全生产应急预案、应急救援队伍名册、应急救援物资设备台账（物资须随时备查）、管护责任清单及调度方案等。上述制度与方案须在实施前向甲方报备，并经甲方审核确认后方可执行。</w:t>
      </w:r>
    </w:p>
    <w:p>
      <w:pPr>
        <w:pStyle w:val="null3"/>
        <w:ind w:firstLine="480"/>
      </w:pPr>
      <w:r>
        <w:rPr>
          <w:sz w:val="21"/>
        </w:rPr>
        <w:t>（三）人员背景审查：乙方须对拟派出的管护人员进行严格的背景审查与资质核验，确保所有录入系统的管护人员均无犯罪记录。</w:t>
      </w:r>
    </w:p>
    <w:p>
      <w:pPr>
        <w:pStyle w:val="null3"/>
        <w:ind w:firstLine="480"/>
      </w:pPr>
      <w:r>
        <w:rPr>
          <w:sz w:val="21"/>
        </w:rPr>
        <w:t>（四）劳动用工与权益保障：乙方须严格遵守国家相关劳动法律法规及保险条例，为所有管护人员依法购买“五险一金”或意外伤害保险，切实保障员工在社会保险、劳动用工、劳动保护、工资福利等方面的合法权益，确保本项目顺利实施。若发生劳资纠纷等事件，由乙方全权负责解决，甲方不承担任何责任；若因此影响甲方的工作进度或给甲方带来不良社会影响，乙方须承担相应的法律责任，并赔偿甲方因此遭受的一切损失。</w:t>
      </w:r>
    </w:p>
    <w:p>
      <w:pPr>
        <w:pStyle w:val="null3"/>
        <w:ind w:firstLine="480"/>
      </w:pPr>
      <w:r>
        <w:rPr>
          <w:sz w:val="21"/>
        </w:rPr>
        <w:t>（五）考勤与替补机制：乙方须在日常管护中建立并严格执行交接班、请（休）假等备案制度，甲方有权随时查阅并检查相关记录。如因管护人员休假、撤换或辞退等原因造成秩序维护岗位空缺，乙方须在当天内予以补充到位，确保护管力量不减。</w:t>
      </w:r>
    </w:p>
    <w:p>
      <w:pPr>
        <w:pStyle w:val="null3"/>
        <w:ind w:firstLine="480"/>
      </w:pPr>
      <w:r>
        <w:rPr>
          <w:sz w:val="21"/>
        </w:rPr>
        <w:t>（六）人员更换机制：若乙方派出的管护人员管理能力不足或服务质量不达标，甲方有权要求乙方限期更换相关人员。</w:t>
      </w:r>
    </w:p>
    <w:p>
      <w:pPr>
        <w:pStyle w:val="null3"/>
        <w:ind w:firstLine="480"/>
      </w:pPr>
      <w:r>
        <w:rPr>
          <w:sz w:val="21"/>
        </w:rPr>
        <w:t>（七）独立法律责任：若发生劳动争议，或管护人员出现伤、病及意外死亡等情况，均由乙方自行解决并承担相应的法律责任，甲方不承担任何连带责任。</w:t>
      </w:r>
    </w:p>
    <w:p>
      <w:pPr>
        <w:pStyle w:val="null3"/>
        <w:ind w:firstLine="480"/>
      </w:pPr>
      <w:r>
        <w:rPr>
          <w:sz w:val="21"/>
        </w:rPr>
        <w:t>（八）职务侵权赔偿：乙方派出的管理人员在执行职务过程中造成第三人人身或财产损害的，由此引发的损害赔偿责任由乙方自行承担，与甲方无关。若因此导致甲方向第三人承担了责任，甲方在承担责任后，有权向乙方全额追偿，乙方应赔偿甲方因此遭受的实际损失。</w:t>
      </w:r>
    </w:p>
    <w:p>
      <w:pPr>
        <w:pStyle w:val="null3"/>
        <w:ind w:firstLine="480"/>
      </w:pPr>
      <w:r>
        <w:rPr>
          <w:sz w:val="21"/>
        </w:rPr>
        <w:t>（九）保密责任：乙方及其参与本项目的所有服务人员，对在服务过程中接触到的甲方不允许公开发布的信息、文稿、数据等保密信息，负有严格的保密义务。</w:t>
      </w:r>
    </w:p>
    <w:p>
      <w:pPr>
        <w:pStyle w:val="null3"/>
        <w:ind w:firstLine="480"/>
      </w:pPr>
      <w:r>
        <w:rPr>
          <w:sz w:val="21"/>
        </w:rPr>
        <w:t>（十）资料保密承诺：乙方须承诺对本项目原始资料进行严格保密。未经甲方书面同意，不得将本项目相关的资料、数据泄露给第三方，也不得将其用于履行本合同之外的其他用途，否则由乙方承担一切法律责任。项目完成后，甲方与乙方双方均对本项目的相关技术资料等负有持续保密义务。</w:t>
      </w:r>
    </w:p>
    <w:p>
      <w:pPr>
        <w:pStyle w:val="null3"/>
        <w:ind w:firstLine="480"/>
      </w:pPr>
      <w:r>
        <w:rPr>
          <w:sz w:val="21"/>
        </w:rPr>
        <w:t>（十一）第三方资料限制：未经甲方事先书面同意，乙方不得将由甲方为本合同提供的资料提供给与本合同无关的任何第三方，不得将其用于履行本合同之外的其他用途。即使向与履行本合同有关的人员提供，也应注意保密并严格限于履行合同所必需的范围。</w:t>
      </w:r>
    </w:p>
    <w:p>
      <w:pPr>
        <w:pStyle w:val="null3"/>
      </w:pPr>
      <w:r>
        <w:rPr>
          <w:sz w:val="21"/>
          <w:b/>
        </w:rPr>
        <w:t>七、服务考核要求（验收要求）</w:t>
      </w:r>
    </w:p>
    <w:p>
      <w:pPr>
        <w:pStyle w:val="null3"/>
        <w:ind w:firstLine="480"/>
      </w:pPr>
      <w:r>
        <w:rPr>
          <w:sz w:val="21"/>
        </w:rPr>
        <w:t>（</w:t>
      </w:r>
      <w:r>
        <w:rPr>
          <w:sz w:val="21"/>
        </w:rPr>
        <w:t>一</w:t>
      </w:r>
      <w:r>
        <w:rPr>
          <w:sz w:val="21"/>
        </w:rPr>
        <w:t>）每月服务考核要求：</w:t>
      </w:r>
    </w:p>
    <w:p>
      <w:pPr>
        <w:pStyle w:val="null3"/>
        <w:ind w:firstLine="480"/>
      </w:pPr>
      <w:r>
        <w:rPr>
          <w:sz w:val="21"/>
        </w:rPr>
        <w:t>乙方须严格按照甲方要求及约定时间节点提交相关报告。甲方将在支付服务费用前，以乙方当月实际管理面积及服务履约为依据，每月对其服务质量开展一次全面考核评估，并将考核结果作为支付服务费用的前置条件，具体考核细则如下</w:t>
      </w:r>
      <w:r>
        <w:rPr>
          <w:sz w:val="21"/>
        </w:rPr>
        <w:t>(</w:t>
      </w:r>
      <w:r>
        <w:rPr>
          <w:sz w:val="21"/>
        </w:rPr>
        <w:t>甲方可根据管护要求进行修订</w:t>
      </w:r>
      <w:r>
        <w:rPr>
          <w:sz w:val="21"/>
        </w:rPr>
        <w:t>)</w:t>
      </w:r>
      <w:r>
        <w:rPr>
          <w:sz w:val="21"/>
        </w:rPr>
        <w:t>：</w:t>
      </w:r>
    </w:p>
    <w:p>
      <w:pPr>
        <w:pStyle w:val="null3"/>
        <w:ind w:firstLine="480"/>
      </w:pPr>
      <w:r>
        <w:rPr>
          <w:sz w:val="21"/>
        </w:rPr>
        <w:t>①</w:t>
      </w:r>
      <w:r>
        <w:rPr>
          <w:sz w:val="21"/>
        </w:rPr>
        <w:t>月度</w:t>
      </w:r>
      <w:r>
        <w:rPr>
          <w:sz w:val="21"/>
        </w:rPr>
        <w:t>考核细则：（详见附表）</w:t>
      </w:r>
    </w:p>
    <w:p>
      <w:pPr>
        <w:pStyle w:val="null3"/>
        <w:ind w:firstLine="480"/>
      </w:pPr>
      <w:r>
        <w:rPr>
          <w:sz w:val="21"/>
        </w:rPr>
        <w:t>②考核实行月度百分制。月评分</w:t>
      </w:r>
      <w:r>
        <w:rPr>
          <w:sz w:val="21"/>
        </w:rPr>
        <w:t>&lt;90</w:t>
      </w:r>
      <w:r>
        <w:rPr>
          <w:sz w:val="21"/>
        </w:rPr>
        <w:t>分时，每低</w:t>
      </w:r>
      <w:r>
        <w:rPr>
          <w:sz w:val="21"/>
        </w:rPr>
        <w:t>1</w:t>
      </w:r>
      <w:r>
        <w:rPr>
          <w:sz w:val="21"/>
        </w:rPr>
        <w:t>分扣除当月服务费的</w:t>
      </w:r>
      <w:r>
        <w:rPr>
          <w:sz w:val="21"/>
        </w:rPr>
        <w:t>5%</w:t>
      </w:r>
      <w:r>
        <w:rPr>
          <w:sz w:val="21"/>
        </w:rPr>
        <w:t>；月评分</w:t>
      </w:r>
      <w:r>
        <w:rPr>
          <w:sz w:val="21"/>
        </w:rPr>
        <w:t>&lt;70</w:t>
      </w:r>
      <w:r>
        <w:rPr>
          <w:sz w:val="21"/>
        </w:rPr>
        <w:t>分时，不予支付当月服务费（</w:t>
      </w:r>
      <w:r>
        <w:rPr>
          <w:sz w:val="21"/>
        </w:rPr>
        <w:t>甲方</w:t>
      </w:r>
      <w:r>
        <w:rPr>
          <w:sz w:val="21"/>
        </w:rPr>
        <w:t>可视情况调整扣费标准）。</w:t>
      </w:r>
    </w:p>
    <w:p>
      <w:pPr>
        <w:pStyle w:val="null3"/>
        <w:ind w:firstLine="480"/>
      </w:pPr>
      <w:r>
        <w:rPr>
          <w:sz w:val="21"/>
        </w:rPr>
        <w:t>③服务期内累计</w:t>
      </w:r>
      <w:r>
        <w:rPr>
          <w:sz w:val="21"/>
        </w:rPr>
        <w:t>3</w:t>
      </w:r>
      <w:r>
        <w:rPr>
          <w:sz w:val="21"/>
        </w:rPr>
        <w:t>次月评分</w:t>
      </w:r>
      <w:r>
        <w:rPr>
          <w:sz w:val="21"/>
        </w:rPr>
        <w:t>&lt;70</w:t>
      </w:r>
      <w:r>
        <w:rPr>
          <w:sz w:val="21"/>
        </w:rPr>
        <w:t>分，或针对问题整改</w:t>
      </w:r>
      <w:r>
        <w:rPr>
          <w:sz w:val="21"/>
        </w:rPr>
        <w:t>3</w:t>
      </w:r>
      <w:r>
        <w:rPr>
          <w:sz w:val="21"/>
        </w:rPr>
        <w:t>次仍不达标的，</w:t>
      </w:r>
      <w:r>
        <w:rPr>
          <w:sz w:val="21"/>
        </w:rPr>
        <w:t>甲方</w:t>
      </w:r>
      <w:r>
        <w:rPr>
          <w:sz w:val="21"/>
        </w:rPr>
        <w:t>有权上报</w:t>
      </w:r>
      <w:r>
        <w:rPr>
          <w:sz w:val="21"/>
        </w:rPr>
        <w:t>政府采购</w:t>
      </w:r>
      <w:r>
        <w:rPr>
          <w:sz w:val="21"/>
        </w:rPr>
        <w:t>监管部门并终止合同。</w:t>
      </w:r>
    </w:p>
    <w:tbl>
      <w:tblPr>
        <w:tblW w:w="0" w:type="auto"/>
        <w:tblBorders>
          <w:top w:val="single"/>
          <w:left w:val="single"/>
          <w:bottom w:val="single"/>
          <w:right w:val="single"/>
          <w:insideH w:val="single"/>
          <w:insideV w:val="single"/>
        </w:tblBorders>
      </w:tblPr>
      <w:tblGrid>
        <w:gridCol w:w="1194"/>
        <w:gridCol w:w="1194"/>
        <w:gridCol w:w="1516"/>
        <w:gridCol w:w="4401"/>
        <w:gridCol w:w="0"/>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知识城已征未开发地块综合服务管理月度考核表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38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受考核单位</w:t>
            </w:r>
          </w:p>
        </w:tc>
        <w:tc>
          <w:tcPr>
            <w:tcW w:type="dxa" w:w="591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388"/>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考核时段</w:t>
            </w:r>
          </w:p>
        </w:tc>
        <w:tc>
          <w:tcPr>
            <w:tcW w:type="dxa" w:w="591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年  月</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tcBorders>
              <w:top w:val="none" w:color="000000" w:sz="4"/>
              <w:left w:val="singl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考核项目</w:t>
            </w:r>
          </w:p>
        </w:tc>
        <w:tc>
          <w:tcPr>
            <w:tcW w:type="dxa" w:w="1194"/>
            <w:tcBorders>
              <w:top w:val="none" w:color="000000" w:sz="4"/>
              <w:left w:val="non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检查标准</w:t>
            </w:r>
          </w:p>
        </w:tc>
        <w:tc>
          <w:tcPr>
            <w:tcW w:type="dxa" w:w="5917"/>
            <w:gridSpan w:val="2"/>
            <w:tcBorders>
              <w:top w:val="none" w:color="000000" w:sz="4"/>
              <w:left w:val="none" w:color="000000" w:sz="4"/>
              <w:bottom w:val="single" w:color="000000" w:sz="4"/>
              <w:right w:val="single" w:color="000000" w:sz="4"/>
            </w:tcBorders>
            <w:shd w:fill="E6E6E6"/>
            <w:tcMar>
              <w:top w:type="dxa" w:w="0"/>
              <w:left w:type="dxa" w:w="105"/>
              <w:bottom w:type="dxa" w:w="0"/>
              <w:right w:type="dxa" w:w="105"/>
            </w:tcMar>
          </w:tcPr>
          <w:p>
            <w:pPr>
              <w:pStyle w:val="null3"/>
              <w:jc w:val="center"/>
            </w:pPr>
            <w:r>
              <w:rPr>
                <w:sz w:val="21"/>
                <w:b/>
              </w:rPr>
              <w:t>考核内容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基础履约与</w:t>
            </w:r>
          </w:p>
          <w:p>
            <w:pPr>
              <w:pStyle w:val="null3"/>
              <w:jc w:val="center"/>
            </w:pPr>
            <w:r>
              <w:rPr>
                <w:sz w:val="21"/>
                <w:b/>
              </w:rPr>
              <w:t>资源配置</w:t>
            </w:r>
          </w:p>
          <w:p>
            <w:pPr>
              <w:pStyle w:val="null3"/>
              <w:jc w:val="center"/>
            </w:pPr>
            <w:r>
              <w:rPr>
                <w:sz w:val="21"/>
                <w:b/>
              </w:rPr>
              <w:t>（20分）</w:t>
            </w:r>
          </w:p>
        </w:tc>
        <w:tc>
          <w:tcPr>
            <w:tcW w:type="dxa" w:w="1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合同履行与</w:t>
            </w:r>
          </w:p>
          <w:p>
            <w:pPr>
              <w:pStyle w:val="null3"/>
              <w:jc w:val="center"/>
            </w:pPr>
            <w:r>
              <w:rPr>
                <w:sz w:val="21"/>
                <w:b/>
              </w:rPr>
              <w:t>设施配置</w:t>
            </w: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未按照合同约定制定并执行管护方案，或未设立项目管理机构的；</w:t>
            </w:r>
          </w:p>
          <w:p>
            <w:pPr>
              <w:pStyle w:val="null3"/>
              <w:jc w:val="left"/>
            </w:pPr>
            <w:r>
              <w:rPr>
                <w:sz w:val="21"/>
              </w:rPr>
              <w:t>2.</w:t>
            </w:r>
            <w:r>
              <w:rPr>
                <w:sz w:val="21"/>
              </w:rPr>
              <w:t>未按要求配置岗亭、足额配备管护人员，或未设置石墩等基础设施的；</w:t>
            </w:r>
          </w:p>
          <w:p>
            <w:pPr>
              <w:pStyle w:val="null3"/>
              <w:jc w:val="left"/>
            </w:pPr>
            <w:r>
              <w:rPr>
                <w:sz w:val="21"/>
              </w:rPr>
              <w:t>3.</w:t>
            </w:r>
            <w:r>
              <w:rPr>
                <w:sz w:val="21"/>
              </w:rPr>
              <w:t>未按合同规定提供固化材料（航拍图、测量放桩记录、桩点维护记录），或未规范设置公示牌且未及时更新的；</w:t>
            </w:r>
          </w:p>
          <w:p>
            <w:pPr>
              <w:pStyle w:val="null3"/>
              <w:jc w:val="left"/>
            </w:pPr>
            <w:r>
              <w:rPr>
                <w:sz w:val="21"/>
              </w:rPr>
              <w:t>4.</w:t>
            </w:r>
            <w:r>
              <w:rPr>
                <w:sz w:val="21"/>
              </w:rPr>
              <w:t>未按要求配备必要设施设备保障的（无人机、灭火器材、巡查车辆、应急物资、巡查记录仪等）；</w:t>
            </w:r>
          </w:p>
          <w:p>
            <w:pPr>
              <w:pStyle w:val="null3"/>
              <w:jc w:val="left"/>
            </w:pPr>
            <w:r>
              <w:rPr>
                <w:sz w:val="21"/>
              </w:rPr>
              <w:t>5.</w:t>
            </w:r>
            <w:r>
              <w:rPr>
                <w:sz w:val="21"/>
              </w:rPr>
              <w:t>未建立管理台账或台账记录不完整的；</w:t>
            </w:r>
          </w:p>
          <w:p>
            <w:pPr>
              <w:pStyle w:val="null3"/>
              <w:jc w:val="left"/>
            </w:pPr>
            <w:r>
              <w:rPr>
                <w:sz w:val="21"/>
              </w:rPr>
              <w:t>抽查每发现一次每项扣10分。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人员管理与行为规范（20分）</w:t>
            </w:r>
          </w:p>
        </w:tc>
        <w:tc>
          <w:tcPr>
            <w:tcW w:type="dxa" w:w="1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考勤纪律与仪容风貌</w:t>
            </w: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管护人员出勤抽查中，每发现一人次缺岗、脱岗的，扣10分，扣分不设上限。</w:t>
            </w:r>
          </w:p>
          <w:p>
            <w:pPr>
              <w:pStyle w:val="null3"/>
              <w:jc w:val="left"/>
            </w:pPr>
            <w:r>
              <w:rPr>
                <w:sz w:val="21"/>
              </w:rPr>
              <w:t>2.</w:t>
            </w:r>
            <w:r>
              <w:rPr>
                <w:sz w:val="21"/>
              </w:rPr>
              <w:t>执勤人员未按规定统一着装或着装不整的，每人次扣2分。</w:t>
            </w:r>
          </w:p>
          <w:p>
            <w:pPr>
              <w:pStyle w:val="null3"/>
              <w:jc w:val="left"/>
            </w:pPr>
            <w:r>
              <w:rPr>
                <w:sz w:val="21"/>
              </w:rPr>
              <w:t>3.</w:t>
            </w:r>
            <w:r>
              <w:rPr>
                <w:sz w:val="21"/>
              </w:rPr>
              <w:t>未严格执行考勤登记、巡查日志记录、防疫管理制度，或未为服务人员购买保险、存在拖欠工资行为的，每发现一项违规扣10分。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日常管护与环境卫生</w:t>
            </w:r>
          </w:p>
          <w:p>
            <w:pPr>
              <w:pStyle w:val="null3"/>
              <w:jc w:val="center"/>
            </w:pPr>
            <w:r>
              <w:rPr>
                <w:sz w:val="21"/>
                <w:b/>
              </w:rPr>
              <w:t>（10分）</w:t>
            </w:r>
          </w:p>
        </w:tc>
        <w:tc>
          <w:tcPr>
            <w:tcW w:type="dxa" w:w="1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保洁消杀与市容整治</w:t>
            </w: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1.</w:t>
            </w:r>
            <w:r>
              <w:rPr>
                <w:sz w:val="21"/>
              </w:rPr>
              <w:t>未落实定期卫生清理、除虫消杀措施，或未按时提交消杀报告的，每次扣5分。</w:t>
            </w:r>
          </w:p>
          <w:p>
            <w:pPr>
              <w:pStyle w:val="null3"/>
              <w:jc w:val="left"/>
            </w:pPr>
            <w:r>
              <w:rPr>
                <w:sz w:val="21"/>
              </w:rPr>
              <w:t>2.</w:t>
            </w:r>
            <w:r>
              <w:rPr>
                <w:sz w:val="21"/>
              </w:rPr>
              <w:t>未定期对管护地块内的杂树进行清理修剪，或道路两侧、出入口、门岗等区域存在杂树灌木遮挡、垃圾堆积、黄泥裸露未覆盖绿网等影响市容情形的，每发现一次扣5分。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综合管控与履职实效（50分）</w:t>
            </w:r>
          </w:p>
        </w:tc>
        <w:tc>
          <w:tcPr>
            <w:tcW w:type="dxa" w:w="1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风险防控与职责落实</w:t>
            </w: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发生违法用地、违建、非法倾倒、侵占、火灾、治安事件等，导致地块现状发生非自然因素改变的，每发现一次扣10分；若造成不良社会影响的，每次扣15分。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对违法用地、违建、非法倾倒等行为未采取有效制止措施，或对检查要求的整改事项未落实、整改不到位的，每次扣10分。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擅自将管护地块或设施出租、转租、提供给第三方使用或经营，擅自对管护范围内的设施及布置作变更，或违规转包、分包项目内容的，每发现一次扣10分。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管理期间发生土地被侵占、围墙（网）遭破坏、现场有人违规钓鱼，或未在规定时限内完成采购人要求的非法侵占清理、违建拆除、围墙修复等任务的，每发现一次扣10分。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未按时提交《受委托管理地块管护报告》，或报告内容存在雷同、数据不实、与航拍对比图不符等质量问题的，每次扣10分。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vMerge/>
            <w:tcBorders>
              <w:top w:val="none" w:color="000000" w:sz="4"/>
              <w:left w:val="single" w:color="000000" w:sz="4"/>
              <w:bottom w:val="single" w:color="000000" w:sz="4"/>
              <w:right w:val="single" w:color="000000" w:sz="4"/>
            </w:tcBorders>
          </w:tcPr>
          <w:p/>
        </w:tc>
        <w:tc>
          <w:tcPr>
            <w:tcW w:type="dxa" w:w="1194"/>
            <w:vMerge/>
            <w:tcBorders>
              <w:top w:val="none" w:color="000000" w:sz="4"/>
              <w:left w:val="none" w:color="000000" w:sz="4"/>
              <w:bottom w:val="single" w:color="000000" w:sz="4"/>
              <w:right w:val="single" w:color="000000" w:sz="4"/>
            </w:tcBorders>
          </w:tcPr>
          <w:p/>
        </w:tc>
        <w:tc>
          <w:tcPr>
            <w:tcW w:type="dxa" w:w="5917"/>
            <w:gridSpan w:val="2"/>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本月地块考核总分：</w:t>
            </w:r>
            <w:r>
              <w:rPr>
                <w:sz w:val="21"/>
                <w:u w:val="single"/>
              </w:rPr>
              <w:t xml:space="preserve">  **  </w:t>
            </w:r>
            <w:r>
              <w:rPr>
                <w:sz w:val="21"/>
              </w:rPr>
              <w:t>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注：1.考核实行月度百分制。月评分&lt;90分时，每低1分扣除当月服务费的5%；月评分&lt;70分时，不予支付当月服务费（甲方可视情况调整扣费标准）。</w:t>
            </w:r>
          </w:p>
          <w:p>
            <w:pPr>
              <w:pStyle w:val="null3"/>
              <w:jc w:val="left"/>
            </w:pPr>
            <w:r>
              <w:rPr>
                <w:sz w:val="21"/>
              </w:rPr>
              <w:t>2.</w:t>
            </w:r>
            <w:r>
              <w:rPr>
                <w:sz w:val="21"/>
              </w:rPr>
              <w:t>服务期内累计3次月评分&lt;70分，或针对问题整改3次仍不达标的，甲方有权上报政府采购监管部门并终止合同。</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904"/>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乙方签名、盖章确认:</w:t>
            </w:r>
          </w:p>
          <w:p>
            <w:pPr>
              <w:pStyle w:val="null3"/>
              <w:jc w:val="left"/>
            </w:pPr>
            <w:r>
              <w:rPr>
                <w:sz w:val="24"/>
              </w:rPr>
              <w:t xml:space="preserve">                  </w:t>
            </w:r>
            <w:r>
              <w:rPr>
                <w:sz w:val="21"/>
              </w:rPr>
              <w:t>年  月  日</w:t>
            </w:r>
          </w:p>
        </w:tc>
        <w:tc>
          <w:tcPr>
            <w:tcW w:type="dxa" w:w="4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甲方盖章确认：</w:t>
            </w:r>
          </w:p>
          <w:p>
            <w:pPr>
              <w:pStyle w:val="null3"/>
              <w:jc w:val="left"/>
            </w:pPr>
            <w:r>
              <w:rPr>
                <w:sz w:val="24"/>
              </w:rPr>
              <w:t xml:space="preserve">                </w:t>
            </w:r>
            <w:r>
              <w:rPr>
                <w:sz w:val="21"/>
              </w:rPr>
              <w:t>年   月   日</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904"/>
            <w:gridSpan w:val="3"/>
            <w:vMerge/>
            <w:tcBorders>
              <w:top w:val="none" w:color="000000" w:sz="4"/>
              <w:left w:val="single" w:color="000000" w:sz="4"/>
              <w:bottom w:val="single" w:color="000000" w:sz="4"/>
              <w:right w:val="single" w:color="000000" w:sz="4"/>
            </w:tcBorders>
          </w:tcPr>
          <w:p/>
        </w:tc>
        <w:tc>
          <w:tcPr>
            <w:tcW w:type="dxa" w:w="440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194"/>
            <w:tcBorders>
              <w:top w:val="none" w:color="000000" w:sz="4"/>
              <w:left w:val="none" w:color="000000" w:sz="4"/>
              <w:bottom w:val="none" w:color="000000" w:sz="4"/>
              <w:right w:val="none" w:color="000000" w:sz="4"/>
            </w:tcBorders>
          </w:tcPr>
          <w:p>
            <w:pPr>
              <w:pStyle w:val="null3"/>
            </w:pPr>
            <w:r>
              <w:rPr/>
              <w:t xml:space="preserve"> </w:t>
            </w:r>
          </w:p>
        </w:tc>
        <w:tc>
          <w:tcPr>
            <w:tcW w:type="dxa" w:w="1194"/>
            <w:tcBorders>
              <w:top w:val="none" w:color="000000" w:sz="4"/>
              <w:left w:val="none" w:color="000000" w:sz="4"/>
              <w:bottom w:val="none" w:color="000000" w:sz="4"/>
              <w:right w:val="none" w:color="000000" w:sz="4"/>
            </w:tcBorders>
          </w:tcPr>
          <w:p>
            <w:pPr>
              <w:pStyle w:val="null3"/>
            </w:pPr>
            <w:r>
              <w:rPr/>
              <w:t xml:space="preserve"> </w:t>
            </w:r>
          </w:p>
        </w:tc>
        <w:tc>
          <w:tcPr>
            <w:tcW w:type="dxa" w:w="1516"/>
            <w:tcBorders>
              <w:top w:val="none" w:color="000000" w:sz="4"/>
              <w:left w:val="none" w:color="000000" w:sz="4"/>
              <w:bottom w:val="none" w:color="000000" w:sz="4"/>
              <w:right w:val="none" w:color="000000" w:sz="4"/>
            </w:tcBorders>
          </w:tcPr>
          <w:p>
            <w:pPr>
              <w:pStyle w:val="null3"/>
            </w:pPr>
            <w:r>
              <w:rPr/>
              <w:t xml:space="preserve"> </w:t>
            </w:r>
          </w:p>
        </w:tc>
        <w:tc>
          <w:tcPr>
            <w:tcW w:type="dxa" w:w="4401"/>
            <w:tcBorders>
              <w:top w:val="none" w:color="000000" w:sz="4"/>
              <w:left w:val="none" w:color="000000" w:sz="4"/>
              <w:bottom w:val="none" w:color="000000" w:sz="4"/>
              <w:right w:val="none" w:color="000000" w:sz="4"/>
            </w:tcBorders>
          </w:tcPr>
          <w:p>
            <w:pPr>
              <w:pStyle w:val="null3"/>
            </w:pPr>
            <w:r>
              <w:rPr/>
              <w:t xml:space="preserve"> </w:t>
            </w:r>
          </w:p>
        </w:tc>
        <w:tc>
          <w:tcPr>
            <w:tcW w:type="dxa" w:w="0"/>
            <w:tcBorders>
              <w:top w:val="none" w:color="000000" w:sz="4"/>
              <w:left w:val="none" w:color="000000" w:sz="4"/>
              <w:bottom w:val="none" w:color="000000" w:sz="4"/>
              <w:right w:val="none" w:color="000000" w:sz="4"/>
            </w:tcBorders>
          </w:tcPr>
          <w:p>
            <w:pPr>
              <w:pStyle w:val="null3"/>
              <w:jc w:val="both"/>
            </w:pPr>
            <w:r>
              <w:rPr>
                <w:sz w:val="24"/>
              </w:rPr>
              <w:t xml:space="preserve"> </w:t>
            </w:r>
          </w:p>
        </w:tc>
      </w:tr>
    </w:tbl>
    <w:p>
      <w:pPr>
        <w:pStyle w:val="null3"/>
        <w:ind w:firstLine="420"/>
      </w:pPr>
      <w:r>
        <w:rPr>
          <w:sz w:val="21"/>
        </w:rPr>
        <w:t>（</w:t>
      </w:r>
      <w:r>
        <w:rPr>
          <w:sz w:val="21"/>
        </w:rPr>
        <w:t>二</w:t>
      </w:r>
      <w:r>
        <w:rPr>
          <w:sz w:val="21"/>
        </w:rPr>
        <w:t>）合同履约验收要求</w:t>
      </w:r>
    </w:p>
    <w:p>
      <w:pPr>
        <w:pStyle w:val="null3"/>
        <w:ind w:firstLine="480"/>
      </w:pPr>
      <w:r>
        <w:rPr>
          <w:sz w:val="21"/>
        </w:rPr>
        <w:t>①乙方按月编制《受委托管理地块管理报告》，于每月</w:t>
      </w:r>
      <w:r>
        <w:rPr>
          <w:sz w:val="21"/>
        </w:rPr>
        <w:t>15</w:t>
      </w:r>
      <w:r>
        <w:rPr>
          <w:sz w:val="21"/>
        </w:rPr>
        <w:t>日（休息日或法定节假日可顺延至下一个工作日）前向甲方提交上个月度受委托管理地块的管理情况。</w:t>
      </w:r>
    </w:p>
    <w:p>
      <w:pPr>
        <w:pStyle w:val="null3"/>
        <w:ind w:firstLine="480"/>
      </w:pPr>
      <w:r>
        <w:rPr>
          <w:sz w:val="21"/>
        </w:rPr>
        <w:t>②服务期满或合同终止前，乙方需将所有档案资料（含电子档）装订成册，形成台账上交甲方。本项目产生的所有数据（航拍图、监控视频、测绘数据）归甲方所有，乙方不得留存或商用。</w:t>
      </w:r>
    </w:p>
    <w:p>
      <w:pPr>
        <w:pStyle w:val="null3"/>
        <w:ind w:firstLine="480"/>
      </w:pPr>
      <w:r>
        <w:rPr>
          <w:sz w:val="21"/>
        </w:rPr>
        <w:t>③政府采购合同履行完毕，乙方应向甲方提交履约验收申请及项目全流程资料。甲方应在收到</w:t>
      </w:r>
      <w:r>
        <w:rPr>
          <w:sz w:val="21"/>
        </w:rPr>
        <w:t>乙方</w:t>
      </w:r>
      <w:r>
        <w:rPr>
          <w:sz w:val="21"/>
        </w:rPr>
        <w:t>验收申请及相关资料后七日内，依据《财政部关于印发</w:t>
      </w:r>
      <w:r>
        <w:rPr>
          <w:sz w:val="21"/>
        </w:rPr>
        <w:t>&lt;</w:t>
      </w:r>
      <w:r>
        <w:rPr>
          <w:sz w:val="21"/>
        </w:rPr>
        <w:t>政府采购需求管理办法</w:t>
      </w:r>
      <w:r>
        <w:rPr>
          <w:sz w:val="21"/>
        </w:rPr>
        <w:t>&gt;</w:t>
      </w:r>
      <w:r>
        <w:rPr>
          <w:sz w:val="21"/>
        </w:rPr>
        <w:t>的通知》（财库〔</w:t>
      </w:r>
      <w:r>
        <w:rPr>
          <w:sz w:val="21"/>
        </w:rPr>
        <w:t>2021</w:t>
      </w:r>
      <w:r>
        <w:rPr>
          <w:sz w:val="21"/>
        </w:rPr>
        <w:t>〕</w:t>
      </w:r>
      <w:r>
        <w:rPr>
          <w:sz w:val="21"/>
        </w:rPr>
        <w:t>22</w:t>
      </w:r>
      <w:r>
        <w:rPr>
          <w:sz w:val="21"/>
        </w:rPr>
        <w:t>号）、《广东省财政厅关于进一步加强政府采购需求管理工作的通知》（粤财采购函〔</w:t>
      </w:r>
      <w:r>
        <w:rPr>
          <w:sz w:val="21"/>
        </w:rPr>
        <w:t>2023</w:t>
      </w:r>
      <w:r>
        <w:rPr>
          <w:sz w:val="21"/>
        </w:rPr>
        <w:t>〕</w:t>
      </w:r>
      <w:r>
        <w:rPr>
          <w:sz w:val="21"/>
        </w:rPr>
        <w:t>29</w:t>
      </w:r>
      <w:r>
        <w:rPr>
          <w:sz w:val="21"/>
        </w:rPr>
        <w:t>号）及合同相关规定，结合本单位职能与项目实际情况组织考核验收。验收标准以采购文件、投标承诺及双方共同认可的各项要求为准。若验收不合格，乙方须配合进行返工或采取其他补救措施，直至满足本合同约定及甲方要求。</w:t>
      </w:r>
    </w:p>
    <w:p>
      <w:pPr>
        <w:pStyle w:val="null3"/>
        <w:jc w:val="both"/>
      </w:pPr>
      <w:r>
        <w:rPr>
          <w:sz w:val="21"/>
          <w:b/>
        </w:rPr>
        <w:t>八、其他要求</w:t>
      </w:r>
    </w:p>
    <w:p>
      <w:pPr>
        <w:pStyle w:val="null3"/>
        <w:ind w:firstLine="420"/>
      </w:pPr>
      <w:r>
        <w:rPr>
          <w:sz w:val="21"/>
        </w:rPr>
        <w:t>（一）</w:t>
      </w:r>
      <w:r>
        <w:rPr>
          <w:sz w:val="21"/>
        </w:rPr>
        <w:t>乙方应对其派驻人员的行为承担全部法律责任。若上述人员出现违法行为，或违反相关管理规定构成严重违纪、违规，或因履职不当给甲方及第三方造成损失的，乙方应承担全部责任并负责赔偿，同时甲方有权单方解除合同，并不承担任何违约责任。</w:t>
      </w:r>
    </w:p>
    <w:p>
      <w:pPr>
        <w:pStyle w:val="null3"/>
        <w:ind w:firstLine="420"/>
      </w:pPr>
      <w:r>
        <w:rPr>
          <w:sz w:val="21"/>
        </w:rPr>
        <w:t>（二）</w:t>
      </w:r>
      <w:r>
        <w:rPr>
          <w:sz w:val="21"/>
        </w:rPr>
        <w:t>乙方应按照委托管理方案，积极履行巡查和日常管理义务，并接受甲方对委托管理期间合同履行情况的考核。</w:t>
      </w:r>
    </w:p>
    <w:p>
      <w:pPr>
        <w:pStyle w:val="null3"/>
        <w:ind w:firstLine="420"/>
      </w:pPr>
      <w:r>
        <w:rPr>
          <w:sz w:val="21"/>
        </w:rPr>
        <w:t>（三）</w:t>
      </w:r>
      <w:r>
        <w:rPr>
          <w:sz w:val="21"/>
        </w:rPr>
        <w:t>本项目合同解除或终止时，乙方应按甲方通知的时间恢复地块原状，并配合甲方完成委托管理地块的移交工作。</w:t>
      </w:r>
    </w:p>
    <w:p>
      <w:pPr>
        <w:pStyle w:val="null3"/>
        <w:ind w:firstLine="420"/>
      </w:pPr>
      <w:r>
        <w:rPr>
          <w:sz w:val="21"/>
        </w:rPr>
        <w:t>（四）</w:t>
      </w:r>
      <w:r>
        <w:rPr>
          <w:sz w:val="21"/>
        </w:rPr>
        <w:t>土地的所有权、收益权全部归甲方所有，乙方仅享有本项目约定的委托管理权，乙方不得将本项目合同项下土地、建（构）筑物、附着物用于经营、出租、或提供给任何第三方使用。</w:t>
      </w:r>
    </w:p>
    <w:p>
      <w:pPr>
        <w:pStyle w:val="null3"/>
        <w:ind w:firstLine="420"/>
      </w:pPr>
      <w:r>
        <w:rPr>
          <w:sz w:val="21"/>
        </w:rPr>
        <w:t>（五）</w:t>
      </w:r>
      <w:r>
        <w:rPr>
          <w:sz w:val="21"/>
        </w:rPr>
        <w:t>在不增加车辆、路障设施、岗亭等数量的情况下，乙方应根据甲方要求提供其他需要管理地块的地块综合管理服务。</w:t>
      </w:r>
    </w:p>
    <w:p>
      <w:pPr>
        <w:pStyle w:val="null3"/>
        <w:ind w:firstLine="420"/>
      </w:pPr>
      <w:r>
        <w:rPr>
          <w:sz w:val="21"/>
        </w:rPr>
        <w:t>（六）</w:t>
      </w:r>
      <w:r>
        <w:rPr>
          <w:sz w:val="21"/>
        </w:rPr>
        <w:t>服务期内如遇公共市政配套等工程建设需要在委托管理地块上施工的，乙方应立即通知甲方，由甲方、乙方双方及项目建设方共同协商解决。</w:t>
      </w:r>
    </w:p>
    <w:p>
      <w:pPr>
        <w:pStyle w:val="null3"/>
        <w:ind w:firstLine="420"/>
      </w:pPr>
      <w:r>
        <w:rPr>
          <w:sz w:val="21"/>
        </w:rPr>
        <w:t>（七）</w:t>
      </w:r>
      <w:r>
        <w:rPr>
          <w:sz w:val="21"/>
        </w:rPr>
        <w:t>服务期内如管理土地遭遇第三方侵权，乙方应立即通知甲方，采取积极有效措施防止损害结果的扩大，并协助甲方向侵权方索赔。已征已收土地历史存在非法侵占、非法建筑及开垦耕种情况，在收到甲方书面通知后，乙方应在规定时间内协助甲方进行清理。</w:t>
      </w:r>
    </w:p>
    <w:p>
      <w:pPr>
        <w:pStyle w:val="null3"/>
        <w:ind w:firstLine="420"/>
      </w:pPr>
      <w:r>
        <w:rPr>
          <w:sz w:val="21"/>
        </w:rPr>
        <w:t>（八）</w:t>
      </w:r>
      <w:r>
        <w:rPr>
          <w:sz w:val="21"/>
        </w:rPr>
        <w:t>本次招标的投标报价应为人民币含税全包价，包括但不限于：</w:t>
      </w:r>
      <w:r>
        <w:rPr>
          <w:sz w:val="21"/>
        </w:rPr>
        <w:t>1</w:t>
      </w:r>
      <w:r>
        <w:rPr>
          <w:sz w:val="21"/>
        </w:rPr>
        <w:t>）服务人员（含管理人员）工资、保险、税费及相关费用；</w:t>
      </w:r>
      <w:r>
        <w:rPr>
          <w:sz w:val="21"/>
        </w:rPr>
        <w:t>2</w:t>
      </w:r>
      <w:r>
        <w:rPr>
          <w:sz w:val="21"/>
        </w:rPr>
        <w:t>）购置从事安保工作必备的统一工作服装、器械等装备费用；</w:t>
      </w:r>
      <w:r>
        <w:rPr>
          <w:sz w:val="21"/>
        </w:rPr>
        <w:t>3</w:t>
      </w:r>
      <w:r>
        <w:rPr>
          <w:sz w:val="21"/>
        </w:rPr>
        <w:t>）管护地块公示牌制作安装和日常维护保养费用；</w:t>
      </w:r>
      <w:r>
        <w:rPr>
          <w:sz w:val="21"/>
        </w:rPr>
        <w:t>4</w:t>
      </w:r>
      <w:r>
        <w:rPr>
          <w:sz w:val="21"/>
        </w:rPr>
        <w:t>）应急救援物资设备费用；</w:t>
      </w:r>
      <w:r>
        <w:rPr>
          <w:sz w:val="21"/>
        </w:rPr>
        <w:t>5</w:t>
      </w:r>
      <w:r>
        <w:rPr>
          <w:sz w:val="21"/>
        </w:rPr>
        <w:t>）管护管理地块虫害防治、环境卫生等措施费用；</w:t>
      </w:r>
      <w:r>
        <w:rPr>
          <w:sz w:val="21"/>
        </w:rPr>
        <w:t>6</w:t>
      </w:r>
      <w:r>
        <w:rPr>
          <w:sz w:val="21"/>
        </w:rPr>
        <w:t>）根据宗地管理需要对地块出入口设置巡查亭、路障，或对地块实施围蔽的费用；</w:t>
      </w:r>
      <w:r>
        <w:rPr>
          <w:sz w:val="21"/>
        </w:rPr>
        <w:t>7</w:t>
      </w:r>
      <w:r>
        <w:rPr>
          <w:sz w:val="21"/>
        </w:rPr>
        <w:t>）测量放桩、地形测量费用；</w:t>
      </w:r>
      <w:r>
        <w:rPr>
          <w:sz w:val="21"/>
        </w:rPr>
        <w:t>8</w:t>
      </w:r>
      <w:r>
        <w:rPr>
          <w:sz w:val="21"/>
        </w:rPr>
        <w:t>）其他地块管理相关费用。</w:t>
      </w:r>
    </w:p>
    <w:p>
      <w:pPr>
        <w:pStyle w:val="null3"/>
      </w:pPr>
      <w:r>
        <w:rPr>
          <w:sz w:val="21"/>
          <w:b/>
        </w:rPr>
        <w:t>九、甲方乙方的权利和义务</w:t>
      </w:r>
    </w:p>
    <w:p>
      <w:pPr>
        <w:pStyle w:val="null3"/>
        <w:ind w:firstLine="420"/>
      </w:pPr>
      <w:r>
        <w:rPr>
          <w:sz w:val="21"/>
        </w:rPr>
        <w:t>（一）甲方的权利和义务</w:t>
      </w:r>
    </w:p>
    <w:p>
      <w:pPr>
        <w:pStyle w:val="null3"/>
        <w:ind w:firstLine="480"/>
        <w:jc w:val="both"/>
      </w:pPr>
      <w:r>
        <w:rPr>
          <w:sz w:val="21"/>
        </w:rPr>
        <w:t>1.</w:t>
      </w:r>
      <w:r>
        <w:rPr>
          <w:sz w:val="21"/>
        </w:rPr>
        <w:t>根据甲方指派委托管护的地块，乙方提供管护措施方案及报价，把具体服务地块指派给乙方；</w:t>
      </w:r>
    </w:p>
    <w:p>
      <w:pPr>
        <w:pStyle w:val="null3"/>
        <w:ind w:firstLine="480"/>
        <w:jc w:val="both"/>
      </w:pPr>
      <w:r>
        <w:rPr>
          <w:sz w:val="21"/>
        </w:rPr>
        <w:t>2.</w:t>
      </w:r>
      <w:r>
        <w:rPr>
          <w:sz w:val="21"/>
        </w:rPr>
        <w:t>服务期内对乙方的服务质量进行考核。</w:t>
      </w:r>
    </w:p>
    <w:p>
      <w:pPr>
        <w:pStyle w:val="null3"/>
        <w:ind w:firstLine="480"/>
        <w:jc w:val="both"/>
      </w:pPr>
      <w:r>
        <w:rPr>
          <w:sz w:val="21"/>
        </w:rPr>
        <w:t>（二）乙方的权利和义务</w:t>
      </w:r>
    </w:p>
    <w:p>
      <w:pPr>
        <w:pStyle w:val="null3"/>
        <w:ind w:firstLine="480"/>
        <w:jc w:val="both"/>
      </w:pPr>
      <w:r>
        <w:rPr>
          <w:sz w:val="21"/>
        </w:rPr>
        <w:t>1.</w:t>
      </w:r>
      <w:r>
        <w:rPr>
          <w:sz w:val="21"/>
        </w:rPr>
        <w:t>乙方不可转包或分包项目内容，不能转移乙方的承包责任，不得对管理范围内的设施及布置任意作变更；</w:t>
      </w:r>
    </w:p>
    <w:p>
      <w:pPr>
        <w:pStyle w:val="null3"/>
        <w:ind w:firstLine="480"/>
        <w:jc w:val="both"/>
      </w:pPr>
      <w:r>
        <w:rPr>
          <w:sz w:val="21"/>
        </w:rPr>
        <w:t>2.</w:t>
      </w:r>
      <w:r>
        <w:rPr>
          <w:sz w:val="21"/>
        </w:rPr>
        <w:t>乙方员工出现违法违规行为，所造成的一切后果及损失，由乙方承担责任和负责赔偿；</w:t>
      </w:r>
    </w:p>
    <w:p>
      <w:pPr>
        <w:pStyle w:val="null3"/>
        <w:ind w:firstLine="480"/>
        <w:jc w:val="both"/>
      </w:pPr>
      <w:r>
        <w:rPr>
          <w:sz w:val="21"/>
        </w:rPr>
        <w:t>3.</w:t>
      </w:r>
      <w:r>
        <w:rPr>
          <w:sz w:val="21"/>
        </w:rPr>
        <w:t>乙方员工出现违法行为或严重违纪、违规行为，由乙方承担责任，甲方有权终止协议；</w:t>
      </w:r>
    </w:p>
    <w:p>
      <w:pPr>
        <w:pStyle w:val="null3"/>
        <w:ind w:firstLine="480"/>
        <w:jc w:val="both"/>
      </w:pPr>
      <w:r>
        <w:rPr>
          <w:sz w:val="21"/>
        </w:rPr>
        <w:t>4.</w:t>
      </w:r>
      <w:r>
        <w:rPr>
          <w:sz w:val="21"/>
        </w:rPr>
        <w:t>乙方不得将该项目授予权利义务转让给其他第三方行使。</w:t>
      </w:r>
    </w:p>
    <w:p>
      <w:pPr>
        <w:pStyle w:val="null3"/>
      </w:pPr>
      <w:r>
        <w:rPr>
          <w:sz w:val="21"/>
          <w:b/>
        </w:rPr>
        <w:t>十、违约责任</w:t>
      </w:r>
    </w:p>
    <w:p>
      <w:pPr>
        <w:pStyle w:val="null3"/>
        <w:ind w:firstLine="480"/>
      </w:pPr>
      <w:r>
        <w:rPr>
          <w:sz w:val="21"/>
        </w:rPr>
        <w:t>（一）一般违约处理：服务期间，若乙方未能按合同或委托管理方案的规定履行义务，甲方有权暂停支付委托管理费用，并书面通知乙方限期整改。若乙方拒绝整改或整改结果不符合甲方要求，甲方有权单方面终止委托管理合同。在此情形下，乙方须向甲方支付相当于中标合同总价</w:t>
      </w:r>
      <w:r>
        <w:rPr>
          <w:sz w:val="21"/>
        </w:rPr>
        <w:t>20%</w:t>
      </w:r>
      <w:r>
        <w:rPr>
          <w:sz w:val="21"/>
        </w:rPr>
        <w:t>的违约金。</w:t>
      </w:r>
    </w:p>
    <w:p>
      <w:pPr>
        <w:pStyle w:val="null3"/>
        <w:ind w:firstLine="480"/>
      </w:pPr>
      <w:r>
        <w:rPr>
          <w:sz w:val="21"/>
        </w:rPr>
        <w:t>（二）重大违约情形：服务期间，在委托管理的土地上出现下列情形之一的，甲方有权立即终止委托管理合同，乙方须向甲方支付相当于中标合同总价</w:t>
      </w:r>
      <w:r>
        <w:rPr>
          <w:sz w:val="21"/>
        </w:rPr>
        <w:t>20%</w:t>
      </w:r>
      <w:r>
        <w:rPr>
          <w:sz w:val="21"/>
        </w:rPr>
        <w:t>的违约金；若因此给甲方造成其他损失的，乙方还应承担相应的赔偿责任：</w:t>
      </w:r>
    </w:p>
    <w:p>
      <w:pPr>
        <w:pStyle w:val="null3"/>
        <w:ind w:firstLine="480"/>
      </w:pPr>
      <w:r>
        <w:rPr>
          <w:sz w:val="21"/>
        </w:rPr>
        <w:t>1.</w:t>
      </w:r>
      <w:r>
        <w:rPr>
          <w:sz w:val="21"/>
        </w:rPr>
        <w:t>管理土地被非法侵占的；</w:t>
      </w:r>
    </w:p>
    <w:p>
      <w:pPr>
        <w:pStyle w:val="null3"/>
        <w:ind w:firstLine="480"/>
      </w:pPr>
      <w:r>
        <w:rPr>
          <w:sz w:val="21"/>
        </w:rPr>
        <w:t>2.</w:t>
      </w:r>
      <w:r>
        <w:rPr>
          <w:sz w:val="21"/>
        </w:rPr>
        <w:t>管理土地上出现违法建筑的；</w:t>
      </w:r>
    </w:p>
    <w:p>
      <w:pPr>
        <w:pStyle w:val="null3"/>
        <w:ind w:firstLine="480"/>
      </w:pPr>
      <w:r>
        <w:rPr>
          <w:sz w:val="21"/>
        </w:rPr>
        <w:t>3.</w:t>
      </w:r>
      <w:r>
        <w:rPr>
          <w:sz w:val="21"/>
        </w:rPr>
        <w:t>管理土地上出现非法利用储备土地从事生产经营活动的；</w:t>
      </w:r>
    </w:p>
    <w:p>
      <w:pPr>
        <w:pStyle w:val="null3"/>
        <w:ind w:firstLine="480"/>
      </w:pPr>
      <w:r>
        <w:rPr>
          <w:sz w:val="21"/>
        </w:rPr>
        <w:t>4.</w:t>
      </w:r>
      <w:r>
        <w:rPr>
          <w:sz w:val="21"/>
        </w:rPr>
        <w:t>擅自将管理土地转包或分包，导致管理权部分或全部转移给第三方的；</w:t>
      </w:r>
    </w:p>
    <w:p>
      <w:pPr>
        <w:pStyle w:val="null3"/>
        <w:ind w:firstLine="480"/>
      </w:pPr>
      <w:r>
        <w:rPr>
          <w:sz w:val="21"/>
        </w:rPr>
        <w:t>5.</w:t>
      </w:r>
      <w:r>
        <w:rPr>
          <w:sz w:val="21"/>
        </w:rPr>
        <w:t>不配合管理土地的清理、移交工作的；</w:t>
      </w:r>
    </w:p>
    <w:p>
      <w:pPr>
        <w:pStyle w:val="null3"/>
        <w:ind w:firstLine="480"/>
      </w:pPr>
      <w:r>
        <w:rPr>
          <w:sz w:val="21"/>
        </w:rPr>
        <w:t>6.</w:t>
      </w:r>
      <w:r>
        <w:rPr>
          <w:sz w:val="21"/>
        </w:rPr>
        <w:t>违反土地管理法规，导致管理土地产生五亩以上违法用地，构成非法行为并被相关单位立案追诉的；</w:t>
      </w:r>
    </w:p>
    <w:p>
      <w:pPr>
        <w:pStyle w:val="null3"/>
        <w:ind w:firstLine="480"/>
      </w:pPr>
      <w:r>
        <w:rPr>
          <w:sz w:val="21"/>
        </w:rPr>
        <w:t>7.</w:t>
      </w:r>
      <w:r>
        <w:rPr>
          <w:sz w:val="21"/>
        </w:rPr>
        <w:t>未严格遵守各项防疫规定，拒不履行疫情防控法定义务，引发疫情传播或造成疫情传播严重风险的；</w:t>
      </w:r>
    </w:p>
    <w:p>
      <w:pPr>
        <w:pStyle w:val="null3"/>
        <w:ind w:firstLine="480"/>
      </w:pPr>
      <w:r>
        <w:rPr>
          <w:sz w:val="21"/>
        </w:rPr>
        <w:t>8.</w:t>
      </w:r>
      <w:r>
        <w:rPr>
          <w:sz w:val="21"/>
        </w:rPr>
        <w:t>因乙方未尽管理义务，导致管理土地上发生人身伤亡或财产损害事故的，乙方须承担全部赔偿责任。</w:t>
      </w:r>
    </w:p>
    <w:p>
      <w:pPr>
        <w:pStyle w:val="null3"/>
        <w:ind w:firstLine="480"/>
      </w:pPr>
      <w:r>
        <w:rPr>
          <w:sz w:val="21"/>
        </w:rPr>
        <w:t>（三）合同终止交接：无论因何种原因导致本合同终止或解除，乙方在接到甲方的书面通知后，必须积极配合甲方完成各项交接工作。乙方不得以任何理由拖延办理交接手续，也不得无故滞留管理场地。否则，乙方须向甲方支付相当于中标合同总价</w:t>
      </w:r>
      <w:r>
        <w:rPr>
          <w:sz w:val="21"/>
        </w:rPr>
        <w:t>20%</w:t>
      </w:r>
      <w:r>
        <w:rPr>
          <w:sz w:val="21"/>
        </w:rPr>
        <w:t>的违约金。</w:t>
      </w:r>
    </w:p>
    <w:p>
      <w:pPr>
        <w:pStyle w:val="null3"/>
        <w:ind w:firstLine="480"/>
        <w:jc w:val="both"/>
      </w:pPr>
      <w:r>
        <w:rPr>
          <w:sz w:val="21"/>
        </w:rPr>
        <w:t>（四）政策与客观情况变更：本次招标范围内的全部或部分宗地，可能因土地储备工作、开发建设和管理主体发生变更以及政策调整等原因，导致无需乙方继续提供管理服务。在此情况下，甲方有权在书面通知乙方后，提前变更、终止本合同或解除部分委托管理内容，且甲方无需承担任何违约责任</w:t>
      </w:r>
      <w:r>
        <w:rPr>
          <w:sz w:val="21"/>
        </w:rPr>
        <w:t>，</w:t>
      </w:r>
      <w:r>
        <w:rPr>
          <w:sz w:val="21"/>
        </w:rPr>
        <w:t>由此带来的商业风险</w:t>
      </w:r>
      <w:r>
        <w:rPr>
          <w:sz w:val="21"/>
        </w:rPr>
        <w:t>由乙方</w:t>
      </w:r>
      <w:r>
        <w:rPr>
          <w:sz w:val="21"/>
        </w:rPr>
        <w:t>自行承担。</w:t>
      </w:r>
    </w:p>
    <w:p>
      <w:pPr>
        <w:pStyle w:val="null3"/>
      </w:pPr>
      <w:r>
        <w:rPr>
          <w:sz w:val="21"/>
          <w:b/>
        </w:rPr>
        <w:t>十</w:t>
      </w:r>
      <w:r>
        <w:rPr>
          <w:sz w:val="21"/>
          <w:b/>
        </w:rPr>
        <w:t>一</w:t>
      </w:r>
      <w:r>
        <w:rPr>
          <w:sz w:val="21"/>
          <w:b/>
        </w:rPr>
        <w:t>、知识产权产权归属</w:t>
      </w:r>
    </w:p>
    <w:p>
      <w:pPr>
        <w:pStyle w:val="null3"/>
        <w:ind w:firstLine="48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pPr>
      <w:r>
        <w:rPr>
          <w:sz w:val="21"/>
          <w:b/>
        </w:rPr>
        <w:t>十</w:t>
      </w:r>
      <w:r>
        <w:rPr>
          <w:sz w:val="21"/>
          <w:b/>
        </w:rPr>
        <w:t>二</w:t>
      </w:r>
      <w:r>
        <w:rPr>
          <w:sz w:val="21"/>
          <w:b/>
        </w:rPr>
        <w:t>、保密</w:t>
      </w:r>
    </w:p>
    <w:p>
      <w:pPr>
        <w:pStyle w:val="null3"/>
        <w:ind w:firstLine="480"/>
        <w:jc w:val="both"/>
      </w:pPr>
      <w:r>
        <w:rPr>
          <w:sz w:val="21"/>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80"/>
        <w:jc w:val="both"/>
      </w:pPr>
      <w:r>
        <w:rPr>
          <w:sz w:val="21"/>
        </w:rPr>
        <w:t>1</w:t>
      </w:r>
      <w:r>
        <w:rPr>
          <w:sz w:val="21"/>
        </w:rPr>
        <w:t>）未经甲方事先书面同意，乙方不得将由甲方为本协议提供的技术资料提供给与本协议无关的任何第三方，不得将其用于履行本协议之外的其它用途。即使向与履行本协议有关的人员提供，也应注意保密并限于履行协议所必需的范围。</w:t>
      </w:r>
    </w:p>
    <w:p>
      <w:pPr>
        <w:pStyle w:val="null3"/>
        <w:ind w:firstLine="480"/>
        <w:jc w:val="both"/>
      </w:pPr>
      <w:r>
        <w:rPr>
          <w:sz w:val="21"/>
        </w:rPr>
        <w:t>2</w:t>
      </w:r>
      <w:r>
        <w:rPr>
          <w:sz w:val="21"/>
        </w:rPr>
        <w:t>）如果甲方有要求，乙方在完成协议后应将有关资料还给甲方。</w:t>
      </w:r>
    </w:p>
    <w:p>
      <w:pPr>
        <w:pStyle w:val="null3"/>
      </w:pPr>
      <w:r>
        <w:rPr>
          <w:sz w:val="21"/>
          <w:b/>
        </w:rPr>
        <w:t>十</w:t>
      </w:r>
      <w:r>
        <w:rPr>
          <w:sz w:val="21"/>
          <w:b/>
        </w:rPr>
        <w:t>三</w:t>
      </w:r>
      <w:r>
        <w:rPr>
          <w:sz w:val="21"/>
          <w:b/>
        </w:rPr>
        <w:t>、争端的解决</w:t>
      </w:r>
    </w:p>
    <w:p>
      <w:pPr>
        <w:pStyle w:val="null3"/>
        <w:ind w:firstLine="480"/>
        <w:jc w:val="both"/>
      </w:pPr>
      <w:r>
        <w:rPr>
          <w:sz w:val="21"/>
        </w:rPr>
        <w:t>协议执行过程中发生的任何争议，如双方不能通过友好协商解决，甲、乙双方一致同意向甲方所在地人民法院提起诉讼。</w:t>
      </w:r>
    </w:p>
    <w:p>
      <w:pPr>
        <w:pStyle w:val="null3"/>
      </w:pPr>
      <w:r>
        <w:rPr>
          <w:sz w:val="21"/>
          <w:b/>
        </w:rPr>
        <w:t>十</w:t>
      </w:r>
      <w:r>
        <w:rPr>
          <w:sz w:val="21"/>
          <w:b/>
        </w:rPr>
        <w:t>四</w:t>
      </w:r>
      <w:r>
        <w:rPr>
          <w:sz w:val="21"/>
          <w:b/>
        </w:rPr>
        <w:t>、不可抗力</w:t>
      </w:r>
    </w:p>
    <w:p>
      <w:pPr>
        <w:pStyle w:val="null3"/>
        <w:ind w:firstLine="480"/>
        <w:jc w:val="both"/>
      </w:pPr>
      <w:r>
        <w:rPr>
          <w:sz w:val="21"/>
        </w:rPr>
        <w:t>任何一方由于不可抗力原因不能履行协议时，应在不可抗力事件结束后</w:t>
      </w:r>
      <w:r>
        <w:rPr>
          <w:sz w:val="21"/>
        </w:rPr>
        <w:t>1</w:t>
      </w:r>
      <w:r>
        <w:rPr>
          <w:sz w:val="21"/>
        </w:rPr>
        <w:t>日内向对方通报，以减轻可能给对方造成的损失，在取得有关机构的不可抗力证明或双方谅解确认后，允许延期履行或修订协议，并根据情况可部分或全部免于承担违约责任。</w:t>
      </w:r>
    </w:p>
    <w:p>
      <w:pPr>
        <w:pStyle w:val="null3"/>
      </w:pPr>
      <w:r>
        <w:rPr>
          <w:sz w:val="21"/>
          <w:b/>
        </w:rPr>
        <w:t>十</w:t>
      </w:r>
      <w:r>
        <w:rPr>
          <w:sz w:val="21"/>
          <w:b/>
        </w:rPr>
        <w:t>五</w:t>
      </w:r>
      <w:r>
        <w:rPr>
          <w:sz w:val="21"/>
          <w:b/>
        </w:rPr>
        <w:t>、税费</w:t>
      </w:r>
    </w:p>
    <w:p>
      <w:pPr>
        <w:pStyle w:val="null3"/>
        <w:ind w:firstLine="480"/>
        <w:jc w:val="both"/>
      </w:pPr>
      <w:r>
        <w:rPr>
          <w:sz w:val="21"/>
        </w:rPr>
        <w:t>在中国境内、外发生的与本协议执行有关的一切税费均由乙方负担。</w:t>
      </w:r>
      <w:r>
        <w:rPr>
          <w:sz w:val="20"/>
        </w:rPr>
        <w:t xml:space="preserve"> </w:t>
      </w:r>
    </w:p>
    <w:p>
      <w:pPr>
        <w:pStyle w:val="null3"/>
      </w:pPr>
      <w:r>
        <w:rPr>
          <w:sz w:val="21"/>
          <w:b/>
        </w:rPr>
        <w:t>十</w:t>
      </w:r>
      <w:r>
        <w:rPr>
          <w:sz w:val="21"/>
          <w:b/>
        </w:rPr>
        <w:t>六</w:t>
      </w:r>
      <w:r>
        <w:rPr>
          <w:sz w:val="21"/>
          <w:b/>
        </w:rPr>
        <w:t>、其它</w:t>
      </w:r>
    </w:p>
    <w:p>
      <w:pPr>
        <w:pStyle w:val="null3"/>
        <w:ind w:firstLine="480"/>
        <w:jc w:val="both"/>
      </w:pPr>
      <w:r>
        <w:rPr>
          <w:sz w:val="21"/>
        </w:rPr>
        <w:t>（一）本协议所有附件、招标文件、投标文件、中标通知书均为协议的有效组成部分，与本协议具有同等法律效力。</w:t>
      </w:r>
    </w:p>
    <w:p>
      <w:pPr>
        <w:pStyle w:val="null3"/>
        <w:ind w:firstLine="480"/>
        <w:jc w:val="both"/>
      </w:pPr>
      <w:r>
        <w:rPr>
          <w:sz w:val="21"/>
        </w:rPr>
        <w:t>（二）在执行本协议的过程中，所有经双方签署确认的文件（包括会议纪要、补充协议、</w:t>
      </w:r>
      <w:r>
        <w:rPr>
          <w:sz w:val="21"/>
        </w:rPr>
        <w:t>任务函、</w:t>
      </w:r>
      <w:r>
        <w:rPr>
          <w:sz w:val="21"/>
        </w:rPr>
        <w:t>往来信函）即成为本协议的有效组成部分。合同双方对本合同的条款进行修订或补充的，应签订书面补充协议，补充协议与本合同具有同等效力。</w:t>
      </w:r>
    </w:p>
    <w:p>
      <w:pPr>
        <w:pStyle w:val="null3"/>
        <w:ind w:firstLine="480"/>
        <w:jc w:val="both"/>
      </w:pPr>
      <w:r>
        <w:rPr>
          <w:sz w:val="21"/>
        </w:rPr>
        <w:t>（三）如一方地址、电话、传真号码有变更，应在变更当日内书面通知对方，否则，应承担相应责任。</w:t>
      </w:r>
    </w:p>
    <w:p>
      <w:pPr>
        <w:pStyle w:val="null3"/>
        <w:ind w:firstLine="480"/>
        <w:jc w:val="both"/>
      </w:pPr>
      <w:r>
        <w:rPr>
          <w:sz w:val="21"/>
        </w:rPr>
        <w:t>（四）除甲方事先书面同意外，乙方不得部分或全部转让其应履行的协议项下的义务。</w:t>
      </w:r>
      <w:r>
        <w:rPr>
          <w:sz w:val="20"/>
        </w:rPr>
        <w:t xml:space="preserve"> </w:t>
      </w:r>
    </w:p>
    <w:p>
      <w:pPr>
        <w:pStyle w:val="null3"/>
        <w:ind w:firstLine="480"/>
        <w:jc w:val="both"/>
      </w:pPr>
      <w:r>
        <w:rPr>
          <w:sz w:val="21"/>
        </w:rPr>
        <w:t>（五）本合同未约定事项，按《知识城已征未开发地块综合服务项目招标文件》（项目编号：</w:t>
      </w:r>
      <w:r>
        <w:rPr>
          <w:sz w:val="21"/>
        </w:rPr>
        <w:t>ZZ0260313</w:t>
      </w:r>
      <w:r>
        <w:rPr>
          <w:sz w:val="21"/>
        </w:rPr>
        <w:t>）内容执行。《招标文件》要求与本合同约定不一致的，以本合同约定为准。</w:t>
      </w:r>
    </w:p>
    <w:p>
      <w:pPr>
        <w:pStyle w:val="null3"/>
        <w:ind w:firstLine="480"/>
        <w:jc w:val="both"/>
      </w:pPr>
      <w:r>
        <w:rPr>
          <w:sz w:val="21"/>
        </w:rPr>
        <w:t>（六）本合同正本一式</w:t>
      </w:r>
      <w:r>
        <w:rPr>
          <w:sz w:val="20"/>
          <w:u w:val="single"/>
        </w:rPr>
        <w:t xml:space="preserve">     </w:t>
      </w:r>
      <w:r>
        <w:rPr>
          <w:sz w:val="21"/>
        </w:rPr>
        <w:t>份， 双方各持</w:t>
      </w:r>
      <w:r>
        <w:rPr>
          <w:sz w:val="20"/>
          <w:u w:val="single"/>
        </w:rPr>
        <w:t xml:space="preserve">     </w:t>
      </w:r>
      <w:r>
        <w:rPr>
          <w:sz w:val="21"/>
        </w:rPr>
        <w:t>份，具有同等法律效力。</w:t>
      </w:r>
    </w:p>
    <w:p>
      <w:pPr>
        <w:pStyle w:val="null3"/>
        <w:ind w:firstLine="480"/>
        <w:jc w:val="both"/>
      </w:pPr>
      <w:r>
        <w:rPr>
          <w:sz w:val="21"/>
        </w:rPr>
        <w:t>（七）本合同附件为本合同重要组成部分，与本合同具备同等法律效力。</w:t>
      </w:r>
    </w:p>
    <w:p>
      <w:pPr>
        <w:pStyle w:val="null3"/>
        <w:ind w:firstLine="480"/>
        <w:jc w:val="both"/>
      </w:pPr>
      <w:r>
        <w:rPr>
          <w:sz w:val="21"/>
        </w:rPr>
        <w:t>（八）本合同经双方签字盖章后生效。</w:t>
      </w:r>
    </w:p>
    <w:p>
      <w:pPr>
        <w:pStyle w:val="null3"/>
        <w:ind w:firstLine="1200"/>
        <w:jc w:val="both"/>
      </w:pPr>
      <w:r>
        <w:rPr>
          <w:sz w:val="21"/>
        </w:rPr>
        <w:t>附件：</w:t>
      </w:r>
    </w:p>
    <w:p>
      <w:pPr>
        <w:pStyle w:val="null3"/>
        <w:ind w:firstLine="480"/>
        <w:jc w:val="both"/>
      </w:pPr>
      <w:r>
        <w:rPr>
          <w:sz w:val="20"/>
        </w:rPr>
        <w:t xml:space="preserve">       </w:t>
      </w:r>
      <w:r>
        <w:rPr>
          <w:sz w:val="21"/>
        </w:rPr>
        <w:t>1</w:t>
      </w:r>
      <w:r>
        <w:rPr>
          <w:sz w:val="21"/>
        </w:rPr>
        <w:t>.</w:t>
      </w:r>
      <w:r>
        <w:rPr>
          <w:sz w:val="21"/>
        </w:rPr>
        <w:t>土地管理安全生产责任书</w:t>
      </w:r>
    </w:p>
    <w:p>
      <w:pPr>
        <w:pStyle w:val="null3"/>
        <w:ind w:firstLine="1200"/>
        <w:jc w:val="both"/>
      </w:pPr>
      <w:r>
        <w:rPr>
          <w:sz w:val="21"/>
        </w:rPr>
        <w:t>2</w:t>
      </w:r>
      <w:r>
        <w:rPr>
          <w:sz w:val="21"/>
        </w:rPr>
        <w:t>.</w:t>
      </w:r>
      <w:r>
        <w:rPr>
          <w:sz w:val="21"/>
        </w:rPr>
        <w:t>廉洁承诺书</w:t>
      </w:r>
    </w:p>
    <w:p>
      <w:pPr>
        <w:pStyle w:val="null3"/>
        <w:jc w:val="both"/>
      </w:pPr>
      <w:r>
        <w:rPr>
          <w:sz w:val="21"/>
        </w:rPr>
        <w:t>甲方（盖章）：</w:t>
      </w:r>
      <w:r>
        <w:rPr>
          <w:sz w:val="20"/>
        </w:rPr>
        <w:t xml:space="preserve">                          </w:t>
      </w:r>
      <w:r>
        <w:rPr>
          <w:sz w:val="21"/>
        </w:rPr>
        <w:t>乙方（盖章）：</w:t>
      </w:r>
      <w:r>
        <w:rPr>
          <w:sz w:val="20"/>
        </w:rPr>
        <w:t xml:space="preserve">                     </w:t>
      </w:r>
    </w:p>
    <w:p>
      <w:pPr>
        <w:pStyle w:val="null3"/>
        <w:ind w:firstLine="480"/>
      </w:pPr>
      <w:r>
        <w:rPr>
          <w:sz w:val="21"/>
        </w:rPr>
        <w:t>（签字）：</w:t>
      </w:r>
      <w:r>
        <w:rPr>
          <w:sz w:val="20"/>
        </w:rPr>
        <w:t xml:space="preserve">                          </w:t>
      </w:r>
      <w:r>
        <w:rPr>
          <w:sz w:val="21"/>
        </w:rPr>
        <w:t>法定代表人</w:t>
      </w:r>
      <w:r>
        <w:rPr>
          <w:sz w:val="21"/>
        </w:rPr>
        <w:t>/</w:t>
      </w:r>
    </w:p>
    <w:p>
      <w:pPr>
        <w:pStyle w:val="null3"/>
        <w:ind w:firstLine="4800"/>
      </w:pPr>
      <w:r>
        <w:rPr>
          <w:sz w:val="21"/>
        </w:rPr>
        <w:t>委托代理人（签字）：</w:t>
      </w:r>
      <w:r>
        <w:rPr>
          <w:sz w:val="20"/>
        </w:rPr>
        <w:t xml:space="preserve">         </w:t>
      </w:r>
    </w:p>
    <w:p>
      <w:pPr>
        <w:pStyle w:val="null3"/>
      </w:pP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签约日期：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t xml:space="preserve"> </w:t>
      </w:r>
    </w:p>
    <w:p>
      <w:pPr>
        <w:pStyle w:val="null3"/>
        <w:jc w:val="left"/>
      </w:pPr>
      <w:r>
        <w:rPr>
          <w:sz w:val="21"/>
        </w:rPr>
        <w:t>附件1：土地管理安全生产责任书</w:t>
      </w:r>
    </w:p>
    <w:p>
      <w:pPr>
        <w:pStyle w:val="null3"/>
        <w:spacing w:before="75"/>
        <w:jc w:val="center"/>
      </w:pPr>
      <w:r>
        <w:rPr>
          <w:sz w:val="28"/>
          <w:b/>
        </w:rPr>
        <w:t>土地管理安全生产责任书</w:t>
      </w:r>
    </w:p>
    <w:p>
      <w:pPr>
        <w:pStyle w:val="null3"/>
      </w:pPr>
      <w:r>
        <w:rPr>
          <w:sz w:val="21"/>
          <w:b/>
        </w:rPr>
        <w:t>甲 方（甲方）：</w:t>
      </w:r>
    </w:p>
    <w:p>
      <w:pPr>
        <w:pStyle w:val="null3"/>
      </w:pPr>
      <w:r>
        <w:rPr>
          <w:sz w:val="21"/>
        </w:rPr>
        <w:t>乙 方（中标单位）：</w:t>
      </w:r>
    </w:p>
    <w:p>
      <w:pPr>
        <w:pStyle w:val="null3"/>
        <w:ind w:firstLine="420"/>
      </w:pPr>
      <w:r>
        <w:rPr>
          <w:sz w:val="21"/>
        </w:rPr>
        <w:t>鉴于甲方委托乙方对地块进行管理，为明确乙方作为管理责任单位的安全生产管理等责任，根据《中华人民共和国土地管理法》等法律法规，甲乙双方经协商一致，订立本土地管理安全生产责任书。</w:t>
      </w:r>
    </w:p>
    <w:p>
      <w:pPr>
        <w:pStyle w:val="null3"/>
        <w:ind w:firstLine="420"/>
      </w:pPr>
      <w:r>
        <w:rPr>
          <w:sz w:val="21"/>
        </w:rPr>
        <w:t>一、乙方安全管理措施和目标</w:t>
      </w:r>
    </w:p>
    <w:p>
      <w:pPr>
        <w:pStyle w:val="null3"/>
        <w:ind w:firstLine="420"/>
      </w:pPr>
      <w:r>
        <w:rPr>
          <w:sz w:val="21"/>
        </w:rPr>
        <w:t>（一）认真贯彻“安全第一，预防为主”工作方针，把安全生产管理贯穿在土地管理工作的全过程，做到安全目标明确，安全措施落实，安全人员到位，确保各项工作有序开展。</w:t>
      </w:r>
    </w:p>
    <w:p>
      <w:pPr>
        <w:pStyle w:val="null3"/>
        <w:ind w:firstLine="420"/>
      </w:pPr>
      <w:r>
        <w:rPr>
          <w:sz w:val="21"/>
        </w:rPr>
        <w:t>（二）建立健全三级安全责任人清单及其岗位职责，建立健全安全生产应急预案，加强应急抢险救援队伍建设，加强应急抢险物资保障，全面落实安全生产应急预案及各项安全保障措施。</w:t>
      </w:r>
    </w:p>
    <w:p>
      <w:pPr>
        <w:pStyle w:val="null3"/>
        <w:ind w:firstLine="420"/>
      </w:pPr>
      <w:r>
        <w:rPr>
          <w:sz w:val="21"/>
        </w:rPr>
        <w:t>（三）坚持安全生产周例会制度，对土地管理项目的安全生产工作有分析、有部署、有落实、有记录，及时贯彻落实地块管理安全生产管理相关要求，同时积极组织安全生产专项培训活动，保证受教率</w:t>
      </w:r>
      <w:r>
        <w:rPr>
          <w:sz w:val="21"/>
        </w:rPr>
        <w:t>100%</w:t>
      </w:r>
      <w:r>
        <w:rPr>
          <w:sz w:val="21"/>
        </w:rPr>
        <w:t>，切实提高地块管护人员的安全生产管理能力。</w:t>
      </w:r>
    </w:p>
    <w:p>
      <w:pPr>
        <w:pStyle w:val="null3"/>
        <w:ind w:firstLine="420"/>
      </w:pPr>
      <w:r>
        <w:rPr>
          <w:sz w:val="21"/>
        </w:rPr>
        <w:t>（四）坚持安全生产例日检查制度，对管理地块进行值守或不间断巡查，及时发现各类安全隐患，及时上报相关部门处理，并对现场进行紧急隔离，避免无关人员靠近。</w:t>
      </w:r>
    </w:p>
    <w:p>
      <w:pPr>
        <w:pStyle w:val="null3"/>
        <w:ind w:firstLine="420"/>
      </w:pPr>
      <w:r>
        <w:rPr>
          <w:sz w:val="21"/>
        </w:rPr>
        <w:t>（五）及时汇报安全生产情况，整理、上报、保管地块安全生产资料，详细、认真填写安全生产活动和检查记录，并形成相关安全生产管理台账。</w:t>
      </w:r>
    </w:p>
    <w:p>
      <w:pPr>
        <w:pStyle w:val="null3"/>
        <w:ind w:firstLine="420"/>
      </w:pPr>
      <w:r>
        <w:rPr>
          <w:sz w:val="21"/>
        </w:rPr>
        <w:t>（六）通过采取各项措施，避免在管地块范围内因发生火灾、台风、滑坡、塌方、滚石、泥石流等自然灾害及治安、刑事案件造成人员伤亡或重大财产损失等情况。</w:t>
      </w:r>
    </w:p>
    <w:p>
      <w:pPr>
        <w:pStyle w:val="null3"/>
        <w:ind w:firstLine="420"/>
      </w:pPr>
      <w:r>
        <w:rPr>
          <w:sz w:val="21"/>
        </w:rPr>
        <w:t>（七）通过采取各项措施，遏制在管地块范围内发生违法用地、违法建设、非法侵占、违规排放污染物、乱倒余泥渣土、垃圾、擅自挖砂、采石、采矿、取土、抢种、移坟等行为，禁止任何未经批准的车辆及人员进出辖区范围内的已征未用地块或借道通行，禁止将已征未用土地或地上建构筑物、附着物出租、分租或提供给任何第三方使用或从事经营活动，管理和保护地块上的基础设施、建（构）筑物、林木果树以及其他附着物等，确保在管护期内地块现状不发生未经批准的人为因素改变。通过加强现场管控，促进地块安全生产管理工作。</w:t>
      </w:r>
    </w:p>
    <w:p>
      <w:pPr>
        <w:pStyle w:val="null3"/>
        <w:ind w:firstLine="420"/>
      </w:pPr>
      <w:r>
        <w:rPr>
          <w:sz w:val="21"/>
        </w:rPr>
        <w:t>二、考核及责任</w:t>
      </w:r>
    </w:p>
    <w:p>
      <w:pPr>
        <w:pStyle w:val="null3"/>
        <w:ind w:firstLine="420"/>
      </w:pPr>
      <w:r>
        <w:rPr>
          <w:sz w:val="21"/>
        </w:rPr>
        <w:t>（一）甲方有权对乙方安全生产管理工作进行检查、督促、指导，定期或不定期对乙方进行安全生产检查，不定期对乙方安全措施、制度和落实执行情况及相关记录等进行检查考核。</w:t>
      </w:r>
    </w:p>
    <w:p>
      <w:pPr>
        <w:pStyle w:val="null3"/>
        <w:ind w:firstLine="420"/>
      </w:pPr>
      <w:r>
        <w:rPr>
          <w:sz w:val="21"/>
        </w:rPr>
        <w:t>（二）因乙方管理失职、不履行安全生产责任及未尽管理义务，在管理土地上发生人身伤亡或财产损害的事故，由乙方承担全部责任，与甲方无关。如由此导致甲方向第三人做出赔偿的，甲方有权向乙方追偿并且要求乙方赔偿甲方由此造成的损失。</w:t>
      </w:r>
    </w:p>
    <w:p>
      <w:pPr>
        <w:pStyle w:val="null3"/>
        <w:ind w:firstLine="420"/>
      </w:pPr>
      <w:r>
        <w:rPr>
          <w:sz w:val="21"/>
        </w:rPr>
        <w:t>三、责任限期</w:t>
      </w:r>
    </w:p>
    <w:p>
      <w:pPr>
        <w:pStyle w:val="null3"/>
        <w:ind w:firstLine="420"/>
      </w:pPr>
      <w:r>
        <w:rPr>
          <w:sz w:val="21"/>
        </w:rPr>
        <w:t>（一）自本责任书签订之日起至服务期限届满结束。</w:t>
      </w:r>
    </w:p>
    <w:p>
      <w:pPr>
        <w:pStyle w:val="null3"/>
        <w:ind w:firstLine="420"/>
      </w:pPr>
      <w:r>
        <w:rPr>
          <w:sz w:val="21"/>
        </w:rPr>
        <w:t>（二）如服务期限届满但乙方未实际退管土地的，责任期限延长至乙方正式移交退管土地之日止。</w:t>
      </w:r>
    </w:p>
    <w:p>
      <w:pPr>
        <w:pStyle w:val="null3"/>
        <w:ind w:firstLine="420"/>
      </w:pPr>
      <w:r>
        <w:rPr>
          <w:sz w:val="21"/>
        </w:rPr>
        <w:t>（三）本责任书自双方签署之日起发生法律效力。</w:t>
      </w:r>
    </w:p>
    <w:p>
      <w:pPr>
        <w:pStyle w:val="null3"/>
        <w:ind w:firstLine="420"/>
      </w:pPr>
      <w:r>
        <w:rPr>
          <w:sz w:val="21"/>
        </w:rPr>
        <w:t>（四）本责任书一式贰份，甲乙双方各执一份，每份具有同等法律效力。</w:t>
      </w:r>
    </w:p>
    <w:p>
      <w:pPr>
        <w:pStyle w:val="null3"/>
        <w:ind w:firstLine="420"/>
      </w:pPr>
      <w:r>
        <w:rPr>
          <w:sz w:val="21"/>
        </w:rPr>
        <w:t>（以下无正文）</w:t>
      </w:r>
    </w:p>
    <w:p>
      <w:pPr>
        <w:pStyle w:val="null3"/>
        <w:ind w:firstLine="420"/>
      </w:pPr>
      <w:r>
        <w:rPr>
          <w:sz w:val="21"/>
        </w:rPr>
        <w:t>甲方（盖章）：</w:t>
      </w:r>
    </w:p>
    <w:p>
      <w:pPr>
        <w:pStyle w:val="null3"/>
        <w:ind w:firstLine="420"/>
      </w:pPr>
      <w:r>
        <w:rPr>
          <w:sz w:val="21"/>
        </w:rPr>
        <w:t>法定代表人或授权代表（签字）：</w:t>
      </w:r>
      <w:r>
        <w:rPr>
          <w:sz w:val="20"/>
        </w:rPr>
        <w:t xml:space="preserve">             </w:t>
      </w:r>
    </w:p>
    <w:p>
      <w:pPr>
        <w:pStyle w:val="null3"/>
        <w:ind w:firstLine="420"/>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ind w:firstLine="420"/>
      </w:pPr>
      <w:r>
        <w:rPr>
          <w:sz w:val="21"/>
        </w:rPr>
        <w:t>乙方（盖章）：</w:t>
      </w:r>
    </w:p>
    <w:p>
      <w:pPr>
        <w:pStyle w:val="null3"/>
        <w:ind w:firstLine="420"/>
      </w:pPr>
      <w:r>
        <w:rPr>
          <w:sz w:val="21"/>
        </w:rPr>
        <w:t>法定代表人或授权代表（签字）：</w:t>
      </w:r>
    </w:p>
    <w:p>
      <w:pPr>
        <w:pStyle w:val="null3"/>
        <w:ind w:firstLine="420"/>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jc w:val="both"/>
      </w:pPr>
      <w:r>
        <w:rPr>
          <w:sz w:val="20"/>
        </w:rPr>
        <w:t xml:space="preserve"> </w:t>
      </w:r>
    </w:p>
    <w:p>
      <w:pPr>
        <w:pStyle w:val="null3"/>
      </w:pPr>
      <w:r>
        <w:rPr>
          <w:sz w:val="21"/>
        </w:rPr>
        <w:t>附件2：廉洁承诺书</w:t>
      </w:r>
    </w:p>
    <w:p>
      <w:pPr>
        <w:pStyle w:val="null3"/>
        <w:jc w:val="center"/>
      </w:pPr>
      <w:r>
        <w:rPr>
          <w:sz w:val="28"/>
          <w:b/>
        </w:rPr>
        <w:t>廉洁承诺书</w:t>
      </w:r>
    </w:p>
    <w:p>
      <w:pPr>
        <w:pStyle w:val="null3"/>
        <w:jc w:val="both"/>
      </w:pPr>
      <w:r>
        <w:rPr>
          <w:sz w:val="21"/>
        </w:rPr>
        <w:t>甲方</w:t>
      </w:r>
      <w:r>
        <w:rPr>
          <w:sz w:val="21"/>
        </w:rPr>
        <w:t>:</w:t>
      </w:r>
    </w:p>
    <w:p>
      <w:pPr>
        <w:pStyle w:val="null3"/>
        <w:jc w:val="both"/>
      </w:pPr>
      <w:r>
        <w:rPr>
          <w:sz w:val="21"/>
        </w:rPr>
        <w:t>乙方</w:t>
      </w:r>
      <w:r>
        <w:rPr>
          <w:sz w:val="21"/>
        </w:rPr>
        <w:t>:</w:t>
      </w:r>
    </w:p>
    <w:p>
      <w:pPr>
        <w:pStyle w:val="null3"/>
        <w:jc w:val="both"/>
      </w:pPr>
      <w:r>
        <w:rPr>
          <w:sz w:val="21"/>
        </w:rPr>
        <w:t>为了增强甲乙双方依法经营、廉洁从业意识，完善自我约束、自我监督机制，营造守法诚信、廉洁高效的工作环境，防止发生违法违纪行为，保护国家、集体和当事人的合法权益，根据中央、省和广州市有关党风建设和反腐倡廉工作的各项规定，特订立本廉洁协议：</w:t>
      </w:r>
    </w:p>
    <w:p>
      <w:pPr>
        <w:pStyle w:val="null3"/>
        <w:ind w:firstLine="482"/>
        <w:jc w:val="both"/>
      </w:pPr>
      <w:r>
        <w:rPr>
          <w:sz w:val="21"/>
          <w:b/>
        </w:rPr>
        <w:t>第一条双方共同的责任和义务</w:t>
      </w:r>
    </w:p>
    <w:p>
      <w:pPr>
        <w:pStyle w:val="null3"/>
        <w:ind w:firstLine="480"/>
        <w:jc w:val="both"/>
      </w:pPr>
      <w:r>
        <w:rPr>
          <w:sz w:val="21"/>
        </w:rPr>
        <w:t>（一）严格遵守关于市场准入、招标投标、工程建设管理、物资采购、投资并购、国有资产处置等市场经济活动的法律法规制度以及党风建设和反腐倡廉工作的各项规定。</w:t>
      </w:r>
    </w:p>
    <w:p>
      <w:pPr>
        <w:pStyle w:val="null3"/>
        <w:ind w:firstLine="480"/>
        <w:jc w:val="both"/>
      </w:pPr>
      <w:r>
        <w:rPr>
          <w:sz w:val="21"/>
        </w:rPr>
        <w:t>（二）严格履行合同约定，自觉承担合同义务。</w:t>
      </w:r>
    </w:p>
    <w:p>
      <w:pPr>
        <w:pStyle w:val="null3"/>
        <w:ind w:firstLine="480"/>
        <w:jc w:val="both"/>
      </w:pPr>
      <w:r>
        <w:rPr>
          <w:sz w:val="21"/>
        </w:rPr>
        <w:t>（三）业务活动必须坚持公平、公正、公开和诚实守信的原则（除法律法规另有规定者外），不得为获取不正当利益，损害国家、集体和对方利益。</w:t>
      </w:r>
    </w:p>
    <w:p>
      <w:pPr>
        <w:pStyle w:val="null3"/>
        <w:ind w:firstLine="480"/>
        <w:jc w:val="both"/>
      </w:pPr>
      <w:r>
        <w:rPr>
          <w:sz w:val="21"/>
        </w:rPr>
        <w:t>（四）建立健全自我监督机制，开展廉洁教育，公布举报电话，监督并认真查处违法违纪行为。</w:t>
      </w:r>
    </w:p>
    <w:p>
      <w:pPr>
        <w:pStyle w:val="null3"/>
        <w:ind w:firstLine="480"/>
        <w:jc w:val="both"/>
      </w:pPr>
      <w:r>
        <w:rPr>
          <w:sz w:val="21"/>
        </w:rPr>
        <w:t>（五）发现对方在业务活动中有违规、违纪、违法行为的，应及时提醒对方，情节严重的，应向有关纪检监察部门举报。</w:t>
      </w:r>
    </w:p>
    <w:p>
      <w:pPr>
        <w:pStyle w:val="null3"/>
        <w:ind w:firstLine="482"/>
        <w:jc w:val="both"/>
      </w:pPr>
      <w:r>
        <w:rPr>
          <w:sz w:val="21"/>
          <w:b/>
        </w:rPr>
        <w:t>第二条</w:t>
      </w:r>
      <w:r>
        <w:rPr>
          <w:sz w:val="20"/>
          <w:b/>
        </w:rPr>
        <w:t xml:space="preserve">  </w:t>
      </w:r>
      <w:r>
        <w:rPr>
          <w:sz w:val="21"/>
          <w:b/>
        </w:rPr>
        <w:t>甲方的责任和义务</w:t>
      </w:r>
    </w:p>
    <w:p>
      <w:pPr>
        <w:pStyle w:val="null3"/>
        <w:ind w:firstLine="480"/>
        <w:jc w:val="both"/>
      </w:pPr>
      <w:r>
        <w:rPr>
          <w:sz w:val="21"/>
        </w:rPr>
        <w:t>甲方相关工作人员，在业务活动的事前、事中、事后，应遵守以下规定：</w:t>
      </w:r>
    </w:p>
    <w:p>
      <w:pPr>
        <w:pStyle w:val="null3"/>
        <w:ind w:firstLine="480"/>
        <w:jc w:val="both"/>
      </w:pPr>
      <w:r>
        <w:rPr>
          <w:sz w:val="21"/>
        </w:rPr>
        <w:t>（一）贯彻落实公司有关党风廉政建设责任制及廉洁从业的规定，建立企业诚信档案；</w:t>
      </w:r>
    </w:p>
    <w:p>
      <w:pPr>
        <w:pStyle w:val="null3"/>
        <w:ind w:firstLine="480"/>
        <w:jc w:val="both"/>
      </w:pPr>
      <w:r>
        <w:rPr>
          <w:sz w:val="21"/>
        </w:rPr>
        <w:t>（二）按照公平、公正、公开和诚实守信的原则开展各项业务活动，为乙方提供公平的竞争环境与平台；</w:t>
      </w:r>
    </w:p>
    <w:p>
      <w:pPr>
        <w:pStyle w:val="null3"/>
        <w:ind w:firstLine="480"/>
        <w:jc w:val="both"/>
      </w:pPr>
      <w:r>
        <w:rPr>
          <w:sz w:val="21"/>
        </w:rPr>
        <w:t>（三）不准向乙方泄漏涉及有关业务活动的内部决策机密；</w:t>
      </w:r>
    </w:p>
    <w:p>
      <w:pPr>
        <w:pStyle w:val="null3"/>
        <w:ind w:firstLine="480"/>
        <w:jc w:val="both"/>
      </w:pPr>
      <w:r>
        <w:rPr>
          <w:sz w:val="21"/>
        </w:rPr>
        <w:t>（四）不准向乙方和相关单位索要或接受红包、礼金、购物卡、有价证券、贵重物品和好处费、感谢费等；</w:t>
      </w:r>
    </w:p>
    <w:p>
      <w:pPr>
        <w:pStyle w:val="null3"/>
        <w:ind w:firstLine="480"/>
        <w:jc w:val="both"/>
      </w:pPr>
      <w:r>
        <w:rPr>
          <w:sz w:val="21"/>
        </w:rPr>
        <w:t>（五）不准在乙方和相关单位报销任何应由甲方或个人支付的费用；</w:t>
      </w:r>
    </w:p>
    <w:p>
      <w:pPr>
        <w:pStyle w:val="null3"/>
        <w:ind w:firstLine="480"/>
        <w:jc w:val="both"/>
      </w:pPr>
      <w:r>
        <w:rPr>
          <w:sz w:val="21"/>
        </w:rPr>
        <w:t>（六）不准要求、暗示或接受乙方和相关单位为个人装修住房、婚丧嫁娶、配偶子女的工作安排以及境内外旅游等提供方便；</w:t>
      </w:r>
    </w:p>
    <w:p>
      <w:pPr>
        <w:pStyle w:val="null3"/>
        <w:ind w:firstLine="480"/>
        <w:jc w:val="both"/>
      </w:pPr>
      <w:r>
        <w:rPr>
          <w:sz w:val="21"/>
        </w:rPr>
        <w:t>（七）不准向乙方介绍配偶、子女、亲属参与与甲方有关的经济活动，不得以任何理由向乙方和相关单位推荐第三方单位；</w:t>
      </w:r>
    </w:p>
    <w:p>
      <w:pPr>
        <w:pStyle w:val="null3"/>
        <w:ind w:firstLine="480"/>
        <w:jc w:val="both"/>
      </w:pPr>
      <w:r>
        <w:rPr>
          <w:sz w:val="21"/>
        </w:rPr>
        <w:t>（八）不准参与影响相关工作正常和公正开展的其他活动；</w:t>
      </w:r>
    </w:p>
    <w:p>
      <w:pPr>
        <w:pStyle w:val="null3"/>
        <w:ind w:firstLine="480"/>
        <w:jc w:val="both"/>
      </w:pPr>
      <w:r>
        <w:rPr>
          <w:sz w:val="21"/>
        </w:rPr>
        <w:t>（九）不准违反《中共中央纪委关于严格禁止利用职务上的便利谋取不正当利益的若干规定》的内容，不得向他人提供在管土地利用或提供违法用地场所、非法勾结获利等活动。</w:t>
      </w:r>
    </w:p>
    <w:p>
      <w:pPr>
        <w:pStyle w:val="null3"/>
        <w:ind w:firstLine="482"/>
        <w:jc w:val="both"/>
      </w:pPr>
      <w:r>
        <w:rPr>
          <w:sz w:val="21"/>
          <w:b/>
        </w:rPr>
        <w:t>第三条</w:t>
      </w:r>
      <w:r>
        <w:rPr>
          <w:sz w:val="20"/>
          <w:b/>
        </w:rPr>
        <w:t xml:space="preserve">  </w:t>
      </w:r>
      <w:r>
        <w:rPr>
          <w:sz w:val="21"/>
          <w:b/>
        </w:rPr>
        <w:t>乙方的责任和义务</w:t>
      </w:r>
    </w:p>
    <w:p>
      <w:pPr>
        <w:pStyle w:val="null3"/>
        <w:ind w:firstLine="480"/>
        <w:jc w:val="both"/>
      </w:pPr>
      <w:r>
        <w:rPr>
          <w:sz w:val="21"/>
        </w:rPr>
        <w:t>乙方相关工作人员，在与甲方业务活动的交往过程中，应遵守以下规定：</w:t>
      </w:r>
    </w:p>
    <w:p>
      <w:pPr>
        <w:pStyle w:val="null3"/>
        <w:ind w:firstLine="480"/>
        <w:jc w:val="both"/>
      </w:pPr>
      <w:r>
        <w:rPr>
          <w:sz w:val="21"/>
        </w:rPr>
        <w:t>（一）不准以任何理由为甲方和相关单位报销应由对方或个人支付的费用；</w:t>
      </w:r>
    </w:p>
    <w:p>
      <w:pPr>
        <w:pStyle w:val="null3"/>
        <w:ind w:firstLine="480"/>
        <w:jc w:val="both"/>
      </w:pPr>
      <w:r>
        <w:rPr>
          <w:sz w:val="21"/>
        </w:rPr>
        <w:t>（二）不准以任何理由向甲方负责人及其工作人员赠送红包、礼金、购物卡、有价证券、贵重物品和好处费、感谢费等；</w:t>
      </w:r>
    </w:p>
    <w:p>
      <w:pPr>
        <w:pStyle w:val="null3"/>
        <w:ind w:firstLine="480"/>
        <w:jc w:val="both"/>
      </w:pPr>
      <w:r>
        <w:rPr>
          <w:sz w:val="21"/>
        </w:rPr>
        <w:t>（三）不准以任何理由为甲方、与甲方相关的单位或个人提供高消费宴请及娱乐活动；</w:t>
      </w:r>
    </w:p>
    <w:p>
      <w:pPr>
        <w:pStyle w:val="null3"/>
        <w:ind w:firstLine="480"/>
        <w:jc w:val="both"/>
      </w:pPr>
      <w:r>
        <w:rPr>
          <w:sz w:val="21"/>
        </w:rPr>
        <w:t>（四）不准以任何理由为甲方、与甲方相关的单位或个人购置或提供通讯工具、交通工具和高档办公用品；</w:t>
      </w:r>
    </w:p>
    <w:p>
      <w:pPr>
        <w:pStyle w:val="null3"/>
        <w:ind w:firstLine="480"/>
        <w:jc w:val="both"/>
      </w:pPr>
      <w:r>
        <w:rPr>
          <w:sz w:val="21"/>
        </w:rPr>
        <w:t>（五）不准接受或暗示为甲方、与甲方相关的单位或个人装修住房、婚丧嫁取、配偶子女的工作安排以及境内外旅游等提供方便；</w:t>
      </w:r>
    </w:p>
    <w:p>
      <w:pPr>
        <w:pStyle w:val="null3"/>
        <w:ind w:firstLine="480"/>
        <w:jc w:val="both"/>
      </w:pPr>
      <w:r>
        <w:rPr>
          <w:sz w:val="21"/>
        </w:rPr>
        <w:t>（六）不准以谋取非正当利益为目的，擅自与甲方工作人员就业务问题进行私下商谈或者达成利益默契；</w:t>
      </w:r>
    </w:p>
    <w:p>
      <w:pPr>
        <w:pStyle w:val="null3"/>
        <w:ind w:firstLine="480"/>
        <w:jc w:val="both"/>
      </w:pPr>
      <w:r>
        <w:rPr>
          <w:sz w:val="21"/>
        </w:rPr>
        <w:t>（七）发现甲方工作人员有违反本廉洁协议规定的，应向甲方单位举报。</w:t>
      </w:r>
    </w:p>
    <w:p>
      <w:pPr>
        <w:pStyle w:val="null3"/>
        <w:ind w:firstLine="482"/>
        <w:jc w:val="both"/>
      </w:pPr>
      <w:r>
        <w:rPr>
          <w:sz w:val="21"/>
          <w:b/>
        </w:rPr>
        <w:t>第四条</w:t>
      </w:r>
      <w:r>
        <w:rPr>
          <w:sz w:val="20"/>
          <w:b/>
        </w:rPr>
        <w:t xml:space="preserve">  </w:t>
      </w:r>
      <w:r>
        <w:rPr>
          <w:sz w:val="21"/>
          <w:b/>
        </w:rPr>
        <w:t>法律责任</w:t>
      </w:r>
    </w:p>
    <w:p>
      <w:pPr>
        <w:pStyle w:val="null3"/>
        <w:ind w:firstLine="480"/>
        <w:jc w:val="both"/>
      </w:pPr>
      <w:r>
        <w:rPr>
          <w:sz w:val="21"/>
        </w:rPr>
        <w:t>（一）甲方有违反本廉洁协议第一条、甲方相关工作人员违反本廉洁协议第二条约定的，经查证属实，严格按照管理权限，依据有关法律法规和规章制度给予相关人员纪律处分或组织处理；相关工作人员涉嫌犯罪的，移送司法机关依法追究刑事责任。</w:t>
      </w:r>
    </w:p>
    <w:p>
      <w:pPr>
        <w:pStyle w:val="null3"/>
        <w:ind w:firstLine="480"/>
        <w:jc w:val="both"/>
      </w:pPr>
      <w:r>
        <w:rPr>
          <w:sz w:val="21"/>
        </w:rPr>
        <w:t>（二）乙方及其工作人员违反本廉洁协议第一、三条约定的</w:t>
      </w:r>
      <w:r>
        <w:rPr>
          <w:sz w:val="21"/>
          <w:b/>
        </w:rPr>
        <w:t>，经查证属实，甲方可视情节轻重对乙方实施一定期限的市场禁入；</w:t>
      </w:r>
      <w:r>
        <w:rPr>
          <w:sz w:val="21"/>
        </w:rPr>
        <w:t>乙方及其工作人员涉嫌犯罪的，移送司法机关依法追究刑事责任。</w:t>
      </w:r>
    </w:p>
    <w:p>
      <w:pPr>
        <w:pStyle w:val="null3"/>
        <w:ind w:firstLine="482"/>
        <w:jc w:val="both"/>
      </w:pPr>
      <w:r>
        <w:rPr>
          <w:sz w:val="21"/>
          <w:b/>
        </w:rPr>
        <w:t>（三）乙方及其工作人员违反本廉洁协议，经查证属实，甲方可直接解除合同。</w:t>
      </w:r>
    </w:p>
    <w:p>
      <w:pPr>
        <w:pStyle w:val="null3"/>
        <w:ind w:firstLine="482"/>
        <w:jc w:val="both"/>
      </w:pPr>
      <w:r>
        <w:rPr>
          <w:sz w:val="21"/>
          <w:b/>
        </w:rPr>
        <w:t>第五条</w:t>
      </w:r>
      <w:r>
        <w:rPr>
          <w:sz w:val="20"/>
          <w:b/>
        </w:rPr>
        <w:t xml:space="preserve">  </w:t>
      </w:r>
      <w:r>
        <w:rPr>
          <w:sz w:val="21"/>
          <w:b/>
        </w:rPr>
        <w:t>协议生效及法律效力</w:t>
      </w:r>
    </w:p>
    <w:p>
      <w:pPr>
        <w:pStyle w:val="null3"/>
        <w:ind w:firstLine="480"/>
        <w:jc w:val="both"/>
      </w:pPr>
      <w:r>
        <w:rPr>
          <w:sz w:val="21"/>
        </w:rPr>
        <w:t>（一）本廉洁协议作为合同的附件，与合同具有同等法律效力，经双方签字盖章后立即生效。</w:t>
      </w:r>
    </w:p>
    <w:p>
      <w:pPr>
        <w:pStyle w:val="null3"/>
        <w:ind w:firstLine="480"/>
        <w:jc w:val="both"/>
      </w:pPr>
      <w:r>
        <w:rPr>
          <w:sz w:val="21"/>
        </w:rPr>
        <w:t>（二）除非甲乙双方另行签订新的廉洁协议，否则本廉洁协议在甲方与乙方存在业务关系期间均对双方产生约束力。</w:t>
      </w:r>
    </w:p>
    <w:p>
      <w:pPr>
        <w:pStyle w:val="null3"/>
        <w:ind w:firstLine="480"/>
        <w:jc w:val="both"/>
      </w:pPr>
      <w:r>
        <w:rPr>
          <w:sz w:val="21"/>
        </w:rPr>
        <w:t>第六条</w:t>
      </w:r>
      <w:r>
        <w:rPr>
          <w:sz w:val="20"/>
        </w:rPr>
        <w:t xml:space="preserve">  </w:t>
      </w:r>
      <w:r>
        <w:rPr>
          <w:sz w:val="21"/>
        </w:rPr>
        <w:t>协议书份数</w:t>
      </w:r>
    </w:p>
    <w:p>
      <w:pPr>
        <w:pStyle w:val="null3"/>
        <w:ind w:firstLine="480"/>
        <w:jc w:val="both"/>
      </w:pPr>
      <w:r>
        <w:rPr>
          <w:sz w:val="21"/>
        </w:rPr>
        <w:t>本廉洁协议一式</w:t>
      </w:r>
      <w:r>
        <w:rPr>
          <w:sz w:val="20"/>
          <w:u w:val="single"/>
        </w:rPr>
        <w:t xml:space="preserve">    </w:t>
      </w:r>
      <w:r>
        <w:rPr>
          <w:sz w:val="21"/>
        </w:rPr>
        <w:t>份，甲方</w:t>
      </w:r>
      <w:r>
        <w:rPr>
          <w:sz w:val="20"/>
          <w:u w:val="single"/>
        </w:rPr>
        <w:t xml:space="preserve">    </w:t>
      </w:r>
      <w:r>
        <w:rPr>
          <w:sz w:val="21"/>
        </w:rPr>
        <w:t>份，乙方</w:t>
      </w:r>
      <w:r>
        <w:rPr>
          <w:sz w:val="20"/>
          <w:u w:val="single"/>
        </w:rPr>
        <w:t xml:space="preserve">    </w:t>
      </w:r>
      <w:r>
        <w:rPr>
          <w:sz w:val="21"/>
        </w:rPr>
        <w:t>份。</w:t>
      </w:r>
    </w:p>
    <w:p>
      <w:pPr>
        <w:pStyle w:val="null3"/>
        <w:ind w:firstLine="480"/>
        <w:jc w:val="both"/>
      </w:pPr>
      <w:r>
        <w:rPr>
          <w:sz w:val="21"/>
        </w:rPr>
        <w:t>甲乙双方确认在签订本廉洁协议前已仔细阅读条款内容，甲乙双方对本廉洁协议所产生的法律责任已清楚知悉并承诺遵守。</w:t>
      </w:r>
    </w:p>
    <w:p>
      <w:pPr>
        <w:pStyle w:val="null3"/>
        <w:jc w:val="both"/>
      </w:pPr>
      <w:r>
        <w:rPr>
          <w:sz w:val="20"/>
        </w:rPr>
        <w:t xml:space="preserve"> </w:t>
      </w:r>
    </w:p>
    <w:p>
      <w:pPr>
        <w:pStyle w:val="null3"/>
      </w:pPr>
      <w:r>
        <w:rPr>
          <w:sz w:val="21"/>
        </w:rPr>
        <w:t>甲方（盖章）：</w:t>
      </w:r>
    </w:p>
    <w:p>
      <w:pPr>
        <w:pStyle w:val="null3"/>
      </w:pPr>
      <w:r>
        <w:rPr>
          <w:sz w:val="21"/>
        </w:rPr>
        <w:t>乙方（盖章）：</w:t>
      </w:r>
    </w:p>
    <w:p>
      <w:pPr>
        <w:pStyle w:val="null3"/>
        <w:jc w:val="both"/>
      </w:pPr>
      <w:r>
        <w:rPr>
          <w:sz w:val="21"/>
        </w:rPr>
        <w:t>法定代表人（或委托代理人）：</w:t>
      </w:r>
      <w:r>
        <w:rPr>
          <w:sz w:val="20"/>
        </w:rPr>
        <w:t xml:space="preserve">           </w:t>
      </w:r>
      <w:r>
        <w:rPr>
          <w:sz w:val="21"/>
        </w:rPr>
        <w:t>法定代表人（或委托代理人）：</w:t>
      </w:r>
    </w:p>
    <w:p>
      <w:pPr>
        <w:pStyle w:val="null3"/>
        <w:jc w:val="both"/>
      </w:pPr>
      <w:r>
        <w:rPr>
          <w:sz w:val="20"/>
        </w:rPr>
        <w:t xml:space="preserve">                                           </w:t>
      </w:r>
    </w:p>
    <w:p>
      <w:pPr>
        <w:pStyle w:val="null3"/>
        <w:ind w:firstLine="960"/>
        <w:jc w:val="both"/>
      </w:pPr>
      <w:r>
        <w:rPr>
          <w:sz w:val="21"/>
        </w:rPr>
        <w:t>年</w:t>
      </w:r>
      <w:r>
        <w:rPr>
          <w:sz w:val="20"/>
        </w:rPr>
        <w:t xml:space="preserve">   </w:t>
      </w:r>
      <w:r>
        <w:rPr>
          <w:sz w:val="21"/>
        </w:rPr>
        <w:t>月</w:t>
      </w:r>
      <w:r>
        <w:rPr>
          <w:sz w:val="20"/>
        </w:rPr>
        <w:t xml:space="preserve">   </w:t>
      </w:r>
      <w:r>
        <w:rPr>
          <w:sz w:val="21"/>
        </w:rPr>
        <w:t>日</w:t>
      </w:r>
      <w:r>
        <w:rPr>
          <w:sz w:val="20"/>
        </w:rPr>
        <w:t xml:space="preserve">                         </w:t>
      </w:r>
      <w:r>
        <w:rPr>
          <w:sz w:val="21"/>
        </w:rPr>
        <w:t>年</w:t>
      </w:r>
      <w:r>
        <w:rPr>
          <w:sz w:val="20"/>
        </w:rPr>
        <w:t xml:space="preserve">   </w:t>
      </w:r>
      <w:r>
        <w:rPr>
          <w:sz w:val="21"/>
        </w:rPr>
        <w:t>月</w:t>
      </w:r>
      <w:r>
        <w:rPr>
          <w:sz w:val="20"/>
        </w:rPr>
        <w:t xml:space="preserve">   </w:t>
      </w:r>
      <w:r>
        <w:rPr>
          <w:sz w:val="21"/>
        </w:rPr>
        <w:t>日</w:t>
      </w: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440112-2026-02193</w:t>
      </w:r>
    </w:p>
    <w:p>
      <w:pPr>
        <w:pStyle w:val="null3"/>
        <w:jc w:val="center"/>
        <w:outlineLvl w:val="3"/>
      </w:pPr>
      <w:r>
        <w:rPr>
          <w:sz w:val="24"/>
          <w:b/>
        </w:rPr>
        <w:t>采购项目编号：</w:t>
      </w:r>
      <w:r>
        <w:rPr>
          <w:sz w:val="24"/>
          <w:b/>
        </w:rPr>
        <w:t>ZZ0260313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知识城已征未开发地块综合服务项目</w:t>
      </w:r>
      <w:r>
        <w:rPr>
          <w:u w:val="single"/>
        </w:rPr>
        <w:t>”</w:t>
      </w:r>
      <w:r>
        <w:rPr/>
        <w:t>项目的招标[采购项目编号为：</w:t>
      </w:r>
      <w:r>
        <w:rPr>
          <w:u w:val="single"/>
        </w:rPr>
        <w:t>ZZ0260313</w:t>
      </w:r>
      <w:r>
        <w:rPr/>
        <w:t>]，我方愿参与投标。</w:t>
      </w:r>
    </w:p>
    <w:p>
      <w:pPr>
        <w:pStyle w:val="null3"/>
        <w:ind w:firstLine="480"/>
      </w:pPr>
      <w:r>
        <w:rPr/>
        <w:t>我方确认收到贵方提供的</w:t>
      </w:r>
      <w:r>
        <w:rPr>
          <w:u w:val="single"/>
        </w:rPr>
        <w:t>“</w:t>
      </w:r>
      <w:r>
        <w:rPr>
          <w:u w:val="single"/>
        </w:rPr>
        <w:t>知识城已征未开发地块综合服务项目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知识城已征未开发地块综合服务项目</w:t>
      </w:r>
      <w:r>
        <w:rPr/>
        <w:t>”项目采购[采购项目编号为</w:t>
      </w:r>
      <w:r>
        <w:rPr/>
        <w:t>ZZ0260313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中新广州知识城合作项目服务管理中心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知识城已征未开发地块综合服务项目</w:t>
      </w:r>
      <w:r>
        <w:rPr/>
        <w:t>招标中获中标（采购项目编号：</w:t>
      </w:r>
      <w:r>
        <w:rPr/>
        <w:t>ZZ0260313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