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440001-2026-17446</w:t>
      </w:r>
    </w:p>
    <w:p>
      <w:pPr>
        <w:pStyle w:val="null3"/>
        <w:jc w:val="center"/>
        <w:outlineLvl w:val="3"/>
      </w:pPr>
      <w:r>
        <w:rPr>
          <w:sz w:val="24"/>
          <w:b/>
        </w:rPr>
        <w:t>采购项目编号：</w:t>
      </w:r>
      <w:r>
        <w:rPr>
          <w:sz w:val="24"/>
          <w:b/>
        </w:rPr>
        <w:t>ZZ0260225</w:t>
      </w:r>
    </w:p>
    <w:p>
      <w:pPr>
        <w:pStyle w:val="null3"/>
        <w:jc w:val="center"/>
        <w:outlineLvl w:val="3"/>
      </w:pPr>
      <w:r>
        <w:rPr>
          <w:sz w:val="24"/>
          <w:b/>
        </w:rPr>
        <w:t>项目名称：</w:t>
      </w:r>
      <w:r>
        <w:rPr>
          <w:sz w:val="24"/>
          <w:b/>
        </w:rPr>
        <w:t>华南师范大学基础教育大模型定制开发服务采购</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华南师范大学</w:t>
      </w:r>
      <w:r>
        <w:rPr/>
        <w:t>的委托，采用</w:t>
      </w:r>
      <w:r>
        <w:rPr/>
        <w:t>公开招标</w:t>
      </w:r>
      <w:r>
        <w:rPr/>
        <w:t>方式组织采购</w:t>
      </w:r>
      <w:r>
        <w:rPr/>
        <w:t>华南师范大学基础教育大模型定制开发服务采购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华南师范大学基础教育大模型定制开发服务采购</w:t>
      </w:r>
    </w:p>
    <w:p>
      <w:pPr>
        <w:pStyle w:val="null3"/>
        <w:ind w:firstLine="480"/>
      </w:pPr>
      <w:r>
        <w:rPr/>
        <w:t>采购计划编号：</w:t>
      </w:r>
      <w:r>
        <w:rPr/>
        <w:t>440001-2026-17446</w:t>
      </w:r>
    </w:p>
    <w:p>
      <w:pPr>
        <w:pStyle w:val="null3"/>
        <w:ind w:firstLine="480"/>
      </w:pPr>
      <w:r>
        <w:rPr/>
        <w:t>采购项目编号：</w:t>
      </w:r>
      <w:r>
        <w:rPr/>
        <w:t>ZZ0260225</w:t>
      </w:r>
    </w:p>
    <w:p>
      <w:pPr>
        <w:pStyle w:val="null3"/>
        <w:ind w:firstLine="480"/>
      </w:pPr>
      <w:r>
        <w:rPr/>
        <w:t>采购方式：</w:t>
      </w:r>
      <w:r>
        <w:rPr/>
        <w:t>公开招标</w:t>
      </w:r>
    </w:p>
    <w:p>
      <w:pPr>
        <w:pStyle w:val="null3"/>
        <w:ind w:firstLine="480"/>
      </w:pPr>
      <w:r>
        <w:rPr/>
        <w:t>预算金额：</w:t>
      </w:r>
      <w:r>
        <w:rPr/>
        <w:t>2,650,000.00</w:t>
      </w:r>
      <w:r>
        <w:rPr/>
        <w:t>元</w:t>
      </w:r>
    </w:p>
    <w:p>
      <w:pPr>
        <w:pStyle w:val="null3"/>
        <w:outlineLvl w:val="3"/>
      </w:pPr>
      <w:r>
        <w:rPr>
          <w:sz w:val="24"/>
          <w:b/>
        </w:rPr>
        <w:t>2.项目内容及需求情况（采购项目技术规格、参数及要求）</w:t>
      </w:r>
    </w:p>
    <w:p>
      <w:pPr>
        <w:pStyle w:val="null3"/>
      </w:pPr>
      <w:r>
        <w:rPr/>
        <w:t>采购包1(华南师范大学基础教育大模型定制开发服务采购):</w:t>
      </w:r>
    </w:p>
    <w:p>
      <w:pPr>
        <w:pStyle w:val="null3"/>
      </w:pPr>
      <w:r>
        <w:rPr/>
        <w:t>采购包预算金额：2,650,000.00元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华南师范大学基础教育大模型定制开发服务采购</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合同履行期限：合同签订后，6个月内完成交付并通过验收。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3）具有良好的商业信誉和健全的财务会计制度：提供2024年或2025年年度财务状况报告或投标截止日前6个月内任意1个月的财务报表复印件；或银行出具的资信证明材料复印件。</w:t>
      </w:r>
    </w:p>
    <w:p>
      <w:pPr>
        <w:pStyle w:val="null3"/>
      </w:pPr>
      <w:r>
        <w:rPr/>
        <w:t>4）履行合同所必需的设备和专业技术能力：提供履行合同所必需的设备和专业技术能力情况，格式自拟。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采购包1（华南师范大学基础教育大模型定制开发服务采购）：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何老师 85219769</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1、投标人须对所投项目为单位（有划分采购包的，则以采购包为单位）的标的物进行整体投标，任何只对其中一部分内容进行的投标都被视为无效投标。</w:t>
      </w:r>
    </w:p>
    <w:p>
      <w:pPr>
        <w:pStyle w:val="null3"/>
        <w:jc w:val="both"/>
      </w:pPr>
      <w:r>
        <w:rPr>
          <w:sz w:val="21"/>
          <w:b/>
        </w:rPr>
        <w:t>2、本招标文件中，凡标有“★”的地方，投标人要特别加以注意，必须对此作出一一响应。若有一项带“★”的指标未响应或不满足，将导致其投标无效。</w:t>
      </w:r>
    </w:p>
    <w:p>
      <w:pPr>
        <w:pStyle w:val="null3"/>
        <w:jc w:val="both"/>
      </w:pPr>
      <w:r>
        <w:rPr>
          <w:sz w:val="21"/>
          <w:b/>
        </w:rPr>
        <w:t>3、本项目所属行业为：软件和信息技术服务业。</w:t>
      </w:r>
    </w:p>
    <w:p>
      <w:pPr>
        <w:pStyle w:val="null3"/>
        <w:jc w:val="both"/>
      </w:pPr>
      <w:r>
        <w:rPr>
          <w:sz w:val="21"/>
          <w:b/>
        </w:rPr>
        <w:t>4、本项目涉及本国产品清单：课堂AI分析终端、中间库处理终端。</w:t>
      </w:r>
    </w:p>
    <w:p>
      <w:pPr>
        <w:pStyle w:val="null3"/>
        <w:jc w:val="center"/>
      </w:pPr>
      <w:r>
        <w:rPr>
          <w:sz w:val="21"/>
          <w:b/>
        </w:rPr>
        <w:t>分项单价最高限价表</w:t>
      </w:r>
    </w:p>
    <w:tbl>
      <w:tblPr>
        <w:tblW w:w="0" w:type="auto"/>
        <w:tblBorders>
          <w:top w:val="none" w:color="000000" w:sz="4"/>
          <w:left w:val="none" w:color="000000" w:sz="4"/>
          <w:bottom w:val="none" w:color="000000" w:sz="4"/>
          <w:right w:val="none" w:color="000000" w:sz="4"/>
          <w:insideH w:val="none"/>
          <w:insideV w:val="none"/>
        </w:tblBorders>
      </w:tblPr>
      <w:tblGrid>
        <w:gridCol w:w="573"/>
        <w:gridCol w:w="2842"/>
        <w:gridCol w:w="1941"/>
        <w:gridCol w:w="2686"/>
      </w:tblGrid>
      <w:tr>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服务名称</w:t>
            </w:r>
          </w:p>
        </w:tc>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单价最高限价（万元）</w:t>
            </w:r>
          </w:p>
        </w:tc>
        <w:tc>
          <w:tcPr>
            <w:tcW w:type="dxa" w:w="2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课堂</w:t>
            </w:r>
            <w:r>
              <w:rPr>
                <w:sz w:val="21"/>
              </w:rPr>
              <w:t>AI分析系统</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含课堂</w:t>
            </w:r>
            <w:r>
              <w:rPr>
                <w:sz w:val="21"/>
              </w:rPr>
              <w:t>AI分析管理软件1套、课堂AI分析中间库1套、定制化对接服务1项、课堂AI分析终端1台、中间库处理终端1 台</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数据标注与治理平台</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人工智能通识课程数据标注服务</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人工智能通识教育知识图谱及</w:t>
            </w:r>
            <w:r>
              <w:rPr>
                <w:sz w:val="21"/>
              </w:rPr>
              <w:t>RAG</w:t>
            </w:r>
            <w:r>
              <w:rPr>
                <w:sz w:val="21"/>
              </w:rPr>
              <w:t>应用服务</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大模型微调训推平台</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垂域大模型微调训推服务</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教学智能体开发平台</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定制智能体开发</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定制开发</w:t>
            </w:r>
            <w:r>
              <w:rPr>
                <w:sz w:val="21"/>
              </w:rPr>
              <w:t>3个特定场景智能体应用（人工智能通识教育智能体、AI教研智能体、AI for Social Science智能体）</w:t>
            </w:r>
          </w:p>
        </w:tc>
      </w:tr>
    </w:tbl>
    <w:p>
      <w:pPr>
        <w:pStyle w:val="null3"/>
        <w:jc w:val="left"/>
      </w:pPr>
      <w:r>
        <w:rPr>
          <w:sz w:val="21"/>
          <w:b/>
        </w:rPr>
        <w:t>★</w:t>
      </w:r>
      <w:r>
        <w:rPr>
          <w:sz w:val="21"/>
          <w:b/>
        </w:rPr>
        <w:t>5、投标人须根据各分项单价最高限价按照下方表格格式在投标文件中提供各分项报价（不得超过各分项单价最高限价）：</w:t>
      </w:r>
    </w:p>
    <w:p>
      <w:pPr>
        <w:pStyle w:val="null3"/>
        <w:jc w:val="center"/>
      </w:pPr>
      <w:r>
        <w:rPr>
          <w:sz w:val="21"/>
          <w:b/>
        </w:rPr>
        <w:t>分项报价表</w:t>
      </w:r>
    </w:p>
    <w:tbl>
      <w:tblPr>
        <w:tblW w:w="0" w:type="auto"/>
        <w:tblBorders>
          <w:top w:val="none" w:color="000000" w:sz="4"/>
          <w:left w:val="none" w:color="000000" w:sz="4"/>
          <w:bottom w:val="none" w:color="000000" w:sz="4"/>
          <w:right w:val="none" w:color="000000" w:sz="4"/>
          <w:insideH w:val="none"/>
          <w:insideV w:val="none"/>
        </w:tblBorders>
      </w:tblPr>
      <w:tblGrid>
        <w:gridCol w:w="646"/>
        <w:gridCol w:w="439"/>
        <w:gridCol w:w="1033"/>
        <w:gridCol w:w="917"/>
        <w:gridCol w:w="1008"/>
        <w:gridCol w:w="995"/>
        <w:gridCol w:w="930"/>
        <w:gridCol w:w="865"/>
        <w:gridCol w:w="775"/>
        <w:gridCol w:w="698"/>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品目号</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1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 </w:t>
            </w:r>
            <w:r>
              <w:rPr>
                <w:sz w:val="21"/>
              </w:rPr>
              <w:t>服务名称</w:t>
            </w:r>
          </w:p>
        </w:tc>
        <w:tc>
          <w:tcPr>
            <w:tcW w:type="dxa" w:w="9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服务范围</w:t>
            </w:r>
          </w:p>
        </w:tc>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服务要求</w:t>
            </w:r>
          </w:p>
        </w:tc>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服务时间</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服务标准</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 </w:t>
            </w:r>
            <w:r>
              <w:rPr>
                <w:sz w:val="21"/>
              </w:rPr>
              <w:t>单价</w:t>
            </w:r>
            <w:r>
              <w:rPr>
                <w:sz w:val="21"/>
              </w:rPr>
              <w:t>（</w:t>
            </w:r>
            <w:r>
              <w:rPr>
                <w:sz w:val="21"/>
              </w:rPr>
              <w:t>元）</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 </w:t>
            </w:r>
            <w:r>
              <w:rPr>
                <w:sz w:val="21"/>
              </w:rPr>
              <w:t>数量</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 xml:space="preserve"> </w:t>
            </w:r>
            <w:r>
              <w:rPr>
                <w:sz w:val="21"/>
              </w:rPr>
              <w:t>总价</w:t>
            </w:r>
            <w:r>
              <w:rPr>
                <w:sz w:val="21"/>
              </w:rPr>
              <w:t>（</w:t>
            </w:r>
            <w:r>
              <w:rPr>
                <w:sz w:val="21"/>
              </w:rPr>
              <w:t>元）</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课堂</w:t>
            </w:r>
            <w:r>
              <w:rPr>
                <w:sz w:val="21"/>
              </w:rPr>
              <w:t>AI分析系统</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数据标注与治理平台</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人工智能通识课程数据标注服务</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人工智能通识教育知识图谱及</w:t>
            </w:r>
            <w:r>
              <w:rPr>
                <w:sz w:val="21"/>
              </w:rPr>
              <w:t>RAG</w:t>
            </w:r>
            <w:r>
              <w:rPr>
                <w:sz w:val="21"/>
              </w:rPr>
              <w:t>应用服务</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大模型微调训推平台</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垂域大模型微调训推服务</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教学智能体开发平台</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定制智能体开发</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6、</w:t>
      </w:r>
      <w:r>
        <w:rPr>
          <w:sz w:val="21"/>
        </w:rPr>
        <w:t>投标人需按照以下格式提供承诺函：</w:t>
      </w:r>
    </w:p>
    <w:p>
      <w:pPr>
        <w:pStyle w:val="null3"/>
        <w:ind w:firstLine="422"/>
        <w:jc w:val="both"/>
      </w:pPr>
      <w:r>
        <w:rPr>
          <w:sz w:val="21"/>
          <w:b/>
          <w:u w:val="single"/>
        </w:rPr>
        <w:t>附件</w:t>
      </w:r>
      <w:r>
        <w:rPr>
          <w:sz w:val="21"/>
          <w:b/>
          <w:u w:val="single"/>
        </w:rPr>
        <w:t>1：</w:t>
      </w:r>
    </w:p>
    <w:p>
      <w:pPr>
        <w:pStyle w:val="null3"/>
        <w:jc w:val="center"/>
      </w:pPr>
      <w:r>
        <w:rPr>
          <w:sz w:val="21"/>
          <w:b/>
          <w:color w:val="000000"/>
        </w:rPr>
        <w:t>关于不派出企业任何人员协助其他供应商参与投标（响应）的承诺函</w:t>
      </w:r>
    </w:p>
    <w:p>
      <w:pPr>
        <w:pStyle w:val="null3"/>
        <w:ind w:firstLine="380"/>
        <w:jc w:val="both"/>
      </w:pPr>
      <w:r>
        <w:rPr>
          <w:sz w:val="21"/>
          <w:b/>
          <w:color w:val="000000"/>
        </w:rPr>
        <w:t>一、承诺内容</w:t>
      </w:r>
    </w:p>
    <w:p>
      <w:pPr>
        <w:pStyle w:val="null3"/>
        <w:ind w:firstLine="380"/>
        <w:jc w:val="both"/>
      </w:pPr>
      <w:r>
        <w:rPr>
          <w:sz w:val="21"/>
          <w:color w:val="000000"/>
        </w:rPr>
        <w:t>1.我单位将严格遵守《中华人民共和国政府采购法》及相关法律法规规定，秉持公平、公正、诚实信用原则参与本次投标（响应），坚决杜绝任何形式的不正当竞争行为。</w:t>
      </w:r>
    </w:p>
    <w:p>
      <w:pPr>
        <w:pStyle w:val="null3"/>
        <w:ind w:firstLine="380"/>
        <w:jc w:val="both"/>
      </w:pPr>
      <w:r>
        <w:rPr>
          <w:sz w:val="21"/>
          <w:color w:val="000000"/>
        </w:rPr>
        <w:t>2.我单位承诺，自本次采购项目公告发布之日起至项目评审结束且确定中标供应商（或废标、流标）之日止，不派出本单位任何人员（包括但不限于法定代表人、股东、董事、监事、高级管理人员、员工、委托代理人及与本单位存在劳动关系或劳务关系的其他人员）以任何形式协助其他供应商参与本次投标（响应）。</w:t>
      </w:r>
    </w:p>
    <w:p>
      <w:pPr>
        <w:pStyle w:val="null3"/>
        <w:ind w:firstLine="380"/>
        <w:jc w:val="both"/>
      </w:pPr>
      <w:r>
        <w:rPr>
          <w:sz w:val="21"/>
          <w:color w:val="000000"/>
        </w:rPr>
        <w:t>3.上述“协助行为”包括但不限于：向其他供应商提供投标（响应）文件编制指导、技术参数设置建议、报价策略参考；出借本单位资质证书、业绩证明、财务报表等投标（响应）所需材料；代其他供应商制作投标（响应）文件、签署相关文件；与其他供应商就投标（响应）价格、技术方案等进行串通协商；为其他供应商传递与本次采购项目相关的保密信息或内部数据等。</w:t>
      </w:r>
    </w:p>
    <w:p>
      <w:pPr>
        <w:pStyle w:val="null3"/>
        <w:ind w:firstLine="380"/>
        <w:jc w:val="both"/>
      </w:pPr>
      <w:r>
        <w:rPr>
          <w:sz w:val="21"/>
          <w:color w:val="000000"/>
        </w:rPr>
        <w:t>4.我单位将加强内部管理，对全体人员进行廉洁投标（响应）教育，明确禁止上述协助行为，并建立责任追究机制，确保本单位人员严格遵守本承诺。</w:t>
      </w:r>
    </w:p>
    <w:p>
      <w:pPr>
        <w:pStyle w:val="null3"/>
        <w:ind w:firstLine="380"/>
        <w:jc w:val="both"/>
      </w:pPr>
      <w:r>
        <w:rPr>
          <w:sz w:val="21"/>
          <w:b/>
          <w:color w:val="000000"/>
        </w:rPr>
        <w:t>二、违约责任</w:t>
      </w:r>
    </w:p>
    <w:p>
      <w:pPr>
        <w:pStyle w:val="null3"/>
        <w:ind w:firstLine="380"/>
        <w:jc w:val="both"/>
      </w:pPr>
      <w:r>
        <w:rPr>
          <w:sz w:val="21"/>
          <w:color w:val="000000"/>
        </w:rPr>
        <w:t>若我单位违反上述承诺，一经查实，自愿承担以下责任：</w:t>
      </w:r>
    </w:p>
    <w:p>
      <w:pPr>
        <w:pStyle w:val="null3"/>
        <w:ind w:firstLine="380"/>
        <w:jc w:val="both"/>
      </w:pPr>
      <w:r>
        <w:rPr>
          <w:sz w:val="21"/>
          <w:color w:val="000000"/>
        </w:rPr>
        <w:t>1.本次投标（响应）作无效处理；</w:t>
      </w:r>
    </w:p>
    <w:p>
      <w:pPr>
        <w:pStyle w:val="null3"/>
        <w:ind w:firstLine="380"/>
        <w:jc w:val="both"/>
      </w:pPr>
      <w:r>
        <w:rPr>
          <w:sz w:val="21"/>
          <w:color w:val="000000"/>
        </w:rPr>
        <w:t>2.若已成为中标供应商，贵单位有权单方面解除合同，我单位需退还已收取的合同款项，并赔偿由此给贵单位造成的全部损失；</w:t>
      </w:r>
    </w:p>
    <w:p>
      <w:pPr>
        <w:pStyle w:val="null3"/>
        <w:ind w:firstLine="380"/>
        <w:jc w:val="both"/>
      </w:pPr>
      <w:r>
        <w:rPr>
          <w:sz w:val="21"/>
          <w:color w:val="000000"/>
        </w:rPr>
        <w:t>3.同意贵单位关于相关失信行为的处理决定；</w:t>
      </w:r>
    </w:p>
    <w:p>
      <w:pPr>
        <w:pStyle w:val="null3"/>
        <w:ind w:firstLine="380"/>
        <w:jc w:val="both"/>
      </w:pPr>
      <w:r>
        <w:rPr>
          <w:sz w:val="21"/>
          <w:color w:val="000000"/>
        </w:rPr>
        <w:t>4.如行为构成违法违规，自愿接受财政部门、行业监管部门的行政处罚；涉嫌犯罪的，移交司法机关处理。</w:t>
      </w:r>
    </w:p>
    <w:p>
      <w:pPr>
        <w:pStyle w:val="null3"/>
        <w:ind w:firstLine="380"/>
        <w:jc w:val="both"/>
      </w:pPr>
      <w:r>
        <w:rPr>
          <w:sz w:val="21"/>
          <w:color w:val="000000"/>
        </w:rPr>
        <w:t>本承诺函内容真实有效，是我单位的真实意思表示，对我单位具有法律约束力。若贵单位或监管部门发现我单位存在违反本承诺的行为，可随时向我单位核实，我单位将积极配合调查。</w:t>
      </w:r>
    </w:p>
    <w:p>
      <w:pPr>
        <w:pStyle w:val="null3"/>
        <w:ind w:firstLine="422"/>
        <w:jc w:val="right"/>
      </w:pPr>
      <w:r>
        <w:rPr>
          <w:sz w:val="21"/>
          <w:b/>
        </w:rPr>
        <w:t xml:space="preserve">                 </w:t>
      </w:r>
      <w:r>
        <w:rPr>
          <w:sz w:val="21"/>
          <w:b/>
        </w:rPr>
        <w:t>承诺单位（盖章）：</w:t>
      </w:r>
      <w:r>
        <w:rPr>
          <w:sz w:val="21"/>
          <w:b/>
        </w:rPr>
        <w:t xml:space="preserve"> </w:t>
      </w:r>
      <w:r>
        <w:rPr>
          <w:sz w:val="21"/>
          <w:b/>
        </w:rPr>
        <w:t xml:space="preserve">             </w:t>
      </w:r>
    </w:p>
    <w:p>
      <w:pPr>
        <w:pStyle w:val="null3"/>
        <w:jc w:val="right"/>
      </w:pPr>
      <w:r>
        <w:rPr>
          <w:b/>
        </w:rPr>
        <w:t xml:space="preserve">                 </w:t>
      </w:r>
      <w:r>
        <w:rPr>
          <w:sz w:val="21"/>
          <w:b/>
        </w:rPr>
        <w:t>年</w:t>
      </w:r>
      <w:r>
        <w:rPr>
          <w:b/>
        </w:rPr>
        <w:t xml:space="preserve">      </w:t>
      </w:r>
      <w:r>
        <w:rPr>
          <w:sz w:val="21"/>
          <w:b/>
        </w:rPr>
        <w:t xml:space="preserve">  </w:t>
      </w:r>
      <w:r>
        <w:rPr>
          <w:sz w:val="21"/>
          <w:b/>
        </w:rPr>
        <w:t>月</w:t>
      </w:r>
      <w:r>
        <w:rPr>
          <w:b/>
        </w:rPr>
        <w:t xml:space="preserve">      </w:t>
      </w:r>
      <w:r>
        <w:rPr>
          <w:sz w:val="21"/>
          <w:b/>
        </w:rPr>
        <w:t xml:space="preserve"> </w:t>
      </w:r>
      <w:r>
        <w:rPr>
          <w:sz w:val="21"/>
          <w:b/>
        </w:rPr>
        <w:t>日</w:t>
      </w:r>
    </w:p>
    <w:p>
      <w:pPr>
        <w:pStyle w:val="null3"/>
        <w:ind w:firstLine="422"/>
        <w:jc w:val="both"/>
      </w:pPr>
      <w:r>
        <w:rPr>
          <w:sz w:val="21"/>
          <w:b/>
          <w:u w:val="single"/>
        </w:rPr>
        <w:t>附件</w:t>
      </w:r>
      <w:r>
        <w:rPr>
          <w:sz w:val="21"/>
          <w:b/>
          <w:u w:val="single"/>
        </w:rPr>
        <w:t>2：</w:t>
      </w:r>
    </w:p>
    <w:p>
      <w:pPr>
        <w:pStyle w:val="null3"/>
        <w:jc w:val="center"/>
      </w:pPr>
      <w:r>
        <w:rPr>
          <w:sz w:val="21"/>
          <w:b/>
        </w:rPr>
        <w:t>对投标文件所有响应内容真实性负责的承诺函</w:t>
      </w:r>
    </w:p>
    <w:p>
      <w:pPr>
        <w:pStyle w:val="null3"/>
        <w:jc w:val="center"/>
      </w:pPr>
      <w:r>
        <w:rPr>
          <w:sz w:val="21"/>
        </w:rPr>
        <w:t>XXXXXXXX</w:t>
      </w:r>
      <w:r>
        <w:rPr>
          <w:sz w:val="21"/>
        </w:rPr>
        <w:t>大学</w:t>
      </w:r>
      <w:r>
        <w:rPr>
          <w:sz w:val="21"/>
        </w:rPr>
        <w:t>/</w:t>
      </w:r>
      <w:r>
        <w:rPr>
          <w:sz w:val="21"/>
        </w:rPr>
        <w:t>XXXXXXXX</w:t>
      </w:r>
      <w:r>
        <w:rPr>
          <w:sz w:val="21"/>
        </w:rPr>
        <w:t>招标有限公司：</w:t>
      </w:r>
    </w:p>
    <w:p>
      <w:pPr>
        <w:pStyle w:val="null3"/>
        <w:ind w:firstLine="420"/>
        <w:jc w:val="both"/>
      </w:pPr>
      <w:r>
        <w:rPr>
          <w:sz w:val="21"/>
        </w:rPr>
        <w:t>我司参加贵方组织的</w:t>
      </w:r>
      <w:r>
        <w:rPr>
          <w:sz w:val="21"/>
          <w:b/>
          <w:u w:val="single"/>
        </w:rPr>
        <w:t>采购项目编号：</w:t>
      </w:r>
      <w:r>
        <w:rPr>
          <w:sz w:val="21"/>
          <w:b/>
          <w:u w:val="single"/>
        </w:rPr>
        <w:t>XXXXXXXXXXXXXXXXXXXXXX</w:t>
      </w:r>
      <w:r>
        <w:rPr>
          <w:sz w:val="21"/>
        </w:rPr>
        <w:t>的</w:t>
      </w:r>
      <w:r>
        <w:rPr>
          <w:sz w:val="21"/>
          <w:b/>
          <w:u w:val="single"/>
        </w:rPr>
        <w:t>XXXXXXXXXXXXXXXXXXXXXX采购项目</w:t>
      </w:r>
      <w:r>
        <w:rPr>
          <w:sz w:val="21"/>
        </w:rPr>
        <w:t>采购活动。我司充分认识到诚实信用原则在本次采购活动的重要性，因此，我司作出如下承诺：</w:t>
      </w:r>
    </w:p>
    <w:p>
      <w:pPr>
        <w:pStyle w:val="null3"/>
        <w:ind w:firstLine="420"/>
        <w:jc w:val="both"/>
      </w:pPr>
      <w:r>
        <w:rPr>
          <w:sz w:val="21"/>
        </w:rPr>
        <w:t>我司对本次投标文件所有响应内容真实性负责。</w:t>
      </w:r>
      <w:r>
        <w:rPr>
          <w:sz w:val="21"/>
        </w:rPr>
        <w:t>自本项目投标截止时间起，当出现采购人或采购代理机构或评标委员会（如需复核或重评时）对投标人的投标文件响应的内容有疑问，或者出现质疑或投诉等情形时，我司承诺按采购人或采购代理机构或评标委员会的要求（要求的方式包括但不限于邮件方式、电话方式等），在要求发出之日起的</w:t>
      </w:r>
      <w:r>
        <w:rPr>
          <w:sz w:val="21"/>
        </w:rPr>
        <w:t>5个工作日内无条件提供包括但不限于由货物制造商出具的相关证明材料，或者具有国家认可的第三方认证机构出具的、处于有效期之内的质量检验检测报告等资料（含提供原件），以清晰明确证明其能够真实满足招标文件的要求。</w:t>
      </w:r>
    </w:p>
    <w:p>
      <w:pPr>
        <w:pStyle w:val="null3"/>
        <w:ind w:firstLine="420"/>
        <w:jc w:val="both"/>
      </w:pPr>
      <w:r>
        <w:rPr>
          <w:sz w:val="21"/>
          <w:b/>
        </w:rPr>
        <w:t>如未能在我司的投标文件内提供加盖公章的本项承诺函，我司无条件接受评标委员会评审时对我司投标文件作出</w:t>
      </w:r>
      <w:r>
        <w:rPr>
          <w:sz w:val="21"/>
          <w:b/>
        </w:rPr>
        <w:t>“投标无效”的处理。</w:t>
      </w:r>
    </w:p>
    <w:p>
      <w:pPr>
        <w:pStyle w:val="null3"/>
        <w:jc w:val="both"/>
      </w:pPr>
      <w:r>
        <w:rPr>
          <w:sz w:val="21"/>
          <w:b/>
          <w:u w:val="single"/>
        </w:rPr>
        <w:t>承诺单位（盖章）：</w:t>
      </w:r>
      <w:r>
        <w:rPr>
          <w:sz w:val="21"/>
          <w:b/>
          <w:u w:val="single"/>
        </w:rPr>
        <w:t xml:space="preserve">             </w:t>
      </w:r>
    </w:p>
    <w:p>
      <w:pPr>
        <w:pStyle w:val="null3"/>
        <w:jc w:val="right"/>
      </w:pPr>
      <w:r>
        <w:rPr>
          <w:sz w:val="21"/>
          <w:b/>
          <w:u w:val="single"/>
        </w:rPr>
        <w:t>年</w:t>
      </w:r>
      <w:r>
        <w:rPr>
          <w:sz w:val="21"/>
          <w:b/>
          <w:u w:val="single"/>
        </w:rPr>
        <w:t xml:space="preserve">  </w:t>
      </w:r>
      <w:r>
        <w:rPr>
          <w:sz w:val="21"/>
          <w:b/>
          <w:u w:val="single"/>
        </w:rPr>
        <w:t>月</w:t>
      </w:r>
      <w:r>
        <w:rPr>
          <w:sz w:val="21"/>
          <w:b/>
          <w:u w:val="single"/>
        </w:rPr>
        <w:t xml:space="preserve">  </w:t>
      </w:r>
      <w:r>
        <w:rPr>
          <w:sz w:val="21"/>
          <w:b/>
          <w:u w:val="single"/>
        </w:rPr>
        <w:t>日</w:t>
      </w:r>
      <w:r>
        <w:rPr/>
        <w:t xml:space="preserve"> </w:t>
      </w:r>
    </w:p>
    <w:p>
      <w:pPr>
        <w:pStyle w:val="null3"/>
      </w:pPr>
      <w:r>
        <w:rPr/>
        <w:t>采购包1（华南师范大学基础教育大模型定制开发服务采购）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合同签订后，6个月内完成交付并通过验收。</w:t>
            </w:r>
          </w:p>
        </w:tc>
      </w:tr>
      <w:tr>
        <w:tc>
          <w:tcPr>
            <w:tcW w:type="dxa" w:w="4153"/>
          </w:tcPr>
          <w:p>
            <w:pPr>
              <w:pStyle w:val="null3"/>
            </w:pPr>
            <w:r>
              <w:rPr/>
              <w:t>标的提供的地点</w:t>
            </w:r>
          </w:p>
        </w:tc>
        <w:tc>
          <w:tcPr>
            <w:tcW w:type="dxa" w:w="4153"/>
          </w:tcPr>
          <w:p>
            <w:pPr>
              <w:pStyle w:val="null3"/>
            </w:pPr>
            <w:r>
              <w:rPr/>
              <w:t>采购人指定地点（华南师范大学石牌校区）</w:t>
            </w:r>
          </w:p>
        </w:tc>
      </w:tr>
      <w:tr>
        <w:tc>
          <w:tcPr>
            <w:tcW w:type="dxa" w:w="4153"/>
          </w:tcPr>
          <w:p>
            <w:pPr>
              <w:pStyle w:val="null3"/>
            </w:pPr>
            <w:r>
              <w:rPr/>
              <w:t>付款方式</w:t>
            </w:r>
          </w:p>
        </w:tc>
        <w:tc>
          <w:tcPr>
            <w:tcW w:type="dxa" w:w="4153"/>
          </w:tcPr>
          <w:p>
            <w:pPr>
              <w:pStyle w:val="null3"/>
            </w:pPr>
            <w:r>
              <w:rPr/>
              <w:t>1期：支付比例30%,合同签订且采购人收到中标人提供的等额增值税发票后5个工作日内，采购人通过银行转账方式支付合同金额的30%给中标人作为预付款；</w:t>
            </w:r>
          </w:p>
          <w:p>
            <w:pPr>
              <w:pStyle w:val="null3"/>
            </w:pPr>
            <w:r>
              <w:rPr/>
              <w:t>2期：支付比例20%,中标人第一次交付（一）课堂AI分析管理软件 1 套、（二）课堂AI分析中间库 1 套、（四）课堂AI分析终端 1 台、（五）中间库处理终端 1 台、（六）数据标注与治理平台 1套、（九）大模型微调训推平台 1套、（十一）教学智能体开发工具平台(不包含定制开发3个特定场景智能体应用)1套，且采购人收到中标人提供的等额增值税发票后10个工作日内将合同金额的20%到合同约定的供应商账户。</w:t>
            </w:r>
          </w:p>
          <w:p>
            <w:pPr>
              <w:pStyle w:val="null3"/>
            </w:pPr>
            <w:r>
              <w:rPr/>
              <w:t>3期：支付比例30%,项目全部交付后，采购人自收到中标人提供的等额增值税发票后10个工作日内将合同金额的30%支付到合同约定的供应商账户。</w:t>
            </w:r>
          </w:p>
          <w:p>
            <w:pPr>
              <w:pStyle w:val="null3"/>
            </w:pPr>
            <w:r>
              <w:rPr/>
              <w:t>4期：支付比例20%,待采购人最终验收合格后，采购人自收到中标人提供的等额增值税发票后10个工作日内将合同金额的20%支付到合同约定的供应商账户。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1期：一、软件系统试运行 1.自软件系统交付采购人试用之日起，采购人拥有至少 60 个工作日的试运行权利。 2.如软件在试运行期间出现非人为故障或问题，中标人应在 14 个工作日内排除故障、解决问题，由此引起的相关费用由中标人承担。如中标人在前述时间内无法排除故障、解决问题，影响软件系统基本功能和目标的实现，则视为中标人迟延交付，中标人应承担由此给采购人造成的损失及违约责任，除非上述故障和问题是由采购人引起的。 二、软件系统验收 1.软件系统试运行完成后，中标人应以书面形式向采购人递交验收申请书，采购人收到中标人验收申请书后7日内根据内部流程安排验收，分为初验及终验。初验：软件系统试运行完成后，由采购人组织专家进行验收。终验：初验通过后，由采购人委托第三方机构进行最终验收。终验时，中标人应提供以下内容：（1）《系统概要设计》；（2）《系统详细设计》必须详细描述系统的逻辑架构、网络拓补图、数据流向等关键信息。包括但不限于系统本身模块、接口，外部依赖插件、接口等内容；（3）《安装部署手册》（下称《手册》）必须详细描述安装部署的每一个步骤，包括但不限于运行环境、中间件、信息系统、辅助软件、数据库等软件的安装顺序、路径、参数、权限等信息。要求能够通过《手册》指引顺利完成安装部署并成功运行提供服务；（4）《系统测试报告》（下称《报告》）必须提供以下内容：a) 系统功能测试数据，包括但不限于功能测试、逻辑测试、交互测试、用户体验测试。b) 系统性能测试数据，包括但不限于最大并发数、最大并发数下的响应时间。项目支持分期或分环节验收机制，验收节点需与项目付款节奏及阶段性交付成果严格对应，支持按平台部署、中期交付、整体交付及最终验收分批次出具验收报告。项目文件及测试均验收合格后，采购人将出具华南师范大学采购物资验收报告给中标人。验收合格之日为采购人签署华南师范大学采购物资验收报告的日期。 2.如由于中标人提供的软件系统不符合采购人要求导致未能通过验收，中标人应根据采购人要求在限期内整改、排除故障，并承担由此产生的费用，同时延长试运行期限 30 个工作日，直至软件系统完全符合采购人的验收标准。 3.如由于采购人原因致使软件系统未通过验收，采购人应在合理时间内排除故障，再进行验收。 4.验收合格后，中标人应将各阶段产生的文档资料汇编成册交付给采购人，并且提供明确的交付清单。中标人交付的文档资料应包含：系统概要设计、系统详细设计、安装部署手册、需求分析说明、变更说明、用户手册、测试结果、系统维护说明、系统培训资料及有关系统接口的技术说明等。</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账号：3602008109000386071</w:t>
            </w:r>
          </w:p>
          <w:p>
            <w:pPr>
              <w:pStyle w:val="null3"/>
            </w:pPr>
            <w:r>
              <w:rPr/>
              <w:t>户名：华南师范大学</w:t>
            </w:r>
          </w:p>
          <w:p>
            <w:pPr>
              <w:pStyle w:val="null3"/>
            </w:pPr>
            <w:r>
              <w:rPr/>
              <w:t>开户行：工行广州高新技术开发区支行</w:t>
            </w:r>
          </w:p>
          <w:p>
            <w:pPr>
              <w:pStyle w:val="null3"/>
            </w:pPr>
            <w:r>
              <w:rPr/>
              <w:t>支票提交方式：非现金</w:t>
            </w:r>
          </w:p>
          <w:p>
            <w:pPr>
              <w:pStyle w:val="null3"/>
            </w:pPr>
            <w:r>
              <w:rPr/>
              <w:t>汇票、本票提交方式：非现金</w:t>
            </w:r>
          </w:p>
          <w:p>
            <w:pPr>
              <w:pStyle w:val="null3"/>
            </w:pPr>
            <w:r>
              <w:rPr/>
              <w:t>说明：中标人在合同签订后10 日内，以支票、汇票、本票、保函或转账方式 向采购人提交合同总额的5%作为履约保证金。项目验收合格1 个月内，合同 标的无质量问题，中标人即可凭收据向采购人申请退还，采购人在收到中标人 申请单据之日起15 个工作日内无息退还给中标人。履约保证金不予退还的情 形：（1）未经采购人同意，中标人将本项目进行分包或转包给他人；（2） 在履行合同期间，中标人未经采购人同意提前终止本项目合同；（3）在履行 合同期间，中标人因在经营活动中存在违法被吊销营业执照或相关许可，导致 本项目合同无法继续履行的。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一、质保方案 自通过最终验收之日起提供至少叁年质保及维护服务，提供硬件内置应用软件终身无条件维护及必要的版本升级；无条件提供采购设备的技术培训和调试指导工作，并定期对使用情况进行回访；无条件提供质保期内设备产品正常使用情况下的维修及保养服务(人为损坏除外)。（费用包含在投标报价中） 二、售后服务 1.中标人应有专职工程师负责对所售产品安装，调试，培训，维修和处理。质保期内，在接到系统故障或问题告知后，中标人响应时间不得超过1小时，到达现场时间不得超过3小时，并应在24小时（前述响应及到达现场时间已包含计算在内）内排除故障。否则视为中标人不能修复。如果需要更换配件的，中标人应在 2 个工作日内完成配件更换服务，且更换的配件跟被更换的品牌、类型相一致或者是同类档次相当或更高的替代品，后者需征得采购人管理人员同意。如果故障在前述时间内仍无法排除，中标人应无条件在 5 个工作日内提供不低于故障设备规格型号档次的备用设备供采购人使用，直至故障设备修复。 2.升级更新：支持垂域大模型增量学习与知识更新；智能体平台支持组件扩展与二次开发；全平台开放 API 接口，支持系统集成与功能升级；维护期内无条件进行版本更新与漏洞修复（费用包含在投标报价中）。 3.备品备件：大模型训练所用云资源由中标人提供硬件备份与替换保障，无需本地储备备品备件。 4.历史数据与模型迁移服务：在后续售后维保期内针对系统升级、环境变更等情况，中标人须负责本项目各子系统在实施部署期间产生的历史数据与已有模型的平滑迁移与兼容适配。 三、知识产权和使用权 1.中标人应保证，采购人在使用本合同项目开发的软件和数据的任何一部分时，如受第三方提出的侵犯其知识产权、肖像权、技术秘密、商业秘密或其他任何权益的起诉，由中标人承担一切责任。 2.软件系统开发完毕后，系统中原属于中标人的技术和功能模块采购人具有永久使用权；中标人结合采购人功能需求新开发的功能模块、具有新特色的系统所产生的知识产权归采购人所有。 双方共同所有的知识产权，未经采购人、中标人双方共同的书面许可，任何一方不得以任何方式向第三方披露、转让和许可有关的技术成果、计算机软件、技术诀窍、秘密信息、技术资料和文件等；除本研发项目或者工作需要之外，未得到采购人、中标人双方共同的书面许可，采购人、中标人双方不得以任何方式商业性地利用上述资料、技术及信息。如违反本条规定，除应立即停止违约行为外，违约方还应向守约方支付合同总价20%的违约金以及赔偿守约方的损失。 3.采购人对本项目的软件系统和数据具有永久使用权。 4.除合同另有规定外，采购人对中标人所许可使用的软件没有向第三方许可使用的权利。 5.采购人在使用中标人提供的第三方软件时，应当遵守中标人与第三方对该软件使用的约定。中标人应事先将该约定的复印件交采购人参阅、保存。 四、培训 培训应贯穿于整个项目的实施过程，包括项目的准备、研发、运行及维护等的全过程，中标人应采用课堂讲解、主机操作及实际工作参与等方式。软件系统安装调试完毕后，中标人应及时对采购人人员进行培训，数据标注与治理平台、大模型微调训推平台、教学智能体开发平台的培训时间累计不少于 21 个工作日（其中面向中小学教师、大学生的智能体培训及教学应用不少于7个工作日；大模型微调与训推培训不少于8个工作日；数据标注与数据集构建培训不少于6个工作日），采购人受训人数不限。培训目标为受训者能独立熟练使用和自主维护软件系统，并实现合同规定的目标和功能。 五、人员要求 投标人需为本项目提供完备的项目开发团队，包括项目经理1人、项目技术负责人1人、项目团队成员不少于5人。项目经理、项目技术负责人、项目团队成员不能重复；驻场团队人员需满足同期不少于3人，驻场周期不少于3个月，覆盖研发、部署、联调、试运行等全阶段。 其中项目经理应具有计算机技术与软件专业技术资格（水平）考试的信息系统项目管理师证书或数据库系统工程师或系统架构设计师或系统分析师证书中不少于两个证书；项目技术负责人应具有计算机技术与软件专业技术资格（水平）考试的信息系统项目管理师或系统架构设计师或软件设计师或系统集成项目管理工程师证书中不少于两个证书；项目团队成员中每人应具有计算机技术与软件专业技术资格（水平）考试的软件评测师或软件设计师或信息安全工程师证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华南师范大学基础教育大模型定制开发服务采购</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2,650,000.00</w:t>
            </w:r>
          </w:p>
        </w:tc>
        <w:tc>
          <w:tcPr>
            <w:tcW w:type="dxa" w:w="933"/>
          </w:tcPr>
          <w:p>
            <w:pPr>
              <w:pStyle w:val="null3"/>
              <w:jc w:val="right"/>
            </w:pPr>
            <w:r>
              <w:rPr/>
              <w:t>2,650,000.00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华南师范大学基础教育大模型定制开发服务采购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一、</w:t>
            </w:r>
            <w:r>
              <w:rPr>
                <w:sz w:val="21"/>
              </w:rPr>
              <w:t>项目建设内容简介</w:t>
            </w:r>
          </w:p>
          <w:p>
            <w:pPr>
              <w:pStyle w:val="null3"/>
              <w:ind w:firstLine="420"/>
              <w:jc w:val="both"/>
            </w:pPr>
            <w:r>
              <w:rPr>
                <w:sz w:val="21"/>
              </w:rPr>
              <w:t>本项目将建设一个端到端的基础教育智能化平台，围绕数据采集与治理、</w:t>
            </w:r>
            <w:r>
              <w:rPr>
                <w:sz w:val="21"/>
              </w:rPr>
              <w:t>AI智能分析、模型训练与部署、智能体开发等环节进行系统集成，具体包括如下核心建设内容：</w:t>
            </w:r>
          </w:p>
          <w:p>
            <w:pPr>
              <w:pStyle w:val="null3"/>
              <w:ind w:firstLine="420"/>
              <w:jc w:val="both"/>
            </w:pPr>
            <w:r>
              <w:rPr>
                <w:sz w:val="21"/>
              </w:rPr>
              <w:t>1.课堂AI分析系统</w:t>
            </w:r>
          </w:p>
          <w:p>
            <w:pPr>
              <w:pStyle w:val="null3"/>
              <w:ind w:firstLine="420"/>
              <w:jc w:val="both"/>
            </w:pPr>
            <w:r>
              <w:rPr>
                <w:sz w:val="21"/>
              </w:rPr>
              <w:t>建设包含课堂</w:t>
            </w:r>
            <w:r>
              <w:rPr>
                <w:sz w:val="21"/>
              </w:rPr>
              <w:t>AI分析管理软件、课堂AI分析中间库、课堂AI分析</w:t>
            </w:r>
            <w:r>
              <w:rPr>
                <w:sz w:val="21"/>
              </w:rPr>
              <w:t>终端及中间库处理终端</w:t>
            </w:r>
            <w:r>
              <w:rPr>
                <w:sz w:val="21"/>
              </w:rPr>
              <w:t>的整体软硬件环境，具备本地化、自动化分析各类课堂教学视频的能力，实现教师授课、学生听课等多维度行为的视觉与语音分析（含表情、动作、轨迹、提问、语速、互动指数等），自动生成课堂质量报告，并支持</w:t>
            </w:r>
            <w:r>
              <w:rPr>
                <w:sz w:val="21"/>
              </w:rPr>
              <w:t>S-T和RT-CH等教学行为分析。系统全面与学校现有录播</w:t>
            </w:r>
            <w:r>
              <w:rPr>
                <w:sz w:val="21"/>
              </w:rPr>
              <w:t>（</w:t>
            </w:r>
            <w:r>
              <w:rPr>
                <w:sz w:val="21"/>
              </w:rPr>
              <w:t>名称</w:t>
            </w:r>
            <w:r>
              <w:rPr>
                <w:sz w:val="21"/>
              </w:rPr>
              <w:t>:AVA录播；型号:AE-A6H Pro，对接接口:POST/webservice/pubThirdparty</w:t>
            </w:r>
            <w:r>
              <w:rPr>
                <w:sz w:val="21"/>
              </w:rPr>
              <w:t>）</w:t>
            </w:r>
            <w:r>
              <w:rPr>
                <w:sz w:val="21"/>
              </w:rPr>
              <w:t>完成相关应用对接，对接数据包括但不限于语言转写、板书增强、</w:t>
            </w:r>
            <w:r>
              <w:rPr>
                <w:sz w:val="21"/>
              </w:rPr>
              <w:t>ppt讲授分析、提问分析、表情音量。支持高效数据集成、跨平台API调用及深度定制化二次开发。</w:t>
            </w:r>
          </w:p>
          <w:p>
            <w:pPr>
              <w:pStyle w:val="null3"/>
              <w:ind w:firstLine="420"/>
              <w:jc w:val="both"/>
            </w:pPr>
            <w:r>
              <w:rPr>
                <w:sz w:val="21"/>
              </w:rPr>
              <w:t>2.多模态高质量教育数据资源体系</w:t>
            </w:r>
          </w:p>
          <w:p>
            <w:pPr>
              <w:pStyle w:val="null3"/>
              <w:ind w:firstLine="420"/>
              <w:jc w:val="both"/>
            </w:pPr>
            <w:r>
              <w:rPr>
                <w:sz w:val="21"/>
              </w:rPr>
              <w:t>通过多模态数据标注与治理平台，结合专项标注服务，汇聚教案、课件、习题、视频等多来源、非结构化教学资源；经清洗、规范、分段、结构化、标签体系建立等处理，构建标准化、多标签、多粒度的数据集，累计交付专项高质量样本</w:t>
            </w:r>
            <w:r>
              <w:rPr>
                <w:sz w:val="21"/>
              </w:rPr>
              <w:t>≥2万条，覆盖文本、图片、音频、视频等多类型样本。</w:t>
            </w:r>
          </w:p>
          <w:p>
            <w:pPr>
              <w:pStyle w:val="null3"/>
              <w:ind w:firstLine="420"/>
              <w:jc w:val="both"/>
            </w:pPr>
            <w:r>
              <w:rPr>
                <w:sz w:val="21"/>
              </w:rPr>
              <w:t>3.人工智能通识教育垂域大模型及微调训推平台与服务</w:t>
            </w:r>
          </w:p>
          <w:p>
            <w:pPr>
              <w:pStyle w:val="null3"/>
              <w:ind w:firstLine="420"/>
              <w:jc w:val="both"/>
            </w:pPr>
            <w:r>
              <w:rPr>
                <w:sz w:val="21"/>
              </w:rPr>
              <w:t>基于采购</w:t>
            </w:r>
            <w:r>
              <w:rPr>
                <w:sz w:val="21"/>
              </w:rPr>
              <w:t>人</w:t>
            </w:r>
            <w:r>
              <w:rPr>
                <w:sz w:val="21"/>
              </w:rPr>
              <w:t>指定大模型基座与</w:t>
            </w:r>
            <w:r>
              <w:rPr>
                <w:sz w:val="21"/>
              </w:rPr>
              <w:t>Qwen</w:t>
            </w:r>
            <w:r>
              <w:rPr>
                <w:sz w:val="21"/>
              </w:rPr>
              <w:t>、</w:t>
            </w:r>
            <w:r>
              <w:rPr>
                <w:sz w:val="21"/>
              </w:rPr>
              <w:t>DeepSeek</w:t>
            </w:r>
            <w:r>
              <w:rPr>
                <w:sz w:val="21"/>
              </w:rPr>
              <w:t>等系列开源模型，实施模型接入、数据集管理、任务微调、评测、推理部署等全流程技术栈。交付</w:t>
            </w:r>
            <w:r>
              <w:rPr>
                <w:sz w:val="21"/>
              </w:rPr>
              <w:t>5类专项任务模型及1类增量学习模型，</w:t>
            </w:r>
            <w:r>
              <w:rPr>
                <w:sz w:val="21"/>
              </w:rPr>
              <w:t>中标人提供</w:t>
            </w:r>
            <w:r>
              <w:rPr>
                <w:sz w:val="21"/>
              </w:rPr>
              <w:t>高性能分布式训练及推理</w:t>
            </w:r>
            <w:r>
              <w:rPr>
                <w:sz w:val="21"/>
              </w:rPr>
              <w:t>算力服务器</w:t>
            </w:r>
            <w:r>
              <w:rPr>
                <w:sz w:val="21"/>
              </w:rPr>
              <w:t>环境。（服务器使用期为至少</w:t>
            </w:r>
            <w:r>
              <w:rPr>
                <w:sz w:val="21"/>
              </w:rPr>
              <w:t>3年，费用包含在投标报价中）</w:t>
            </w:r>
          </w:p>
          <w:p>
            <w:pPr>
              <w:pStyle w:val="null3"/>
              <w:ind w:firstLine="420"/>
              <w:jc w:val="both"/>
            </w:pPr>
            <w:r>
              <w:rPr>
                <w:sz w:val="21"/>
              </w:rPr>
              <w:t>4.知识图谱与知识库及RAG应用服务</w:t>
            </w:r>
          </w:p>
          <w:p>
            <w:pPr>
              <w:pStyle w:val="null3"/>
              <w:ind w:firstLine="420"/>
              <w:jc w:val="both"/>
            </w:pPr>
            <w:r>
              <w:rPr>
                <w:sz w:val="21"/>
              </w:rPr>
              <w:t>以结构化多模态数据为基础，采用</w:t>
            </w:r>
            <w:r>
              <w:rPr>
                <w:sz w:val="21"/>
              </w:rPr>
              <w:t>“规则-模型-专家”三轮抽取方法，构建标准化知识点体系，深度建模知识点关系与资源、多模态切片的语义关联，形成≥500知识点、三类关系的知识图谱，完成高可用向量知识库。</w:t>
            </w:r>
          </w:p>
          <w:p>
            <w:pPr>
              <w:pStyle w:val="null3"/>
              <w:ind w:firstLine="420"/>
              <w:jc w:val="both"/>
            </w:pPr>
            <w:r>
              <w:rPr>
                <w:sz w:val="21"/>
              </w:rPr>
              <w:t>5.教学智能体开发平台与应用</w:t>
            </w:r>
          </w:p>
          <w:p>
            <w:pPr>
              <w:pStyle w:val="null3"/>
              <w:ind w:firstLine="420"/>
              <w:jc w:val="both"/>
            </w:pPr>
            <w:r>
              <w:rPr>
                <w:sz w:val="21"/>
              </w:rPr>
              <w:t>建设易用的低代码智能体开发平台，支持并发</w:t>
            </w:r>
            <w:r>
              <w:rPr>
                <w:sz w:val="21"/>
              </w:rPr>
              <w:t>≥200人在线使用，集成AI问答核心能力，内嵌角色管理、组件编排、可视化逻辑、API集成等多项教学智能体功能，定制开发3个特定场景智能体</w:t>
            </w:r>
            <w:r>
              <w:rPr>
                <w:sz w:val="21"/>
              </w:rPr>
              <w:t>应用</w:t>
            </w:r>
            <w:r>
              <w:rPr>
                <w:sz w:val="21"/>
              </w:rPr>
              <w:t>。平台支持一键封装微服务包（</w:t>
            </w:r>
            <w:r>
              <w:rPr>
                <w:sz w:val="21"/>
              </w:rPr>
              <w:t>MCP）、外部能力集成及自定义扩展，并含</w:t>
            </w:r>
            <w:r>
              <w:rPr>
                <w:sz w:val="21"/>
              </w:rPr>
              <w:t>至少</w:t>
            </w:r>
            <w:r>
              <w:rPr>
                <w:sz w:val="21"/>
              </w:rPr>
              <w:t>3</w:t>
            </w:r>
            <w:r>
              <w:rPr>
                <w:sz w:val="21"/>
              </w:rPr>
              <w:t>年</w:t>
            </w:r>
            <w:r>
              <w:rPr>
                <w:sz w:val="21"/>
              </w:rPr>
              <w:t>无条件</w:t>
            </w:r>
            <w:r>
              <w:rPr>
                <w:sz w:val="21"/>
              </w:rPr>
              <w:t>维护</w:t>
            </w:r>
            <w:r>
              <w:rPr>
                <w:sz w:val="21"/>
              </w:rPr>
              <w:t>（</w:t>
            </w:r>
            <w:r>
              <w:rPr>
                <w:sz w:val="21"/>
              </w:rPr>
              <w:t>费用包含在投标报价中）</w:t>
            </w:r>
            <w:r>
              <w:rPr>
                <w:sz w:val="21"/>
              </w:rPr>
              <w:t>。</w:t>
            </w:r>
          </w:p>
          <w:p>
            <w:pPr>
              <w:pStyle w:val="null3"/>
              <w:ind w:firstLine="420"/>
              <w:jc w:val="both"/>
            </w:pPr>
            <w:r>
              <w:rPr>
                <w:sz w:val="21"/>
              </w:rPr>
              <w:t>6.数据标注与治理平台及专项服务</w:t>
            </w:r>
          </w:p>
          <w:p>
            <w:pPr>
              <w:pStyle w:val="null3"/>
              <w:ind w:firstLine="420"/>
              <w:jc w:val="both"/>
            </w:pPr>
            <w:r>
              <w:rPr>
                <w:sz w:val="21"/>
              </w:rPr>
              <w:t>提供完备的数据标注与治理平台，覆盖文本、图像、音频、视频等多种格式与类型，支持</w:t>
            </w:r>
            <w:r>
              <w:rPr>
                <w:sz w:val="21"/>
              </w:rPr>
              <w:t>54类</w:t>
            </w:r>
            <w:r>
              <w:rPr>
                <w:sz w:val="21"/>
              </w:rPr>
              <w:t>或</w:t>
            </w:r>
            <w:r>
              <w:rPr>
                <w:sz w:val="21"/>
              </w:rPr>
              <w:t>以上标注模版及多标签、多类型自定义扩展。结合人工智能通识课程专项标注服务，完成教学目标、学习环节、视频切片、操作活动流程、学习情况等多模态结构化数据建模与语义对齐。</w:t>
            </w:r>
          </w:p>
          <w:p>
            <w:pPr>
              <w:pStyle w:val="null3"/>
              <w:ind w:firstLine="420"/>
              <w:jc w:val="both"/>
            </w:pPr>
            <w:r>
              <w:rPr>
                <w:sz w:val="21"/>
              </w:rPr>
              <w:t>7.一体化模型微调训推平台及垂域服务</w:t>
            </w:r>
          </w:p>
          <w:p>
            <w:pPr>
              <w:pStyle w:val="null3"/>
              <w:ind w:firstLine="420"/>
              <w:jc w:val="both"/>
            </w:pPr>
            <w:r>
              <w:rPr>
                <w:sz w:val="21"/>
              </w:rPr>
              <w:t>建设集模型微调、评估、推理部署于一体的平台，支持多主流开源大模型的领域适配、终端部署及持续优化，集数据集管理、模型接入、参数配置、训练管理和性能评测于一身。配套提供垂域大模型专项微调服务，实现高性能云端训练环境配置、全流程文档交付和接口集成，满足通识教育多场景知识问答、语义理解、文本生成等复杂任务的高标准</w:t>
            </w:r>
            <w:r>
              <w:rPr>
                <w:sz w:val="21"/>
              </w:rPr>
              <w:t>AI支撑，平台及服务均</w:t>
            </w:r>
            <w:r>
              <w:rPr>
                <w:sz w:val="21"/>
              </w:rPr>
              <w:t>至少</w:t>
            </w:r>
            <w:r>
              <w:rPr>
                <w:sz w:val="21"/>
              </w:rPr>
              <w:t>含</w:t>
            </w:r>
            <w:r>
              <w:rPr>
                <w:sz w:val="21"/>
              </w:rPr>
              <w:t>3</w:t>
            </w:r>
            <w:r>
              <w:rPr>
                <w:sz w:val="21"/>
              </w:rPr>
              <w:t>年</w:t>
            </w:r>
            <w:r>
              <w:rPr>
                <w:sz w:val="21"/>
              </w:rPr>
              <w:t>无条件</w:t>
            </w:r>
            <w:r>
              <w:rPr>
                <w:sz w:val="21"/>
              </w:rPr>
              <w:t>定期维护</w:t>
            </w:r>
            <w:r>
              <w:rPr>
                <w:sz w:val="21"/>
              </w:rPr>
              <w:t>（</w:t>
            </w:r>
            <w:r>
              <w:rPr>
                <w:sz w:val="21"/>
              </w:rPr>
              <w:t>费用包含在投标报价中）</w:t>
            </w:r>
            <w:r>
              <w:rPr>
                <w:sz w:val="21"/>
              </w:rPr>
              <w:t>。</w:t>
            </w:r>
            <w:r>
              <w:br/>
            </w:r>
          </w:p>
          <w:p>
            <w:pPr>
              <w:pStyle w:val="null3"/>
              <w:ind w:firstLine="420"/>
              <w:jc w:val="both"/>
            </w:pPr>
            <w:r>
              <w:rPr/>
              <w:t xml:space="preserve"> </w:t>
            </w:r>
          </w:p>
          <w:p>
            <w:pPr>
              <w:pStyle w:val="null3"/>
              <w:ind w:firstLine="420"/>
              <w:jc w:val="both"/>
            </w:pPr>
            <w:r>
              <w:rPr>
                <w:sz w:val="21"/>
              </w:rPr>
              <w:t>二、</w:t>
            </w:r>
            <w:r>
              <w:rPr>
                <w:sz w:val="21"/>
              </w:rPr>
              <w:t>项目采购具体服务内容与技术要求</w:t>
            </w:r>
          </w:p>
          <w:p>
            <w:pPr>
              <w:pStyle w:val="null3"/>
              <w:ind w:firstLine="420"/>
              <w:jc w:val="both"/>
            </w:pPr>
            <w:r>
              <w:rPr>
                <w:sz w:val="21"/>
              </w:rPr>
              <w:t>（一）课堂</w:t>
            </w:r>
            <w:r>
              <w:rPr>
                <w:sz w:val="21"/>
              </w:rPr>
              <w:t>AI分析管理软件 1 套</w:t>
            </w:r>
          </w:p>
          <w:p>
            <w:pPr>
              <w:pStyle w:val="null3"/>
              <w:ind w:firstLine="420"/>
              <w:jc w:val="both"/>
            </w:pPr>
            <w:r>
              <w:rPr>
                <w:sz w:val="21"/>
              </w:rPr>
              <w:t>1.整体要求</w:t>
            </w:r>
          </w:p>
          <w:p>
            <w:pPr>
              <w:pStyle w:val="null3"/>
              <w:ind w:firstLine="420"/>
              <w:jc w:val="both"/>
            </w:pPr>
            <w:r>
              <w:rPr>
                <w:sz w:val="21"/>
              </w:rPr>
              <w:t>1.1分析数据模式：支持自动获取推送视频与手动导入视频分析的两种分析视频类型</w:t>
            </w:r>
            <w:r>
              <w:rPr>
                <w:sz w:val="21"/>
              </w:rPr>
              <w:t>；</w:t>
            </w:r>
          </w:p>
          <w:p>
            <w:pPr>
              <w:pStyle w:val="null3"/>
              <w:ind w:firstLine="420"/>
              <w:jc w:val="both"/>
            </w:pPr>
            <w:r>
              <w:rPr>
                <w:sz w:val="21"/>
              </w:rPr>
              <w:t>1.2分析课室教师授课、学生听课两种维度的视频文件，并同时根据视频场景间的联动进行整体课室授课场景分析；</w:t>
            </w:r>
          </w:p>
          <w:p>
            <w:pPr>
              <w:pStyle w:val="null3"/>
              <w:ind w:firstLine="420"/>
              <w:jc w:val="both"/>
            </w:pPr>
            <w:r>
              <w:rPr>
                <w:sz w:val="21"/>
              </w:rPr>
              <w:t>1.3本地分析能力：支持分析能力落在本地主机，内网连接即可用，无需连接互联网云端能力。</w:t>
            </w:r>
          </w:p>
          <w:p>
            <w:pPr>
              <w:pStyle w:val="null3"/>
              <w:ind w:firstLine="420"/>
              <w:jc w:val="both"/>
            </w:pPr>
            <w:r>
              <w:rPr>
                <w:sz w:val="21"/>
              </w:rPr>
              <w:t>1.4分析模型：支持课堂教学的人脸表情、肢体骨骼、行为动作分析能力模型；</w:t>
            </w:r>
          </w:p>
          <w:p>
            <w:pPr>
              <w:pStyle w:val="null3"/>
              <w:ind w:firstLine="420"/>
              <w:jc w:val="both"/>
            </w:pPr>
            <w:r>
              <w:rPr>
                <w:sz w:val="21"/>
              </w:rPr>
              <w:t>▲1.5分析能力：支持视觉分析能力，包括出勤人数、出勤率、教师行为模型、师生互动指数模型、教师行动轨迹热点模型、师生S-T行为模型、学生课堂动作与表情模型等。支持语音分析能力，包括语音转写、语速分析、高频词分析、敏感词提取、教师提问频次等；</w:t>
            </w:r>
          </w:p>
          <w:p>
            <w:pPr>
              <w:pStyle w:val="null3"/>
              <w:ind w:firstLine="420"/>
              <w:jc w:val="both"/>
            </w:pPr>
            <w:r>
              <w:rPr>
                <w:sz w:val="21"/>
              </w:rPr>
              <w:t>2.</w:t>
            </w:r>
            <w:r>
              <w:rPr>
                <w:sz w:val="21"/>
              </w:rPr>
              <w:t>课堂教情分析要求</w:t>
            </w:r>
          </w:p>
          <w:p>
            <w:pPr>
              <w:pStyle w:val="null3"/>
              <w:ind w:firstLine="420"/>
              <w:jc w:val="both"/>
            </w:pPr>
            <w:r>
              <w:rPr>
                <w:sz w:val="21"/>
              </w:rPr>
              <w:t>▲2.1教学行为分析：支持“教师讲授”、“指导学生”、“学生展示汇报”、“教师板书”、“师生互动”、“学生讨论”、“生生互动”、“课件展示”和“教学资源展示”多种维度的教学行为识别。</w:t>
            </w:r>
          </w:p>
          <w:p>
            <w:pPr>
              <w:pStyle w:val="null3"/>
              <w:ind w:firstLine="420"/>
              <w:jc w:val="both"/>
            </w:pPr>
            <w:r>
              <w:rPr>
                <w:sz w:val="21"/>
              </w:rPr>
              <w:t>2.2展示模型：支持以秒为颗粒度对各种类型的教学行为进行基于AI功能的全自动伴随式分析，以课堂时间为轴线形成课堂教学评估数据，并以图表形式直观展示课堂每个时刻的行为类型和持续时长。</w:t>
            </w:r>
          </w:p>
          <w:p>
            <w:pPr>
              <w:pStyle w:val="null3"/>
              <w:ind w:firstLine="420"/>
              <w:jc w:val="both"/>
            </w:pPr>
            <w:r>
              <w:rPr>
                <w:sz w:val="21"/>
              </w:rPr>
              <w:t>2.3互动指数：支持生成师生互动指数热力图，通过互动指数展示一节课堂</w:t>
            </w:r>
            <w:r>
              <w:rPr>
                <w:sz w:val="21"/>
              </w:rPr>
              <w:t>中</w:t>
            </w:r>
            <w:r>
              <w:rPr>
                <w:sz w:val="21"/>
              </w:rPr>
              <w:t>师生互动情况。</w:t>
            </w:r>
          </w:p>
          <w:p>
            <w:pPr>
              <w:pStyle w:val="null3"/>
              <w:ind w:firstLine="420"/>
              <w:jc w:val="both"/>
            </w:pPr>
            <w:r>
              <w:rPr>
                <w:sz w:val="21"/>
              </w:rPr>
              <w:t>2.4支持弗兰德斯教学行为分析法（S-T）：要求支持根据图像识别全自动跟踪数据生成S-T曲线图，帮助用户进行教学技能提升和评估。</w:t>
            </w:r>
          </w:p>
          <w:p>
            <w:pPr>
              <w:pStyle w:val="null3"/>
              <w:ind w:firstLine="420"/>
              <w:jc w:val="both"/>
            </w:pPr>
            <w:r>
              <w:rPr>
                <w:sz w:val="21"/>
              </w:rPr>
              <w:t>2.5</w:t>
            </w:r>
            <w:r>
              <w:rPr/>
              <w:t xml:space="preserve"> </w:t>
            </w:r>
            <w:r>
              <w:rPr>
                <w:sz w:val="21"/>
              </w:rPr>
              <w:t>RT-CH教学模型：引入RT-CH教学分析模型，系统自动生成矩阵图，并判定授课类型属于对话型、练习型、混合型、讲授型。</w:t>
            </w:r>
          </w:p>
          <w:p>
            <w:pPr>
              <w:pStyle w:val="null3"/>
              <w:ind w:firstLine="420"/>
              <w:jc w:val="both"/>
            </w:pPr>
            <w:r>
              <w:rPr>
                <w:sz w:val="21"/>
              </w:rPr>
              <w:t>2.6教师轨迹分析：支持统计整个课节时间内授课教师的授课行动轨迹并形成教师轨迹热力分布图，要求轨迹图以教室横纵坐标形式直观呈现教师授课过程中的授课位置数据。</w:t>
            </w:r>
          </w:p>
          <w:p>
            <w:pPr>
              <w:pStyle w:val="null3"/>
              <w:ind w:firstLine="420"/>
              <w:jc w:val="both"/>
            </w:pPr>
            <w:r>
              <w:rPr>
                <w:sz w:val="21"/>
              </w:rPr>
              <w:t>▲2.7教师巡视分析：要求支持教师巡视情况统计并形成教师巡视分析图，分析数据应包括教师课堂巡视次数、时长、巡视区域时长占比等数据。</w:t>
            </w:r>
          </w:p>
          <w:p>
            <w:pPr>
              <w:pStyle w:val="null3"/>
              <w:ind w:firstLine="420"/>
              <w:jc w:val="both"/>
            </w:pPr>
            <w:r>
              <w:rPr>
                <w:sz w:val="21"/>
              </w:rPr>
              <w:t>2.8课堂时间分配分析：要求支持对课堂教学行为占比时长进行智能识别与拆分，判断课堂教师讲授时间占比与学生活动时间占比。</w:t>
            </w:r>
          </w:p>
          <w:p>
            <w:pPr>
              <w:pStyle w:val="null3"/>
              <w:ind w:firstLine="420"/>
              <w:jc w:val="both"/>
            </w:pPr>
            <w:r>
              <w:rPr>
                <w:sz w:val="21"/>
              </w:rPr>
              <w:t>2.9师生理答分析：支持对师生课堂过程当中的总提问数以及应答次数进行智能分析与呈现。</w:t>
            </w:r>
          </w:p>
          <w:p>
            <w:pPr>
              <w:pStyle w:val="null3"/>
              <w:ind w:firstLine="420"/>
              <w:jc w:val="both"/>
            </w:pPr>
            <w:r>
              <w:rPr>
                <w:sz w:val="21"/>
              </w:rPr>
              <w:t>2.10教师可查看每节课的课堂实录，可根据不同的教学行为时序进行智能打点切片，形成行为时序图，可自动定位到课堂实录的特定时刻。</w:t>
            </w:r>
          </w:p>
          <w:p>
            <w:pPr>
              <w:pStyle w:val="null3"/>
              <w:ind w:firstLine="420"/>
              <w:jc w:val="both"/>
            </w:pPr>
            <w:r>
              <w:rPr>
                <w:sz w:val="21"/>
              </w:rPr>
              <w:t>3.</w:t>
            </w:r>
            <w:r>
              <w:rPr>
                <w:sz w:val="21"/>
              </w:rPr>
              <w:t>课堂学生分析要求</w:t>
            </w:r>
          </w:p>
          <w:p>
            <w:pPr>
              <w:pStyle w:val="null3"/>
              <w:ind w:firstLine="420"/>
              <w:jc w:val="both"/>
            </w:pPr>
            <w:r>
              <w:rPr>
                <w:sz w:val="21"/>
              </w:rPr>
              <w:t>3.1班级出勤率统计：以班级维度进行班级出勤人数统计，包括应出席人数、实际出席人数、迟到人数、早退人数等。</w:t>
            </w:r>
          </w:p>
          <w:p>
            <w:pPr>
              <w:pStyle w:val="null3"/>
              <w:ind w:firstLine="420"/>
              <w:jc w:val="both"/>
            </w:pPr>
            <w:r>
              <w:rPr>
                <w:sz w:val="21"/>
              </w:rPr>
              <w:t>3.2学生专注度分析：支持以课堂时间为轴线，对各个时刻学生的抬头率进行分析统计，形成学生观课专注度曲线变化数据统计。</w:t>
            </w:r>
          </w:p>
          <w:p>
            <w:pPr>
              <w:pStyle w:val="null3"/>
              <w:ind w:firstLine="420"/>
              <w:jc w:val="both"/>
            </w:pPr>
            <w:r>
              <w:rPr>
                <w:sz w:val="21"/>
              </w:rPr>
              <w:t>3.3支持学生课堂动作分析，包括趴桌子、举手、站立等肢体语言，可对各类动作进行实时检测。以课堂时间为轴线通过图表形象展示课堂中每个时刻各类动作的学生人数。</w:t>
            </w:r>
          </w:p>
          <w:p>
            <w:pPr>
              <w:pStyle w:val="null3"/>
              <w:ind w:firstLine="420"/>
              <w:jc w:val="both"/>
            </w:pPr>
            <w:r>
              <w:rPr>
                <w:sz w:val="21"/>
              </w:rPr>
              <w:t>3.4支持对整节课堂实现学生动作的统计分析，通过图表展示整节课堂每种学生动作的峰值时刻、峰值占比和峰值人数，点击该峰值时刻即跳转到当前时刻查看详细数据。</w:t>
            </w:r>
          </w:p>
          <w:p>
            <w:pPr>
              <w:pStyle w:val="null3"/>
              <w:ind w:firstLine="420"/>
              <w:jc w:val="both"/>
            </w:pPr>
            <w:r>
              <w:rPr>
                <w:sz w:val="21"/>
              </w:rPr>
              <w:t>3.5支持学生课堂表情分析，包括高兴、惊讶、生气、难过、疑惑、害怕等表情。并支持对各类表情进行实时检测，以课堂时间为轴线通过图表形象展示课堂中每个时刻各类表情的学生人数。</w:t>
            </w:r>
          </w:p>
          <w:p>
            <w:pPr>
              <w:pStyle w:val="null3"/>
              <w:ind w:firstLine="420"/>
              <w:jc w:val="both"/>
            </w:pPr>
            <w:r>
              <w:rPr>
                <w:sz w:val="21"/>
              </w:rPr>
              <w:t>3.6支持对整节课堂实现学生表情的统计分析，通过图表展示整节课堂每种学生表情的峰值时刻、峰值占比和峰值人数，点击该峰值时刻即跳转到当前时刻查看详细数据。</w:t>
            </w:r>
          </w:p>
          <w:p>
            <w:pPr>
              <w:pStyle w:val="null3"/>
              <w:ind w:firstLine="420"/>
              <w:jc w:val="both"/>
            </w:pPr>
            <w:r>
              <w:rPr>
                <w:sz w:val="21"/>
              </w:rPr>
              <w:t>3.7支持学生学习行为占比分析，将学生学习行为分为实践、讨论、演示、视听、阅读、听讲等行为，结合图表的形式判断本节课学生对学习内容的平均留存率；</w:t>
            </w:r>
          </w:p>
          <w:p>
            <w:pPr>
              <w:pStyle w:val="null3"/>
              <w:ind w:firstLine="420"/>
              <w:jc w:val="both"/>
            </w:pPr>
            <w:r>
              <w:rPr>
                <w:sz w:val="21"/>
              </w:rPr>
              <w:t>3.8支持学生课堂表现分析，分析呈现学生专注度均值、以及学生注意力集中阶段、注意力涣散阶段、学生课堂活跃度时间段。</w:t>
            </w:r>
          </w:p>
          <w:p>
            <w:pPr>
              <w:pStyle w:val="null3"/>
              <w:ind w:firstLine="420"/>
              <w:jc w:val="both"/>
            </w:pPr>
            <w:r>
              <w:rPr>
                <w:sz w:val="21"/>
              </w:rPr>
              <w:t>4.</w:t>
            </w:r>
            <w:r>
              <w:rPr>
                <w:sz w:val="21"/>
              </w:rPr>
              <w:t>课堂语音分析要求</w:t>
            </w:r>
          </w:p>
          <w:p>
            <w:pPr>
              <w:pStyle w:val="null3"/>
              <w:ind w:firstLine="420"/>
              <w:jc w:val="both"/>
            </w:pPr>
            <w:r>
              <w:rPr>
                <w:sz w:val="21"/>
              </w:rPr>
              <w:t>4.1教师提问情况分析：支持基于课堂语音识别能力进行教师课堂提问行为分析，从提问次数与高频时间段两个核心维度进行数据统计，实现课堂提问情况的清晰回顾。</w:t>
            </w:r>
          </w:p>
          <w:p>
            <w:pPr>
              <w:pStyle w:val="null3"/>
              <w:ind w:firstLine="420"/>
              <w:jc w:val="both"/>
            </w:pPr>
            <w:r>
              <w:rPr>
                <w:sz w:val="21"/>
              </w:rPr>
              <w:t>4.2教师语速分析：支持通过语音识别能力进行教师课堂授课语速分析，呈现数据需包括教师课堂说话词数以及平均语速。</w:t>
            </w:r>
          </w:p>
          <w:p>
            <w:pPr>
              <w:pStyle w:val="null3"/>
              <w:ind w:firstLine="420"/>
              <w:jc w:val="both"/>
            </w:pPr>
            <w:r>
              <w:rPr>
                <w:sz w:val="21"/>
              </w:rPr>
              <w:t>▲4.3课堂语音转写：要求基于语音语义识别完成课堂音频的文字转换，实现课堂教学过程语音全纪录，要求平台上可输出整节课的文字字幕。实现字幕与视频进度关联，通过点击字幕同步播放对应进度的视频</w:t>
            </w:r>
            <w:r>
              <w:rPr>
                <w:sz w:val="21"/>
              </w:rPr>
              <w:t>。</w:t>
            </w:r>
          </w:p>
          <w:p>
            <w:pPr>
              <w:pStyle w:val="null3"/>
              <w:ind w:firstLine="420"/>
              <w:jc w:val="both"/>
            </w:pPr>
            <w:r>
              <w:rPr>
                <w:sz w:val="21"/>
              </w:rPr>
              <w:t>4.4课堂问答情况分析：要求支持对课堂过程中师生的问答内容作出AI认知度的分析识别，并显示高低认知度的占比情况。判断教学过程当中的基础认识问题次数与占比，高级认知问题的次数与占比；</w:t>
            </w:r>
          </w:p>
          <w:p>
            <w:pPr>
              <w:pStyle w:val="null3"/>
              <w:ind w:firstLine="420"/>
              <w:jc w:val="both"/>
            </w:pPr>
            <w:r>
              <w:rPr>
                <w:sz w:val="21"/>
              </w:rPr>
              <w:t>4.5课堂问题类型分析：要求将课堂过程中教师教学设计内容的认知水平问题按照四何问题模型进行分类，呈现提问次数与提问占比，支持将每个提问进行转写并判断问题类型及是否应答。</w:t>
            </w:r>
          </w:p>
          <w:p>
            <w:pPr>
              <w:pStyle w:val="null3"/>
              <w:ind w:firstLine="420"/>
              <w:jc w:val="both"/>
            </w:pPr>
            <w:r>
              <w:rPr>
                <w:sz w:val="21"/>
              </w:rPr>
              <w:t>4.6课堂高频词分析：支持通过进行课堂语音识别，抓取授课过程中出现的高频词汇，并统计出现频次，判断课堂教学重点。</w:t>
            </w:r>
            <w:r>
              <w:br/>
            </w:r>
          </w:p>
          <w:p>
            <w:pPr>
              <w:pStyle w:val="null3"/>
              <w:ind w:firstLine="420"/>
              <w:jc w:val="both"/>
            </w:pPr>
            <w:r>
              <w:rPr>
                <w:sz w:val="21"/>
              </w:rPr>
              <w:t>（二）</w:t>
            </w:r>
            <w:r>
              <w:rPr>
                <w:sz w:val="21"/>
              </w:rPr>
              <w:t>课堂</w:t>
            </w:r>
            <w:r>
              <w:rPr>
                <w:sz w:val="21"/>
              </w:rPr>
              <w:t>AI分析中间库 1 套</w:t>
            </w:r>
          </w:p>
          <w:p>
            <w:pPr>
              <w:pStyle w:val="null3"/>
              <w:ind w:firstLine="420"/>
              <w:jc w:val="both"/>
            </w:pPr>
            <w:r>
              <w:rPr>
                <w:sz w:val="21"/>
              </w:rPr>
              <w:t>1.支持多维分析结果呈现：包含多维度课堂分析数据，包括“课堂类型”、“学生专注度数”、“理答分析”、“教师轨迹”、“课堂高频词”等维度数据。</w:t>
            </w:r>
          </w:p>
          <w:p>
            <w:pPr>
              <w:pStyle w:val="null3"/>
              <w:ind w:firstLine="420"/>
              <w:jc w:val="both"/>
            </w:pPr>
            <w:r>
              <w:rPr>
                <w:sz w:val="21"/>
              </w:rPr>
              <w:t>2.课堂关键词分析：支持通过进行课堂语音识别，抓取统计提前设置好的课堂知识点关键词，统计各关键词出现的次数频率，在课堂时间轴上标注出现的时间点。</w:t>
            </w:r>
          </w:p>
          <w:p>
            <w:pPr>
              <w:pStyle w:val="null3"/>
              <w:ind w:firstLine="420"/>
              <w:jc w:val="both"/>
            </w:pPr>
            <w:r>
              <w:rPr>
                <w:sz w:val="21"/>
              </w:rPr>
              <w:t>3.支持课堂质量报告下载：软件通过分析结果对每个课堂视频自动形成“课堂质量报告”，包含对课堂教情数据（包括教师提问、语速、关键词、轨迹、S-T分析、互动指数、RT-CH等）、课堂学情数据（包括课堂专注曲线、学生动作表情）等数据的多维度分析结果。</w:t>
            </w:r>
            <w:r>
              <w:br/>
            </w:r>
            <w:r>
              <w:rPr/>
              <w:t xml:space="preserve">     </w:t>
            </w:r>
          </w:p>
          <w:p>
            <w:pPr>
              <w:pStyle w:val="null3"/>
              <w:ind w:firstLine="420"/>
              <w:jc w:val="both"/>
            </w:pPr>
            <w:r>
              <w:rPr>
                <w:sz w:val="21"/>
              </w:rPr>
              <w:t>（三）定制化对接服务</w:t>
            </w:r>
            <w:r>
              <w:rPr>
                <w:sz w:val="21"/>
              </w:rPr>
              <w:t>1 项</w:t>
            </w:r>
          </w:p>
          <w:p>
            <w:pPr>
              <w:pStyle w:val="null3"/>
              <w:ind w:firstLine="422"/>
              <w:jc w:val="both"/>
            </w:pPr>
            <w:r>
              <w:rPr>
                <w:sz w:val="21"/>
                <w:b/>
              </w:rPr>
              <w:t>★1.学校现有录播系统与课堂AI分析中间库对接：实现现有录播系统与课堂AI分析中间库的自动化对接，支持视频数据实时回传及AI分析结果生成。</w:t>
            </w:r>
            <w:r>
              <w:rPr>
                <w:sz w:val="21"/>
                <w:b/>
              </w:rPr>
              <w:t>（</w:t>
            </w:r>
            <w:r>
              <w:rPr>
                <w:sz w:val="21"/>
                <w:b/>
              </w:rPr>
              <w:t>投标人需提供无缝对接（接入）承诺函</w:t>
            </w:r>
            <w:r>
              <w:rPr>
                <w:sz w:val="21"/>
                <w:b/>
              </w:rPr>
              <w:t>（</w:t>
            </w:r>
            <w:r>
              <w:rPr>
                <w:sz w:val="21"/>
                <w:b/>
              </w:rPr>
              <w:t>格式自拟））</w:t>
            </w:r>
          </w:p>
          <w:p>
            <w:pPr>
              <w:pStyle w:val="null3"/>
              <w:ind w:firstLine="422"/>
              <w:jc w:val="both"/>
            </w:pPr>
            <w:r>
              <w:rPr>
                <w:sz w:val="21"/>
                <w:b/>
              </w:rPr>
              <w:t>★2.数据标注与治理平台与课堂AI分析中间库定制化对接：针对数据标注与治理平台系统对接需求，定制中间库对接方案，开放分析数据接口与AI能力，支持灵活的数据调用与集成。</w:t>
            </w:r>
            <w:r>
              <w:rPr>
                <w:sz w:val="21"/>
                <w:b/>
              </w:rPr>
              <w:t>（</w:t>
            </w:r>
            <w:r>
              <w:rPr>
                <w:sz w:val="21"/>
                <w:b/>
              </w:rPr>
              <w:t>投标人需提供无缝对接（接入）承诺函</w:t>
            </w:r>
            <w:r>
              <w:rPr>
                <w:sz w:val="21"/>
                <w:b/>
              </w:rPr>
              <w:t>（</w:t>
            </w:r>
            <w:r>
              <w:rPr>
                <w:sz w:val="21"/>
                <w:b/>
              </w:rPr>
              <w:t>格式自拟））</w:t>
            </w:r>
          </w:p>
          <w:p>
            <w:pPr>
              <w:pStyle w:val="null3"/>
              <w:ind w:firstLine="422"/>
              <w:jc w:val="both"/>
            </w:pPr>
            <w:r>
              <w:rPr>
                <w:sz w:val="21"/>
                <w:b/>
              </w:rPr>
              <w:t>★3.数据分析API接口集成：基于需求整合多源分析数据API接口，完成与教学智能体开发平台的对接，实现分析数据的跨平台复用与二次开发。</w:t>
            </w:r>
            <w:r>
              <w:rPr>
                <w:sz w:val="21"/>
                <w:b/>
              </w:rPr>
              <w:t>（</w:t>
            </w:r>
            <w:r>
              <w:rPr>
                <w:sz w:val="21"/>
                <w:b/>
              </w:rPr>
              <w:t>投标人需提供无缝对接（接入）承诺函</w:t>
            </w:r>
            <w:r>
              <w:rPr>
                <w:sz w:val="21"/>
                <w:b/>
              </w:rPr>
              <w:t>（</w:t>
            </w:r>
            <w:r>
              <w:rPr>
                <w:sz w:val="21"/>
                <w:b/>
              </w:rPr>
              <w:t>格式自拟）</w:t>
            </w:r>
            <w:r>
              <w:rPr>
                <w:sz w:val="21"/>
                <w:b/>
              </w:rPr>
              <w:t>）</w:t>
            </w:r>
            <w:r>
              <w:br/>
            </w:r>
          </w:p>
          <w:p>
            <w:pPr>
              <w:pStyle w:val="null3"/>
              <w:ind w:firstLine="420"/>
              <w:jc w:val="both"/>
            </w:pPr>
            <w:r>
              <w:rPr/>
              <w:t xml:space="preserve"> </w:t>
            </w:r>
          </w:p>
          <w:p>
            <w:pPr>
              <w:pStyle w:val="null3"/>
              <w:ind w:firstLine="420"/>
              <w:jc w:val="both"/>
            </w:pPr>
            <w:r>
              <w:rPr>
                <w:sz w:val="21"/>
              </w:rPr>
              <w:t>（四）课堂</w:t>
            </w:r>
            <w:r>
              <w:rPr>
                <w:sz w:val="21"/>
              </w:rPr>
              <w:t>AI分析</w:t>
            </w:r>
            <w:r>
              <w:rPr>
                <w:sz w:val="21"/>
              </w:rPr>
              <w:t>终端</w:t>
            </w:r>
            <w:r>
              <w:rPr>
                <w:sz w:val="21"/>
              </w:rPr>
              <w:t xml:space="preserve"> </w:t>
            </w:r>
            <w:r>
              <w:rPr>
                <w:sz w:val="21"/>
              </w:rPr>
              <w:t>1 台</w:t>
            </w:r>
          </w:p>
          <w:p>
            <w:pPr>
              <w:pStyle w:val="null3"/>
              <w:ind w:firstLine="420"/>
              <w:jc w:val="both"/>
            </w:pPr>
            <w:r>
              <w:rPr>
                <w:sz w:val="21"/>
              </w:rPr>
              <w:t>课堂</w:t>
            </w:r>
            <w:r>
              <w:rPr>
                <w:sz w:val="21"/>
              </w:rPr>
              <w:t>AI分析终端部署课堂AI分析管理软件，提供算力支持。</w:t>
            </w:r>
          </w:p>
          <w:p>
            <w:pPr>
              <w:pStyle w:val="null3"/>
              <w:ind w:firstLine="420"/>
              <w:jc w:val="both"/>
            </w:pPr>
            <w:r>
              <w:rPr>
                <w:sz w:val="21"/>
              </w:rPr>
              <w:t>1.</w:t>
            </w:r>
            <w:r>
              <w:rPr>
                <w:sz w:val="21"/>
              </w:rPr>
              <w:t>硬件外观：标准</w:t>
            </w:r>
            <w:r>
              <w:rPr>
                <w:sz w:val="21"/>
              </w:rPr>
              <w:t>1U机架式设备，便于安装部署；</w:t>
            </w:r>
          </w:p>
          <w:p>
            <w:pPr>
              <w:pStyle w:val="null3"/>
              <w:ind w:firstLine="420"/>
              <w:jc w:val="both"/>
            </w:pPr>
            <w:r>
              <w:rPr>
                <w:sz w:val="21"/>
              </w:rPr>
              <w:t>2.硬件结构：采用嵌入式架构设计，采用SOC解决方案。采用内置NPU处理器</w:t>
            </w:r>
            <w:r>
              <w:rPr>
                <w:sz w:val="21"/>
              </w:rPr>
              <w:t>：</w:t>
            </w:r>
            <w:r>
              <w:rPr>
                <w:sz w:val="21"/>
              </w:rPr>
              <w:t>核心数</w:t>
            </w:r>
            <w:r>
              <w:rPr>
                <w:sz w:val="21"/>
              </w:rPr>
              <w:t>≥8，核心频率≥2.4GHz，整机功耗≤50W，具备智能学习特性。</w:t>
            </w:r>
          </w:p>
          <w:p>
            <w:pPr>
              <w:pStyle w:val="null3"/>
              <w:ind w:firstLine="420"/>
              <w:jc w:val="both"/>
            </w:pPr>
            <w:r>
              <w:rPr>
                <w:sz w:val="21"/>
              </w:rPr>
              <w:t>3.操作系统：</w:t>
            </w:r>
            <w:r>
              <w:rPr>
                <w:sz w:val="21"/>
              </w:rPr>
              <w:t>正版操作系统</w:t>
            </w:r>
            <w:r>
              <w:rPr>
                <w:sz w:val="21"/>
              </w:rPr>
              <w:t>；</w:t>
            </w:r>
          </w:p>
          <w:p>
            <w:pPr>
              <w:pStyle w:val="null3"/>
              <w:ind w:firstLine="420"/>
              <w:jc w:val="both"/>
            </w:pPr>
            <w:r>
              <w:rPr>
                <w:sz w:val="21"/>
              </w:rPr>
              <w:t>4.内置存储：</w:t>
            </w:r>
            <w:r>
              <w:rPr>
                <w:sz w:val="21"/>
              </w:rPr>
              <w:t>≥</w:t>
            </w:r>
            <w:r>
              <w:rPr>
                <w:sz w:val="21"/>
              </w:rPr>
              <w:t>2TB机械硬盘，</w:t>
            </w:r>
            <w:r>
              <w:rPr>
                <w:sz w:val="21"/>
              </w:rPr>
              <w:t>≥</w:t>
            </w:r>
            <w:r>
              <w:rPr>
                <w:sz w:val="21"/>
              </w:rPr>
              <w:t>7200rpm转速；</w:t>
            </w:r>
          </w:p>
          <w:p>
            <w:pPr>
              <w:pStyle w:val="null3"/>
              <w:ind w:firstLine="420"/>
              <w:jc w:val="both"/>
            </w:pPr>
            <w:r>
              <w:rPr>
                <w:sz w:val="21"/>
              </w:rPr>
              <w:t>5.网络：标准RJ45网络接口，10M/100M/1000M自适应LAN口x 1，要求支持IPv4、IPv6双协议栈</w:t>
            </w:r>
            <w:r>
              <w:rPr>
                <w:sz w:val="21"/>
              </w:rPr>
              <w:t>。</w:t>
            </w:r>
          </w:p>
          <w:p>
            <w:pPr>
              <w:pStyle w:val="null3"/>
              <w:ind w:firstLine="420"/>
              <w:jc w:val="both"/>
            </w:pPr>
            <w:r>
              <w:rPr>
                <w:sz w:val="21"/>
              </w:rPr>
              <w:t>6.协议标准：支持RTP/RTSP/RTMP/HTTP/TCP/UDP;</w:t>
            </w:r>
          </w:p>
          <w:p>
            <w:pPr>
              <w:pStyle w:val="null3"/>
              <w:ind w:firstLine="420"/>
              <w:jc w:val="both"/>
            </w:pPr>
            <w:r>
              <w:rPr>
                <w:sz w:val="21"/>
              </w:rPr>
              <w:t>7.编码标准：视频支持H.264 HP编解码协议，音频支持AAC编码协议；支持1080P@30fps、720P@30fps格式视频接入进行分析；</w:t>
            </w:r>
          </w:p>
          <w:p>
            <w:pPr>
              <w:pStyle w:val="null3"/>
              <w:ind w:firstLine="420"/>
              <w:jc w:val="both"/>
            </w:pPr>
            <w:r>
              <w:rPr>
                <w:sz w:val="21"/>
              </w:rPr>
              <w:t>8.处理能力：支持多路视频并发分析，分析效率</w:t>
            </w:r>
            <w:r>
              <w:rPr>
                <w:sz w:val="21"/>
              </w:rPr>
              <w:t>≥</w:t>
            </w:r>
            <w:r>
              <w:rPr>
                <w:sz w:val="21"/>
              </w:rPr>
              <w:t>60个标准课节/天；</w:t>
            </w:r>
          </w:p>
          <w:p>
            <w:pPr>
              <w:pStyle w:val="null3"/>
              <w:ind w:firstLine="420"/>
              <w:jc w:val="both"/>
            </w:pPr>
            <w:r>
              <w:rPr>
                <w:sz w:val="21"/>
              </w:rPr>
              <w:t>9.整机使用平均无故障运行时间 MTBF≥20000小时。</w:t>
            </w:r>
            <w:r>
              <w:br/>
            </w:r>
          </w:p>
          <w:p>
            <w:pPr>
              <w:pStyle w:val="null3"/>
              <w:ind w:firstLine="420"/>
              <w:jc w:val="both"/>
            </w:pPr>
            <w:r>
              <w:rPr/>
              <w:t xml:space="preserve"> </w:t>
            </w:r>
          </w:p>
          <w:p>
            <w:pPr>
              <w:pStyle w:val="null3"/>
              <w:ind w:firstLine="420"/>
              <w:jc w:val="both"/>
            </w:pPr>
            <w:r>
              <w:rPr>
                <w:sz w:val="21"/>
              </w:rPr>
              <w:t>（五）中间库处理终端</w:t>
            </w:r>
            <w:r>
              <w:rPr>
                <w:sz w:val="21"/>
              </w:rPr>
              <w:t xml:space="preserve">  </w:t>
            </w:r>
            <w:r>
              <w:rPr>
                <w:sz w:val="21"/>
              </w:rPr>
              <w:t>1 台</w:t>
            </w:r>
          </w:p>
          <w:p>
            <w:pPr>
              <w:pStyle w:val="null3"/>
              <w:ind w:firstLine="420"/>
              <w:jc w:val="both"/>
            </w:pPr>
            <w:r>
              <w:rPr>
                <w:sz w:val="21"/>
              </w:rPr>
              <w:t>服务器部署课堂</w:t>
            </w:r>
            <w:r>
              <w:rPr>
                <w:sz w:val="21"/>
              </w:rPr>
              <w:t>AI分析中间库，提供视频存储服务。</w:t>
            </w:r>
          </w:p>
          <w:p>
            <w:pPr>
              <w:pStyle w:val="null3"/>
              <w:ind w:firstLine="420"/>
              <w:jc w:val="both"/>
            </w:pPr>
            <w:r>
              <w:rPr>
                <w:sz w:val="21"/>
              </w:rPr>
              <w:t>1.</w:t>
            </w:r>
            <w:r>
              <w:rPr>
                <w:sz w:val="21"/>
              </w:rPr>
              <w:t>CPU：单个16核32线程水平及以上配置</w:t>
            </w:r>
            <w:r>
              <w:rPr>
                <w:sz w:val="21"/>
              </w:rPr>
              <w:t>；</w:t>
            </w:r>
          </w:p>
          <w:p>
            <w:pPr>
              <w:pStyle w:val="null3"/>
              <w:ind w:firstLine="420"/>
              <w:jc w:val="both"/>
            </w:pPr>
            <w:r>
              <w:rPr>
                <w:sz w:val="21"/>
              </w:rPr>
              <w:t>2.内存：≥64GB DDR4</w:t>
            </w:r>
            <w:r>
              <w:rPr>
                <w:sz w:val="21"/>
              </w:rPr>
              <w:t>；</w:t>
            </w:r>
          </w:p>
          <w:p>
            <w:pPr>
              <w:pStyle w:val="null3"/>
              <w:ind w:firstLine="420"/>
              <w:jc w:val="both"/>
            </w:pPr>
            <w:r>
              <w:rPr>
                <w:sz w:val="21"/>
              </w:rPr>
              <w:t>3.系统硬盘：双≥1T高速盘做raid1</w:t>
            </w:r>
            <w:r>
              <w:rPr>
                <w:sz w:val="21"/>
              </w:rPr>
              <w:t>；</w:t>
            </w:r>
          </w:p>
          <w:p>
            <w:pPr>
              <w:pStyle w:val="null3"/>
              <w:ind w:firstLine="420"/>
              <w:jc w:val="both"/>
            </w:pPr>
            <w:r>
              <w:rPr>
                <w:sz w:val="21"/>
              </w:rPr>
              <w:t>4.临时数据盘：双≥1T高速盘做raid0</w:t>
            </w:r>
            <w:r>
              <w:rPr>
                <w:sz w:val="21"/>
              </w:rPr>
              <w:t>；</w:t>
            </w:r>
          </w:p>
          <w:p>
            <w:pPr>
              <w:pStyle w:val="null3"/>
              <w:ind w:firstLine="420"/>
              <w:jc w:val="both"/>
            </w:pPr>
            <w:r>
              <w:rPr>
                <w:sz w:val="21"/>
              </w:rPr>
              <w:t>5.数据盘：≥10T</w:t>
            </w:r>
            <w:r>
              <w:rPr>
                <w:sz w:val="21"/>
              </w:rPr>
              <w:t>；</w:t>
            </w:r>
          </w:p>
          <w:p>
            <w:pPr>
              <w:pStyle w:val="null3"/>
              <w:ind w:firstLine="420"/>
              <w:jc w:val="both"/>
            </w:pPr>
            <w:r>
              <w:rPr>
                <w:sz w:val="21"/>
              </w:rPr>
              <w:t>6.网络：万兆网卡</w:t>
            </w:r>
            <w:r>
              <w:rPr>
                <w:sz w:val="21"/>
              </w:rPr>
              <w:t>；</w:t>
            </w:r>
          </w:p>
          <w:p>
            <w:pPr>
              <w:pStyle w:val="null3"/>
              <w:ind w:firstLine="420"/>
              <w:jc w:val="both"/>
            </w:pPr>
            <w:r>
              <w:rPr>
                <w:sz w:val="21"/>
              </w:rPr>
              <w:t>7.电源冗余：双电源冗余</w:t>
            </w:r>
            <w:r>
              <w:rPr>
                <w:sz w:val="21"/>
              </w:rPr>
              <w:t>；</w:t>
            </w:r>
          </w:p>
          <w:p>
            <w:pPr>
              <w:pStyle w:val="null3"/>
              <w:ind w:firstLine="420"/>
              <w:jc w:val="both"/>
            </w:pPr>
            <w:r>
              <w:rPr>
                <w:sz w:val="21"/>
              </w:rPr>
              <w:t>8.磁盘 RAID 冗余；</w:t>
            </w:r>
          </w:p>
          <w:p>
            <w:pPr>
              <w:pStyle w:val="null3"/>
              <w:ind w:firstLine="420"/>
              <w:jc w:val="both"/>
            </w:pPr>
            <w:r>
              <w:rPr/>
              <w:t xml:space="preserve"> </w:t>
            </w:r>
          </w:p>
          <w:p>
            <w:pPr>
              <w:pStyle w:val="null3"/>
              <w:ind w:firstLine="420"/>
              <w:jc w:val="both"/>
            </w:pPr>
            <w:r>
              <w:rPr>
                <w:sz w:val="21"/>
              </w:rPr>
              <w:t>（六）</w:t>
            </w:r>
            <w:r>
              <w:rPr>
                <w:sz w:val="21"/>
              </w:rPr>
              <w:t>数据标注与治理平台</w:t>
            </w:r>
            <w:r>
              <w:rPr>
                <w:sz w:val="21"/>
              </w:rPr>
              <w:t>1套</w:t>
            </w:r>
          </w:p>
          <w:p>
            <w:pPr>
              <w:pStyle w:val="null3"/>
              <w:ind w:firstLine="420"/>
              <w:jc w:val="both"/>
            </w:pPr>
            <w:r>
              <w:rPr>
                <w:sz w:val="21"/>
              </w:rPr>
              <w:t>平台应具备将分散、非结构化的原始教学资源转化为高质量、机器可读标准化数据集的能力。</w:t>
            </w:r>
            <w:r>
              <w:rPr>
                <w:sz w:val="21"/>
              </w:rPr>
              <w:t>中标人应</w:t>
            </w:r>
            <w:r>
              <w:rPr>
                <w:sz w:val="21"/>
              </w:rPr>
              <w:t>提供私有化应用服务器环境（服务器使用期为</w:t>
            </w:r>
            <w:r>
              <w:rPr>
                <w:sz w:val="21"/>
              </w:rPr>
              <w:t>≥</w:t>
            </w:r>
            <w:r>
              <w:rPr>
                <w:sz w:val="21"/>
              </w:rPr>
              <w:t>3年，费用包含在投标报价中）</w:t>
            </w:r>
            <w:r>
              <w:rPr>
                <w:sz w:val="21"/>
              </w:rPr>
              <w:t>。</w:t>
            </w:r>
            <w:r>
              <w:rPr>
                <w:sz w:val="21"/>
              </w:rPr>
              <w:t>数据标注平台需具备以下功能要求：</w:t>
            </w:r>
          </w:p>
          <w:p>
            <w:pPr>
              <w:pStyle w:val="null3"/>
              <w:ind w:firstLine="420"/>
              <w:jc w:val="both"/>
            </w:pPr>
            <w:r>
              <w:rPr>
                <w:sz w:val="21"/>
              </w:rPr>
              <w:t>1.</w:t>
            </w:r>
            <w:r>
              <w:rPr>
                <w:sz w:val="21"/>
              </w:rPr>
              <w:t>系统支持通过上传文件或者输入文件存储的网址完成标注数据的导入；</w:t>
            </w:r>
          </w:p>
          <w:p>
            <w:pPr>
              <w:pStyle w:val="null3"/>
              <w:ind w:firstLine="420"/>
              <w:jc w:val="both"/>
            </w:pPr>
            <w:r>
              <w:rPr>
                <w:sz w:val="21"/>
              </w:rPr>
              <w:t>▲2.支持上传不同类型的标注数据，包括但不限于文本数据、音频数据、视频数据、图片数据、时间序列数据和通用格式数据等类型；每种类型数据支持多种文件格式，文本数据支持txt格式；音频数据支持wav, mp3, flac, m4a, ogg等</w:t>
            </w:r>
            <w:r>
              <w:rPr>
                <w:sz w:val="21"/>
              </w:rPr>
              <w:t>不少于</w:t>
            </w:r>
            <w:r>
              <w:rPr>
                <w:sz w:val="21"/>
              </w:rPr>
              <w:t>5种格式；视频数据支持mpeg4/H.264 webp, webm等不少于4种格式；图片数据支持jpg, jpeg, png, gif, bmp等</w:t>
            </w:r>
            <w:r>
              <w:rPr>
                <w:sz w:val="21"/>
              </w:rPr>
              <w:t>不少于</w:t>
            </w:r>
            <w:r>
              <w:rPr>
                <w:sz w:val="21"/>
              </w:rPr>
              <w:t>7种格式；时间序列数据支持csv, tsv格式；通用数据支持csv, tsv, txt, json等</w:t>
            </w:r>
            <w:r>
              <w:rPr>
                <w:sz w:val="21"/>
              </w:rPr>
              <w:t>不少于</w:t>
            </w:r>
            <w:r>
              <w:rPr>
                <w:sz w:val="21"/>
              </w:rPr>
              <w:t>4</w:t>
            </w:r>
            <w:r>
              <w:rPr>
                <w:sz w:val="21"/>
              </w:rPr>
              <w:t>种格式；</w:t>
            </w:r>
          </w:p>
          <w:p>
            <w:pPr>
              <w:pStyle w:val="null3"/>
              <w:ind w:firstLine="420"/>
              <w:jc w:val="both"/>
            </w:pPr>
            <w:r>
              <w:rPr>
                <w:sz w:val="21"/>
              </w:rPr>
              <w:t>3.</w:t>
            </w:r>
            <w:r>
              <w:rPr>
                <w:sz w:val="21"/>
              </w:rPr>
              <w:t>数据标注模版支持机器视觉、生成式</w:t>
            </w:r>
            <w:r>
              <w:rPr>
                <w:sz w:val="21"/>
              </w:rPr>
              <w:t>AI、视频数据、结构化数据解析、排序与评分、时间序列分析、对话式AI、音频/语音处理、自然语音等不少于5</w:t>
            </w:r>
            <w:r>
              <w:rPr>
                <w:sz w:val="21"/>
              </w:rPr>
              <w:t>0</w:t>
            </w:r>
            <w:r>
              <w:rPr>
                <w:sz w:val="21"/>
              </w:rPr>
              <w:t>种数据标注模版；</w:t>
            </w:r>
          </w:p>
          <w:p>
            <w:pPr>
              <w:pStyle w:val="null3"/>
              <w:ind w:firstLine="420"/>
              <w:jc w:val="both"/>
            </w:pPr>
            <w:r>
              <w:rPr>
                <w:sz w:val="21"/>
              </w:rPr>
              <w:t>4.机器视觉模版支持语义分割与多边形、语义分割与掩码、目标检测与边界框、关键点标注、图片分类、多页文档标注、视觉问答、光学字符识别等不少于1</w:t>
            </w:r>
            <w:r>
              <w:rPr>
                <w:sz w:val="21"/>
              </w:rPr>
              <w:t>0</w:t>
            </w:r>
            <w:r>
              <w:rPr>
                <w:sz w:val="21"/>
              </w:rPr>
              <w:t>种标注模版；</w:t>
            </w:r>
          </w:p>
          <w:p>
            <w:pPr>
              <w:pStyle w:val="null3"/>
              <w:ind w:firstLine="420"/>
              <w:jc w:val="both"/>
            </w:pPr>
            <w:r>
              <w:rPr>
                <w:sz w:val="21"/>
              </w:rPr>
              <w:t>5.自然语言模块支持问答、文本分类、命名实体识别、关系抽取等不少于</w:t>
            </w:r>
            <w:r>
              <w:rPr>
                <w:sz w:val="21"/>
              </w:rPr>
              <w:t>5</w:t>
            </w:r>
            <w:r>
              <w:rPr>
                <w:sz w:val="21"/>
              </w:rPr>
              <w:t>种标注模版；</w:t>
            </w:r>
          </w:p>
          <w:p>
            <w:pPr>
              <w:pStyle w:val="null3"/>
              <w:ind w:firstLine="420"/>
              <w:jc w:val="both"/>
            </w:pPr>
            <w:r>
              <w:rPr>
                <w:sz w:val="21"/>
              </w:rPr>
              <w:t>▲6.音频/语音处理模块支持说话人分割、自动语音识别、语音转录、声音时间检测、对话分析、意图分类等不少于8种标注模版；</w:t>
            </w:r>
          </w:p>
          <w:p>
            <w:pPr>
              <w:pStyle w:val="null3"/>
              <w:ind w:firstLine="420"/>
              <w:jc w:val="both"/>
            </w:pPr>
            <w:r>
              <w:rPr>
                <w:sz w:val="21"/>
              </w:rPr>
              <w:t>7.</w:t>
            </w:r>
            <w:r>
              <w:rPr>
                <w:sz w:val="21"/>
              </w:rPr>
              <w:t>对话式</w:t>
            </w:r>
            <w:r>
              <w:rPr>
                <w:sz w:val="21"/>
              </w:rPr>
              <w:t>AI模块支持意图分类与槽位填充、回复选择、回复生成和实体链接等不少于</w:t>
            </w:r>
            <w:r>
              <w:rPr>
                <w:sz w:val="21"/>
              </w:rPr>
              <w:t>5</w:t>
            </w:r>
            <w:r>
              <w:rPr>
                <w:sz w:val="21"/>
              </w:rPr>
              <w:t>种标注模版；</w:t>
            </w:r>
          </w:p>
          <w:p>
            <w:pPr>
              <w:pStyle w:val="null3"/>
              <w:ind w:firstLine="420"/>
              <w:jc w:val="both"/>
            </w:pPr>
            <w:r>
              <w:rPr>
                <w:sz w:val="21"/>
              </w:rPr>
              <w:t>8.排序与评分模块支持基于内容的图像搜索、文档检索、文本生成图像、成对回归、ASR假设选择等不少于</w:t>
            </w:r>
            <w:r>
              <w:rPr>
                <w:sz w:val="21"/>
              </w:rPr>
              <w:t>6</w:t>
            </w:r>
            <w:r>
              <w:rPr>
                <w:sz w:val="21"/>
              </w:rPr>
              <w:t>种标注模版；</w:t>
            </w:r>
          </w:p>
          <w:p>
            <w:pPr>
              <w:pStyle w:val="null3"/>
              <w:ind w:firstLine="420"/>
              <w:jc w:val="both"/>
            </w:pPr>
            <w:r>
              <w:rPr>
                <w:sz w:val="21"/>
              </w:rPr>
              <w:t>9.结构化数据解析模块支持PDF分类、HTML实体识别、自由形式元数据、表格数据等不少于4种标注模版；</w:t>
            </w:r>
          </w:p>
          <w:p>
            <w:pPr>
              <w:pStyle w:val="null3"/>
              <w:ind w:firstLine="420"/>
              <w:jc w:val="both"/>
            </w:pPr>
            <w:r>
              <w:rPr>
                <w:sz w:val="21"/>
              </w:rPr>
              <w:t>10.时间序列分析模块支持时间序列预测、变点检测、异常值与异常检测、活动识别、信号质量等不少于5种标注模版；</w:t>
            </w:r>
          </w:p>
          <w:p>
            <w:pPr>
              <w:pStyle w:val="null3"/>
              <w:ind w:firstLine="420"/>
              <w:jc w:val="both"/>
            </w:pPr>
            <w:r>
              <w:rPr>
                <w:sz w:val="21"/>
              </w:rPr>
              <w:t>11.视频模块支持视频时间线分割、视频目标跟踪和视频分类</w:t>
            </w:r>
            <w:r>
              <w:rPr>
                <w:sz w:val="21"/>
              </w:rPr>
              <w:t>等不少于</w:t>
            </w:r>
            <w:r>
              <w:rPr>
                <w:sz w:val="21"/>
              </w:rPr>
              <w:t>3</w:t>
            </w:r>
            <w:r>
              <w:rPr>
                <w:sz w:val="21"/>
              </w:rPr>
              <w:t>种标准模版；</w:t>
            </w:r>
          </w:p>
          <w:p>
            <w:pPr>
              <w:pStyle w:val="null3"/>
              <w:ind w:firstLine="420"/>
              <w:jc w:val="both"/>
            </w:pPr>
            <w:r>
              <w:rPr>
                <w:sz w:val="21"/>
              </w:rPr>
              <w:t>12.生成式AI模块支持监督语言模型微调、人类偏好收集、聊天机器人模型评估、大语言模型排序器、视觉排序器等</w:t>
            </w:r>
            <w:r>
              <w:rPr>
                <w:sz w:val="21"/>
              </w:rPr>
              <w:t>不少于</w:t>
            </w:r>
            <w:r>
              <w:rPr>
                <w:sz w:val="21"/>
              </w:rPr>
              <w:t>5种标准模版；</w:t>
            </w:r>
          </w:p>
          <w:p>
            <w:pPr>
              <w:pStyle w:val="null3"/>
              <w:ind w:firstLine="420"/>
              <w:jc w:val="both"/>
            </w:pPr>
            <w:r>
              <w:rPr>
                <w:sz w:val="21"/>
              </w:rPr>
              <w:t>13.系统支持自定义标准模版，需要输入前端HTML代码配置数据标注模版；</w:t>
            </w:r>
          </w:p>
          <w:p>
            <w:pPr>
              <w:pStyle w:val="null3"/>
              <w:ind w:firstLine="420"/>
              <w:jc w:val="both"/>
            </w:pPr>
            <w:r>
              <w:rPr>
                <w:sz w:val="21"/>
              </w:rPr>
              <w:t>14.数据项目管理支持通过卡片方式浏览目前正在进行的数据标注项目，每个卡片包含项目名称、标注数据量、完成标注数据量、创建时间和项目负责人等信息；</w:t>
            </w:r>
          </w:p>
          <w:p>
            <w:pPr>
              <w:pStyle w:val="null3"/>
              <w:ind w:firstLine="420"/>
              <w:jc w:val="both"/>
            </w:pPr>
            <w:r>
              <w:rPr>
                <w:sz w:val="21"/>
              </w:rPr>
              <w:t>15.需提供数据标注平台</w:t>
            </w:r>
            <w:r>
              <w:rPr>
                <w:sz w:val="21"/>
              </w:rPr>
              <w:t>至少</w:t>
            </w:r>
            <w:r>
              <w:rPr>
                <w:sz w:val="21"/>
              </w:rPr>
              <w:t>3</w:t>
            </w:r>
            <w:r>
              <w:rPr>
                <w:sz w:val="21"/>
              </w:rPr>
              <w:t>年</w:t>
            </w:r>
            <w:r>
              <w:rPr>
                <w:sz w:val="21"/>
              </w:rPr>
              <w:t>无条件</w:t>
            </w:r>
            <w:r>
              <w:rPr>
                <w:sz w:val="21"/>
              </w:rPr>
              <w:t>定期维护。</w:t>
            </w:r>
            <w:r>
              <w:rPr>
                <w:sz w:val="21"/>
              </w:rPr>
              <w:t>（</w:t>
            </w:r>
            <w:r>
              <w:rPr>
                <w:sz w:val="21"/>
              </w:rPr>
              <w:t>费用包含在投标报价中）</w:t>
            </w:r>
            <w:r>
              <w:br/>
            </w:r>
          </w:p>
          <w:p>
            <w:pPr>
              <w:pStyle w:val="null3"/>
              <w:ind w:firstLine="420"/>
              <w:jc w:val="both"/>
            </w:pPr>
            <w:r>
              <w:rPr/>
              <w:t xml:space="preserve"> </w:t>
            </w:r>
          </w:p>
          <w:p>
            <w:pPr>
              <w:pStyle w:val="null3"/>
              <w:ind w:firstLine="420"/>
              <w:jc w:val="both"/>
            </w:pPr>
            <w:r>
              <w:rPr>
                <w:sz w:val="21"/>
              </w:rPr>
              <w:t>（</w:t>
            </w:r>
            <w:r>
              <w:rPr>
                <w:sz w:val="21"/>
              </w:rPr>
              <w:t>七</w:t>
            </w:r>
            <w:r>
              <w:rPr>
                <w:sz w:val="21"/>
              </w:rPr>
              <w:t>）人工智能通识课程数据标注服务</w:t>
            </w:r>
            <w:r>
              <w:rPr>
                <w:sz w:val="21"/>
              </w:rPr>
              <w:t>1 项</w:t>
            </w:r>
          </w:p>
          <w:p>
            <w:pPr>
              <w:pStyle w:val="null3"/>
              <w:ind w:firstLine="420"/>
              <w:jc w:val="both"/>
            </w:pPr>
            <w:r>
              <w:rPr>
                <w:sz w:val="21"/>
              </w:rPr>
              <w:t>基于人工智能通识课程的数据资源（包括教案、课件、示例视频、实践手册和操作视频等），选用支持</w:t>
            </w:r>
            <w:r>
              <w:rPr>
                <w:sz w:val="21"/>
              </w:rPr>
              <w:t>“文本-图文-视频”多模态处理的数据标注与处理工具，对各类资源进行多模态结构化标注，通过关联不同类型数据，生成涵盖教学目标、学习环节、视频切片、操作活动流程、学习情况等核心要素的多模态结构化数据集，以满足大模型微调训练的需求。</w:t>
            </w:r>
          </w:p>
          <w:p>
            <w:pPr>
              <w:pStyle w:val="null3"/>
              <w:ind w:firstLine="420"/>
              <w:jc w:val="both"/>
            </w:pPr>
            <w:r>
              <w:rPr>
                <w:sz w:val="21"/>
              </w:rPr>
              <w:t>1.</w:t>
            </w:r>
            <w:r>
              <w:rPr>
                <w:sz w:val="21"/>
              </w:rPr>
              <w:t>服务内容包括但不限于：</w:t>
            </w:r>
          </w:p>
          <w:p>
            <w:pPr>
              <w:pStyle w:val="null3"/>
              <w:ind w:firstLine="420"/>
              <w:jc w:val="both"/>
            </w:pPr>
            <w:r>
              <w:rPr>
                <w:sz w:val="21"/>
              </w:rPr>
              <w:t xml:space="preserve">1.1 本服务所需处理的原始数据资源来自于广州市中小学人工智能教育平台（https://aiedu.gzdjg.edu.cn/home），服务内容包括但不限于对包括课件、教材/教案、习题/作业、视频等不同类型资源数据进行系统梳理和标准化处理。当前原始数据资源数量如下: </w:t>
            </w:r>
            <w:r>
              <w:br/>
            </w:r>
            <w:r>
              <w:rPr>
                <w:sz w:val="21"/>
              </w:rPr>
              <w:t>课件资源：官方</w:t>
            </w:r>
            <w:r>
              <w:rPr>
                <w:sz w:val="21"/>
              </w:rPr>
              <w:t>175个，教师上传1230个，课外63个，共计1468个；</w:t>
            </w:r>
            <w:r>
              <w:br/>
            </w:r>
            <w:r>
              <w:rPr>
                <w:sz w:val="21"/>
              </w:rPr>
              <w:t>教材</w:t>
            </w:r>
            <w:r>
              <w:rPr>
                <w:sz w:val="21"/>
              </w:rPr>
              <w:t>/教案资源：官方177个，课外200个，共计377个；</w:t>
            </w:r>
            <w:r>
              <w:br/>
            </w:r>
            <w:r>
              <w:rPr>
                <w:sz w:val="21"/>
              </w:rPr>
              <w:t>习题</w:t>
            </w:r>
            <w:r>
              <w:rPr>
                <w:sz w:val="21"/>
              </w:rPr>
              <w:t>/作业资源：官方93个，课外108个，共计201个；</w:t>
            </w:r>
            <w:r>
              <w:br/>
            </w:r>
            <w:r>
              <w:rPr>
                <w:sz w:val="21"/>
              </w:rPr>
              <w:t>视频资源（含课例、培训等）：官方</w:t>
            </w:r>
            <w:r>
              <w:rPr>
                <w:sz w:val="21"/>
              </w:rPr>
              <w:t>326个，教师上传651个，课外208个，教师成长空间1008个，共计2193个。</w:t>
            </w:r>
          </w:p>
          <w:p>
            <w:pPr>
              <w:pStyle w:val="null3"/>
              <w:ind w:firstLine="420"/>
              <w:jc w:val="both"/>
            </w:pPr>
            <w:r>
              <w:rPr>
                <w:sz w:val="21"/>
              </w:rPr>
              <w:t>1.2 数据预处理与规范化：提供对各类原始数据（包含教案、课件、示例视频、实践手册、操作视频）的清洗、格式标准化、脱敏处理、噪声去除等处理，完成核心要素（如教学目标、环节、片段、操作活动、关键知识点等）的结构化抽取。 交付时提供证明材料：测试数据处理报告及相关流程文档。</w:t>
            </w:r>
          </w:p>
          <w:p>
            <w:pPr>
              <w:pStyle w:val="null3"/>
              <w:ind w:firstLine="420"/>
              <w:jc w:val="both"/>
            </w:pPr>
            <w:r>
              <w:rPr>
                <w:sz w:val="21"/>
              </w:rPr>
              <w:t>1.3 视频切片与同步机制：支持对视频内容按设定规则（如教学环节、操作步骤等）自动分段，并与相关文本、图文资源实现同步与关联。</w:t>
            </w:r>
          </w:p>
          <w:p>
            <w:pPr>
              <w:pStyle w:val="null3"/>
              <w:ind w:firstLine="420"/>
              <w:jc w:val="both"/>
            </w:pPr>
            <w:r>
              <w:rPr>
                <w:sz w:val="21"/>
              </w:rPr>
              <w:t>1.4 多模态数据结构化建模：依据课程内容，生成包含“教学目标”、“学习环节”、“视频切片”、“操作活动流程”、“学习情况”等核心维度的结构化数据集，支持导出JSON、CSV等标准化格式。</w:t>
            </w:r>
            <w:r>
              <w:rPr>
                <w:sz w:val="21"/>
              </w:rPr>
              <w:t>交付时提供</w:t>
            </w:r>
            <w:r>
              <w:rPr>
                <w:sz w:val="21"/>
              </w:rPr>
              <w:t>证明材料：实际导出样例文件及功能界面截图。</w:t>
            </w:r>
          </w:p>
          <w:p>
            <w:pPr>
              <w:pStyle w:val="null3"/>
              <w:ind w:firstLine="420"/>
              <w:jc w:val="both"/>
            </w:pPr>
            <w:r>
              <w:rPr>
                <w:sz w:val="21"/>
              </w:rPr>
              <w:t>1.5 多模态标注与语义关联：根据采购</w:t>
            </w:r>
            <w:r>
              <w:rPr>
                <w:sz w:val="21"/>
              </w:rPr>
              <w:t>人</w:t>
            </w:r>
            <w:r>
              <w:rPr>
                <w:sz w:val="21"/>
              </w:rPr>
              <w:t>设定的标签体系和粒度要求，通过人工及半自动复核开展批量标注，实现关键元素（如教学目标、操作流程、视频帧内动作等）在不同模态间的语义对齐，支持互查与溯源。交付时提供证明材料：示意图、实际操作演示文档。</w:t>
            </w:r>
          </w:p>
          <w:p>
            <w:pPr>
              <w:pStyle w:val="null3"/>
              <w:ind w:firstLine="420"/>
              <w:jc w:val="both"/>
            </w:pPr>
            <w:r>
              <w:rPr>
                <w:sz w:val="21"/>
              </w:rPr>
              <w:t>1.</w:t>
            </w:r>
            <w:r>
              <w:rPr>
                <w:sz w:val="21"/>
              </w:rPr>
              <w:t>6</w:t>
            </w:r>
            <w:r>
              <w:rPr>
                <w:sz w:val="21"/>
              </w:rPr>
              <w:t xml:space="preserve"> </w:t>
            </w:r>
            <w:r>
              <w:rPr>
                <w:sz w:val="21"/>
              </w:rPr>
              <w:t>数据字典、数据结构文档、知识库索引等辅助资料的整理，项目归档、全流程可追溯记录交付；项目结项后提供至少</w:t>
            </w:r>
            <w:r>
              <w:rPr>
                <w:sz w:val="21"/>
              </w:rPr>
              <w:t>12个月的数据集维护、数据答疑及售后支持。</w:t>
            </w:r>
          </w:p>
          <w:p>
            <w:pPr>
              <w:pStyle w:val="null3"/>
              <w:ind w:firstLine="420"/>
              <w:jc w:val="both"/>
            </w:pPr>
            <w:r>
              <w:rPr>
                <w:sz w:val="21"/>
              </w:rPr>
              <w:t>2. 交付物要求</w:t>
            </w:r>
          </w:p>
          <w:p>
            <w:pPr>
              <w:pStyle w:val="null3"/>
              <w:ind w:firstLine="420"/>
              <w:jc w:val="both"/>
            </w:pPr>
            <w:r>
              <w:rPr>
                <w:sz w:val="21"/>
              </w:rPr>
              <w:t>2.1 按采购</w:t>
            </w:r>
            <w:r>
              <w:rPr>
                <w:sz w:val="21"/>
              </w:rPr>
              <w:t>人</w:t>
            </w:r>
            <w:r>
              <w:rPr>
                <w:sz w:val="21"/>
              </w:rPr>
              <w:t>约定节点和内容，分阶段提交如下交付物：</w:t>
            </w:r>
          </w:p>
          <w:p>
            <w:pPr>
              <w:pStyle w:val="null3"/>
              <w:ind w:firstLine="420"/>
              <w:jc w:val="both"/>
            </w:pPr>
            <w:r>
              <w:rPr>
                <w:sz w:val="21"/>
              </w:rPr>
              <w:t>- 标注后多模态结构化数据集（JSON/CSV等格式，含完整标签体系和数据映射索引）</w:t>
            </w:r>
          </w:p>
          <w:p>
            <w:pPr>
              <w:pStyle w:val="null3"/>
              <w:ind w:firstLine="420"/>
              <w:jc w:val="both"/>
            </w:pPr>
            <w:r>
              <w:rPr>
                <w:sz w:val="21"/>
              </w:rPr>
              <w:t>- 数据字典及数据结构描述文件</w:t>
            </w:r>
          </w:p>
          <w:p>
            <w:pPr>
              <w:pStyle w:val="null3"/>
              <w:ind w:firstLine="420"/>
              <w:jc w:val="both"/>
            </w:pPr>
            <w:r>
              <w:rPr>
                <w:sz w:val="21"/>
              </w:rPr>
              <w:t>- 标注操作与使用手册</w:t>
            </w:r>
          </w:p>
          <w:p>
            <w:pPr>
              <w:pStyle w:val="null3"/>
              <w:ind w:firstLine="420"/>
              <w:jc w:val="both"/>
            </w:pPr>
            <w:r>
              <w:rPr>
                <w:sz w:val="21"/>
              </w:rPr>
              <w:t>2.2 标注准确率与质控：标注数据全流程双人或多轮质检，标注准确率</w:t>
            </w:r>
            <w:r>
              <w:rPr>
                <w:sz w:val="21"/>
              </w:rPr>
              <w:t>≥</w:t>
            </w:r>
            <w:r>
              <w:rPr>
                <w:sz w:val="21"/>
              </w:rPr>
              <w:t>90%，漏标、错标比例总和≤5%。要求交付的数据集总量</w:t>
            </w:r>
            <w:r>
              <w:rPr>
                <w:sz w:val="21"/>
              </w:rPr>
              <w:t>≥</w:t>
            </w:r>
            <w:r>
              <w:rPr>
                <w:sz w:val="21"/>
              </w:rPr>
              <w:t>2万条高质量样本。每批次交付数据均要附质控报告。</w:t>
            </w:r>
          </w:p>
          <w:p>
            <w:pPr>
              <w:pStyle w:val="null3"/>
              <w:ind w:firstLine="420"/>
              <w:jc w:val="both"/>
            </w:pPr>
            <w:r>
              <w:rPr>
                <w:sz w:val="21"/>
              </w:rPr>
              <w:t>2.3 抽检与返工：采购</w:t>
            </w:r>
            <w:r>
              <w:rPr>
                <w:sz w:val="21"/>
              </w:rPr>
              <w:t>人</w:t>
            </w:r>
            <w:r>
              <w:rPr>
                <w:sz w:val="21"/>
              </w:rPr>
              <w:t>有权抽取并复查</w:t>
            </w:r>
            <w:r>
              <w:rPr>
                <w:sz w:val="21"/>
              </w:rPr>
              <w:t>20%</w:t>
            </w:r>
            <w:r>
              <w:rPr>
                <w:sz w:val="21"/>
              </w:rPr>
              <w:t>或</w:t>
            </w:r>
            <w:r>
              <w:rPr>
                <w:sz w:val="21"/>
              </w:rPr>
              <w:t>以上数据，若抽查不合格，</w:t>
            </w:r>
            <w:r>
              <w:rPr>
                <w:sz w:val="21"/>
              </w:rPr>
              <w:t>中标人</w:t>
            </w:r>
            <w:r>
              <w:rPr>
                <w:sz w:val="21"/>
              </w:rPr>
              <w:t>需负责返工整改，直至达标。</w:t>
            </w:r>
          </w:p>
          <w:p>
            <w:pPr>
              <w:pStyle w:val="null3"/>
              <w:ind w:firstLine="420"/>
              <w:jc w:val="both"/>
            </w:pPr>
            <w:r>
              <w:rPr>
                <w:sz w:val="21"/>
              </w:rPr>
              <w:t>2.4 服务及时响应：采购</w:t>
            </w:r>
            <w:r>
              <w:rPr>
                <w:sz w:val="21"/>
              </w:rPr>
              <w:t>人</w:t>
            </w:r>
            <w:r>
              <w:rPr>
                <w:sz w:val="21"/>
              </w:rPr>
              <w:t>咨询后</w:t>
            </w:r>
            <w:r>
              <w:rPr>
                <w:sz w:val="21"/>
              </w:rPr>
              <w:t>2个工作日内给出明确反馈和解决方案。</w:t>
            </w:r>
            <w:r>
              <w:br/>
            </w:r>
          </w:p>
          <w:p>
            <w:pPr>
              <w:pStyle w:val="null3"/>
              <w:ind w:firstLine="420"/>
              <w:jc w:val="both"/>
            </w:pPr>
            <w:r>
              <w:rPr/>
              <w:t xml:space="preserve"> </w:t>
            </w:r>
          </w:p>
          <w:p>
            <w:pPr>
              <w:pStyle w:val="null3"/>
              <w:ind w:firstLine="420"/>
              <w:jc w:val="both"/>
            </w:pPr>
            <w:r>
              <w:rPr>
                <w:sz w:val="21"/>
              </w:rPr>
              <w:t>（八）人工智能通识教育知识图谱及</w:t>
            </w:r>
            <w:r>
              <w:rPr>
                <w:sz w:val="21"/>
              </w:rPr>
              <w:t>RAG应用服务 1 项</w:t>
            </w:r>
          </w:p>
          <w:p>
            <w:pPr>
              <w:pStyle w:val="null3"/>
              <w:ind w:firstLine="420"/>
              <w:jc w:val="both"/>
            </w:pPr>
            <w:r>
              <w:rPr>
                <w:sz w:val="21"/>
              </w:rPr>
              <w:t>基于人工智能通识课程的结构化多模态数据资源（包括教案、课件、习题、视频、实践手册等），利用知识图谱与检索增强生成（</w:t>
            </w:r>
            <w:r>
              <w:rPr>
                <w:sz w:val="21"/>
              </w:rPr>
              <w:t>RAG）相关技术，对各类结构化/多模态资源标准化、融合与深度关联建模，构建支持大模型智能问答、语义检索等多种RAG教育场景的知识库，实现跨模态、跨资源的知识检索与推理能力。</w:t>
            </w:r>
          </w:p>
          <w:p>
            <w:pPr>
              <w:pStyle w:val="null3"/>
              <w:ind w:firstLine="420"/>
              <w:jc w:val="both"/>
            </w:pPr>
            <w:r>
              <w:rPr>
                <w:sz w:val="21"/>
              </w:rPr>
              <w:t>1.</w:t>
            </w:r>
            <w:r>
              <w:rPr>
                <w:sz w:val="21"/>
              </w:rPr>
              <w:t>服务内容包括但不限于：</w:t>
            </w:r>
          </w:p>
          <w:p>
            <w:pPr>
              <w:pStyle w:val="null3"/>
              <w:ind w:firstLine="420"/>
              <w:jc w:val="both"/>
            </w:pPr>
            <w:r>
              <w:rPr>
                <w:sz w:val="21"/>
              </w:rPr>
              <w:t>1.1 知识点抽取与定义：采用“规则→模型→专家”三轮融合方式完成知识点抽取与定义，第一轮：基于规则工具自动结构化抽取（如章节、目录、术语等）。第二轮：应用深度学习模型识别关键术语、算法、技术概念等。第三轮：由学科专家通过知识图谱可视化管理工具对候选知识点进行审核、补充和修正，最终形成完整、标准化、字段清晰的知识点列表。交付时提供证明材料：结构化知识点属性表（CSV格式，含ID、名称、定义、教材溯源、章节、分类、难度等字段），抽取及审核流程文档。</w:t>
            </w:r>
          </w:p>
          <w:p>
            <w:pPr>
              <w:pStyle w:val="null3"/>
              <w:ind w:firstLine="420"/>
              <w:jc w:val="both"/>
            </w:pPr>
            <w:r>
              <w:rPr>
                <w:sz w:val="21"/>
              </w:rPr>
              <w:t>1.2 知识点关系建立：利用算法自动初步生成知识点间的潜在关系，包括章节结构分析、内部共现分析、关系抽取模型等；由学科专家在知识图谱可视化管理工具中，对自动推荐出的所有候选关系逐条审核，所有经专家审核过的“知识点-关系-知识点”三元组表，格式标准，可直接导入主流图数据库。</w:t>
            </w:r>
          </w:p>
          <w:p>
            <w:pPr>
              <w:pStyle w:val="null3"/>
              <w:ind w:firstLine="420"/>
              <w:jc w:val="both"/>
            </w:pPr>
            <w:r>
              <w:rPr>
                <w:sz w:val="21"/>
              </w:rPr>
              <w:t>1.3 知识点-资源关联标注：按采购</w:t>
            </w:r>
            <w:r>
              <w:rPr>
                <w:sz w:val="21"/>
              </w:rPr>
              <w:t>人</w:t>
            </w:r>
            <w:r>
              <w:rPr>
                <w:sz w:val="21"/>
              </w:rPr>
              <w:t>要求，在资源管理界面对所有资源切片（文本、视频、图片等）人工标注与特定知识点的精准关联；记录资源</w:t>
            </w:r>
            <w:r>
              <w:rPr>
                <w:sz w:val="21"/>
              </w:rPr>
              <w:t>ID、知识点ID、关联类型及溯源属性，支持多模态、多角色复核。交付时提供证明材料：知识-资源关联数据库表（SQL或CSV格式，含资源ID、知识点ID、关联类型、操作人、时间）、标注与复核流程文档。</w:t>
            </w:r>
          </w:p>
          <w:p>
            <w:pPr>
              <w:pStyle w:val="null3"/>
              <w:ind w:firstLine="420"/>
              <w:jc w:val="both"/>
            </w:pPr>
            <w:r>
              <w:rPr>
                <w:sz w:val="21"/>
              </w:rPr>
              <w:t>1.4 非结构化资源向量化与知识库构建：对全部教学资源（教材全文、课件、习题、视频等）完成内容切片、文本化与多模态向量生成（embedding），建立高可用向量知识库，便于RAG场景下的语义召回与资源检索。交付时提供证明材料：资源切片与向量化处理报告、向量库字段结构说明、批量数据样例。</w:t>
            </w:r>
          </w:p>
          <w:p>
            <w:pPr>
              <w:pStyle w:val="null3"/>
              <w:ind w:firstLine="420"/>
              <w:jc w:val="both"/>
            </w:pPr>
            <w:r>
              <w:rPr>
                <w:sz w:val="21"/>
              </w:rPr>
              <w:t>1.5 RAG应用接口开发：实现知识图谱与向量知识库的有效融合，对接检索增强生成（RAG）系统需求，开发RESTful API接口，支持知识检索、多跳推理、语义召回及上层教学应用（如AI问答）的无缝集成。交付时提供证明材料：API接口文档及示例、RAG集成演示报告。</w:t>
            </w:r>
          </w:p>
          <w:p>
            <w:pPr>
              <w:pStyle w:val="null3"/>
              <w:ind w:firstLine="420"/>
              <w:jc w:val="both"/>
            </w:pPr>
            <w:r>
              <w:rPr>
                <w:sz w:val="21"/>
              </w:rPr>
              <w:t>1.6 数据字典、结构文档与项目归档：整理全流程项目数据字典、接口文档、知识图谱与向量库结构说明、专家审核与关联日志，项目结项时提供完整归档。结项后不少于</w:t>
            </w:r>
            <w:r>
              <w:rPr>
                <w:sz w:val="21"/>
              </w:rPr>
              <w:t>3年无条件</w:t>
            </w:r>
            <w:r>
              <w:rPr>
                <w:sz w:val="21"/>
              </w:rPr>
              <w:t>维护、数据修订及答疑服务。</w:t>
            </w:r>
            <w:r>
              <w:rPr>
                <w:sz w:val="21"/>
              </w:rPr>
              <w:t>（</w:t>
            </w:r>
            <w:r>
              <w:rPr>
                <w:sz w:val="21"/>
              </w:rPr>
              <w:t>费用包含在投标报价中）</w:t>
            </w:r>
          </w:p>
          <w:p>
            <w:pPr>
              <w:pStyle w:val="null3"/>
              <w:ind w:firstLine="420"/>
              <w:jc w:val="both"/>
            </w:pPr>
            <w:r>
              <w:rPr>
                <w:sz w:val="21"/>
              </w:rPr>
              <w:t>2. 交付物要求</w:t>
            </w:r>
          </w:p>
          <w:p>
            <w:pPr>
              <w:pStyle w:val="null3"/>
              <w:ind w:firstLine="420"/>
              <w:jc w:val="both"/>
            </w:pPr>
            <w:r>
              <w:rPr>
                <w:sz w:val="21"/>
              </w:rPr>
              <w:t>2.1 阶段交付物清单</w:t>
            </w:r>
          </w:p>
          <w:p>
            <w:pPr>
              <w:pStyle w:val="null3"/>
              <w:ind w:firstLine="420"/>
              <w:jc w:val="both"/>
            </w:pPr>
            <w:r>
              <w:rPr>
                <w:sz w:val="21"/>
              </w:rPr>
              <w:t>- 标准化的多模态知识图谱数据库（Neo4j等，含≥500知识点及三类关系）</w:t>
            </w:r>
          </w:p>
          <w:p>
            <w:pPr>
              <w:pStyle w:val="null3"/>
              <w:ind w:firstLine="420"/>
              <w:jc w:val="both"/>
            </w:pPr>
            <w:r>
              <w:rPr>
                <w:sz w:val="21"/>
              </w:rPr>
              <w:t>- 高可用向量知识库（Milvus等，含资源embedding数据及切片脚本）</w:t>
            </w:r>
          </w:p>
          <w:p>
            <w:pPr>
              <w:pStyle w:val="null3"/>
              <w:ind w:firstLine="420"/>
              <w:jc w:val="both"/>
            </w:pPr>
            <w:r>
              <w:rPr>
                <w:sz w:val="21"/>
              </w:rPr>
              <w:t>- 知识点属性表、三元组关系表、知识-资源关联表（CSV/SQL格式）</w:t>
            </w:r>
          </w:p>
          <w:p>
            <w:pPr>
              <w:pStyle w:val="null3"/>
              <w:ind w:firstLine="420"/>
              <w:jc w:val="both"/>
            </w:pPr>
            <w:r>
              <w:rPr>
                <w:sz w:val="21"/>
              </w:rPr>
              <w:t>- RESTful API接口说明与调用示例、RAG集成测试报告</w:t>
            </w:r>
          </w:p>
          <w:p>
            <w:pPr>
              <w:pStyle w:val="null3"/>
              <w:ind w:firstLine="420"/>
              <w:jc w:val="both"/>
            </w:pPr>
            <w:r>
              <w:rPr>
                <w:sz w:val="21"/>
              </w:rPr>
              <w:t>- 知识库及知识图谱管理平台工具（私有部署）</w:t>
            </w:r>
            <w:r>
              <w:rPr>
                <w:sz w:val="21"/>
              </w:rPr>
              <w:t>以及中标人提供的应用服务器环境</w:t>
            </w:r>
            <w:r>
              <w:rPr>
                <w:sz w:val="21"/>
              </w:rPr>
              <w:t>（</w:t>
            </w:r>
            <w:r>
              <w:rPr>
                <w:sz w:val="21"/>
              </w:rPr>
              <w:t>应用服务器使用期</w:t>
            </w:r>
            <w:r>
              <w:rPr>
                <w:sz w:val="21"/>
              </w:rPr>
              <w:t>≥3年，费用包含在投标报价中）</w:t>
            </w:r>
            <w:r>
              <w:rPr/>
              <w:t xml:space="preserve">    </w:t>
            </w:r>
          </w:p>
          <w:p>
            <w:pPr>
              <w:pStyle w:val="null3"/>
              <w:ind w:firstLine="420"/>
              <w:jc w:val="both"/>
            </w:pPr>
            <w:r>
              <w:rPr>
                <w:sz w:val="21"/>
              </w:rPr>
              <w:t>2.2 质量要求与抽检</w:t>
            </w:r>
          </w:p>
          <w:p>
            <w:pPr>
              <w:pStyle w:val="null3"/>
              <w:ind w:firstLine="420"/>
              <w:jc w:val="both"/>
            </w:pPr>
            <w:r>
              <w:rPr>
                <w:sz w:val="21"/>
              </w:rPr>
              <w:t>- 知识点与关系抽取全过程须专家人工审核，准确率≥90%，消歧正确率≥90%</w:t>
            </w:r>
          </w:p>
          <w:p>
            <w:pPr>
              <w:pStyle w:val="null3"/>
              <w:ind w:firstLine="420"/>
              <w:jc w:val="both"/>
            </w:pPr>
            <w:r>
              <w:rPr>
                <w:sz w:val="21"/>
              </w:rPr>
              <w:t>- 知识图谱与向量库检索准确率≥90%，RAG问答场景集成准确率≥90%；评测方法：知识点与关系评估以采购</w:t>
            </w:r>
            <w:r>
              <w:rPr>
                <w:sz w:val="21"/>
              </w:rPr>
              <w:t>人</w:t>
            </w:r>
            <w:r>
              <w:rPr>
                <w:sz w:val="21"/>
              </w:rPr>
              <w:t>或第三方专家组人工标注的</w:t>
            </w:r>
            <w:r>
              <w:rPr>
                <w:sz w:val="21"/>
              </w:rPr>
              <w:t>“金标准”或对照样本为准；RAG场景准确率采用≥100道代表性问答集（包括多跳、复杂推理、多模态查询）现场或离线人工评分。</w:t>
            </w:r>
          </w:p>
          <w:p>
            <w:pPr>
              <w:pStyle w:val="null3"/>
              <w:ind w:firstLine="420"/>
              <w:jc w:val="both"/>
            </w:pPr>
            <w:r>
              <w:rPr>
                <w:sz w:val="21"/>
              </w:rPr>
              <w:t>- 每批交付均需附带详细质控报告，采购</w:t>
            </w:r>
            <w:r>
              <w:rPr>
                <w:sz w:val="21"/>
              </w:rPr>
              <w:t>人</w:t>
            </w:r>
            <w:r>
              <w:rPr>
                <w:sz w:val="21"/>
              </w:rPr>
              <w:t>有权随机抽检</w:t>
            </w:r>
            <w:r>
              <w:rPr>
                <w:sz w:val="21"/>
              </w:rPr>
              <w:t>20%</w:t>
            </w:r>
            <w:r>
              <w:rPr>
                <w:sz w:val="21"/>
              </w:rPr>
              <w:t>或</w:t>
            </w:r>
            <w:r>
              <w:rPr>
                <w:sz w:val="21"/>
              </w:rPr>
              <w:t>以上内容，如不合格需</w:t>
            </w:r>
            <w:r>
              <w:rPr>
                <w:sz w:val="21"/>
              </w:rPr>
              <w:t>30个工作日内</w:t>
            </w:r>
            <w:r>
              <w:rPr>
                <w:sz w:val="21"/>
              </w:rPr>
              <w:t>返工至合格为止。</w:t>
            </w:r>
          </w:p>
          <w:p>
            <w:pPr>
              <w:pStyle w:val="null3"/>
              <w:ind w:firstLine="420"/>
              <w:jc w:val="both"/>
            </w:pPr>
            <w:r>
              <w:rPr>
                <w:sz w:val="21"/>
              </w:rPr>
              <w:t>2.3 服务及时响应</w:t>
            </w:r>
          </w:p>
          <w:p>
            <w:pPr>
              <w:pStyle w:val="null3"/>
              <w:ind w:firstLine="420"/>
              <w:jc w:val="both"/>
            </w:pPr>
            <w:r>
              <w:rPr>
                <w:sz w:val="21"/>
              </w:rPr>
              <w:t>- 采购</w:t>
            </w:r>
            <w:r>
              <w:rPr>
                <w:sz w:val="21"/>
              </w:rPr>
              <w:t>人</w:t>
            </w:r>
            <w:r>
              <w:rPr>
                <w:sz w:val="21"/>
              </w:rPr>
              <w:t>咨询或提出修改、数据、接口或平台问题后</w:t>
            </w:r>
            <w:r>
              <w:rPr>
                <w:sz w:val="21"/>
              </w:rPr>
              <w:t>2个工作日内提供明确反馈和修复建议</w:t>
            </w:r>
          </w:p>
          <w:p>
            <w:pPr>
              <w:pStyle w:val="null3"/>
              <w:ind w:firstLine="420"/>
              <w:jc w:val="both"/>
            </w:pPr>
            <w:r>
              <w:rPr>
                <w:sz w:val="21"/>
              </w:rPr>
              <w:t>- 结项后12个月内</w:t>
            </w:r>
            <w:r>
              <w:rPr>
                <w:sz w:val="21"/>
              </w:rPr>
              <w:t>应至少确保原</w:t>
            </w:r>
            <w:r>
              <w:rPr>
                <w:sz w:val="21"/>
              </w:rPr>
              <w:t>开发团队</w:t>
            </w:r>
            <w:r>
              <w:rPr>
                <w:sz w:val="21"/>
              </w:rPr>
              <w:t>1名负责人</w:t>
            </w:r>
            <w:r>
              <w:rPr>
                <w:sz w:val="21"/>
              </w:rPr>
              <w:t>负责</w:t>
            </w:r>
            <w:r>
              <w:rPr>
                <w:sz w:val="21"/>
              </w:rPr>
              <w:t>对接与答疑</w:t>
            </w:r>
            <w:r>
              <w:br/>
            </w:r>
          </w:p>
          <w:p>
            <w:pPr>
              <w:pStyle w:val="null3"/>
              <w:ind w:firstLine="420"/>
              <w:jc w:val="both"/>
            </w:pPr>
            <w:r>
              <w:rPr/>
              <w:t xml:space="preserve"> </w:t>
            </w:r>
          </w:p>
          <w:p>
            <w:pPr>
              <w:pStyle w:val="null3"/>
              <w:ind w:firstLine="420"/>
              <w:jc w:val="both"/>
            </w:pPr>
            <w:r>
              <w:rPr>
                <w:sz w:val="21"/>
              </w:rPr>
              <w:t>（九）</w:t>
            </w:r>
            <w:r>
              <w:rPr>
                <w:sz w:val="21"/>
              </w:rPr>
              <w:t>大模型微调训推平台</w:t>
            </w:r>
            <w:r>
              <w:rPr>
                <w:sz w:val="21"/>
              </w:rPr>
              <w:t>1套</w:t>
            </w:r>
          </w:p>
          <w:p>
            <w:pPr>
              <w:pStyle w:val="null3"/>
              <w:ind w:firstLine="420"/>
              <w:jc w:val="both"/>
            </w:pPr>
            <w:r>
              <w:rPr>
                <w:sz w:val="21"/>
              </w:rPr>
              <w:t>大模型微调训推平台需具备以下功能要求：</w:t>
            </w:r>
          </w:p>
          <w:p>
            <w:pPr>
              <w:pStyle w:val="null3"/>
              <w:ind w:firstLine="420"/>
              <w:jc w:val="both"/>
            </w:pPr>
            <w:r>
              <w:rPr>
                <w:sz w:val="21"/>
              </w:rPr>
              <w:t>1.</w:t>
            </w:r>
            <w:r>
              <w:rPr>
                <w:sz w:val="21"/>
              </w:rPr>
              <w:t>数据集管理，可添加和管理数据集。支持通过本地导入</w:t>
            </w:r>
            <w:r>
              <w:rPr>
                <w:sz w:val="21"/>
              </w:rPr>
              <w:t>json文件和QA知识库导入2种方式添加数据集。创建完成展示数据集列表，包括以下字段数据集名称、创建时间、更新时间、创建者、操作。在创建模型微调任务时，支持选择创建的数据集来进行模型微调。</w:t>
            </w:r>
          </w:p>
          <w:p>
            <w:pPr>
              <w:pStyle w:val="null3"/>
              <w:ind w:firstLine="420"/>
              <w:jc w:val="both"/>
            </w:pPr>
            <w:r>
              <w:rPr>
                <w:sz w:val="21"/>
              </w:rPr>
              <w:t>2</w:t>
            </w:r>
            <w:r>
              <w:rPr>
                <w:sz w:val="21"/>
              </w:rPr>
              <w:t>.</w:t>
            </w:r>
            <w:r>
              <w:rPr>
                <w:sz w:val="21"/>
              </w:rPr>
              <w:t>模型管理，支持模型管理和模型微调</w:t>
            </w:r>
            <w:r>
              <w:rPr>
                <w:sz w:val="21"/>
              </w:rPr>
              <w:t>2个子模块。模型管理模块，支持模型接入及上下线，系统模型设置。模型微调模块，可以进行微调任务管理与任务创建。</w:t>
            </w:r>
          </w:p>
          <w:p>
            <w:pPr>
              <w:pStyle w:val="null3"/>
              <w:ind w:firstLine="420"/>
              <w:jc w:val="both"/>
            </w:pPr>
            <w:r>
              <w:rPr>
                <w:sz w:val="21"/>
              </w:rPr>
              <w:t>▲3</w:t>
            </w:r>
            <w:r>
              <w:rPr>
                <w:sz w:val="21"/>
              </w:rPr>
              <w:t>.</w:t>
            </w:r>
            <w:r>
              <w:rPr>
                <w:sz w:val="21"/>
              </w:rPr>
              <w:t>模型接入支持在线模型服务接口和本地模型推理框架。在线模型服务接口，支持</w:t>
            </w:r>
            <w:r>
              <w:rPr>
                <w:sz w:val="21"/>
              </w:rPr>
              <w:t>OpenAI、Deepseek、</w:t>
            </w:r>
            <w:r>
              <w:rPr>
                <w:sz w:val="21"/>
              </w:rPr>
              <w:t>Gemini、</w:t>
            </w:r>
            <w:r>
              <w:rPr>
                <w:sz w:val="21"/>
              </w:rPr>
              <w:t>智谱、通义千问、讯飞星火等。本地模型推理框架，支持</w:t>
            </w:r>
            <w:r>
              <w:rPr>
                <w:sz w:val="21"/>
              </w:rPr>
              <w:t>Ollama、vllm、xinference、llamacpp等。</w:t>
            </w:r>
          </w:p>
          <w:p>
            <w:pPr>
              <w:pStyle w:val="null3"/>
              <w:ind w:firstLine="420"/>
              <w:jc w:val="both"/>
            </w:pPr>
            <w:r>
              <w:rPr>
                <w:sz w:val="21"/>
              </w:rPr>
              <w:t>4.</w:t>
            </w:r>
            <w:r>
              <w:rPr>
                <w:sz w:val="21"/>
              </w:rPr>
              <w:t>模型可配置模型服务提供方名称、</w:t>
            </w:r>
            <w:r>
              <w:rPr>
                <w:sz w:val="21"/>
              </w:rPr>
              <w:t>API Key、单日调用次数上限、模型名称、模型类型、max_tokens等。可手动调整模型上下线。</w:t>
            </w:r>
          </w:p>
          <w:p>
            <w:pPr>
              <w:pStyle w:val="null3"/>
              <w:ind w:firstLine="420"/>
              <w:jc w:val="both"/>
            </w:pPr>
            <w:r>
              <w:rPr>
                <w:sz w:val="21"/>
              </w:rPr>
              <w:t>5</w:t>
            </w:r>
            <w:r>
              <w:rPr>
                <w:sz w:val="21"/>
              </w:rPr>
              <w:t>.</w:t>
            </w:r>
            <w:r>
              <w:rPr>
                <w:sz w:val="21"/>
              </w:rPr>
              <w:t>系统模型设置，支持配置知识库模型、助手模型、评测模型、工作流模型。知识库模型，可配置知识库默认</w:t>
            </w:r>
            <w:r>
              <w:rPr>
                <w:sz w:val="21"/>
              </w:rPr>
              <w:t>embedding模型、知识库溯源模型、文档知识库总结模型、QA知识库相似问模型。</w:t>
            </w:r>
          </w:p>
          <w:p>
            <w:pPr>
              <w:pStyle w:val="null3"/>
              <w:ind w:firstLine="420"/>
              <w:jc w:val="both"/>
            </w:pPr>
            <w:r>
              <w:rPr>
                <w:sz w:val="21"/>
              </w:rPr>
              <w:t>▲6</w:t>
            </w:r>
            <w:r>
              <w:rPr>
                <w:sz w:val="21"/>
              </w:rPr>
              <w:t>.</w:t>
            </w:r>
            <w:r>
              <w:rPr>
                <w:sz w:val="21"/>
              </w:rPr>
              <w:t>模型微调模块，支持创建训练任务和</w:t>
            </w:r>
            <w:r>
              <w:rPr>
                <w:sz w:val="21"/>
              </w:rPr>
              <w:t>FT服务管理。创建训练任务，可配置FT服务、基准模型、Finetune模型名称、数据集、训练方法、参数配置。</w:t>
            </w:r>
          </w:p>
          <w:p>
            <w:pPr>
              <w:pStyle w:val="null3"/>
              <w:ind w:firstLine="420"/>
              <w:jc w:val="both"/>
            </w:pPr>
            <w:r>
              <w:rPr>
                <w:sz w:val="21"/>
              </w:rPr>
              <w:t>7.</w:t>
            </w:r>
            <w:r>
              <w:rPr>
                <w:sz w:val="21"/>
              </w:rPr>
              <w:t>数据集可选择预制数据集、个人数据集，以及自定义样本数。训练方法可选择全量微调、</w:t>
            </w:r>
            <w:r>
              <w:rPr>
                <w:sz w:val="21"/>
              </w:rPr>
              <w:t>freeze微调、lora微调。</w:t>
            </w:r>
          </w:p>
          <w:p>
            <w:pPr>
              <w:pStyle w:val="null3"/>
              <w:ind w:firstLine="420"/>
              <w:jc w:val="both"/>
            </w:pPr>
            <w:r>
              <w:rPr>
                <w:sz w:val="21"/>
              </w:rPr>
              <w:t>8</w:t>
            </w:r>
            <w:r>
              <w:rPr>
                <w:sz w:val="21"/>
              </w:rPr>
              <w:t>.</w:t>
            </w:r>
            <w:r>
              <w:rPr>
                <w:sz w:val="21"/>
              </w:rPr>
              <w:t>参数可配置</w:t>
            </w:r>
            <w:r>
              <w:rPr>
                <w:sz w:val="21"/>
              </w:rPr>
              <w:t xml:space="preserve">gpus、val_ratio、per_device_train_batch_size、learning_rate、num_train_epochs、max_seq_len、cpu_load。    </w:t>
            </w:r>
          </w:p>
          <w:p>
            <w:pPr>
              <w:pStyle w:val="null3"/>
              <w:ind w:firstLine="420"/>
            </w:pPr>
            <w:r>
              <w:rPr>
                <w:sz w:val="21"/>
              </w:rPr>
              <w:t>9</w:t>
            </w:r>
            <w:r>
              <w:rPr>
                <w:sz w:val="21"/>
              </w:rPr>
              <w:t>.</w:t>
            </w:r>
            <w:r>
              <w:rPr>
                <w:sz w:val="21"/>
              </w:rPr>
              <w:t>评测模块，可帮助用户评估其技能或助手的回答效果。创建评测任务，支持选择需评测的技能或助手，并上传包含测试集数据的</w:t>
            </w:r>
            <w:r>
              <w:rPr>
                <w:sz w:val="21"/>
              </w:rPr>
              <w:t>CSV文件，以及编辑评测指令文本。</w:t>
            </w:r>
          </w:p>
          <w:p>
            <w:pPr>
              <w:pStyle w:val="null3"/>
              <w:ind w:firstLine="420"/>
            </w:pPr>
            <w:r>
              <w:rPr>
                <w:sz w:val="21"/>
              </w:rPr>
              <w:t>10</w:t>
            </w:r>
            <w:r>
              <w:rPr>
                <w:sz w:val="21"/>
              </w:rPr>
              <w:t>.</w:t>
            </w:r>
            <w:r>
              <w:rPr>
                <w:sz w:val="21"/>
              </w:rPr>
              <w:t>系统接收用户上传的测试集</w:t>
            </w:r>
            <w:r>
              <w:rPr>
                <w:sz w:val="21"/>
              </w:rPr>
              <w:t>CSV 文件，并开始执行评测任务。完成任务生成包含评测结果的文件，可下载。评测任务列表，可查看任务列表，包括任务 ID、测试集文件名、技能或助手名称、评测分数、任务状态和操作等信息。</w:t>
            </w:r>
          </w:p>
          <w:p>
            <w:pPr>
              <w:pStyle w:val="null3"/>
              <w:ind w:firstLine="420"/>
            </w:pPr>
            <w:r>
              <w:rPr>
                <w:sz w:val="21"/>
              </w:rPr>
              <w:t>11</w:t>
            </w:r>
            <w:r>
              <w:rPr>
                <w:sz w:val="21"/>
              </w:rPr>
              <w:t>.提供</w:t>
            </w:r>
            <w:r>
              <w:rPr>
                <w:sz w:val="21"/>
              </w:rPr>
              <w:t>大模型微调训推平台</w:t>
            </w:r>
            <w:r>
              <w:rPr>
                <w:sz w:val="21"/>
              </w:rPr>
              <w:t>至少</w:t>
            </w:r>
            <w:r>
              <w:rPr>
                <w:sz w:val="21"/>
              </w:rPr>
              <w:t>3</w:t>
            </w:r>
            <w:r>
              <w:rPr>
                <w:sz w:val="21"/>
              </w:rPr>
              <w:t>年使用权及</w:t>
            </w:r>
            <w:r>
              <w:rPr>
                <w:sz w:val="21"/>
              </w:rPr>
              <w:t>无条件</w:t>
            </w:r>
            <w:r>
              <w:rPr>
                <w:sz w:val="21"/>
              </w:rPr>
              <w:t>定期维护。</w:t>
            </w:r>
            <w:r>
              <w:rPr>
                <w:sz w:val="21"/>
              </w:rPr>
              <w:t>（</w:t>
            </w:r>
            <w:r>
              <w:rPr>
                <w:sz w:val="21"/>
              </w:rPr>
              <w:t>费用包含在投标报价中）</w:t>
            </w:r>
            <w:r>
              <w:br/>
            </w:r>
          </w:p>
          <w:p>
            <w:pPr>
              <w:pStyle w:val="null3"/>
              <w:ind w:firstLine="420"/>
            </w:pPr>
            <w:r>
              <w:rPr/>
              <w:t xml:space="preserve"> </w:t>
            </w:r>
          </w:p>
          <w:p>
            <w:pPr>
              <w:pStyle w:val="null3"/>
              <w:ind w:firstLine="420"/>
            </w:pPr>
            <w:r>
              <w:rPr>
                <w:sz w:val="21"/>
              </w:rPr>
              <w:t>（十）垂域大模型微调训推服务</w:t>
            </w:r>
            <w:r>
              <w:rPr>
                <w:sz w:val="21"/>
              </w:rPr>
              <w:t>1 项</w:t>
            </w:r>
          </w:p>
          <w:p>
            <w:pPr>
              <w:pStyle w:val="null3"/>
              <w:ind w:firstLine="420"/>
            </w:pPr>
            <w:r>
              <w:rPr>
                <w:sz w:val="21"/>
              </w:rPr>
              <w:t>基于已完成的人工智能通识课程垂域多模态结构化数据集，采用大模型基座和微调、部署方法，为人工智能通识教育领域提供一整套大模型微调训练与推理部署服务，实现模型在通识教育场景下的高效适配、落地部署及长期运维支撑。</w:t>
            </w:r>
          </w:p>
          <w:p>
            <w:pPr>
              <w:pStyle w:val="null3"/>
              <w:ind w:firstLine="420"/>
            </w:pPr>
            <w:r>
              <w:rPr>
                <w:sz w:val="21"/>
              </w:rPr>
              <w:t>1.</w:t>
            </w:r>
            <w:r>
              <w:rPr>
                <w:sz w:val="21"/>
              </w:rPr>
              <w:t>服务内容包括但不限于：</w:t>
            </w:r>
          </w:p>
          <w:p>
            <w:pPr>
              <w:pStyle w:val="null3"/>
              <w:ind w:firstLine="420"/>
            </w:pPr>
            <w:r>
              <w:rPr>
                <w:sz w:val="21"/>
              </w:rPr>
              <w:t>1.1 大模型基座选择与微调：基于采购</w:t>
            </w:r>
            <w:r>
              <w:rPr>
                <w:sz w:val="21"/>
              </w:rPr>
              <w:t>人</w:t>
            </w:r>
            <w:r>
              <w:rPr>
                <w:sz w:val="21"/>
              </w:rPr>
              <w:t>指定的大模型基座（如</w:t>
            </w:r>
            <w:r>
              <w:rPr>
                <w:sz w:val="21"/>
              </w:rPr>
              <w:t>ChatGLM、LLaMA、Baichuan等），结合通识教育领域特性，完善模型架构选择；需针对不少于5个核心教学场景分别设计专项任务微调，</w:t>
            </w:r>
            <w:r>
              <w:rPr>
                <w:sz w:val="21"/>
              </w:rPr>
              <w:t>应</w:t>
            </w:r>
            <w:r>
              <w:rPr>
                <w:sz w:val="21"/>
              </w:rPr>
              <w:t>开展至少</w:t>
            </w:r>
            <w:r>
              <w:rPr>
                <w:sz w:val="21"/>
              </w:rPr>
              <w:t>1项增量学习任务以实现模型的持续演进与知识更新，提升模型在垂域问答、文本生成、多模态理解等关键任务下的表现。</w:t>
            </w:r>
          </w:p>
          <w:p>
            <w:pPr>
              <w:pStyle w:val="null3"/>
              <w:ind w:firstLine="420"/>
            </w:pPr>
            <w:r>
              <w:rPr>
                <w:sz w:val="21"/>
              </w:rPr>
              <w:t>▲1.2 训练环境及资源配置：配置与模型规模、训练需求匹配的高性能软硬件训练环境；</w:t>
            </w:r>
            <w:r>
              <w:rPr>
                <w:sz w:val="21"/>
              </w:rPr>
              <w:t>应</w:t>
            </w:r>
            <w:r>
              <w:rPr>
                <w:sz w:val="21"/>
              </w:rPr>
              <w:t>提供如下配置的</w:t>
            </w:r>
            <w:r>
              <w:rPr>
                <w:sz w:val="21"/>
              </w:rPr>
              <w:t>至少</w:t>
            </w:r>
            <w:r>
              <w:rPr>
                <w:sz w:val="21"/>
              </w:rPr>
              <w:t>3</w:t>
            </w:r>
            <w:r>
              <w:rPr>
                <w:sz w:val="21"/>
              </w:rPr>
              <w:t>年服务，保障训练与推理全周期用例；提供环境部署、分布式训练、资源调度等技术支持。</w:t>
            </w:r>
            <w:r>
              <w:rPr>
                <w:sz w:val="21"/>
              </w:rPr>
              <w:t>中标人应提供</w:t>
            </w:r>
            <w:r>
              <w:rPr>
                <w:sz w:val="21"/>
              </w:rPr>
              <w:t>大模型微调训推平台部署的应用服务器，</w:t>
            </w:r>
            <w:r>
              <w:rPr>
                <w:sz w:val="21"/>
              </w:rPr>
              <w:t>训练资源池：明确提供满足模型微调训练的高性能算力，训练服务器是在推理服务器上做动态扩容，</w:t>
            </w:r>
            <w:r>
              <w:rPr>
                <w:sz w:val="21"/>
              </w:rPr>
              <w:t>总使用期</w:t>
            </w:r>
            <w:r>
              <w:rPr>
                <w:sz w:val="21"/>
              </w:rPr>
              <w:t>≥</w:t>
            </w:r>
            <w:r>
              <w:rPr>
                <w:sz w:val="21"/>
              </w:rPr>
              <w:t>6个月，</w:t>
            </w:r>
            <w:r>
              <w:rPr>
                <w:sz w:val="21"/>
              </w:rPr>
              <w:t>首年</w:t>
            </w:r>
            <w:r>
              <w:rPr>
                <w:sz w:val="21"/>
              </w:rPr>
              <w:t>使用期</w:t>
            </w:r>
            <w:r>
              <w:rPr>
                <w:sz w:val="21"/>
              </w:rPr>
              <w:t>≥</w:t>
            </w:r>
            <w:r>
              <w:rPr>
                <w:sz w:val="21"/>
              </w:rPr>
              <w:t>3个月，次年及第三年</w:t>
            </w:r>
            <w:r>
              <w:rPr>
                <w:sz w:val="21"/>
              </w:rPr>
              <w:t>使用期分别为</w:t>
            </w:r>
            <w:r>
              <w:rPr>
                <w:sz w:val="21"/>
              </w:rPr>
              <w:t>≥</w:t>
            </w:r>
            <w:r>
              <w:rPr>
                <w:sz w:val="21"/>
              </w:rPr>
              <w:t>1.5个月</w:t>
            </w:r>
            <w:r>
              <w:rPr>
                <w:sz w:val="21"/>
              </w:rPr>
              <w:t>。</w:t>
            </w:r>
            <w:r>
              <w:rPr>
                <w:sz w:val="21"/>
              </w:rPr>
              <w:t>私有模型推理服务</w:t>
            </w:r>
            <w:r>
              <w:rPr>
                <w:sz w:val="21"/>
              </w:rPr>
              <w:t>GPU算力服务器，</w:t>
            </w:r>
            <w:r>
              <w:rPr>
                <w:sz w:val="21"/>
              </w:rPr>
              <w:t>提供</w:t>
            </w:r>
            <w:r>
              <w:rPr>
                <w:sz w:val="21"/>
              </w:rPr>
              <w:t>国产模型线上推理服务</w:t>
            </w:r>
            <w:r>
              <w:rPr>
                <w:sz w:val="21"/>
              </w:rPr>
              <w:t>≥</w:t>
            </w:r>
            <w:r>
              <w:rPr>
                <w:sz w:val="21"/>
              </w:rPr>
              <w:t>3年；</w:t>
            </w:r>
            <w:r>
              <w:rPr>
                <w:sz w:val="21"/>
              </w:rPr>
              <w:t>推理资源池：明确提供满足常态化</w:t>
            </w:r>
            <w:r>
              <w:rPr>
                <w:sz w:val="21"/>
              </w:rPr>
              <w:t>≥</w:t>
            </w:r>
            <w:r>
              <w:rPr>
                <w:sz w:val="21"/>
              </w:rPr>
              <w:t>1000人并发访问需求的推理算力，支持量化版本中低配GPU部署，保障日常推理长期稳定运行。云端Token资源池：明确提供用于通用大模型API调用的Token额度或云服务资源</w:t>
            </w:r>
            <w:r>
              <w:rPr>
                <w:sz w:val="21"/>
              </w:rPr>
              <w:t>（</w:t>
            </w:r>
            <w:r>
              <w:rPr>
                <w:sz w:val="21"/>
              </w:rPr>
              <w:t>服务期内总</w:t>
            </w:r>
            <w:r>
              <w:rPr>
                <w:sz w:val="21"/>
              </w:rPr>
              <w:t>Token≥</w:t>
            </w:r>
            <w:r>
              <w:rPr>
                <w:sz w:val="21"/>
              </w:rPr>
              <w:t>720</w:t>
            </w:r>
            <w:r>
              <w:rPr>
                <w:sz w:val="21"/>
              </w:rPr>
              <w:t>亿</w:t>
            </w:r>
            <w:r>
              <w:rPr>
                <w:sz w:val="21"/>
              </w:rPr>
              <w:t>）</w:t>
            </w:r>
            <w:r>
              <w:rPr>
                <w:sz w:val="21"/>
              </w:rPr>
              <w:t>，支持复杂场景下的接口调用与能力补充</w:t>
            </w:r>
            <w:r>
              <w:rPr>
                <w:sz w:val="21"/>
              </w:rPr>
              <w:t>。</w:t>
            </w:r>
            <w:r>
              <w:rPr>
                <w:sz w:val="21"/>
              </w:rPr>
              <w:t>以下基础设施资源需采购云服务资源，相关配置标准要求不低于如下基准：</w:t>
            </w:r>
          </w:p>
          <w:p>
            <w:pPr>
              <w:pStyle w:val="null3"/>
              <w:ind w:firstLine="420"/>
            </w:pPr>
            <w:r>
              <w:rPr>
                <w:sz w:val="21"/>
              </w:rPr>
              <w:t>CPU：</w:t>
            </w:r>
            <w:r>
              <w:rPr>
                <w:sz w:val="21"/>
              </w:rPr>
              <w:t>≥</w:t>
            </w:r>
            <w:r>
              <w:rPr>
                <w:sz w:val="21"/>
              </w:rPr>
              <w:t>2 × 64核 vCPU，主频3.3GHz-3.9GHz</w:t>
            </w:r>
          </w:p>
          <w:p>
            <w:pPr>
              <w:pStyle w:val="null3"/>
              <w:ind w:firstLine="420"/>
            </w:pPr>
            <w:r>
              <w:rPr>
                <w:sz w:val="21"/>
              </w:rPr>
              <w:t>GPU：</w:t>
            </w:r>
            <w:r>
              <w:rPr>
                <w:sz w:val="21"/>
              </w:rPr>
              <w:t>≥</w:t>
            </w:r>
            <w:r>
              <w:rPr>
                <w:sz w:val="21"/>
              </w:rPr>
              <w:t>48G × 8</w:t>
            </w:r>
          </w:p>
          <w:p>
            <w:pPr>
              <w:pStyle w:val="null3"/>
              <w:ind w:firstLine="420"/>
            </w:pPr>
            <w:r>
              <w:rPr>
                <w:sz w:val="21"/>
              </w:rPr>
              <w:t>内存：</w:t>
            </w:r>
            <w:r>
              <w:rPr>
                <w:sz w:val="21"/>
              </w:rPr>
              <w:t>≥</w:t>
            </w:r>
            <w:r>
              <w:rPr>
                <w:sz w:val="21"/>
              </w:rPr>
              <w:t>1024G</w:t>
            </w:r>
          </w:p>
          <w:p>
            <w:pPr>
              <w:pStyle w:val="null3"/>
              <w:ind w:firstLine="420"/>
            </w:pPr>
            <w:r>
              <w:rPr>
                <w:sz w:val="21"/>
              </w:rPr>
              <w:t>硬盘：</w:t>
            </w:r>
            <w:r>
              <w:rPr>
                <w:sz w:val="21"/>
              </w:rPr>
              <w:t>≥</w:t>
            </w:r>
            <w:r>
              <w:rPr>
                <w:sz w:val="21"/>
              </w:rPr>
              <w:t>1920G</w:t>
            </w:r>
          </w:p>
          <w:p>
            <w:pPr>
              <w:pStyle w:val="null3"/>
              <w:ind w:firstLine="420"/>
            </w:pPr>
            <w:r>
              <w:rPr>
                <w:sz w:val="21"/>
              </w:rPr>
              <w:t>操作系统：</w:t>
            </w:r>
            <w:r>
              <w:rPr>
                <w:sz w:val="21"/>
              </w:rPr>
              <w:t>≥</w:t>
            </w:r>
            <w:r>
              <w:rPr>
                <w:sz w:val="21"/>
              </w:rPr>
              <w:t>64位</w:t>
            </w:r>
          </w:p>
          <w:p>
            <w:pPr>
              <w:pStyle w:val="null3"/>
              <w:ind w:firstLine="420"/>
            </w:pPr>
            <w:r>
              <w:rPr>
                <w:sz w:val="21"/>
              </w:rPr>
              <w:t>1.3 模型训练与多轮验证：实施规范的训练、调优、交叉验证流程，持续优化模型的各项性能指标。针对专项任务与增量任务，分别组织多轮验证和横向对标测试，形成完整实验与验证档案。交付时提供证明材料：模型训练报告、验证结果文档、性能对比报告。</w:t>
            </w:r>
          </w:p>
          <w:p>
            <w:pPr>
              <w:pStyle w:val="null3"/>
              <w:ind w:firstLine="420"/>
            </w:pPr>
            <w:r>
              <w:rPr>
                <w:sz w:val="21"/>
              </w:rPr>
              <w:t>1.4 推理部署与API接口实现：将最终稳定版本的微调模型部署至采购</w:t>
            </w:r>
            <w:r>
              <w:rPr>
                <w:sz w:val="21"/>
              </w:rPr>
              <w:t>人</w:t>
            </w:r>
            <w:r>
              <w:rPr>
                <w:sz w:val="21"/>
              </w:rPr>
              <w:t>指定环境，实现</w:t>
            </w:r>
            <w:r>
              <w:rPr>
                <w:sz w:val="21"/>
              </w:rPr>
              <w:t>API/SDK形式的标准化推理服务，支持主流协议调用与并发访问，输出完整的接口文档。交付时提供证明材料：提供详细API文档和调用示例。</w:t>
            </w:r>
          </w:p>
          <w:p>
            <w:pPr>
              <w:pStyle w:val="null3"/>
              <w:ind w:firstLine="420"/>
            </w:pPr>
            <w:r>
              <w:rPr>
                <w:sz w:val="21"/>
              </w:rPr>
              <w:t>1.5 平台对接及集成支持：协助采购</w:t>
            </w:r>
            <w:r>
              <w:rPr>
                <w:sz w:val="21"/>
              </w:rPr>
              <w:t>人</w:t>
            </w:r>
            <w:r>
              <w:rPr>
                <w:sz w:val="21"/>
              </w:rPr>
              <w:t>将微调模型与业务平台集成，兼容数据流、权限、日志追踪等要求，保障与现有系统的平滑对接、迁移和运维。</w:t>
            </w:r>
          </w:p>
          <w:p>
            <w:pPr>
              <w:pStyle w:val="null3"/>
              <w:ind w:firstLine="420"/>
            </w:pPr>
            <w:r>
              <w:rPr>
                <w:sz w:val="21"/>
              </w:rPr>
              <w:t>1.6 文档交付与售后运维：交付模型使用手册、训练/验证/部署/运维文档、接口说明、知识库等资料，实现全流程可追溯。项目结项后，提供不少于12个月的模型维护、性能答疑、Bug修复及技术支持。</w:t>
            </w:r>
            <w:r>
              <w:rPr>
                <w:sz w:val="21"/>
              </w:rPr>
              <w:t>（</w:t>
            </w:r>
            <w:r>
              <w:rPr>
                <w:sz w:val="21"/>
              </w:rPr>
              <w:t>费用包含在投标报价中）</w:t>
            </w:r>
          </w:p>
          <w:p>
            <w:pPr>
              <w:pStyle w:val="null3"/>
              <w:ind w:firstLine="420"/>
            </w:pPr>
            <w:r>
              <w:rPr>
                <w:sz w:val="21"/>
              </w:rPr>
              <w:t>2. 交付物要求</w:t>
            </w:r>
          </w:p>
          <w:p>
            <w:pPr>
              <w:pStyle w:val="null3"/>
              <w:ind w:firstLine="420"/>
            </w:pPr>
            <w:r>
              <w:rPr>
                <w:sz w:val="21"/>
              </w:rPr>
              <w:t>2.1 按采购</w:t>
            </w:r>
            <w:r>
              <w:rPr>
                <w:sz w:val="21"/>
              </w:rPr>
              <w:t>人</w:t>
            </w:r>
            <w:r>
              <w:rPr>
                <w:sz w:val="21"/>
              </w:rPr>
              <w:t>约定节点和内容提交如下交付物：</w:t>
            </w:r>
          </w:p>
          <w:p>
            <w:pPr>
              <w:pStyle w:val="null3"/>
              <w:ind w:firstLine="420"/>
            </w:pPr>
            <w:r>
              <w:rPr>
                <w:sz w:val="21"/>
              </w:rPr>
              <w:t>- 微调后的垂域大模型（支持5个专项任务和1个增量学习，含全部训练参数与部署包）</w:t>
            </w:r>
          </w:p>
          <w:p>
            <w:pPr>
              <w:pStyle w:val="null3"/>
              <w:ind w:firstLine="420"/>
            </w:pPr>
            <w:r>
              <w:rPr>
                <w:sz w:val="21"/>
              </w:rPr>
              <w:t>- 各专项任务及增量学习任务的训练数据集</w:t>
            </w:r>
          </w:p>
          <w:p>
            <w:pPr>
              <w:pStyle w:val="null3"/>
              <w:ind w:firstLine="420"/>
            </w:pPr>
            <w:r>
              <w:rPr>
                <w:sz w:val="21"/>
              </w:rPr>
              <w:t>- 推理API部署包、接口文档及调用示例</w:t>
            </w:r>
          </w:p>
          <w:p>
            <w:pPr>
              <w:pStyle w:val="null3"/>
              <w:ind w:firstLine="420"/>
            </w:pPr>
            <w:r>
              <w:rPr>
                <w:sz w:val="21"/>
              </w:rPr>
              <w:t>- 全流程操作与维护手册</w:t>
            </w:r>
          </w:p>
          <w:p>
            <w:pPr>
              <w:pStyle w:val="null3"/>
              <w:ind w:firstLine="420"/>
            </w:pPr>
            <w:r>
              <w:rPr>
                <w:sz w:val="21"/>
              </w:rPr>
              <w:t>- 服务器及资源环境租赁证明材料</w:t>
            </w:r>
          </w:p>
          <w:p>
            <w:pPr>
              <w:pStyle w:val="null3"/>
              <w:ind w:firstLine="420"/>
            </w:pPr>
            <w:r>
              <w:rPr>
                <w:sz w:val="21"/>
              </w:rPr>
              <w:t>2.2 模型性能质量要求：</w:t>
            </w:r>
          </w:p>
          <w:p>
            <w:pPr>
              <w:pStyle w:val="null3"/>
              <w:ind w:firstLine="420"/>
            </w:pPr>
            <w:r>
              <w:rPr>
                <w:sz w:val="21"/>
              </w:rPr>
              <w:t>- 模型知识问答准确率≥90%；</w:t>
            </w:r>
          </w:p>
          <w:p>
            <w:pPr>
              <w:pStyle w:val="null3"/>
              <w:ind w:firstLine="420"/>
            </w:pPr>
            <w:r>
              <w:rPr>
                <w:sz w:val="21"/>
              </w:rPr>
              <w:t>- 在指定测试集上，模型关键任务性能（如准确率、鲁棒性等）较基模型（微调前）绝对提升≥10%；</w:t>
            </w:r>
          </w:p>
          <w:p>
            <w:pPr>
              <w:pStyle w:val="null3"/>
              <w:ind w:firstLine="420"/>
            </w:pPr>
            <w:r>
              <w:rPr>
                <w:sz w:val="21"/>
              </w:rPr>
              <w:t>- 其它专项任务和增量学习任务性能</w:t>
            </w:r>
            <w:r>
              <w:rPr>
                <w:sz w:val="21"/>
              </w:rPr>
              <w:t>应</w:t>
            </w:r>
            <w:r>
              <w:rPr>
                <w:sz w:val="21"/>
              </w:rPr>
              <w:t>达到采购</w:t>
            </w:r>
            <w:r>
              <w:rPr>
                <w:sz w:val="21"/>
              </w:rPr>
              <w:t>人</w:t>
            </w:r>
            <w:r>
              <w:rPr>
                <w:sz w:val="21"/>
              </w:rPr>
              <w:t>协议要求。</w:t>
            </w:r>
          </w:p>
          <w:p>
            <w:pPr>
              <w:pStyle w:val="null3"/>
              <w:ind w:firstLine="420"/>
            </w:pPr>
            <w:r>
              <w:rPr>
                <w:sz w:val="21"/>
              </w:rPr>
              <w:t>- 每次阶段交付</w:t>
            </w:r>
            <w:r>
              <w:rPr>
                <w:sz w:val="21"/>
              </w:rPr>
              <w:t>应</w:t>
            </w:r>
            <w:r>
              <w:rPr>
                <w:sz w:val="21"/>
              </w:rPr>
              <w:t>附详细质量控制、性能测评和提升分析报告。</w:t>
            </w:r>
          </w:p>
          <w:p>
            <w:pPr>
              <w:pStyle w:val="null3"/>
              <w:ind w:firstLine="420"/>
            </w:pPr>
            <w:r>
              <w:rPr>
                <w:sz w:val="21"/>
              </w:rPr>
              <w:t>- 验收时，由采购</w:t>
            </w:r>
            <w:r>
              <w:rPr>
                <w:sz w:val="21"/>
              </w:rPr>
              <w:t>人</w:t>
            </w:r>
            <w:r>
              <w:rPr>
                <w:sz w:val="21"/>
              </w:rPr>
              <w:t>提供或双方共同确认测试集，</w:t>
            </w:r>
            <w:r>
              <w:rPr>
                <w:sz w:val="21"/>
              </w:rPr>
              <w:t>中标人</w:t>
            </w:r>
            <w:r>
              <w:rPr>
                <w:sz w:val="21"/>
              </w:rPr>
              <w:t>在指定环境中运行模型并输出结果，由采购</w:t>
            </w:r>
            <w:r>
              <w:rPr>
                <w:sz w:val="21"/>
              </w:rPr>
              <w:t>人</w:t>
            </w:r>
            <w:r>
              <w:rPr>
                <w:sz w:val="21"/>
              </w:rPr>
              <w:t>确定测试方案后由第三方测试机构按照测试方案出具测试报告进行评定。</w:t>
            </w:r>
          </w:p>
          <w:p>
            <w:pPr>
              <w:pStyle w:val="null3"/>
              <w:ind w:firstLine="420"/>
            </w:pPr>
            <w:r>
              <w:rPr>
                <w:sz w:val="21"/>
              </w:rPr>
              <w:t>2.3 采购</w:t>
            </w:r>
            <w:r>
              <w:rPr>
                <w:sz w:val="21"/>
              </w:rPr>
              <w:t>人</w:t>
            </w:r>
            <w:r>
              <w:rPr>
                <w:sz w:val="21"/>
              </w:rPr>
              <w:t>抽检与模型返调：</w:t>
            </w:r>
          </w:p>
          <w:p>
            <w:pPr>
              <w:pStyle w:val="null3"/>
              <w:ind w:firstLine="420"/>
            </w:pPr>
            <w:r>
              <w:rPr>
                <w:sz w:val="21"/>
              </w:rPr>
              <w:t>- 采购</w:t>
            </w:r>
            <w:r>
              <w:rPr>
                <w:sz w:val="21"/>
              </w:rPr>
              <w:t>人</w:t>
            </w:r>
            <w:r>
              <w:rPr>
                <w:sz w:val="21"/>
              </w:rPr>
              <w:t>有权对交付模型、</w:t>
            </w:r>
            <w:r>
              <w:rPr>
                <w:sz w:val="21"/>
              </w:rPr>
              <w:t>API及数据集抽检，抽检比例不低于10%，如发现问题</w:t>
            </w:r>
            <w:r>
              <w:rPr>
                <w:sz w:val="21"/>
              </w:rPr>
              <w:t>中标人应</w:t>
            </w:r>
            <w:r>
              <w:rPr>
                <w:sz w:val="21"/>
              </w:rPr>
              <w:t>无条件持续优化直至达标。</w:t>
            </w:r>
          </w:p>
          <w:p>
            <w:pPr>
              <w:pStyle w:val="null3"/>
              <w:ind w:firstLine="420"/>
            </w:pPr>
            <w:r>
              <w:rPr>
                <w:sz w:val="21"/>
              </w:rPr>
              <w:t>2.4 服务响应时效要求：</w:t>
            </w:r>
          </w:p>
          <w:p>
            <w:pPr>
              <w:pStyle w:val="null3"/>
              <w:ind w:firstLine="420"/>
            </w:pPr>
            <w:r>
              <w:rPr>
                <w:sz w:val="21"/>
              </w:rPr>
              <w:t>- 采购</w:t>
            </w:r>
            <w:r>
              <w:rPr>
                <w:sz w:val="21"/>
              </w:rPr>
              <w:t>人</w:t>
            </w:r>
            <w:r>
              <w:rPr>
                <w:sz w:val="21"/>
              </w:rPr>
              <w:t>咨询、故障报修、技术问题等，</w:t>
            </w:r>
            <w:r>
              <w:rPr>
                <w:sz w:val="21"/>
              </w:rPr>
              <w:t>中标人应</w:t>
            </w:r>
            <w:r>
              <w:rPr>
                <w:sz w:val="21"/>
              </w:rPr>
              <w:t>2个工作日内响应并给出清晰解决方案；关键故障需24小时内启动应急处理及进展同步。</w:t>
            </w:r>
            <w:r>
              <w:br/>
            </w:r>
          </w:p>
          <w:p>
            <w:pPr>
              <w:pStyle w:val="null3"/>
              <w:ind w:firstLine="420"/>
            </w:pPr>
            <w:r>
              <w:rPr/>
              <w:t xml:space="preserve"> </w:t>
            </w:r>
          </w:p>
          <w:p>
            <w:pPr>
              <w:pStyle w:val="null3"/>
              <w:ind w:firstLine="420"/>
            </w:pPr>
            <w:r>
              <w:rPr>
                <w:sz w:val="21"/>
              </w:rPr>
              <w:t>（十一）</w:t>
            </w:r>
            <w:r>
              <w:rPr>
                <w:sz w:val="21"/>
              </w:rPr>
              <w:t>教学智能体开发平台</w:t>
            </w:r>
            <w:r>
              <w:rPr>
                <w:sz w:val="21"/>
              </w:rPr>
              <w:t>1 套</w:t>
            </w:r>
          </w:p>
          <w:p>
            <w:pPr>
              <w:pStyle w:val="null3"/>
              <w:ind w:firstLine="420"/>
            </w:pPr>
            <w:r>
              <w:rPr>
                <w:sz w:val="21"/>
              </w:rPr>
              <w:t>教学智能体开发平台</w:t>
            </w:r>
            <w:r>
              <w:rPr>
                <w:sz w:val="21"/>
              </w:rPr>
              <w:t>应</w:t>
            </w:r>
            <w:r>
              <w:rPr>
                <w:sz w:val="21"/>
              </w:rPr>
              <w:t>为教学人员提供低代码教学智能体（</w:t>
            </w:r>
            <w:r>
              <w:rPr>
                <w:sz w:val="21"/>
              </w:rPr>
              <w:t>Agent）编排工具，助力快速构建各类型智能教学应用。具体功能和要求如下：</w:t>
            </w:r>
          </w:p>
          <w:p>
            <w:pPr>
              <w:pStyle w:val="null3"/>
              <w:ind w:firstLine="420"/>
            </w:pPr>
            <w:r>
              <w:rPr>
                <w:sz w:val="21"/>
              </w:rPr>
              <w:t>1.</w:t>
            </w:r>
            <w:r>
              <w:rPr>
                <w:sz w:val="21"/>
              </w:rPr>
              <w:t>交付物与基础要求</w:t>
            </w:r>
            <w:r>
              <w:rPr>
                <w:sz w:val="21"/>
              </w:rPr>
              <w:t xml:space="preserve">  </w:t>
            </w:r>
          </w:p>
          <w:p>
            <w:pPr>
              <w:pStyle w:val="null3"/>
              <w:ind w:firstLine="420"/>
            </w:pPr>
            <w:r>
              <w:rPr>
                <w:sz w:val="21"/>
              </w:rPr>
              <w:t>1.1 交付物包括：教学智能体开发工具平台（支持</w:t>
            </w:r>
            <w:r>
              <w:rPr>
                <w:sz w:val="21"/>
              </w:rPr>
              <w:t>≥</w:t>
            </w:r>
            <w:r>
              <w:rPr>
                <w:sz w:val="21"/>
              </w:rPr>
              <w:t>200人并发），以及定制开发3个特定场景智能体应用（人工智能通识教育智能体、AI教研智能体、AI for Social Science智能体），融合大语言模型、知识图谱与多源异构数据处理能力，强调可解释性、适龄性、学科规范与数据安全。后续项目交付过程中可根据结合</w:t>
            </w:r>
            <w:r>
              <w:rPr>
                <w:sz w:val="21"/>
              </w:rPr>
              <w:t>采购人</w:t>
            </w:r>
            <w:r>
              <w:rPr>
                <w:sz w:val="21"/>
              </w:rPr>
              <w:t>需求对智能体名称或者建设内容进行调整或者变更。</w:t>
            </w:r>
          </w:p>
          <w:p>
            <w:pPr>
              <w:pStyle w:val="null3"/>
              <w:ind w:firstLine="420"/>
            </w:pPr>
            <w:r>
              <w:rPr>
                <w:sz w:val="21"/>
              </w:rPr>
              <w:t xml:space="preserve">1.2 </w:t>
            </w:r>
            <w:r>
              <w:rPr>
                <w:sz w:val="21"/>
              </w:rPr>
              <w:t>应</w:t>
            </w:r>
            <w:r>
              <w:rPr>
                <w:sz w:val="21"/>
              </w:rPr>
              <w:t>提供基于人工智能通识课程内容训练的</w:t>
            </w:r>
            <w:r>
              <w:rPr>
                <w:sz w:val="21"/>
              </w:rPr>
              <w:t>AI问答智能体，该问答智能体</w:t>
            </w:r>
            <w:r>
              <w:rPr>
                <w:sz w:val="21"/>
              </w:rPr>
              <w:t>应</w:t>
            </w:r>
            <w:r>
              <w:rPr>
                <w:sz w:val="21"/>
              </w:rPr>
              <w:t>依托本项目构建的</w:t>
            </w:r>
            <w:r>
              <w:rPr>
                <w:sz w:val="21"/>
              </w:rPr>
              <w:t>RAG知识库及知识图谱，集成本项目微调的人工智能通识教育大模型，支持用户提问- AI回答-用户评价的流程。AI回答响应时延</w:t>
            </w:r>
            <w:r>
              <w:rPr>
                <w:sz w:val="21"/>
              </w:rPr>
              <w:t>≤</w:t>
            </w:r>
            <w:r>
              <w:rPr>
                <w:sz w:val="21"/>
              </w:rPr>
              <w:t>5秒，答复准确率</w:t>
            </w:r>
            <w:r>
              <w:rPr>
                <w:sz w:val="21"/>
              </w:rPr>
              <w:t>≥</w:t>
            </w:r>
            <w:r>
              <w:rPr>
                <w:sz w:val="21"/>
              </w:rPr>
              <w:t xml:space="preserve">90%。  </w:t>
            </w:r>
          </w:p>
          <w:p>
            <w:pPr>
              <w:pStyle w:val="null3"/>
              <w:ind w:firstLine="420"/>
            </w:pPr>
            <w:r>
              <w:rPr>
                <w:sz w:val="21"/>
              </w:rPr>
              <w:t>1.3 面向中小学教师侧重智能体应用与教学反思，面向高校师生侧重模型微调与AI开发，面向管理员侧重数据标注与知识库构建。</w:t>
            </w:r>
          </w:p>
          <w:p>
            <w:pPr>
              <w:pStyle w:val="null3"/>
              <w:ind w:firstLine="420"/>
            </w:pPr>
            <w:r>
              <w:rPr>
                <w:sz w:val="21"/>
              </w:rPr>
              <w:t>1.</w:t>
            </w:r>
            <w:r>
              <w:rPr>
                <w:sz w:val="21"/>
              </w:rPr>
              <w:t>4</w:t>
            </w:r>
            <w:r>
              <w:rPr/>
              <w:t xml:space="preserve"> </w:t>
            </w:r>
            <w:r>
              <w:rPr>
                <w:sz w:val="21"/>
              </w:rPr>
              <w:t>中标人应提供应用服务器，服务器使用期</w:t>
            </w:r>
            <w:r>
              <w:rPr>
                <w:sz w:val="21"/>
              </w:rPr>
              <w:t>≥3年。（费用包含在投标报价中</w:t>
            </w:r>
            <w:r>
              <w:rPr>
                <w:sz w:val="21"/>
              </w:rPr>
              <w:t>）</w:t>
            </w:r>
          </w:p>
          <w:p>
            <w:pPr>
              <w:pStyle w:val="null3"/>
              <w:ind w:firstLine="420"/>
            </w:pPr>
            <w:r>
              <w:rPr>
                <w:sz w:val="21"/>
              </w:rPr>
              <w:t xml:space="preserve">2. 平台核心功能要求  </w:t>
            </w:r>
          </w:p>
          <w:p>
            <w:pPr>
              <w:pStyle w:val="null3"/>
              <w:ind w:firstLine="420"/>
            </w:pPr>
            <w:r>
              <w:rPr>
                <w:sz w:val="21"/>
              </w:rPr>
              <w:t>▲</w:t>
            </w:r>
            <w:r>
              <w:rPr>
                <w:sz w:val="21"/>
              </w:rPr>
              <w:t>2.1 平台支持</w:t>
            </w:r>
            <w:r>
              <w:rPr>
                <w:sz w:val="21"/>
              </w:rPr>
              <w:t>灵活</w:t>
            </w:r>
            <w:r>
              <w:rPr>
                <w:sz w:val="21"/>
              </w:rPr>
              <w:t>接入不同种类</w:t>
            </w:r>
            <w:r>
              <w:rPr>
                <w:sz w:val="21"/>
              </w:rPr>
              <w:t>AI模型，包括但不限于大语言模型（LLM）、多模态模型、向量嵌入（Embedding）模型、语音转文字（ASR）模型、文字转语音（TTS）模型，支持配置模型参数（如温度、Top P等）、支持按智能体维度对大模型的使用情况进行统计分析。</w:t>
            </w:r>
          </w:p>
          <w:p>
            <w:pPr>
              <w:pStyle w:val="null3"/>
              <w:ind w:firstLine="420"/>
            </w:pPr>
            <w:r>
              <w:rPr>
                <w:sz w:val="21"/>
              </w:rPr>
              <w:t xml:space="preserve">2.2 平台支持知识库的创建与管理，可支持导入 Word、PDF、Excel </w:t>
            </w:r>
            <w:r>
              <w:rPr>
                <w:sz w:val="21"/>
              </w:rPr>
              <w:t>、图像、</w:t>
            </w:r>
            <w:r>
              <w:rPr>
                <w:sz w:val="21"/>
              </w:rPr>
              <w:t>PPT课件</w:t>
            </w:r>
            <w:r>
              <w:rPr>
                <w:sz w:val="21"/>
              </w:rPr>
              <w:t>等多种格式文档，支持知识库的使用和管理权限设置，支持将知识库与智能体绑定，实现基于知识库内容的智能问答。</w:t>
            </w:r>
          </w:p>
          <w:p>
            <w:pPr>
              <w:pStyle w:val="null3"/>
              <w:ind w:firstLine="420"/>
            </w:pPr>
            <w:r>
              <w:rPr>
                <w:sz w:val="21"/>
              </w:rPr>
              <w:t>▲2.3 平台支持多种智能体构建方式，至少包括：基于提示词构建的问答型智能体、基于可视化工作流引擎构建的流程型智能体等。支持自主规划智能体、多智能体类型创建；多智能体，配置多个子智能体，由单一智能体统一规划调度。</w:t>
            </w:r>
          </w:p>
          <w:p>
            <w:pPr>
              <w:pStyle w:val="null3"/>
              <w:ind w:firstLine="420"/>
            </w:pPr>
            <w:r>
              <w:rPr>
                <w:sz w:val="21"/>
              </w:rPr>
              <w:t>2.</w:t>
            </w:r>
            <w:r>
              <w:rPr>
                <w:sz w:val="21"/>
              </w:rPr>
              <w:t>4</w:t>
            </w:r>
            <w:r>
              <w:rPr>
                <w:sz w:val="21"/>
              </w:rPr>
              <w:t xml:space="preserve"> </w:t>
            </w:r>
            <w:r>
              <w:rPr>
                <w:sz w:val="21"/>
              </w:rPr>
              <w:t>支持对智能体应用进行详细设置，包括但不限于：角色提示词、关联知识库、工具插件、用户访问权限管理等。</w:t>
            </w:r>
          </w:p>
          <w:p>
            <w:pPr>
              <w:pStyle w:val="null3"/>
              <w:ind w:firstLine="420"/>
            </w:pPr>
            <w:r>
              <w:rPr>
                <w:sz w:val="21"/>
              </w:rPr>
              <w:t>▲2.5 输入支持：支持用户上传文件、图片、视频、音频进行对话。其中文件和图片是LLM和VLM模型时必须支持，视频和音频至少VLM模型下支持对话分析，且不是依赖工具或插件。</w:t>
            </w:r>
          </w:p>
          <w:p>
            <w:pPr>
              <w:pStyle w:val="null3"/>
              <w:ind w:firstLine="420"/>
            </w:pPr>
            <w:r>
              <w:rPr>
                <w:sz w:val="21"/>
              </w:rPr>
              <w:t>▲2.</w:t>
            </w:r>
            <w:r>
              <w:rPr>
                <w:sz w:val="21"/>
              </w:rPr>
              <w:t>6</w:t>
            </w:r>
            <w:r>
              <w:rPr>
                <w:sz w:val="21"/>
              </w:rPr>
              <w:t xml:space="preserve"> </w:t>
            </w:r>
            <w:r>
              <w:rPr>
                <w:sz w:val="21"/>
              </w:rPr>
              <w:t>必须提供完全可视化</w:t>
            </w:r>
            <w:r>
              <w:rPr>
                <w:sz w:val="21"/>
              </w:rPr>
              <w:t>的拖拽式工作流画布，用户可通过连线定义智能体逻辑，节点类型包括：开始、意图识别、条件判断、大模型节点、知识库检索、</w:t>
            </w:r>
            <w:r>
              <w:rPr>
                <w:sz w:val="21"/>
              </w:rPr>
              <w:t xml:space="preserve">API接口调用、回复等节点。  </w:t>
            </w:r>
          </w:p>
          <w:p>
            <w:pPr>
              <w:pStyle w:val="null3"/>
              <w:ind w:firstLine="420"/>
              <w:jc w:val="both"/>
            </w:pPr>
            <w:r>
              <w:rPr>
                <w:sz w:val="21"/>
              </w:rPr>
              <w:t>2.</w:t>
            </w:r>
            <w:r>
              <w:rPr>
                <w:sz w:val="21"/>
              </w:rPr>
              <w:t>7</w:t>
            </w:r>
            <w:r>
              <w:rPr>
                <w:sz w:val="21"/>
              </w:rPr>
              <w:t xml:space="preserve"> </w:t>
            </w:r>
            <w:r>
              <w:rPr>
                <w:sz w:val="21"/>
              </w:rPr>
              <w:t>平台提供提示词编写与调试工具，支持实时调试提示词效果、管理提示词历史版本，并内置提示词模板库，覆盖多种教学典型业务场景。</w:t>
            </w:r>
          </w:p>
          <w:p>
            <w:pPr>
              <w:pStyle w:val="null3"/>
              <w:ind w:firstLine="420"/>
              <w:jc w:val="both"/>
            </w:pPr>
            <w:r>
              <w:rPr>
                <w:sz w:val="21"/>
              </w:rPr>
              <w:t>2.</w:t>
            </w:r>
            <w:r>
              <w:rPr>
                <w:sz w:val="21"/>
              </w:rPr>
              <w:t>8</w:t>
            </w:r>
            <w:r>
              <w:rPr>
                <w:sz w:val="21"/>
              </w:rPr>
              <w:t xml:space="preserve"> </w:t>
            </w:r>
            <w:r>
              <w:rPr>
                <w:sz w:val="21"/>
              </w:rPr>
              <w:t>支持通过开放接口（</w:t>
            </w:r>
            <w:r>
              <w:rPr>
                <w:sz w:val="21"/>
              </w:rPr>
              <w:t>API）集成第三方AI服务、外部知识库及教育类工具，满足场景扩展和异构资源调用需求。平台</w:t>
            </w:r>
            <w:r>
              <w:rPr>
                <w:sz w:val="21"/>
              </w:rPr>
              <w:t>应</w:t>
            </w:r>
            <w:r>
              <w:rPr>
                <w:sz w:val="21"/>
              </w:rPr>
              <w:t>提供标准的内部</w:t>
            </w:r>
            <w:r>
              <w:rPr>
                <w:sz w:val="21"/>
              </w:rPr>
              <w:t>/外部数据接口，包括但不限于RESTful API/Webhook等协议，方便校内外系统数据打通与流程协作。</w:t>
            </w:r>
          </w:p>
          <w:p>
            <w:pPr>
              <w:pStyle w:val="null3"/>
              <w:ind w:firstLine="420"/>
              <w:jc w:val="both"/>
            </w:pPr>
            <w:r>
              <w:rPr>
                <w:sz w:val="21"/>
              </w:rPr>
              <w:t>▲2.</w:t>
            </w:r>
            <w:r>
              <w:rPr>
                <w:sz w:val="21"/>
              </w:rPr>
              <w:t>9</w:t>
            </w:r>
            <w:r>
              <w:rPr>
                <w:sz w:val="21"/>
              </w:rPr>
              <w:t xml:space="preserve"> </w:t>
            </w:r>
            <w:r>
              <w:rPr>
                <w:sz w:val="21"/>
              </w:rPr>
              <w:t>平台提供工具插件管理能力，提供内置工具包括但不限于知识点提取、联网搜索、图表生成、试题</w:t>
            </w:r>
            <w:r>
              <w:rPr>
                <w:sz w:val="21"/>
              </w:rPr>
              <w:t>OCR解析等能力，支持通过 OpenAPI 标准规范或 MCP 协议接入第三方工具服务</w:t>
            </w:r>
            <w:r>
              <w:rPr>
                <w:sz w:val="21"/>
              </w:rPr>
              <w:t>。</w:t>
            </w:r>
            <w:r>
              <w:rPr>
                <w:sz w:val="21"/>
              </w:rPr>
              <w:t>工具组件支持自定义扩展及二次开发，允许合作单位基于平台能力包拓展更多智能体应用场景。</w:t>
            </w:r>
          </w:p>
          <w:p>
            <w:pPr>
              <w:pStyle w:val="null3"/>
              <w:ind w:firstLine="420"/>
              <w:jc w:val="both"/>
            </w:pPr>
            <w:r>
              <w:rPr>
                <w:sz w:val="21"/>
              </w:rPr>
              <w:t>▲</w:t>
            </w:r>
            <w:r>
              <w:rPr>
                <w:sz w:val="21"/>
              </w:rPr>
              <w:t>2.</w:t>
            </w:r>
            <w:r>
              <w:rPr>
                <w:sz w:val="21"/>
              </w:rPr>
              <w:t>10</w:t>
            </w:r>
            <w:r>
              <w:rPr/>
              <w:t xml:space="preserve"> </w:t>
            </w:r>
            <w:r>
              <w:rPr>
                <w:sz w:val="21"/>
              </w:rPr>
              <w:t>发布为独立网页：支持将智能体发布为独立的网页，支持嵌入方式嵌入第三方已有系统，支持非鉴权和鉴权两种机制。</w:t>
            </w:r>
            <w:r>
              <w:rPr>
                <w:sz w:val="21"/>
              </w:rPr>
              <w:t>平台应支持将教学智能体应用</w:t>
            </w:r>
            <w:r>
              <w:rPr>
                <w:sz w:val="21"/>
              </w:rPr>
              <w:t>“一键封装”为标准接口能力，以支持智能体作为独立能力被平台内其他智能体调用，也可对外提供标准 API 供校内外第三方系统集成调用。</w:t>
            </w:r>
          </w:p>
          <w:p>
            <w:pPr>
              <w:pStyle w:val="null3"/>
              <w:ind w:firstLine="420"/>
              <w:jc w:val="both"/>
            </w:pPr>
            <w:r>
              <w:rPr>
                <w:sz w:val="21"/>
              </w:rPr>
              <w:t>2.1</w:t>
            </w:r>
            <w:r>
              <w:rPr>
                <w:sz w:val="21"/>
              </w:rPr>
              <w:t>1</w:t>
            </w:r>
            <w:r>
              <w:rPr>
                <w:sz w:val="21"/>
              </w:rPr>
              <w:t xml:space="preserve"> </w:t>
            </w:r>
            <w:r>
              <w:rPr>
                <w:sz w:val="21"/>
              </w:rPr>
              <w:t>需为平台提供</w:t>
            </w:r>
            <w:r>
              <w:rPr>
                <w:sz w:val="21"/>
              </w:rPr>
              <w:t>至少</w:t>
            </w:r>
            <w:r>
              <w:rPr>
                <w:sz w:val="21"/>
              </w:rPr>
              <w:t>3</w:t>
            </w:r>
            <w:r>
              <w:rPr>
                <w:sz w:val="21"/>
              </w:rPr>
              <w:t>年</w:t>
            </w:r>
            <w:r>
              <w:rPr>
                <w:sz w:val="21"/>
              </w:rPr>
              <w:t>无条件</w:t>
            </w:r>
            <w:r>
              <w:rPr>
                <w:sz w:val="21"/>
              </w:rPr>
              <w:t>定期维护服务。</w:t>
            </w:r>
            <w:r>
              <w:rPr>
                <w:sz w:val="21"/>
              </w:rPr>
              <w:t>（</w:t>
            </w:r>
            <w:r>
              <w:rPr>
                <w:sz w:val="21"/>
              </w:rPr>
              <w:t>费用包含在投标报价中）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采购包1：保证金人民币26500.0元整</w:t>
            </w:r>
          </w:p>
          <w:p>
            <w:pPr>
              <w:pStyle w:val="null3"/>
            </w:pPr>
            <w:r>
              <w:rPr/>
              <w:t>缴费渠道：</w:t>
            </w:r>
            <w:r>
              <w:rPr/>
              <w:t>电子保函（保险）</w:t>
            </w:r>
            <w:r>
              <w:rPr/>
              <w:t>、支票（本票、汇票）</w:t>
            </w:r>
            <w:r>
              <w:rPr/>
              <w:t>、其他</w:t>
            </w:r>
          </w:p>
          <w:p>
            <w:pPr>
              <w:pStyle w:val="null3"/>
            </w:pPr>
            <w:r>
              <w:rPr/>
              <w:t>开户单位：广东志正招标有限公司</w:t>
            </w:r>
          </w:p>
          <w:p>
            <w:pPr>
              <w:pStyle w:val="null3"/>
            </w:pPr>
            <w:r>
              <w:rPr/>
              <w:t>开户账号：800201177509011</w:t>
            </w:r>
          </w:p>
          <w:p>
            <w:pPr>
              <w:pStyle w:val="null3"/>
            </w:pPr>
            <w:r>
              <w:rPr/>
              <w:t>开户银行：广州银行股份有限公司龙口西支行</w:t>
            </w:r>
          </w:p>
          <w:p>
            <w:pPr>
              <w:pStyle w:val="null3"/>
            </w:pPr>
            <w:r>
              <w:rPr/>
              <w:t>支票提交方式：保证金相关事宜联系人：廖小姐 联系电话：020-87554268</w:t>
            </w:r>
          </w:p>
          <w:p>
            <w:pPr>
              <w:pStyle w:val="null3"/>
            </w:pPr>
            <w:r>
              <w:rPr/>
              <w:t>汇票、本票提交方式：保证金相关事宜联系人：廖小姐 联系电话：020-87554268</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（1）以预算金额作为代理服务费的计算基数； （2）代理服务费采用差额定率累进法进行计算，按照以下标准计取：100万元以下的部分，按照1.5%计取； 100-500万元的部分，按照0.8%计取；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实施本国产品标准，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2）便利化措施，1.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华南师范大学基础教育大模型定制开发服务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采购包1（华南师范大学基础教育大模型定制开发服务采购）：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采购包1（华南师范大学基础教育大模型定制开发服务采购）：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采购包1（华南师范大学基础教育大模型定制开发服务采购）：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符合投标有效期要求</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投标保证金已按招标文件要求缴纳</w:t>
            </w:r>
          </w:p>
        </w:tc>
      </w:tr>
      <w:tr>
        <w:tc>
          <w:tcPr>
            <w:tcW w:type="dxa" w:w="890"/>
          </w:tcPr>
          <w:p>
            <w:pPr>
              <w:pStyle w:val="null3"/>
            </w:pPr>
            <w:r>
              <w:rPr/>
              <w:t>3</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投标报价未超项目预算（限价）</w:t>
            </w:r>
          </w:p>
        </w:tc>
      </w:tr>
      <w:tr>
        <w:tc>
          <w:tcPr>
            <w:tcW w:type="dxa" w:w="890"/>
          </w:tcPr>
          <w:p>
            <w:pPr>
              <w:pStyle w:val="null3"/>
            </w:pPr>
            <w:r>
              <w:rPr/>
              <w:t>5</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6</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采购包1(华南师范大学基础教育大模型定制开发服务采购):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带“▲”号重要技术参数响应情况 (30.0分)</w:t>
            </w:r>
          </w:p>
        </w:tc>
        <w:tc>
          <w:tcPr>
            <w:tcW w:type="dxa" w:w="5076"/>
          </w:tcPr>
          <w:p>
            <w:pPr>
              <w:pStyle w:val="null3"/>
              <w:jc w:val="left"/>
            </w:pPr>
            <w:r>
              <w:rPr/>
              <w:t>根据投标人对“第二章 采购需求”【具体技术(参数)要求】的重要技术参数（即▲号条款）的响应情况进行评分：每完全响应或完全满足或正偏离或无偏离1条的，得2分，最高得30分。本项目共15条重要技术参数。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项目实施方案 (13.0分)</w:t>
            </w:r>
          </w:p>
        </w:tc>
        <w:tc>
          <w:tcPr>
            <w:tcW w:type="dxa" w:w="5076"/>
          </w:tcPr>
          <w:p>
            <w:pPr>
              <w:pStyle w:val="null3"/>
              <w:jc w:val="left"/>
            </w:pPr>
            <w:r>
              <w:rPr/>
              <w:t>根据投标人提供的对本项目的综合设计方案及实施方案（包括项目理解深度与总体规划设计、建设内容实施路径、总体技术架构、项目管理与进度安排、项目组织与资源配置、项目风险识别与应对、驻场人员安排、驻场服务响应机制、驻场开发计划等维度）进行评审： 1、投标人对项目建设内容的理解透彻，服务内容分析全面，综合设计方案及实施方案完全满足采购需求的，得13分； 2、投标人对项目建设内容的理解完整，服务内容分析基本完善，综合设计方案及实施方案较满足采购需求的，得8分； 3、投标人对项目建设内容的理解简略，服务内容分析简单的，综合设计方案及实施方案不太满足采购需求的，得3分。 4、不提供或未能体现上述内容的不得分。</w:t>
            </w:r>
          </w:p>
        </w:tc>
      </w:tr>
      <w:tr>
        <w:tc>
          <w:tcPr>
            <w:tcW w:type="dxa" w:w="922"/>
            <w:gridSpan w:val="2"/>
            <w:vMerge/>
          </w:tcPr>
          <w:p/>
        </w:tc>
        <w:tc>
          <w:tcPr>
            <w:tcW w:type="dxa" w:w="2307"/>
          </w:tcPr>
          <w:p>
            <w:pPr>
              <w:pStyle w:val="null3"/>
              <w:jc w:val="left"/>
            </w:pPr>
            <w:r>
              <w:rPr/>
              <w:t>质量保证措施方案 (7.0分)</w:t>
            </w:r>
          </w:p>
        </w:tc>
        <w:tc>
          <w:tcPr>
            <w:tcW w:type="dxa" w:w="5076"/>
          </w:tcPr>
          <w:p>
            <w:pPr>
              <w:pStyle w:val="null3"/>
              <w:jc w:val="left"/>
            </w:pPr>
            <w:r>
              <w:rPr/>
              <w:t>根据投标人对本项目提供的质量保证措施方案（包括但不限于质量管理体系、故障处理方案、平台维护及升级方案等）进行评审： 1、质量保证措施详细齐全、可行性高的、方法合理，得7分； 2、质量保证措施较详细齐全、具备一定可行性的、较合理，得4分； 3、质量保证措施不够详细齐全、不够可行、不合理，得1分； 4、不提供或未能体现上述内容的不得分。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根据投标人提供的对本项目售后服务方案（包括但不限于售后服务承诺、联系电话、质保期过后的维修服务收费标准、售后维保期（即质保期）内的历史数据与模型迁移完整性方案等）进行评审： 1、售后服务方案详细齐全，可行性高，得10分； 2、售后服务方案较详细齐全，可行性较高，得7分； 3、售后服务方案不够详细，不够可行，得4分； 4、不提供或未能体现上述内容的不得分。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根据投标人提供的对本项目技术培训方案（包括但不限于培训条件、培训安排、培训内容、培训对象、培训课时分配、培训课程大纲、培训讲师安排、专项实操培训等）进行评审： 1、培训方案详细、具体，针对性强，培训课时分配及培训课程大纲齐全，培训对象及内容明确，有差异化培训，专项实操培训类型齐全，符合项目实际需要，得5分； 2、培训方案基本可行，有针对性，培训课时分配及培训课程大纲较齐全，培训对象及内容较明确，有一定差异化培训，专项实操培训类型较齐全，基本满足项目需要，得3分； 3、培训方案不够详细，培训课时分配及培训课程大纲不齐全，培训对象及内容较明确，培训差异化不大，专项实操培训类型不齐全，提供的培训条件、内容不具有针对性，得1分； 4、不提供或未能体现上述内容的不得分。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根据投标人提供的自2023年1月1日（以合同签订时间为准）至今承接的同类项目（即大模型应用、大模型训练、大模型语音技术、AI中台等（至少满足四者之一），仅体现通用软件开发或硬件集成，则视为非同类项目），每提供1个项目得2分，最高得10分。 注：需提供完整的项目合同扫描件或复印件。不提供或无法认定的不得分。</w:t>
            </w:r>
          </w:p>
        </w:tc>
      </w:tr>
      <w:tr>
        <w:tc>
          <w:tcPr>
            <w:tcW w:type="dxa" w:w="922"/>
            <w:gridSpan w:val="2"/>
            <w:vMerge/>
          </w:tcPr>
          <w:p/>
        </w:tc>
        <w:tc>
          <w:tcPr>
            <w:tcW w:type="dxa" w:w="2307"/>
          </w:tcPr>
          <w:p>
            <w:pPr>
              <w:pStyle w:val="null3"/>
              <w:jc w:val="left"/>
            </w:pPr>
            <w:r>
              <w:rPr/>
              <w:t>满意度评价 (2.0分)</w:t>
            </w:r>
          </w:p>
        </w:tc>
        <w:tc>
          <w:tcPr>
            <w:tcW w:type="dxa" w:w="5076"/>
          </w:tcPr>
          <w:p>
            <w:pPr>
              <w:pStyle w:val="null3"/>
              <w:jc w:val="left"/>
            </w:pPr>
            <w:r>
              <w:rPr/>
              <w:t>满足上述“同类项目经验”要求的有效业绩，获得客户满意度评价为满意或优或百分制得分为90分（及以上）或同等正面评价的，每提供一个得0.5分，最高得2分。 注：提供客户满意度评价证明材料（须含甲方盖章），不提供或无法认定的不得分。</w:t>
            </w:r>
          </w:p>
        </w:tc>
      </w:tr>
      <w:tr>
        <w:tc>
          <w:tcPr>
            <w:tcW w:type="dxa" w:w="922"/>
            <w:gridSpan w:val="2"/>
            <w:vMerge/>
          </w:tcPr>
          <w:p/>
        </w:tc>
        <w:tc>
          <w:tcPr>
            <w:tcW w:type="dxa" w:w="2307"/>
          </w:tcPr>
          <w:p>
            <w:pPr>
              <w:pStyle w:val="null3"/>
              <w:jc w:val="left"/>
            </w:pPr>
            <w:r>
              <w:rPr/>
              <w:t>项目经理及团队成员 (13.0分)</w:t>
            </w:r>
          </w:p>
        </w:tc>
        <w:tc>
          <w:tcPr>
            <w:tcW w:type="dxa" w:w="5076"/>
          </w:tcPr>
          <w:p>
            <w:pPr>
              <w:pStyle w:val="null3"/>
              <w:jc w:val="left"/>
            </w:pPr>
            <w:r>
              <w:rPr/>
              <w:t>对供应商拟投入本项目的项目经理（仅限1人）、项目技术负责人（仅限1人）及团队成员（不少于5人）进行评审： 1.项目经理（仅限1人）：具有计算机技术与软件专业技术资格（水平）考试的信息系统项目管理师证书或数据库系统工程师或系统架构设计师或系统分析师证书的，每提供其中1个证书得2分，本小点最高得4分。 2.项目技术负责人（仅限1人）：具有计算机技术与软件专业技术资格（水平）考试的信息系统项目管理师或系统架构设计师或软件设计师或系统集成项目管理工程师证书的，每提供其中1个证书得2分，本小点最高得4分。 3.项目团队成员：具有计算机技术与软件专业技术资格（水平）考试的软件评测师或软件设计师或信息安全工程师证书的，每一人提供其中1个证书得1分，本小点最高得5分。（1人多证不得重复得分） 注：项目经理、项目技术负责人、项目团队成员不能重复；第1、2、3点提供行政部门颁发的人员证书复印件及在本单位任职的证明材料（如加盖所在地区政府有关部门印章的缴纳日期在本项目提交投标文件截止日之前六个月以内任一月的《投保单》或《社会保险参保人员证明》，或单位代缴个人所得税税单等。），不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注：本合同仅为合同的参考文本，合同签订双方可根据项目的具体要求进行修订。</w:t>
      </w:r>
    </w:p>
    <w:p>
      <w:pPr>
        <w:pStyle w:val="null3"/>
        <w:jc w:val="both"/>
      </w:pPr>
      <w:r>
        <w:rPr>
          <w:sz w:val="56"/>
          <w:b/>
        </w:rPr>
        <w:t>华南师范大学</w:t>
      </w:r>
    </w:p>
    <w:p>
      <w:pPr>
        <w:pStyle w:val="null3"/>
        <w:spacing w:before="315" w:after="150"/>
        <w:jc w:val="center"/>
      </w:pPr>
      <w:r>
        <w:rPr>
          <w:sz w:val="56"/>
          <w:b/>
        </w:rPr>
        <w:t>技术开发（委托）合同</w:t>
      </w:r>
    </w:p>
    <w:p>
      <w:pPr>
        <w:pStyle w:val="null3"/>
        <w:spacing w:before="315" w:after="150"/>
        <w:jc w:val="both"/>
      </w:pPr>
      <w:r>
        <w:rPr>
          <w:sz w:val="28"/>
          <w:b/>
        </w:rPr>
        <w:t>甲方：</w:t>
      </w:r>
      <w:r>
        <w:rPr>
          <w:sz w:val="28"/>
          <w:b/>
          <w:u w:val="single"/>
        </w:rPr>
        <w:t xml:space="preserve">   </w:t>
      </w:r>
      <w:r>
        <w:rPr>
          <w:sz w:val="28"/>
          <w:b/>
          <w:u w:val="single"/>
        </w:rPr>
        <w:t>华南师范大学</w:t>
      </w:r>
    </w:p>
    <w:p>
      <w:pPr>
        <w:pStyle w:val="null3"/>
        <w:ind w:firstLine="1968"/>
        <w:jc w:val="left"/>
      </w:pPr>
      <w:r>
        <w:rPr>
          <w:sz w:val="28"/>
          <w:b/>
        </w:rPr>
        <w:t>乙方：</w:t>
      </w:r>
      <w:r>
        <w:rPr>
          <w:sz w:val="28"/>
          <w:b/>
          <w:u w:val="single"/>
        </w:rPr>
        <w:t>（必填项）</w:t>
      </w:r>
    </w:p>
    <w:p>
      <w:pPr>
        <w:pStyle w:val="null3"/>
        <w:ind w:firstLine="1968"/>
        <w:jc w:val="left"/>
      </w:pPr>
      <w:r>
        <w:rPr>
          <w:sz w:val="28"/>
          <w:b/>
        </w:rPr>
        <w:t>签订地点：</w:t>
      </w:r>
      <w:r>
        <w:rPr>
          <w:sz w:val="28"/>
          <w:b/>
          <w:u w:val="single"/>
        </w:rPr>
        <w:t xml:space="preserve">   </w:t>
      </w:r>
      <w:r>
        <w:rPr>
          <w:sz w:val="28"/>
          <w:b/>
          <w:u w:val="single"/>
        </w:rPr>
        <w:t>广州市</w:t>
      </w:r>
      <w:r>
        <w:rPr>
          <w:sz w:val="28"/>
          <w:b/>
          <w:u w:val="single"/>
        </w:rPr>
        <w:t>天河区</w:t>
      </w:r>
      <w:r>
        <w:rPr>
          <w:sz w:val="28"/>
          <w:b/>
          <w:u w:val="single"/>
        </w:rPr>
        <w:t xml:space="preserve">   </w:t>
      </w:r>
    </w:p>
    <w:p>
      <w:pPr>
        <w:pStyle w:val="null3"/>
        <w:ind w:firstLine="1968"/>
        <w:jc w:val="left"/>
      </w:pPr>
      <w:r>
        <w:rPr>
          <w:sz w:val="28"/>
          <w:b/>
        </w:rPr>
        <w:t>合同编号：</w:t>
      </w:r>
      <w:r>
        <w:rPr>
          <w:sz w:val="28"/>
          <w:b/>
          <w:u w:val="single"/>
        </w:rPr>
        <w:t>（示例：</w:t>
      </w:r>
      <w:r>
        <w:rPr>
          <w:sz w:val="28"/>
          <w:b/>
          <w:u w:val="single"/>
        </w:rPr>
        <w:t>HT2020XXXXX</w:t>
      </w:r>
      <w:r>
        <w:rPr>
          <w:sz w:val="28"/>
          <w:b/>
          <w:u w:val="single"/>
        </w:rPr>
        <w:t>）</w:t>
      </w:r>
    </w:p>
    <w:p>
      <w:pPr>
        <w:pStyle w:val="null3"/>
        <w:ind w:firstLine="1968"/>
        <w:jc w:val="left"/>
      </w:pPr>
      <w:r>
        <w:rPr>
          <w:sz w:val="28"/>
          <w:b/>
        </w:rPr>
        <w:t>采购编号：</w:t>
      </w:r>
      <w:r>
        <w:rPr>
          <w:sz w:val="28"/>
          <w:b/>
          <w:u w:val="single"/>
        </w:rPr>
        <w:t>（</w:t>
      </w:r>
      <w:r>
        <w:rPr>
          <w:sz w:val="28"/>
          <w:b/>
          <w:u w:val="single"/>
        </w:rPr>
        <w:t>原思必得系统产生</w:t>
      </w:r>
      <w:r>
        <w:rPr>
          <w:sz w:val="28"/>
          <w:b/>
          <w:u w:val="single"/>
        </w:rPr>
        <w:t>）</w:t>
      </w:r>
    </w:p>
    <w:p>
      <w:pPr>
        <w:pStyle w:val="null3"/>
        <w:ind w:firstLine="2168"/>
        <w:jc w:val="left"/>
      </w:pPr>
      <w:r>
        <w:rPr>
          <w:sz w:val="28"/>
          <w:b/>
        </w:rPr>
        <w:t>华南师范大学采购与招投标中心拟制</w:t>
      </w:r>
    </w:p>
    <w:p>
      <w:pPr>
        <w:pStyle w:val="null3"/>
        <w:jc w:val="center"/>
      </w:pPr>
      <w:r>
        <w:rPr>
          <w:sz w:val="28"/>
          <w:b/>
        </w:rPr>
        <w:t>二〇二〇年三月版</w:t>
      </w:r>
    </w:p>
    <w:p>
      <w:pPr>
        <w:pStyle w:val="null3"/>
        <w:jc w:val="both"/>
      </w:pPr>
      <w:r>
        <w:rPr/>
        <w:t xml:space="preserve"> </w:t>
      </w:r>
    </w:p>
    <w:p>
      <w:pPr>
        <w:pStyle w:val="null3"/>
        <w:ind w:firstLine="562"/>
        <w:jc w:val="center"/>
      </w:pPr>
      <w:r>
        <w:rPr>
          <w:sz w:val="28"/>
          <w:b/>
        </w:rPr>
        <w:t>合同使用指引</w:t>
      </w:r>
    </w:p>
    <w:p>
      <w:pPr>
        <w:pStyle w:val="null3"/>
        <w:ind w:firstLine="420"/>
        <w:jc w:val="left"/>
      </w:pPr>
      <w:r>
        <w:rPr>
          <w:sz w:val="21"/>
        </w:rPr>
        <w:t>一、本合同书为华南师范大学</w:t>
      </w:r>
      <w:r>
        <w:rPr>
          <w:sz w:val="21"/>
          <w:b/>
        </w:rPr>
        <w:t>技术开发（委托）</w:t>
      </w:r>
      <w:r>
        <w:rPr>
          <w:sz w:val="21"/>
        </w:rPr>
        <w:t>合同范本。</w:t>
      </w:r>
    </w:p>
    <w:p>
      <w:pPr>
        <w:pStyle w:val="null3"/>
        <w:ind w:firstLine="420"/>
        <w:jc w:val="left"/>
      </w:pPr>
      <w:r>
        <w:rPr>
          <w:sz w:val="21"/>
        </w:rPr>
        <w:t>二、</w:t>
      </w:r>
      <w:r>
        <w:rPr>
          <w:sz w:val="21"/>
          <w:b/>
        </w:rPr>
        <w:t>本合同书原则上不得随意修改、删减</w:t>
      </w:r>
      <w:r>
        <w:rPr>
          <w:sz w:val="21"/>
        </w:rPr>
        <w:t>，如有特殊约定可增加补充条款或附件，但所补充内容不得与已有条款内容相冲突。</w:t>
      </w:r>
    </w:p>
    <w:p>
      <w:pPr>
        <w:pStyle w:val="null3"/>
        <w:ind w:firstLine="420"/>
        <w:jc w:val="left"/>
      </w:pPr>
      <w:r>
        <w:rPr>
          <w:sz w:val="21"/>
        </w:rPr>
        <w:t>三、</w:t>
      </w:r>
      <w:r>
        <w:rPr>
          <w:sz w:val="21"/>
          <w:b/>
        </w:rPr>
        <w:t>画横线处及空格的内容由双方根据实际情况填写，不得留空</w:t>
      </w:r>
      <w:r>
        <w:rPr>
          <w:sz w:val="21"/>
        </w:rPr>
        <w:t>。</w:t>
      </w:r>
    </w:p>
    <w:p>
      <w:pPr>
        <w:pStyle w:val="null3"/>
        <w:ind w:firstLine="420"/>
        <w:jc w:val="left"/>
      </w:pPr>
      <w:r>
        <w:rPr>
          <w:sz w:val="21"/>
        </w:rPr>
        <w:t>四、甲乙双方信息应全部填写完整，合同结尾处的双方签名及签订日期</w:t>
      </w:r>
      <w:r>
        <w:rPr>
          <w:sz w:val="21"/>
          <w:b/>
        </w:rPr>
        <w:t>均应为亲笔签名</w:t>
      </w:r>
      <w:r>
        <w:rPr>
          <w:sz w:val="21"/>
        </w:rPr>
        <w:t>。</w:t>
      </w:r>
    </w:p>
    <w:p>
      <w:pPr>
        <w:pStyle w:val="null3"/>
        <w:ind w:firstLine="420"/>
        <w:jc w:val="left"/>
      </w:pPr>
      <w:r>
        <w:rPr>
          <w:sz w:val="21"/>
        </w:rPr>
        <w:t>五、</w:t>
      </w:r>
      <w:r>
        <w:rPr>
          <w:sz w:val="21"/>
          <w:b/>
        </w:rPr>
        <w:t>本合同书应按规定格式双面打印，大小为</w:t>
      </w:r>
      <w:r>
        <w:rPr>
          <w:sz w:val="21"/>
          <w:b/>
        </w:rPr>
        <w:t>A4幅面，正文内容所用字体应不小于5号字</w:t>
      </w:r>
      <w:r>
        <w:rPr>
          <w:sz w:val="21"/>
        </w:rPr>
        <w:t>。合同附件应与合同书装订在一起，其规格大小应与合同书一致。</w:t>
      </w:r>
    </w:p>
    <w:p>
      <w:pPr>
        <w:pStyle w:val="null3"/>
        <w:ind w:firstLine="420"/>
        <w:jc w:val="left"/>
      </w:pPr>
      <w:r>
        <w:rPr>
          <w:sz w:val="21"/>
        </w:rPr>
        <w:t>六、本合同书经甲乙双方法定代表人或委托代理人签署、加盖单位公章后，送贰份至采购与招投标中心存档备案。</w:t>
      </w:r>
    </w:p>
    <w:p>
      <w:pPr>
        <w:pStyle w:val="null3"/>
        <w:ind w:firstLine="420"/>
        <w:jc w:val="left"/>
      </w:pPr>
      <w:r>
        <w:rPr>
          <w:sz w:val="21"/>
        </w:rPr>
        <w:t>七、甲乙双方应保管好合同书原件。</w:t>
      </w:r>
    </w:p>
    <w:p>
      <w:pPr>
        <w:pStyle w:val="null3"/>
        <w:ind w:firstLine="420"/>
        <w:jc w:val="left"/>
      </w:pPr>
      <w:r>
        <w:rPr>
          <w:sz w:val="21"/>
        </w:rPr>
        <w:t>八、</w:t>
      </w:r>
      <w:r>
        <w:rPr>
          <w:sz w:val="21"/>
        </w:rPr>
        <w:t>如有疑问请与采购中心采购一部联系，联系电话：</w:t>
      </w:r>
      <w:r>
        <w:rPr>
          <w:sz w:val="21"/>
        </w:rPr>
        <w:t>85211082</w:t>
      </w:r>
      <w:r>
        <w:rPr>
          <w:sz w:val="21"/>
        </w:rPr>
        <w:t>。</w:t>
      </w:r>
    </w:p>
    <w:p>
      <w:pPr>
        <w:pStyle w:val="null3"/>
        <w:jc w:val="both"/>
      </w:pPr>
      <w:r>
        <w:rPr/>
        <w:t xml:space="preserve"> </w:t>
      </w:r>
    </w:p>
    <w:p>
      <w:pPr>
        <w:pStyle w:val="null3"/>
        <w:ind w:firstLine="420"/>
        <w:jc w:val="left"/>
      </w:pPr>
      <w:r>
        <w:rPr>
          <w:sz w:val="21"/>
        </w:rPr>
        <w:t>根据《中华人民共和国政府采购法》、《中华人民共和国</w:t>
      </w:r>
      <w:r>
        <w:rPr>
          <w:sz w:val="21"/>
        </w:rPr>
        <w:t>民法典</w:t>
      </w:r>
      <w:r>
        <w:rPr>
          <w:sz w:val="21"/>
        </w:rPr>
        <w:t>》等国家法律法规，</w:t>
      </w:r>
      <w:r>
        <w:rPr>
          <w:sz w:val="21"/>
        </w:rPr>
        <w:t>以及甲方委托</w:t>
      </w:r>
      <w:r>
        <w:rPr>
          <w:sz w:val="21"/>
        </w:rPr>
        <w:t>________（代理机构名称）组织的_____项目（项目名称）(采购编号_________)的成交结果，经甲乙双方协商一致，签订本合同，由双方共同恪守如下内容：</w:t>
      </w:r>
    </w:p>
    <w:p>
      <w:pPr>
        <w:pStyle w:val="null3"/>
        <w:ind w:firstLine="422"/>
        <w:jc w:val="left"/>
      </w:pPr>
      <w:r>
        <w:rPr>
          <w:sz w:val="21"/>
          <w:b/>
        </w:rPr>
        <w:t>一、技术委托内容及要求</w:t>
      </w:r>
    </w:p>
    <w:p>
      <w:pPr>
        <w:pStyle w:val="null3"/>
        <w:ind w:firstLine="420"/>
        <w:jc w:val="left"/>
      </w:pPr>
      <w:r>
        <w:rPr>
          <w:sz w:val="21"/>
        </w:rPr>
        <w:t>1</w:t>
      </w:r>
      <w:r>
        <w:rPr>
          <w:sz w:val="21"/>
        </w:rPr>
        <w:t xml:space="preserve">. </w:t>
      </w:r>
      <w:r>
        <w:rPr>
          <w:sz w:val="21"/>
        </w:rPr>
        <w:t>甲方委托乙方开发</w:t>
      </w:r>
      <w:r>
        <w:rPr>
          <w:sz w:val="21"/>
        </w:rPr>
        <w:t>_________</w:t>
      </w:r>
      <w:r>
        <w:rPr>
          <w:sz w:val="21"/>
        </w:rPr>
        <w:t>软件系统</w:t>
      </w:r>
      <w:r>
        <w:rPr>
          <w:sz w:val="21"/>
        </w:rPr>
        <w:t>（以下简称</w:t>
      </w:r>
      <w:r>
        <w:rPr>
          <w:sz w:val="21"/>
        </w:rPr>
        <w:t>“软件系统”）</w:t>
      </w:r>
      <w:r>
        <w:rPr>
          <w:sz w:val="21"/>
        </w:rPr>
        <w:t>，并分为</w:t>
      </w:r>
      <w:r>
        <w:rPr>
          <w:sz w:val="21"/>
          <w:u w:val="single"/>
        </w:rPr>
        <w:t xml:space="preserve">    </w:t>
      </w:r>
      <w:r>
        <w:rPr>
          <w:sz w:val="21"/>
        </w:rPr>
        <w:t>个功能模块，</w:t>
      </w:r>
      <w:r>
        <w:rPr>
          <w:sz w:val="21"/>
        </w:rPr>
        <w:t>具体</w:t>
      </w:r>
      <w:r>
        <w:rPr>
          <w:sz w:val="21"/>
        </w:rPr>
        <w:t>包括：</w:t>
      </w:r>
    </w:p>
    <w:p>
      <w:pPr>
        <w:pStyle w:val="null3"/>
        <w:ind w:firstLine="420"/>
        <w:jc w:val="left"/>
      </w:pPr>
      <w:r>
        <w:rPr>
          <w:sz w:val="21"/>
        </w:rPr>
        <w:t>（</w:t>
      </w:r>
      <w:r>
        <w:rPr>
          <w:sz w:val="21"/>
        </w:rPr>
        <w:t>1</w:t>
      </w:r>
      <w:r>
        <w:rPr>
          <w:sz w:val="21"/>
        </w:rPr>
        <w:t>）</w:t>
      </w:r>
      <w:r>
        <w:rPr>
          <w:sz w:val="21"/>
        </w:rPr>
        <w:t>_________</w:t>
      </w:r>
      <w:r>
        <w:rPr>
          <w:sz w:val="21"/>
        </w:rPr>
        <w:t>；</w:t>
      </w:r>
    </w:p>
    <w:p>
      <w:pPr>
        <w:pStyle w:val="null3"/>
        <w:ind w:firstLine="420"/>
        <w:jc w:val="left"/>
      </w:pPr>
      <w:r>
        <w:rPr>
          <w:sz w:val="21"/>
        </w:rPr>
        <w:t>（</w:t>
      </w:r>
      <w:r>
        <w:rPr>
          <w:sz w:val="21"/>
        </w:rPr>
        <w:t>2</w:t>
      </w:r>
      <w:r>
        <w:rPr>
          <w:sz w:val="21"/>
        </w:rPr>
        <w:t>）</w:t>
      </w:r>
      <w:r>
        <w:rPr>
          <w:sz w:val="21"/>
        </w:rPr>
        <w:t>_________</w:t>
      </w:r>
      <w:r>
        <w:rPr>
          <w:sz w:val="21"/>
        </w:rPr>
        <w:t>；</w:t>
      </w:r>
    </w:p>
    <w:p>
      <w:pPr>
        <w:pStyle w:val="null3"/>
        <w:ind w:firstLine="420"/>
        <w:jc w:val="left"/>
      </w:pPr>
      <w:r>
        <w:rPr>
          <w:sz w:val="21"/>
        </w:rPr>
        <w:t>（</w:t>
      </w:r>
      <w:r>
        <w:rPr>
          <w:sz w:val="21"/>
        </w:rPr>
        <w:t>3</w:t>
      </w:r>
      <w:r>
        <w:rPr>
          <w:sz w:val="21"/>
        </w:rPr>
        <w:t>）</w:t>
      </w:r>
      <w:r>
        <w:rPr>
          <w:sz w:val="21"/>
        </w:rPr>
        <w:t>_________</w:t>
      </w:r>
      <w:r>
        <w:rPr>
          <w:sz w:val="21"/>
        </w:rPr>
        <w:t>。</w:t>
      </w:r>
    </w:p>
    <w:p>
      <w:pPr>
        <w:pStyle w:val="null3"/>
        <w:ind w:firstLine="420"/>
        <w:jc w:val="left"/>
      </w:pPr>
      <w:r>
        <w:rPr>
          <w:sz w:val="21"/>
        </w:rPr>
        <w:t>上述</w:t>
      </w:r>
      <w:r>
        <w:rPr>
          <w:sz w:val="21"/>
        </w:rPr>
        <w:t>功能模块共同构成本合同所规定的软件系统，</w:t>
      </w:r>
      <w:r>
        <w:rPr>
          <w:sz w:val="21"/>
        </w:rPr>
        <w:t>且</w:t>
      </w:r>
      <w:r>
        <w:rPr>
          <w:sz w:val="21"/>
        </w:rPr>
        <w:t>该软件系统的主要技术功能必须达到本合同</w:t>
      </w:r>
      <w:r>
        <w:rPr>
          <w:sz w:val="21"/>
        </w:rPr>
        <w:t>规定</w:t>
      </w:r>
      <w:r>
        <w:rPr>
          <w:sz w:val="21"/>
        </w:rPr>
        <w:t>的详细情况和要求</w:t>
      </w:r>
      <w:r>
        <w:rPr>
          <w:sz w:val="21"/>
        </w:rPr>
        <w:t>，否则甲方有权拒收</w:t>
      </w:r>
      <w:r>
        <w:rPr>
          <w:sz w:val="21"/>
        </w:rPr>
        <w:t>。</w:t>
      </w:r>
    </w:p>
    <w:p>
      <w:pPr>
        <w:pStyle w:val="null3"/>
        <w:ind w:firstLine="420"/>
        <w:jc w:val="left"/>
      </w:pPr>
      <w:r>
        <w:rPr>
          <w:sz w:val="21"/>
        </w:rPr>
        <w:t>2</w:t>
      </w:r>
      <w:r>
        <w:rPr>
          <w:sz w:val="21"/>
        </w:rPr>
        <w:t>.</w:t>
      </w:r>
      <w:r>
        <w:rPr>
          <w:sz w:val="21"/>
        </w:rPr>
        <w:t xml:space="preserve"> </w:t>
      </w:r>
      <w:r>
        <w:rPr>
          <w:sz w:val="21"/>
        </w:rPr>
        <w:t>软件系统是甲方为</w:t>
      </w:r>
      <w:r>
        <w:rPr>
          <w:sz w:val="21"/>
        </w:rPr>
        <w:t xml:space="preserve"> _______</w:t>
      </w:r>
      <w:r>
        <w:rPr>
          <w:sz w:val="21"/>
        </w:rPr>
        <w:t>而建设开发的软件，该软件处理的对象是</w:t>
      </w:r>
      <w:r>
        <w:rPr>
          <w:sz w:val="21"/>
        </w:rPr>
        <w:t xml:space="preserve">_________ </w:t>
      </w:r>
      <w:r>
        <w:rPr>
          <w:sz w:val="21"/>
        </w:rPr>
        <w:t>等，同时为甲方进行内部以及对外的人、财、物综合管理提供数据接口。</w:t>
      </w:r>
    </w:p>
    <w:p>
      <w:pPr>
        <w:pStyle w:val="null3"/>
        <w:ind w:firstLine="420"/>
        <w:jc w:val="left"/>
      </w:pPr>
      <w:r>
        <w:rPr>
          <w:sz w:val="21"/>
        </w:rPr>
        <w:t>3</w:t>
      </w:r>
      <w:r>
        <w:rPr>
          <w:sz w:val="21"/>
        </w:rPr>
        <w:t>.</w:t>
      </w:r>
      <w:r>
        <w:rPr>
          <w:sz w:val="21"/>
        </w:rPr>
        <w:t xml:space="preserve"> </w:t>
      </w:r>
      <w:r>
        <w:rPr>
          <w:sz w:val="21"/>
        </w:rPr>
        <w:t>软件系统的整体功能应符合招投标文件所描述的要求，并实现标准规范、正确性、兼容性、高效率、安全性、可靠性、开放性、实用性、可扩展性等的技术指标，达到构建完整</w:t>
      </w:r>
      <w:r>
        <w:rPr>
          <w:sz w:val="21"/>
          <w:u w:val="single"/>
        </w:rPr>
        <w:t xml:space="preserve">    </w:t>
      </w:r>
      <w:r>
        <w:rPr>
          <w:sz w:val="21"/>
        </w:rPr>
        <w:t>____</w:t>
      </w:r>
      <w:r>
        <w:rPr>
          <w:sz w:val="21"/>
        </w:rPr>
        <w:t>的目标。</w:t>
      </w:r>
    </w:p>
    <w:p>
      <w:pPr>
        <w:pStyle w:val="null3"/>
        <w:ind w:firstLine="422"/>
        <w:jc w:val="left"/>
      </w:pPr>
      <w:r>
        <w:rPr>
          <w:sz w:val="21"/>
          <w:b/>
        </w:rPr>
        <w:t>二、开发时间要求</w:t>
      </w:r>
    </w:p>
    <w:p>
      <w:pPr>
        <w:pStyle w:val="null3"/>
        <w:ind w:firstLine="420"/>
        <w:jc w:val="left"/>
      </w:pPr>
      <w:r>
        <w:rPr>
          <w:sz w:val="21"/>
        </w:rPr>
        <w:t>软件系统</w:t>
      </w:r>
      <w:r>
        <w:rPr>
          <w:sz w:val="21"/>
        </w:rPr>
        <w:t>应在</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日前交付甲方试用，否则视为乙方迟延交付，乙方应承担由此给甲方造成的损失及违约责任。</w:t>
      </w:r>
    </w:p>
    <w:p>
      <w:pPr>
        <w:pStyle w:val="null3"/>
        <w:ind w:firstLine="422"/>
        <w:jc w:val="left"/>
      </w:pPr>
      <w:r>
        <w:rPr>
          <w:sz w:val="21"/>
          <w:b/>
        </w:rPr>
        <w:t>三、软件系统试运行</w:t>
      </w:r>
    </w:p>
    <w:p>
      <w:pPr>
        <w:pStyle w:val="null3"/>
        <w:ind w:firstLine="420"/>
        <w:jc w:val="left"/>
      </w:pPr>
      <w:r>
        <w:rPr>
          <w:sz w:val="21"/>
        </w:rPr>
        <w:t xml:space="preserve">1. </w:t>
      </w:r>
      <w:r>
        <w:rPr>
          <w:sz w:val="21"/>
        </w:rPr>
        <w:t>自软件系统交付甲方试用之日起，甲方拥有至少</w:t>
      </w:r>
      <w:r>
        <w:rPr>
          <w:sz w:val="21"/>
          <w:u w:val="single"/>
        </w:rPr>
        <w:t xml:space="preserve">     </w:t>
      </w:r>
      <w:r>
        <w:rPr>
          <w:sz w:val="21"/>
        </w:rPr>
        <w:t>个工作日的试运行权利。</w:t>
      </w:r>
    </w:p>
    <w:p>
      <w:pPr>
        <w:pStyle w:val="null3"/>
        <w:ind w:firstLine="420"/>
        <w:jc w:val="left"/>
      </w:pPr>
      <w:r>
        <w:rPr>
          <w:sz w:val="21"/>
        </w:rPr>
        <w:t xml:space="preserve">2. </w:t>
      </w:r>
      <w:r>
        <w:rPr>
          <w:sz w:val="21"/>
        </w:rPr>
        <w:t>如软件在试运行期间出现非人为故障或问题，乙方应在</w:t>
      </w:r>
      <w:r>
        <w:rPr>
          <w:sz w:val="21"/>
          <w:u w:val="single"/>
        </w:rPr>
        <w:t xml:space="preserve">   </w:t>
      </w:r>
      <w:r>
        <w:rPr>
          <w:sz w:val="21"/>
        </w:rPr>
        <w:t>个工作日内排除故障、解决问题，由此引起的相关费用由乙方承担。如乙方在前述时间内无法排除故障、解决问题，影响软件系统基本功能和目标的实现，则视为乙方迟延交付，乙方应承担由此给甲方造成的损失及违约责任，除非上述故障和问题是由甲方引起的。</w:t>
      </w:r>
    </w:p>
    <w:p>
      <w:pPr>
        <w:pStyle w:val="null3"/>
        <w:ind w:firstLine="422"/>
        <w:jc w:val="left"/>
      </w:pPr>
      <w:r>
        <w:rPr>
          <w:sz w:val="21"/>
          <w:b/>
        </w:rPr>
        <w:t>四、软件系统最终验收</w:t>
      </w:r>
    </w:p>
    <w:p>
      <w:pPr>
        <w:pStyle w:val="null3"/>
        <w:ind w:firstLine="420"/>
        <w:jc w:val="left"/>
      </w:pPr>
      <w:r>
        <w:rPr>
          <w:sz w:val="21"/>
        </w:rPr>
        <w:t>1.</w:t>
      </w:r>
      <w:r>
        <w:rPr>
          <w:sz w:val="21"/>
        </w:rPr>
        <w:t xml:space="preserve"> </w:t>
      </w:r>
      <w:r>
        <w:rPr>
          <w:sz w:val="21"/>
        </w:rPr>
        <w:t>软件系统</w:t>
      </w:r>
      <w:r>
        <w:rPr>
          <w:sz w:val="21"/>
        </w:rPr>
        <w:t>试运行完成后，乙方应以书面形式向甲方递交验收申请书，甲方根据内部流程安排验收。</w:t>
      </w:r>
      <w:r>
        <w:rPr>
          <w:sz w:val="21"/>
        </w:rPr>
        <w:t>项目文件及测试均验收合格后，甲方将出具华南师范大学采购物资验收报告给乙方。验收合格之日为甲方签署华南师范大学采购物资验收报告的日期。</w:t>
      </w:r>
    </w:p>
    <w:p>
      <w:pPr>
        <w:pStyle w:val="null3"/>
        <w:ind w:firstLine="420"/>
        <w:jc w:val="left"/>
      </w:pPr>
      <w:r>
        <w:rPr>
          <w:sz w:val="21"/>
        </w:rPr>
        <w:t xml:space="preserve">2. </w:t>
      </w:r>
      <w:r>
        <w:rPr>
          <w:sz w:val="21"/>
        </w:rPr>
        <w:t>如由于乙方提供的软件系统不符合甲方要求导致未能通过验收，乙方应根据甲方要求在限期内整改、排除故障，并承担由此产生的费用，同时延长试运行期限</w:t>
      </w:r>
      <w:r>
        <w:rPr>
          <w:sz w:val="21"/>
          <w:u w:val="single"/>
        </w:rPr>
        <w:t xml:space="preserve">    </w:t>
      </w:r>
      <w:r>
        <w:rPr>
          <w:sz w:val="21"/>
        </w:rPr>
        <w:t>个工作日，直至软件系统完全符合甲方的验收标准。</w:t>
      </w:r>
    </w:p>
    <w:p>
      <w:pPr>
        <w:pStyle w:val="null3"/>
        <w:ind w:firstLine="420"/>
        <w:jc w:val="left"/>
      </w:pPr>
      <w:r>
        <w:rPr>
          <w:sz w:val="21"/>
        </w:rPr>
        <w:t xml:space="preserve">3. </w:t>
      </w:r>
      <w:r>
        <w:rPr>
          <w:sz w:val="21"/>
        </w:rPr>
        <w:t>如由于甲方原因致使软件系统未通过验收，甲方应在合理时间内排除故障，再进行验收。</w:t>
      </w:r>
    </w:p>
    <w:p>
      <w:pPr>
        <w:pStyle w:val="null3"/>
        <w:ind w:firstLine="420"/>
        <w:jc w:val="left"/>
      </w:pPr>
      <w:r>
        <w:rPr>
          <w:sz w:val="21"/>
        </w:rPr>
        <w:t>4</w:t>
      </w:r>
      <w:r>
        <w:rPr>
          <w:sz w:val="21"/>
        </w:rPr>
        <w:t>.</w:t>
      </w:r>
      <w:r>
        <w:rPr>
          <w:sz w:val="21"/>
        </w:rPr>
        <w:t xml:space="preserve"> </w:t>
      </w:r>
      <w:r>
        <w:rPr>
          <w:sz w:val="21"/>
        </w:rPr>
        <w:t>验收合格后，乙方应将各阶段产生的文档资料汇编成册交付给甲方，并且提供明确的交付清单。乙方交付的文档资料应包含各种技术文档（含：开发环境配置说明、软件工具清单、需求分析说明、变更说明、系统设计说明、用户手册、测试用例、测试结果、系统维护说明、系统培训资料及有关系统接口的技术说明等）、管理文档等。</w:t>
      </w:r>
    </w:p>
    <w:p>
      <w:pPr>
        <w:pStyle w:val="null3"/>
        <w:ind w:firstLine="422"/>
        <w:jc w:val="left"/>
      </w:pPr>
      <w:r>
        <w:rPr>
          <w:sz w:val="21"/>
          <w:b/>
        </w:rPr>
        <w:t>五、知识产权和使用权</w:t>
      </w:r>
    </w:p>
    <w:p>
      <w:pPr>
        <w:pStyle w:val="null3"/>
        <w:ind w:firstLine="420"/>
        <w:jc w:val="left"/>
      </w:pPr>
      <w:r>
        <w:rPr>
          <w:sz w:val="21"/>
        </w:rPr>
        <w:t xml:space="preserve">1. </w:t>
      </w:r>
      <w:r>
        <w:rPr>
          <w:sz w:val="21"/>
        </w:rPr>
        <w:t>乙方应保证，甲方在使用本合同项目开发的软件和数据的任何一部分时，如受第三方提出的侵犯其知识产权、肖像权、技术秘密、商业秘密或其他任何权益的起诉，由乙方承担一切责任。</w:t>
      </w:r>
    </w:p>
    <w:p>
      <w:pPr>
        <w:pStyle w:val="null3"/>
        <w:ind w:firstLine="420"/>
        <w:jc w:val="left"/>
      </w:pPr>
      <w:r>
        <w:rPr>
          <w:sz w:val="21"/>
        </w:rPr>
        <w:t>2</w:t>
      </w:r>
      <w:r>
        <w:rPr>
          <w:sz w:val="21"/>
        </w:rPr>
        <w:t xml:space="preserve">. </w:t>
      </w:r>
      <w:r>
        <w:rPr>
          <w:sz w:val="21"/>
        </w:rPr>
        <w:t>软件系统开发完毕后，系统中原属于乙方的技术和功能模块甲方具有永久使用权；乙方结合甲方功能需求新开发的功能模块、具有新特色的系统所产生的知识产权归甲乙双方共同所有。</w:t>
      </w:r>
    </w:p>
    <w:p>
      <w:pPr>
        <w:pStyle w:val="null3"/>
        <w:ind w:firstLine="420"/>
        <w:jc w:val="left"/>
      </w:pPr>
      <w:r>
        <w:rPr>
          <w:sz w:val="21"/>
        </w:rPr>
        <w:t>双方共同所有的知识产权，未经甲乙双方共同的书面许可，任何一方不得以任何方式向第三方披露、转让和许可有关的技术成果、计算机软件、技术诀窍、秘密信息、技术资料和文件等；除本研发项目或者工作需要之外，未得到甲乙双方共同的书面许可，甲乙双方不得以任何方式商业性地利用上述资料、技术及信息。如违反本条规定，除应立即停止违约行为外，违约方还应向守约方支付合同总价</w:t>
      </w:r>
      <w:r>
        <w:rPr>
          <w:sz w:val="21"/>
        </w:rPr>
        <w:t>2</w:t>
      </w:r>
      <w:r>
        <w:rPr>
          <w:sz w:val="21"/>
        </w:rPr>
        <w:t>0%</w:t>
      </w:r>
      <w:r>
        <w:rPr>
          <w:sz w:val="21"/>
        </w:rPr>
        <w:t>的违约金以及赔偿守约方的损失。</w:t>
      </w:r>
    </w:p>
    <w:p>
      <w:pPr>
        <w:pStyle w:val="null3"/>
        <w:ind w:firstLine="420"/>
        <w:jc w:val="left"/>
      </w:pPr>
      <w:r>
        <w:rPr>
          <w:sz w:val="21"/>
        </w:rPr>
        <w:t>3.</w:t>
      </w:r>
      <w:r>
        <w:rPr>
          <w:sz w:val="21"/>
        </w:rPr>
        <w:t xml:space="preserve"> </w:t>
      </w:r>
      <w:r>
        <w:rPr>
          <w:sz w:val="21"/>
        </w:rPr>
        <w:t>甲方对本合同项目的软件系统和数据具有永久使用权。</w:t>
      </w:r>
    </w:p>
    <w:p>
      <w:pPr>
        <w:pStyle w:val="null3"/>
        <w:ind w:firstLine="420"/>
        <w:jc w:val="left"/>
      </w:pPr>
      <w:r>
        <w:rPr>
          <w:sz w:val="21"/>
        </w:rPr>
        <w:t>4</w:t>
      </w:r>
      <w:r>
        <w:rPr>
          <w:sz w:val="21"/>
        </w:rPr>
        <w:t xml:space="preserve">. </w:t>
      </w:r>
      <w:r>
        <w:rPr>
          <w:sz w:val="21"/>
        </w:rPr>
        <w:t>除本合同另有规定外，甲方对乙方所许可使用的软件没有向第三方许可使用的权利。</w:t>
      </w:r>
    </w:p>
    <w:p>
      <w:pPr>
        <w:pStyle w:val="null3"/>
        <w:ind w:firstLine="420"/>
        <w:jc w:val="left"/>
      </w:pPr>
      <w:r>
        <w:rPr>
          <w:sz w:val="21"/>
        </w:rPr>
        <w:t>5</w:t>
      </w:r>
      <w:r>
        <w:rPr>
          <w:sz w:val="21"/>
        </w:rPr>
        <w:t xml:space="preserve">. </w:t>
      </w:r>
      <w:r>
        <w:rPr>
          <w:sz w:val="21"/>
        </w:rPr>
        <w:t>甲方在使用乙方提供的第三方软件时，应当遵守乙方与第三方对该软件使用的约定。乙方应事先将该约定的复印件交甲方参阅、保存。</w:t>
      </w:r>
    </w:p>
    <w:p>
      <w:pPr>
        <w:pStyle w:val="null3"/>
        <w:ind w:firstLine="422"/>
        <w:jc w:val="left"/>
      </w:pPr>
      <w:r>
        <w:rPr>
          <w:sz w:val="21"/>
          <w:b/>
        </w:rPr>
        <w:t>六、</w:t>
      </w:r>
      <w:r>
        <w:rPr>
          <w:sz w:val="21"/>
          <w:b/>
        </w:rPr>
        <w:t>付款</w:t>
      </w:r>
    </w:p>
    <w:p>
      <w:pPr>
        <w:pStyle w:val="null3"/>
        <w:ind w:firstLine="420"/>
        <w:jc w:val="left"/>
      </w:pPr>
      <w:r>
        <w:rPr>
          <w:sz w:val="21"/>
        </w:rPr>
        <w:t>1</w:t>
      </w:r>
      <w:r>
        <w:rPr>
          <w:sz w:val="21"/>
        </w:rPr>
        <w:t>.</w:t>
      </w:r>
      <w:r>
        <w:rPr>
          <w:sz w:val="21"/>
        </w:rPr>
        <w:t xml:space="preserve"> </w:t>
      </w:r>
      <w:r>
        <w:rPr>
          <w:sz w:val="21"/>
        </w:rPr>
        <w:t>服务期限内的服务费用共计为</w:t>
      </w:r>
      <w:r>
        <w:rPr>
          <w:sz w:val="21"/>
        </w:rPr>
        <w:t>CNY</w:t>
      </w:r>
      <w:r>
        <w:rPr>
          <w:sz w:val="21"/>
        </w:rPr>
        <w:t>￥</w:t>
      </w:r>
      <w:r>
        <w:rPr>
          <w:sz w:val="21"/>
        </w:rPr>
        <w:t>_________</w:t>
      </w:r>
      <w:r>
        <w:rPr>
          <w:sz w:val="21"/>
        </w:rPr>
        <w:t>元，人民币（大写）：</w:t>
      </w:r>
      <w:r>
        <w:rPr>
          <w:sz w:val="21"/>
        </w:rPr>
        <w:t>_________</w:t>
      </w:r>
      <w:r>
        <w:rPr>
          <w:sz w:val="21"/>
        </w:rPr>
        <w:t>元整。价格明细及计算标准为：</w:t>
      </w:r>
      <w:r>
        <w:rPr>
          <w:sz w:val="21"/>
        </w:rPr>
        <w:t xml:space="preserve"> </w:t>
      </w:r>
      <w:r>
        <w:rPr>
          <w:sz w:val="21"/>
        </w:rPr>
        <w:t>_</w:t>
      </w:r>
      <w:r>
        <w:rPr>
          <w:sz w:val="21"/>
        </w:rPr>
        <w:t>______________</w:t>
      </w:r>
      <w:r>
        <w:rPr>
          <w:sz w:val="21"/>
        </w:rPr>
        <w:t>。</w:t>
      </w:r>
    </w:p>
    <w:p>
      <w:pPr>
        <w:pStyle w:val="null3"/>
        <w:ind w:firstLine="420"/>
        <w:jc w:val="left"/>
      </w:pPr>
      <w:r>
        <w:rPr>
          <w:sz w:val="21"/>
        </w:rPr>
        <w:t>2</w:t>
      </w:r>
      <w:r>
        <w:rPr>
          <w:sz w:val="21"/>
        </w:rPr>
        <w:t xml:space="preserve">. </w:t>
      </w:r>
      <w:r>
        <w:rPr>
          <w:sz w:val="21"/>
        </w:rPr>
        <w:t>本合同所指的服务费用，为乙方按照招投标文件及本合同约定提供技术开发服务所需的一切含税费用</w:t>
      </w:r>
      <w:r>
        <w:rPr>
          <w:sz w:val="21"/>
        </w:rPr>
        <w:t>，</w:t>
      </w:r>
      <w:r>
        <w:rPr>
          <w:sz w:val="21"/>
        </w:rPr>
        <w:t>对乙方投标文件中因漏项、错项、错算等引起的差异视为已包含在投标总报价中</w:t>
      </w:r>
      <w:r>
        <w:rPr>
          <w:sz w:val="21"/>
        </w:rPr>
        <w:t>。</w:t>
      </w:r>
      <w:r>
        <w:rPr>
          <w:sz w:val="21"/>
        </w:rPr>
        <w:t>除本合同明确约定的费用外，甲方无需支付任何额外费用和承担任何额外义务。</w:t>
      </w:r>
    </w:p>
    <w:p>
      <w:pPr>
        <w:pStyle w:val="null3"/>
        <w:ind w:firstLine="420"/>
        <w:jc w:val="left"/>
      </w:pPr>
      <w:r>
        <w:rPr>
          <w:sz w:val="21"/>
        </w:rPr>
        <w:t xml:space="preserve">3. </w:t>
      </w:r>
      <w:r>
        <w:rPr>
          <w:sz w:val="21"/>
        </w:rPr>
        <w:t>付款方式：</w:t>
      </w:r>
      <w:r>
        <w:rPr>
          <w:sz w:val="21"/>
        </w:rPr>
        <w:t>_</w:t>
      </w:r>
      <w:r>
        <w:rPr>
          <w:sz w:val="21"/>
        </w:rPr>
        <w:t>______________</w:t>
      </w:r>
      <w:r>
        <w:rPr>
          <w:sz w:val="21"/>
        </w:rPr>
        <w:t>。（甲方纳税人识别号</w:t>
      </w:r>
      <w:r>
        <w:rPr>
          <w:sz w:val="21"/>
        </w:rPr>
        <w:t>: 124400004558589190</w:t>
      </w:r>
      <w:r>
        <w:rPr>
          <w:sz w:val="21"/>
        </w:rPr>
        <w:t>）</w:t>
      </w:r>
    </w:p>
    <w:p>
      <w:pPr>
        <w:pStyle w:val="null3"/>
        <w:ind w:firstLine="420"/>
        <w:jc w:val="left"/>
      </w:pPr>
      <w:r>
        <w:rPr>
          <w:sz w:val="21"/>
        </w:rPr>
        <w:t xml:space="preserve">4. </w:t>
      </w:r>
      <w:r>
        <w:rPr>
          <w:sz w:val="21"/>
        </w:rPr>
        <w:t>每项款项支付前，乙方须先提供合法有效的等额发票，否则甲方有权顺延付款。</w:t>
      </w:r>
    </w:p>
    <w:p>
      <w:pPr>
        <w:pStyle w:val="null3"/>
        <w:ind w:firstLine="420"/>
        <w:jc w:val="left"/>
      </w:pPr>
      <w:r>
        <w:rPr>
          <w:sz w:val="21"/>
        </w:rPr>
        <w:t xml:space="preserve">5. </w:t>
      </w:r>
      <w:r>
        <w:rPr>
          <w:sz w:val="21"/>
        </w:rPr>
        <w:t>甲方向乙方指定账户汇出款项后，即视为已履行付款义务，在汇款过程中，因乙方账户的原因（包括但不限于账号被注销、被冻结等）导致其无法收取款项的，由乙方承担相应后果。</w:t>
      </w:r>
    </w:p>
    <w:p>
      <w:pPr>
        <w:pStyle w:val="null3"/>
        <w:ind w:firstLine="420"/>
        <w:jc w:val="left"/>
      </w:pPr>
      <w:r>
        <w:rPr>
          <w:sz w:val="21"/>
        </w:rPr>
        <w:t xml:space="preserve">6. </w:t>
      </w:r>
      <w:r>
        <w:rPr>
          <w:sz w:val="21"/>
        </w:rPr>
        <w:t>本项目如执行国库支付的，甲方在验收合格后十五个工作日内办理财政集中支付申请手续，付款按照财政部门国库集中支付的有关规定办理。付款时间为甲方向政府采购支付部门提出支付申请的时间（不含政府财政支付部门审查的时间）。</w:t>
      </w:r>
    </w:p>
    <w:p>
      <w:pPr>
        <w:pStyle w:val="null3"/>
        <w:ind w:firstLine="420"/>
        <w:jc w:val="left"/>
      </w:pPr>
      <w:r>
        <w:rPr>
          <w:sz w:val="21"/>
        </w:rPr>
        <w:t>7.</w:t>
      </w:r>
      <w:r>
        <w:rPr>
          <w:sz w:val="21"/>
        </w:rPr>
        <w:t xml:space="preserve"> </w:t>
      </w:r>
      <w:r>
        <w:rPr>
          <w:sz w:val="21"/>
        </w:rPr>
        <w:t>付款时间如遇甲方寒暑假，甲方有权将付款时间顺延至假期结束之后。</w:t>
      </w:r>
    </w:p>
    <w:p>
      <w:pPr>
        <w:pStyle w:val="null3"/>
        <w:ind w:firstLine="422"/>
        <w:jc w:val="left"/>
      </w:pPr>
      <w:r>
        <w:rPr>
          <w:sz w:val="21"/>
          <w:b/>
        </w:rPr>
        <w:t>七、</w:t>
      </w:r>
      <w:r>
        <w:rPr>
          <w:sz w:val="21"/>
          <w:b/>
        </w:rPr>
        <w:t>售后服务要求</w:t>
      </w:r>
    </w:p>
    <w:p>
      <w:pPr>
        <w:pStyle w:val="null3"/>
        <w:ind w:firstLine="420"/>
        <w:jc w:val="left"/>
      </w:pPr>
      <w:r>
        <w:rPr>
          <w:sz w:val="21"/>
        </w:rPr>
        <w:t>1</w:t>
      </w:r>
      <w:r>
        <w:rPr>
          <w:sz w:val="21"/>
        </w:rPr>
        <w:t xml:space="preserve">. </w:t>
      </w:r>
      <w:r>
        <w:rPr>
          <w:sz w:val="21"/>
        </w:rPr>
        <w:t>本项目质量保证期为</w:t>
      </w:r>
      <w:r>
        <w:rPr>
          <w:sz w:val="21"/>
        </w:rPr>
        <w:t>_</w:t>
      </w:r>
      <w:r>
        <w:rPr>
          <w:sz w:val="21"/>
        </w:rPr>
        <w:t>___</w:t>
      </w:r>
      <w:r>
        <w:rPr>
          <w:sz w:val="21"/>
        </w:rPr>
        <w:t>年，自验收合格之日起计算。乙方承诺向甲方提供软件系统及数据的维护和支持服务，不再向甲方收取任何费用。</w:t>
      </w:r>
    </w:p>
    <w:p>
      <w:pPr>
        <w:pStyle w:val="null3"/>
        <w:ind w:firstLine="420"/>
        <w:jc w:val="left"/>
      </w:pPr>
      <w:r>
        <w:rPr>
          <w:sz w:val="21"/>
        </w:rPr>
        <w:t>2</w:t>
      </w:r>
      <w:r>
        <w:rPr>
          <w:sz w:val="21"/>
        </w:rPr>
        <w:t xml:space="preserve">. </w:t>
      </w:r>
      <w:r>
        <w:rPr>
          <w:sz w:val="21"/>
        </w:rPr>
        <w:t>在质量保证期内，乙方负责对其提供的软件系统进行维修或维护</w:t>
      </w:r>
      <w:r>
        <w:rPr>
          <w:sz w:val="21"/>
        </w:rPr>
        <w:t>,</w:t>
      </w:r>
      <w:r>
        <w:rPr>
          <w:sz w:val="21"/>
        </w:rPr>
        <w:t>提供电话和</w:t>
      </w:r>
      <w:r>
        <w:rPr>
          <w:sz w:val="21"/>
        </w:rPr>
        <w:t>Email</w:t>
      </w:r>
      <w:r>
        <w:rPr>
          <w:sz w:val="21"/>
        </w:rPr>
        <w:t>等技术热线服务。在接到故障或问题告知后</w:t>
      </w:r>
      <w:r>
        <w:rPr>
          <w:sz w:val="21"/>
        </w:rPr>
        <w:t>(7</w:t>
      </w:r>
      <w:r>
        <w:rPr>
          <w:sz w:val="21"/>
        </w:rPr>
        <w:t>天</w:t>
      </w:r>
      <w:r>
        <w:rPr>
          <w:sz w:val="21"/>
        </w:rPr>
        <w:t>×24</w:t>
      </w:r>
      <w:r>
        <w:rPr>
          <w:sz w:val="21"/>
        </w:rPr>
        <w:t>小时热线电话</w:t>
      </w:r>
      <w:r>
        <w:rPr>
          <w:sz w:val="21"/>
        </w:rPr>
        <w:t>:__)</w:t>
      </w:r>
      <w:r>
        <w:rPr>
          <w:sz w:val="21"/>
        </w:rPr>
        <w:t>，应在</w:t>
      </w:r>
      <w:r>
        <w:rPr>
          <w:sz w:val="21"/>
          <w:u w:val="single"/>
        </w:rPr>
        <w:t xml:space="preserve">    </w:t>
      </w:r>
      <w:r>
        <w:rPr>
          <w:sz w:val="21"/>
        </w:rPr>
        <w:t>小时内响应，系统严重故障需现场处理的，到达现场不超过</w:t>
      </w:r>
      <w:r>
        <w:rPr>
          <w:sz w:val="21"/>
          <w:u w:val="single"/>
        </w:rPr>
        <w:t xml:space="preserve">   </w:t>
      </w:r>
      <w:r>
        <w:rPr>
          <w:sz w:val="21"/>
        </w:rPr>
        <w:t>小时，</w:t>
      </w:r>
      <w:r>
        <w:rPr>
          <w:sz w:val="21"/>
        </w:rPr>
        <w:t>并在</w:t>
      </w:r>
      <w:r>
        <w:rPr>
          <w:sz w:val="21"/>
        </w:rPr>
        <w:t>___</w:t>
      </w:r>
      <w:r>
        <w:rPr>
          <w:sz w:val="21"/>
        </w:rPr>
        <w:t>小时内（前述响应及到达现场时间已包含计算在内）解决问题。如果线路故障在前述限定时间内仍无法排除</w:t>
      </w:r>
      <w:r>
        <w:rPr>
          <w:sz w:val="21"/>
        </w:rPr>
        <w:t>，乙方应承担由此产生的费用和责任。</w:t>
      </w:r>
    </w:p>
    <w:p>
      <w:pPr>
        <w:pStyle w:val="null3"/>
        <w:ind w:firstLine="420"/>
        <w:jc w:val="left"/>
      </w:pPr>
      <w:r>
        <w:rPr>
          <w:sz w:val="21"/>
        </w:rPr>
        <w:t>3</w:t>
      </w:r>
      <w:r>
        <w:rPr>
          <w:sz w:val="21"/>
        </w:rPr>
        <w:t xml:space="preserve">. </w:t>
      </w:r>
      <w:r>
        <w:rPr>
          <w:sz w:val="21"/>
        </w:rPr>
        <w:t>乙方承诺对于甲方因业务规则的变化导致的非功能模块功能需求变更，或者因性能要求提升导致的部署结构变化，向甲方提供不限次数的免费支持和修订服务。</w:t>
      </w:r>
    </w:p>
    <w:p>
      <w:pPr>
        <w:pStyle w:val="null3"/>
        <w:ind w:firstLine="420"/>
        <w:jc w:val="left"/>
      </w:pPr>
      <w:r>
        <w:rPr>
          <w:sz w:val="21"/>
        </w:rPr>
        <w:t>4</w:t>
      </w:r>
      <w:r>
        <w:rPr>
          <w:sz w:val="21"/>
        </w:rPr>
        <w:t xml:space="preserve">. </w:t>
      </w:r>
      <w:r>
        <w:rPr>
          <w:sz w:val="21"/>
        </w:rPr>
        <w:t>质量保证期满后，乙方可根据甲方实际需要另行签订合同继续提供维护服务，维护服务只收取成本费，具体费用由双方另行磋商后确定，但不得超过本合同总价的</w:t>
      </w:r>
      <w:r>
        <w:rPr>
          <w:sz w:val="21"/>
        </w:rPr>
        <w:t>10%</w:t>
      </w:r>
      <w:r>
        <w:rPr>
          <w:sz w:val="21"/>
        </w:rPr>
        <w:t>。</w:t>
      </w:r>
    </w:p>
    <w:p>
      <w:pPr>
        <w:pStyle w:val="null3"/>
        <w:ind w:firstLine="422"/>
        <w:jc w:val="left"/>
      </w:pPr>
      <w:r>
        <w:rPr>
          <w:sz w:val="21"/>
          <w:b/>
        </w:rPr>
        <w:t>八、培训</w:t>
      </w:r>
    </w:p>
    <w:p>
      <w:pPr>
        <w:pStyle w:val="null3"/>
        <w:ind w:firstLine="420"/>
        <w:jc w:val="left"/>
      </w:pPr>
      <w:r>
        <w:rPr>
          <w:sz w:val="21"/>
        </w:rPr>
        <w:t>培训应贯穿于整个项目的实施过程，包括项目的准备、研发、运行及维护等的全过程，乙方应采用课堂讲解、主机操作及实际工作参与等方式。软件系统安装调试完毕后，乙方应及时对甲方人员进行培训，培训时间不少于</w:t>
      </w:r>
      <w:r>
        <w:rPr>
          <w:sz w:val="21"/>
          <w:u w:val="single"/>
        </w:rPr>
        <w:t xml:space="preserve">    </w:t>
      </w:r>
      <w:r>
        <w:rPr>
          <w:sz w:val="21"/>
        </w:rPr>
        <w:t>个工作日，甲方受训人数不限。培训目标为受训者能独立熟练使用和自主维护软件系统，并实现本合同规定的目标和功能。</w:t>
      </w:r>
    </w:p>
    <w:p>
      <w:pPr>
        <w:pStyle w:val="null3"/>
        <w:ind w:firstLine="422"/>
        <w:jc w:val="left"/>
      </w:pPr>
      <w:r>
        <w:rPr>
          <w:sz w:val="21"/>
          <w:b/>
        </w:rPr>
        <w:t>九</w:t>
      </w:r>
      <w:r>
        <w:rPr>
          <w:sz w:val="21"/>
          <w:b/>
        </w:rPr>
        <w:t>、违约责任</w:t>
      </w:r>
    </w:p>
    <w:p>
      <w:pPr>
        <w:pStyle w:val="null3"/>
        <w:ind w:firstLine="420"/>
        <w:jc w:val="left"/>
      </w:pPr>
      <w:r>
        <w:rPr>
          <w:sz w:val="21"/>
        </w:rPr>
        <w:t xml:space="preserve">1. </w:t>
      </w:r>
      <w:r>
        <w:rPr>
          <w:sz w:val="21"/>
        </w:rPr>
        <w:t>乙方提供的服务不符合合同规定的，甲方有权拒收，乙方需向甲方支付合同总价</w:t>
      </w:r>
      <w:r>
        <w:rPr>
          <w:sz w:val="21"/>
        </w:rPr>
        <w:t>10%</w:t>
      </w:r>
      <w:r>
        <w:rPr>
          <w:sz w:val="21"/>
        </w:rPr>
        <w:t>的违约金。</w:t>
      </w:r>
    </w:p>
    <w:p>
      <w:pPr>
        <w:pStyle w:val="null3"/>
        <w:ind w:firstLine="420"/>
        <w:jc w:val="left"/>
      </w:pPr>
      <w:r>
        <w:rPr>
          <w:sz w:val="21"/>
        </w:rPr>
        <w:t xml:space="preserve">2. </w:t>
      </w:r>
      <w:r>
        <w:rPr>
          <w:sz w:val="21"/>
        </w:rPr>
        <w:t>乙方迟延提供服务的，每逾期一日，按合同总价的</w:t>
      </w:r>
      <w:r>
        <w:rPr>
          <w:sz w:val="21"/>
        </w:rPr>
        <w:t>0.8‰</w:t>
      </w:r>
      <w:r>
        <w:rPr>
          <w:sz w:val="21"/>
        </w:rPr>
        <w:t>向甲方支付违约金，甲方有权直接从应付给乙方的合同款项中扣除该违约金，且甲方有权要求乙方继续提供服务直至符合</w:t>
      </w:r>
      <w:r>
        <w:rPr>
          <w:sz w:val="21"/>
        </w:rPr>
        <w:t>甲方</w:t>
      </w:r>
      <w:r>
        <w:rPr>
          <w:sz w:val="21"/>
        </w:rPr>
        <w:t>要求。当逾期违约金累计总额超过合同款总额的百分之五时，甲方有权解除合同，如按上述办法计算的违约金仍不足以补偿因乙方违约造成的损失，甲方有权进一步向乙方提出索赔。</w:t>
      </w:r>
    </w:p>
    <w:p>
      <w:pPr>
        <w:pStyle w:val="null3"/>
        <w:ind w:firstLine="420"/>
        <w:jc w:val="left"/>
      </w:pPr>
      <w:r>
        <w:rPr>
          <w:sz w:val="21"/>
        </w:rPr>
        <w:t xml:space="preserve">3. </w:t>
      </w:r>
      <w:r>
        <w:rPr>
          <w:sz w:val="21"/>
        </w:rPr>
        <w:t>若乙方未按本合同的约定提供售后服务，甲方有权自行委托第三方提供甲方所需要的技术支持和售后服务，由此造成的包括但不限于第三方维保费用、甲方其他经济损失等均由乙方承担赔偿。</w:t>
      </w:r>
    </w:p>
    <w:p>
      <w:pPr>
        <w:pStyle w:val="null3"/>
        <w:ind w:firstLine="420"/>
        <w:jc w:val="left"/>
      </w:pPr>
      <w:r>
        <w:rPr>
          <w:sz w:val="21"/>
        </w:rPr>
        <w:t xml:space="preserve">4. </w:t>
      </w:r>
      <w:r>
        <w:rPr>
          <w:sz w:val="21"/>
        </w:rPr>
        <w:t>乙方有以下情形之一的，甲方有权解除合同，乙方需退还甲方已支付的所有款项，并按合同总价的</w:t>
      </w:r>
      <w:r>
        <w:rPr>
          <w:sz w:val="21"/>
        </w:rPr>
        <w:t>10%</w:t>
      </w:r>
      <w:r>
        <w:rPr>
          <w:sz w:val="21"/>
        </w:rPr>
        <w:t>向甲方支付违约金，违约金不足以弥补甲方损失的，乙方应另行</w:t>
      </w:r>
      <w:r>
        <w:rPr>
          <w:sz w:val="21"/>
        </w:rPr>
        <w:t>赔偿</w:t>
      </w:r>
      <w:r>
        <w:rPr>
          <w:sz w:val="21"/>
        </w:rPr>
        <w:t>：</w:t>
      </w:r>
    </w:p>
    <w:p>
      <w:pPr>
        <w:pStyle w:val="null3"/>
        <w:ind w:firstLine="420"/>
        <w:jc w:val="left"/>
      </w:pPr>
      <w:r>
        <w:rPr>
          <w:sz w:val="21"/>
        </w:rPr>
        <w:t>（</w:t>
      </w:r>
      <w:r>
        <w:rPr>
          <w:sz w:val="21"/>
        </w:rPr>
        <w:t>1</w:t>
      </w:r>
      <w:r>
        <w:rPr>
          <w:sz w:val="21"/>
        </w:rPr>
        <w:t>）乙方提供的</w:t>
      </w:r>
      <w:r>
        <w:rPr>
          <w:sz w:val="21"/>
        </w:rPr>
        <w:t>软件系统</w:t>
      </w:r>
      <w:r>
        <w:rPr>
          <w:sz w:val="21"/>
        </w:rPr>
        <w:t>存在侵犯他人知识产权、肖像权、技术秘密、商业秘密或其他任何权益的；</w:t>
      </w:r>
    </w:p>
    <w:p>
      <w:pPr>
        <w:pStyle w:val="null3"/>
        <w:ind w:firstLine="420"/>
        <w:jc w:val="left"/>
      </w:pPr>
      <w:r>
        <w:rPr>
          <w:sz w:val="21"/>
        </w:rPr>
        <w:t>（</w:t>
      </w:r>
      <w:r>
        <w:rPr>
          <w:sz w:val="21"/>
        </w:rPr>
        <w:t>2</w:t>
      </w:r>
      <w:r>
        <w:rPr>
          <w:sz w:val="21"/>
        </w:rPr>
        <w:t>）乙方履行义务不符合约定，经甲方提出后在合理期限内仍未改正的；</w:t>
      </w:r>
    </w:p>
    <w:p>
      <w:pPr>
        <w:pStyle w:val="null3"/>
        <w:ind w:firstLine="420"/>
        <w:jc w:val="left"/>
      </w:pPr>
      <w:r>
        <w:rPr>
          <w:sz w:val="21"/>
        </w:rPr>
        <w:t>（</w:t>
      </w:r>
      <w:r>
        <w:rPr>
          <w:sz w:val="21"/>
        </w:rPr>
        <w:t>3</w:t>
      </w:r>
      <w:r>
        <w:rPr>
          <w:sz w:val="21"/>
        </w:rPr>
        <w:t>）未经甲方书面同意，乙方</w:t>
      </w:r>
      <w:r>
        <w:rPr>
          <w:sz w:val="21"/>
        </w:rPr>
        <w:t>擅自</w:t>
      </w:r>
      <w:r>
        <w:rPr>
          <w:sz w:val="21"/>
        </w:rPr>
        <w:t>将本合同项下的权利或义务转让，或将本合同项下服务转包或分包的；</w:t>
      </w:r>
    </w:p>
    <w:p>
      <w:pPr>
        <w:pStyle w:val="null3"/>
        <w:ind w:firstLine="420"/>
        <w:jc w:val="left"/>
      </w:pPr>
      <w:r>
        <w:rPr>
          <w:sz w:val="21"/>
        </w:rPr>
        <w:t>（</w:t>
      </w:r>
      <w:r>
        <w:rPr>
          <w:sz w:val="21"/>
        </w:rPr>
        <w:t>4</w:t>
      </w:r>
      <w:r>
        <w:rPr>
          <w:sz w:val="21"/>
        </w:rPr>
        <w:t>）国家法律规定的其他合同解除情形。</w:t>
      </w:r>
    </w:p>
    <w:p>
      <w:pPr>
        <w:pStyle w:val="null3"/>
        <w:ind w:firstLine="420"/>
        <w:jc w:val="left"/>
      </w:pPr>
      <w:r>
        <w:rPr>
          <w:sz w:val="21"/>
        </w:rPr>
        <w:t xml:space="preserve">5. </w:t>
      </w:r>
      <w:r>
        <w:rPr>
          <w:sz w:val="21"/>
        </w:rPr>
        <w:t>甲方逾期支付货款，经乙方催告后无正当理由仍不支付的，自催告后每逾期一日，应按逾期付款金额每日</w:t>
      </w:r>
      <w:r>
        <w:rPr>
          <w:sz w:val="21"/>
        </w:rPr>
        <w:t>0.8‰</w:t>
      </w:r>
      <w:r>
        <w:rPr>
          <w:sz w:val="21"/>
        </w:rPr>
        <w:t>向乙方支付违约金。</w:t>
      </w:r>
    </w:p>
    <w:p>
      <w:pPr>
        <w:pStyle w:val="null3"/>
        <w:ind w:firstLine="420"/>
        <w:jc w:val="left"/>
      </w:pPr>
      <w:r>
        <w:rPr>
          <w:sz w:val="21"/>
        </w:rPr>
        <w:t xml:space="preserve">6. </w:t>
      </w:r>
      <w:r>
        <w:rPr>
          <w:sz w:val="21"/>
        </w:rPr>
        <w:t>本合同所称之损失，包括守约方的直接经济损失和合同履行后可以获得的利益及合理的调查费、评估费、公证费、诉讼费、交通费、律师费等相关法律费用。</w:t>
      </w:r>
    </w:p>
    <w:p>
      <w:pPr>
        <w:pStyle w:val="null3"/>
        <w:ind w:firstLine="422"/>
        <w:jc w:val="left"/>
      </w:pPr>
      <w:r>
        <w:rPr>
          <w:sz w:val="21"/>
          <w:b/>
        </w:rPr>
        <w:t>十、保密责任</w:t>
      </w:r>
    </w:p>
    <w:p>
      <w:pPr>
        <w:pStyle w:val="null3"/>
        <w:ind w:firstLine="420"/>
        <w:jc w:val="left"/>
      </w:pPr>
      <w:r>
        <w:rPr>
          <w:sz w:val="21"/>
        </w:rPr>
        <w:t>双方应保守通过签订和履行本合同而获取的对方之商业及技术秘密，包括本合同文本，相关技术文件、相关数据，以及其他有关信息。任何一方违反上述约定的，应赔偿合同守约方的损失。本保密条款及保密责任不因合同的解除或终止而消失。</w:t>
      </w:r>
    </w:p>
    <w:p>
      <w:pPr>
        <w:pStyle w:val="null3"/>
        <w:ind w:firstLine="422"/>
        <w:jc w:val="left"/>
      </w:pPr>
      <w:r>
        <w:rPr>
          <w:sz w:val="21"/>
          <w:b/>
        </w:rPr>
        <w:t>十一、不可抗力</w:t>
      </w:r>
    </w:p>
    <w:p>
      <w:pPr>
        <w:pStyle w:val="null3"/>
        <w:ind w:firstLine="420"/>
        <w:jc w:val="left"/>
      </w:pPr>
      <w:r>
        <w:rPr>
          <w:sz w:val="21"/>
        </w:rPr>
        <w:t>一方由于不能预见、不能避免并不能克服的客观情况（也即法定不可抗力事由），且该情况是在合同生效后发生的，导致不能或暂时不能全部或部分履行本合同，该方可以免责。但是，受不可抗力事件影响的一方须尽快将事件发生状况通知另一方，并在不可抗力事件影响消除之日起</w:t>
      </w:r>
      <w:r>
        <w:rPr>
          <w:sz w:val="21"/>
        </w:rPr>
        <w:t>10</w:t>
      </w:r>
      <w:r>
        <w:rPr>
          <w:sz w:val="21"/>
        </w:rPr>
        <w:t>日内将有关机构出具的不可抗力事件证明寄交对方。逾期未提供以上证明的，不能免除违约责任。</w:t>
      </w:r>
    </w:p>
    <w:p>
      <w:pPr>
        <w:pStyle w:val="null3"/>
        <w:ind w:firstLine="422"/>
        <w:jc w:val="left"/>
      </w:pPr>
      <w:r>
        <w:rPr>
          <w:sz w:val="21"/>
          <w:b/>
        </w:rPr>
        <w:t>十二、法律适用与争议解决</w:t>
      </w:r>
    </w:p>
    <w:p>
      <w:pPr>
        <w:pStyle w:val="null3"/>
        <w:ind w:firstLine="420"/>
        <w:jc w:val="left"/>
      </w:pPr>
      <w:r>
        <w:rPr>
          <w:sz w:val="21"/>
        </w:rPr>
        <w:t xml:space="preserve">1. </w:t>
      </w:r>
      <w:r>
        <w:rPr>
          <w:sz w:val="21"/>
        </w:rPr>
        <w:t>本合同的成立、有效性、解释、履行、签署、修订和终止以及争议的解决等均应适用中华人民共和国法律。</w:t>
      </w:r>
    </w:p>
    <w:p>
      <w:pPr>
        <w:pStyle w:val="null3"/>
        <w:ind w:firstLine="420"/>
        <w:jc w:val="left"/>
      </w:pPr>
      <w:r>
        <w:rPr>
          <w:sz w:val="21"/>
        </w:rPr>
        <w:t xml:space="preserve">2. </w:t>
      </w:r>
      <w:r>
        <w:rPr>
          <w:sz w:val="21"/>
        </w:rPr>
        <w:t>甲乙双方在履行本合同时发生的争议，都应首先由双方通过友好协商解决。双方通过协商仍不能解决争议，双方一致同意向甲方所在地（即广州市天河区）人民法院提起诉讼。</w:t>
      </w:r>
    </w:p>
    <w:p>
      <w:pPr>
        <w:pStyle w:val="null3"/>
        <w:ind w:firstLine="422"/>
        <w:jc w:val="left"/>
      </w:pPr>
      <w:r>
        <w:rPr>
          <w:sz w:val="21"/>
          <w:b/>
        </w:rPr>
        <w:t>十三、通知与送达</w:t>
      </w:r>
    </w:p>
    <w:p>
      <w:pPr>
        <w:pStyle w:val="null3"/>
        <w:ind w:firstLine="420"/>
        <w:jc w:val="left"/>
      </w:pPr>
      <w:r>
        <w:rPr>
          <w:sz w:val="21"/>
        </w:rPr>
        <w:t>一方在本合同履行过程中向对方发出或者提供的所有通知、文件、文书、资料等，均以本合同所列明的地址送达。一方如果迁址、变更电话，应当在变更之日起</w:t>
      </w:r>
      <w:r>
        <w:rPr>
          <w:sz w:val="21"/>
        </w:rPr>
        <w:t>5</w:t>
      </w:r>
      <w:r>
        <w:rPr>
          <w:sz w:val="21"/>
        </w:rPr>
        <w:t>日内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2"/>
        <w:jc w:val="left"/>
      </w:pPr>
      <w:r>
        <w:rPr>
          <w:sz w:val="21"/>
          <w:b/>
        </w:rPr>
        <w:t>十四、其他约定</w:t>
      </w:r>
    </w:p>
    <w:p>
      <w:pPr>
        <w:pStyle w:val="null3"/>
        <w:ind w:firstLine="420"/>
        <w:jc w:val="both"/>
      </w:pPr>
      <w:r>
        <w:rPr>
          <w:sz w:val="21"/>
        </w:rPr>
        <w:t xml:space="preserve">1. </w:t>
      </w:r>
      <w:r>
        <w:rPr>
          <w:sz w:val="21"/>
        </w:rPr>
        <w:t>本合同其他未尽事宜，以项目招投标文件为准；文件未作规定的，应由双方友好协商解决。如需对本合同及其附件作任何修改或补充，须由双方以书面形式做出，并经双方签字盖章后方为有效。修改或补充文件与本合同有不一致的，以修改或补充文件为准。</w:t>
      </w:r>
    </w:p>
    <w:p>
      <w:pPr>
        <w:pStyle w:val="null3"/>
        <w:ind w:firstLine="420"/>
        <w:jc w:val="both"/>
      </w:pPr>
      <w:r>
        <w:rPr>
          <w:sz w:val="21"/>
        </w:rPr>
        <w:t xml:space="preserve">2. </w:t>
      </w:r>
      <w:r>
        <w:rPr>
          <w:sz w:val="21"/>
        </w:rPr>
        <w:t>组成本合同的材料包括</w:t>
      </w:r>
      <w:r>
        <w:rPr>
          <w:sz w:val="21"/>
        </w:rPr>
        <w:t>_______采购项目(</w:t>
      </w:r>
      <w:r>
        <w:rPr>
          <w:sz w:val="21"/>
        </w:rPr>
        <w:t>采购编号</w:t>
      </w:r>
      <w:r>
        <w:rPr>
          <w:sz w:val="21"/>
        </w:rPr>
        <w:t>：</w:t>
      </w:r>
      <w:r>
        <w:rPr>
          <w:sz w:val="21"/>
        </w:rPr>
        <w:t>_______）的招标文件、乙方投标文件、承诺以及本项目经双方确认的相关材料</w:t>
      </w:r>
      <w:r>
        <w:rPr>
          <w:sz w:val="21"/>
        </w:rPr>
        <w:t>，合同附件为本合同不可分割的部分。若附件与合同正文有任何不一致，以合同正文为准。</w:t>
      </w:r>
    </w:p>
    <w:p>
      <w:pPr>
        <w:pStyle w:val="null3"/>
        <w:ind w:firstLine="420"/>
        <w:jc w:val="both"/>
      </w:pPr>
      <w:r>
        <w:rPr>
          <w:sz w:val="21"/>
        </w:rPr>
        <w:t xml:space="preserve">3. </w:t>
      </w:r>
      <w:r>
        <w:rPr>
          <w:sz w:val="21"/>
        </w:rPr>
        <w:t>本合同经甲乙双方签字盖章后正式生效。一式</w:t>
      </w:r>
      <w:r>
        <w:rPr>
          <w:sz w:val="21"/>
        </w:rPr>
        <w:t>6</w:t>
      </w:r>
      <w:r>
        <w:rPr>
          <w:sz w:val="21"/>
        </w:rPr>
        <w:t>份，甲方持</w:t>
      </w:r>
      <w:r>
        <w:rPr>
          <w:sz w:val="21"/>
        </w:rPr>
        <w:t>4</w:t>
      </w:r>
      <w:r>
        <w:rPr>
          <w:sz w:val="21"/>
        </w:rPr>
        <w:t>份，乙方持</w:t>
      </w:r>
      <w:r>
        <w:rPr>
          <w:sz w:val="21"/>
        </w:rPr>
        <w:t>2</w:t>
      </w:r>
      <w:r>
        <w:rPr>
          <w:sz w:val="21"/>
        </w:rPr>
        <w:t>份，均为正本，具有同等法律效力。</w:t>
      </w:r>
    </w:p>
    <w:p>
      <w:pPr>
        <w:pStyle w:val="null3"/>
        <w:ind w:firstLine="422"/>
        <w:jc w:val="both"/>
      </w:pPr>
      <w:r>
        <w:rPr>
          <w:sz w:val="21"/>
          <w:b/>
        </w:rPr>
        <w:t>甲乙双方在此确认，本合同为甲乙双方合法之授权代表于广州市天河区签订。</w:t>
      </w:r>
    </w:p>
    <w:p>
      <w:pPr>
        <w:pStyle w:val="null3"/>
        <w:ind w:left="420"/>
        <w:jc w:val="left"/>
      </w:pPr>
      <w:r>
        <w:rPr>
          <w:sz w:val="22"/>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795"/>
        <w:gridCol w:w="1206"/>
        <w:gridCol w:w="780"/>
        <w:gridCol w:w="1206"/>
        <w:gridCol w:w="780"/>
        <w:gridCol w:w="1107"/>
        <w:gridCol w:w="866"/>
        <w:gridCol w:w="1505"/>
      </w:tblGrid>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甲方</w:t>
            </w:r>
          </w:p>
          <w:p>
            <w:pPr>
              <w:pStyle w:val="null3"/>
              <w:jc w:val="center"/>
            </w:pPr>
            <w:r>
              <w:rPr>
                <w:sz w:val="18"/>
              </w:rPr>
              <w:t>名称</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华南师范大学</w:t>
            </w:r>
            <w:r>
              <w:rPr>
                <w:sz w:val="21"/>
              </w:rPr>
              <w:t xml:space="preserve">  </w:t>
            </w:r>
          </w:p>
        </w:tc>
        <w:tc>
          <w:tcPr>
            <w:tcW w:type="dxa" w:w="780"/>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乙方</w:t>
            </w:r>
          </w:p>
          <w:p>
            <w:pPr>
              <w:pStyle w:val="null3"/>
              <w:jc w:val="center"/>
            </w:pPr>
            <w:r>
              <w:rPr>
                <w:sz w:val="18"/>
              </w:rPr>
              <w:t>名称</w:t>
            </w:r>
          </w:p>
        </w:tc>
        <w:tc>
          <w:tcPr>
            <w:tcW w:type="dxa" w:w="3478"/>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单位</w:t>
            </w:r>
          </w:p>
          <w:p>
            <w:pPr>
              <w:pStyle w:val="null3"/>
              <w:jc w:val="center"/>
            </w:pPr>
            <w:r>
              <w:rPr>
                <w:sz w:val="18"/>
              </w:rPr>
              <w:t>地址</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广州市中山大道西</w:t>
            </w:r>
            <w:r>
              <w:rPr>
                <w:sz w:val="18"/>
              </w:rPr>
              <w:t>55</w:t>
            </w:r>
            <w:r>
              <w:rPr>
                <w:sz w:val="18"/>
              </w:rPr>
              <w:t>号</w:t>
            </w:r>
            <w:r>
              <w:rPr>
                <w:sz w:val="21"/>
              </w:rPr>
              <w:t xml:space="preserve">  </w:t>
            </w:r>
          </w:p>
        </w:tc>
        <w:tc>
          <w:tcPr>
            <w:tcW w:type="dxa" w:w="780"/>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单位</w:t>
            </w:r>
          </w:p>
          <w:p>
            <w:pPr>
              <w:pStyle w:val="null3"/>
              <w:jc w:val="center"/>
            </w:pPr>
            <w:r>
              <w:rPr>
                <w:sz w:val="18"/>
              </w:rPr>
              <w:t>地址</w:t>
            </w:r>
          </w:p>
        </w:tc>
        <w:tc>
          <w:tcPr>
            <w:tcW w:type="dxa" w:w="3478"/>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联系人</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电话</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联系人</w:t>
            </w:r>
          </w:p>
        </w:tc>
        <w:tc>
          <w:tcPr>
            <w:tcW w:type="dxa" w:w="1107"/>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90"/>
              <w:jc w:val="left"/>
            </w:pPr>
            <w:r>
              <w:rPr>
                <w:sz w:val="18"/>
              </w:rPr>
              <w:t>电话</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传真</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邮编</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传真</w:t>
            </w:r>
          </w:p>
        </w:tc>
        <w:tc>
          <w:tcPr>
            <w:tcW w:type="dxa" w:w="1107"/>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90"/>
              <w:jc w:val="left"/>
            </w:pPr>
            <w:r>
              <w:rPr>
                <w:sz w:val="18"/>
              </w:rPr>
              <w:t>邮编</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开户</w:t>
            </w:r>
          </w:p>
          <w:p>
            <w:pPr>
              <w:pStyle w:val="null3"/>
              <w:jc w:val="center"/>
            </w:pPr>
            <w:r>
              <w:rPr>
                <w:sz w:val="18"/>
              </w:rPr>
              <w:t>银行</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工商银行广州市高新区支行</w:t>
            </w:r>
            <w:r>
              <w:rPr>
                <w:sz w:val="21"/>
              </w:rPr>
              <w:t xml:space="preserve">  </w:t>
            </w:r>
          </w:p>
        </w:tc>
        <w:tc>
          <w:tcPr>
            <w:tcW w:type="dxa" w:w="780"/>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开户</w:t>
            </w:r>
            <w:r>
              <w:rPr>
                <w:sz w:val="21"/>
              </w:rPr>
              <w:t xml:space="preserve"> </w:t>
            </w:r>
          </w:p>
          <w:p>
            <w:pPr>
              <w:pStyle w:val="null3"/>
              <w:jc w:val="center"/>
            </w:pPr>
            <w:r>
              <w:rPr>
                <w:sz w:val="18"/>
              </w:rPr>
              <w:t>银行</w:t>
            </w:r>
          </w:p>
        </w:tc>
        <w:tc>
          <w:tcPr>
            <w:tcW w:type="dxa" w:w="3478"/>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银行</w:t>
            </w:r>
          </w:p>
          <w:p>
            <w:pPr>
              <w:pStyle w:val="null3"/>
              <w:jc w:val="center"/>
            </w:pPr>
            <w:r>
              <w:rPr>
                <w:sz w:val="18"/>
              </w:rPr>
              <w:t>帐号</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 xml:space="preserve">3602008109000386071  </w:t>
            </w:r>
          </w:p>
        </w:tc>
        <w:tc>
          <w:tcPr>
            <w:tcW w:type="dxa" w:w="780"/>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银行</w:t>
            </w:r>
            <w:r>
              <w:rPr>
                <w:sz w:val="21"/>
              </w:rPr>
              <w:t xml:space="preserve"> </w:t>
            </w:r>
          </w:p>
          <w:p>
            <w:pPr>
              <w:pStyle w:val="null3"/>
              <w:jc w:val="center"/>
            </w:pPr>
            <w:r>
              <w:rPr>
                <w:sz w:val="18"/>
              </w:rPr>
              <w:t>帐号</w:t>
            </w:r>
          </w:p>
        </w:tc>
        <w:tc>
          <w:tcPr>
            <w:tcW w:type="dxa" w:w="3478"/>
            <w:gridSpan w:val="3"/>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法定代表人</w:t>
            </w:r>
            <w:r>
              <w:rPr>
                <w:sz w:val="18"/>
              </w:rPr>
              <w:t>/</w:t>
            </w:r>
            <w:r>
              <w:rPr>
                <w:sz w:val="18"/>
              </w:rPr>
              <w:t>委托代理人</w:t>
            </w:r>
          </w:p>
        </w:tc>
        <w:tc>
          <w:tcPr>
            <w:tcW w:type="dxa" w:w="3192"/>
            <w:gridSpan w:val="3"/>
            <w:vMerge w:val="restart"/>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c>
          <w:tcPr>
            <w:tcW w:type="dxa" w:w="780"/>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法定代表人</w:t>
            </w:r>
            <w:r>
              <w:rPr>
                <w:sz w:val="18"/>
              </w:rPr>
              <w:t>/</w:t>
            </w:r>
            <w:r>
              <w:rPr>
                <w:sz w:val="18"/>
              </w:rPr>
              <w:t>委托代理人</w:t>
            </w:r>
          </w:p>
        </w:tc>
        <w:tc>
          <w:tcPr>
            <w:tcW w:type="dxa" w:w="3478"/>
            <w:gridSpan w:val="3"/>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r>
      <w:tr>
        <w:tc>
          <w:tcPr>
            <w:tcW w:type="dxa" w:w="795"/>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18"/>
              </w:rPr>
              <w:t>签订日期、甲方盖章</w:t>
            </w:r>
          </w:p>
        </w:tc>
        <w:tc>
          <w:tcPr>
            <w:tcW w:type="dxa" w:w="3192"/>
            <w:gridSpan w:val="3"/>
            <w:vMerge/>
            <w:tcBorders>
              <w:top w:val="single" w:color="000000" w:sz="4"/>
              <w:left w:val="single" w:color="000000" w:sz="4"/>
              <w:bottom w:val="single" w:color="000000" w:sz="4"/>
              <w:right w:val="none" w:color="000000" w:sz="4"/>
            </w:tcBorders>
          </w:tcPr>
          <w:p/>
        </w:tc>
        <w:tc>
          <w:tcPr>
            <w:tcW w:type="dxa" w:w="780"/>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18"/>
              </w:rPr>
              <w:t>签订日期、乙方盖章</w:t>
            </w:r>
          </w:p>
        </w:tc>
        <w:tc>
          <w:tcPr>
            <w:tcW w:type="dxa" w:w="3478"/>
            <w:gridSpan w:val="3"/>
            <w:vMerge/>
            <w:tcBorders>
              <w:top w:val="single" w:color="000000" w:sz="4"/>
              <w:left w:val="single" w:color="000000" w:sz="4"/>
              <w:bottom w:val="single" w:color="000000" w:sz="4"/>
              <w:right w:val="single" w:color="000000" w:sz="4"/>
            </w:tcBorders>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440001-2026-17446</w:t>
      </w:r>
    </w:p>
    <w:p>
      <w:pPr>
        <w:pStyle w:val="null3"/>
        <w:jc w:val="center"/>
        <w:outlineLvl w:val="3"/>
      </w:pPr>
      <w:r>
        <w:rPr>
          <w:sz w:val="24"/>
          <w:b/>
        </w:rPr>
        <w:t>采购项目编号：</w:t>
      </w:r>
      <w:r>
        <w:rPr>
          <w:sz w:val="24"/>
          <w:b/>
        </w:rPr>
        <w:t>ZZ0260225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华南师范大学基础教育大模型定制开发服务采购</w:t>
      </w:r>
      <w:r>
        <w:rPr>
          <w:u w:val="single"/>
        </w:rPr>
        <w:t>”</w:t>
      </w:r>
      <w:r>
        <w:rPr/>
        <w:t>项目的招标[采购项目编号为：</w:t>
      </w:r>
      <w:r>
        <w:rPr>
          <w:u w:val="single"/>
        </w:rPr>
        <w:t>ZZ0260225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华南师范大学基础教育大模型定制开发服务采购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华南师范大学基础教育大模型定制开发服务采购</w:t>
      </w:r>
      <w:r>
        <w:rPr/>
        <w:t>”项目采购[采购项目编号为</w:t>
      </w:r>
      <w:r>
        <w:rPr/>
        <w:t>ZZ0260225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华南师范大学基础教育大模型定制开发服务采购</w:t>
      </w:r>
      <w:r>
        <w:rPr/>
        <w:t>招标中获中标（采购项目编号：</w:t>
      </w:r>
      <w:r>
        <w:rPr/>
        <w:t>ZZ0260225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华南师范大学基础教育大模型定制开发服务采购</w:t>
      </w:r>
      <w:r>
        <w:rPr/>
        <w:t>”项目（采购项目编号：</w:t>
      </w:r>
      <w:r>
        <w:rPr/>
        <w:t>ZZ0260225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