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440001-2025-26428</w:t>
      </w:r>
    </w:p>
    <w:p>
      <w:pPr>
        <w:pStyle w:val="null3"/>
        <w:jc w:val="center"/>
        <w:outlineLvl w:val="3"/>
      </w:pPr>
      <w:r>
        <w:rPr>
          <w:sz w:val="24"/>
          <w:b/>
        </w:rPr>
        <w:t>采购项目编号：</w:t>
      </w:r>
      <w:r>
        <w:rPr>
          <w:sz w:val="24"/>
          <w:b/>
        </w:rPr>
        <w:t>440001-2025-26428</w:t>
      </w:r>
    </w:p>
    <w:p>
      <w:pPr>
        <w:pStyle w:val="null3"/>
        <w:jc w:val="center"/>
        <w:outlineLvl w:val="3"/>
      </w:pPr>
      <w:r>
        <w:rPr>
          <w:sz w:val="24"/>
          <w:b/>
        </w:rPr>
        <w:t>项目名称：</w:t>
      </w:r>
      <w:r>
        <w:rPr>
          <w:sz w:val="24"/>
          <w:b/>
        </w:rPr>
        <w:t>双语认知与发展实验室语言实验研究平台建设项目(桌面式眼动仪、便携式脑电波采集设备)</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广东外语外贸大学</w:t>
      </w:r>
      <w:r>
        <w:rPr/>
        <w:t>的委托，采用</w:t>
      </w:r>
      <w:r>
        <w:rPr/>
        <w:t>公开招标</w:t>
      </w:r>
      <w:r>
        <w:rPr/>
        <w:t>方式组织采购</w:t>
      </w:r>
      <w:r>
        <w:rPr/>
        <w:t>双语认知与发展实验室语言实验研究平台建设项目(桌面式眼动仪、便携式脑电波采集设备)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双语认知与发展实验室语言实验研究平台建设项目(桌面式眼动仪、便携式脑电波采集设备)</w:t>
      </w:r>
    </w:p>
    <w:p>
      <w:pPr>
        <w:pStyle w:val="null3"/>
        <w:ind w:firstLine="480"/>
      </w:pPr>
      <w:r>
        <w:rPr/>
        <w:t>采购计划编号：</w:t>
      </w:r>
      <w:r>
        <w:rPr/>
        <w:t>440001-2025-26428</w:t>
      </w:r>
    </w:p>
    <w:p>
      <w:pPr>
        <w:pStyle w:val="null3"/>
        <w:ind w:firstLine="480"/>
      </w:pPr>
      <w:r>
        <w:rPr/>
        <w:t>采购项目编号：</w:t>
      </w:r>
      <w:r>
        <w:rPr/>
        <w:t>440001-2025-26428</w:t>
      </w:r>
    </w:p>
    <w:p>
      <w:pPr>
        <w:pStyle w:val="null3"/>
        <w:ind w:firstLine="480"/>
      </w:pPr>
      <w:r>
        <w:rPr/>
        <w:t>采购方式：</w:t>
      </w:r>
      <w:r>
        <w:rPr/>
        <w:t>公开招标</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采购包1(桌面式眼动仪):</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生理仪器</w:t>
            </w:r>
          </w:p>
        </w:tc>
        <w:tc>
          <w:tcPr>
            <w:tcW w:type="dxa" w:w="2136"/>
          </w:tcPr>
          <w:p>
            <w:pPr>
              <w:pStyle w:val="null3"/>
            </w:pPr>
            <w:r>
              <w:rPr/>
              <w:t>桌面式眼动仪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合同履行期限：合同签订后90个自然日内完成供货，并安装、调试和验收。</w:t>
      </w:r>
    </w:p>
    <w:p>
      <w:pPr>
        <w:pStyle w:val="null3"/>
      </w:pPr>
      <w:r>
        <w:rPr/>
        <w:t>采购包2(便携式脑电波采集设备):</w:t>
      </w:r>
    </w:p>
    <w:p>
      <w:pPr>
        <w:pStyle w:val="null3"/>
      </w:pPr>
      <w:r>
        <w:rPr/>
        <w:t>采购包预算金额：750,000.00元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生理仪器</w:t>
            </w:r>
          </w:p>
        </w:tc>
        <w:tc>
          <w:tcPr>
            <w:tcW w:type="dxa" w:w="2136"/>
          </w:tcPr>
          <w:p>
            <w:pPr>
              <w:pStyle w:val="null3"/>
            </w:pPr>
            <w:r>
              <w:rPr/>
              <w:t>便携式脑电波采集设备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合同履行期限：合同签订后90个自然日内完成供货，并安装、调试和验收。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提供相应证明材料）或提供签署及盖章合格的投标函。</w:t>
      </w:r>
    </w:p>
    <w:p>
      <w:pPr>
        <w:pStyle w:val="null3"/>
      </w:pPr>
      <w:r>
        <w:rPr/>
        <w:t>3）具有良好的商业信誉和健全的财务会计制度：投标人必须具有良好的商业信誉和健全的财务会计制度。（提供2023或2024年度财务状况报告或基本开户行出具的资信证明）或提供签署及盖章合格的投标函。</w:t>
      </w:r>
    </w:p>
    <w:p>
      <w:pPr>
        <w:pStyle w:val="null3"/>
      </w:pPr>
      <w:r>
        <w:rPr/>
        <w:t>4）履行合同所必需的设备和专业技术能力：按投标（响应）文件格式填报设备及专业技术能力情况（格式自拟）或提供签署及盖章合格的投标函。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采购包1（桌面式眼动仪）：</w:t>
      </w:r>
      <w:r>
        <w:rPr/>
        <w:t>本采购包不属于专门面向中小企业采购项目。</w:t>
      </w:r>
    </w:p>
    <w:p>
      <w:pPr>
        <w:pStyle w:val="null3"/>
        <w:jc w:val="left"/>
      </w:pPr>
      <w:r>
        <w:rPr/>
        <w:t>采购包2（便携式脑电波采集设备）：</w:t>
      </w:r>
      <w:r>
        <w:rPr/>
        <w:t>本采购包不属于专门面向中小企业采购项目</w:t>
      </w:r>
    </w:p>
    <w:p>
      <w:pPr>
        <w:pStyle w:val="null3"/>
        <w:outlineLvl w:val="3"/>
      </w:pPr>
      <w:r>
        <w:rPr>
          <w:sz w:val="24"/>
          <w:b/>
        </w:rPr>
        <w:t>3.本项目特定的资格要求：</w:t>
      </w:r>
    </w:p>
    <w:p>
      <w:pPr>
        <w:pStyle w:val="null3"/>
      </w:pPr>
      <w:r>
        <w:rPr/>
        <w:t>采购包1（桌面式眼动仪）：</w:t>
      </w:r>
    </w:p>
    <w:p>
      <w:pPr>
        <w:pStyle w:val="null3"/>
      </w:pPr>
      <w:r>
        <w:rPr/>
        <w:t>1)未列入失信被执行人、重大税收违法失信主体、政府采购严重违法失信行为记录名单的投标人（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p>
      <w:pPr>
        <w:pStyle w:val="null3"/>
      </w:pPr>
      <w:r>
        <w:rPr/>
        <w:t>2)不得参与同一采购项目竞争的投标人（提供签署及盖章合格的投标函）①单位负责人为同一人或者存在直接控股、管理关系的不同投标人，不得参加同一包组投标或者未划分包组的同一招标项目的政府采购活动。如同时参加，则评审时均作无效投标处理。②为采购项目提供整体设计、规范编制或者项目管理、监理、检测等服务的投标人，不得再参加该采购项目的其他采购活动。</w:t>
      </w:r>
    </w:p>
    <w:p>
      <w:pPr>
        <w:pStyle w:val="null3"/>
      </w:pPr>
      <w:r>
        <w:rPr/>
        <w:t>3)本项目不接受联合体投标。</w:t>
      </w:r>
    </w:p>
    <w:p>
      <w:pPr>
        <w:pStyle w:val="null3"/>
      </w:pPr>
      <w:r>
        <w:rPr/>
        <w:t>采购包2（便携式脑电波采集设备）：</w:t>
      </w:r>
    </w:p>
    <w:p>
      <w:pPr>
        <w:pStyle w:val="null3"/>
      </w:pPr>
      <w:r>
        <w:rPr/>
        <w:t>1)未列入失信被执行人、重大税收违法失信主体、政府采购严重违法失信行为记录名单的投标人（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p>
      <w:pPr>
        <w:pStyle w:val="null3"/>
      </w:pPr>
      <w:r>
        <w:rPr/>
        <w:t>2)不得参与同一采购项目竞争的投标人（提供签署及盖章合格的投标函）①单位负责人为同一人或者存在直接控股、管理关系的不同投标人，不得参加同一包组投标或者未划分包组的同一招标项目的政府采购活动。如同时参加，则评审时均作无效投标处理。②为采购项目提供整体设计、规范编制或者项目管理、监理、检测等服务的投标人，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广东外语外贸大学</w:t>
      </w:r>
    </w:p>
    <w:p>
      <w:pPr>
        <w:pStyle w:val="null3"/>
        <w:ind w:firstLine="480"/>
      </w:pPr>
      <w:r>
        <w:rPr/>
        <w:t xml:space="preserve"> 地址：</w:t>
      </w:r>
      <w:r>
        <w:rPr/>
        <w:t>广东省广州市白云区白云大道北2号</w:t>
      </w:r>
    </w:p>
    <w:p>
      <w:pPr>
        <w:pStyle w:val="null3"/>
        <w:ind w:firstLine="480"/>
      </w:pPr>
      <w:r>
        <w:rPr/>
        <w:t xml:space="preserve"> 联系方式：</w:t>
      </w:r>
      <w:r>
        <w:rPr/>
        <w:t>020-36207135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jc w:val="both"/>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标“▲”号的为比较重要的商务、技术指标，未达到这些指标要求的将被严重扣分，但不会导致投标无效。</w:t>
      </w:r>
    </w:p>
    <w:p>
      <w:pPr>
        <w:pStyle w:val="null3"/>
        <w:jc w:val="both"/>
      </w:pPr>
      <w:r>
        <w:rPr>
          <w:sz w:val="21"/>
          <w:shd w:fill="FFFFFF" w:val="clear"/>
        </w:rPr>
        <w:t>3</w:t>
      </w:r>
      <w:r>
        <w:rPr>
          <w:sz w:val="21"/>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shd w:fill="FFFFFF" w:val="clear"/>
        </w:rPr>
        <w:t>4</w:t>
      </w:r>
      <w:r>
        <w:rPr>
          <w:sz w:val="21"/>
          <w:shd w:fill="FFFFFF" w:val="clear"/>
        </w:rPr>
        <w:t>、落实政府采购政策需满足的资格要求：本项目不属于专门面向中小企业采购项目。</w:t>
      </w:r>
    </w:p>
    <w:p>
      <w:pPr>
        <w:pStyle w:val="null3"/>
        <w:jc w:val="both"/>
      </w:pPr>
      <w:r>
        <w:rPr>
          <w:sz w:val="21"/>
          <w:shd w:fill="FFFFFF" w:val="clear"/>
        </w:rPr>
        <w:t>5</w:t>
      </w:r>
      <w:r>
        <w:rPr>
          <w:sz w:val="21"/>
          <w:shd w:fill="FFFFFF" w:val="clear"/>
        </w:rPr>
        <w:t>、本项目对应的中小企业划分标准所属行业为：</w:t>
      </w:r>
      <w:r>
        <w:rPr>
          <w:sz w:val="21"/>
          <w:b/>
          <w:u w:val="single"/>
          <w:shd w:fill="FFFFFF" w:val="clear"/>
        </w:rPr>
        <w:t>工业</w:t>
      </w:r>
      <w:r>
        <w:rPr>
          <w:sz w:val="21"/>
          <w:shd w:fill="FFFFFF" w:val="clear"/>
        </w:rPr>
        <w:t>。</w:t>
      </w:r>
    </w:p>
    <w:p>
      <w:pPr>
        <w:pStyle w:val="null3"/>
        <w:jc w:val="both"/>
      </w:pPr>
      <w:r>
        <w:rPr>
          <w:sz w:val="21"/>
          <w:b/>
        </w:rPr>
        <w:t>二</w:t>
      </w:r>
      <w:r>
        <w:rPr>
          <w:sz w:val="21"/>
          <w:b/>
        </w:rPr>
        <w:t>、项目概述</w:t>
      </w:r>
    </w:p>
    <w:p>
      <w:pPr>
        <w:pStyle w:val="null3"/>
        <w:ind w:firstLine="479"/>
        <w:jc w:val="both"/>
      </w:pPr>
      <w:r>
        <w:rPr>
          <w:sz w:val="21"/>
        </w:rPr>
        <w:t>为完善双语认知实验室建设，满足师生外出做实验，现需采购桌面式眼动仪一套、便携式脑电波采集设备一套。</w:t>
      </w:r>
    </w:p>
    <w:p>
      <w:pPr>
        <w:pStyle w:val="null3"/>
        <w:ind w:firstLine="479"/>
        <w:jc w:val="both"/>
      </w:pPr>
      <w:r>
        <w:rPr>
          <w:sz w:val="21"/>
          <w:b/>
        </w:rPr>
        <w:t>三</w:t>
      </w:r>
      <w:r>
        <w:rPr>
          <w:sz w:val="21"/>
          <w:b/>
        </w:rPr>
        <w:t>、项目建设内容</w:t>
      </w:r>
    </w:p>
    <w:p>
      <w:pPr>
        <w:pStyle w:val="null3"/>
        <w:ind w:firstLine="479"/>
        <w:jc w:val="both"/>
      </w:pPr>
      <w:r>
        <w:rPr>
          <w:sz w:val="21"/>
        </w:rPr>
        <w:t>（一）建设内容</w:t>
      </w:r>
    </w:p>
    <w:p>
      <w:pPr>
        <w:pStyle w:val="null3"/>
        <w:ind w:firstLine="479"/>
        <w:jc w:val="both"/>
      </w:pPr>
      <w:r>
        <w:rPr>
          <w:sz w:val="21"/>
        </w:rPr>
        <w:t>双语认知与发展实验室拟采购桌面式眼动仪一套、便携式脑电波采集设备一套。供应商承担设备运输、安装调试、验收检测和提供设备操作说明书、图纸等其他类似的义务。供应商应委派技术人员进行现场安装、调试，并提供货物安装调试的一切技术支持。安装调试的具体时间由采购人提前3天通知中标人。</w:t>
      </w:r>
    </w:p>
    <w:p>
      <w:pPr>
        <w:pStyle w:val="null3"/>
        <w:ind w:firstLine="479"/>
        <w:jc w:val="both"/>
      </w:pPr>
      <w:r>
        <w:rPr>
          <w:sz w:val="21"/>
        </w:rPr>
        <w:t>供应商货物经过双方检验认可后，签署验收报告，产品保修期自验收合格之日起算，由投标人提供产品保修文件。</w:t>
      </w:r>
    </w:p>
    <w:p>
      <w:pPr>
        <w:pStyle w:val="null3"/>
        <w:ind w:firstLine="479"/>
        <w:jc w:val="both"/>
      </w:pPr>
      <w:r>
        <w:rPr>
          <w:sz w:val="21"/>
        </w:rPr>
        <w:t>当满足以下条件时，采购人才向中标人签发货物验收报告：</w:t>
      </w:r>
    </w:p>
    <w:p>
      <w:pPr>
        <w:pStyle w:val="null3"/>
        <w:ind w:firstLine="479"/>
        <w:jc w:val="both"/>
      </w:pPr>
      <w:r>
        <w:rPr>
          <w:sz w:val="21"/>
        </w:rPr>
        <w:t>1</w:t>
      </w:r>
      <w:r>
        <w:rPr>
          <w:sz w:val="21"/>
        </w:rPr>
        <w:t>、中标人已按照合同规定提供了全部产品及完整的技术资料。</w:t>
      </w:r>
    </w:p>
    <w:p>
      <w:pPr>
        <w:pStyle w:val="null3"/>
        <w:ind w:firstLine="479"/>
        <w:jc w:val="both"/>
      </w:pPr>
      <w:r>
        <w:rPr>
          <w:sz w:val="21"/>
        </w:rPr>
        <w:t>2</w:t>
      </w:r>
      <w:r>
        <w:rPr>
          <w:sz w:val="21"/>
        </w:rPr>
        <w:t>、货物符合招标文件技术规格书的要求，性能满足要求。</w:t>
      </w:r>
    </w:p>
    <w:p>
      <w:pPr>
        <w:pStyle w:val="null3"/>
        <w:ind w:firstLine="479"/>
        <w:jc w:val="both"/>
      </w:pPr>
      <w:r>
        <w:rPr>
          <w:sz w:val="21"/>
          <w:b/>
        </w:rPr>
        <w:t>四</w:t>
      </w:r>
      <w:r>
        <w:rPr>
          <w:sz w:val="21"/>
          <w:b/>
        </w:rPr>
        <w:t>、技术要求</w:t>
      </w:r>
    </w:p>
    <w:p>
      <w:pPr>
        <w:pStyle w:val="null3"/>
        <w:ind w:firstLine="481"/>
        <w:jc w:val="both"/>
      </w:pPr>
      <w:r>
        <w:rPr>
          <w:sz w:val="21"/>
          <w:b/>
        </w:rPr>
        <w:t>采购包1：</w:t>
      </w:r>
    </w:p>
    <w:p>
      <w:pPr>
        <w:pStyle w:val="null3"/>
        <w:ind w:firstLine="479"/>
        <w:jc w:val="both"/>
      </w:pPr>
      <w:r>
        <w:rPr>
          <w:sz w:val="21"/>
        </w:rPr>
        <w:t>（一）桌面式眼动仪的技术性能要求</w:t>
      </w:r>
    </w:p>
    <w:p>
      <w:pPr>
        <w:pStyle w:val="null3"/>
        <w:ind w:firstLine="481"/>
        <w:jc w:val="both"/>
      </w:pPr>
      <w:r>
        <w:rPr>
          <w:sz w:val="21"/>
          <w:b/>
        </w:rPr>
        <w:t>1.</w:t>
      </w:r>
      <w:r>
        <w:rPr>
          <w:sz w:val="21"/>
          <w:b/>
        </w:rPr>
        <w:t>技术参数</w:t>
      </w:r>
    </w:p>
    <w:p>
      <w:pPr>
        <w:pStyle w:val="null3"/>
        <w:ind w:firstLine="479"/>
        <w:jc w:val="both"/>
      </w:pPr>
      <w:r>
        <w:rPr>
          <w:sz w:val="21"/>
        </w:rPr>
        <w:t>★</w:t>
      </w:r>
      <w:r>
        <w:rPr>
          <w:sz w:val="21"/>
        </w:rPr>
        <w:t xml:space="preserve">1.1 </w:t>
      </w:r>
      <w:r>
        <w:rPr>
          <w:sz w:val="21"/>
        </w:rPr>
        <w:t>采样速率：≥1800Hz；（</w:t>
      </w:r>
      <w:r>
        <w:rPr>
          <w:sz w:val="21"/>
        </w:rPr>
        <w:t>须提供生产厂家官网或产品说明书相应参数截图或者其他证明材料</w:t>
      </w:r>
      <w:r>
        <w:rPr>
          <w:sz w:val="21"/>
        </w:rPr>
        <w:t>）</w:t>
      </w:r>
    </w:p>
    <w:p>
      <w:pPr>
        <w:pStyle w:val="null3"/>
        <w:ind w:firstLine="479"/>
        <w:jc w:val="both"/>
      </w:pPr>
      <w:r>
        <w:rPr>
          <w:sz w:val="21"/>
        </w:rPr>
        <w:t xml:space="preserve">1.2 </w:t>
      </w:r>
      <w:r>
        <w:rPr>
          <w:sz w:val="21"/>
        </w:rPr>
        <w:t>分辨率：≤0.02°；</w:t>
      </w:r>
    </w:p>
    <w:p>
      <w:pPr>
        <w:pStyle w:val="null3"/>
        <w:ind w:firstLine="479"/>
        <w:jc w:val="both"/>
      </w:pPr>
      <w:r>
        <w:rPr>
          <w:sz w:val="21"/>
        </w:rPr>
        <w:t xml:space="preserve">1.3 </w:t>
      </w:r>
      <w:r>
        <w:rPr>
          <w:sz w:val="21"/>
        </w:rPr>
        <w:t>精度：≤0.5° ；</w:t>
      </w:r>
    </w:p>
    <w:p>
      <w:pPr>
        <w:pStyle w:val="null3"/>
        <w:ind w:firstLine="479"/>
        <w:jc w:val="both"/>
      </w:pPr>
      <w:r>
        <w:rPr>
          <w:sz w:val="21"/>
        </w:rPr>
        <w:t xml:space="preserve">1.4 </w:t>
      </w:r>
      <w:r>
        <w:rPr>
          <w:sz w:val="21"/>
        </w:rPr>
        <w:t>实时追踪延时：≤3ms   ；</w:t>
      </w:r>
    </w:p>
    <w:p>
      <w:pPr>
        <w:pStyle w:val="null3"/>
        <w:ind w:firstLine="479"/>
        <w:jc w:val="both"/>
      </w:pPr>
      <w:r>
        <w:rPr>
          <w:sz w:val="21"/>
        </w:rPr>
        <w:t xml:space="preserve">1.5 </w:t>
      </w:r>
      <w:r>
        <w:rPr>
          <w:sz w:val="21"/>
        </w:rPr>
        <w:t>追踪模式：瞳孔+角膜反射；</w:t>
      </w:r>
    </w:p>
    <w:p>
      <w:pPr>
        <w:pStyle w:val="null3"/>
        <w:ind w:firstLine="479"/>
        <w:jc w:val="both"/>
      </w:pPr>
      <w:r>
        <w:rPr>
          <w:sz w:val="21"/>
        </w:rPr>
        <w:t>▲</w:t>
      </w:r>
      <w:r>
        <w:rPr>
          <w:sz w:val="21"/>
        </w:rPr>
        <w:t xml:space="preserve">1.6 </w:t>
      </w:r>
      <w:r>
        <w:rPr>
          <w:sz w:val="21"/>
        </w:rPr>
        <w:t>同一设备拥有桌面式、遥测式两种眼动追踪功能；一机多能，还可以升级塔式眼动采集方式，眼动仪位于被试</w:t>
      </w:r>
      <w:r>
        <w:rPr>
          <w:sz w:val="21"/>
        </w:rPr>
        <w:t>者</w:t>
      </w:r>
      <w:r>
        <w:rPr>
          <w:sz w:val="21"/>
        </w:rPr>
        <w:t>头部上方，通过透明的红外反射镜完成眼球追踪，可以适用于近距离屏幕刺激或触屏；</w:t>
      </w:r>
    </w:p>
    <w:p>
      <w:pPr>
        <w:pStyle w:val="null3"/>
        <w:ind w:firstLine="479"/>
        <w:jc w:val="both"/>
      </w:pPr>
      <w:r>
        <w:rPr>
          <w:sz w:val="21"/>
        </w:rPr>
        <w:t xml:space="preserve">1.7 </w:t>
      </w:r>
      <w:r>
        <w:rPr>
          <w:sz w:val="21"/>
        </w:rPr>
        <w:t>不受普通和隐形眼镜影响，并可对扫视、注视和眨眼进行在线分析；</w:t>
      </w:r>
    </w:p>
    <w:p>
      <w:pPr>
        <w:pStyle w:val="null3"/>
        <w:ind w:firstLine="479"/>
        <w:jc w:val="both"/>
      </w:pPr>
      <w:r>
        <w:rPr>
          <w:sz w:val="21"/>
        </w:rPr>
        <w:t xml:space="preserve">1.8 </w:t>
      </w:r>
      <w:r>
        <w:rPr>
          <w:sz w:val="21"/>
        </w:rPr>
        <w:t>提供SDK程序接口；可与E-Prime，Matlab结合使用；</w:t>
      </w:r>
    </w:p>
    <w:p>
      <w:pPr>
        <w:pStyle w:val="null3"/>
        <w:ind w:firstLine="479"/>
        <w:jc w:val="both"/>
      </w:pPr>
      <w:r>
        <w:rPr>
          <w:sz w:val="21"/>
        </w:rPr>
        <w:t xml:space="preserve">1.9 </w:t>
      </w:r>
      <w:r>
        <w:rPr>
          <w:sz w:val="21"/>
        </w:rPr>
        <w:t>支持</w:t>
      </w:r>
      <w:r>
        <w:rPr>
          <w:sz w:val="21"/>
        </w:rPr>
        <w:t>采用以太网进行数据传输；</w:t>
      </w:r>
    </w:p>
    <w:p>
      <w:pPr>
        <w:pStyle w:val="null3"/>
        <w:ind w:firstLine="479"/>
        <w:jc w:val="both"/>
      </w:pPr>
      <w:r>
        <w:rPr>
          <w:sz w:val="21"/>
        </w:rPr>
        <w:t xml:space="preserve">1.10 </w:t>
      </w:r>
      <w:r>
        <w:rPr>
          <w:sz w:val="21"/>
        </w:rPr>
        <w:t>原始数据支持RAW、GAZE和HREF三种数据模式；</w:t>
      </w:r>
    </w:p>
    <w:p>
      <w:pPr>
        <w:pStyle w:val="null3"/>
        <w:ind w:firstLine="479"/>
        <w:jc w:val="both"/>
      </w:pPr>
      <w:r>
        <w:rPr>
          <w:sz w:val="21"/>
        </w:rPr>
        <w:t xml:space="preserve">1.11 </w:t>
      </w:r>
      <w:r>
        <w:rPr>
          <w:sz w:val="21"/>
        </w:rPr>
        <w:t>主处理器技术参数：</w:t>
      </w:r>
    </w:p>
    <w:p>
      <w:pPr>
        <w:pStyle w:val="null3"/>
        <w:ind w:firstLine="479"/>
        <w:jc w:val="both"/>
      </w:pPr>
      <w:r>
        <w:rPr>
          <w:sz w:val="21"/>
        </w:rPr>
        <w:t xml:space="preserve">1.11.1 </w:t>
      </w:r>
      <w:r>
        <w:rPr>
          <w:sz w:val="21"/>
        </w:rPr>
        <w:t>眼动专用处理器，搭配基于Qnx眼动专用操作系统，非Windows、非MAC OS操作系统；</w:t>
      </w:r>
    </w:p>
    <w:p>
      <w:pPr>
        <w:pStyle w:val="null3"/>
        <w:ind w:firstLine="479"/>
        <w:jc w:val="both"/>
      </w:pPr>
      <w:r>
        <w:rPr>
          <w:sz w:val="21"/>
        </w:rPr>
        <w:t xml:space="preserve">1.11.2 </w:t>
      </w:r>
      <w:r>
        <w:rPr>
          <w:sz w:val="21"/>
        </w:rPr>
        <w:t>提供界面化操作方式，可方便修改眼动采集参数；</w:t>
      </w:r>
    </w:p>
    <w:p>
      <w:pPr>
        <w:pStyle w:val="null3"/>
        <w:ind w:firstLine="479"/>
        <w:jc w:val="both"/>
      </w:pPr>
      <w:r>
        <w:rPr>
          <w:sz w:val="21"/>
        </w:rPr>
        <w:t xml:space="preserve">1.11.3 </w:t>
      </w:r>
      <w:r>
        <w:rPr>
          <w:sz w:val="21"/>
        </w:rPr>
        <w:t>含TCPIP网络接口、USB接口，可以同时连接眼动仪和被试机，控制眼动仪采集和被试机呈现刺激；</w:t>
      </w:r>
    </w:p>
    <w:p>
      <w:pPr>
        <w:pStyle w:val="null3"/>
        <w:ind w:firstLine="479"/>
        <w:jc w:val="both"/>
      </w:pPr>
      <w:r>
        <w:rPr>
          <w:sz w:val="21"/>
        </w:rPr>
        <w:t xml:space="preserve">1.11.4 </w:t>
      </w:r>
      <w:r>
        <w:rPr>
          <w:sz w:val="21"/>
        </w:rPr>
        <w:t>可控制采集器进行校准、验证、数据采集和事件标记；</w:t>
      </w:r>
    </w:p>
    <w:p>
      <w:pPr>
        <w:pStyle w:val="null3"/>
        <w:ind w:firstLine="479"/>
        <w:jc w:val="both"/>
      </w:pPr>
      <w:r>
        <w:rPr>
          <w:sz w:val="21"/>
        </w:rPr>
        <w:t xml:space="preserve">1.11.5 </w:t>
      </w:r>
      <w:r>
        <w:rPr>
          <w:sz w:val="21"/>
        </w:rPr>
        <w:t>可以实时进行眼动事件分析和发送，如注视，眼跳，眨眼；</w:t>
      </w:r>
    </w:p>
    <w:p>
      <w:pPr>
        <w:pStyle w:val="null3"/>
        <w:ind w:firstLine="479"/>
        <w:jc w:val="both"/>
      </w:pPr>
      <w:r>
        <w:rPr>
          <w:sz w:val="21"/>
        </w:rPr>
        <w:t xml:space="preserve">1.11.6 </w:t>
      </w:r>
      <w:r>
        <w:rPr>
          <w:sz w:val="21"/>
        </w:rPr>
        <w:t>提供数据传输窗口，被试机可以通过网线方便获取该处理器上的数据；</w:t>
      </w:r>
    </w:p>
    <w:p>
      <w:pPr>
        <w:pStyle w:val="null3"/>
        <w:ind w:firstLine="479"/>
        <w:jc w:val="both"/>
      </w:pPr>
      <w:r>
        <w:rPr>
          <w:sz w:val="21"/>
        </w:rPr>
        <w:t xml:space="preserve">1.11.7 </w:t>
      </w:r>
      <w:r>
        <w:rPr>
          <w:sz w:val="21"/>
        </w:rPr>
        <w:t>提供多模态同步接口，可与第三方设备同步；</w:t>
      </w:r>
    </w:p>
    <w:p>
      <w:pPr>
        <w:pStyle w:val="null3"/>
        <w:ind w:firstLine="479"/>
        <w:jc w:val="both"/>
      </w:pPr>
      <w:r>
        <w:rPr>
          <w:sz w:val="21"/>
        </w:rPr>
        <w:t xml:space="preserve">1.12 </w:t>
      </w:r>
      <w:r>
        <w:rPr>
          <w:sz w:val="21"/>
        </w:rPr>
        <w:t>婴幼儿臂式眼动支架技术参数：</w:t>
      </w:r>
    </w:p>
    <w:p>
      <w:pPr>
        <w:pStyle w:val="null3"/>
        <w:ind w:firstLine="479"/>
        <w:jc w:val="both"/>
      </w:pPr>
      <w:r>
        <w:rPr>
          <w:sz w:val="21"/>
        </w:rPr>
        <w:t xml:space="preserve">1.12.1 </w:t>
      </w:r>
      <w:r>
        <w:rPr>
          <w:sz w:val="21"/>
        </w:rPr>
        <w:t>适用于婴儿、幼儿、病人，以及记录眼动数据有困难的被试；</w:t>
      </w:r>
    </w:p>
    <w:p>
      <w:pPr>
        <w:pStyle w:val="null3"/>
        <w:ind w:firstLine="479"/>
        <w:jc w:val="both"/>
      </w:pPr>
      <w:r>
        <w:rPr>
          <w:sz w:val="21"/>
        </w:rPr>
        <w:t xml:space="preserve">1.12.2 </w:t>
      </w:r>
      <w:r>
        <w:rPr>
          <w:sz w:val="21"/>
        </w:rPr>
        <w:t>支臂上安装有一个液晶显示器（带扬声器）；</w:t>
      </w:r>
    </w:p>
    <w:p>
      <w:pPr>
        <w:pStyle w:val="null3"/>
        <w:ind w:firstLine="479"/>
        <w:jc w:val="both"/>
      </w:pPr>
      <w:r>
        <w:rPr>
          <w:sz w:val="21"/>
        </w:rPr>
        <w:t xml:space="preserve">1.12.3 </w:t>
      </w:r>
      <w:r>
        <w:rPr>
          <w:sz w:val="21"/>
        </w:rPr>
        <w:t>显示器分辨率≥1920x1080；</w:t>
      </w:r>
    </w:p>
    <w:p>
      <w:pPr>
        <w:pStyle w:val="null3"/>
        <w:ind w:firstLine="479"/>
        <w:jc w:val="both"/>
      </w:pPr>
      <w:r>
        <w:rPr>
          <w:sz w:val="21"/>
        </w:rPr>
        <w:t xml:space="preserve">1.12.4 </w:t>
      </w:r>
      <w:r>
        <w:rPr>
          <w:sz w:val="21"/>
        </w:rPr>
        <w:t>支臂上890nm红外光源需适合于各类被试的眼动数据采集；</w:t>
      </w:r>
    </w:p>
    <w:p>
      <w:pPr>
        <w:pStyle w:val="null3"/>
        <w:ind w:firstLine="479"/>
        <w:jc w:val="both"/>
      </w:pPr>
      <w:r>
        <w:rPr>
          <w:sz w:val="21"/>
        </w:rPr>
        <w:t xml:space="preserve">1.12.5 </w:t>
      </w:r>
      <w:r>
        <w:rPr>
          <w:sz w:val="21"/>
        </w:rPr>
        <w:t>支臂需灵活可调节；</w:t>
      </w:r>
    </w:p>
    <w:p>
      <w:pPr>
        <w:pStyle w:val="null3"/>
        <w:ind w:firstLine="479"/>
        <w:jc w:val="both"/>
      </w:pPr>
      <w:r>
        <w:rPr>
          <w:sz w:val="21"/>
        </w:rPr>
        <w:t xml:space="preserve">1.12.6 </w:t>
      </w:r>
      <w:r>
        <w:rPr>
          <w:sz w:val="21"/>
        </w:rPr>
        <w:t>显示器支臂需支持至少五轴灵活度转动；</w:t>
      </w:r>
    </w:p>
    <w:p>
      <w:pPr>
        <w:pStyle w:val="null3"/>
        <w:ind w:firstLine="479"/>
        <w:jc w:val="both"/>
      </w:pPr>
      <w:r>
        <w:rPr>
          <w:sz w:val="21"/>
        </w:rPr>
        <w:t xml:space="preserve">1.12.7 </w:t>
      </w:r>
      <w:r>
        <w:rPr>
          <w:sz w:val="21"/>
        </w:rPr>
        <w:t>支臂可支撑不小于5kg；</w:t>
      </w:r>
    </w:p>
    <w:p>
      <w:pPr>
        <w:pStyle w:val="null3"/>
        <w:ind w:firstLine="479"/>
        <w:jc w:val="both"/>
      </w:pPr>
      <w:r>
        <w:rPr>
          <w:sz w:val="21"/>
        </w:rPr>
        <w:t xml:space="preserve">1.12.8 </w:t>
      </w:r>
      <w:r>
        <w:rPr>
          <w:sz w:val="21"/>
        </w:rPr>
        <w:t>铝合金材料；</w:t>
      </w:r>
    </w:p>
    <w:p>
      <w:pPr>
        <w:pStyle w:val="null3"/>
        <w:ind w:firstLine="479"/>
        <w:jc w:val="both"/>
      </w:pPr>
      <w:r>
        <w:rPr>
          <w:sz w:val="21"/>
        </w:rPr>
        <w:t xml:space="preserve">1.13 </w:t>
      </w:r>
      <w:r>
        <w:rPr>
          <w:sz w:val="21"/>
        </w:rPr>
        <w:t>需</w:t>
      </w:r>
      <w:r>
        <w:rPr>
          <w:sz w:val="21"/>
        </w:rPr>
        <w:t>提供与硬件</w:t>
      </w:r>
      <w:r>
        <w:rPr>
          <w:sz w:val="21"/>
        </w:rPr>
        <w:t>兼容</w:t>
      </w:r>
      <w:r>
        <w:rPr>
          <w:sz w:val="21"/>
        </w:rPr>
        <w:t>的实验设计软件：</w:t>
      </w:r>
    </w:p>
    <w:p>
      <w:pPr>
        <w:pStyle w:val="null3"/>
        <w:ind w:firstLine="479"/>
        <w:jc w:val="both"/>
      </w:pPr>
      <w:r>
        <w:rPr>
          <w:sz w:val="21"/>
        </w:rPr>
        <w:t xml:space="preserve">1.13.1 </w:t>
      </w:r>
      <w:r>
        <w:rPr>
          <w:sz w:val="21"/>
        </w:rPr>
        <w:t>刺激呈现多样化：文本、图像、声音或三者的任意组合；</w:t>
      </w:r>
    </w:p>
    <w:p>
      <w:pPr>
        <w:pStyle w:val="null3"/>
        <w:ind w:firstLine="479"/>
        <w:jc w:val="both"/>
      </w:pPr>
      <w:r>
        <w:rPr>
          <w:sz w:val="21"/>
        </w:rPr>
        <w:t xml:space="preserve">1.13.2 </w:t>
      </w:r>
      <w:r>
        <w:rPr>
          <w:sz w:val="21"/>
        </w:rPr>
        <w:t>需支持</w:t>
      </w:r>
      <w:r>
        <w:rPr>
          <w:sz w:val="21"/>
        </w:rPr>
        <w:t>实时眼动数据驱动显示画面的切换和事件的触发；</w:t>
      </w:r>
    </w:p>
    <w:p>
      <w:pPr>
        <w:pStyle w:val="null3"/>
        <w:ind w:firstLine="479"/>
        <w:jc w:val="both"/>
      </w:pPr>
      <w:r>
        <w:rPr>
          <w:sz w:val="21"/>
        </w:rPr>
        <w:t xml:space="preserve">1.13.3 </w:t>
      </w:r>
      <w:r>
        <w:rPr>
          <w:sz w:val="21"/>
        </w:rPr>
        <w:t>需</w:t>
      </w:r>
      <w:r>
        <w:rPr>
          <w:sz w:val="21"/>
        </w:rPr>
        <w:t>支持动态画面显示；</w:t>
      </w:r>
    </w:p>
    <w:p>
      <w:pPr>
        <w:pStyle w:val="null3"/>
        <w:ind w:firstLine="479"/>
        <w:jc w:val="both"/>
      </w:pPr>
      <w:r>
        <w:rPr>
          <w:sz w:val="21"/>
        </w:rPr>
        <w:t xml:space="preserve">1.13.4 </w:t>
      </w:r>
      <w:r>
        <w:rPr>
          <w:sz w:val="21"/>
        </w:rPr>
        <w:t>需</w:t>
      </w:r>
      <w:r>
        <w:rPr>
          <w:sz w:val="21"/>
        </w:rPr>
        <w:t>支持第三方实验设计软件，如E-Prime、Presentation等；</w:t>
      </w:r>
    </w:p>
    <w:p>
      <w:pPr>
        <w:pStyle w:val="null3"/>
        <w:ind w:firstLine="479"/>
        <w:jc w:val="both"/>
      </w:pPr>
      <w:r>
        <w:rPr>
          <w:sz w:val="21"/>
        </w:rPr>
        <w:t>▲</w:t>
      </w:r>
      <w:r>
        <w:rPr>
          <w:sz w:val="21"/>
        </w:rPr>
        <w:t xml:space="preserve">1.13.5 </w:t>
      </w:r>
      <w:r>
        <w:rPr>
          <w:sz w:val="21"/>
        </w:rPr>
        <w:t>需</w:t>
      </w:r>
      <w:r>
        <w:rPr>
          <w:sz w:val="21"/>
        </w:rPr>
        <w:t>支持Windows系统和macOS系统；</w:t>
      </w:r>
    </w:p>
    <w:p>
      <w:pPr>
        <w:pStyle w:val="null3"/>
        <w:ind w:firstLine="479"/>
        <w:jc w:val="both"/>
      </w:pPr>
      <w:r>
        <w:rPr>
          <w:sz w:val="21"/>
        </w:rPr>
        <w:t xml:space="preserve">1.14 </w:t>
      </w:r>
      <w:r>
        <w:rPr>
          <w:sz w:val="21"/>
        </w:rPr>
        <w:t>需</w:t>
      </w:r>
      <w:r>
        <w:rPr>
          <w:sz w:val="21"/>
        </w:rPr>
        <w:t>提供与硬件</w:t>
      </w:r>
      <w:r>
        <w:rPr>
          <w:sz w:val="21"/>
        </w:rPr>
        <w:t>兼容</w:t>
      </w:r>
      <w:r>
        <w:rPr>
          <w:sz w:val="21"/>
        </w:rPr>
        <w:t>的眼动数据分析软件：</w:t>
      </w:r>
    </w:p>
    <w:p>
      <w:pPr>
        <w:pStyle w:val="null3"/>
        <w:ind w:firstLine="479"/>
        <w:jc w:val="both"/>
      </w:pPr>
      <w:r>
        <w:rPr>
          <w:sz w:val="21"/>
        </w:rPr>
        <w:t xml:space="preserve">1.14.1 </w:t>
      </w:r>
      <w:r>
        <w:rPr>
          <w:sz w:val="21"/>
        </w:rPr>
        <w:t>可创建关键时域和任意形状的关注区域用于进一步分析；</w:t>
      </w:r>
    </w:p>
    <w:p>
      <w:pPr>
        <w:pStyle w:val="null3"/>
        <w:ind w:firstLine="479"/>
        <w:jc w:val="both"/>
      </w:pPr>
      <w:r>
        <w:rPr>
          <w:sz w:val="21"/>
        </w:rPr>
        <w:t xml:space="preserve">1.14.2 </w:t>
      </w:r>
      <w:r>
        <w:rPr>
          <w:sz w:val="21"/>
        </w:rPr>
        <w:t>需</w:t>
      </w:r>
      <w:r>
        <w:rPr>
          <w:sz w:val="21"/>
        </w:rPr>
        <w:t>支持多个画面显示；</w:t>
      </w:r>
    </w:p>
    <w:p>
      <w:pPr>
        <w:pStyle w:val="null3"/>
        <w:ind w:firstLine="479"/>
        <w:jc w:val="both"/>
      </w:pPr>
      <w:r>
        <w:rPr>
          <w:sz w:val="21"/>
        </w:rPr>
        <w:t xml:space="preserve">1.14.3 </w:t>
      </w:r>
      <w:r>
        <w:rPr>
          <w:sz w:val="21"/>
        </w:rPr>
        <w:t>可根据用户需要来设定显示和输出眼动数据成分；</w:t>
      </w:r>
    </w:p>
    <w:p>
      <w:pPr>
        <w:pStyle w:val="null3"/>
        <w:ind w:firstLine="479"/>
        <w:jc w:val="both"/>
      </w:pPr>
      <w:r>
        <w:rPr>
          <w:sz w:val="21"/>
        </w:rPr>
        <w:t xml:space="preserve">1.14.4 </w:t>
      </w:r>
      <w:r>
        <w:rPr>
          <w:sz w:val="21"/>
        </w:rPr>
        <w:t>需支持</w:t>
      </w:r>
      <w:r>
        <w:rPr>
          <w:sz w:val="21"/>
        </w:rPr>
        <w:t>在显示画面中回放注视点轨迹；</w:t>
      </w:r>
    </w:p>
    <w:p>
      <w:pPr>
        <w:pStyle w:val="null3"/>
        <w:ind w:firstLine="479"/>
        <w:jc w:val="both"/>
      </w:pPr>
      <w:r>
        <w:rPr>
          <w:sz w:val="21"/>
        </w:rPr>
        <w:t>▲</w:t>
      </w:r>
      <w:r>
        <w:rPr>
          <w:sz w:val="21"/>
        </w:rPr>
        <w:t xml:space="preserve">1.14.5 </w:t>
      </w:r>
      <w:r>
        <w:rPr>
          <w:sz w:val="21"/>
        </w:rPr>
        <w:t>数据统计</w:t>
      </w:r>
      <w:r>
        <w:rPr>
          <w:sz w:val="21"/>
        </w:rPr>
        <w:t>需</w:t>
      </w:r>
      <w:r>
        <w:rPr>
          <w:sz w:val="21"/>
        </w:rPr>
        <w:t>支持基于试次、注视点、眼跳、采样点数据和兴趣区的多种报表，提供指标数量≥600种；</w:t>
      </w:r>
    </w:p>
    <w:p>
      <w:pPr>
        <w:pStyle w:val="null3"/>
        <w:ind w:firstLine="479"/>
        <w:jc w:val="both"/>
      </w:pPr>
      <w:r>
        <w:rPr>
          <w:sz w:val="21"/>
        </w:rPr>
        <w:t xml:space="preserve">1.14.6 </w:t>
      </w:r>
      <w:r>
        <w:rPr>
          <w:sz w:val="21"/>
        </w:rPr>
        <w:t>需支持</w:t>
      </w:r>
      <w:r>
        <w:rPr>
          <w:sz w:val="21"/>
        </w:rPr>
        <w:t>以JPG图像文件格式输出数据画面；</w:t>
      </w:r>
    </w:p>
    <w:p>
      <w:pPr>
        <w:pStyle w:val="null3"/>
        <w:ind w:firstLine="479"/>
        <w:jc w:val="both"/>
      </w:pPr>
      <w:r>
        <w:rPr>
          <w:sz w:val="21"/>
        </w:rPr>
        <w:t xml:space="preserve">1.14.7 </w:t>
      </w:r>
      <w:r>
        <w:rPr>
          <w:sz w:val="21"/>
        </w:rPr>
        <w:t>需支持</w:t>
      </w:r>
      <w:r>
        <w:rPr>
          <w:sz w:val="21"/>
        </w:rPr>
        <w:t>将眼动数据输出到Excel等统计软件做后期统计分析；</w:t>
      </w:r>
    </w:p>
    <w:p>
      <w:pPr>
        <w:pStyle w:val="null3"/>
        <w:ind w:firstLine="479"/>
        <w:jc w:val="both"/>
      </w:pPr>
      <w:r>
        <w:rPr>
          <w:sz w:val="21"/>
        </w:rPr>
        <w:t>▲</w:t>
      </w:r>
      <w:r>
        <w:rPr>
          <w:sz w:val="21"/>
        </w:rPr>
        <w:t xml:space="preserve">1.14.8 </w:t>
      </w:r>
      <w:r>
        <w:rPr>
          <w:sz w:val="21"/>
        </w:rPr>
        <w:t>需</w:t>
      </w:r>
      <w:r>
        <w:rPr>
          <w:sz w:val="21"/>
        </w:rPr>
        <w:t>支持Windows、macOS和Linux操作系统；</w:t>
      </w:r>
    </w:p>
    <w:p>
      <w:pPr>
        <w:pStyle w:val="null3"/>
        <w:ind w:firstLine="479"/>
        <w:jc w:val="both"/>
      </w:pPr>
      <w:r>
        <w:rPr>
          <w:sz w:val="21"/>
        </w:rPr>
        <w:t xml:space="preserve">1.15 </w:t>
      </w:r>
      <w:r>
        <w:rPr>
          <w:sz w:val="21"/>
        </w:rPr>
        <w:t>需</w:t>
      </w:r>
      <w:r>
        <w:rPr>
          <w:sz w:val="21"/>
        </w:rPr>
        <w:t>提供与硬件</w:t>
      </w:r>
      <w:r>
        <w:rPr>
          <w:sz w:val="21"/>
        </w:rPr>
        <w:t>兼容</w:t>
      </w:r>
      <w:r>
        <w:rPr>
          <w:sz w:val="21"/>
        </w:rPr>
        <w:t>的动态媒体互动眼动数据软件：</w:t>
      </w:r>
    </w:p>
    <w:p>
      <w:pPr>
        <w:pStyle w:val="null3"/>
        <w:ind w:firstLine="479"/>
        <w:jc w:val="both"/>
      </w:pPr>
      <w:r>
        <w:rPr>
          <w:sz w:val="21"/>
        </w:rPr>
        <w:t xml:space="preserve">1.15.1 </w:t>
      </w:r>
      <w:r>
        <w:rPr>
          <w:sz w:val="21"/>
        </w:rPr>
        <w:t>需采用简单的拖放式应用软件界面；</w:t>
      </w:r>
    </w:p>
    <w:p>
      <w:pPr>
        <w:pStyle w:val="null3"/>
        <w:ind w:firstLine="479"/>
        <w:jc w:val="both"/>
      </w:pPr>
      <w:r>
        <w:rPr>
          <w:sz w:val="21"/>
        </w:rPr>
        <w:t xml:space="preserve">1.15.2 </w:t>
      </w:r>
      <w:r>
        <w:rPr>
          <w:sz w:val="21"/>
        </w:rPr>
        <w:t>需支持同步眼动、视频、音频、按键和鼠标事件记录；</w:t>
      </w:r>
    </w:p>
    <w:p>
      <w:pPr>
        <w:pStyle w:val="null3"/>
        <w:ind w:firstLine="479"/>
        <w:jc w:val="both"/>
      </w:pPr>
      <w:r>
        <w:rPr>
          <w:sz w:val="21"/>
        </w:rPr>
        <w:t xml:space="preserve">1.15.3 </w:t>
      </w:r>
      <w:r>
        <w:rPr>
          <w:sz w:val="21"/>
        </w:rPr>
        <w:t>需支持实时监控刺激；</w:t>
      </w:r>
    </w:p>
    <w:p>
      <w:pPr>
        <w:pStyle w:val="null3"/>
        <w:ind w:firstLine="479"/>
        <w:jc w:val="both"/>
      </w:pPr>
      <w:r>
        <w:rPr>
          <w:sz w:val="21"/>
        </w:rPr>
        <w:t xml:space="preserve">1.15.4 </w:t>
      </w:r>
      <w:r>
        <w:rPr>
          <w:sz w:val="21"/>
        </w:rPr>
        <w:t>需支持在线屏幕截图；</w:t>
      </w:r>
    </w:p>
    <w:p>
      <w:pPr>
        <w:pStyle w:val="null3"/>
        <w:ind w:firstLine="479"/>
        <w:jc w:val="both"/>
      </w:pPr>
      <w:r>
        <w:rPr>
          <w:sz w:val="21"/>
        </w:rPr>
        <w:t xml:space="preserve">1.15.5 </w:t>
      </w:r>
      <w:r>
        <w:rPr>
          <w:sz w:val="21"/>
        </w:rPr>
        <w:t>需支持捕获浏览器导航和历史记录；</w:t>
      </w:r>
    </w:p>
    <w:p>
      <w:pPr>
        <w:pStyle w:val="null3"/>
        <w:ind w:firstLine="479"/>
        <w:jc w:val="both"/>
      </w:pPr>
      <w:r>
        <w:rPr>
          <w:sz w:val="21"/>
        </w:rPr>
        <w:t xml:space="preserve">1.15.6 </w:t>
      </w:r>
      <w:r>
        <w:rPr>
          <w:sz w:val="21"/>
        </w:rPr>
        <w:t>需支持记录用于离线分析的网页内容；</w:t>
      </w:r>
    </w:p>
    <w:p>
      <w:pPr>
        <w:pStyle w:val="null3"/>
        <w:ind w:firstLine="479"/>
        <w:jc w:val="both"/>
      </w:pPr>
      <w:r>
        <w:rPr>
          <w:sz w:val="21"/>
        </w:rPr>
        <w:t xml:space="preserve">1.15.7 </w:t>
      </w:r>
      <w:r>
        <w:rPr>
          <w:sz w:val="21"/>
        </w:rPr>
        <w:t>可通过屏幕录制捕获动态内容；</w:t>
      </w:r>
    </w:p>
    <w:p>
      <w:pPr>
        <w:pStyle w:val="null3"/>
        <w:ind w:firstLine="479"/>
        <w:jc w:val="both"/>
      </w:pPr>
      <w:r>
        <w:rPr>
          <w:sz w:val="21"/>
        </w:rPr>
        <w:t xml:space="preserve">1.15.8 </w:t>
      </w:r>
      <w:r>
        <w:rPr>
          <w:sz w:val="21"/>
        </w:rPr>
        <w:t>需支持可视化数据分析和处理Web网页的眼动数据；</w:t>
      </w:r>
    </w:p>
    <w:p>
      <w:pPr>
        <w:pStyle w:val="null3"/>
        <w:ind w:firstLine="479"/>
        <w:jc w:val="both"/>
      </w:pPr>
      <w:r>
        <w:rPr>
          <w:sz w:val="21"/>
        </w:rPr>
        <w:t xml:space="preserve">1.15.9 </w:t>
      </w:r>
      <w:r>
        <w:rPr>
          <w:sz w:val="21"/>
        </w:rPr>
        <w:t>需支持眼动事件和采样点间进行自动修正；</w:t>
      </w:r>
    </w:p>
    <w:p>
      <w:pPr>
        <w:pStyle w:val="null3"/>
        <w:ind w:firstLine="479"/>
        <w:jc w:val="both"/>
      </w:pPr>
      <w:r>
        <w:rPr>
          <w:sz w:val="21"/>
        </w:rPr>
        <w:t xml:space="preserve">1.15.10 </w:t>
      </w:r>
      <w:r>
        <w:rPr>
          <w:sz w:val="21"/>
        </w:rPr>
        <w:t>需支持在不同的网页之间，可根据新的时间线划分视频中的IOA兴趣区；</w:t>
      </w:r>
    </w:p>
    <w:p>
      <w:pPr>
        <w:pStyle w:val="null3"/>
        <w:ind w:firstLine="479"/>
        <w:jc w:val="both"/>
      </w:pPr>
      <w:r>
        <w:rPr>
          <w:sz w:val="21"/>
        </w:rPr>
        <w:t xml:space="preserve">1.16 </w:t>
      </w:r>
      <w:r>
        <w:rPr>
          <w:sz w:val="21"/>
        </w:rPr>
        <w:t>需</w:t>
      </w:r>
      <w:r>
        <w:rPr>
          <w:sz w:val="21"/>
        </w:rPr>
        <w:t>提供实验设计软件、数据分析软件</w:t>
      </w:r>
      <w:r>
        <w:rPr>
          <w:sz w:val="21"/>
        </w:rPr>
        <w:t>和动态媒体互动眼动数据软件</w:t>
      </w:r>
      <w:r>
        <w:rPr>
          <w:sz w:val="21"/>
        </w:rPr>
        <w:t>终身免费升级服务。</w:t>
      </w:r>
    </w:p>
    <w:p>
      <w:pPr>
        <w:pStyle w:val="null3"/>
        <w:ind w:firstLine="479"/>
        <w:jc w:val="both"/>
      </w:pPr>
      <w:r>
        <w:rPr>
          <w:sz w:val="21"/>
        </w:rPr>
        <w:t xml:space="preserve">1.17 </w:t>
      </w:r>
      <w:r>
        <w:rPr>
          <w:sz w:val="21"/>
        </w:rPr>
        <w:t>穿戴式眼动采集模块：</w:t>
      </w:r>
    </w:p>
    <w:p>
      <w:pPr>
        <w:pStyle w:val="null3"/>
        <w:ind w:firstLine="479"/>
        <w:jc w:val="both"/>
      </w:pPr>
      <w:r>
        <w:rPr>
          <w:sz w:val="21"/>
        </w:rPr>
        <w:t xml:space="preserve">1.17.1 </w:t>
      </w:r>
      <w:r>
        <w:rPr>
          <w:sz w:val="21"/>
        </w:rPr>
        <w:t>眼动采集模块采样率≥180Hz；</w:t>
      </w:r>
    </w:p>
    <w:p>
      <w:pPr>
        <w:pStyle w:val="null3"/>
        <w:ind w:firstLine="479"/>
        <w:jc w:val="both"/>
      </w:pPr>
      <w:r>
        <w:rPr>
          <w:sz w:val="21"/>
        </w:rPr>
        <w:t xml:space="preserve">1.17.2 </w:t>
      </w:r>
      <w:r>
        <w:rPr>
          <w:sz w:val="21"/>
        </w:rPr>
        <w:t>眼动仪无需校准即可获得准确数据并直接开始采集；</w:t>
      </w:r>
    </w:p>
    <w:p>
      <w:pPr>
        <w:pStyle w:val="null3"/>
        <w:ind w:firstLine="479"/>
        <w:jc w:val="both"/>
      </w:pPr>
      <w:r>
        <w:rPr>
          <w:sz w:val="21"/>
        </w:rPr>
        <w:t xml:space="preserve">1.17.3 </w:t>
      </w:r>
      <w:r>
        <w:rPr>
          <w:sz w:val="21"/>
        </w:rPr>
        <w:t>场景相机分辨率≥1600x1200像素，视场角≥100x70度；</w:t>
      </w:r>
    </w:p>
    <w:p>
      <w:pPr>
        <w:pStyle w:val="null3"/>
        <w:ind w:firstLine="479"/>
        <w:jc w:val="both"/>
      </w:pPr>
      <w:r>
        <w:rPr>
          <w:sz w:val="21"/>
        </w:rPr>
        <w:t xml:space="preserve">1.17.4  </w:t>
      </w:r>
      <w:r>
        <w:rPr>
          <w:sz w:val="21"/>
        </w:rPr>
        <w:t>需支持采用安卓手机作为采集终端；</w:t>
      </w:r>
    </w:p>
    <w:p>
      <w:pPr>
        <w:pStyle w:val="null3"/>
        <w:ind w:firstLine="479"/>
        <w:jc w:val="both"/>
      </w:pPr>
      <w:r>
        <w:rPr>
          <w:sz w:val="21"/>
        </w:rPr>
        <w:t xml:space="preserve">1.17.5  </w:t>
      </w:r>
      <w:r>
        <w:rPr>
          <w:sz w:val="21"/>
        </w:rPr>
        <w:t>需支持在线实时数据串流和离线数据导入；</w:t>
      </w:r>
    </w:p>
    <w:p>
      <w:pPr>
        <w:pStyle w:val="null3"/>
        <w:ind w:firstLine="481"/>
        <w:jc w:val="both"/>
      </w:pPr>
      <w:r>
        <w:rPr>
          <w:sz w:val="21"/>
          <w:b/>
        </w:rPr>
        <w:t>2.</w:t>
      </w:r>
      <w:r>
        <w:rPr>
          <w:sz w:val="21"/>
          <w:b/>
        </w:rPr>
        <w:t>配置要求</w:t>
      </w:r>
    </w:p>
    <w:p>
      <w:pPr>
        <w:pStyle w:val="null3"/>
        <w:ind w:firstLine="479"/>
        <w:jc w:val="both"/>
      </w:pPr>
      <w:r>
        <w:rPr>
          <w:sz w:val="21"/>
        </w:rPr>
        <w:t xml:space="preserve">2.1 </w:t>
      </w:r>
      <w:r>
        <w:rPr>
          <w:sz w:val="21"/>
        </w:rPr>
        <w:t>要求包含以下配置</w:t>
      </w:r>
    </w:p>
    <w:p>
      <w:pPr>
        <w:pStyle w:val="null3"/>
        <w:ind w:firstLine="479"/>
        <w:jc w:val="both"/>
      </w:pPr>
      <w:r>
        <w:rPr>
          <w:sz w:val="21"/>
        </w:rPr>
        <w:t>2.1.1</w:t>
      </w:r>
      <w:r>
        <w:rPr>
          <w:sz w:val="21"/>
        </w:rPr>
        <w:t>、</w:t>
      </w:r>
      <w:r>
        <w:rPr>
          <w:sz w:val="21"/>
        </w:rPr>
        <w:t>眼动仪采集器（含桌面支架、镜头和红外光源、主处理器）：1套。</w:t>
      </w:r>
    </w:p>
    <w:p>
      <w:pPr>
        <w:pStyle w:val="null3"/>
        <w:ind w:firstLine="479"/>
        <w:jc w:val="both"/>
      </w:pPr>
      <w:r>
        <w:rPr>
          <w:sz w:val="21"/>
        </w:rPr>
        <w:t>2.1.2</w:t>
      </w:r>
      <w:r>
        <w:rPr>
          <w:sz w:val="21"/>
        </w:rPr>
        <w:t>、</w:t>
      </w:r>
      <w:r>
        <w:rPr>
          <w:sz w:val="21"/>
        </w:rPr>
        <w:t>实验设计软件：1套。</w:t>
      </w:r>
    </w:p>
    <w:p>
      <w:pPr>
        <w:pStyle w:val="null3"/>
        <w:ind w:firstLine="479"/>
        <w:jc w:val="both"/>
      </w:pPr>
      <w:r>
        <w:rPr>
          <w:sz w:val="21"/>
        </w:rPr>
        <w:t>2.1.3</w:t>
      </w:r>
      <w:r>
        <w:rPr>
          <w:sz w:val="21"/>
        </w:rPr>
        <w:t>、</w:t>
      </w:r>
      <w:r>
        <w:rPr>
          <w:sz w:val="21"/>
        </w:rPr>
        <w:t>数据分析软件：1套。</w:t>
      </w:r>
    </w:p>
    <w:p>
      <w:pPr>
        <w:pStyle w:val="null3"/>
        <w:ind w:firstLine="479"/>
        <w:jc w:val="both"/>
      </w:pPr>
      <w:r>
        <w:rPr>
          <w:sz w:val="21"/>
        </w:rPr>
        <w:t>2.1.4</w:t>
      </w:r>
      <w:r>
        <w:rPr>
          <w:sz w:val="21"/>
        </w:rPr>
        <w:t>、</w:t>
      </w:r>
      <w:r>
        <w:rPr>
          <w:sz w:val="21"/>
        </w:rPr>
        <w:t>动态媒体互动眼动数据软件：1套。</w:t>
      </w:r>
    </w:p>
    <w:p>
      <w:pPr>
        <w:pStyle w:val="null3"/>
        <w:ind w:firstLine="479"/>
        <w:jc w:val="both"/>
      </w:pPr>
      <w:r>
        <w:rPr>
          <w:sz w:val="21"/>
        </w:rPr>
        <w:t>2.1.5</w:t>
      </w:r>
      <w:r>
        <w:rPr>
          <w:sz w:val="21"/>
        </w:rPr>
        <w:t>、婴幼儿臂式眼动支架</w:t>
      </w:r>
      <w:r>
        <w:rPr>
          <w:sz w:val="21"/>
        </w:rPr>
        <w:t>：1套。</w:t>
      </w:r>
    </w:p>
    <w:p>
      <w:pPr>
        <w:pStyle w:val="null3"/>
        <w:ind w:firstLine="479"/>
        <w:jc w:val="both"/>
      </w:pPr>
      <w:r>
        <w:rPr>
          <w:sz w:val="21"/>
        </w:rPr>
        <w:t>2.1.6</w:t>
      </w:r>
      <w:r>
        <w:rPr>
          <w:sz w:val="21"/>
        </w:rPr>
        <w:t>、穿戴式</w:t>
      </w:r>
      <w:r>
        <w:rPr>
          <w:sz w:val="21"/>
        </w:rPr>
        <w:t>眼动采集</w:t>
      </w:r>
      <w:r>
        <w:rPr>
          <w:sz w:val="21"/>
        </w:rPr>
        <w:t>模块</w:t>
      </w:r>
      <w:r>
        <w:rPr>
          <w:sz w:val="21"/>
        </w:rPr>
        <w:t>：1套。</w:t>
      </w:r>
    </w:p>
    <w:p>
      <w:pPr>
        <w:pStyle w:val="null3"/>
        <w:ind w:firstLine="479"/>
        <w:jc w:val="both"/>
      </w:pPr>
      <w:r>
        <w:rPr>
          <w:sz w:val="21"/>
        </w:rPr>
        <w:t>2.1.7</w:t>
      </w:r>
      <w:r>
        <w:rPr>
          <w:sz w:val="21"/>
        </w:rPr>
        <w:t>、</w:t>
      </w:r>
      <w:r>
        <w:rPr>
          <w:sz w:val="21"/>
        </w:rPr>
        <w:t>反应盒：1个。</w:t>
      </w:r>
    </w:p>
    <w:p>
      <w:pPr>
        <w:pStyle w:val="null3"/>
        <w:ind w:firstLine="481"/>
        <w:jc w:val="both"/>
      </w:pPr>
      <w:r>
        <w:rPr>
          <w:sz w:val="21"/>
          <w:b/>
        </w:rPr>
        <w:t>采购包2：</w:t>
      </w:r>
    </w:p>
    <w:p>
      <w:pPr>
        <w:pStyle w:val="null3"/>
        <w:ind w:firstLine="479"/>
        <w:jc w:val="both"/>
      </w:pPr>
      <w:r>
        <w:rPr>
          <w:sz w:val="21"/>
        </w:rPr>
        <w:t>（一）便携式脑电波采集设备的技术性能要求</w:t>
      </w:r>
    </w:p>
    <w:p>
      <w:pPr>
        <w:pStyle w:val="null3"/>
        <w:ind w:firstLine="481"/>
        <w:jc w:val="both"/>
      </w:pPr>
      <w:r>
        <w:rPr>
          <w:sz w:val="21"/>
          <w:b/>
        </w:rPr>
        <w:t xml:space="preserve">1. </w:t>
      </w:r>
      <w:r>
        <w:rPr>
          <w:sz w:val="21"/>
          <w:b/>
        </w:rPr>
        <w:t>放大器系统技术参数：</w:t>
      </w:r>
    </w:p>
    <w:p>
      <w:pPr>
        <w:pStyle w:val="null3"/>
        <w:ind w:firstLine="479"/>
        <w:jc w:val="both"/>
      </w:pPr>
      <w:r>
        <w:rPr>
          <w:sz w:val="21"/>
        </w:rPr>
        <w:t xml:space="preserve">1.1  </w:t>
      </w:r>
      <w:r>
        <w:rPr>
          <w:sz w:val="21"/>
        </w:rPr>
        <w:t>具有64通道脑电信号测量（或更优）；放大器具有72个通道（或更优），设备需支持扩展同步采集头皮脑电和颅内脑电、皮电、呼吸、心电、加速度、温度、血压等生理参数；</w:t>
      </w:r>
    </w:p>
    <w:p>
      <w:pPr>
        <w:pStyle w:val="null3"/>
        <w:ind w:firstLine="479"/>
        <w:jc w:val="both"/>
      </w:pPr>
      <w:r>
        <w:rPr>
          <w:sz w:val="21"/>
        </w:rPr>
        <w:t>★1.2采样速率：≥49000Hz/通道（所有通道同时采集时）；</w:t>
      </w:r>
      <w:r>
        <w:rPr>
          <w:sz w:val="21"/>
        </w:rPr>
        <w:t>（</w:t>
      </w:r>
      <w:r>
        <w:rPr>
          <w:sz w:val="21"/>
        </w:rPr>
        <w:t>须提供生产厂家官网或产品说明书相应参数截图或者其他证明材料</w:t>
      </w:r>
      <w:r>
        <w:rPr>
          <w:sz w:val="21"/>
        </w:rPr>
        <w:t>）</w:t>
      </w:r>
    </w:p>
    <w:p>
      <w:pPr>
        <w:pStyle w:val="null3"/>
        <w:ind w:firstLine="479"/>
        <w:jc w:val="both"/>
      </w:pPr>
      <w:r>
        <w:rPr>
          <w:sz w:val="21"/>
        </w:rPr>
        <w:t>★1.3 带宽：≥DC-7000Hz，支持AC/DC采集模式；</w:t>
      </w:r>
      <w:r>
        <w:rPr>
          <w:sz w:val="21"/>
        </w:rPr>
        <w:t>（</w:t>
      </w:r>
      <w:r>
        <w:rPr>
          <w:sz w:val="21"/>
        </w:rPr>
        <w:t>须提供生产厂家官网或产品说明书相应参数截图或者其他证明材料</w:t>
      </w:r>
      <w:r>
        <w:rPr>
          <w:sz w:val="21"/>
        </w:rPr>
        <w:t>）</w:t>
      </w:r>
    </w:p>
    <w:p>
      <w:pPr>
        <w:pStyle w:val="null3"/>
        <w:ind w:firstLine="479"/>
        <w:jc w:val="both"/>
      </w:pPr>
      <w:r>
        <w:rPr>
          <w:sz w:val="21"/>
        </w:rPr>
        <w:t xml:space="preserve">1.4 </w:t>
      </w:r>
      <w:r>
        <w:rPr>
          <w:sz w:val="21"/>
        </w:rPr>
        <w:t>共模抑制比：≥100 dB；</w:t>
      </w:r>
    </w:p>
    <w:p>
      <w:pPr>
        <w:pStyle w:val="null3"/>
        <w:ind w:firstLine="479"/>
        <w:jc w:val="both"/>
      </w:pPr>
      <w:r>
        <w:rPr>
          <w:sz w:val="21"/>
        </w:rPr>
        <w:t xml:space="preserve">1.5 </w:t>
      </w:r>
      <w:r>
        <w:rPr>
          <w:sz w:val="21"/>
        </w:rPr>
        <w:t>信号分辨率：≤0.05 µV / bit ；</w:t>
      </w:r>
    </w:p>
    <w:p>
      <w:pPr>
        <w:pStyle w:val="null3"/>
        <w:ind w:firstLine="479"/>
        <w:jc w:val="both"/>
      </w:pPr>
      <w:r>
        <w:rPr>
          <w:sz w:val="21"/>
        </w:rPr>
        <w:t xml:space="preserve">1.6 </w:t>
      </w:r>
      <w:r>
        <w:rPr>
          <w:sz w:val="21"/>
        </w:rPr>
        <w:t>放大器噪声：≤2μVpp；</w:t>
      </w:r>
    </w:p>
    <w:p>
      <w:pPr>
        <w:pStyle w:val="null3"/>
        <w:ind w:firstLine="479"/>
        <w:jc w:val="both"/>
      </w:pPr>
      <w:r>
        <w:rPr>
          <w:sz w:val="21"/>
        </w:rPr>
        <w:t>1.7 A/D</w:t>
      </w:r>
      <w:r>
        <w:rPr>
          <w:sz w:val="21"/>
        </w:rPr>
        <w:t>转换：≥24位；</w:t>
      </w:r>
    </w:p>
    <w:p>
      <w:pPr>
        <w:pStyle w:val="null3"/>
        <w:ind w:firstLine="479"/>
        <w:jc w:val="both"/>
      </w:pPr>
      <w:r>
        <w:rPr>
          <w:sz w:val="21"/>
        </w:rPr>
        <w:t xml:space="preserve">1.8 </w:t>
      </w:r>
      <w:r>
        <w:rPr>
          <w:sz w:val="21"/>
        </w:rPr>
        <w:t>需支持采用专用USB线进行数据传输，支持在非屏蔽室环境下准确记录脑电信号；</w:t>
      </w:r>
    </w:p>
    <w:p>
      <w:pPr>
        <w:pStyle w:val="null3"/>
        <w:ind w:firstLine="479"/>
        <w:jc w:val="both"/>
      </w:pPr>
      <w:r>
        <w:rPr>
          <w:sz w:val="21"/>
        </w:rPr>
        <w:t xml:space="preserve">1.9 </w:t>
      </w:r>
      <w:r>
        <w:rPr>
          <w:sz w:val="21"/>
        </w:rPr>
        <w:t>系统需采用模块化设计，后期需支持直接拓展为96、128、160通道等配置，采购人无需另外购置放大器与头盒；</w:t>
      </w:r>
    </w:p>
    <w:p>
      <w:pPr>
        <w:pStyle w:val="null3"/>
        <w:ind w:firstLine="479"/>
        <w:jc w:val="both"/>
      </w:pPr>
      <w:r>
        <w:rPr>
          <w:sz w:val="21"/>
        </w:rPr>
        <w:t xml:space="preserve">1.10 </w:t>
      </w:r>
      <w:r>
        <w:rPr>
          <w:sz w:val="21"/>
        </w:rPr>
        <w:t>放大器重量≤2kg；</w:t>
      </w:r>
    </w:p>
    <w:p>
      <w:pPr>
        <w:pStyle w:val="null3"/>
        <w:ind w:firstLine="479"/>
        <w:jc w:val="both"/>
      </w:pPr>
      <w:r>
        <w:rPr>
          <w:sz w:val="21"/>
        </w:rPr>
        <w:t xml:space="preserve">1.11 </w:t>
      </w:r>
      <w:r>
        <w:rPr>
          <w:sz w:val="21"/>
        </w:rPr>
        <w:t>要求采用可充电电池供电，减少市电造成的50/60Hz干扰信号，电池为可更换设计，用户可自行更换，整套设备提供手提箱，可整套设备装入手提箱并携带至户外采集数据。</w:t>
      </w:r>
    </w:p>
    <w:p>
      <w:pPr>
        <w:pStyle w:val="null3"/>
        <w:ind w:firstLine="481"/>
        <w:jc w:val="both"/>
      </w:pPr>
      <w:r>
        <w:rPr>
          <w:sz w:val="21"/>
          <w:b/>
        </w:rPr>
        <w:t xml:space="preserve">2. </w:t>
      </w:r>
      <w:r>
        <w:rPr>
          <w:sz w:val="21"/>
          <w:b/>
        </w:rPr>
        <w:t>电极帽系统</w:t>
      </w:r>
    </w:p>
    <w:p>
      <w:pPr>
        <w:pStyle w:val="null3"/>
        <w:ind w:firstLine="479"/>
        <w:jc w:val="both"/>
      </w:pPr>
      <w:r>
        <w:rPr>
          <w:sz w:val="21"/>
        </w:rPr>
        <w:t xml:space="preserve">2.1 </w:t>
      </w:r>
      <w:r>
        <w:rPr>
          <w:sz w:val="21"/>
        </w:rPr>
        <w:t>电极系统材质为Ag/AgCl电极</w:t>
      </w:r>
    </w:p>
    <w:p>
      <w:pPr>
        <w:pStyle w:val="null3"/>
        <w:ind w:firstLine="479"/>
        <w:jc w:val="both"/>
      </w:pPr>
      <w:r>
        <w:rPr>
          <w:sz w:val="21"/>
        </w:rPr>
        <w:t xml:space="preserve">2.2 </w:t>
      </w:r>
      <w:r>
        <w:rPr>
          <w:sz w:val="21"/>
        </w:rPr>
        <w:t>电极需采用模块化设计，单根电极可拆卸可更换；</w:t>
      </w:r>
    </w:p>
    <w:p>
      <w:pPr>
        <w:pStyle w:val="null3"/>
        <w:ind w:firstLine="479"/>
        <w:jc w:val="both"/>
      </w:pPr>
      <w:r>
        <w:rPr>
          <w:sz w:val="21"/>
        </w:rPr>
        <w:t>▲2.3 电极帽上的电极灯光颜色可实时监控电极与头皮的接触情况；</w:t>
      </w:r>
    </w:p>
    <w:p>
      <w:pPr>
        <w:pStyle w:val="null3"/>
        <w:ind w:firstLine="479"/>
        <w:jc w:val="both"/>
      </w:pPr>
      <w:r>
        <w:rPr>
          <w:sz w:val="21"/>
        </w:rPr>
        <w:t xml:space="preserve">2.4 </w:t>
      </w:r>
      <w:r>
        <w:rPr>
          <w:sz w:val="21"/>
        </w:rPr>
        <w:t>导电介质为膏状且无需实验中途添加；</w:t>
      </w:r>
    </w:p>
    <w:p>
      <w:pPr>
        <w:pStyle w:val="null3"/>
        <w:ind w:firstLine="479"/>
        <w:jc w:val="both"/>
      </w:pPr>
      <w:r>
        <w:rPr>
          <w:sz w:val="21"/>
        </w:rPr>
        <w:t>▲2.5设备和电极需支持与功能性近红外光谱成像（fNIRS）设备同步采集,无需更换电极，需提供官方网站说明或者提供实例图；</w:t>
      </w:r>
    </w:p>
    <w:p>
      <w:pPr>
        <w:pStyle w:val="null3"/>
        <w:ind w:firstLine="479"/>
        <w:jc w:val="both"/>
      </w:pPr>
      <w:r>
        <w:rPr>
          <w:sz w:val="21"/>
        </w:rPr>
        <w:t>▲2.6 设备可兼容被动电极及电极帽、主动电极及电极帽、盐水电极及电极帽、干电极系统及电极帽。</w:t>
      </w:r>
    </w:p>
    <w:p>
      <w:pPr>
        <w:pStyle w:val="null3"/>
        <w:ind w:firstLine="481"/>
        <w:jc w:val="both"/>
      </w:pPr>
      <w:r>
        <w:rPr>
          <w:sz w:val="21"/>
          <w:b/>
        </w:rPr>
        <w:t xml:space="preserve">3. </w:t>
      </w:r>
      <w:r>
        <w:rPr>
          <w:sz w:val="21"/>
          <w:b/>
        </w:rPr>
        <w:t>软件</w:t>
      </w:r>
    </w:p>
    <w:p>
      <w:pPr>
        <w:pStyle w:val="null3"/>
        <w:ind w:firstLine="479"/>
        <w:jc w:val="both"/>
      </w:pPr>
      <w:r>
        <w:rPr>
          <w:sz w:val="21"/>
        </w:rPr>
        <w:t xml:space="preserve">3.1 </w:t>
      </w:r>
      <w:r>
        <w:rPr>
          <w:sz w:val="21"/>
        </w:rPr>
        <w:t>软件可自由编程，可实现声音、文字、文本、图片等不同类型的实验程序；</w:t>
      </w:r>
    </w:p>
    <w:p>
      <w:pPr>
        <w:pStyle w:val="null3"/>
        <w:ind w:firstLine="479"/>
        <w:jc w:val="both"/>
      </w:pPr>
      <w:r>
        <w:rPr>
          <w:sz w:val="21"/>
        </w:rPr>
        <w:t xml:space="preserve">3.2 </w:t>
      </w:r>
      <w:r>
        <w:rPr>
          <w:sz w:val="21"/>
        </w:rPr>
        <w:t>具有独立的数据采集软件，保证数据采集时可以同时分析其它数据；</w:t>
      </w:r>
    </w:p>
    <w:p>
      <w:pPr>
        <w:pStyle w:val="null3"/>
        <w:ind w:firstLine="479"/>
        <w:jc w:val="both"/>
      </w:pPr>
      <w:r>
        <w:rPr>
          <w:sz w:val="21"/>
        </w:rPr>
        <w:t xml:space="preserve">3.3 </w:t>
      </w:r>
      <w:r>
        <w:rPr>
          <w:sz w:val="21"/>
        </w:rPr>
        <w:t>采集软件可直接在数据上显示事件相关标记，可自动进行阻抗测试，采用鲜明的颜色区分阻抗的好与坏；</w:t>
      </w:r>
    </w:p>
    <w:p>
      <w:pPr>
        <w:pStyle w:val="null3"/>
        <w:ind w:firstLine="479"/>
        <w:jc w:val="both"/>
      </w:pPr>
      <w:r>
        <w:rPr>
          <w:sz w:val="21"/>
        </w:rPr>
        <w:t xml:space="preserve">3.4 </w:t>
      </w:r>
      <w:r>
        <w:rPr>
          <w:sz w:val="21"/>
        </w:rPr>
        <w:t>可配套开源采集软件，提供远程数据访问开发包，支持matlab、python、C语言等环境下的开发工具；</w:t>
      </w:r>
    </w:p>
    <w:p>
      <w:pPr>
        <w:pStyle w:val="null3"/>
        <w:ind w:firstLine="479"/>
        <w:jc w:val="both"/>
      </w:pPr>
      <w:r>
        <w:rPr>
          <w:sz w:val="21"/>
        </w:rPr>
        <w:t xml:space="preserve">3.5 </w:t>
      </w:r>
      <w:r>
        <w:rPr>
          <w:sz w:val="21"/>
        </w:rPr>
        <w:t>采集软件需自带在线分析功能，可实时观测实验数据，提供选配视频同步采集模块；</w:t>
      </w:r>
    </w:p>
    <w:p>
      <w:pPr>
        <w:pStyle w:val="null3"/>
        <w:ind w:firstLine="479"/>
        <w:jc w:val="both"/>
      </w:pPr>
      <w:r>
        <w:rPr>
          <w:sz w:val="21"/>
        </w:rPr>
        <w:t xml:space="preserve">3.6 </w:t>
      </w:r>
      <w:r>
        <w:rPr>
          <w:sz w:val="21"/>
        </w:rPr>
        <w:t>可自由设置采集软件的相关参数，如滤波、基线校准等功能；</w:t>
      </w:r>
    </w:p>
    <w:p>
      <w:pPr>
        <w:pStyle w:val="null3"/>
        <w:ind w:firstLine="479"/>
        <w:jc w:val="both"/>
      </w:pPr>
      <w:r>
        <w:rPr>
          <w:sz w:val="21"/>
        </w:rPr>
        <w:t xml:space="preserve">3.7 </w:t>
      </w:r>
      <w:r>
        <w:rPr>
          <w:sz w:val="21"/>
        </w:rPr>
        <w:t>需采用独立的分析软件，保证采集数据不受影响，软件经加密认证，可直接兼容可读取和处理多种格式的脑电数据，如十进制文本、ASCII类型等不少于20种数据格式；</w:t>
      </w:r>
    </w:p>
    <w:p>
      <w:pPr>
        <w:pStyle w:val="null3"/>
        <w:ind w:firstLine="479"/>
        <w:jc w:val="both"/>
      </w:pPr>
      <w:r>
        <w:rPr>
          <w:sz w:val="21"/>
        </w:rPr>
        <w:t xml:space="preserve">3.8 </w:t>
      </w:r>
      <w:r>
        <w:rPr>
          <w:sz w:val="21"/>
        </w:rPr>
        <w:t>具备眨眼伪迹函数校正、基线自动校正、ICA/PCA、FFT、小波变换、叠加平均、参考电极更换、滤波、二维脑电地形图制作等功能；</w:t>
      </w:r>
    </w:p>
    <w:p>
      <w:pPr>
        <w:pStyle w:val="null3"/>
        <w:ind w:firstLine="479"/>
        <w:jc w:val="both"/>
      </w:pPr>
      <w:r>
        <w:rPr>
          <w:sz w:val="21"/>
        </w:rPr>
        <w:t xml:space="preserve">3.9 </w:t>
      </w:r>
      <w:r>
        <w:rPr>
          <w:sz w:val="21"/>
        </w:rPr>
        <w:t>软件可提供三维脑地形图，需支持修正核磁干扰、修正TMS干扰、修正心电干扰等功能。</w:t>
      </w:r>
    </w:p>
    <w:p>
      <w:pPr>
        <w:pStyle w:val="null3"/>
        <w:ind w:firstLine="479"/>
        <w:jc w:val="both"/>
      </w:pPr>
      <w:r>
        <w:rPr>
          <w:sz w:val="21"/>
        </w:rPr>
        <w:t xml:space="preserve">3.10 </w:t>
      </w:r>
      <w:r>
        <w:rPr>
          <w:sz w:val="21"/>
        </w:rPr>
        <w:t>模块化结构的脑事件相关电位分析软件，可提供时域、频域、时频域的各种数据分析模式。</w:t>
      </w:r>
    </w:p>
    <w:p>
      <w:pPr>
        <w:pStyle w:val="null3"/>
        <w:ind w:firstLine="479"/>
        <w:jc w:val="both"/>
      </w:pPr>
      <w:r>
        <w:rPr>
          <w:sz w:val="21"/>
        </w:rPr>
        <w:t xml:space="preserve">3.11 </w:t>
      </w:r>
      <w:r>
        <w:rPr>
          <w:sz w:val="21"/>
        </w:rPr>
        <w:t>分析软件直接集成Loreta源定位算法，并可实时与Matlab相互转换。</w:t>
      </w:r>
    </w:p>
    <w:p>
      <w:pPr>
        <w:pStyle w:val="null3"/>
        <w:ind w:firstLine="481"/>
        <w:jc w:val="both"/>
      </w:pPr>
      <w:r>
        <w:rPr>
          <w:sz w:val="21"/>
          <w:b/>
        </w:rPr>
        <w:t xml:space="preserve">4. </w:t>
      </w:r>
      <w:r>
        <w:rPr>
          <w:sz w:val="21"/>
          <w:b/>
        </w:rPr>
        <w:t>配置要求</w:t>
      </w:r>
    </w:p>
    <w:p>
      <w:pPr>
        <w:pStyle w:val="null3"/>
        <w:ind w:firstLine="479"/>
        <w:jc w:val="both"/>
      </w:pPr>
      <w:r>
        <w:rPr>
          <w:sz w:val="21"/>
        </w:rPr>
        <w:t xml:space="preserve">4.1 </w:t>
      </w:r>
      <w:r>
        <w:rPr>
          <w:sz w:val="21"/>
        </w:rPr>
        <w:t>要求具有以下配置（或更优）：</w:t>
      </w:r>
    </w:p>
    <w:p>
      <w:pPr>
        <w:pStyle w:val="null3"/>
        <w:ind w:firstLine="420"/>
        <w:jc w:val="both"/>
      </w:pPr>
      <w:r>
        <w:rPr>
          <w:sz w:val="21"/>
        </w:rPr>
        <w:t>（1）72个通道脑电放大器     1台</w:t>
      </w:r>
    </w:p>
    <w:p>
      <w:pPr>
        <w:pStyle w:val="null3"/>
        <w:ind w:firstLine="420"/>
        <w:jc w:val="both"/>
      </w:pPr>
      <w:r>
        <w:rPr>
          <w:sz w:val="21"/>
        </w:rPr>
        <w:t>（2）电源模块               1台</w:t>
      </w:r>
    </w:p>
    <w:p>
      <w:pPr>
        <w:pStyle w:val="null3"/>
        <w:ind w:firstLine="420"/>
        <w:jc w:val="both"/>
      </w:pPr>
      <w:r>
        <w:rPr>
          <w:sz w:val="21"/>
        </w:rPr>
        <w:t>（3）64通道电极帽           4顶</w:t>
      </w:r>
    </w:p>
    <w:p>
      <w:pPr>
        <w:pStyle w:val="null3"/>
        <w:ind w:firstLine="420"/>
        <w:jc w:val="both"/>
      </w:pPr>
      <w:r>
        <w:rPr>
          <w:sz w:val="21"/>
        </w:rPr>
        <w:t>（4）脑电数据采集软件       1套</w:t>
      </w:r>
    </w:p>
    <w:p>
      <w:pPr>
        <w:pStyle w:val="null3"/>
        <w:ind w:firstLine="420"/>
        <w:jc w:val="both"/>
      </w:pPr>
      <w:r>
        <w:rPr>
          <w:sz w:val="21"/>
        </w:rPr>
        <w:t>（5）脑电数据分析软件       1套</w:t>
      </w:r>
    </w:p>
    <w:p>
      <w:pPr>
        <w:pStyle w:val="null3"/>
        <w:ind w:firstLine="420"/>
        <w:jc w:val="both"/>
      </w:pPr>
      <w:r>
        <w:rPr>
          <w:sz w:val="21"/>
        </w:rPr>
        <w:t>（6）刺激编译软件           1套</w:t>
      </w:r>
    </w:p>
    <w:p>
      <w:pPr>
        <w:pStyle w:val="null3"/>
        <w:ind w:firstLine="420"/>
        <w:jc w:val="both"/>
      </w:pPr>
      <w:r>
        <w:rPr>
          <w:sz w:val="21"/>
        </w:rPr>
        <w:t>（7）电源充电器及连接线     1套</w:t>
      </w:r>
    </w:p>
    <w:p>
      <w:pPr>
        <w:pStyle w:val="null3"/>
        <w:ind w:firstLine="420"/>
        <w:jc w:val="both"/>
      </w:pPr>
      <w:r>
        <w:rPr>
          <w:sz w:val="21"/>
        </w:rPr>
        <w:t>（8）信号同步触发线         1条</w:t>
      </w:r>
    </w:p>
    <w:p>
      <w:pPr>
        <w:pStyle w:val="null3"/>
        <w:ind w:firstLine="420"/>
        <w:jc w:val="both"/>
      </w:pPr>
      <w:r>
        <w:rPr>
          <w:sz w:val="21"/>
        </w:rPr>
        <w:t>（9）导电膏                 5罐</w:t>
      </w:r>
    </w:p>
    <w:p>
      <w:pPr>
        <w:pStyle w:val="null3"/>
        <w:ind w:firstLine="420"/>
        <w:jc w:val="both"/>
      </w:pPr>
      <w:r>
        <w:rPr>
          <w:sz w:val="21"/>
        </w:rPr>
        <w:t>（10）磨砂膏                5支</w:t>
      </w:r>
    </w:p>
    <w:p>
      <w:pPr>
        <w:pStyle w:val="null3"/>
        <w:ind w:firstLine="420"/>
        <w:jc w:val="both"/>
      </w:pPr>
      <w:r>
        <w:rPr>
          <w:sz w:val="21"/>
        </w:rPr>
        <w:t>（11）64通道盐水电极帽      2顶</w:t>
      </w:r>
    </w:p>
    <w:p>
      <w:pPr>
        <w:pStyle w:val="null3"/>
        <w:ind w:firstLine="420"/>
        <w:jc w:val="both"/>
      </w:pPr>
      <w:r>
        <w:rPr>
          <w:sz w:val="21"/>
        </w:rPr>
        <w:t>（12）数据采集终端          6台</w:t>
      </w:r>
    </w:p>
    <w:p>
      <w:pPr>
        <w:pStyle w:val="null3"/>
        <w:jc w:val="both"/>
      </w:pPr>
      <w:r>
        <w:rPr>
          <w:sz w:val="21"/>
          <w:b/>
        </w:rPr>
        <w:t>五、</w:t>
      </w:r>
      <w:r>
        <w:rPr>
          <w:sz w:val="21"/>
          <w:b/>
        </w:rPr>
        <w:t>服务要求</w:t>
      </w:r>
    </w:p>
    <w:p>
      <w:pPr>
        <w:pStyle w:val="null3"/>
        <w:ind w:firstLine="479"/>
        <w:jc w:val="both"/>
      </w:pPr>
      <w:r>
        <w:rPr>
          <w:sz w:val="21"/>
        </w:rPr>
        <w:t xml:space="preserve">（一） </w:t>
      </w:r>
      <w:r>
        <w:rPr>
          <w:sz w:val="21"/>
        </w:rPr>
        <w:t>售后服务要求:</w:t>
      </w:r>
      <w:r>
        <w:rPr>
          <w:sz w:val="21"/>
          <w:b/>
        </w:rPr>
        <w:t>（</w:t>
      </w:r>
      <w:r>
        <w:rPr>
          <w:sz w:val="21"/>
          <w:b/>
        </w:rPr>
        <w:t>采购包1和采购包2均适用</w:t>
      </w:r>
      <w:r>
        <w:rPr>
          <w:sz w:val="21"/>
          <w:b/>
        </w:rPr>
        <w:t>）</w:t>
      </w:r>
    </w:p>
    <w:p>
      <w:pPr>
        <w:pStyle w:val="null3"/>
        <w:ind w:firstLine="479"/>
        <w:jc w:val="both"/>
      </w:pPr>
      <w:r>
        <w:rPr>
          <w:sz w:val="21"/>
        </w:rPr>
        <w:t>1.</w:t>
      </w:r>
      <w:r>
        <w:rPr>
          <w:sz w:val="21"/>
        </w:rPr>
        <w:t>设备整机质保期 ≥1年。</w:t>
      </w:r>
    </w:p>
    <w:p>
      <w:pPr>
        <w:pStyle w:val="null3"/>
        <w:ind w:firstLine="479"/>
        <w:jc w:val="both"/>
      </w:pPr>
      <w:r>
        <w:rPr>
          <w:sz w:val="21"/>
        </w:rPr>
        <w:t>2.</w:t>
      </w:r>
      <w:r>
        <w:rPr>
          <w:sz w:val="21"/>
        </w:rPr>
        <w:t>软件版本内终身维护升级。</w:t>
      </w:r>
    </w:p>
    <w:p>
      <w:pPr>
        <w:pStyle w:val="null3"/>
        <w:ind w:firstLine="479"/>
        <w:jc w:val="both"/>
      </w:pPr>
      <w:r>
        <w:rPr>
          <w:sz w:val="21"/>
        </w:rPr>
        <w:t>3.</w:t>
      </w:r>
      <w:r>
        <w:rPr>
          <w:sz w:val="21"/>
        </w:rPr>
        <w:t>中标供应商的技术人员每年主动上门 2 次以上询问设备使用情况，服务所发生的费用，均由中标供应商承担。</w:t>
      </w:r>
    </w:p>
    <w:p>
      <w:pPr>
        <w:pStyle w:val="null3"/>
        <w:ind w:firstLine="479"/>
        <w:jc w:val="both"/>
      </w:pPr>
      <w:r>
        <w:rPr>
          <w:sz w:val="21"/>
        </w:rPr>
        <w:t>4.</w:t>
      </w:r>
      <w:r>
        <w:rPr>
          <w:sz w:val="21"/>
        </w:rPr>
        <w:t>设备安装时，进行为期 3-4 天的培训。使用30天后，可以根据用户的需要再次进行培训。</w:t>
      </w:r>
    </w:p>
    <w:p>
      <w:pPr>
        <w:pStyle w:val="null3"/>
        <w:ind w:firstLine="479"/>
        <w:jc w:val="both"/>
      </w:pPr>
      <w:r>
        <w:rPr>
          <w:sz w:val="21"/>
        </w:rPr>
        <w:t>5.</w:t>
      </w:r>
      <w:r>
        <w:rPr>
          <w:sz w:val="21"/>
        </w:rPr>
        <w:t>出现技术问题，供应商承诺2小时以内响应，8-24小时内解决，如电话和网络不能排除故障48 小时内到达采购人指定地点上门进行指导，服务所发生的费用，均由供应商承担。</w:t>
      </w:r>
    </w:p>
    <w:p>
      <w:pPr>
        <w:pStyle w:val="null3"/>
        <w:ind w:firstLine="479"/>
        <w:jc w:val="both"/>
      </w:pPr>
      <w:r>
        <w:rPr>
          <w:sz w:val="21"/>
        </w:rPr>
        <w:t xml:space="preserve">6. </w:t>
      </w:r>
      <w:r>
        <w:rPr>
          <w:sz w:val="21"/>
        </w:rPr>
        <w:t>质保期内如返厂维修，中标供应商提供备机供采购人使用；</w:t>
      </w:r>
    </w:p>
    <w:p>
      <w:pPr>
        <w:pStyle w:val="null3"/>
        <w:ind w:firstLine="479"/>
        <w:jc w:val="both"/>
      </w:pPr>
      <w:r>
        <w:rPr>
          <w:sz w:val="21"/>
        </w:rPr>
        <w:t>（二）人员要求</w:t>
      </w:r>
    </w:p>
    <w:p>
      <w:pPr>
        <w:pStyle w:val="null3"/>
        <w:ind w:firstLine="481"/>
        <w:jc w:val="both"/>
      </w:pPr>
      <w:r>
        <w:rPr>
          <w:sz w:val="21"/>
          <w:b/>
        </w:rPr>
        <w:t>采购包1：</w:t>
      </w:r>
    </w:p>
    <w:p>
      <w:pPr>
        <w:pStyle w:val="null3"/>
        <w:ind w:firstLine="479"/>
        <w:jc w:val="both"/>
      </w:pPr>
      <w:r>
        <w:rPr>
          <w:sz w:val="21"/>
        </w:rPr>
        <w:t>投标人需针对本项目所投采购包提供1名项目负责人，1名或以上安装调试人员，2名或以上技术服务人员每年提供两次以上主动上门服务和3名或以上技术故障处理人员。</w:t>
      </w:r>
    </w:p>
    <w:p>
      <w:pPr>
        <w:pStyle w:val="null3"/>
        <w:ind w:firstLine="481"/>
        <w:jc w:val="both"/>
      </w:pPr>
      <w:r>
        <w:rPr>
          <w:sz w:val="21"/>
          <w:b/>
        </w:rPr>
        <w:t>采购包2：</w:t>
      </w:r>
    </w:p>
    <w:p>
      <w:pPr>
        <w:pStyle w:val="null3"/>
        <w:ind w:firstLine="479"/>
        <w:jc w:val="both"/>
      </w:pPr>
      <w:r>
        <w:rPr>
          <w:sz w:val="21"/>
        </w:rPr>
        <w:t>投标人需针对本项目所投采购包提供1名项目负责人，1名或以上安装调试人员，2名或以上技术服务人员每年提供两次以上主动上门服务和3名或以上技术故障处理人员。</w:t>
      </w:r>
    </w:p>
    <w:p>
      <w:pPr>
        <w:pStyle w:val="null3"/>
        <w:jc w:val="both"/>
      </w:pPr>
      <w:r>
        <w:rPr>
          <w:sz w:val="21"/>
          <w:b/>
        </w:rPr>
        <w:t>六、方案要求</w:t>
      </w:r>
    </w:p>
    <w:p>
      <w:pPr>
        <w:pStyle w:val="null3"/>
        <w:ind w:firstLine="420"/>
        <w:jc w:val="both"/>
      </w:pPr>
      <w:r>
        <w:rPr>
          <w:sz w:val="21"/>
          <w:b/>
        </w:rPr>
        <w:t>采购包1：</w:t>
      </w:r>
    </w:p>
    <w:p>
      <w:pPr>
        <w:pStyle w:val="null3"/>
        <w:ind w:firstLine="420"/>
        <w:jc w:val="both"/>
      </w:pPr>
      <w:r>
        <w:rPr>
          <w:sz w:val="21"/>
        </w:rPr>
        <w:t>1.</w:t>
      </w:r>
      <w:r>
        <w:rPr>
          <w:sz w:val="21"/>
        </w:rPr>
        <w:t>投标人需提供一套全面具体，质量保障计划详细可行，</w:t>
      </w:r>
      <w:r>
        <w:rPr>
          <w:sz w:val="21"/>
        </w:rPr>
        <w:t>不合格品管理严格，质量档案编制流程规范的质量保证措施方案，内容包括但不限于详细的质量保证措施及质量保障计划等内容；</w:t>
      </w:r>
    </w:p>
    <w:p>
      <w:pPr>
        <w:pStyle w:val="null3"/>
        <w:ind w:firstLine="420"/>
        <w:jc w:val="both"/>
      </w:pPr>
      <w:r>
        <w:rPr>
          <w:sz w:val="21"/>
        </w:rPr>
        <w:t>2.</w:t>
      </w:r>
      <w:r>
        <w:rPr>
          <w:sz w:val="21"/>
        </w:rPr>
        <w:t>投标人需提供一套合理可行的项目实施方案，内容包括但不限于</w:t>
      </w:r>
      <w:r>
        <w:rPr>
          <w:sz w:val="21"/>
        </w:rPr>
        <w:t>供货方案、</w:t>
      </w:r>
      <w:r>
        <w:rPr>
          <w:sz w:val="21"/>
        </w:rPr>
        <w:t>物流解决方案</w:t>
      </w:r>
      <w:r>
        <w:rPr>
          <w:sz w:val="21"/>
        </w:rPr>
        <w:t>、</w:t>
      </w:r>
      <w:r>
        <w:rPr>
          <w:sz w:val="21"/>
        </w:rPr>
        <w:t>安装调试实施方案</w:t>
      </w:r>
      <w:r>
        <w:rPr>
          <w:sz w:val="21"/>
        </w:rPr>
        <w:t>、进度安排等</w:t>
      </w:r>
      <w:r>
        <w:rPr>
          <w:sz w:val="21"/>
        </w:rPr>
        <w:t>内容；</w:t>
      </w:r>
    </w:p>
    <w:p>
      <w:pPr>
        <w:pStyle w:val="null3"/>
        <w:ind w:firstLine="420"/>
        <w:jc w:val="both"/>
      </w:pPr>
      <w:r>
        <w:rPr>
          <w:sz w:val="21"/>
        </w:rPr>
        <w:t>3.</w:t>
      </w:r>
      <w:r>
        <w:rPr>
          <w:sz w:val="21"/>
        </w:rPr>
        <w:t>投标人需提供一套内容全面，人员安排合理，应急保障措施针对性高的售后服务方案，内容包括但不限于</w:t>
      </w:r>
      <w:r>
        <w:rPr>
          <w:sz w:val="21"/>
        </w:rPr>
        <w:t>售后内容、售后服务计划及人员支持、应急保障措施等；</w:t>
      </w:r>
    </w:p>
    <w:p>
      <w:pPr>
        <w:pStyle w:val="null3"/>
        <w:ind w:firstLine="420"/>
        <w:jc w:val="both"/>
      </w:pPr>
      <w:r>
        <w:rPr>
          <w:sz w:val="21"/>
        </w:rPr>
        <w:t>4.</w:t>
      </w:r>
      <w:r>
        <w:rPr>
          <w:sz w:val="21"/>
        </w:rPr>
        <w:t>投标人需针对本项目采购需求的要求，提供一套培训方案，内容包括但不限于培训计划、培训目标、培训方式；</w:t>
      </w:r>
    </w:p>
    <w:p>
      <w:pPr>
        <w:pStyle w:val="null3"/>
        <w:ind w:firstLine="420"/>
        <w:jc w:val="both"/>
      </w:pPr>
      <w:r>
        <w:rPr>
          <w:sz w:val="21"/>
          <w:b/>
        </w:rPr>
        <w:t>采购包2：</w:t>
      </w:r>
    </w:p>
    <w:p>
      <w:pPr>
        <w:pStyle w:val="null3"/>
        <w:ind w:firstLine="420"/>
        <w:jc w:val="both"/>
      </w:pPr>
      <w:r>
        <w:rPr>
          <w:sz w:val="21"/>
        </w:rPr>
        <w:t>1.</w:t>
      </w:r>
      <w:r>
        <w:rPr>
          <w:sz w:val="21"/>
        </w:rPr>
        <w:t>投标人需提供一套全面具体，质量保障计划详细可行，</w:t>
      </w:r>
      <w:r>
        <w:rPr>
          <w:sz w:val="21"/>
        </w:rPr>
        <w:t>不合格品管理严格，质量档案编制流程规范的质量保证措施方案，内容包括但不限于详细的质量保证措施及质量保障计划等内容；</w:t>
      </w:r>
    </w:p>
    <w:p>
      <w:pPr>
        <w:pStyle w:val="null3"/>
        <w:ind w:firstLine="420"/>
        <w:jc w:val="both"/>
      </w:pPr>
      <w:r>
        <w:rPr>
          <w:sz w:val="21"/>
        </w:rPr>
        <w:t>2.</w:t>
      </w:r>
      <w:r>
        <w:rPr>
          <w:sz w:val="21"/>
        </w:rPr>
        <w:t>投标人需提供一套合理可行的项目实施方案，内容包括但不限于</w:t>
      </w:r>
      <w:r>
        <w:rPr>
          <w:sz w:val="21"/>
        </w:rPr>
        <w:t>供货方案、</w:t>
      </w:r>
      <w:r>
        <w:rPr>
          <w:sz w:val="21"/>
        </w:rPr>
        <w:t>物流解决方案</w:t>
      </w:r>
      <w:r>
        <w:rPr>
          <w:sz w:val="21"/>
        </w:rPr>
        <w:t>、</w:t>
      </w:r>
      <w:r>
        <w:rPr>
          <w:sz w:val="21"/>
        </w:rPr>
        <w:t>安装调试实施方案</w:t>
      </w:r>
      <w:r>
        <w:rPr>
          <w:sz w:val="21"/>
        </w:rPr>
        <w:t>、进度安排等</w:t>
      </w:r>
      <w:r>
        <w:rPr>
          <w:sz w:val="21"/>
        </w:rPr>
        <w:t>内容；</w:t>
      </w:r>
    </w:p>
    <w:p>
      <w:pPr>
        <w:pStyle w:val="null3"/>
        <w:ind w:firstLine="420"/>
        <w:jc w:val="both"/>
      </w:pPr>
      <w:r>
        <w:rPr>
          <w:sz w:val="21"/>
        </w:rPr>
        <w:t>3.</w:t>
      </w:r>
      <w:r>
        <w:rPr>
          <w:sz w:val="21"/>
        </w:rPr>
        <w:t>投标人需提供一套内容全面，人员安排合理，应急保障措施针对性高的售后服务方案，内容包括但不限于</w:t>
      </w:r>
      <w:r>
        <w:rPr>
          <w:sz w:val="21"/>
        </w:rPr>
        <w:t>售后内容、售后服务计划及人员支持、应急保障措施等；</w:t>
      </w:r>
    </w:p>
    <w:p>
      <w:pPr>
        <w:pStyle w:val="null3"/>
        <w:ind w:firstLine="420"/>
        <w:jc w:val="both"/>
      </w:pPr>
      <w:r>
        <w:rPr>
          <w:sz w:val="21"/>
        </w:rPr>
        <w:t>4.</w:t>
      </w:r>
      <w:r>
        <w:rPr>
          <w:sz w:val="21"/>
        </w:rPr>
        <w:t>投标人需针对本项目采购需求的要求，提供一套培训方案，内容包括但不限于培训计划、培训目标、培训方式；</w:t>
      </w:r>
    </w:p>
    <w:p>
      <w:pPr>
        <w:pStyle w:val="null3"/>
        <w:jc w:val="both"/>
      </w:pPr>
      <w:r>
        <w:rPr>
          <w:sz w:val="21"/>
          <w:b/>
        </w:rPr>
        <w:t>七、报价方式（采购包1和采购包2均适用）</w:t>
      </w:r>
    </w:p>
    <w:p>
      <w:pPr>
        <w:pStyle w:val="null3"/>
        <w:ind w:firstLine="479"/>
        <w:jc w:val="both"/>
      </w:pPr>
      <w:r>
        <w:rPr>
          <w:sz w:val="21"/>
        </w:rPr>
        <w:t>各采购包投标报价包括完成本项目的成本、利润、运费、税金等全部费用。</w:t>
      </w:r>
    </w:p>
    <w:p>
      <w:pPr>
        <w:pStyle w:val="null3"/>
        <w:ind w:firstLine="481"/>
        <w:jc w:val="both"/>
      </w:pPr>
      <w:r>
        <w:rPr>
          <w:sz w:val="21"/>
          <w:b/>
        </w:rPr>
        <w:t>（一）从中华人民共和国关境内提供的货物的报价方式：</w:t>
      </w:r>
    </w:p>
    <w:p>
      <w:pPr>
        <w:pStyle w:val="null3"/>
        <w:ind w:firstLine="479"/>
        <w:jc w:val="both"/>
      </w:pPr>
      <w:r>
        <w:rPr>
          <w:sz w:val="21"/>
        </w:rPr>
        <w:t>1、关境内制造的货物： 投标总价包括：</w:t>
      </w:r>
    </w:p>
    <w:p>
      <w:pPr>
        <w:pStyle w:val="null3"/>
        <w:ind w:left="480"/>
        <w:jc w:val="both"/>
      </w:pPr>
      <w:r>
        <w:rPr>
          <w:sz w:val="21"/>
        </w:rPr>
        <w:t>（1）向中华人民共和国政府缴纳的增值税和其他税；</w:t>
      </w:r>
    </w:p>
    <w:p>
      <w:pPr>
        <w:pStyle w:val="null3"/>
        <w:ind w:left="480"/>
        <w:jc w:val="both"/>
      </w:pPr>
      <w:r>
        <w:rPr>
          <w:sz w:val="21"/>
        </w:rPr>
        <w:t>（2）货物在制造或组装时使用的部件和原材料是从关境外进口的已交纳或应交纳的全部关税、增值税和其他税；</w:t>
      </w:r>
    </w:p>
    <w:p>
      <w:pPr>
        <w:pStyle w:val="null3"/>
        <w:ind w:left="480"/>
        <w:jc w:val="both"/>
      </w:pPr>
      <w:r>
        <w:rPr>
          <w:sz w:val="21"/>
        </w:rPr>
        <w:t>（3）货物运至最终目的地的关境内运输、保险和伴随货物交运的有关费用；</w:t>
      </w:r>
    </w:p>
    <w:p>
      <w:pPr>
        <w:pStyle w:val="null3"/>
        <w:ind w:left="480"/>
        <w:jc w:val="both"/>
      </w:pPr>
      <w:r>
        <w:rPr>
          <w:sz w:val="21"/>
        </w:rPr>
        <w:t>（4）验收费、到达安装地点的保险费、安装费、调试费、培训费、技术服务费等。</w:t>
      </w:r>
    </w:p>
    <w:p>
      <w:pPr>
        <w:pStyle w:val="null3"/>
        <w:ind w:firstLine="479"/>
        <w:jc w:val="both"/>
      </w:pPr>
      <w:r>
        <w:rPr>
          <w:sz w:val="21"/>
        </w:rPr>
        <w:t>2、投标截止时间前已经进口的货物： 投标总价包括：</w:t>
      </w:r>
    </w:p>
    <w:p>
      <w:pPr>
        <w:pStyle w:val="null3"/>
        <w:ind w:firstLine="479"/>
        <w:jc w:val="both"/>
      </w:pPr>
      <w:r>
        <w:rPr>
          <w:sz w:val="21"/>
        </w:rPr>
        <w:t>（1）从关境外进口时已交纳或应交纳的全部关税、增值税和其他税；</w:t>
      </w:r>
    </w:p>
    <w:p>
      <w:pPr>
        <w:pStyle w:val="null3"/>
        <w:ind w:firstLine="479"/>
        <w:jc w:val="both"/>
      </w:pPr>
      <w:r>
        <w:rPr>
          <w:sz w:val="21"/>
        </w:rPr>
        <w:t>（2）向中华人民共和国政府缴纳的增值税和其他税；</w:t>
      </w:r>
    </w:p>
    <w:p>
      <w:pPr>
        <w:pStyle w:val="null3"/>
        <w:ind w:firstLine="479"/>
        <w:jc w:val="both"/>
      </w:pPr>
      <w:r>
        <w:rPr>
          <w:sz w:val="21"/>
        </w:rPr>
        <w:t>（3）货物运至最终目的地的关境内运输、保险和伴随货物交运的有关费用；</w:t>
      </w:r>
    </w:p>
    <w:p>
      <w:pPr>
        <w:pStyle w:val="null3"/>
        <w:ind w:firstLine="479"/>
        <w:jc w:val="both"/>
      </w:pPr>
      <w:r>
        <w:rPr>
          <w:sz w:val="21"/>
        </w:rPr>
        <w:t>（4）验收费、到达安装地点的保险费、安装费、调试费、培训费、技术服务费等。</w:t>
      </w:r>
    </w:p>
    <w:p>
      <w:pPr>
        <w:pStyle w:val="null3"/>
        <w:ind w:firstLine="481"/>
        <w:jc w:val="both"/>
      </w:pPr>
      <w:r>
        <w:rPr>
          <w:sz w:val="21"/>
          <w:b/>
        </w:rPr>
        <w:t>（二）从中华人民共和国关境外提供的货物的报价方式：</w:t>
      </w:r>
    </w:p>
    <w:p>
      <w:pPr>
        <w:pStyle w:val="null3"/>
        <w:ind w:firstLine="479"/>
        <w:jc w:val="both"/>
      </w:pPr>
      <w:r>
        <w:rPr>
          <w:sz w:val="21"/>
        </w:rPr>
        <w:t>1、投标总价＝DDU人民币价(不含进口环节税)＝CIP至广州口岸价+货物运至用户指定安装地点的内陆运输、保险和伴随货物交运的有关费用。</w:t>
      </w:r>
    </w:p>
    <w:p>
      <w:pPr>
        <w:pStyle w:val="null3"/>
        <w:ind w:firstLine="479"/>
        <w:jc w:val="both"/>
      </w:pPr>
      <w:r>
        <w:rPr>
          <w:sz w:val="21"/>
        </w:rPr>
        <w:t>2、CIP广州口岸价：招标范围内所有设备及配件费、安装调试费、安装中的相关费用（包括安装过程中损耗、额外材料、设计费等）、招标文件规定的人员培训、售后服务的相关费用。</w:t>
      </w:r>
    </w:p>
    <w:p>
      <w:pPr>
        <w:pStyle w:val="null3"/>
        <w:ind w:firstLine="479"/>
        <w:jc w:val="both"/>
      </w:pPr>
      <w:r>
        <w:rPr>
          <w:sz w:val="21"/>
        </w:rPr>
        <w:t>3、采购单位为教育部门，享受海关的进口科教用品免税优惠政策，投标人可报设备免税价，但海关规定不能免税的设备除外。</w:t>
      </w:r>
    </w:p>
    <w:p>
      <w:pPr>
        <w:pStyle w:val="null3"/>
        <w:ind w:firstLine="479"/>
        <w:jc w:val="both"/>
      </w:pPr>
      <w:r>
        <w:rPr>
          <w:sz w:val="21"/>
        </w:rPr>
        <w:t>4、货物从进口口岸运至最终目的地的关境内运输、保险和其他当地发生的伴随货物交运的有关费用。</w:t>
      </w:r>
    </w:p>
    <w:p>
      <w:pPr>
        <w:pStyle w:val="null3"/>
        <w:ind w:firstLine="479"/>
        <w:jc w:val="both"/>
      </w:pPr>
      <w:r>
        <w:rPr>
          <w:sz w:val="21"/>
        </w:rPr>
        <w:t>5、采购人不承担本项目执行过程中因汇率波动产生的风险。项目中标后，采购人除项目中标人民币总价外，不再支付其他费用给中标人。</w:t>
      </w:r>
    </w:p>
    <w:p>
      <w:pPr>
        <w:pStyle w:val="null3"/>
        <w:ind w:firstLine="479"/>
        <w:jc w:val="both"/>
      </w:pPr>
      <w:r>
        <w:rPr>
          <w:sz w:val="21"/>
        </w:rPr>
        <w:t>（三）对于影响设备正常工作的必要组成部分，无论在采购技术规范中指出与否，投标人都应提供并在投标文件中明确列出。</w:t>
      </w:r>
    </w:p>
    <w:p>
      <w:pPr>
        <w:pStyle w:val="null3"/>
        <w:ind w:firstLine="479"/>
        <w:jc w:val="both"/>
      </w:pPr>
      <w:r>
        <w:rPr>
          <w:sz w:val="21"/>
        </w:rPr>
        <w:t>（四）投标货物的技术规格、功能作用与招标文件要求一致而制造商所提供货物之设备名称与招标文件名称不一致的，须对设备名称不一致提供相关说明（格式自拟）。</w:t>
      </w:r>
    </w:p>
    <w:p>
      <w:pPr>
        <w:pStyle w:val="null3"/>
        <w:ind w:firstLine="479"/>
        <w:jc w:val="both"/>
      </w:pPr>
      <w:r>
        <w:rPr>
          <w:sz w:val="21"/>
        </w:rPr>
        <w:t>★（五）若投标人所投产品为进口产品，须提供以下文件或承诺：</w:t>
      </w:r>
    </w:p>
    <w:p>
      <w:pPr>
        <w:pStyle w:val="null3"/>
        <w:ind w:firstLine="420"/>
        <w:jc w:val="both"/>
      </w:pPr>
      <w:r>
        <w:rPr>
          <w:sz w:val="21"/>
        </w:rPr>
        <w:t>若投标人不是该设备的制造商，则必须提供该设备的制造商或制造商指定的代理商（经销商）出具的合法授权文件。若该授权文件为制造商指定的代理商（经销商）出具的，还必须提供制造商对制造商指定的代理商（经销商）出具的合法代理证明。</w:t>
      </w:r>
    </w:p>
    <w:p>
      <w:pPr>
        <w:pStyle w:val="null3"/>
        <w:ind w:firstLine="420"/>
        <w:jc w:val="both"/>
      </w:pPr>
      <w:r>
        <w:rPr>
          <w:sz w:val="21"/>
        </w:rPr>
        <w:t>★（六）若原产地为美国且在中国国务院关税税则委员会公告要求加征关税清单范围内的，加征的税费由中标人承担。（提供承诺函，格式自拟）</w:t>
      </w:r>
    </w:p>
    <w:p>
      <w:pPr>
        <w:pStyle w:val="null3"/>
      </w:pPr>
      <w:r>
        <w:rPr/>
        <w:t>采购包1（桌面式眼动仪）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合同签订后90个自然日内完成供货，并安装、调试和验收。</w:t>
            </w:r>
          </w:p>
        </w:tc>
      </w:tr>
      <w:tr>
        <w:tc>
          <w:tcPr>
            <w:tcW w:type="dxa" w:w="4153"/>
          </w:tcPr>
          <w:p>
            <w:pPr>
              <w:pStyle w:val="null3"/>
            </w:pPr>
            <w:r>
              <w:rPr/>
              <w:t>标的提供的地点</w:t>
            </w:r>
          </w:p>
        </w:tc>
        <w:tc>
          <w:tcPr>
            <w:tcW w:type="dxa" w:w="4153"/>
          </w:tcPr>
          <w:p>
            <w:pPr>
              <w:pStyle w:val="null3"/>
            </w:pPr>
            <w:r>
              <w:rPr/>
              <w:t>广东外语外贸大学(北校区)。</w:t>
            </w:r>
          </w:p>
        </w:tc>
      </w:tr>
      <w:tr>
        <w:tc>
          <w:tcPr>
            <w:tcW w:type="dxa" w:w="4153"/>
          </w:tcPr>
          <w:p>
            <w:pPr>
              <w:pStyle w:val="null3"/>
            </w:pPr>
            <w:r>
              <w:rPr/>
              <w:t>付款方式</w:t>
            </w:r>
          </w:p>
        </w:tc>
        <w:tc>
          <w:tcPr>
            <w:tcW w:type="dxa" w:w="4153"/>
          </w:tcPr>
          <w:p>
            <w:pPr>
              <w:pStyle w:val="null3"/>
            </w:pPr>
            <w:r>
              <w:rPr/>
              <w:t>1期：支付比例30%,自签订合同之日起10个工作日内支付预付款（合同总金额的30%）；</w:t>
            </w:r>
          </w:p>
          <w:p>
            <w:pPr>
              <w:pStyle w:val="null3"/>
            </w:pPr>
            <w:r>
              <w:rPr/>
              <w:t>2期：支付比例50%,货物送达采购人指定地点后，采购人在核实开箱报告，并收到中标供应商发票之日起10日内支付合同总金额的50%</w:t>
            </w:r>
          </w:p>
          <w:p>
            <w:pPr>
              <w:pStyle w:val="null3"/>
            </w:pPr>
            <w:r>
              <w:rPr/>
              <w:t>3期：支付比例20%,货物安装调试完毕，经验收合格后，采购人在收到中标供应商发票之日起10日内支付合同总金额的20%。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1期：1、采购人收到中标人验收申请后7日内组织履约验收。 2、中标供应商对所有设备、备品备件、专用工具和伴随服务进行投标响应，供应商负责设备的安装使用及技术培训，技术培训合格以后正常运行两周以上，用户代表签写验收报告。 3、中标供应商所投设备及材料应是原厂原装、全新的产品，并符合下列要求：国家标准、行业标准以及该产品的出厂标准。 4、中标供应商确保设备及所有配套件的完整性和可靠性。对于招标文件没有列出，而对该设备的正常运行和维护必不可少的部件、配件等，中标供应商有责任给予补充。 5、中标供应商对其所投产品的生产厂家、品牌、型号予以核实，与实际供货产品铭牌上所标识的完全一致，否则将无法验收，由此导致的包括合同违约等一切后果将由中标供应商承担。 6、中标供应商负责项目采购需求中列出的所有工作内容，以及其他隐含的配套工作。中标供应商应充分考虑影响报价的各种因素和风险。</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其他，1、安装前，采购人对货物的品牌、数量、包装等方面进行验收，中标供应商提供的所有单独包装的货物均应具有原始的完好的标准包装。如遇交付前已拆封的货物，用户单位有权拒绝或要求更换。 2、中标供应商应根据采购要求免费进行设备安装、调试后，由用户单位进行使用性能方面的验收，正常运行以后方可签订验收报告。 3、中标供应商提供设备的性能应符合投标人投标文件中承诺的技术指标，如中标供应商提供的设备不符合招标文件及其投标文件响应的要求，无论是否对采购人造成损失，采购人均保留追究中标供应商责任的权利。 4、由中标人办理本项目进口设备的海关手续，包括但不限于减免税申请、海关监管年限内的减免税年报申报、减免税后续管理及其他所有与海关有关的手续办理。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生理仪器</w:t>
            </w:r>
          </w:p>
        </w:tc>
        <w:tc>
          <w:tcPr>
            <w:tcW w:type="dxa" w:w="831"/>
          </w:tcPr>
          <w:p>
            <w:pPr>
              <w:pStyle w:val="null3"/>
              <w:jc w:val="left"/>
            </w:pPr>
            <w:r>
              <w:rPr/>
              <w:t>桌面式眼动仪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jc w:val="right"/>
            </w:pPr>
            <w:r>
              <w:rPr/>
              <w:t>850,000.00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桌面式眼动仪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采购包2（便携式脑电波采集设备）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合同签订后90个自然日内完成供货，并安装、调试和验收。</w:t>
            </w:r>
          </w:p>
        </w:tc>
      </w:tr>
      <w:tr>
        <w:tc>
          <w:tcPr>
            <w:tcW w:type="dxa" w:w="4153"/>
          </w:tcPr>
          <w:p>
            <w:pPr>
              <w:pStyle w:val="null3"/>
            </w:pPr>
            <w:r>
              <w:rPr/>
              <w:t>标的提供的地点</w:t>
            </w:r>
          </w:p>
        </w:tc>
        <w:tc>
          <w:tcPr>
            <w:tcW w:type="dxa" w:w="4153"/>
          </w:tcPr>
          <w:p>
            <w:pPr>
              <w:pStyle w:val="null3"/>
            </w:pPr>
            <w:r>
              <w:rPr/>
              <w:t>广东外语外贸大学(北校区)。</w:t>
            </w:r>
          </w:p>
        </w:tc>
      </w:tr>
      <w:tr>
        <w:tc>
          <w:tcPr>
            <w:tcW w:type="dxa" w:w="4153"/>
          </w:tcPr>
          <w:p>
            <w:pPr>
              <w:pStyle w:val="null3"/>
            </w:pPr>
            <w:r>
              <w:rPr/>
              <w:t>付款方式</w:t>
            </w:r>
          </w:p>
        </w:tc>
        <w:tc>
          <w:tcPr>
            <w:tcW w:type="dxa" w:w="4153"/>
          </w:tcPr>
          <w:p>
            <w:pPr>
              <w:pStyle w:val="null3"/>
            </w:pPr>
            <w:r>
              <w:rPr/>
              <w:t>1期：支付比例30%,自签订合同之日起10个工作日内支付预付款（合同总金额的30%）；</w:t>
            </w:r>
          </w:p>
          <w:p>
            <w:pPr>
              <w:pStyle w:val="null3"/>
            </w:pPr>
            <w:r>
              <w:rPr/>
              <w:t>2期：支付比例50%,货物送达采购人指定地点后，采购人在核实开箱报告，并收到中标供应商发票之日起10日内支付合同总金额的50%；</w:t>
            </w:r>
          </w:p>
          <w:p>
            <w:pPr>
              <w:pStyle w:val="null3"/>
            </w:pPr>
            <w:r>
              <w:rPr/>
              <w:t>3期：支付比例20%,货物安装调试完毕，经验收合格后，采购人在收到中标供应商发票之日起10日内支付合同总金额的20%。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1期：1、采购人收到中标人验收申请后7日内组织履约验收。 2、投标人对所有设备、备品备件、专用工具和伴随服务进行投标响应，供应商负责设备的安装使用及技术培训，技术培训合格以后正常运行两周以上，用户代表签写验收报告。 3、中标供应商所投设备及材料应是原厂原装、全新的产品，并符合下列要求：国家标准、行业标准以及该产品的出厂标准。 4、中标供应商确保设备及所有配套件的完整性和可靠性。对于招标文件没有列出，而对该设备的正常运行和维护必不可少的部件、配件等，投标人有责任给予补充。 5、投标人对其所投产品的生产厂家、品牌、型号予以核实，与实际供货产品铭牌上所标识的完全一致，否则将无法验收，由此导致的包括合同违约等一切后果将由投标人承担。 6、投标人负责项目采购需求中列出的所有工作内容，以及其他隐含的配套工作。投标人应充分考虑影响报价的各种因素和风险。</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其他，1、安装前，采购人对货物的品牌、数量、包装等方面进行验收，中标供应商提供的所有单独包装的货物均应具有原始的完好的标准包装。如遇交付前已拆封的货物，用户单位有权拒绝或要求更换。 2、中标供应商应根据采购要求免费进行设备安装、调试后，由用户单位进行使用性能方面的验收，正常运行以后方可签订验收报告。 3、中标供应商提供设备的性能应符合投标人投标文件中承诺的技术指标，如中标供应商提供的设备不符合招标文件及其投标文件响应的要求，无论是否对采购人造成损失，采购人均保留追究中标供应商责任的权利。</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生理仪器</w:t>
            </w:r>
          </w:p>
        </w:tc>
        <w:tc>
          <w:tcPr>
            <w:tcW w:type="dxa" w:w="831"/>
          </w:tcPr>
          <w:p>
            <w:pPr>
              <w:pStyle w:val="null3"/>
              <w:jc w:val="left"/>
            </w:pPr>
            <w:r>
              <w:rPr/>
              <w:t>便携式脑电波采集设备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jc w:val="right"/>
            </w:pPr>
            <w:r>
              <w:rPr/>
              <w:t>750,000.00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便携式脑电波采集设备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采购机构代理服务收费标准：采购机构代理服务收费标准：中标人须向采购代理机构按如下标准和规定缴纳招标代理服务费（未含税）： （1）以项目中标金额作为招标代理服务费的计算基数； （2）招标代理服务费采用差额定率累进法进行计算，按照以下标准计取： 100万元以下的部分，按照1.5%计取； 100-500万元的部分，按照1.1%计取。（采购包1和采购包2均适用）</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采购包1(桌面式眼动仪)：综合评分法,是指投标文件满足招标文件全部实质性要求，且按照评审因素的量化指标评审得分最高的投标人为中标候选人的评标方法。（最低报价不是中标的唯一依据。）</w:t>
      </w:r>
    </w:p>
    <w:p>
      <w:pPr>
        <w:pStyle w:val="null3"/>
      </w:pPr>
      <w:r>
        <w:rPr/>
        <w:t>采购包2(便携式脑电波采集设备)：综合评分法,是指投标文件满足招标文件全部实质性要求，且按照评审因素的量化指标评审得分最高的投标人为中标候选人的评标方法。（最低报价不是中标的唯一依据。）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采购包1（桌面式眼动仪）：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采购包2（便携式脑电波采集设备）：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采购包1（桌面式眼动仪）：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投标人必须具有良好的商业信誉和健全的财务会计制度。（提供2023或2024年度财务状况报告或基本开户行出具的资信证明）或提供签署及盖章合格的投标函。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列入失信被执行人、重大税收违法失信主体、政府采购严重违法失信行为记录名单的投标人（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投标人（提供签署及盖章合格的投标函）①单位负责人为同一人或者存在直接控股、管理关系的不同投标人，不得参加同一包组投标或者未划分包组的同一招标项目的政府采购活动。如同时参加，则评审时均作无效投标处理。②为采购项目提供整体设计、规范编制或者项目管理、监理、检测等服务的投标人，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本采购包不属于专门面向中小企业采购</w:t>
            </w:r>
          </w:p>
        </w:tc>
        <w:tc>
          <w:tcPr>
            <w:tcW w:type="dxa" w:w="4238"/>
          </w:tcPr>
          <w:p>
            <w:pPr>
              <w:pStyle w:val="null3"/>
            </w:pPr>
            <w:r>
              <w:rPr/>
              <w:t>本采购包不属于专门面向中小企业采购项目。</w:t>
            </w:r>
          </w:p>
        </w:tc>
      </w:tr>
    </w:tbl>
    <w:p>
      <w:pPr>
        <w:pStyle w:val="null3"/>
      </w:pPr>
      <w:r>
        <w:rPr/>
        <w:t>采购包2（便携式脑电波采集设备）：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投标人必须具有良好的商业信誉和健全的财务会计制度。（提供2023或2024年度财务状况报告或基本开户行出具的资信证明）或提供签署及盖章合格的投标函。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列入失信被执行人、重大税收违法失信主体、政府采购严重违法失信行为记录名单的投标人（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投标人（提供签署及盖章合格的投标函）①单位负责人为同一人或者存在直接控股、管理关系的不同投标人，不得参加同一包组投标或者未划分包组的同一招标项目的政府采购活动。如同时参加，则评审时均作无效投标处理。②为采购项目提供整体设计、规范编制或者项目管理、监理、检测等服务的投标人，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本采购包不属于专门面向中小企业采购</w:t>
            </w:r>
          </w:p>
        </w:tc>
        <w:tc>
          <w:tcPr>
            <w:tcW w:type="dxa" w:w="4238"/>
          </w:tcPr>
          <w:p>
            <w:pPr>
              <w:pStyle w:val="null3"/>
            </w:pPr>
            <w:r>
              <w:rPr/>
              <w:t>本采购包不属于专门面向中小企业采购项目</w:t>
            </w:r>
          </w:p>
        </w:tc>
      </w:tr>
    </w:tbl>
    <w:p>
      <w:pPr>
        <w:pStyle w:val="null3"/>
        <w:ind w:firstLine="480"/>
      </w:pPr>
      <w:r>
        <w:rPr/>
        <w:t>表二符合性审查表：</w:t>
      </w:r>
    </w:p>
    <w:p>
      <w:pPr>
        <w:pStyle w:val="null3"/>
      </w:pPr>
      <w:r>
        <w:rPr/>
        <w:t>采购包1（桌面式眼动仪）：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采购包2（便携式脑电波采集设备）：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采购包1(桌面式眼动仪):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技术部分43.0分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重要技术参数响应程度 (4.0分)</w:t>
            </w:r>
          </w:p>
        </w:tc>
        <w:tc>
          <w:tcPr>
            <w:tcW w:type="dxa" w:w="5076"/>
          </w:tcPr>
          <w:p>
            <w:pPr>
              <w:pStyle w:val="null3"/>
              <w:jc w:val="left"/>
            </w:pPr>
            <w:r>
              <w:rPr/>
              <w:t>根据投标人对采购需求中标注“▲”的内容（共4项）的响应情况进行评审：每有一项完全响应或“正偏离”得1分，本项最高得4分。 注：若采购需求中有明确提供证明资料的，则以采购需求中要求的为准，若采购需求中无明确证明材料的，则以投标人提供的《技术和服务要求响应表》的响应情况进行评审。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一般技术参数响应程度 (6.0分)</w:t>
            </w:r>
          </w:p>
        </w:tc>
        <w:tc>
          <w:tcPr>
            <w:tcW w:type="dxa" w:w="5076"/>
          </w:tcPr>
          <w:p>
            <w:pPr>
              <w:pStyle w:val="null3"/>
              <w:jc w:val="left"/>
            </w:pPr>
            <w:r>
              <w:rPr/>
              <w:t>根据投标人对采购需求的“四、技术要求”中“1.技术参数”中除“★”号和“▲”以外的一般技术参数的响应程度进行评审：（按四级序号“x.y”为一项）（共15项），每有一项完全响应或“正偏离”得0.4分，本项最高得6分。 注：若采购需求中有明确提供证明资料的，则以采购需求中要求的为准，若采购需求中无明确证明材料的，则以投标人提供的《技术和服务要求响应表》的响应情况进行评审。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根据投标人提供的质量保证措施（包括但不限于：详细的质量保证措施、质量保障计划、不合格品管理、质量文档编制流程等内容）进行评审： 1.质量保证措施全面具体，质量保障计划详细可行，不合格品管理严格，质量档案编制流程规范，完全满足采购需求的，得6分； 2.质量保证措施基本全面，质量保障计划基本可行，不合格品管理宽松，质量档案编制流程具有一定规范性，基本满足采购需求的，得4分； 3.质量保证措施不够全面，质量保障计划欠缺可行性，不合格品管理松散，质量档案编制流程僵化，部分满足采购需求的，得2分； 4.未提供或其他情况，得 0 分。</w:t>
            </w:r>
          </w:p>
        </w:tc>
      </w:tr>
      <w:tr>
        <w:tc>
          <w:tcPr>
            <w:tcW w:type="dxa" w:w="922"/>
            <w:gridSpan w:val="2"/>
            <w:vMerge/>
          </w:tcPr>
          <w:p/>
        </w:tc>
        <w:tc>
          <w:tcPr>
            <w:tcW w:type="dxa" w:w="2307"/>
          </w:tcPr>
          <w:p>
            <w:pPr>
              <w:pStyle w:val="null3"/>
              <w:jc w:val="left"/>
            </w:pPr>
            <w:r>
              <w:rPr/>
              <w:t>项目实施方案 (8.0分)</w:t>
            </w:r>
          </w:p>
        </w:tc>
        <w:tc>
          <w:tcPr>
            <w:tcW w:type="dxa" w:w="5076"/>
          </w:tcPr>
          <w:p>
            <w:pPr>
              <w:pStyle w:val="null3"/>
              <w:jc w:val="left"/>
            </w:pPr>
            <w:r>
              <w:rPr/>
              <w:t>根据项目实施方案进行综合评分，包括但不限于供货方案、物流解决方案、安装调试实施方案、进度安排等情况评价： 1.提供的方案涵盖以上内容且详细具体，整个方案安排合理，供货方案有保障可行性强，物流解决方案系统化、安装调试实施方案精细，进度安排合理，完全满足采购需求，得8分； 2.提供的方案涵盖以上内容且基本完整，整个方案安排具有一定合理，供货方案有保障具有一定可行性，物流解决方案具有一定可靠性、安装调试实施方案具有一定规范性，进度安排具有一定合理，基本满足采购需求，得5分； 3.提供的方案未涵盖以上全部内容，整个方案安排欠缺合理，或供货方案欠缺保障，或物流解决方案欠缺可靠性，或安装调试实施方案不严谨，或进度安排欠缺合理性，不能满足采购需求的，得2分。 4.未提供或其他情况，得0分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根据投标人提供的售后服务方案（包括但不限于售后内容、售后服务计划及人员支持、应急保障措施等）进行评审： 1.售后服务内容全面、售后服务计划及人员支持安排合理、应急保障措施针对性高，售后服务方案满足要求，得8分； 2.售后服务内容基本全面、售后服务计划及人员支持安排基本合理、应急保障措施针对性一般，售后服务方案基本满足要求，得5分； 3.售后服务内容不够全面、售后服务计划及人员支持安排不够合理、应急保障措施欠缺针对性，得 2分； 4.未提供或其他情况，得0分。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根据投标人提供的培训方案（包括但不限于培训计划、培训目标、培训方式）进行评审： 1.培训计划全面详实，有具体措施，培训目标明确清晰，培训方式合理可行，完全满足采购需求的，得8分； 2.培训计划较为全面详实，有较为具体的措施，培训目标较为明确清晰，培训方式较为合理可行，基本满足采购需求的，得5分； 3.培训计划片面简略，具体措施粗略，培训目标部分不明确清晰，培训方式不合理，不能满足采购需求的，得2分； 4.不提供不得分。</w:t>
            </w:r>
          </w:p>
        </w:tc>
      </w:tr>
      <w:tr>
        <w:tc>
          <w:tcPr>
            <w:tcW w:type="dxa" w:w="922"/>
            <w:gridSpan w:val="2"/>
            <w:vMerge/>
          </w:tcPr>
          <w:p/>
        </w:tc>
        <w:tc>
          <w:tcPr>
            <w:tcW w:type="dxa" w:w="2307"/>
          </w:tcPr>
          <w:p>
            <w:pPr>
              <w:pStyle w:val="null3"/>
              <w:jc w:val="left"/>
            </w:pPr>
            <w:r>
              <w:rPr/>
              <w:t>响应时效承诺 (3.0分)</w:t>
            </w:r>
          </w:p>
        </w:tc>
        <w:tc>
          <w:tcPr>
            <w:tcW w:type="dxa" w:w="5076"/>
          </w:tcPr>
          <w:p>
            <w:pPr>
              <w:pStyle w:val="null3"/>
              <w:jc w:val="left"/>
            </w:pPr>
            <w:r>
              <w:rPr/>
              <w:t>根据投标人提供的响应时效承诺进行评审： 1.投标人承诺在接到采购人设备故障通知后，1小时（含）内进行有效响应，8-24小时内解决，对于无法通过电话和网络排除故障的，48小时内到达采购人指定地点指导的，的3分； 2.投标人承诺在接到采购人设备故障通知后，2小时（含）内进行有效响应，8-24小时内解决，对于无法通过电话和网络排除故障的，48小时内到达采购人指定地点指导的，的1分； 3.未提供或其他情况不得分。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(6.0分)</w:t>
            </w:r>
          </w:p>
        </w:tc>
        <w:tc>
          <w:tcPr>
            <w:tcW w:type="dxa" w:w="5076"/>
          </w:tcPr>
          <w:p>
            <w:pPr>
              <w:pStyle w:val="null3"/>
              <w:jc w:val="left"/>
            </w:pPr>
            <w:r>
              <w:rPr/>
              <w:t>投标人提供2022年1月1日以来（以合同签订时间为准）完成过同类型项目业绩，每提供一个得1.5分，最高得6分。 注：证明文件，须提供同类项目合同关键页及其验收证明材料复印件。</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投标人提供上述有效业绩的用户评价材料，每提供一份得1.5分，最高得6分。 【注：须提供用户评价材料复印件，评价材料必须达到“90分”或以上或带有类似“满意”或“好评”或“优秀”等相关正面评价字眼，否则不得分】</w:t>
            </w:r>
          </w:p>
        </w:tc>
      </w:tr>
      <w:tr>
        <w:tc>
          <w:tcPr>
            <w:tcW w:type="dxa" w:w="922"/>
            <w:gridSpan w:val="2"/>
            <w:vMerge/>
          </w:tcPr>
          <w:p/>
        </w:tc>
        <w:tc>
          <w:tcPr>
            <w:tcW w:type="dxa" w:w="2307"/>
          </w:tcPr>
          <w:p>
            <w:pPr>
              <w:pStyle w:val="null3"/>
              <w:jc w:val="left"/>
            </w:pPr>
            <w:r>
              <w:rPr/>
              <w:t>拟投入的服务团队 (9.0分)</w:t>
            </w:r>
          </w:p>
        </w:tc>
        <w:tc>
          <w:tcPr>
            <w:tcW w:type="dxa" w:w="5076"/>
          </w:tcPr>
          <w:p>
            <w:pPr>
              <w:pStyle w:val="null3"/>
              <w:jc w:val="left"/>
            </w:pPr>
            <w:r>
              <w:rPr/>
              <w:t>（1）拟投入的服务团队包含1名项目负责人、1名或以上安装调试人员，得2分，本小项最高得2分； （2）拟投入的服务团队每提供1名技术服务人员（不包含上述第（1）小项的人员），且承诺每年提供两次以上主动上门服务的（须提供承诺函，格式自拟），得2分，本小项最高得4分； （3）拟投入的服务团队每提供1名技术故障处理人员（不包含上述第（1）、第（2）小项的人员）的，得1分，本小项最高得3分。 注：须提供服务团队人员清单及拟投入人员投标截止时间前3个月内任意一个月由投标人为其缴纳的社保证明材料。</w:t>
            </w:r>
          </w:p>
        </w:tc>
      </w:tr>
      <w:tr>
        <w:tc>
          <w:tcPr>
            <w:tcW w:type="dxa" w:w="922"/>
            <w:gridSpan w:val="2"/>
            <w:vMerge/>
          </w:tcPr>
          <w:p/>
        </w:tc>
        <w:tc>
          <w:tcPr>
            <w:tcW w:type="dxa" w:w="2307"/>
          </w:tcPr>
          <w:p>
            <w:pPr>
              <w:pStyle w:val="null3"/>
              <w:jc w:val="left"/>
            </w:pPr>
            <w:r>
              <w:rPr/>
              <w:t>质保期承诺 (6.0分)</w:t>
            </w:r>
          </w:p>
        </w:tc>
        <w:tc>
          <w:tcPr>
            <w:tcW w:type="dxa" w:w="5076"/>
          </w:tcPr>
          <w:p>
            <w:pPr>
              <w:pStyle w:val="null3"/>
              <w:jc w:val="left"/>
            </w:pPr>
            <w:r>
              <w:rPr/>
              <w:t>根据投标人提供的质保期承诺进行评审： 投标人承诺每提供1年质保期，得2分，最高得6分，不足1年的质保期承诺不计入得分。（例：承诺质保期为一年的，得2分；承诺质保期为两年的，得4分；承诺质保期为三年的，得6分。） 注：提供投标人的质保期承诺函并明确具体的质保期期限，未按要求提供不得分，承诺函格式自拟并加盖投标人公章。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采购包2(便携式脑电波采集设备):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技术部分43.0分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重要技术参数响应程度 (3.0分)</w:t>
            </w:r>
          </w:p>
        </w:tc>
        <w:tc>
          <w:tcPr>
            <w:tcW w:type="dxa" w:w="5076"/>
          </w:tcPr>
          <w:p>
            <w:pPr>
              <w:pStyle w:val="null3"/>
              <w:jc w:val="left"/>
            </w:pPr>
            <w:r>
              <w:rPr/>
              <w:t>根据投标人对采购需求中标注“▲”的内容（共3项）的响应情况进行评审：每有一项完全响应或“正偏离”得1分，本项最高得3分。 注：若采购需求中有明确提供证明资料的，则以采购需求中要求的为准，若采购需求中无明确证明材料的，则以投标人提供的《技术和服务要求响应表》的响应情况进行评审。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一般技术参数响应程度 (6.0分)</w:t>
            </w:r>
          </w:p>
        </w:tc>
        <w:tc>
          <w:tcPr>
            <w:tcW w:type="dxa" w:w="5076"/>
          </w:tcPr>
          <w:p>
            <w:pPr>
              <w:pStyle w:val="null3"/>
              <w:jc w:val="left"/>
            </w:pPr>
            <w:r>
              <w:rPr/>
              <w:t>根据投标人对采购需求的“四、技术要求”中除“★”号和“▲”以外的一般技术参数的响应程度进行评审：（按四级序号“x.y”为一项）（共24项），每有一项完全响应或“正偏离”得0.25分，本项最高得6分。 注：若采购需求中有明确提供证明资料的，则以采购需求中要求的为准，若采购需求中无明确证明材料的，则以投标人提供的《技术和服务要求响应表》的响应情况进行评审。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根据投标人提供的质量保证措施（包括但不限于：详细的质量保证措施、质量保障计划、不合格品管理、质量文档编制流程等内容）进行评审： 1.质量保证措施全面具体，质量保障计划详细可行，不合格品管理严格，质量档案编制流程规范，完全满足采购需求的，得6分； 2.质量保证措施基本全面，质量保障计划基本可行，不合格品管理宽松，质量档案编制流程具有一定规范性，基本满足采购需求的，得4分； 3.质量保证措施不够全面，质量保障计划欠缺可行性，不合格品管理松散，质量档案编制流程僵化，部分满足采购需求的，得2分； 4.未提供或其他情况，得 0 分。</w:t>
            </w:r>
          </w:p>
        </w:tc>
      </w:tr>
      <w:tr>
        <w:tc>
          <w:tcPr>
            <w:tcW w:type="dxa" w:w="922"/>
            <w:gridSpan w:val="2"/>
            <w:vMerge/>
          </w:tcPr>
          <w:p/>
        </w:tc>
        <w:tc>
          <w:tcPr>
            <w:tcW w:type="dxa" w:w="2307"/>
          </w:tcPr>
          <w:p>
            <w:pPr>
              <w:pStyle w:val="null3"/>
              <w:jc w:val="left"/>
            </w:pPr>
            <w:r>
              <w:rPr/>
              <w:t>项目实施方案 (8.0分)</w:t>
            </w:r>
          </w:p>
        </w:tc>
        <w:tc>
          <w:tcPr>
            <w:tcW w:type="dxa" w:w="5076"/>
          </w:tcPr>
          <w:p>
            <w:pPr>
              <w:pStyle w:val="null3"/>
              <w:jc w:val="left"/>
            </w:pPr>
            <w:r>
              <w:rPr/>
              <w:t>根据项目实施方案进行综合评分，包括但不限于供货方案、物流解决方案、安装调试实施方案、进度安排等情况评价： 1.提供的方案涵盖以上内容且详细具体，整个方案安排合理，供货方案有保障可行性强，物流解决方案系统化、安装调试实施方案精细，进度安排合理，完全满足采购需求，得8分； 2.提供的方案涵盖以上内容且基本完整，整个方案安排具有一定合理，供货方案有保障具有一定可行性，物流解决方案具有一定可靠性、安装调试实施方案具有一定规范性，进度安排具有一定合理，基本满足采购需求，得5分； 3.提供的方案未涵盖以上全部内容，整个方案安排欠缺合理，或供货方案欠缺保障，或物流解决方案欠缺可靠性，或安装调试实施方案不严谨，或进度安排欠缺合理性，不能满足采购需求的，得2分。 4.未提供或其他情况，得0分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根据投标人提供的售后服务方案（包括但不限于售后内容、售后服务计划及人员支持、应急保障措施等）进行评审： 1.售后服务内容全面、售后服务计划及人员支持安排合理、应急保障措施针对性高，售后服务方案满足要求，得8分； 2.售后服务内容基本全面、售后服务计划及人员支持安排基本合理、应急保障措施针对性一般，售后服务方案基本满足要求，得5分； 3.售后服务内容不够全面、售后服务计划及人员支持安排不够合理、应急保障措施欠缺针对性，得2分； 4.未提供或其他情况，得0分。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根据投标人提供的培训方案（包括但不限于培训计划、培训目标、培训方式）进行评审： 1.培训计划全面详实，有具体措施，培训目标明确清晰，培训方式合理可行，完全满足采购需求的，得8分； 2.培训计划较为全面详实，有较为具体的措施，培训目标较为明确清晰，培训方式较为合理可行，基本满足采购需求的，得5分； 3.培训计划片面简略，具体措施粗略，培训目标部分不明确清晰，培训方式不合理，不能满足采购需求的，得2分； 4.不提供不得分。</w:t>
            </w:r>
          </w:p>
        </w:tc>
      </w:tr>
      <w:tr>
        <w:tc>
          <w:tcPr>
            <w:tcW w:type="dxa" w:w="922"/>
            <w:gridSpan w:val="2"/>
            <w:vMerge/>
          </w:tcPr>
          <w:p/>
        </w:tc>
        <w:tc>
          <w:tcPr>
            <w:tcW w:type="dxa" w:w="2307"/>
          </w:tcPr>
          <w:p>
            <w:pPr>
              <w:pStyle w:val="null3"/>
              <w:jc w:val="left"/>
            </w:pPr>
            <w:r>
              <w:rPr/>
              <w:t>响应时效承诺 (4.0分)</w:t>
            </w:r>
          </w:p>
        </w:tc>
        <w:tc>
          <w:tcPr>
            <w:tcW w:type="dxa" w:w="5076"/>
          </w:tcPr>
          <w:p>
            <w:pPr>
              <w:pStyle w:val="null3"/>
              <w:jc w:val="left"/>
            </w:pPr>
            <w:r>
              <w:rPr/>
              <w:t>根据投标人提供的响应时效承诺进行评审： 1.投标人承诺在接到采购人设备故障通知后，1小时（含）内进行有效响应，8-24小时内解决，对于无法通过电话和网络排除故障的，48小时内到达采购人指定地点指导的，的4分； 2.投标人承诺在接到采购人设备故障通知后，2小时（含）内进行有效响应，8-24小时内解决，对于无法通过电话和网络排除故障的，48小时内到达采购人指定地点指导的，的2分； 3.未提供或其他情况不得分。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(6.0分)</w:t>
            </w:r>
          </w:p>
        </w:tc>
        <w:tc>
          <w:tcPr>
            <w:tcW w:type="dxa" w:w="5076"/>
          </w:tcPr>
          <w:p>
            <w:pPr>
              <w:pStyle w:val="null3"/>
              <w:jc w:val="left"/>
            </w:pPr>
            <w:r>
              <w:rPr/>
              <w:t>投标人提供2022年1月1日以来（以合同签订时间为准）完成过同类型项目业绩，每提供一个得1.5分，最高得6分。 注：证明文件，须提供同类项目合同关键页及其验收证明材料复印件。</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投标人提供上述有效业绩的用户评价材料，每提供一份得1.5分，最高得6分。 【注：须提供用户评价材料复印件，评价材料必须达到“90分”或以上或带有类似“满意”或“好评”或“优秀”等相关正面评价字眼，否则不得分】</w:t>
            </w:r>
          </w:p>
        </w:tc>
      </w:tr>
      <w:tr>
        <w:tc>
          <w:tcPr>
            <w:tcW w:type="dxa" w:w="922"/>
            <w:gridSpan w:val="2"/>
            <w:vMerge/>
          </w:tcPr>
          <w:p/>
        </w:tc>
        <w:tc>
          <w:tcPr>
            <w:tcW w:type="dxa" w:w="2307"/>
          </w:tcPr>
          <w:p>
            <w:pPr>
              <w:pStyle w:val="null3"/>
              <w:jc w:val="left"/>
            </w:pPr>
            <w:r>
              <w:rPr/>
              <w:t>拟投入的服务团队 (9.0分)</w:t>
            </w:r>
          </w:p>
        </w:tc>
        <w:tc>
          <w:tcPr>
            <w:tcW w:type="dxa" w:w="5076"/>
          </w:tcPr>
          <w:p>
            <w:pPr>
              <w:pStyle w:val="null3"/>
              <w:jc w:val="left"/>
            </w:pPr>
            <w:r>
              <w:rPr/>
              <w:t>（1）拟投入的服务团队包含1名项目负责人、1名或以上安装调试人员，得2分，本小项最高得2分； （2）拟投入的服务团队每提供1名技术服务人员（不包含上述第（1）小项的人员），且承诺每年提供两次以上主动上门服务的（须提供承诺函，格式自拟），得2分，本小项最高得4分； （3）拟投入的服务团队每提供1名技术故障处理人员（不包含上述第（1）、第（2）小项的人员）的，得1分，本小项最高得3分。 注：须提供服务团队人员清单及拟投入人员投标截止时间前3个月内任意一个月由投标人为其缴纳的社保证明材料。</w:t>
            </w:r>
          </w:p>
        </w:tc>
      </w:tr>
      <w:tr>
        <w:tc>
          <w:tcPr>
            <w:tcW w:type="dxa" w:w="922"/>
            <w:gridSpan w:val="2"/>
            <w:vMerge/>
          </w:tcPr>
          <w:p/>
        </w:tc>
        <w:tc>
          <w:tcPr>
            <w:tcW w:type="dxa" w:w="2307"/>
          </w:tcPr>
          <w:p>
            <w:pPr>
              <w:pStyle w:val="null3"/>
              <w:jc w:val="left"/>
            </w:pPr>
            <w:r>
              <w:rPr/>
              <w:t>质保期承诺 (6.0分)</w:t>
            </w:r>
          </w:p>
        </w:tc>
        <w:tc>
          <w:tcPr>
            <w:tcW w:type="dxa" w:w="5076"/>
          </w:tcPr>
          <w:p>
            <w:pPr>
              <w:pStyle w:val="null3"/>
              <w:jc w:val="left"/>
            </w:pPr>
            <w:r>
              <w:rPr/>
              <w:t>根据投标人提供的质保期承诺进行评审： 投标人承诺每提供1年质保期，得2分，最高得6分，不足1年的质保期承诺不计入得分。（例：承诺质保期为一年的，得2分；承诺质保期为两年的，得4分；承诺质保期为三年的，得6分。） 注：提供投标人的质保期承诺函并明确具体的质保期期限，未按要求提供不得分，承诺函格式自拟并加盖投标人公章。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60"/>
          <w:b/>
        </w:rPr>
        <w:t>合　同　书</w:t>
      </w:r>
    </w:p>
    <w:tbl>
      <w:tblPr>
        <w:tblW w:w="0" w:type="auto"/>
        <w:tblInd w:type="dxa" w:w="43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采购编号：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采购包号：</w:t>
            </w:r>
          </w:p>
        </w:tc>
      </w:tr>
    </w:tbl>
    <w:p>
      <w:pPr>
        <w:pStyle w:val="null3"/>
        <w:jc w:val="both"/>
      </w:pPr>
      <w:r>
        <w:rPr>
          <w:sz w:val="21"/>
          <w:b/>
        </w:rPr>
        <w:t>注：本合同仅为合同的参考文本，合同签订双方可根据项目的具体要求进行修订。</w:t>
      </w:r>
    </w:p>
    <w:p>
      <w:pPr>
        <w:pStyle w:val="null3"/>
        <w:jc w:val="both"/>
      </w:pPr>
      <w:r>
        <w:rPr>
          <w:sz w:val="21"/>
          <w:b/>
        </w:rPr>
        <w:t>甲</w:t>
      </w:r>
      <w:r>
        <w:rPr>
          <w:sz w:val="20"/>
          <w:b/>
        </w:rPr>
        <w:t xml:space="preserve">    </w:t>
      </w:r>
      <w:r>
        <w:rPr>
          <w:sz w:val="21"/>
          <w:b/>
        </w:rPr>
        <w:t>方：</w:t>
      </w:r>
    </w:p>
    <w:p>
      <w:pPr>
        <w:pStyle w:val="null3"/>
        <w:jc w:val="both"/>
      </w:pPr>
      <w:r>
        <w:rPr>
          <w:sz w:val="21"/>
        </w:rPr>
        <w:t>电</w:t>
      </w:r>
      <w:r>
        <w:rPr>
          <w:sz w:val="20"/>
        </w:rPr>
        <w:t xml:space="preserve">    </w:t>
      </w:r>
      <w:r>
        <w:rPr>
          <w:sz w:val="21"/>
        </w:rPr>
        <w:t>话：</w:t>
      </w:r>
      <w:r>
        <w:rPr>
          <w:sz w:val="20"/>
        </w:rPr>
        <w:t xml:space="preserve">              </w:t>
      </w:r>
      <w:r>
        <w:rPr>
          <w:sz w:val="21"/>
        </w:rPr>
        <w:t>传</w:t>
      </w:r>
      <w:r>
        <w:rPr>
          <w:sz w:val="20"/>
        </w:rPr>
        <w:t xml:space="preserve">  </w:t>
      </w:r>
      <w:r>
        <w:rPr>
          <w:sz w:val="21"/>
        </w:rPr>
        <w:t>真：</w:t>
      </w:r>
      <w:r>
        <w:rPr>
          <w:sz w:val="20"/>
        </w:rPr>
        <w:t xml:space="preserve">           </w:t>
      </w:r>
      <w:r>
        <w:rPr>
          <w:sz w:val="21"/>
        </w:rPr>
        <w:t>地</w:t>
      </w:r>
      <w:r>
        <w:rPr>
          <w:sz w:val="20"/>
        </w:rPr>
        <w:t xml:space="preserve">  </w:t>
      </w:r>
      <w:r>
        <w:rPr>
          <w:sz w:val="21"/>
        </w:rPr>
        <w:t>址：</w:t>
      </w:r>
    </w:p>
    <w:p>
      <w:pPr>
        <w:pStyle w:val="null3"/>
        <w:jc w:val="both"/>
      </w:pPr>
      <w:r>
        <w:rPr>
          <w:sz w:val="21"/>
          <w:b/>
        </w:rPr>
        <w:t>乙</w:t>
      </w:r>
      <w:r>
        <w:rPr>
          <w:sz w:val="20"/>
          <w:b/>
        </w:rPr>
        <w:t xml:space="preserve">    </w:t>
      </w:r>
      <w:r>
        <w:rPr>
          <w:sz w:val="21"/>
          <w:b/>
        </w:rPr>
        <w:t>方：</w:t>
      </w:r>
    </w:p>
    <w:p>
      <w:pPr>
        <w:pStyle w:val="null3"/>
        <w:jc w:val="both"/>
      </w:pPr>
      <w:r>
        <w:rPr>
          <w:sz w:val="21"/>
        </w:rPr>
        <w:t>电</w:t>
      </w:r>
      <w:r>
        <w:rPr>
          <w:sz w:val="20"/>
        </w:rPr>
        <w:t xml:space="preserve">    </w:t>
      </w:r>
      <w:r>
        <w:rPr>
          <w:sz w:val="21"/>
        </w:rPr>
        <w:t>话：</w:t>
      </w:r>
      <w:r>
        <w:rPr>
          <w:sz w:val="20"/>
        </w:rPr>
        <w:t xml:space="preserve">                </w:t>
      </w:r>
      <w:r>
        <w:rPr>
          <w:sz w:val="21"/>
        </w:rPr>
        <w:t>传</w:t>
      </w:r>
      <w:r>
        <w:rPr>
          <w:sz w:val="20"/>
        </w:rPr>
        <w:t xml:space="preserve">  </w:t>
      </w:r>
      <w:r>
        <w:rPr>
          <w:sz w:val="21"/>
        </w:rPr>
        <w:t>真：</w:t>
      </w:r>
      <w:r>
        <w:rPr>
          <w:sz w:val="20"/>
        </w:rPr>
        <w:t xml:space="preserve">           </w:t>
      </w:r>
      <w:r>
        <w:rPr>
          <w:sz w:val="21"/>
        </w:rPr>
        <w:t>地</w:t>
      </w:r>
      <w:r>
        <w:rPr>
          <w:sz w:val="20"/>
        </w:rPr>
        <w:t xml:space="preserve">  </w:t>
      </w:r>
      <w:r>
        <w:rPr>
          <w:sz w:val="21"/>
        </w:rPr>
        <w:t>址：</w:t>
      </w:r>
      <w:r>
        <w:rPr>
          <w:sz w:val="20"/>
        </w:rPr>
        <w:t xml:space="preserve">  </w:t>
      </w:r>
    </w:p>
    <w:p>
      <w:pPr>
        <w:pStyle w:val="null3"/>
        <w:jc w:val="both"/>
      </w:pPr>
      <w:r>
        <w:rPr>
          <w:sz w:val="21"/>
        </w:rPr>
        <w:t>项目名称：</w:t>
      </w:r>
      <w:r>
        <w:rPr>
          <w:sz w:val="20"/>
        </w:rPr>
        <w:t xml:space="preserve">                                   </w:t>
      </w:r>
      <w:r>
        <w:rPr>
          <w:sz w:val="21"/>
        </w:rPr>
        <w:t>采购编号：</w:t>
      </w:r>
      <w:r>
        <w:rPr>
          <w:sz w:val="20"/>
        </w:rPr>
        <w:t xml:space="preserve">               </w:t>
      </w:r>
    </w:p>
    <w:p>
      <w:pPr>
        <w:pStyle w:val="null3"/>
        <w:ind w:firstLine="555"/>
        <w:jc w:val="both"/>
      </w:pPr>
      <w:r>
        <w:rPr>
          <w:sz w:val="21"/>
        </w:rPr>
        <w:t>根据</w:t>
      </w:r>
      <w:r>
        <w:rPr>
          <w:sz w:val="21"/>
          <w:u w:val="single"/>
        </w:rPr>
        <w:t>（项目编号：</w:t>
      </w:r>
      <w:r>
        <w:rPr>
          <w:sz w:val="20"/>
          <w:u w:val="single"/>
        </w:rPr>
        <w:t xml:space="preserve">     </w:t>
      </w:r>
      <w:r>
        <w:rPr>
          <w:sz w:val="21"/>
          <w:u w:val="single"/>
        </w:rPr>
        <w:t>）</w:t>
      </w:r>
      <w:r>
        <w:rPr>
          <w:sz w:val="21"/>
        </w:rPr>
        <w:t>的</w:t>
      </w:r>
      <w:r>
        <w:rPr>
          <w:sz w:val="21"/>
        </w:rPr>
        <w:t>采购包【 】</w:t>
      </w:r>
      <w:r>
        <w:rPr>
          <w:sz w:val="21"/>
        </w:rPr>
        <w:t>采购结果，按照《中华人民共和国民法典》的规定，经双方协商，本着平等互利和诚实信用的原则，一致同意签订本合同如下。</w:t>
      </w:r>
    </w:p>
    <w:p>
      <w:pPr>
        <w:pStyle w:val="null3"/>
        <w:jc w:val="both"/>
      </w:pPr>
      <w:r>
        <w:rPr>
          <w:sz w:val="21"/>
        </w:rPr>
        <w:t>一、</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644"/>
        <w:gridCol w:w="1078"/>
        <w:gridCol w:w="3113"/>
        <w:gridCol w:w="644"/>
        <w:gridCol w:w="658"/>
        <w:gridCol w:w="1078"/>
        <w:gridCol w:w="1093"/>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商品名称</w:t>
            </w:r>
          </w:p>
        </w:tc>
        <w:tc>
          <w:tcPr>
            <w:tcW w:type="dxa" w:w="3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品牌、规格型号、主要技术参数</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w:t>
            </w:r>
            <w:r>
              <w:rPr>
                <w:sz w:val="21"/>
                <w:b/>
              </w:rPr>
              <w:t>元</w:t>
            </w:r>
            <w:r>
              <w:rPr>
                <w:sz w:val="21"/>
                <w:b/>
              </w:rPr>
              <w:t>)</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金额</w:t>
            </w:r>
            <w:r>
              <w:rPr>
                <w:sz w:val="21"/>
                <w:b/>
              </w:rPr>
              <w:t>(</w:t>
            </w:r>
            <w:r>
              <w:rPr>
                <w:sz w:val="21"/>
                <w:b/>
              </w:rPr>
              <w:t>元</w:t>
            </w:r>
            <w:r>
              <w:rPr>
                <w:sz w:val="21"/>
                <w:b/>
              </w:rPr>
              <w:t>)</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  </w:t>
            </w:r>
            <w:r>
              <w:rPr>
                <w:sz w:val="21"/>
              </w:rPr>
              <w:t>合计总额：￥</w:t>
            </w:r>
            <w:r>
              <w:rPr>
                <w:sz w:val="20"/>
              </w:rPr>
              <w:t xml:space="preserve">       </w:t>
            </w:r>
            <w:r>
              <w:rPr>
                <w:sz w:val="21"/>
              </w:rPr>
              <w:t>元；</w:t>
            </w:r>
            <w:r>
              <w:rPr>
                <w:sz w:val="20"/>
              </w:rPr>
              <w:t xml:space="preserve">    </w:t>
            </w:r>
            <w:r>
              <w:rPr>
                <w:sz w:val="21"/>
              </w:rPr>
              <w:t>大写：</w:t>
            </w:r>
            <w:r>
              <w:rPr>
                <w:sz w:val="20"/>
              </w:rPr>
              <w:t xml:space="preserve">        </w:t>
            </w:r>
          </w:p>
        </w:tc>
      </w:tr>
    </w:tbl>
    <w:p>
      <w:pPr>
        <w:pStyle w:val="null3"/>
        <w:ind w:firstLine="420"/>
        <w:jc w:val="both"/>
      </w:pPr>
      <w:r>
        <w:rPr>
          <w:sz w:val="21"/>
        </w:rPr>
        <w:t>合同总额包括设备费、运输费、保险费、包装费、安装调试费、税费、培训相关费、技术服务必不可少的部件、标准备件、专用工具及合同实施过程中不可预见费用等。</w:t>
      </w:r>
    </w:p>
    <w:p>
      <w:pPr>
        <w:pStyle w:val="null3"/>
        <w:ind w:firstLine="420"/>
        <w:jc w:val="both"/>
      </w:pPr>
      <w:r>
        <w:rPr>
          <w:sz w:val="21"/>
        </w:rPr>
        <w:t>如确有需求可按投标货物清单进行增量采购，需经双方协商一致签订相关补充协议，补充协议不应超过本合同总金额</w:t>
      </w:r>
      <w:r>
        <w:rPr>
          <w:sz w:val="21"/>
        </w:rPr>
        <w:t>10%</w:t>
      </w:r>
      <w:r>
        <w:rPr>
          <w:sz w:val="21"/>
        </w:rPr>
        <w:t>。</w:t>
      </w:r>
    </w:p>
    <w:p>
      <w:pPr>
        <w:pStyle w:val="null3"/>
        <w:ind w:firstLine="315"/>
        <w:jc w:val="both"/>
      </w:pPr>
      <w:r>
        <w:rPr>
          <w:sz w:val="21"/>
          <w:shd w:fill="FFFFFF" w:val="clear"/>
        </w:rPr>
        <w:t>由乙方办理本项目进口设备的海关手续，包括但不限于减免税申请、海关监管年限内的减免税年报申报、减免税后续管理及其他所有与海关有关的手续办理。</w:t>
      </w:r>
    </w:p>
    <w:p>
      <w:pPr>
        <w:pStyle w:val="null3"/>
        <w:ind w:firstLine="420"/>
        <w:jc w:val="both"/>
      </w:pPr>
      <w:r>
        <w:rPr>
          <w:sz w:val="21"/>
        </w:rPr>
        <w:t>注：甲乙双方将按照双方最终确定的样品，对货物进行验收。</w:t>
      </w:r>
    </w:p>
    <w:p>
      <w:pPr>
        <w:pStyle w:val="null3"/>
        <w:jc w:val="both"/>
      </w:pPr>
      <w:r>
        <w:rPr>
          <w:sz w:val="21"/>
          <w:b/>
        </w:rPr>
        <w:t>二、合同金额</w:t>
      </w:r>
    </w:p>
    <w:p>
      <w:pPr>
        <w:pStyle w:val="null3"/>
        <w:ind w:firstLine="420"/>
        <w:jc w:val="both"/>
      </w:pPr>
      <w:r>
        <w:rPr>
          <w:sz w:val="21"/>
        </w:rPr>
        <w:t>合同金额为（大写）：</w:t>
      </w:r>
      <w:r>
        <w:rPr>
          <w:sz w:val="21"/>
        </w:rPr>
        <w:t>_________________</w:t>
      </w:r>
      <w:r>
        <w:rPr>
          <w:sz w:val="21"/>
        </w:rPr>
        <w:t>元（￥</w:t>
      </w:r>
      <w:r>
        <w:rPr>
          <w:sz w:val="21"/>
        </w:rPr>
        <w:t>_______________</w:t>
      </w:r>
      <w:r>
        <w:rPr>
          <w:sz w:val="21"/>
        </w:rPr>
        <w:t>元）人民币。</w:t>
      </w:r>
    </w:p>
    <w:p>
      <w:pPr>
        <w:pStyle w:val="null3"/>
        <w:jc w:val="both"/>
      </w:pPr>
      <w:r>
        <w:rPr>
          <w:sz w:val="21"/>
          <w:b/>
        </w:rPr>
        <w:t>三、产品要求</w:t>
      </w:r>
    </w:p>
    <w:p>
      <w:pPr>
        <w:pStyle w:val="null3"/>
        <w:ind w:firstLine="420"/>
        <w:jc w:val="both"/>
      </w:pPr>
      <w:r>
        <w:rPr>
          <w:sz w:val="21"/>
        </w:rPr>
        <w:t>1.</w:t>
      </w:r>
      <w:r>
        <w:rPr>
          <w:sz w:val="21"/>
        </w:rPr>
        <w:t>货物为原制造商制造的全新产品，整机无污染，无侵权行为、表面无划损、无任何缺陷隐患，在中国境内可依常规安全合法使用。</w:t>
      </w:r>
    </w:p>
    <w:p>
      <w:pPr>
        <w:pStyle w:val="null3"/>
        <w:ind w:firstLine="420"/>
        <w:jc w:val="both"/>
      </w:pPr>
      <w:r>
        <w:rPr>
          <w:sz w:val="21"/>
        </w:rPr>
        <w:t>2.</w:t>
      </w:r>
      <w:r>
        <w:rPr>
          <w:sz w:val="21"/>
        </w:rPr>
        <w:t>交付验收标准依次序对照适用标准为：①符合中华人民共和国国家安全质量标准、环保标准或行业标准；②符合采购文件和响应承诺中买方认可的合理最佳配置、参数及各项要求；</w:t>
      </w:r>
    </w:p>
    <w:p>
      <w:pPr>
        <w:pStyle w:val="null3"/>
        <w:ind w:firstLine="420"/>
        <w:jc w:val="both"/>
      </w:pPr>
      <w:r>
        <w:rPr>
          <w:sz w:val="21"/>
        </w:rPr>
        <w:t>3.</w:t>
      </w:r>
      <w:r>
        <w:rPr>
          <w:sz w:val="21"/>
        </w:rPr>
        <w:t>货物为原厂商未启封全新包装，具出厂合格证，序列号、包装箱号与出厂批号一致，并可追索查阅。</w:t>
      </w:r>
    </w:p>
    <w:p>
      <w:pPr>
        <w:pStyle w:val="null3"/>
        <w:ind w:left="-75" w:firstLine="470"/>
        <w:jc w:val="both"/>
      </w:pPr>
      <w:r>
        <w:rPr>
          <w:sz w:val="21"/>
        </w:rPr>
        <w:t>4.</w:t>
      </w:r>
      <w:r>
        <w:rPr>
          <w:sz w:val="21"/>
        </w:rPr>
        <w:t>乙方应将关键主机设备的用户手册、保修手册、有关单证资料及配备件、随机工具等交付给甲方，使用操作及安全须知等重要资料应附有中文说明。</w:t>
      </w:r>
    </w:p>
    <w:p>
      <w:pPr>
        <w:pStyle w:val="null3"/>
        <w:jc w:val="both"/>
      </w:pPr>
      <w:r>
        <w:rPr>
          <w:sz w:val="21"/>
          <w:b/>
        </w:rPr>
        <w:t>四、交货期、交货方式及交货地点</w:t>
      </w:r>
    </w:p>
    <w:p>
      <w:pPr>
        <w:pStyle w:val="null3"/>
        <w:ind w:firstLine="420"/>
        <w:jc w:val="both"/>
      </w:pPr>
      <w:r>
        <w:rPr>
          <w:sz w:val="21"/>
        </w:rPr>
        <w:t>按</w:t>
      </w:r>
      <w:r>
        <w:rPr>
          <w:sz w:val="21"/>
        </w:rPr>
        <w:t>本项目招标文件</w:t>
      </w:r>
      <w:r>
        <w:rPr>
          <w:sz w:val="21"/>
        </w:rPr>
        <w:t>“第二章采购需求</w:t>
      </w:r>
      <w:r>
        <w:rPr>
          <w:sz w:val="21"/>
        </w:rPr>
        <w:t>”</w:t>
      </w:r>
      <w:r>
        <w:rPr>
          <w:sz w:val="21"/>
        </w:rPr>
        <w:t>中</w:t>
      </w:r>
      <w:r>
        <w:rPr>
          <w:sz w:val="21"/>
        </w:rPr>
        <w:t>采购包【】相关</w:t>
      </w:r>
      <w:r>
        <w:rPr>
          <w:sz w:val="21"/>
        </w:rPr>
        <w:t>要求</w:t>
      </w:r>
      <w:r>
        <w:rPr>
          <w:sz w:val="21"/>
        </w:rPr>
        <w:t>和乙方投标文件的响应情况</w:t>
      </w:r>
      <w:r>
        <w:rPr>
          <w:sz w:val="21"/>
        </w:rPr>
        <w:t>执行</w:t>
      </w:r>
      <w:r>
        <w:rPr>
          <w:sz w:val="21"/>
        </w:rPr>
        <w:t>。</w:t>
      </w:r>
    </w:p>
    <w:p>
      <w:pPr>
        <w:pStyle w:val="null3"/>
        <w:jc w:val="both"/>
      </w:pPr>
      <w:r>
        <w:rPr>
          <w:sz w:val="21"/>
          <w:b/>
        </w:rPr>
        <w:t>五、付款方式</w:t>
      </w:r>
    </w:p>
    <w:p>
      <w:pPr>
        <w:pStyle w:val="null3"/>
        <w:ind w:firstLine="420"/>
        <w:jc w:val="both"/>
      </w:pPr>
      <w:r>
        <w:rPr>
          <w:sz w:val="21"/>
        </w:rPr>
        <w:t>按</w:t>
      </w:r>
      <w:r>
        <w:rPr>
          <w:sz w:val="21"/>
        </w:rPr>
        <w:t>本项目招标文件</w:t>
      </w:r>
      <w:r>
        <w:rPr>
          <w:sz w:val="21"/>
        </w:rPr>
        <w:t>“第二章采购需求</w:t>
      </w:r>
      <w:r>
        <w:rPr>
          <w:sz w:val="21"/>
        </w:rPr>
        <w:t>”</w:t>
      </w:r>
      <w:r>
        <w:rPr>
          <w:sz w:val="21"/>
        </w:rPr>
        <w:t>中</w:t>
      </w:r>
      <w:r>
        <w:rPr>
          <w:sz w:val="21"/>
        </w:rPr>
        <w:t>采购包【】相关</w:t>
      </w:r>
      <w:r>
        <w:rPr>
          <w:sz w:val="21"/>
        </w:rPr>
        <w:t>要求</w:t>
      </w:r>
      <w:r>
        <w:rPr>
          <w:sz w:val="21"/>
        </w:rPr>
        <w:t>和乙方投标文件的响应情况</w:t>
      </w:r>
      <w:r>
        <w:rPr>
          <w:sz w:val="21"/>
        </w:rPr>
        <w:t>执行</w:t>
      </w:r>
      <w:r>
        <w:rPr>
          <w:sz w:val="21"/>
        </w:rPr>
        <w:t>。</w:t>
      </w:r>
    </w:p>
    <w:p>
      <w:pPr>
        <w:pStyle w:val="null3"/>
        <w:jc w:val="both"/>
      </w:pPr>
      <w:r>
        <w:rPr>
          <w:sz w:val="21"/>
          <w:b/>
        </w:rPr>
        <w:t>六、质保期及服务要求：</w:t>
      </w:r>
    </w:p>
    <w:p>
      <w:pPr>
        <w:pStyle w:val="null3"/>
        <w:ind w:firstLine="420"/>
        <w:jc w:val="both"/>
      </w:pPr>
      <w:r>
        <w:rPr>
          <w:sz w:val="21"/>
        </w:rPr>
        <w:t>按</w:t>
      </w:r>
      <w:r>
        <w:rPr>
          <w:sz w:val="21"/>
        </w:rPr>
        <w:t>本项目招标文件</w:t>
      </w:r>
      <w:r>
        <w:rPr>
          <w:sz w:val="21"/>
        </w:rPr>
        <w:t>“第二章采购需求</w:t>
      </w:r>
      <w:r>
        <w:rPr>
          <w:sz w:val="21"/>
        </w:rPr>
        <w:t>”</w:t>
      </w:r>
      <w:r>
        <w:rPr>
          <w:sz w:val="21"/>
        </w:rPr>
        <w:t>中</w:t>
      </w:r>
      <w:r>
        <w:rPr>
          <w:sz w:val="21"/>
        </w:rPr>
        <w:t>采购包【】相关</w:t>
      </w:r>
      <w:r>
        <w:rPr>
          <w:sz w:val="21"/>
        </w:rPr>
        <w:t>要求</w:t>
      </w:r>
      <w:r>
        <w:rPr>
          <w:sz w:val="21"/>
        </w:rPr>
        <w:t>和乙方投标文件的响应情况</w:t>
      </w:r>
      <w:r>
        <w:rPr>
          <w:sz w:val="21"/>
        </w:rPr>
        <w:t>执行</w:t>
      </w:r>
      <w:r>
        <w:rPr>
          <w:sz w:val="21"/>
        </w:rPr>
        <w:t>。</w:t>
      </w:r>
    </w:p>
    <w:p>
      <w:pPr>
        <w:pStyle w:val="null3"/>
        <w:jc w:val="both"/>
      </w:pPr>
      <w:r>
        <w:rPr>
          <w:sz w:val="21"/>
          <w:b/>
        </w:rPr>
        <w:t>七、验收：</w:t>
      </w:r>
    </w:p>
    <w:p>
      <w:pPr>
        <w:pStyle w:val="null3"/>
        <w:ind w:firstLine="403"/>
        <w:jc w:val="both"/>
      </w:pPr>
      <w:r>
        <w:rPr>
          <w:sz w:val="21"/>
        </w:rPr>
        <w:t>1</w:t>
      </w:r>
      <w:r>
        <w:rPr>
          <w:sz w:val="21"/>
        </w:rPr>
        <w:t>）</w:t>
      </w:r>
      <w:r>
        <w:rPr>
          <w:sz w:val="21"/>
        </w:rPr>
        <w:t>货物</w:t>
      </w:r>
      <w:r>
        <w:rPr>
          <w:sz w:val="21"/>
        </w:rPr>
        <w:t>安装调试完成正常工作</w:t>
      </w:r>
      <w:r>
        <w:rPr>
          <w:sz w:val="21"/>
        </w:rPr>
        <w:t>10</w:t>
      </w:r>
      <w:r>
        <w:rPr>
          <w:sz w:val="21"/>
        </w:rPr>
        <w:t>个工作日，验收应在甲方和乙方双方共同参加下进行。</w:t>
      </w:r>
    </w:p>
    <w:p>
      <w:pPr>
        <w:pStyle w:val="null3"/>
        <w:ind w:firstLine="403"/>
        <w:jc w:val="both"/>
      </w:pPr>
      <w:r>
        <w:rPr>
          <w:sz w:val="21"/>
        </w:rPr>
        <w:t>2</w:t>
      </w:r>
      <w:r>
        <w:rPr>
          <w:sz w:val="21"/>
        </w:rPr>
        <w:t>）验收按国家有关的规定、规范进行。验收时如发现所交付的</w:t>
      </w:r>
      <w:r>
        <w:rPr>
          <w:sz w:val="21"/>
        </w:rPr>
        <w:t>货物</w:t>
      </w:r>
      <w:r>
        <w:rPr>
          <w:sz w:val="21"/>
        </w:rPr>
        <w:t>有短装、次品、损坏或其它不符合招标文件规定之情形者，甲方应做出详尽的现场记录，或由用户和乙方双方签署备忘录。此现场记录或备忘录可用作补充、缺失和更换损坏部件的有效证据。由此产生的有关费用由乙方承担。</w:t>
      </w:r>
    </w:p>
    <w:p>
      <w:pPr>
        <w:pStyle w:val="null3"/>
        <w:ind w:firstLine="403"/>
        <w:jc w:val="both"/>
      </w:pPr>
      <w:r>
        <w:rPr>
          <w:sz w:val="21"/>
        </w:rPr>
        <w:t>3</w:t>
      </w:r>
      <w:r>
        <w:rPr>
          <w:sz w:val="21"/>
        </w:rPr>
        <w:t>）如果合同</w:t>
      </w:r>
      <w:r>
        <w:rPr>
          <w:sz w:val="21"/>
        </w:rPr>
        <w:t>货物</w:t>
      </w:r>
      <w:r>
        <w:rPr>
          <w:sz w:val="21"/>
        </w:rPr>
        <w:t>运输和安装调试过程中因事故造成货物短缺、损坏，乙方应及时安排换货，以保证合同</w:t>
      </w:r>
      <w:r>
        <w:rPr>
          <w:sz w:val="21"/>
        </w:rPr>
        <w:t>货物</w:t>
      </w:r>
      <w:r>
        <w:rPr>
          <w:sz w:val="21"/>
        </w:rPr>
        <w:t>安装调试的成功完成。换货的相关费用由乙方承担。</w:t>
      </w:r>
    </w:p>
    <w:p>
      <w:pPr>
        <w:pStyle w:val="null3"/>
        <w:ind w:firstLine="403"/>
        <w:jc w:val="both"/>
      </w:pPr>
      <w:r>
        <w:rPr>
          <w:sz w:val="21"/>
        </w:rPr>
        <w:t>4</w:t>
      </w:r>
      <w:r>
        <w:rPr>
          <w:sz w:val="21"/>
        </w:rPr>
        <w:t>）国内产品或合资厂的产品必须具备出厂合格证。</w:t>
      </w:r>
    </w:p>
    <w:p>
      <w:pPr>
        <w:pStyle w:val="null3"/>
        <w:ind w:firstLine="403"/>
        <w:jc w:val="both"/>
      </w:pPr>
      <w:r>
        <w:rPr>
          <w:sz w:val="21"/>
        </w:rPr>
        <w:t>5</w:t>
      </w:r>
      <w:r>
        <w:rPr>
          <w:sz w:val="21"/>
        </w:rPr>
        <w:t>）乙方提供的技术参数数据必须是真实可靠的，如果甲方验收时达不到所承诺技术指标，乙方须无条件退货，并给予甲方家具成交价</w:t>
      </w:r>
      <w:r>
        <w:rPr>
          <w:sz w:val="21"/>
        </w:rPr>
        <w:t>50%</w:t>
      </w:r>
      <w:r>
        <w:rPr>
          <w:sz w:val="21"/>
        </w:rPr>
        <w:t>的赔偿。</w:t>
      </w:r>
    </w:p>
    <w:p>
      <w:pPr>
        <w:pStyle w:val="null3"/>
        <w:ind w:firstLine="403"/>
        <w:jc w:val="both"/>
      </w:pPr>
      <w:r>
        <w:rPr>
          <w:sz w:val="21"/>
        </w:rPr>
        <w:t>6</w:t>
      </w:r>
      <w:r>
        <w:rPr>
          <w:sz w:val="21"/>
        </w:rPr>
        <w:t>）其他验收内容按本项目招标文件</w:t>
      </w:r>
      <w:r>
        <w:rPr>
          <w:sz w:val="21"/>
        </w:rPr>
        <w:t>“第二章采购需求</w:t>
      </w:r>
      <w:r>
        <w:rPr>
          <w:sz w:val="21"/>
        </w:rPr>
        <w:t>”</w:t>
      </w:r>
      <w:r>
        <w:rPr>
          <w:sz w:val="21"/>
        </w:rPr>
        <w:t>中</w:t>
      </w:r>
      <w:r>
        <w:rPr>
          <w:sz w:val="21"/>
        </w:rPr>
        <w:t>采购包【】相关</w:t>
      </w:r>
      <w:r>
        <w:rPr>
          <w:sz w:val="21"/>
        </w:rPr>
        <w:t>要求</w:t>
      </w:r>
      <w:r>
        <w:rPr>
          <w:sz w:val="21"/>
        </w:rPr>
        <w:t>和乙方投标文件的响应情况</w:t>
      </w:r>
      <w:r>
        <w:rPr>
          <w:sz w:val="21"/>
        </w:rPr>
        <w:t>执行</w:t>
      </w:r>
      <w:r>
        <w:rPr>
          <w:sz w:val="21"/>
        </w:rPr>
        <w:t>。</w:t>
      </w:r>
    </w:p>
    <w:p>
      <w:pPr>
        <w:pStyle w:val="null3"/>
        <w:jc w:val="both"/>
      </w:pPr>
      <w:r>
        <w:rPr>
          <w:sz w:val="21"/>
          <w:b/>
        </w:rPr>
        <w:t>八、违约责任与赔偿损失</w:t>
      </w:r>
    </w:p>
    <w:p>
      <w:pPr>
        <w:pStyle w:val="null3"/>
        <w:ind w:firstLine="420"/>
        <w:jc w:val="both"/>
      </w:pPr>
      <w:r>
        <w:rPr>
          <w:sz w:val="21"/>
        </w:rPr>
        <w:t>1</w:t>
      </w:r>
      <w:r>
        <w:rPr>
          <w:sz w:val="21"/>
        </w:rPr>
        <w:t>）乙方交付的货物及提供的服务不符合采购文件、报价文件或本合同规定的，甲方有权拒收，并且乙方须向甲方支付本合同总价</w:t>
      </w:r>
      <w:r>
        <w:rPr>
          <w:sz w:val="21"/>
        </w:rPr>
        <w:t>5%</w:t>
      </w:r>
      <w:r>
        <w:rPr>
          <w:sz w:val="21"/>
        </w:rPr>
        <w:t>的违约金并赔偿因此给甲方造成的损失。如甲方要求乙方重新或补充提供合格产品，乙方应当在甲方限期内提供。</w:t>
      </w:r>
    </w:p>
    <w:p>
      <w:pPr>
        <w:pStyle w:val="null3"/>
        <w:ind w:firstLine="420"/>
        <w:jc w:val="both"/>
      </w:pPr>
      <w:r>
        <w:rPr>
          <w:sz w:val="21"/>
        </w:rPr>
        <w:t>2</w:t>
      </w:r>
      <w:r>
        <w:rPr>
          <w:sz w:val="21"/>
        </w:rPr>
        <w:t>）乙方未能按本合同规定的交货时间交付货物的</w:t>
      </w:r>
      <w:r>
        <w:rPr>
          <w:sz w:val="21"/>
        </w:rPr>
        <w:t>/</w:t>
      </w:r>
      <w:r>
        <w:rPr>
          <w:sz w:val="21"/>
        </w:rPr>
        <w:t>提供服务，或者未能在合同约定的安装调试期内调试安装完毕的，从逾期之日起每日按本合同总价</w:t>
      </w:r>
      <w:r>
        <w:rPr>
          <w:sz w:val="21"/>
        </w:rPr>
        <w:t>3</w:t>
      </w:r>
      <w:r>
        <w:rPr>
          <w:sz w:val="21"/>
        </w:rPr>
        <w:t>‰的数额向甲方支付违约金；逾期</w:t>
      </w:r>
      <w:r>
        <w:rPr>
          <w:sz w:val="21"/>
        </w:rPr>
        <w:t>15</w:t>
      </w:r>
      <w:r>
        <w:rPr>
          <w:sz w:val="21"/>
        </w:rPr>
        <w:t>日以上的，买方有权终止合同，并且乙方须向甲方支付本合同总价</w:t>
      </w:r>
      <w:r>
        <w:rPr>
          <w:sz w:val="21"/>
        </w:rPr>
        <w:t>5%</w:t>
      </w:r>
      <w:r>
        <w:rPr>
          <w:sz w:val="21"/>
        </w:rPr>
        <w:t>的违约金并赔偿因此给甲方造成的损失。</w:t>
      </w:r>
    </w:p>
    <w:p>
      <w:pPr>
        <w:pStyle w:val="null3"/>
        <w:ind w:right="210" w:firstLine="420"/>
        <w:jc w:val="both"/>
      </w:pPr>
      <w:r>
        <w:rPr>
          <w:sz w:val="21"/>
        </w:rPr>
        <w:t>3</w:t>
      </w:r>
      <w:r>
        <w:rPr>
          <w:sz w:val="21"/>
        </w:rPr>
        <w:t>）甲方无正当理由拒收货物</w:t>
      </w:r>
      <w:r>
        <w:rPr>
          <w:sz w:val="21"/>
        </w:rPr>
        <w:t>/</w:t>
      </w:r>
      <w:r>
        <w:rPr>
          <w:sz w:val="21"/>
        </w:rPr>
        <w:t>接受服务，到期拒付货物款项的，甲方向乙方偿付本合同总的</w:t>
      </w:r>
      <w:r>
        <w:rPr>
          <w:sz w:val="21"/>
        </w:rPr>
        <w:t>5%</w:t>
      </w:r>
      <w:r>
        <w:rPr>
          <w:sz w:val="21"/>
        </w:rPr>
        <w:t>的违约金。甲方逾期付款，则每日按本合同总价的万分之五向乙方偿付违约金。</w:t>
      </w:r>
    </w:p>
    <w:p>
      <w:pPr>
        <w:pStyle w:val="null3"/>
        <w:ind w:firstLine="420"/>
        <w:jc w:val="both"/>
      </w:pPr>
      <w:r>
        <w:rPr>
          <w:sz w:val="21"/>
        </w:rPr>
        <w:t>4</w:t>
      </w:r>
      <w:r>
        <w:rPr>
          <w:sz w:val="21"/>
        </w:rPr>
        <w:t>）其它违约责任按《中华人民共和国民法典》处理。</w:t>
      </w:r>
    </w:p>
    <w:p>
      <w:pPr>
        <w:pStyle w:val="null3"/>
        <w:jc w:val="both"/>
      </w:pPr>
      <w:r>
        <w:rPr>
          <w:sz w:val="21"/>
          <w:b/>
        </w:rPr>
        <w:t>九、争议的解决</w:t>
      </w:r>
    </w:p>
    <w:p>
      <w:pPr>
        <w:pStyle w:val="null3"/>
        <w:ind w:firstLine="420"/>
        <w:jc w:val="both"/>
      </w:pPr>
      <w:r>
        <w:rPr>
          <w:sz w:val="21"/>
        </w:rPr>
        <w:t>合同执行过程中发生的任何争议，双方应通过友好协商解决，协商不成功则由广州仲裁委员会按《中华人民共和国民法典》的有关条款进行裁决，双方不同意仲裁时可直接向本合同签署地的人民法院提起诉讼。</w:t>
      </w:r>
    </w:p>
    <w:p>
      <w:pPr>
        <w:pStyle w:val="null3"/>
        <w:jc w:val="both"/>
      </w:pPr>
      <w:r>
        <w:rPr>
          <w:sz w:val="21"/>
          <w:b/>
        </w:rPr>
        <w:t>十、不可抗力：</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r>
        <w:rPr>
          <w:sz w:val="21"/>
        </w:rPr>
        <w:t>在中国境内、外发生的与本合同执行有关的一切税费均由一份负担。</w:t>
      </w:r>
    </w:p>
    <w:p>
      <w:pPr>
        <w:pStyle w:val="null3"/>
        <w:jc w:val="both"/>
      </w:pPr>
      <w:r>
        <w:rPr>
          <w:sz w:val="21"/>
          <w:b/>
        </w:rPr>
        <w:t>十二、其它</w:t>
      </w:r>
    </w:p>
    <w:p>
      <w:pPr>
        <w:pStyle w:val="null3"/>
        <w:ind w:firstLine="420"/>
        <w:jc w:val="both"/>
      </w:pPr>
      <w:r>
        <w:rPr>
          <w:sz w:val="21"/>
        </w:rPr>
        <w:t>1</w:t>
      </w:r>
      <w:r>
        <w:rPr>
          <w:sz w:val="21"/>
        </w:rPr>
        <w:t>）本合同所有附件、采购文件、投标文件、中标通知书均为合同的有效组成部分，与本合同具有同等法律效力。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）本合同一式</w:t>
      </w:r>
      <w:r>
        <w:rPr>
          <w:sz w:val="21"/>
          <w:u w:val="single"/>
        </w:rPr>
        <w:t xml:space="preserve"> 陆</w:t>
      </w:r>
      <w:r>
        <w:rPr>
          <w:sz w:val="21"/>
        </w:rPr>
        <w:t>份，甲方执</w:t>
      </w:r>
      <w:r>
        <w:rPr>
          <w:sz w:val="21"/>
          <w:u w:val="single"/>
        </w:rPr>
        <w:t xml:space="preserve"> 肆 </w:t>
      </w:r>
      <w:r>
        <w:rPr>
          <w:sz w:val="21"/>
        </w:rPr>
        <w:t>份，乙方执</w:t>
      </w:r>
      <w:r>
        <w:rPr>
          <w:sz w:val="21"/>
          <w:u w:val="single"/>
        </w:rPr>
        <w:t xml:space="preserve"> 贰</w:t>
      </w:r>
      <w:r>
        <w:rPr>
          <w:sz w:val="21"/>
        </w:rPr>
        <w:t>份。</w:t>
      </w:r>
    </w:p>
    <w:p>
      <w:pPr>
        <w:pStyle w:val="null3"/>
        <w:ind w:firstLine="420"/>
        <w:jc w:val="both"/>
      </w:pPr>
      <w:r>
        <w:rPr>
          <w:sz w:val="21"/>
        </w:rPr>
        <w:t>乙方：</w:t>
      </w:r>
      <w:r>
        <w:rPr>
          <w:sz w:val="20"/>
        </w:rPr>
        <w:t xml:space="preserve">                                            </w:t>
      </w:r>
      <w:r>
        <w:rPr>
          <w:sz w:val="21"/>
        </w:rPr>
        <w:t>甲方：</w:t>
      </w:r>
    </w:p>
    <w:p>
      <w:pPr>
        <w:pStyle w:val="null3"/>
        <w:jc w:val="both"/>
      </w:pPr>
      <w:r>
        <w:rPr>
          <w:sz w:val="21"/>
        </w:rPr>
        <w:t>地址：</w:t>
      </w:r>
      <w:r>
        <w:rPr>
          <w:sz w:val="20"/>
        </w:rPr>
        <w:t xml:space="preserve">                                            </w:t>
      </w:r>
      <w:r>
        <w:rPr>
          <w:sz w:val="21"/>
        </w:rPr>
        <w:t>地址：</w:t>
      </w:r>
    </w:p>
    <w:p>
      <w:pPr>
        <w:pStyle w:val="null3"/>
        <w:jc w:val="both"/>
      </w:pPr>
      <w:r>
        <w:rPr>
          <w:sz w:val="21"/>
        </w:rPr>
        <w:t>法定代表人：</w:t>
      </w:r>
      <w:r>
        <w:rPr>
          <w:sz w:val="20"/>
        </w:rPr>
        <w:t xml:space="preserve">                                      </w:t>
      </w:r>
      <w:r>
        <w:rPr>
          <w:sz w:val="21"/>
        </w:rPr>
        <w:t>法定代表人：</w:t>
      </w:r>
    </w:p>
    <w:p>
      <w:pPr>
        <w:pStyle w:val="null3"/>
        <w:jc w:val="both"/>
      </w:pPr>
      <w:r>
        <w:rPr>
          <w:sz w:val="21"/>
        </w:rPr>
        <w:t>委托代理人：</w:t>
      </w:r>
      <w:r>
        <w:rPr>
          <w:sz w:val="20"/>
        </w:rPr>
        <w:t xml:space="preserve">                                      </w:t>
      </w:r>
      <w:r>
        <w:rPr>
          <w:sz w:val="21"/>
        </w:rPr>
        <w:t>委托代理人：</w:t>
      </w:r>
    </w:p>
    <w:p>
      <w:pPr>
        <w:pStyle w:val="null3"/>
        <w:jc w:val="both"/>
      </w:pPr>
      <w:r>
        <w:rPr>
          <w:sz w:val="21"/>
        </w:rPr>
        <w:t>电话：</w:t>
      </w:r>
      <w:r>
        <w:rPr>
          <w:sz w:val="20"/>
        </w:rPr>
        <w:t xml:space="preserve">                                            </w:t>
      </w:r>
      <w:r>
        <w:rPr>
          <w:sz w:val="21"/>
        </w:rPr>
        <w:t>电话：</w:t>
      </w:r>
    </w:p>
    <w:p>
      <w:pPr>
        <w:pStyle w:val="null3"/>
        <w:jc w:val="both"/>
      </w:pPr>
      <w:r>
        <w:rPr>
          <w:sz w:val="21"/>
        </w:rPr>
        <w:t>邮</w:t>
      </w:r>
      <w:r>
        <w:rPr>
          <w:sz w:val="20"/>
        </w:rPr>
        <w:t xml:space="preserve">   </w:t>
      </w:r>
      <w:r>
        <w:rPr>
          <w:sz w:val="21"/>
        </w:rPr>
        <w:t>箱：</w:t>
      </w:r>
      <w:r>
        <w:rPr>
          <w:sz w:val="20"/>
        </w:rPr>
        <w:t xml:space="preserve">                                         </w:t>
      </w:r>
      <w:r>
        <w:rPr>
          <w:sz w:val="21"/>
        </w:rPr>
        <w:t>邮</w:t>
      </w:r>
      <w:r>
        <w:rPr>
          <w:sz w:val="20"/>
        </w:rPr>
        <w:t xml:space="preserve">      </w:t>
      </w:r>
      <w:r>
        <w:rPr>
          <w:sz w:val="21"/>
        </w:rPr>
        <w:t>箱：</w:t>
      </w:r>
    </w:p>
    <w:p>
      <w:pPr>
        <w:pStyle w:val="null3"/>
        <w:jc w:val="both"/>
      </w:pPr>
      <w:r>
        <w:rPr>
          <w:sz w:val="21"/>
        </w:rPr>
        <w:t>开户银行：</w:t>
      </w:r>
      <w:r>
        <w:rPr>
          <w:sz w:val="20"/>
        </w:rPr>
        <w:t xml:space="preserve">                                        </w:t>
      </w:r>
      <w:r>
        <w:rPr>
          <w:sz w:val="21"/>
        </w:rPr>
        <w:t>开户银行：</w:t>
      </w:r>
    </w:p>
    <w:p>
      <w:pPr>
        <w:pStyle w:val="null3"/>
        <w:jc w:val="both"/>
      </w:pPr>
      <w:r>
        <w:rPr>
          <w:sz w:val="21"/>
        </w:rPr>
        <w:t>账</w:t>
      </w:r>
      <w:r>
        <w:rPr>
          <w:sz w:val="21"/>
        </w:rPr>
        <w:t>号：</w:t>
      </w:r>
      <w:r>
        <w:rPr>
          <w:sz w:val="20"/>
        </w:rPr>
        <w:t xml:space="preserve">                                           </w:t>
      </w:r>
      <w:r>
        <w:rPr>
          <w:sz w:val="21"/>
        </w:rPr>
        <w:t>账</w:t>
      </w:r>
      <w:r>
        <w:rPr>
          <w:sz w:val="21"/>
        </w:rPr>
        <w:t>号：</w:t>
      </w:r>
    </w:p>
    <w:p>
      <w:pPr>
        <w:pStyle w:val="null3"/>
        <w:jc w:val="both"/>
      </w:pPr>
      <w:r>
        <w:rPr>
          <w:sz w:val="21"/>
        </w:rPr>
        <w:t>签约时间：</w:t>
      </w:r>
      <w:r>
        <w:rPr>
          <w:sz w:val="20"/>
        </w:rPr>
        <w:t xml:space="preserve">                                        </w:t>
      </w:r>
      <w:r>
        <w:rPr>
          <w:sz w:val="21"/>
        </w:rPr>
        <w:t>签约时间：</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440001-2025-26428</w:t>
      </w:r>
    </w:p>
    <w:p>
      <w:pPr>
        <w:pStyle w:val="null3"/>
        <w:jc w:val="center"/>
        <w:outlineLvl w:val="3"/>
      </w:pPr>
      <w:r>
        <w:rPr>
          <w:sz w:val="24"/>
          <w:b/>
        </w:rPr>
        <w:t>采购项目编号：</w:t>
      </w:r>
      <w:r>
        <w:rPr>
          <w:sz w:val="24"/>
          <w:b/>
        </w:rPr>
        <w:t>440001-2025-26428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双语认知与发展实验室语言实验研究平台建设项目(桌面式眼动仪、便携式脑电波采集设备)</w:t>
      </w:r>
      <w:r>
        <w:rPr>
          <w:u w:val="single"/>
        </w:rPr>
        <w:t>”</w:t>
      </w:r>
      <w:r>
        <w:rPr/>
        <w:t>项目的招标[采购项目编号为：</w:t>
      </w:r>
      <w:r>
        <w:rPr>
          <w:u w:val="single"/>
        </w:rPr>
        <w:t>440001-2025-26428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双语认知与发展实验室语言实验研究平台建设项目(桌面式眼动仪、便携式脑电波采集设备)</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双语认知与发展实验室语言实验研究平台建设项目(桌面式眼动仪、便携式脑电波采集设备)</w:t>
      </w:r>
      <w:r>
        <w:rPr/>
        <w:t>”项目采购[采购项目编号为</w:t>
      </w:r>
      <w:r>
        <w:rPr/>
        <w:t>440001-2025-26428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双语认知与发展实验室语言实验研究平台建设项目(桌面式眼动仪、便携式脑电波采集设备)</w:t>
      </w:r>
      <w:r>
        <w:rPr/>
        <w:t>招标中获中标（采购项目编号：</w:t>
      </w:r>
      <w:r>
        <w:rPr/>
        <w:t>440001-2025-26428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双语认知与发展实验室语言实验研究平台建设项目(桌面式眼动仪、便携式脑电波采集设备)</w:t>
      </w:r>
      <w:r>
        <w:rPr/>
        <w:t>”项目（采购项目编号：</w:t>
      </w:r>
      <w:r>
        <w:rPr/>
        <w:t>440001-2025-26428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