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440001-2025-36327</w:t>
      </w:r>
    </w:p>
    <w:p>
      <w:pPr>
        <w:pStyle w:val="null3"/>
        <w:jc w:val="center"/>
        <w:outlineLvl w:val="3"/>
      </w:pPr>
      <w:r>
        <w:rPr>
          <w:sz w:val="24"/>
          <w:b/>
        </w:rPr>
        <w:t>采购项目编号：</w:t>
      </w:r>
      <w:r>
        <w:rPr>
          <w:sz w:val="24"/>
          <w:b/>
        </w:rPr>
        <w:t>ZZ0250560</w:t>
      </w:r>
    </w:p>
    <w:p>
      <w:pPr>
        <w:pStyle w:val="null3"/>
        <w:jc w:val="center"/>
        <w:outlineLvl w:val="3"/>
      </w:pPr>
      <w:r>
        <w:rPr>
          <w:sz w:val="24"/>
          <w:b/>
        </w:rPr>
        <w:t>项目名称：</w:t>
      </w:r>
      <w:r>
        <w:rPr>
          <w:sz w:val="24"/>
          <w:b/>
        </w:rPr>
        <w:t>华南师范大学大功率超快飞秒激光器采购项目</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华南师范大学</w:t>
      </w:r>
      <w:r>
        <w:rPr/>
        <w:t>的委托，采用</w:t>
      </w:r>
      <w:r>
        <w:rPr/>
        <w:t>公开招标</w:t>
      </w:r>
      <w:r>
        <w:rPr/>
        <w:t>方式组织采购</w:t>
      </w:r>
      <w:r>
        <w:rPr/>
        <w:t>华南师范大学大功率超快飞秒激光器采购项目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华南师范大学大功率超快飞秒激光器采购项目</w:t>
      </w:r>
    </w:p>
    <w:p>
      <w:pPr>
        <w:pStyle w:val="null3"/>
        <w:ind w:firstLine="480"/>
      </w:pPr>
      <w:r>
        <w:rPr/>
        <w:t>采购计划编号：</w:t>
      </w:r>
      <w:r>
        <w:rPr/>
        <w:t>440001-2025-36327</w:t>
      </w:r>
    </w:p>
    <w:p>
      <w:pPr>
        <w:pStyle w:val="null3"/>
        <w:ind w:firstLine="480"/>
      </w:pPr>
      <w:r>
        <w:rPr/>
        <w:t>采购项目编号：</w:t>
      </w:r>
      <w:r>
        <w:rPr/>
        <w:t>ZZ0250560</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采购包1(华南师范大学大功率超快飞秒激光器采购项目):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大功率超快飞秒激光器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合同履行期限：合同签订后，1个月内完成交付。</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3）具有良好的商业信誉和健全的财务会计制度：提供2024年年度财务状况报告或投标截止日前6个月内任意1个月的财务报表或基本开户行出具的资信证明。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采购包1（华南师范大学大功率超快飞秒激光器采购项目）：</w:t>
      </w:r>
      <w:r>
        <w:rPr/>
        <w:t>本项目属于专门面向中小企业采购的项目。所有货物的制造商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采购包1（华南师范大学大功率超快飞秒激光器采购项目）：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曾老师020-85210852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1、投标人须对所投项目为单位的标的物进行整体投标，任何只对其中一部分内容进行的投标都被视为无效投标。</w:t>
      </w:r>
    </w:p>
    <w:p>
      <w:pPr>
        <w:pStyle w:val="null3"/>
        <w:jc w:val="both"/>
      </w:pPr>
      <w:r>
        <w:rPr>
          <w:sz w:val="21"/>
          <w:b/>
        </w:rPr>
        <w:t>2、</w:t>
      </w:r>
      <w:r>
        <w:rPr>
          <w:sz w:val="21"/>
          <w:b/>
        </w:rPr>
        <w:t>本招标文件中，凡标有</w:t>
      </w:r>
      <w:r>
        <w:rPr>
          <w:sz w:val="21"/>
          <w:b/>
        </w:rPr>
        <w:t>“★”的地方，投标人要特别加以注意，必须对此作出一一响应。若有一项带“★”的指标未响应或不满足，将导致其投标无效。</w:t>
      </w:r>
    </w:p>
    <w:p>
      <w:pPr>
        <w:pStyle w:val="null3"/>
        <w:jc w:val="both"/>
      </w:pPr>
      <w:r>
        <w:rPr>
          <w:sz w:val="21"/>
          <w:b/>
        </w:rPr>
        <w:t>3、无论招标文件中是否有具体要求，</w:t>
      </w:r>
      <w:r>
        <w:rPr>
          <w:sz w:val="21"/>
          <w:b/>
        </w:rPr>
        <w:t>投标人所投的货物及伴随的服务和工程均应符合国家的强制性标准。同时，所投产品的生产制造商应遵守国家关于生产许可的强制规定。</w:t>
      </w:r>
    </w:p>
    <w:p>
      <w:pPr>
        <w:pStyle w:val="null3"/>
        <w:jc w:val="both"/>
      </w:pPr>
      <w:r>
        <w:rPr>
          <w:sz w:val="21"/>
          <w:b/>
        </w:rPr>
        <w:t>4、</w:t>
      </w:r>
      <w:r>
        <w:rPr>
          <w:sz w:val="21"/>
          <w:b/>
        </w:rPr>
        <w:t>本项目核心产品为：大功率超快飞秒激光器。投标人</w:t>
      </w:r>
      <w:r>
        <w:rPr>
          <w:sz w:val="21"/>
          <w:b/>
        </w:rPr>
        <w:t>需在投标文件中列明所投产品的品牌。</w:t>
      </w:r>
    </w:p>
    <w:p>
      <w:pPr>
        <w:pStyle w:val="null3"/>
      </w:pPr>
      <w:r>
        <w:rPr/>
        <w:t>采购包1（华南师范大学大功率超快飞秒激光器采购项目）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合同签订后，1个月内完成交付。</w:t>
            </w:r>
          </w:p>
        </w:tc>
      </w:tr>
      <w:tr>
        <w:tc>
          <w:tcPr>
            <w:tcW w:type="dxa" w:w="4153"/>
          </w:tcPr>
          <w:p>
            <w:pPr>
              <w:pStyle w:val="null3"/>
            </w:pPr>
            <w:r>
              <w:rPr/>
              <w:t>标的提供的地点</w:t>
            </w:r>
          </w:p>
        </w:tc>
        <w:tc>
          <w:tcPr>
            <w:tcW w:type="dxa" w:w="4153"/>
          </w:tcPr>
          <w:p>
            <w:pPr>
              <w:pStyle w:val="null3"/>
            </w:pPr>
            <w:r>
              <w:rPr/>
              <w:t>大学城华南师范大学华南先进光电子研究院510。</w:t>
            </w:r>
          </w:p>
        </w:tc>
      </w:tr>
      <w:tr>
        <w:tc>
          <w:tcPr>
            <w:tcW w:type="dxa" w:w="4153"/>
          </w:tcPr>
          <w:p>
            <w:pPr>
              <w:pStyle w:val="null3"/>
            </w:pPr>
            <w:r>
              <w:rPr/>
              <w:t>付款方式</w:t>
            </w:r>
          </w:p>
        </w:tc>
        <w:tc>
          <w:tcPr>
            <w:tcW w:type="dxa" w:w="4153"/>
          </w:tcPr>
          <w:p>
            <w:pPr>
              <w:pStyle w:val="null3"/>
            </w:pPr>
            <w:r>
              <w:rPr/>
              <w:t>1期：支付比例30%,合同签订后5个工作日内，支付合同总价的30%。（中标人须提供等额增值税专用发票）。</w:t>
            </w:r>
          </w:p>
          <w:p>
            <w:pPr>
              <w:pStyle w:val="null3"/>
            </w:pPr>
            <w:r>
              <w:rPr/>
              <w:t>2期：支付比例70%,待所有货物到达交货地点，采购人组织验收。验收合格且采购人收到中标供应商开具的等额增值税专用发票后10个工作日内支付设备总货款的70%，付清货款。 （说明：采购人向中标人指定账户汇出款项后，即视为已履行付款义务。在汇款过程中，因中标人账户的原因（包括但不限于账号被注销、被冻结等）导致其无法收取款项的，由中标人承担相应后果。 本项目如执行国库支付的，采购人在验收合格后10个工作日内办理财政集中支付申请手续，付款按照财政部门国库集中支付的有关规定办理。付款时间为采购人向政府财政支付部门提出支付申请的时间（不含政府财政支付部门审查的时间）。如项目履行过程中，采购人采取融资支付或其他支付方式，中标人应配合采购人签订补充协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货物安装调试完毕且正常运行不少于3个月后，中标人应备齐采购人要求提供的验收文件，并提出书面验收申请。收到中标人验收申请后7日内，采购人将按流程进行验收，并出具采购物资验收报告给中标人。货物验收合格之日为采购人签署采购物资验收报告的日期。 2.货物验收标准：以招投标文件和合同项下所述的标准和要求进行验收，如招投标文件与合同的标准和要求有冲突的，以招投标文件为准。 3.经采购人对中标人提供的货物进行验收，若发现中标人提供的货物不符合招投标文件及合同规定的质量要求，采购人有权拒收该货物，中标人应无条件更换被拒绝的货物，或者免费进行必要的修改以满足规定的要求；采购人也有权选择解除合同并要求中标人承担违约责任。 4.采购人在货物到达交货地点后对货物进行检验、测试及必要时拒绝接受货物的权利将不会因为货物在中标人或其分包人的驻地已通过了采购人或其代表的检验、测试和认可而受到限制或放弃。</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账号：中标后由采购人提供</w:t>
            </w:r>
          </w:p>
          <w:p>
            <w:pPr>
              <w:pStyle w:val="null3"/>
            </w:pPr>
            <w:r>
              <w:rPr/>
              <w:t>户名：中标后由采购人提供</w:t>
            </w:r>
          </w:p>
          <w:p>
            <w:pPr>
              <w:pStyle w:val="null3"/>
            </w:pPr>
            <w:r>
              <w:rPr/>
              <w:t>开户行：中标后由采购人提供</w:t>
            </w:r>
          </w:p>
          <w:p>
            <w:pPr>
              <w:pStyle w:val="null3"/>
            </w:pPr>
            <w:r>
              <w:rPr/>
              <w:t>支票提交方式：中标后由采购人提供</w:t>
            </w:r>
          </w:p>
          <w:p>
            <w:pPr>
              <w:pStyle w:val="null3"/>
            </w:pPr>
            <w:r>
              <w:rPr/>
              <w:t>汇票、本票提交方式：中标后由采购人提供</w:t>
            </w:r>
          </w:p>
          <w:p>
            <w:pPr>
              <w:pStyle w:val="null3"/>
            </w:pPr>
            <w:r>
              <w:rPr/>
              <w:t>说明：中标人在申请货物验收之前，应向采购人提交本合同总价5%，作为履约保证金。项目验收合格1个月内，中标人凭收据向采购人申请退还，采购人在收到中标人申请单据之日起15个工作日内无息退还给中标人。 履约保证金不予退还的情形：（1）未经采购人同意，中标人将本项目进行分包或转包给他人；（2）在履行合同期间，中标人未经采购人同意提前终止本项目合同；（3）在履行合同期间，中标人因在经营活动中存在违法被吊销营业执照或相关许可，导致本项目合同无法继续履行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包装运输，中标人提供的货物必须是制造厂商全新的原厂原装产品（含零部件、配件、随机工具、技术文件等），包装外观完好、表面无划损、破损，无任何缺陷及隐患，每台设备上均应钉有铭牌(内容包括：制造商,设备名称、型号规格、序列号）等并附有产品质量检验合格标志，且进货渠道合法，在中国境内可依常规安全合法使用。并应使用产品标准出厂包装，适合于空运、海运、陆运等长途运输方式及气候变化，防潮、防震、防雨、防锈、防冻等。如因包装造成的一切损失（包括但不限于商品损坏、损失、锈蚀、费用增长等），一概由中标人负责赔偿。包装材料具有一定的缓冲性能，能够吸收外部冲击力，避免设备受损。包装以纸箱为主，内有泡沫或气泡膜填充进行隔振缓冲。运输过程，选择优质服务的物流公司。运输过程需要对于仪器货物进行适当的固定，避免运输过程中发生碰撞。中标人承担货物运抵指定交货地点的运输费、保险费、包装费等，上述费用包含在货物的最终成交总额中。设备的包装均应有良好的防湿、防锈、防潮、防雨、防腐及防碰撞等措施，符合《商品包装政府采购需求标准（试行）》及《快递包装政府采购需求标准（试行）》的要求。 中标人应免费提供中文的产品正式说明书，场地准备书，使用手册及维护手册等，以及所有有关本合同执行的技术文件。如果项目必需但合同又未作规定的，需要中标人才能提供的技术文件，中标人也应及时向采购人提供。技术文件可以是手册、图纸或其他形式的文件资料。上述技术文件应包含保证采购人能够正确进行安装、操作、检查、维修、维护、测试、调试、验收和运作的需要的所有内容。</w:t>
            </w:r>
          </w:p>
          <w:p>
            <w:pPr>
              <w:pStyle w:val="null3"/>
            </w:pPr>
            <w:r>
              <w:rPr/>
              <w:t>二、质保期保障服务，1.质保期：中标人对本合同标的提供至少3年（光学元器件至少1年）质保期（费用包含在投标报价中），对由于设计、制造工艺、材料和安装所造成的质量缺陷或质量问题负责，并进行修理、更换零部件或退换，并须对设备出现的有关技术性问题或安全问题负责处理、解决，同时中标人应相应延长被更换货物的质保期，软件提供终身升级，质保期自货物验收合格之日起计算。质保期内提供现场保修、包换或包退服务，由此产生的一切费用均由中标人承担。中标人不能修复、调换或不能退货的，应退回相应货款，并承担相应违约责任。 2.中标人应有专职工程师负责对所售产品安装，调试，培训，维修和处理。质保期内，在接到系统故障或问题告知后，中标人响应时间不得超过4小时，到达现场时间不得超过72小时，并应在120小时（前述响应及到达现场时间已包含计算在内）内排除故障。否则视为中标人不能修复货物。如果需要更换配件的，中标人须在10个工作日内完成配件更换服务，且更换的配件跟被更换的品牌、类型相一致或者是同类档次相当或更高的替代品，后者需征得采购人管理人员同意。如果故障在前述时间内仍无法排除，中标人应无条件在15个工作日内提供不低于故障设备规格型号档次的备用设备供采购人使用，直至故障设备修复。 3.质保期内，同一硬件一个月内连续2次出现同一故障，中标人应无条件更换性能指标不低于原规格型号的新部件。严重影响教学工作的，中标人无条件提供不低于该档次的设备给采购人使用。 4.质保期满后设备维修仅收取配件成本费，不收取上门费及人工费。</w:t>
            </w:r>
          </w:p>
          <w:p>
            <w:pPr>
              <w:pStyle w:val="null3"/>
            </w:pPr>
            <w:r>
              <w:rPr/>
              <w:t>三、培训，中标人负责提供合同标的现场操作、运行、维护、修理的培训方案及必需的培训资料，并对采购人受训人员进行现场培训直至能熟练操作为止，培训次数不少于2次，每次培训应配置不少于1个工程师，培训天数应不少于1天，培训期间工程师的食宿由中标人负责。培训内容应至少包括：设备的操作使用和保养；设备安全注意事项；设备简易故障排除等。在后期使用过程中，如需增加培训环节，中标人负责根据采购人需要提供培训服务。以上相关费用已包含在投标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大功率超快飞秒激光器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大功率超快飞秒激光器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1、主机技术指标：</w:t>
            </w:r>
            <w:r>
              <w:br/>
            </w:r>
            <w:r>
              <w:rPr>
                <w:sz w:val="21"/>
              </w:rPr>
              <w:t>1.1 泵浦光源中心波长：1030+/-10 nm；</w:t>
            </w:r>
            <w:r>
              <w:br/>
            </w:r>
            <w:r>
              <w:rPr>
                <w:sz w:val="21"/>
              </w:rPr>
              <w:t>★</w:t>
            </w:r>
            <w:r>
              <w:rPr>
                <w:sz w:val="21"/>
              </w:rPr>
              <w:t>1.2 泵浦光源脉冲宽度（FW</w:t>
            </w:r>
            <w:r>
              <w:rPr>
                <w:sz w:val="21"/>
              </w:rPr>
              <w:t>HM）：</w:t>
            </w:r>
            <w:r>
              <w:rPr>
                <w:sz w:val="21"/>
              </w:rPr>
              <w:t>≤</w:t>
            </w:r>
            <w:r>
              <w:rPr>
                <w:sz w:val="21"/>
              </w:rPr>
              <w:t>200 fs；</w:t>
            </w:r>
            <w:r>
              <w:br/>
            </w:r>
            <w:r>
              <w:rPr>
                <w:sz w:val="21"/>
              </w:rPr>
              <w:t>★</w:t>
            </w:r>
            <w:r>
              <w:rPr>
                <w:sz w:val="21"/>
              </w:rPr>
              <w:t>1.3 泵浦光源最大单脉冲能量：</w:t>
            </w:r>
            <w:r>
              <w:rPr>
                <w:sz w:val="21"/>
              </w:rPr>
              <w:t>≥</w:t>
            </w:r>
            <w:r>
              <w:rPr>
                <w:sz w:val="21"/>
              </w:rPr>
              <w:t>2mJ@10kHz；</w:t>
            </w:r>
            <w:r>
              <w:br/>
            </w:r>
            <w:r>
              <w:rPr>
                <w:sz w:val="21"/>
              </w:rPr>
              <w:t>1.4 泵浦光源重复频率：单发-100kHz；</w:t>
            </w:r>
            <w:r>
              <w:br/>
            </w:r>
            <w:r>
              <w:rPr>
                <w:sz w:val="21"/>
              </w:rPr>
              <w:t>1.5 泵浦光源平均功率：</w:t>
            </w:r>
            <w:r>
              <w:rPr>
                <w:sz w:val="21"/>
              </w:rPr>
              <w:t>≥</w:t>
            </w:r>
            <w:r>
              <w:rPr>
                <w:sz w:val="21"/>
              </w:rPr>
              <w:t>20W；</w:t>
            </w:r>
            <w:r>
              <w:br/>
            </w:r>
            <w:r>
              <w:rPr>
                <w:sz w:val="21"/>
              </w:rPr>
              <w:t xml:space="preserve">1.6 泵浦光源光斑模式：M2 </w:t>
            </w:r>
            <w:r>
              <w:rPr>
                <w:sz w:val="21"/>
              </w:rPr>
              <w:t>≤</w:t>
            </w:r>
            <w:r>
              <w:rPr>
                <w:sz w:val="21"/>
              </w:rPr>
              <w:t>1.3；</w:t>
            </w:r>
            <w:r>
              <w:br/>
            </w:r>
            <w:r>
              <w:rPr>
                <w:sz w:val="21"/>
              </w:rPr>
              <w:t>1.7 泵浦光源功率稳定性：</w:t>
            </w:r>
            <w:r>
              <w:rPr>
                <w:sz w:val="21"/>
              </w:rPr>
              <w:t>≤</w:t>
            </w:r>
            <w:r>
              <w:rPr>
                <w:sz w:val="21"/>
              </w:rPr>
              <w:t>0.5% RMS@24H；</w:t>
            </w:r>
            <w:r>
              <w:br/>
            </w:r>
            <w:r>
              <w:rPr>
                <w:sz w:val="21"/>
              </w:rPr>
              <w:t>★</w:t>
            </w:r>
            <w:r>
              <w:rPr>
                <w:sz w:val="21"/>
              </w:rPr>
              <w:t>1.8 泵浦光源脉冲能量稳定性：</w:t>
            </w:r>
            <w:r>
              <w:rPr>
                <w:sz w:val="21"/>
              </w:rPr>
              <w:t>≤</w:t>
            </w:r>
            <w:r>
              <w:rPr>
                <w:sz w:val="21"/>
              </w:rPr>
              <w:t>0.85% RMS@24h；</w:t>
            </w:r>
            <w:r>
              <w:br/>
            </w:r>
            <w:r>
              <w:rPr>
                <w:sz w:val="21"/>
              </w:rPr>
              <w:t>1.9</w:t>
            </w:r>
            <w:r>
              <w:rPr>
                <w:sz w:val="21"/>
              </w:rPr>
              <w:t>泵浦光源光斑直径：</w:t>
            </w:r>
            <w:r>
              <w:rPr>
                <w:sz w:val="21"/>
              </w:rPr>
              <w:t>6.5mm</w:t>
            </w:r>
            <w:r>
              <w:rPr>
                <w:sz w:val="21"/>
              </w:rPr>
              <w:t>±</w:t>
            </w:r>
            <w:r>
              <w:rPr>
                <w:sz w:val="21"/>
              </w:rPr>
              <w:t>1mm@ 1/e</w:t>
            </w:r>
            <w:r>
              <w:rPr>
                <w:sz w:val="21"/>
                <w:vertAlign w:val="superscript"/>
              </w:rPr>
              <w:t>2</w:t>
            </w:r>
            <w:r>
              <w:rPr>
                <w:sz w:val="21"/>
              </w:rPr>
              <w:t>；</w:t>
            </w:r>
            <w:r>
              <w:br/>
            </w:r>
            <w:r>
              <w:rPr>
                <w:sz w:val="21"/>
              </w:rPr>
              <w:t>1.10 泵浦光源偏振：线偏振；</w:t>
            </w:r>
            <w:r>
              <w:br/>
            </w:r>
            <w:r>
              <w:rPr>
                <w:sz w:val="21"/>
              </w:rPr>
              <w:t>1.11 泵浦光源要求光机电一体化设计（无任何电控箱）；</w:t>
            </w:r>
            <w:r>
              <w:br/>
            </w:r>
            <w:r>
              <w:rPr>
                <w:sz w:val="21"/>
              </w:rPr>
              <w:t>1.12 泵浦光源制冷方式：水冷；</w:t>
            </w:r>
            <w:r>
              <w:br/>
            </w:r>
            <w:r>
              <w:rPr>
                <w:sz w:val="21"/>
              </w:rPr>
              <w:t>1.13 可调谐光源输出，波长可调谐范围：325nm-2600nm （其中350-600nm 脉宽</w:t>
            </w:r>
            <w:r>
              <w:rPr>
                <w:sz w:val="21"/>
              </w:rPr>
              <w:t>≤</w:t>
            </w:r>
            <w:r>
              <w:rPr>
                <w:sz w:val="21"/>
              </w:rPr>
              <w:t>180fs）；</w:t>
            </w:r>
            <w:r>
              <w:br/>
            </w:r>
            <w:r>
              <w:rPr>
                <w:sz w:val="21"/>
              </w:rPr>
              <w:t>1.14 可调谐光源最大泵浦功率</w:t>
            </w:r>
            <w:r>
              <w:rPr>
                <w:sz w:val="21"/>
              </w:rPr>
              <w:t>≥</w:t>
            </w:r>
            <w:r>
              <w:rPr>
                <w:sz w:val="21"/>
              </w:rPr>
              <w:t>10W；</w:t>
            </w:r>
            <w:r>
              <w:br/>
            </w:r>
            <w:r>
              <w:rPr>
                <w:sz w:val="21"/>
              </w:rPr>
              <w:t>1.15可调谐光源泵浦脉冲能量</w:t>
            </w:r>
            <w:r>
              <w:rPr>
                <w:sz w:val="21"/>
              </w:rPr>
              <w:t>≥</w:t>
            </w:r>
            <w:r>
              <w:rPr>
                <w:sz w:val="21"/>
              </w:rPr>
              <w:t>900</w:t>
            </w:r>
            <w:r>
              <w:rPr>
                <w:sz w:val="21"/>
              </w:rPr>
              <w:t>μ</w:t>
            </w:r>
            <w:r>
              <w:rPr>
                <w:sz w:val="21"/>
              </w:rPr>
              <w:t>J；</w:t>
            </w:r>
            <w:r>
              <w:br/>
            </w:r>
            <w:r>
              <w:rPr>
                <w:sz w:val="21"/>
              </w:rPr>
              <w:t>★</w:t>
            </w:r>
            <w:r>
              <w:rPr>
                <w:sz w:val="21"/>
              </w:rPr>
              <w:t>1.16 峰值效率：</w:t>
            </w:r>
            <w:r>
              <w:rPr>
                <w:sz w:val="21"/>
              </w:rPr>
              <w:t>≥</w:t>
            </w:r>
            <w:r>
              <w:rPr>
                <w:sz w:val="21"/>
              </w:rPr>
              <w:t>7% @650-1030nm，</w:t>
            </w:r>
            <w:r>
              <w:rPr>
                <w:sz w:val="21"/>
              </w:rPr>
              <w:t>≥</w:t>
            </w:r>
            <w:r>
              <w:rPr>
                <w:sz w:val="21"/>
              </w:rPr>
              <w:t>3.5% @1030-2600nm；</w:t>
            </w:r>
            <w:r>
              <w:br/>
            </w:r>
            <w:r>
              <w:rPr>
                <w:sz w:val="21"/>
              </w:rPr>
              <w:t>1.17 光谱带宽：100 cm</w:t>
            </w:r>
            <w:r>
              <w:rPr>
                <w:sz w:val="21"/>
                <w:vertAlign w:val="superscript"/>
              </w:rPr>
              <w:t>-1</w:t>
            </w:r>
            <w:r>
              <w:rPr>
                <w:sz w:val="21"/>
              </w:rPr>
              <w:t>- 150 cm</w:t>
            </w:r>
            <w:r>
              <w:rPr>
                <w:sz w:val="21"/>
                <w:vertAlign w:val="superscript"/>
              </w:rPr>
              <w:t>-1</w:t>
            </w:r>
            <w:r>
              <w:rPr>
                <w:sz w:val="21"/>
              </w:rPr>
              <w:t>；</w:t>
            </w:r>
            <w:r>
              <w:br/>
            </w:r>
            <w:r>
              <w:rPr>
                <w:sz w:val="21"/>
              </w:rPr>
              <w:t xml:space="preserve">1.18 长期功率稳定性： </w:t>
            </w:r>
            <w:r>
              <w:rPr>
                <w:sz w:val="21"/>
              </w:rPr>
              <w:t>≤</w:t>
            </w:r>
            <w:r>
              <w:rPr>
                <w:sz w:val="21"/>
              </w:rPr>
              <w:t>1% RMS @750 nm；</w:t>
            </w:r>
            <w:r>
              <w:br/>
            </w:r>
            <w:r>
              <w:rPr>
                <w:sz w:val="21"/>
              </w:rPr>
              <w:t>★</w:t>
            </w:r>
            <w:r>
              <w:rPr>
                <w:sz w:val="21"/>
              </w:rPr>
              <w:t xml:space="preserve">1.19 脉冲能量稳定性： </w:t>
            </w:r>
            <w:r>
              <w:rPr>
                <w:sz w:val="21"/>
              </w:rPr>
              <w:t>≤</w:t>
            </w:r>
            <w:r>
              <w:rPr>
                <w:sz w:val="21"/>
              </w:rPr>
              <w:t>1.7% RMS @750 nm；</w:t>
            </w:r>
            <w:r>
              <w:br/>
            </w:r>
            <w:r>
              <w:rPr>
                <w:sz w:val="21"/>
              </w:rPr>
              <w:t>1.20 可调谐光源含输入光斑近/远场监测功能；</w:t>
            </w:r>
            <w:r>
              <w:br/>
            </w:r>
            <w:r>
              <w:rPr>
                <w:sz w:val="21"/>
              </w:rPr>
              <w:t>1.21 泵浦光源尺寸：</w:t>
            </w:r>
            <w:r>
              <w:rPr>
                <w:sz w:val="21"/>
              </w:rPr>
              <w:t>≤</w:t>
            </w:r>
            <w:r>
              <w:rPr>
                <w:sz w:val="21"/>
              </w:rPr>
              <w:t>8</w:t>
            </w:r>
            <w:r>
              <w:rPr>
                <w:sz w:val="21"/>
              </w:rPr>
              <w:t>4</w:t>
            </w:r>
            <w:r>
              <w:rPr>
                <w:sz w:val="21"/>
              </w:rPr>
              <w:t>0</w:t>
            </w:r>
            <w:r>
              <w:rPr>
                <w:sz w:val="21"/>
              </w:rPr>
              <w:t>×</w:t>
            </w:r>
            <w:r>
              <w:rPr>
                <w:sz w:val="21"/>
              </w:rPr>
              <w:t>590</w:t>
            </w:r>
            <w:r>
              <w:rPr>
                <w:sz w:val="21"/>
              </w:rPr>
              <w:t>×</w:t>
            </w:r>
            <w:r>
              <w:rPr>
                <w:sz w:val="21"/>
              </w:rPr>
              <w:t>230</w:t>
            </w:r>
            <w:r>
              <w:rPr>
                <w:sz w:val="21"/>
              </w:rPr>
              <w:t>mm(LxWxH)；</w:t>
            </w:r>
            <w:r>
              <w:br/>
            </w:r>
            <w:r>
              <w:rPr>
                <w:sz w:val="21"/>
              </w:rPr>
              <w:t>1.22可调谐光源尺寸：</w:t>
            </w:r>
            <w:r>
              <w:rPr>
                <w:sz w:val="21"/>
              </w:rPr>
              <w:t>≤</w:t>
            </w:r>
            <w:r>
              <w:rPr>
                <w:sz w:val="21"/>
              </w:rPr>
              <w:t>800</w:t>
            </w:r>
            <w:r>
              <w:rPr>
                <w:sz w:val="21"/>
              </w:rPr>
              <w:t>×</w:t>
            </w:r>
            <w:r>
              <w:rPr>
                <w:sz w:val="21"/>
              </w:rPr>
              <w:t>400</w:t>
            </w:r>
            <w:r>
              <w:rPr>
                <w:sz w:val="21"/>
              </w:rPr>
              <w:t>×</w:t>
            </w:r>
            <w:r>
              <w:rPr>
                <w:sz w:val="21"/>
              </w:rPr>
              <w:t>260</w:t>
            </w:r>
            <w:r>
              <w:rPr>
                <w:sz w:val="21"/>
              </w:rPr>
              <w:t>mm(LxWxH)；</w:t>
            </w:r>
            <w:r>
              <w:br/>
            </w:r>
            <w:r>
              <w:rPr>
                <w:sz w:val="21"/>
              </w:rPr>
              <w:t>★</w:t>
            </w:r>
            <w:r>
              <w:rPr>
                <w:sz w:val="21"/>
              </w:rPr>
              <w:t>1.2</w:t>
            </w:r>
            <w:r>
              <w:rPr>
                <w:sz w:val="21"/>
              </w:rPr>
              <w:t>3</w:t>
            </w:r>
            <w:r>
              <w:rPr>
                <w:sz w:val="21"/>
              </w:rPr>
              <w:t xml:space="preserve"> </w:t>
            </w:r>
            <w:r>
              <w:rPr>
                <w:sz w:val="21"/>
              </w:rPr>
              <w:t>脉冲压缩</w:t>
            </w:r>
            <w:r>
              <w:rPr>
                <w:sz w:val="21"/>
              </w:rPr>
              <w:t>MPC模块：输出效率</w:t>
            </w:r>
            <w:r>
              <w:rPr>
                <w:sz w:val="21"/>
              </w:rPr>
              <w:t>≥</w:t>
            </w:r>
            <w:r>
              <w:rPr>
                <w:sz w:val="21"/>
              </w:rPr>
              <w:t>93%，输入脉宽</w:t>
            </w:r>
            <w:r>
              <w:rPr>
                <w:sz w:val="21"/>
              </w:rPr>
              <w:t>≤</w:t>
            </w:r>
            <w:r>
              <w:rPr>
                <w:sz w:val="21"/>
              </w:rPr>
              <w:t>40fs；</w:t>
            </w:r>
            <w:r>
              <w:br/>
            </w:r>
            <w:r>
              <w:rPr>
                <w:sz w:val="21"/>
              </w:rPr>
              <w:t>1.2</w:t>
            </w:r>
            <w:r>
              <w:rPr>
                <w:sz w:val="21"/>
              </w:rPr>
              <w:t xml:space="preserve">4 </w:t>
            </w:r>
            <w:r>
              <w:rPr>
                <w:sz w:val="21"/>
              </w:rPr>
              <w:t>脉冲压缩模块输出光发散角：</w:t>
            </w:r>
            <w:r>
              <w:rPr>
                <w:sz w:val="21"/>
              </w:rPr>
              <w:t>≤</w:t>
            </w:r>
            <w:r>
              <w:rPr>
                <w:sz w:val="21"/>
              </w:rPr>
              <w:t>0.35mrad；</w:t>
            </w:r>
            <w:r>
              <w:br/>
            </w:r>
            <w:r>
              <w:rPr>
                <w:sz w:val="21"/>
              </w:rPr>
              <w:t>1.2</w:t>
            </w:r>
            <w:r>
              <w:rPr>
                <w:sz w:val="21"/>
              </w:rPr>
              <w:t>5</w:t>
            </w:r>
            <w:r>
              <w:rPr>
                <w:sz w:val="21"/>
              </w:rPr>
              <w:t xml:space="preserve"> </w:t>
            </w:r>
            <w:r>
              <w:rPr>
                <w:sz w:val="21"/>
              </w:rPr>
              <w:t>脉冲压缩模块功率稳定性：</w:t>
            </w:r>
            <w:r>
              <w:rPr>
                <w:sz w:val="21"/>
              </w:rPr>
              <w:t>≤</w:t>
            </w:r>
            <w:r>
              <w:rPr>
                <w:sz w:val="21"/>
              </w:rPr>
              <w:t>1%RMS@8H；</w:t>
            </w:r>
            <w:r>
              <w:br/>
            </w:r>
            <w:r>
              <w:rPr>
                <w:sz w:val="21"/>
              </w:rPr>
              <w:t>1.2</w:t>
            </w:r>
            <w:r>
              <w:rPr>
                <w:sz w:val="21"/>
              </w:rPr>
              <w:t>6</w:t>
            </w:r>
            <w:r>
              <w:rPr>
                <w:sz w:val="21"/>
              </w:rPr>
              <w:t xml:space="preserve"> </w:t>
            </w:r>
            <w:r>
              <w:rPr>
                <w:sz w:val="21"/>
              </w:rPr>
              <w:t>脉冲压缩模块含输入光斑近</w:t>
            </w:r>
            <w:r>
              <w:rPr>
                <w:sz w:val="21"/>
              </w:rPr>
              <w:t>/远场监测功能</w:t>
            </w:r>
            <w:r>
              <w:rPr>
                <w:sz w:val="21"/>
              </w:rPr>
              <w:t>；</w:t>
            </w:r>
            <w:r>
              <w:br/>
            </w:r>
            <w:r>
              <w:rPr>
                <w:sz w:val="21"/>
              </w:rPr>
              <w:t>1.2</w:t>
            </w:r>
            <w:r>
              <w:rPr>
                <w:sz w:val="21"/>
              </w:rPr>
              <w:t xml:space="preserve">7 </w:t>
            </w:r>
            <w:r>
              <w:rPr>
                <w:sz w:val="21"/>
              </w:rPr>
              <w:t>脉冲压缩模块尺寸：</w:t>
            </w:r>
            <w:r>
              <w:rPr>
                <w:sz w:val="21"/>
              </w:rPr>
              <w:t>≤</w:t>
            </w:r>
            <w:r>
              <w:rPr>
                <w:sz w:val="21"/>
              </w:rPr>
              <w:t>870</w:t>
            </w:r>
            <w:r>
              <w:rPr>
                <w:sz w:val="21"/>
              </w:rPr>
              <w:t xml:space="preserve"> x 530 x 190 mm (LxWxH)；</w:t>
            </w:r>
            <w:r>
              <w:br/>
            </w:r>
            <w:r>
              <w:rPr>
                <w:sz w:val="21"/>
              </w:rPr>
              <w:t>1.2</w:t>
            </w:r>
            <w:r>
              <w:rPr>
                <w:sz w:val="21"/>
              </w:rPr>
              <w:t xml:space="preserve">8 </w:t>
            </w:r>
            <w:r>
              <w:rPr>
                <w:sz w:val="21"/>
              </w:rPr>
              <w:t>系统配置二级洁净</w:t>
            </w:r>
            <w:r>
              <w:rPr>
                <w:sz w:val="21"/>
              </w:rPr>
              <w:t>FFU系统，含气浮光学隔振平台 3m*1.5m及控制主机一套。</w:t>
            </w:r>
            <w:r>
              <w:br/>
            </w:r>
            <w:r>
              <w:rPr>
                <w:sz w:val="21"/>
                <w:b/>
              </w:rPr>
              <w:t>2、软件及其功能指标</w:t>
            </w:r>
            <w:r>
              <w:rPr>
                <w:sz w:val="21"/>
                <w:b/>
              </w:rPr>
              <w:t>：</w:t>
            </w:r>
            <w:r>
              <w:br/>
            </w:r>
            <w:r>
              <w:rPr>
                <w:sz w:val="21"/>
              </w:rPr>
              <w:t>2.1、激光器重复频率调节。</w:t>
            </w:r>
            <w:r>
              <w:br/>
            </w:r>
            <w:r>
              <w:rPr>
                <w:sz w:val="21"/>
              </w:rPr>
              <w:t>2.2、激光器功率调节。</w:t>
            </w:r>
            <w:r>
              <w:br/>
            </w:r>
            <w:r>
              <w:rPr>
                <w:sz w:val="21"/>
              </w:rPr>
              <w:t>2.3、激光器同步电路信号输出。</w:t>
            </w:r>
            <w:r>
              <w:br/>
            </w:r>
            <w:r>
              <w:rPr>
                <w:sz w:val="21"/>
              </w:rPr>
              <w:t>2.4、可调谐光源波长调节。</w:t>
            </w:r>
            <w:r>
              <w:br/>
            </w:r>
            <w:r>
              <w:rPr>
                <w:sz w:val="21"/>
                <w:b/>
              </w:rPr>
              <w:t>3、配置清单：</w:t>
            </w:r>
            <w:r>
              <w:br/>
            </w:r>
            <w:r>
              <w:rPr>
                <w:sz w:val="21"/>
              </w:rPr>
              <w:t>3.1泵浦光源主机及水冷机各1台。</w:t>
            </w:r>
            <w:r>
              <w:br/>
            </w:r>
            <w:r>
              <w:rPr>
                <w:sz w:val="21"/>
              </w:rPr>
              <w:t>3.2光参量放大器OPA及水冷机各1台。</w:t>
            </w:r>
            <w:r>
              <w:br/>
            </w:r>
            <w:r>
              <w:rPr>
                <w:sz w:val="21"/>
              </w:rPr>
              <w:t>3.3脉冲压缩模块MPC及水冷机各1台。</w:t>
            </w:r>
            <w:r>
              <w:br/>
            </w:r>
            <w:r>
              <w:rPr>
                <w:sz w:val="21"/>
              </w:rPr>
              <w:t>3.4</w:t>
            </w:r>
            <w:r>
              <w:rPr>
                <w:sz w:val="21"/>
              </w:rPr>
              <w:t xml:space="preserve"> </w:t>
            </w:r>
            <w:r>
              <w:rPr>
                <w:sz w:val="21"/>
              </w:rPr>
              <w:t>FFU系统，气浮光学隔振平台及控制主机各1套。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采购机构代理服务收费标准：中标人须向采购代理机构按如下标准和规定缴纳代理服务费：（1）以项目预算金额作为代理服务费的计算基数； （2）代理服务费采用差额定率累进法进行计算，按照以下标准计取：100万元以下的部分，按照1.5%计取；100-500万元的部分，按照1.1%计取。（3）增值税另行计入招标代理服务费中。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投标文件的递交与开标，1.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我司鼓励将通过快递方式送达给中标（成交）人，服务费（标书款）发票以邮件方式发送电子发票。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华南师范大学大功率超快飞秒激光器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采购包1（华南师范大学大功率超快飞秒激光器采购项目）：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a)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b)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c)对属于强制采购的节能产品，节能要求作为实质性响应指标，不再享受评审优惠。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采购包1（华南师范大学大功率超快飞秒激光器采购项目）：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所有货物的制造商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采购包1（华南师范大学大功率超快飞秒激光器采购项目）：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采购包1(华南师范大学大功率超快飞秒激光器采购项目):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一般技术参数响应情况 (26.0分)</w:t>
            </w:r>
          </w:p>
        </w:tc>
        <w:tc>
          <w:tcPr>
            <w:tcW w:type="dxa" w:w="5076"/>
          </w:tcPr>
          <w:p>
            <w:pPr>
              <w:pStyle w:val="null3"/>
              <w:jc w:val="left"/>
            </w:pPr>
            <w:r>
              <w:rPr/>
              <w:t>投标人所投产品技术参数满足第二章 采购需求附表中“具体技术(参数)要求”中“1、主机技术指标”及“2、软件及其功能指标”中的一般技术参数（非★及▲）的响应情况进行评审（共26项）：每满足一项得1分，最高得26分。 注：如“具体技术(参数)要求”中有明确提供的证明资料的，则以“具体技术(参数)要求”中要求的为准；如“具体技术(参数)要求”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对投标人提供的总体实施方案（包括但不限于项目实施计划、供货方案、安装调试方案等）进行评审： （1）方案内容完善，科学合理，可操作性强，得10分； （2）方案内容较完善，较科学合理，可操作性较强，得7分； （3）方案内容基本完善，基本科学合理，可操作性欠缺，得4分； （4）不提供不得分。</w:t>
            </w:r>
          </w:p>
        </w:tc>
      </w:tr>
      <w:tr>
        <w:tc>
          <w:tcPr>
            <w:tcW w:type="dxa" w:w="922"/>
            <w:gridSpan w:val="2"/>
            <w:vMerge/>
          </w:tcPr>
          <w:p/>
        </w:tc>
        <w:tc>
          <w:tcPr>
            <w:tcW w:type="dxa" w:w="2307"/>
          </w:tcPr>
          <w:p>
            <w:pPr>
              <w:pStyle w:val="null3"/>
              <w:jc w:val="left"/>
            </w:pPr>
            <w:r>
              <w:rPr/>
              <w:t>培训方案 (9.0分)</w:t>
            </w:r>
          </w:p>
        </w:tc>
        <w:tc>
          <w:tcPr>
            <w:tcW w:type="dxa" w:w="5076"/>
          </w:tcPr>
          <w:p>
            <w:pPr>
              <w:pStyle w:val="null3"/>
              <w:jc w:val="left"/>
            </w:pPr>
            <w:r>
              <w:rPr/>
              <w:t>根据投标人提供的培训方案内容（包括但不限于培训计划、培训时间安排、培训方式、培训内容、培训人员等）进行评审： （1）方案完整具体，科学合理、可操作性强，得9分； （2）方案较完整具体，较科学合理、可操作性较强，得6分； （3）方案基本完整具体，基本科学合理、可操作性欠缺，得3分； （4）不提供不得分。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根据投标人提供的售后服务方案（包含但不限于日常维护、响应措施、质保期限服务方案等）进行评审： （1）方案完整具体，科学合理、可操作性强，得10分； （2）方案较完整具体，较科学合理、可操作性较强，得7分； （3）方案基本完整具体，基本科学合理、可操作性欠缺，得4分；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投标人自2022年1月1日至今已完成的同类项目，每提供一个得1分，最多得5分。 注：须提供合同复印件，以合同签订时间为准，不提供不得分。</w:t>
            </w:r>
          </w:p>
        </w:tc>
      </w:tr>
      <w:tr>
        <w:tc>
          <w:tcPr>
            <w:tcW w:type="dxa" w:w="922"/>
            <w:gridSpan w:val="2"/>
            <w:vMerge/>
          </w:tcPr>
          <w:p/>
        </w:tc>
        <w:tc>
          <w:tcPr>
            <w:tcW w:type="dxa" w:w="2307"/>
          </w:tcPr>
          <w:p>
            <w:pPr>
              <w:pStyle w:val="null3"/>
              <w:jc w:val="left"/>
            </w:pPr>
            <w:r>
              <w:rPr/>
              <w:t>满意度评价 (5.0分)</w:t>
            </w:r>
          </w:p>
        </w:tc>
        <w:tc>
          <w:tcPr>
            <w:tcW w:type="dxa" w:w="5076"/>
          </w:tcPr>
          <w:p>
            <w:pPr>
              <w:pStyle w:val="null3"/>
              <w:jc w:val="left"/>
            </w:pPr>
            <w:r>
              <w:rPr/>
              <w:t>满足上述“同类项目业绩”要求的有效业绩，获得客户满意度评价为满意或优或百分制得分为90分（及以上）或同等评价的，每提供一个得1分，最高得5分。 注：提供客户满意度评价证明材料（须含甲方盖章），不提供不得分。</w:t>
            </w:r>
          </w:p>
        </w:tc>
      </w:tr>
      <w:tr>
        <w:tc>
          <w:tcPr>
            <w:tcW w:type="dxa" w:w="922"/>
            <w:gridSpan w:val="2"/>
            <w:vMerge/>
          </w:tcPr>
          <w:p/>
        </w:tc>
        <w:tc>
          <w:tcPr>
            <w:tcW w:type="dxa" w:w="2307"/>
          </w:tcPr>
          <w:p>
            <w:pPr>
              <w:pStyle w:val="null3"/>
              <w:jc w:val="left"/>
            </w:pPr>
            <w:r>
              <w:rPr/>
              <w:t>服务响应能力 (5.0分)</w:t>
            </w:r>
          </w:p>
        </w:tc>
        <w:tc>
          <w:tcPr>
            <w:tcW w:type="dxa" w:w="5076"/>
          </w:tcPr>
          <w:p>
            <w:pPr>
              <w:pStyle w:val="null3"/>
              <w:jc w:val="left"/>
            </w:pPr>
            <w:r>
              <w:rPr/>
              <w:t>投标人承诺以下内容，每一项完全满足或优于以下要求的得2.5分，最高得5分： 1.质保期内，在接到系统故障或问题告知后，中标人响应时间不得超过4小时，到达现场时间不得超过72小时，并应在120小时（前述响应及到达现场时间已包含计算在内）内排除故障。否则视为中标人不能修复货物。如果需要更换配件的，中标人须在10个工作日内完成配件更换服务，且更换的配件跟被更换的品牌、类型相一致或者是同类档次相当或更高的替代品，后者需征得采购人管理人员同意。如果故障在前述时间内仍无法排除，中标人应无条件在15个工作日内提供不低于故障设备规格型号档次的备用设备供采购人使用，直至故障设备修复。 2.质保期满后设备维修仅收取配件成本费，不收取上门费及人工费。 注：提供承诺或声明，格式自拟，不提供或无法认定的不得分。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华南师范大学货物采购合同书</w:t>
      </w:r>
    </w:p>
    <w:p>
      <w:pPr>
        <w:pStyle w:val="null3"/>
        <w:spacing w:before="315" w:after="150"/>
        <w:jc w:val="center"/>
      </w:pPr>
      <w:r>
        <w:rPr>
          <w:sz w:val="28"/>
          <w:b/>
        </w:rPr>
        <w:t>甲方：</w:t>
      </w:r>
      <w:r>
        <w:rPr>
          <w:sz w:val="28"/>
          <w:b/>
          <w:u w:val="single"/>
        </w:rPr>
        <w:t>华南师范大学</w:t>
      </w:r>
    </w:p>
    <w:p>
      <w:pPr>
        <w:pStyle w:val="null3"/>
        <w:ind w:firstLine="1968"/>
        <w:jc w:val="left"/>
      </w:pPr>
      <w:r>
        <w:rPr>
          <w:sz w:val="28"/>
          <w:b/>
        </w:rPr>
        <w:t>乙方：</w:t>
      </w:r>
      <w:r>
        <w:rPr>
          <w:sz w:val="28"/>
          <w:b/>
          <w:u w:val="single"/>
        </w:rPr>
        <w:t>（必填项）</w:t>
      </w:r>
    </w:p>
    <w:p>
      <w:pPr>
        <w:pStyle w:val="null3"/>
        <w:ind w:firstLine="1968"/>
        <w:jc w:val="left"/>
      </w:pPr>
      <w:r>
        <w:rPr>
          <w:sz w:val="28"/>
          <w:b/>
        </w:rPr>
        <w:t>签订地点：</w:t>
      </w:r>
      <w:r>
        <w:rPr>
          <w:sz w:val="28"/>
          <w:b/>
          <w:u w:val="single"/>
        </w:rPr>
        <w:t xml:space="preserve">  </w:t>
      </w:r>
      <w:r>
        <w:rPr>
          <w:sz w:val="28"/>
          <w:b/>
          <w:u w:val="single"/>
        </w:rPr>
        <w:t>广州市</w:t>
      </w:r>
      <w:r>
        <w:rPr>
          <w:sz w:val="28"/>
          <w:b/>
          <w:u w:val="single"/>
        </w:rPr>
        <w:t>天河区</w:t>
      </w:r>
      <w:r>
        <w:rPr>
          <w:sz w:val="28"/>
          <w:b/>
          <w:u w:val="single"/>
        </w:rPr>
        <w:t xml:space="preserve">   </w:t>
      </w:r>
    </w:p>
    <w:p>
      <w:pPr>
        <w:pStyle w:val="null3"/>
        <w:ind w:firstLine="1968"/>
        <w:jc w:val="left"/>
      </w:pPr>
      <w:r>
        <w:rPr>
          <w:sz w:val="28"/>
          <w:b/>
        </w:rPr>
        <w:t>合同名称：</w:t>
      </w:r>
      <w:r>
        <w:rPr>
          <w:sz w:val="28"/>
          <w:b/>
          <w:u w:val="single"/>
        </w:rPr>
        <w:t>华南师范大学</w:t>
      </w:r>
      <w:r>
        <w:rPr>
          <w:sz w:val="28"/>
          <w:b/>
          <w:u w:val="single"/>
        </w:rPr>
        <w:t>+二级单位名称+采购+货物名称</w:t>
      </w:r>
    </w:p>
    <w:p>
      <w:pPr>
        <w:pStyle w:val="null3"/>
        <w:ind w:firstLine="1925"/>
        <w:jc w:val="left"/>
      </w:pPr>
      <w:r>
        <w:rPr>
          <w:sz w:val="28"/>
          <w:b/>
        </w:rPr>
        <w:t>合同编号：</w:t>
      </w:r>
      <w:r>
        <w:rPr>
          <w:sz w:val="28"/>
          <w:b/>
          <w:u w:val="single"/>
        </w:rPr>
        <w:t>（示例：</w:t>
      </w:r>
      <w:r>
        <w:rPr>
          <w:sz w:val="28"/>
          <w:b/>
          <w:u w:val="single"/>
        </w:rPr>
        <w:t>HT202</w:t>
      </w:r>
      <w:r>
        <w:rPr>
          <w:sz w:val="28"/>
          <w:b/>
          <w:u w:val="single"/>
        </w:rPr>
        <w:t>4A</w:t>
      </w:r>
      <w:r>
        <w:rPr>
          <w:sz w:val="28"/>
          <w:b/>
          <w:u w:val="single"/>
        </w:rPr>
        <w:t>XXXX</w:t>
      </w:r>
      <w:r>
        <w:rPr>
          <w:sz w:val="28"/>
          <w:b/>
          <w:u w:val="single"/>
        </w:rPr>
        <w:t>）</w:t>
      </w:r>
    </w:p>
    <w:p>
      <w:pPr>
        <w:pStyle w:val="null3"/>
        <w:ind w:firstLine="1968"/>
        <w:jc w:val="left"/>
      </w:pPr>
      <w:r>
        <w:rPr>
          <w:sz w:val="28"/>
          <w:b/>
        </w:rPr>
        <w:t>采购编号：</w:t>
      </w:r>
      <w:r>
        <w:rPr>
          <w:sz w:val="28"/>
          <w:b/>
          <w:u w:val="single"/>
        </w:rPr>
        <w:t>（</w:t>
      </w:r>
      <w:r>
        <w:rPr>
          <w:sz w:val="28"/>
          <w:b/>
          <w:u w:val="single"/>
        </w:rPr>
        <w:t>填写招标文件上的编号</w:t>
      </w:r>
      <w:r>
        <w:rPr>
          <w:sz w:val="28"/>
          <w:b/>
          <w:u w:val="single"/>
        </w:rPr>
        <w:t>）</w:t>
      </w:r>
    </w:p>
    <w:p>
      <w:pPr>
        <w:pStyle w:val="null3"/>
        <w:ind w:firstLine="2168"/>
        <w:jc w:val="left"/>
      </w:pPr>
      <w:r>
        <w:rPr>
          <w:sz w:val="28"/>
          <w:b/>
        </w:rPr>
        <w:t>华南师范大学采购与招投标中心拟制</w:t>
      </w:r>
    </w:p>
    <w:p>
      <w:pPr>
        <w:pStyle w:val="null3"/>
        <w:jc w:val="center"/>
      </w:pPr>
      <w:r>
        <w:rPr>
          <w:sz w:val="28"/>
          <w:b/>
        </w:rPr>
        <w:t>二〇二四年十一月版</w:t>
      </w:r>
    </w:p>
    <w:p>
      <w:pPr>
        <w:pStyle w:val="null3"/>
        <w:ind w:firstLine="562"/>
        <w:jc w:val="center"/>
      </w:pPr>
      <w:r>
        <w:rPr>
          <w:sz w:val="28"/>
          <w:b/>
          <w:color w:val="000000"/>
        </w:rPr>
        <w:t>合同使用指引</w:t>
      </w:r>
    </w:p>
    <w:p>
      <w:pPr>
        <w:pStyle w:val="null3"/>
        <w:ind w:firstLine="420"/>
        <w:jc w:val="left"/>
      </w:pPr>
      <w:r>
        <w:rPr>
          <w:sz w:val="21"/>
          <w:color w:val="000000"/>
        </w:rPr>
        <w:t>一、本合同书为华南师范大学</w:t>
      </w:r>
      <w:r>
        <w:rPr>
          <w:sz w:val="21"/>
          <w:b/>
          <w:color w:val="000000"/>
        </w:rPr>
        <w:t>国内</w:t>
      </w:r>
      <w:r>
        <w:rPr>
          <w:sz w:val="21"/>
          <w:color w:val="000000"/>
        </w:rPr>
        <w:t>货物采购合同</w:t>
      </w:r>
      <w:r>
        <w:rPr>
          <w:sz w:val="21"/>
        </w:rPr>
        <w:t>范本，</w:t>
      </w:r>
      <w:r>
        <w:rPr>
          <w:sz w:val="21"/>
          <w:b/>
        </w:rPr>
        <w:t>适用于公开招标、邀请招标、单一来源、竞争性谈判、竞争性磋商、询价等采购方式产生的合同</w:t>
      </w:r>
      <w:r>
        <w:rPr>
          <w:sz w:val="21"/>
        </w:rPr>
        <w:t>。</w:t>
      </w:r>
    </w:p>
    <w:p>
      <w:pPr>
        <w:pStyle w:val="null3"/>
        <w:ind w:firstLine="420"/>
        <w:jc w:val="left"/>
      </w:pPr>
      <w:r>
        <w:rPr>
          <w:sz w:val="21"/>
          <w:color w:val="000000"/>
        </w:rPr>
        <w:t>二、</w:t>
      </w:r>
      <w:r>
        <w:rPr>
          <w:sz w:val="21"/>
          <w:b/>
          <w:color w:val="000000"/>
        </w:rPr>
        <w:t>本合同书原则上不得随意修改、删减</w:t>
      </w:r>
      <w:r>
        <w:rPr>
          <w:sz w:val="21"/>
          <w:color w:val="000000"/>
        </w:rPr>
        <w:t>，如有特殊约定可增加补充条款或附件，但所补充内容不得与已有条款内容相冲突。</w:t>
      </w:r>
    </w:p>
    <w:p>
      <w:pPr>
        <w:pStyle w:val="null3"/>
        <w:ind w:firstLine="420"/>
        <w:jc w:val="left"/>
      </w:pPr>
      <w:r>
        <w:rPr>
          <w:sz w:val="21"/>
          <w:color w:val="000000"/>
        </w:rPr>
        <w:t>三、在使用本合同书时，</w:t>
      </w:r>
      <w:r>
        <w:rPr>
          <w:sz w:val="21"/>
          <w:b/>
          <w:color w:val="000000"/>
        </w:rPr>
        <w:t>应当结合具体情况正确选择文本中所提供的选择项条款；画横线处及空格的内容则由双方根据实际情况填写</w:t>
      </w:r>
      <w:r>
        <w:rPr>
          <w:sz w:val="21"/>
          <w:color w:val="000000"/>
        </w:rPr>
        <w:t>。对于无需填写的条款，应根据文本提示在该条款处注明</w:t>
      </w:r>
      <w:r>
        <w:rPr>
          <w:sz w:val="21"/>
          <w:color w:val="000000"/>
        </w:rPr>
        <w:t>“无”字样。</w:t>
      </w:r>
    </w:p>
    <w:p>
      <w:pPr>
        <w:pStyle w:val="null3"/>
        <w:ind w:firstLine="420"/>
        <w:jc w:val="left"/>
      </w:pPr>
      <w:r>
        <w:rPr>
          <w:sz w:val="21"/>
          <w:color w:val="000000"/>
        </w:rPr>
        <w:t>四、甲乙双方信息应全部填写完整，合同结尾处的双方签名及签订日期</w:t>
      </w:r>
      <w:r>
        <w:rPr>
          <w:sz w:val="21"/>
          <w:b/>
          <w:color w:val="000000"/>
        </w:rPr>
        <w:t>均应为亲笔签名</w:t>
      </w:r>
      <w:r>
        <w:rPr>
          <w:sz w:val="21"/>
          <w:color w:val="000000"/>
        </w:rPr>
        <w:t>。</w:t>
      </w:r>
    </w:p>
    <w:p>
      <w:pPr>
        <w:pStyle w:val="null3"/>
        <w:ind w:firstLine="420"/>
        <w:jc w:val="left"/>
      </w:pPr>
      <w:r>
        <w:rPr>
          <w:sz w:val="21"/>
          <w:color w:val="000000"/>
        </w:rPr>
        <w:t>五、</w:t>
      </w:r>
      <w:r>
        <w:rPr>
          <w:sz w:val="21"/>
          <w:b/>
          <w:color w:val="000000"/>
        </w:rPr>
        <w:t>本合同书应按规定格式双面打印，大小为</w:t>
      </w:r>
      <w:r>
        <w:rPr>
          <w:sz w:val="21"/>
          <w:b/>
          <w:color w:val="000000"/>
        </w:rPr>
        <w:t>A4幅面，正文内容所用字体应不小于5号字</w:t>
      </w:r>
      <w:r>
        <w:rPr>
          <w:sz w:val="21"/>
          <w:color w:val="000000"/>
        </w:rPr>
        <w:t>。合同附件应与合同书装订在一起，其规格大小应与合同书一致。</w:t>
      </w:r>
    </w:p>
    <w:p>
      <w:pPr>
        <w:pStyle w:val="null3"/>
        <w:ind w:firstLine="420"/>
        <w:jc w:val="left"/>
      </w:pPr>
      <w:r>
        <w:rPr>
          <w:sz w:val="21"/>
          <w:color w:val="000000"/>
        </w:rPr>
        <w:t>六、本合同书经甲乙双方法定代表人或委托代理人签署、加盖单位公章后，送贰份至采购与招投标中心存档备案。</w:t>
      </w:r>
    </w:p>
    <w:p>
      <w:pPr>
        <w:pStyle w:val="null3"/>
        <w:ind w:firstLine="420"/>
        <w:jc w:val="left"/>
      </w:pPr>
      <w:r>
        <w:rPr>
          <w:sz w:val="21"/>
          <w:color w:val="000000"/>
        </w:rPr>
        <w:t>七、甲乙双方应保管好合同书原件。</w:t>
      </w:r>
    </w:p>
    <w:p>
      <w:pPr>
        <w:pStyle w:val="null3"/>
        <w:ind w:firstLine="420"/>
        <w:jc w:val="left"/>
      </w:pPr>
      <w:r>
        <w:rPr>
          <w:sz w:val="21"/>
          <w:color w:val="000000"/>
        </w:rPr>
        <w:t>根据《中华人民共和国政府采购法》、《中华人民共和国招标投标法》、《中华人民共和国</w:t>
      </w:r>
      <w:r>
        <w:rPr>
          <w:sz w:val="21"/>
        </w:rPr>
        <w:t>民法典》</w:t>
      </w:r>
      <w:r>
        <w:rPr>
          <w:sz w:val="21"/>
          <w:color w:val="000000"/>
        </w:rPr>
        <w:t>等法律法规，以及甲方委托</w:t>
      </w:r>
      <w:r>
        <w:rPr>
          <w:sz w:val="21"/>
          <w:color w:val="000000"/>
        </w:rPr>
        <w:t>__________（代理机构名称）组织的_____项目（项目名称）(采购编号_________)的成交结果，经甲乙双方协商一致，签订本合同，由双方共同恪守如下内容：</w:t>
      </w:r>
    </w:p>
    <w:p>
      <w:pPr>
        <w:pStyle w:val="null3"/>
        <w:ind w:firstLine="422"/>
        <w:jc w:val="left"/>
      </w:pPr>
      <w:r>
        <w:rPr>
          <w:sz w:val="21"/>
          <w:b/>
          <w:color w:val="000000"/>
        </w:rPr>
        <w:t>一、合同标的</w:t>
      </w:r>
    </w:p>
    <w:p>
      <w:pPr>
        <w:pStyle w:val="null3"/>
        <w:ind w:firstLine="420"/>
        <w:jc w:val="left"/>
      </w:pPr>
      <w:r>
        <w:rPr>
          <w:sz w:val="21"/>
          <w:color w:val="000000"/>
        </w:rPr>
        <w:t>1．</w:t>
      </w:r>
      <w:r>
        <w:rPr>
          <w:sz w:val="21"/>
          <w:color w:val="000000"/>
        </w:rPr>
        <w:t>标的物明细</w:t>
      </w:r>
    </w:p>
    <w:p>
      <w:pPr>
        <w:pStyle w:val="null3"/>
        <w:ind w:firstLine="420"/>
        <w:jc w:val="left"/>
      </w:pPr>
      <w:r>
        <w:rPr>
          <w:sz w:val="21"/>
          <w:color w:val="000000"/>
        </w:rPr>
        <w:t>本合同标的为</w:t>
      </w:r>
      <w:r>
        <w:rPr>
          <w:sz w:val="21"/>
          <w:color w:val="000000"/>
        </w:rPr>
        <w:t>___________（货物名称），包括设计、货物供货、安装、调试、培训、验收、</w:t>
      </w:r>
      <w:r>
        <w:rPr>
          <w:sz w:val="21"/>
        </w:rPr>
        <w:t>技术服务</w:t>
      </w:r>
      <w:r>
        <w:rPr>
          <w:sz w:val="21"/>
          <w:color w:val="000000"/>
        </w:rPr>
        <w:t>、质保期保障等的全部内容，详细内容见下表：</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508"/>
        <w:gridCol w:w="508"/>
        <w:gridCol w:w="825"/>
        <w:gridCol w:w="921"/>
        <w:gridCol w:w="673"/>
        <w:gridCol w:w="2117"/>
        <w:gridCol w:w="646"/>
        <w:gridCol w:w="646"/>
        <w:gridCol w:w="701"/>
        <w:gridCol w:w="715"/>
      </w:tblGrid>
      <w:tr>
        <w:tc>
          <w:tcPr>
            <w:tcW w:type="dxa" w:w="508"/>
            <w:tcBorders>
              <w:top w:val="outset"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项数</w:t>
            </w:r>
          </w:p>
        </w:tc>
        <w:tc>
          <w:tcPr>
            <w:tcW w:type="dxa" w:w="508"/>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货物名称</w:t>
            </w:r>
          </w:p>
        </w:tc>
        <w:tc>
          <w:tcPr>
            <w:tcW w:type="dxa" w:w="825"/>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品牌</w:t>
            </w:r>
          </w:p>
        </w:tc>
        <w:tc>
          <w:tcPr>
            <w:tcW w:type="dxa" w:w="921"/>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型号</w:t>
            </w:r>
          </w:p>
        </w:tc>
        <w:tc>
          <w:tcPr>
            <w:tcW w:type="dxa" w:w="673"/>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产地</w:t>
            </w:r>
          </w:p>
        </w:tc>
        <w:tc>
          <w:tcPr>
            <w:tcW w:type="dxa" w:w="2117"/>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ind w:firstLine="420"/>
              <w:jc w:val="center"/>
            </w:pPr>
            <w:r>
              <w:rPr>
                <w:sz w:val="21"/>
              </w:rPr>
              <w:t>详细配置清单</w:t>
            </w:r>
          </w:p>
        </w:tc>
        <w:tc>
          <w:tcPr>
            <w:tcW w:type="dxa" w:w="64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单位</w:t>
            </w:r>
          </w:p>
        </w:tc>
        <w:tc>
          <w:tcPr>
            <w:tcW w:type="dxa" w:w="64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数量</w:t>
            </w:r>
          </w:p>
        </w:tc>
        <w:tc>
          <w:tcPr>
            <w:tcW w:type="dxa" w:w="701"/>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单价</w:t>
            </w:r>
          </w:p>
        </w:tc>
        <w:tc>
          <w:tcPr>
            <w:tcW w:type="dxa" w:w="715"/>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总价</w:t>
            </w:r>
          </w:p>
        </w:tc>
      </w:tr>
      <w:tr>
        <w:tc>
          <w:tcPr>
            <w:tcW w:type="dxa" w:w="508"/>
            <w:tcBorders>
              <w:top w:val="non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ind w:firstLine="210"/>
              <w:jc w:val="left"/>
            </w:pPr>
            <w:r>
              <w:rPr>
                <w:sz w:val="21"/>
              </w:rPr>
              <w:t>1</w:t>
            </w:r>
          </w:p>
        </w:tc>
        <w:tc>
          <w:tcPr>
            <w:tcW w:type="dxa" w:w="508"/>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p>
        </w:tc>
        <w:tc>
          <w:tcPr>
            <w:tcW w:type="dxa" w:w="825"/>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921"/>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673"/>
            <w:tcBorders>
              <w:top w:val="non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2117"/>
            <w:tcBorders>
              <w:top w:val="none"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请选择填写方式：</w:t>
            </w:r>
            <w:r>
              <w:rPr>
                <w:sz w:val="21"/>
              </w:rPr>
              <w:t>____(</w:t>
            </w:r>
            <w:r>
              <w:rPr>
                <w:sz w:val="21"/>
              </w:rPr>
              <w:t>1.</w:t>
            </w:r>
            <w:r>
              <w:rPr>
                <w:sz w:val="21"/>
              </w:rPr>
              <w:t>在表格中填写；</w:t>
            </w:r>
            <w:r>
              <w:rPr>
                <w:sz w:val="21"/>
              </w:rPr>
              <w:t>2</w:t>
            </w:r>
            <w:r>
              <w:rPr>
                <w:sz w:val="21"/>
              </w:rPr>
              <w:t>.</w:t>
            </w:r>
            <w:r>
              <w:rPr>
                <w:sz w:val="21"/>
              </w:rPr>
              <w:t>在合同附件</w:t>
            </w:r>
            <w:r>
              <w:rPr>
                <w:sz w:val="21"/>
              </w:rPr>
              <w:t>1</w:t>
            </w:r>
            <w:r>
              <w:rPr>
                <w:sz w:val="21"/>
              </w:rPr>
              <w:t>里填写）</w:t>
            </w:r>
          </w:p>
        </w:tc>
        <w:tc>
          <w:tcPr>
            <w:tcW w:type="dxa" w:w="64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p>
        </w:tc>
        <w:tc>
          <w:tcPr>
            <w:tcW w:type="dxa" w:w="64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701"/>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715"/>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r>
      <w:tr>
        <w:tc>
          <w:tcPr>
            <w:tcW w:type="dxa" w:w="8260"/>
            <w:gridSpan w:val="10"/>
            <w:tcBorders>
              <w:top w:val="non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合同总价（人民币）：</w:t>
            </w:r>
            <w:r>
              <w:rPr>
                <w:sz w:val="21"/>
              </w:rPr>
              <w:t xml:space="preserve">  </w:t>
            </w:r>
            <w:r>
              <w:rPr>
                <w:sz w:val="21"/>
              </w:rPr>
              <w:t>佰</w:t>
            </w:r>
            <w:r>
              <w:rPr>
                <w:sz w:val="21"/>
              </w:rPr>
              <w:t xml:space="preserve">  </w:t>
            </w:r>
            <w:r>
              <w:rPr>
                <w:sz w:val="21"/>
              </w:rPr>
              <w:t>拾</w:t>
            </w:r>
            <w:r>
              <w:rPr>
                <w:sz w:val="21"/>
              </w:rPr>
              <w:t xml:space="preserve">  </w:t>
            </w:r>
            <w:r>
              <w:rPr>
                <w:sz w:val="21"/>
              </w:rPr>
              <w:t>万</w:t>
            </w:r>
            <w:r>
              <w:rPr>
                <w:sz w:val="21"/>
              </w:rPr>
              <w:t xml:space="preserve">  </w:t>
            </w:r>
            <w:r>
              <w:rPr>
                <w:sz w:val="21"/>
              </w:rPr>
              <w:t>仟</w:t>
            </w:r>
            <w:r>
              <w:rPr>
                <w:sz w:val="21"/>
              </w:rPr>
              <w:t xml:space="preserve">  </w:t>
            </w:r>
            <w:r>
              <w:rPr>
                <w:sz w:val="21"/>
              </w:rPr>
              <w:t>佰</w:t>
            </w:r>
            <w:r>
              <w:rPr>
                <w:sz w:val="21"/>
              </w:rPr>
              <w:t xml:space="preserve">  </w:t>
            </w:r>
            <w:r>
              <w:rPr>
                <w:sz w:val="21"/>
              </w:rPr>
              <w:t>拾</w:t>
            </w:r>
            <w:r>
              <w:rPr>
                <w:sz w:val="21"/>
              </w:rPr>
              <w:t xml:space="preserve">  </w:t>
            </w:r>
            <w:r>
              <w:rPr>
                <w:sz w:val="21"/>
              </w:rPr>
              <w:t>元</w:t>
            </w:r>
            <w:r>
              <w:rPr>
                <w:sz w:val="21"/>
              </w:rPr>
              <w:t xml:space="preserve">  </w:t>
            </w:r>
            <w:r>
              <w:rPr>
                <w:sz w:val="21"/>
              </w:rPr>
              <w:t>角</w:t>
            </w:r>
            <w:r>
              <w:rPr>
                <w:sz w:val="21"/>
              </w:rPr>
              <w:t xml:space="preserve">  </w:t>
            </w:r>
            <w:r>
              <w:rPr>
                <w:sz w:val="21"/>
              </w:rPr>
              <w:t>分</w:t>
            </w:r>
            <w:r>
              <w:rPr>
                <w:sz w:val="21"/>
              </w:rPr>
              <w:t>（￥</w:t>
            </w:r>
            <w:r>
              <w:rPr>
                <w:sz w:val="21"/>
              </w:rPr>
              <w:t xml:space="preserve">           </w:t>
            </w:r>
            <w:r>
              <w:rPr>
                <w:sz w:val="21"/>
              </w:rPr>
              <w:t>）</w:t>
            </w:r>
          </w:p>
        </w:tc>
      </w:tr>
    </w:tbl>
    <w:p>
      <w:pPr>
        <w:pStyle w:val="null3"/>
        <w:ind w:firstLine="420"/>
        <w:jc w:val="left"/>
      </w:pPr>
      <w:r>
        <w:rPr>
          <w:sz w:val="21"/>
          <w:color w:val="000000"/>
        </w:rPr>
        <w:t>2．</w:t>
      </w:r>
      <w:r>
        <w:rPr>
          <w:sz w:val="21"/>
          <w:color w:val="000000"/>
        </w:rPr>
        <w:t>上述合同总价为乙方按照合同约定完成合同全部义务后所适用的总价格，包括但不限于货物（包括备品备件）的设计、制造、包装、仓储、运输、保险、</w:t>
      </w:r>
      <w:r>
        <w:rPr>
          <w:sz w:val="21"/>
        </w:rPr>
        <w:t>货物运输至最终目的地保险费、装卸费</w:t>
      </w:r>
      <w:r>
        <w:rPr>
          <w:sz w:val="21"/>
          <w:color w:val="000000"/>
        </w:rPr>
        <w:t>、安装、调试、试运行、验收、培训、</w:t>
      </w:r>
      <w:r>
        <w:rPr>
          <w:sz w:val="21"/>
        </w:rPr>
        <w:t>技术服务（包括技术资料、图纸的提供）</w:t>
      </w:r>
      <w:r>
        <w:rPr>
          <w:sz w:val="21"/>
          <w:color w:val="000000"/>
        </w:rPr>
        <w:t>、质保期保障服务等的全部含税费用。除本合同明确约定的费用外，甲方无需支付任何额外费用和承担任何额外义务。</w:t>
      </w:r>
    </w:p>
    <w:p>
      <w:pPr>
        <w:pStyle w:val="null3"/>
        <w:ind w:firstLine="422"/>
        <w:jc w:val="left"/>
      </w:pPr>
      <w:r>
        <w:rPr>
          <w:sz w:val="21"/>
          <w:b/>
          <w:color w:val="000000"/>
        </w:rPr>
        <w:t>二、货物要求</w:t>
      </w:r>
    </w:p>
    <w:p>
      <w:pPr>
        <w:pStyle w:val="null3"/>
        <w:ind w:firstLine="420"/>
        <w:jc w:val="left"/>
      </w:pPr>
      <w:r>
        <w:rPr>
          <w:sz w:val="21"/>
          <w:color w:val="000000"/>
        </w:rPr>
        <w:t>1. 质量要求：乙方提供的货物必须符合（1）中</w:t>
      </w:r>
      <w:r>
        <w:rPr>
          <w:sz w:val="21"/>
        </w:rPr>
        <w:t>华人民共和国国家标准；（</w:t>
      </w:r>
      <w:r>
        <w:rPr>
          <w:sz w:val="21"/>
        </w:rPr>
        <w:t>2）行业标准；（3）地方标准；（4）货物生产商的产品质量标准；（5）其他标准：</w:t>
      </w:r>
      <w:r>
        <w:rPr>
          <w:sz w:val="21"/>
          <w:u w:val="single"/>
        </w:rPr>
        <w:t>（如有请补充，否则请填无）</w:t>
      </w:r>
      <w:r>
        <w:rPr>
          <w:sz w:val="21"/>
        </w:rPr>
        <w:t>等质量标准，否则甲方有权作退货处理。</w:t>
      </w:r>
    </w:p>
    <w:p>
      <w:pPr>
        <w:pStyle w:val="null3"/>
        <w:ind w:firstLine="420"/>
        <w:jc w:val="left"/>
      </w:pPr>
      <w:r>
        <w:rPr>
          <w:sz w:val="21"/>
          <w:color w:val="000000"/>
        </w:rPr>
        <w:t>2</w:t>
      </w:r>
      <w:r>
        <w:rPr>
          <w:sz w:val="21"/>
          <w:color w:val="000000"/>
        </w:rPr>
        <w:t>．</w:t>
      </w:r>
      <w:r>
        <w:rPr>
          <w:sz w:val="21"/>
        </w:rPr>
        <w:t>技术要求：乙方承诺提供的货物完全符合招投标文件中作出的承诺，否则甲方有权作退货处理。</w:t>
      </w:r>
    </w:p>
    <w:p>
      <w:pPr>
        <w:pStyle w:val="null3"/>
        <w:ind w:firstLine="420"/>
        <w:jc w:val="left"/>
      </w:pPr>
      <w:r>
        <w:rPr>
          <w:sz w:val="21"/>
          <w:color w:val="000000"/>
        </w:rPr>
        <w:t>3．</w:t>
      </w:r>
      <w:r>
        <w:rPr>
          <w:sz w:val="21"/>
          <w:color w:val="000000"/>
        </w:rPr>
        <w:t>包装及运输要求：乙方提供的货物必须是制造厂商全新的原厂原装产品（含零部件、配件、随机工具、技术文件等），包装外观完好、表面无划损、破损，无任何缺陷及隐患，每台设备上均应钉有铭牌</w:t>
      </w:r>
      <w:r>
        <w:rPr>
          <w:sz w:val="21"/>
          <w:color w:val="000000"/>
        </w:rPr>
        <w:t>(</w:t>
      </w:r>
      <w:r>
        <w:rPr>
          <w:sz w:val="21"/>
          <w:color w:val="000000"/>
        </w:rPr>
        <w:t>内容包括：制造商</w:t>
      </w:r>
      <w:r>
        <w:rPr>
          <w:sz w:val="21"/>
          <w:color w:val="000000"/>
        </w:rPr>
        <w:t>,</w:t>
      </w:r>
      <w:r>
        <w:rPr>
          <w:sz w:val="21"/>
          <w:color w:val="000000"/>
        </w:rPr>
        <w:t>设备名称、型号规格、序列号）等并附有产品质量检验合格标志，且进货渠道合法，在中国境内可依常规安全合法使用。并应使用产品标准出厂包装，适合于空运、海运、陆运等长途运输方式及气候变化，防潮、防震、防雨、防锈、防冻等。如因包装造成的一切损失（包括但不限于商品损坏、损失、锈蚀、费用增长等），</w:t>
      </w:r>
      <w:r>
        <w:rPr>
          <w:sz w:val="21"/>
          <w:color w:val="0070C0"/>
        </w:rPr>
        <w:t>一</w:t>
      </w:r>
      <w:r>
        <w:rPr>
          <w:sz w:val="21"/>
          <w:color w:val="000000"/>
        </w:rPr>
        <w:t>概由乙方负责赔偿。包装材料具有一定的缓冲性能，能够吸收外部冲击力，避免设备受损。包装以纸箱为主，内有泡沫或气泡膜填充进行隔振缓冲。运输过程，选择优质服务的物流公司。运输过程需要对于仪器货物进行适当的固定，避免运输过程中发生碰撞。乙方承担货物运抵指定交货地点的运输费、保险费、包装费等，上述费用包含在货物的最终成交总额中。设备的包装均应有良好的防湿、防锈、防潮、防雨、防腐及防碰撞等措施，符合《商品包装政府采购需求标准（试行）》及《快递包装政府采购需求标准（试行）》的要求。</w:t>
      </w:r>
    </w:p>
    <w:p>
      <w:pPr>
        <w:pStyle w:val="null3"/>
        <w:ind w:firstLine="420"/>
        <w:jc w:val="left"/>
      </w:pPr>
      <w:r>
        <w:rPr>
          <w:sz w:val="21"/>
          <w:color w:val="000000"/>
        </w:rPr>
        <w:t>4．</w:t>
      </w:r>
      <w:r>
        <w:rPr>
          <w:sz w:val="21"/>
          <w:color w:val="000000"/>
        </w:rPr>
        <w:t>乙方应免费提供中文的产品正式说明书，场地准备书，使用手册及维护手册等，以及所有有关本合同执行的技术文件。如果项目必需但合同又未作规定的，需要乙方才能提供的技术文件，乙方也应及时向甲方提供。技术文件可以是手册、图纸或其他形式的文件资料。上述技术文件应包含保证甲方能够正确进行安装、操作、检查、维修、维护、测试、调试、验收和运作的需要的所有内容。</w:t>
      </w:r>
    </w:p>
    <w:p>
      <w:pPr>
        <w:pStyle w:val="null3"/>
        <w:ind w:firstLine="422"/>
        <w:jc w:val="left"/>
      </w:pPr>
      <w:r>
        <w:rPr>
          <w:sz w:val="21"/>
          <w:b/>
          <w:color w:val="000000"/>
        </w:rPr>
        <w:t>三、货物交付</w:t>
      </w:r>
    </w:p>
    <w:p>
      <w:pPr>
        <w:pStyle w:val="null3"/>
        <w:ind w:firstLine="420"/>
        <w:jc w:val="left"/>
      </w:pPr>
      <w:r>
        <w:rPr>
          <w:sz w:val="21"/>
        </w:rPr>
        <w:t>1．</w:t>
      </w:r>
      <w:r>
        <w:rPr>
          <w:sz w:val="21"/>
        </w:rPr>
        <w:t>交货地点：甲方指定交付地点。（</w:t>
      </w:r>
      <w:r>
        <w:rPr>
          <w:sz w:val="21"/>
          <w:color w:val="000000"/>
        </w:rPr>
        <w:t>联系人：</w:t>
      </w:r>
      <w:r>
        <w:rPr>
          <w:sz w:val="21"/>
          <w:color w:val="000000"/>
        </w:rPr>
        <w:t>__________电话：______________</w:t>
      </w:r>
      <w:r>
        <w:rPr>
          <w:sz w:val="21"/>
        </w:rPr>
        <w:t>）</w:t>
      </w:r>
      <w:r>
        <w:rPr>
          <w:sz w:val="21"/>
          <w:color w:val="000000"/>
        </w:rPr>
        <w:t>；</w:t>
      </w:r>
    </w:p>
    <w:p>
      <w:pPr>
        <w:pStyle w:val="null3"/>
        <w:ind w:firstLine="420"/>
        <w:jc w:val="left"/>
      </w:pPr>
      <w:r>
        <w:rPr>
          <w:sz w:val="21"/>
          <w:color w:val="000000"/>
        </w:rPr>
        <w:t>2</w:t>
      </w:r>
      <w:r>
        <w:rPr>
          <w:sz w:val="21"/>
          <w:color w:val="000000"/>
        </w:rPr>
        <w:t>．</w:t>
      </w:r>
      <w:r>
        <w:rPr>
          <w:sz w:val="21"/>
        </w:rPr>
        <w:t>交货时间：</w:t>
      </w:r>
      <w:r>
        <w:rPr>
          <w:sz w:val="21"/>
          <w:color w:val="000000"/>
        </w:rPr>
        <w:t>__________。</w:t>
      </w:r>
    </w:p>
    <w:p>
      <w:pPr>
        <w:pStyle w:val="null3"/>
        <w:ind w:firstLine="422"/>
        <w:jc w:val="left"/>
      </w:pPr>
      <w:r>
        <w:rPr>
          <w:sz w:val="21"/>
          <w:b/>
          <w:color w:val="000000"/>
        </w:rPr>
        <w:t>四、货物安装及验收</w:t>
      </w:r>
    </w:p>
    <w:p>
      <w:pPr>
        <w:pStyle w:val="null3"/>
        <w:ind w:firstLine="420"/>
        <w:jc w:val="left"/>
      </w:pPr>
      <w:r>
        <w:rPr>
          <w:sz w:val="21"/>
          <w:color w:val="000000"/>
        </w:rPr>
        <w:t xml:space="preserve">1. </w:t>
      </w:r>
      <w:r>
        <w:rPr>
          <w:sz w:val="21"/>
          <w:color w:val="000000"/>
        </w:rPr>
        <w:t>乙方应在签订合同后</w:t>
      </w:r>
      <w:r>
        <w:rPr>
          <w:sz w:val="21"/>
          <w:u w:val="single"/>
        </w:rPr>
        <w:t xml:space="preserve">     </w:t>
      </w:r>
      <w:r>
        <w:rPr>
          <w:sz w:val="21"/>
          <w:color w:val="000000"/>
        </w:rPr>
        <w:t>天内向甲方提出产品安装、调试应准备的条件。乙方必须在货物测试与验收前，向甲方提供按本合同的技术规格、技术规范的要求进行的测试与验收方案。</w:t>
      </w:r>
    </w:p>
    <w:p>
      <w:pPr>
        <w:pStyle w:val="null3"/>
        <w:ind w:firstLine="420"/>
        <w:jc w:val="left"/>
      </w:pPr>
      <w:r>
        <w:rPr>
          <w:sz w:val="21"/>
          <w:color w:val="000000"/>
        </w:rPr>
        <w:t xml:space="preserve">2. </w:t>
      </w:r>
      <w:r>
        <w:rPr>
          <w:sz w:val="21"/>
        </w:rPr>
        <w:t>货物交付甲方后，甲乙双方商定日期，双方一起开箱验货，不得单方面</w:t>
      </w:r>
      <w:r>
        <w:rPr>
          <w:sz w:val="21"/>
          <w:color w:val="000000"/>
        </w:rPr>
        <w:t>开箱。甲方对货物的外观品质、数量、规格、型号、备件、随机资料等进行初步验收，</w:t>
      </w:r>
      <w:r>
        <w:rPr>
          <w:sz w:val="21"/>
        </w:rPr>
        <w:t>由乙方免费现场安装调试。</w:t>
      </w:r>
    </w:p>
    <w:p>
      <w:pPr>
        <w:pStyle w:val="null3"/>
        <w:ind w:firstLine="420"/>
        <w:jc w:val="left"/>
      </w:pPr>
      <w:r>
        <w:rPr>
          <w:sz w:val="21"/>
          <w:color w:val="000000"/>
        </w:rPr>
        <w:t>3．</w:t>
      </w:r>
      <w:r>
        <w:rPr>
          <w:sz w:val="21"/>
          <w:color w:val="000000"/>
        </w:rPr>
        <w:t>甲方在开箱验货中如发现货物不符合合同的约定，有权拒绝接受货物，经各方确认后，乙方应于</w:t>
      </w:r>
      <w:r>
        <w:rPr>
          <w:sz w:val="21"/>
          <w:u w:val="single"/>
        </w:rPr>
        <w:t xml:space="preserve">     </w:t>
      </w:r>
      <w:r>
        <w:rPr>
          <w:sz w:val="21"/>
        </w:rPr>
        <w:t>天</w:t>
      </w:r>
      <w:r>
        <w:rPr>
          <w:sz w:val="21"/>
          <w:color w:val="000000"/>
        </w:rPr>
        <w:t>内重新提供符合合同约定的货物，否则，视为乙方逾期交货。</w:t>
      </w:r>
    </w:p>
    <w:p>
      <w:pPr>
        <w:pStyle w:val="null3"/>
        <w:ind w:firstLine="420"/>
        <w:jc w:val="left"/>
      </w:pPr>
      <w:r>
        <w:rPr>
          <w:sz w:val="21"/>
          <w:color w:val="000000"/>
        </w:rPr>
        <w:t>4</w:t>
      </w:r>
      <w:r>
        <w:rPr>
          <w:sz w:val="21"/>
          <w:color w:val="000000"/>
        </w:rPr>
        <w:t>．乙方应于</w:t>
      </w:r>
      <w:r>
        <w:rPr>
          <w:sz w:val="21"/>
          <w:color w:val="000000"/>
        </w:rPr>
        <w:t>货到甲方指定交货地点之日起</w:t>
      </w:r>
      <w:r>
        <w:rPr>
          <w:sz w:val="21"/>
          <w:u w:val="single"/>
        </w:rPr>
        <w:t xml:space="preserve">    </w:t>
      </w:r>
      <w:r>
        <w:rPr>
          <w:sz w:val="21"/>
        </w:rPr>
        <w:t>天</w:t>
      </w:r>
      <w:r>
        <w:rPr>
          <w:sz w:val="21"/>
          <w:color w:val="000000"/>
        </w:rPr>
        <w:t>内完成安装调试</w:t>
      </w:r>
      <w:r>
        <w:rPr>
          <w:sz w:val="21"/>
          <w:color w:val="000000"/>
        </w:rPr>
        <w:t>。</w:t>
      </w:r>
      <w:r>
        <w:rPr>
          <w:sz w:val="21"/>
          <w:color w:val="000000"/>
        </w:rPr>
        <w:t>货物安装调试完毕</w:t>
      </w:r>
      <w:r>
        <w:rPr>
          <w:sz w:val="21"/>
          <w:color w:val="000000"/>
        </w:rPr>
        <w:t>且</w:t>
      </w:r>
      <w:r>
        <w:rPr>
          <w:sz w:val="21"/>
          <w:color w:val="000000"/>
        </w:rPr>
        <w:t>正常运行</w:t>
      </w:r>
      <w:r>
        <w:rPr>
          <w:sz w:val="21"/>
        </w:rPr>
        <w:t>不少于</w:t>
      </w:r>
      <w:r>
        <w:rPr>
          <w:sz w:val="21"/>
          <w:u w:val="single"/>
        </w:rPr>
        <w:t xml:space="preserve">     </w:t>
      </w:r>
      <w:r>
        <w:rPr>
          <w:sz w:val="21"/>
        </w:rPr>
        <w:t>个月</w:t>
      </w:r>
      <w:r>
        <w:rPr>
          <w:sz w:val="21"/>
        </w:rPr>
        <w:t>后</w:t>
      </w:r>
      <w:r>
        <w:rPr>
          <w:sz w:val="21"/>
          <w:color w:val="000000"/>
        </w:rPr>
        <w:t>，乙方应备齐甲方要求提供的验收文件，并提出</w:t>
      </w:r>
      <w:r>
        <w:rPr>
          <w:sz w:val="21"/>
          <w:color w:val="000000"/>
        </w:rPr>
        <w:t>书面</w:t>
      </w:r>
      <w:r>
        <w:rPr>
          <w:sz w:val="21"/>
          <w:color w:val="000000"/>
        </w:rPr>
        <w:t>验收申请。甲方</w:t>
      </w:r>
      <w:r>
        <w:rPr>
          <w:sz w:val="21"/>
          <w:color w:val="000000"/>
        </w:rPr>
        <w:t>将按流程进行验收</w:t>
      </w:r>
      <w:r>
        <w:rPr>
          <w:sz w:val="21"/>
          <w:color w:val="000000"/>
        </w:rPr>
        <w:t>，</w:t>
      </w:r>
      <w:r>
        <w:rPr>
          <w:sz w:val="21"/>
          <w:color w:val="000000"/>
        </w:rPr>
        <w:t>并</w:t>
      </w:r>
      <w:r>
        <w:rPr>
          <w:sz w:val="21"/>
          <w:color w:val="000000"/>
        </w:rPr>
        <w:t>出具采购物资验收报告给乙方。</w:t>
      </w:r>
      <w:r>
        <w:rPr>
          <w:sz w:val="21"/>
          <w:color w:val="000000"/>
        </w:rPr>
        <w:t>货物</w:t>
      </w:r>
      <w:r>
        <w:rPr>
          <w:sz w:val="21"/>
          <w:color w:val="000000"/>
        </w:rPr>
        <w:t>验收合格之日为甲方签署采购物资验收报告的日期。</w:t>
      </w:r>
    </w:p>
    <w:p>
      <w:pPr>
        <w:pStyle w:val="null3"/>
        <w:ind w:firstLine="420"/>
        <w:jc w:val="left"/>
      </w:pPr>
      <w:r>
        <w:rPr>
          <w:sz w:val="21"/>
          <w:color w:val="000000"/>
        </w:rPr>
        <w:t>5</w:t>
      </w:r>
      <w:r>
        <w:rPr>
          <w:sz w:val="21"/>
          <w:color w:val="000000"/>
        </w:rPr>
        <w:t>．</w:t>
      </w:r>
      <w:r>
        <w:rPr>
          <w:sz w:val="21"/>
          <w:color w:val="000000"/>
        </w:rPr>
        <w:t>货物验收标准：</w:t>
      </w:r>
      <w:r>
        <w:rPr>
          <w:sz w:val="21"/>
          <w:color w:val="000000"/>
        </w:rPr>
        <w:t>以招</w:t>
      </w:r>
      <w:r>
        <w:rPr>
          <w:sz w:val="21"/>
          <w:color w:val="000000"/>
        </w:rPr>
        <w:t>投</w:t>
      </w:r>
      <w:r>
        <w:rPr>
          <w:sz w:val="21"/>
          <w:color w:val="000000"/>
        </w:rPr>
        <w:t>标文件和合同项下所述的标准和要求进行验收，如招</w:t>
      </w:r>
      <w:r>
        <w:rPr>
          <w:sz w:val="21"/>
          <w:color w:val="000000"/>
        </w:rPr>
        <w:t>投</w:t>
      </w:r>
      <w:r>
        <w:rPr>
          <w:sz w:val="21"/>
          <w:color w:val="000000"/>
        </w:rPr>
        <w:t>标文件与合同的标准和要求有冲突的，以招</w:t>
      </w:r>
      <w:r>
        <w:rPr>
          <w:sz w:val="21"/>
          <w:color w:val="000000"/>
        </w:rPr>
        <w:t>投</w:t>
      </w:r>
      <w:r>
        <w:rPr>
          <w:sz w:val="21"/>
          <w:color w:val="000000"/>
        </w:rPr>
        <w:t>标文件为准。</w:t>
      </w:r>
    </w:p>
    <w:p>
      <w:pPr>
        <w:pStyle w:val="null3"/>
        <w:ind w:firstLine="420"/>
        <w:jc w:val="both"/>
      </w:pPr>
      <w:r>
        <w:rPr>
          <w:sz w:val="21"/>
        </w:rPr>
        <w:t>6.</w:t>
      </w:r>
      <w:r>
        <w:rPr>
          <w:sz w:val="21"/>
        </w:rPr>
        <w:t xml:space="preserve"> </w:t>
      </w:r>
      <w:r>
        <w:rPr>
          <w:sz w:val="21"/>
        </w:rPr>
        <w:t>乙方在合同签订后</w:t>
      </w:r>
      <w:r>
        <w:rPr>
          <w:sz w:val="21"/>
          <w:u w:val="single"/>
        </w:rPr>
        <w:t xml:space="preserve">    </w:t>
      </w:r>
      <w:r>
        <w:rPr>
          <w:sz w:val="21"/>
        </w:rPr>
        <w:t>日内，以支票、汇票、本票、保函或转账方式向甲方提交合同总额的</w:t>
      </w:r>
      <w:r>
        <w:rPr>
          <w:sz w:val="21"/>
          <w:u w:val="single"/>
        </w:rPr>
        <w:t xml:space="preserve">    </w:t>
      </w:r>
      <w:r>
        <w:rPr>
          <w:sz w:val="21"/>
          <w:u w:val="single"/>
        </w:rPr>
        <w:t>%</w:t>
      </w:r>
      <w:r>
        <w:rPr>
          <w:sz w:val="21"/>
        </w:rPr>
        <w:t>作为履约保证金。项目验收合格</w:t>
      </w:r>
      <w:r>
        <w:rPr>
          <w:sz w:val="21"/>
          <w:u w:val="single"/>
        </w:rPr>
        <w:t xml:space="preserve">    </w:t>
      </w:r>
      <w:r>
        <w:rPr>
          <w:sz w:val="21"/>
        </w:rPr>
        <w:t>个月内，合同标的无质量问题，乙方凭收据向甲方申请退还，甲方在收到乙方申请单据之日起</w:t>
      </w:r>
      <w:r>
        <w:rPr>
          <w:sz w:val="21"/>
        </w:rPr>
        <w:t>15</w:t>
      </w:r>
      <w:r>
        <w:rPr>
          <w:sz w:val="21"/>
        </w:rPr>
        <w:t>个工作日内无息退还给乙方。履约保证金不予退还的情形：（</w:t>
      </w:r>
      <w:r>
        <w:rPr>
          <w:sz w:val="21"/>
        </w:rPr>
        <w:t>1</w:t>
      </w:r>
      <w:r>
        <w:rPr>
          <w:sz w:val="21"/>
        </w:rPr>
        <w:t>）未经甲方同意，乙方将本项目进行分包或转包给他人；（</w:t>
      </w:r>
      <w:r>
        <w:rPr>
          <w:sz w:val="21"/>
        </w:rPr>
        <w:t>2</w:t>
      </w:r>
      <w:r>
        <w:rPr>
          <w:sz w:val="21"/>
        </w:rPr>
        <w:t>）在履行合同期间，乙方未经甲方同意提前终止本项目合同；（</w:t>
      </w:r>
      <w:r>
        <w:rPr>
          <w:sz w:val="21"/>
        </w:rPr>
        <w:t>3</w:t>
      </w:r>
      <w:r>
        <w:rPr>
          <w:sz w:val="21"/>
        </w:rPr>
        <w:t>）在履行合同期间，乙方因在经营活动中存在违法被吊销营业执照或相关许可，导致本项目合同无法继续履行的。</w:t>
      </w:r>
    </w:p>
    <w:p>
      <w:pPr>
        <w:pStyle w:val="null3"/>
        <w:ind w:firstLine="420"/>
        <w:jc w:val="left"/>
      </w:pPr>
      <w:r>
        <w:rPr>
          <w:sz w:val="21"/>
          <w:color w:val="000000"/>
        </w:rPr>
        <w:t>7. 经甲方对乙方提供的货物进行验收，若发现乙方提供的货物不符合招投标文件及合同规定的质量要求，甲方有权拒收该货物，乙方应无条件更换被拒绝的货物，或者免费进行必要的修改以满足规定的要求；甲方也有权选择解除合同并要求乙方承担违约责任。</w:t>
      </w:r>
    </w:p>
    <w:p>
      <w:pPr>
        <w:pStyle w:val="null3"/>
        <w:ind w:firstLine="420"/>
        <w:jc w:val="left"/>
      </w:pPr>
      <w:r>
        <w:rPr>
          <w:sz w:val="21"/>
          <w:color w:val="000000"/>
        </w:rPr>
        <w:t>8. 甲方在货物到达交货地点后对货物进行检验、测试及必要时拒绝接受货物的权利将不会因为货物在乙方或其分包人的驻地已通过了甲方或其代表的检验、测试和认可而受到限制或放弃。</w:t>
      </w:r>
    </w:p>
    <w:p>
      <w:pPr>
        <w:pStyle w:val="null3"/>
        <w:ind w:firstLine="422"/>
        <w:jc w:val="left"/>
      </w:pPr>
      <w:r>
        <w:rPr>
          <w:sz w:val="21"/>
          <w:b/>
          <w:color w:val="000000"/>
        </w:rPr>
        <w:t>五、付款</w:t>
      </w:r>
    </w:p>
    <w:p>
      <w:pPr>
        <w:pStyle w:val="null3"/>
        <w:ind w:firstLine="420"/>
        <w:jc w:val="left"/>
      </w:pPr>
      <w:r>
        <w:rPr>
          <w:sz w:val="21"/>
          <w:color w:val="000000"/>
        </w:rPr>
        <w:t>1. 本合同采用以下第____种付款方式：</w:t>
      </w:r>
    </w:p>
    <w:p>
      <w:pPr>
        <w:pStyle w:val="null3"/>
        <w:ind w:firstLine="420"/>
        <w:jc w:val="left"/>
      </w:pPr>
      <w:r>
        <w:rPr>
          <w:sz w:val="21"/>
        </w:rPr>
        <w:t>A. 一次性结算</w:t>
      </w:r>
    </w:p>
    <w:p>
      <w:pPr>
        <w:pStyle w:val="null3"/>
        <w:ind w:firstLine="420"/>
        <w:jc w:val="left"/>
      </w:pPr>
      <w:r>
        <w:rPr>
          <w:sz w:val="21"/>
        </w:rPr>
        <w:t>货到交货地点、验收合格后</w:t>
      </w:r>
      <w:r>
        <w:rPr>
          <w:sz w:val="21"/>
          <w:u w:val="single"/>
        </w:rPr>
        <w:t xml:space="preserve">      </w:t>
      </w:r>
      <w:r>
        <w:rPr>
          <w:sz w:val="21"/>
        </w:rPr>
        <w:t>个工作日内一次付清货款。</w:t>
      </w:r>
    </w:p>
    <w:p>
      <w:pPr>
        <w:pStyle w:val="null3"/>
        <w:ind w:firstLine="420"/>
        <w:jc w:val="left"/>
      </w:pPr>
      <w:r>
        <w:rPr>
          <w:sz w:val="21"/>
        </w:rPr>
        <w:t>B.分期结算</w:t>
      </w:r>
    </w:p>
    <w:p>
      <w:pPr>
        <w:pStyle w:val="null3"/>
        <w:ind w:firstLine="420"/>
        <w:jc w:val="left"/>
      </w:pPr>
      <w:r>
        <w:rPr>
          <w:sz w:val="21"/>
        </w:rPr>
        <w:t>本合同总金额为￥</w:t>
      </w:r>
      <w:r>
        <w:rPr>
          <w:sz w:val="21"/>
        </w:rPr>
        <w:t>____________，分</w:t>
      </w:r>
      <w:r>
        <w:rPr>
          <w:sz w:val="21"/>
          <w:u w:val="single"/>
        </w:rPr>
        <w:t xml:space="preserve">     </w:t>
      </w:r>
      <w:r>
        <w:rPr>
          <w:sz w:val="21"/>
        </w:rPr>
        <w:t>次结算。</w:t>
      </w:r>
    </w:p>
    <w:p>
      <w:pPr>
        <w:pStyle w:val="null3"/>
        <w:ind w:firstLine="420"/>
        <w:jc w:val="left"/>
      </w:pPr>
      <w:r>
        <w:rPr>
          <w:sz w:val="21"/>
        </w:rPr>
        <w:t>第一期：签订合同后</w:t>
      </w:r>
      <w:r>
        <w:rPr>
          <w:sz w:val="21"/>
        </w:rPr>
        <w:t>___个工作日内支付￥______（即合同总金额的____％）（注：第一期付款金额一般不得超过合同总金额的30%）。</w:t>
      </w:r>
    </w:p>
    <w:p>
      <w:pPr>
        <w:pStyle w:val="null3"/>
        <w:ind w:firstLine="420"/>
        <w:jc w:val="left"/>
      </w:pPr>
      <w:r>
        <w:rPr>
          <w:sz w:val="21"/>
        </w:rPr>
        <w:t>第二期：货到交货地点、安装调试、验收合格后</w:t>
      </w:r>
      <w:r>
        <w:rPr>
          <w:sz w:val="21"/>
        </w:rPr>
        <w:t>___个工作日内支付￥______（即合同总金额的____％）。</w:t>
      </w:r>
    </w:p>
    <w:p>
      <w:pPr>
        <w:pStyle w:val="null3"/>
        <w:ind w:firstLine="420"/>
        <w:jc w:val="left"/>
      </w:pPr>
      <w:r>
        <w:rPr>
          <w:sz w:val="21"/>
        </w:rPr>
        <w:t>C.分期结算+银行保函（仅适用大规模设备更新项目）</w:t>
      </w:r>
    </w:p>
    <w:p>
      <w:pPr>
        <w:pStyle w:val="null3"/>
        <w:ind w:firstLine="420"/>
        <w:jc w:val="left"/>
      </w:pPr>
      <w:r>
        <w:rPr>
          <w:sz w:val="21"/>
        </w:rPr>
        <w:t>第一期：支付比例</w:t>
      </w:r>
      <w:r>
        <w:rPr>
          <w:sz w:val="21"/>
          <w:u w:val="single"/>
        </w:rPr>
        <w:t xml:space="preserve">    </w:t>
      </w:r>
      <w:r>
        <w:rPr>
          <w:sz w:val="21"/>
        </w:rPr>
        <w:t>%。合同签订后，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日前，乙方务必供货到甲方指定地点或提供与合同金额</w:t>
      </w:r>
      <w:r>
        <w:rPr>
          <w:sz w:val="21"/>
          <w:u w:val="single"/>
        </w:rPr>
        <w:t xml:space="preserve">     </w:t>
      </w:r>
      <w:r>
        <w:rPr>
          <w:sz w:val="21"/>
        </w:rPr>
        <w:t>%等额的银行保函，甲方支付</w:t>
      </w:r>
      <w:r>
        <w:rPr>
          <w:sz w:val="21"/>
          <w:u w:val="single"/>
        </w:rPr>
        <w:t xml:space="preserve">    </w:t>
      </w:r>
      <w:r>
        <w:rPr>
          <w:sz w:val="21"/>
        </w:rPr>
        <w:t>%合同金额至乙方指定账户。（如乙方为中小微企业的，则合同签订后</w:t>
      </w:r>
      <w:r>
        <w:rPr>
          <w:sz w:val="21"/>
          <w:u w:val="single"/>
        </w:rPr>
        <w:t xml:space="preserve">    </w:t>
      </w:r>
      <w:r>
        <w:rPr>
          <w:sz w:val="21"/>
        </w:rPr>
        <w:t>个工作日内，甲方通过银行转账方式支付合同金额的</w:t>
      </w:r>
      <w:r>
        <w:rPr>
          <w:sz w:val="21"/>
          <w:u w:val="single"/>
        </w:rPr>
        <w:t xml:space="preserve">   </w:t>
      </w:r>
      <w:r>
        <w:rPr>
          <w:sz w:val="21"/>
        </w:rPr>
        <w:t>%给乙方作为预付款；</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日前，乙方务必供货到甲方指定地点或提供与合同金额</w:t>
      </w:r>
      <w:r>
        <w:rPr>
          <w:sz w:val="21"/>
          <w:u w:val="single"/>
        </w:rPr>
        <w:t xml:space="preserve">   </w:t>
      </w:r>
      <w:r>
        <w:rPr>
          <w:sz w:val="21"/>
        </w:rPr>
        <w:t>%等额的银行保函，支付合同金额的</w:t>
      </w:r>
      <w:r>
        <w:rPr>
          <w:sz w:val="21"/>
          <w:u w:val="single"/>
        </w:rPr>
        <w:t xml:space="preserve">     </w:t>
      </w:r>
      <w:r>
        <w:rPr>
          <w:sz w:val="21"/>
        </w:rPr>
        <w:t>%。）</w:t>
      </w:r>
    </w:p>
    <w:p>
      <w:pPr>
        <w:pStyle w:val="null3"/>
        <w:ind w:firstLine="420"/>
        <w:jc w:val="left"/>
      </w:pPr>
      <w:r>
        <w:rPr>
          <w:sz w:val="21"/>
        </w:rPr>
        <w:t>第二期：支付比例</w:t>
      </w:r>
      <w:r>
        <w:rPr>
          <w:sz w:val="21"/>
          <w:u w:val="single"/>
        </w:rPr>
        <w:t xml:space="preserve">     </w:t>
      </w:r>
      <w:r>
        <w:rPr>
          <w:sz w:val="21"/>
        </w:rPr>
        <w:t>%。待甲方验收合格后，支付合同金额的</w:t>
      </w:r>
      <w:r>
        <w:rPr>
          <w:sz w:val="21"/>
          <w:u w:val="single"/>
        </w:rPr>
        <w:t xml:space="preserve">    </w:t>
      </w:r>
      <w:r>
        <w:rPr>
          <w:sz w:val="21"/>
        </w:rPr>
        <w:t>%。</w:t>
      </w:r>
    </w:p>
    <w:p>
      <w:pPr>
        <w:pStyle w:val="null3"/>
        <w:ind w:firstLine="420"/>
        <w:jc w:val="left"/>
      </w:pPr>
      <w:r>
        <w:rPr>
          <w:sz w:val="21"/>
          <w:color w:val="000000"/>
        </w:rPr>
        <w:t>（甲方纳税人识别号</w:t>
      </w:r>
      <w:r>
        <w:rPr>
          <w:sz w:val="21"/>
          <w:color w:val="000000"/>
        </w:rPr>
        <w:t>: 12440000</w:t>
      </w:r>
      <w:r>
        <w:rPr>
          <w:sz w:val="21"/>
        </w:rPr>
        <w:t>4558589190）</w:t>
      </w:r>
    </w:p>
    <w:p>
      <w:pPr>
        <w:pStyle w:val="null3"/>
        <w:ind w:firstLine="420"/>
        <w:jc w:val="left"/>
      </w:pPr>
      <w:r>
        <w:rPr>
          <w:sz w:val="21"/>
        </w:rPr>
        <w:t>2.甲方每次支付前，乙方应提供等额增值税专用发票。</w:t>
      </w:r>
    </w:p>
    <w:p>
      <w:pPr>
        <w:pStyle w:val="null3"/>
        <w:ind w:firstLine="420"/>
        <w:jc w:val="left"/>
      </w:pPr>
      <w:r>
        <w:rPr>
          <w:sz w:val="21"/>
          <w:color w:val="000000"/>
        </w:rPr>
        <w:t>3．甲方向乙方指定账户汇出款项后，即视为已履行付款义务。在汇款过程中，因乙方账户的原因（包括但不限于账号被注销、被冻结等）导致其无法收取款项的，由乙方承担相应后果。</w:t>
      </w:r>
    </w:p>
    <w:p>
      <w:pPr>
        <w:pStyle w:val="null3"/>
        <w:ind w:firstLine="420"/>
        <w:jc w:val="left"/>
      </w:pPr>
      <w:r>
        <w:rPr>
          <w:sz w:val="21"/>
          <w:color w:val="000000"/>
        </w:rPr>
        <w:t>4．</w:t>
      </w:r>
      <w:r>
        <w:rPr>
          <w:sz w:val="21"/>
          <w:color w:val="000000"/>
        </w:rPr>
        <w:t>本项目如执行国库支付的，甲方在验收合格后</w:t>
      </w:r>
      <w:r>
        <w:rPr>
          <w:sz w:val="21"/>
          <w:u w:val="single"/>
        </w:rPr>
        <w:t xml:space="preserve">    </w:t>
      </w:r>
      <w:r>
        <w:rPr>
          <w:sz w:val="21"/>
          <w:color w:val="000000"/>
        </w:rPr>
        <w:t>个工作日内办理财政集中支付申请手续，付款按照财政部门国库集中支付的有关规定办理。付款时间为甲方向政府财政支付部门提出支付申请的时间（不含政府财政支付部门审查的时间</w:t>
      </w:r>
      <w:r>
        <w:rPr>
          <w:sz w:val="21"/>
          <w:color w:val="000000"/>
        </w:rPr>
        <w:t>)。</w:t>
      </w:r>
    </w:p>
    <w:p>
      <w:pPr>
        <w:pStyle w:val="null3"/>
        <w:ind w:firstLine="420"/>
        <w:jc w:val="left"/>
      </w:pPr>
      <w:r>
        <w:rPr>
          <w:sz w:val="21"/>
        </w:rPr>
        <w:t>5.如项目履行过程中，甲方采取融资支付或其他支付方式，乙方应配合甲方签订补充协议。</w:t>
      </w:r>
    </w:p>
    <w:p>
      <w:pPr>
        <w:pStyle w:val="null3"/>
        <w:ind w:firstLine="422"/>
        <w:jc w:val="left"/>
      </w:pPr>
      <w:r>
        <w:rPr>
          <w:sz w:val="21"/>
          <w:b/>
          <w:color w:val="000000"/>
        </w:rPr>
        <w:t>六、质保期保障服务</w:t>
      </w:r>
    </w:p>
    <w:p>
      <w:pPr>
        <w:pStyle w:val="null3"/>
        <w:ind w:firstLine="420"/>
        <w:jc w:val="left"/>
      </w:pPr>
      <w:r>
        <w:rPr>
          <w:sz w:val="21"/>
          <w:color w:val="000000"/>
        </w:rPr>
        <w:t>1.质保期：乙方对本合同标的提供______年质保期（费用包含在投标报价中），对由于设计、制造工艺、材料和安装所造成的质量缺陷或质量问题负责，并进行修理、更换零部件或退换，并须对设备出现的有关技术性问题或安全问题负责处理、解决，同时乙方应相应延长被更换货物的质保期，软件提供终身升级，质保期自货物验收合格之日起计算。质保期内提供现场保修、包换或包退服务，由此产生的一切费用均由乙方承担。乙方不能修复、调换或不能退货的，应退回相应货款，并承担相应违约责任。</w:t>
      </w:r>
    </w:p>
    <w:p>
      <w:pPr>
        <w:pStyle w:val="null3"/>
        <w:ind w:firstLine="420"/>
        <w:jc w:val="left"/>
      </w:pPr>
      <w:r>
        <w:rPr>
          <w:sz w:val="21"/>
          <w:color w:val="000000"/>
        </w:rPr>
        <w:t xml:space="preserve">2.乙方应有专职工程师负责对所售产品安装，调试，培训，维修和处理。质保期内，在接到系统故障或问题告知后，乙方响应时间不得超过______小时，到达现场时间不得超过______小时，并应在______小时（前述响应及到达现场时间已包含计算在内）内排除故障。否则视为乙方不能修复货物。如果需要更换配件的，乙方须在______个工作日内完成配件更换服务，且更换的配件跟被更换的品牌、类型相一致或者是同类档次相当或更高的替代品，后者需征得甲方管理人员同意。如果故障在前述时间内仍无法排除，乙方应无条件在______个工作日内提供不低于故障设备规格型号档次的备用设备供甲方使用，直至故障设备修复。  </w:t>
      </w:r>
    </w:p>
    <w:p>
      <w:pPr>
        <w:pStyle w:val="null3"/>
        <w:ind w:firstLine="420"/>
        <w:jc w:val="left"/>
      </w:pPr>
      <w:r>
        <w:rPr>
          <w:sz w:val="21"/>
          <w:color w:val="000000"/>
        </w:rPr>
        <w:t xml:space="preserve"> </w:t>
      </w:r>
      <w:r>
        <w:rPr>
          <w:sz w:val="21"/>
          <w:color w:val="000000"/>
        </w:rPr>
        <w:t>3.质保期内，同一硬件一个月内连续2次出现同一故障，乙方应无条件更换性能指标不低于原规格型号的新部件。严重影响教学工作的，乙方无条件提供不低于该档次的设备给甲方使用。</w:t>
      </w:r>
    </w:p>
    <w:p>
      <w:pPr>
        <w:pStyle w:val="null3"/>
        <w:ind w:firstLine="630"/>
        <w:jc w:val="left"/>
      </w:pPr>
      <w:r>
        <w:rPr>
          <w:sz w:val="21"/>
          <w:color w:val="000000"/>
        </w:rPr>
        <w:t>4.质保期满后设备维修仅收取配件成本费，不收取上门费及人工费。</w:t>
      </w:r>
    </w:p>
    <w:p>
      <w:pPr>
        <w:pStyle w:val="null3"/>
        <w:ind w:firstLine="630"/>
        <w:jc w:val="left"/>
      </w:pPr>
      <w:r>
        <w:rPr>
          <w:sz w:val="21"/>
          <w:color w:val="000000"/>
        </w:rPr>
        <w:t>5.其他条款以乙方投标文件为准。</w:t>
      </w:r>
    </w:p>
    <w:p>
      <w:pPr>
        <w:pStyle w:val="null3"/>
        <w:ind w:firstLine="422"/>
        <w:jc w:val="left"/>
      </w:pPr>
      <w:r>
        <w:rPr>
          <w:sz w:val="21"/>
          <w:b/>
          <w:color w:val="000000"/>
        </w:rPr>
        <w:t>七、培训</w:t>
      </w:r>
    </w:p>
    <w:p>
      <w:pPr>
        <w:pStyle w:val="null3"/>
        <w:ind w:firstLine="420"/>
        <w:jc w:val="left"/>
      </w:pPr>
      <w:r>
        <w:rPr>
          <w:sz w:val="21"/>
          <w:color w:val="000000"/>
        </w:rPr>
        <w:t>乙方负责提供合同标的现场操作、运行、维护、修理的培训方案及必需的培训资料，并对甲方受训人员进行现场培训直至能熟练操作为止，培训次数不少于</w:t>
      </w:r>
      <w:r>
        <w:rPr>
          <w:sz w:val="21"/>
          <w:color w:val="000000"/>
        </w:rPr>
        <w:t>______次，每次培训应配置不少于______个工程师，培训天数应不少于______天，培训期间工程师的食宿由乙方负责。培训内容应至少包括：设备的操作使用和保养；设备安全注意事项；设备简易故障排除等。在后期使用过程中，如需增加培训环节，乙方负责根据甲方需要提供培训服务。以上相关费用已包含在投标报价中。</w:t>
      </w:r>
    </w:p>
    <w:p>
      <w:pPr>
        <w:pStyle w:val="null3"/>
        <w:ind w:firstLine="422"/>
        <w:jc w:val="left"/>
      </w:pPr>
      <w:r>
        <w:rPr>
          <w:sz w:val="21"/>
          <w:b/>
          <w:color w:val="000000"/>
        </w:rPr>
        <w:t>八、知识产权、风险转移</w:t>
      </w:r>
    </w:p>
    <w:p>
      <w:pPr>
        <w:pStyle w:val="null3"/>
        <w:ind w:firstLine="420"/>
        <w:jc w:val="left"/>
      </w:pPr>
      <w:r>
        <w:rPr>
          <w:sz w:val="21"/>
          <w:color w:val="000000"/>
        </w:rPr>
        <w:t>1</w:t>
      </w:r>
      <w:r>
        <w:rPr>
          <w:sz w:val="21"/>
          <w:color w:val="000000"/>
        </w:rPr>
        <w:t>．</w:t>
      </w:r>
      <w:r>
        <w:rPr>
          <w:sz w:val="21"/>
          <w:color w:val="000000"/>
        </w:rPr>
        <w:t>乙方保证，甲方在中华人民共和国使用该货物或货物的任何一部分时，如受第三方提出的侵犯其</w:t>
      </w:r>
      <w:r>
        <w:rPr>
          <w:sz w:val="21"/>
          <w:color w:val="000000"/>
        </w:rPr>
        <w:t>知识产权、肖像权、技术秘密、商业秘密或其他任何权益</w:t>
      </w:r>
      <w:r>
        <w:rPr>
          <w:sz w:val="21"/>
          <w:color w:val="000000"/>
        </w:rPr>
        <w:t>的起诉，由乙方承担一切责任。</w:t>
      </w:r>
    </w:p>
    <w:p>
      <w:pPr>
        <w:pStyle w:val="null3"/>
        <w:ind w:firstLine="420"/>
        <w:jc w:val="left"/>
      </w:pPr>
      <w:r>
        <w:rPr>
          <w:sz w:val="21"/>
        </w:rPr>
        <w:t>2</w:t>
      </w:r>
      <w:r>
        <w:rPr>
          <w:sz w:val="21"/>
          <w:color w:val="000000"/>
        </w:rPr>
        <w:t>．</w:t>
      </w:r>
      <w:r>
        <w:rPr>
          <w:sz w:val="21"/>
        </w:rPr>
        <w:t>乙方为执行本合同而提供的技术资料、软件的使用权归甲方所有。</w:t>
      </w:r>
    </w:p>
    <w:p>
      <w:pPr>
        <w:pStyle w:val="null3"/>
        <w:ind w:firstLine="420"/>
        <w:jc w:val="left"/>
      </w:pPr>
      <w:r>
        <w:rPr>
          <w:sz w:val="21"/>
        </w:rPr>
        <w:t>3</w:t>
      </w:r>
      <w:r>
        <w:rPr>
          <w:sz w:val="21"/>
          <w:color w:val="000000"/>
        </w:rPr>
        <w:t>．</w:t>
      </w:r>
      <w:r>
        <w:rPr>
          <w:sz w:val="21"/>
        </w:rPr>
        <w:t>乙方交由承运人运输的在途货物，毁损、灭失的风险由乙方承担。货物的产权，损坏、灭失的风险，在货物通过甲方验收合格交付使用时起，由乙方转移至甲方。</w:t>
      </w:r>
    </w:p>
    <w:p>
      <w:pPr>
        <w:pStyle w:val="null3"/>
        <w:ind w:firstLine="420"/>
        <w:jc w:val="left"/>
      </w:pPr>
      <w:r>
        <w:rPr>
          <w:sz w:val="21"/>
        </w:rPr>
        <w:t>4</w:t>
      </w:r>
      <w:r>
        <w:rPr>
          <w:sz w:val="21"/>
          <w:color w:val="000000"/>
        </w:rPr>
        <w:t>．</w:t>
      </w:r>
      <w:r>
        <w:rPr>
          <w:sz w:val="21"/>
        </w:rPr>
        <w:t>因货物验收不合格甲方拒收，或者双方解除合同的，合同标的物毁损、丢失的风险由乙方承担。</w:t>
      </w:r>
    </w:p>
    <w:p>
      <w:pPr>
        <w:pStyle w:val="null3"/>
        <w:ind w:firstLine="420"/>
        <w:jc w:val="left"/>
      </w:pPr>
      <w:r>
        <w:rPr>
          <w:sz w:val="21"/>
        </w:rPr>
        <w:t>5</w:t>
      </w:r>
      <w:r>
        <w:rPr>
          <w:sz w:val="21"/>
          <w:color w:val="000000"/>
        </w:rPr>
        <w:t>．</w:t>
      </w:r>
      <w:r>
        <w:rPr>
          <w:sz w:val="21"/>
        </w:rPr>
        <w:t>产权和风险的转移，不影响因乙方履行合同义务不符合约定，甲方要求其承担违约责任的权利。</w:t>
      </w:r>
    </w:p>
    <w:p>
      <w:pPr>
        <w:pStyle w:val="null3"/>
        <w:ind w:firstLine="422"/>
        <w:jc w:val="left"/>
      </w:pPr>
      <w:r>
        <w:rPr>
          <w:sz w:val="21"/>
          <w:b/>
          <w:color w:val="000000"/>
        </w:rPr>
        <w:t>九、保密责任</w:t>
      </w:r>
    </w:p>
    <w:p>
      <w:pPr>
        <w:pStyle w:val="null3"/>
        <w:ind w:firstLine="420"/>
        <w:jc w:val="left"/>
      </w:pPr>
      <w:r>
        <w:rPr>
          <w:sz w:val="21"/>
        </w:rPr>
        <w:t>双方应保守通过签订和履行本合同而获取的对方之商业及技术秘密，包括本合同文本，相关技术文件、相关数据，以及其他有关信息。任何一方违反上述约定的，应赔偿合同守约方的损失。本保密条款及保密责任不因合同的解除或终止而消失。</w:t>
      </w:r>
    </w:p>
    <w:p>
      <w:pPr>
        <w:pStyle w:val="null3"/>
        <w:ind w:firstLine="422"/>
        <w:jc w:val="left"/>
      </w:pPr>
      <w:r>
        <w:rPr>
          <w:sz w:val="21"/>
          <w:b/>
        </w:rPr>
        <w:t>十、违约责任</w:t>
      </w:r>
    </w:p>
    <w:p>
      <w:pPr>
        <w:pStyle w:val="null3"/>
        <w:ind w:firstLine="420"/>
        <w:jc w:val="left"/>
      </w:pPr>
      <w:r>
        <w:rPr>
          <w:sz w:val="21"/>
        </w:rPr>
        <w:t>1</w:t>
      </w:r>
      <w:r>
        <w:rPr>
          <w:sz w:val="21"/>
          <w:color w:val="000000"/>
        </w:rPr>
        <w:t>．</w:t>
      </w:r>
      <w:r>
        <w:rPr>
          <w:sz w:val="21"/>
        </w:rPr>
        <w:t>乙方交付的货物不符合合同规定的，甲方有权拒收并解除合同，乙方需向甲方支付合同总价</w:t>
      </w:r>
      <w:r>
        <w:rPr>
          <w:sz w:val="21"/>
        </w:rPr>
        <w:t>10%的违约金。如甲方同意更换的，乙方应于</w:t>
      </w:r>
      <w:r>
        <w:rPr>
          <w:sz w:val="21"/>
        </w:rPr>
        <w:t>5天内重新提供符合合同约定的货物，乙方未能按期调换的，按逾期交付货物处理，逾期时点自最初约定的交付日期起计。</w:t>
      </w:r>
    </w:p>
    <w:p>
      <w:pPr>
        <w:pStyle w:val="null3"/>
        <w:ind w:firstLine="420"/>
        <w:jc w:val="left"/>
      </w:pPr>
      <w:r>
        <w:rPr>
          <w:sz w:val="21"/>
        </w:rPr>
        <w:t>2</w:t>
      </w:r>
      <w:r>
        <w:rPr>
          <w:sz w:val="21"/>
          <w:color w:val="000000"/>
        </w:rPr>
        <w:t>．</w:t>
      </w:r>
      <w:r>
        <w:rPr>
          <w:sz w:val="21"/>
        </w:rPr>
        <w:t>乙方逾期交付货物的，每逾期一天，按合同总价的</w:t>
      </w:r>
      <w:r>
        <w:rPr>
          <w:sz w:val="21"/>
        </w:rPr>
        <w:t>0.8</w:t>
      </w:r>
      <w:r>
        <w:rPr>
          <w:sz w:val="21"/>
        </w:rPr>
        <w:t>‰向甲方支付违约金，甲方有权直接从应付给乙方的合同款项中扣除该违约金，且甲方有权要求乙方继续向甲方交付直至符合要求。</w:t>
      </w:r>
      <w:r>
        <w:rPr>
          <w:sz w:val="21"/>
        </w:rPr>
        <w:t>误期超过</w:t>
      </w:r>
      <w:r>
        <w:rPr>
          <w:sz w:val="21"/>
        </w:rPr>
        <w:t>15</w:t>
      </w:r>
      <w:r>
        <w:rPr>
          <w:sz w:val="21"/>
        </w:rPr>
        <w:t>天，甲方有权解除合同，乙方需退还甲方已支付的所有款项，并按合同总价的</w:t>
      </w:r>
      <w:r>
        <w:rPr>
          <w:sz w:val="21"/>
        </w:rPr>
        <w:t>10%向甲方支付违约金，违约金不足以弥补甲方损失的，乙方应另行赔偿。</w:t>
      </w:r>
    </w:p>
    <w:p>
      <w:pPr>
        <w:pStyle w:val="null3"/>
        <w:ind w:firstLine="420"/>
        <w:jc w:val="left"/>
      </w:pPr>
      <w:r>
        <w:rPr>
          <w:sz w:val="21"/>
        </w:rPr>
        <w:t>3</w:t>
      </w:r>
      <w:r>
        <w:rPr>
          <w:sz w:val="21"/>
          <w:color w:val="000000"/>
        </w:rPr>
        <w:t>．</w:t>
      </w:r>
      <w:r>
        <w:rPr>
          <w:sz w:val="21"/>
        </w:rPr>
        <w:t>若乙方未按本合同的约定提供质保期保障服务，甲方有权自行委托第三方提供甲方所需要的技术支持和售后服务，由此造成的包括但不限于第三方维保费用、甲方其他经济损失等均由乙方承担赔偿。</w:t>
      </w:r>
    </w:p>
    <w:p>
      <w:pPr>
        <w:pStyle w:val="null3"/>
        <w:ind w:firstLine="420"/>
        <w:jc w:val="left"/>
      </w:pPr>
      <w:r>
        <w:rPr>
          <w:sz w:val="21"/>
        </w:rPr>
        <w:t>4. 乙方有以下情形之一的，甲方有权解除合同，乙方需退还甲方已支付的所有款项，并按合同总价的10%向甲方支付违约金，违约金不足以弥补甲方损失的，乙方应另行赔偿，具体情形如下：</w:t>
      </w:r>
    </w:p>
    <w:p>
      <w:pPr>
        <w:pStyle w:val="null3"/>
        <w:ind w:firstLine="420"/>
        <w:jc w:val="left"/>
      </w:pPr>
      <w:r>
        <w:rPr>
          <w:sz w:val="21"/>
        </w:rPr>
        <w:t>（</w:t>
      </w:r>
      <w:r>
        <w:rPr>
          <w:sz w:val="21"/>
        </w:rPr>
        <w:t>1）乙方交付的货物存在侵犯他人知识产权、肖像权、技术秘密、商业秘密或其他任何权益的；</w:t>
      </w:r>
    </w:p>
    <w:p>
      <w:pPr>
        <w:pStyle w:val="null3"/>
        <w:ind w:firstLine="420"/>
        <w:jc w:val="left"/>
      </w:pPr>
      <w:r>
        <w:rPr>
          <w:sz w:val="21"/>
        </w:rPr>
        <w:t>（</w:t>
      </w:r>
      <w:r>
        <w:rPr>
          <w:sz w:val="21"/>
        </w:rPr>
        <w:t>2）乙方履行义务不符合约定，经甲方提出后在合理期限内仍未改正的；</w:t>
      </w:r>
    </w:p>
    <w:p>
      <w:pPr>
        <w:pStyle w:val="null3"/>
        <w:ind w:firstLine="420"/>
        <w:jc w:val="left"/>
      </w:pPr>
      <w:r>
        <w:rPr>
          <w:sz w:val="21"/>
        </w:rPr>
        <w:t>（</w:t>
      </w:r>
      <w:r>
        <w:rPr>
          <w:sz w:val="21"/>
        </w:rPr>
        <w:t>3）未经甲方书面同意，乙方将本合同项下的权利或义务转让，或将本合同项下服务转包或分包的；</w:t>
      </w:r>
    </w:p>
    <w:p>
      <w:pPr>
        <w:pStyle w:val="null3"/>
        <w:ind w:firstLine="420"/>
        <w:jc w:val="left"/>
      </w:pPr>
      <w:r>
        <w:rPr>
          <w:sz w:val="21"/>
        </w:rPr>
        <w:t>（</w:t>
      </w:r>
      <w:r>
        <w:rPr>
          <w:sz w:val="21"/>
        </w:rPr>
        <w:t>4）乙方无正当理由逾期交货超过15日的；</w:t>
      </w:r>
    </w:p>
    <w:p>
      <w:pPr>
        <w:pStyle w:val="null3"/>
        <w:ind w:firstLine="420"/>
        <w:jc w:val="left"/>
      </w:pPr>
      <w:r>
        <w:rPr>
          <w:sz w:val="21"/>
        </w:rPr>
        <w:t>（</w:t>
      </w:r>
      <w:r>
        <w:rPr>
          <w:sz w:val="21"/>
        </w:rPr>
        <w:t>5）国家法律规定的其他合同解除情形。</w:t>
      </w:r>
    </w:p>
    <w:p>
      <w:pPr>
        <w:pStyle w:val="null3"/>
        <w:ind w:firstLine="420"/>
        <w:jc w:val="left"/>
      </w:pPr>
      <w:r>
        <w:rPr>
          <w:sz w:val="21"/>
        </w:rPr>
        <w:t>5. 甲方逾期支付货款，经乙方催告后无正当理由仍不支付的，自催告后每逾期一日，应按逾期付款金额每日0.8‰向乙方支付违约金。违约金累计总额不超过欠款总额的10%。</w:t>
      </w:r>
    </w:p>
    <w:p>
      <w:pPr>
        <w:pStyle w:val="null3"/>
        <w:ind w:firstLine="420"/>
        <w:jc w:val="left"/>
      </w:pPr>
      <w:r>
        <w:rPr>
          <w:sz w:val="21"/>
        </w:rPr>
        <w:t>6. 本合同所称之损失，包括守约方的直接经济损失和合同履行后可以获得的利益及合理的调查费、评估费、公证费、诉讼费、交通费、律师费等相关法律费用。</w:t>
      </w:r>
    </w:p>
    <w:p>
      <w:pPr>
        <w:pStyle w:val="null3"/>
        <w:ind w:firstLine="422"/>
        <w:jc w:val="left"/>
      </w:pPr>
      <w:r>
        <w:rPr>
          <w:sz w:val="21"/>
          <w:b/>
        </w:rPr>
        <w:t>十一、不可抗力</w:t>
      </w:r>
    </w:p>
    <w:p>
      <w:pPr>
        <w:pStyle w:val="null3"/>
        <w:ind w:firstLine="420"/>
        <w:jc w:val="left"/>
      </w:pPr>
      <w:r>
        <w:rPr>
          <w:sz w:val="21"/>
        </w:rPr>
        <w:t>一方由于</w:t>
      </w:r>
      <w:r>
        <w:rPr>
          <w:sz w:val="21"/>
          <w:color w:val="333333"/>
          <w:shd w:fill="FFFFFF" w:val="clear"/>
        </w:rPr>
        <w:t>不能预见、不能避免并不能克服的客观情况（也即法定不可抗力事由），且该情况是在合同生效后发生的，</w:t>
      </w:r>
      <w:r>
        <w:rPr>
          <w:sz w:val="21"/>
        </w:rPr>
        <w:t>导致不能或暂时不能全部或部分履行本合同，该方可以免责。但是，受不可抗力事件影响的一方须尽快将事件发生状况通知另一方，并在不可抗力事件影响消除之日起</w:t>
      </w:r>
      <w:r>
        <w:rPr>
          <w:sz w:val="21"/>
        </w:rPr>
        <w:t>10</w:t>
      </w:r>
      <w:r>
        <w:rPr>
          <w:sz w:val="21"/>
        </w:rPr>
        <w:t>日内将有关机构出具的不可抗力事件证明寄交对方。逾期未提供以上证明的，不能免除违约责任。</w:t>
      </w:r>
    </w:p>
    <w:p>
      <w:pPr>
        <w:pStyle w:val="null3"/>
        <w:ind w:firstLine="422"/>
        <w:jc w:val="left"/>
      </w:pPr>
      <w:r>
        <w:rPr>
          <w:sz w:val="21"/>
          <w:b/>
        </w:rPr>
        <w:t>十二、法律适用与争议解决</w:t>
      </w:r>
    </w:p>
    <w:p>
      <w:pPr>
        <w:pStyle w:val="null3"/>
        <w:ind w:firstLine="420"/>
        <w:jc w:val="left"/>
      </w:pPr>
      <w:r>
        <w:rPr>
          <w:sz w:val="21"/>
        </w:rPr>
        <w:t>1</w:t>
      </w:r>
      <w:r>
        <w:rPr>
          <w:sz w:val="21"/>
          <w:color w:val="000000"/>
        </w:rPr>
        <w:t>．</w:t>
      </w:r>
      <w:r>
        <w:rPr>
          <w:sz w:val="21"/>
        </w:rPr>
        <w:t>本合同的成立、有效性、解释、履行、签署、修订和终止以及争议的解决等均应适用中华人民共和国法律。</w:t>
      </w:r>
    </w:p>
    <w:p>
      <w:pPr>
        <w:pStyle w:val="null3"/>
        <w:ind w:firstLine="420"/>
        <w:jc w:val="left"/>
      </w:pPr>
      <w:r>
        <w:rPr>
          <w:sz w:val="21"/>
        </w:rPr>
        <w:t>2</w:t>
      </w:r>
      <w:r>
        <w:rPr>
          <w:sz w:val="21"/>
          <w:color w:val="000000"/>
        </w:rPr>
        <w:t>．</w:t>
      </w:r>
      <w:r>
        <w:rPr>
          <w:sz w:val="21"/>
          <w:color w:val="000000"/>
        </w:rPr>
        <w:t>甲乙双方在履行本合同时发生的争议</w:t>
      </w:r>
      <w:r>
        <w:rPr>
          <w:sz w:val="21"/>
        </w:rPr>
        <w:t>，都应首先由双方通过友好协商解决。双方通过协商仍不能解决争议，双方一致同意向广州仲裁委员会提起仲裁。</w:t>
      </w:r>
    </w:p>
    <w:p>
      <w:pPr>
        <w:pStyle w:val="null3"/>
        <w:ind w:firstLine="422"/>
        <w:jc w:val="left"/>
      </w:pPr>
      <w:r>
        <w:rPr>
          <w:sz w:val="21"/>
          <w:b/>
          <w:color w:val="000000"/>
        </w:rPr>
        <w:t>十三、通知与送达</w:t>
      </w:r>
    </w:p>
    <w:p>
      <w:pPr>
        <w:pStyle w:val="null3"/>
        <w:ind w:firstLine="420"/>
        <w:jc w:val="left"/>
      </w:pPr>
      <w:r>
        <w:rPr>
          <w:sz w:val="21"/>
        </w:rPr>
        <w:t>一方在本合同履行过程中向对方发出或者提供的所有通知、文件、文书、资料等，均以本合同所列明的地址送达。一方如果迁址、变更电话，应当在变更之日起</w:t>
      </w:r>
      <w:r>
        <w:rPr>
          <w:sz w:val="21"/>
        </w:rPr>
        <w:t>5日内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2"/>
        <w:jc w:val="left"/>
      </w:pPr>
      <w:r>
        <w:rPr>
          <w:sz w:val="21"/>
          <w:b/>
        </w:rPr>
        <w:t>十四、其他约定</w:t>
      </w:r>
    </w:p>
    <w:p>
      <w:pPr>
        <w:pStyle w:val="null3"/>
        <w:ind w:firstLine="420"/>
        <w:jc w:val="left"/>
      </w:pPr>
      <w:r>
        <w:rPr>
          <w:sz w:val="21"/>
        </w:rPr>
        <w:t>1</w:t>
      </w:r>
      <w:r>
        <w:rPr>
          <w:sz w:val="21"/>
          <w:color w:val="000000"/>
        </w:rPr>
        <w:t>．</w:t>
      </w:r>
      <w:r>
        <w:rPr>
          <w:sz w:val="21"/>
        </w:rPr>
        <w:t>本合同其他未尽事宜，以项目招投标文件为准；文件未作规定的，应由双方友好协商解决。如需对本合同及其附件作任何修改或补充，须由双方以书面形式做出，并经双方签字盖章后方为有效。修改或补充文件与本合同有不一致的，以修改或补充文件为准。</w:t>
      </w:r>
    </w:p>
    <w:p>
      <w:pPr>
        <w:pStyle w:val="null3"/>
        <w:ind w:firstLine="420"/>
        <w:jc w:val="left"/>
      </w:pPr>
      <w:r>
        <w:rPr>
          <w:sz w:val="21"/>
        </w:rPr>
        <w:t xml:space="preserve">2. </w:t>
      </w:r>
      <w:r>
        <w:rPr>
          <w:sz w:val="21"/>
        </w:rPr>
        <w:t>组成本合同的材料包括</w:t>
      </w:r>
      <w:r>
        <w:rPr>
          <w:sz w:val="21"/>
        </w:rPr>
        <w:t>_______采购项目(</w:t>
      </w:r>
      <w:r>
        <w:rPr>
          <w:sz w:val="21"/>
          <w:color w:val="000000"/>
        </w:rPr>
        <w:t>采购编号</w:t>
      </w:r>
      <w:r>
        <w:rPr>
          <w:sz w:val="21"/>
        </w:rPr>
        <w:t>：</w:t>
      </w:r>
      <w:r>
        <w:rPr>
          <w:sz w:val="21"/>
        </w:rPr>
        <w:t>_______）的招标文件、乙方投标文件、承诺以及本项目经双方确认的相关材料</w:t>
      </w:r>
      <w:r>
        <w:rPr>
          <w:sz w:val="21"/>
        </w:rPr>
        <w:t>，合同附件为本合同不可分割的部分。若附件与合同正文有任何不一致，以合同正文为准。</w:t>
      </w:r>
    </w:p>
    <w:p>
      <w:pPr>
        <w:pStyle w:val="null3"/>
        <w:ind w:firstLine="420"/>
        <w:jc w:val="left"/>
      </w:pPr>
      <w:r>
        <w:rPr>
          <w:sz w:val="21"/>
        </w:rPr>
        <w:t>3. 本合同经甲乙双方签字盖章后正式生效。</w:t>
      </w:r>
      <w:r>
        <w:rPr>
          <w:sz w:val="21"/>
          <w:color w:val="000000"/>
        </w:rPr>
        <w:t>一式</w:t>
      </w:r>
      <w:r>
        <w:rPr>
          <w:sz w:val="21"/>
          <w:color w:val="000000"/>
        </w:rPr>
        <w:t>6</w:t>
      </w:r>
      <w:r>
        <w:rPr>
          <w:sz w:val="21"/>
          <w:color w:val="000000"/>
        </w:rPr>
        <w:t>份，甲方持</w:t>
      </w:r>
      <w:r>
        <w:rPr>
          <w:sz w:val="21"/>
          <w:color w:val="000000"/>
        </w:rPr>
        <w:t>4</w:t>
      </w:r>
      <w:r>
        <w:rPr>
          <w:sz w:val="21"/>
          <w:color w:val="000000"/>
        </w:rPr>
        <w:t>份，乙方持</w:t>
      </w:r>
      <w:r>
        <w:rPr>
          <w:sz w:val="21"/>
          <w:color w:val="000000"/>
        </w:rPr>
        <w:t>2</w:t>
      </w:r>
      <w:r>
        <w:rPr>
          <w:sz w:val="21"/>
          <w:color w:val="000000"/>
        </w:rPr>
        <w:t>份</w:t>
      </w:r>
      <w:r>
        <w:rPr>
          <w:sz w:val="21"/>
        </w:rPr>
        <w:t>，均为正本，具有同等法律效力。</w:t>
      </w:r>
    </w:p>
    <w:p>
      <w:pPr>
        <w:pStyle w:val="null3"/>
        <w:ind w:firstLine="422"/>
        <w:jc w:val="both"/>
      </w:pPr>
      <w:r>
        <w:rPr>
          <w:sz w:val="21"/>
          <w:b/>
        </w:rPr>
        <w:t>甲乙双方在此确认，本合同为甲乙双方合法之授权代表于广州市天河区签订。</w:t>
      </w:r>
    </w:p>
    <w:p>
      <w:pPr>
        <w:pStyle w:val="null3"/>
        <w:ind w:left="420"/>
        <w:jc w:val="left"/>
      </w:pP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795"/>
        <w:gridCol w:w="1206"/>
        <w:gridCol w:w="780"/>
        <w:gridCol w:w="1206"/>
        <w:gridCol w:w="667"/>
        <w:gridCol w:w="1235"/>
        <w:gridCol w:w="866"/>
        <w:gridCol w:w="1505"/>
      </w:tblGrid>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甲方</w:t>
            </w:r>
            <w:r>
              <w:br/>
            </w:r>
            <w:r>
              <w:rPr>
                <w:sz w:val="18"/>
              </w:rPr>
              <w:t>名称</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华南师范大学</w:t>
            </w:r>
            <w:r>
              <w:rPr>
                <w:sz w:val="21"/>
              </w:rPr>
              <w:t xml:space="preserve">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乙方</w:t>
            </w:r>
            <w:r>
              <w:br/>
            </w:r>
            <w:r>
              <w:rPr>
                <w:sz w:val="18"/>
              </w:rPr>
              <w:t>名称</w:t>
            </w:r>
          </w:p>
        </w:tc>
        <w:tc>
          <w:tcPr>
            <w:tcW w:type="dxa" w:w="3606"/>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单位</w:t>
            </w:r>
            <w:r>
              <w:br/>
            </w:r>
            <w:r>
              <w:rPr>
                <w:sz w:val="18"/>
              </w:rPr>
              <w:t>地址</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广州市中山大道西</w:t>
            </w:r>
            <w:r>
              <w:rPr>
                <w:sz w:val="18"/>
              </w:rPr>
              <w:t>55</w:t>
            </w:r>
            <w:r>
              <w:rPr>
                <w:sz w:val="18"/>
              </w:rPr>
              <w:t>号</w:t>
            </w:r>
            <w:r>
              <w:rPr>
                <w:sz w:val="21"/>
              </w:rPr>
              <w:t xml:space="preserve">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单位</w:t>
            </w:r>
            <w:r>
              <w:br/>
            </w:r>
            <w:r>
              <w:rPr>
                <w:sz w:val="18"/>
              </w:rPr>
              <w:t>地址</w:t>
            </w:r>
          </w:p>
        </w:tc>
        <w:tc>
          <w:tcPr>
            <w:tcW w:type="dxa" w:w="3606"/>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联系人</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电话</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联系人</w:t>
            </w:r>
          </w:p>
        </w:tc>
        <w:tc>
          <w:tcPr>
            <w:tcW w:type="dxa" w:w="1235"/>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90"/>
              <w:jc w:val="left"/>
            </w:pPr>
            <w:r>
              <w:rPr>
                <w:sz w:val="18"/>
              </w:rPr>
              <w:t>电话</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传真</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邮编</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传真</w:t>
            </w:r>
          </w:p>
        </w:tc>
        <w:tc>
          <w:tcPr>
            <w:tcW w:type="dxa" w:w="1235"/>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90"/>
              <w:jc w:val="left"/>
            </w:pPr>
            <w:r>
              <w:rPr>
                <w:sz w:val="18"/>
              </w:rPr>
              <w:t>邮编</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开户</w:t>
            </w:r>
            <w:r>
              <w:br/>
            </w:r>
            <w:r>
              <w:rPr>
                <w:sz w:val="18"/>
              </w:rPr>
              <w:t>银行</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工商银行广州市高新区支行</w:t>
            </w:r>
            <w:r>
              <w:rPr>
                <w:sz w:val="21"/>
              </w:rPr>
              <w:t xml:space="preserve">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开户</w:t>
            </w:r>
            <w:r>
              <w:rPr>
                <w:sz w:val="21"/>
              </w:rPr>
              <w:t xml:space="preserve"> </w:t>
            </w:r>
            <w:r>
              <w:br/>
            </w:r>
            <w:r>
              <w:rPr>
                <w:sz w:val="18"/>
              </w:rPr>
              <w:t>银行</w:t>
            </w:r>
          </w:p>
        </w:tc>
        <w:tc>
          <w:tcPr>
            <w:tcW w:type="dxa" w:w="3606"/>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银行</w:t>
            </w:r>
            <w:r>
              <w:br/>
            </w:r>
            <w:r>
              <w:rPr>
                <w:sz w:val="18"/>
              </w:rPr>
              <w:t>帐号</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 xml:space="preserve">3602008109000386071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银行</w:t>
            </w:r>
            <w:r>
              <w:rPr>
                <w:sz w:val="21"/>
              </w:rPr>
              <w:t xml:space="preserve"> </w:t>
            </w:r>
            <w:r>
              <w:br/>
            </w:r>
            <w:r>
              <w:rPr>
                <w:sz w:val="18"/>
              </w:rPr>
              <w:t>帐号</w:t>
            </w:r>
          </w:p>
        </w:tc>
        <w:tc>
          <w:tcPr>
            <w:tcW w:type="dxa" w:w="3606"/>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法定代表人</w:t>
            </w:r>
            <w:r>
              <w:rPr>
                <w:sz w:val="18"/>
              </w:rPr>
              <w:t>/委托代理人</w:t>
            </w:r>
          </w:p>
        </w:tc>
        <w:tc>
          <w:tcPr>
            <w:tcW w:type="dxa" w:w="3192"/>
            <w:gridSpan w:val="3"/>
            <w:vMerge w:val="restart"/>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法定代表人</w:t>
            </w:r>
            <w:r>
              <w:rPr>
                <w:sz w:val="18"/>
              </w:rPr>
              <w:t>/委托代理人</w:t>
            </w:r>
          </w:p>
        </w:tc>
        <w:tc>
          <w:tcPr>
            <w:tcW w:type="dxa" w:w="3606"/>
            <w:gridSpan w:val="3"/>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r>
      <w:tr>
        <w:tc>
          <w:tcPr>
            <w:tcW w:type="dxa" w:w="795"/>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18"/>
              </w:rPr>
              <w:t>签订日期、甲方盖章</w:t>
            </w:r>
          </w:p>
        </w:tc>
        <w:tc>
          <w:tcPr>
            <w:tcW w:type="dxa" w:w="3192"/>
            <w:gridSpan w:val="3"/>
            <w:vMerge/>
            <w:tcBorders>
              <w:top w:val="single" w:color="000000" w:sz="4"/>
              <w:left w:val="single" w:color="000000" w:sz="4"/>
              <w:bottom w:val="single" w:color="000000" w:sz="4"/>
              <w:right w:val="none" w:color="000000" w:sz="4"/>
            </w:tcBorders>
          </w:tcPr>
          <w:p/>
        </w:tc>
        <w:tc>
          <w:tcPr>
            <w:tcW w:type="dxa" w:w="667"/>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18"/>
              </w:rPr>
              <w:t>签订日期、乙方盖章</w:t>
            </w:r>
          </w:p>
        </w:tc>
        <w:tc>
          <w:tcPr>
            <w:tcW w:type="dxa" w:w="3606"/>
            <w:gridSpan w:val="3"/>
            <w:vMerge/>
            <w:tcBorders>
              <w:top w:val="single" w:color="000000" w:sz="4"/>
              <w:left w:val="single" w:color="000000" w:sz="4"/>
              <w:bottom w:val="single" w:color="000000" w:sz="4"/>
              <w:right w:val="single" w:color="000000" w:sz="4"/>
            </w:tcBorders>
          </w:tcPr>
          <w:p/>
        </w:tc>
      </w:tr>
    </w:tbl>
    <w:p>
      <w:pPr>
        <w:pStyle w:val="null3"/>
      </w:pPr>
      <w:r>
        <w:br/>
      </w:r>
      <w:r>
        <w:br/>
      </w:r>
      <w:r>
        <w:rPr/>
        <w:t xml:space="preserve">   </w:t>
      </w:r>
    </w:p>
    <w:p>
      <w:pPr>
        <w:pStyle w:val="null3"/>
        <w:jc w:val="both"/>
      </w:pPr>
      <w:r>
        <w:rPr>
          <w:sz w:val="21"/>
        </w:rPr>
        <w:t>附件</w:t>
      </w:r>
      <w:r>
        <w:rPr>
          <w:sz w:val="21"/>
        </w:rPr>
        <w:t>1</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097"/>
        <w:gridCol w:w="2017"/>
        <w:gridCol w:w="5161"/>
      </w:tblGrid>
      <w:tr>
        <w:tc>
          <w:tcPr>
            <w:tcW w:type="dxa" w:w="1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项数</w:t>
            </w:r>
          </w:p>
        </w:tc>
        <w:tc>
          <w:tcPr>
            <w:tcW w:type="dxa" w:w="2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w:t>
            </w:r>
            <w:r>
              <w:rPr>
                <w:sz w:val="21"/>
              </w:rPr>
              <w:t>名称</w:t>
            </w:r>
          </w:p>
        </w:tc>
        <w:tc>
          <w:tcPr>
            <w:tcW w:type="dxa" w:w="5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详细配置清单</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440001-2025-36327</w:t>
      </w:r>
    </w:p>
    <w:p>
      <w:pPr>
        <w:pStyle w:val="null3"/>
        <w:jc w:val="center"/>
        <w:outlineLvl w:val="3"/>
      </w:pPr>
      <w:r>
        <w:rPr>
          <w:sz w:val="24"/>
          <w:b/>
        </w:rPr>
        <w:t>采购项目编号：</w:t>
      </w:r>
      <w:r>
        <w:rPr>
          <w:sz w:val="24"/>
          <w:b/>
        </w:rPr>
        <w:t>ZZ0250560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华南师范大学大功率超快飞秒激光器采购项目</w:t>
      </w:r>
      <w:r>
        <w:rPr>
          <w:u w:val="single"/>
        </w:rPr>
        <w:t>”</w:t>
      </w:r>
      <w:r>
        <w:rPr/>
        <w:t>项目的招标[采购项目编号为：</w:t>
      </w:r>
      <w:r>
        <w:rPr>
          <w:u w:val="single"/>
        </w:rPr>
        <w:t>ZZ0250560</w:t>
      </w:r>
      <w:r>
        <w:rPr/>
        <w:t>]，我方愿参与投标。</w:t>
      </w:r>
    </w:p>
    <w:p>
      <w:pPr>
        <w:pStyle w:val="null3"/>
        <w:ind w:firstLine="480"/>
      </w:pPr>
      <w:r>
        <w:rPr/>
        <w:t>我方确认收到贵方提供的</w:t>
      </w:r>
      <w:r>
        <w:rPr>
          <w:u w:val="single"/>
        </w:rPr>
        <w:t>“</w:t>
      </w:r>
      <w:r>
        <w:rPr>
          <w:u w:val="single"/>
        </w:rPr>
        <w:t>华南师范大学大功率超快飞秒激光器采购项目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华南师范大学大功率超快飞秒激光器采购项目</w:t>
      </w:r>
      <w:r>
        <w:rPr/>
        <w:t>”项目采购[采购项目编号为</w:t>
      </w:r>
      <w:r>
        <w:rPr/>
        <w:t>ZZ0250560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华南师范大学大功率超快飞秒激光器采购项目</w:t>
      </w:r>
      <w:r>
        <w:rPr/>
        <w:t>招标中获中标（采购项目编号：</w:t>
      </w:r>
      <w:r>
        <w:rPr/>
        <w:t>ZZ0250560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华南师范大学大功率超快飞秒激光器采购项目</w:t>
      </w:r>
      <w:r>
        <w:rPr/>
        <w:t>”项目（采购项目编号：</w:t>
      </w:r>
      <w:r>
        <w:rPr/>
        <w:t>ZZ0250560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