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竞争性谈判文件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441601-2025-01143</w:t>
      </w:r>
    </w:p>
    <w:p>
      <w:pPr>
        <w:pStyle w:val="null3"/>
        <w:jc w:val="center"/>
        <w:outlineLvl w:val="3"/>
      </w:pPr>
      <w:r>
        <w:rPr>
          <w:sz w:val="24"/>
          <w:b/>
        </w:rPr>
        <w:t>采购项目编号：</w:t>
      </w:r>
      <w:r>
        <w:rPr>
          <w:sz w:val="24"/>
          <w:b/>
        </w:rPr>
        <w:t>ZZ0250339</w:t>
      </w:r>
    </w:p>
    <w:p>
      <w:pPr>
        <w:pStyle w:val="null3"/>
        <w:jc w:val="center"/>
        <w:outlineLvl w:val="3"/>
      </w:pPr>
      <w:r>
        <w:rPr>
          <w:sz w:val="24"/>
          <w:b/>
        </w:rPr>
        <w:t>项目名称：</w:t>
      </w:r>
      <w:r>
        <w:rPr>
          <w:sz w:val="24"/>
          <w:b/>
        </w:rPr>
        <w:t>2024年河源职业技术学院云计算技术与应用实践基地升级改造项目</w:t>
      </w:r>
    </w:p>
    <w:p>
      <w:pPr>
        <w:pStyle w:val="null3"/>
        <w:jc w:val="center"/>
        <w:outlineLvl w:val="3"/>
      </w:pPr>
      <w:r>
        <w:rPr>
          <w:sz w:val="24"/>
          <w:b/>
        </w:rPr>
        <w:t>采购人：</w:t>
      </w:r>
      <w:r>
        <w:rPr>
          <w:sz w:val="24"/>
          <w:b/>
        </w:rPr>
        <w:t>河源职业技术学院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outlineLvl w:val="1"/>
      </w:pPr>
      <w:r>
        <w:rPr>
          <w:sz w:val="36"/>
          <w:b/>
        </w:rPr>
        <w:t>第一章 谈判邀请</w:t>
      </w:r>
    </w:p>
    <w:p>
      <w:pPr>
        <w:pStyle w:val="null3"/>
        <w:ind w:firstLine="480"/>
      </w:pPr>
      <w:r>
        <w:rPr/>
        <w:t>广东志正招标有限公司</w:t>
      </w:r>
      <w:r>
        <w:rPr/>
        <w:t>受</w:t>
      </w:r>
      <w:r>
        <w:rPr/>
        <w:t>河源职业技术学院</w:t>
      </w:r>
      <w:r>
        <w:rPr/>
        <w:t>的委托，采用</w:t>
      </w:r>
      <w:r>
        <w:rPr/>
        <w:t>竞争性谈判</w:t>
      </w:r>
      <w:r>
        <w:rPr/>
        <w:t>方式组织采购</w:t>
      </w:r>
      <w:r>
        <w:rPr/>
        <w:t>2024年河源职业技术学院云计算技术与应用实践基地升级改造项目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2024年河源职业技术学院云计算技术与应用实践基地升级改造项目</w:t>
      </w:r>
    </w:p>
    <w:p>
      <w:pPr>
        <w:pStyle w:val="null3"/>
        <w:ind w:firstLine="480"/>
      </w:pPr>
      <w:r>
        <w:rPr/>
        <w:t>采购计划编号：</w:t>
      </w:r>
      <w:r>
        <w:rPr/>
        <w:t>441601-2025-01143</w:t>
      </w:r>
    </w:p>
    <w:p>
      <w:pPr>
        <w:pStyle w:val="null3"/>
        <w:ind w:firstLine="480"/>
      </w:pPr>
      <w:r>
        <w:rPr/>
        <w:t>采购项目编号：</w:t>
      </w:r>
      <w:r>
        <w:rPr/>
        <w:t>ZZ0250339</w:t>
      </w:r>
    </w:p>
    <w:p>
      <w:pPr>
        <w:pStyle w:val="null3"/>
        <w:ind w:firstLine="480"/>
      </w:pPr>
      <w:r>
        <w:rPr/>
        <w:t>采购方式：</w:t>
      </w:r>
      <w:r>
        <w:rPr/>
        <w:t>竞争性谈判</w:t>
      </w:r>
    </w:p>
    <w:p>
      <w:pPr>
        <w:pStyle w:val="null3"/>
        <w:ind w:firstLine="480"/>
      </w:pPr>
      <w:r>
        <w:rPr/>
        <w:t>预算金额：</w:t>
      </w:r>
      <w:r>
        <w:rPr/>
        <w:t>1,017,526.34</w:t>
      </w:r>
      <w:r>
        <w:rPr/>
        <w:t>元</w:t>
      </w:r>
    </w:p>
    <w:p>
      <w:pPr>
        <w:pStyle w:val="null3"/>
        <w:outlineLvl w:val="3"/>
      </w:pPr>
      <w:r>
        <w:rPr>
          <w:sz w:val="24"/>
          <w:b/>
        </w:rPr>
        <w:t>2.项目内容及需求情况（采购项目技术规格、参数及要求）</w:t>
      </w:r>
    </w:p>
    <w:p>
      <w:pPr>
        <w:pStyle w:val="null3"/>
      </w:pPr>
      <w:r>
        <w:rPr/>
        <w:t>采购包1(2024年河源职业技术学院云计算技术与应用实践基地升级改造项目):</w:t>
      </w:r>
    </w:p>
    <w:p>
      <w:pPr>
        <w:pStyle w:val="null3"/>
      </w:pPr>
      <w:r>
        <w:rPr/>
        <w:t>采购包预算金额：1,017,526.34元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终端接入设备</w:t>
            </w:r>
          </w:p>
        </w:tc>
        <w:tc>
          <w:tcPr>
            <w:tcW w:type="dxa" w:w="2136"/>
          </w:tcPr>
          <w:p>
            <w:pPr>
              <w:pStyle w:val="null3"/>
            </w:pPr>
            <w:r>
              <w:rPr/>
              <w:t>无线接入点</w:t>
            </w:r>
          </w:p>
        </w:tc>
        <w:tc>
          <w:tcPr>
            <w:tcW w:type="dxa" w:w="1187"/>
          </w:tcPr>
          <w:p>
            <w:pPr>
              <w:pStyle w:val="null3"/>
            </w:pPr>
            <w:r>
              <w:rPr/>
              <w:t>12(台)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终端控制器</w:t>
            </w:r>
          </w:p>
        </w:tc>
        <w:tc>
          <w:tcPr>
            <w:tcW w:type="dxa" w:w="2136"/>
          </w:tcPr>
          <w:p>
            <w:pPr>
              <w:pStyle w:val="null3"/>
            </w:pPr>
            <w:r>
              <w:rPr/>
              <w:t>无线接入控制器</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图形工作站</w:t>
            </w:r>
          </w:p>
        </w:tc>
        <w:tc>
          <w:tcPr>
            <w:tcW w:type="dxa" w:w="2136"/>
          </w:tcPr>
          <w:p>
            <w:pPr>
              <w:pStyle w:val="null3"/>
            </w:pPr>
            <w:r>
              <w:rPr/>
              <w:t>工作站1</w:t>
            </w:r>
          </w:p>
        </w:tc>
        <w:tc>
          <w:tcPr>
            <w:tcW w:type="dxa" w:w="1187"/>
          </w:tcPr>
          <w:p>
            <w:pPr>
              <w:pStyle w:val="null3"/>
            </w:pPr>
            <w:r>
              <w:rPr/>
              <w:t>57(台)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图形工作站</w:t>
            </w:r>
          </w:p>
        </w:tc>
        <w:tc>
          <w:tcPr>
            <w:tcW w:type="dxa" w:w="2136"/>
          </w:tcPr>
          <w:p>
            <w:pPr>
              <w:pStyle w:val="null3"/>
            </w:pPr>
            <w:r>
              <w:rPr/>
              <w:t>工作站2</w:t>
            </w:r>
          </w:p>
        </w:tc>
        <w:tc>
          <w:tcPr>
            <w:tcW w:type="dxa" w:w="1187"/>
          </w:tcPr>
          <w:p>
            <w:pPr>
              <w:pStyle w:val="null3"/>
            </w:pPr>
            <w:r>
              <w:rPr/>
              <w:t>57(台)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终端控制器</w:t>
            </w:r>
          </w:p>
        </w:tc>
        <w:tc>
          <w:tcPr>
            <w:tcW w:type="dxa" w:w="2136"/>
          </w:tcPr>
          <w:p>
            <w:pPr>
              <w:pStyle w:val="null3"/>
            </w:pPr>
            <w:r>
              <w:rPr/>
              <w:t>云资源控制器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其他网络设备</w:t>
            </w:r>
          </w:p>
        </w:tc>
        <w:tc>
          <w:tcPr>
            <w:tcW w:type="dxa" w:w="2136"/>
          </w:tcPr>
          <w:p>
            <w:pPr>
              <w:pStyle w:val="null3"/>
            </w:pPr>
            <w:r>
              <w:rPr/>
              <w:t>边缘计算盒子</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文件、宣传品</w:t>
            </w:r>
          </w:p>
        </w:tc>
        <w:tc>
          <w:tcPr>
            <w:tcW w:type="dxa" w:w="2136"/>
          </w:tcPr>
          <w:p>
            <w:pPr>
              <w:pStyle w:val="null3"/>
            </w:pPr>
            <w:r>
              <w:rPr/>
              <w:t>文化建设广告牌</w:t>
            </w:r>
          </w:p>
        </w:tc>
        <w:tc>
          <w:tcPr>
            <w:tcW w:type="dxa" w:w="1187"/>
          </w:tcPr>
          <w:p>
            <w:pPr>
              <w:pStyle w:val="null3"/>
            </w:pPr>
            <w:r>
              <w:rPr/>
              <w:t>16(块)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合同履行期限：合同签订后45个日历天完成并交付使用。</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详见附件格式）或提供响应文件提交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3）具有良好的商业信誉和健全的财务会计制度：提供《资格条件承诺函》（详见附件格式）或提供2024年年度财务状况报告或响应文件提交截止日前6个月内任意1个月的财务报表或基本开户行出具的资信证明。</w:t>
      </w:r>
    </w:p>
    <w:p>
      <w:pPr>
        <w:pStyle w:val="null3"/>
      </w:pPr>
      <w:r>
        <w:rPr/>
        <w:t>4）履行合同所必需的设备和专业技术能力：提供《资格条件承诺函》（详见附件格式）。</w:t>
      </w:r>
    </w:p>
    <w:p>
      <w:pPr>
        <w:pStyle w:val="null3"/>
      </w:pPr>
      <w:r>
        <w:rPr/>
        <w:t>5）参加采购活动前3年内，在经营活动中没有重大违法记录：提供《资格条件承诺函》（详见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采购包1（2024年河源职业技术学院云计算技术与应用实践基地升级改造项目）：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三.获取谈判文件</w:t>
      </w:r>
    </w:p>
    <w:p>
      <w:pPr>
        <w:pStyle w:val="null3"/>
        <w:ind w:firstLine="480"/>
      </w:pPr>
      <w:r>
        <w:rPr/>
        <w:t>时间：详见谈判公告及其变更公告（如有）</w:t>
      </w:r>
    </w:p>
    <w:p>
      <w:pPr>
        <w:pStyle w:val="null3"/>
        <w:ind w:firstLine="480"/>
      </w:pPr>
      <w:r>
        <w:rPr/>
        <w:t>地点：详见谈判公告及其变更公告（如有）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提交响应文件截止时间和开启时间：详见谈判公告及其变更公告（如有）（自谈判文件开始发出之日起至响应供应商提交首次响应文件截止之日止，不得少于3个工作日）</w:t>
      </w:r>
    </w:p>
    <w:p>
      <w:pPr>
        <w:pStyle w:val="null3"/>
        <w:ind w:firstLine="480"/>
      </w:pPr>
      <w:r>
        <w:rPr/>
        <w:t xml:space="preserve"> 地点：详见谈判公告及其变更公告（如有）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1、公告期限：自本公告发布之日起不得少于3个工作日。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河源职业技术学院</w:t>
      </w:r>
    </w:p>
    <w:p>
      <w:pPr>
        <w:pStyle w:val="null3"/>
        <w:ind w:firstLine="480"/>
      </w:pPr>
      <w:r>
        <w:rPr/>
        <w:t xml:space="preserve"> 地址：</w:t>
      </w:r>
      <w:r>
        <w:rPr/>
        <w:t>河源市东环路大学城河源职业技术学院</w:t>
      </w:r>
    </w:p>
    <w:p>
      <w:pPr>
        <w:pStyle w:val="null3"/>
        <w:ind w:firstLine="480"/>
      </w:pPr>
      <w:r>
        <w:rPr/>
        <w:t xml:space="preserve"> 联系方式：</w:t>
      </w:r>
      <w:r>
        <w:rPr/>
        <w:t>朱老师0762-3800103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供应商</w:t>
      </w:r>
      <w:r>
        <w:rPr>
          <w:sz w:val="21"/>
          <w:b/>
        </w:rPr>
        <w:t>须对所投项目为单位的标的物进行整体</w:t>
      </w:r>
      <w:r>
        <w:rPr>
          <w:sz w:val="21"/>
          <w:b/>
        </w:rPr>
        <w:t>响应</w:t>
      </w:r>
      <w:r>
        <w:rPr>
          <w:sz w:val="21"/>
          <w:b/>
        </w:rPr>
        <w:t>，任何只对其中一部分内容进行的</w:t>
      </w:r>
      <w:r>
        <w:rPr>
          <w:sz w:val="21"/>
          <w:b/>
        </w:rPr>
        <w:t>响应</w:t>
      </w:r>
      <w:r>
        <w:rPr>
          <w:sz w:val="21"/>
          <w:b/>
        </w:rPr>
        <w:t>都被视为无效</w:t>
      </w:r>
      <w:r>
        <w:rPr>
          <w:sz w:val="21"/>
          <w:b/>
        </w:rPr>
        <w:t>响应</w:t>
      </w:r>
      <w:r>
        <w:rPr>
          <w:sz w:val="21"/>
          <w:b/>
        </w:rPr>
        <w:t>。</w:t>
      </w:r>
    </w:p>
    <w:p>
      <w:pPr>
        <w:pStyle w:val="null3"/>
        <w:jc w:val="both"/>
      </w:pPr>
      <w:r>
        <w:rPr>
          <w:sz w:val="21"/>
          <w:b/>
        </w:rPr>
        <w:t>2、</w:t>
      </w:r>
      <w:r>
        <w:rPr>
          <w:sz w:val="21"/>
          <w:b/>
        </w:rPr>
        <w:t>本</w:t>
      </w:r>
      <w:r>
        <w:rPr>
          <w:sz w:val="21"/>
          <w:b/>
        </w:rPr>
        <w:t>竞争性谈判</w:t>
      </w:r>
      <w:r>
        <w:rPr>
          <w:sz w:val="21"/>
          <w:b/>
        </w:rPr>
        <w:t>文件中，凡标有</w:t>
      </w:r>
      <w:r>
        <w:rPr>
          <w:sz w:val="21"/>
          <w:b/>
        </w:rPr>
        <w:t>“★”的地方，</w:t>
      </w:r>
      <w:r>
        <w:rPr>
          <w:sz w:val="21"/>
          <w:b/>
        </w:rPr>
        <w:t>供应商</w:t>
      </w:r>
      <w:r>
        <w:rPr>
          <w:sz w:val="21"/>
          <w:b/>
        </w:rPr>
        <w:t>要特别加以注意，必须对此作出一一响应。若有一项带</w:t>
      </w:r>
      <w:r>
        <w:rPr>
          <w:sz w:val="21"/>
          <w:b/>
        </w:rPr>
        <w:t>“★”的指标未响应或不满足，将导致其</w:t>
      </w:r>
      <w:r>
        <w:rPr>
          <w:sz w:val="21"/>
          <w:b/>
        </w:rPr>
        <w:t>响应</w:t>
      </w:r>
      <w:r>
        <w:rPr>
          <w:sz w:val="21"/>
          <w:b/>
        </w:rPr>
        <w:t>无效。</w:t>
      </w:r>
    </w:p>
    <w:p>
      <w:pPr>
        <w:pStyle w:val="null3"/>
        <w:jc w:val="both"/>
      </w:pPr>
      <w:r>
        <w:rPr>
          <w:sz w:val="21"/>
          <w:b/>
        </w:rPr>
        <w:t>3、无论</w:t>
      </w:r>
      <w:r>
        <w:rPr>
          <w:sz w:val="21"/>
          <w:b/>
        </w:rPr>
        <w:t>竞争性谈判</w:t>
      </w:r>
      <w:r>
        <w:rPr>
          <w:sz w:val="21"/>
          <w:b/>
        </w:rPr>
        <w:t>文件</w:t>
      </w:r>
      <w:r>
        <w:rPr>
          <w:sz w:val="21"/>
          <w:b/>
        </w:rPr>
        <w:t>中是否有具体要求，</w:t>
      </w:r>
      <w:r>
        <w:rPr>
          <w:sz w:val="21"/>
          <w:b/>
        </w:rPr>
        <w:t>供应商响应</w:t>
      </w:r>
      <w:r>
        <w:rPr>
          <w:sz w:val="21"/>
          <w:b/>
        </w:rPr>
        <w:t>的货物及伴随的服务和工程均应符合国家的强制性标准。同时，</w:t>
      </w:r>
      <w:r>
        <w:rPr>
          <w:sz w:val="21"/>
          <w:b/>
        </w:rPr>
        <w:t>响应</w:t>
      </w:r>
      <w:r>
        <w:rPr>
          <w:sz w:val="21"/>
          <w:b/>
        </w:rPr>
        <w:t>产品的生产制造商应遵守国家关于生产许可的强制规定。</w:t>
      </w:r>
    </w:p>
    <w:p>
      <w:pPr>
        <w:pStyle w:val="null3"/>
        <w:jc w:val="both"/>
      </w:pPr>
      <w:r>
        <w:rPr>
          <w:sz w:val="21"/>
          <w:b/>
        </w:rPr>
        <w:t>4、</w:t>
      </w:r>
      <w:r>
        <w:rPr>
          <w:sz w:val="21"/>
          <w:b/>
        </w:rPr>
        <w:t>本采购项目涉及</w:t>
      </w:r>
      <w:r>
        <w:rPr>
          <w:sz w:val="21"/>
          <w:b/>
        </w:rPr>
        <w:t>ccc认证、生产许可证等法定资质要求的，供应商应确保所投产品符合国家强制性规定，相关资质文件将作为合同签订及履约验收的必要条件。</w:t>
      </w:r>
    </w:p>
    <w:p>
      <w:pPr>
        <w:pStyle w:val="null3"/>
        <w:jc w:val="both"/>
      </w:pPr>
      <w:r>
        <w:rPr>
          <w:sz w:val="21"/>
          <w:b/>
        </w:rPr>
        <w:t>二、</w:t>
      </w:r>
      <w:r>
        <w:rPr>
          <w:sz w:val="21"/>
          <w:b/>
        </w:rPr>
        <w:t>项目建设概述</w:t>
      </w:r>
    </w:p>
    <w:p>
      <w:pPr>
        <w:pStyle w:val="null3"/>
        <w:ind w:firstLine="422"/>
        <w:jc w:val="both"/>
      </w:pPr>
      <w:r>
        <w:rPr>
          <w:sz w:val="21"/>
          <w:b/>
        </w:rPr>
        <w:t>1.项目建设的背景</w:t>
      </w:r>
    </w:p>
    <w:p>
      <w:pPr>
        <w:pStyle w:val="null3"/>
        <w:ind w:firstLine="420"/>
        <w:jc w:val="both"/>
      </w:pPr>
      <w:r>
        <w:rPr>
          <w:sz w:val="21"/>
        </w:rPr>
        <w:t>根据国家工业结构转型和广东产业结构调整规划，按照广东着力打造新一代信息产业等战略性新兴产业发展战略，建设符合广东战略性新兴产业发展目标的新一代综合型研发中心，与现有的通信、信息类实验室互补，服务计算机网络技术、人工智能技术、移动通信技术、大数据应用技术等相关专业群，满足相关专业群通用技能、专业技能、研发技能等综合技能实训的需要，培养综合应用型信息技术人才。同时，利用先进的实训设备和实训室资源，建设成服务型科研平台和区域性培训基地。</w:t>
      </w:r>
    </w:p>
    <w:p>
      <w:pPr>
        <w:pStyle w:val="null3"/>
        <w:ind w:firstLine="420"/>
        <w:jc w:val="both"/>
      </w:pPr>
      <w:r>
        <w:rPr>
          <w:sz w:val="21"/>
        </w:rPr>
        <w:t>计算机网络技术、人工智能技术等专业的专业课程开设、</w:t>
      </w:r>
      <w:r>
        <w:rPr>
          <w:sz w:val="21"/>
        </w:rPr>
        <w:t>1+X培训与考证等，需要使用云计算技术与应用实践基地以培养学生的计算机网络构建、管理、维护技能，特别是服务器的配置与管理和云计算平台的搭建、管理与维护能力，否则专业课程无法很好符合高职院校培养技能型人才的培养目标，教学只能停留在纸上谈兵，空谈理论的层面上。此外，教师的科研能力、自身教学能力的提高和对外技术服务也需要有一个良好的网络实训环境。</w:t>
      </w:r>
    </w:p>
    <w:p>
      <w:pPr>
        <w:pStyle w:val="null3"/>
        <w:ind w:firstLine="422"/>
        <w:jc w:val="both"/>
      </w:pPr>
      <w:r>
        <w:rPr>
          <w:sz w:val="21"/>
          <w:b/>
        </w:rPr>
        <w:t>2.项目建设的必要性</w:t>
      </w:r>
    </w:p>
    <w:p>
      <w:pPr>
        <w:pStyle w:val="null3"/>
        <w:ind w:firstLine="420"/>
        <w:jc w:val="both"/>
      </w:pPr>
      <w:r>
        <w:rPr>
          <w:sz w:val="21"/>
        </w:rPr>
        <w:t>项目建设的必要性主要体现在以下五个方面：</w:t>
      </w:r>
    </w:p>
    <w:p>
      <w:pPr>
        <w:pStyle w:val="null3"/>
        <w:ind w:firstLine="420"/>
        <w:jc w:val="both"/>
      </w:pPr>
      <w:r>
        <w:rPr>
          <w:sz w:val="21"/>
        </w:rPr>
        <w:t>（</w:t>
      </w:r>
      <w:r>
        <w:rPr>
          <w:sz w:val="21"/>
        </w:rPr>
        <w:t>1）</w:t>
      </w:r>
      <w:r>
        <w:rPr>
          <w:sz w:val="21"/>
        </w:rPr>
        <w:t>本项目</w:t>
      </w:r>
      <w:r>
        <w:rPr>
          <w:sz w:val="21"/>
        </w:rPr>
        <w:t>实训室建设是广东省高水平学校建设任务书中</w:t>
      </w:r>
      <w:r>
        <w:rPr>
          <w:sz w:val="21"/>
        </w:rPr>
        <w:t>510210嵌入式技术应用重点建设专业群建设任务表5-1建设校内实践教学基地中计划2025年要完成的实训室建设任务。</w:t>
      </w:r>
    </w:p>
    <w:p>
      <w:pPr>
        <w:pStyle w:val="null3"/>
        <w:ind w:firstLine="420"/>
        <w:jc w:val="both"/>
      </w:pPr>
      <w:r>
        <w:rPr>
          <w:sz w:val="21"/>
        </w:rPr>
        <w:t>（</w:t>
      </w:r>
      <w:r>
        <w:rPr>
          <w:sz w:val="21"/>
        </w:rPr>
        <w:t>2）</w:t>
      </w:r>
      <w:r>
        <w:rPr>
          <w:sz w:val="21"/>
        </w:rPr>
        <w:t>采购人</w:t>
      </w:r>
      <w:r>
        <w:rPr>
          <w:sz w:val="21"/>
        </w:rPr>
        <w:t>计算机网络技术专业作为第三批</w:t>
      </w:r>
      <w:r>
        <w:rPr>
          <w:sz w:val="21"/>
        </w:rPr>
        <w:t>1+X证书（华为网络系统建设与运维证书）试点专业，现有网络构建与应用实训室有六组交换路由设备（每组有华为交换机4台、路由器5台、防火墙1台），基本能满足考证内容中交换与路由相关内容的培训工作，但缺乏基本的无线设备，这将严重影响考证内容的培训与通过率；</w:t>
      </w:r>
    </w:p>
    <w:p>
      <w:pPr>
        <w:pStyle w:val="null3"/>
        <w:ind w:firstLine="420"/>
        <w:jc w:val="both"/>
      </w:pPr>
      <w:r>
        <w:rPr>
          <w:sz w:val="21"/>
        </w:rPr>
        <w:t>（</w:t>
      </w:r>
      <w:r>
        <w:rPr>
          <w:sz w:val="21"/>
        </w:rPr>
        <w:t>3）</w:t>
      </w:r>
      <w:r>
        <w:rPr>
          <w:sz w:val="21"/>
        </w:rPr>
        <w:t>采购人</w:t>
      </w:r>
      <w:r>
        <w:rPr>
          <w:sz w:val="21"/>
        </w:rPr>
        <w:t>作为华为网络系统建设与运维</w:t>
      </w:r>
      <w:r>
        <w:rPr>
          <w:sz w:val="21"/>
        </w:rPr>
        <w:t>1+X证书等级认证考点，需要提供多个满足考试要求的实训室供考试用，目前电信学院能满足考试用的实训室屈指可数，确需增加2个满足考试华为1+X考证需求的实训室；</w:t>
      </w:r>
    </w:p>
    <w:p>
      <w:pPr>
        <w:pStyle w:val="null3"/>
        <w:ind w:firstLine="420"/>
        <w:jc w:val="both"/>
      </w:pPr>
      <w:r>
        <w:rPr>
          <w:sz w:val="21"/>
        </w:rPr>
        <w:t>（</w:t>
      </w:r>
      <w:r>
        <w:rPr>
          <w:sz w:val="21"/>
        </w:rPr>
        <w:t>4）目前在用的网络构建与应用实训室、云计算技术与应用实训室云桌面环境瘦客户端老化严重，严重影响教学效果，而《计算机网络基础》《无线网络技术应用》《IPv6技术与应用》《路由交换技术与应用》《高级路由交换技术》等课程又需用到该实训室进行实训教学，急需更换该实训室的瘦客户机（原瘦客户机报废处理）。</w:t>
      </w:r>
    </w:p>
    <w:p>
      <w:pPr>
        <w:pStyle w:val="null3"/>
        <w:ind w:firstLine="420"/>
        <w:jc w:val="both"/>
      </w:pPr>
      <w:r>
        <w:rPr>
          <w:sz w:val="21"/>
        </w:rPr>
        <w:t>（</w:t>
      </w:r>
      <w:r>
        <w:rPr>
          <w:sz w:val="21"/>
        </w:rPr>
        <w:t>5）随着人工智能、网络、云计算技术的发展，开设的《网络存储技术》《Docker容器技术与应用》《网络安全技术基础》《Linux操作系统管理》《Linux操作系统高级应用》《网络虚拟化技术应用》《云计算基础架构与实践》《OpenStack部署与管理》《大数据应用技术》《云计算平台部署及应用》《云计算平台运维与管理》等课程需要高配的工作站才能满足实训教学任务需求，我院目前大部分实训室完成不了此部分课程的实训任务，严重影响教学效果，急需要增加一个能满足这些课程教学的实训室。</w:t>
      </w:r>
    </w:p>
    <w:p>
      <w:pPr>
        <w:pStyle w:val="null3"/>
        <w:ind w:firstLine="420"/>
        <w:jc w:val="both"/>
      </w:pPr>
      <w:r>
        <w:rPr>
          <w:sz w:val="21"/>
        </w:rPr>
        <w:t>随着今后人工智能、网络、云计算技术的不断发展，学院各专业的招生规模不断扩大，实训室已远远无法满足教学、培训、科研的需求，扩建云计算技术与应用实践基地也显得迫在眉睫。</w:t>
      </w:r>
    </w:p>
    <w:p>
      <w:pPr>
        <w:pStyle w:val="null3"/>
        <w:ind w:firstLine="422"/>
        <w:jc w:val="both"/>
      </w:pPr>
      <w:r>
        <w:rPr>
          <w:sz w:val="21"/>
          <w:b/>
        </w:rPr>
        <w:t>3.项目建设的主要内容</w:t>
      </w:r>
    </w:p>
    <w:p>
      <w:pPr>
        <w:pStyle w:val="null3"/>
        <w:ind w:firstLine="420"/>
        <w:jc w:val="both"/>
      </w:pPr>
      <w:r>
        <w:rPr>
          <w:sz w:val="21"/>
        </w:rPr>
        <w:t>河源职业技术学院拟更新云计算技术与应用实践基地，扩建后实训室主要用于计算机网络技术、人工智能技术等专业的《计算机网络基础》《无线网络技术应用》《</w:t>
      </w:r>
      <w:r>
        <w:rPr>
          <w:sz w:val="21"/>
        </w:rPr>
        <w:t>IPv6技术与应用》《网络存储技术》《Docker容器技术与应用》《网络安全技术基础》《Linux操作系统管理》《路由交换技术与应用》《Linux操作系统高级应用》《网络虚拟化技术应用》《云计算基础架构与实践》《OpenStack部署与管理》《大数据应用技术》等专业课程的教学。</w:t>
      </w:r>
    </w:p>
    <w:p>
      <w:pPr>
        <w:pStyle w:val="null3"/>
        <w:ind w:firstLine="420"/>
        <w:jc w:val="both"/>
      </w:pPr>
      <w:r>
        <w:rPr>
          <w:sz w:val="21"/>
        </w:rPr>
        <w:t>考虑实际情况，紧跟以人工智能、云计算、大数据、移动互联等为代表的云计算产业的发展，结合当地产业结构及网络技术人才需求情况，计划到</w:t>
      </w:r>
      <w:r>
        <w:rPr>
          <w:sz w:val="21"/>
        </w:rPr>
        <w:t>2025年底，完成能容纳56个学生的实训室2个，包括以下功能：</w:t>
      </w:r>
    </w:p>
    <w:p>
      <w:pPr>
        <w:pStyle w:val="null3"/>
        <w:ind w:firstLine="420"/>
        <w:jc w:val="both"/>
      </w:pPr>
      <w:r>
        <w:rPr>
          <w:sz w:val="21"/>
        </w:rPr>
        <w:t>1）1个57个点的云计算工作站机房建设及相关配套设备，主要设备为：云计算工作站57台、云资源控制器1台、边缘计算盒子2台等。</w:t>
      </w:r>
    </w:p>
    <w:p>
      <w:pPr>
        <w:pStyle w:val="null3"/>
        <w:ind w:firstLine="420"/>
        <w:jc w:val="both"/>
      </w:pPr>
      <w:r>
        <w:rPr>
          <w:sz w:val="21"/>
        </w:rPr>
        <w:t>2）1个57个点的电脑机房建设及相关配套设备，主要设备为：工作站57台等。</w:t>
      </w:r>
    </w:p>
    <w:p>
      <w:pPr>
        <w:pStyle w:val="null3"/>
        <w:ind w:firstLine="420"/>
        <w:jc w:val="both"/>
      </w:pPr>
      <w:r>
        <w:rPr>
          <w:sz w:val="21"/>
        </w:rPr>
        <w:t>3）华为网络系统建设与运维1+X证书考证所需的无线设备6组。</w:t>
      </w:r>
    </w:p>
    <w:p>
      <w:pPr>
        <w:pStyle w:val="null3"/>
        <w:ind w:firstLine="422"/>
        <w:jc w:val="both"/>
      </w:pPr>
      <w:r>
        <w:rPr>
          <w:sz w:val="21"/>
          <w:b/>
        </w:rPr>
        <w:t>4.</w:t>
      </w:r>
      <w:r>
        <w:rPr>
          <w:sz w:val="21"/>
          <w:b/>
        </w:rPr>
        <w:t>项目建设内容</w:t>
      </w:r>
    </w:p>
    <w:p>
      <w:pPr>
        <w:pStyle w:val="null3"/>
        <w:ind w:firstLine="422"/>
        <w:jc w:val="both"/>
      </w:pPr>
      <w:r>
        <w:rPr>
          <w:sz w:val="21"/>
          <w:b/>
        </w:rPr>
        <w:t>★</w:t>
      </w:r>
      <w:r>
        <w:rPr>
          <w:sz w:val="21"/>
          <w:b/>
        </w:rPr>
        <w:t>（</w:t>
      </w:r>
      <w:r>
        <w:rPr>
          <w:sz w:val="21"/>
          <w:b/>
        </w:rPr>
        <w:t>1</w:t>
      </w:r>
      <w:r>
        <w:rPr>
          <w:sz w:val="21"/>
          <w:b/>
        </w:rPr>
        <w:t>）</w:t>
      </w:r>
      <w:r>
        <w:rPr>
          <w:sz w:val="21"/>
          <w:b/>
        </w:rPr>
        <w:t>供应商承诺</w:t>
      </w:r>
      <w:r>
        <w:rPr>
          <w:sz w:val="21"/>
          <w:b/>
        </w:rPr>
        <w:t>提供整个项目建设所需要的设备硬件及辅助设备等，投标时应配备所有设备硬件、配件与辅助材料，并列明单件、数量，计入总计，即使缺漏项目也均由</w:t>
      </w:r>
      <w:r>
        <w:rPr>
          <w:sz w:val="21"/>
          <w:b/>
        </w:rPr>
        <w:t>成交供应商</w:t>
      </w:r>
      <w:r>
        <w:rPr>
          <w:sz w:val="21"/>
          <w:b/>
        </w:rPr>
        <w:t>负责（不得再向采购人申请增加费用）。</w:t>
      </w:r>
    </w:p>
    <w:p>
      <w:pPr>
        <w:pStyle w:val="null3"/>
        <w:ind w:firstLine="422"/>
        <w:jc w:val="both"/>
      </w:pPr>
      <w:r>
        <w:rPr>
          <w:sz w:val="21"/>
          <w:b/>
        </w:rPr>
        <w:t>★</w:t>
      </w:r>
      <w:r>
        <w:rPr>
          <w:sz w:val="21"/>
          <w:b/>
        </w:rPr>
        <w:t>（</w:t>
      </w:r>
      <w:r>
        <w:rPr>
          <w:sz w:val="21"/>
          <w:b/>
        </w:rPr>
        <w:t>2</w:t>
      </w:r>
      <w:r>
        <w:rPr>
          <w:sz w:val="21"/>
          <w:b/>
        </w:rPr>
        <w:t>）</w:t>
      </w:r>
      <w:r>
        <w:rPr>
          <w:sz w:val="21"/>
          <w:b/>
        </w:rPr>
        <w:t>供应商承诺</w:t>
      </w:r>
      <w:r>
        <w:rPr>
          <w:sz w:val="21"/>
          <w:b/>
        </w:rPr>
        <w:t>提供的工作站须为原厂专业工作站设备，严禁采用商用</w:t>
      </w:r>
      <w:r>
        <w:rPr>
          <w:sz w:val="21"/>
          <w:b/>
        </w:rPr>
        <w:t>或</w:t>
      </w:r>
      <w:r>
        <w:rPr>
          <w:sz w:val="21"/>
          <w:b/>
        </w:rPr>
        <w:t>家用级台</w:t>
      </w:r>
      <w:r>
        <w:rPr>
          <w:sz w:val="21"/>
          <w:b/>
        </w:rPr>
        <w:t>式计算机产品。</w:t>
      </w:r>
    </w:p>
    <w:p>
      <w:pPr>
        <w:pStyle w:val="null3"/>
        <w:jc w:val="both"/>
      </w:pPr>
      <w:r>
        <w:rPr>
          <w:sz w:val="21"/>
          <w:b/>
        </w:rPr>
        <w:t>三、配件清单</w:t>
      </w:r>
    </w:p>
    <w:tbl>
      <w:tblPr>
        <w:tblW w:w="0" w:type="auto"/>
        <w:tblBorders>
          <w:top w:val="none" w:color="000000" w:sz="4"/>
          <w:left w:val="none" w:color="000000" w:sz="4"/>
          <w:bottom w:val="none" w:color="000000" w:sz="4"/>
          <w:right w:val="none" w:color="000000" w:sz="4"/>
          <w:insideH w:val="none"/>
          <w:insideV w:val="none"/>
        </w:tblBorders>
      </w:tblPr>
      <w:tblGrid>
        <w:gridCol w:w="464"/>
        <w:gridCol w:w="1272"/>
        <w:gridCol w:w="1526"/>
        <w:gridCol w:w="5043"/>
      </w:tblGrid>
      <w:tr>
        <w:tc>
          <w:tcPr>
            <w:tcW w:type="dxa" w:w="464"/>
            <w:tcBorders>
              <w:top w:val="single" w:color="000000" w:sz="4"/>
              <w:left w:val="single" w:color="000000" w:sz="4"/>
              <w:bottom w:val="single" w:color="000000" w:sz="4"/>
              <w:right w:val="single" w:color="000000" w:sz="4"/>
            </w:tcBorders>
            <w:shd w:fill="F4F4F4"/>
            <w:tcMar>
              <w:top w:type="dxa" w:w="0"/>
              <w:left w:type="dxa" w:w="0"/>
              <w:bottom w:type="dxa" w:w="0"/>
              <w:right w:type="dxa" w:w="0"/>
            </w:tcMar>
            <w:vAlign w:val="top"/>
          </w:tcPr>
          <w:p>
            <w:pPr>
              <w:pStyle w:val="null3"/>
              <w:ind w:right="15"/>
              <w:jc w:val="center"/>
            </w:pPr>
            <w:r>
              <w:rPr>
                <w:sz w:val="21"/>
                <w:b/>
              </w:rPr>
              <w:t>序号</w:t>
            </w:r>
          </w:p>
        </w:tc>
        <w:tc>
          <w:tcPr>
            <w:tcW w:type="dxa" w:w="1272"/>
            <w:tcBorders>
              <w:top w:val="single" w:color="000000" w:sz="4"/>
              <w:left w:val="single" w:color="000000" w:sz="4"/>
              <w:bottom w:val="single" w:color="000000" w:sz="4"/>
              <w:right w:val="single" w:color="000000" w:sz="4"/>
            </w:tcBorders>
            <w:shd w:fill="F4F4F4"/>
            <w:tcMar>
              <w:top w:type="dxa" w:w="0"/>
              <w:left w:type="dxa" w:w="0"/>
              <w:bottom w:type="dxa" w:w="0"/>
              <w:right w:type="dxa" w:w="0"/>
            </w:tcMar>
            <w:vAlign w:val="top"/>
          </w:tcPr>
          <w:p>
            <w:pPr>
              <w:pStyle w:val="null3"/>
              <w:ind w:right="60"/>
              <w:jc w:val="center"/>
            </w:pPr>
            <w:r>
              <w:rPr>
                <w:sz w:val="21"/>
                <w:b/>
              </w:rPr>
              <w:t>配件名称</w:t>
            </w:r>
          </w:p>
        </w:tc>
        <w:tc>
          <w:tcPr>
            <w:tcW w:type="dxa" w:w="1526"/>
            <w:tcBorders>
              <w:top w:val="single" w:color="000000" w:sz="4"/>
              <w:left w:val="single" w:color="000000" w:sz="4"/>
              <w:bottom w:val="single" w:color="000000" w:sz="4"/>
              <w:right w:val="single" w:color="000000" w:sz="4"/>
            </w:tcBorders>
            <w:shd w:fill="F4F4F4"/>
            <w:tcMar>
              <w:top w:type="dxa" w:w="0"/>
              <w:left w:type="dxa" w:w="0"/>
              <w:bottom w:type="dxa" w:w="0"/>
              <w:right w:type="dxa" w:w="0"/>
            </w:tcMar>
            <w:vAlign w:val="top"/>
          </w:tcPr>
          <w:p>
            <w:pPr>
              <w:pStyle w:val="null3"/>
              <w:ind w:left="150" w:right="150"/>
              <w:jc w:val="center"/>
            </w:pPr>
            <w:r>
              <w:rPr>
                <w:sz w:val="21"/>
                <w:b/>
              </w:rPr>
              <w:t>数量（</w:t>
            </w:r>
            <w:r>
              <w:rPr>
                <w:sz w:val="21"/>
                <w:b/>
              </w:rPr>
              <w:t>预估值，以实际使用数量为准</w:t>
            </w:r>
            <w:r>
              <w:rPr>
                <w:sz w:val="21"/>
                <w:b/>
              </w:rPr>
              <w:t>）</w:t>
            </w:r>
          </w:p>
        </w:tc>
        <w:tc>
          <w:tcPr>
            <w:tcW w:type="dxa" w:w="5043"/>
            <w:tcBorders>
              <w:top w:val="single" w:color="000000" w:sz="4"/>
              <w:left w:val="single" w:color="000000" w:sz="4"/>
              <w:bottom w:val="single" w:color="000000" w:sz="4"/>
              <w:right w:val="single" w:color="000000" w:sz="4"/>
            </w:tcBorders>
            <w:shd w:fill="F4F4F4"/>
            <w:tcMar>
              <w:top w:type="dxa" w:w="0"/>
              <w:left w:type="dxa" w:w="0"/>
              <w:bottom w:type="dxa" w:w="0"/>
              <w:right w:type="dxa" w:w="0"/>
            </w:tcMar>
            <w:vAlign w:val="top"/>
          </w:tcPr>
          <w:p>
            <w:pPr>
              <w:pStyle w:val="null3"/>
              <w:ind w:left="150" w:right="150"/>
              <w:jc w:val="center"/>
            </w:pPr>
            <w:r>
              <w:rPr>
                <w:sz w:val="21"/>
                <w:b/>
              </w:rPr>
              <w:t>技术规格、参数及要求</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网线</w:t>
            </w:r>
          </w:p>
        </w:tc>
        <w:tc>
          <w:tcPr>
            <w:tcW w:type="dxa" w:w="1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8</w:t>
            </w:r>
            <w:r>
              <w:rPr>
                <w:sz w:val="21"/>
              </w:rPr>
              <w:t>（</w:t>
            </w:r>
            <w:r>
              <w:rPr>
                <w:sz w:val="21"/>
              </w:rPr>
              <w:t>箱</w:t>
            </w:r>
            <w:r>
              <w:rPr>
                <w:sz w:val="21"/>
              </w:rPr>
              <w:t>）</w:t>
            </w:r>
          </w:p>
        </w:tc>
        <w:tc>
          <w:tcPr>
            <w:tcW w:type="dxa" w:w="5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六类</w:t>
            </w:r>
            <w:r>
              <w:rPr>
                <w:sz w:val="21"/>
              </w:rPr>
              <w:t>UTP网线：六类非屏蔽网线、符合国标高速1000Base-T千兆以太网（1000Mbps）要求、国标0.57毫米纯铜芯、305米/箱</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水晶头</w:t>
            </w:r>
          </w:p>
        </w:tc>
        <w:tc>
          <w:tcPr>
            <w:tcW w:type="dxa" w:w="1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300</w:t>
            </w:r>
            <w:r>
              <w:rPr>
                <w:sz w:val="21"/>
              </w:rPr>
              <w:t>（</w:t>
            </w:r>
            <w:r>
              <w:rPr>
                <w:sz w:val="21"/>
              </w:rPr>
              <w:t>个</w:t>
            </w:r>
            <w:r>
              <w:rPr>
                <w:sz w:val="21"/>
              </w:rPr>
              <w:t>）</w:t>
            </w:r>
          </w:p>
        </w:tc>
        <w:tc>
          <w:tcPr>
            <w:tcW w:type="dxa" w:w="5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六类水晶头：纯铜镀金三叉芯片与弹片、环保工程塑料铸体</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电线</w:t>
            </w:r>
            <w:r>
              <w:rPr>
                <w:sz w:val="21"/>
              </w:rPr>
              <w:t>1</w:t>
            </w:r>
          </w:p>
        </w:tc>
        <w:tc>
          <w:tcPr>
            <w:tcW w:type="dxa" w:w="1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3（</w:t>
            </w:r>
            <w:r>
              <w:rPr>
                <w:sz w:val="21"/>
              </w:rPr>
              <w:t>卷</w:t>
            </w:r>
            <w:r>
              <w:rPr>
                <w:sz w:val="21"/>
              </w:rPr>
              <w:t>）</w:t>
            </w:r>
          </w:p>
        </w:tc>
        <w:tc>
          <w:tcPr>
            <w:tcW w:type="dxa" w:w="5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 xml:space="preserve">1. </w:t>
            </w:r>
            <w:r>
              <w:rPr>
                <w:sz w:val="21"/>
              </w:rPr>
              <w:t>4平方多股铜线（100m/卷）：国标铜芯线、单芯多股软线、阻燃家装线</w:t>
            </w:r>
            <w:r>
              <w:rPr>
                <w:sz w:val="21"/>
              </w:rPr>
              <w:t>。</w:t>
            </w:r>
          </w:p>
          <w:p>
            <w:pPr>
              <w:pStyle w:val="null3"/>
              <w:ind w:left="105"/>
              <w:jc w:val="left"/>
            </w:pPr>
            <w:r>
              <w:rPr>
                <w:sz w:val="22"/>
              </w:rPr>
              <w:t>★</w:t>
            </w:r>
            <w:r>
              <w:rPr>
                <w:sz w:val="21"/>
              </w:rPr>
              <w:t>2.供货时提供CCC认证的佐证材料。</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电线</w:t>
            </w:r>
            <w:r>
              <w:rPr>
                <w:sz w:val="21"/>
              </w:rPr>
              <w:t>2</w:t>
            </w:r>
          </w:p>
        </w:tc>
        <w:tc>
          <w:tcPr>
            <w:tcW w:type="dxa" w:w="1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6</w:t>
            </w:r>
            <w:r>
              <w:rPr>
                <w:sz w:val="21"/>
              </w:rPr>
              <w:t>（</w:t>
            </w:r>
            <w:r>
              <w:rPr>
                <w:sz w:val="21"/>
              </w:rPr>
              <w:t>卷</w:t>
            </w:r>
            <w:r>
              <w:rPr>
                <w:sz w:val="21"/>
              </w:rPr>
              <w:t>）</w:t>
            </w:r>
          </w:p>
        </w:tc>
        <w:tc>
          <w:tcPr>
            <w:tcW w:type="dxa" w:w="5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sz w:val="21"/>
              </w:rPr>
              <w:t xml:space="preserve"> </w:t>
            </w:r>
            <w:r>
              <w:rPr>
                <w:sz w:val="21"/>
              </w:rPr>
              <w:t>2.5平方多股铜线（100m/卷）：国标铜芯线、单芯多股软线、阻燃家装线</w:t>
            </w:r>
            <w:r>
              <w:rPr>
                <w:sz w:val="21"/>
              </w:rPr>
              <w:t>。</w:t>
            </w:r>
          </w:p>
          <w:p>
            <w:pPr>
              <w:pStyle w:val="null3"/>
              <w:ind w:left="105"/>
              <w:jc w:val="left"/>
            </w:pPr>
            <w:r>
              <w:rPr>
                <w:sz w:val="22"/>
              </w:rPr>
              <w:t>★</w:t>
            </w:r>
            <w:r>
              <w:rPr>
                <w:sz w:val="21"/>
              </w:rPr>
              <w:t>2.供货时提供CCC认证的佐证材料。</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电源面板</w:t>
            </w:r>
          </w:p>
        </w:tc>
        <w:tc>
          <w:tcPr>
            <w:tcW w:type="dxa" w:w="1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1</w:t>
            </w:r>
            <w:r>
              <w:rPr>
                <w:sz w:val="21"/>
              </w:rPr>
              <w:t>16</w:t>
            </w:r>
            <w:r>
              <w:rPr>
                <w:sz w:val="21"/>
              </w:rPr>
              <w:t>（</w:t>
            </w:r>
            <w:r>
              <w:rPr>
                <w:sz w:val="21"/>
              </w:rPr>
              <w:t>个</w:t>
            </w:r>
            <w:r>
              <w:rPr>
                <w:sz w:val="21"/>
              </w:rPr>
              <w:t>）</w:t>
            </w:r>
          </w:p>
        </w:tc>
        <w:tc>
          <w:tcPr>
            <w:tcW w:type="dxa" w:w="5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二二三三插十孔插座（含底盒）：阻燃外壳、额定电流</w:t>
            </w:r>
            <w:r>
              <w:rPr>
                <w:sz w:val="21"/>
              </w:rPr>
              <w:t>10A、额定电压220V、环保PC材料、内部锡磷青铜载流件</w:t>
            </w:r>
            <w:r>
              <w:rPr>
                <w:sz w:val="21"/>
              </w:rPr>
              <w:t>。</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PVC线槽</w:t>
            </w:r>
          </w:p>
        </w:tc>
        <w:tc>
          <w:tcPr>
            <w:tcW w:type="dxa" w:w="1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50</w:t>
            </w:r>
            <w:r>
              <w:rPr>
                <w:sz w:val="21"/>
              </w:rPr>
              <w:t>（</w:t>
            </w:r>
            <w:r>
              <w:rPr>
                <w:sz w:val="21"/>
              </w:rPr>
              <w:t>米</w:t>
            </w:r>
            <w:r>
              <w:rPr>
                <w:sz w:val="21"/>
              </w:rPr>
              <w:t>）</w:t>
            </w:r>
          </w:p>
        </w:tc>
        <w:tc>
          <w:tcPr>
            <w:tcW w:type="dxa" w:w="5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color w:val="000000"/>
              </w:rPr>
              <w:t>100*50mm</w:t>
            </w:r>
            <w:r>
              <w:rPr>
                <w:sz w:val="21"/>
                <w:color w:val="000000"/>
              </w:rPr>
              <w:t>（</w:t>
            </w:r>
            <w:r>
              <w:rPr>
                <w:sz w:val="21"/>
                <w:color w:val="000000"/>
              </w:rPr>
              <w:t>长</w:t>
            </w:r>
            <w:r>
              <w:rPr>
                <w:sz w:val="21"/>
                <w:color w:val="000000"/>
              </w:rPr>
              <w:t>X宽</w:t>
            </w:r>
            <w:r>
              <w:rPr>
                <w:sz w:val="21"/>
                <w:color w:val="000000"/>
              </w:rPr>
              <w:t>）</w:t>
            </w:r>
            <w:r>
              <w:rPr>
                <w:sz w:val="22"/>
              </w:rPr>
              <w:t>，</w:t>
            </w:r>
            <w:r>
              <w:rPr>
                <w:sz w:val="21"/>
                <w:color w:val="000000"/>
              </w:rPr>
              <w:t>PVC材质</w:t>
            </w:r>
            <w:r>
              <w:rPr>
                <w:sz w:val="21"/>
                <w:color w:val="000000"/>
              </w:rPr>
              <w:t>。</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1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防踩不锈钢</w:t>
            </w:r>
          </w:p>
        </w:tc>
        <w:tc>
          <w:tcPr>
            <w:tcW w:type="dxa" w:w="1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30</w:t>
            </w:r>
            <w:r>
              <w:rPr>
                <w:sz w:val="21"/>
              </w:rPr>
              <w:t>（</w:t>
            </w:r>
            <w:r>
              <w:rPr>
                <w:sz w:val="21"/>
              </w:rPr>
              <w:t>米</w:t>
            </w:r>
            <w:r>
              <w:rPr>
                <w:sz w:val="21"/>
              </w:rPr>
              <w:t>）</w:t>
            </w:r>
          </w:p>
        </w:tc>
        <w:tc>
          <w:tcPr>
            <w:tcW w:type="dxa" w:w="5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color w:val="000000"/>
              </w:rPr>
              <w:t>100*50mm</w:t>
            </w:r>
            <w:r>
              <w:rPr>
                <w:sz w:val="21"/>
                <w:color w:val="000000"/>
              </w:rPr>
              <w:t>（</w:t>
            </w:r>
            <w:r>
              <w:rPr>
                <w:sz w:val="21"/>
                <w:color w:val="000000"/>
              </w:rPr>
              <w:t>长</w:t>
            </w:r>
            <w:r>
              <w:rPr>
                <w:sz w:val="21"/>
                <w:color w:val="000000"/>
              </w:rPr>
              <w:t>X宽</w:t>
            </w:r>
            <w:r>
              <w:rPr>
                <w:sz w:val="21"/>
                <w:color w:val="000000"/>
              </w:rPr>
              <w:t>），</w:t>
            </w:r>
            <w:r>
              <w:rPr>
                <w:sz w:val="21"/>
                <w:color w:val="000000"/>
              </w:rPr>
              <w:t>厚度</w:t>
            </w:r>
            <w:r>
              <w:rPr>
                <w:sz w:val="21"/>
                <w:color w:val="000000"/>
              </w:rPr>
              <w:t>1mm</w:t>
            </w:r>
            <w:r>
              <w:rPr>
                <w:sz w:val="21"/>
                <w:color w:val="000000"/>
              </w:rPr>
              <w:t>，</w:t>
            </w:r>
            <w:r>
              <w:rPr>
                <w:sz w:val="21"/>
                <w:color w:val="000000"/>
              </w:rPr>
              <w:t>304不锈钢</w:t>
            </w:r>
            <w:r>
              <w:rPr>
                <w:sz w:val="21"/>
                <w:color w:val="000000"/>
              </w:rPr>
              <w:t>。</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1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天棚涂刷灰色漆</w:t>
            </w:r>
          </w:p>
        </w:tc>
        <w:tc>
          <w:tcPr>
            <w:tcW w:type="dxa" w:w="1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360</w:t>
            </w:r>
            <w:r>
              <w:rPr>
                <w:sz w:val="21"/>
              </w:rPr>
              <w:t>（</w:t>
            </w:r>
            <w:r>
              <w:rPr>
                <w:sz w:val="21"/>
              </w:rPr>
              <w:t>米</w:t>
            </w:r>
            <w:r>
              <w:rPr>
                <w:sz w:val="21"/>
                <w:vertAlign w:val="superscript"/>
              </w:rPr>
              <w:t>2</w:t>
            </w:r>
            <w:r>
              <w:rPr>
                <w:sz w:val="21"/>
              </w:rPr>
              <w:t>）</w:t>
            </w:r>
          </w:p>
        </w:tc>
        <w:tc>
          <w:tcPr>
            <w:tcW w:type="dxa" w:w="5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color w:val="000000"/>
              </w:rPr>
              <w:t>抹灰面调和漆，墙、柱、天棚面底油一遍、调和漆二遍</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1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辅材</w:t>
            </w:r>
          </w:p>
        </w:tc>
        <w:tc>
          <w:tcPr>
            <w:tcW w:type="dxa" w:w="1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sz w:val="21"/>
              </w:rPr>
              <w:t>1（项）</w:t>
            </w:r>
          </w:p>
        </w:tc>
        <w:tc>
          <w:tcPr>
            <w:tcW w:type="dxa" w:w="5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color w:val="000000"/>
              </w:rPr>
              <w:t>电工胶布、扎带、电工螺丝、膨胀螺丝、线卡、线耳、热缩管、波纹管、玻璃胶、标签、尾纤等。</w:t>
            </w:r>
          </w:p>
        </w:tc>
      </w:tr>
    </w:tbl>
    <w:p>
      <w:pPr>
        <w:pStyle w:val="null3"/>
      </w:pPr>
      <w:r>
        <w:rPr/>
        <w:t>采购包1（2024年河源职业技术学院云计算技术与应用实践基地升级改造项目）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合同签订后45个日历天完成并交付使用。</w:t>
            </w:r>
          </w:p>
        </w:tc>
      </w:tr>
      <w:tr>
        <w:tc>
          <w:tcPr>
            <w:tcW w:type="dxa" w:w="4153"/>
          </w:tcPr>
          <w:p>
            <w:pPr>
              <w:pStyle w:val="null3"/>
            </w:pPr>
            <w:r>
              <w:rPr/>
              <w:t>标的提供的地点</w:t>
            </w:r>
          </w:p>
        </w:tc>
        <w:tc>
          <w:tcPr>
            <w:tcW w:type="dxa" w:w="4153"/>
          </w:tcPr>
          <w:p>
            <w:pPr>
              <w:pStyle w:val="null3"/>
            </w:pPr>
            <w:r>
              <w:rPr/>
              <w:t>河源职业技术学院</w:t>
            </w:r>
          </w:p>
        </w:tc>
      </w:tr>
      <w:tr>
        <w:tc>
          <w:tcPr>
            <w:tcW w:type="dxa" w:w="4153"/>
          </w:tcPr>
          <w:p>
            <w:pPr>
              <w:pStyle w:val="null3"/>
            </w:pPr>
            <w:r>
              <w:rPr/>
              <w:t>付款方式</w:t>
            </w:r>
          </w:p>
        </w:tc>
        <w:tc>
          <w:tcPr>
            <w:tcW w:type="dxa" w:w="4153"/>
          </w:tcPr>
          <w:p>
            <w:pPr>
              <w:pStyle w:val="null3"/>
            </w:pPr>
            <w:r>
              <w:rPr/>
              <w:t>1期：支付比例100%,（1）成交供应商为非中小企业时，付款方式为：项目竣工、设备安装调试完成并经采购人验收合格后10个工作日内,采购人按程序支付成交供应商验收结算金额的100%。成交供应商为中小企业时，签订合同后，采购人在合同签订后10个工作日内向成交供应商支付30%的合同货款作为预付款；项目竣工、设备安装调试完成并经采购人验收合格后10个工作日内,采购人按程序支付成交供应商验收结算金额的70%。 （2）成交供应商凭以下有效文件与采购人结算：合同、成交供应商开具的增值税专用发票、中标通知书等。 （3）因采购人使用的是财政资金，采购人在上述规定的付款时间为向政府采购支付部门提出办理财政支付申请手续的时间（不含政府财政支付部门审核的时间），在规定时间内提出支付申请手续后即视为采购人已经按期支付。（成交供应商应自行评估，合同执行过程中不得以未收到款为由，向采购人及相关方主张权利。）</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1期：供应商（或产品厂商）根据现场情况和采购人要求及有关国家技术标准、规范进行安装和验收； 安装完成，供应商与采购人一同进行验收。 交付验收标准依次序对照适用标准为：①符合中华人民共和国国家安全质量标准、环保标准或行业标准；②符合采购文件和响应承诺中甲方认可的合理最佳配置、参数及各项要求；③货物来源国官方标准。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一、设备一般要求，1.货物为原制造商制造的全新产品，整机无污染、无侵权行为、表面无划损、无任何缺陷隐患，在中国境内可依常规安全合法使用。 2.货物为原厂商未启封全新包装，具出厂合格证，序列号、包装箱号与出厂批号一致，并可追索查阅。 3.成交供应商应将关键主机设备的用户手册、保修手册、有关单证资料及配备件、随机工具等交付给甲方，使用操作及安全须知等重要资料应附有中文说明。</w:t>
            </w:r>
          </w:p>
          <w:p>
            <w:pPr>
              <w:pStyle w:val="null3"/>
            </w:pPr>
            <w:r>
              <w:rPr/>
              <w:t>二、售后服务及其他要求，1.成交供应商应提供用户所在地的上门售后服务，所有设备提供三年或以上质保，保质保用期内非用户方的人为原因而出现产品质量及安装问题，由成交供应商负责包修包换，并承担因此而产生的一切费用； 2.所有设备均由成交供应商送货、安装、调试及验收； 3.保修期内用户所购设备各部件发生非人为故障，成交供应商应上门更换同种品牌不低于原规格型号的新部件； 4.保修期间内同一硬件一个月内连续3次出现同一故障，成交供应商应更换同一档次设备； 5.保修期后，产品厂商应继续提供产品使用运行的技术支持，包括故障排除及零备件的供应等； 6.成交供应商应提供交货地点所在用户的设备维修电话及联系人，用户报修后，应在2小时内响应，4小时内上门服务，24小时内无法解决的问题，应提供不低于故障产品档次的设备给用户使用，直至故障设备修复； 7.成交供应商应提供包括但不限于满足设备安装、使用和维护的技术文件，如仪器和附件箱清单、质量合格检定证明文件、保修服务卡、使用中文说明和中文维护手册。 8.安装调试 设备到货后，成交供应商（或产品厂商）应派出有经验的工程技术人员到现场进行安装，并将设备调试到最佳状态，采购人给予相应的配合； 9.成交供应商所提供的设备如在实际供货时已经废型，则成交供应商应用供货时该厂家的最新产品提供给用户单位，其性能指标不得低于所报设备，并且价格不变； 10.培训：成交供应商针对采购人专业技术人员提供培训计划，培训次数不少于2次。</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终端接入设备</w:t>
            </w:r>
          </w:p>
        </w:tc>
        <w:tc>
          <w:tcPr>
            <w:tcW w:type="dxa" w:w="933"/>
          </w:tcPr>
          <w:p>
            <w:pPr>
              <w:pStyle w:val="null3"/>
              <w:jc w:val="left"/>
            </w:pPr>
            <w:r>
              <w:rPr/>
              <w:t>无线接入点</w:t>
            </w:r>
          </w:p>
        </w:tc>
        <w:tc>
          <w:tcPr>
            <w:tcW w:type="dxa" w:w="933"/>
          </w:tcPr>
          <w:p>
            <w:pPr>
              <w:pStyle w:val="null3"/>
              <w:jc w:val="left"/>
            </w:pPr>
            <w:r>
              <w:rPr/>
              <w:t>台</w:t>
            </w:r>
          </w:p>
        </w:tc>
        <w:tc>
          <w:tcPr>
            <w:tcW w:type="dxa" w:w="933"/>
          </w:tcPr>
          <w:p>
            <w:pPr>
              <w:pStyle w:val="null3"/>
              <w:jc w:val="right"/>
            </w:pPr>
            <w:r>
              <w:rPr/>
              <w:t>12.00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终端控制器</w:t>
            </w:r>
          </w:p>
        </w:tc>
        <w:tc>
          <w:tcPr>
            <w:tcW w:type="dxa" w:w="933"/>
          </w:tcPr>
          <w:p>
            <w:pPr>
              <w:pStyle w:val="null3"/>
              <w:jc w:val="left"/>
            </w:pPr>
            <w:r>
              <w:rPr/>
              <w:t>无线接入控制器</w:t>
            </w:r>
          </w:p>
        </w:tc>
        <w:tc>
          <w:tcPr>
            <w:tcW w:type="dxa" w:w="933"/>
          </w:tcPr>
          <w:p>
            <w:pPr>
              <w:pStyle w:val="null3"/>
              <w:jc w:val="left"/>
            </w:pPr>
            <w:r>
              <w:rPr/>
              <w:t>台</w:t>
            </w:r>
          </w:p>
        </w:tc>
        <w:tc>
          <w:tcPr>
            <w:tcW w:type="dxa" w:w="933"/>
          </w:tcPr>
          <w:p>
            <w:pPr>
              <w:pStyle w:val="null3"/>
              <w:jc w:val="right"/>
            </w:pPr>
            <w:r>
              <w:rPr/>
              <w:t>6.00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图形工作站</w:t>
            </w:r>
          </w:p>
        </w:tc>
        <w:tc>
          <w:tcPr>
            <w:tcW w:type="dxa" w:w="933"/>
          </w:tcPr>
          <w:p>
            <w:pPr>
              <w:pStyle w:val="null3"/>
              <w:jc w:val="left"/>
            </w:pPr>
            <w:r>
              <w:rPr/>
              <w:t>工作站1</w:t>
            </w:r>
          </w:p>
        </w:tc>
        <w:tc>
          <w:tcPr>
            <w:tcW w:type="dxa" w:w="933"/>
          </w:tcPr>
          <w:p>
            <w:pPr>
              <w:pStyle w:val="null3"/>
              <w:jc w:val="left"/>
            </w:pPr>
            <w:r>
              <w:rPr/>
              <w:t>台</w:t>
            </w:r>
          </w:p>
        </w:tc>
        <w:tc>
          <w:tcPr>
            <w:tcW w:type="dxa" w:w="933"/>
          </w:tcPr>
          <w:p>
            <w:pPr>
              <w:pStyle w:val="null3"/>
              <w:jc w:val="right"/>
            </w:pPr>
            <w:r>
              <w:rPr/>
              <w:t>57.00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图形工作站</w:t>
            </w:r>
          </w:p>
        </w:tc>
        <w:tc>
          <w:tcPr>
            <w:tcW w:type="dxa" w:w="933"/>
          </w:tcPr>
          <w:p>
            <w:pPr>
              <w:pStyle w:val="null3"/>
              <w:jc w:val="left"/>
            </w:pPr>
            <w:r>
              <w:rPr/>
              <w:t>工作站2</w:t>
            </w:r>
          </w:p>
        </w:tc>
        <w:tc>
          <w:tcPr>
            <w:tcW w:type="dxa" w:w="933"/>
          </w:tcPr>
          <w:p>
            <w:pPr>
              <w:pStyle w:val="null3"/>
              <w:jc w:val="left"/>
            </w:pPr>
            <w:r>
              <w:rPr/>
              <w:t>台</w:t>
            </w:r>
          </w:p>
        </w:tc>
        <w:tc>
          <w:tcPr>
            <w:tcW w:type="dxa" w:w="933"/>
          </w:tcPr>
          <w:p>
            <w:pPr>
              <w:pStyle w:val="null3"/>
              <w:jc w:val="right"/>
            </w:pPr>
            <w:r>
              <w:rPr/>
              <w:t>57.00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终端控制器</w:t>
            </w:r>
          </w:p>
        </w:tc>
        <w:tc>
          <w:tcPr>
            <w:tcW w:type="dxa" w:w="933"/>
          </w:tcPr>
          <w:p>
            <w:pPr>
              <w:pStyle w:val="null3"/>
              <w:jc w:val="left"/>
            </w:pPr>
            <w:r>
              <w:rPr/>
              <w:t>云资源控制器</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详见附表五</w:t>
            </w:r>
          </w:p>
        </w:tc>
      </w:tr>
      <w:tr>
        <w:tc>
          <w:tcPr>
            <w:tcW w:type="dxa" w:w="933"/>
          </w:tcPr>
          <w:p>
            <w:pPr>
              <w:pStyle w:val="null3"/>
              <w:jc w:val="center"/>
            </w:pPr>
            <w:r>
              <w:rPr/>
              <w:t>6</w:t>
            </w:r>
          </w:p>
        </w:tc>
        <w:tc>
          <w:tcPr>
            <w:tcW w:type="dxa" w:w="933"/>
          </w:tcPr>
          <w:p>
            <w:pPr>
              <w:pStyle w:val="null3"/>
              <w:jc w:val="left"/>
            </w:pPr>
            <w:r>
              <w:rPr/>
              <w:t>其他网络设备</w:t>
            </w:r>
          </w:p>
        </w:tc>
        <w:tc>
          <w:tcPr>
            <w:tcW w:type="dxa" w:w="933"/>
          </w:tcPr>
          <w:p>
            <w:pPr>
              <w:pStyle w:val="null3"/>
              <w:jc w:val="left"/>
            </w:pPr>
            <w:r>
              <w:rPr/>
              <w:t>边缘计算盒子</w:t>
            </w:r>
          </w:p>
        </w:tc>
        <w:tc>
          <w:tcPr>
            <w:tcW w:type="dxa" w:w="933"/>
          </w:tcPr>
          <w:p>
            <w:pPr>
              <w:pStyle w:val="null3"/>
              <w:jc w:val="left"/>
            </w:pPr>
            <w:r>
              <w:rPr/>
              <w:t>台</w:t>
            </w:r>
          </w:p>
        </w:tc>
        <w:tc>
          <w:tcPr>
            <w:tcW w:type="dxa" w:w="933"/>
          </w:tcPr>
          <w:p>
            <w:pPr>
              <w:pStyle w:val="null3"/>
              <w:jc w:val="right"/>
            </w:pPr>
            <w:r>
              <w:rPr/>
              <w:t>2.00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详见附表六</w:t>
            </w:r>
          </w:p>
        </w:tc>
      </w:tr>
      <w:tr>
        <w:tc>
          <w:tcPr>
            <w:tcW w:type="dxa" w:w="933"/>
          </w:tcPr>
          <w:p>
            <w:pPr>
              <w:pStyle w:val="null3"/>
              <w:jc w:val="center"/>
            </w:pPr>
            <w:r>
              <w:rPr/>
              <w:t>7</w:t>
            </w:r>
          </w:p>
        </w:tc>
        <w:tc>
          <w:tcPr>
            <w:tcW w:type="dxa" w:w="933"/>
          </w:tcPr>
          <w:p>
            <w:pPr>
              <w:pStyle w:val="null3"/>
              <w:jc w:val="left"/>
            </w:pPr>
            <w:r>
              <w:rPr/>
              <w:t>文件、宣传品</w:t>
            </w:r>
          </w:p>
        </w:tc>
        <w:tc>
          <w:tcPr>
            <w:tcW w:type="dxa" w:w="933"/>
          </w:tcPr>
          <w:p>
            <w:pPr>
              <w:pStyle w:val="null3"/>
              <w:jc w:val="left"/>
            </w:pPr>
            <w:r>
              <w:rPr/>
              <w:t>文化建设广告牌</w:t>
            </w:r>
          </w:p>
        </w:tc>
        <w:tc>
          <w:tcPr>
            <w:tcW w:type="dxa" w:w="933"/>
          </w:tcPr>
          <w:p>
            <w:pPr>
              <w:pStyle w:val="null3"/>
              <w:jc w:val="left"/>
            </w:pPr>
            <w:r>
              <w:rPr/>
              <w:t>块</w:t>
            </w:r>
          </w:p>
        </w:tc>
        <w:tc>
          <w:tcPr>
            <w:tcW w:type="dxa" w:w="933"/>
          </w:tcPr>
          <w:p>
            <w:pPr>
              <w:pStyle w:val="null3"/>
              <w:jc w:val="right"/>
            </w:pPr>
            <w:r>
              <w:rPr/>
              <w:t>16.00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详见附表七</w:t>
            </w:r>
          </w:p>
        </w:tc>
      </w:tr>
    </w:tbl>
    <w:p>
      <w:pPr>
        <w:pStyle w:val="null3"/>
      </w:pPr>
      <w:r>
        <w:rPr>
          <w:b/>
        </w:rPr>
        <w:t>附表</w:t>
      </w:r>
      <w:r>
        <w:rPr>
          <w:b/>
        </w:rPr>
        <w:t>一</w:t>
      </w:r>
      <w:r>
        <w:rPr>
          <w:b/>
        </w:rPr>
        <w:t>：</w:t>
      </w:r>
      <w:r>
        <w:rPr>
          <w:b/>
        </w:rPr>
        <w:t>无线接入点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color w:val="000000"/>
              </w:rPr>
              <w:t>1.支持802.11ax标准。</w:t>
            </w:r>
          </w:p>
          <w:p>
            <w:pPr>
              <w:pStyle w:val="null3"/>
              <w:ind w:firstLine="420"/>
              <w:jc w:val="left"/>
            </w:pPr>
            <w:r>
              <w:rPr>
                <w:sz w:val="21"/>
                <w:color w:val="000000"/>
              </w:rPr>
              <w:t>2.支持2.4GHz/5GHz双频段同时工作。</w:t>
            </w:r>
          </w:p>
          <w:p>
            <w:pPr>
              <w:pStyle w:val="null3"/>
              <w:ind w:firstLine="420"/>
              <w:jc w:val="left"/>
            </w:pPr>
            <w:r>
              <w:rPr>
                <w:sz w:val="21"/>
                <w:color w:val="000000"/>
              </w:rPr>
              <w:t>3.5G单射频支持802.11ax 2x2 MU-MIMO，2.4G射频支持802.11ax 2x2 MU-MIMO。4.支持DC供电或802.3at/af PoE供电。</w:t>
            </w:r>
          </w:p>
          <w:p>
            <w:pPr>
              <w:pStyle w:val="null3"/>
              <w:ind w:firstLine="420"/>
              <w:jc w:val="left"/>
            </w:pPr>
            <w:r>
              <w:rPr>
                <w:sz w:val="21"/>
                <w:color w:val="000000"/>
              </w:rPr>
              <w:t>5.总空间流数≥4，整机速率≥1.775Gbps。</w:t>
            </w:r>
          </w:p>
          <w:p>
            <w:pPr>
              <w:pStyle w:val="null3"/>
              <w:ind w:firstLine="420"/>
              <w:jc w:val="left"/>
            </w:pPr>
            <w:r>
              <w:rPr>
                <w:sz w:val="21"/>
                <w:color w:val="000000"/>
              </w:rPr>
              <w:t>6.支持1个10/100/1000Mbps自适应以太口。</w:t>
            </w:r>
          </w:p>
          <w:p>
            <w:pPr>
              <w:pStyle w:val="null3"/>
              <w:ind w:firstLine="420"/>
              <w:jc w:val="left"/>
            </w:pPr>
            <w:r>
              <w:rPr>
                <w:sz w:val="21"/>
                <w:color w:val="000000"/>
              </w:rPr>
              <w:t>7.整机用户接入数≥512。</w:t>
            </w:r>
          </w:p>
          <w:p>
            <w:pPr>
              <w:pStyle w:val="null3"/>
              <w:ind w:firstLine="420"/>
              <w:jc w:val="left"/>
            </w:pPr>
            <w:r>
              <w:rPr>
                <w:sz w:val="21"/>
                <w:color w:val="000000"/>
              </w:rPr>
              <w:t>8.内置智能天线。</w:t>
            </w:r>
          </w:p>
          <w:p>
            <w:pPr>
              <w:pStyle w:val="null3"/>
              <w:ind w:firstLine="420"/>
              <w:jc w:val="left"/>
            </w:pPr>
            <w:r>
              <w:rPr>
                <w:sz w:val="21"/>
                <w:color w:val="000000"/>
              </w:rPr>
              <w:t>9.工作温度-10°C~50°C。</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无线接入控制器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color w:val="000000"/>
              </w:rPr>
              <w:t>1.设备性能：最大管理AP数量≥256个，最大接入用户数量≥4K，转发性能≥6Gbps，支持802.11a/b/g/n/ac/ac wave2/ax。</w:t>
            </w:r>
          </w:p>
          <w:p>
            <w:pPr>
              <w:pStyle w:val="null3"/>
              <w:ind w:firstLine="420"/>
              <w:jc w:val="left"/>
            </w:pPr>
            <w:r>
              <w:rPr>
                <w:sz w:val="21"/>
                <w:color w:val="000000"/>
              </w:rPr>
              <w:t>2.配置要求：提供千兆电口≥10个，万兆SFP+光口≥2个。</w:t>
            </w:r>
          </w:p>
          <w:p>
            <w:pPr>
              <w:pStyle w:val="null3"/>
              <w:ind w:firstLine="420"/>
              <w:jc w:val="left"/>
            </w:pPr>
            <w:r>
              <w:rPr>
                <w:sz w:val="21"/>
                <w:color w:val="000000"/>
              </w:rPr>
              <w:t>3.路由特性：支持静态路由，RIP、OSPF、BGP、IS-IS、路由策略、策略路由。</w:t>
            </w:r>
          </w:p>
          <w:p>
            <w:pPr>
              <w:pStyle w:val="null3"/>
              <w:ind w:firstLine="420"/>
              <w:jc w:val="left"/>
            </w:pPr>
            <w:r>
              <w:rPr>
                <w:sz w:val="21"/>
                <w:color w:val="000000"/>
              </w:rPr>
              <w:t>4.认证加密：支持MAC地址认证、802.1x认证、Portal认证、MAC+Portal混合认证、WAPI认证</w:t>
            </w:r>
            <w:r>
              <w:rPr>
                <w:sz w:val="21"/>
                <w:color w:val="000000"/>
              </w:rPr>
              <w:t>等</w:t>
            </w:r>
            <w:r>
              <w:rPr>
                <w:sz w:val="21"/>
                <w:color w:val="000000"/>
              </w:rPr>
              <w:t>。</w:t>
            </w:r>
          </w:p>
          <w:p>
            <w:pPr>
              <w:pStyle w:val="null3"/>
              <w:ind w:firstLine="420"/>
              <w:jc w:val="left"/>
            </w:pPr>
            <w:r>
              <w:rPr>
                <w:sz w:val="21"/>
                <w:color w:val="000000"/>
              </w:rPr>
              <w:t>5.智能漫游：支持基于802.11k和802.11v协议的智能漫游。</w:t>
            </w:r>
          </w:p>
          <w:p>
            <w:pPr>
              <w:pStyle w:val="null3"/>
              <w:ind w:firstLine="420"/>
              <w:jc w:val="left"/>
            </w:pPr>
            <w:r>
              <w:rPr>
                <w:sz w:val="21"/>
                <w:color w:val="000000"/>
              </w:rPr>
              <w:t>6.管理特性：支持CLI和WEB管理。</w:t>
            </w:r>
          </w:p>
          <w:p>
            <w:pPr>
              <w:pStyle w:val="null3"/>
              <w:ind w:firstLine="420"/>
              <w:jc w:val="left"/>
            </w:pPr>
            <w:r>
              <w:rPr>
                <w:sz w:val="21"/>
                <w:color w:val="000000"/>
              </w:rPr>
              <w:t>7.提供无线网络性能监控，支持对AC/AP/终端的性能监控。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工作站1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99"/>
              <w:gridCol w:w="429"/>
              <w:gridCol w:w="519"/>
              <w:gridCol w:w="853"/>
              <w:gridCol w:w="3398"/>
            </w:tblGrid>
            <w:tr>
              <w:tc>
                <w:tcPr>
                  <w:tcW w:type="dxa" w:w="399"/>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429"/>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指标分类</w:t>
                  </w:r>
                </w:p>
              </w:tc>
              <w:tc>
                <w:tcPr>
                  <w:tcW w:type="dxa" w:w="519"/>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一级指标</w:t>
                  </w:r>
                </w:p>
              </w:tc>
              <w:tc>
                <w:tcPr>
                  <w:tcW w:type="dxa" w:w="853"/>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二级指标</w:t>
                  </w:r>
                </w:p>
              </w:tc>
              <w:tc>
                <w:tcPr>
                  <w:tcW w:type="dxa" w:w="3398"/>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color w:val="000000"/>
                    </w:rPr>
                    <w:t>指标要求</w:t>
                  </w:r>
                </w:p>
              </w:tc>
            </w:tr>
            <w:tr>
              <w:tc>
                <w:tcPr>
                  <w:tcW w:type="dxa" w:w="399"/>
                  <w:vMerge/>
                  <w:tcBorders>
                    <w:top w:val="single" w:color="000000" w:sz="4"/>
                    <w:left w:val="single" w:color="000000" w:sz="4"/>
                    <w:bottom w:val="single" w:color="000000" w:sz="4"/>
                    <w:right w:val="single" w:color="000000" w:sz="4"/>
                  </w:tcBorders>
                </w:tcPr>
                <w:p/>
              </w:tc>
              <w:tc>
                <w:tcPr>
                  <w:tcW w:type="dxa" w:w="429"/>
                  <w:vMerge/>
                  <w:tcBorders>
                    <w:top w:val="single" w:color="000000" w:sz="4"/>
                    <w:left w:val="none" w:color="000000" w:sz="4"/>
                    <w:bottom w:val="single" w:color="000000" w:sz="4"/>
                    <w:right w:val="single" w:color="000000" w:sz="4"/>
                  </w:tcBorders>
                </w:tcPr>
                <w:p/>
              </w:tc>
              <w:tc>
                <w:tcPr>
                  <w:tcW w:type="dxa" w:w="519"/>
                  <w:vMerge/>
                  <w:tcBorders>
                    <w:top w:val="single" w:color="000000" w:sz="4"/>
                    <w:left w:val="none" w:color="000000" w:sz="4"/>
                    <w:bottom w:val="single" w:color="000000" w:sz="4"/>
                    <w:right w:val="single" w:color="000000" w:sz="4"/>
                  </w:tcBorders>
                </w:tcPr>
                <w:p/>
              </w:tc>
              <w:tc>
                <w:tcPr>
                  <w:tcW w:type="dxa" w:w="853"/>
                  <w:vMerge/>
                  <w:tcBorders>
                    <w:top w:val="single" w:color="000000" w:sz="4"/>
                    <w:left w:val="none" w:color="000000" w:sz="4"/>
                    <w:bottom w:val="single" w:color="000000" w:sz="4"/>
                    <w:right w:val="single" w:color="000000" w:sz="4"/>
                  </w:tcBorders>
                </w:tcPr>
                <w:p/>
              </w:tc>
              <w:tc>
                <w:tcPr>
                  <w:tcW w:type="dxa" w:w="3398"/>
                  <w:vMerge/>
                  <w:tcBorders>
                    <w:top w:val="single" w:color="000000" w:sz="4"/>
                    <w:left w:val="none" w:color="000000" w:sz="4"/>
                    <w:bottom w:val="single" w:color="000000" w:sz="4"/>
                    <w:right w:val="single" w:color="000000" w:sz="4"/>
                  </w:tcBorders>
                </w:tcP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CPU规格</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★CPU信息</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型号：相当于或优于</w:t>
                  </w:r>
                  <w:r>
                    <w:rPr>
                      <w:sz w:val="21"/>
                      <w:color w:val="000000"/>
                    </w:rPr>
                    <w:t>i5-13500</w:t>
                  </w:r>
                  <w:r>
                    <w:br/>
                  </w:r>
                  <w:r>
                    <w:rPr>
                      <w:sz w:val="21"/>
                      <w:color w:val="000000"/>
                    </w:rPr>
                    <w:t>物理核心数：</w:t>
                  </w:r>
                  <w:r>
                    <w:rPr>
                      <w:sz w:val="21"/>
                      <w:color w:val="000000"/>
                    </w:rPr>
                    <w:t>≥14核</w:t>
                  </w:r>
                  <w:r>
                    <w:br/>
                  </w:r>
                  <w:r>
                    <w:rPr>
                      <w:sz w:val="21"/>
                      <w:color w:val="000000"/>
                    </w:rPr>
                    <w:t>基本主频：</w:t>
                  </w:r>
                  <w:r>
                    <w:rPr>
                      <w:sz w:val="21"/>
                      <w:color w:val="000000"/>
                    </w:rPr>
                    <w:t>≥2.5GHz</w:t>
                  </w:r>
                  <w:r>
                    <w:br/>
                  </w:r>
                  <w:r>
                    <w:rPr>
                      <w:sz w:val="21"/>
                      <w:color w:val="000000"/>
                    </w:rPr>
                    <w:t>末级缓存容量：</w:t>
                  </w:r>
                  <w:r>
                    <w:rPr>
                      <w:sz w:val="21"/>
                      <w:color w:val="000000"/>
                    </w:rPr>
                    <w:t>≥24MB</w:t>
                  </w:r>
                  <w:r>
                    <w:br/>
                  </w:r>
                  <w:r>
                    <w:rPr>
                      <w:sz w:val="21"/>
                      <w:color w:val="000000"/>
                    </w:rPr>
                    <w:t>线程数：</w:t>
                  </w:r>
                  <w:r>
                    <w:rPr>
                      <w:sz w:val="21"/>
                      <w:color w:val="000000"/>
                    </w:rPr>
                    <w:t>≥20</w:t>
                  </w:r>
                  <w:r>
                    <w:br/>
                  </w:r>
                  <w:r>
                    <w:rPr>
                      <w:sz w:val="21"/>
                      <w:color w:val="000000"/>
                    </w:rPr>
                    <w:t>基础功耗</w:t>
                  </w:r>
                  <w:r>
                    <w:rPr>
                      <w:sz w:val="21"/>
                      <w:color w:val="000000"/>
                    </w:rPr>
                    <w:t>:≤</w:t>
                  </w:r>
                  <w:r>
                    <w:rPr>
                      <w:sz w:val="21"/>
                      <w:color w:val="000000"/>
                    </w:rPr>
                    <w:t>12</w:t>
                  </w:r>
                  <w:r>
                    <w:rPr>
                      <w:sz w:val="21"/>
                      <w:color w:val="000000"/>
                    </w:rPr>
                    <w:t>5W</w:t>
                  </w:r>
                  <w:r>
                    <w:br/>
                  </w:r>
                  <w:r>
                    <w:rPr>
                      <w:sz w:val="21"/>
                      <w:color w:val="000000"/>
                    </w:rPr>
                    <w:t>内存最高频率：</w:t>
                  </w:r>
                  <w:r>
                    <w:rPr>
                      <w:sz w:val="21"/>
                      <w:color w:val="000000"/>
                    </w:rPr>
                    <w:t>≥3200MT/s</w:t>
                  </w:r>
                  <w:r>
                    <w:br/>
                  </w:r>
                  <w:r>
                    <w:rPr>
                      <w:sz w:val="21"/>
                      <w:color w:val="000000"/>
                    </w:rPr>
                    <w:t>内存通道数：</w:t>
                  </w:r>
                  <w:r>
                    <w:rPr>
                      <w:sz w:val="21"/>
                      <w:color w:val="000000"/>
                    </w:rPr>
                    <w:t>≥2个</w:t>
                  </w:r>
                  <w:r>
                    <w:br/>
                  </w:r>
                  <w:r>
                    <w:rPr>
                      <w:sz w:val="21"/>
                      <w:color w:val="000000"/>
                    </w:rPr>
                    <w:t>位宽：</w:t>
                  </w:r>
                  <w:r>
                    <w:rPr>
                      <w:sz w:val="21"/>
                      <w:color w:val="000000"/>
                    </w:rPr>
                    <w:t>≥76.8GB/s</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内存规格</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★内存配置容量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≥32GB</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★内存类型</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DDR4及以上内存类型。</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★内存条配置数量（板载内存不涉及）</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主板规格</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主板规格要求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相当于或者优于</w:t>
                  </w:r>
                  <w:r>
                    <w:rPr>
                      <w:sz w:val="21"/>
                      <w:color w:val="000000"/>
                    </w:rPr>
                    <w:t>Q670</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★主板集成模块</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集成资源扩展模块、计算处理模块、音频扩展模块等，主板的互联拓扑可通过处理器或交换电路实现。</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★主板支持的CPU和内存情况</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intel酷睿i5-13代；支持双通道DDR4 3200MT/s内存。</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★主板其他内置接口</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≥1个SATA 3.0接口；≥1个M.2接口；≥8个USB接口；≥1个HDMI、1个VGA。</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PCIe接口</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3，其中至少包括</w:t>
                  </w:r>
                  <w:r>
                    <w:rPr>
                      <w:sz w:val="21"/>
                    </w:rPr>
                    <w:t>1个PCIe x16</w:t>
                  </w:r>
                  <w:r>
                    <w:rPr>
                      <w:sz w:val="21"/>
                    </w:rPr>
                    <w:t>、</w:t>
                  </w:r>
                  <w:r>
                    <w:rPr>
                      <w:sz w:val="21"/>
                    </w:rPr>
                    <w:t>1个PCIe x</w:t>
                  </w:r>
                  <w:r>
                    <w:rPr>
                      <w:sz w:val="21"/>
                    </w:rPr>
                    <w:t>8</w:t>
                  </w:r>
                  <w:r>
                    <w:rPr>
                      <w:sz w:val="21"/>
                    </w:rPr>
                    <w:t>插槽。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★单内存插槽最大可支持容量（板载内存不涉及）</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≥32GB</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★内存插槽满配时提供的最高内存总容量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≥128GB</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存储设备规格</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★固态盘数量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★固态存储容量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≥1024GB</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★固态存储形态</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采用插卡或板载等形态，插卡形态宜符合</w:t>
                  </w:r>
                  <w:r>
                    <w:rPr>
                      <w:sz w:val="21"/>
                      <w:color w:val="000000"/>
                    </w:rPr>
                    <w:t>M.2或mSATA等标准尺寸和接口定义。</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★存储设备其他参数要求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a）固态盘应符合SJ/T 11654相关规定；</w:t>
                  </w:r>
                  <w:r>
                    <w:rPr>
                      <w:sz w:val="21"/>
                      <w:color w:val="000000"/>
                    </w:rPr>
                    <w:t>b</w:t>
                  </w:r>
                  <w:r>
                    <w:rPr>
                      <w:sz w:val="21"/>
                      <w:color w:val="000000"/>
                    </w:rPr>
                    <w:t>）侧面固定螺丝孔数量可为</w:t>
                  </w:r>
                  <w:r>
                    <w:rPr>
                      <w:sz w:val="21"/>
                      <w:color w:val="000000"/>
                    </w:rPr>
                    <w:t>4孔或6孔；</w:t>
                  </w:r>
                  <w:r>
                    <w:rPr>
                      <w:sz w:val="21"/>
                      <w:color w:val="000000"/>
                    </w:rPr>
                    <w:t>c</w:t>
                  </w:r>
                  <w:r>
                    <w:rPr>
                      <w:sz w:val="21"/>
                      <w:color w:val="000000"/>
                    </w:rPr>
                    <w:t>）工作状态环境温度应满足</w:t>
                  </w:r>
                  <w:r>
                    <w:rPr>
                      <w:sz w:val="21"/>
                      <w:color w:val="000000"/>
                    </w:rPr>
                    <w:t>5℃~55℃；</w:t>
                  </w:r>
                  <w:r>
                    <w:rPr>
                      <w:sz w:val="21"/>
                      <w:color w:val="000000"/>
                    </w:rPr>
                    <w:t>d</w:t>
                  </w:r>
                  <w:r>
                    <w:rPr>
                      <w:sz w:val="21"/>
                      <w:color w:val="000000"/>
                    </w:rPr>
                    <w:t>）其它参数应符合</w:t>
                  </w:r>
                  <w:r>
                    <w:rPr>
                      <w:sz w:val="21"/>
                      <w:color w:val="000000"/>
                    </w:rPr>
                    <w:t>GB/T 12628的相关规定。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显卡规格</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★显卡类型</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集显</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显示设备规格</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★显示接口</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≥1个VGA；≥１个HDMI；自带HDMI线缆。</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★显示设备数量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★显示屏屏占比</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≥80%</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★显示屏分辨率</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1920</w:t>
                  </w:r>
                  <w:r>
                    <w:rPr>
                      <w:sz w:val="21"/>
                      <w:color w:val="000000"/>
                    </w:rPr>
                    <w:t>×</w:t>
                  </w:r>
                  <w:r>
                    <w:rPr>
                      <w:sz w:val="21"/>
                      <w:color w:val="000000"/>
                    </w:rPr>
                    <w:t>1080</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★显示屏尺寸</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≥23.8英寸</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★显示屏屏幕比例</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16:09</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★显示器外观颜色</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★显示屏防蓝光</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支持防蓝光模式，蓝光加权辐射亮度比应</w:t>
                  </w:r>
                  <w:r>
                    <w:rPr>
                      <w:sz w:val="21"/>
                      <w:color w:val="000000"/>
                    </w:rPr>
                    <w:t>≤0.0012W/(·cd·sr)(瓦每坎特拉每球面度)。</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★显示屏低频闪</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显示屏应支持低频闪</w:t>
                  </w:r>
                  <w:r>
                    <w:rPr>
                      <w:sz w:val="21"/>
                      <w:color w:val="000000"/>
                    </w:rPr>
                    <w:t>≤-35dB</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★显示屏防炫目</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显示屏镜面反射率</w:t>
                  </w:r>
                  <w:r>
                    <w:rPr>
                      <w:sz w:val="21"/>
                      <w:color w:val="000000"/>
                    </w:rPr>
                    <w:t>≤10%</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外</w:t>
                  </w:r>
                  <w:r>
                    <w:rPr>
                      <w:sz w:val="21"/>
                      <w:color w:val="000000"/>
                    </w:rPr>
                    <w:t>设</w:t>
                  </w:r>
                  <w:r>
                    <w:rPr>
                      <w:sz w:val="21"/>
                      <w:color w:val="000000"/>
                    </w:rPr>
                    <w:t>规格</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★鼠标数量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★键盘数量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★扬声器功率</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≥1瓦/个</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★扬声器频率范围</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不低于（</w:t>
                  </w:r>
                  <w:r>
                    <w:rPr>
                      <w:sz w:val="21"/>
                      <w:color w:val="000000"/>
                    </w:rPr>
                    <w:t>100Hz-8kHz）范围</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★键盘连接方式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★键盘键程</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2.3mm～4.0mm</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★键盘按键压力</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按键压力应在</w:t>
                  </w:r>
                  <w:r>
                    <w:rPr>
                      <w:sz w:val="21"/>
                      <w:color w:val="000000"/>
                    </w:rPr>
                    <w:t>0.54N±0.14N</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★有线键盘连接线</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≥1.5米</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★键盘颜色</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★键盘其他要求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键盘外观结构、连接方式、主要功能、安全、电磁兼容性、可靠性应符合</w:t>
                  </w:r>
                  <w:r>
                    <w:rPr>
                      <w:sz w:val="21"/>
                      <w:color w:val="000000"/>
                    </w:rPr>
                    <w:t>GB/T 14081的相关规定。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★鼠标连接方式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标配</w:t>
                  </w:r>
                  <w:r>
                    <w:rPr>
                      <w:sz w:val="21"/>
                      <w:color w:val="000000"/>
                    </w:rPr>
                    <w:t>USB接口有线鼠标。</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★有线鼠标连接线</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≥1.5米</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★鼠标DPI分辨率</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≥800</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★鼠标其他要求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其它参数应符合</w:t>
                  </w:r>
                  <w:r>
                    <w:rPr>
                      <w:sz w:val="21"/>
                      <w:color w:val="000000"/>
                    </w:rPr>
                    <w:t>GB/T 26245的相关规定。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网络设备规格</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★有线网卡数量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外部接口规格</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★USB接口数量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≥8，机箱前板至少包括2个USB3.2及以上接口。</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前置接口</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≥1个Type-C，三合一读卡器、模拟音频接口。</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★视频接口数量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★音频接口数量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至少含</w:t>
                  </w:r>
                  <w:r>
                    <w:rPr>
                      <w:sz w:val="21"/>
                      <w:color w:val="000000"/>
                    </w:rPr>
                    <w:t>1组音频输入/输出，1个麦克风。</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整机基础规格</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★整机外观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产品表面不应有凹痕、划伤、裂缝、变形和污染等。表面涂层均匀，不应起泡、龟裂、脱落和磨损，金属零部件无锈蚀及其它机械损伤；b)产品表面说明功能的文字、符号、标志，应清晰、端正、牢固；c)宜在产品显著位置提供运行状态指示功能，</w:t>
                  </w:r>
                  <w:r>
                    <w:rPr>
                      <w:sz w:val="21"/>
                      <w:b/>
                      <w:color w:val="000000"/>
                    </w:rPr>
                    <w:t>在投标文件</w:t>
                  </w:r>
                  <w:r>
                    <w:rPr>
                      <w:sz w:val="21"/>
                      <w:b/>
                      <w:color w:val="000000"/>
                    </w:rPr>
                    <w:t>提供详细参数。</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★整机结构</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a)机箱应符合GB/T 4208、GB/T 26246的相关规定；b)产品内部结构应符合通用部件的安装需要；c)所有输入输出接口应符合相关国家或行业标准；d)产品零部件应紧固无松动，可插拔部件应可靠连接，开关、按钮和其它控制部件应灵活可靠，布局应方便使用；e)所有I/O连接器及需插接线缆的部位应预留用户操作空间，方便插拔解锁与插拔线缆；f)可插拔板卡插槽部位应预留安装、拆卸或更换板卡空间；g)拆装可能接触到的金属剪口或金属尖角部位应做防划伤处理，以保证安全；h)整机内部走线应规整，固线结构和位置要合理可靠并做防割线处理，需便于理线和插拔操作，走线应不影响系统各主要部件组装和拆卸；i)如需通过孔走线，过线孔应做防割线处理；j)各插头位置和插拔方向应合理，应做到插拔无障碍设计，具备防呆设计，有效避免误操作；k)各主要部件拆装无障碍，使用常规工具拆装，无特殊拆装工具需求；l)各主要部件拆装步骤要少，各自拆装需避免相互干扰；m)对于整机或零部件外表面为高亮面的，应粘贴保护膜，保护膜需粘贴牢固，运输、组装等过程不易脱落，撕下无残留；n)其它要求应符合GB/T 9813.1的相关规定。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★机箱防护要求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机箱应符合</w:t>
                  </w:r>
                  <w:r>
                    <w:rPr>
                      <w:sz w:val="21"/>
                      <w:color w:val="000000"/>
                    </w:rPr>
                    <w:t>GB/T 4208中IP20防护要求。</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★整机噪音</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产品工作在空闲状态下，产品的声功率级应不超过</w:t>
                  </w:r>
                  <w:r>
                    <w:rPr>
                      <w:sz w:val="21"/>
                      <w:color w:val="000000"/>
                    </w:rPr>
                    <w:t>4.5 Bel。</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★整机散热</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在环境温度</w:t>
                  </w:r>
                  <w:r>
                    <w:rPr>
                      <w:sz w:val="21"/>
                      <w:color w:val="000000"/>
                    </w:rPr>
                    <w:t>25℃及处理器满载情况下，产品表面温度应符合下列要求：a)出风口在机箱后面板情况下，出风口温度不高于55℃；b)可触及面温度小于45℃；c)显示器表面温度：显示屏温度不高于38℃，显示屏上下灯带位置温度（如涉及）不高于40℃，出风口温度不高于45℃。</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★整机能效限定值</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产品能效限定值应达到</w:t>
                  </w:r>
                  <w:r>
                    <w:rPr>
                      <w:sz w:val="21"/>
                      <w:color w:val="000000"/>
                    </w:rPr>
                    <w:t>GB 28380-2012标准中能效等级2级及以上。</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★机身颜色</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黑色商务色系</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★机箱尺寸容量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机箱体积</w:t>
                  </w:r>
                  <w:r>
                    <w:rPr>
                      <w:sz w:val="21"/>
                      <w:color w:val="000000"/>
                    </w:rPr>
                    <w:t>≥15L</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CPU性能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★CPU物理核数</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≥14核，≥20线程</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★CPU主频</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≥2.5GHz</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★CPU末级缓存容量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≥24MB</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★CPU支持的内存最高速率</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≥3200MT/s</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内存性能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★内存读写速率</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≥3200MT/s</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显示设备性能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★显示屏刷新率</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≥75Hz</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★显示屏位深</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≥8位</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★显示屏色域</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≥99%sRGB</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★显示屏色准</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△E≤3</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★显示屏响应时间</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≤6ms</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★显示屏亮度</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250</w:t>
                  </w:r>
                  <w:r>
                    <w:rPr>
                      <w:sz w:val="21"/>
                      <w:color w:val="000000"/>
                    </w:rPr>
                    <w:t>尼特</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★显示屏亮度一致性</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≥70%</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★显示屏对比度</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≥1000：1</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★显示屏其他参数</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其它参数应符合</w:t>
                  </w:r>
                  <w:r>
                    <w:rPr>
                      <w:sz w:val="21"/>
                      <w:color w:val="000000"/>
                    </w:rPr>
                    <w:t>SJ/T 11292的相关规定。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网络设备性能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★有线网卡速率</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最高速率应不低于</w:t>
                  </w:r>
                  <w:r>
                    <w:rPr>
                      <w:sz w:val="21"/>
                      <w:color w:val="000000"/>
                    </w:rPr>
                    <w:t>1000Mbps，应支持10Mbps、100Mbps、1000Mbps速率自适应。</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w:t>
                  </w:r>
                  <w:r>
                    <w:rPr>
                      <w:sz w:val="21"/>
                      <w:color w:val="000000"/>
                    </w:rPr>
                    <w:t>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主板功能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★内存扩展接口(板载内存不涉及)</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≥4</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w:t>
                  </w:r>
                  <w:r>
                    <w:rPr>
                      <w:sz w:val="21"/>
                      <w:color w:val="000000"/>
                    </w:rPr>
                    <w:t>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★主板USB瞬间过流保护</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支持瞬间过流保护功能。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w:t>
                  </w:r>
                  <w:r>
                    <w:rPr>
                      <w:sz w:val="21"/>
                      <w:color w:val="000000"/>
                    </w:rPr>
                    <w:t>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★主板防静电保护</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支持防静电保护功能。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w:t>
                  </w:r>
                  <w:r>
                    <w:rPr>
                      <w:sz w:val="21"/>
                      <w:color w:val="000000"/>
                    </w:rPr>
                    <w:t>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★I/O接口功能</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提供基于标准</w:t>
                  </w:r>
                  <w:r>
                    <w:rPr>
                      <w:sz w:val="21"/>
                      <w:color w:val="000000"/>
                    </w:rPr>
                    <w:t>USB接口外设连接功能、基于音频输入输出接口的音频扩展功能、基于PCIe接口板卡扩展功能、基于HDMI/VGA/Type-C/DVI/DP等接口外接显示器扩展功能、基于存储接口对产品进行增容功能等。工作站I/O接口应具备外接标准USB设备、显示器、音频设备等内外部设备能力。</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显卡功能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★显卡外接显示接口</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显卡至少支持</w:t>
                  </w:r>
                  <w:r>
                    <w:rPr>
                      <w:sz w:val="21"/>
                      <w:color w:val="000000"/>
                    </w:rPr>
                    <w:t>VGA、HDMI、DVI、DP、Type-C中1种显示接口，并与显示器接口相匹配。</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显示设备功能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★显示器接口</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显示器应与显卡外接显示接口匹配。</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★显示器支架</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显示器应提供显示器支架，宜支持屏幕旋转、支架可升降等。</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★显示器参数调节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a)提供OSD选单按钮用于调节色彩、模式等；b)支持色温、亮度、对比度调节。</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存储功能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★存储功能</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通过</w:t>
                  </w:r>
                  <w:r>
                    <w:rPr>
                      <w:sz w:val="21"/>
                      <w:color w:val="000000"/>
                    </w:rPr>
                    <w:t>SATA固态存储/SATA硬磁盘等存储部件提供存储功能。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网络设备功能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★网络功能</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a)支持网络连接、网络开启/关闭功能；</w:t>
                  </w:r>
                  <w:r>
                    <w:br/>
                  </w:r>
                  <w:r>
                    <w:rPr>
                      <w:sz w:val="21"/>
                      <w:color w:val="000000"/>
                    </w:rPr>
                    <w:t>b)支持访问网络和数据交换功能。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★数据传输</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支持数据传输能力，并提供数据流量和异常日志记录功能。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★有线网卡接口类型</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RJ45接口</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★网络设备拆装</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若配备的网络设备应支持物理拆装，包括无线网卡和蓝牙模块等。</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外部接口功能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★音频接口类型</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3.5mm孔径3段式或4段式接口。</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★视频接口类型</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至少支持</w:t>
                  </w:r>
                  <w:r>
                    <w:rPr>
                      <w:sz w:val="21"/>
                      <w:color w:val="000000"/>
                    </w:rPr>
                    <w:t>VGA、HDMI、DVI、DP、Type-C中1种显示接口。</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★HDMI、DP、Type-C显示接口要求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若提供</w:t>
                  </w:r>
                  <w:r>
                    <w:rPr>
                      <w:sz w:val="21"/>
                      <w:color w:val="000000"/>
                    </w:rPr>
                    <w:t>HDMI或DP或Type-C作为显示接口，应支持音频和视频同步输出。</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电源功能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★电源线适配能力</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电源适配器电线组件应符合</w:t>
                  </w:r>
                  <w:r>
                    <w:rPr>
                      <w:sz w:val="21"/>
                      <w:color w:val="000000"/>
                    </w:rPr>
                    <w:t>GB/T 15934的要求，可拆线的插头和连接器可以不做要求。</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电源功率</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功率</w:t>
                  </w:r>
                  <w:r>
                    <w:rPr>
                      <w:sz w:val="21"/>
                      <w:color w:val="000000"/>
                    </w:rPr>
                    <w:t>≥</w:t>
                  </w:r>
                  <w:r>
                    <w:rPr>
                      <w:sz w:val="21"/>
                      <w:color w:val="000000"/>
                    </w:rPr>
                    <w:t>3</w:t>
                  </w:r>
                  <w:r>
                    <w:rPr>
                      <w:sz w:val="21"/>
                      <w:color w:val="000000"/>
                    </w:rPr>
                    <w:t>00W</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操作系统及软件功能</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★中文信息处理要求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 18030的相关规定。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★操作系统备份及还原功能</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支持操作系统备份及还原功能。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★固件备份还原能力</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支持备份及还原固件的功能。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★操作系统及驱动升级</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支持通过网络、闪存盘等方式对操作系统、驱动进行升级。</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★BIOS支持关闭通讯接口</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BIOS关闭以太网及USB接口功能。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★固件查看信息</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支持查看固件版本、内存信息、主板信息、处理器信息和系统时间信息等功能。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★固件设置启动顺序</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支持设置启动顺序功能，并按照设置的启动顺序启动。</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★固件设置口令</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支持设置口令、修改口令、验证口令功能。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★固件设置网络引导</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支持网络引导启动和关闭功能。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存储设备可靠性</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★固态存储寿命</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TBW≥80TB（条件：1024GB硬盘容量）</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显示设备可靠性</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★显示屏屏幕失效点</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9813.2的要求。</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外设可靠性</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★键盘按键寿命</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≥1000万次</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★鼠标按键寿命</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≥500万次</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★键盘鼠标线材寿命</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键盘鼠标所用线材经</w:t>
                  </w:r>
                  <w:r>
                    <w:rPr>
                      <w:sz w:val="21"/>
                      <w:color w:val="000000"/>
                    </w:rPr>
                    <w:t>±60°弯折不低于3000次，功能、外观完好。</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★风扇寿命</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≥4万小时</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整机可靠性要求</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★电磁兼容性要求的抗扰度</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9254.2的规定。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★环境条件要求的气候环境适应性</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★环境条件要求的振动适应性</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★环境条件要求的冲击适应性</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★环境条件要求的碰撞适应性</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★环境条件要求的运输包装件跌落适应性</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★MTBF测试</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MTBF(m1)≥25万小时。</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兼容要求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兼容要求</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★常用软件兼容</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应支持流式软件、版式软件、浏览器、邮件客户端、解压软件、多媒体、图形图像处理等常用软件。</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兼容要求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★数据库兼容</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w:t>
                  </w:r>
                  <w:r>
                    <w:rPr>
                      <w:sz w:val="21"/>
                      <w:color w:val="000000"/>
                    </w:rPr>
                    <w:t>3个及以上厂商的数据库产品。</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兼容要求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★中间件兼容</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w:t>
                  </w:r>
                  <w:r>
                    <w:rPr>
                      <w:sz w:val="21"/>
                      <w:color w:val="000000"/>
                    </w:rPr>
                    <w:t>3个及以上厂商中间件产品。</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兼容要求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★平台软件兼容</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w:t>
                  </w:r>
                  <w:r>
                    <w:rPr>
                      <w:sz w:val="21"/>
                      <w:color w:val="000000"/>
                    </w:rPr>
                    <w:t>3个及以上厂商云计算及大数据平台。</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包装及运输要求</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★包装及运输要求</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★标志、包装、运输和贮存</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9813.1和商品包装政府采购需求标准的相关规定。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★配置检查工具</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供应商提供经自检测试工具。</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★服务响应</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a）提供产品3年维保及上门服务（满足同城4小时、异地12小时响应要求）；b）提供政企专线7*24在线服务；c）现场保障技术服务团队员，国内上门服务地级市覆盖率达100%。</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★服务周期</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支持产品延保</w:t>
                  </w:r>
                  <w:r>
                    <w:rPr>
                      <w:sz w:val="21"/>
                      <w:color w:val="000000"/>
                    </w:rPr>
                    <w:t>≥3年；提供每年延保服务报价；提供备件服务能力≥6年（自购买之日起）。</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★预装操作系统</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预装符合桌面操作系统政府采购需求标准的正版操作系统（</w:t>
                  </w:r>
                  <w:r>
                    <w:rPr>
                      <w:sz w:val="21"/>
                      <w:color w:val="000000"/>
                    </w:rPr>
                    <w:t>相当或优于</w:t>
                  </w:r>
                  <w:r>
                    <w:rPr>
                      <w:sz w:val="21"/>
                      <w:color w:val="000000"/>
                    </w:rPr>
                    <w:t>国</w:t>
                  </w:r>
                  <w:r>
                    <w:rPr>
                      <w:sz w:val="21"/>
                    </w:rPr>
                    <w:t>产</w:t>
                  </w:r>
                  <w:r>
                    <w:rPr>
                      <w:sz w:val="21"/>
                    </w:rPr>
                    <w:t>麒麟</w:t>
                  </w:r>
                  <w:r>
                    <w:rPr>
                      <w:sz w:val="21"/>
                    </w:rPr>
                    <w:t>V10</w:t>
                  </w:r>
                  <w:r>
                    <w:rPr>
                      <w:sz w:val="21"/>
                    </w:rPr>
                    <w:t>操</w:t>
                  </w:r>
                  <w:r>
                    <w:rPr>
                      <w:sz w:val="21"/>
                      <w:color w:val="000000"/>
                    </w:rPr>
                    <w:t>作系统），并提供不小于一年升级服务。</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★培训服务</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供应商提供培训材料、产品手册、培训视频等培训相关内容。</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★典型问题解决手册</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供应商提供典型问题解决说明文档或视频。</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★厂家升级软件与扩容服务</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供应商提供上门升级部件</w:t>
                  </w:r>
                  <w:r>
                    <w:rPr>
                      <w:sz w:val="21"/>
                      <w:color w:val="000000"/>
                    </w:rPr>
                    <w:t>/软件的增值服务。</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★整机质量服务要求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免费服务周期（含换件和维修）应不小于</w:t>
                  </w:r>
                  <w:r>
                    <w:rPr>
                      <w:sz w:val="21"/>
                      <w:color w:val="000000"/>
                    </w:rPr>
                    <w:t>3年。</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★合格证书要求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供应商提供产品合格证。</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★开箱组装/使用指导要求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供应商提供开箱组装</w:t>
                  </w:r>
                  <w:r>
                    <w:rPr>
                      <w:sz w:val="21"/>
                      <w:color w:val="000000"/>
                    </w:rPr>
                    <w:t>/使用指导。</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★驱动下载服务要求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供应商提供驱动光盘或下载方式。</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★兼容适配软件下载服务要求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供应商提供兼容适配软件下载渠道（光盘、网站）。</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126</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供应保障要求</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★供应链合规性</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★产品部件保障</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保障产品主要部件提供</w:t>
                  </w:r>
                  <w:r>
                    <w:rPr>
                      <w:sz w:val="21"/>
                      <w:color w:val="000000"/>
                    </w:rPr>
                    <w:t>6年的备件服务能力(自购买之日起)，或提供可兼容原设备的升级换代产品。</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127</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供应保障要求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★供应链质量</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★抗干扰性</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当产品部件出现供应风险时，供应商应通知采购人并提供风险应对方案确保产品的服务保障。</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128</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供应保障要求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★供应能力证明</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供应商提供供应链稳定承诺书，确保产品的部件在产品服务周期内稳定供货。</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129</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安全要求</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★关键部件安全要求</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★关键部件安全要求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CPU和操作系统等关键部件应当符合安全可靠测评要求。</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130</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安全要求</w:t>
                  </w:r>
                </w:p>
              </w:tc>
              <w:tc>
                <w:tcPr>
                  <w:tcW w:type="dxa" w:w="51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★整机安全性要求</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★密码算法实现</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CPU芯片应符合GM/T 0008的相关规定，或芯片密码模块应符合GB/T 37092或GM/T 0028的相关规定。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131</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安全要求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★信息安全基本要求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a)应符合GB/T 39276的5.2的规定；b)生产厂商应建立漏洞跟踪表，保证产品版本涉及到的漏洞(如驱动程序等)可查看；c)产品不得包含已知的恶意代码或漏洞，不存在未声明的指令、功能、接口。</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132</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安全要求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★固件安全启动</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支持固件安全启动功能，固件启动过程中只有通过启动校验才能正常启动。</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133</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安全要求</w:t>
                  </w:r>
                </w:p>
              </w:tc>
              <w:tc>
                <w:tcPr>
                  <w:tcW w:type="dxa" w:w="519"/>
                  <w:vMerge/>
                  <w:tcBorders>
                    <w:top w:val="none" w:color="000000" w:sz="4"/>
                    <w:left w:val="non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★限用物质的限量要求</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26572中规定。</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134</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其他要求</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w:t>
                  </w:r>
                  <w:r>
                    <w:rPr>
                      <w:sz w:val="21"/>
                      <w:color w:val="000000"/>
                    </w:rPr>
                    <w:t>全性要求</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安全特征</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USB屏蔽技术。</w:t>
                  </w:r>
                </w:p>
              </w:tc>
            </w:tr>
            <w:tr>
              <w:tc>
                <w:tcPr>
                  <w:tcW w:type="dxa" w:w="3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135</w:t>
                  </w: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其他要求</w:t>
                  </w:r>
                </w:p>
              </w:tc>
              <w:tc>
                <w:tcPr>
                  <w:tcW w:type="dxa" w:w="5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其他软件</w:t>
                  </w:r>
                </w:p>
              </w:tc>
              <w:tc>
                <w:tcPr>
                  <w:tcW w:type="dxa" w:w="85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终端管理软件</w:t>
                  </w:r>
                </w:p>
              </w:tc>
              <w:tc>
                <w:tcPr>
                  <w:tcW w:type="dxa" w:w="33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1）基于B/S架构，无需安装客户端，管理员可以在任意地点使用PC、手机、平板电脑等设备访问WEB页面即可进行终端和桌面的管理，可以浏览器上通过用户名、密码、校验码验证登录Web管理平台；</w:t>
                  </w:r>
                </w:p>
                <w:p>
                  <w:pPr>
                    <w:pStyle w:val="null3"/>
                    <w:jc w:val="both"/>
                  </w:pPr>
                  <w:r>
                    <w:rPr>
                      <w:sz w:val="21"/>
                      <w:color w:val="000000"/>
                    </w:rPr>
                    <w:t>（</w:t>
                  </w:r>
                  <w:r>
                    <w:rPr>
                      <w:sz w:val="21"/>
                      <w:color w:val="000000"/>
                    </w:rPr>
                    <w:t>2）支持AD域控账号对接实现统一用户身份认证，在终端开机未加载桌面操作系统的情况下，支持通过AD域控账号和密码，登录终端的Loader固件(firmware)，并进行AD域控用户信息校验，校验成功后加载用户的操作系统镜像；</w:t>
                  </w:r>
                </w:p>
                <w:p>
                  <w:pPr>
                    <w:pStyle w:val="null3"/>
                    <w:jc w:val="both"/>
                  </w:pPr>
                  <w:r>
                    <w:rPr>
                      <w:sz w:val="21"/>
                      <w:color w:val="000000"/>
                    </w:rPr>
                    <w:t>（</w:t>
                  </w:r>
                  <w:r>
                    <w:rPr>
                      <w:sz w:val="21"/>
                      <w:color w:val="000000"/>
                    </w:rPr>
                    <w:t>3）支持监控督导功能，通过管理平台能够同时查看到教室所有终端的画面以及当前摄像头实时画面，支持一键截屏，截取当前教室所有终端的桌面画面并保存为历史记录；</w:t>
                  </w:r>
                </w:p>
                <w:p>
                  <w:pPr>
                    <w:pStyle w:val="null3"/>
                    <w:jc w:val="both"/>
                  </w:pPr>
                  <w:r>
                    <w:rPr>
                      <w:sz w:val="21"/>
                      <w:color w:val="000000"/>
                    </w:rPr>
                    <w:t>（</w:t>
                  </w:r>
                  <w:r>
                    <w:rPr>
                      <w:sz w:val="21"/>
                      <w:color w:val="000000"/>
                    </w:rPr>
                    <w:t>4）提供硬件异构功能，支持一个镜像兼容不同硬件架构，可在管理平台上传新硬件驱动包，达到不编辑镜像，可直接兼容新的硬件平台；</w:t>
                  </w:r>
                </w:p>
                <w:p>
                  <w:pPr>
                    <w:pStyle w:val="null3"/>
                    <w:jc w:val="both"/>
                  </w:pPr>
                  <w:r>
                    <w:rPr>
                      <w:sz w:val="21"/>
                      <w:color w:val="000000"/>
                    </w:rPr>
                    <w:t>（</w:t>
                  </w:r>
                  <w:r>
                    <w:rPr>
                      <w:sz w:val="21"/>
                      <w:color w:val="000000"/>
                    </w:rPr>
                    <w:t>5）支持无服务器和无管理平台部署，在没有部署服务器和服务器损坏情况下，支持在任意一台终端批量设置进行云桌面镜像管理，支持查看信息、设置默认启动、设置还原、导入镜像、更新镜像、删除镜像、配置HDCP、批量开机、批量关机等；</w:t>
                  </w:r>
                </w:p>
                <w:p>
                  <w:pPr>
                    <w:pStyle w:val="null3"/>
                    <w:jc w:val="both"/>
                  </w:pPr>
                  <w:r>
                    <w:rPr>
                      <w:sz w:val="21"/>
                      <w:color w:val="000000"/>
                    </w:rPr>
                    <w:t>（</w:t>
                  </w:r>
                  <w:r>
                    <w:rPr>
                      <w:sz w:val="21"/>
                      <w:color w:val="000000"/>
                    </w:rPr>
                    <w:t>6）支持创建不少于10个镜像还原点，并在任意节点新建还原点，并以树形展示每个还原点的关系，确保镜像损坏时能够回退到任意版本，支持删除指定还原点版本删除后，回退到上一版本节点。</w:t>
                  </w:r>
                </w:p>
              </w:tc>
            </w:tr>
          </w:tbl>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工作站2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993"/>
              <w:gridCol w:w="397"/>
              <w:gridCol w:w="413"/>
              <w:gridCol w:w="790"/>
              <w:gridCol w:w="3002"/>
            </w:tblGrid>
            <w:tr>
              <w:tc>
                <w:tcPr>
                  <w:tcW w:type="dxa" w:w="993"/>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397"/>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指标分类</w:t>
                  </w:r>
                </w:p>
              </w:tc>
              <w:tc>
                <w:tcPr>
                  <w:tcW w:type="dxa" w:w="413"/>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一级指标</w:t>
                  </w:r>
                </w:p>
              </w:tc>
              <w:tc>
                <w:tcPr>
                  <w:tcW w:type="dxa" w:w="790"/>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二级指标</w:t>
                  </w:r>
                </w:p>
              </w:tc>
              <w:tc>
                <w:tcPr>
                  <w:tcW w:type="dxa" w:w="3002"/>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color w:val="000000"/>
                    </w:rPr>
                    <w:t>指标要求</w:t>
                  </w:r>
                </w:p>
              </w:tc>
            </w:tr>
            <w:tr>
              <w:tc>
                <w:tcPr>
                  <w:tcW w:type="dxa" w:w="993"/>
                  <w:vMerge/>
                  <w:tcBorders>
                    <w:top w:val="single" w:color="000000" w:sz="4"/>
                    <w:left w:val="single" w:color="000000" w:sz="4"/>
                    <w:bottom w:val="single" w:color="000000" w:sz="4"/>
                    <w:right w:val="single" w:color="000000" w:sz="4"/>
                  </w:tcBorders>
                </w:tcPr>
                <w:p/>
              </w:tc>
              <w:tc>
                <w:tcPr>
                  <w:tcW w:type="dxa" w:w="397"/>
                  <w:vMerge/>
                  <w:tcBorders>
                    <w:top w:val="single" w:color="000000" w:sz="4"/>
                    <w:left w:val="none" w:color="000000" w:sz="4"/>
                    <w:bottom w:val="single" w:color="000000" w:sz="4"/>
                    <w:right w:val="single" w:color="000000" w:sz="4"/>
                  </w:tcBorders>
                </w:tcPr>
                <w:p/>
              </w:tc>
              <w:tc>
                <w:tcPr>
                  <w:tcW w:type="dxa" w:w="413"/>
                  <w:vMerge/>
                  <w:tcBorders>
                    <w:top w:val="single" w:color="000000" w:sz="4"/>
                    <w:left w:val="none" w:color="000000" w:sz="4"/>
                    <w:bottom w:val="single" w:color="000000" w:sz="4"/>
                    <w:right w:val="single" w:color="000000" w:sz="4"/>
                  </w:tcBorders>
                </w:tcPr>
                <w:p/>
              </w:tc>
              <w:tc>
                <w:tcPr>
                  <w:tcW w:type="dxa" w:w="790"/>
                  <w:vMerge/>
                  <w:tcBorders>
                    <w:top w:val="single" w:color="000000" w:sz="4"/>
                    <w:left w:val="none" w:color="000000" w:sz="4"/>
                    <w:bottom w:val="single" w:color="000000" w:sz="4"/>
                    <w:right w:val="single" w:color="000000" w:sz="4"/>
                  </w:tcBorders>
                </w:tcPr>
                <w:p/>
              </w:tc>
              <w:tc>
                <w:tcPr>
                  <w:tcW w:type="dxa" w:w="3002"/>
                  <w:vMerge/>
                  <w:tcBorders>
                    <w:top w:val="single" w:color="000000" w:sz="4"/>
                    <w:left w:val="none" w:color="000000" w:sz="4"/>
                    <w:bottom w:val="single" w:color="000000" w:sz="4"/>
                    <w:right w:val="single" w:color="000000" w:sz="4"/>
                  </w:tcBorders>
                </w:tcP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CPU规格</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★CPU信息</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型号：相当于或优于</w:t>
                  </w:r>
                  <w:r>
                    <w:rPr>
                      <w:sz w:val="21"/>
                      <w:color w:val="000000"/>
                    </w:rPr>
                    <w:t>i9-14900</w:t>
                  </w:r>
                  <w:r>
                    <w:br/>
                  </w:r>
                  <w:r>
                    <w:rPr>
                      <w:sz w:val="21"/>
                      <w:color w:val="000000"/>
                    </w:rPr>
                    <w:t>物理核心数：</w:t>
                  </w:r>
                  <w:r>
                    <w:rPr>
                      <w:sz w:val="21"/>
                      <w:color w:val="000000"/>
                    </w:rPr>
                    <w:t>≥24核</w:t>
                  </w:r>
                  <w:r>
                    <w:br/>
                  </w:r>
                  <w:r>
                    <w:rPr>
                      <w:sz w:val="21"/>
                      <w:color w:val="000000"/>
                    </w:rPr>
                    <w:t>基本主频：</w:t>
                  </w:r>
                  <w:r>
                    <w:rPr>
                      <w:sz w:val="21"/>
                      <w:color w:val="000000"/>
                    </w:rPr>
                    <w:t>≥2GHz</w:t>
                  </w:r>
                  <w:r>
                    <w:br/>
                  </w:r>
                  <w:r>
                    <w:rPr>
                      <w:sz w:val="21"/>
                      <w:color w:val="000000"/>
                    </w:rPr>
                    <w:t>末级缓存容量：</w:t>
                  </w:r>
                  <w:r>
                    <w:rPr>
                      <w:sz w:val="21"/>
                      <w:color w:val="000000"/>
                    </w:rPr>
                    <w:t>≥36MB</w:t>
                  </w:r>
                  <w:r>
                    <w:br/>
                  </w:r>
                  <w:r>
                    <w:rPr>
                      <w:sz w:val="21"/>
                      <w:color w:val="000000"/>
                    </w:rPr>
                    <w:t>线程数：</w:t>
                  </w:r>
                  <w:r>
                    <w:rPr>
                      <w:sz w:val="21"/>
                      <w:color w:val="000000"/>
                    </w:rPr>
                    <w:t>≥32</w:t>
                  </w:r>
                  <w:r>
                    <w:br/>
                  </w:r>
                  <w:r>
                    <w:rPr>
                      <w:sz w:val="21"/>
                      <w:color w:val="000000"/>
                    </w:rPr>
                    <w:t>基础功耗</w:t>
                  </w:r>
                  <w:r>
                    <w:rPr>
                      <w:sz w:val="21"/>
                      <w:color w:val="000000"/>
                    </w:rPr>
                    <w:t>:≤</w:t>
                  </w:r>
                  <w:r>
                    <w:rPr>
                      <w:sz w:val="21"/>
                      <w:color w:val="000000"/>
                    </w:rPr>
                    <w:t>12</w:t>
                  </w:r>
                  <w:r>
                    <w:rPr>
                      <w:sz w:val="21"/>
                      <w:color w:val="000000"/>
                    </w:rPr>
                    <w:t>5W</w:t>
                  </w:r>
                  <w:r>
                    <w:br/>
                  </w:r>
                  <w:r>
                    <w:rPr>
                      <w:sz w:val="21"/>
                      <w:color w:val="000000"/>
                    </w:rPr>
                    <w:t>内存最高频率：</w:t>
                  </w:r>
                  <w:r>
                    <w:rPr>
                      <w:sz w:val="21"/>
                      <w:color w:val="000000"/>
                    </w:rPr>
                    <w:t>≥5600MT/s</w:t>
                  </w:r>
                  <w:r>
                    <w:br/>
                  </w:r>
                  <w:r>
                    <w:rPr>
                      <w:sz w:val="21"/>
                      <w:color w:val="000000"/>
                    </w:rPr>
                    <w:t>内存通道数：</w:t>
                  </w:r>
                  <w:r>
                    <w:rPr>
                      <w:sz w:val="21"/>
                      <w:color w:val="000000"/>
                    </w:rPr>
                    <w:t>≥2个</w:t>
                  </w:r>
                  <w:r>
                    <w:br/>
                  </w:r>
                  <w:r>
                    <w:rPr>
                      <w:sz w:val="21"/>
                      <w:color w:val="000000"/>
                    </w:rPr>
                    <w:t>位宽：</w:t>
                  </w:r>
                  <w:r>
                    <w:rPr>
                      <w:sz w:val="21"/>
                      <w:color w:val="000000"/>
                    </w:rPr>
                    <w:t>≥89.6GB/s</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内存规格</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★内存配置容量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≥64GB</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★内存类型</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DDR5及以上内存类型</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★内存条配置数量（板载内存不涉及）</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主板规格</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主板规格要求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相当于或优于</w:t>
                  </w:r>
                  <w:r>
                    <w:rPr>
                      <w:sz w:val="21"/>
                      <w:color w:val="000000"/>
                    </w:rPr>
                    <w:t>Q670</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★主板集成模块</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集成资源扩展模块、计算处理模块、音频扩展模块等，主板的互联拓扑可通过处理器或交换电路实现</w:t>
                  </w:r>
                  <w:r>
                    <w:rPr>
                      <w:sz w:val="21"/>
                      <w:color w:val="000000"/>
                    </w:rPr>
                    <w:t>。</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★主板支持的CPU和内存情况</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intel酷睿i9-14代；支持双通道DDR5 4800MT/s内存。</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★主板其他内置接口</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≥1个SATA3.0接口；≥1个M.2接口；≥8个USB接口；≥1个HDMI、1个VGA。</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PCIe接口</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3，其中至少包括</w:t>
                  </w:r>
                  <w:r>
                    <w:rPr>
                      <w:sz w:val="21"/>
                    </w:rPr>
                    <w:t>1个PCIe x16</w:t>
                  </w:r>
                  <w:r>
                    <w:rPr>
                      <w:sz w:val="21"/>
                    </w:rPr>
                    <w:t>、</w:t>
                  </w:r>
                  <w:r>
                    <w:rPr>
                      <w:sz w:val="21"/>
                    </w:rPr>
                    <w:t>1个PCIe x</w:t>
                  </w:r>
                  <w:r>
                    <w:rPr>
                      <w:sz w:val="21"/>
                    </w:rPr>
                    <w:t>8</w:t>
                  </w:r>
                  <w:r>
                    <w:rPr>
                      <w:sz w:val="21"/>
                    </w:rPr>
                    <w:t>插槽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★单内存插槽最大可支持容量（板载内存不涉及）</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≥32GB</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★内存插槽满配时提供的最高内存总容量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≥128GB</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存储设备规格</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★固态盘数量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2</w:t>
                  </w:r>
                  <w:r>
                    <w:rPr>
                      <w:sz w:val="21"/>
                      <w:color w:val="000000"/>
                    </w:rPr>
                    <w:t>个</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★固态存储容量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≥1024GB</w:t>
                  </w:r>
                  <w:r>
                    <w:rPr>
                      <w:sz w:val="21"/>
                      <w:color w:val="000000"/>
                    </w:rPr>
                    <w:t>*2</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★固态存储形态</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采用插卡或板载等形态，插卡形态宜符合</w:t>
                  </w:r>
                  <w:r>
                    <w:rPr>
                      <w:sz w:val="21"/>
                      <w:color w:val="000000"/>
                    </w:rPr>
                    <w:t>M.2或mSATA等标准尺寸和接口定义</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★存储设备其他参数要求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a）固态盘应符合SJ/T 11654相关规定；</w:t>
                  </w:r>
                  <w:r>
                    <w:rPr>
                      <w:sz w:val="21"/>
                      <w:color w:val="000000"/>
                    </w:rPr>
                    <w:t>b</w:t>
                  </w:r>
                  <w:r>
                    <w:rPr>
                      <w:sz w:val="21"/>
                      <w:color w:val="000000"/>
                    </w:rPr>
                    <w:t>）侧面固定螺丝孔数量可为</w:t>
                  </w:r>
                  <w:r>
                    <w:rPr>
                      <w:sz w:val="21"/>
                      <w:color w:val="000000"/>
                    </w:rPr>
                    <w:t>4孔或6孔；</w:t>
                  </w:r>
                  <w:r>
                    <w:rPr>
                      <w:sz w:val="21"/>
                      <w:color w:val="000000"/>
                    </w:rPr>
                    <w:t>c</w:t>
                  </w:r>
                  <w:r>
                    <w:rPr>
                      <w:sz w:val="21"/>
                      <w:color w:val="000000"/>
                    </w:rPr>
                    <w:t>）工作状态环境温度应满足</w:t>
                  </w:r>
                  <w:r>
                    <w:rPr>
                      <w:sz w:val="21"/>
                      <w:color w:val="000000"/>
                    </w:rPr>
                    <w:t>5℃~55℃；</w:t>
                  </w:r>
                  <w:r>
                    <w:rPr>
                      <w:sz w:val="21"/>
                      <w:color w:val="000000"/>
                    </w:rPr>
                    <w:t>d</w:t>
                  </w:r>
                  <w:r>
                    <w:rPr>
                      <w:sz w:val="21"/>
                      <w:color w:val="000000"/>
                    </w:rPr>
                    <w:t>）其它参数应符合</w:t>
                  </w:r>
                  <w:r>
                    <w:rPr>
                      <w:sz w:val="21"/>
                      <w:color w:val="000000"/>
                    </w:rPr>
                    <w:t>GB/T 12628的相关规定。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显卡规格</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★显卡类型</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集显</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显示设备规格</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★显示接口</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≥1个VGA；≥１个HDMI；自带HDMI线缆。</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★显示设备数量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★显示屏屏占比</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≥80%</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★显示屏分辨率</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1920</w:t>
                  </w:r>
                  <w:r>
                    <w:rPr>
                      <w:sz w:val="21"/>
                      <w:color w:val="000000"/>
                    </w:rPr>
                    <w:t>×</w:t>
                  </w:r>
                  <w:r>
                    <w:rPr>
                      <w:sz w:val="21"/>
                      <w:color w:val="000000"/>
                    </w:rPr>
                    <w:t>1080</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★显示屏尺寸</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≥23.8英寸</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★显示屏屏幕比例</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16:09</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★显示器外观颜色</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★显示屏防蓝光</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支持防蓝光模式，蓝光加权辐射亮度比应</w:t>
                  </w:r>
                  <w:r>
                    <w:rPr>
                      <w:sz w:val="21"/>
                      <w:color w:val="000000"/>
                    </w:rPr>
                    <w:t>≤0.0012W/(·cd·sr)(瓦每坎特拉每球面度)</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★显示屏低频闪</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显示屏应支持低频闪</w:t>
                  </w:r>
                  <w:r>
                    <w:rPr>
                      <w:sz w:val="21"/>
                      <w:color w:val="000000"/>
                    </w:rPr>
                    <w:t>≤-35dB</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★显示屏防炫目</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显示屏镜面反射率</w:t>
                  </w:r>
                  <w:r>
                    <w:rPr>
                      <w:sz w:val="21"/>
                      <w:color w:val="000000"/>
                    </w:rPr>
                    <w:t>≤10%</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外</w:t>
                  </w:r>
                  <w:r>
                    <w:rPr>
                      <w:sz w:val="21"/>
                      <w:color w:val="000000"/>
                    </w:rPr>
                    <w:t>设</w:t>
                  </w:r>
                  <w:r>
                    <w:rPr>
                      <w:sz w:val="21"/>
                      <w:color w:val="000000"/>
                    </w:rPr>
                    <w:t>规格</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★鼠标数量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★键盘数量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29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★扬声器功率</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≥1瓦/个</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★扬声器频率范围</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不低于（</w:t>
                  </w:r>
                  <w:r>
                    <w:rPr>
                      <w:sz w:val="21"/>
                      <w:color w:val="000000"/>
                    </w:rPr>
                    <w:t>100Hz-8kHz）范围</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★键盘连接方式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★键盘键程</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2.3mm～4.0mm</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★键盘按键压力</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按键压力应在</w:t>
                  </w:r>
                  <w:r>
                    <w:rPr>
                      <w:sz w:val="21"/>
                      <w:color w:val="000000"/>
                    </w:rPr>
                    <w:t>0.54N±0.14N</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★有线键盘连接线</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≥1.5米</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★键盘颜色</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★键盘其他要求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键盘外观结构、连接方式、主要功能、安全、电磁兼容性、可靠性应符合</w:t>
                  </w:r>
                  <w:r>
                    <w:rPr>
                      <w:sz w:val="21"/>
                      <w:color w:val="000000"/>
                    </w:rPr>
                    <w:t>GB/T 14081的相关规定。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★鼠标连接方式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标配</w:t>
                  </w:r>
                  <w:r>
                    <w:rPr>
                      <w:sz w:val="21"/>
                      <w:color w:val="000000"/>
                    </w:rPr>
                    <w:t>USB接口有线鼠标</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★有线鼠标连接线</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≥1.5米</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39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★鼠标DPI分辨率</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≥800</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★鼠标其他要求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其它参数应符合</w:t>
                  </w:r>
                  <w:r>
                    <w:rPr>
                      <w:sz w:val="21"/>
                      <w:color w:val="000000"/>
                    </w:rPr>
                    <w:t>GB/T 26245的相关规定。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网络设备规格</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★有线网卡数量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外部接口规格</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★USB接口数量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≥8，机箱前板至少包括2个USB3.2及以上接口。</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前置接口</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≥1个Type-C，三合一读卡器、模拟音频接口。</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★视频接口数量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★音频接口数量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至少含</w:t>
                  </w:r>
                  <w:r>
                    <w:rPr>
                      <w:sz w:val="21"/>
                      <w:color w:val="000000"/>
                    </w:rPr>
                    <w:t>1组音频输入/输出，1个麦克风。</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整机基础规格</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★整机外观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产品表面不应有凹痕、划伤、裂缝、变形和污染等。表面涂层均匀，不应起泡、龟裂、脱落和磨损，金属零部件无锈蚀及其它机械损伤；b)产品表面说明功能的文字、符号、标志，应清晰、端正、牢固；c)宜在产品显著位置提供运行状态指示功能，</w:t>
                  </w:r>
                  <w:r>
                    <w:rPr>
                      <w:sz w:val="21"/>
                      <w:b/>
                      <w:color w:val="000000"/>
                    </w:rPr>
                    <w:t>在投标文件中</w:t>
                  </w:r>
                  <w:r>
                    <w:rPr>
                      <w:sz w:val="21"/>
                      <w:b/>
                      <w:color w:val="000000"/>
                    </w:rPr>
                    <w:t>提供详细参数</w:t>
                  </w:r>
                  <w:r>
                    <w:rPr>
                      <w:sz w:val="21"/>
                      <w:b/>
                      <w:color w:val="000000"/>
                    </w:rPr>
                    <w:t>。</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★整机结构</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a)机箱应符合GB/T 4208、GB/T 26246的相关规定；b)产品内部结构应符合通用部件的安装需要；c)所有输入输出接口应符合相关国家或行业标准；d)产品零部件应紧固无松动，可插拔部件应可靠连接，开关、按钮和其它控制部件应灵活可靠，布局应方便使用；e)所有I/O连接器及需插接线缆的部位应预留用户操作空间，方便插拔解锁与插拔线缆；f)可插拔板卡插槽部位应预留安装、拆卸或更换板卡空间；g)拆装可能接触到的金属剪口或金属尖角部位应做防划伤处理，以保证安全；</w:t>
                  </w:r>
                  <w:r>
                    <w:br/>
                  </w:r>
                  <w:r>
                    <w:rPr>
                      <w:sz w:val="21"/>
                      <w:color w:val="000000"/>
                    </w:rPr>
                    <w:t>h)整机内部走线应规整，固线结构和位置要合理可靠并做防割线处理，需便于理线和插拔操作，走线应不影响系统各主要部件组装和拆卸；i)如需通过孔走线，过线孔应做防割线处理；j)各插头位置和插拔方向应合理，应做到插拔无障碍设计，具备防呆设计，有效避免误操作；k)各主要部件拆装无障碍，使用常规工具拆装，无特殊拆装工具需求；l)各主要部件拆装步骤要少，各自拆装需避免相互干扰；m)对于整机或零部件外表面为高亮面的，应粘贴保护膜，保护膜需粘贴牢固，运输、组装等过程不易脱落，撕下无残留；n)其它要求应符合GB/T 9813.1的相关规定。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★机箱防护要求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机箱应符合</w:t>
                  </w:r>
                  <w:r>
                    <w:rPr>
                      <w:sz w:val="21"/>
                      <w:color w:val="000000"/>
                    </w:rPr>
                    <w:t>GB/T 4208中IP20防护要求</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49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★整机噪音</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产品工作在空闲状态下，产品的声功率级应不超过</w:t>
                  </w:r>
                  <w:r>
                    <w:rPr>
                      <w:sz w:val="21"/>
                      <w:color w:val="000000"/>
                    </w:rPr>
                    <w:t>4.5Bel</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★整机散热</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在环境温度</w:t>
                  </w:r>
                  <w:r>
                    <w:rPr>
                      <w:sz w:val="21"/>
                      <w:color w:val="000000"/>
                    </w:rPr>
                    <w:t>25℃及处理器满载情况下，产品表面温度应符合下列要求：a)出风口在机箱后面板情况下，出风口温度不高于55℃；b)可触及面温度小于45℃；c)显示器表面温度：显示屏温度不高于38℃，显示屏上下灯带位置温度（如涉及）不高于40℃，出风口温度不高于45℃。</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★整机能效限定值</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产品能效限定值应达到</w:t>
                  </w:r>
                  <w:r>
                    <w:rPr>
                      <w:sz w:val="21"/>
                      <w:color w:val="000000"/>
                    </w:rPr>
                    <w:t>GB 28380-2012标准中能效等级2级及以上。</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★机身颜色</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黑色商务色系</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产品规格</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★机箱尺寸容量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机箱体积</w:t>
                  </w:r>
                  <w:r>
                    <w:rPr>
                      <w:sz w:val="21"/>
                      <w:color w:val="000000"/>
                    </w:rPr>
                    <w:t>≥15L</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CPU性能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★CPU物理核数</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≥24核，≥32线程</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★CPU主频</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≥2GHz</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★CPU末级缓存容量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≥36MB</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★CPU支持的内存最高速率</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≥3200MT/s</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内存性能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★内存读写速率</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≥4800MT/s</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59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显示设备性能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★显示屏刷新率</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≥75Hz</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★显示屏位深</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≥8位</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★显示屏色域</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≥99%sRGB</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★显示屏色准</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△E≤3</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★显示屏响应时间</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≤6ms</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★显示屏亮度</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250</w:t>
                  </w:r>
                  <w:r>
                    <w:rPr>
                      <w:sz w:val="21"/>
                      <w:color w:val="000000"/>
                    </w:rPr>
                    <w:t>尼特</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★显示屏亮度一致性</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≥70%</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★显示屏对比度</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≥1000：1</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★显示屏其他参数</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其它参数应符合</w:t>
                  </w:r>
                  <w:r>
                    <w:rPr>
                      <w:sz w:val="21"/>
                      <w:color w:val="000000"/>
                    </w:rPr>
                    <w:t>SJ/T 11292的相关规定。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性能要求</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网络设备性能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★有线网卡速率</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最高速率应不低于</w:t>
                  </w:r>
                  <w:r>
                    <w:rPr>
                      <w:sz w:val="21"/>
                      <w:color w:val="000000"/>
                    </w:rPr>
                    <w:t>1000Mbps，应支持10Mbps、100Mbps、1000Mbps速率自适应。</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69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w:t>
                  </w:r>
                  <w:r>
                    <w:rPr>
                      <w:sz w:val="21"/>
                      <w:color w:val="000000"/>
                    </w:rPr>
                    <w:t>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主板功能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★内存扩展接口(板载内存不涉及)</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≥4</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w:t>
                  </w:r>
                  <w:r>
                    <w:rPr>
                      <w:sz w:val="21"/>
                      <w:color w:val="000000"/>
                    </w:rPr>
                    <w:t>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★主板USB瞬间过流保护</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支持瞬间过流保护功能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w:t>
                  </w:r>
                  <w:r>
                    <w:rPr>
                      <w:sz w:val="21"/>
                      <w:color w:val="000000"/>
                    </w:rPr>
                    <w:t>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★主板防静电保护</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支持防静电保护功能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w:t>
                  </w:r>
                  <w:r>
                    <w:rPr>
                      <w:sz w:val="21"/>
                      <w:color w:val="000000"/>
                    </w:rPr>
                    <w:t>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★I/O接口功能</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提供基于标准</w:t>
                  </w:r>
                  <w:r>
                    <w:rPr>
                      <w:sz w:val="21"/>
                      <w:color w:val="000000"/>
                    </w:rPr>
                    <w:t>USB接口外设连接功能、基于音频输入输出接口的音频扩展功能、基于PCIe接口板卡扩展功能、基于HDMI/VGA/Type-C/DVI/DP等接口外接显示器扩展功能、基于存储接口对产品进行增容功能等。工作站I/O接口应具备外接标准USB设备、显示器、音频设备等内外部设备能力。</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显卡功能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★显卡外接显示接口</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显卡至少支持</w:t>
                  </w:r>
                  <w:r>
                    <w:rPr>
                      <w:sz w:val="21"/>
                      <w:color w:val="000000"/>
                    </w:rPr>
                    <w:t>VGA、HDMI、DVI、DP、Type-C中1种显示接口，并与显示器接口相匹配。</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显示设备功能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★显示器接口</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显示器应与显卡外接显示接口匹配</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★显示器支架</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显示器应提供显示器支架，宜支持屏幕旋转、支架可升降等。</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★显示器参数调节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a)提供OSD选单按钮用于调节色彩、模式等；b)支持色温、亮度、对比度调节</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存储功能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★存储功能</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通过</w:t>
                  </w:r>
                  <w:r>
                    <w:rPr>
                      <w:sz w:val="21"/>
                      <w:color w:val="000000"/>
                    </w:rPr>
                    <w:t>SATA固态存储/SATA硬磁盘等存储部件提供存储功能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网络设备功能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★网络功能</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a)支持网络连接、网络开启/关闭功能；</w:t>
                  </w:r>
                  <w:r>
                    <w:br/>
                  </w:r>
                  <w:r>
                    <w:rPr>
                      <w:sz w:val="21"/>
                      <w:color w:val="000000"/>
                    </w:rPr>
                    <w:t>b)支持访问网络和数据交换功能。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79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★数据传输</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支持数据传输能力，并提供数据流量和异常日志记录功能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★有线网卡接口类型</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RJ45接口</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★网络设备拆装</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若配备的网络设备应支持物理拆装，包括无线网卡和蓝牙模块等。</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外部接口功能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★音频接口类型</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3.5mm孔径3段式或4段式接口</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★视频接口类型</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至少支持</w:t>
                  </w:r>
                  <w:r>
                    <w:rPr>
                      <w:sz w:val="21"/>
                      <w:color w:val="000000"/>
                    </w:rPr>
                    <w:t>VGA、HDMI、DVI、DP、Type-C中1种显示接口。</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★HDMI、DP、Type-C显示接口要求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若提供</w:t>
                  </w:r>
                  <w:r>
                    <w:rPr>
                      <w:sz w:val="21"/>
                      <w:color w:val="000000"/>
                    </w:rPr>
                    <w:t>HDMI或DP或Type-C作为显示接口，应支持音频和视频同步输出。</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电源功能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★电源线适配能力</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电源适配器电线组件应符合</w:t>
                  </w:r>
                  <w:r>
                    <w:rPr>
                      <w:sz w:val="21"/>
                      <w:color w:val="000000"/>
                    </w:rPr>
                    <w:t>GB/T15934的要求，可拆线的插头和连接器可以不做要求。</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电源功率</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功率</w:t>
                  </w:r>
                  <w:r>
                    <w:rPr>
                      <w:sz w:val="21"/>
                      <w:color w:val="000000"/>
                    </w:rPr>
                    <w:t>≥500W</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操作系统及软件功能</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★中文信息处理要求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 18030的相关规定。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★操作系统备份及还原功能</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支持操作系统备份及还原功能。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89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★固件备份还原能力</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支持备份及还原固件的功能。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★操作系统及驱动升级</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支持通过网络、闪存盘等方式对操作系统、驱动进行升级。</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★BIOS支持关闭通讯接口</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BIOS关闭以太网及USB接口功能。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★固件查看信息</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支持查看固件版本、内存信息、主板信息、处理器信息和系统时间信息等功能。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★固件设置启动顺序</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支持设置启动顺序功能，并按照设置的启动顺序启动。</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★固件设置口令</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支持设置口令、修改口令、验证口令功能。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★固件设置网络引导</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支持网络引导启动和关闭功能。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存储设备可靠性</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★固态存储寿命</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TBW≥80TB（条件：1024GB硬盘容量）</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显示设备可靠性</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★显示屏屏幕失效点</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9813.2的要求。</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外设可靠性</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★键盘按键寿命</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≥1000万次</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99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★鼠标按键寿命</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≥500万次</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★键盘鼠标线材寿命</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键盘鼠标所用线材经</w:t>
                  </w:r>
                  <w:r>
                    <w:rPr>
                      <w:sz w:val="21"/>
                      <w:color w:val="000000"/>
                    </w:rPr>
                    <w:t>±60°弯折不低于3000次，功能、外观完好。</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★风扇寿命</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≥4万小时</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整机可靠性要求</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★电磁兼容性要求的抗扰度</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9254.2的规定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★环境条件要求的气候环境适应性</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★环境条件要求的振动适应性</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★环境条件要求的冲击适应性</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★环境条件要求的碰撞适应性</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★环境条件要求的运输包装件跌落适应性</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可靠性要求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★MTBF测试</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MTBF(m1)≥25万小时</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109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兼容要求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兼容要求</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★常用软件兼容</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应支持流式软件、版式软件、浏览器、邮件客户端、解压软件、多媒体、图形图像处理等常用软件。</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兼容要求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★数据库兼容</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w:t>
                  </w:r>
                  <w:r>
                    <w:rPr>
                      <w:sz w:val="21"/>
                      <w:color w:val="000000"/>
                    </w:rPr>
                    <w:t>3个及以上厂商的数据库产品。</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兼容要求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★中间件兼容</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w:t>
                  </w:r>
                  <w:r>
                    <w:rPr>
                      <w:sz w:val="21"/>
                      <w:color w:val="000000"/>
                    </w:rPr>
                    <w:t>3个及以上厂商中间件产品。</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兼容要求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★平台软件兼容</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w:t>
                  </w:r>
                  <w:r>
                    <w:rPr>
                      <w:sz w:val="21"/>
                      <w:color w:val="000000"/>
                    </w:rPr>
                    <w:t>3个及以上厂商云计算及大数据平台。</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包装及运输要求</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包装及运输要求</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★标志、包装、运输和贮存</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GB/T9813.1和商品包装政府采购需求标准的相关规定。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★配置检查工具</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供应商提供经自检测试工具。</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★服务响应</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a）提供产品3年维保及上门服务（满足同城4小时、异地12小时响应要求）；b）提供政企专线7*24在线服务；c）现场保障技术服务团队员，国内上门服务地级市覆盖率达100%。</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★服务周期</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支持产品延保</w:t>
                  </w:r>
                  <w:r>
                    <w:rPr>
                      <w:sz w:val="21"/>
                      <w:color w:val="000000"/>
                    </w:rPr>
                    <w:t>≥3年；提供每年延保服务报价；提供备件服务能力≥6年（自购买之日起）。</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★预装操作系统</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预装符合桌面操作系统政府采购需求标准的正版操作系统（</w:t>
                  </w:r>
                  <w:r>
                    <w:rPr>
                      <w:sz w:val="21"/>
                      <w:color w:val="000000"/>
                    </w:rPr>
                    <w:t>相当于或优于</w:t>
                  </w:r>
                  <w:r>
                    <w:rPr>
                      <w:sz w:val="21"/>
                      <w:color w:val="000000"/>
                    </w:rPr>
                    <w:t>国</w:t>
                  </w:r>
                  <w:r>
                    <w:rPr>
                      <w:sz w:val="21"/>
                    </w:rPr>
                    <w:t>产</w:t>
                  </w:r>
                  <w:r>
                    <w:rPr>
                      <w:sz w:val="21"/>
                    </w:rPr>
                    <w:t>麒麟</w:t>
                  </w:r>
                  <w:r>
                    <w:rPr>
                      <w:sz w:val="21"/>
                    </w:rPr>
                    <w:t>V10</w:t>
                  </w:r>
                  <w:r>
                    <w:rPr>
                      <w:sz w:val="21"/>
                      <w:color w:val="000000"/>
                    </w:rPr>
                    <w:t>操作系统），并提供不小于一年升级服务。</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★培训服务</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供应商提供培训材料、产品手册、培训视频等培训相关内容。</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119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★典型问题解决手册</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供应商提供典型问题解决说明文档或视频。</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★厂家升级软件与扩容服务</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供应商提供上门升级部件</w:t>
                  </w:r>
                  <w:r>
                    <w:rPr>
                      <w:sz w:val="21"/>
                      <w:color w:val="000000"/>
                    </w:rPr>
                    <w:t>/软件的增值服务。</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★整机质量服务要求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免费服务周期（含换件和维修）应不小于</w:t>
                  </w:r>
                  <w:r>
                    <w:rPr>
                      <w:sz w:val="21"/>
                      <w:color w:val="000000"/>
                    </w:rPr>
                    <w:t>3年。</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★合格证书要求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供应商提供产品合格证。</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★开箱组装/使用指导要求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供应商提供开箱组装</w:t>
                  </w:r>
                  <w:r>
                    <w:rPr>
                      <w:sz w:val="21"/>
                      <w:color w:val="000000"/>
                    </w:rPr>
                    <w:t>/使用指导。</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★驱动下载服务要求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供应商提供驱动光盘或下载方式。</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★兼容适配软件下载服务要求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供应商提供兼容适配软件下载渠道（光盘、网站）。</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126</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供应保障要求</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供应链合规性</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★产品部件保障</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保障产品主要部件提供</w:t>
                  </w:r>
                  <w:r>
                    <w:rPr>
                      <w:sz w:val="21"/>
                      <w:color w:val="000000"/>
                    </w:rPr>
                    <w:t>6年的备件服务能力(自购买之日起)，或提供可兼容原设备的升级换代产品。</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127</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供应保障要求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供应链质量</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★抗干扰性</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当产品部件出现供应风险时，供应商应通知采购人并提供风险应对方案确保产品的服务保障。</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128</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供应保障要求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★供应能力证明</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供应商提供供应链稳定承诺书，确保产品的部件在产品服务周期内稳定供货。</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129</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安全要求</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关键部件安全要求</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★关键部件安全要求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CPU和操作系统等关键部件应当符合安全可靠测评要求。</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130</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安全要求</w:t>
                  </w:r>
                </w:p>
              </w:tc>
              <w:tc>
                <w:tcPr>
                  <w:tcW w:type="dxa" w:w="41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整机安全性要求</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★密码算法实现</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CPU芯片应符合GM/T 0008的相关规定，或芯片密码模块应符合GB/T 37092或GM/T 0028的相关规定。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131</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安全要求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★信息安全基本要求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a)应符合GB/T 39276的5.2的规定；b)生产厂商应建立漏洞跟踪表，保证产品版本涉及到的漏洞(如驱动程序等)可查看；c)产品不得包含已知的恶意代码或漏洞，不存在未声明的指令、功能、接口。</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132</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安全要求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★固件安全启动</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支持固件安全启动功能，固件启动过程中只有通过启动校验才能正常启动。</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133</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安全要求</w:t>
                  </w:r>
                </w:p>
              </w:tc>
              <w:tc>
                <w:tcPr>
                  <w:tcW w:type="dxa" w:w="413"/>
                  <w:vMerge/>
                  <w:tcBorders>
                    <w:top w:val="none" w:color="000000" w:sz="4"/>
                    <w:left w:val="none" w:color="000000" w:sz="4"/>
                    <w:bottom w:val="single" w:color="000000" w:sz="4"/>
                    <w:right w:val="single" w:color="000000" w:sz="4"/>
                  </w:tcBorders>
                </w:tcP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★限用物质的限量要求</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26572中规定</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50"/>
                    <w:jc w:val="center"/>
                  </w:pPr>
                  <w:r>
                    <w:rPr>
                      <w:sz w:val="21"/>
                      <w:color w:val="000000"/>
                    </w:rPr>
                    <w:t>134</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其他要求</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w:t>
                  </w:r>
                  <w:r>
                    <w:rPr>
                      <w:sz w:val="21"/>
                      <w:color w:val="000000"/>
                    </w:rPr>
                    <w:t>全性要求</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安全特征</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color w:val="000000"/>
                    </w:rPr>
                    <w:t>USB屏蔽技术。</w:t>
                  </w:r>
                </w:p>
              </w:tc>
            </w:tr>
            <w:tr>
              <w:tc>
                <w:tcPr>
                  <w:tcW w:type="dxa" w:w="9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135</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其他要求</w:t>
                  </w:r>
                </w:p>
              </w:tc>
              <w:tc>
                <w:tcPr>
                  <w:tcW w:type="dxa" w:w="4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其他软件</w:t>
                  </w:r>
                </w:p>
              </w:tc>
              <w:tc>
                <w:tcPr>
                  <w:tcW w:type="dxa" w:w="79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终端管理软件</w:t>
                  </w:r>
                </w:p>
              </w:tc>
              <w:tc>
                <w:tcPr>
                  <w:tcW w:type="dxa" w:w="300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1）基于B/S架构，无需安装客户端，管理员可以在任意地点使用PC、手机、平板电脑等设备访问WEB页面即可进行终端和桌面的管理，可以浏览器上通过用户名、密码、校验码验证登录Web管理平台；</w:t>
                  </w:r>
                </w:p>
                <w:p>
                  <w:pPr>
                    <w:pStyle w:val="null3"/>
                    <w:jc w:val="both"/>
                  </w:pPr>
                  <w:r>
                    <w:rPr>
                      <w:sz w:val="21"/>
                      <w:color w:val="000000"/>
                    </w:rPr>
                    <w:t>（</w:t>
                  </w:r>
                  <w:r>
                    <w:rPr>
                      <w:sz w:val="21"/>
                      <w:color w:val="000000"/>
                    </w:rPr>
                    <w:t>2）支持AD域控账号对接实现统一用户身份认证，在终端开机未加载桌面操作系统的情况下，支持通过AD域控账号和密码，登录终端的Loader固件(firmware)，并进行AD域控用户信息校验，校验成功后加载用户的操作系统镜像；</w:t>
                  </w:r>
                </w:p>
                <w:p>
                  <w:pPr>
                    <w:pStyle w:val="null3"/>
                    <w:jc w:val="both"/>
                  </w:pPr>
                  <w:r>
                    <w:rPr>
                      <w:sz w:val="21"/>
                      <w:color w:val="000000"/>
                    </w:rPr>
                    <w:t>（</w:t>
                  </w:r>
                  <w:r>
                    <w:rPr>
                      <w:sz w:val="21"/>
                      <w:color w:val="000000"/>
                    </w:rPr>
                    <w:t>3）支持监控督导功能，通过管理平台能够同时查看到教室所有终端的画面以及当前摄像头实时画面，支持一键截屏，截取当前教室所有终端的桌面画面并保存为历史记录；</w:t>
                  </w:r>
                </w:p>
                <w:p>
                  <w:pPr>
                    <w:pStyle w:val="null3"/>
                    <w:jc w:val="both"/>
                  </w:pPr>
                  <w:r>
                    <w:rPr>
                      <w:sz w:val="21"/>
                      <w:color w:val="000000"/>
                    </w:rPr>
                    <w:t>（</w:t>
                  </w:r>
                  <w:r>
                    <w:rPr>
                      <w:sz w:val="21"/>
                      <w:color w:val="000000"/>
                    </w:rPr>
                    <w:t>4）提供硬件异构功能，支持一个镜像兼容不同硬件架构，可在管理平台上传新硬件驱动包，达到不编辑镜像，可直接兼容新的硬件平台；</w:t>
                  </w:r>
                </w:p>
                <w:p>
                  <w:pPr>
                    <w:pStyle w:val="null3"/>
                    <w:jc w:val="both"/>
                  </w:pPr>
                  <w:r>
                    <w:rPr>
                      <w:sz w:val="21"/>
                      <w:color w:val="000000"/>
                    </w:rPr>
                    <w:t>（</w:t>
                  </w:r>
                  <w:r>
                    <w:rPr>
                      <w:sz w:val="21"/>
                      <w:color w:val="000000"/>
                    </w:rPr>
                    <w:t>5）支持无服务器和无管理平台部署，在没有部署服务器和服务器损坏情况下，支持在任意一台终端批量设置进行云桌面镜像管理，支持查看信息、设置默认启动、设置还原、导入镜像、更新镜像、删除镜像、配置HDCP、批量开机、批量关机等；</w:t>
                  </w:r>
                </w:p>
                <w:p>
                  <w:pPr>
                    <w:pStyle w:val="null3"/>
                    <w:jc w:val="both"/>
                  </w:pPr>
                  <w:r>
                    <w:rPr>
                      <w:sz w:val="21"/>
                      <w:color w:val="000000"/>
                    </w:rPr>
                    <w:t>（</w:t>
                  </w:r>
                  <w:r>
                    <w:rPr>
                      <w:sz w:val="21"/>
                      <w:color w:val="000000"/>
                    </w:rPr>
                    <w:t>6）支持创建不少于10个镜像还原点，并在任意节点新建还原点，并以树形展示每个还原点的关系，确保镜像损坏时能够回退到任意版本，支持删除指定还原点版本删除后，回退到上一版本节点。</w:t>
                  </w:r>
                </w:p>
              </w:tc>
            </w:tr>
          </w:tbl>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云资源控制器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color w:val="000000"/>
              </w:rPr>
              <w:t>1.软硬件一体化设备，1颗CPU，主频≥2.0GHz、核数≥4，内嵌云桌面虚拟化功能模块，配备≥16GB的内存容量，配备1块≥1TB SSD硬盘。</w:t>
            </w:r>
          </w:p>
          <w:p>
            <w:pPr>
              <w:pStyle w:val="null3"/>
              <w:ind w:firstLine="420"/>
              <w:jc w:val="left"/>
            </w:pPr>
            <w:r>
              <w:rPr>
                <w:sz w:val="21"/>
                <w:color w:val="000000"/>
              </w:rPr>
              <w:t>2.提供中控控制台功能，中控配置</w:t>
            </w:r>
            <w:r>
              <w:rPr>
                <w:sz w:val="21"/>
                <w:color w:val="000000"/>
              </w:rPr>
              <w:t>相当于或优于</w:t>
            </w:r>
            <w:r>
              <w:rPr>
                <w:sz w:val="21"/>
                <w:color w:val="000000"/>
              </w:rPr>
              <w:t>ARM Cotrex A53 4核1.8Ghz，内存≥2GB，存储≥8GB，网卡≥1个千兆RJ45，接口≥5个USB接口，支持与控制器自动配对，支持上电自动开机，支持实现对云终端跨Vlan远程开机。</w:t>
            </w:r>
          </w:p>
          <w:p>
            <w:pPr>
              <w:pStyle w:val="null3"/>
              <w:ind w:firstLine="420"/>
              <w:jc w:val="left"/>
            </w:pPr>
            <w:r>
              <w:rPr>
                <w:sz w:val="21"/>
                <w:color w:val="000000"/>
              </w:rPr>
              <w:t>3.支持单个千兆网卡。</w:t>
            </w:r>
          </w:p>
          <w:p>
            <w:pPr>
              <w:pStyle w:val="null3"/>
              <w:ind w:firstLine="420"/>
              <w:jc w:val="left"/>
            </w:pPr>
            <w:r>
              <w:rPr>
                <w:sz w:val="21"/>
                <w:color w:val="000000"/>
              </w:rPr>
              <w:t>4.为适应南方潮湿天气，确保控制器运行稳定，需通过中性盐雾试验，表面无起泡、裂纹、毛刺、锈蚀现象。</w:t>
            </w:r>
          </w:p>
          <w:p>
            <w:pPr>
              <w:pStyle w:val="null3"/>
              <w:ind w:firstLine="420"/>
              <w:jc w:val="left"/>
            </w:pPr>
            <w:r>
              <w:rPr>
                <w:sz w:val="21"/>
                <w:color w:val="000000"/>
              </w:rPr>
              <w:t>5.为了管理和监控虚拟化和云终端数据，要求安装并提供数字监控系统平台，展示虚拟桌面情况、设备资产、在线和健康状态等一屏式展示。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边缘计算盒子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color w:val="000000"/>
              </w:rPr>
              <w:t>1.主控CPU：≥8核2.3GHz</w:t>
            </w:r>
            <w:r>
              <w:rPr>
                <w:sz w:val="21"/>
                <w:color w:val="000000"/>
              </w:rPr>
              <w:t>，</w:t>
            </w:r>
            <w:r>
              <w:rPr>
                <w:sz w:val="21"/>
                <w:color w:val="000000"/>
              </w:rPr>
              <w:t>优于或相当于</w:t>
            </w:r>
            <w:r>
              <w:rPr>
                <w:sz w:val="21"/>
                <w:color w:val="000000"/>
              </w:rPr>
              <w:t>ARM A53。</w:t>
            </w:r>
          </w:p>
          <w:p>
            <w:pPr>
              <w:pStyle w:val="null3"/>
              <w:ind w:firstLine="420"/>
              <w:jc w:val="left"/>
            </w:pPr>
            <w:r>
              <w:rPr>
                <w:sz w:val="21"/>
                <w:color w:val="000000"/>
              </w:rPr>
              <w:t>2.AI算力：INT8不低于10.6TOPS，FP32不低于1.3TFLOPS。</w:t>
            </w:r>
          </w:p>
          <w:p>
            <w:pPr>
              <w:pStyle w:val="null3"/>
              <w:ind w:firstLine="420"/>
              <w:jc w:val="left"/>
            </w:pPr>
            <w:r>
              <w:rPr>
                <w:sz w:val="21"/>
                <w:color w:val="000000"/>
              </w:rPr>
              <w:t>3.视频接入能力：可以同时支持</w:t>
            </w:r>
            <w:r>
              <w:rPr>
                <w:sz w:val="21"/>
                <w:color w:val="000000"/>
              </w:rPr>
              <w:t>至少</w:t>
            </w:r>
            <w:r>
              <w:rPr>
                <w:sz w:val="21"/>
                <w:color w:val="000000"/>
              </w:rPr>
              <w:t>8路1080P高清视频智能分析，每路同时支持</w:t>
            </w:r>
            <w:r>
              <w:rPr>
                <w:sz w:val="21"/>
                <w:color w:val="000000"/>
              </w:rPr>
              <w:t>至少</w:t>
            </w:r>
            <w:r>
              <w:rPr>
                <w:sz w:val="21"/>
                <w:color w:val="000000"/>
              </w:rPr>
              <w:t>3种算法，不低于10fps。</w:t>
            </w:r>
          </w:p>
          <w:p>
            <w:pPr>
              <w:pStyle w:val="null3"/>
              <w:ind w:firstLine="420"/>
              <w:jc w:val="left"/>
            </w:pPr>
            <w:r>
              <w:rPr>
                <w:sz w:val="21"/>
                <w:color w:val="000000"/>
              </w:rPr>
              <w:t>4.内存：≥6GB。</w:t>
            </w:r>
          </w:p>
          <w:p>
            <w:pPr>
              <w:pStyle w:val="null3"/>
              <w:ind w:firstLine="420"/>
              <w:jc w:val="left"/>
            </w:pPr>
            <w:r>
              <w:rPr>
                <w:sz w:val="21"/>
                <w:color w:val="000000"/>
              </w:rPr>
              <w:t>5.eMMC：≥32GB。</w:t>
            </w:r>
          </w:p>
          <w:p>
            <w:pPr>
              <w:pStyle w:val="null3"/>
              <w:ind w:firstLine="420"/>
              <w:jc w:val="left"/>
            </w:pPr>
            <w:r>
              <w:rPr>
                <w:sz w:val="21"/>
                <w:color w:val="000000"/>
              </w:rPr>
              <w:t>6.接口：≥10/100/1000Mbps自适应网络接口*2、USB3.0*2、HDMI*1、TF*1、RS-485*2、开关量*1、告警输入*2、音频*1。</w:t>
            </w:r>
          </w:p>
          <w:p>
            <w:pPr>
              <w:pStyle w:val="null3"/>
              <w:ind w:firstLine="420"/>
              <w:jc w:val="left"/>
            </w:pPr>
            <w:r>
              <w:rPr>
                <w:sz w:val="21"/>
                <w:color w:val="000000"/>
              </w:rPr>
              <w:t>7.内置算法不少于20种，例如：抽烟打电话、人脸识别、人员倒地、离岗检测、睡岗检测、客流统计、打架检测、口罩检测、人员拥挤检测、消防设施检测、明烟明火检测、校园道路垃圾检测、无消防器械、区域人数超限制、区域入侵、越线检测、翻越围栏、区域车辆禁停、车牌识别等。</w:t>
            </w:r>
          </w:p>
          <w:p>
            <w:pPr>
              <w:pStyle w:val="null3"/>
              <w:ind w:firstLine="420"/>
              <w:jc w:val="left"/>
            </w:pPr>
            <w:r>
              <w:rPr>
                <w:sz w:val="21"/>
                <w:color w:val="000000"/>
              </w:rPr>
              <w:t>8.异常报警：当发生异常情况时，支持同时进行预警上报和消息记录。</w:t>
            </w:r>
          </w:p>
          <w:p>
            <w:pPr>
              <w:pStyle w:val="null3"/>
              <w:ind w:firstLine="420"/>
              <w:jc w:val="left"/>
            </w:pPr>
            <w:r>
              <w:rPr>
                <w:sz w:val="21"/>
                <w:color w:val="000000"/>
              </w:rPr>
              <w:t>9.事件管理：异常事件可上传或保存至指定位置，灵活设置留存时间，并提供查阅功能。</w:t>
            </w:r>
          </w:p>
          <w:p>
            <w:pPr>
              <w:pStyle w:val="null3"/>
              <w:ind w:firstLine="420"/>
              <w:jc w:val="left"/>
            </w:pPr>
            <w:r>
              <w:rPr>
                <w:sz w:val="21"/>
                <w:color w:val="000000"/>
              </w:rPr>
              <w:t>10.实时预览：实时对监控视频进行在线预览，最高支持9路视频同时预览。</w:t>
            </w:r>
          </w:p>
          <w:p>
            <w:pPr>
              <w:pStyle w:val="null3"/>
              <w:ind w:firstLine="420"/>
              <w:jc w:val="left"/>
            </w:pPr>
            <w:r>
              <w:rPr>
                <w:sz w:val="21"/>
                <w:color w:val="000000"/>
              </w:rPr>
              <w:t>11.转码输出：支持将接入的原始视频流以GB28181协议输出；支持将原始视频流叠加智能分析框后，以GB28181协议输出。</w:t>
            </w:r>
          </w:p>
          <w:p>
            <w:pPr>
              <w:pStyle w:val="null3"/>
              <w:ind w:firstLine="420"/>
              <w:jc w:val="left"/>
            </w:pPr>
            <w:r>
              <w:rPr>
                <w:sz w:val="21"/>
                <w:color w:val="000000"/>
              </w:rPr>
              <w:t>12.USB 200K高清摄像头。</w:t>
            </w:r>
          </w:p>
          <w:p>
            <w:pPr>
              <w:pStyle w:val="null3"/>
              <w:ind w:firstLine="420"/>
              <w:jc w:val="left"/>
            </w:pPr>
            <w:r>
              <w:rPr>
                <w:sz w:val="21"/>
                <w:color w:val="000000"/>
              </w:rPr>
              <w:t>13.国产TPU。</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文化建设广告牌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color w:val="000000"/>
              </w:rPr>
              <w:t>铝合金微晶镜框，防晒玻璃面，磁铁吸引固定，</w:t>
            </w:r>
            <w:r>
              <w:rPr>
                <w:sz w:val="21"/>
                <w:color w:val="000000"/>
              </w:rPr>
              <w:t>≥80*100cm</w:t>
            </w:r>
            <w:r>
              <w:rPr>
                <w:sz w:val="21"/>
                <w:color w:val="000000"/>
              </w:rPr>
              <w:t>（</w:t>
            </w:r>
            <w:r>
              <w:rPr>
                <w:sz w:val="21"/>
                <w:color w:val="000000"/>
              </w:rPr>
              <w:t>宽</w:t>
            </w:r>
            <w:r>
              <w:rPr>
                <w:sz w:val="21"/>
                <w:color w:val="000000"/>
              </w:rPr>
              <w:t>X高</w:t>
            </w:r>
            <w:r>
              <w:rPr>
                <w:sz w:val="21"/>
                <w:color w:val="000000"/>
              </w:rPr>
              <w:t>）</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outlineLvl w:val="1"/>
      </w:pPr>
      <w:r>
        <w:rPr>
          <w:sz w:val="36"/>
          <w:b/>
        </w:rPr>
        <w:t>第三章 供应商须知</w:t>
      </w:r>
    </w:p>
    <w:p>
      <w:pPr>
        <w:pStyle w:val="null3"/>
        <w:ind w:firstLine="480"/>
      </w:pPr>
      <w:r>
        <w:rPr/>
        <w:t xml:space="preserve"> 供应商必须认真阅读谈判文件中所有的事项、格式、条款和采购需求等。供应商没有按照谈判文件要求提交全部资料，或者响应文件没有对谈判文件在各方面都做出实质性响应的可能导致其响应无效或被拒绝。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1.采购代理机构：本项目是指广东志正招标有限公司，负责整个采购活动的组织，依法负责编制和发布谈判文件，对谈判文件拥有最终的解释权，不以任何身份出任谈判小组成员。</w:t>
      </w:r>
    </w:p>
    <w:p>
      <w:pPr>
        <w:pStyle w:val="null3"/>
        <w:ind w:firstLine="480"/>
      </w:pPr>
      <w:r>
        <w:rPr/>
        <w:t xml:space="preserve"> 2.采购人：本项目是指</w:t>
      </w:r>
      <w:r>
        <w:rPr/>
        <w:t>河源职业技术学院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4.“谈判小组”是指根据《中华人民共和国政府采购法》等法律法规规定，由采购人代表和有关专家组成以确定成交供应商或者推荐成交候选供应商的临时组织。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5.“成交供应商”是指经谈判小组评审确定的对谈判文件做出实质性响应，经采购人按照规定在谈判小组推荐的成交候选供应商中确定的或谈判小组受采购人委托直接确认的供应商。</w:t>
      </w:r>
    </w:p>
    <w:p>
      <w:pPr>
        <w:pStyle w:val="null3"/>
        <w:ind w:firstLine="480"/>
      </w:pPr>
      <w:r>
        <w:rPr/>
        <w:t>6.谈判文件：是指包括谈判公告和谈判文件及其补充、变更和澄清等一系列文件。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本表与谈判文件对应章节的内容若不一致，以本表为准。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采购包1：最低评标价法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jc w:val="left"/>
            </w:pPr>
            <w:r>
              <w:rPr/>
              <w:t>采购包1：3家</w:t>
            </w:r>
          </w:p>
          <w:p>
            <w:pPr>
              <w:pStyle w:val="null3"/>
              <w:ind w:firstLine="480"/>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14</w:t>
            </w:r>
          </w:p>
        </w:tc>
        <w:tc>
          <w:tcPr>
            <w:tcW w:type="dxa" w:w="2252"/>
          </w:tcPr>
          <w:p>
            <w:pPr>
              <w:pStyle w:val="null3"/>
            </w:pPr>
            <w:r>
              <w:rPr/>
              <w:t xml:space="preserve"> 兼投不兼中（兼投不兼中）规则</w:t>
            </w:r>
          </w:p>
        </w:tc>
        <w:tc>
          <w:tcPr>
            <w:tcW w:type="dxa" w:w="5004"/>
          </w:tcPr>
          <w:p>
            <w:pPr>
              <w:pStyle w:val="null3"/>
            </w:pPr>
            <w:r>
              <w:rPr/>
              <w:t>无：-</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采购机构代理服务收费标准：成交供应商须向采购代理机构按如下标准和规定缴纳代理服务费：（1）以项目预算金额作为代理服务费的计算基数；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便利化措施，1. 各供应商可以通过“中国邮政”、“EMS”、“顺丰快递”等快递方式，按照采购文件要求在规定的提交响应文件截止时间前将《响应文件》（如有）及相关U盘（如有）送达到开标地点，快递单上应清晰写明如下信息： 1）收件地址：广州市天河区龙怡路117号银汇大厦5楼 2）收件人：广东志正招标有限公司前台 3）注明采购项目编号。 2. 通过快递方式递交《响应文件》（如有）及相关U盘（如有）的，递交时间为送达我司由我司前台人员签收的时间，请供应商预留邮寄所需的时间。建议供应商在邮递之后，主动在提交响应文件截止时间前及时与我司联系，核实投标文件是否在规定的时间内送达。 3. 通过快递方式递交《响应文件》（如有）及相关U盘（如有）的，寄错地址、逾期送达、未按照采购文件要求密封或者邮寄过程导致包装密封出现破损的，我司将拒绝接收，由供应商自行承担相应责任与后果，我司不承担责任。</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谈判文件依据《中华人民共和国政府采购法》、《中华人民共和国政府采购法实施条例》（国务院令第658号）和《政府采购非招标采购方式管理办法》（财政部令第74号）及国家和广东省有关法律、法规、规章制度编制。</w:t>
      </w:r>
    </w:p>
    <w:p>
      <w:pPr>
        <w:pStyle w:val="null3"/>
        <w:ind w:firstLine="480"/>
      </w:pPr>
      <w:r>
        <w:rPr/>
        <w:t xml:space="preserve"> 供应商应仔细阅读本项目信息公告及谈判文件的所有内容（包括变更、补充、澄清以及修改等，且均为谈判文件的组成部分），按照谈判文件要求以及格式编制响应文件，并保证其真实性，否则一切后果自负。</w:t>
      </w:r>
    </w:p>
    <w:p>
      <w:pPr>
        <w:pStyle w:val="null3"/>
        <w:ind w:firstLine="480"/>
      </w:pPr>
      <w:r>
        <w:rPr/>
        <w:t>本次竞争性谈判项目，是以谈判公告的方式邀请非特定的供应商参加谈判。</w:t>
      </w:r>
    </w:p>
    <w:p>
      <w:pPr>
        <w:pStyle w:val="null3"/>
        <w:outlineLvl w:val="3"/>
      </w:pPr>
      <w:r>
        <w:rPr>
          <w:sz w:val="24"/>
          <w:b/>
        </w:rPr>
        <w:t>2.适用范围</w:t>
      </w:r>
    </w:p>
    <w:p>
      <w:pPr>
        <w:pStyle w:val="null3"/>
        <w:ind w:firstLine="480"/>
      </w:pPr>
      <w:r>
        <w:rPr/>
        <w:t>本谈判文件仅适用于本次谈判公告中所涉及的项目和内容。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4.谈判的费用</w:t>
      </w:r>
    </w:p>
    <w:p>
      <w:pPr>
        <w:pStyle w:val="null3"/>
        <w:ind w:firstLine="480"/>
      </w:pPr>
      <w:r>
        <w:rPr/>
        <w:t>不论谈判结果如何，供应商应承担所有与准备和参加谈判有关的费用。采购代理机构和采购人均无义务和责任承担相关费用。</w:t>
      </w:r>
    </w:p>
    <w:p>
      <w:pPr>
        <w:pStyle w:val="null3"/>
        <w:outlineLvl w:val="3"/>
      </w:pPr>
      <w:r>
        <w:rPr>
          <w:sz w:val="24"/>
          <w:b/>
        </w:rPr>
        <w:t>5.以联合体形式参加谈判的，应符合以下规定：</w:t>
      </w:r>
    </w:p>
    <w:p>
      <w:pPr>
        <w:pStyle w:val="null3"/>
        <w:ind w:firstLine="480"/>
      </w:pPr>
      <w:r>
        <w:rPr/>
        <w:t>5.1 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 联合体成员存在不良信用记录的，视同联合体存在不良信用记录。</w:t>
      </w:r>
    </w:p>
    <w:p>
      <w:pPr>
        <w:pStyle w:val="null3"/>
        <w:ind w:firstLine="480"/>
      </w:pPr>
      <w:r>
        <w:rP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 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6.1 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8.1供应商不得相互串通响应报价，不得妨碍其他供应商的公平竞争，不得损害采购人或其他供应商的合法权益，供应商不得以向采购人、谈判小组成员行贿或者采取其他不正当手段谋取成交。</w:t>
      </w:r>
    </w:p>
    <w:p>
      <w:pPr>
        <w:pStyle w:val="null3"/>
        <w:ind w:firstLine="480"/>
      </w:pPr>
      <w:r>
        <w:rPr/>
        <w:t>8.2供应商不得与采购人就响应价格、响应方案等实质性内容进行谈判，也不得私下接触谈判小组成员。</w:t>
      </w:r>
    </w:p>
    <w:p>
      <w:pPr>
        <w:pStyle w:val="null3"/>
        <w:ind w:firstLine="480"/>
      </w:pPr>
      <w:r>
        <w:rPr/>
        <w:t>8.3在确定成交人之前，供应商试图在响应文件审查、澄清、比较和评价时对谈判小组、采购人和采购代理机构施加任何影响都可能导致其响应无效。</w:t>
      </w:r>
    </w:p>
    <w:p>
      <w:pPr>
        <w:pStyle w:val="null3"/>
        <w:ind w:firstLine="480"/>
      </w:pPr>
      <w:r>
        <w:rPr/>
        <w:t>8.4获得本谈判文件者，须履行本谈判项目下保密义务，不得将因本次谈判获得的信息向第三人外传，不得将谈判文件用作本次响应以外的任何用途。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8.6采购人或采购代理机构有权将供应商提供的所有资料向有关政府部门或谈判小组披露。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9.2除非谈判文件的技术规格中另有规定，供应商在响应文件中及其与采购人和采购代理机构的所有往来文件中的计量单位均应采用中华人民共和国法定计量单位。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10.1谈判文件规定组织踏勘现场的，采购人按谈判文件规定的时间、地点组织供应商踏勘项目现场。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10.3采购人在踏勘现场中介绍的资料和数据等，不构成对谈判文件的修改或不作为供应商编制响应文件的依据。</w:t>
      </w:r>
    </w:p>
    <w:p>
      <w:pPr>
        <w:pStyle w:val="null3"/>
        <w:outlineLvl w:val="2"/>
      </w:pPr>
      <w:r>
        <w:rPr>
          <w:sz w:val="28"/>
          <w:b/>
        </w:rPr>
        <w:t>四、谈判文件的澄清和修改</w:t>
      </w:r>
    </w:p>
    <w:p>
      <w:pPr>
        <w:pStyle w:val="null3"/>
        <w:ind w:firstLine="480"/>
      </w:pPr>
      <w:r>
        <w:rPr/>
        <w:t xml:space="preserve"> 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pStyle w:val="null3"/>
        <w:ind w:firstLine="480"/>
      </w:pPr>
      <w:r>
        <w:rPr/>
        <w:t xml:space="preserve"> 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pStyle w:val="null3"/>
        <w:ind w:firstLine="480"/>
      </w:pPr>
      <w:r>
        <w:rPr/>
        <w:t>3.如更正公告有重新发布电子谈判文件的，供应商应登录云平台项目采购系统下载最新发布的电子谈判文件制作响应文件。</w:t>
      </w:r>
    </w:p>
    <w:p>
      <w:pPr>
        <w:pStyle w:val="null3"/>
        <w:ind w:firstLine="480"/>
      </w:pPr>
      <w:r>
        <w:rPr/>
        <w:t xml:space="preserve"> 4.供应商在规定的时间内未对谈判文件提出疑问、质疑或要求澄清的，将视其为无异议。对谈判文件中描述有歧义或前后不一致的地方，谈判小组有权进行评判，但对同一条款的评判应适用于每个供应商。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2.5供应商须对谈判文件的对应要求给予唯一的实质性响应，否则将视为不响应。</w:t>
      </w:r>
    </w:p>
    <w:p>
      <w:pPr>
        <w:pStyle w:val="null3"/>
        <w:ind w:firstLine="480"/>
      </w:pPr>
      <w:r>
        <w:rPr/>
        <w:t>2.6谈判文件中，凡标有“★”的地方均为实质性响应条款，供应商若有一项带“★”的条款未响应或不满足，将按无效响应处理。</w:t>
      </w:r>
    </w:p>
    <w:p>
      <w:pPr>
        <w:pStyle w:val="null3"/>
        <w:ind w:firstLine="480"/>
      </w:pPr>
      <w:r>
        <w:rPr/>
        <w:t xml:space="preserve"> 2.7供应商必须按谈判文件指定的格式填写各种报价，各报价应计算正确。除在谈判文件另有规定外（如：报折扣、报优惠率等），计量单位应使用中华人民共和国法定计量单位，以人民币填报所有报价。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，到账情况以谈判时</w:t>
      </w:r>
      <w:r>
        <w:rPr/>
        <w:t>广东志正招标有限公司</w:t>
      </w:r>
      <w:r>
        <w:rPr/>
        <w:t>查询的信息为准。</w:t>
      </w:r>
    </w:p>
    <w:p>
      <w:pPr>
        <w:pStyle w:val="null3"/>
        <w:ind w:firstLine="480"/>
      </w:pPr>
      <w:r>
        <w:rPr/>
        <w:t xml:space="preserve"> 如采用金融机构、专业担保机构开具的投标（响应）担保函、投标（响应）保证保险函等形式提交响应保证金的，投标（响应）担保函或投标（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（2）供应商在谈判文件规定的响应有效期内撤销其响应；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（5）法律法规和谈判文件规定的其他情形。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8.1谈判文件规定供应商提交样品的，样品属于响应文件的组成部分。样品的生产、运输、安装、保全等一切费用由供应商自理。</w:t>
      </w:r>
    </w:p>
    <w:p>
      <w:pPr>
        <w:pStyle w:val="null3"/>
        <w:ind w:firstLine="480"/>
      </w:pPr>
      <w:r>
        <w:rPr/>
        <w:t>8.2响应截止时间前，供应商应将样品送达至指定地点。若需要现场演示的，供应商应提前做好演示准备（包括演示设备）。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9除谈判文件另有规定外，有下列情形之一的，响应无效：</w:t>
      </w:r>
    </w:p>
    <w:p>
      <w:pPr>
        <w:pStyle w:val="null3"/>
        <w:ind w:firstLine="480"/>
      </w:pPr>
      <w:r>
        <w:rPr/>
        <w:t>9.1响应文件未按照谈判文件要求签署、盖章；</w:t>
      </w:r>
    </w:p>
    <w:p>
      <w:pPr>
        <w:pStyle w:val="null3"/>
        <w:ind w:firstLine="480"/>
      </w:pPr>
      <w:r>
        <w:rPr/>
        <w:t>9.2不符合谈判文件中规定的资格要求；</w:t>
      </w:r>
    </w:p>
    <w:p>
      <w:pPr>
        <w:pStyle w:val="null3"/>
        <w:ind w:firstLine="480"/>
      </w:pPr>
      <w:r>
        <w:rPr/>
        <w:t>9.3响应报价超过谈判文件中规定的预算金额或最高限价；</w:t>
      </w:r>
    </w:p>
    <w:p>
      <w:pPr>
        <w:pStyle w:val="null3"/>
        <w:ind w:firstLine="480"/>
      </w:pPr>
      <w:r>
        <w:rPr/>
        <w:t>9.4响应文件含有采购人不能接受的附加条件；</w:t>
      </w:r>
    </w:p>
    <w:p>
      <w:pPr>
        <w:pStyle w:val="null3"/>
        <w:ind w:firstLine="480"/>
      </w:pPr>
      <w:r>
        <w:rPr/>
        <w:t>9.5有关法律、法规和规章及谈判文件规定的其他无效情形。</w:t>
      </w:r>
    </w:p>
    <w:p>
      <w:pPr>
        <w:pStyle w:val="null3"/>
        <w:outlineLvl w:val="2"/>
      </w:pPr>
      <w:r>
        <w:rPr>
          <w:sz w:val="28"/>
          <w:b/>
        </w:rPr>
        <w:t>六、谈判、评审和结果确认</w:t>
      </w:r>
    </w:p>
    <w:p>
      <w:pPr>
        <w:pStyle w:val="null3"/>
        <w:outlineLvl w:val="3"/>
      </w:pPr>
      <w:r>
        <w:rPr>
          <w:sz w:val="24"/>
          <w:b/>
        </w:rPr>
        <w:t>1. 响应文件的开启</w:t>
      </w:r>
    </w:p>
    <w:p>
      <w:pPr>
        <w:pStyle w:val="null3"/>
        <w:ind w:firstLine="480"/>
      </w:pPr>
      <w:r>
        <w:rPr/>
        <w:t>1.1 开启程序</w:t>
      </w:r>
    </w:p>
    <w:p>
      <w:pPr>
        <w:pStyle w:val="null3"/>
        <w:ind w:firstLine="480"/>
      </w:pPr>
      <w:r>
        <w:rPr/>
        <w:t>工作人员按谈判公告规定的时间进行开启，由采购人或者采购代理机构工作人员宣布供应商名称、解密情况和谈判文件规定的需要宣布的其他内容。开启分为现场电子开启和远程电子开启两种。</w:t>
      </w:r>
    </w:p>
    <w:p>
      <w:pPr>
        <w:pStyle w:val="null3"/>
        <w:ind w:firstLine="480"/>
      </w:pPr>
      <w:r>
        <w:rPr/>
        <w:t xml:space="preserve"> 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上以公告的形式发布成交结果，结果公告的公告期限为1个工作日。结果公告同时作为采购代理机构通知除成交供应商外的其他供应商没有成交的书面形式，采购代理机构不再以其它方式另行通知。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终止谈判采购活动后，采购人或采购代理机构将在中国政府采购网(www.ccgp.gov.cn)、广东省政府采购网(https://gdgpo.czt.gd.gov.cn/)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(1)对谈判文件提出质疑的，为获取谈判文件之日或者谈判文件公告期限届满之日；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(3)认为谈判文件、采购过程、成交结果使自己的合法权益受到损害的法律依据、事实依据、相关证明材料及证据来源；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政府采购监督管理机构名称：河源市财政局政府采购监管科</w:t>
      </w:r>
    </w:p>
    <w:p>
      <w:pPr>
        <w:pStyle w:val="null3"/>
      </w:pPr>
      <w:r>
        <w:rPr/>
        <w:t>地 址：河源市源城区益民街8号</w:t>
      </w:r>
    </w:p>
    <w:p>
      <w:pPr>
        <w:pStyle w:val="null3"/>
      </w:pPr>
      <w:r>
        <w:rPr/>
        <w:t>电 话：0762－3388372</w:t>
      </w:r>
    </w:p>
    <w:p>
      <w:pPr>
        <w:pStyle w:val="null3"/>
      </w:pPr>
      <w:r>
        <w:rPr/>
        <w:t>邮 编：517000</w:t>
      </w:r>
    </w:p>
    <w:p>
      <w:pPr>
        <w:pStyle w:val="null3"/>
      </w:pPr>
      <w:r>
        <w:rPr/>
        <w:t>传 真：</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1.2采购人不得提出试用合格等任何不合理的要求作为签订合同的条件，且不得与成交人私下订立背离合同实质性内容的协议。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采购包1(2024年河源职业技术学院云计算技术与应用实践基地升级改造项目)：最低价评审价法,是指响应文件满足谈判文件全部实质性要求，且谈判报价最低的供应商为成交候选人的评审方法。</w:t>
      </w:r>
    </w:p>
    <w:p>
      <w:pPr>
        <w:pStyle w:val="null3"/>
        <w:outlineLvl w:val="3"/>
      </w:pPr>
      <w:r>
        <w:rPr>
          <w:sz w:val="24"/>
          <w:b/>
        </w:rPr>
        <w:t>2.评审原则</w:t>
      </w:r>
    </w:p>
    <w:p>
      <w:pPr>
        <w:pStyle w:val="null3"/>
        <w:ind w:firstLine="480"/>
      </w:pPr>
      <w:r>
        <w:rPr/>
        <w:t>2.1评审活动遵循公平、公正、科学和择优的原则，以谈判文件和响应文件为评审的基本依据，并按照谈判文件规定的评审方法和评审标准进行评审。</w:t>
      </w:r>
    </w:p>
    <w:p>
      <w:pPr>
        <w:pStyle w:val="null3"/>
        <w:ind w:firstLine="480"/>
      </w:pPr>
      <w:r>
        <w:rPr/>
        <w:t xml:space="preserve"> 2.2具体评审事项由谈判小组负责，并按谈判文件的规定办法进行评审。对谈判文件中描述有歧义或前后不一致的地方，谈判小组有权按法律法规的规定进行评判，但对同一条款的评判应适用于每个响应供应商。</w:t>
      </w:r>
    </w:p>
    <w:p>
      <w:pPr>
        <w:pStyle w:val="null3"/>
        <w:outlineLvl w:val="3"/>
      </w:pPr>
      <w:r>
        <w:rPr>
          <w:sz w:val="24"/>
          <w:b/>
        </w:rPr>
        <w:t>3.谈判小组</w:t>
      </w:r>
    </w:p>
    <w:p>
      <w:pPr>
        <w:pStyle w:val="null3"/>
        <w:ind w:firstLine="480"/>
      </w:pPr>
      <w:r>
        <w:rPr/>
        <w:t>3.1谈判小组由采购人代表和评审专家组成，成员人数应当为3人及以上单数，其中技术、经济等方面的评审专家不得少于成员总数的三分之二</w:t>
      </w:r>
    </w:p>
    <w:p>
      <w:pPr>
        <w:pStyle w:val="null3"/>
        <w:ind w:firstLine="480"/>
      </w:pPr>
      <w:r>
        <w:rPr/>
        <w:t>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（4）全体评委应按照谈判文件规定进行评审，一切认定事项应查有实据且不得弄虚作假。</w:t>
      </w:r>
    </w:p>
    <w:p>
      <w:pPr>
        <w:pStyle w:val="null3"/>
        <w:ind w:firstLine="480"/>
      </w:pPr>
      <w:r>
        <w:rPr/>
        <w:t>（5）谈判小组各成员应当独立对每个响应供应商的响应文件进行评价，并对评价意见承担个人责任。评审过程中，不得发表倾向性言论。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4.4不同供应商的响应文件异常一致或者谈判报价呈规律性差异；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说明：在评审过程中发现供应商有上述情形的，谈判小组应当认定其响应无效，并书面报告本级财政部门。同时，项目评审时被认定为串通响应的供应商不得参加该合同项下的采购活动。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详见资格性审查、符合性审查和谈判文件其他响应无效条款。</w:t>
      </w:r>
    </w:p>
    <w:p>
      <w:pPr>
        <w:pStyle w:val="null3"/>
        <w:outlineLvl w:val="3"/>
      </w:pPr>
      <w:r>
        <w:rPr>
          <w:sz w:val="24"/>
          <w:b/>
        </w:rPr>
        <w:t>7.终止竞争性谈判采购活动的情形</w:t>
      </w:r>
    </w:p>
    <w:p>
      <w:pPr>
        <w:pStyle w:val="null3"/>
        <w:ind w:firstLine="480"/>
      </w:pPr>
      <w:r>
        <w:rPr/>
        <w:t>出现下列情形之一的，采购人或者采购代理机构应当终止竞争性谈判采购活动，发布项目终止公告并说明原因，重新开展采购活动：</w:t>
      </w:r>
    </w:p>
    <w:p>
      <w:pPr>
        <w:pStyle w:val="null3"/>
        <w:ind w:firstLine="480"/>
      </w:pPr>
      <w:r>
        <w:rPr/>
        <w:t>（1）因情况变化，不再符合规定的竞争性谈判采购方式适用情形的；</w:t>
      </w:r>
    </w:p>
    <w:p>
      <w:pPr>
        <w:pStyle w:val="null3"/>
        <w:ind w:firstLine="480"/>
      </w:pPr>
      <w:r>
        <w:rPr/>
        <w:t>（2）出现影响采购公正的违法、违规行为的；</w:t>
      </w:r>
    </w:p>
    <w:p>
      <w:pPr>
        <w:pStyle w:val="null3"/>
        <w:ind w:firstLine="480"/>
      </w:pPr>
      <w:r>
        <w:rPr/>
        <w:t>（3）在采购过程中符合谈判要求的供应商或者报价未超过采购预算的供应商不足3家的，但经财政部门批准的情形除外；</w:t>
      </w:r>
    </w:p>
    <w:p>
      <w:pPr>
        <w:pStyle w:val="null3"/>
        <w:ind w:firstLine="480"/>
      </w:pPr>
      <w:r>
        <w:rPr/>
        <w:t>（4）法律、法规以及谈判文件规定其他情形。</w:t>
      </w:r>
    </w:p>
    <w:p>
      <w:pPr>
        <w:pStyle w:val="null3"/>
        <w:outlineLvl w:val="3"/>
      </w:pPr>
      <w:r>
        <w:rPr>
          <w:sz w:val="24"/>
          <w:b/>
        </w:rPr>
        <w:t>8.确定成交供应商</w:t>
      </w:r>
    </w:p>
    <w:p>
      <w:pPr>
        <w:pStyle w:val="null3"/>
        <w:ind w:firstLine="480"/>
      </w:pPr>
      <w:r>
        <w:rPr/>
        <w:t>谈判小组按照谈判文件确定的评审方法、步骤、标准，对响应文件进行评审。评审结束后，对供应商的评审名次进行排序，确定成交供应商或者推荐成交候选供应商。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（1）响应文件中首轮报价表内容与响应文件中相应内容不一致的，以首轮报价表为准；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采购包1（2024年河源职业技术学院云计算技术与应用实践基地升级改造项目）：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a)供应商投标产品全部为小型或微型企业产品时，报价给予K1的价格扣除（K1的取值为10%），即：评标价＝修正后的报价*（1-K1）；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c)参加政府采购活动的中小企业应当提供《中小企业声明函》，符合残疾人福利性单位认定条件的，应当提供《残疾人福利性单位声明函》；监狱企业提供监狱企业的证明文件。 e)监狱企业、残疾人福利性单位视同小型、微型企业，享受以上价格扣除政策。 f)监狱企业、残疾人福利性单位本身属于小型、微型企业的，不重复享受政策。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1.1.资格性审查和符合性审查</w:t>
      </w:r>
      <w:r>
        <w:rPr/>
        <w:t>　　</w:t>
      </w:r>
    </w:p>
    <w:p>
      <w:pPr>
        <w:pStyle w:val="null3"/>
        <w:ind w:firstLine="480"/>
      </w:pPr>
      <w:r>
        <w:rPr/>
        <w:t xml:space="preserve"> 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pStyle w:val="null3"/>
        <w:ind w:firstLine="480"/>
      </w:pPr>
      <w:r>
        <w:rPr/>
        <w:t>谈判小组对各报价供应商进行资格性和符合性审查过程中，对初步被认定为初审不合格或无效报价者应实行及时告知，由谈判小组组长或采购人代表将集体意见及时告知报价当事人。</w:t>
      </w:r>
    </w:p>
    <w:p>
      <w:pPr>
        <w:pStyle w:val="null3"/>
        <w:ind w:firstLine="480"/>
      </w:pPr>
      <w:r>
        <w:rPr/>
        <w:t>表一资格性审查表：</w:t>
      </w:r>
    </w:p>
    <w:p>
      <w:pPr>
        <w:pStyle w:val="null3"/>
      </w:pPr>
      <w:r>
        <w:rPr/>
        <w:t>采购包1（2024年河源职业技术学院云计算技术与应用实践基地升级改造项目）：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提供《资格条件承诺函》（详见附件格式）或提供响应文件提交截止日前6个月内任意1个月依法缴纳税收和社会保障资金的相关材料。如依法免税或不需要缴纳社会保障资金的，提供相应证明材料。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提供《资格条件承诺函》（详见附件格式）或提供2024年年度财务状况报告或响应文件提交截止日前6个月内任意1个月的财务报表或基本开户行出具的资信证明。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提供《资格条件承诺函》（详见附件格式）。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详见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ind w:firstLine="480"/>
      </w:pPr>
      <w:r>
        <w:rPr/>
        <w:t>表二符合性审查表：</w:t>
      </w:r>
    </w:p>
    <w:p>
      <w:pPr>
        <w:pStyle w:val="null3"/>
      </w:pPr>
      <w:r>
        <w:rPr/>
        <w:t>采购包1（2024年河源职业技术学院云计算技术与应用实践基地升级改造项目）：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符合报价有效期</w:t>
            </w:r>
          </w:p>
        </w:tc>
        <w:tc>
          <w:tcPr>
            <w:tcW w:type="dxa" w:w="4238"/>
          </w:tcPr>
          <w:p>
            <w:pPr>
              <w:pStyle w:val="null3"/>
            </w:pPr>
            <w:r>
              <w:rPr/>
              <w:t>符合报价有效期</w:t>
            </w:r>
          </w:p>
        </w:tc>
      </w:tr>
      <w:tr>
        <w:tc>
          <w:tcPr>
            <w:tcW w:type="dxa" w:w="890"/>
          </w:tcPr>
          <w:p>
            <w:pPr>
              <w:pStyle w:val="null3"/>
            </w:pPr>
            <w:r>
              <w:rPr/>
              <w:t>2</w:t>
            </w:r>
          </w:p>
        </w:tc>
        <w:tc>
          <w:tcPr>
            <w:tcW w:type="dxa" w:w="3178"/>
          </w:tcPr>
          <w:p>
            <w:pPr>
              <w:pStyle w:val="null3"/>
            </w:pPr>
            <w:r>
              <w:rPr/>
              <w:t>响应文件签署、盖章合格</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最终报价未超过本项目最高限价（或超出了最高限价，采购人仍能接受）</w:t>
            </w:r>
          </w:p>
        </w:tc>
        <w:tc>
          <w:tcPr>
            <w:tcW w:type="dxa" w:w="4238"/>
          </w:tcPr>
          <w:p>
            <w:pPr>
              <w:pStyle w:val="null3"/>
            </w:pPr>
            <w:r>
              <w:rPr/>
              <w:t>最终报价未超过本项目最高限价（或超出了最高限价，采购人仍能接受）</w:t>
            </w:r>
          </w:p>
        </w:tc>
      </w:tr>
      <w:tr>
        <w:tc>
          <w:tcPr>
            <w:tcW w:type="dxa" w:w="890"/>
          </w:tcPr>
          <w:p>
            <w:pPr>
              <w:pStyle w:val="null3"/>
            </w:pPr>
            <w:r>
              <w:rPr/>
              <w:t>4</w:t>
            </w:r>
          </w:p>
        </w:tc>
        <w:tc>
          <w:tcPr>
            <w:tcW w:type="dxa" w:w="3178"/>
          </w:tcPr>
          <w:p>
            <w:pPr>
              <w:pStyle w:val="null3"/>
            </w:pPr>
            <w:r>
              <w:rPr/>
              <w:t>完全满足谈判文件中“★”标注的条款 （若谈判文件发生实质性变动的，本条将针对供应商重新提交的响应文件进行评审）</w:t>
            </w:r>
          </w:p>
        </w:tc>
        <w:tc>
          <w:tcPr>
            <w:tcW w:type="dxa" w:w="4238"/>
          </w:tcPr>
          <w:p>
            <w:pPr>
              <w:pStyle w:val="null3"/>
            </w:pPr>
            <w:r>
              <w:rPr/>
              <w:t>完全满足谈判文件中“★”标注的条款 （若谈判文件发生实质性变动的，本条将针对供应商重新提交的响应文件进行评审）</w:t>
            </w:r>
          </w:p>
        </w:tc>
      </w:tr>
      <w:tr>
        <w:tc>
          <w:tcPr>
            <w:tcW w:type="dxa" w:w="890"/>
          </w:tcPr>
          <w:p>
            <w:pPr>
              <w:pStyle w:val="null3"/>
            </w:pPr>
            <w:r>
              <w:rPr/>
              <w:t>5</w:t>
            </w:r>
          </w:p>
        </w:tc>
        <w:tc>
          <w:tcPr>
            <w:tcW w:type="dxa" w:w="3178"/>
          </w:tcPr>
          <w:p>
            <w:pPr>
              <w:pStyle w:val="null3"/>
            </w:pPr>
            <w:r>
              <w:rPr/>
              <w:t>未出现有关法律、法规、规章或谈判文件规定的属于无效报价的情形</w:t>
            </w:r>
          </w:p>
        </w:tc>
        <w:tc>
          <w:tcPr>
            <w:tcW w:type="dxa" w:w="4238"/>
          </w:tcPr>
          <w:p>
            <w:pPr>
              <w:pStyle w:val="null3"/>
            </w:pPr>
            <w:r>
              <w:rPr/>
              <w:t>未出现有关法律、法规、规章或谈判文件规定的属于无效报价的情形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谈判小组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2.2谈判小组不接受供应商主动提出的澄清、说明或补正。</w:t>
      </w:r>
    </w:p>
    <w:p>
      <w:pPr>
        <w:pStyle w:val="null3"/>
        <w:ind w:firstLine="480"/>
      </w:pPr>
      <w:r>
        <w:rPr/>
        <w:t>2.3谈判小组对供应商提交的澄清、说明或补正有疑问的，可以要求供应商进一步澄清、说明或补正。</w:t>
      </w:r>
    </w:p>
    <w:p>
      <w:pPr>
        <w:pStyle w:val="null3"/>
        <w:outlineLvl w:val="3"/>
      </w:pPr>
      <w:r>
        <w:rPr>
          <w:sz w:val="24"/>
          <w:b/>
        </w:rPr>
        <w:t>3.谈判</w:t>
      </w:r>
    </w:p>
    <w:p>
      <w:pPr>
        <w:pStyle w:val="null3"/>
        <w:ind w:firstLine="480"/>
      </w:pPr>
      <w:r>
        <w:rPr/>
        <w:t>3.1谈判小组所有成员应当集中与单一供应商分别进行谈判，并给予所有参加谈判的供应商平等的谈判机会。</w:t>
      </w:r>
    </w:p>
    <w:p>
      <w:pPr>
        <w:pStyle w:val="null3"/>
        <w:ind w:firstLine="480"/>
      </w:pPr>
      <w:r>
        <w:rPr/>
        <w:t>3.2在谈判过程中，谈判小组可以根据谈判文件和谈判情况实质性变动采购需求中的技术、服务要求以及合同草案条款，但不得变动谈判文件中的其他内容。实质性变动的内容，须经采购人代表确认。</w:t>
      </w:r>
    </w:p>
    <w:p>
      <w:pPr>
        <w:pStyle w:val="null3"/>
        <w:ind w:firstLine="480"/>
      </w:pPr>
      <w:r>
        <w:rPr/>
        <w:t>3.3对谈判文件作出的实质性变动是谈判文件的有效组成部分，谈判小组应当及时、同时通知所有参加谈判的供应商。</w:t>
      </w:r>
    </w:p>
    <w:p>
      <w:pPr>
        <w:pStyle w:val="null3"/>
        <w:ind w:firstLine="480"/>
      </w:pPr>
      <w:r>
        <w:rPr/>
        <w:t xml:space="preserve"> 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4.1谈判结束后，谈判小组应当要求所有实质性响应的供应商在规定时间内提交最后报价。最后报价是供应商响应文件的有效组成部分。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4.2已提交响应文件的供应商，在提交最后报价之前，可以根据谈判情况退出谈判。</w:t>
      </w:r>
    </w:p>
    <w:p>
      <w:pPr>
        <w:pStyle w:val="null3"/>
        <w:outlineLvl w:val="3"/>
      </w:pPr>
      <w:r>
        <w:rPr>
          <w:sz w:val="24"/>
          <w:b/>
        </w:rPr>
        <w:t>5.详细评审</w:t>
      </w:r>
    </w:p>
    <w:p>
      <w:pPr>
        <w:pStyle w:val="null3"/>
        <w:ind w:firstLine="480"/>
      </w:pPr>
      <w:r>
        <w:rPr/>
        <w:t>采用最低评审价法对供应商的响应文件和最后报价进行评审。</w:t>
      </w:r>
    </w:p>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(1)评审期间，供应商没有按照谈判小组的要求提交法定代表人或其委托代理人签字的澄清、说明、补正或改变了响应文件的实质性内容的。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(4)供应商对采购人、采购代理机构、谈判小组及其工作人员施加影响，有碍协商公平、公正的。</w:t>
      </w:r>
    </w:p>
    <w:p>
      <w:pPr>
        <w:pStyle w:val="null3"/>
        <w:ind w:firstLine="480"/>
      </w:pPr>
      <w:r>
        <w:rPr/>
        <w:t>(5)响应文件含有采购人不能接受的附加条件的。</w:t>
      </w:r>
    </w:p>
    <w:p>
      <w:pPr>
        <w:pStyle w:val="null3"/>
        <w:ind w:firstLine="480"/>
      </w:pPr>
      <w:r>
        <w:rPr/>
        <w:t>(6)法律、法规和谈判文件规定的其他无效情形。</w:t>
      </w:r>
    </w:p>
    <w:p>
      <w:pPr>
        <w:pStyle w:val="null3"/>
      </w:pPr>
      <w:r>
        <w:rPr/>
        <w:t xml:space="preserve">  </w:t>
      </w:r>
    </w:p>
    <w:p>
      <w:pPr>
        <w:pStyle w:val="null3"/>
        <w:outlineLvl w:val="1"/>
      </w:pPr>
      <w:r>
        <w:rPr>
          <w:sz w:val="36"/>
          <w:b/>
        </w:rPr>
        <w:t>第五章 合同文本</w:t>
      </w:r>
    </w:p>
    <w:p>
      <w:pPr>
        <w:pStyle w:val="null3"/>
      </w:pPr>
      <w:r>
        <w:rPr>
          <w:b/>
        </w:rPr>
        <w:t xml:space="preserve"> </w:t>
      </w:r>
    </w:p>
    <w:p>
      <w:pPr>
        <w:pStyle w:val="null3"/>
        <w:jc w:val="center"/>
      </w:pPr>
      <w:r>
        <w:rPr>
          <w:b/>
        </w:rPr>
        <w:t xml:space="preserve"> </w:t>
      </w:r>
    </w:p>
    <w:p>
      <w:pPr>
        <w:pStyle w:val="null3"/>
        <w:ind w:right="30" w:firstLine="1"/>
        <w:jc w:val="center"/>
      </w:pPr>
      <w:r>
        <w:rPr>
          <w:sz w:val="48"/>
          <w:b/>
        </w:rPr>
        <w:t>河源职业技术学院</w:t>
      </w:r>
    </w:p>
    <w:p>
      <w:pPr>
        <w:pStyle w:val="null3"/>
        <w:jc w:val="center"/>
      </w:pPr>
      <w:r>
        <w:rPr>
          <w:sz w:val="48"/>
          <w:b/>
        </w:rPr>
        <w:t>云计算技术与应用实践基地升级改造项目</w:t>
      </w:r>
    </w:p>
    <w:p>
      <w:pPr>
        <w:pStyle w:val="null3"/>
        <w:ind w:right="30" w:firstLine="1"/>
        <w:jc w:val="center"/>
      </w:pPr>
      <w:r>
        <w:rPr>
          <w:sz w:val="72"/>
          <w:b/>
        </w:rPr>
        <w:t>合</w:t>
      </w:r>
    </w:p>
    <w:p>
      <w:pPr>
        <w:pStyle w:val="null3"/>
        <w:jc w:val="center"/>
      </w:pPr>
      <w:r>
        <w:rPr>
          <w:sz w:val="72"/>
          <w:b/>
        </w:rPr>
        <w:t>同</w:t>
      </w:r>
    </w:p>
    <w:p>
      <w:pPr>
        <w:pStyle w:val="null3"/>
        <w:jc w:val="center"/>
      </w:pPr>
      <w:r>
        <w:rPr>
          <w:sz w:val="72"/>
          <w:b/>
        </w:rPr>
        <w:t>范</w:t>
      </w:r>
    </w:p>
    <w:p>
      <w:pPr>
        <w:pStyle w:val="null3"/>
        <w:jc w:val="center"/>
      </w:pPr>
      <w:r>
        <w:rPr>
          <w:sz w:val="72"/>
          <w:b/>
        </w:rPr>
        <w:t>本</w:t>
      </w:r>
    </w:p>
    <w:p>
      <w:pPr>
        <w:pStyle w:val="null3"/>
        <w:ind w:left="300"/>
        <w:jc w:val="both"/>
      </w:pPr>
      <w:r>
        <w:rPr>
          <w:sz w:val="28"/>
          <w:b/>
        </w:rPr>
        <w:t>合同编号：</w:t>
      </w:r>
    </w:p>
    <w:p>
      <w:pPr>
        <w:pStyle w:val="null3"/>
        <w:jc w:val="both"/>
      </w:pPr>
      <w:r>
        <w:rPr>
          <w:sz w:val="72"/>
          <w:b/>
        </w:rPr>
        <w:t>采购合同书</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采购项目编号</w:t>
            </w:r>
            <w:r>
              <w:rPr>
                <w:sz w:val="28"/>
                <w:b/>
              </w:rPr>
              <w:t>：</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b/>
              </w:rPr>
              <w:t>采购项目名称：</w:t>
            </w:r>
            <w:r>
              <w:rPr>
                <w:sz w:val="28"/>
                <w:b/>
              </w:rPr>
              <w:t>2024年河源职业技术学院云计算技术与应用实践基地升级改造项目</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4"/>
          <w:b/>
        </w:rPr>
        <w:t>注：本合同仅为合同的参考文本，合同签订双方可根据项目的具体要求进行修订，</w:t>
      </w:r>
      <w:r>
        <w:rPr>
          <w:sz w:val="24"/>
          <w:b/>
          <w:u w:val="single"/>
        </w:rPr>
        <w:t>但合同条款不得与采购文件和成交供应商响应文件有实质性偏离。</w:t>
      </w:r>
    </w:p>
    <w:p>
      <w:pPr>
        <w:pStyle w:val="null3"/>
        <w:jc w:val="both"/>
      </w:pPr>
      <w:r>
        <w:rPr/>
        <w:t xml:space="preserve"> </w:t>
      </w:r>
    </w:p>
    <w:p>
      <w:pPr>
        <w:pStyle w:val="null3"/>
        <w:jc w:val="both"/>
      </w:pPr>
      <w:r>
        <w:rPr>
          <w:sz w:val="21"/>
          <w:b/>
        </w:rPr>
        <w:t>甲方（采购方）：河源职业技术学院</w:t>
      </w:r>
    </w:p>
    <w:p>
      <w:pPr>
        <w:pStyle w:val="null3"/>
        <w:jc w:val="both"/>
      </w:pPr>
      <w:r>
        <w:rPr>
          <w:sz w:val="21"/>
          <w:b/>
        </w:rPr>
        <w:t>乙方（供应方）：</w:t>
      </w:r>
    </w:p>
    <w:p>
      <w:pPr>
        <w:pStyle w:val="null3"/>
        <w:jc w:val="both"/>
      </w:pPr>
      <w:r>
        <w:rPr>
          <w:sz w:val="21"/>
        </w:rPr>
        <w:t>根据《中华人民共和国民法典》《中华人民共和国政府采购法》</w:t>
      </w:r>
      <w:r>
        <w:rPr>
          <w:sz w:val="21"/>
        </w:rPr>
        <w:t>、广东省实施《中华人民共和国政府采购法》办法的有关规定</w:t>
      </w:r>
      <w:r>
        <w:rPr>
          <w:sz w:val="21"/>
        </w:rPr>
        <w:t>以及</w:t>
      </w:r>
      <w:r>
        <w:rPr>
          <w:sz w:val="21"/>
          <w:b/>
        </w:rPr>
        <w:t>202</w:t>
      </w:r>
      <w:r>
        <w:rPr>
          <w:sz w:val="21"/>
          <w:b/>
        </w:rPr>
        <w:t>5</w:t>
      </w:r>
      <w:r>
        <w:rPr>
          <w:sz w:val="21"/>
          <w:b/>
        </w:rPr>
        <w:t>年</w:t>
      </w:r>
      <w:r>
        <w:rPr>
          <w:sz w:val="21"/>
          <w:b/>
          <w:u w:val="single"/>
        </w:rPr>
        <w:t xml:space="preserve"> </w:t>
      </w:r>
      <w:r>
        <w:rPr>
          <w:sz w:val="21"/>
          <w:b/>
          <w:u w:val="single"/>
        </w:rPr>
        <w:t xml:space="preserve"> </w:t>
      </w:r>
      <w:r>
        <w:rPr>
          <w:sz w:val="21"/>
          <w:b/>
          <w:u w:val="single"/>
        </w:rPr>
        <w:t xml:space="preserve"> </w:t>
      </w:r>
      <w:r>
        <w:rPr>
          <w:sz w:val="21"/>
          <w:b/>
        </w:rPr>
        <w:t>月</w:t>
      </w:r>
      <w:r>
        <w:rPr>
          <w:sz w:val="21"/>
          <w:b/>
          <w:u w:val="single"/>
        </w:rPr>
        <w:t xml:space="preserve"> </w:t>
      </w:r>
      <w:r>
        <w:rPr>
          <w:sz w:val="21"/>
          <w:b/>
          <w:u w:val="single"/>
        </w:rPr>
        <w:t xml:space="preserve"> </w:t>
      </w:r>
      <w:r>
        <w:rPr>
          <w:sz w:val="21"/>
          <w:b/>
          <w:u w:val="single"/>
        </w:rPr>
        <w:t xml:space="preserve"> </w:t>
      </w:r>
      <w:r>
        <w:rPr>
          <w:sz w:val="21"/>
          <w:b/>
        </w:rPr>
        <w:t>日</w:t>
      </w:r>
      <w:r>
        <w:rPr>
          <w:sz w:val="21"/>
          <w:b/>
        </w:rPr>
        <w:t>“</w:t>
      </w:r>
      <w:r>
        <w:rPr>
          <w:sz w:val="21"/>
          <w:b/>
        </w:rPr>
        <w:t>2024年</w:t>
      </w:r>
      <w:r>
        <w:rPr>
          <w:sz w:val="21"/>
        </w:rPr>
        <w:t>河源职业技</w:t>
      </w:r>
      <w:r>
        <w:rPr>
          <w:sz w:val="21"/>
        </w:rPr>
        <w:t>术</w:t>
      </w:r>
      <w:r>
        <w:rPr>
          <w:sz w:val="21"/>
        </w:rPr>
        <w:t>学院</w:t>
      </w:r>
      <w:r>
        <w:rPr>
          <w:sz w:val="21"/>
        </w:rPr>
        <w:t>云计算技术与应用实践基地升级改造项目</w:t>
      </w:r>
      <w:r>
        <w:rPr>
          <w:sz w:val="21"/>
        </w:rPr>
        <w:t>”</w:t>
      </w:r>
      <w:r>
        <w:rPr>
          <w:sz w:val="21"/>
        </w:rPr>
        <w:t>采购文</w:t>
      </w:r>
      <w:r>
        <w:rPr>
          <w:sz w:val="21"/>
        </w:rPr>
        <w:t>件</w:t>
      </w:r>
      <w:r>
        <w:rPr>
          <w:sz w:val="21"/>
        </w:rPr>
        <w:t>（采购项目编号</w:t>
      </w:r>
      <w:r>
        <w:rPr>
          <w:sz w:val="21"/>
        </w:rPr>
        <w:t xml:space="preserve">   </w:t>
      </w:r>
      <w:r>
        <w:rPr>
          <w:sz w:val="21"/>
        </w:rPr>
        <w:t>，采购代理机构：</w:t>
      </w:r>
      <w:r>
        <w:rPr>
          <w:sz w:val="21"/>
        </w:rPr>
        <w:t xml:space="preserve">      </w:t>
      </w:r>
      <w:r>
        <w:rPr>
          <w:sz w:val="21"/>
        </w:rPr>
        <w:t>）的要求</w:t>
      </w:r>
      <w:r>
        <w:rPr>
          <w:sz w:val="21"/>
        </w:rPr>
        <w:t>和</w:t>
      </w:r>
      <w:r>
        <w:rPr>
          <w:sz w:val="21"/>
        </w:rPr>
        <w:t>招标结果，经双方协商，本着平等互利诚实信用的原则，一致同意签订本合同如</w:t>
      </w:r>
      <w:r>
        <w:rPr>
          <w:sz w:val="21"/>
        </w:rPr>
        <w:t>下。</w:t>
      </w:r>
    </w:p>
    <w:p>
      <w:pPr>
        <w:pStyle w:val="null3"/>
        <w:spacing w:before="150" w:after="150"/>
        <w:jc w:val="both"/>
      </w:pPr>
      <w:r>
        <w:rPr>
          <w:sz w:val="21"/>
          <w:b/>
          <w:color w:val="000000"/>
        </w:rPr>
        <w:t>第一条</w:t>
      </w:r>
      <w:r>
        <w:rPr>
          <w:sz w:val="21"/>
          <w:b/>
          <w:color w:val="000000"/>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411"/>
        <w:gridCol w:w="743"/>
        <w:gridCol w:w="769"/>
        <w:gridCol w:w="3834"/>
        <w:gridCol w:w="477"/>
        <w:gridCol w:w="477"/>
        <w:gridCol w:w="769"/>
        <w:gridCol w:w="769"/>
      </w:tblGrid>
      <w:tr>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品牌、型号</w:t>
            </w:r>
          </w:p>
        </w:tc>
        <w:tc>
          <w:tcPr>
            <w:tcW w:type="dxa" w:w="3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技术规格</w:t>
            </w:r>
          </w:p>
        </w:tc>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合价（元）</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8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w:t>
            </w:r>
            <w:r>
              <w:rPr>
                <w:sz w:val="21"/>
              </w:rPr>
              <w:t xml:space="preserve">   </w:t>
            </w:r>
            <w:r>
              <w:rPr>
                <w:sz w:val="21"/>
              </w:rPr>
              <w:t>计</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合同总额包括乙方设计、安装、随机零配件、标配工具、运输保险、调试、培训、质保期服务、各项税费及合同实施过程中不可预见费用等。</w:t>
      </w:r>
    </w:p>
    <w:p>
      <w:pPr>
        <w:pStyle w:val="null3"/>
        <w:ind w:right="135" w:firstLine="420"/>
        <w:jc w:val="both"/>
      </w:pPr>
      <w:r>
        <w:rPr>
          <w:sz w:val="21"/>
        </w:rPr>
        <w:t>注：货物名称内容必须与投标文件中货物名称内容一致。</w:t>
      </w:r>
    </w:p>
    <w:p>
      <w:pPr>
        <w:pStyle w:val="null3"/>
        <w:spacing w:before="150" w:after="150"/>
        <w:jc w:val="both"/>
      </w:pPr>
      <w:r>
        <w:rPr>
          <w:sz w:val="21"/>
          <w:b/>
          <w:color w:val="000000"/>
        </w:rPr>
        <w:t>第二条</w:t>
      </w:r>
      <w:r>
        <w:rPr>
          <w:sz w:val="21"/>
          <w:b/>
          <w:color w:val="000000"/>
        </w:rPr>
        <w:t>合同金额</w:t>
      </w:r>
    </w:p>
    <w:p>
      <w:pPr>
        <w:pStyle w:val="null3"/>
        <w:ind w:firstLine="420"/>
        <w:jc w:val="both"/>
      </w:pPr>
      <w:r>
        <w:rPr>
          <w:sz w:val="21"/>
          <w:color w:val="000000"/>
        </w:rPr>
        <w:t>1</w:t>
      </w:r>
      <w:r>
        <w:rPr>
          <w:sz w:val="21"/>
        </w:rPr>
        <w:t>．</w:t>
      </w:r>
      <w:r>
        <w:rPr>
          <w:sz w:val="21"/>
          <w:color w:val="000000"/>
        </w:rPr>
        <w:t>合同总价：人民币（大写）</w:t>
      </w:r>
      <w:r>
        <w:rPr>
          <w:sz w:val="21"/>
          <w:u w:val="single"/>
        </w:rPr>
        <w:t xml:space="preserve">         </w:t>
      </w:r>
      <w:r>
        <w:rPr>
          <w:sz w:val="21"/>
          <w:color w:val="000000"/>
        </w:rPr>
        <w:t>元整（￥</w:t>
      </w:r>
      <w:r>
        <w:rPr>
          <w:sz w:val="21"/>
          <w:color w:val="000000"/>
          <w:u w:val="single"/>
        </w:rPr>
        <w:t xml:space="preserve">   </w:t>
      </w:r>
      <w:r>
        <w:rPr>
          <w:sz w:val="21"/>
          <w:color w:val="000000"/>
          <w:u w:val="single"/>
        </w:rPr>
        <w:t>00,000.00</w:t>
      </w:r>
      <w:r>
        <w:rPr>
          <w:sz w:val="21"/>
          <w:color w:val="000000"/>
        </w:rPr>
        <w:t>元），</w:t>
      </w:r>
      <w:r>
        <w:rPr>
          <w:sz w:val="21"/>
          <w:color w:val="333333"/>
          <w:shd w:fill="FFFFFF" w:val="clear"/>
        </w:rPr>
        <w:t>最终结算金额以实际验收结果为准，但不得超过本合同总价。</w:t>
      </w:r>
    </w:p>
    <w:p>
      <w:pPr>
        <w:pStyle w:val="null3"/>
        <w:ind w:firstLine="420"/>
        <w:jc w:val="both"/>
      </w:pPr>
      <w:r>
        <w:rPr>
          <w:sz w:val="21"/>
          <w:color w:val="000000"/>
        </w:rPr>
        <w:t>2</w:t>
      </w:r>
      <w:r>
        <w:rPr>
          <w:sz w:val="21"/>
        </w:rPr>
        <w:t>．</w:t>
      </w:r>
      <w:r>
        <w:rPr>
          <w:sz w:val="21"/>
          <w:color w:val="000000"/>
        </w:rPr>
        <w:t>合同总价包括甲方支付给乙方完成整个合同项目有关的所有费用且包含了税费、系统集成费及合同实施过程中不可预见的其他费用等。</w:t>
      </w:r>
    </w:p>
    <w:p>
      <w:pPr>
        <w:pStyle w:val="null3"/>
        <w:spacing w:before="150" w:after="150"/>
        <w:jc w:val="both"/>
      </w:pPr>
      <w:r>
        <w:rPr>
          <w:sz w:val="21"/>
          <w:b/>
          <w:color w:val="000000"/>
        </w:rPr>
        <w:t>第三条</w:t>
      </w:r>
      <w:r>
        <w:rPr>
          <w:sz w:val="21"/>
          <w:b/>
          <w:color w:val="000000"/>
        </w:rPr>
        <w:t>质量标准</w:t>
      </w:r>
    </w:p>
    <w:p>
      <w:pPr>
        <w:pStyle w:val="null3"/>
        <w:ind w:firstLine="420"/>
        <w:jc w:val="both"/>
      </w:pPr>
      <w:r>
        <w:rPr>
          <w:sz w:val="21"/>
          <w:color w:val="000000"/>
        </w:rPr>
        <w:t>1.</w:t>
      </w:r>
      <w:r>
        <w:rPr>
          <w:sz w:val="21"/>
          <w:color w:val="000000"/>
        </w:rPr>
        <w:t>乙方所投产品必须是原厂、原装、标准配套的产品，并且制造标准、安装标准及技术规范等符合国家行业标准及出厂标准。</w:t>
      </w:r>
    </w:p>
    <w:p>
      <w:pPr>
        <w:pStyle w:val="null3"/>
        <w:ind w:firstLine="420"/>
        <w:jc w:val="both"/>
      </w:pPr>
      <w:r>
        <w:rPr>
          <w:sz w:val="21"/>
          <w:color w:val="000000"/>
        </w:rPr>
        <w:t>2.</w:t>
      </w:r>
      <w:r>
        <w:rPr>
          <w:sz w:val="21"/>
          <w:color w:val="000000"/>
        </w:rPr>
        <w:t>乙方所投软件必须符合国家安全要求与标准。</w:t>
      </w:r>
    </w:p>
    <w:p>
      <w:pPr>
        <w:pStyle w:val="null3"/>
        <w:ind w:firstLine="420"/>
        <w:jc w:val="both"/>
      </w:pPr>
      <w:r>
        <w:rPr>
          <w:sz w:val="21"/>
          <w:color w:val="000000"/>
        </w:rPr>
        <w:t>3.</w:t>
      </w:r>
      <w:r>
        <w:rPr>
          <w:sz w:val="21"/>
          <w:color w:val="000000"/>
        </w:rPr>
        <w:t>乙方所投软件数量、质量及技术规格、性能参数要求与需求书中提出的要求相符。</w:t>
      </w:r>
    </w:p>
    <w:p>
      <w:pPr>
        <w:pStyle w:val="null3"/>
        <w:ind w:firstLine="420"/>
        <w:jc w:val="both"/>
      </w:pPr>
      <w:r>
        <w:rPr>
          <w:sz w:val="21"/>
          <w:color w:val="000000"/>
        </w:rPr>
        <w:t>4.</w:t>
      </w:r>
      <w:r>
        <w:rPr>
          <w:sz w:val="21"/>
          <w:color w:val="000000"/>
        </w:rPr>
        <w:t>对于影响软件正常工作的必要组成部分，无论在技术规范中指出与否，乙方都应提供并在响应文件中明确列出。</w:t>
      </w:r>
    </w:p>
    <w:p>
      <w:pPr>
        <w:pStyle w:val="null3"/>
        <w:spacing w:before="150" w:after="150"/>
        <w:jc w:val="both"/>
      </w:pPr>
      <w:r>
        <w:rPr>
          <w:sz w:val="21"/>
          <w:b/>
          <w:color w:val="000000"/>
        </w:rPr>
        <w:t>第四条</w:t>
      </w:r>
      <w:r>
        <w:rPr>
          <w:sz w:val="21"/>
          <w:b/>
          <w:color w:val="000000"/>
        </w:rPr>
        <w:t>运输及保管、保险</w:t>
      </w:r>
    </w:p>
    <w:p>
      <w:pPr>
        <w:pStyle w:val="null3"/>
        <w:ind w:firstLine="420"/>
        <w:jc w:val="both"/>
      </w:pPr>
      <w:r>
        <w:rPr>
          <w:sz w:val="21"/>
          <w:color w:val="000000"/>
        </w:rPr>
        <w:t>1.</w:t>
      </w:r>
      <w:r>
        <w:rPr>
          <w:sz w:val="21"/>
          <w:color w:val="000000"/>
        </w:rPr>
        <w:t>乙方负责根据各品目不同的安装地点，将设备材料送到现场过程中的全部运输</w:t>
      </w:r>
      <w:r>
        <w:rPr>
          <w:sz w:val="21"/>
          <w:color w:val="000000"/>
        </w:rPr>
        <w:t>，</w:t>
      </w:r>
      <w:r>
        <w:rPr>
          <w:sz w:val="21"/>
          <w:color w:val="000000"/>
        </w:rPr>
        <w:t>包括装卸车、货物现场的搬运、设备的安装、调试等</w:t>
      </w:r>
      <w:r>
        <w:rPr>
          <w:sz w:val="21"/>
          <w:color w:val="000000"/>
        </w:rPr>
        <w:t>。</w:t>
      </w:r>
    </w:p>
    <w:p>
      <w:pPr>
        <w:pStyle w:val="null3"/>
        <w:ind w:firstLine="420"/>
        <w:jc w:val="both"/>
      </w:pPr>
      <w:r>
        <w:rPr>
          <w:sz w:val="21"/>
          <w:color w:val="000000"/>
        </w:rPr>
        <w:t>2.</w:t>
      </w:r>
      <w:r>
        <w:rPr>
          <w:sz w:val="21"/>
          <w:color w:val="000000"/>
        </w:rPr>
        <w:t>各种货物，必须提供装箱清单，按装箱清单验收货物</w:t>
      </w:r>
      <w:r>
        <w:rPr>
          <w:sz w:val="21"/>
          <w:color w:val="000000"/>
        </w:rPr>
        <w:t>。</w:t>
      </w:r>
    </w:p>
    <w:p>
      <w:pPr>
        <w:pStyle w:val="null3"/>
        <w:ind w:firstLine="420"/>
        <w:jc w:val="both"/>
      </w:pPr>
      <w:r>
        <w:rPr>
          <w:sz w:val="21"/>
          <w:color w:val="000000"/>
        </w:rPr>
        <w:t>3.</w:t>
      </w:r>
      <w:r>
        <w:rPr>
          <w:sz w:val="21"/>
          <w:color w:val="000000"/>
        </w:rPr>
        <w:t>货物在现场的保管由乙方负责，直至项目安装、验收完毕</w:t>
      </w:r>
      <w:r>
        <w:rPr>
          <w:sz w:val="21"/>
          <w:color w:val="000000"/>
        </w:rPr>
        <w:t>。</w:t>
      </w:r>
    </w:p>
    <w:p>
      <w:pPr>
        <w:pStyle w:val="null3"/>
        <w:ind w:firstLine="420"/>
        <w:jc w:val="both"/>
      </w:pPr>
      <w:r>
        <w:rPr>
          <w:sz w:val="21"/>
          <w:color w:val="000000"/>
        </w:rPr>
        <w:t>4.</w:t>
      </w:r>
      <w:r>
        <w:rPr>
          <w:sz w:val="21"/>
          <w:color w:val="000000"/>
        </w:rPr>
        <w:t>货物在安装调试验收合格前的保险由乙方负责，乙方负责其派出的现场服务人员人身意外保险。</w:t>
      </w:r>
    </w:p>
    <w:p>
      <w:pPr>
        <w:pStyle w:val="null3"/>
        <w:spacing w:before="150" w:after="150"/>
        <w:jc w:val="both"/>
      </w:pPr>
      <w:r>
        <w:rPr>
          <w:sz w:val="21"/>
          <w:b/>
          <w:color w:val="000000"/>
        </w:rPr>
        <w:t>第五条</w:t>
      </w:r>
      <w:r>
        <w:rPr>
          <w:sz w:val="21"/>
          <w:b/>
          <w:color w:val="000000"/>
        </w:rPr>
        <w:t>交货期及交货地点</w:t>
      </w:r>
    </w:p>
    <w:p>
      <w:pPr>
        <w:pStyle w:val="null3"/>
        <w:ind w:right="135" w:firstLine="420"/>
        <w:jc w:val="both"/>
      </w:pPr>
      <w:r>
        <w:rPr>
          <w:sz w:val="21"/>
        </w:rPr>
        <w:t>1．交货期：</w:t>
      </w:r>
      <w:r>
        <w:rPr>
          <w:sz w:val="21"/>
          <w:color w:val="333333"/>
          <w:shd w:fill="FFFFFF" w:val="clear"/>
        </w:rPr>
        <w:t>合同签订后</w:t>
      </w:r>
      <w:r>
        <w:rPr>
          <w:sz w:val="21"/>
          <w:color w:val="333333"/>
          <w:shd w:fill="FFFFFF" w:val="clear"/>
        </w:rPr>
        <w:t>45个日历天内完成货物交付</w:t>
      </w:r>
      <w:r>
        <w:rPr>
          <w:sz w:val="21"/>
        </w:rPr>
        <w:t>，</w:t>
      </w:r>
      <w:r>
        <w:rPr>
          <w:sz w:val="21"/>
          <w:color w:val="333333"/>
          <w:shd w:fill="FFFFFF" w:val="clear"/>
        </w:rPr>
        <w:t>含安装调试并达到验收标准</w:t>
      </w:r>
      <w:r>
        <w:rPr>
          <w:sz w:val="21"/>
        </w:rPr>
        <w:t>。</w:t>
      </w:r>
    </w:p>
    <w:p>
      <w:pPr>
        <w:pStyle w:val="null3"/>
        <w:ind w:right="135" w:firstLine="420"/>
        <w:jc w:val="both"/>
      </w:pPr>
      <w:r>
        <w:rPr>
          <w:sz w:val="21"/>
        </w:rPr>
        <w:t>2</w:t>
      </w:r>
      <w:r>
        <w:rPr>
          <w:sz w:val="21"/>
        </w:rPr>
        <w:t>．交货地点：河源职业技术学院。</w:t>
      </w:r>
    </w:p>
    <w:p>
      <w:pPr>
        <w:pStyle w:val="null3"/>
        <w:spacing w:before="150" w:after="150"/>
        <w:jc w:val="both"/>
      </w:pPr>
      <w:r>
        <w:rPr>
          <w:sz w:val="21"/>
          <w:b/>
          <w:color w:val="000000"/>
        </w:rPr>
        <w:t>第六条</w:t>
      </w:r>
      <w:r>
        <w:rPr>
          <w:sz w:val="21"/>
          <w:b/>
          <w:color w:val="000000"/>
        </w:rPr>
        <w:t>安装与调试</w:t>
      </w:r>
    </w:p>
    <w:p>
      <w:pPr>
        <w:pStyle w:val="null3"/>
        <w:ind w:right="135" w:firstLine="420"/>
        <w:jc w:val="both"/>
      </w:pPr>
      <w:r>
        <w:rPr>
          <w:sz w:val="21"/>
        </w:rPr>
        <w:t>1.</w:t>
      </w:r>
      <w:r>
        <w:rPr>
          <w:sz w:val="21"/>
        </w:rPr>
        <w:t>设备到货后，</w:t>
      </w:r>
      <w:r>
        <w:rPr>
          <w:sz w:val="21"/>
        </w:rPr>
        <w:t>乙方</w:t>
      </w:r>
      <w:r>
        <w:rPr>
          <w:sz w:val="21"/>
        </w:rPr>
        <w:t>应派出有经验的工程技术人员到现场进行安装，并将设备</w:t>
      </w:r>
      <w:r>
        <w:rPr>
          <w:sz w:val="21"/>
          <w:color w:val="333333"/>
          <w:shd w:fill="FFFFFF" w:val="clear"/>
        </w:rPr>
        <w:t>调试至符合招标文件技术参数及国家相关验收规范要求</w:t>
      </w:r>
      <w:r>
        <w:rPr>
          <w:sz w:val="21"/>
        </w:rPr>
        <w:t>，</w:t>
      </w:r>
      <w:r>
        <w:rPr>
          <w:sz w:val="21"/>
        </w:rPr>
        <w:t>甲方</w:t>
      </w:r>
      <w:r>
        <w:rPr>
          <w:sz w:val="21"/>
        </w:rPr>
        <w:t>给予相应的配合。</w:t>
      </w:r>
    </w:p>
    <w:p>
      <w:pPr>
        <w:pStyle w:val="null3"/>
        <w:ind w:right="135" w:firstLine="420"/>
        <w:jc w:val="both"/>
      </w:pPr>
      <w:r>
        <w:rPr>
          <w:sz w:val="21"/>
        </w:rPr>
        <w:t>2.</w:t>
      </w:r>
      <w:r>
        <w:rPr>
          <w:sz w:val="21"/>
        </w:rPr>
        <w:t>乙方</w:t>
      </w:r>
      <w:r>
        <w:rPr>
          <w:sz w:val="21"/>
        </w:rPr>
        <w:t>负责软件产品的安装和调试，并负责调试系统到最佳状态，达到验收标准。</w:t>
      </w:r>
      <w:r>
        <w:rPr>
          <w:sz w:val="21"/>
        </w:rPr>
        <w:t>乙方</w:t>
      </w:r>
      <w:r>
        <w:rPr>
          <w:sz w:val="21"/>
        </w:rPr>
        <w:t>须确保</w:t>
      </w:r>
      <w:r>
        <w:rPr>
          <w:sz w:val="21"/>
        </w:rPr>
        <w:t>甲方</w:t>
      </w:r>
      <w:r>
        <w:rPr>
          <w:sz w:val="21"/>
        </w:rPr>
        <w:t>在安装该产品时不出现数据丢失情况，若出现数据丢失的情况，</w:t>
      </w:r>
      <w:r>
        <w:rPr>
          <w:sz w:val="21"/>
        </w:rPr>
        <w:t>乙方</w:t>
      </w:r>
      <w:r>
        <w:rPr>
          <w:sz w:val="21"/>
        </w:rPr>
        <w:t>须承担相关责任和赔偿。在产品更换或升级过程中，</w:t>
      </w:r>
      <w:r>
        <w:rPr>
          <w:sz w:val="21"/>
        </w:rPr>
        <w:t>乙方</w:t>
      </w:r>
      <w:r>
        <w:rPr>
          <w:sz w:val="21"/>
        </w:rPr>
        <w:t>须按</w:t>
      </w:r>
      <w:r>
        <w:rPr>
          <w:sz w:val="21"/>
        </w:rPr>
        <w:t>甲方</w:t>
      </w:r>
      <w:r>
        <w:rPr>
          <w:sz w:val="21"/>
        </w:rPr>
        <w:t>要求派出专业技术人员现场指导。</w:t>
      </w:r>
    </w:p>
    <w:p>
      <w:pPr>
        <w:pStyle w:val="null3"/>
        <w:ind w:right="135" w:firstLine="420"/>
        <w:jc w:val="both"/>
      </w:pPr>
      <w:r>
        <w:rPr>
          <w:sz w:val="21"/>
        </w:rPr>
        <w:t>3.</w:t>
      </w:r>
      <w:r>
        <w:rPr>
          <w:sz w:val="21"/>
        </w:rPr>
        <w:t>调试：按国家相关验收规范进行调试。</w:t>
      </w:r>
      <w:r>
        <w:rPr>
          <w:sz w:val="21"/>
        </w:rPr>
        <w:t>乙方</w:t>
      </w:r>
      <w:r>
        <w:rPr>
          <w:sz w:val="21"/>
        </w:rPr>
        <w:t>必须对其所提供的软件产品在指定地点</w:t>
      </w:r>
      <w:r>
        <w:rPr>
          <w:sz w:val="21"/>
        </w:rPr>
        <w:t>实施</w:t>
      </w:r>
      <w:r>
        <w:rPr>
          <w:sz w:val="21"/>
        </w:rPr>
        <w:t>前调研、安装测试、人员培训直至验收合格最终交付使用（含质保期）的全部工作。</w:t>
      </w:r>
    </w:p>
    <w:p>
      <w:pPr>
        <w:pStyle w:val="null3"/>
        <w:spacing w:before="150" w:after="150"/>
        <w:jc w:val="both"/>
      </w:pPr>
      <w:r>
        <w:rPr>
          <w:sz w:val="21"/>
          <w:b/>
          <w:color w:val="000000"/>
        </w:rPr>
        <w:t>第七条</w:t>
      </w:r>
      <w:r>
        <w:rPr>
          <w:sz w:val="21"/>
          <w:b/>
          <w:color w:val="000000"/>
        </w:rPr>
        <w:t>验收</w:t>
      </w:r>
    </w:p>
    <w:p>
      <w:pPr>
        <w:pStyle w:val="null3"/>
        <w:ind w:right="135" w:firstLine="420"/>
        <w:jc w:val="both"/>
      </w:pPr>
      <w:r>
        <w:rPr>
          <w:sz w:val="21"/>
        </w:rPr>
        <w:t>1.验收按国家有关的规定、规范进行。</w:t>
      </w:r>
    </w:p>
    <w:p>
      <w:pPr>
        <w:pStyle w:val="null3"/>
        <w:ind w:right="135" w:firstLine="420"/>
        <w:jc w:val="both"/>
      </w:pPr>
      <w:r>
        <w:rPr>
          <w:sz w:val="21"/>
        </w:rPr>
        <w:t>2.验收工作由甲方和乙方等共同进行。</w:t>
      </w:r>
    </w:p>
    <w:p>
      <w:pPr>
        <w:pStyle w:val="null3"/>
        <w:ind w:right="135" w:firstLine="420"/>
        <w:jc w:val="both"/>
      </w:pPr>
      <w:r>
        <w:rPr>
          <w:sz w:val="21"/>
        </w:rPr>
        <w:t>3.甲方在本合同规定的货物和服务范围内，对乙方提供的货物进行验收。如果验收发现与合同规定不符或达不到规定的性能指标，甲方有权提出索赔。</w:t>
      </w:r>
    </w:p>
    <w:p>
      <w:pPr>
        <w:pStyle w:val="null3"/>
        <w:ind w:right="135" w:firstLine="420"/>
        <w:jc w:val="both"/>
      </w:pPr>
      <w:r>
        <w:rPr>
          <w:sz w:val="21"/>
        </w:rPr>
        <w:t>4.甲方有权自行测试或聘请第三方专业软件测试机构进行验收。</w:t>
      </w:r>
      <w:r>
        <w:rPr>
          <w:sz w:val="21"/>
          <w:color w:val="333333"/>
          <w:shd w:fill="FFFFFF" w:val="clear"/>
        </w:rPr>
        <w:t>若甲方委托第三方测试机构，测试费用由乙方承担。</w:t>
      </w:r>
    </w:p>
    <w:p>
      <w:pPr>
        <w:pStyle w:val="null3"/>
        <w:ind w:right="135" w:firstLine="420"/>
        <w:jc w:val="both"/>
      </w:pPr>
      <w:r>
        <w:rPr>
          <w:sz w:val="21"/>
        </w:rPr>
        <w:t>5.如经过第三方专业软件测试,则该机构出具的合格的软件验收测试报告为通过验收的必要条件之一。验收合格后三方（甲方、乙方和专业软件测试机构）签署验收合格证书，一式三份，三方各执一份。</w:t>
      </w:r>
    </w:p>
    <w:p>
      <w:pPr>
        <w:pStyle w:val="null3"/>
        <w:ind w:right="135" w:firstLine="420"/>
        <w:jc w:val="both"/>
      </w:pPr>
      <w:r>
        <w:rPr>
          <w:sz w:val="21"/>
        </w:rPr>
        <w:t>6.验收时如发现所交付的内容或其他不符合谈判文件规定之情形者，乙方应按采购人的要求作出调整、补充。由此产生的有关费用由乙方承担。</w:t>
      </w:r>
    </w:p>
    <w:p>
      <w:pPr>
        <w:pStyle w:val="null3"/>
        <w:ind w:right="135" w:firstLine="420"/>
        <w:jc w:val="both"/>
      </w:pPr>
      <w:r>
        <w:rPr>
          <w:sz w:val="21"/>
        </w:rPr>
        <w:t>7.验收的项目指标、方法等原则上由乙方在验收开始前提交甲方。甲方可以根据技术规范书和国家有关标准进行修改和补充，经双方确认后作为验收的依据。</w:t>
      </w:r>
    </w:p>
    <w:p>
      <w:pPr>
        <w:pStyle w:val="null3"/>
        <w:ind w:right="135" w:firstLine="420"/>
        <w:jc w:val="both"/>
      </w:pPr>
      <w:r>
        <w:rPr>
          <w:sz w:val="21"/>
        </w:rPr>
        <w:t>8.验收以甲方技术人员为主，乙方提供技术支援，对在测试中发现的技术问题双方记录，完成测试后，双方签署终验测试报告。</w:t>
      </w:r>
    </w:p>
    <w:p>
      <w:pPr>
        <w:pStyle w:val="null3"/>
        <w:ind w:right="135" w:firstLine="420"/>
        <w:jc w:val="both"/>
      </w:pPr>
      <w:r>
        <w:rPr>
          <w:sz w:val="21"/>
        </w:rPr>
        <w:t>9.验收时乙方负责将全部有关技术文件、资料及安装、测试、验收报告等文档汇集成册交付给甲方。</w:t>
      </w:r>
    </w:p>
    <w:p>
      <w:pPr>
        <w:pStyle w:val="null3"/>
        <w:ind w:right="135" w:firstLine="420"/>
        <w:jc w:val="both"/>
      </w:pPr>
      <w:r>
        <w:rPr>
          <w:sz w:val="21"/>
        </w:rPr>
        <w:t>10.由甲方对货物的质量、规格、数量和运行状况及其他进行检验。如发现质量、规格、数量和运行状况等任何一项与招标要求规定不符，甲方有权拒绝验收。</w:t>
      </w:r>
    </w:p>
    <w:p>
      <w:pPr>
        <w:pStyle w:val="null3"/>
        <w:spacing w:before="150" w:after="150"/>
        <w:jc w:val="both"/>
      </w:pPr>
      <w:r>
        <w:rPr>
          <w:sz w:val="21"/>
          <w:b/>
          <w:color w:val="000000"/>
        </w:rPr>
        <w:t>第八条</w:t>
      </w:r>
      <w:r>
        <w:rPr>
          <w:sz w:val="21"/>
          <w:b/>
          <w:color w:val="000000"/>
        </w:rPr>
        <w:t>培训</w:t>
      </w:r>
    </w:p>
    <w:p>
      <w:pPr>
        <w:pStyle w:val="null3"/>
        <w:ind w:right="135" w:firstLine="420"/>
        <w:jc w:val="both"/>
      </w:pPr>
      <w:r>
        <w:rPr>
          <w:sz w:val="21"/>
        </w:rPr>
        <w:t>1.</w:t>
      </w:r>
      <w:r>
        <w:rPr>
          <w:sz w:val="21"/>
        </w:rPr>
        <w:t>乙方</w:t>
      </w:r>
      <w:r>
        <w:rPr>
          <w:sz w:val="21"/>
        </w:rPr>
        <w:t>针对</w:t>
      </w:r>
      <w:r>
        <w:rPr>
          <w:sz w:val="21"/>
        </w:rPr>
        <w:t>甲方</w:t>
      </w:r>
      <w:r>
        <w:rPr>
          <w:sz w:val="21"/>
        </w:rPr>
        <w:t>专业技术人员提供培训计划，培训次数不少于</w:t>
      </w:r>
      <w:r>
        <w:rPr>
          <w:sz w:val="21"/>
        </w:rPr>
        <w:t>2次。</w:t>
      </w:r>
    </w:p>
    <w:p>
      <w:pPr>
        <w:pStyle w:val="null3"/>
        <w:ind w:right="135" w:firstLine="420"/>
        <w:jc w:val="both"/>
      </w:pPr>
      <w:r>
        <w:rPr>
          <w:sz w:val="21"/>
        </w:rPr>
        <w:t>2.</w:t>
      </w:r>
      <w:r>
        <w:rPr>
          <w:sz w:val="21"/>
        </w:rPr>
        <w:t>要求</w:t>
      </w:r>
      <w:r>
        <w:rPr>
          <w:sz w:val="21"/>
        </w:rPr>
        <w:t>乙方</w:t>
      </w:r>
      <w:r>
        <w:rPr>
          <w:sz w:val="21"/>
        </w:rPr>
        <w:t>免费负责提供有关软件功能、安装、操作、维护等培训。</w:t>
      </w:r>
    </w:p>
    <w:p>
      <w:pPr>
        <w:pStyle w:val="null3"/>
        <w:ind w:right="135" w:firstLine="420"/>
        <w:jc w:val="both"/>
      </w:pPr>
      <w:r>
        <w:rPr>
          <w:sz w:val="21"/>
        </w:rPr>
        <w:t>3.</w:t>
      </w:r>
      <w:r>
        <w:rPr>
          <w:sz w:val="21"/>
        </w:rPr>
        <w:t>技术人员经过培训后，能充分了解系统的原理和流程，能熟练地掌握操作方法，并能及时排除部分系统故障。</w:t>
      </w:r>
    </w:p>
    <w:p>
      <w:pPr>
        <w:pStyle w:val="null3"/>
        <w:ind w:right="135" w:firstLine="420"/>
        <w:jc w:val="both"/>
      </w:pPr>
      <w:r>
        <w:rPr>
          <w:sz w:val="21"/>
        </w:rPr>
        <w:t>4.</w:t>
      </w:r>
      <w:r>
        <w:rPr>
          <w:sz w:val="21"/>
        </w:rPr>
        <w:t>乙方</w:t>
      </w:r>
      <w:r>
        <w:rPr>
          <w:sz w:val="21"/>
        </w:rPr>
        <w:t>必须根据响应文件采购的设备及采用的相关技术，在响应文件中提出全面的培训计划和课程内容安排，并在合同</w:t>
      </w:r>
      <w:r>
        <w:rPr>
          <w:sz w:val="21"/>
        </w:rPr>
        <w:t>签订</w:t>
      </w:r>
      <w:r>
        <w:rPr>
          <w:sz w:val="21"/>
        </w:rPr>
        <w:t>后征得</w:t>
      </w:r>
      <w:r>
        <w:rPr>
          <w:sz w:val="21"/>
        </w:rPr>
        <w:t>甲方</w:t>
      </w:r>
      <w:r>
        <w:rPr>
          <w:sz w:val="21"/>
        </w:rPr>
        <w:t>同意后实施。</w:t>
      </w:r>
    </w:p>
    <w:p>
      <w:pPr>
        <w:pStyle w:val="null3"/>
        <w:ind w:right="135" w:firstLine="420"/>
        <w:jc w:val="both"/>
      </w:pPr>
      <w:r>
        <w:rPr>
          <w:sz w:val="21"/>
        </w:rPr>
        <w:t>5.</w:t>
      </w:r>
      <w:r>
        <w:rPr>
          <w:sz w:val="21"/>
        </w:rPr>
        <w:t>乙方</w:t>
      </w:r>
      <w:r>
        <w:rPr>
          <w:sz w:val="21"/>
        </w:rPr>
        <w:t>需免费为甲方提供培训服务，培训人数与时间根据甲方合理安排并反馈给公司相关人员，再安排人员上门培训，培训必须保证甲方熟练掌握设备应用，培训师的食宿由</w:t>
      </w:r>
      <w:r>
        <w:rPr>
          <w:sz w:val="21"/>
        </w:rPr>
        <w:t>乙方</w:t>
      </w:r>
      <w:r>
        <w:rPr>
          <w:sz w:val="21"/>
        </w:rPr>
        <w:t>自理。</w:t>
      </w:r>
    </w:p>
    <w:p>
      <w:pPr>
        <w:pStyle w:val="null3"/>
        <w:spacing w:before="150" w:after="150"/>
        <w:jc w:val="both"/>
      </w:pPr>
      <w:r>
        <w:rPr>
          <w:sz w:val="21"/>
          <w:b/>
          <w:color w:val="000000"/>
        </w:rPr>
        <w:t>第九条</w:t>
      </w:r>
      <w:r>
        <w:rPr>
          <w:sz w:val="21"/>
          <w:b/>
          <w:color w:val="000000"/>
        </w:rPr>
        <w:t>付款方式</w:t>
      </w:r>
    </w:p>
    <w:p>
      <w:pPr>
        <w:pStyle w:val="null3"/>
        <w:ind w:firstLine="420"/>
        <w:jc w:val="both"/>
      </w:pPr>
      <w:r>
        <w:rPr>
          <w:sz w:val="21"/>
        </w:rPr>
        <w:t>1.项目竣工、设备安装调试完成并经</w:t>
      </w:r>
      <w:r>
        <w:rPr>
          <w:sz w:val="21"/>
        </w:rPr>
        <w:t>甲方</w:t>
      </w:r>
      <w:r>
        <w:rPr>
          <w:sz w:val="21"/>
        </w:rPr>
        <w:t>验收合格后</w:t>
      </w:r>
      <w:r>
        <w:rPr>
          <w:sz w:val="21"/>
        </w:rPr>
        <w:t>,</w:t>
      </w:r>
      <w:r>
        <w:rPr>
          <w:sz w:val="21"/>
        </w:rPr>
        <w:t>甲方</w:t>
      </w:r>
      <w:r>
        <w:rPr>
          <w:sz w:val="21"/>
        </w:rPr>
        <w:t>按程序支付乙方验收结算金额的</w:t>
      </w:r>
      <w:r>
        <w:rPr>
          <w:sz w:val="21"/>
        </w:rPr>
        <w:t>100%。</w:t>
      </w:r>
    </w:p>
    <w:p>
      <w:pPr>
        <w:pStyle w:val="null3"/>
        <w:ind w:firstLine="420"/>
        <w:jc w:val="both"/>
      </w:pPr>
      <w:r>
        <w:rPr>
          <w:sz w:val="21"/>
        </w:rPr>
        <w:t>2.乙方凭以下有效文件与</w:t>
      </w:r>
      <w:r>
        <w:rPr>
          <w:sz w:val="21"/>
        </w:rPr>
        <w:t>甲方</w:t>
      </w:r>
      <w:r>
        <w:rPr>
          <w:sz w:val="21"/>
        </w:rPr>
        <w:t>结算。</w:t>
      </w:r>
    </w:p>
    <w:p>
      <w:pPr>
        <w:pStyle w:val="null3"/>
        <w:ind w:firstLine="420"/>
        <w:jc w:val="both"/>
      </w:pPr>
      <w:r>
        <w:rPr>
          <w:sz w:val="21"/>
        </w:rPr>
        <w:t>（</w:t>
      </w:r>
      <w:r>
        <w:rPr>
          <w:sz w:val="21"/>
        </w:rPr>
        <w:t>1）合同；</w:t>
      </w:r>
    </w:p>
    <w:p>
      <w:pPr>
        <w:pStyle w:val="null3"/>
        <w:ind w:firstLine="420"/>
        <w:jc w:val="both"/>
      </w:pPr>
      <w:r>
        <w:rPr>
          <w:sz w:val="21"/>
        </w:rPr>
        <w:t>（</w:t>
      </w:r>
      <w:r>
        <w:rPr>
          <w:sz w:val="21"/>
        </w:rPr>
        <w:t>2）乙方开具的</w:t>
      </w:r>
      <w:r>
        <w:rPr>
          <w:sz w:val="21"/>
        </w:rPr>
        <w:t>增值税专用</w:t>
      </w:r>
      <w:r>
        <w:rPr>
          <w:sz w:val="21"/>
        </w:rPr>
        <w:t>发票；</w:t>
      </w:r>
    </w:p>
    <w:p>
      <w:pPr>
        <w:pStyle w:val="null3"/>
        <w:ind w:firstLine="420"/>
        <w:jc w:val="both"/>
      </w:pPr>
      <w:r>
        <w:rPr>
          <w:sz w:val="21"/>
        </w:rPr>
        <w:t>（</w:t>
      </w:r>
      <w:r>
        <w:rPr>
          <w:sz w:val="21"/>
        </w:rPr>
        <w:t>3）验收报告（加盖</w:t>
      </w:r>
      <w:r>
        <w:rPr>
          <w:sz w:val="21"/>
        </w:rPr>
        <w:t>甲方</w:t>
      </w:r>
      <w:r>
        <w:rPr>
          <w:sz w:val="21"/>
        </w:rPr>
        <w:t>公章）；</w:t>
      </w:r>
    </w:p>
    <w:p>
      <w:pPr>
        <w:pStyle w:val="null3"/>
        <w:ind w:firstLine="420"/>
        <w:jc w:val="both"/>
      </w:pPr>
      <w:r>
        <w:rPr>
          <w:sz w:val="21"/>
        </w:rPr>
        <w:t>（</w:t>
      </w:r>
      <w:r>
        <w:rPr>
          <w:sz w:val="21"/>
        </w:rPr>
        <w:t>4）成交通知书。</w:t>
      </w:r>
    </w:p>
    <w:p>
      <w:pPr>
        <w:pStyle w:val="null3"/>
        <w:ind w:firstLine="420"/>
        <w:jc w:val="both"/>
      </w:pPr>
      <w:r>
        <w:rPr>
          <w:sz w:val="21"/>
        </w:rPr>
        <w:t>3.因甲方使用的是财政资金，甲方在规定时间向支付部门提出支付申请，如因财政支付部门审核时间导致无法按期支付的，甲方不承担违约责任。</w:t>
      </w:r>
    </w:p>
    <w:p>
      <w:pPr>
        <w:pStyle w:val="null3"/>
        <w:spacing w:before="150" w:after="150"/>
        <w:jc w:val="both"/>
      </w:pPr>
      <w:r>
        <w:rPr>
          <w:sz w:val="21"/>
          <w:b/>
          <w:color w:val="000000"/>
        </w:rPr>
        <w:t>第十条</w:t>
      </w:r>
      <w:r>
        <w:rPr>
          <w:sz w:val="21"/>
          <w:b/>
          <w:color w:val="000000"/>
        </w:rPr>
        <w:t>质保及售后</w:t>
      </w:r>
    </w:p>
    <w:p>
      <w:pPr>
        <w:pStyle w:val="null3"/>
        <w:ind w:right="135" w:firstLine="420"/>
        <w:jc w:val="both"/>
      </w:pPr>
      <w:r>
        <w:rPr>
          <w:sz w:val="21"/>
        </w:rPr>
        <w:t>1.</w:t>
      </w:r>
      <w:r>
        <w:rPr>
          <w:sz w:val="21"/>
        </w:rPr>
        <w:t>本项目</w:t>
      </w:r>
      <w:r>
        <w:rPr>
          <w:sz w:val="21"/>
        </w:rPr>
        <w:t>质保期</w:t>
      </w:r>
      <w:r>
        <w:rPr>
          <w:sz w:val="21"/>
        </w:rPr>
        <w:t>为</w:t>
      </w:r>
      <w:r>
        <w:rPr>
          <w:sz w:val="21"/>
        </w:rPr>
        <w:t>三</w:t>
      </w:r>
      <w:r>
        <w:rPr>
          <w:sz w:val="21"/>
        </w:rPr>
        <w:t>年，从项目验收合格之日起开始计算</w:t>
      </w:r>
      <w:r>
        <w:rPr>
          <w:sz w:val="21"/>
        </w:rPr>
        <w:t>。</w:t>
      </w:r>
      <w:r>
        <w:rPr>
          <w:sz w:val="21"/>
        </w:rPr>
        <w:t>项目正式验收合格后在三年合同履约期内提供免费</w:t>
      </w:r>
      <w:r>
        <w:rPr>
          <w:sz w:val="21"/>
        </w:rPr>
        <w:t>维护</w:t>
      </w:r>
      <w:r>
        <w:rPr>
          <w:sz w:val="21"/>
        </w:rPr>
        <w:t>升级服务、保修及其他售后服务</w:t>
      </w:r>
      <w:r>
        <w:rPr>
          <w:sz w:val="21"/>
        </w:rPr>
        <w:t>。乙方</w:t>
      </w:r>
      <w:r>
        <w:rPr>
          <w:sz w:val="21"/>
        </w:rPr>
        <w:t>帮助</w:t>
      </w:r>
      <w:r>
        <w:rPr>
          <w:sz w:val="21"/>
        </w:rPr>
        <w:t>甲方</w:t>
      </w:r>
      <w:r>
        <w:rPr>
          <w:sz w:val="21"/>
        </w:rPr>
        <w:t>解决在应用过程中遇到的各种技术问题</w:t>
      </w:r>
      <w:r>
        <w:rPr>
          <w:sz w:val="21"/>
        </w:rPr>
        <w:t>。</w:t>
      </w:r>
    </w:p>
    <w:p>
      <w:pPr>
        <w:pStyle w:val="null3"/>
        <w:ind w:right="135" w:firstLine="420"/>
        <w:jc w:val="both"/>
      </w:pPr>
      <w:r>
        <w:rPr>
          <w:sz w:val="21"/>
        </w:rPr>
        <w:t>2.</w:t>
      </w:r>
      <w:r>
        <w:rPr>
          <w:sz w:val="21"/>
        </w:rPr>
        <w:t>质保期满后，乙方应以最优惠条件向甲方提供有偿的技术支持，工作量单价不得高于</w:t>
      </w:r>
      <w:r>
        <w:rPr>
          <w:sz w:val="21"/>
        </w:rPr>
        <w:t>市场平均单价</w:t>
      </w:r>
      <w:r>
        <w:rPr>
          <w:sz w:val="21"/>
        </w:rPr>
        <w:t>。</w:t>
      </w:r>
    </w:p>
    <w:p>
      <w:pPr>
        <w:pStyle w:val="null3"/>
        <w:ind w:right="135" w:firstLine="420"/>
        <w:jc w:val="both"/>
      </w:pPr>
      <w:r>
        <w:rPr>
          <w:sz w:val="21"/>
        </w:rPr>
        <w:t>3.</w:t>
      </w:r>
      <w:r>
        <w:rPr>
          <w:sz w:val="21"/>
        </w:rPr>
        <w:t>从验收之日起合同履约期内，如软件系统发生非人为故障，</w:t>
      </w:r>
      <w:r>
        <w:rPr>
          <w:sz w:val="21"/>
        </w:rPr>
        <w:t>乙方</w:t>
      </w:r>
      <w:r>
        <w:rPr>
          <w:sz w:val="21"/>
        </w:rPr>
        <w:t>须修正到符合合同要求。</w:t>
      </w:r>
    </w:p>
    <w:p>
      <w:pPr>
        <w:pStyle w:val="null3"/>
        <w:ind w:right="135" w:firstLine="420"/>
        <w:jc w:val="both"/>
      </w:pPr>
      <w:r>
        <w:rPr>
          <w:sz w:val="21"/>
        </w:rPr>
        <w:t>4.</w:t>
      </w:r>
      <w:r>
        <w:rPr>
          <w:sz w:val="21"/>
        </w:rPr>
        <w:t>保修期内用户所购设备各部件发生非人为故障，</w:t>
      </w:r>
      <w:r>
        <w:rPr>
          <w:sz w:val="21"/>
        </w:rPr>
        <w:t>成交</w:t>
      </w:r>
      <w:r>
        <w:rPr>
          <w:sz w:val="21"/>
        </w:rPr>
        <w:t>供货商应免费上门更换同种品牌不低于原规格型号的新部件</w:t>
      </w:r>
      <w:r>
        <w:rPr>
          <w:sz w:val="21"/>
        </w:rPr>
        <w:t>。</w:t>
      </w:r>
    </w:p>
    <w:p>
      <w:pPr>
        <w:pStyle w:val="null3"/>
        <w:ind w:right="135" w:firstLine="420"/>
        <w:jc w:val="both"/>
      </w:pPr>
      <w:r>
        <w:rPr>
          <w:sz w:val="21"/>
        </w:rPr>
        <w:t>5.</w:t>
      </w:r>
      <w:r>
        <w:rPr>
          <w:sz w:val="21"/>
        </w:rPr>
        <w:t>保修期间内同一硬件一个月内连续</w:t>
      </w:r>
      <w:r>
        <w:rPr>
          <w:sz w:val="21"/>
        </w:rPr>
        <w:t>3次出现同一故障，</w:t>
      </w:r>
      <w:r>
        <w:rPr>
          <w:sz w:val="21"/>
        </w:rPr>
        <w:t>成交</w:t>
      </w:r>
      <w:r>
        <w:rPr>
          <w:sz w:val="21"/>
        </w:rPr>
        <w:t>供货商须无偿更换同一档次设备</w:t>
      </w:r>
      <w:r>
        <w:rPr>
          <w:sz w:val="21"/>
        </w:rPr>
        <w:t>。</w:t>
      </w:r>
    </w:p>
    <w:p>
      <w:pPr>
        <w:pStyle w:val="null3"/>
        <w:ind w:right="135" w:firstLine="420"/>
        <w:jc w:val="both"/>
      </w:pPr>
      <w:r>
        <w:rPr>
          <w:sz w:val="21"/>
        </w:rPr>
        <w:t>6.</w:t>
      </w:r>
      <w:r>
        <w:rPr>
          <w:sz w:val="21"/>
        </w:rPr>
        <w:t>保修期后，产品厂商须继续提供产品使用运行的技术支持，包括故障排除及零备件的供应等</w:t>
      </w:r>
      <w:r>
        <w:rPr>
          <w:sz w:val="21"/>
        </w:rPr>
        <w:t>。</w:t>
      </w:r>
    </w:p>
    <w:p>
      <w:pPr>
        <w:pStyle w:val="null3"/>
        <w:ind w:right="135" w:firstLine="420"/>
        <w:jc w:val="both"/>
      </w:pPr>
      <w:r>
        <w:rPr>
          <w:sz w:val="21"/>
        </w:rPr>
        <w:t>7.</w:t>
      </w:r>
      <w:r>
        <w:rPr>
          <w:sz w:val="21"/>
        </w:rPr>
        <w:t>售后服务期内要求提供</w:t>
      </w:r>
      <w:r>
        <w:rPr>
          <w:sz w:val="21"/>
        </w:rPr>
        <w:t>7×24小时技术支持响应服务。在出现系统故障的30分钟内给予问题的解答，如需现场解决，在故障发生</w:t>
      </w:r>
      <w:r>
        <w:rPr>
          <w:sz w:val="21"/>
        </w:rPr>
        <w:t>4</w:t>
      </w:r>
      <w:r>
        <w:rPr>
          <w:sz w:val="21"/>
        </w:rPr>
        <w:t>小时内，派技术人员到达现场解决问题。对于发现的软件自身功能问题，须免费提供永久支持、及时给予圆满解决；在远程维护无法解决问题的情况下，要派遣技术人员上门解决。</w:t>
      </w:r>
    </w:p>
    <w:p>
      <w:pPr>
        <w:pStyle w:val="null3"/>
        <w:ind w:right="135" w:firstLine="420"/>
        <w:jc w:val="both"/>
      </w:pPr>
      <w:r>
        <w:rPr>
          <w:sz w:val="21"/>
        </w:rPr>
        <w:t>8.</w:t>
      </w:r>
      <w:r>
        <w:rPr>
          <w:sz w:val="21"/>
        </w:rPr>
        <w:t>甲方上班时间内乙方的技术人员在</w:t>
      </w:r>
      <w:r>
        <w:rPr>
          <w:sz w:val="21"/>
        </w:rPr>
        <w:t>1小时内进行响应，8小时内到场或远程处理。非上班时间（除发生用户数据丢失故障外）的技术人员在下一个工作日的前2小时内到场响应。对于用户的故障，一般故障要求在8小时内解决，重大故障最迟不超过48小时内解决。</w:t>
      </w:r>
    </w:p>
    <w:p>
      <w:pPr>
        <w:pStyle w:val="null3"/>
        <w:ind w:right="135" w:firstLine="420"/>
        <w:jc w:val="both"/>
      </w:pPr>
      <w:r>
        <w:rPr>
          <w:sz w:val="21"/>
        </w:rPr>
        <w:t>9.因乙方操作失误导致的数据丢失，乙方负责恢复；非乙方责任的数据丢失，乙方提供技术支持。</w:t>
      </w:r>
    </w:p>
    <w:p>
      <w:pPr>
        <w:pStyle w:val="null3"/>
        <w:ind w:right="135" w:firstLine="420"/>
        <w:jc w:val="both"/>
      </w:pPr>
      <w:r>
        <w:rPr>
          <w:sz w:val="21"/>
        </w:rPr>
        <w:t>10.</w:t>
      </w:r>
      <w:r>
        <w:rPr>
          <w:sz w:val="21"/>
        </w:rPr>
        <w:t>故障</w:t>
      </w:r>
      <w:r>
        <w:rPr>
          <w:sz w:val="21"/>
        </w:rPr>
        <w:t>48小时内无法解决的，乙方须在故障发生的48小时内提供备机直到故障恢复。</w:t>
      </w:r>
    </w:p>
    <w:p>
      <w:pPr>
        <w:pStyle w:val="null3"/>
        <w:ind w:right="135" w:firstLine="420"/>
        <w:jc w:val="both"/>
      </w:pPr>
      <w:r>
        <w:rPr>
          <w:sz w:val="21"/>
        </w:rPr>
        <w:t>11.</w:t>
      </w:r>
      <w:r>
        <w:rPr>
          <w:sz w:val="21"/>
        </w:rPr>
        <w:t>乙方</w:t>
      </w:r>
      <w:r>
        <w:rPr>
          <w:sz w:val="21"/>
        </w:rPr>
        <w:t>应提供包括但不限于满足设备安装、使用和维护的技术文件，如仪器和附件箱清单、质量合格检定证明文件、保修服务卡、使用中文说明和中文维护手册</w:t>
      </w:r>
      <w:r>
        <w:rPr>
          <w:sz w:val="21"/>
        </w:rPr>
        <w:t>。</w:t>
      </w:r>
    </w:p>
    <w:p>
      <w:pPr>
        <w:pStyle w:val="null3"/>
        <w:spacing w:before="150" w:after="150"/>
        <w:jc w:val="both"/>
      </w:pPr>
      <w:r>
        <w:rPr>
          <w:sz w:val="21"/>
          <w:b/>
          <w:color w:val="000000"/>
        </w:rPr>
        <w:t>第十一条</w:t>
      </w:r>
      <w:r>
        <w:rPr>
          <w:sz w:val="21"/>
          <w:b/>
          <w:color w:val="000000"/>
        </w:rPr>
        <w:t>知识产权</w:t>
      </w:r>
    </w:p>
    <w:p>
      <w:pPr>
        <w:pStyle w:val="null3"/>
        <w:ind w:right="135" w:firstLine="420"/>
        <w:jc w:val="both"/>
      </w:pPr>
      <w:r>
        <w:rPr>
          <w:sz w:val="21"/>
        </w:rPr>
        <w:t>1.</w:t>
      </w:r>
      <w:r>
        <w:rPr>
          <w:sz w:val="21"/>
        </w:rPr>
        <w:t>甲方拥有本项目采购的所有产品的使用权。</w:t>
      </w:r>
      <w:r>
        <w:rPr>
          <w:sz w:val="21"/>
          <w:color w:val="333333"/>
          <w:shd w:fill="FFFFFF" w:val="clear"/>
        </w:rPr>
        <w:t>为本项目定制开发的软件，知识产权归甲方所有，乙方保留基础框架的原有权利。</w:t>
      </w:r>
    </w:p>
    <w:p>
      <w:pPr>
        <w:pStyle w:val="null3"/>
        <w:ind w:right="135" w:firstLine="420"/>
        <w:jc w:val="both"/>
      </w:pPr>
      <w:r>
        <w:rPr>
          <w:sz w:val="21"/>
        </w:rPr>
        <w:t>2.</w:t>
      </w:r>
      <w:r>
        <w:rPr>
          <w:sz w:val="21"/>
        </w:rPr>
        <w:t>乙方为执行本合同而提供的技术资料使用权归甲方所有。</w:t>
      </w:r>
    </w:p>
    <w:p>
      <w:pPr>
        <w:pStyle w:val="null3"/>
        <w:ind w:right="135" w:firstLine="420"/>
        <w:jc w:val="both"/>
      </w:pPr>
      <w:r>
        <w:rPr>
          <w:sz w:val="21"/>
        </w:rPr>
        <w:t>3.</w:t>
      </w:r>
      <w:r>
        <w:rPr>
          <w:sz w:val="21"/>
        </w:rPr>
        <w:t>乙方应保证甲方在使用所提供的软件产品的任何一部分时，免受第三方提出的侵犯其专利权、商标权或其他知识产权的起诉。如发生此类纠纷，由乙方承担一切责任。</w:t>
      </w:r>
    </w:p>
    <w:p>
      <w:pPr>
        <w:pStyle w:val="null3"/>
        <w:ind w:right="135" w:firstLine="420"/>
        <w:jc w:val="both"/>
      </w:pPr>
      <w:r>
        <w:rPr>
          <w:sz w:val="21"/>
        </w:rPr>
        <w:t>4.</w:t>
      </w:r>
      <w:r>
        <w:rPr>
          <w:sz w:val="21"/>
          <w:color w:val="333333"/>
          <w:shd w:fill="FFFFFF" w:val="clear"/>
        </w:rPr>
        <w:t>甲方不得将乙方提供的专用工具类软件用于本合同约定以外的商业用途。</w:t>
      </w:r>
    </w:p>
    <w:p>
      <w:pPr>
        <w:pStyle w:val="null3"/>
        <w:spacing w:before="150" w:after="150"/>
        <w:jc w:val="both"/>
      </w:pPr>
      <w:r>
        <w:rPr>
          <w:sz w:val="21"/>
          <w:b/>
          <w:color w:val="000000"/>
        </w:rPr>
        <w:t>第十二条</w:t>
      </w:r>
      <w:r>
        <w:rPr>
          <w:sz w:val="21"/>
          <w:b/>
          <w:color w:val="000000"/>
        </w:rPr>
        <w:t>保密</w:t>
      </w:r>
    </w:p>
    <w:p>
      <w:pPr>
        <w:pStyle w:val="null3"/>
        <w:ind w:right="135" w:firstLine="420"/>
        <w:jc w:val="both"/>
      </w:pPr>
      <w:r>
        <w:rPr>
          <w:sz w:val="21"/>
        </w:rPr>
        <w:t>由甲方向乙方提供的采购项目内容</w:t>
      </w:r>
      <w:r>
        <w:rPr>
          <w:sz w:val="21"/>
        </w:rPr>
        <w:t>的</w:t>
      </w:r>
      <w:r>
        <w:rPr>
          <w:sz w:val="21"/>
        </w:rPr>
        <w:t>所有资料，乙方获得后，应对其保密。除非甲方同意，乙方不得向第三方透露或将其用于本项目以外的任何用途。乙方在甲方要求的时间内须按甲方的要求归还甲方认为需保密的文件和资料，并销毁所有需</w:t>
      </w:r>
      <w:r>
        <w:rPr>
          <w:sz w:val="21"/>
        </w:rPr>
        <w:t>要保</w:t>
      </w:r>
      <w:r>
        <w:rPr>
          <w:sz w:val="21"/>
        </w:rPr>
        <w:t>密的备份文件和资料。</w:t>
      </w:r>
    </w:p>
    <w:p>
      <w:pPr>
        <w:pStyle w:val="null3"/>
        <w:spacing w:before="150" w:after="150"/>
        <w:jc w:val="both"/>
      </w:pPr>
      <w:r>
        <w:rPr>
          <w:sz w:val="21"/>
          <w:b/>
          <w:color w:val="000000"/>
        </w:rPr>
        <w:t>第十三条</w:t>
      </w:r>
      <w:r>
        <w:rPr>
          <w:sz w:val="21"/>
          <w:b/>
          <w:color w:val="000000"/>
        </w:rPr>
        <w:t>违约责任</w:t>
      </w:r>
    </w:p>
    <w:p>
      <w:pPr>
        <w:pStyle w:val="null3"/>
        <w:ind w:right="135" w:firstLine="420"/>
        <w:jc w:val="both"/>
      </w:pPr>
      <w:r>
        <w:rPr>
          <w:sz w:val="21"/>
        </w:rPr>
        <w:t>1．乙方未能按本合同规定的交货时间交付货物的/提供服务，从逾期之日起每日按本合同总价8‰的数额向甲方支付违约金；逾期1个月乙方仍不能完成，甲方有权终止合同，由此造成的甲方经济损失由乙方承担。乙方收到甲方单方解除通知书后3日内，将已经交付的部分设备收回，逾期的，甲方有权自行处理，一切不利后果由乙方自行承担。逾期后甲方使用的，不视为甲方同意接受。</w:t>
      </w:r>
    </w:p>
    <w:p>
      <w:pPr>
        <w:pStyle w:val="null3"/>
        <w:ind w:right="135" w:firstLine="420"/>
        <w:jc w:val="both"/>
      </w:pPr>
      <w:r>
        <w:rPr>
          <w:sz w:val="21"/>
        </w:rPr>
        <w:t>2．乙方交付的货物、工程/提供的服务不符合招标文件、报价文件或本合同规定的，甲方有权拒收，并且乙方须向甲方支付本合同总价20%的违约金，甲方有权终止合同。</w:t>
      </w:r>
    </w:p>
    <w:p>
      <w:pPr>
        <w:pStyle w:val="null3"/>
        <w:ind w:right="135" w:firstLine="420"/>
        <w:jc w:val="both"/>
      </w:pPr>
      <w:r>
        <w:rPr>
          <w:sz w:val="21"/>
        </w:rPr>
        <w:t>3．乙方违反本合同约定的其他义务，也应该向甲方承担违约责任。</w:t>
      </w:r>
    </w:p>
    <w:p>
      <w:pPr>
        <w:pStyle w:val="null3"/>
        <w:ind w:right="135" w:firstLine="420"/>
        <w:jc w:val="both"/>
      </w:pPr>
      <w:r>
        <w:rPr>
          <w:sz w:val="21"/>
        </w:rPr>
        <w:t>4．乙方非法转包的，甲方有权单方解除合同，并追究乙方单方的违约责任。</w:t>
      </w:r>
    </w:p>
    <w:p>
      <w:pPr>
        <w:pStyle w:val="null3"/>
        <w:ind w:right="135" w:firstLine="420"/>
        <w:jc w:val="both"/>
      </w:pPr>
      <w:r>
        <w:rPr>
          <w:sz w:val="21"/>
        </w:rPr>
        <w:t>5．甲方无正当理由拒收产品/接受服务，到期拒付产品/服务款项的，甲方向乙方偿付本合同总价的20%的违约金。</w:t>
      </w:r>
    </w:p>
    <w:p>
      <w:pPr>
        <w:pStyle w:val="null3"/>
        <w:ind w:right="135" w:firstLine="420"/>
        <w:jc w:val="both"/>
      </w:pPr>
      <w:r>
        <w:rPr>
          <w:sz w:val="21"/>
        </w:rPr>
        <w:t>6．</w:t>
      </w:r>
      <w:r>
        <w:rPr>
          <w:sz w:val="21"/>
        </w:rPr>
        <w:t>其他</w:t>
      </w:r>
      <w:r>
        <w:rPr>
          <w:sz w:val="21"/>
        </w:rPr>
        <w:t>违约责任按《中华人民共和国民法典》处理。</w:t>
      </w:r>
    </w:p>
    <w:p>
      <w:pPr>
        <w:pStyle w:val="null3"/>
        <w:spacing w:before="150" w:after="150"/>
        <w:jc w:val="both"/>
      </w:pPr>
      <w:r>
        <w:rPr>
          <w:sz w:val="21"/>
          <w:b/>
          <w:color w:val="000000"/>
        </w:rPr>
        <w:t>第十四条</w:t>
      </w:r>
      <w:r>
        <w:rPr>
          <w:sz w:val="21"/>
          <w:b/>
          <w:color w:val="000000"/>
        </w:rPr>
        <w:t>争议解决</w:t>
      </w:r>
    </w:p>
    <w:p>
      <w:pPr>
        <w:pStyle w:val="null3"/>
        <w:ind w:right="135" w:firstLine="420"/>
        <w:jc w:val="both"/>
      </w:pPr>
      <w:r>
        <w:rPr>
          <w:sz w:val="21"/>
        </w:rPr>
        <w:t>1.</w:t>
      </w:r>
      <w:r>
        <w:rPr>
          <w:sz w:val="21"/>
        </w:rPr>
        <w:t>本合同在履行期间，双方发生争议时，可采取协商解决或请有关部门进行调解。</w:t>
      </w:r>
    </w:p>
    <w:p>
      <w:pPr>
        <w:pStyle w:val="null3"/>
        <w:ind w:right="135" w:firstLine="420"/>
        <w:jc w:val="both"/>
      </w:pPr>
      <w:r>
        <w:rPr>
          <w:sz w:val="21"/>
        </w:rPr>
        <w:t>2.</w:t>
      </w:r>
      <w:r>
        <w:rPr>
          <w:sz w:val="21"/>
        </w:rPr>
        <w:t>签订双方在履约中发生争议和分歧，双方应友好协商解决，</w:t>
      </w:r>
      <w:r>
        <w:rPr>
          <w:sz w:val="21"/>
          <w:color w:val="333333"/>
          <w:shd w:fill="FFFFFF" w:val="clear"/>
        </w:rPr>
        <w:t>协商不成，提交合同签订地（河源市源城区）有管辖权的人民法院诉讼解决。</w:t>
      </w:r>
    </w:p>
    <w:p>
      <w:pPr>
        <w:pStyle w:val="null3"/>
        <w:spacing w:before="150" w:after="150"/>
        <w:jc w:val="both"/>
      </w:pPr>
      <w:r>
        <w:rPr>
          <w:sz w:val="21"/>
          <w:b/>
          <w:color w:val="000000"/>
        </w:rPr>
        <w:t>第十五条</w:t>
      </w:r>
      <w:r>
        <w:rPr>
          <w:sz w:val="21"/>
          <w:b/>
          <w:color w:val="000000"/>
        </w:rPr>
        <w:t>不可抗力</w:t>
      </w:r>
    </w:p>
    <w:p>
      <w:pPr>
        <w:pStyle w:val="null3"/>
        <w:ind w:firstLine="420"/>
        <w:jc w:val="both"/>
      </w:pPr>
      <w:r>
        <w:rPr>
          <w:sz w:val="21"/>
          <w:color w:val="000000"/>
        </w:rPr>
        <w:t>任何一方由于不可抗力原因不能履行合同时，应在不可抗力事件结束后</w:t>
      </w:r>
      <w:r>
        <w:rPr>
          <w:sz w:val="21"/>
          <w:color w:val="000000"/>
        </w:rPr>
        <w:t>1日内向对方通报，以减轻可能给对方造成的损失，在取得有关机构的不可抗力证明或双方谅解确认后，允许延期履行或修订合同，并根据情况可部分或全部免于承担违约责任。</w:t>
      </w:r>
    </w:p>
    <w:p>
      <w:pPr>
        <w:pStyle w:val="null3"/>
        <w:spacing w:before="150" w:after="150"/>
        <w:jc w:val="both"/>
      </w:pPr>
      <w:r>
        <w:rPr>
          <w:sz w:val="21"/>
          <w:b/>
          <w:color w:val="000000"/>
        </w:rPr>
        <w:t>第十</w:t>
      </w:r>
      <w:r>
        <w:rPr>
          <w:sz w:val="21"/>
          <w:b/>
          <w:color w:val="000000"/>
        </w:rPr>
        <w:t>六条</w:t>
      </w:r>
      <w:r>
        <w:rPr>
          <w:sz w:val="21"/>
          <w:b/>
          <w:color w:val="000000"/>
        </w:rPr>
        <w:t>税费</w:t>
      </w:r>
    </w:p>
    <w:p>
      <w:pPr>
        <w:pStyle w:val="null3"/>
        <w:ind w:firstLine="420"/>
        <w:jc w:val="both"/>
      </w:pPr>
      <w:r>
        <w:rPr>
          <w:sz w:val="21"/>
          <w:color w:val="000000"/>
        </w:rPr>
        <w:t>在中国境内、境外发生的与本合同执行有关的一切税费（</w:t>
      </w:r>
      <w:r>
        <w:rPr>
          <w:sz w:val="21"/>
          <w:color w:val="333333"/>
          <w:shd w:fill="FFFFFF" w:val="clear"/>
        </w:rPr>
        <w:t>如涉及进口货物，乙方需提供海关完税凭证及原产地证明，否则甲方有权拒付相应款项</w:t>
      </w:r>
      <w:r>
        <w:rPr>
          <w:sz w:val="21"/>
          <w:color w:val="000000"/>
        </w:rPr>
        <w:t>）均应由乙方负担。</w:t>
      </w:r>
    </w:p>
    <w:p>
      <w:pPr>
        <w:pStyle w:val="null3"/>
        <w:spacing w:before="150" w:after="150"/>
        <w:jc w:val="both"/>
      </w:pPr>
      <w:r>
        <w:rPr>
          <w:sz w:val="21"/>
          <w:b/>
          <w:color w:val="000000"/>
        </w:rPr>
        <w:t>第十七条</w:t>
      </w:r>
      <w:r>
        <w:rPr>
          <w:sz w:val="21"/>
          <w:b/>
          <w:color w:val="000000"/>
        </w:rPr>
        <w:t>其他</w:t>
      </w:r>
    </w:p>
    <w:p>
      <w:pPr>
        <w:pStyle w:val="null3"/>
        <w:ind w:right="135" w:firstLine="420"/>
        <w:jc w:val="both"/>
      </w:pPr>
      <w:r>
        <w:rPr>
          <w:sz w:val="21"/>
        </w:rPr>
        <w:t>1.</w:t>
      </w:r>
      <w:r>
        <w:rPr>
          <w:sz w:val="21"/>
        </w:rPr>
        <w:t>本合同所有附件、谈判文件、响应文件、成交通知书均为合同的有效组成部分，与本合同具有同等法律效力。</w:t>
      </w:r>
    </w:p>
    <w:p>
      <w:pPr>
        <w:pStyle w:val="null3"/>
        <w:ind w:right="135"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right="135" w:firstLine="420"/>
        <w:jc w:val="both"/>
      </w:pPr>
      <w:r>
        <w:rPr>
          <w:sz w:val="21"/>
        </w:rPr>
        <w:t>3.</w:t>
      </w:r>
      <w:r>
        <w:rPr>
          <w:sz w:val="21"/>
        </w:rPr>
        <w:t>如一方地址、电话、传真号码有变更，应在变更当日内书面通知对方，否则，应承担相应责任。</w:t>
      </w:r>
    </w:p>
    <w:p>
      <w:pPr>
        <w:pStyle w:val="null3"/>
        <w:spacing w:before="150" w:after="150"/>
        <w:jc w:val="both"/>
      </w:pPr>
      <w:r>
        <w:rPr>
          <w:sz w:val="21"/>
          <w:b/>
          <w:color w:val="000000"/>
        </w:rPr>
        <w:t>第十八条</w:t>
      </w:r>
      <w:r>
        <w:rPr>
          <w:sz w:val="21"/>
          <w:b/>
          <w:color w:val="000000"/>
        </w:rPr>
        <w:t>合同终止</w:t>
      </w:r>
    </w:p>
    <w:p>
      <w:pPr>
        <w:pStyle w:val="null3"/>
        <w:ind w:right="135" w:firstLine="420"/>
        <w:jc w:val="both"/>
      </w:pPr>
      <w:r>
        <w:rPr>
          <w:sz w:val="21"/>
        </w:rPr>
        <w:t>如果一方严重违反合同，并在收到对方违约通知书后在</w:t>
      </w:r>
      <w:r>
        <w:rPr>
          <w:sz w:val="21"/>
        </w:rPr>
        <w:t>30天内仍未能改正的，另一方可立即终止本合同。</w:t>
      </w:r>
    </w:p>
    <w:p>
      <w:pPr>
        <w:pStyle w:val="null3"/>
        <w:spacing w:before="150" w:after="150"/>
        <w:jc w:val="both"/>
      </w:pPr>
      <w:r>
        <w:rPr>
          <w:sz w:val="21"/>
          <w:b/>
          <w:color w:val="000000"/>
        </w:rPr>
        <w:t>第十九条</w:t>
      </w:r>
      <w:r>
        <w:rPr>
          <w:sz w:val="21"/>
          <w:b/>
          <w:color w:val="000000"/>
        </w:rPr>
        <w:t>合同生效</w:t>
      </w:r>
    </w:p>
    <w:p>
      <w:pPr>
        <w:pStyle w:val="null3"/>
        <w:ind w:right="135" w:firstLine="420"/>
        <w:jc w:val="both"/>
      </w:pPr>
      <w:r>
        <w:rPr>
          <w:sz w:val="21"/>
        </w:rPr>
        <w:t>1．本合同在甲乙双方法定代表人或其授权代表签字盖章后生效。合同签字日期以最后一个签字日为准。</w:t>
      </w:r>
    </w:p>
    <w:p>
      <w:pPr>
        <w:pStyle w:val="null3"/>
        <w:ind w:right="135" w:firstLine="420"/>
        <w:jc w:val="both"/>
      </w:pPr>
      <w:r>
        <w:rPr>
          <w:sz w:val="21"/>
        </w:rPr>
        <w:t>2．本合同一式捌份，甲方执伍份，乙方执贰份，采购代理机构执壹份，均</w:t>
      </w:r>
      <w:r>
        <w:rPr>
          <w:sz w:val="21"/>
        </w:rPr>
        <w:t>具有</w:t>
      </w:r>
      <w:r>
        <w:rPr>
          <w:sz w:val="21"/>
        </w:rPr>
        <w:t>同等效力。</w:t>
      </w:r>
    </w:p>
    <w:tbl>
      <w:tblPr>
        <w:tblW w:w="0" w:type="auto"/>
        <w:tblBorders>
          <w:top w:val="none" w:color="000000" w:sz="4"/>
          <w:left w:val="none" w:color="000000" w:sz="4"/>
          <w:bottom w:val="none" w:color="000000" w:sz="4"/>
          <w:right w:val="none" w:color="000000" w:sz="4"/>
          <w:insideH w:val="none"/>
          <w:insideV w:val="none"/>
        </w:tblBorders>
      </w:tblPr>
      <w:tblGrid>
        <w:gridCol w:w="3905"/>
        <w:gridCol w:w="4400"/>
      </w:tblGrid>
      <w:tr>
        <w:tc>
          <w:tcPr>
            <w:tcW w:type="dxa" w:w="39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4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39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甲方法定代表人（签字）：</w:t>
            </w:r>
          </w:p>
        </w:tc>
        <w:tc>
          <w:tcPr>
            <w:tcW w:type="dxa" w:w="4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乙方法定代表人（签字）：</w:t>
            </w:r>
          </w:p>
        </w:tc>
      </w:tr>
      <w:tr>
        <w:tc>
          <w:tcPr>
            <w:tcW w:type="dxa" w:w="39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或授权代表（签字）：</w:t>
            </w:r>
          </w:p>
        </w:tc>
        <w:tc>
          <w:tcPr>
            <w:tcW w:type="dxa" w:w="4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或授权代表（签字）：</w:t>
            </w:r>
          </w:p>
        </w:tc>
      </w:tr>
      <w:tr>
        <w:tc>
          <w:tcPr>
            <w:tcW w:type="dxa" w:w="39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c>
          <w:tcPr>
            <w:tcW w:type="dxa" w:w="4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39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c>
          <w:tcPr>
            <w:tcW w:type="dxa" w:w="4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39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c>
          <w:tcPr>
            <w:tcW w:type="dxa" w:w="4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r>
              <w:rPr>
                <w:sz w:val="21"/>
              </w:rPr>
              <w:t>：</w:t>
            </w:r>
          </w:p>
        </w:tc>
      </w:tr>
      <w:tr>
        <w:tc>
          <w:tcPr>
            <w:tcW w:type="dxa" w:w="39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w:t>
            </w:r>
            <w:r>
              <w:rPr>
                <w:sz w:val="21"/>
              </w:rPr>
              <w:t>日期：</w:t>
            </w:r>
          </w:p>
        </w:tc>
        <w:tc>
          <w:tcPr>
            <w:tcW w:type="dxa" w:w="4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w:t>
            </w:r>
            <w:r>
              <w:rPr>
                <w:sz w:val="21"/>
              </w:rPr>
              <w:t>日期：</w:t>
            </w:r>
          </w:p>
        </w:tc>
      </w:tr>
      <w:tr>
        <w:tc>
          <w:tcPr>
            <w:tcW w:type="dxa" w:w="39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w:t>
            </w:r>
            <w:r>
              <w:rPr>
                <w:sz w:val="21"/>
              </w:rPr>
              <w:t>地点：</w:t>
            </w:r>
          </w:p>
        </w:tc>
        <w:tc>
          <w:tcPr>
            <w:tcW w:type="dxa" w:w="4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9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4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开户名称：</w:t>
            </w:r>
          </w:p>
        </w:tc>
      </w:tr>
      <w:tr>
        <w:tc>
          <w:tcPr>
            <w:tcW w:type="dxa" w:w="39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银行账号：</w:t>
            </w:r>
          </w:p>
        </w:tc>
      </w:tr>
      <w:tr>
        <w:tc>
          <w:tcPr>
            <w:tcW w:type="dxa" w:w="39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开户行：</w:t>
            </w:r>
          </w:p>
          <w:p>
            <w:pPr>
              <w:pStyle w:val="null3"/>
              <w:jc w:val="both"/>
            </w:pPr>
          </w:p>
        </w:tc>
      </w:tr>
    </w:tbl>
    <w:p>
      <w:pPr>
        <w:pStyle w:val="null3"/>
        <w:jc w:val="both"/>
      </w:pPr>
      <w:r>
        <w:rPr>
          <w:sz w:val="21"/>
        </w:rPr>
        <w:t>合同签订地：河源职业技术学院</w:t>
      </w:r>
    </w:p>
    <w:p>
      <w:pPr>
        <w:pStyle w:val="null3"/>
        <w:jc w:val="left"/>
      </w:pPr>
      <w:r>
        <w:rPr>
          <w:sz w:val="21"/>
          <w:b/>
          <w:color w:val="000000"/>
        </w:rPr>
        <w:t>附件</w:t>
      </w:r>
      <w:r>
        <w:rPr>
          <w:sz w:val="21"/>
          <w:b/>
          <w:color w:val="000000"/>
        </w:rPr>
        <w:t>1：中标通知书</w:t>
      </w:r>
    </w:p>
    <w:p>
      <w:pPr>
        <w:pStyle w:val="null3"/>
        <w:jc w:val="both"/>
      </w:pPr>
      <w:r>
        <w:rPr>
          <w:sz w:val="21"/>
          <w:b/>
        </w:rPr>
        <w:t>注：</w:t>
      </w:r>
      <w:r>
        <w:rPr>
          <w:sz w:val="21"/>
          <w:b/>
        </w:rPr>
        <w:t>此为合同草案，可根据谈判情况进行变更！</w:t>
      </w:r>
    </w:p>
    <w:p>
      <w:pPr>
        <w:pStyle w:val="null3"/>
        <w:jc w:val="both"/>
      </w:pPr>
      <w:r>
        <w:rPr/>
        <w:t xml:space="preserve">  </w:t>
      </w:r>
    </w:p>
    <w:p>
      <w:pPr>
        <w:pStyle w:val="null3"/>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按照谈判文件要求，供应商应当提交的资格、资信证明文件。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441601-2025-01143</w:t>
      </w:r>
    </w:p>
    <w:p>
      <w:pPr>
        <w:pStyle w:val="null3"/>
        <w:jc w:val="center"/>
        <w:outlineLvl w:val="3"/>
      </w:pPr>
      <w:r>
        <w:rPr>
          <w:sz w:val="24"/>
          <w:b/>
        </w:rPr>
        <w:t>采购项目编号：</w:t>
      </w:r>
      <w:r>
        <w:rPr>
          <w:sz w:val="24"/>
          <w:b/>
        </w:rPr>
        <w:t>ZZ0250339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响应承诺函</w:t>
      </w:r>
    </w:p>
    <w:p>
      <w:pPr>
        <w:pStyle w:val="null3"/>
        <w:ind w:firstLine="480"/>
      </w:pPr>
      <w:r>
        <w:rPr/>
        <w:t>致：</w:t>
      </w:r>
      <w:r>
        <w:rPr>
          <w:u w:val="single"/>
        </w:rPr>
        <w:t>广东志正招标有限公司</w:t>
      </w:r>
    </w:p>
    <w:p>
      <w:pPr>
        <w:pStyle w:val="null3"/>
        <w:ind w:firstLine="480"/>
      </w:pPr>
      <w:r>
        <w:rPr/>
        <w:t>你方组织的</w:t>
      </w:r>
      <w:r>
        <w:rPr>
          <w:u w:val="single"/>
        </w:rPr>
        <w:t>“</w:t>
      </w:r>
      <w:r>
        <w:rPr>
          <w:u w:val="single"/>
        </w:rPr>
        <w:t>2024年河源职业技术学院云计算技术与应用实践基地升级改造项目</w:t>
      </w:r>
      <w:r>
        <w:rPr>
          <w:u w:val="single"/>
        </w:rPr>
        <w:t>”</w:t>
      </w:r>
      <w:r>
        <w:rPr/>
        <w:t>项目的竞争性谈判[采购项目编号为：</w:t>
      </w:r>
      <w:r>
        <w:rPr>
          <w:u w:val="single"/>
        </w:rPr>
        <w:t>ZZ0250339</w:t>
      </w:r>
      <w:r>
        <w:rPr/>
        <w:t>]，我方愿参与谈判。</w:t>
      </w:r>
    </w:p>
    <w:p>
      <w:pPr>
        <w:pStyle w:val="null3"/>
        <w:ind w:firstLine="480"/>
      </w:pPr>
      <w:r>
        <w:rPr/>
        <w:t>我方确认收到贵方提供的</w:t>
      </w:r>
      <w:r>
        <w:rPr>
          <w:u w:val="single"/>
        </w:rPr>
        <w:t>“</w:t>
      </w:r>
      <w:r>
        <w:rPr>
          <w:u w:val="single"/>
        </w:rPr>
        <w:t>2024年河源职业技术学院云计算技术与应用实践基地升级改造项目</w:t>
      </w:r>
      <w:r>
        <w:rPr>
          <w:u w:val="single"/>
        </w:rPr>
        <w:t>”</w:t>
      </w:r>
      <w:r>
        <w:rPr/>
        <w:t>项目的谈判文件的全部内容。</w:t>
      </w:r>
    </w:p>
    <w:p>
      <w:pPr>
        <w:pStyle w:val="null3"/>
        <w:ind w:firstLine="480"/>
      </w:pPr>
      <w:r>
        <w:rPr/>
        <w:t xml:space="preserve"> 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我方已完全明白谈判文件的所有条款要求，并申明如下：</w:t>
      </w:r>
    </w:p>
    <w:p>
      <w:pPr>
        <w:pStyle w:val="null3"/>
        <w:ind w:firstLine="480"/>
      </w:pPr>
      <w:r>
        <w:rPr/>
        <w:t>（一）按谈判文件提供的全部货物（工程、服务）与相关服务的谈判总价详见《首轮报价表》。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（五）我方如果成交，将保证履行谈判文件及其澄清、修改文件（如果有）中的全部责任和义务，按质、按量、按期完成《采购需求》及《合同书》中的全部任务。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（七）我方谈判报价已包含应向知识产权所有权人支付的所有相关税费，并保证采购人在中国使用我方提供的货物时，如有第三方提出侵犯其知识产权主张的，责任由我方承担。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以上内容如有虚假或与事实不符的，谈判小组可将我方做无效响应处理，我方愿意承担相应的法律责任。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（十五）所有与本谈判有关的函件请发往下列地址：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作为我公司的全权代理人，就“</w:t>
      </w:r>
      <w:r>
        <w:rPr/>
        <w:t>2024年河源职业技术学院云计算技术与应用实践基地升级改造项目</w:t>
      </w:r>
      <w:r>
        <w:rPr/>
        <w:t>”项目采购[采购项目编号为</w:t>
      </w:r>
      <w:r>
        <w:rPr/>
        <w:t>ZZ0250339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谈判文件要求递交响应保证金的，供应商应在此提供保证金的凭证的复印件。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河源职业技术学院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中小企业声明函（所响应产品制造商为中小企业时提交本函，所属行业应符合谈判文件中明确的本项目所属行业）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中小企业声明函（承建本项目工程为中小企业或者承接本项目服务为中小企业时提交本函，所属行业应符合谈判文件中明确的本项目所属行业）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作为联合体的牵头单位，代表联合体双方负责谈判和合同实施阶段的主办、协调工作。</w:t>
      </w:r>
    </w:p>
    <w:p>
      <w:pPr>
        <w:pStyle w:val="null3"/>
        <w:ind w:firstLine="480"/>
      </w:pPr>
      <w:r>
        <w:rPr/>
        <w:t>2.联合体将严格按照文件的各项要求，递交谈判文件，切实执行一切合同文件，共同承担合同规定的一切义务和责任，同时按照内部职责的划分，承担自身所负的责任和风险，在法律上承担连带责任。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六、本协议书正本一式_____份，随谈判文件装订_____份，送采购人_____份，联合体成员各一份；副本一式_____份，联合体成员各执_____份。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根据上述业绩情况，按谈判文件要求附销售或服务合同复印件。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谈判文件规定的技术和服务要求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pPr>
      <w:r>
        <w:rPr/>
        <w:t xml:space="preserve"> 2.参数性质栏目按谈判文件有标注的“★”、“▲”号条款进行填写，打“★”号条款为实质性条款，若有任何一条负偏离或不满足则导致响应无效。打“▲”号条款为重要技术参数（如有），若有部分“▲”条款未响应或不满足，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谈判文件规定的商务条件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1.“谈判文件规定的商务条件”项下填写的内容应与谈判文件中采购需求的“商务要求”的内容保持一致。</w:t>
      </w:r>
    </w:p>
    <w:p>
      <w:pPr>
        <w:pStyle w:val="null3"/>
        <w:ind w:firstLine="480"/>
      </w:pPr>
      <w:r>
        <w:rPr/>
        <w:t>2.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pPr>
      <w:r>
        <w:rPr/>
        <w:t>3. 打“★”号条款为实质性条款，若有任何一条负偏离或不满足则导致响应无效。打“▲”号条款为重要技术参数（如有），若有部分“▲”条款未响应或不满足，不作为无效响应条款。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各类证明材料</w:t>
      </w:r>
    </w:p>
    <w:p>
      <w:pPr>
        <w:pStyle w:val="null3"/>
        <w:ind w:firstLine="480"/>
      </w:pPr>
      <w:r>
        <w:rPr/>
        <w:t>1.谈判文件要求提供的其他资料。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代理服务费支付承诺书</w:t>
      </w:r>
    </w:p>
    <w:p>
      <w:pPr>
        <w:pStyle w:val="null3"/>
        <w:ind w:firstLine="480"/>
      </w:pPr>
      <w:r>
        <w:rPr/>
        <w:t>致：</w:t>
      </w:r>
      <w:r>
        <w:rPr/>
        <w:t>广东志正招标有限公司</w:t>
      </w:r>
    </w:p>
    <w:p>
      <w:pPr>
        <w:pStyle w:val="null3"/>
        <w:ind w:firstLine="480"/>
      </w:pPr>
      <w:r>
        <w:rPr/>
        <w:t>1、完全响应谈判文件中要求的条款，若提供虚假资料将作为无效响应处理，并接受相关部门的处罚。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谈判、评审、确定成交供应商，以及提供采购前期咨询、协调合同的签订等服务，按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2024年河源职业技术学院云计算技术与应用实践基地升级改造项目</w:t>
      </w:r>
      <w:r>
        <w:rPr/>
        <w:t>”项目（采购项目编号：</w:t>
      </w:r>
      <w:r>
        <w:rPr/>
        <w:t>ZZ0250339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谈判文件获取日期：_____________________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jc w:val="right"/>
      </w:pPr>
      <w:r>
        <w:rPr/>
        <w:t xml:space="preserve"> 签字(签章)： 公章：</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谈判文件公告: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outlineLvl w:val="2"/>
      </w:pPr>
      <w:r>
        <w:rPr>
          <w:sz w:val="28"/>
          <w:b/>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outlineLvl w:val="2"/>
      </w:pPr>
      <w:r>
        <w:rPr>
          <w:sz w:val="28"/>
          <w:b/>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outlineLvl w:val="2"/>
      </w:pPr>
      <w:r>
        <w:rPr>
          <w:sz w:val="28"/>
          <w:b/>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outlineLvl w:val="2"/>
      </w:pPr>
      <w:r>
        <w:rPr>
          <w:sz w:val="28"/>
          <w:b/>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outlineLvl w:val="2"/>
      </w:pPr>
      <w:r>
        <w:rPr>
          <w:sz w:val="28"/>
          <w:b/>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outlineLvl w:val="2"/>
      </w:pPr>
      <w:r>
        <w:rPr>
          <w:sz w:val="28"/>
          <w:b/>
        </w:rPr>
        <w:t>六、争议的解决</w:t>
      </w:r>
    </w:p>
    <w:p>
      <w:pPr>
        <w:pStyle w:val="null3"/>
        <w:ind w:firstLine="480"/>
      </w:pPr>
      <w:r>
        <w:rPr/>
        <w:t>因本保函发生的纠纷，由你我双方协商解决，协商不成的，通过诉讼程序解决，诉讼管辖地法院为___________法院。</w:t>
      </w:r>
    </w:p>
    <w:p>
      <w:pPr>
        <w:pStyle w:val="null3"/>
        <w:outlineLvl w:val="2"/>
      </w:pPr>
      <w:r>
        <w:rPr>
          <w:sz w:val="28"/>
          <w:b/>
        </w:rPr>
        <w:t>七、保函的生效</w:t>
      </w:r>
    </w:p>
    <w:p>
      <w:pPr>
        <w:pStyle w:val="null3"/>
        <w:ind w:firstLine="480"/>
      </w:pPr>
      <w:r>
        <w:rPr/>
        <w:t>本保函自我方加盖公章之日起生效。</w:t>
      </w:r>
    </w:p>
    <w:p>
      <w:pPr>
        <w:pStyle w:val="null3"/>
        <w:jc w:val="right"/>
      </w:pPr>
      <w:r>
        <w:rPr/>
        <w:t>保证人：_______（公章）_______</w:t>
      </w:r>
    </w:p>
    <w:p>
      <w:pPr>
        <w:pStyle w:val="null3"/>
        <w:jc w:val="right"/>
      </w:pPr>
      <w:r>
        <w:rPr/>
        <w:t>联系人：____________________联系电话：____________________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