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440701-2025-01614</w:t>
      </w:r>
    </w:p>
    <w:p>
      <w:pPr>
        <w:pStyle w:val="null3"/>
        <w:jc w:val="center"/>
        <w:outlineLvl w:val="3"/>
      </w:pPr>
      <w:r>
        <w:rPr>
          <w:sz w:val="24"/>
          <w:b/>
        </w:rPr>
        <w:t>采购项目编号：</w:t>
      </w:r>
      <w:r>
        <w:rPr>
          <w:sz w:val="24"/>
          <w:b/>
        </w:rPr>
        <w:t>WYUZB2025-058HW</w:t>
      </w:r>
    </w:p>
    <w:p>
      <w:pPr>
        <w:pStyle w:val="null3"/>
        <w:jc w:val="center"/>
        <w:outlineLvl w:val="3"/>
      </w:pPr>
      <w:r>
        <w:rPr>
          <w:sz w:val="24"/>
          <w:b/>
        </w:rPr>
        <w:t>项目名称：</w:t>
      </w:r>
      <w:r>
        <w:rPr>
          <w:sz w:val="24"/>
          <w:b/>
        </w:rPr>
        <w:t>凝胶液相检测器系统采购项目、纳流液相色谱仪采购项目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凝胶液相检测器系统采购项目、纳流液相色谱仪采购项目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凝胶液相检测器系统采购项目、纳流液相色谱仪采购项目</w:t>
      </w:r>
    </w:p>
    <w:p>
      <w:pPr>
        <w:pStyle w:val="null3"/>
        <w:ind w:firstLine="480"/>
      </w:pPr>
      <w:r>
        <w:rPr/>
        <w:t>采购计划编号：</w:t>
      </w:r>
      <w:r>
        <w:rPr/>
        <w:t>440701-2025-01614</w:t>
      </w:r>
    </w:p>
    <w:p>
      <w:pPr>
        <w:pStyle w:val="null3"/>
        <w:ind w:firstLine="480"/>
      </w:pPr>
      <w:r>
        <w:rPr/>
        <w:t>采购项目编号：</w:t>
      </w:r>
      <w:r>
        <w:rPr/>
        <w:t>WYUZB2025-058HW</w:t>
      </w:r>
    </w:p>
    <w:p>
      <w:pPr>
        <w:pStyle w:val="null3"/>
        <w:ind w:firstLine="480"/>
      </w:pPr>
      <w:r>
        <w:rPr/>
        <w:t>采购方式：</w:t>
      </w:r>
      <w:r>
        <w:rPr/>
        <w:t>公开招标</w:t>
      </w:r>
    </w:p>
    <w:p>
      <w:pPr>
        <w:pStyle w:val="null3"/>
        <w:ind w:firstLine="480"/>
      </w:pPr>
      <w:r>
        <w:rPr/>
        <w:t>预算金额：</w:t>
      </w:r>
      <w:r>
        <w:rPr/>
        <w:t>2,450,000.00</w:t>
      </w:r>
      <w:r>
        <w:rPr/>
        <w:t>元</w:t>
      </w:r>
    </w:p>
    <w:p>
      <w:pPr>
        <w:pStyle w:val="null3"/>
        <w:outlineLvl w:val="3"/>
      </w:pPr>
      <w:r>
        <w:rPr>
          <w:sz w:val="24"/>
          <w:b/>
        </w:rPr>
        <w:t>2.项目内容及需求情况（采购项目技术规格、参数及要求）</w:t>
      </w:r>
    </w:p>
    <w:p>
      <w:pPr>
        <w:pStyle w:val="null3"/>
      </w:pPr>
      <w:r>
        <w:rPr/>
        <w:t>采购包1(凝胶液相检测器系统采购项目):</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凝胶液相检测器系统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合同履行期限：中标人必须在合同签订生效之日起300个日历日内完成所投产品的交货、安装及调试，包括向采购人职能部门提交认可的完整的验收申请资料。</w:t>
      </w:r>
    </w:p>
    <w:p>
      <w:pPr>
        <w:pStyle w:val="null3"/>
      </w:pPr>
      <w:r>
        <w:rPr/>
        <w:t>采购包2(纳流液相色谱仪采购项目):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教学仪器</w:t>
            </w:r>
          </w:p>
        </w:tc>
        <w:tc>
          <w:tcPr>
            <w:tcW w:type="dxa" w:w="2136"/>
          </w:tcPr>
          <w:p>
            <w:pPr>
              <w:pStyle w:val="null3"/>
            </w:pPr>
            <w:r>
              <w:rPr/>
              <w:t>纳流液相色谱仪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合同履行期限：中标人必须在合同签订生效之日起180个日历日内完成所投产品的交货、安装及调试，包括向采购人职能部门提交认可的完整的验收申请资料。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采购包1（凝胶液相检测器系统采购项目）：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采购包2（纳流液相色谱仪采购项目）：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、本项目核心产品为：采购包1：凝胶液相检测器系统；采购包2：纳流液相色谱仪。</w:t>
      </w:r>
    </w:p>
    <w:p>
      <w:pPr>
        <w:pStyle w:val="null3"/>
        <w:jc w:val="both"/>
      </w:pPr>
      <w:r>
        <w:rPr>
          <w:sz w:val="21"/>
          <w:b/>
        </w:rPr>
        <w:t>投标人应在响应文件中清晰列明“货物名称、品牌”。注：若存在多项核心产品，当不同供应商提供的任意一项核心产品的品牌相同，则视同其是所响应核心产品品牌相同供应商。</w:t>
      </w:r>
    </w:p>
    <w:p>
      <w:pPr>
        <w:pStyle w:val="null3"/>
        <w:jc w:val="both"/>
      </w:pPr>
      <w:r>
        <w:rPr/>
        <w:t xml:space="preserve"> </w:t>
      </w:r>
    </w:p>
    <w:p>
      <w:pPr>
        <w:pStyle w:val="null3"/>
        <w:jc w:val="both"/>
      </w:pPr>
      <w:r>
        <w:rPr/>
        <w:t xml:space="preserve"> </w:t>
      </w:r>
    </w:p>
    <w:p>
      <w:pPr>
        <w:pStyle w:val="null3"/>
      </w:pPr>
      <w:r>
        <w:rPr>
          <w:sz w:val="21"/>
          <w:b/>
        </w:rPr>
        <w:t>二、外贸代理公司在采购人指定的代理公司中选取，外贸代理公司及费用收取如下表：</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vMerge w:val="restart"/>
            <w:tcBorders>
              <w:top w:val="single" w:color="000000" w:sz="4"/>
              <w:left w:val="single" w:color="000000" w:sz="4"/>
              <w:bottom w:val="single" w:color="000000" w:sz="4"/>
              <w:right w:val="single" w:color="000000" w:sz="4"/>
            </w:tcBorders>
            <w:tcMar>
              <w:top w:type="dxa" w:w="13"/>
              <w:left w:type="dxa" w:w="13"/>
              <w:bottom w:type="dxa" w:w="0"/>
              <w:right w:type="dxa" w:w="13"/>
            </w:tcMar>
          </w:tcPr>
          <w:p>
            <w:pPr>
              <w:pStyle w:val="null3"/>
              <w:jc w:val="center"/>
            </w:pPr>
            <w:r>
              <w:rPr>
                <w:sz w:val="21"/>
              </w:rPr>
              <w:t>序号</w:t>
            </w:r>
          </w:p>
        </w:tc>
        <w:tc>
          <w:tcPr>
            <w:tcW w:type="dxa" w:w="1038"/>
            <w:vMerge w:val="restart"/>
            <w:tcBorders>
              <w:top w:val="single" w:color="000000" w:sz="4"/>
              <w:left w:val="none" w:color="000000" w:sz="4"/>
              <w:bottom w:val="single" w:color="000000" w:sz="4"/>
              <w:right w:val="single" w:color="000000" w:sz="4"/>
            </w:tcBorders>
            <w:tcMar>
              <w:top w:type="dxa" w:w="13"/>
              <w:left w:type="dxa" w:w="13"/>
              <w:bottom w:type="dxa" w:w="0"/>
              <w:right w:type="dxa" w:w="13"/>
            </w:tcMar>
          </w:tcPr>
          <w:p>
            <w:pPr>
              <w:pStyle w:val="null3"/>
              <w:jc w:val="center"/>
            </w:pPr>
            <w:r>
              <w:rPr>
                <w:sz w:val="21"/>
              </w:rPr>
              <w:t>外贸代理公司名称</w:t>
            </w:r>
          </w:p>
        </w:tc>
        <w:tc>
          <w:tcPr>
            <w:tcW w:type="dxa" w:w="6228"/>
            <w:gridSpan w:val="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中标报价（百分比）</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最低代理费（元）</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X</w:t>
            </w:r>
            <w:r>
              <w:rPr>
                <w:sz w:val="21"/>
              </w:rPr>
              <w:t>＜50万元</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50</w:t>
            </w:r>
            <w:r>
              <w:rPr>
                <w:sz w:val="21"/>
              </w:rPr>
              <w:t>≤X＜200万元</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r>
              <w:rPr>
                <w:sz w:val="21"/>
              </w:rPr>
              <w:t>≤X＜500万元</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500</w:t>
            </w:r>
            <w:r>
              <w:rPr>
                <w:sz w:val="21"/>
              </w:rPr>
              <w:t>≤X＜1000万元</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X</w:t>
            </w:r>
            <w:r>
              <w:rPr>
                <w:sz w:val="21"/>
              </w:rPr>
              <w:t>≥1000万元</w:t>
            </w:r>
          </w:p>
        </w:tc>
      </w:tr>
      <w:tr>
        <w:tc>
          <w:tcPr>
            <w:tcW w:type="dxa" w:w="1038"/>
            <w:tcBorders>
              <w:top w:val="none" w:color="000000" w:sz="4"/>
              <w:left w:val="single" w:color="000000" w:sz="4"/>
              <w:bottom w:val="single" w:color="000000" w:sz="4"/>
              <w:right w:val="single" w:color="000000" w:sz="4"/>
            </w:tcBorders>
            <w:tcMar>
              <w:top w:type="dxa" w:w="13"/>
              <w:left w:type="dxa" w:w="13"/>
              <w:bottom w:type="dxa" w:w="0"/>
              <w:right w:type="dxa" w:w="13"/>
            </w:tcMar>
          </w:tcPr>
          <w:p>
            <w:pPr>
              <w:pStyle w:val="null3"/>
              <w:jc w:val="center"/>
            </w:pPr>
            <w:r>
              <w:rPr>
                <w:sz w:val="21"/>
              </w:rPr>
              <w:t>1</w:t>
            </w:r>
          </w:p>
        </w:tc>
        <w:tc>
          <w:tcPr>
            <w:tcW w:type="dxa" w:w="1038"/>
            <w:tcBorders>
              <w:top w:val="none" w:color="000000" w:sz="4"/>
              <w:left w:val="none" w:color="000000" w:sz="4"/>
              <w:bottom w:val="single" w:color="000000" w:sz="4"/>
              <w:right w:val="single" w:color="000000" w:sz="4"/>
            </w:tcBorders>
            <w:tcMar>
              <w:top w:type="dxa" w:w="13"/>
              <w:left w:type="dxa" w:w="13"/>
              <w:bottom w:type="dxa" w:w="0"/>
              <w:right w:type="dxa" w:w="13"/>
            </w:tcMar>
          </w:tcPr>
          <w:p>
            <w:pPr>
              <w:pStyle w:val="null3"/>
              <w:jc w:val="center"/>
            </w:pPr>
            <w:r>
              <w:rPr>
                <w:sz w:val="21"/>
              </w:rPr>
              <w:t>建发（广州）有限公司</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3500.00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r>
      <w:tr>
        <w:tc>
          <w:tcPr>
            <w:tcW w:type="dxa" w:w="1038"/>
            <w:tcBorders>
              <w:top w:val="none" w:color="000000" w:sz="4"/>
              <w:left w:val="single" w:color="000000" w:sz="4"/>
              <w:bottom w:val="single" w:color="000000" w:sz="4"/>
              <w:right w:val="single" w:color="000000" w:sz="4"/>
            </w:tcBorders>
            <w:tcMar>
              <w:top w:type="dxa" w:w="13"/>
              <w:left w:type="dxa" w:w="13"/>
              <w:bottom w:type="dxa" w:w="0"/>
              <w:right w:type="dxa" w:w="13"/>
            </w:tcMar>
          </w:tcPr>
          <w:p>
            <w:pPr>
              <w:pStyle w:val="null3"/>
              <w:jc w:val="center"/>
            </w:pPr>
            <w:r>
              <w:rPr>
                <w:sz w:val="21"/>
              </w:rPr>
              <w:t>2</w:t>
            </w:r>
          </w:p>
        </w:tc>
        <w:tc>
          <w:tcPr>
            <w:tcW w:type="dxa" w:w="1038"/>
            <w:tcBorders>
              <w:top w:val="none" w:color="000000" w:sz="4"/>
              <w:left w:val="none" w:color="000000" w:sz="4"/>
              <w:bottom w:val="single" w:color="000000" w:sz="4"/>
              <w:right w:val="single" w:color="000000" w:sz="4"/>
            </w:tcBorders>
            <w:tcMar>
              <w:top w:type="dxa" w:w="13"/>
              <w:left w:type="dxa" w:w="13"/>
              <w:bottom w:type="dxa" w:w="0"/>
              <w:right w:type="dxa" w:w="13"/>
            </w:tcMar>
          </w:tcPr>
          <w:p>
            <w:pPr>
              <w:pStyle w:val="null3"/>
              <w:jc w:val="center"/>
            </w:pPr>
            <w:r>
              <w:rPr>
                <w:sz w:val="21"/>
              </w:rPr>
              <w:t>深圳市深业晋展物料供应有限公司</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3000.00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0.80%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0.70%</w:t>
            </w:r>
          </w:p>
        </w:tc>
      </w:tr>
      <w:tr>
        <w:tc>
          <w:tcPr>
            <w:tcW w:type="dxa" w:w="1038"/>
            <w:tcBorders>
              <w:top w:val="none" w:color="000000" w:sz="4"/>
              <w:left w:val="single" w:color="000000" w:sz="4"/>
              <w:bottom w:val="single" w:color="000000" w:sz="4"/>
              <w:right w:val="single" w:color="000000" w:sz="4"/>
            </w:tcBorders>
            <w:tcMar>
              <w:top w:type="dxa" w:w="13"/>
              <w:left w:type="dxa" w:w="13"/>
              <w:bottom w:type="dxa" w:w="0"/>
              <w:right w:type="dxa" w:w="13"/>
            </w:tcMar>
          </w:tcPr>
          <w:p>
            <w:pPr>
              <w:pStyle w:val="null3"/>
              <w:jc w:val="center"/>
            </w:pPr>
            <w:r>
              <w:rPr>
                <w:sz w:val="21"/>
              </w:rPr>
              <w:t>3</w:t>
            </w:r>
          </w:p>
        </w:tc>
        <w:tc>
          <w:tcPr>
            <w:tcW w:type="dxa" w:w="1038"/>
            <w:tcBorders>
              <w:top w:val="none" w:color="000000" w:sz="4"/>
              <w:left w:val="none" w:color="000000" w:sz="4"/>
              <w:bottom w:val="single" w:color="000000" w:sz="4"/>
              <w:right w:val="single" w:color="000000" w:sz="4"/>
            </w:tcBorders>
            <w:tcMar>
              <w:top w:type="dxa" w:w="13"/>
              <w:left w:type="dxa" w:w="13"/>
              <w:bottom w:type="dxa" w:w="0"/>
              <w:right w:type="dxa" w:w="13"/>
            </w:tcMar>
          </w:tcPr>
          <w:p>
            <w:pPr>
              <w:pStyle w:val="null3"/>
              <w:jc w:val="center"/>
            </w:pPr>
            <w:r>
              <w:rPr>
                <w:sz w:val="21"/>
              </w:rPr>
              <w:t>采易供应链管理（广州）有限公司</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2000.00</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w:t>
            </w:r>
          </w:p>
        </w:tc>
        <w:tc>
          <w:tcPr>
            <w:tcW w:type="dxa" w:w="10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w:t>
            </w:r>
          </w:p>
        </w:tc>
      </w:tr>
    </w:tbl>
    <w:p>
      <w:pPr>
        <w:pStyle w:val="null3"/>
      </w:pPr>
      <w:r>
        <w:rPr>
          <w:sz w:val="21"/>
        </w:rPr>
        <w:t>①在每项内贸合同（采购方、中标人和外贸代理公司三方签订的采购合同）中，约定按以上标准由中标人以每单业务（每单是指由采购方委托的一次业务）支付外贸代理公司外贸代理费。</w:t>
      </w:r>
    </w:p>
    <w:p>
      <w:pPr>
        <w:pStyle w:val="null3"/>
      </w:pPr>
      <w:r>
        <w:rPr>
          <w:sz w:val="21"/>
        </w:rPr>
        <w:t>②每单业务是指一次报关业务，增加一次报关向中标人收取一定费用，收费标准按各自外贸代理公司收费标准执行。</w:t>
      </w:r>
    </w:p>
    <w:p>
      <w:pPr>
        <w:pStyle w:val="null3"/>
      </w:pPr>
      <w:r>
        <w:rPr>
          <w:sz w:val="21"/>
        </w:rPr>
        <w:t>③外贸进口有关的一切费用包括但不限于外贸代理费用、清关费用、银行手续费、海关监管手续费、报关费用、商检费用、申办机电批文费用、机场码头费等。</w:t>
      </w:r>
    </w:p>
    <w:p>
      <w:pPr>
        <w:pStyle w:val="null3"/>
      </w:pPr>
      <w:r>
        <w:rPr>
          <w:sz w:val="21"/>
          <w:b/>
        </w:rPr>
        <w:t>三、要求投标人需要遵守的表格格式共2个，如下：</w:t>
      </w:r>
    </w:p>
    <w:p>
      <w:pPr>
        <w:pStyle w:val="null3"/>
        <w:jc w:val="center"/>
      </w:pPr>
      <w:r>
        <w:rPr>
          <w:sz w:val="21"/>
          <w:b/>
        </w:rPr>
        <w:t>货物技术参数及报价清单</w:t>
      </w:r>
    </w:p>
    <w:p>
      <w:pPr>
        <w:pStyle w:val="null3"/>
      </w:pPr>
      <w:r>
        <w:rPr>
          <w:sz w:val="21"/>
          <w:b/>
        </w:rPr>
        <w:t>注：打“★”号条款为实质性条款，若有任何一条负偏离或不满足则导致投标无效。</w:t>
      </w:r>
    </w:p>
    <w:tbl>
      <w:tblPr>
        <w:tblW w:w="0" w:type="auto"/>
        <w:tblBorders>
          <w:top w:val="single"/>
          <w:left w:val="single"/>
          <w:bottom w:val="single"/>
          <w:right w:val="single"/>
          <w:insideH w:val="single"/>
          <w:insideV w:val="single"/>
        </w:tblBorders>
      </w:tblPr>
      <w:tblGrid>
        <w:gridCol w:w="612"/>
        <w:gridCol w:w="787"/>
        <w:gridCol w:w="1049"/>
        <w:gridCol w:w="1049"/>
        <w:gridCol w:w="612"/>
        <w:gridCol w:w="612"/>
        <w:gridCol w:w="350"/>
        <w:gridCol w:w="787"/>
        <w:gridCol w:w="787"/>
        <w:gridCol w:w="525"/>
        <w:gridCol w:w="525"/>
        <w:gridCol w:w="612"/>
      </w:tblGrid>
      <w:tr>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设备名称</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品牌/型号规格</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需求的技术参数</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数量</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单位</w:t>
            </w:r>
          </w:p>
        </w:tc>
        <w:tc>
          <w:tcPr>
            <w:tcW w:type="dxa" w:w="350"/>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产地</w:t>
            </w:r>
          </w:p>
        </w:tc>
        <w:tc>
          <w:tcPr>
            <w:tcW w:type="dxa" w:w="787"/>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投报综合单价</w:t>
            </w:r>
          </w:p>
          <w:p>
            <w:pPr>
              <w:pStyle w:val="null3"/>
              <w:jc w:val="both"/>
            </w:pPr>
            <w:r>
              <w:rPr>
                <w:sz w:val="21"/>
              </w:rPr>
              <w:t>（元）</w:t>
            </w:r>
          </w:p>
        </w:tc>
        <w:tc>
          <w:tcPr>
            <w:tcW w:type="dxa" w:w="787"/>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投报总价</w:t>
            </w:r>
            <w:r>
              <w:br/>
            </w:r>
            <w:r>
              <w:rPr>
                <w:sz w:val="21"/>
              </w:rPr>
              <w:t xml:space="preserve"> （元）</w:t>
            </w:r>
          </w:p>
        </w:tc>
        <w:tc>
          <w:tcPr>
            <w:tcW w:type="dxa" w:w="525"/>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投标产品技术参数</w:t>
            </w:r>
          </w:p>
        </w:tc>
        <w:tc>
          <w:tcPr>
            <w:tcW w:type="dxa" w:w="525"/>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投标偏离情况说明</w:t>
            </w:r>
          </w:p>
        </w:tc>
        <w:tc>
          <w:tcPr>
            <w:tcW w:type="dxa" w:w="612"/>
            <w:tcBorders>
              <w:top w:val="single" w:color="000000" w:sz="4"/>
              <w:left w:val="none" w:color="000000" w:sz="4"/>
              <w:bottom w:val="single" w:color="000000" w:sz="4"/>
              <w:right w:val="single" w:color="000000" w:sz="4"/>
            </w:tcBorders>
            <w:shd w:fill="E7E6E6"/>
            <w:tcMar>
              <w:top w:type="dxa" w:w="0"/>
              <w:left w:type="dxa" w:w="105"/>
              <w:bottom w:type="dxa" w:w="0"/>
              <w:right w:type="dxa" w:w="105"/>
            </w:tcMar>
          </w:tcPr>
          <w:p>
            <w:pPr>
              <w:pStyle w:val="null3"/>
              <w:jc w:val="both"/>
            </w:pPr>
            <w:r>
              <w:rPr>
                <w:sz w:val="21"/>
              </w:rPr>
              <w:t>需注明含税价或免税价</w:t>
            </w:r>
          </w:p>
        </w:tc>
      </w:tr>
      <w:tr>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50"/>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c>
          <w:tcPr>
            <w:tcW w:type="dxa" w:w="787"/>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c>
          <w:tcPr>
            <w:tcW w:type="dxa" w:w="525"/>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c>
          <w:tcPr>
            <w:tcW w:type="dxa" w:w="612"/>
            <w:tcBorders>
              <w:top w:val="none" w:color="000000" w:sz="4"/>
              <w:left w:val="none" w:color="000000" w:sz="4"/>
              <w:bottom w:val="single" w:color="000000" w:sz="4"/>
              <w:right w:val="single" w:color="000000" w:sz="4"/>
            </w:tcBorders>
            <w:shd w:fill="F2F2F2"/>
            <w:tcMar>
              <w:top w:type="dxa" w:w="0"/>
              <w:left w:type="dxa" w:w="105"/>
              <w:bottom w:type="dxa" w:w="0"/>
              <w:right w:type="dxa" w:w="105"/>
            </w:tcMar>
          </w:tcPr>
          <w:p/>
        </w:tc>
      </w:tr>
      <w:tr>
        <w:tc>
          <w:tcPr>
            <w:tcW w:type="dxa" w:w="4721"/>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说明：投标报价应为人民币全包价（即设备正常交付采购人的所有费用），包括方案深化设计、产品的供应、运输、装卸、水电气等安装，安装调试、设备检测费（包括第三方检测），项目验收时的试剂耗材、培训，合同实施过程中应预见和不可预见费用等一切费用。</w:t>
            </w:r>
          </w:p>
        </w:tc>
        <w:tc>
          <w:tcPr>
            <w:tcW w:type="dxa" w:w="3586"/>
            <w:gridSpan w:val="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合计：      </w:t>
            </w:r>
          </w:p>
          <w:p>
            <w:pPr>
              <w:pStyle w:val="null3"/>
              <w:jc w:val="both"/>
            </w:pPr>
            <w:r>
              <w:rPr>
                <w:sz w:val="21"/>
              </w:rPr>
              <w:t>小写：                        元</w:t>
            </w:r>
          </w:p>
          <w:p>
            <w:pPr>
              <w:pStyle w:val="null3"/>
              <w:jc w:val="both"/>
            </w:pPr>
            <w:r>
              <w:rPr>
                <w:sz w:val="21"/>
              </w:rPr>
              <w:t>大写：                        元</w:t>
            </w:r>
          </w:p>
        </w:tc>
      </w:tr>
    </w:tbl>
    <w:p>
      <w:pPr>
        <w:pStyle w:val="null3"/>
      </w:pPr>
      <w:r>
        <w:rPr>
          <w:b/>
        </w:rPr>
        <w:t>设备配置清单格式表（只适用于包含有进口设备的包组）</w:t>
      </w:r>
    </w:p>
    <w:p>
      <w:pPr>
        <w:pStyle w:val="null3"/>
        <w:jc w:val="right"/>
      </w:pPr>
      <w:r>
        <w:rPr/>
        <w:t xml:space="preserve">                        </w:t>
      </w:r>
      <w:r>
        <w:rPr/>
        <w:t>货币单位：元人民币</w:t>
      </w:r>
    </w:p>
    <w:tbl>
      <w:tblPr>
        <w:tblW w:w="0" w:type="auto"/>
        <w:tblBorders>
          <w:top w:val="none" w:color="000000" w:sz="4"/>
          <w:left w:val="none" w:color="000000" w:sz="4"/>
          <w:bottom w:val="none" w:color="000000" w:sz="4"/>
          <w:right w:val="none" w:color="000000" w:sz="4"/>
          <w:insideH w:val="none"/>
          <w:insideV w:val="none"/>
        </w:tblBorders>
      </w:tblPr>
      <w:tblGrid>
        <w:gridCol w:w="456"/>
        <w:gridCol w:w="456"/>
        <w:gridCol w:w="456"/>
        <w:gridCol w:w="456"/>
        <w:gridCol w:w="456"/>
        <w:gridCol w:w="456"/>
        <w:gridCol w:w="639"/>
        <w:gridCol w:w="456"/>
        <w:gridCol w:w="730"/>
        <w:gridCol w:w="456"/>
        <w:gridCol w:w="821"/>
        <w:gridCol w:w="1004"/>
        <w:gridCol w:w="1460"/>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w:t>
            </w:r>
          </w:p>
          <w:p>
            <w:pPr>
              <w:pStyle w:val="null3"/>
              <w:jc w:val="center"/>
            </w:pPr>
            <w:r>
              <w:rPr>
                <w:sz w:val="21"/>
                <w:b/>
              </w:rPr>
              <w:t>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配置</w:t>
            </w:r>
          </w:p>
          <w:p>
            <w:pPr>
              <w:pStyle w:val="null3"/>
              <w:jc w:val="center"/>
            </w:pPr>
            <w:r>
              <w:rPr>
                <w:sz w:val="21"/>
                <w:b/>
              </w:rPr>
              <w:t>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品牌</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型号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制造商</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产地</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数量/单位</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分项</w:t>
            </w:r>
          </w:p>
          <w:p>
            <w:pPr>
              <w:pStyle w:val="null3"/>
              <w:jc w:val="center"/>
            </w:pPr>
            <w:r>
              <w:rPr>
                <w:sz w:val="21"/>
                <w:b/>
              </w:rPr>
              <w:t>价格</w:t>
            </w:r>
          </w:p>
          <w:p>
            <w:pPr>
              <w:pStyle w:val="null3"/>
              <w:jc w:val="center"/>
            </w:pPr>
            <w:r>
              <w:rPr>
                <w:sz w:val="21"/>
                <w:b/>
              </w:rPr>
              <w:t>（总价）</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免税价或含税价</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关境外供货或关境内供货</w:t>
            </w: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none" w:color="000000" w:sz="4"/>
              <w:bottom w:val="single" w:color="000000" w:sz="4"/>
              <w:right w:val="single" w:color="000000" w:sz="4"/>
            </w:tcBorders>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t>注：</w:t>
      </w:r>
    </w:p>
    <w:p>
      <w:pPr>
        <w:pStyle w:val="null3"/>
      </w:pPr>
      <w:r>
        <w:rPr/>
        <w:t>①　填写此表时不得改变表格的形式。</w:t>
      </w:r>
    </w:p>
    <w:p>
      <w:pPr>
        <w:pStyle w:val="null3"/>
      </w:pPr>
      <w:r>
        <w:rPr/>
        <w:t>②　投标人在此表的费用必须与分项报价表的金额一致。</w:t>
      </w:r>
    </w:p>
    <w:p>
      <w:pPr>
        <w:pStyle w:val="null3"/>
      </w:pPr>
      <w:r>
        <w:rPr>
          <w:b/>
        </w:rPr>
        <w:t>③　明确所有设备及零配件的配置清单，按照表格要求填写准确的设备（含配置）等信息。合同将严格根据投标文件内容制定，所填写清单内容须与实际到货的品牌、型号等信息保持严格一致。</w:t>
      </w:r>
    </w:p>
    <w:p>
      <w:pPr>
        <w:pStyle w:val="null3"/>
      </w:pPr>
      <w:r>
        <w:rPr>
          <w:b/>
        </w:rPr>
        <w:t>④　投标人须对其对所投产品（含配置）予以核实，必须与实际供货产品机身铭牌上所标识的完全一致，否则将无法验收，由此导致的包括合同违约等一切后果将由投标人承担。</w:t>
      </w:r>
    </w:p>
    <w:p>
      <w:pPr>
        <w:pStyle w:val="null3"/>
      </w:pPr>
      <w:r>
        <w:rPr>
          <w:sz w:val="21"/>
          <w:b/>
        </w:rPr>
        <w:t>⑤　如果此表中的设备名称与品牌型号规格与货物报价一览表不一致，则以货物报价一览表为准。</w:t>
      </w:r>
    </w:p>
    <w:p>
      <w:pPr>
        <w:pStyle w:val="null3"/>
      </w:pPr>
      <w:r>
        <w:rPr/>
        <w:t>采购包1（凝胶液相检测器系统采购项目）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 300个日历日内完成所投产品的交货、安装及调试，包括向采购人职能部门提交认可的完整的验收申请资料。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c>
          <w:tcPr>
            <w:tcW w:type="dxa" w:w="4153"/>
          </w:tcPr>
          <w:p>
            <w:pPr>
              <w:pStyle w:val="null3"/>
            </w:pPr>
            <w:r>
              <w:rPr/>
              <w:t>付款方式</w:t>
            </w:r>
          </w:p>
        </w:tc>
        <w:tc>
          <w:tcPr>
            <w:tcW w:type="dxa" w:w="4153"/>
          </w:tcPr>
          <w:p>
            <w:pPr>
              <w:pStyle w:val="null3"/>
            </w:pPr>
            <w:r>
              <w:rPr/>
              <w:t>1期：支付比例100%,进口设备，付款方式：1.进口货物由采购人、中标人与外贸代理商签订三方合同。采购合同签订生效后，外贸代理商将与银行签订的监管账户提供给采购人后，由采购人在10个工作日内支付合同总金额100%货款至指定监管帐户。2.中标人供货至采购人指定的地点，三方对货物进行验收合格后，进口货物由外贸代理向采购人提供进口货物的所有进口单证、代理进口业务发票的原件、外商发票的原件、付汇水单的复印件（加盖外贸代理的财务章）采购人仪器设备验收报告作为货款的报账凭证与采购人结算；国产货物凭销售发票结算。3.采购人最终出具验收报告后十五个工作日内（不含审批时间），由外贸代理凭采购人的确认付款通知书将货款付汇至中标人指定的外商公司。外贸代理付汇后一周内，将整套报账资料交至采购人。4.结算方式：银行转账。 国内设备，付款方式：1.采购人在合同签订及具备付款的所有条件后10个日历日内按合同总金额30%支付预付款；2.验收合格后，中标人向采购人开具相应金额的正式发票和提供由采购人认可的验收报告。货物验收合格和采购人收到前述发票、验收报告后10个日历日内采购人办理完合同总额70%划入中标人账户的支付手续；3.结算方式：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300天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外贸代理（进口产品需要）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（2）验收细则以中标人在投标书中提供的设备技术资料及双方签订的合同条款为准。 （三）违约处置 1.出现以下任何情形之一的，采购人有权单方面解除合同，没收中标人已支付的全部履约保证金并向中标人收取合同总价10%的违约金，若因此造成采购人损失的，中标人还应当向采购人承担相应的损失：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5%；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交纳比例：3.8%</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说明：1.本项目合同签订之日起 5 个工作日内，中标人向采购人提交合同总价的3.8%作为本项目的履约保证金，可通过银行转账、支票、汇票、本票、保函等非现金形式支付。验收合格后20个工作日内一次性返还履约保证金（不计息）。 2.履约保证金的违约责任：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的5%。 （2）采购人逾期退还履约保证金的，每逾期1天，中标人有权要求采购人按履约保证金的1%偿付违约金，采购人逾期退还履约保证金的违约金总额不超过履约保证金数额的5%。</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（一）供货要求，1.本项目允许投标人投报进口产品（本采购文件中所称进口产品是指通过中国海关报关验放进入中国境内且产自关境外的产品（包括已进入中国境内的进口产品））。 (1)递交投标文件中的技术参数描述须与投标文件中提供的厂家产品彩页或厂家官方网站公布的资料相一致。 (2)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必须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 7.投标人必须具备相应的维护保养服务能力，能提供完善的售后服务（包括技术人员、响应时间及备品、备件方面等）。（投标人需提供承诺函，格式自拟） 8.采购单位为教育部门，享受海关的进口科教用品免税优惠政策，投标人需报设备免税价。（海关规定不能免税的设备除外）</w:t>
            </w:r>
          </w:p>
          <w:p>
            <w:pPr>
              <w:pStyle w:val="null3"/>
            </w:pPr>
            <w:r>
              <w:rPr/>
              <w:t>（二）售后服务要求（费用包含在投标报价内），1.质保期为验收合格后硬件产品至少提供保修 3 年。从验收合格之日起 3 年内，采购人所购设备发生非人为故障，中标人应无条件上门维修。如不能完全修复，则应更换不低于原规格型号的新部件或设备。 2.从验收合格之日起一个月内，中标人提供的货物各部件发生非人为损坏，应给予无条件更换。 3.质保期内，同一硬件一个月内连续 2 次出现同一故障，中标人须无偿更换同一档次的设备或部件。质保期内因货物质量问题发生3次及以上维修的 ，则该设备或部件的质量保修期从最后一次维修的日期起算。 4.中标人应指派专人负责与采购人联系售后服务事宜。中标人接到用户报修后，电话即时响应，如电话响应无法解决的在 4 个小时内进行答复，如确定需要来人进行修理，保证在 24小时内到达现场。如在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6.中标人提供终身售后服务，无论在保修期内或保修期外，中标人需提供上门服务。对于质保期外的设备维修，中标人仅收取损坏部分的成本材料费。 7.质保期内中标人售后服务部门将提供每年不低于4次的电话回访和2次现场设备检修服务，所有设备保修服务方式均为中标人上门保修，即由中标人派遣专门技术人员到采购人设备使用现场维修。由此产生的一切费用均由中标人承担。 8.质保期后中标人提供终身技术服务；提供终身对产品进行软件升级服务。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 10.中标人未按合同约定时间和约定标准提供保修服务的，采购人有权向中标人主张合同总价的10%的违约金，并有权自行委托第三方提供采购人所需要的技术支持和维修服务，由此造成的包括但不限于第三方维保费用、采购人其他经济损失等均由中标人承担。</w:t>
            </w:r>
          </w:p>
          <w:p>
            <w:pPr>
              <w:pStyle w:val="null3"/>
            </w:pPr>
            <w:r>
              <w:rPr/>
              <w:t>（三）报价要求：，1.投标总价应为各分项合计价格之和。与总项目相关的安装调试等费用须分摊计入各分项，不单项计费。 2.国产设备或包括已经进入中国境内的进口产品：投标报价应为人民币含税全包价（即设备正常交付采购人的所有费用），包括方案深化设计、产品的供应、运输、装卸等安装，安装调试、设备检测费（包括第三方检测），项目验收时的试剂耗材、培训，合同实施过程中应预见和不可预见费用等一切费用。 3.通过中国海关报关验放进入中国境内且产自关境外的产品：投标报价应为人民币免税全包价（即设备正常交付采购人的所有费用），包括但不限于全部货物及零配件的购置、保险费、运输费、设备安装等安装，调试费、项目验收时的试剂耗材、管理费、设备检测费（包括第三方检测）、协助费、外贸公司代理费用、外贸进口有关的一切费用、培训费和符合国家标准的安装附件、雇员费用、合同实施过程中应预见和不可预见费用等所有费用。 4.投标总价中不得包含招标文件要求以外的内容，否则，在评标时不予核减。投标总价中也不得缺漏招标文件所要求的内容，否则，其投标将可能被视为投标无效。 5.采购人不接受品牌、型号、配置和价格等有任何选择的投标，投标人在某一投标文件内有任何选择的，将视为投标无效（招标文件有特别说明的除外）。 6.外贸代理公司在采购人指定的代理公司中选取，外贸代理公司及费用收取详见项目概况。 7.特别注意条款：投标货物所有税款都由中标人承担包括但不限于货物原产地为境外且在中国国务院关税税则委员会公告要求加征关税清单范围内的货物。进口设备必须通过外贸代理公司从关境外供货到五邑大学指定地点,不能国内调货、窜货、否则采购人直接有权单方终止采购项目,且不支付任何费用，追究中标人的法律责任。 8.特别注意条款：投标人须在《货物技术参数及报价清单》如实申报货物名称、品牌/规格型号、产地、数量、单位，必须与实际供货产品机身铭牌上所标识的完全一致，如有错漏或误写，将导致货物无法进关或无法申报免税手续，无法验收，等一切后果由投标人自行承担。 9.特别注意条款：投标人须在《配置清单》中对其对所投产品各配件的名称、生产厂家、产地、品牌、型号等信息予以核实并如实申报，必须与实际供货产品机身铭牌上所标识的完全一致，如有错漏或误写，将导致货物无法进关或无法申报免税手续，无法验收，由此导致的包括合同违约等一切后果将由中标人承担。 10.特别注意条款：进口设备开箱必须采购人、中标人和外贸代理服务单位三方在场，任何一方不得私自开箱，每个合同的开箱次数最多为2次，超2次开箱的按外贸代理公司实际成本及人工费用，向中标人收取一定费用，收费标准按各自外贸代理公司收费标准执行。 11.要求投标人需要遵守的表格格式共2个，详见项目概况。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凝胶液相检测器系统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jc w:val="right"/>
            </w:pPr>
            <w:r>
              <w:rPr/>
              <w:t>850,000.00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凝胶液相检测器系统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一、系统功能要求</w:t>
            </w:r>
          </w:p>
          <w:p>
            <w:pPr>
              <w:pStyle w:val="null3"/>
            </w:pPr>
            <w:r>
              <w:rPr>
                <w:sz w:val="21"/>
                <w:b/>
              </w:rPr>
              <w:t>★凝胶液相检测器为现有液相设备的功能升级，连接后原液相设备（现有设备：安捷伦1200系列高分离快速液相色谱仪（Infinity II 1290）或Waters Corporation ACQUITY Arc）性能不受影响。要求凝胶液相检测器系统安装到上述设备中任意一台即可，安装后，保证整套仪器系统联机稳定，标准样品测试系统误差≤5%。</w:t>
            </w:r>
            <w:r>
              <w:rPr>
                <w:sz w:val="21"/>
                <w:b/>
              </w:rPr>
              <w:t>（投标人需提供承诺函，格式自拟）</w:t>
            </w:r>
          </w:p>
        </w:tc>
      </w:tr>
      <w:tr>
        <w:tc>
          <w:tcPr>
            <w:tcW w:type="dxa" w:w="2076"/>
          </w:tcPr>
          <w:p/>
        </w:tc>
        <w:tc>
          <w:tcPr>
            <w:tcW w:type="dxa" w:w="415"/>
          </w:tcPr>
          <w:p>
            <w:pPr>
              <w:pStyle w:val="null3"/>
            </w:pPr>
            <w:r>
              <w:rPr/>
              <w:t>2</w:t>
            </w:r>
          </w:p>
        </w:tc>
        <w:tc>
          <w:tcPr>
            <w:tcW w:type="dxa" w:w="5814"/>
          </w:tcPr>
          <w:p>
            <w:pPr>
              <w:pStyle w:val="null3"/>
              <w:jc w:val="both"/>
            </w:pPr>
            <w:r>
              <w:rPr>
                <w:sz w:val="21"/>
              </w:rPr>
              <w:t>二、多角度激光光散射仪</w:t>
            </w:r>
          </w:p>
          <w:p>
            <w:pPr>
              <w:pStyle w:val="null3"/>
            </w:pPr>
            <w:r>
              <w:rPr>
                <w:sz w:val="21"/>
              </w:rPr>
              <w:t>2.1 Mw</w:t>
            </w:r>
            <w:r>
              <w:rPr>
                <w:sz w:val="21"/>
              </w:rPr>
              <w:t>测量范围：</w:t>
            </w:r>
            <w:r>
              <w:rPr>
                <w:sz w:val="21"/>
              </w:rPr>
              <w:t>≥</w:t>
            </w:r>
            <w:r>
              <w:rPr>
                <w:sz w:val="21"/>
              </w:rPr>
              <w:t>500</w:t>
            </w:r>
            <w:r>
              <w:rPr>
                <w:sz w:val="21"/>
              </w:rPr>
              <w:t>～</w:t>
            </w:r>
            <w:r>
              <w:rPr>
                <w:sz w:val="21"/>
              </w:rPr>
              <w:t>10</w:t>
            </w:r>
            <w:r>
              <w:rPr>
                <w:sz w:val="21"/>
                <w:vertAlign w:val="superscript"/>
              </w:rPr>
              <w:t>9</w:t>
            </w:r>
            <w:r>
              <w:rPr>
                <w:sz w:val="21"/>
              </w:rPr>
              <w:t xml:space="preserve"> Daltons</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2.2 Rg</w:t>
            </w:r>
            <w:r>
              <w:rPr>
                <w:sz w:val="21"/>
              </w:rPr>
              <w:t>测量范围：≥10 nm</w:t>
            </w:r>
            <w:r>
              <w:rPr>
                <w:sz w:val="21"/>
              </w:rPr>
              <w:t>～</w:t>
            </w:r>
            <w:r>
              <w:rPr>
                <w:sz w:val="21"/>
              </w:rPr>
              <w:t>1000 nm</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 xml:space="preserve">2.3 </w:t>
            </w:r>
            <w:r>
              <w:rPr>
                <w:sz w:val="21"/>
              </w:rPr>
              <w:t>样品池体积：≤100 uL（包括管路）；</w:t>
            </w:r>
          </w:p>
        </w:tc>
      </w:tr>
      <w:tr>
        <w:tc>
          <w:tcPr>
            <w:tcW w:type="dxa" w:w="2076"/>
          </w:tcPr>
          <w:p/>
        </w:tc>
        <w:tc>
          <w:tcPr>
            <w:tcW w:type="dxa" w:w="415"/>
          </w:tcPr>
          <w:p>
            <w:pPr>
              <w:pStyle w:val="null3"/>
            </w:pPr>
            <w:r>
              <w:rPr/>
              <w:t>5</w:t>
            </w:r>
          </w:p>
        </w:tc>
        <w:tc>
          <w:tcPr>
            <w:tcW w:type="dxa" w:w="5814"/>
          </w:tcPr>
          <w:p>
            <w:pPr>
              <w:pStyle w:val="null3"/>
            </w:pPr>
            <w:r>
              <w:rPr>
                <w:sz w:val="21"/>
                <w:b/>
              </w:rPr>
              <w:t>★2.4 样品池背压：≥3.5MPa；</w:t>
            </w:r>
          </w:p>
        </w:tc>
      </w:tr>
      <w:tr>
        <w:tc>
          <w:tcPr>
            <w:tcW w:type="dxa" w:w="2076"/>
          </w:tcPr>
          <w:p/>
        </w:tc>
        <w:tc>
          <w:tcPr>
            <w:tcW w:type="dxa" w:w="415"/>
          </w:tcPr>
          <w:p>
            <w:pPr>
              <w:pStyle w:val="null3"/>
            </w:pPr>
            <w:r>
              <w:rPr/>
              <w:t>6</w:t>
            </w:r>
          </w:p>
        </w:tc>
        <w:tc>
          <w:tcPr>
            <w:tcW w:type="dxa" w:w="5814"/>
          </w:tcPr>
          <w:p>
            <w:pPr>
              <w:pStyle w:val="null3"/>
            </w:pPr>
            <w:r>
              <w:rPr>
                <w:sz w:val="21"/>
              </w:rPr>
              <w:t xml:space="preserve">2.5 </w:t>
            </w:r>
            <w:r>
              <w:rPr>
                <w:sz w:val="21"/>
              </w:rPr>
              <w:t>散射体积：≥20nL；</w:t>
            </w:r>
          </w:p>
        </w:tc>
      </w:tr>
      <w:tr>
        <w:tc>
          <w:tcPr>
            <w:tcW w:type="dxa" w:w="2076"/>
          </w:tcPr>
          <w:p/>
        </w:tc>
        <w:tc>
          <w:tcPr>
            <w:tcW w:type="dxa" w:w="415"/>
          </w:tcPr>
          <w:p>
            <w:pPr>
              <w:pStyle w:val="null3"/>
            </w:pPr>
            <w:r>
              <w:rPr/>
              <w:t>7</w:t>
            </w:r>
          </w:p>
        </w:tc>
        <w:tc>
          <w:tcPr>
            <w:tcW w:type="dxa" w:w="5814"/>
          </w:tcPr>
          <w:p>
            <w:pPr>
              <w:pStyle w:val="null3"/>
            </w:pPr>
            <w:r>
              <w:rPr>
                <w:sz w:val="21"/>
              </w:rPr>
              <w:t xml:space="preserve">2.6 </w:t>
            </w:r>
            <w:r>
              <w:rPr>
                <w:sz w:val="21"/>
              </w:rPr>
              <w:t>溶剂兼容性：所有水相和有机相；</w:t>
            </w:r>
          </w:p>
        </w:tc>
      </w:tr>
      <w:tr>
        <w:tc>
          <w:tcPr>
            <w:tcW w:type="dxa" w:w="2076"/>
          </w:tcPr>
          <w:p/>
        </w:tc>
        <w:tc>
          <w:tcPr>
            <w:tcW w:type="dxa" w:w="415"/>
          </w:tcPr>
          <w:p>
            <w:pPr>
              <w:pStyle w:val="null3"/>
            </w:pPr>
            <w:r>
              <w:rPr/>
              <w:t>8</w:t>
            </w:r>
          </w:p>
        </w:tc>
        <w:tc>
          <w:tcPr>
            <w:tcW w:type="dxa" w:w="5814"/>
          </w:tcPr>
          <w:p>
            <w:pPr>
              <w:pStyle w:val="null3"/>
            </w:pPr>
            <w:r>
              <w:rPr>
                <w:sz w:val="21"/>
              </w:rPr>
              <w:t xml:space="preserve">2.7 </w:t>
            </w:r>
            <w:r>
              <w:rPr>
                <w:sz w:val="21"/>
              </w:rPr>
              <w:t>温度控制范围：≥室温至80℃；</w:t>
            </w:r>
          </w:p>
        </w:tc>
      </w:tr>
      <w:tr>
        <w:tc>
          <w:tcPr>
            <w:tcW w:type="dxa" w:w="2076"/>
          </w:tcPr>
          <w:p/>
        </w:tc>
        <w:tc>
          <w:tcPr>
            <w:tcW w:type="dxa" w:w="415"/>
          </w:tcPr>
          <w:p>
            <w:pPr>
              <w:pStyle w:val="null3"/>
            </w:pPr>
            <w:r>
              <w:rPr/>
              <w:t>9</w:t>
            </w:r>
          </w:p>
        </w:tc>
        <w:tc>
          <w:tcPr>
            <w:tcW w:type="dxa" w:w="5814"/>
          </w:tcPr>
          <w:p>
            <w:pPr>
              <w:pStyle w:val="null3"/>
            </w:pPr>
            <w:r>
              <w:rPr>
                <w:sz w:val="21"/>
                <w:b/>
              </w:rPr>
              <w:t>★2.8 检测角度：≥8个,35°、50°、75°、90°、105°、130°、145°以及参比角；</w:t>
            </w:r>
          </w:p>
        </w:tc>
      </w:tr>
      <w:tr>
        <w:tc>
          <w:tcPr>
            <w:tcW w:type="dxa" w:w="2076"/>
          </w:tcPr>
          <w:p/>
        </w:tc>
        <w:tc>
          <w:tcPr>
            <w:tcW w:type="dxa" w:w="415"/>
          </w:tcPr>
          <w:p>
            <w:pPr>
              <w:pStyle w:val="null3"/>
            </w:pPr>
            <w:r>
              <w:rPr/>
              <w:t>10</w:t>
            </w:r>
          </w:p>
        </w:tc>
        <w:tc>
          <w:tcPr>
            <w:tcW w:type="dxa" w:w="5814"/>
          </w:tcPr>
          <w:p>
            <w:pPr>
              <w:pStyle w:val="null3"/>
            </w:pPr>
            <w:r>
              <w:rPr>
                <w:sz w:val="21"/>
              </w:rPr>
              <w:t xml:space="preserve">2.9 </w:t>
            </w:r>
            <w:r>
              <w:rPr>
                <w:sz w:val="21"/>
              </w:rPr>
              <w:t>激光器：功率≥30mW，波长635±5nm ；</w:t>
            </w:r>
          </w:p>
        </w:tc>
      </w:tr>
      <w:tr>
        <w:tc>
          <w:tcPr>
            <w:tcW w:type="dxa" w:w="2076"/>
          </w:tcPr>
          <w:p/>
        </w:tc>
        <w:tc>
          <w:tcPr>
            <w:tcW w:type="dxa" w:w="415"/>
          </w:tcPr>
          <w:p>
            <w:pPr>
              <w:pStyle w:val="null3"/>
            </w:pPr>
            <w:r>
              <w:rPr/>
              <w:t>11</w:t>
            </w:r>
          </w:p>
        </w:tc>
        <w:tc>
          <w:tcPr>
            <w:tcW w:type="dxa" w:w="5814"/>
          </w:tcPr>
          <w:p>
            <w:pPr>
              <w:pStyle w:val="null3"/>
            </w:pPr>
            <w:r>
              <w:rPr>
                <w:sz w:val="21"/>
                <w:b/>
              </w:rPr>
              <w:t>★2.10 检测器：高灵敏CCD（Charge-Coupled Device）；</w:t>
            </w:r>
          </w:p>
        </w:tc>
      </w:tr>
      <w:tr>
        <w:tc>
          <w:tcPr>
            <w:tcW w:type="dxa" w:w="2076"/>
          </w:tcPr>
          <w:p/>
        </w:tc>
        <w:tc>
          <w:tcPr>
            <w:tcW w:type="dxa" w:w="415"/>
          </w:tcPr>
          <w:p>
            <w:pPr>
              <w:pStyle w:val="null3"/>
            </w:pPr>
            <w:r>
              <w:rPr/>
              <w:t>12</w:t>
            </w:r>
          </w:p>
        </w:tc>
        <w:tc>
          <w:tcPr>
            <w:tcW w:type="dxa" w:w="5814"/>
          </w:tcPr>
          <w:p>
            <w:pPr>
              <w:pStyle w:val="null3"/>
            </w:pPr>
            <w:r>
              <w:rPr>
                <w:sz w:val="21"/>
              </w:rPr>
              <w:t xml:space="preserve">2.11 </w:t>
            </w:r>
            <w:r>
              <w:rPr>
                <w:sz w:val="21"/>
              </w:rPr>
              <w:t>垂直流路设计，避免气泡滞留；</w:t>
            </w:r>
          </w:p>
        </w:tc>
      </w:tr>
      <w:tr>
        <w:tc>
          <w:tcPr>
            <w:tcW w:type="dxa" w:w="2076"/>
          </w:tcPr>
          <w:p/>
        </w:tc>
        <w:tc>
          <w:tcPr>
            <w:tcW w:type="dxa" w:w="415"/>
          </w:tcPr>
          <w:p>
            <w:pPr>
              <w:pStyle w:val="null3"/>
            </w:pPr>
            <w:r>
              <w:rPr/>
              <w:t>13</w:t>
            </w:r>
          </w:p>
        </w:tc>
        <w:tc>
          <w:tcPr>
            <w:tcW w:type="dxa" w:w="5814"/>
          </w:tcPr>
          <w:p>
            <w:pPr>
              <w:pStyle w:val="null3"/>
            </w:pPr>
            <w:r>
              <w:rPr>
                <w:sz w:val="21"/>
                <w:b/>
              </w:rPr>
              <w:t>▲2.12 参比角设计，剔除噪音信号；</w:t>
            </w:r>
          </w:p>
        </w:tc>
      </w:tr>
      <w:tr>
        <w:tc>
          <w:tcPr>
            <w:tcW w:type="dxa" w:w="2076"/>
          </w:tcPr>
          <w:p/>
        </w:tc>
        <w:tc>
          <w:tcPr>
            <w:tcW w:type="dxa" w:w="415"/>
          </w:tcPr>
          <w:p>
            <w:pPr>
              <w:pStyle w:val="null3"/>
            </w:pPr>
            <w:r>
              <w:rPr/>
              <w:t>14</w:t>
            </w:r>
          </w:p>
        </w:tc>
        <w:tc>
          <w:tcPr>
            <w:tcW w:type="dxa" w:w="5814"/>
          </w:tcPr>
          <w:p>
            <w:pPr>
              <w:pStyle w:val="null3"/>
            </w:pPr>
            <w:r>
              <w:rPr>
                <w:sz w:val="21"/>
              </w:rPr>
              <w:t>2.13</w:t>
            </w:r>
            <w:r>
              <w:rPr>
                <w:sz w:val="21"/>
              </w:rPr>
              <w:t>低数值光纤传输信号；</w:t>
            </w:r>
          </w:p>
        </w:tc>
      </w:tr>
      <w:tr>
        <w:tc>
          <w:tcPr>
            <w:tcW w:type="dxa" w:w="2076"/>
          </w:tcPr>
          <w:p/>
        </w:tc>
        <w:tc>
          <w:tcPr>
            <w:tcW w:type="dxa" w:w="415"/>
          </w:tcPr>
          <w:p>
            <w:pPr>
              <w:pStyle w:val="null3"/>
            </w:pPr>
            <w:r>
              <w:rPr/>
              <w:t>15</w:t>
            </w:r>
          </w:p>
        </w:tc>
        <w:tc>
          <w:tcPr>
            <w:tcW w:type="dxa" w:w="5814"/>
          </w:tcPr>
          <w:p>
            <w:pPr>
              <w:pStyle w:val="null3"/>
            </w:pPr>
            <w:r>
              <w:rPr>
                <w:sz w:val="21"/>
              </w:rPr>
              <w:t>2.14</w:t>
            </w:r>
            <w:r>
              <w:rPr>
                <w:sz w:val="21"/>
              </w:rPr>
              <w:t>仪器可单机操作，且配置单机操作软件，可测定Mw、Rg和A</w:t>
            </w:r>
            <w:r>
              <w:rPr>
                <w:sz w:val="21"/>
                <w:vertAlign w:val="subscript"/>
              </w:rPr>
              <w:t>2</w:t>
            </w:r>
            <w:r>
              <w:rPr>
                <w:sz w:val="21"/>
              </w:rPr>
              <w:t>，提供分子形状信息；</w:t>
            </w:r>
          </w:p>
        </w:tc>
      </w:tr>
      <w:tr>
        <w:tc>
          <w:tcPr>
            <w:tcW w:type="dxa" w:w="2076"/>
          </w:tcPr>
          <w:p/>
        </w:tc>
        <w:tc>
          <w:tcPr>
            <w:tcW w:type="dxa" w:w="415"/>
          </w:tcPr>
          <w:p>
            <w:pPr>
              <w:pStyle w:val="null3"/>
            </w:pPr>
            <w:r>
              <w:rPr/>
              <w:t>16</w:t>
            </w:r>
          </w:p>
        </w:tc>
        <w:tc>
          <w:tcPr>
            <w:tcW w:type="dxa" w:w="5814"/>
          </w:tcPr>
          <w:p>
            <w:pPr>
              <w:pStyle w:val="null3"/>
            </w:pPr>
            <w:r>
              <w:rPr>
                <w:sz w:val="21"/>
              </w:rPr>
              <w:t>2.15</w:t>
            </w:r>
            <w:r>
              <w:rPr>
                <w:sz w:val="21"/>
              </w:rPr>
              <w:t>仪器可联机操作，作为在线检测器与凝胶液相系统联机使用，可测定聚合物各个分布的Mw和Rg；</w:t>
            </w:r>
          </w:p>
        </w:tc>
      </w:tr>
      <w:tr>
        <w:tc>
          <w:tcPr>
            <w:tcW w:type="dxa" w:w="2076"/>
          </w:tcPr>
          <w:p/>
        </w:tc>
        <w:tc>
          <w:tcPr>
            <w:tcW w:type="dxa" w:w="415"/>
          </w:tcPr>
          <w:p>
            <w:pPr>
              <w:pStyle w:val="null3"/>
            </w:pPr>
            <w:r>
              <w:rPr/>
              <w:t>17</w:t>
            </w:r>
          </w:p>
        </w:tc>
        <w:tc>
          <w:tcPr>
            <w:tcW w:type="dxa" w:w="5814"/>
          </w:tcPr>
          <w:p>
            <w:pPr>
              <w:pStyle w:val="null3"/>
            </w:pPr>
            <w:r>
              <w:rPr>
                <w:sz w:val="21"/>
              </w:rPr>
              <w:t xml:space="preserve">2.16 </w:t>
            </w:r>
            <w:r>
              <w:rPr>
                <w:sz w:val="21"/>
              </w:rPr>
              <w:t>配置光散射与凝胶液相联用软件，且兼容任何公司凝胶液相系统,提供Mw、Rg和Mw/Mn数值。</w:t>
            </w:r>
          </w:p>
        </w:tc>
      </w:tr>
      <w:tr>
        <w:tc>
          <w:tcPr>
            <w:tcW w:type="dxa" w:w="2076"/>
          </w:tcPr>
          <w:p/>
        </w:tc>
        <w:tc>
          <w:tcPr>
            <w:tcW w:type="dxa" w:w="415"/>
          </w:tcPr>
          <w:p>
            <w:pPr>
              <w:pStyle w:val="null3"/>
            </w:pPr>
            <w:r>
              <w:rPr/>
              <w:t>18</w:t>
            </w:r>
          </w:p>
        </w:tc>
        <w:tc>
          <w:tcPr>
            <w:tcW w:type="dxa" w:w="5814"/>
          </w:tcPr>
          <w:p>
            <w:pPr>
              <w:pStyle w:val="null3"/>
            </w:pPr>
            <w:r>
              <w:rPr/>
              <w:t xml:space="preserve">三、DNDC值测定仪 </w:t>
            </w:r>
          </w:p>
          <w:p>
            <w:pPr>
              <w:pStyle w:val="null3"/>
            </w:pPr>
            <w:r>
              <w:rPr>
                <w:sz w:val="21"/>
              </w:rPr>
              <w:t>3.1</w:t>
            </w:r>
            <w:r>
              <w:rPr>
                <w:sz w:val="21"/>
              </w:rPr>
              <w:t>测量范围：≥</w:t>
            </w:r>
            <w:r>
              <w:rPr>
                <w:sz w:val="21"/>
              </w:rPr>
              <w:t>2.3</w:t>
            </w:r>
            <w:r>
              <w:rPr>
                <w:sz w:val="21"/>
              </w:rPr>
              <w:t>×</w:t>
            </w:r>
            <w:r>
              <w:rPr>
                <w:sz w:val="21"/>
              </w:rPr>
              <w:t>10</w:t>
            </w:r>
            <w:r>
              <w:rPr>
                <w:sz w:val="21"/>
                <w:vertAlign w:val="superscript"/>
              </w:rPr>
              <w:t>-6</w:t>
            </w:r>
            <w:r>
              <w:rPr>
                <w:sz w:val="21"/>
              </w:rPr>
              <w:t>～</w:t>
            </w:r>
            <w:r>
              <w:rPr>
                <w:sz w:val="21"/>
              </w:rPr>
              <w:t>6</w:t>
            </w:r>
            <w:r>
              <w:rPr>
                <w:sz w:val="21"/>
              </w:rPr>
              <w:t>×</w:t>
            </w:r>
            <w:r>
              <w:rPr>
                <w:sz w:val="21"/>
              </w:rPr>
              <w:t>10</w:t>
            </w:r>
            <w:r>
              <w:rPr>
                <w:sz w:val="21"/>
                <w:vertAlign w:val="superscript"/>
              </w:rPr>
              <w:t>-4</w:t>
            </w:r>
            <w:r>
              <w:rPr>
                <w:sz w:val="21"/>
              </w:rPr>
              <w:t>；</w:t>
            </w:r>
          </w:p>
        </w:tc>
      </w:tr>
      <w:tr>
        <w:tc>
          <w:tcPr>
            <w:tcW w:type="dxa" w:w="2076"/>
          </w:tcPr>
          <w:p/>
        </w:tc>
        <w:tc>
          <w:tcPr>
            <w:tcW w:type="dxa" w:w="415"/>
          </w:tcPr>
          <w:p>
            <w:pPr>
              <w:pStyle w:val="null3"/>
            </w:pPr>
            <w:r>
              <w:rPr/>
              <w:t>19</w:t>
            </w:r>
          </w:p>
        </w:tc>
        <w:tc>
          <w:tcPr>
            <w:tcW w:type="dxa" w:w="5814"/>
          </w:tcPr>
          <w:p>
            <w:pPr>
              <w:pStyle w:val="null3"/>
            </w:pPr>
            <w:r>
              <w:rPr>
                <w:sz w:val="21"/>
              </w:rPr>
              <w:t>3.2</w:t>
            </w:r>
            <w:r>
              <w:rPr>
                <w:sz w:val="21"/>
              </w:rPr>
              <w:t>样品池体积：≤8μL；</w:t>
            </w:r>
          </w:p>
        </w:tc>
      </w:tr>
      <w:tr>
        <w:tc>
          <w:tcPr>
            <w:tcW w:type="dxa" w:w="2076"/>
          </w:tcPr>
          <w:p/>
        </w:tc>
        <w:tc>
          <w:tcPr>
            <w:tcW w:type="dxa" w:w="415"/>
          </w:tcPr>
          <w:p>
            <w:pPr>
              <w:pStyle w:val="null3"/>
            </w:pPr>
            <w:r>
              <w:rPr/>
              <w:t>20</w:t>
            </w:r>
          </w:p>
        </w:tc>
        <w:tc>
          <w:tcPr>
            <w:tcW w:type="dxa" w:w="5814"/>
          </w:tcPr>
          <w:p>
            <w:pPr>
              <w:pStyle w:val="null3"/>
            </w:pPr>
            <w:r>
              <w:rPr>
                <w:sz w:val="21"/>
                <w:b/>
              </w:rPr>
              <w:t>★3.3 死体积：≤25μL；</w:t>
            </w:r>
          </w:p>
        </w:tc>
      </w:tr>
      <w:tr>
        <w:tc>
          <w:tcPr>
            <w:tcW w:type="dxa" w:w="2076"/>
          </w:tcPr>
          <w:p/>
        </w:tc>
        <w:tc>
          <w:tcPr>
            <w:tcW w:type="dxa" w:w="415"/>
          </w:tcPr>
          <w:p>
            <w:pPr>
              <w:pStyle w:val="null3"/>
            </w:pPr>
            <w:r>
              <w:rPr/>
              <w:t>21</w:t>
            </w:r>
          </w:p>
        </w:tc>
        <w:tc>
          <w:tcPr>
            <w:tcW w:type="dxa" w:w="5814"/>
          </w:tcPr>
          <w:p>
            <w:pPr>
              <w:pStyle w:val="null3"/>
            </w:pPr>
            <w:r>
              <w:rPr>
                <w:sz w:val="21"/>
              </w:rPr>
              <w:t xml:space="preserve">3.4 </w:t>
            </w:r>
            <w:r>
              <w:rPr>
                <w:sz w:val="21"/>
              </w:rPr>
              <w:t>样品池角度：</w:t>
            </w:r>
            <w:r>
              <w:rPr>
                <w:sz w:val="21"/>
                <w:b/>
              </w:rPr>
              <w:t>≤</w:t>
            </w:r>
            <w:r>
              <w:rPr>
                <w:sz w:val="21"/>
              </w:rPr>
              <w:t>45°；</w:t>
            </w:r>
          </w:p>
        </w:tc>
      </w:tr>
      <w:tr>
        <w:tc>
          <w:tcPr>
            <w:tcW w:type="dxa" w:w="2076"/>
          </w:tcPr>
          <w:p/>
        </w:tc>
        <w:tc>
          <w:tcPr>
            <w:tcW w:type="dxa" w:w="415"/>
          </w:tcPr>
          <w:p>
            <w:pPr>
              <w:pStyle w:val="null3"/>
            </w:pPr>
            <w:r>
              <w:rPr/>
              <w:t>22</w:t>
            </w:r>
          </w:p>
        </w:tc>
        <w:tc>
          <w:tcPr>
            <w:tcW w:type="dxa" w:w="5814"/>
          </w:tcPr>
          <w:p>
            <w:pPr>
              <w:pStyle w:val="null3"/>
            </w:pPr>
            <w:r>
              <w:rPr>
                <w:sz w:val="21"/>
              </w:rPr>
              <w:t>3.5</w:t>
            </w:r>
            <w:r>
              <w:rPr>
                <w:sz w:val="21"/>
              </w:rPr>
              <w:t>灵敏度：≤1.5ng（果糖在水中）；</w:t>
            </w:r>
          </w:p>
        </w:tc>
      </w:tr>
      <w:tr>
        <w:tc>
          <w:tcPr>
            <w:tcW w:type="dxa" w:w="2076"/>
          </w:tcPr>
          <w:p/>
        </w:tc>
        <w:tc>
          <w:tcPr>
            <w:tcW w:type="dxa" w:w="415"/>
          </w:tcPr>
          <w:p>
            <w:pPr>
              <w:pStyle w:val="null3"/>
            </w:pPr>
            <w:r>
              <w:rPr/>
              <w:t>23</w:t>
            </w:r>
          </w:p>
        </w:tc>
        <w:tc>
          <w:tcPr>
            <w:tcW w:type="dxa" w:w="5814"/>
          </w:tcPr>
          <w:p>
            <w:pPr>
              <w:pStyle w:val="null3"/>
            </w:pPr>
            <w:r>
              <w:rPr>
                <w:sz w:val="21"/>
              </w:rPr>
              <w:t>3.6</w:t>
            </w:r>
            <w:r>
              <w:rPr>
                <w:sz w:val="21"/>
              </w:rPr>
              <w:t>噪音：≤</w:t>
            </w:r>
            <w:r>
              <w:rPr>
                <w:sz w:val="21"/>
              </w:rPr>
              <w:t>2.5</w:t>
            </w:r>
            <w:r>
              <w:rPr>
                <w:sz w:val="21"/>
              </w:rPr>
              <w:t>×</w:t>
            </w:r>
            <w:r>
              <w:rPr>
                <w:sz w:val="21"/>
              </w:rPr>
              <w:t>10</w:t>
            </w:r>
            <w:r>
              <w:rPr>
                <w:sz w:val="21"/>
                <w:vertAlign w:val="superscript"/>
              </w:rPr>
              <w:t>-9</w:t>
            </w:r>
            <w:r>
              <w:rPr>
                <w:sz w:val="21"/>
              </w:rPr>
              <w:t>，25℃；</w:t>
            </w:r>
          </w:p>
        </w:tc>
      </w:tr>
      <w:tr>
        <w:tc>
          <w:tcPr>
            <w:tcW w:type="dxa" w:w="2076"/>
          </w:tcPr>
          <w:p/>
        </w:tc>
        <w:tc>
          <w:tcPr>
            <w:tcW w:type="dxa" w:w="415"/>
          </w:tcPr>
          <w:p>
            <w:pPr>
              <w:pStyle w:val="null3"/>
            </w:pPr>
            <w:r>
              <w:rPr/>
              <w:t>24</w:t>
            </w:r>
          </w:p>
        </w:tc>
        <w:tc>
          <w:tcPr>
            <w:tcW w:type="dxa" w:w="5814"/>
          </w:tcPr>
          <w:p>
            <w:pPr>
              <w:pStyle w:val="null3"/>
            </w:pPr>
            <w:r>
              <w:rPr>
                <w:sz w:val="21"/>
              </w:rPr>
              <w:t>3.7</w:t>
            </w:r>
            <w:r>
              <w:rPr>
                <w:sz w:val="21"/>
              </w:rPr>
              <w:t>温度范围及进度：≥室温至80℃，0.1℃；</w:t>
            </w:r>
          </w:p>
        </w:tc>
      </w:tr>
      <w:tr>
        <w:tc>
          <w:tcPr>
            <w:tcW w:type="dxa" w:w="2076"/>
          </w:tcPr>
          <w:p/>
        </w:tc>
        <w:tc>
          <w:tcPr>
            <w:tcW w:type="dxa" w:w="415"/>
          </w:tcPr>
          <w:p>
            <w:pPr>
              <w:pStyle w:val="null3"/>
            </w:pPr>
            <w:r>
              <w:rPr/>
              <w:t>25</w:t>
            </w:r>
          </w:p>
        </w:tc>
        <w:tc>
          <w:tcPr>
            <w:tcW w:type="dxa" w:w="5814"/>
          </w:tcPr>
          <w:p>
            <w:pPr>
              <w:pStyle w:val="null3"/>
            </w:pPr>
            <w:r>
              <w:rPr>
                <w:sz w:val="21"/>
              </w:rPr>
              <w:t>3.8</w:t>
            </w:r>
            <w:r>
              <w:rPr>
                <w:sz w:val="21"/>
              </w:rPr>
              <w:t>基线漂移：≤</w:t>
            </w:r>
            <w:r>
              <w:rPr>
                <w:sz w:val="21"/>
              </w:rPr>
              <w:t>2</w:t>
            </w:r>
            <w:r>
              <w:rPr>
                <w:sz w:val="21"/>
              </w:rPr>
              <w:t>×</w:t>
            </w:r>
            <w:r>
              <w:rPr>
                <w:sz w:val="21"/>
              </w:rPr>
              <w:t>10</w:t>
            </w:r>
            <w:r>
              <w:rPr>
                <w:sz w:val="21"/>
                <w:vertAlign w:val="superscript"/>
              </w:rPr>
              <w:t>-8</w:t>
            </w:r>
            <w:r>
              <w:rPr>
                <w:sz w:val="21"/>
              </w:rPr>
              <w:t xml:space="preserve"> RIU/30min</w:t>
            </w:r>
            <w:r>
              <w:rPr>
                <w:sz w:val="21"/>
              </w:rPr>
              <w:t>；</w:t>
            </w:r>
          </w:p>
        </w:tc>
      </w:tr>
      <w:tr>
        <w:tc>
          <w:tcPr>
            <w:tcW w:type="dxa" w:w="2076"/>
          </w:tcPr>
          <w:p/>
        </w:tc>
        <w:tc>
          <w:tcPr>
            <w:tcW w:type="dxa" w:w="415"/>
          </w:tcPr>
          <w:p>
            <w:pPr>
              <w:pStyle w:val="null3"/>
            </w:pPr>
            <w:r>
              <w:rPr/>
              <w:t>26</w:t>
            </w:r>
          </w:p>
        </w:tc>
        <w:tc>
          <w:tcPr>
            <w:tcW w:type="dxa" w:w="5814"/>
          </w:tcPr>
          <w:p>
            <w:pPr>
              <w:pStyle w:val="null3"/>
            </w:pPr>
            <w:r>
              <w:rPr>
                <w:sz w:val="21"/>
              </w:rPr>
              <w:t>3.9</w:t>
            </w:r>
            <w:r>
              <w:rPr>
                <w:sz w:val="21"/>
              </w:rPr>
              <w:t>模拟信号输出：</w:t>
            </w:r>
            <w:r>
              <w:rPr>
                <w:sz w:val="21"/>
              </w:rPr>
              <w:t>1</w:t>
            </w:r>
            <w:r>
              <w:rPr>
                <w:sz w:val="21"/>
              </w:rPr>
              <w:t>～10V</w:t>
            </w:r>
            <w:r>
              <w:rPr>
                <w:sz w:val="21"/>
              </w:rPr>
              <w:t>（双极），全量程；</w:t>
            </w:r>
          </w:p>
        </w:tc>
      </w:tr>
      <w:tr>
        <w:tc>
          <w:tcPr>
            <w:tcW w:type="dxa" w:w="2076"/>
          </w:tcPr>
          <w:p/>
        </w:tc>
        <w:tc>
          <w:tcPr>
            <w:tcW w:type="dxa" w:w="415"/>
          </w:tcPr>
          <w:p>
            <w:pPr>
              <w:pStyle w:val="null3"/>
            </w:pPr>
            <w:r>
              <w:rPr/>
              <w:t>27</w:t>
            </w:r>
          </w:p>
        </w:tc>
        <w:tc>
          <w:tcPr>
            <w:tcW w:type="dxa" w:w="5814"/>
          </w:tcPr>
          <w:p>
            <w:pPr>
              <w:pStyle w:val="null3"/>
            </w:pPr>
            <w:r>
              <w:rPr>
                <w:sz w:val="21"/>
              </w:rPr>
              <w:t>3.10</w:t>
            </w:r>
            <w:r>
              <w:rPr>
                <w:sz w:val="21"/>
              </w:rPr>
              <w:t>数字信号输出：RS-232/USB；</w:t>
            </w:r>
          </w:p>
        </w:tc>
      </w:tr>
      <w:tr>
        <w:tc>
          <w:tcPr>
            <w:tcW w:type="dxa" w:w="2076"/>
          </w:tcPr>
          <w:p/>
        </w:tc>
        <w:tc>
          <w:tcPr>
            <w:tcW w:type="dxa" w:w="415"/>
          </w:tcPr>
          <w:p>
            <w:pPr>
              <w:pStyle w:val="null3"/>
            </w:pPr>
            <w:r>
              <w:rPr/>
              <w:t>28</w:t>
            </w:r>
          </w:p>
        </w:tc>
        <w:tc>
          <w:tcPr>
            <w:tcW w:type="dxa" w:w="5814"/>
          </w:tcPr>
          <w:p>
            <w:pPr>
              <w:pStyle w:val="null3"/>
            </w:pPr>
            <w:r>
              <w:rPr>
                <w:sz w:val="21"/>
              </w:rPr>
              <w:t>3.11</w:t>
            </w:r>
            <w:r>
              <w:rPr>
                <w:sz w:val="21"/>
              </w:rPr>
              <w:t>数据传输速率：4800, 9600, 19200, 38400, 57600, 115200；</w:t>
            </w:r>
          </w:p>
        </w:tc>
      </w:tr>
      <w:tr>
        <w:tc>
          <w:tcPr>
            <w:tcW w:type="dxa" w:w="2076"/>
          </w:tcPr>
          <w:p/>
        </w:tc>
        <w:tc>
          <w:tcPr>
            <w:tcW w:type="dxa" w:w="415"/>
          </w:tcPr>
          <w:p>
            <w:pPr>
              <w:pStyle w:val="null3"/>
            </w:pPr>
            <w:r>
              <w:rPr/>
              <w:t>29</w:t>
            </w:r>
          </w:p>
        </w:tc>
        <w:tc>
          <w:tcPr>
            <w:tcW w:type="dxa" w:w="5814"/>
          </w:tcPr>
          <w:p>
            <w:pPr>
              <w:pStyle w:val="null3"/>
            </w:pPr>
            <w:r>
              <w:rPr>
                <w:sz w:val="21"/>
              </w:rPr>
              <w:t>3.12</w:t>
            </w:r>
            <w:r>
              <w:rPr>
                <w:sz w:val="21"/>
              </w:rPr>
              <w:t>数字化输入：冲洗，回零，同步，错误提示；</w:t>
            </w:r>
          </w:p>
        </w:tc>
      </w:tr>
      <w:tr>
        <w:tc>
          <w:tcPr>
            <w:tcW w:type="dxa" w:w="2076"/>
          </w:tcPr>
          <w:p/>
        </w:tc>
        <w:tc>
          <w:tcPr>
            <w:tcW w:type="dxa" w:w="415"/>
          </w:tcPr>
          <w:p>
            <w:pPr>
              <w:pStyle w:val="null3"/>
            </w:pPr>
            <w:r>
              <w:rPr/>
              <w:t>30</w:t>
            </w:r>
          </w:p>
        </w:tc>
        <w:tc>
          <w:tcPr>
            <w:tcW w:type="dxa" w:w="5814"/>
          </w:tcPr>
          <w:p>
            <w:pPr>
              <w:pStyle w:val="null3"/>
            </w:pPr>
            <w:r>
              <w:rPr>
                <w:sz w:val="21"/>
              </w:rPr>
              <w:t>3.13</w:t>
            </w:r>
            <w:r>
              <w:rPr>
                <w:sz w:val="21"/>
              </w:rPr>
              <w:t>进样方式：动态注射进样或者进样阀进样；</w:t>
            </w:r>
          </w:p>
        </w:tc>
      </w:tr>
      <w:tr>
        <w:tc>
          <w:tcPr>
            <w:tcW w:type="dxa" w:w="2076"/>
          </w:tcPr>
          <w:p/>
        </w:tc>
        <w:tc>
          <w:tcPr>
            <w:tcW w:type="dxa" w:w="415"/>
          </w:tcPr>
          <w:p>
            <w:pPr>
              <w:pStyle w:val="null3"/>
            </w:pPr>
            <w:r>
              <w:rPr/>
              <w:t>31</w:t>
            </w:r>
          </w:p>
        </w:tc>
        <w:tc>
          <w:tcPr>
            <w:tcW w:type="dxa" w:w="5814"/>
          </w:tcPr>
          <w:p>
            <w:pPr>
              <w:pStyle w:val="null3"/>
            </w:pPr>
            <w:r>
              <w:rPr>
                <w:sz w:val="21"/>
              </w:rPr>
              <w:t>3.14</w:t>
            </w:r>
            <w:r>
              <w:rPr>
                <w:sz w:val="21"/>
              </w:rPr>
              <w:t>配套配件包（</w:t>
            </w:r>
            <w:r>
              <w:rPr>
                <w:sz w:val="21"/>
                <w:color w:val="000000"/>
              </w:rPr>
              <w:t>包含5mL注射器/接头/0.25mm进样管路/1.0mm出口管路等</w:t>
            </w:r>
            <w:r>
              <w:rPr>
                <w:sz w:val="21"/>
              </w:rPr>
              <w:t>）一个。</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 xml:space="preserve">四、示差折光检测器仪 </w:t>
            </w:r>
          </w:p>
          <w:p>
            <w:pPr>
              <w:pStyle w:val="null3"/>
            </w:pPr>
            <w:r>
              <w:rPr>
                <w:sz w:val="21"/>
              </w:rPr>
              <w:t>4.1</w:t>
            </w:r>
            <w:r>
              <w:rPr>
                <w:sz w:val="21"/>
              </w:rPr>
              <w:t>折光率范围：</w:t>
            </w:r>
            <w:r>
              <w:rPr>
                <w:sz w:val="21"/>
              </w:rPr>
              <w:t>≥</w:t>
            </w:r>
            <w:r>
              <w:rPr>
                <w:sz w:val="21"/>
              </w:rPr>
              <w:t>1.00</w:t>
            </w:r>
            <w:r>
              <w:rPr>
                <w:sz w:val="21"/>
              </w:rPr>
              <w:t>～1.75 RIU；</w:t>
            </w:r>
          </w:p>
        </w:tc>
      </w:tr>
      <w:tr>
        <w:tc>
          <w:tcPr>
            <w:tcW w:type="dxa" w:w="2076"/>
          </w:tcPr>
          <w:p/>
        </w:tc>
        <w:tc>
          <w:tcPr>
            <w:tcW w:type="dxa" w:w="415"/>
          </w:tcPr>
          <w:p>
            <w:pPr>
              <w:pStyle w:val="null3"/>
            </w:pPr>
            <w:r>
              <w:rPr/>
              <w:t>33</w:t>
            </w:r>
          </w:p>
        </w:tc>
        <w:tc>
          <w:tcPr>
            <w:tcW w:type="dxa" w:w="5814"/>
          </w:tcPr>
          <w:p>
            <w:pPr>
              <w:pStyle w:val="null3"/>
            </w:pPr>
            <w:r>
              <w:rPr>
                <w:sz w:val="21"/>
              </w:rPr>
              <w:t>4.2</w:t>
            </w:r>
            <w:r>
              <w:rPr>
                <w:sz w:val="21"/>
              </w:rPr>
              <w:t>线性动态范围：在5.0 x 10</w:t>
            </w:r>
            <w:r>
              <w:rPr>
                <w:sz w:val="21"/>
                <w:vertAlign w:val="superscript"/>
              </w:rPr>
              <w:t>-4</w:t>
            </w:r>
            <w:r>
              <w:rPr>
                <w:sz w:val="21"/>
              </w:rPr>
              <w:t xml:space="preserve"> RIU范围内≤ 5%；</w:t>
            </w:r>
          </w:p>
        </w:tc>
      </w:tr>
      <w:tr>
        <w:tc>
          <w:tcPr>
            <w:tcW w:type="dxa" w:w="2076"/>
          </w:tcPr>
          <w:p/>
        </w:tc>
        <w:tc>
          <w:tcPr>
            <w:tcW w:type="dxa" w:w="415"/>
          </w:tcPr>
          <w:p>
            <w:pPr>
              <w:pStyle w:val="null3"/>
            </w:pPr>
            <w:r>
              <w:rPr/>
              <w:t>34</w:t>
            </w:r>
          </w:p>
        </w:tc>
        <w:tc>
          <w:tcPr>
            <w:tcW w:type="dxa" w:w="5814"/>
          </w:tcPr>
          <w:p>
            <w:pPr>
              <w:pStyle w:val="null3"/>
            </w:pPr>
            <w:r>
              <w:rPr>
                <w:sz w:val="21"/>
              </w:rPr>
              <w:t>4.3</w:t>
            </w:r>
            <w:r>
              <w:rPr>
                <w:sz w:val="21"/>
              </w:rPr>
              <w:t>流速范围：</w:t>
            </w:r>
            <w:r>
              <w:rPr>
                <w:sz w:val="21"/>
              </w:rPr>
              <w:t>≥</w:t>
            </w:r>
            <w:r>
              <w:rPr>
                <w:sz w:val="21"/>
              </w:rPr>
              <w:t>0.1</w:t>
            </w:r>
            <w:r>
              <w:rPr>
                <w:sz w:val="21"/>
              </w:rPr>
              <w:t>～10.0 mL/min；</w:t>
            </w:r>
          </w:p>
        </w:tc>
      </w:tr>
      <w:tr>
        <w:tc>
          <w:tcPr>
            <w:tcW w:type="dxa" w:w="2076"/>
          </w:tcPr>
          <w:p/>
        </w:tc>
        <w:tc>
          <w:tcPr>
            <w:tcW w:type="dxa" w:w="415"/>
          </w:tcPr>
          <w:p>
            <w:pPr>
              <w:pStyle w:val="null3"/>
            </w:pPr>
            <w:r>
              <w:rPr/>
              <w:t>35</w:t>
            </w:r>
          </w:p>
        </w:tc>
        <w:tc>
          <w:tcPr>
            <w:tcW w:type="dxa" w:w="5814"/>
          </w:tcPr>
          <w:p>
            <w:pPr>
              <w:pStyle w:val="null3"/>
            </w:pPr>
            <w:r>
              <w:rPr>
                <w:sz w:val="21"/>
              </w:rPr>
              <w:t>4.4</w:t>
            </w:r>
            <w:r>
              <w:rPr>
                <w:sz w:val="21"/>
              </w:rPr>
              <w:t>温度控制：独立温度控制范围：≥30～55</w:t>
            </w:r>
            <w:r>
              <w:rPr>
                <w:sz w:val="21"/>
              </w:rPr>
              <w:t>℃</w:t>
            </w:r>
            <w:r>
              <w:rPr>
                <w:sz w:val="21"/>
              </w:rPr>
              <w:t>，±0.5</w:t>
            </w:r>
            <w:r>
              <w:rPr>
                <w:sz w:val="21"/>
              </w:rPr>
              <w:t>℃</w:t>
            </w:r>
            <w:r>
              <w:rPr>
                <w:sz w:val="21"/>
              </w:rPr>
              <w:t>，增量1</w:t>
            </w:r>
            <w:r>
              <w:rPr>
                <w:sz w:val="21"/>
              </w:rPr>
              <w:t>℃</w:t>
            </w:r>
            <w:r>
              <w:rPr>
                <w:sz w:val="21"/>
              </w:rPr>
              <w:t>；</w:t>
            </w:r>
          </w:p>
        </w:tc>
      </w:tr>
      <w:tr>
        <w:tc>
          <w:tcPr>
            <w:tcW w:type="dxa" w:w="2076"/>
          </w:tcPr>
          <w:p/>
        </w:tc>
        <w:tc>
          <w:tcPr>
            <w:tcW w:type="dxa" w:w="415"/>
          </w:tcPr>
          <w:p>
            <w:pPr>
              <w:pStyle w:val="null3"/>
            </w:pPr>
            <w:r>
              <w:rPr/>
              <w:t>36</w:t>
            </w:r>
          </w:p>
        </w:tc>
        <w:tc>
          <w:tcPr>
            <w:tcW w:type="dxa" w:w="5814"/>
          </w:tcPr>
          <w:p>
            <w:pPr>
              <w:pStyle w:val="null3"/>
            </w:pPr>
            <w:r>
              <w:rPr>
                <w:sz w:val="21"/>
              </w:rPr>
              <w:t>4.5</w:t>
            </w:r>
            <w:r>
              <w:rPr>
                <w:sz w:val="21"/>
              </w:rPr>
              <w:t>流通池：梯形狭缝光路消除示差折光效应；</w:t>
            </w:r>
          </w:p>
        </w:tc>
      </w:tr>
      <w:tr>
        <w:tc>
          <w:tcPr>
            <w:tcW w:type="dxa" w:w="2076"/>
          </w:tcPr>
          <w:p/>
        </w:tc>
        <w:tc>
          <w:tcPr>
            <w:tcW w:type="dxa" w:w="415"/>
          </w:tcPr>
          <w:p>
            <w:pPr>
              <w:pStyle w:val="null3"/>
            </w:pPr>
            <w:r>
              <w:rPr/>
              <w:t>37</w:t>
            </w:r>
          </w:p>
        </w:tc>
        <w:tc>
          <w:tcPr>
            <w:tcW w:type="dxa" w:w="5814"/>
          </w:tcPr>
          <w:p>
            <w:pPr>
              <w:pStyle w:val="null3"/>
            </w:pPr>
            <w:r>
              <w:rPr>
                <w:sz w:val="21"/>
                <w:b/>
              </w:rPr>
              <w:t>▲4.6</w:t>
            </w:r>
            <w:r>
              <w:rPr>
                <w:sz w:val="21"/>
                <w:b/>
              </w:rPr>
              <w:t>光源：LED 870</w:t>
            </w:r>
            <w:r>
              <w:rPr>
                <w:sz w:val="21"/>
                <w:b/>
              </w:rPr>
              <w:t>±5</w:t>
            </w:r>
            <w:r>
              <w:rPr>
                <w:sz w:val="21"/>
                <w:b/>
              </w:rPr>
              <w:t xml:space="preserve"> nm</w:t>
            </w:r>
            <w:r>
              <w:rPr>
                <w:sz w:val="21"/>
                <w:b/>
              </w:rPr>
              <w:t>；</w:t>
            </w:r>
          </w:p>
        </w:tc>
      </w:tr>
      <w:tr>
        <w:tc>
          <w:tcPr>
            <w:tcW w:type="dxa" w:w="2076"/>
          </w:tcPr>
          <w:p/>
        </w:tc>
        <w:tc>
          <w:tcPr>
            <w:tcW w:type="dxa" w:w="415"/>
          </w:tcPr>
          <w:p>
            <w:pPr>
              <w:pStyle w:val="null3"/>
            </w:pPr>
            <w:r>
              <w:rPr/>
              <w:t>38</w:t>
            </w:r>
          </w:p>
        </w:tc>
        <w:tc>
          <w:tcPr>
            <w:tcW w:type="dxa" w:w="5814"/>
          </w:tcPr>
          <w:p>
            <w:pPr>
              <w:pStyle w:val="null3"/>
            </w:pPr>
            <w:r>
              <w:rPr>
                <w:sz w:val="21"/>
              </w:rPr>
              <w:t>4.7</w:t>
            </w:r>
            <w:r>
              <w:rPr>
                <w:sz w:val="21"/>
              </w:rPr>
              <w:t>操作面板可以独立设定工作参数、显示运行状态；</w:t>
            </w:r>
          </w:p>
        </w:tc>
      </w:tr>
      <w:tr>
        <w:tc>
          <w:tcPr>
            <w:tcW w:type="dxa" w:w="2076"/>
          </w:tcPr>
          <w:p/>
        </w:tc>
        <w:tc>
          <w:tcPr>
            <w:tcW w:type="dxa" w:w="415"/>
          </w:tcPr>
          <w:p>
            <w:pPr>
              <w:pStyle w:val="null3"/>
            </w:pPr>
            <w:r>
              <w:rPr/>
              <w:t>39</w:t>
            </w:r>
          </w:p>
        </w:tc>
        <w:tc>
          <w:tcPr>
            <w:tcW w:type="dxa" w:w="5814"/>
          </w:tcPr>
          <w:p>
            <w:pPr>
              <w:pStyle w:val="null3"/>
              <w:jc w:val="both"/>
            </w:pPr>
            <w:r>
              <w:rPr>
                <w:sz w:val="21"/>
                <w:color w:val="000000"/>
              </w:rPr>
              <w:t>五、配置清单：</w:t>
            </w:r>
          </w:p>
          <w:p>
            <w:pPr>
              <w:pStyle w:val="null3"/>
            </w:pPr>
            <w:r>
              <w:rPr>
                <w:sz w:val="21"/>
              </w:rPr>
              <w:t>1.</w:t>
            </w:r>
            <w:r>
              <w:rPr>
                <w:sz w:val="21"/>
              </w:rPr>
              <w:t>多角度光散射检测器  1台</w:t>
            </w:r>
          </w:p>
        </w:tc>
      </w:tr>
      <w:tr>
        <w:tc>
          <w:tcPr>
            <w:tcW w:type="dxa" w:w="2076"/>
          </w:tcPr>
          <w:p/>
        </w:tc>
        <w:tc>
          <w:tcPr>
            <w:tcW w:type="dxa" w:w="415"/>
          </w:tcPr>
          <w:p>
            <w:pPr>
              <w:pStyle w:val="null3"/>
            </w:pPr>
            <w:r>
              <w:rPr/>
              <w:t>40</w:t>
            </w:r>
          </w:p>
        </w:tc>
        <w:tc>
          <w:tcPr>
            <w:tcW w:type="dxa" w:w="5814"/>
          </w:tcPr>
          <w:p>
            <w:pPr>
              <w:pStyle w:val="null3"/>
            </w:pPr>
            <w:r>
              <w:rPr>
                <w:sz w:val="21"/>
              </w:rPr>
              <w:t>2.DNDC</w:t>
            </w:r>
            <w:r>
              <w:rPr>
                <w:sz w:val="21"/>
              </w:rPr>
              <w:t>值测定仪        1台</w:t>
            </w:r>
          </w:p>
        </w:tc>
      </w:tr>
      <w:tr>
        <w:tc>
          <w:tcPr>
            <w:tcW w:type="dxa" w:w="2076"/>
          </w:tcPr>
          <w:p/>
        </w:tc>
        <w:tc>
          <w:tcPr>
            <w:tcW w:type="dxa" w:w="415"/>
          </w:tcPr>
          <w:p>
            <w:pPr>
              <w:pStyle w:val="null3"/>
            </w:pPr>
            <w:r>
              <w:rPr/>
              <w:t>41</w:t>
            </w:r>
          </w:p>
        </w:tc>
        <w:tc>
          <w:tcPr>
            <w:tcW w:type="dxa" w:w="5814"/>
          </w:tcPr>
          <w:p>
            <w:pPr>
              <w:pStyle w:val="null3"/>
            </w:pPr>
            <w:r>
              <w:rPr>
                <w:sz w:val="21"/>
              </w:rPr>
              <w:t>3.</w:t>
            </w:r>
            <w:r>
              <w:rPr>
                <w:sz w:val="21"/>
              </w:rPr>
              <w:t>示差折光检测器仪    1台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采购包2（纳流液相色谱仪采购项目）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 180个日历日内完成所投产品的交货、安装及调试，包括向采购人职能部门提交认可的完整的验收申请资料。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c>
          <w:tcPr>
            <w:tcW w:type="dxa" w:w="4153"/>
          </w:tcPr>
          <w:p>
            <w:pPr>
              <w:pStyle w:val="null3"/>
            </w:pPr>
            <w:r>
              <w:rPr/>
              <w:t>付款方式</w:t>
            </w:r>
          </w:p>
        </w:tc>
        <w:tc>
          <w:tcPr>
            <w:tcW w:type="dxa" w:w="4153"/>
          </w:tcPr>
          <w:p>
            <w:pPr>
              <w:pStyle w:val="null3"/>
            </w:pPr>
            <w:r>
              <w:rPr/>
              <w:t>1期：支付比例100%,进口设备，付款方式：1.进口货物由采购人、中标人与外贸代理商签订三方合同。采购合同签订生效后，外贸代理商将与银行签订的监管账户提供给采购人后，由采购人在10个工作日内支付合同总金额100%货款至指定监管帐户。2.中标人供货至采购人指定的地点，三方对货物进行验收合格后，进口货物由外贸代理向采购人提供进口货物的所有进口单证、代理进口业务发票的原件、外商发票的原件、付汇水单的复印件（加盖外贸代理的财务章）采购人仪器设备验收报告作为货款的报账凭证与采购人结算；国产货物凭销售发票结算。3. 采购人最终出具验收报告后十五个工作日内（不含审批时间），由外贸代理凭采购人的确认付款通知书将货款付汇至中标人指定的外商公司。外贸代理付汇后一周内，将整套报账资料交至采购人。4.结算方式：银行转账。 国内设备，付款方式：1.采购人在合同签订及具备付款的所有条件后10个日历日内按合同总金额30%支付预付款；2.验收合格后，中标人向采购人开具相应金额的正式发票和提供由采购人认可的验收报告。货物验收合格和采购人收到前述发票、验收报告后10个日历日内采购人办理完合同总额70%划入中标人账户的支付手续；3.结算方式：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180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外贸代理（进口产品需要）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（2）验收细则以中标人在投标书中提供的设备技术资料及双方签订的合同条款为准。 （三）违约处置 1.出现以下任何情形之一的，采购人有权单方面解除合同，没收中标人已支付的全部履约保证金并向中标人收取合同总价10%的违约金，若因此造成采购人损失的，中标人还应当向采购人承担相应的损失：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5%；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交纳比例：3.8%</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说明：1.本项目合同签订之日起 5 个工作日内，中标人向采购人提交合同总价的3.8%作为本项目的履约保证金，可通过银行转账、支票、汇票、本票、保函等非现金形式支付。验收合格后20个工作日内一次性返还履约保证金（不计息）。 2.履约保证金的违约责任：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的5%。 （2）采购人逾期退还履约保证金的，每逾期1天，中标人有权要求采购人按履约保证金的1%偿付违约金，采购人逾期退还履约保证金的违约金总额不超过履约保证金数额的5%。</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（一）供货要求，1.本项目允许投标人投报进口产品（本采购文件中所称进口产品是指通过中国海关报关验放进入中国境内且产自关境外的产品（包括已进入中国境内的进口产品））。 (1)递交投标文件中的技术参数描述须与投标文件中提供的厂家产品彩页或厂家官方网站公布的资料相一致。 (2)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必须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 7.投标人必须具备相应的维护保养服务能力，能提供完善的售后服务（包括技术人员、响应时间及备品、备件方面等）。（投标人需提供承诺函，格式自拟） 8.采购单位为教育部门，享受海关的进口科教用品免税优惠政策，投标人需报设备免税价。（海关规定不能免税的设备除外）</w:t>
            </w:r>
          </w:p>
          <w:p>
            <w:pPr>
              <w:pStyle w:val="null3"/>
            </w:pPr>
            <w:r>
              <w:rPr/>
              <w:t>（二）售后服务要求（费用包含在投标报价内），1.质保期为验收合格后硬件产品至少提供保修 3 年。从验收合格之日起 3 年内，采购人所购设备发生非人为故障，中标人应无条件上门维修。如不能完全修复，则应更换不低于原规格型号的新部件或设备。 2.从验收合格之日起一个月内，中标人提供的货物各部件发生非人为损坏，应给予无条件更换。 3.质保期内，同一硬件一个月内连续 2 次出现同一故障，中标人须无偿更换同一档次的设备或部件。质保期内因货物质量问题发生3次及以上维修的 ，则该设备或部件的质量保修期从最后一次维修的日期起算。 4.中标人应指派专人负责与采购人联系售后服务事宜。中标人接到用户报修后，电话即时响应，如电话响应无法解决的在 4 个小时内进行答复，如确定需要来人进行修理，保证在 24小时内到达现场。如在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6.中标人提供终身售后服务，无论在保修期内或保修期外，中标人需提供上门服务。对于质保期外的设备维修，中标人仅收取损坏部分的成本材料费。 7.质保期内中标人售后服务部门将提供每年不低于4次的电话回访和2次现场设备检修服务，所有设备保修服务方式均为中标人上门保修，即由中标人派遣专门技术人员到采购人设备使用现场维修。由此产生的一切费用均由中标人承担。 8.质保期后中标人提供终身技术服务；提供终身对产品进行软件升级服务。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 10.中标人未按合同约定时间和约定标准提供保修服务的，采购人有权向中标人主张合同总价的10%的违约金，并有权自行委托第三方提供采购人所需要的技术支持和维修服务，由此造成的包括但不限于第三方维保费用、采购人其他经济损失等均由中标人承担。</w:t>
            </w:r>
          </w:p>
          <w:p>
            <w:pPr>
              <w:pStyle w:val="null3"/>
            </w:pPr>
            <w:r>
              <w:rPr/>
              <w:t>（三）报价要求：，1.投标总价应为各分项合计价格之和。与总项目相关的安装调试等费用须分摊计入各分项，不单项计费。 2.国产设备或包括已经进入中国境内的进口产品：投标报价应为人民币含税全包价（即设备正常交付采购人的所有费用），包括方案深化设计、产品的供应、运输、装卸等安装，安装调试、设备检测费（包括第三方检测），项目验收时的试剂耗材、培训，合同实施过程中应预见和不可预见费用等一切费用。 3.通过中国海关报关验放进入中国境内且产自关境外的产品：投标报价应为人民币免税全包价（即设备正常交付采购人的所有费用），包括但不限于全部货物及零配件的购置、保险费、运输费、设备安装等安装，调试费、项目验收时的试剂耗材、管理费、设备检测费（包括第三方检测）、协助费、外贸公司代理费用、外贸进口有关的一切费用、培训费和符合国家标准的安装附件、雇员费用、合同实施过程中应预见和不可预见费用等所有费用。 4.投标总价中不得包含招标文件要求以外的内容，否则，在评标时不予核减。投标总价中也不得缺漏招标文件所要求的内容，否则，其投标将可能被视为投标无效。 5.采购人不接受品牌、型号、配置和价格等有任何选择的投标，投标人在某一投标文件内有任何选择的，将视为投标无效（招标文件有特别说明的除外）。 6.外贸代理公司在采购人指定的代理公司中选取，外贸代理公司及费用收取详见项目概况。 7.特别注意条款：投标货物所有税款都由中标人承担包括但不限于货物原产地为境外且在中国国务院关税税则委员会公告要求加征关税清单范围内的货物。进口设备必须通过外贸代理公司从关境外供货到五邑大学指定地点,不能国内调货、窜货、否则采购人直接有权单方终止采购项目,且不支付任何费用，追究中标人的法律责任。 8.特别注意条款：投标人须在《货物技术参数及报价清单》如实申报货物名称、品牌/规格型号、产地、数量、单位，必须与实际供货产品机身铭牌上所标识的完全一致，如有错漏或误写，将导致货物无法进关或无法申报免税手续，无法验收，等一切后果由投标人自行承担。 9.特别注意条款：投标人须在《配置清单》中对其对所投产品各配件的名称、生产厂家、产地、品牌、型号等信息予以核实并如实申报，必须与实际供货产品机身铭牌上所标识的完全一致，如有错漏或误写，将导致货物无法进关或无法申报免税手续，无法验收，由此导致的包括合同违约等一切后果将由中标人承担。 10.特别注意条款：进口设备开箱必须采购人、中标人和外贸代理服务单位三方在场，任何一方不得私自开箱，每个合同的开箱次数最多为2次，超2次开箱的按外贸代理公司实际成本及人工费用，向中标人收取一定费用，收费标准按各自外贸代理公司收费标准执行。 11.要求投标人需要遵守的表格格式共2个，详见项目概况。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纳流液相色谱仪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纳流液相色谱仪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★1</w:t>
            </w:r>
            <w:r>
              <w:rPr>
                <w:sz w:val="21"/>
                <w:b/>
              </w:rPr>
              <w:t>.</w:t>
            </w:r>
            <w:r>
              <w:rPr>
                <w:sz w:val="21"/>
                <w:b/>
              </w:rPr>
              <w:t>本设备需与采购人现有的高分辨质谱仪（现有设备：Thermoscientific Q EXACTIVE）联机使用，保证系统和研究数据等无缝衔接；（投标人需提供承诺函，格式自拟）</w:t>
            </w:r>
          </w:p>
        </w:tc>
      </w:tr>
      <w:tr>
        <w:tc>
          <w:tcPr>
            <w:tcW w:type="dxa" w:w="2076"/>
          </w:tcPr>
          <w:p/>
        </w:tc>
        <w:tc>
          <w:tcPr>
            <w:tcW w:type="dxa" w:w="415"/>
          </w:tcPr>
          <w:p>
            <w:pPr>
              <w:pStyle w:val="null3"/>
            </w:pPr>
            <w:r>
              <w:rPr/>
              <w:t>2</w:t>
            </w:r>
          </w:p>
        </w:tc>
        <w:tc>
          <w:tcPr>
            <w:tcW w:type="dxa" w:w="5814"/>
          </w:tcPr>
          <w:p>
            <w:pPr>
              <w:pStyle w:val="null3"/>
            </w:pPr>
            <w:r>
              <w:rPr/>
              <w:t>2</w:t>
            </w:r>
            <w:r>
              <w:rPr/>
              <w:t>纳流泵模块</w:t>
            </w:r>
          </w:p>
          <w:p>
            <w:pPr>
              <w:pStyle w:val="null3"/>
            </w:pPr>
            <w:r>
              <w:rPr>
                <w:sz w:val="21"/>
              </w:rPr>
              <w:t xml:space="preserve">2.1 </w:t>
            </w:r>
            <w:r>
              <w:rPr>
                <w:sz w:val="21"/>
              </w:rPr>
              <w:t>泵型及工作原理：带主动流量控制的高压二元梯度泵；</w:t>
            </w:r>
          </w:p>
        </w:tc>
      </w:tr>
      <w:tr>
        <w:tc>
          <w:tcPr>
            <w:tcW w:type="dxa" w:w="2076"/>
          </w:tcPr>
          <w:p/>
        </w:tc>
        <w:tc>
          <w:tcPr>
            <w:tcW w:type="dxa" w:w="415"/>
          </w:tcPr>
          <w:p>
            <w:pPr>
              <w:pStyle w:val="null3"/>
            </w:pPr>
            <w:r>
              <w:rPr/>
              <w:t>3</w:t>
            </w:r>
          </w:p>
        </w:tc>
        <w:tc>
          <w:tcPr>
            <w:tcW w:type="dxa" w:w="5814"/>
          </w:tcPr>
          <w:p>
            <w:pPr>
              <w:pStyle w:val="null3"/>
            </w:pPr>
            <w:r>
              <w:rPr>
                <w:sz w:val="21"/>
                <w:b/>
              </w:rPr>
              <w:t>▲2.2 压力范围：≧150 MPa；</w:t>
            </w:r>
          </w:p>
        </w:tc>
      </w:tr>
      <w:tr>
        <w:tc>
          <w:tcPr>
            <w:tcW w:type="dxa" w:w="2076"/>
          </w:tcPr>
          <w:p/>
        </w:tc>
        <w:tc>
          <w:tcPr>
            <w:tcW w:type="dxa" w:w="415"/>
          </w:tcPr>
          <w:p>
            <w:pPr>
              <w:pStyle w:val="null3"/>
            </w:pPr>
            <w:r>
              <w:rPr/>
              <w:t>4</w:t>
            </w:r>
          </w:p>
        </w:tc>
        <w:tc>
          <w:tcPr>
            <w:tcW w:type="dxa" w:w="5814"/>
          </w:tcPr>
          <w:p>
            <w:pPr>
              <w:pStyle w:val="null3"/>
            </w:pPr>
            <w:r>
              <w:rPr>
                <w:sz w:val="21"/>
              </w:rPr>
              <w:t xml:space="preserve">2.3 </w:t>
            </w:r>
            <w:r>
              <w:rPr>
                <w:sz w:val="21"/>
              </w:rPr>
              <w:t>可设定流速范围：1 nL/min–100 µL/min, 1 nL增量；</w:t>
            </w:r>
          </w:p>
        </w:tc>
      </w:tr>
      <w:tr>
        <w:tc>
          <w:tcPr>
            <w:tcW w:type="dxa" w:w="2076"/>
          </w:tcPr>
          <w:p/>
        </w:tc>
        <w:tc>
          <w:tcPr>
            <w:tcW w:type="dxa" w:w="415"/>
          </w:tcPr>
          <w:p>
            <w:pPr>
              <w:pStyle w:val="null3"/>
            </w:pPr>
            <w:r>
              <w:rPr/>
              <w:t>5</w:t>
            </w:r>
          </w:p>
        </w:tc>
        <w:tc>
          <w:tcPr>
            <w:tcW w:type="dxa" w:w="5814"/>
          </w:tcPr>
          <w:p>
            <w:pPr>
              <w:pStyle w:val="null3"/>
            </w:pPr>
            <w:r>
              <w:rPr>
                <w:sz w:val="21"/>
              </w:rPr>
              <w:t xml:space="preserve">2.4 </w:t>
            </w:r>
            <w:r>
              <w:rPr>
                <w:sz w:val="21"/>
              </w:rPr>
              <w:t>建议流速范围：100 nL/min–100 µL/min；</w:t>
            </w:r>
          </w:p>
        </w:tc>
      </w:tr>
      <w:tr>
        <w:tc>
          <w:tcPr>
            <w:tcW w:type="dxa" w:w="2076"/>
          </w:tcPr>
          <w:p/>
        </w:tc>
        <w:tc>
          <w:tcPr>
            <w:tcW w:type="dxa" w:w="415"/>
          </w:tcPr>
          <w:p>
            <w:pPr>
              <w:pStyle w:val="null3"/>
            </w:pPr>
            <w:r>
              <w:rPr/>
              <w:t>6</w:t>
            </w:r>
          </w:p>
        </w:tc>
        <w:tc>
          <w:tcPr>
            <w:tcW w:type="dxa" w:w="5814"/>
          </w:tcPr>
          <w:p>
            <w:pPr>
              <w:pStyle w:val="null3"/>
            </w:pPr>
            <w:r>
              <w:rPr>
                <w:sz w:val="21"/>
              </w:rPr>
              <w:t xml:space="preserve">2.5 </w:t>
            </w:r>
            <w:r>
              <w:rPr>
                <w:sz w:val="21"/>
              </w:rPr>
              <w:t>泵溶剂通道：≧2 个； 预校准：100% 乙腈、100% 水、80/20 乙腈/水 (%, v/v)、90/10 甲醇/水 (%, v/v)；</w:t>
            </w:r>
          </w:p>
        </w:tc>
      </w:tr>
      <w:tr>
        <w:tc>
          <w:tcPr>
            <w:tcW w:type="dxa" w:w="2076"/>
          </w:tcPr>
          <w:p/>
        </w:tc>
        <w:tc>
          <w:tcPr>
            <w:tcW w:type="dxa" w:w="415"/>
          </w:tcPr>
          <w:p>
            <w:pPr>
              <w:pStyle w:val="null3"/>
            </w:pPr>
            <w:r>
              <w:rPr/>
              <w:t>7</w:t>
            </w:r>
          </w:p>
        </w:tc>
        <w:tc>
          <w:tcPr>
            <w:tcW w:type="dxa" w:w="5814"/>
          </w:tcPr>
          <w:p>
            <w:pPr>
              <w:pStyle w:val="null3"/>
            </w:pPr>
            <w:r>
              <w:rPr>
                <w:sz w:val="21"/>
              </w:rPr>
              <w:t xml:space="preserve">2.6 </w:t>
            </w:r>
            <w:r>
              <w:rPr>
                <w:sz w:val="21"/>
              </w:rPr>
              <w:t>泵对系统梯度的延迟体积：&lt;25 nL；</w:t>
            </w:r>
          </w:p>
        </w:tc>
      </w:tr>
      <w:tr>
        <w:tc>
          <w:tcPr>
            <w:tcW w:type="dxa" w:w="2076"/>
          </w:tcPr>
          <w:p/>
        </w:tc>
        <w:tc>
          <w:tcPr>
            <w:tcW w:type="dxa" w:w="415"/>
          </w:tcPr>
          <w:p>
            <w:pPr>
              <w:pStyle w:val="null3"/>
            </w:pPr>
            <w:r>
              <w:rPr/>
              <w:t>8</w:t>
            </w:r>
          </w:p>
        </w:tc>
        <w:tc>
          <w:tcPr>
            <w:tcW w:type="dxa" w:w="5814"/>
          </w:tcPr>
          <w:p>
            <w:pPr>
              <w:pStyle w:val="null3"/>
            </w:pPr>
            <w:r>
              <w:rPr>
                <w:sz w:val="21"/>
              </w:rPr>
              <w:t>2.7</w:t>
            </w:r>
            <w:r>
              <w:rPr>
                <w:sz w:val="21"/>
              </w:rPr>
              <w:t>生物兼容性：兼容；</w:t>
            </w:r>
          </w:p>
        </w:tc>
      </w:tr>
      <w:tr>
        <w:tc>
          <w:tcPr>
            <w:tcW w:type="dxa" w:w="2076"/>
          </w:tcPr>
          <w:p/>
        </w:tc>
        <w:tc>
          <w:tcPr>
            <w:tcW w:type="dxa" w:w="415"/>
          </w:tcPr>
          <w:p>
            <w:pPr>
              <w:pStyle w:val="null3"/>
            </w:pPr>
            <w:r>
              <w:rPr/>
              <w:t>9</w:t>
            </w:r>
          </w:p>
        </w:tc>
        <w:tc>
          <w:tcPr>
            <w:tcW w:type="dxa" w:w="5814"/>
          </w:tcPr>
          <w:p>
            <w:pPr>
              <w:pStyle w:val="null3"/>
            </w:pPr>
            <w:r>
              <w:rPr>
                <w:sz w:val="21"/>
              </w:rPr>
              <w:t xml:space="preserve">2.8 </w:t>
            </w:r>
            <w:r>
              <w:rPr>
                <w:sz w:val="21"/>
              </w:rPr>
              <w:t>梯度延迟体积：&lt;0.5 µL (20 µm 内径管路，纳流/毛细流 direct injection进样方式)；&lt;2.0 µL (50 µm 内径管路，微流 direct injection进样方式)；</w:t>
            </w:r>
          </w:p>
        </w:tc>
      </w:tr>
      <w:tr>
        <w:tc>
          <w:tcPr>
            <w:tcW w:type="dxa" w:w="2076"/>
          </w:tcPr>
          <w:p/>
        </w:tc>
        <w:tc>
          <w:tcPr>
            <w:tcW w:type="dxa" w:w="415"/>
          </w:tcPr>
          <w:p>
            <w:pPr>
              <w:pStyle w:val="null3"/>
            </w:pPr>
            <w:r>
              <w:rPr/>
              <w:t>10</w:t>
            </w:r>
          </w:p>
        </w:tc>
        <w:tc>
          <w:tcPr>
            <w:tcW w:type="dxa" w:w="5814"/>
          </w:tcPr>
          <w:p>
            <w:pPr>
              <w:pStyle w:val="null3"/>
            </w:pPr>
            <w:r>
              <w:rPr>
                <w:sz w:val="21"/>
              </w:rPr>
              <w:t xml:space="preserve">2.9 pH </w:t>
            </w:r>
            <w:r>
              <w:rPr>
                <w:sz w:val="21"/>
              </w:rPr>
              <w:t>范围：范围不小于2～10；</w:t>
            </w:r>
          </w:p>
        </w:tc>
      </w:tr>
      <w:tr>
        <w:tc>
          <w:tcPr>
            <w:tcW w:type="dxa" w:w="2076"/>
          </w:tcPr>
          <w:p/>
        </w:tc>
        <w:tc>
          <w:tcPr>
            <w:tcW w:type="dxa" w:w="415"/>
          </w:tcPr>
          <w:p>
            <w:pPr>
              <w:pStyle w:val="null3"/>
            </w:pPr>
            <w:r>
              <w:rPr/>
              <w:t>11</w:t>
            </w:r>
          </w:p>
        </w:tc>
        <w:tc>
          <w:tcPr>
            <w:tcW w:type="dxa" w:w="5814"/>
          </w:tcPr>
          <w:p>
            <w:pPr>
              <w:pStyle w:val="null3"/>
            </w:pPr>
            <w:r>
              <w:rPr>
                <w:sz w:val="21"/>
              </w:rPr>
              <w:t>2.10</w:t>
            </w:r>
            <w:r>
              <w:rPr>
                <w:sz w:val="21"/>
              </w:rPr>
              <w:t>用户界面：系统监控；直接系统控制；在系统中诊断和故障排除；</w:t>
            </w:r>
          </w:p>
        </w:tc>
      </w:tr>
      <w:tr>
        <w:tc>
          <w:tcPr>
            <w:tcW w:type="dxa" w:w="2076"/>
          </w:tcPr>
          <w:p/>
        </w:tc>
        <w:tc>
          <w:tcPr>
            <w:tcW w:type="dxa" w:w="415"/>
          </w:tcPr>
          <w:p>
            <w:pPr>
              <w:pStyle w:val="null3"/>
            </w:pPr>
            <w:r>
              <w:rPr/>
              <w:t>12</w:t>
            </w:r>
          </w:p>
        </w:tc>
        <w:tc>
          <w:tcPr>
            <w:tcW w:type="dxa" w:w="5814"/>
          </w:tcPr>
          <w:p>
            <w:pPr>
              <w:pStyle w:val="null3"/>
            </w:pPr>
            <w:r>
              <w:rPr>
                <w:sz w:val="21"/>
              </w:rPr>
              <w:t xml:space="preserve">2.11 </w:t>
            </w:r>
            <w:r>
              <w:rPr>
                <w:sz w:val="21"/>
              </w:rPr>
              <w:t>安全特性：内置泄漏检测和安全泄漏处理：超压监测、温度监测；</w:t>
            </w:r>
          </w:p>
        </w:tc>
      </w:tr>
      <w:tr>
        <w:tc>
          <w:tcPr>
            <w:tcW w:type="dxa" w:w="2076"/>
          </w:tcPr>
          <w:p/>
        </w:tc>
        <w:tc>
          <w:tcPr>
            <w:tcW w:type="dxa" w:w="415"/>
          </w:tcPr>
          <w:p>
            <w:pPr>
              <w:pStyle w:val="null3"/>
            </w:pPr>
            <w:r>
              <w:rPr/>
              <w:t>13</w:t>
            </w:r>
          </w:p>
        </w:tc>
        <w:tc>
          <w:tcPr>
            <w:tcW w:type="dxa" w:w="5814"/>
          </w:tcPr>
          <w:p>
            <w:pPr>
              <w:pStyle w:val="null3"/>
            </w:pPr>
            <w:r>
              <w:rPr>
                <w:sz w:val="21"/>
              </w:rPr>
              <w:t>2.12</w:t>
            </w:r>
            <w:r>
              <w:rPr>
                <w:sz w:val="21"/>
              </w:rPr>
              <w:t>环境操作条件：温度5～35°C；20～80% 相对湿度 (非冷凝) ；最大限度海拔 2000 m；</w:t>
            </w:r>
          </w:p>
        </w:tc>
      </w:tr>
      <w:tr>
        <w:tc>
          <w:tcPr>
            <w:tcW w:type="dxa" w:w="2076"/>
          </w:tcPr>
          <w:p/>
        </w:tc>
        <w:tc>
          <w:tcPr>
            <w:tcW w:type="dxa" w:w="415"/>
          </w:tcPr>
          <w:p>
            <w:pPr>
              <w:pStyle w:val="null3"/>
            </w:pPr>
            <w:r>
              <w:rPr/>
              <w:t>14</w:t>
            </w:r>
          </w:p>
        </w:tc>
        <w:tc>
          <w:tcPr>
            <w:tcW w:type="dxa" w:w="5814"/>
          </w:tcPr>
          <w:p>
            <w:pPr>
              <w:pStyle w:val="null3"/>
            </w:pPr>
            <w:r>
              <w:rPr/>
              <w:t>3</w:t>
            </w:r>
            <w:r>
              <w:rPr/>
              <w:t>自动进样器</w:t>
            </w:r>
          </w:p>
          <w:p>
            <w:pPr>
              <w:pStyle w:val="null3"/>
            </w:pPr>
            <w:r>
              <w:rPr>
                <w:sz w:val="21"/>
              </w:rPr>
              <w:t>3.1</w:t>
            </w:r>
            <w:r>
              <w:rPr>
                <w:sz w:val="21"/>
              </w:rPr>
              <w:t>进样体积范围：标配: 0.01–25 μL, 步长 0.01 μL；</w:t>
            </w:r>
          </w:p>
        </w:tc>
      </w:tr>
      <w:tr>
        <w:tc>
          <w:tcPr>
            <w:tcW w:type="dxa" w:w="2076"/>
          </w:tcPr>
          <w:p/>
        </w:tc>
        <w:tc>
          <w:tcPr>
            <w:tcW w:type="dxa" w:w="415"/>
          </w:tcPr>
          <w:p>
            <w:pPr>
              <w:pStyle w:val="null3"/>
            </w:pPr>
            <w:r>
              <w:rPr/>
              <w:t>15</w:t>
            </w:r>
          </w:p>
        </w:tc>
        <w:tc>
          <w:tcPr>
            <w:tcW w:type="dxa" w:w="5814"/>
          </w:tcPr>
          <w:p>
            <w:pPr>
              <w:pStyle w:val="null3"/>
            </w:pPr>
            <w:r>
              <w:rPr>
                <w:sz w:val="21"/>
              </w:rPr>
              <w:t>3.2</w:t>
            </w:r>
            <w:r>
              <w:rPr>
                <w:sz w:val="21"/>
              </w:rPr>
              <w:t>自动进样器控温：范围不小于4–40 ℃；</w:t>
            </w:r>
          </w:p>
        </w:tc>
      </w:tr>
      <w:tr>
        <w:tc>
          <w:tcPr>
            <w:tcW w:type="dxa" w:w="2076"/>
          </w:tcPr>
          <w:p/>
        </w:tc>
        <w:tc>
          <w:tcPr>
            <w:tcW w:type="dxa" w:w="415"/>
          </w:tcPr>
          <w:p>
            <w:pPr>
              <w:pStyle w:val="null3"/>
            </w:pPr>
            <w:r>
              <w:rPr/>
              <w:t>16</w:t>
            </w:r>
          </w:p>
        </w:tc>
        <w:tc>
          <w:tcPr>
            <w:tcW w:type="dxa" w:w="5814"/>
          </w:tcPr>
          <w:p>
            <w:pPr>
              <w:pStyle w:val="null3"/>
            </w:pPr>
            <w:r>
              <w:rPr>
                <w:sz w:val="21"/>
              </w:rPr>
              <w:t>3.3</w:t>
            </w:r>
            <w:r>
              <w:rPr>
                <w:sz w:val="21"/>
              </w:rPr>
              <w:t>样品盘温度稳定性：±1℃；</w:t>
            </w:r>
          </w:p>
        </w:tc>
      </w:tr>
      <w:tr>
        <w:tc>
          <w:tcPr>
            <w:tcW w:type="dxa" w:w="2076"/>
          </w:tcPr>
          <w:p/>
        </w:tc>
        <w:tc>
          <w:tcPr>
            <w:tcW w:type="dxa" w:w="415"/>
          </w:tcPr>
          <w:p>
            <w:pPr>
              <w:pStyle w:val="null3"/>
            </w:pPr>
            <w:r>
              <w:rPr/>
              <w:t>17</w:t>
            </w:r>
          </w:p>
        </w:tc>
        <w:tc>
          <w:tcPr>
            <w:tcW w:type="dxa" w:w="5814"/>
          </w:tcPr>
          <w:p>
            <w:pPr>
              <w:pStyle w:val="null3"/>
            </w:pPr>
            <w:r>
              <w:rPr>
                <w:sz w:val="21"/>
                <w:b/>
              </w:rPr>
              <w:t>▲3.4样品盘容量：可容纳1.5ml样品瓶≧216个；</w:t>
            </w:r>
          </w:p>
        </w:tc>
      </w:tr>
      <w:tr>
        <w:tc>
          <w:tcPr>
            <w:tcW w:type="dxa" w:w="2076"/>
          </w:tcPr>
          <w:p/>
        </w:tc>
        <w:tc>
          <w:tcPr>
            <w:tcW w:type="dxa" w:w="415"/>
          </w:tcPr>
          <w:p>
            <w:pPr>
              <w:pStyle w:val="null3"/>
            </w:pPr>
            <w:r>
              <w:rPr/>
              <w:t>18</w:t>
            </w:r>
          </w:p>
        </w:tc>
        <w:tc>
          <w:tcPr>
            <w:tcW w:type="dxa" w:w="5814"/>
          </w:tcPr>
          <w:p>
            <w:pPr>
              <w:pStyle w:val="null3"/>
            </w:pPr>
            <w:r>
              <w:rPr>
                <w:sz w:val="21"/>
              </w:rPr>
              <w:t>3.5</w:t>
            </w:r>
            <w:r>
              <w:rPr>
                <w:sz w:val="21"/>
              </w:rPr>
              <w:t>自动进样器溶液：≧4个洗针液：内外针洗；</w:t>
            </w:r>
          </w:p>
        </w:tc>
      </w:tr>
      <w:tr>
        <w:tc>
          <w:tcPr>
            <w:tcW w:type="dxa" w:w="2076"/>
          </w:tcPr>
          <w:p/>
        </w:tc>
        <w:tc>
          <w:tcPr>
            <w:tcW w:type="dxa" w:w="415"/>
          </w:tcPr>
          <w:p>
            <w:pPr>
              <w:pStyle w:val="null3"/>
            </w:pPr>
            <w:r>
              <w:rPr/>
              <w:t>19</w:t>
            </w:r>
          </w:p>
        </w:tc>
        <w:tc>
          <w:tcPr>
            <w:tcW w:type="dxa" w:w="5814"/>
          </w:tcPr>
          <w:p>
            <w:pPr>
              <w:pStyle w:val="null3"/>
            </w:pPr>
            <w:r>
              <w:rPr>
                <w:sz w:val="21"/>
              </w:rPr>
              <w:t>3.6</w:t>
            </w:r>
            <w:r>
              <w:rPr>
                <w:sz w:val="21"/>
              </w:rPr>
              <w:t>瓶底检测技术：有,带有样品瓶底部检测和推荐样品瓶；</w:t>
            </w:r>
          </w:p>
        </w:tc>
      </w:tr>
      <w:tr>
        <w:tc>
          <w:tcPr>
            <w:tcW w:type="dxa" w:w="2076"/>
          </w:tcPr>
          <w:p/>
        </w:tc>
        <w:tc>
          <w:tcPr>
            <w:tcW w:type="dxa" w:w="415"/>
          </w:tcPr>
          <w:p>
            <w:pPr>
              <w:pStyle w:val="null3"/>
            </w:pPr>
            <w:r>
              <w:rPr/>
              <w:t>20</w:t>
            </w:r>
          </w:p>
        </w:tc>
        <w:tc>
          <w:tcPr>
            <w:tcW w:type="dxa" w:w="5814"/>
          </w:tcPr>
          <w:p>
            <w:pPr>
              <w:pStyle w:val="null3"/>
            </w:pPr>
            <w:r>
              <w:rPr>
                <w:sz w:val="21"/>
              </w:rPr>
              <w:t>3.7</w:t>
            </w:r>
            <w:r>
              <w:rPr>
                <w:sz w:val="21"/>
              </w:rPr>
              <w:t>进样方式：带loop环内联的直接进样；</w:t>
            </w:r>
          </w:p>
        </w:tc>
      </w:tr>
      <w:tr>
        <w:tc>
          <w:tcPr>
            <w:tcW w:type="dxa" w:w="2076"/>
          </w:tcPr>
          <w:p/>
        </w:tc>
        <w:tc>
          <w:tcPr>
            <w:tcW w:type="dxa" w:w="415"/>
          </w:tcPr>
          <w:p>
            <w:pPr>
              <w:pStyle w:val="null3"/>
            </w:pPr>
            <w:r>
              <w:rPr/>
              <w:t>21</w:t>
            </w:r>
          </w:p>
        </w:tc>
        <w:tc>
          <w:tcPr>
            <w:tcW w:type="dxa" w:w="5814"/>
          </w:tcPr>
          <w:p>
            <w:pPr>
              <w:pStyle w:val="null3"/>
            </w:pPr>
            <w:r>
              <w:rPr/>
              <w:t>4</w:t>
            </w:r>
            <w:r>
              <w:rPr/>
              <w:t>离子源</w:t>
            </w:r>
          </w:p>
          <w:p>
            <w:pPr>
              <w:pStyle w:val="null3"/>
            </w:pPr>
            <w:r>
              <w:rPr>
                <w:sz w:val="21"/>
              </w:rPr>
              <w:t>4.1</w:t>
            </w:r>
            <w:r>
              <w:rPr>
                <w:sz w:val="21"/>
              </w:rPr>
              <w:t>使用集成式、可控温的柱发射器，温度范围可设为30～60℃。</w:t>
            </w:r>
          </w:p>
        </w:tc>
      </w:tr>
      <w:tr>
        <w:tc>
          <w:tcPr>
            <w:tcW w:type="dxa" w:w="2076"/>
          </w:tcPr>
          <w:p/>
        </w:tc>
        <w:tc>
          <w:tcPr>
            <w:tcW w:type="dxa" w:w="415"/>
          </w:tcPr>
          <w:p>
            <w:pPr>
              <w:pStyle w:val="null3"/>
            </w:pPr>
            <w:r>
              <w:rPr/>
              <w:t>22</w:t>
            </w:r>
          </w:p>
        </w:tc>
        <w:tc>
          <w:tcPr>
            <w:tcW w:type="dxa" w:w="5814"/>
          </w:tcPr>
          <w:p>
            <w:pPr>
              <w:pStyle w:val="null3"/>
            </w:pPr>
            <w:r>
              <w:rPr>
                <w:sz w:val="21"/>
              </w:rPr>
              <w:t>4.2</w:t>
            </w:r>
            <w:r>
              <w:rPr>
                <w:sz w:val="21"/>
              </w:rPr>
              <w:t>离子源在长时间内提供高度稳定的喷雾，防止对信号强度和峰形的不利影响，以确保最高的灵敏度以及精确的RSD值，显着提高质谱仪的整体性能。</w:t>
            </w:r>
          </w:p>
        </w:tc>
      </w:tr>
      <w:tr>
        <w:tc>
          <w:tcPr>
            <w:tcW w:type="dxa" w:w="2076"/>
          </w:tcPr>
          <w:p/>
        </w:tc>
        <w:tc>
          <w:tcPr>
            <w:tcW w:type="dxa" w:w="415"/>
          </w:tcPr>
          <w:p>
            <w:pPr>
              <w:pStyle w:val="null3"/>
            </w:pPr>
            <w:r>
              <w:rPr/>
              <w:t>23</w:t>
            </w:r>
          </w:p>
        </w:tc>
        <w:tc>
          <w:tcPr>
            <w:tcW w:type="dxa" w:w="5814"/>
          </w:tcPr>
          <w:p>
            <w:pPr>
              <w:pStyle w:val="null3"/>
            </w:pPr>
            <w:r>
              <w:rPr/>
              <w:t>5</w:t>
            </w:r>
            <w:r>
              <w:rPr/>
              <w:t>．色谱柱</w:t>
            </w:r>
          </w:p>
          <w:p>
            <w:pPr>
              <w:pStyle w:val="null3"/>
            </w:pPr>
            <w:r>
              <w:rPr>
                <w:sz w:val="21"/>
              </w:rPr>
              <w:t>至少提供以下规格：一根C18  2μm  75μm×150mm；一根C18  2μm  75μm×500mm</w:t>
            </w:r>
          </w:p>
        </w:tc>
      </w:tr>
      <w:tr>
        <w:tc>
          <w:tcPr>
            <w:tcW w:type="dxa" w:w="2076"/>
          </w:tcPr>
          <w:p/>
        </w:tc>
        <w:tc>
          <w:tcPr>
            <w:tcW w:type="dxa" w:w="415"/>
          </w:tcPr>
          <w:p>
            <w:pPr>
              <w:pStyle w:val="null3"/>
            </w:pPr>
            <w:r>
              <w:rPr/>
              <w:t>24</w:t>
            </w:r>
          </w:p>
        </w:tc>
        <w:tc>
          <w:tcPr>
            <w:tcW w:type="dxa" w:w="5814"/>
          </w:tcPr>
          <w:p>
            <w:pPr>
              <w:pStyle w:val="null3"/>
            </w:pPr>
            <w:r>
              <w:rPr>
                <w:sz w:val="21"/>
              </w:rPr>
              <w:t>6.</w:t>
            </w:r>
            <w:r>
              <w:rPr>
                <w:sz w:val="21"/>
              </w:rPr>
              <w:t>蛋白分析软件：仪器与高分辨质谱联用，配置蛋白分析软件，可测定蛋白鉴定数量以及种类，提供蛋白分析相关信息</w:t>
            </w:r>
          </w:p>
        </w:tc>
      </w:tr>
      <w:tr>
        <w:tc>
          <w:tcPr>
            <w:tcW w:type="dxa" w:w="2076"/>
          </w:tcPr>
          <w:p/>
        </w:tc>
        <w:tc>
          <w:tcPr>
            <w:tcW w:type="dxa" w:w="415"/>
          </w:tcPr>
          <w:p>
            <w:pPr>
              <w:pStyle w:val="null3"/>
            </w:pPr>
            <w:r>
              <w:rPr/>
              <w:t>25</w:t>
            </w:r>
          </w:p>
        </w:tc>
        <w:tc>
          <w:tcPr>
            <w:tcW w:type="dxa" w:w="5814"/>
          </w:tcPr>
          <w:p>
            <w:pPr>
              <w:pStyle w:val="null3"/>
            </w:pPr>
            <w:r>
              <w:rPr/>
              <w:t>二、配置</w:t>
            </w:r>
          </w:p>
          <w:p>
            <w:pPr>
              <w:pStyle w:val="null3"/>
            </w:pPr>
            <w:r>
              <w:rPr>
                <w:sz w:val="21"/>
              </w:rPr>
              <w:t>2.1</w:t>
            </w:r>
            <w:r>
              <w:rPr>
                <w:sz w:val="21"/>
              </w:rPr>
              <w:t>纳流泵模块1个</w:t>
            </w:r>
          </w:p>
        </w:tc>
      </w:tr>
      <w:tr>
        <w:tc>
          <w:tcPr>
            <w:tcW w:type="dxa" w:w="2076"/>
          </w:tcPr>
          <w:p/>
        </w:tc>
        <w:tc>
          <w:tcPr>
            <w:tcW w:type="dxa" w:w="415"/>
          </w:tcPr>
          <w:p>
            <w:pPr>
              <w:pStyle w:val="null3"/>
            </w:pPr>
            <w:r>
              <w:rPr/>
              <w:t>26</w:t>
            </w:r>
          </w:p>
        </w:tc>
        <w:tc>
          <w:tcPr>
            <w:tcW w:type="dxa" w:w="5814"/>
          </w:tcPr>
          <w:p>
            <w:pPr>
              <w:pStyle w:val="null3"/>
            </w:pPr>
            <w:r>
              <w:rPr>
                <w:sz w:val="21"/>
              </w:rPr>
              <w:t>2.2</w:t>
            </w:r>
            <w:r>
              <w:rPr>
                <w:sz w:val="21"/>
              </w:rPr>
              <w:t>自动进样器1个</w:t>
            </w:r>
          </w:p>
        </w:tc>
      </w:tr>
      <w:tr>
        <w:tc>
          <w:tcPr>
            <w:tcW w:type="dxa" w:w="2076"/>
          </w:tcPr>
          <w:p/>
        </w:tc>
        <w:tc>
          <w:tcPr>
            <w:tcW w:type="dxa" w:w="415"/>
          </w:tcPr>
          <w:p>
            <w:pPr>
              <w:pStyle w:val="null3"/>
            </w:pPr>
            <w:r>
              <w:rPr/>
              <w:t>27</w:t>
            </w:r>
          </w:p>
        </w:tc>
        <w:tc>
          <w:tcPr>
            <w:tcW w:type="dxa" w:w="5814"/>
          </w:tcPr>
          <w:p>
            <w:pPr>
              <w:pStyle w:val="null3"/>
            </w:pPr>
            <w:r>
              <w:rPr>
                <w:sz w:val="21"/>
              </w:rPr>
              <w:t>2.3</w:t>
            </w:r>
            <w:r>
              <w:rPr>
                <w:sz w:val="21"/>
              </w:rPr>
              <w:t>蛋白分析色谱柱：2套（一根C18  2μm  75μm×150mm；一根C18  2μm  75μm×500mm）</w:t>
            </w:r>
          </w:p>
        </w:tc>
      </w:tr>
      <w:tr>
        <w:tc>
          <w:tcPr>
            <w:tcW w:type="dxa" w:w="2076"/>
          </w:tcPr>
          <w:p/>
        </w:tc>
        <w:tc>
          <w:tcPr>
            <w:tcW w:type="dxa" w:w="415"/>
          </w:tcPr>
          <w:p>
            <w:pPr>
              <w:pStyle w:val="null3"/>
            </w:pPr>
            <w:r>
              <w:rPr/>
              <w:t>28</w:t>
            </w:r>
          </w:p>
        </w:tc>
        <w:tc>
          <w:tcPr>
            <w:tcW w:type="dxa" w:w="5814"/>
          </w:tcPr>
          <w:p>
            <w:pPr>
              <w:pStyle w:val="null3"/>
            </w:pPr>
            <w:r>
              <w:rPr>
                <w:sz w:val="21"/>
              </w:rPr>
              <w:t>2.4</w:t>
            </w:r>
            <w:r>
              <w:rPr>
                <w:sz w:val="21"/>
              </w:rPr>
              <w:t>控制终端1套，配置处理器不低于2.5GHz、20核心和28线程；不低于1TB硬盘，不低于32GDDR3内存；显示屏不小于21英寸。</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凝胶液相检测器系统采购项目)：综合评分法,是指投标文件满足招标文件全部实质性要求，且按照评审因素的量化指标评审得分最高的投标人为中标候选人的评标方法。（最低报价不是中标的唯一依据。）</w:t>
      </w:r>
    </w:p>
    <w:p>
      <w:pPr>
        <w:pStyle w:val="null3"/>
      </w:pPr>
      <w:r>
        <w:rPr/>
        <w:t>采购包2(纳流液相色谱仪采购项目)：综合评分法,是指投标文件满足招标文件全部实质性要求，且按照评审因素的量化指标评审得分最高的投标人为中标候选人的评标方法。（最低报价不是中标的唯一依据。）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采购包1（凝胶液相检测器系统采购项目）：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a)投标人投标产品全部为小型或微型企业产品时，报价给予K1的价格扣除（K1的取值为10%），即：评标价＝修正后的报价*（1-K1）；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 财政部关于印发中小企业划型标准规定的通知》（工信部联企业[2011]300号）规定的对小型或微型企业的划分标准； e)参加政府采购活动的中小企业应当提供《中小企业声明函》，符合残疾人福利性单位认定条件的，应当提供《残疾人 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采购包2（纳流液相色谱仪采购项目）：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a)投标人投标产品全部为小型或微型企业产品时，报价给予K1的价格扣除（K1的取值为10%），即：评标价＝修正后的报价*（1-K1）；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 财政部关于印发中小企业划型标准规定的通知》（工信部联企业[2011]300号）规定的对小型或微型企业的划分标准； e)参加政府采购活动的中小企业应当提供《中小企业声明函》，符合残疾人福利性单位认定条件的，应当提供《残疾人 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采购包1（凝胶液相检测器系统采购项目）：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采购包2（纳流液相色谱仪采购项目）：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采购包1（凝胶液相检测器系统采购项目）：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 标无效的情形</w:t>
            </w:r>
          </w:p>
        </w:tc>
        <w:tc>
          <w:tcPr>
            <w:tcW w:type="dxa" w:w="4238"/>
          </w:tcPr>
          <w:p>
            <w:pPr>
              <w:pStyle w:val="null3"/>
            </w:pPr>
            <w:r>
              <w:rPr/>
              <w:t>未出现有关法律、法规、规章或招标文件规定的属于投标无效的情形</w:t>
            </w:r>
          </w:p>
        </w:tc>
      </w:tr>
    </w:tbl>
    <w:p>
      <w:pPr>
        <w:pStyle w:val="null3"/>
      </w:pPr>
      <w:r>
        <w:rPr/>
        <w:t>采购包2（纳流液相色谱仪采购项目）：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 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采购包1(凝胶液相检测器系统采购项目):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(10.0分)</w:t>
            </w:r>
          </w:p>
        </w:tc>
        <w:tc>
          <w:tcPr>
            <w:tcW w:type="dxa" w:w="5076"/>
          </w:tcPr>
          <w:p>
            <w:pPr>
              <w:pStyle w:val="null3"/>
              <w:jc w:val="left"/>
            </w:pPr>
            <w:r>
              <w:rPr/>
              <w:t>根据投标人对“第二章 采购需求”采购包1附表一中【具体技术(参数)要求】的带“▲”条款的响应情况进行评分： 投标人所投产品（设备）每满足招标文件“第二章 采购需求” 采购包1附表一中【具体技术(参数)要求】的带“▲”条款要求的，得5分，最高得10分。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技术响应程度-2部分 (34.0分)</w:t>
            </w:r>
          </w:p>
        </w:tc>
        <w:tc>
          <w:tcPr>
            <w:tcW w:type="dxa" w:w="5076"/>
          </w:tcPr>
          <w:p>
            <w:pPr>
              <w:pStyle w:val="null3"/>
              <w:jc w:val="left"/>
            </w:pPr>
            <w:r>
              <w:rPr/>
              <w:t>根据投标人对“第二章 采购需求”采购包1附表一中【具体技术(参数)要求】的带“▲”条款的响应情况进行评分： 投标人所投产品（设备）每满足招标文件“第二章 采购需求” 采购包1附表一中【具体技术(参数)要求】的一般技术参数要求的，得1分，最高得34分。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项目实施能力和措施 (6.0分)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1.总体实施计划周全，采取的组织措施全面、合理、可行，得6分。 2.总体实施计划基本周全，采取的组织措施基本全面、具有一定的合理性、具有一定的可行性，得4分。 3.总体实施计划不周全，采取的组织措施不全面、欠缺合理性和可行性，得2分。 4.无提供方案，得0分。</w:t>
            </w:r>
          </w:p>
        </w:tc>
      </w:tr>
      <w:tr>
        <w:tc>
          <w:tcPr>
            <w:tcW w:type="dxa" w:w="922"/>
            <w:gridSpan w:val="2"/>
            <w:vMerge/>
          </w:tcPr>
          <w:p/>
        </w:tc>
        <w:tc>
          <w:tcPr>
            <w:tcW w:type="dxa" w:w="2307"/>
          </w:tcPr>
          <w:p>
            <w:pPr>
              <w:pStyle w:val="null3"/>
              <w:jc w:val="left"/>
            </w:pPr>
            <w:r>
              <w:rPr/>
              <w:t>质量保障及安装、调试方案 (5.0分)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1.方案详细具体、具有针对性、可操作性强的，得5分； 2.方案具体、具有一定的针对性、可操作性的，得3分； 3.方案不全面、欠缺合理性和可行性，得1分；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2022年1月1日至今投标人具有同类供货项目业绩【应满足合同标的至少包括与本项目核心产品类似的产品】，每提供一份合同业绩，得1分，满分5分。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根据投标人提供的售后服务方案（包括但不限于维保服务范围、服务能力、服务标准、维护保养及应急维修时间安排、售后服务承诺和技术力量、响应时间及备品、备件方面等）进行评审：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采购包2(纳流液相色谱仪采购项目):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(10.0分)</w:t>
            </w:r>
          </w:p>
        </w:tc>
        <w:tc>
          <w:tcPr>
            <w:tcW w:type="dxa" w:w="5076"/>
          </w:tcPr>
          <w:p>
            <w:pPr>
              <w:pStyle w:val="null3"/>
              <w:jc w:val="left"/>
            </w:pPr>
            <w:r>
              <w:rPr/>
              <w:t>根据投标人对“第二章 采购需求”采购包2附表一中【具体技术(参数)要求】的带“▲”条款的响应情况进行评分： 投标人所投产品（设备）每满足招标文件“第二章 采购需求” 采购包2附表一中【具体技术(参数)要求】的带“▲”条款要求的，得5分，最高得10分。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技术响应程度-2部分 (25.0分)</w:t>
            </w:r>
          </w:p>
        </w:tc>
        <w:tc>
          <w:tcPr>
            <w:tcW w:type="dxa" w:w="5076"/>
          </w:tcPr>
          <w:p>
            <w:pPr>
              <w:pStyle w:val="null3"/>
              <w:jc w:val="left"/>
            </w:pPr>
            <w:r>
              <w:rPr/>
              <w:t>根据投标人对“第二章 采购需求”采购包2附表一中【具体技术(参数)要求】的带“▲”条款的响应情况进行评分： 投标人所投产品（设备）每满足招标文件“第二章 采购需求” 采购包2附表一中【具体技术(参数)要求】的一般技术参数要求的，得1分，最高得25分。 注：如【具体技术(参数)要求】中有明确要求提供证明资料的，以【具体技术(参数)要求】中的要求为准；如【具体技术(参数)要求】中未明确要求提供证明资料的，以投标人响应情况为准。</w:t>
            </w:r>
          </w:p>
        </w:tc>
      </w:tr>
      <w:tr>
        <w:tc>
          <w:tcPr>
            <w:tcW w:type="dxa" w:w="922"/>
            <w:gridSpan w:val="2"/>
            <w:vMerge/>
          </w:tcPr>
          <w:p/>
        </w:tc>
        <w:tc>
          <w:tcPr>
            <w:tcW w:type="dxa" w:w="2307"/>
          </w:tcPr>
          <w:p>
            <w:pPr>
              <w:pStyle w:val="null3"/>
              <w:jc w:val="left"/>
            </w:pPr>
            <w:r>
              <w:rPr/>
              <w:t>项目实施能力和措施 (10.0分)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1.总体实施计划周全，采取的组织措施全面、合理、可行，得10分。 2.总体实施计划基本周全，采取的组织措施基本全面、具有一定的合理性、具有一定的可行性，得6分。 3.总体实施计划不周全，采取的组织措施不全面、欠缺合理性和可行性，得2分。 4.无提供方案，得0分。</w:t>
            </w:r>
          </w:p>
        </w:tc>
      </w:tr>
      <w:tr>
        <w:tc>
          <w:tcPr>
            <w:tcW w:type="dxa" w:w="922"/>
            <w:gridSpan w:val="2"/>
            <w:vMerge/>
          </w:tcPr>
          <w:p/>
        </w:tc>
        <w:tc>
          <w:tcPr>
            <w:tcW w:type="dxa" w:w="2307"/>
          </w:tcPr>
          <w:p>
            <w:pPr>
              <w:pStyle w:val="null3"/>
              <w:jc w:val="left"/>
            </w:pPr>
            <w:r>
              <w:rPr/>
              <w:t>质量保障及安装、调试方案 (10.0分)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1.方案详细具体、具有针对性、可操作性强的，得10分； 2.方案具体、具有一定的针对性、可操作性的，得6分； 3.方案不全面、欠缺合理性和可行性，得2分；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2022年1月1日至今投标人具有同类供货项目业绩【应满足合同标的至少包括与本项目核心产品类似的产品】，每提供一份合同业绩，得1分，满分5分。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根据投标人提供的售后服务方案（包括但不限于维保服务范围、服务能力、服务标准、维护保养及应急维修时间安排、售后服务承诺和技术力量、响应时间及备品、备件方面等）进行评审：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shd w:fill="FFFF00" w:val="clear"/>
        </w:rPr>
        <w:t>注：本合同仅为合同的参考文本，合同签订双方可根据项目的具体要求进行修订。</w:t>
      </w:r>
    </w:p>
    <w:p>
      <w:pPr>
        <w:pStyle w:val="null3"/>
        <w:jc w:val="both"/>
      </w:pPr>
      <w:r>
        <w:rPr>
          <w:sz w:val="21"/>
          <w:b/>
        </w:rPr>
        <w:t>国产产品适用：</w:t>
      </w:r>
    </w:p>
    <w:p>
      <w:pPr>
        <w:pStyle w:val="null3"/>
        <w:ind w:firstLine="6325"/>
        <w:jc w:val="both"/>
      </w:pPr>
      <w:r>
        <w:rPr>
          <w:sz w:val="21"/>
          <w:b/>
        </w:rPr>
        <w:t>合同编号：</w:t>
      </w:r>
    </w:p>
    <w:p>
      <w:pPr>
        <w:pStyle w:val="null3"/>
        <w:spacing w:before="405" w:after="405"/>
        <w:jc w:val="center"/>
      </w:pPr>
      <w:r>
        <w:rPr>
          <w:sz w:val="30"/>
          <w:b/>
        </w:rPr>
        <w:t>五邑大学仪器设备政府采购合同</w:t>
      </w:r>
    </w:p>
    <w:p>
      <w:pPr>
        <w:pStyle w:val="null3"/>
        <w:jc w:val="both"/>
      </w:pPr>
      <w:r>
        <w:rPr>
          <w:sz w:val="24"/>
          <w:b/>
        </w:rPr>
        <w:t>甲方：五邑大学</w:t>
      </w:r>
    </w:p>
    <w:p>
      <w:pPr>
        <w:pStyle w:val="null3"/>
        <w:jc w:val="both"/>
      </w:pPr>
      <w:r>
        <w:rPr>
          <w:sz w:val="24"/>
          <w:b/>
        </w:rPr>
        <w:t>乙方：</w:t>
      </w:r>
    </w:p>
    <w:p>
      <w:pPr>
        <w:pStyle w:val="null3"/>
        <w:ind w:firstLine="480"/>
      </w:pPr>
      <w:r>
        <w:rPr>
          <w:sz w:val="24"/>
        </w:rPr>
        <w:t>甲乙双方根据《中华人民共和国民法典》和《中华人民共和国政府采购法》等有关法律法规的规定，按照五邑大学</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firstLine="482"/>
      </w:pPr>
      <w:r>
        <w:rPr>
          <w:sz w:val="24"/>
          <w:b/>
        </w:rPr>
        <w:t>第一条  项目的名称、合同总价和项目货物的清单（名称、数量、规格、单价、型号、品牌和技术指标等）</w:t>
      </w:r>
    </w:p>
    <w:p>
      <w:pPr>
        <w:pStyle w:val="null3"/>
        <w:ind w:firstLine="480"/>
      </w:pPr>
      <w:r>
        <w:rPr>
          <w:sz w:val="24"/>
        </w:rPr>
        <w:t>1.</w:t>
      </w:r>
      <w:r>
        <w:rPr>
          <w:sz w:val="24"/>
        </w:rPr>
        <w:t>项目名称：</w:t>
      </w:r>
      <w:r>
        <w:rPr>
          <w:sz w:val="24"/>
          <w:u w:val="single"/>
        </w:rPr>
        <w:t xml:space="preserve">     </w:t>
      </w:r>
      <w:r>
        <w:rPr>
          <w:sz w:val="24"/>
          <w:b/>
          <w:u w:val="single"/>
        </w:rPr>
        <w:t xml:space="preserve">     </w:t>
      </w:r>
    </w:p>
    <w:p>
      <w:pPr>
        <w:pStyle w:val="null3"/>
        <w:ind w:firstLine="480"/>
      </w:pPr>
      <w:r>
        <w:rPr>
          <w:sz w:val="24"/>
        </w:rPr>
        <w:t>2.</w:t>
      </w:r>
      <w:r>
        <w:rPr>
          <w:sz w:val="24"/>
        </w:rPr>
        <w:t>设备名称：</w:t>
      </w:r>
      <w:r>
        <w:rPr>
          <w:sz w:val="24"/>
          <w:u w:val="single"/>
        </w:rPr>
        <w:t xml:space="preserve">          </w:t>
      </w:r>
    </w:p>
    <w:p>
      <w:pPr>
        <w:pStyle w:val="null3"/>
        <w:ind w:firstLine="480"/>
      </w:pPr>
      <w:r>
        <w:rPr>
          <w:sz w:val="24"/>
        </w:rPr>
        <w:t>3.</w:t>
      </w:r>
      <w:r>
        <w:rPr>
          <w:sz w:val="24"/>
        </w:rPr>
        <w:t>合同总价为人民币</w:t>
      </w:r>
      <w:r>
        <w:rPr>
          <w:sz w:val="24"/>
          <w:b/>
          <w:u w:val="single"/>
        </w:rPr>
        <w:t xml:space="preserve">¥         </w:t>
      </w:r>
      <w:r>
        <w:rPr>
          <w:sz w:val="24"/>
        </w:rPr>
        <w:t>元（大写：</w:t>
      </w:r>
      <w:r>
        <w:rPr>
          <w:sz w:val="24"/>
          <w:b/>
          <w:u w:val="single"/>
        </w:rPr>
        <w:t xml:space="preserve">         </w:t>
      </w:r>
      <w:r>
        <w:rPr>
          <w:sz w:val="24"/>
        </w:rPr>
        <w:t>）</w:t>
      </w:r>
    </w:p>
    <w:p>
      <w:pPr>
        <w:pStyle w:val="null3"/>
        <w:ind w:firstLine="480"/>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pPr>
      <w:r>
        <w:rPr>
          <w:sz w:val="24"/>
        </w:rPr>
        <w:t>货物清单、主要技术参数、保修服务表和培训计划请见附件1、附件2、附件3和附件4。</w:t>
      </w:r>
    </w:p>
    <w:p>
      <w:pPr>
        <w:pStyle w:val="null3"/>
        <w:ind w:firstLine="480"/>
      </w:pPr>
      <w:r>
        <w:rPr>
          <w:sz w:val="24"/>
        </w:rPr>
        <w:t>4.</w:t>
      </w:r>
      <w:r>
        <w:rPr>
          <w:sz w:val="24"/>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80"/>
      </w:pPr>
      <w:r>
        <w:rPr>
          <w:sz w:val="24"/>
        </w:rPr>
        <w:t>5.</w:t>
      </w:r>
      <w:r>
        <w:rPr>
          <w:sz w:val="24"/>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80"/>
      </w:pPr>
      <w:r>
        <w:rPr>
          <w:sz w:val="24"/>
        </w:rPr>
        <w:t>6.</w:t>
      </w:r>
      <w:r>
        <w:rPr>
          <w:sz w:val="24"/>
        </w:rPr>
        <w:t>本项目由乙方负责第三方检测及办证的有关事宜，合同如未明确则按行业标准或惯例，如涉及费用由乙方进行支付。</w:t>
      </w:r>
    </w:p>
    <w:p>
      <w:pPr>
        <w:pStyle w:val="null3"/>
        <w:ind w:firstLine="482"/>
      </w:pPr>
      <w:r>
        <w:rPr>
          <w:sz w:val="24"/>
          <w:b/>
        </w:rPr>
        <w:t>第二条  货物质量要求及乙方对质量负责的条件和期限</w:t>
      </w:r>
    </w:p>
    <w:p>
      <w:pPr>
        <w:pStyle w:val="null3"/>
        <w:ind w:firstLine="480"/>
      </w:pPr>
      <w:r>
        <w:rPr>
          <w:sz w:val="24"/>
        </w:rPr>
        <w:t>1.</w:t>
      </w:r>
      <w:r>
        <w:rPr>
          <w:sz w:val="24"/>
        </w:rPr>
        <w:t>乙方提供的货物应符合中华人民共和国国家质量、安全、环保等标准（若有国家标准的，以行业最高标准为本合同履行标准）以及该产品的出厂标准。</w:t>
      </w:r>
    </w:p>
    <w:p>
      <w:pPr>
        <w:pStyle w:val="null3"/>
        <w:ind w:firstLine="480"/>
      </w:pPr>
      <w:r>
        <w:rPr>
          <w:sz w:val="24"/>
        </w:rPr>
        <w:t>2.</w:t>
      </w:r>
      <w:r>
        <w:rPr>
          <w:sz w:val="24"/>
        </w:rPr>
        <w:t>知识产权和专利权：</w:t>
      </w:r>
    </w:p>
    <w:p>
      <w:pPr>
        <w:pStyle w:val="null3"/>
        <w:ind w:firstLine="480"/>
      </w:pPr>
      <w:r>
        <w:rPr>
          <w:sz w:val="24"/>
        </w:rPr>
        <w:t>（1）乙方提供的货物应是无知识产权争议，且全新的产品（含零部件、配件、随机工具等），表面无划损、无碰撞、无任何缺陷隐患、无其他侵权行为，在中国境内可依常规安全合法使用。</w:t>
      </w:r>
    </w:p>
    <w:p>
      <w:pPr>
        <w:pStyle w:val="null3"/>
        <w:ind w:firstLine="480"/>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pPr>
      <w:r>
        <w:rPr>
          <w:sz w:val="24"/>
        </w:rPr>
        <w:t>（3）乙方应于售出货物前向所有权人支付专利权、商标权或其他知识产权的有关费用及税费。</w:t>
      </w:r>
    </w:p>
    <w:p>
      <w:pPr>
        <w:pStyle w:val="null3"/>
        <w:ind w:firstLine="480"/>
      </w:pPr>
      <w:r>
        <w:rPr>
          <w:sz w:val="24"/>
        </w:rPr>
        <w:t>3.</w:t>
      </w:r>
      <w:r>
        <w:rPr>
          <w:sz w:val="24"/>
        </w:rPr>
        <w:t>保密：</w:t>
      </w:r>
    </w:p>
    <w:p>
      <w:pPr>
        <w:pStyle w:val="null3"/>
        <w:ind w:firstLine="480"/>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80"/>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firstLine="480"/>
      </w:pPr>
      <w:r>
        <w:rPr>
          <w:sz w:val="24"/>
        </w:rPr>
        <w:t>4.</w:t>
      </w:r>
      <w:r>
        <w:rPr>
          <w:sz w:val="24"/>
        </w:rPr>
        <w:t>本项目由乙方负责第三方检测及办证的有关事宜，检测和办证标准如未明确则按行业标准或行业惯例，所有费用均由乙方承担。</w:t>
      </w:r>
    </w:p>
    <w:p>
      <w:pPr>
        <w:pStyle w:val="null3"/>
        <w:ind w:firstLine="480"/>
      </w:pPr>
      <w:r>
        <w:rPr>
          <w:sz w:val="24"/>
        </w:rPr>
        <w:t>5.</w:t>
      </w:r>
      <w:r>
        <w:rPr>
          <w:sz w:val="24"/>
        </w:rPr>
        <w:t>货物进场后甲方有权提出对存在疑问的货物进行现场抽样送检，检测项目含材料的成分、组分及相关性能指标等，检测费用由乙方承担。</w:t>
      </w:r>
    </w:p>
    <w:p>
      <w:pPr>
        <w:pStyle w:val="null3"/>
        <w:ind w:firstLine="480"/>
      </w:pPr>
      <w:r>
        <w:rPr>
          <w:sz w:val="24"/>
        </w:rPr>
        <w:t>6.</w:t>
      </w:r>
      <w:r>
        <w:rPr>
          <w:sz w:val="24"/>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82"/>
      </w:pPr>
      <w:r>
        <w:rPr>
          <w:sz w:val="24"/>
          <w:b/>
        </w:rPr>
        <w:t>第三条  货物的交付、开箱检验及验收</w:t>
      </w:r>
    </w:p>
    <w:p>
      <w:pPr>
        <w:pStyle w:val="null3"/>
        <w:ind w:firstLine="480"/>
      </w:pPr>
      <w:r>
        <w:rPr>
          <w:sz w:val="24"/>
        </w:rPr>
        <w:t>1.</w:t>
      </w:r>
      <w:r>
        <w:rPr>
          <w:sz w:val="24"/>
        </w:rPr>
        <w:t>交货时间：</w:t>
      </w:r>
      <w:r>
        <w:rPr>
          <w:sz w:val="24"/>
          <w:u w:val="single"/>
        </w:rPr>
        <w:t>合同生效后    日历日内完成交付合格的货物（包括：货物的安装、调试和向甲方职能部门提交认可的完整的验收申请资料）</w:t>
      </w:r>
      <w:r>
        <w:rPr>
          <w:sz w:val="24"/>
        </w:rPr>
        <w:t>。</w:t>
      </w:r>
    </w:p>
    <w:p>
      <w:pPr>
        <w:pStyle w:val="null3"/>
        <w:ind w:firstLine="480"/>
      </w:pPr>
      <w:r>
        <w:rPr>
          <w:sz w:val="24"/>
        </w:rPr>
        <w:t>2.</w:t>
      </w:r>
      <w:r>
        <w:rPr>
          <w:sz w:val="24"/>
        </w:rPr>
        <w:t>国内产品或合资厂的产品应具备出厂合格证，国外产品应提供相关材料证明产品系合法进口且已经按照我国相关法律法规缴纳进口税费。</w:t>
      </w:r>
    </w:p>
    <w:p>
      <w:pPr>
        <w:pStyle w:val="null3"/>
        <w:ind w:firstLine="480"/>
      </w:pPr>
      <w:r>
        <w:rPr>
          <w:sz w:val="24"/>
        </w:rPr>
        <w:t>3.</w:t>
      </w:r>
      <w:r>
        <w:rPr>
          <w:sz w:val="24"/>
        </w:rPr>
        <w:t>交货地点：</w:t>
      </w:r>
      <w:r>
        <w:rPr>
          <w:sz w:val="24"/>
          <w:u w:val="single"/>
        </w:rPr>
        <w:t>五邑大学指定地点。</w:t>
      </w:r>
    </w:p>
    <w:p>
      <w:pPr>
        <w:pStyle w:val="null3"/>
        <w:ind w:firstLine="480"/>
      </w:pPr>
      <w:r>
        <w:rPr>
          <w:sz w:val="24"/>
        </w:rPr>
        <w:t>4.</w:t>
      </w:r>
      <w:r>
        <w:rPr>
          <w:sz w:val="24"/>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80"/>
      </w:pPr>
      <w:r>
        <w:rPr>
          <w:sz w:val="24"/>
        </w:rPr>
        <w:t>5.</w:t>
      </w:r>
      <w:r>
        <w:rPr>
          <w:sz w:val="24"/>
        </w:rPr>
        <w:t>货物的验收：</w:t>
      </w:r>
    </w:p>
    <w:p>
      <w:pPr>
        <w:pStyle w:val="null3"/>
        <w:ind w:firstLine="480"/>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pPr>
      <w:r>
        <w:rPr>
          <w:sz w:val="24"/>
        </w:rPr>
        <w:t>（3）其他验收细则以乙方在投标文件中提供的设备技术资料及双方签订的合同条款为准。（验收时需要对每一条参数进行逐一验证，并提供验证佐证材料作为验收资料）。</w:t>
      </w:r>
    </w:p>
    <w:p>
      <w:pPr>
        <w:pStyle w:val="null3"/>
        <w:ind w:firstLine="482"/>
      </w:pPr>
      <w:r>
        <w:rPr>
          <w:sz w:val="24"/>
          <w:b/>
        </w:rPr>
        <w:t>第四条  履约保证金和付款方式</w:t>
      </w:r>
    </w:p>
    <w:p>
      <w:pPr>
        <w:pStyle w:val="null3"/>
        <w:ind w:firstLine="480"/>
      </w:pPr>
      <w:r>
        <w:rPr>
          <w:sz w:val="24"/>
        </w:rPr>
        <w:t>（1）本合同签订之日起五个工作日内，乙方须向甲方提交合同总价3.8%的履约保证金（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签订合同时要确定其中一种形式</w:t>
      </w:r>
      <w:r>
        <w:rPr>
          <w:sz w:val="24"/>
        </w:rPr>
        <w:t>）支付。验收合格后，乙方应向甲方提出履约保证金退还书面申请，甲方在收到申请后20个工作日内（不含审批时间）以非现金形式一次性返还履约保证金（不计息），如以保函方式，保函原件退回。</w:t>
      </w:r>
    </w:p>
    <w:p>
      <w:pPr>
        <w:pStyle w:val="null3"/>
        <w:ind w:firstLine="480"/>
      </w:pPr>
      <w:r>
        <w:rPr>
          <w:sz w:val="24"/>
        </w:rPr>
        <w:t>（2）合同签订生效后***个日历日内（不含审批时间）甲方完成办理合同总金额30%的货款（人民币大写：</w:t>
      </w:r>
      <w:r>
        <w:rPr>
          <w:sz w:val="24"/>
          <w:u w:val="single"/>
        </w:rPr>
        <w:t xml:space="preserve">           </w:t>
      </w:r>
      <w:r>
        <w:rPr>
          <w:sz w:val="24"/>
        </w:rPr>
        <w:t>；小写：¥</w:t>
      </w:r>
      <w:r>
        <w:rPr>
          <w:sz w:val="24"/>
          <w:u w:val="single"/>
        </w:rPr>
        <w:t xml:space="preserve">          </w:t>
      </w:r>
      <w:r>
        <w:rPr>
          <w:sz w:val="24"/>
        </w:rPr>
        <w:t>元）的支付手续。</w:t>
      </w:r>
    </w:p>
    <w:p>
      <w:pPr>
        <w:pStyle w:val="null3"/>
        <w:ind w:firstLine="480"/>
      </w:pPr>
      <w:r>
        <w:rPr>
          <w:sz w:val="24"/>
        </w:rPr>
        <w:t>（3）验收合格后，乙方按合同总金额向甲方开具符合合同类型要求的增值税专用发票和提供由甲方认可的验收报告。货物验收合格和甲方收到前述发票、验收报告后***个日历日（不含审批时间）内甲方完成办理合同总金额70%的货款（人民币大写：</w:t>
      </w:r>
      <w:r>
        <w:rPr>
          <w:sz w:val="24"/>
          <w:u w:val="single"/>
        </w:rPr>
        <w:t xml:space="preserve">            </w:t>
      </w:r>
      <w:r>
        <w:rPr>
          <w:sz w:val="24"/>
        </w:rPr>
        <w:t>；小写：¥</w:t>
      </w:r>
      <w:r>
        <w:rPr>
          <w:sz w:val="24"/>
          <w:u w:val="single"/>
        </w:rPr>
        <w:t xml:space="preserve">            </w:t>
      </w:r>
      <w:r>
        <w:rPr>
          <w:sz w:val="24"/>
        </w:rPr>
        <w:t>元）的支付手续。</w:t>
      </w:r>
    </w:p>
    <w:p>
      <w:pPr>
        <w:pStyle w:val="null3"/>
        <w:ind w:firstLine="480"/>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pPr>
      <w:r>
        <w:rPr>
          <w:sz w:val="24"/>
        </w:rPr>
        <w:t>（4）结算方式：银行转账</w:t>
      </w:r>
    </w:p>
    <w:p>
      <w:pPr>
        <w:pStyle w:val="null3"/>
        <w:ind w:firstLine="480"/>
      </w:pPr>
      <w:r>
        <w:rPr>
          <w:sz w:val="24"/>
        </w:rPr>
        <w:t>乙方户名：</w:t>
      </w:r>
    </w:p>
    <w:p>
      <w:pPr>
        <w:pStyle w:val="null3"/>
        <w:ind w:firstLine="480"/>
      </w:pPr>
      <w:r>
        <w:rPr>
          <w:sz w:val="24"/>
        </w:rPr>
        <w:t>开户银行：</w:t>
      </w:r>
    </w:p>
    <w:p>
      <w:pPr>
        <w:pStyle w:val="null3"/>
        <w:ind w:firstLine="480"/>
      </w:pPr>
      <w:r>
        <w:rPr>
          <w:sz w:val="24"/>
        </w:rPr>
        <w:t>帐　　号：</w:t>
      </w:r>
    </w:p>
    <w:p>
      <w:pPr>
        <w:pStyle w:val="null3"/>
        <w:ind w:firstLine="482"/>
      </w:pPr>
      <w:r>
        <w:rPr>
          <w:sz w:val="24"/>
          <w:b/>
        </w:rPr>
        <w:t>第五条  货物的保修与售后服务</w:t>
      </w:r>
    </w:p>
    <w:p>
      <w:pPr>
        <w:pStyle w:val="null3"/>
        <w:ind w:firstLine="480"/>
      </w:pPr>
      <w:r>
        <w:rPr>
          <w:sz w:val="24"/>
        </w:rPr>
        <w:t>1.</w:t>
      </w:r>
      <w:r>
        <w:rPr>
          <w:sz w:val="24"/>
        </w:rPr>
        <w:t>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firstLine="480"/>
      </w:pPr>
      <w:r>
        <w:rPr>
          <w:sz w:val="24"/>
        </w:rPr>
        <w:t>2.</w:t>
      </w:r>
      <w:r>
        <w:rPr>
          <w:sz w:val="24"/>
        </w:rPr>
        <w:t>从验收合格之日起一个月内，甲方所购货物各部件发生非人为损坏，乙方应给予无条件更换。</w:t>
      </w:r>
    </w:p>
    <w:p>
      <w:pPr>
        <w:pStyle w:val="null3"/>
        <w:ind w:firstLine="480"/>
      </w:pPr>
      <w:r>
        <w:rPr>
          <w:sz w:val="24"/>
        </w:rPr>
        <w:t>3.</w:t>
      </w:r>
      <w:r>
        <w:rPr>
          <w:sz w:val="24"/>
        </w:rPr>
        <w:t>质保期内，同一硬件因质量问题一个月内累计2次出现同一故障的，乙方须无偿更换同一档次的设备或部件。质保期内因货物质量问题发生3次及以上维修的，则该设备或部件的质保期从最后一次维修的日期起重新计算。</w:t>
      </w:r>
    </w:p>
    <w:p>
      <w:pPr>
        <w:pStyle w:val="null3"/>
        <w:ind w:firstLine="480"/>
      </w:pPr>
      <w:r>
        <w:rPr>
          <w:sz w:val="24"/>
        </w:rPr>
        <w:t>4.</w:t>
      </w:r>
      <w:r>
        <w:rPr>
          <w:sz w:val="24"/>
        </w:rPr>
        <w:t>乙方指派专人负责与甲方联系售后服务事宜。乙方接到甲方报修后，电话即时响应，如电话响应无法解决的，乙方在4个小时内应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80"/>
      </w:pPr>
      <w:r>
        <w:rPr>
          <w:sz w:val="24"/>
        </w:rPr>
        <w:t>5.</w:t>
      </w:r>
      <w:r>
        <w:rPr>
          <w:sz w:val="24"/>
        </w:rPr>
        <w:t>质保期内乙方负责所有因货物质量问题而产生的费用。</w:t>
      </w:r>
    </w:p>
    <w:p>
      <w:pPr>
        <w:pStyle w:val="null3"/>
        <w:ind w:firstLine="480"/>
      </w:pPr>
      <w:r>
        <w:rPr>
          <w:sz w:val="24"/>
        </w:rPr>
        <w:t>6.</w:t>
      </w:r>
      <w:r>
        <w:rPr>
          <w:sz w:val="24"/>
        </w:rPr>
        <w:t>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80"/>
      </w:pPr>
      <w:r>
        <w:rPr>
          <w:sz w:val="24"/>
        </w:rPr>
        <w:t>7.</w:t>
      </w:r>
      <w:r>
        <w:rPr>
          <w:sz w:val="24"/>
        </w:rPr>
        <w:t>质保期内乙方售后服务部门将提供每年不低于四次（含本数）的电话回访和二次现场设备检修服务。</w:t>
      </w:r>
    </w:p>
    <w:p>
      <w:pPr>
        <w:pStyle w:val="null3"/>
        <w:ind w:firstLine="480"/>
      </w:pPr>
      <w:r>
        <w:rPr>
          <w:sz w:val="24"/>
        </w:rPr>
        <w:t>8.</w:t>
      </w:r>
      <w:r>
        <w:rPr>
          <w:sz w:val="24"/>
        </w:rPr>
        <w:t>质保期后乙方提供终身无条件技术服务，提供终身对产品进行无条件软件升级服务。</w:t>
      </w:r>
    </w:p>
    <w:p>
      <w:pPr>
        <w:pStyle w:val="null3"/>
        <w:ind w:firstLine="480"/>
      </w:pPr>
      <w:r>
        <w:rPr>
          <w:sz w:val="24"/>
        </w:rPr>
        <w:t>9.</w:t>
      </w:r>
      <w:r>
        <w:rPr>
          <w:sz w:val="24"/>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80"/>
      </w:pPr>
      <w:r>
        <w:rPr>
          <w:sz w:val="24"/>
        </w:rPr>
        <w:t>10.</w:t>
      </w:r>
      <w:r>
        <w:rPr>
          <w:sz w:val="24"/>
        </w:rPr>
        <w:t>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firstLine="480"/>
      </w:pPr>
      <w:r>
        <w:rPr>
          <w:sz w:val="24"/>
        </w:rPr>
        <w:t>11.</w:t>
      </w:r>
      <w:r>
        <w:rPr>
          <w:sz w:val="24"/>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r>
              <w:rPr>
                <w:sz w:val="24"/>
              </w:rPr>
              <w:t>：</w:t>
            </w:r>
          </w:p>
        </w:tc>
      </w:tr>
    </w:tbl>
    <w:p>
      <w:pPr>
        <w:pStyle w:val="null3"/>
        <w:ind w:firstLine="482"/>
      </w:pPr>
      <w:r>
        <w:rPr>
          <w:sz w:val="24"/>
          <w:b/>
        </w:rPr>
        <w:t>第六条  违约责任</w:t>
      </w:r>
    </w:p>
    <w:p>
      <w:pPr>
        <w:pStyle w:val="null3"/>
        <w:ind w:firstLine="480"/>
        <w:jc w:val="both"/>
      </w:pPr>
      <w:r>
        <w:rPr>
          <w:sz w:val="24"/>
        </w:rPr>
        <w:t>1.</w:t>
      </w:r>
      <w:r>
        <w:rPr>
          <w:sz w:val="24"/>
        </w:rPr>
        <w:t>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pPr>
      <w:r>
        <w:rPr>
          <w:sz w:val="24"/>
        </w:rPr>
        <w:t>（1）乙方拒绝供货或逾期15日交付货物；</w:t>
      </w:r>
    </w:p>
    <w:p>
      <w:pPr>
        <w:pStyle w:val="null3"/>
        <w:ind w:firstLine="480"/>
      </w:pPr>
      <w:r>
        <w:rPr>
          <w:sz w:val="24"/>
        </w:rPr>
        <w:t>（2）乙方交付的货物不符合合同规定，且甲方拒收的；</w:t>
      </w:r>
    </w:p>
    <w:p>
      <w:pPr>
        <w:pStyle w:val="null3"/>
        <w:ind w:firstLine="480"/>
      </w:pPr>
      <w:r>
        <w:rPr>
          <w:sz w:val="24"/>
        </w:rPr>
        <w:t>（3）乙方交付的货物经两次及以上验收仍不合格的；</w:t>
      </w:r>
    </w:p>
    <w:p>
      <w:pPr>
        <w:pStyle w:val="null3"/>
        <w:ind w:firstLine="480"/>
      </w:pPr>
      <w:r>
        <w:rPr>
          <w:sz w:val="24"/>
        </w:rPr>
        <w:t>（4）乙方交付的货物经有关部门鉴定为不合格产品的；</w:t>
      </w:r>
    </w:p>
    <w:p>
      <w:pPr>
        <w:pStyle w:val="null3"/>
        <w:ind w:firstLine="480"/>
      </w:pPr>
      <w:r>
        <w:rPr>
          <w:sz w:val="24"/>
        </w:rPr>
        <w:t>（5）乙方提供的货物涉及侵犯他人知识产权、肖像权、商业经营保密的信息或其他权益纠纷的；</w:t>
      </w:r>
    </w:p>
    <w:p>
      <w:pPr>
        <w:pStyle w:val="null3"/>
        <w:ind w:firstLine="480"/>
      </w:pPr>
      <w:r>
        <w:rPr>
          <w:sz w:val="24"/>
        </w:rPr>
        <w:t>（6）乙方利用本合同实施损害甲方合法权益行为的。</w:t>
      </w:r>
    </w:p>
    <w:p>
      <w:pPr>
        <w:pStyle w:val="null3"/>
        <w:ind w:firstLine="480"/>
      </w:pPr>
      <w:r>
        <w:rPr>
          <w:sz w:val="24"/>
        </w:rPr>
        <w:t>（7）乙方不按合同约定履行义务，经甲方提出后，在合理期限内仍不改正的；</w:t>
      </w:r>
    </w:p>
    <w:p>
      <w:pPr>
        <w:pStyle w:val="null3"/>
        <w:ind w:firstLine="480"/>
        <w:jc w:val="both"/>
      </w:pPr>
      <w:r>
        <w:rPr>
          <w:sz w:val="24"/>
        </w:rPr>
        <w:t>（8）乙方所交货的货物验收不合格，或经维修、退换后仍无法正常使用的，或虽可正常使用但无法达到本合同约定的参数及要求的。</w:t>
      </w:r>
    </w:p>
    <w:p>
      <w:pPr>
        <w:pStyle w:val="null3"/>
        <w:ind w:firstLine="480"/>
      </w:pPr>
      <w:r>
        <w:rPr>
          <w:sz w:val="24"/>
        </w:rPr>
        <w:t>2.</w:t>
      </w:r>
      <w:r>
        <w:rPr>
          <w:sz w:val="24"/>
        </w:rPr>
        <w:t>乙方超过缴纳履约保证金期限，未向甲方缴纳履约保证金的，每逾期一日，甲方有权要求乙方按履约保证金的1%偿付违约金，乙方逾期缴纳履约保证金的违约金总额不超过履约保证金数额的5%。</w:t>
      </w:r>
    </w:p>
    <w:p>
      <w:pPr>
        <w:pStyle w:val="null3"/>
        <w:ind w:firstLine="480"/>
      </w:pPr>
      <w:r>
        <w:rPr>
          <w:sz w:val="24"/>
        </w:rPr>
        <w:t>3.</w:t>
      </w:r>
      <w:r>
        <w:rPr>
          <w:sz w:val="24"/>
        </w:rPr>
        <w:t>甲方逾期退还履约保证金的，每逾期1天，乙方有权要求甲方按履约保证金的1%偿付违约金，甲方逾期退还履约保证金的违约金总额不超过履约保证金数额的5%。</w:t>
      </w:r>
    </w:p>
    <w:p>
      <w:pPr>
        <w:pStyle w:val="null3"/>
        <w:ind w:firstLine="480"/>
      </w:pPr>
      <w:r>
        <w:rPr>
          <w:sz w:val="24"/>
        </w:rPr>
        <w:t>4.</w:t>
      </w:r>
      <w:r>
        <w:rPr>
          <w:sz w:val="24"/>
        </w:rPr>
        <w:t>乙方逾期交付货物的，则每逾期一日甲方有权在履约保证金或合同价款中直接扣除合同总价的0.3‰作为违约金，直到交付验收合格货物时止。</w:t>
      </w:r>
    </w:p>
    <w:p>
      <w:pPr>
        <w:pStyle w:val="null3"/>
        <w:ind w:firstLine="480"/>
      </w:pPr>
      <w:r>
        <w:rPr>
          <w:sz w:val="24"/>
        </w:rPr>
        <w:t>5.</w:t>
      </w:r>
      <w:r>
        <w:rPr>
          <w:sz w:val="24"/>
        </w:rPr>
        <w:t>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firstLine="482"/>
      </w:pPr>
      <w:r>
        <w:rPr>
          <w:sz w:val="24"/>
          <w:b/>
        </w:rPr>
        <w:t>第七条  不可抗力</w:t>
      </w:r>
    </w:p>
    <w:p>
      <w:pPr>
        <w:pStyle w:val="null3"/>
        <w:ind w:firstLine="480"/>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2"/>
      </w:pPr>
      <w:r>
        <w:rPr>
          <w:sz w:val="24"/>
          <w:b/>
        </w:rPr>
        <w:t>第八条  解决争议的办法</w:t>
      </w:r>
    </w:p>
    <w:p>
      <w:pPr>
        <w:pStyle w:val="null3"/>
        <w:ind w:firstLine="480"/>
      </w:pPr>
      <w:r>
        <w:rPr>
          <w:sz w:val="24"/>
        </w:rPr>
        <w:t>1.</w:t>
      </w:r>
      <w:r>
        <w:rPr>
          <w:sz w:val="24"/>
        </w:rPr>
        <w:t>本合同在执行期间，如有未尽事宜，由双方另行协商解决，并可以签订补充合同或协议，补充合同或协议与本合同具有同等效力。</w:t>
      </w:r>
    </w:p>
    <w:p>
      <w:pPr>
        <w:pStyle w:val="null3"/>
        <w:ind w:firstLine="480"/>
      </w:pPr>
      <w:r>
        <w:rPr>
          <w:sz w:val="24"/>
        </w:rPr>
        <w:t>2.</w:t>
      </w:r>
      <w:r>
        <w:rPr>
          <w:sz w:val="24"/>
        </w:rPr>
        <w:t>若执行本合同的过程中发生纠纷，双方当事人应当及时协商解决；协商不成时，可向甲方所在地有管辖权的人民法院提起诉讼。</w:t>
      </w:r>
    </w:p>
    <w:p>
      <w:pPr>
        <w:pStyle w:val="null3"/>
        <w:ind w:firstLine="480"/>
      </w:pPr>
      <w:r>
        <w:rPr>
          <w:sz w:val="24"/>
        </w:rPr>
        <w:t>3.</w:t>
      </w:r>
      <w:r>
        <w:rPr>
          <w:sz w:val="24"/>
        </w:rPr>
        <w:t>甲方为维护本合同合法权益提起诉讼的，乙方应承担甲方为维护权益而支出的律师费、诉讼费、保全费、担保费、执行费等合理费用。</w:t>
      </w:r>
    </w:p>
    <w:p>
      <w:pPr>
        <w:pStyle w:val="null3"/>
        <w:ind w:firstLine="482"/>
      </w:pPr>
      <w:r>
        <w:rPr>
          <w:sz w:val="24"/>
          <w:b/>
        </w:rPr>
        <w:t>第九条  合同生效及终止</w:t>
      </w:r>
    </w:p>
    <w:p>
      <w:pPr>
        <w:pStyle w:val="null3"/>
        <w:ind w:firstLine="480"/>
      </w:pPr>
      <w:r>
        <w:rPr>
          <w:sz w:val="24"/>
        </w:rPr>
        <w:t>1.</w:t>
      </w:r>
      <w:r>
        <w:rPr>
          <w:sz w:val="24"/>
        </w:rPr>
        <w:t>本合同自甲乙双方签署之日起生效。本合同</w:t>
      </w:r>
      <w:r>
        <w:rPr>
          <w:sz w:val="24"/>
          <w:u w:val="single"/>
        </w:rPr>
        <w:t>一式陆份，甲方执伍份，乙方执壹份。</w:t>
      </w:r>
    </w:p>
    <w:p>
      <w:pPr>
        <w:pStyle w:val="null3"/>
        <w:ind w:firstLine="480"/>
      </w:pPr>
      <w:r>
        <w:rPr>
          <w:sz w:val="24"/>
        </w:rPr>
        <w:t>2.</w:t>
      </w:r>
      <w:r>
        <w:rPr>
          <w:sz w:val="24"/>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82"/>
      </w:pPr>
      <w:r>
        <w:rPr>
          <w:sz w:val="24"/>
          <w:b/>
        </w:rPr>
        <w:t>第十条  监督和管理</w:t>
      </w:r>
    </w:p>
    <w:p>
      <w:pPr>
        <w:pStyle w:val="null3"/>
        <w:ind w:firstLine="480"/>
      </w:pPr>
      <w:r>
        <w:rPr>
          <w:sz w:val="24"/>
        </w:rPr>
        <w:t>1.</w:t>
      </w:r>
      <w:r>
        <w:rPr>
          <w:sz w:val="24"/>
        </w:rPr>
        <w:t>双方经协商一致需变更合同实质性条款或订立补充合同的，应先取得政府采购监督管理部门的同意，并送政府采购中心备案。</w:t>
      </w:r>
    </w:p>
    <w:p>
      <w:pPr>
        <w:pStyle w:val="null3"/>
        <w:ind w:firstLine="480"/>
      </w:pPr>
      <w:r>
        <w:rPr>
          <w:sz w:val="24"/>
        </w:rPr>
        <w:t>2.</w:t>
      </w:r>
      <w:r>
        <w:rPr>
          <w:sz w:val="24"/>
        </w:rPr>
        <w:t>甲乙双方均应配合政府采购监督管理部门和政府采购中心（校外）采购组织部门（校内）对合同履行情况的监督检查，如实反映情况，提供有关资料。</w:t>
      </w:r>
    </w:p>
    <w:p>
      <w:pPr>
        <w:pStyle w:val="null3"/>
        <w:ind w:firstLine="482"/>
      </w:pPr>
      <w:r>
        <w:rPr>
          <w:sz w:val="24"/>
          <w:b/>
        </w:rPr>
        <w:t>第十一条  其他约定条款</w:t>
      </w:r>
    </w:p>
    <w:p>
      <w:pPr>
        <w:pStyle w:val="null3"/>
        <w:ind w:firstLine="480"/>
      </w:pPr>
      <w:r>
        <w:rPr>
          <w:sz w:val="24"/>
        </w:rPr>
        <w:t>1.</w:t>
      </w:r>
      <w:r>
        <w:rPr>
          <w:sz w:val="24"/>
        </w:rPr>
        <w:t>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80"/>
      </w:pPr>
      <w:r>
        <w:rPr>
          <w:sz w:val="24"/>
        </w:rPr>
        <w:t>2.</w:t>
      </w:r>
      <w:r>
        <w:rPr>
          <w:sz w:val="24"/>
        </w:rPr>
        <w:t>若甲方根据本合同向乙方主张权益时，甲方因此所支付或垫付的所有费用（包括但不限于诉讼费、公证费、律师费）均由乙方承担。</w:t>
      </w:r>
    </w:p>
    <w:p>
      <w:pPr>
        <w:pStyle w:val="null3"/>
        <w:ind w:firstLine="480"/>
      </w:pPr>
      <w:r>
        <w:rPr>
          <w:sz w:val="24"/>
        </w:rPr>
        <w:t>3.</w:t>
      </w:r>
      <w:r>
        <w:rPr>
          <w:sz w:val="24"/>
        </w:rPr>
        <w:t>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甲方（公章）：五邑大学</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地址：广东省江门市蓬江区东成村</w:t>
            </w:r>
            <w:r>
              <w:rPr>
                <w:sz w:val="24"/>
              </w:rPr>
              <w:t>22</w:t>
            </w:r>
            <w:r>
              <w:rPr>
                <w:sz w:val="24"/>
              </w:rPr>
              <w:t>号</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开户银行：中国工商银行股份有限公司江门蓬江支行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w:t>
            </w:r>
            <w:r>
              <w:rPr>
                <w:sz w:val="24"/>
              </w:rPr>
              <w:t>2012006509024900818</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w:t>
            </w:r>
            <w:r>
              <w:rPr>
                <w:sz w:val="24"/>
              </w:rPr>
              <w:t>0750-3296151</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w:t>
            </w:r>
            <w:r>
              <w:rPr>
                <w:sz w:val="24"/>
              </w:rPr>
              <w:t>：</w:t>
            </w:r>
            <w:r>
              <w:rPr>
                <w:sz w:val="24"/>
              </w:rPr>
              <w:t>sbc@wyu.edu.cn</w:t>
            </w:r>
          </w:p>
        </w:tc>
        <w:tc>
          <w:tcPr>
            <w:tcW w:type="dxa" w:w="4153"/>
            <w:tcMar>
              <w:top w:type="dxa" w:w="0"/>
              <w:left w:type="dxa" w:w="105"/>
              <w:bottom w:type="dxa" w:w="0"/>
              <w:right w:type="dxa" w:w="105"/>
            </w:tcMar>
            <w:vAlign w:val="top"/>
          </w:tcPr>
          <w:p>
            <w:pPr>
              <w:pStyle w:val="null3"/>
              <w:jc w:val="left"/>
            </w:pPr>
            <w:r>
              <w:rPr>
                <w:sz w:val="24"/>
              </w:rPr>
              <w:t>E-mail</w:t>
            </w:r>
            <w:r>
              <w:rPr>
                <w:sz w:val="24"/>
              </w:rPr>
              <w:t>：</w:t>
            </w:r>
          </w:p>
        </w:tc>
      </w:tr>
      <w:tr>
        <w:tc>
          <w:tcPr>
            <w:tcW w:type="dxa" w:w="8306"/>
            <w:gridSpan w:val="2"/>
            <w:tcMar>
              <w:top w:type="dxa" w:w="0"/>
              <w:left w:type="dxa" w:w="105"/>
              <w:bottom w:type="dxa" w:w="0"/>
              <w:right w:type="dxa" w:w="105"/>
            </w:tcMar>
            <w:vAlign w:val="top"/>
          </w:tcPr>
          <w:p>
            <w:pPr>
              <w:pStyle w:val="null3"/>
              <w:ind w:firstLine="2400"/>
              <w:jc w:val="both"/>
            </w:pPr>
            <w:r>
              <w:rPr>
                <w:sz w:val="24"/>
              </w:rPr>
              <w:t>签订日期：  年  月   日</w:t>
            </w:r>
          </w:p>
        </w:tc>
      </w:tr>
    </w:tbl>
    <w:p>
      <w:pPr>
        <w:pStyle w:val="null3"/>
      </w:pPr>
      <w:r>
        <w:rPr>
          <w:sz w:val="24"/>
          <w:b/>
        </w:rPr>
        <w:t>附件1：货物清单</w:t>
      </w:r>
    </w:p>
    <w:p>
      <w:pPr>
        <w:pStyle w:val="null3"/>
        <w:ind w:left="495" w:firstLine="422"/>
        <w:jc w:val="both"/>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w:t>
            </w:r>
            <w:r>
              <w:rPr>
                <w:sz w:val="24"/>
                <w:b/>
                <w:u w:val="single"/>
              </w:rPr>
              <w:t xml:space="preserve">¥         </w:t>
            </w:r>
            <w:r>
              <w:rPr>
                <w:sz w:val="24"/>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大写：</w:t>
            </w:r>
            <w:r>
              <w:rPr>
                <w:sz w:val="24"/>
                <w:b/>
                <w:u w:val="single"/>
              </w:rPr>
              <w:t xml:space="preserve">             </w:t>
            </w:r>
          </w:p>
        </w:tc>
      </w:tr>
    </w:tbl>
    <w:p>
      <w:pPr>
        <w:pStyle w:val="null3"/>
        <w:ind w:firstLine="241"/>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113"/>
        <w:gridCol w:w="1969"/>
        <w:gridCol w:w="1113"/>
        <w:gridCol w:w="1113"/>
        <w:gridCol w:w="2997"/>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货物名称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品牌</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29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b/>
              </w:rPr>
              <w:t>配置/技术参数</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9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9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9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97"/>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997"/>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4"/>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4"/>
        <w:gridCol w:w="1417"/>
        <w:gridCol w:w="1059"/>
        <w:gridCol w:w="1596"/>
        <w:gridCol w:w="2326"/>
        <w:gridCol w:w="895"/>
      </w:tblGrid>
      <w:tr>
        <w:tc>
          <w:tcPr>
            <w:tcW w:type="dxa" w:w="1014"/>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41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5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59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32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售后服务网点及电话</w:t>
            </w:r>
          </w:p>
        </w:tc>
        <w:tc>
          <w:tcPr>
            <w:tcW w:type="dxa" w:w="895"/>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1</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2</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tcPr>
          <w:p/>
        </w:tc>
      </w:tr>
    </w:tbl>
    <w:p>
      <w:pPr>
        <w:pStyle w:val="null3"/>
        <w:jc w:val="both"/>
      </w:pPr>
      <w:r>
        <w:rPr>
          <w:sz w:val="24"/>
          <w:b/>
        </w:rPr>
        <w:t>附件4：培训计划</w:t>
      </w:r>
    </w:p>
    <w:p>
      <w:pPr>
        <w:pStyle w:val="null3"/>
        <w:ind w:firstLine="482"/>
        <w:jc w:val="both"/>
      </w:pPr>
      <w:r>
        <w:rPr>
          <w:sz w:val="24"/>
          <w:b/>
        </w:rPr>
        <w:t>培训结束后，由甲乙双方技术人员进行验收</w:t>
      </w:r>
    </w:p>
    <w:p>
      <w:pPr>
        <w:pStyle w:val="null3"/>
        <w:jc w:val="both"/>
      </w:pPr>
      <w:r>
        <w:rPr>
          <w:sz w:val="24"/>
          <w:b/>
        </w:rPr>
        <w:t>进口产品适用：</w:t>
      </w:r>
    </w:p>
    <w:p>
      <w:pPr>
        <w:pStyle w:val="null3"/>
        <w:ind w:firstLine="7228"/>
        <w:jc w:val="both"/>
      </w:pPr>
      <w:r>
        <w:rPr>
          <w:sz w:val="24"/>
          <w:b/>
        </w:rPr>
        <w:t xml:space="preserve">合同编号：       </w:t>
      </w:r>
    </w:p>
    <w:p>
      <w:pPr>
        <w:pStyle w:val="null3"/>
        <w:spacing w:before="405" w:after="405"/>
        <w:jc w:val="center"/>
      </w:pPr>
      <w:r>
        <w:rPr>
          <w:sz w:val="24"/>
          <w:b/>
        </w:rPr>
        <w:t>五邑大学进口仪器设备采购合同</w:t>
      </w:r>
    </w:p>
    <w:p>
      <w:pPr>
        <w:pStyle w:val="null3"/>
        <w:ind w:firstLine="482"/>
        <w:jc w:val="both"/>
      </w:pPr>
      <w:r>
        <w:rPr>
          <w:sz w:val="24"/>
          <w:b/>
        </w:rPr>
        <w:t>甲方：五邑大学</w:t>
      </w:r>
    </w:p>
    <w:p>
      <w:pPr>
        <w:pStyle w:val="null3"/>
        <w:ind w:firstLine="482"/>
        <w:jc w:val="both"/>
      </w:pPr>
      <w:r>
        <w:rPr>
          <w:sz w:val="24"/>
          <w:b/>
        </w:rPr>
        <w:t>乙方：</w:t>
      </w:r>
      <w:r>
        <w:rPr>
          <w:sz w:val="24"/>
          <w:b/>
          <w:u w:val="single"/>
        </w:rPr>
        <w:t xml:space="preserve">        </w:t>
      </w:r>
    </w:p>
    <w:p>
      <w:pPr>
        <w:pStyle w:val="null3"/>
        <w:ind w:firstLine="482"/>
        <w:jc w:val="both"/>
      </w:pPr>
      <w:r>
        <w:rPr>
          <w:sz w:val="24"/>
          <w:b/>
        </w:rPr>
        <w:t>丙方：</w:t>
      </w:r>
      <w:r>
        <w:rPr>
          <w:sz w:val="24"/>
          <w:b/>
          <w:u w:val="single"/>
        </w:rPr>
        <w:t xml:space="preserve">        </w:t>
      </w:r>
    </w:p>
    <w:p>
      <w:pPr>
        <w:pStyle w:val="null3"/>
        <w:ind w:firstLine="480"/>
      </w:pPr>
      <w:r>
        <w:rPr>
          <w:sz w:val="24"/>
        </w:rPr>
        <w:t>甲、乙、丙三方根据《中华人民共和国民法典》和《中华人民共和国政府采购法》等有关法律法规的规定，按照五邑大学</w:t>
      </w:r>
      <w:r>
        <w:rPr>
          <w:sz w:val="24"/>
          <w:u w:val="single"/>
        </w:rPr>
        <w:t xml:space="preserve">      </w:t>
      </w:r>
      <w:r>
        <w:rPr>
          <w:sz w:val="24"/>
        </w:rPr>
        <w:t>项目</w:t>
      </w:r>
      <w:r>
        <w:rPr>
          <w:sz w:val="24"/>
          <w:b/>
        </w:rPr>
        <w:t>（</w:t>
      </w:r>
      <w:r>
        <w:rPr>
          <w:sz w:val="24"/>
          <w:b/>
          <w:u w:val="single"/>
        </w:rPr>
        <w:t xml:space="preserve">采购方式：    ；采购编号：            </w:t>
      </w:r>
      <w:r>
        <w:rPr>
          <w:sz w:val="24"/>
          <w:b/>
        </w:rPr>
        <w:t>）</w:t>
      </w:r>
      <w:r>
        <w:rPr>
          <w:sz w:val="24"/>
        </w:rPr>
        <w:t>的中标结果、招标文件、中标供应商的投标文件及</w:t>
      </w:r>
      <w:r>
        <w:rPr>
          <w:sz w:val="24"/>
          <w:u w:val="single"/>
        </w:rPr>
        <w:t xml:space="preserve">          </w:t>
      </w:r>
      <w:r>
        <w:rPr>
          <w:sz w:val="24"/>
        </w:rPr>
        <w:t>发出的中标通知书的要求，经三方协商一致，订立合同如下：</w:t>
      </w:r>
    </w:p>
    <w:p>
      <w:pPr>
        <w:pStyle w:val="null3"/>
        <w:ind w:firstLine="480"/>
      </w:pPr>
      <w:r>
        <w:rPr>
          <w:sz w:val="24"/>
        </w:rPr>
        <w:t>第一条 项目的名称、合同总价和项目货物的清单（名称、数量、规格、单价、型号、品牌和技术指标等）</w:t>
      </w:r>
    </w:p>
    <w:p>
      <w:pPr>
        <w:pStyle w:val="null3"/>
        <w:ind w:firstLine="480"/>
      </w:pPr>
      <w:r>
        <w:rPr>
          <w:sz w:val="24"/>
        </w:rPr>
        <w:t>1.</w:t>
      </w:r>
      <w:r>
        <w:rPr>
          <w:sz w:val="24"/>
        </w:rPr>
        <w:t>项目名称：</w:t>
      </w:r>
      <w:r>
        <w:rPr>
          <w:sz w:val="24"/>
          <w:u w:val="single"/>
        </w:rPr>
        <w:t xml:space="preserve">          </w:t>
      </w:r>
    </w:p>
    <w:p>
      <w:pPr>
        <w:pStyle w:val="null3"/>
        <w:ind w:firstLine="480"/>
      </w:pPr>
      <w:r>
        <w:rPr>
          <w:sz w:val="24"/>
        </w:rPr>
        <w:t>2.</w:t>
      </w:r>
      <w:r>
        <w:rPr>
          <w:sz w:val="24"/>
        </w:rPr>
        <w:t>设备名称：</w:t>
      </w:r>
      <w:r>
        <w:rPr>
          <w:sz w:val="24"/>
          <w:u w:val="single"/>
        </w:rPr>
        <w:t xml:space="preserve">        </w:t>
      </w:r>
    </w:p>
    <w:p>
      <w:pPr>
        <w:pStyle w:val="null3"/>
        <w:ind w:firstLine="480"/>
      </w:pPr>
      <w:r>
        <w:rPr>
          <w:sz w:val="24"/>
        </w:rPr>
        <w:t>3.</w:t>
      </w:r>
      <w:r>
        <w:rPr>
          <w:sz w:val="24"/>
        </w:rPr>
        <w:t>合同总价为人民币</w:t>
      </w:r>
      <w:r>
        <w:rPr>
          <w:sz w:val="24"/>
          <w:b/>
          <w:u w:val="single"/>
        </w:rPr>
        <w:t xml:space="preserve">¥       </w:t>
      </w:r>
      <w:r>
        <w:rPr>
          <w:sz w:val="24"/>
        </w:rPr>
        <w:t>元（大写：</w:t>
      </w:r>
      <w:r>
        <w:rPr>
          <w:sz w:val="24"/>
          <w:u w:val="single"/>
        </w:rPr>
        <w:t xml:space="preserve">        </w:t>
      </w:r>
      <w:r>
        <w:rPr>
          <w:sz w:val="24"/>
        </w:rPr>
        <w:t>）</w:t>
      </w:r>
    </w:p>
    <w:p>
      <w:pPr>
        <w:pStyle w:val="null3"/>
        <w:ind w:firstLine="480"/>
      </w:pPr>
      <w:r>
        <w:rPr>
          <w:sz w:val="24"/>
        </w:rPr>
        <w:t>合同总价是完成项目的全包价，包括但不限于货物的设计，制造、包装、仓储、运输、保险、外贸手续费用以及乙方进行的安装、调试、试运行、验收、培训、技术服务（包括技术资料、图纸的提供），质保期间保障服务等的全部费用，即包含设备运抵交货现场过程中所发生的费用。所有价格变动的风险均由乙方承担。甲方不再支付任何其他费用。</w:t>
      </w:r>
    </w:p>
    <w:p>
      <w:pPr>
        <w:pStyle w:val="null3"/>
        <w:ind w:firstLine="480"/>
      </w:pPr>
      <w:r>
        <w:rPr>
          <w:sz w:val="24"/>
          <w:u w:val="single"/>
        </w:rPr>
        <w:t>货物清单、主要技术参数、配置清单、保修服务表和培训计划详见</w:t>
      </w:r>
      <w:r>
        <w:rPr>
          <w:sz w:val="24"/>
          <w:b/>
          <w:u w:val="single"/>
        </w:rPr>
        <w:t>附件1、附件2</w:t>
      </w:r>
      <w:r>
        <w:rPr>
          <w:sz w:val="24"/>
          <w:u w:val="single"/>
        </w:rPr>
        <w:t>、</w:t>
      </w:r>
      <w:r>
        <w:rPr>
          <w:sz w:val="24"/>
          <w:b/>
          <w:u w:val="single"/>
        </w:rPr>
        <w:t>附件3、附件4和附件5</w:t>
      </w:r>
      <w:r>
        <w:rPr>
          <w:sz w:val="24"/>
          <w:u w:val="single"/>
        </w:rPr>
        <w:t>。</w:t>
      </w:r>
    </w:p>
    <w:p>
      <w:pPr>
        <w:pStyle w:val="null3"/>
        <w:ind w:firstLine="480"/>
      </w:pPr>
      <w:r>
        <w:rPr>
          <w:sz w:val="24"/>
        </w:rPr>
        <w:t>4.</w:t>
      </w:r>
      <w:r>
        <w:rPr>
          <w:sz w:val="24"/>
        </w:rPr>
        <w:t>安全责任：本项目安全措施由乙方制定方案及组织实施，并承担全部安全责任，甲方不负责任何伤亡、劳保福利以及施工中材料被盗等责任。</w:t>
      </w:r>
    </w:p>
    <w:p>
      <w:pPr>
        <w:pStyle w:val="null3"/>
        <w:ind w:firstLine="480"/>
      </w:pPr>
      <w:r>
        <w:rPr>
          <w:sz w:val="24"/>
        </w:rPr>
        <w:t>5.</w:t>
      </w:r>
      <w:r>
        <w:rPr>
          <w:sz w:val="24"/>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w:t>
      </w:r>
    </w:p>
    <w:p>
      <w:pPr>
        <w:pStyle w:val="null3"/>
        <w:ind w:firstLine="480"/>
      </w:pPr>
      <w:r>
        <w:rPr>
          <w:sz w:val="24"/>
        </w:rPr>
        <w:t>6..</w:t>
      </w:r>
      <w:r>
        <w:rPr>
          <w:sz w:val="24"/>
        </w:rPr>
        <w:t>本项目由乙方负责第三方检测及办证的有关事宜，合同如未明确则按行业标准或惯例，如涉及费用由乙方进行支付。</w:t>
      </w:r>
    </w:p>
    <w:p>
      <w:pPr>
        <w:pStyle w:val="null3"/>
        <w:ind w:firstLine="482"/>
      </w:pPr>
      <w:r>
        <w:rPr>
          <w:sz w:val="24"/>
          <w:b/>
        </w:rPr>
        <w:t>7.</w:t>
      </w:r>
      <w:r>
        <w:rPr>
          <w:sz w:val="24"/>
          <w:b/>
        </w:rPr>
        <w:t>乙方应保证所投报货物为在售设备，不得以笔误等情况为由，提出更改中标设备参数或更换中标设备。更改设备参数或更换设备需由学校组织专家组确认后再批准。</w:t>
      </w:r>
    </w:p>
    <w:p>
      <w:pPr>
        <w:pStyle w:val="null3"/>
        <w:ind w:firstLine="482"/>
      </w:pPr>
      <w:r>
        <w:rPr>
          <w:sz w:val="24"/>
          <w:b/>
        </w:rPr>
        <w:t>8</w:t>
      </w:r>
      <w:r>
        <w:rPr>
          <w:sz w:val="24"/>
          <w:b/>
        </w:rPr>
        <w:t>合同货物所有税款都由乙方承担包括但不限于合同产品原产地为境外且在中国国务院关税税则委员会公告要求加征关税清单范围内的货物。进口设备应通过丙方从关境外供货到五邑大学指定地点，不能国内调货、窜货、否则甲方直接有权单方终止采购项目，且不支付任何费用，追究乙方的法律责任。</w:t>
      </w:r>
    </w:p>
    <w:p>
      <w:pPr>
        <w:pStyle w:val="null3"/>
        <w:ind w:firstLine="482"/>
      </w:pPr>
      <w:r>
        <w:rPr>
          <w:sz w:val="24"/>
          <w:b/>
        </w:rPr>
        <w:t>9.</w:t>
      </w:r>
      <w:r>
        <w:rPr>
          <w:sz w:val="24"/>
          <w:b/>
        </w:rPr>
        <w:t>进口设备开箱应三方在场，任何一方不得私自开箱，每个合同的开箱次数最多为2次，超2次开箱的按丙方实际成本及人工费用，向乙方收取一定费用，收费标准按丙方收费标准执行，</w:t>
      </w:r>
      <w:r>
        <w:rPr>
          <w:sz w:val="24"/>
          <w:b/>
          <w:u w:val="single"/>
        </w:rPr>
        <w:t>对开箱次数累计超5次（不含），丙方有权直接上报主管单位，并有权进行几何级数收费。</w:t>
      </w:r>
    </w:p>
    <w:p>
      <w:pPr>
        <w:pStyle w:val="null3"/>
        <w:ind w:firstLine="482"/>
      </w:pPr>
      <w:r>
        <w:rPr>
          <w:sz w:val="24"/>
          <w:b/>
        </w:rPr>
        <w:t>10.</w:t>
      </w:r>
      <w:r>
        <w:rPr>
          <w:sz w:val="24"/>
          <w:b/>
        </w:rPr>
        <w:t>对于需要进行换货的进口设备，限定出境之日起60日内换货完毕，产生的所有费用丙方向乙方实报实销，该服务费由外贸代理向乙方收取（按次数收费），收费标准按丙方收费标准执行，对出境换货包括重新进口次数超过3次（不含），</w:t>
      </w:r>
      <w:r>
        <w:rPr>
          <w:sz w:val="24"/>
          <w:b/>
          <w:u w:val="single"/>
        </w:rPr>
        <w:t>丙方有权直接上报主管单位，并有权进行几何级数收</w:t>
      </w:r>
      <w:r>
        <w:rPr>
          <w:sz w:val="24"/>
          <w:b/>
        </w:rPr>
        <w:t>费。甲方不支付任何相关费用，并有权追究乙方的法律责任和由此造成甲方的损失包括直接损失和间接损失，如果超过三方合同约定交货期限，违约金按合同约定进行计算。</w:t>
      </w:r>
    </w:p>
    <w:p>
      <w:pPr>
        <w:pStyle w:val="null3"/>
        <w:ind w:firstLine="480"/>
      </w:pPr>
      <w:r>
        <w:rPr>
          <w:sz w:val="24"/>
        </w:rPr>
        <w:t>11.</w:t>
      </w:r>
      <w:r>
        <w:rPr>
          <w:sz w:val="24"/>
        </w:rPr>
        <w:t>经三方协商同意甲方的仪器设备进口所需办理的免税手续由丙方代理，并由丙方和乙方或境外厂商另行签订外贸合同。甲方在职责范围内协助丙方办理货物进口报关、港口提货、对外付汇及付汇后的银行结算。</w:t>
      </w:r>
    </w:p>
    <w:p>
      <w:pPr>
        <w:pStyle w:val="null3"/>
        <w:ind w:firstLine="480"/>
      </w:pPr>
      <w:r>
        <w:rPr>
          <w:sz w:val="24"/>
        </w:rPr>
        <w:t>12.</w:t>
      </w:r>
      <w:r>
        <w:rPr>
          <w:sz w:val="24"/>
        </w:rPr>
        <w:t>合同中进口设备总价为人民币</w:t>
      </w:r>
      <w:r>
        <w:rPr>
          <w:sz w:val="24"/>
          <w:b/>
          <w:u w:val="single"/>
        </w:rPr>
        <w:t xml:space="preserve">¥        </w:t>
      </w:r>
      <w:r>
        <w:rPr>
          <w:sz w:val="24"/>
        </w:rPr>
        <w:t>元，按美元：人民币</w:t>
      </w:r>
      <w:r>
        <w:rPr>
          <w:sz w:val="24"/>
          <w:b/>
          <w:u w:val="single"/>
        </w:rPr>
        <w:t xml:space="preserve">       </w:t>
      </w:r>
      <w:r>
        <w:rPr>
          <w:sz w:val="24"/>
        </w:rPr>
        <w:t>的汇率（20  年  月  日开标当日中国银行现汇卖出价）折算为美元价格</w:t>
      </w:r>
      <w:r>
        <w:rPr>
          <w:sz w:val="24"/>
          <w:b/>
          <w:u w:val="single"/>
        </w:rPr>
        <w:t xml:space="preserve">USD     </w:t>
      </w:r>
      <w:r>
        <w:rPr>
          <w:sz w:val="24"/>
          <w:u w:val="single"/>
        </w:rPr>
        <w:t>美</w:t>
      </w:r>
      <w:r>
        <w:rPr>
          <w:sz w:val="24"/>
        </w:rPr>
        <w:t>元，如付款时汇率高于前述约定汇率，则由乙方支付汇率差给丙方；如付款时汇率低于前述约定汇率，则剩余的货款由丙方直接退回甲方。</w:t>
      </w:r>
    </w:p>
    <w:p>
      <w:pPr>
        <w:pStyle w:val="null3"/>
        <w:ind w:firstLine="480"/>
      </w:pPr>
      <w:r>
        <w:rPr>
          <w:sz w:val="24"/>
        </w:rPr>
        <w:t>按照上述方法计算和折算后的进口设备总价为</w:t>
      </w:r>
      <w:r>
        <w:rPr>
          <w:sz w:val="24"/>
          <w:b/>
          <w:u w:val="single"/>
        </w:rPr>
        <w:t xml:space="preserve">USD       </w:t>
      </w:r>
      <w:r>
        <w:rPr>
          <w:sz w:val="24"/>
        </w:rPr>
        <w:t>美元。</w:t>
      </w:r>
    </w:p>
    <w:p>
      <w:pPr>
        <w:pStyle w:val="null3"/>
        <w:ind w:firstLine="480"/>
      </w:pPr>
      <w:r>
        <w:rPr>
          <w:sz w:val="24"/>
        </w:rPr>
        <w:t>13</w:t>
      </w:r>
      <w:r>
        <w:rPr>
          <w:sz w:val="24"/>
        </w:rPr>
        <w:t>丙方负责港口提货及将货物从港口运送到五邑大学指定地点。</w:t>
      </w:r>
    </w:p>
    <w:p>
      <w:pPr>
        <w:pStyle w:val="null3"/>
        <w:ind w:firstLine="480"/>
      </w:pPr>
      <w:r>
        <w:rPr>
          <w:sz w:val="24"/>
        </w:rPr>
        <w:t>第二条 货物质量要求及乙方对质量负责的条件和期限</w:t>
      </w:r>
    </w:p>
    <w:p>
      <w:pPr>
        <w:pStyle w:val="null3"/>
        <w:ind w:firstLine="480"/>
      </w:pPr>
      <w:r>
        <w:rPr>
          <w:sz w:val="24"/>
        </w:rPr>
        <w:t>1.</w:t>
      </w:r>
      <w:r>
        <w:rPr>
          <w:sz w:val="24"/>
        </w:rPr>
        <w:t>乙方提供的货物应符合中华人民共和国国家质量、安全、环保等标准（若有国家标准的，以行业最高标准为本合同履行标准）以及该产品的出厂标准。</w:t>
      </w:r>
    </w:p>
    <w:p>
      <w:pPr>
        <w:pStyle w:val="null3"/>
        <w:ind w:firstLine="480"/>
      </w:pPr>
      <w:r>
        <w:rPr>
          <w:sz w:val="24"/>
        </w:rPr>
        <w:t>2.</w:t>
      </w:r>
      <w:r>
        <w:rPr>
          <w:sz w:val="24"/>
        </w:rPr>
        <w:t>知识产权和专利权：</w:t>
      </w:r>
    </w:p>
    <w:p>
      <w:pPr>
        <w:pStyle w:val="null3"/>
        <w:ind w:firstLine="480"/>
      </w:pPr>
      <w:r>
        <w:rPr>
          <w:sz w:val="24"/>
        </w:rPr>
        <w:t>（1）乙方提供的货物应是无知识产权争议，且全新的产品（含零部件、配件、随机工具等），表面无划损、无碰撞、无任何缺陷隐患、无其他侵权行为，在中国境内可依常规安全合法使用。</w:t>
      </w:r>
    </w:p>
    <w:p>
      <w:pPr>
        <w:pStyle w:val="null3"/>
        <w:ind w:firstLine="480"/>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pPr>
      <w:r>
        <w:rPr>
          <w:sz w:val="24"/>
        </w:rPr>
        <w:t>（3）乙方应于售出货物前向所有权人支付专利权、商标权或其他知识产权的有关费用及税费。</w:t>
      </w:r>
    </w:p>
    <w:p>
      <w:pPr>
        <w:pStyle w:val="null3"/>
        <w:ind w:firstLine="480"/>
      </w:pPr>
      <w:r>
        <w:rPr>
          <w:sz w:val="24"/>
        </w:rPr>
        <w:t>3.</w:t>
      </w:r>
      <w:r>
        <w:rPr>
          <w:sz w:val="24"/>
        </w:rPr>
        <w:t>保密：</w:t>
      </w:r>
    </w:p>
    <w:p>
      <w:pPr>
        <w:pStyle w:val="null3"/>
        <w:ind w:firstLine="480"/>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80"/>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firstLine="480"/>
      </w:pPr>
      <w:r>
        <w:rPr>
          <w:sz w:val="24"/>
        </w:rPr>
        <w:t>4.</w:t>
      </w:r>
      <w:r>
        <w:rPr>
          <w:sz w:val="24"/>
        </w:rPr>
        <w:t>本项目由乙方负责第三方检测及办证的有关事宜，如未明确则按行业标准或惯例，所有费用由乙方承担。</w:t>
      </w:r>
    </w:p>
    <w:p>
      <w:pPr>
        <w:pStyle w:val="null3"/>
        <w:ind w:firstLine="480"/>
      </w:pPr>
      <w:r>
        <w:rPr>
          <w:sz w:val="24"/>
        </w:rPr>
        <w:t>5.</w:t>
      </w:r>
      <w:r>
        <w:rPr>
          <w:sz w:val="24"/>
        </w:rPr>
        <w:t>货物进场后采购人有权提出对存在疑问的货物进行现场抽样送检，检测项目含材料的成分、组分及相关性能指标等，检测费用由乙方承担。</w:t>
      </w:r>
    </w:p>
    <w:p>
      <w:pPr>
        <w:pStyle w:val="null3"/>
        <w:ind w:firstLine="480"/>
      </w:pPr>
      <w:r>
        <w:rPr>
          <w:sz w:val="24"/>
        </w:rPr>
        <w:t>6.</w:t>
      </w:r>
      <w:r>
        <w:rPr>
          <w:sz w:val="24"/>
        </w:rPr>
        <w:t>质保期内如货物非因甲方的人为原因而出现的问题由乙方负责包修、包换或包退，并承担维修、更换或退货的所有费用。乙方不能维修、更换或退货的，均按违约处理。</w:t>
      </w:r>
    </w:p>
    <w:p>
      <w:pPr>
        <w:pStyle w:val="null3"/>
        <w:ind w:firstLine="480"/>
      </w:pPr>
      <w:r>
        <w:rPr>
          <w:sz w:val="24"/>
        </w:rPr>
        <w:t>第三条 货物的交付、开箱检验及验收</w:t>
      </w:r>
    </w:p>
    <w:p>
      <w:pPr>
        <w:pStyle w:val="null3"/>
        <w:ind w:firstLine="480"/>
      </w:pPr>
      <w:r>
        <w:rPr>
          <w:sz w:val="24"/>
        </w:rPr>
        <w:t>1.</w:t>
      </w:r>
      <w:r>
        <w:rPr>
          <w:sz w:val="24"/>
        </w:rPr>
        <w:t>交货时间：</w:t>
      </w:r>
      <w:r>
        <w:rPr>
          <w:sz w:val="24"/>
          <w:u w:val="single"/>
        </w:rPr>
        <w:t>合同签订后 **天内完成交付合格的货物（包括：货物的安装、调试和向甲方职能部门提交认可的完整的验收申请资料）</w:t>
      </w:r>
      <w:r>
        <w:rPr>
          <w:sz w:val="24"/>
        </w:rPr>
        <w:t>，若因甲方办理海关免税手续延误，则交货时间顺延。</w:t>
      </w:r>
    </w:p>
    <w:p>
      <w:pPr>
        <w:pStyle w:val="null3"/>
        <w:ind w:firstLine="480"/>
      </w:pPr>
      <w:r>
        <w:rPr>
          <w:sz w:val="24"/>
        </w:rPr>
        <w:t>2.</w:t>
      </w:r>
      <w:r>
        <w:rPr>
          <w:sz w:val="24"/>
        </w:rPr>
        <w:t>产品应具备出厂合格证。进口产品应是经中华人民共和国海关进口的全新产品。</w:t>
      </w:r>
    </w:p>
    <w:p>
      <w:pPr>
        <w:pStyle w:val="null3"/>
        <w:ind w:firstLine="480"/>
      </w:pPr>
      <w:r>
        <w:rPr>
          <w:sz w:val="24"/>
        </w:rPr>
        <w:t>3.</w:t>
      </w:r>
      <w:r>
        <w:rPr>
          <w:sz w:val="24"/>
        </w:rPr>
        <w:t>交货地点：</w:t>
      </w:r>
      <w:r>
        <w:rPr>
          <w:sz w:val="24"/>
          <w:u w:val="single"/>
        </w:rPr>
        <w:t>五邑大学指定地点。</w:t>
      </w:r>
    </w:p>
    <w:p>
      <w:pPr>
        <w:pStyle w:val="null3"/>
        <w:ind w:firstLine="480"/>
      </w:pPr>
      <w:r>
        <w:rPr>
          <w:sz w:val="24"/>
        </w:rPr>
        <w:t>4.</w:t>
      </w:r>
      <w:r>
        <w:rPr>
          <w:sz w:val="24"/>
        </w:rPr>
        <w:t>乙方应将关键主机设备的用户手册、保修手册、有关单证资料及配备件、随机工具等一并交付给甲方，使用操作及安全须知等重要资料应附有中文说明。乙方负责货物的安装调试及技术培训。甲方对货物交付有特殊要求的，乙方在交付货物时还应当满足甲方的相应要求。</w:t>
      </w:r>
    </w:p>
    <w:p>
      <w:pPr>
        <w:pStyle w:val="null3"/>
        <w:ind w:firstLine="480"/>
      </w:pPr>
      <w:r>
        <w:rPr>
          <w:sz w:val="24"/>
        </w:rPr>
        <w:t>5.</w:t>
      </w:r>
      <w:r>
        <w:rPr>
          <w:sz w:val="24"/>
        </w:rPr>
        <w:t>货物的验收：</w:t>
      </w:r>
    </w:p>
    <w:p>
      <w:pPr>
        <w:pStyle w:val="null3"/>
        <w:ind w:firstLine="480"/>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pPr>
      <w:r>
        <w:rPr>
          <w:sz w:val="24"/>
        </w:rPr>
        <w:t>（3）其他验收细则以乙方在投标文件中提供的设备技术资料及双方签订的合同条款为准。（验收时需要对每一条参数进行逐一验证，并提供验证佐证材料作为验收资料）。</w:t>
      </w:r>
    </w:p>
    <w:p>
      <w:pPr>
        <w:pStyle w:val="null3"/>
        <w:ind w:firstLine="480"/>
      </w:pPr>
      <w:r>
        <w:rPr>
          <w:sz w:val="24"/>
        </w:rPr>
        <w:t>第四条 履约保证金、货物付款条件及结算方式</w:t>
      </w:r>
    </w:p>
    <w:p>
      <w:pPr>
        <w:pStyle w:val="null3"/>
        <w:ind w:firstLine="480"/>
      </w:pPr>
      <w:r>
        <w:rPr>
          <w:sz w:val="24"/>
        </w:rPr>
        <w:t>（1）本合同签订之日起五个工作日内，乙方须向甲方提交合同总价3.8%的履约保证金（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签订合同时要确定其中一种方式</w:t>
      </w:r>
      <w:r>
        <w:rPr>
          <w:sz w:val="24"/>
        </w:rPr>
        <w:t>）支付。验收合格后，乙方应向甲方提出履约保证金退还书面申请，甲方在收到申请后20个工作日内（不含审批时间）以非现金形式一次性返还履约保证金（不计息），如以保函方式，保函原件退回。</w:t>
      </w:r>
    </w:p>
    <w:p>
      <w:pPr>
        <w:pStyle w:val="null3"/>
        <w:ind w:firstLine="480"/>
      </w:pPr>
      <w:r>
        <w:rPr>
          <w:sz w:val="24"/>
        </w:rPr>
        <w:t>（2）进口货物由甲方、乙方与丙方签订三方合同。丙方将与银行签订的监管账户提供给甲方，采购合同签订生效后，由甲方在10个工作日内支付合同总金额100%货款（</w:t>
      </w:r>
      <w:r>
        <w:rPr>
          <w:sz w:val="24"/>
          <w:b/>
          <w:u w:val="single"/>
        </w:rPr>
        <w:t>人民币大写：      ；小写：¥        元</w:t>
      </w:r>
      <w:r>
        <w:rPr>
          <w:sz w:val="24"/>
        </w:rPr>
        <w:t>）至指定监管账户。</w:t>
      </w:r>
    </w:p>
    <w:p>
      <w:pPr>
        <w:pStyle w:val="null3"/>
        <w:ind w:firstLine="480"/>
      </w:pPr>
      <w:r>
        <w:rPr>
          <w:sz w:val="24"/>
        </w:rPr>
        <w:t>（3）乙方供货至甲方指定的地点，三方对货物进行验收合格后，进口货物由丙方向甲方提供进口货物的所有进口单证、外商发票的原件、付汇（款）水单的复印件（加盖丙方的财务章）甲方仪器设备验收报告作为货款的报账凭证与甲方结算；国产货物凭销售发票结算。</w:t>
      </w:r>
    </w:p>
    <w:p>
      <w:pPr>
        <w:pStyle w:val="null3"/>
        <w:ind w:firstLine="480"/>
      </w:pPr>
      <w:r>
        <w:rPr>
          <w:sz w:val="24"/>
        </w:rPr>
        <w:t>（4）甲方最终出具验收报告后十五个工作日内（不含审批时间），由丙方凭甲方的确认付款通知书将货款付汇至乙方指定的外商公司。丙方付汇后一周内，将整套报账资料交至甲方。</w:t>
      </w:r>
    </w:p>
    <w:p>
      <w:pPr>
        <w:pStyle w:val="null3"/>
        <w:ind w:firstLine="480"/>
      </w:pPr>
      <w:r>
        <w:rPr>
          <w:sz w:val="24"/>
        </w:rPr>
        <w:t>（5）结算方式：银行转账</w:t>
      </w:r>
    </w:p>
    <w:p>
      <w:pPr>
        <w:pStyle w:val="null3"/>
        <w:ind w:firstLine="480"/>
      </w:pPr>
      <w:r>
        <w:rPr>
          <w:sz w:val="24"/>
        </w:rPr>
        <w:t>监管账户户名：</w:t>
      </w:r>
    </w:p>
    <w:p>
      <w:pPr>
        <w:pStyle w:val="null3"/>
        <w:ind w:firstLine="480"/>
      </w:pPr>
      <w:r>
        <w:rPr>
          <w:sz w:val="24"/>
        </w:rPr>
        <w:t>开 户 银  行：</w:t>
      </w:r>
    </w:p>
    <w:p>
      <w:pPr>
        <w:pStyle w:val="null3"/>
        <w:ind w:firstLine="480"/>
      </w:pPr>
      <w:r>
        <w:rPr>
          <w:sz w:val="24"/>
        </w:rPr>
        <w:t>账　      号：</w:t>
      </w:r>
    </w:p>
    <w:p>
      <w:pPr>
        <w:pStyle w:val="null3"/>
        <w:ind w:firstLine="480"/>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pPr>
      <w:r>
        <w:rPr>
          <w:sz w:val="24"/>
        </w:rPr>
        <w:t>第五条 货物的保修与售后服务</w:t>
      </w:r>
    </w:p>
    <w:p>
      <w:pPr>
        <w:pStyle w:val="null3"/>
        <w:ind w:firstLine="480"/>
      </w:pPr>
      <w:r>
        <w:rPr>
          <w:sz w:val="24"/>
        </w:rPr>
        <w:t>1.</w:t>
      </w:r>
      <w:r>
        <w:rPr>
          <w:sz w:val="24"/>
        </w:rPr>
        <w:t>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firstLine="480"/>
      </w:pPr>
      <w:r>
        <w:rPr>
          <w:sz w:val="24"/>
        </w:rPr>
        <w:t>2.</w:t>
      </w:r>
      <w:r>
        <w:rPr>
          <w:sz w:val="24"/>
        </w:rPr>
        <w:t>从验收合格之日起一个月内，甲方所购货物各部件发生非人为损坏，乙方应给予无条件更换。</w:t>
      </w:r>
    </w:p>
    <w:p>
      <w:pPr>
        <w:pStyle w:val="null3"/>
        <w:ind w:firstLine="480"/>
      </w:pPr>
      <w:r>
        <w:rPr>
          <w:sz w:val="24"/>
        </w:rPr>
        <w:t>3.</w:t>
      </w:r>
      <w:r>
        <w:rPr>
          <w:sz w:val="24"/>
        </w:rPr>
        <w:t>质保期内，同一硬件因质量问题一个月内累计2次出现同一故障的，乙方须无偿更换同一档次的设备或部件。质保期内因货物质量问题发生3次及以上维修的，则该设备或部件的质保期从最后一次维修的日期起重新计算。</w:t>
      </w:r>
    </w:p>
    <w:p>
      <w:pPr>
        <w:pStyle w:val="null3"/>
        <w:ind w:firstLine="480"/>
      </w:pPr>
      <w:r>
        <w:rPr>
          <w:sz w:val="24"/>
        </w:rPr>
        <w:t>4.</w:t>
      </w:r>
      <w:r>
        <w:rPr>
          <w:sz w:val="24"/>
        </w:rPr>
        <w:t>乙方指派专人负责与甲方联系售后服务事宜。乙方接到甲方报修后，电话即时响应，如电话响应无法解决的，乙方在4个小时内应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80"/>
      </w:pPr>
      <w:r>
        <w:rPr>
          <w:sz w:val="24"/>
        </w:rPr>
        <w:t>5.</w:t>
      </w:r>
      <w:r>
        <w:rPr>
          <w:sz w:val="24"/>
        </w:rPr>
        <w:t>质保期内乙方负责所有因货物质量问题而产生的费用。</w:t>
      </w:r>
    </w:p>
    <w:p>
      <w:pPr>
        <w:pStyle w:val="null3"/>
        <w:ind w:firstLine="480"/>
      </w:pPr>
      <w:r>
        <w:rPr>
          <w:sz w:val="24"/>
        </w:rPr>
        <w:t>6.</w:t>
      </w:r>
      <w:r>
        <w:rPr>
          <w:sz w:val="24"/>
        </w:rPr>
        <w:t>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80"/>
      </w:pPr>
      <w:r>
        <w:rPr>
          <w:sz w:val="24"/>
        </w:rPr>
        <w:t>7.</w:t>
      </w:r>
      <w:r>
        <w:rPr>
          <w:sz w:val="24"/>
        </w:rPr>
        <w:t>质保期内乙方售后服务部门将提供每年不低于四次（含本数）的电话回访和二次现场设备检修服务。</w:t>
      </w:r>
    </w:p>
    <w:p>
      <w:pPr>
        <w:pStyle w:val="null3"/>
        <w:ind w:firstLine="480"/>
      </w:pPr>
      <w:r>
        <w:rPr>
          <w:sz w:val="24"/>
        </w:rPr>
        <w:t>8.</w:t>
      </w:r>
      <w:r>
        <w:rPr>
          <w:sz w:val="24"/>
        </w:rPr>
        <w:t>质保期后乙方无偿提供终身技术服务，软件产品终身无偿提供升级。</w:t>
      </w:r>
    </w:p>
    <w:p>
      <w:pPr>
        <w:pStyle w:val="null3"/>
        <w:ind w:firstLine="480"/>
      </w:pPr>
      <w:r>
        <w:rPr>
          <w:sz w:val="24"/>
        </w:rPr>
        <w:t>9.</w:t>
      </w:r>
      <w:r>
        <w:rPr>
          <w:sz w:val="24"/>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80"/>
      </w:pPr>
      <w:r>
        <w:rPr>
          <w:sz w:val="24"/>
        </w:rPr>
        <w:t>10.</w:t>
      </w:r>
      <w:r>
        <w:rPr>
          <w:sz w:val="24"/>
        </w:rPr>
        <w:t>乙方未按合同约定时间和约定标准提供保修服务的，甲方有权向乙方主张合同总价的</w:t>
      </w:r>
      <w:r>
        <w:rPr>
          <w:sz w:val="24"/>
        </w:rPr>
        <w:t>10%</w:t>
      </w:r>
      <w:r>
        <w:rPr>
          <w:sz w:val="24"/>
        </w:rPr>
        <w:t>的违约金，并有权自行委托第三方提供甲方所需要的技术支持和维修服务，由此造成的包括但不限于第三方维保费用、甲方其他经济损失等均由乙方承担。</w:t>
      </w:r>
    </w:p>
    <w:p>
      <w:pPr>
        <w:pStyle w:val="null3"/>
        <w:ind w:firstLine="480"/>
      </w:pPr>
      <w:r>
        <w:rPr>
          <w:sz w:val="24"/>
        </w:rPr>
        <w:t>11</w:t>
      </w:r>
      <w:r>
        <w:rPr>
          <w:sz w:val="24"/>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r>
              <w:rPr>
                <w:sz w:val="24"/>
              </w:rPr>
              <w:t>：</w:t>
            </w:r>
          </w:p>
        </w:tc>
      </w:tr>
    </w:tbl>
    <w:p>
      <w:pPr>
        <w:pStyle w:val="null3"/>
        <w:ind w:left="420"/>
        <w:jc w:val="both"/>
      </w:pPr>
      <w:r>
        <w:rPr>
          <w:sz w:val="24"/>
        </w:rPr>
        <w:t>第六条 违约责任</w:t>
      </w:r>
    </w:p>
    <w:p>
      <w:pPr>
        <w:pStyle w:val="null3"/>
        <w:jc w:val="both"/>
      </w:pPr>
      <w:r>
        <w:rPr>
          <w:sz w:val="24"/>
        </w:rPr>
        <w:t>1.</w:t>
      </w:r>
      <w:r>
        <w:rPr>
          <w:sz w:val="24"/>
        </w:rPr>
        <w:t>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jc w:val="both"/>
      </w:pPr>
      <w:r>
        <w:rPr>
          <w:sz w:val="24"/>
        </w:rPr>
        <w:t>（1）乙方拒绝供货或逾期15日交付货物；</w:t>
      </w:r>
    </w:p>
    <w:p>
      <w:pPr>
        <w:pStyle w:val="null3"/>
        <w:ind w:firstLine="480"/>
        <w:jc w:val="both"/>
      </w:pPr>
      <w:r>
        <w:rPr>
          <w:sz w:val="24"/>
        </w:rPr>
        <w:t>（2）乙方交付的货物不符合合同规定，且甲方拒收的；</w:t>
      </w:r>
    </w:p>
    <w:p>
      <w:pPr>
        <w:pStyle w:val="null3"/>
        <w:ind w:firstLine="480"/>
        <w:jc w:val="both"/>
      </w:pPr>
      <w:r>
        <w:rPr>
          <w:sz w:val="24"/>
        </w:rPr>
        <w:t>（3）乙方交付的货物经两次及以上验收仍不合格的；</w:t>
      </w:r>
    </w:p>
    <w:p>
      <w:pPr>
        <w:pStyle w:val="null3"/>
        <w:ind w:firstLine="480"/>
        <w:jc w:val="both"/>
      </w:pPr>
      <w:r>
        <w:rPr>
          <w:sz w:val="24"/>
        </w:rPr>
        <w:t>（4）乙方交付的货物经有关部门鉴定为不合格产品的；</w:t>
      </w:r>
    </w:p>
    <w:p>
      <w:pPr>
        <w:pStyle w:val="null3"/>
        <w:ind w:firstLine="480"/>
        <w:jc w:val="both"/>
      </w:pPr>
      <w:r>
        <w:rPr>
          <w:sz w:val="24"/>
        </w:rPr>
        <w:t>（5）乙方提供的货物涉及侵犯他人知识产权、肖像权、商业经营保密的信息或其他权益纠纷的；</w:t>
      </w:r>
    </w:p>
    <w:p>
      <w:pPr>
        <w:pStyle w:val="null3"/>
        <w:ind w:firstLine="480"/>
        <w:jc w:val="both"/>
      </w:pPr>
      <w:r>
        <w:rPr>
          <w:sz w:val="24"/>
        </w:rPr>
        <w:t>（6）乙方利用本合同实施损害甲方合法权益行为的。</w:t>
      </w:r>
    </w:p>
    <w:p>
      <w:pPr>
        <w:pStyle w:val="null3"/>
        <w:ind w:firstLine="480"/>
        <w:jc w:val="both"/>
      </w:pPr>
      <w:r>
        <w:rPr>
          <w:sz w:val="24"/>
        </w:rPr>
        <w:t>（7）乙方不按合同约定履行义务，经甲方提出后，在合理期限内仍不改正的；</w:t>
      </w:r>
    </w:p>
    <w:p>
      <w:pPr>
        <w:pStyle w:val="null3"/>
        <w:ind w:left="495"/>
      </w:pPr>
      <w:r>
        <w:rPr>
          <w:sz w:val="24"/>
          <w:b/>
        </w:rPr>
        <w:t>（8）乙方所交货的货物验收不合格，或经维修、退换后仍无法正常使用的，或虽可正常使用但无法达到本合同约定的参数及要求的。</w:t>
      </w:r>
    </w:p>
    <w:p>
      <w:pPr>
        <w:pStyle w:val="null3"/>
        <w:jc w:val="both"/>
      </w:pPr>
      <w:r>
        <w:rPr>
          <w:sz w:val="24"/>
        </w:rPr>
        <w:t>2.</w:t>
      </w:r>
      <w:r>
        <w:rPr>
          <w:sz w:val="24"/>
        </w:rPr>
        <w:t>乙方超过缴纳履约保证金期限，未向甲方缴纳履约保证金的，每逾期一日，甲方有权要求乙方按履约保证金的1%偿付违约金，乙方逾期缴纳履约保证金的违约金总额不超过履约保证金数额的5%。</w:t>
      </w:r>
    </w:p>
    <w:p>
      <w:pPr>
        <w:pStyle w:val="null3"/>
        <w:jc w:val="both"/>
      </w:pPr>
      <w:r>
        <w:rPr>
          <w:sz w:val="24"/>
        </w:rPr>
        <w:t>3.</w:t>
      </w:r>
      <w:r>
        <w:rPr>
          <w:sz w:val="24"/>
        </w:rPr>
        <w:t>甲方逾期退还履约保证金的，每逾期1天，乙方有权要求甲方按履约保证金的1%偿付违约金，甲方逾期退还履约保证金的违约金总额不超过履约保证金数额的5%。</w:t>
      </w:r>
    </w:p>
    <w:p>
      <w:pPr>
        <w:pStyle w:val="null3"/>
        <w:jc w:val="both"/>
      </w:pPr>
      <w:r>
        <w:rPr>
          <w:sz w:val="24"/>
        </w:rPr>
        <w:t>4.</w:t>
      </w:r>
      <w:r>
        <w:rPr>
          <w:sz w:val="24"/>
        </w:rPr>
        <w:t>乙方逾期交付货物的，则每逾期一日甲方有权在履约保证金或合同价款中直接扣除</w:t>
      </w:r>
      <w:r>
        <w:rPr>
          <w:sz w:val="24"/>
          <w:u w:val="single"/>
        </w:rPr>
        <w:t>合同总价的0.3‰</w:t>
      </w:r>
      <w:r>
        <w:rPr>
          <w:sz w:val="24"/>
        </w:rPr>
        <w:t>作为违约金，直到交付验收合格货物时止。</w:t>
      </w:r>
    </w:p>
    <w:p>
      <w:pPr>
        <w:pStyle w:val="null3"/>
        <w:jc w:val="both"/>
      </w:pPr>
      <w:r>
        <w:rPr>
          <w:sz w:val="24"/>
        </w:rPr>
        <w:t>5.</w:t>
      </w:r>
      <w:r>
        <w:rPr>
          <w:sz w:val="24"/>
        </w:rPr>
        <w:t>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jc w:val="both"/>
      </w:pPr>
      <w:r>
        <w:rPr>
          <w:sz w:val="24"/>
        </w:rPr>
        <w:t>6.</w:t>
      </w:r>
      <w:r>
        <w:rPr>
          <w:sz w:val="24"/>
        </w:rPr>
        <w:t>如发生货物的数量、质量、品牌名称、型号规格，运输途中损坏等与合同所规定不符时，丙方要在约定索赔期限内对供货商进行索赔和向商检部门出具申请商品检验证明。索赔和商检的一切费用由乙方支付。</w:t>
      </w:r>
    </w:p>
    <w:p>
      <w:pPr>
        <w:pStyle w:val="null3"/>
        <w:jc w:val="both"/>
      </w:pPr>
      <w:r>
        <w:rPr>
          <w:sz w:val="24"/>
        </w:rPr>
        <w:t>7.</w:t>
      </w:r>
      <w:r>
        <w:rPr>
          <w:sz w:val="24"/>
        </w:rPr>
        <w:t>在执行进口合同的过程中，如发生政策变化（免税政策除外），由此所产生的一切经营风险由乙方负担。</w:t>
      </w:r>
    </w:p>
    <w:p>
      <w:pPr>
        <w:pStyle w:val="null3"/>
        <w:jc w:val="both"/>
      </w:pPr>
      <w:r>
        <w:rPr>
          <w:sz w:val="24"/>
        </w:rPr>
        <w:t>8.</w:t>
      </w:r>
      <w:r>
        <w:rPr>
          <w:sz w:val="24"/>
        </w:rPr>
        <w:t>如因口岸装卸、海关、商检查货等原因造成的一切损失，如失货、货物损坏等由乙方负责，甲方协助丙方进行索赔和追讨，一切费用由乙方支付。</w:t>
      </w:r>
    </w:p>
    <w:p>
      <w:pPr>
        <w:pStyle w:val="null3"/>
        <w:ind w:left="420"/>
        <w:jc w:val="both"/>
      </w:pPr>
      <w:r>
        <w:rPr>
          <w:sz w:val="24"/>
        </w:rPr>
        <w:t>第七条 不可抗力</w:t>
      </w:r>
    </w:p>
    <w:p>
      <w:pPr>
        <w:pStyle w:val="null3"/>
        <w:ind w:firstLine="480"/>
        <w:jc w:val="both"/>
      </w:pPr>
      <w:r>
        <w:rPr>
          <w:sz w:val="24"/>
        </w:rPr>
        <w:t>甲乙丙三方任何一方由于不可抗力原因不能履行合同时，应及时向其他两方通报不能履行或不能完全履行的理由，以减轻可能给其他两方造成的损失，在取得有关机构证明后，允许延期履行、部分履行或不履行合同，并根据情况可部分或全部免于承担违约责任。</w:t>
      </w:r>
    </w:p>
    <w:p>
      <w:pPr>
        <w:pStyle w:val="null3"/>
        <w:ind w:left="420"/>
        <w:jc w:val="both"/>
      </w:pPr>
      <w:r>
        <w:rPr>
          <w:sz w:val="24"/>
        </w:rPr>
        <w:t>第八条 解决争议的办法</w:t>
      </w:r>
    </w:p>
    <w:p>
      <w:pPr>
        <w:pStyle w:val="null3"/>
        <w:ind w:left="630"/>
        <w:jc w:val="both"/>
      </w:pPr>
      <w:r>
        <w:rPr>
          <w:sz w:val="24"/>
        </w:rPr>
        <w:t>1.</w:t>
      </w:r>
      <w:r>
        <w:rPr>
          <w:sz w:val="24"/>
        </w:rPr>
        <w:t>本合同在执行期间，如有未尽事宜，由三方另行协商解决，并可以签订补充合同或协议，补充合同或协议与本合同具有同等效力。</w:t>
      </w:r>
    </w:p>
    <w:p>
      <w:pPr>
        <w:pStyle w:val="null3"/>
        <w:ind w:firstLine="480"/>
        <w:jc w:val="both"/>
      </w:pPr>
      <w:r>
        <w:rPr>
          <w:sz w:val="24"/>
        </w:rPr>
        <w:t>2.</w:t>
      </w:r>
      <w:r>
        <w:rPr>
          <w:sz w:val="24"/>
        </w:rPr>
        <w:t>若执行本合同的过程中发生纠纷，三方当事人应当及时协商解决；协商不成时，可向甲方所在地有管辖权的人民法院提起诉讼。</w:t>
      </w:r>
    </w:p>
    <w:p>
      <w:pPr>
        <w:pStyle w:val="null3"/>
        <w:ind w:left="420"/>
        <w:jc w:val="both"/>
      </w:pPr>
      <w:r>
        <w:rPr>
          <w:sz w:val="24"/>
        </w:rPr>
        <w:t>第九条 合同生效及终止</w:t>
      </w:r>
    </w:p>
    <w:p>
      <w:pPr>
        <w:pStyle w:val="null3"/>
        <w:ind w:left="1680"/>
        <w:jc w:val="both"/>
      </w:pPr>
      <w:r>
        <w:rPr>
          <w:sz w:val="24"/>
        </w:rPr>
        <w:t>1.</w:t>
      </w:r>
      <w:r>
        <w:rPr>
          <w:sz w:val="24"/>
        </w:rPr>
        <w:t>本合同自甲乙丙三方签署之日起生效，合同履行完毕自动终止。</w:t>
      </w:r>
    </w:p>
    <w:p>
      <w:pPr>
        <w:pStyle w:val="null3"/>
        <w:ind w:left="1680"/>
        <w:jc w:val="both"/>
      </w:pPr>
      <w:r>
        <w:rPr>
          <w:sz w:val="24"/>
        </w:rPr>
        <w:t>2.</w:t>
      </w:r>
      <w:r>
        <w:rPr>
          <w:sz w:val="24"/>
        </w:rPr>
        <w:t>本合同一式捌份，均为正本，具有同等法律效力，甲方执伍份，乙方、丙方各壹份，壹份送采购招标中心归档。</w:t>
      </w:r>
    </w:p>
    <w:p>
      <w:pPr>
        <w:pStyle w:val="null3"/>
        <w:ind w:left="1680"/>
        <w:jc w:val="both"/>
      </w:pPr>
      <w:r>
        <w:rPr>
          <w:sz w:val="24"/>
        </w:rPr>
        <w:t>3.</w:t>
      </w:r>
      <w:r>
        <w:rPr>
          <w:sz w:val="24"/>
        </w:rPr>
        <w:t>本合同一式柒份，均为正本，具有同等法律效力，甲方执伍份，乙方、丙方各壹份。</w:t>
      </w:r>
    </w:p>
    <w:p>
      <w:pPr>
        <w:pStyle w:val="null3"/>
        <w:ind w:left="1680"/>
        <w:jc w:val="both"/>
      </w:pPr>
      <w:r>
        <w:rPr>
          <w:sz w:val="24"/>
        </w:rPr>
        <w:t>4.</w:t>
      </w:r>
      <w:r>
        <w:rPr>
          <w:sz w:val="24"/>
        </w:rPr>
        <w:t>本合同所有附件、招标文件（如有）、投标文件（如有）、中标通知书或成交公告（如有）均为合同的有效组成部分，与本合同具有同等法律效力。</w:t>
      </w:r>
    </w:p>
    <w:p>
      <w:pPr>
        <w:pStyle w:val="null3"/>
        <w:ind w:left="420"/>
        <w:jc w:val="both"/>
      </w:pPr>
      <w:r>
        <w:rPr>
          <w:sz w:val="24"/>
        </w:rPr>
        <w:t>第十条 监督和管理</w:t>
      </w:r>
    </w:p>
    <w:p>
      <w:pPr>
        <w:pStyle w:val="null3"/>
        <w:ind w:firstLine="480"/>
        <w:jc w:val="both"/>
      </w:pPr>
      <w:r>
        <w:rPr>
          <w:sz w:val="24"/>
          <w:u w:val="single"/>
        </w:rPr>
        <w:t>甲乙丙三方均应配合政府采购监督管理部门、政府采购中心对合同履行情况的监督检查，如实反映情况，提供有关资料。三方经协商一致需变更合同实质性条款或订立补充合同的，应先取得政府采购监督管理部门的同意，并送政府采购中心备案。</w:t>
      </w:r>
    </w:p>
    <w:p>
      <w:pPr>
        <w:pStyle w:val="null3"/>
        <w:ind w:left="420"/>
        <w:jc w:val="both"/>
      </w:pPr>
      <w:r>
        <w:rPr>
          <w:sz w:val="24"/>
        </w:rPr>
        <w:t>第十一条 其他约定条款</w:t>
      </w:r>
    </w:p>
    <w:p>
      <w:pPr>
        <w:pStyle w:val="null3"/>
        <w:ind w:firstLine="480"/>
        <w:jc w:val="both"/>
      </w:pPr>
      <w:r>
        <w:rPr>
          <w:sz w:val="24"/>
        </w:rPr>
        <w:t>1.</w:t>
      </w:r>
      <w:r>
        <w:rPr>
          <w:sz w:val="24"/>
        </w:rPr>
        <w:t>甲乙丙三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80"/>
        <w:jc w:val="both"/>
      </w:pPr>
      <w:r>
        <w:rPr>
          <w:sz w:val="24"/>
        </w:rPr>
        <w:t>2.</w:t>
      </w:r>
      <w:r>
        <w:rPr>
          <w:sz w:val="24"/>
        </w:rPr>
        <w:t>若甲方根据本合同向乙方主张权益时，甲方因此所支付或垫付的所有费用（包括但不限于诉讼费、公证费、律师费）均由乙方承担。</w:t>
      </w:r>
    </w:p>
    <w:p>
      <w:pPr>
        <w:pStyle w:val="null3"/>
        <w:ind w:firstLine="480"/>
        <w:jc w:val="both"/>
      </w:pPr>
      <w:r>
        <w:rPr>
          <w:sz w:val="24"/>
        </w:rPr>
        <w:t>3.</w:t>
      </w:r>
      <w:r>
        <w:rPr>
          <w:sz w:val="24"/>
        </w:rPr>
        <w:t>本合同经甲乙丙三方充分协商确定，在对合同条款出现不一致理解时，应当以履行合同的目的作出合理解释，不能作出有利于任何一方的解释。</w:t>
      </w:r>
    </w:p>
    <w:tbl>
      <w:tblPr>
        <w:tblW w:w="0" w:type="auto"/>
        <w:tblBorders>
          <w:top w:val="none" w:color="000000" w:sz="4"/>
          <w:left w:val="none" w:color="000000" w:sz="4"/>
          <w:bottom w:val="none" w:color="000000" w:sz="4"/>
          <w:right w:val="none" w:color="000000" w:sz="4"/>
          <w:insideH w:val="none"/>
          <w:insideV w:val="none"/>
        </w:tblBorders>
      </w:tblPr>
      <w:tblGrid>
        <w:gridCol w:w="2711"/>
        <w:gridCol w:w="2711"/>
        <w:gridCol w:w="2880"/>
      </w:tblGrid>
      <w:tr>
        <w:tc>
          <w:tcPr>
            <w:tcW w:type="dxa" w:w="2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甲方：五邑大学</w:t>
            </w:r>
          </w:p>
        </w:tc>
        <w:tc>
          <w:tcPr>
            <w:tcW w:type="dxa" w:w="2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p>
        </w:tc>
        <w:tc>
          <w:tcPr>
            <w:tcW w:type="dxa" w:w="2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丙方：</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法定代表人（或授权人）：</w:t>
            </w:r>
          </w:p>
          <w:p>
            <w:pPr>
              <w:pStyle w:val="null3"/>
              <w:jc w:val="both"/>
            </w:pP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法定代表人（或授权人）：</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法定代表人（或授权人）：</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地址：广东省江门市蓬江区东成村22号</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开户银行：中国工商银行股份有限公司江门蓬江支行</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账号：2012006509024900818</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电话：0750-3296175</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r>
      <w:tr>
        <w:tc>
          <w:tcPr>
            <w:tcW w:type="dxa" w:w="2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E-mail</w:t>
            </w:r>
            <w:r>
              <w:rPr>
                <w:sz w:val="24"/>
              </w:rPr>
              <w:t>：sbc@wyu.edu.cn</w:t>
            </w:r>
          </w:p>
        </w:tc>
        <w:tc>
          <w:tcPr>
            <w:tcW w:type="dxa" w:w="2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E-mail</w:t>
            </w:r>
            <w:r>
              <w:rPr>
                <w:sz w:val="24"/>
              </w:rPr>
              <w:t>：</w:t>
            </w:r>
          </w:p>
        </w:tc>
        <w:tc>
          <w:tcPr>
            <w:tcW w:type="dxa" w:w="2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E-mail</w:t>
            </w:r>
            <w:r>
              <w:rPr>
                <w:sz w:val="24"/>
              </w:rPr>
              <w:t>：</w:t>
            </w:r>
          </w:p>
        </w:tc>
      </w:tr>
      <w:tr>
        <w:tc>
          <w:tcPr>
            <w:tcW w:type="dxa" w:w="83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签订日期：    年    月     日</w:t>
            </w:r>
          </w:p>
        </w:tc>
      </w:tr>
    </w:tbl>
    <w:p>
      <w:pPr>
        <w:pStyle w:val="null3"/>
        <w:jc w:val="both"/>
      </w:pPr>
      <w:r>
        <w:rPr>
          <w:sz w:val="24"/>
          <w:b/>
        </w:rPr>
        <w:t>附件1：货物清单</w:t>
      </w:r>
    </w:p>
    <w:p>
      <w:pPr>
        <w:pStyle w:val="null3"/>
        <w:ind w:left="495" w:firstLine="482"/>
        <w:jc w:val="right"/>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619"/>
        <w:gridCol w:w="1060"/>
        <w:gridCol w:w="619"/>
        <w:gridCol w:w="1060"/>
        <w:gridCol w:w="619"/>
        <w:gridCol w:w="1237"/>
        <w:gridCol w:w="619"/>
        <w:gridCol w:w="619"/>
        <w:gridCol w:w="619"/>
        <w:gridCol w:w="619"/>
        <w:gridCol w:w="619"/>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规格型号</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备注</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技术服务费</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已包含</w:t>
            </w: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安装调试费</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已包含</w:t>
            </w: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培训费</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已包含</w:t>
            </w: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运输费</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已包含</w:t>
            </w: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保险费</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已包含</w:t>
            </w:r>
          </w:p>
        </w:tc>
      </w:tr>
      <w:tr>
        <w:tc>
          <w:tcPr>
            <w:tcW w:type="dxa" w:w="167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其他费用</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无</w:t>
            </w:r>
          </w:p>
        </w:tc>
      </w:tr>
      <w:tr>
        <w:tc>
          <w:tcPr>
            <w:tcW w:type="dxa" w:w="167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       元</w:t>
            </w:r>
          </w:p>
        </w:tc>
      </w:tr>
      <w:tr>
        <w:tc>
          <w:tcPr>
            <w:tcW w:type="dxa" w:w="1679"/>
            <w:gridSpan w:val="2"/>
            <w:vMerge/>
            <w:tcBorders>
              <w:top w:val="none" w:color="000000" w:sz="4"/>
              <w:left w:val="single" w:color="000000" w:sz="4"/>
              <w:bottom w:val="single" w:color="000000" w:sz="4"/>
              <w:right w:val="single" w:color="000000" w:sz="4"/>
            </w:tcBorders>
          </w:tcPr>
          <w:p/>
        </w:tc>
        <w:tc>
          <w:tcPr>
            <w:tcW w:type="dxa" w:w="6630"/>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 xml:space="preserve">大写：       </w:t>
            </w:r>
          </w:p>
        </w:tc>
      </w:tr>
    </w:tbl>
    <w:p>
      <w:pPr>
        <w:pStyle w:val="null3"/>
        <w:jc w:val="both"/>
      </w:pPr>
      <w:r>
        <w:rPr>
          <w:sz w:val="24"/>
          <w:b/>
        </w:rPr>
        <w:t>注意：货物价格如无特殊说明则默认为免税价</w:t>
      </w:r>
    </w:p>
    <w:p>
      <w:pPr>
        <w:pStyle w:val="null3"/>
        <w:ind w:firstLine="482"/>
        <w:jc w:val="both"/>
      </w:pPr>
      <w:r>
        <w:rPr>
          <w:sz w:val="24"/>
          <w:b/>
        </w:rPr>
        <w:t>《货物清单》乙方如实申报货物名称，品牌、型号、规格、产地、数量、单位、须与实物一致如有错漏或误写，将导致货物无法进关或无法申报免税手续，无法验收，等一切后果乙方自行承担。</w:t>
      </w:r>
    </w:p>
    <w:p>
      <w:pPr>
        <w:pStyle w:val="null3"/>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017"/>
        <w:gridCol w:w="1780"/>
        <w:gridCol w:w="1017"/>
        <w:gridCol w:w="1780"/>
        <w:gridCol w:w="2712"/>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规格型号</w:t>
            </w:r>
          </w:p>
        </w:tc>
        <w:tc>
          <w:tcPr>
            <w:tcW w:type="dxa" w:w="27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配置/技术参数</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71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4"/>
          <w:b/>
        </w:rPr>
        <w:t>附件3：配置清单</w:t>
      </w:r>
    </w:p>
    <w:p>
      <w:pPr>
        <w:pStyle w:val="null3"/>
        <w:ind w:firstLine="482"/>
        <w:jc w:val="both"/>
      </w:pPr>
      <w:r>
        <w:rPr>
          <w:sz w:val="24"/>
          <w:b/>
        </w:rPr>
        <w:t>《配置清单》中乙方须对其对合同产品（含配置）的名称、生产厂家、产地、品牌、型号等信息予以核实，必须与实际供货产品机身铭牌上所标识的完全一致，如有错漏或误写，否则将导致货物无法进关或无法申报免税手续，无法验收，由此导致的包括合同违约等一切后果将由乙方承担。</w:t>
      </w:r>
    </w:p>
    <w:p>
      <w:pPr>
        <w:pStyle w:val="null3"/>
        <w:ind w:left="495" w:firstLine="482"/>
      </w:pPr>
      <w:r>
        <w:rPr>
          <w:sz w:val="24"/>
          <w:b/>
        </w:rPr>
        <w:t>附件4：保修服务表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4"/>
        <w:gridCol w:w="1417"/>
        <w:gridCol w:w="1059"/>
        <w:gridCol w:w="1596"/>
        <w:gridCol w:w="2326"/>
        <w:gridCol w:w="895"/>
      </w:tblGrid>
      <w:tr>
        <w:tc>
          <w:tcPr>
            <w:tcW w:type="dxa" w:w="101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序号</w:t>
            </w:r>
          </w:p>
        </w:tc>
        <w:tc>
          <w:tcPr>
            <w:tcW w:type="dxa" w:w="141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sz w:val="24"/>
                <w:b/>
              </w:rPr>
              <w:t>货物及</w:t>
            </w:r>
          </w:p>
          <w:p>
            <w:pPr>
              <w:pStyle w:val="null3"/>
              <w:jc w:val="both"/>
            </w:pPr>
            <w:r>
              <w:rPr>
                <w:sz w:val="24"/>
                <w:b/>
              </w:rPr>
              <w:t>配件名称</w:t>
            </w:r>
          </w:p>
        </w:tc>
        <w:tc>
          <w:tcPr>
            <w:tcW w:type="dxa" w:w="105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sz w:val="24"/>
                <w:b/>
              </w:rPr>
              <w:t>质保期</w:t>
            </w:r>
          </w:p>
        </w:tc>
        <w:tc>
          <w:tcPr>
            <w:tcW w:type="dxa" w:w="159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sz w:val="24"/>
                <w:b/>
              </w:rPr>
              <w:t>保修响应时间</w:t>
            </w:r>
          </w:p>
        </w:tc>
        <w:tc>
          <w:tcPr>
            <w:tcW w:type="dxa" w:w="232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sz w:val="24"/>
                <w:b/>
              </w:rPr>
              <w:t>售后服务网点及电话</w:t>
            </w:r>
          </w:p>
        </w:tc>
        <w:tc>
          <w:tcPr>
            <w:tcW w:type="dxa" w:w="89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备注</w:t>
            </w: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1</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2</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sz w:val="24"/>
          <w:b/>
        </w:rPr>
        <w:t>附件5：培训计划</w:t>
      </w:r>
    </w:p>
    <w:p>
      <w:pPr>
        <w:pStyle w:val="null3"/>
        <w:ind w:firstLine="482"/>
        <w:jc w:val="both"/>
      </w:pPr>
      <w:r>
        <w:rPr>
          <w:sz w:val="24"/>
          <w:b/>
        </w:rPr>
        <w:t>培训结束后，由甲乙双方技术人员进行验收</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440701-2025-01614</w:t>
      </w:r>
    </w:p>
    <w:p>
      <w:pPr>
        <w:pStyle w:val="null3"/>
        <w:jc w:val="center"/>
        <w:outlineLvl w:val="3"/>
      </w:pPr>
      <w:r>
        <w:rPr>
          <w:sz w:val="24"/>
          <w:b/>
        </w:rPr>
        <w:t>采购项目编号：</w:t>
      </w:r>
      <w:r>
        <w:rPr>
          <w:sz w:val="24"/>
          <w:b/>
        </w:rPr>
        <w:t>WYUZB2025-058HW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凝胶液相检测器系统采购项目、纳流液相色谱仪采购项目</w:t>
      </w:r>
      <w:r>
        <w:rPr>
          <w:u w:val="single"/>
        </w:rPr>
        <w:t>”</w:t>
      </w:r>
      <w:r>
        <w:rPr/>
        <w:t>项目的招标[采购项目编号为：</w:t>
      </w:r>
      <w:r>
        <w:rPr>
          <w:u w:val="single"/>
        </w:rPr>
        <w:t>WYUZB2025-058HW</w:t>
      </w:r>
      <w:r>
        <w:rPr/>
        <w:t>]，我方愿参与投标。</w:t>
      </w:r>
    </w:p>
    <w:p>
      <w:pPr>
        <w:pStyle w:val="null3"/>
        <w:ind w:firstLine="480"/>
      </w:pPr>
      <w:r>
        <w:rPr/>
        <w:t>我方确认收到贵方提供的</w:t>
      </w:r>
      <w:r>
        <w:rPr>
          <w:u w:val="single"/>
        </w:rPr>
        <w:t>“</w:t>
      </w:r>
      <w:r>
        <w:rPr>
          <w:u w:val="single"/>
        </w:rPr>
        <w:t>凝胶液相检测器系统采购项目、纳流液相色谱仪采购项目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凝胶液相检测器系统采购项目、纳流液相色谱仪采购项目</w:t>
      </w:r>
      <w:r>
        <w:rPr/>
        <w:t>”项目采购[采购项目编号为</w:t>
      </w:r>
      <w:r>
        <w:rPr/>
        <w:t>WYUZB2025-058HW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凝胶液相检测器系统采购项目、纳流液相色谱仪采购项目</w:t>
      </w:r>
      <w:r>
        <w:rPr/>
        <w:t>招标中获中标（采购项目编号：</w:t>
      </w:r>
      <w:r>
        <w:rPr/>
        <w:t>WYUZB2025-058HW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凝胶液相检测器系统采购项目、纳流液相色谱仪采购项目</w:t>
      </w:r>
      <w:r>
        <w:rPr/>
        <w:t>”项目（采购项目编号：</w:t>
      </w:r>
      <w:r>
        <w:rPr/>
        <w:t>WYUZB2025-058HW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