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440001-2025-25400</w:t>
      </w:r>
    </w:p>
    <w:p>
      <w:pPr>
        <w:pStyle w:val="null3"/>
        <w:jc w:val="center"/>
        <w:outlineLvl w:val="3"/>
      </w:pPr>
      <w:r>
        <w:rPr>
          <w:sz w:val="24"/>
          <w:b/>
        </w:rPr>
        <w:t>采购项目编号：</w:t>
      </w:r>
      <w:r>
        <w:rPr>
          <w:sz w:val="24"/>
          <w:b/>
        </w:rPr>
        <w:t>ZZ0250350</w:t>
      </w:r>
    </w:p>
    <w:p>
      <w:pPr>
        <w:pStyle w:val="null3"/>
        <w:jc w:val="center"/>
        <w:outlineLvl w:val="3"/>
      </w:pPr>
      <w:r>
        <w:rPr>
          <w:sz w:val="24"/>
          <w:b/>
        </w:rPr>
        <w:t>项目名称：</w:t>
      </w:r>
      <w:r>
        <w:rPr>
          <w:sz w:val="24"/>
          <w:b/>
        </w:rPr>
        <w:t>汕头大学·香港中文大学联合汕头国际眼科中心激光共聚焦显微镜采购项目</w:t>
      </w:r>
    </w:p>
    <w:p>
      <w:pPr>
        <w:pStyle w:val="null3"/>
        <w:jc w:val="center"/>
        <w:outlineLvl w:val="3"/>
      </w:pPr>
      <w:r>
        <w:rPr>
          <w:sz w:val="24"/>
          <w:b/>
        </w:rPr>
        <w:t>采购人：</w:t>
      </w:r>
      <w:r>
        <w:rPr>
          <w:sz w:val="24"/>
          <w:b/>
        </w:rPr>
        <w:t>汕头大学·香港中文大学联合汕头国际眼科中心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汕头大学·香港中文大学联合汕头国际眼科中心</w:t>
      </w:r>
      <w:r>
        <w:rPr/>
        <w:t>的委托，采用</w:t>
      </w:r>
      <w:r>
        <w:rPr/>
        <w:t>公开招标</w:t>
      </w:r>
      <w:r>
        <w:rPr/>
        <w:t>方式组织采购</w:t>
      </w:r>
      <w:r>
        <w:rPr/>
        <w:t>汕头大学·香港中文大学联合汕头国际眼科中心激光共聚焦显微镜采购项目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汕头大学·香港中文大学联合汕头国际眼科中心激光共聚焦显微镜采购项目</w:t>
      </w:r>
    </w:p>
    <w:p>
      <w:pPr>
        <w:pStyle w:val="null3"/>
        <w:ind w:firstLine="480"/>
      </w:pPr>
      <w:r>
        <w:rPr/>
        <w:t>采购计划编号：</w:t>
      </w:r>
      <w:r>
        <w:rPr/>
        <w:t>440001-2025-25400</w:t>
      </w:r>
    </w:p>
    <w:p>
      <w:pPr>
        <w:pStyle w:val="null3"/>
        <w:ind w:firstLine="480"/>
      </w:pPr>
      <w:r>
        <w:rPr/>
        <w:t>采购项目编号：</w:t>
      </w:r>
      <w:r>
        <w:rPr/>
        <w:t>ZZ0250350</w:t>
      </w:r>
    </w:p>
    <w:p>
      <w:pPr>
        <w:pStyle w:val="null3"/>
        <w:ind w:firstLine="480"/>
      </w:pPr>
      <w:r>
        <w:rPr/>
        <w:t>采购方式：</w:t>
      </w:r>
      <w:r>
        <w:rPr/>
        <w:t>公开招标</w:t>
      </w:r>
    </w:p>
    <w:p>
      <w:pPr>
        <w:pStyle w:val="null3"/>
        <w:ind w:firstLine="480"/>
      </w:pPr>
      <w:r>
        <w:rPr/>
        <w:t>预算金额：</w:t>
      </w:r>
      <w:r>
        <w:rPr/>
        <w:t>1,261,000.00</w:t>
      </w:r>
      <w:r>
        <w:rPr/>
        <w:t>元</w:t>
      </w:r>
    </w:p>
    <w:p>
      <w:pPr>
        <w:pStyle w:val="null3"/>
        <w:outlineLvl w:val="3"/>
      </w:pPr>
      <w:r>
        <w:rPr>
          <w:sz w:val="24"/>
          <w:b/>
        </w:rPr>
        <w:t>2.项目内容及需求情况（采购项目技术规格、参数及要求）</w:t>
      </w:r>
    </w:p>
    <w:p>
      <w:pPr>
        <w:pStyle w:val="null3"/>
      </w:pPr>
      <w:r>
        <w:rPr/>
        <w:t>采购包1(汕头大学·香港中文大学联合汕头国际眼科中心激光共聚焦显微镜采购项目):</w:t>
      </w:r>
    </w:p>
    <w:p>
      <w:pPr>
        <w:pStyle w:val="null3"/>
      </w:pPr>
      <w:r>
        <w:rPr/>
        <w:t>采购包预算金额：1,261,000.00元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显微镜</w:t>
            </w:r>
          </w:p>
        </w:tc>
        <w:tc>
          <w:tcPr>
            <w:tcW w:type="dxa" w:w="2136"/>
          </w:tcPr>
          <w:p>
            <w:pPr>
              <w:pStyle w:val="null3"/>
            </w:pPr>
            <w:r>
              <w:rPr/>
              <w:t>激光共聚焦显微镜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合同履行期限：签订合同后三个月内。如遇采购人场地条件不满足，中标人配合采购人待场地条件满足后安排发货（中标人在接到采购人通知后1个月内完成项目交货工作）。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采购包1（汕头大学·香港中文大学联合汕头国际眼科中心激光共聚焦显微镜采购项目）：</w:t>
      </w: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采购包1（汕头大学·香港中文大学联合汕头国际眼科中心激光共聚焦显微镜采购项目）：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汕头大学·香港中文大学联合汕头国际眼科中心</w:t>
      </w:r>
    </w:p>
    <w:p>
      <w:pPr>
        <w:pStyle w:val="null3"/>
        <w:ind w:firstLine="480"/>
      </w:pPr>
      <w:r>
        <w:rPr/>
        <w:t xml:space="preserve"> 地址：</w:t>
      </w:r>
      <w:r>
        <w:rPr/>
        <w:t>广东省汕头市金平区东厦北路广厦新城</w:t>
      </w:r>
    </w:p>
    <w:p>
      <w:pPr>
        <w:pStyle w:val="null3"/>
        <w:ind w:firstLine="480"/>
      </w:pPr>
      <w:r>
        <w:rPr/>
        <w:t xml:space="preserve"> 联系方式：</w:t>
      </w:r>
      <w:r>
        <w:rPr/>
        <w:t>陈老师 0754-88393500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、本项目核心产品为：激光共聚焦显微镜。</w:t>
      </w:r>
    </w:p>
    <w:p>
      <w:pPr>
        <w:pStyle w:val="null3"/>
        <w:jc w:val="both"/>
      </w:pP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w:t>
      </w:r>
      <w:r>
        <w:rPr>
          <w:sz w:val="21"/>
          <w:b/>
        </w:rPr>
        <w:t>本项目对应的中小企业划分标准所属行业为</w:t>
      </w:r>
      <w:r>
        <w:rPr>
          <w:sz w:val="21"/>
          <w:b/>
        </w:rPr>
        <w:t>：工业。</w:t>
      </w:r>
    </w:p>
    <w:p>
      <w:pPr>
        <w:pStyle w:val="null3"/>
        <w:jc w:val="both"/>
      </w:pPr>
      <w:r>
        <w:rPr/>
        <w:t xml:space="preserve"> </w:t>
      </w:r>
    </w:p>
    <w:p>
      <w:pPr>
        <w:pStyle w:val="null3"/>
        <w:jc w:val="both"/>
      </w:pPr>
      <w:r>
        <w:rPr>
          <w:sz w:val="21"/>
          <w:b/>
        </w:rPr>
        <w:t>二</w:t>
      </w:r>
      <w:r>
        <w:rPr>
          <w:sz w:val="21"/>
          <w:b/>
        </w:rPr>
        <w:t>、其他</w:t>
      </w:r>
      <w:r>
        <w:rPr>
          <w:sz w:val="21"/>
          <w:b/>
        </w:rPr>
        <w:t>要求</w:t>
      </w:r>
    </w:p>
    <w:p>
      <w:pPr>
        <w:pStyle w:val="null3"/>
        <w:jc w:val="both"/>
      </w:pPr>
      <w:r>
        <w:rPr>
          <w:sz w:val="21"/>
          <w:b/>
        </w:rPr>
        <w:t>★（一）串通投标的处置</w:t>
      </w:r>
    </w:p>
    <w:p>
      <w:pPr>
        <w:pStyle w:val="null3"/>
        <w:ind w:firstLine="420"/>
        <w:jc w:val="both"/>
      </w:pPr>
      <w:r>
        <w:rPr>
          <w:sz w:val="21"/>
        </w:rPr>
        <w:t>投标人存在政府采购相关法律法规规定的属于投标人相互串通投标情形的，投标无效。</w:t>
      </w:r>
    </w:p>
    <w:p>
      <w:pPr>
        <w:pStyle w:val="null3"/>
        <w:ind w:firstLine="420"/>
        <w:jc w:val="both"/>
      </w:pPr>
      <w:r>
        <w:rPr>
          <w:sz w:val="21"/>
        </w:rPr>
        <w:t>投标人串通投标中标的，其行为是在签订合同生效之前被认定的，则中标无效；招标人可以重新开展招标采购活动，也可以按照评标报告推荐的中标候选人名单排序，确定下一候选人为中标供应商。</w:t>
      </w:r>
    </w:p>
    <w:p>
      <w:pPr>
        <w:pStyle w:val="null3"/>
        <w:ind w:firstLine="420"/>
        <w:jc w:val="both"/>
      </w:pPr>
      <w:r>
        <w:rPr>
          <w:sz w:val="21"/>
        </w:rPr>
        <w:t>投标人串通投标中标的，其行为是在签订合同生效之后被证实的，则认定为投标人的违约行为，按合同约定承担违约责任，招标人有权终止合同。</w:t>
      </w:r>
    </w:p>
    <w:p>
      <w:pPr>
        <w:pStyle w:val="null3"/>
        <w:ind w:firstLine="420"/>
        <w:jc w:val="both"/>
      </w:pPr>
      <w:r>
        <w:rPr>
          <w:sz w:val="21"/>
        </w:rPr>
        <w:t>上述串通投标行为，构成犯罪的，依法追究刑事责任；尚不构成犯罪的，依据相关法律规定处罚，给招标人造成损失的应承担赔偿责任。</w:t>
      </w:r>
    </w:p>
    <w:p>
      <w:pPr>
        <w:pStyle w:val="null3"/>
        <w:jc w:val="both"/>
      </w:pPr>
      <w:r>
        <w:rPr>
          <w:sz w:val="21"/>
          <w:b/>
        </w:rPr>
        <w:t>★（二）不参与串通投标承诺</w:t>
      </w:r>
    </w:p>
    <w:p>
      <w:pPr>
        <w:pStyle w:val="null3"/>
        <w:ind w:firstLine="420"/>
        <w:jc w:val="both"/>
      </w:pPr>
      <w:r>
        <w:rPr>
          <w:sz w:val="21"/>
        </w:rPr>
        <w:t>投标人须承诺在本项目招投标活动中，不参与各种情形的串通投标等违法违规行为。（提供加盖投标人单位公章的承诺函，格式见招标文件《不参与串通投标承诺书》（附件</w:t>
      </w:r>
      <w:r>
        <w:rPr>
          <w:sz w:val="21"/>
        </w:rPr>
        <w:t>1））</w:t>
      </w:r>
    </w:p>
    <w:p>
      <w:pPr>
        <w:pStyle w:val="null3"/>
        <w:jc w:val="both"/>
      </w:pPr>
      <w:r>
        <w:rPr>
          <w:sz w:val="21"/>
        </w:rPr>
        <w:t>附件</w:t>
      </w:r>
      <w:r>
        <w:rPr>
          <w:sz w:val="21"/>
        </w:rPr>
        <w:t>1：不参与串通投标承诺书</w:t>
      </w:r>
    </w:p>
    <w:p>
      <w:pPr>
        <w:pStyle w:val="null3"/>
        <w:jc w:val="center"/>
      </w:pPr>
      <w:r>
        <w:rPr>
          <w:sz w:val="21"/>
          <w:b/>
        </w:rPr>
        <w:t>不参与串通投标承诺书</w:t>
      </w:r>
    </w:p>
    <w:p>
      <w:pPr>
        <w:pStyle w:val="null3"/>
        <w:jc w:val="both"/>
      </w:pPr>
      <w:r>
        <w:rPr>
          <w:sz w:val="21"/>
        </w:rPr>
        <w:t>汕头大学</w:t>
      </w:r>
      <w:r>
        <w:rPr>
          <w:sz w:val="21"/>
        </w:rPr>
        <w:t>·香港中文大学联合汕头国际眼科中心：</w:t>
      </w:r>
    </w:p>
    <w:p>
      <w:pPr>
        <w:pStyle w:val="null3"/>
        <w:jc w:val="both"/>
      </w:pPr>
      <w:r>
        <w:rPr>
          <w:sz w:val="21"/>
        </w:rPr>
        <w:t>我单位（单位名称）清楚知晓参与（项目名称）投标活动，并对以下事项作出承诺：</w:t>
      </w:r>
    </w:p>
    <w:p>
      <w:pPr>
        <w:pStyle w:val="null3"/>
        <w:ind w:firstLine="420"/>
        <w:jc w:val="both"/>
      </w:pPr>
      <w:r>
        <w:rPr>
          <w:sz w:val="21"/>
        </w:rPr>
        <w:t>一、我单位遵守国家政府采购相关法律法规，依法依规参与本项目投标。</w:t>
      </w:r>
    </w:p>
    <w:p>
      <w:pPr>
        <w:pStyle w:val="null3"/>
        <w:ind w:firstLine="420"/>
        <w:jc w:val="both"/>
      </w:pPr>
      <w:r>
        <w:rPr>
          <w:sz w:val="21"/>
        </w:rPr>
        <w:t>二、我单位在本项目招投标活动中，未参与串通投标。</w:t>
      </w:r>
    </w:p>
    <w:p>
      <w:pPr>
        <w:pStyle w:val="null3"/>
        <w:ind w:firstLine="420"/>
        <w:jc w:val="both"/>
      </w:pPr>
      <w:r>
        <w:rPr>
          <w:sz w:val="21"/>
        </w:rPr>
        <w:t>三、与我单位具有关联关系的单位未参与此次竞标。</w:t>
      </w:r>
    </w:p>
    <w:p>
      <w:pPr>
        <w:pStyle w:val="null3"/>
        <w:ind w:firstLine="420"/>
        <w:jc w:val="both"/>
      </w:pPr>
      <w:r>
        <w:rPr>
          <w:sz w:val="21"/>
        </w:rPr>
        <w:t>四、我单位如被查实在本项目中存在围标、串标、关联单位应标的、递交投标文件行为作为实施串通投标违法行为的关键环节，我单位法定代表人承担直接责任人员法律责任，接受相应处罚和失信惩戒，并无条件接受汕头大学</w:t>
      </w:r>
      <w:r>
        <w:rPr>
          <w:sz w:val="21"/>
        </w:rPr>
        <w:t>·香港中文大学联合汕头国际眼科中心给予的相应处罚（包括但不限于通报批评、记录不良行为、违约罚款、单方无责解除合同、不予退还投标保证金或履约保证金、停止参与汕头大学·香港中文大学联合汕头国际眼科中心所有项目的采购活动等）。</w:t>
      </w:r>
    </w:p>
    <w:p>
      <w:pPr>
        <w:pStyle w:val="null3"/>
        <w:jc w:val="right"/>
      </w:pPr>
      <w:r>
        <w:rPr>
          <w:sz w:val="21"/>
        </w:rPr>
        <w:t>承诺单位（盖章）：</w:t>
      </w:r>
    </w:p>
    <w:p>
      <w:pPr>
        <w:pStyle w:val="null3"/>
        <w:jc w:val="right"/>
      </w:pPr>
      <w:r>
        <w:rPr>
          <w:sz w:val="21"/>
        </w:rPr>
        <w:t>年</w:t>
      </w:r>
      <w:r>
        <w:rPr>
          <w:sz w:val="21"/>
        </w:rPr>
        <w:t xml:space="preserve">  </w:t>
      </w:r>
      <w:r>
        <w:rPr>
          <w:sz w:val="21"/>
        </w:rPr>
        <w:t>月</w:t>
      </w:r>
      <w:r>
        <w:rPr>
          <w:sz w:val="21"/>
        </w:rPr>
        <w:t xml:space="preserve">  </w:t>
      </w:r>
      <w:r>
        <w:rPr>
          <w:sz w:val="21"/>
        </w:rPr>
        <w:t>日</w:t>
      </w:r>
    </w:p>
    <w:p>
      <w:pPr>
        <w:pStyle w:val="null3"/>
      </w:pPr>
      <w:r>
        <w:rPr/>
        <w:t>采购包1（汕头大学·香港中文大学联合汕头国际眼科中心激光共聚焦显微镜采购项目）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签订合同后三个月内。如遇采购人场地条件不满足，中标人配合采购人待场地条件满足后安排发货（中标人在接到采购人通知后1个月内完成项目交货工作）。</w:t>
            </w:r>
          </w:p>
        </w:tc>
      </w:tr>
      <w:tr>
        <w:tc>
          <w:tcPr>
            <w:tcW w:type="dxa" w:w="4153"/>
          </w:tcPr>
          <w:p>
            <w:pPr>
              <w:pStyle w:val="null3"/>
            </w:pPr>
            <w:r>
              <w:rPr/>
              <w:t>标的提供的地点</w:t>
            </w:r>
          </w:p>
        </w:tc>
        <w:tc>
          <w:tcPr>
            <w:tcW w:type="dxa" w:w="4153"/>
          </w:tcPr>
          <w:p>
            <w:pPr>
              <w:pStyle w:val="null3"/>
            </w:pPr>
            <w:r>
              <w:rPr/>
              <w:t>汕头大学•香港中文大学联合汕头国际眼科中心指定房间。</w:t>
            </w:r>
          </w:p>
        </w:tc>
      </w:tr>
      <w:tr/>
      <w:tr/>
      <w:tr>
        <w:tc>
          <w:tcPr>
            <w:tcW w:type="dxa" w:w="4153"/>
          </w:tcPr>
          <w:p>
            <w:pPr>
              <w:pStyle w:val="null3"/>
            </w:pPr>
            <w:r>
              <w:rPr/>
              <w:t>付款方式</w:t>
            </w:r>
          </w:p>
        </w:tc>
        <w:tc>
          <w:tcPr>
            <w:tcW w:type="dxa" w:w="4153"/>
          </w:tcPr>
          <w:p>
            <w:pPr>
              <w:pStyle w:val="null3"/>
            </w:pPr>
            <w:r>
              <w:rPr/>
              <w:t>第1期为(预付款)：支付比例30%，采购人在合同签订后5个工作日内向中标人预付合同款的30%。</w:t>
            </w:r>
          </w:p>
          <w:p>
            <w:pPr>
              <w:pStyle w:val="null3"/>
            </w:pPr>
            <w:r>
              <w:rPr/>
              <w:t>第2期为(尾款)：支付比例70%，合同设备全部按采购人指定地点交付并完成安装及验收后，中标人开具增值税普通发票。采购人在收到发票十个工作日内向中标人支付合同款的70%。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1期：设备的验收： 1.验收应在采购人、中标人双方共同参加下进行。 2.验收按国家有关的规定、规范进行。验收时如发现所交付的设备有短装、次品、损坏或其它不符合本合同规定之情形者，采购人应做出详尽的现场记录，或由采购人、中标人双方签署备忘录。此现场记录或备忘录可用作补充、缺失和更换损坏部件的有效证据。由此产生的有关费用由中标人承担。 3.如果合同设备运输和安装调试过程中因事故造成货物短缺、损坏，中标人应及时安排换装，以保证合同设备安装调试的成功完成。换货的相关费用由中标人承担。 4.国内产品或合资厂的产品必须具备出厂合格证。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一、供货要求 中标人所提供产品，必须符合国家有关规范和环保要求及采购人的技术要求，并提供货物的出厂测试报告及合格证。 二、安装、调试要求 1.合同设备的包装：设备的包装均应有良好的防湿、防锈、防潮、防雨、防腐及防碰撞的措施。凡由于包装不良造成的损失和由此产生的费用均由中标人承担。 2.合同设备的安装调试： 2.1中标人负责合同项下的安装调试，一切费用由中标人负责。 2.2中标人安装时须对各安装场地内的其它设备、设施有良好保护措施。若因中标人违反此条约定给采购人造成的全部损失，中标人应予以赔偿。 2.3中标人安装调试时需负责设备或系统无条件接入医院医学影像存档与通讯系统，及无条件完成与采购人LIS系统的对接。 3.中标人保证合同项下提供的设备不侵犯任何第三方的专利、商标或版权。否则，中标人须承担对第三方的专利或版权的侵权责任并承担因此而发生的所有费用。 4.完成设备与医院医学影像存档与通讯系统的正常联系，及与采购人信息系统的正常对接。 5.计算机兼容格式图像（JPEG、PNG）、病例文本信息(TXT)；无条件开放DICOM接口授权，并提供对接医院PACS及RIS的DICOM连接文档。 6.中标人应将设备用户手册、保修手册，有关资料等交给采购人。 三、保修期及售后服务要求 1.中标人应保证所提供的产品为全新的、技术先进的、质量高的、并满足设计参数要求，软件版本为最新版本并提供无条件的升级更新服务。在正常工作条件下不会出现因设计、选材、制造失误所造成的设备缺陷。在正常的工作条件下，自设备发运至采购人后14个月内或自设备考核验收后12个月内（两者以先到为准），出现了因中标人设计、选材、制造失误造成的设备缺陷，中标人将在接到用户的通知后无条件对缺陷部分进行维修或更换。用户的不正确装卸、存储、维护、安装、操作等造成的设备故障不包括在上述保证范围内。 2.中标人应对其产品提供及时、可靠的售后服务。质保期为不少于三年无条件保修及终生保养。（费用包含在投标报价中） 3.服务响应时间与服务内容（包括无条件保修期及终生保养期）：保修期内的维修，中标人在接到用户维修通知，中标人人员应48小时内到达现场处理，如设备在检修48小时后故障仍无法排除，中标人将在五个工作日内更换零配件，修复故障设备，设备的检修期将以双倍计算延长保修期。保修期内的保养，中标人每季度进行一次设备的全面保养维护（一般安排于每季度最后一个月），并形成保养维护记录报告。 4.中标人保证保修期满后本合同项下设备年维保（全保）费用不超过合同采购价5%。如不购年保，维修保养人工费标准与计价方式：无条件系统维护保养及调试（每年一次）。需要更换零配件时，只收取相应的配件费，免收维修费、检修费、交通费等。 5.保修期内如合同设备需要维修致使采购人不能正常使用的，中标人应提供相同设备供采购人使用。 下列情况中标人不负责无条件保修： 5.1采购人不按照中标人提供的正确使用方法而引致设备故障损坏； 5.2采购人擅自改装设备； 5.3各种人为因素或天灾等外来因素造成的损坏。 6.因设备的质量问题而发生争议，由广东省或广州市质检部门进行质量鉴定。设备符合质量标准的，鉴定费用由采购人承担；设备不符合质量标准的，鉴定费用由中标人承担。 7.中标人为采购人无偿提供操作及维护培训，主要内容为设备的基本结构、性能、主要部件的构造及原理，日常使用操作、保养与管理，常见故障的排除，紧急情况的处理等，培训地点主要在设备安装现场或按采购人、中标人双方协商安排。 8.设备耗材的使用，采购人在按规范操作下，耗材的使用次数及寿命若达不到配置表中所述，由中标人负责不足部分的使用提供。 9.为保障本项目人员的稳定性及专业性，中标人应针对本项目专门建立一个完善和稳定的管理组织机构，拟投入本项目的技术服务人员团队应不少于3人。如中标人在项目实施过程中出现资源、进度、质量协调控制不力的情况，采购人有权要求中标人调整，中标人应予以配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显微镜</w:t>
            </w:r>
          </w:p>
        </w:tc>
        <w:tc>
          <w:tcPr>
            <w:tcW w:type="dxa" w:w="831"/>
          </w:tcPr>
          <w:p>
            <w:pPr>
              <w:pStyle w:val="null3"/>
              <w:jc w:val="left"/>
            </w:pPr>
            <w:r>
              <w:rPr/>
              <w:t>激光共聚焦显微镜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1,261,000.00</w:t>
            </w:r>
          </w:p>
        </w:tc>
        <w:tc>
          <w:tcPr>
            <w:tcW w:type="dxa" w:w="831"/>
          </w:tcPr>
          <w:p>
            <w:pPr>
              <w:pStyle w:val="null3"/>
              <w:jc w:val="right"/>
            </w:pPr>
            <w:r>
              <w:rPr/>
              <w:t>1,261,000.00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激光共聚焦显微镜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1.激光光源</w:t>
            </w:r>
          </w:p>
          <w:p>
            <w:pPr>
              <w:pStyle w:val="null3"/>
              <w:jc w:val="both"/>
            </w:pPr>
            <w:r>
              <w:rPr>
                <w:sz w:val="21"/>
              </w:rPr>
              <w:t>所有激光器的激光输出均由声光控制器</w:t>
            </w:r>
            <w:r>
              <w:rPr>
                <w:sz w:val="21"/>
              </w:rPr>
              <w:t>(AOTF)控制，整合后进入扫描头系统，一键开启；包括但不限于以下激光器：</w:t>
            </w:r>
          </w:p>
          <w:p>
            <w:pPr>
              <w:pStyle w:val="null3"/>
              <w:jc w:val="both"/>
            </w:pPr>
            <w:r>
              <w:rPr>
                <w:sz w:val="21"/>
              </w:rPr>
              <w:t>1.1半导体或固体激光器405nm，光纤出口功率≥20mW；</w:t>
            </w:r>
            <w:r>
              <w:rPr>
                <w:sz w:val="21"/>
                <w:b/>
              </w:rPr>
              <w:t>（激光器输出功率提供具有</w:t>
            </w:r>
            <w:r>
              <w:rPr>
                <w:sz w:val="21"/>
                <w:b/>
              </w:rPr>
              <w:t>CMA资质的第三方检测机构出具的检测报告复印件及实测图片予以证明）</w:t>
            </w:r>
          </w:p>
          <w:p>
            <w:pPr>
              <w:pStyle w:val="null3"/>
              <w:jc w:val="both"/>
            </w:pPr>
            <w:r>
              <w:rPr>
                <w:sz w:val="21"/>
              </w:rPr>
              <w:t>1.2半导体或固体激光器488nm，光纤出口功率≥20mW；</w:t>
            </w:r>
            <w:r>
              <w:rPr>
                <w:sz w:val="21"/>
                <w:b/>
              </w:rPr>
              <w:t>（激光器输出功率提供具有</w:t>
            </w:r>
            <w:r>
              <w:rPr>
                <w:sz w:val="21"/>
                <w:b/>
              </w:rPr>
              <w:t>CMA资质的第三方检测机构出具的检测报告复印件及实测图片予以证明）</w:t>
            </w:r>
          </w:p>
          <w:p>
            <w:pPr>
              <w:pStyle w:val="null3"/>
              <w:jc w:val="both"/>
            </w:pPr>
            <w:r>
              <w:rPr>
                <w:sz w:val="21"/>
              </w:rPr>
              <w:t>1.3半导体或固体激光器561nm，光纤出口功率≥20mW；</w:t>
            </w:r>
            <w:r>
              <w:rPr>
                <w:sz w:val="21"/>
                <w:b/>
              </w:rPr>
              <w:t>（激光器输出功率提供具有</w:t>
            </w:r>
            <w:r>
              <w:rPr>
                <w:sz w:val="21"/>
                <w:b/>
              </w:rPr>
              <w:t>CMA资质的第三方检测机构出具的检测报告复印件及实测图片予以证明）</w:t>
            </w:r>
          </w:p>
          <w:p>
            <w:pPr>
              <w:pStyle w:val="null3"/>
              <w:jc w:val="both"/>
            </w:pPr>
            <w:r>
              <w:rPr>
                <w:sz w:val="21"/>
              </w:rPr>
              <w:t>1.4半导体或固体激光器640nm，光纤出口功率≥20mW；</w:t>
            </w:r>
            <w:r>
              <w:rPr>
                <w:sz w:val="21"/>
                <w:b/>
              </w:rPr>
              <w:t>（激光器输出功率提供具有</w:t>
            </w:r>
            <w:r>
              <w:rPr>
                <w:sz w:val="21"/>
                <w:b/>
              </w:rPr>
              <w:t>CMA资质的第三方检测机构出具的检测报告复印件及实测图片予以证明）</w:t>
            </w:r>
          </w:p>
          <w:p>
            <w:pPr>
              <w:pStyle w:val="null3"/>
              <w:jc w:val="both"/>
            </w:pPr>
            <w:r>
              <w:rPr>
                <w:sz w:val="21"/>
              </w:rPr>
              <w:t>2.共聚焦扫描系统</w:t>
            </w:r>
          </w:p>
          <w:p>
            <w:pPr>
              <w:pStyle w:val="null3"/>
              <w:jc w:val="both"/>
            </w:pPr>
            <w:r>
              <w:rPr>
                <w:sz w:val="21"/>
              </w:rPr>
              <w:t>▲2.1扫描头设计：与探测器通过光纤连接；</w:t>
            </w:r>
            <w:r>
              <w:rPr>
                <w:sz w:val="21"/>
              </w:rPr>
              <w:t>方便模块化检修及更换；</w:t>
            </w:r>
            <w:r>
              <w:rPr>
                <w:sz w:val="21"/>
                <w:b/>
              </w:rPr>
              <w:t>（提供实物图片予以证明）</w:t>
            </w:r>
          </w:p>
          <w:p>
            <w:pPr>
              <w:pStyle w:val="null3"/>
              <w:jc w:val="both"/>
            </w:pPr>
            <w:r>
              <w:rPr>
                <w:sz w:val="21"/>
              </w:rPr>
              <w:t>2.2共聚焦扫描头与显微镜主体左侧接口耦合；</w:t>
            </w:r>
          </w:p>
          <w:p>
            <w:pPr>
              <w:pStyle w:val="null3"/>
              <w:jc w:val="both"/>
            </w:pPr>
            <w:r>
              <w:rPr>
                <w:sz w:val="21"/>
              </w:rPr>
              <w:t>▲2.3 荧光检测通道采用≥4个独立的高灵敏度探测器（PMT），≥1个透射DIC检测通道；</w:t>
            </w:r>
            <w:r>
              <w:rPr>
                <w:sz w:val="21"/>
                <w:b/>
              </w:rPr>
              <w:t>（</w:t>
            </w:r>
            <w:r>
              <w:rPr>
                <w:sz w:val="21"/>
                <w:b/>
              </w:rPr>
              <w:t>提供技术参数确认函予以证明</w:t>
            </w:r>
            <w:r>
              <w:rPr>
                <w:sz w:val="21"/>
                <w:b/>
              </w:rPr>
              <w:t>）</w:t>
            </w:r>
          </w:p>
          <w:p>
            <w:pPr>
              <w:pStyle w:val="null3"/>
              <w:jc w:val="both"/>
            </w:pPr>
            <w:r>
              <w:rPr>
                <w:sz w:val="21"/>
              </w:rPr>
              <w:t>▲2.4 电动小孔：实现无级变速小孔，调节范围：≥0-5 AU（0-500μm）；</w:t>
            </w:r>
          </w:p>
          <w:p>
            <w:pPr>
              <w:pStyle w:val="null3"/>
              <w:jc w:val="both"/>
            </w:pPr>
            <w:r>
              <w:rPr>
                <w:sz w:val="21"/>
              </w:rPr>
              <w:t>2.5高灵敏度探测器：高灵敏度光电倍增管探测器；</w:t>
            </w:r>
          </w:p>
          <w:p>
            <w:pPr>
              <w:pStyle w:val="null3"/>
              <w:jc w:val="both"/>
            </w:pPr>
            <w:r>
              <w:rPr>
                <w:sz w:val="21"/>
              </w:rPr>
              <w:t>2.6图像位深：≥16 bits；</w:t>
            </w:r>
          </w:p>
          <w:p>
            <w:pPr>
              <w:pStyle w:val="null3"/>
              <w:jc w:val="both"/>
            </w:pPr>
            <w:r>
              <w:rPr>
                <w:sz w:val="21"/>
              </w:rPr>
              <w:t>2.7一体化设计：激光器、探测器和信号采集装置一体化设计；</w:t>
            </w:r>
          </w:p>
          <w:p>
            <w:pPr>
              <w:pStyle w:val="null3"/>
              <w:jc w:val="both"/>
            </w:pPr>
            <w:r>
              <w:rPr>
                <w:sz w:val="21"/>
              </w:rPr>
              <w:t>▲2.8扫描速度：≥4帧/秒(512x51</w:t>
            </w:r>
            <w:r>
              <w:rPr>
                <w:sz w:val="21"/>
              </w:rPr>
              <w:t>2像素)； ≥68帧/秒(8x256像素)；</w:t>
            </w:r>
            <w:r>
              <w:rPr>
                <w:sz w:val="21"/>
                <w:b/>
              </w:rPr>
              <w:t>（提供具有</w:t>
            </w:r>
            <w:r>
              <w:rPr>
                <w:sz w:val="21"/>
                <w:b/>
              </w:rPr>
              <w:t>CMA资质的第三方检测机构出具的检测报告复印件予以证明）</w:t>
            </w:r>
          </w:p>
          <w:p>
            <w:pPr>
              <w:pStyle w:val="null3"/>
              <w:jc w:val="both"/>
            </w:pPr>
            <w:r>
              <w:rPr>
                <w:sz w:val="21"/>
              </w:rPr>
              <w:t>▲2.9扫描视野：视野≥25mm；</w:t>
            </w:r>
            <w:r>
              <w:rPr>
                <w:sz w:val="21"/>
                <w:b/>
              </w:rPr>
              <w:t>（提供具有</w:t>
            </w:r>
            <w:r>
              <w:rPr>
                <w:sz w:val="21"/>
                <w:b/>
              </w:rPr>
              <w:t>CMA资质的第三方检测机构出具的检测报告复印件予以证明）</w:t>
            </w:r>
          </w:p>
          <w:p>
            <w:pPr>
              <w:pStyle w:val="null3"/>
              <w:jc w:val="both"/>
            </w:pPr>
            <w:r>
              <w:rPr>
                <w:sz w:val="21"/>
              </w:rPr>
              <w:t>▲2.10扫描像素：同视野下最大可实现≥8192x8192输出；</w:t>
            </w:r>
            <w:r>
              <w:rPr>
                <w:sz w:val="21"/>
                <w:b/>
              </w:rPr>
              <w:t>（提供具有</w:t>
            </w:r>
            <w:r>
              <w:rPr>
                <w:sz w:val="21"/>
                <w:b/>
              </w:rPr>
              <w:t>CMA资质的第三方检测机构出具的检测报告复印件予以证明）</w:t>
            </w:r>
          </w:p>
          <w:p>
            <w:pPr>
              <w:pStyle w:val="null3"/>
              <w:jc w:val="both"/>
            </w:pPr>
            <w:r>
              <w:rPr>
                <w:sz w:val="21"/>
              </w:rPr>
              <w:t>2.11光学扫描变焦：≥1x1-36x36倍放大；</w:t>
            </w:r>
          </w:p>
          <w:p>
            <w:pPr>
              <w:pStyle w:val="null3"/>
              <w:jc w:val="both"/>
            </w:pPr>
            <w:r>
              <w:rPr>
                <w:sz w:val="21"/>
              </w:rPr>
              <w:t>2.12扫描方式：点扫描、旋转、X-Y-Z-t-λ多维等扫描方式任意组合，可以实现五维图像拍摄及显示；</w:t>
            </w:r>
          </w:p>
          <w:p>
            <w:pPr>
              <w:pStyle w:val="null3"/>
              <w:jc w:val="both"/>
            </w:pPr>
            <w:r>
              <w:rPr>
                <w:sz w:val="21"/>
              </w:rPr>
              <w:t>3.显微镜部分</w:t>
            </w:r>
          </w:p>
          <w:p>
            <w:pPr>
              <w:pStyle w:val="null3"/>
              <w:jc w:val="both"/>
            </w:pPr>
            <w:r>
              <w:rPr>
                <w:sz w:val="21"/>
              </w:rPr>
              <w:t>3.1主要功能：可以用于明场、相衬、DIC、霍夫曼、荧光、偏光等多种观察方式，电动物镜转换，电动荧光转盘，电动光路切换等；</w:t>
            </w:r>
          </w:p>
          <w:p>
            <w:pPr>
              <w:pStyle w:val="null3"/>
              <w:jc w:val="both"/>
            </w:pPr>
            <w:r>
              <w:rPr>
                <w:sz w:val="21"/>
              </w:rPr>
              <w:t>▲3.2光学系统：</w:t>
            </w:r>
            <w:r>
              <w:rPr>
                <w:sz w:val="21"/>
              </w:rPr>
              <w:t>符合齐焦距离</w:t>
            </w:r>
            <w:r>
              <w:rPr>
                <w:sz w:val="21"/>
              </w:rPr>
              <w:t>≥60mm；</w:t>
            </w:r>
            <w:r>
              <w:rPr>
                <w:sz w:val="21"/>
                <w:b/>
              </w:rPr>
              <w:t>（</w:t>
            </w:r>
            <w:r>
              <w:rPr>
                <w:sz w:val="21"/>
                <w:b/>
              </w:rPr>
              <w:t>提供技术参数确认函予以证明</w:t>
            </w:r>
            <w:r>
              <w:rPr>
                <w:sz w:val="21"/>
                <w:b/>
              </w:rPr>
              <w:t>）</w:t>
            </w:r>
            <w:r>
              <w:rPr>
                <w:sz w:val="21"/>
              </w:rPr>
              <w:t xml:space="preserve">  </w:t>
            </w:r>
          </w:p>
          <w:p>
            <w:pPr>
              <w:pStyle w:val="null3"/>
              <w:jc w:val="both"/>
            </w:pPr>
            <w:r>
              <w:rPr>
                <w:sz w:val="21"/>
              </w:rPr>
              <w:t>3.3观察系统：铰链式三目，头部2挡分光：B：T=0：100%、100%：0，瞳距≥55-75mm；</w:t>
            </w:r>
          </w:p>
          <w:p>
            <w:pPr>
              <w:pStyle w:val="null3"/>
              <w:jc w:val="both"/>
            </w:pPr>
            <w:r>
              <w:rPr>
                <w:sz w:val="21"/>
              </w:rPr>
              <w:t>3.4目镜：包括但不限于视度可调目镜10x，线视场</w:t>
            </w:r>
            <w:r>
              <w:rPr>
                <w:sz w:val="21"/>
              </w:rPr>
              <w:t>Ф22</w:t>
            </w:r>
            <w:r>
              <w:rPr>
                <w:sz w:val="21"/>
              </w:rPr>
              <w:t>mm</w:t>
            </w:r>
            <w:r>
              <w:rPr>
                <w:sz w:val="21"/>
              </w:rPr>
              <w:t>；</w:t>
            </w:r>
          </w:p>
          <w:p>
            <w:pPr>
              <w:pStyle w:val="null3"/>
              <w:jc w:val="both"/>
            </w:pPr>
            <w:r>
              <w:rPr>
                <w:sz w:val="21"/>
              </w:rPr>
              <w:t>3.5共聚焦专用高品质物镜</w:t>
            </w:r>
            <w:r>
              <w:rPr>
                <w:sz w:val="21"/>
              </w:rPr>
              <w:t>：</w:t>
            </w:r>
          </w:p>
          <w:p>
            <w:pPr>
              <w:pStyle w:val="null3"/>
              <w:jc w:val="both"/>
            </w:pPr>
            <w:r>
              <w:rPr>
                <w:sz w:val="21"/>
              </w:rPr>
              <w:t>▲3.5.1 10x平场复消色差物镜NA≥0.45，</w:t>
            </w:r>
            <w:r>
              <w:rPr>
                <w:sz w:val="21"/>
              </w:rPr>
              <w:t>成像清晰圆直径</w:t>
            </w:r>
            <w:r>
              <w:rPr>
                <w:sz w:val="21"/>
              </w:rPr>
              <w:t>≥</w:t>
            </w:r>
            <w:r>
              <w:rPr>
                <w:sz w:val="21"/>
              </w:rPr>
              <w:t>21.7mm</w:t>
            </w:r>
            <w:r>
              <w:rPr>
                <w:sz w:val="21"/>
              </w:rPr>
              <w:t>；</w:t>
            </w:r>
            <w:r>
              <w:rPr>
                <w:sz w:val="21"/>
                <w:b/>
              </w:rPr>
              <w:t>（物镜成像清晰圆指标提供具有</w:t>
            </w:r>
            <w:r>
              <w:rPr>
                <w:sz w:val="21"/>
                <w:b/>
              </w:rPr>
              <w:t>CMA资质的第三方检测机构出具的检测报告复印件予以证明）</w:t>
            </w:r>
          </w:p>
          <w:p>
            <w:pPr>
              <w:pStyle w:val="null3"/>
              <w:jc w:val="both"/>
            </w:pPr>
            <w:r>
              <w:rPr>
                <w:sz w:val="21"/>
              </w:rPr>
              <w:t>▲3.5.2 20x平场复消色差物镜NA≥0.75，</w:t>
            </w:r>
            <w:r>
              <w:rPr>
                <w:sz w:val="21"/>
              </w:rPr>
              <w:t>成像清晰圆直径</w:t>
            </w:r>
            <w:r>
              <w:rPr>
                <w:sz w:val="21"/>
              </w:rPr>
              <w:t>≥</w:t>
            </w:r>
            <w:r>
              <w:rPr>
                <w:sz w:val="21"/>
              </w:rPr>
              <w:t>21.5mm</w:t>
            </w:r>
            <w:r>
              <w:rPr>
                <w:sz w:val="21"/>
              </w:rPr>
              <w:t>；</w:t>
            </w:r>
            <w:r>
              <w:rPr>
                <w:sz w:val="21"/>
                <w:b/>
              </w:rPr>
              <w:t>（物镜成像清晰圆指标提供具有</w:t>
            </w:r>
            <w:r>
              <w:rPr>
                <w:sz w:val="21"/>
                <w:b/>
              </w:rPr>
              <w:t>CMA资质的第三方检测机构出具的检测报告复印件予以证明）</w:t>
            </w:r>
          </w:p>
          <w:p>
            <w:pPr>
              <w:pStyle w:val="null3"/>
              <w:jc w:val="both"/>
            </w:pPr>
            <w:r>
              <w:rPr>
                <w:sz w:val="21"/>
              </w:rPr>
              <w:t>▲3.5.3 40x平场复消色差物镜NA≥0.95，</w:t>
            </w:r>
            <w:r>
              <w:rPr>
                <w:sz w:val="21"/>
              </w:rPr>
              <w:t>成像清晰圆直径</w:t>
            </w:r>
            <w:r>
              <w:rPr>
                <w:sz w:val="21"/>
              </w:rPr>
              <w:t>≥</w:t>
            </w:r>
            <w:r>
              <w:rPr>
                <w:sz w:val="21"/>
              </w:rPr>
              <w:t>21.5mm</w:t>
            </w:r>
            <w:r>
              <w:rPr>
                <w:sz w:val="21"/>
              </w:rPr>
              <w:t>；</w:t>
            </w:r>
            <w:r>
              <w:rPr>
                <w:sz w:val="21"/>
                <w:b/>
              </w:rPr>
              <w:t>（物镜成像清晰圆指标提供具有</w:t>
            </w:r>
            <w:r>
              <w:rPr>
                <w:sz w:val="21"/>
                <w:b/>
              </w:rPr>
              <w:t>CMA资质的第三方检测机构出具的检测报告复印件予以证明）</w:t>
            </w:r>
          </w:p>
          <w:p>
            <w:pPr>
              <w:pStyle w:val="null3"/>
              <w:jc w:val="both"/>
            </w:pPr>
            <w:r>
              <w:rPr>
                <w:sz w:val="21"/>
              </w:rPr>
              <w:t>▲3.5.4 60x平场复消色差物镜 NA≥1.42，油镜</w:t>
            </w:r>
            <w:r>
              <w:rPr>
                <w:sz w:val="21"/>
              </w:rPr>
              <w:t>，成像清晰圆直径</w:t>
            </w:r>
            <w:r>
              <w:rPr>
                <w:sz w:val="21"/>
              </w:rPr>
              <w:t>≥</w:t>
            </w:r>
            <w:r>
              <w:rPr>
                <w:sz w:val="21"/>
              </w:rPr>
              <w:t>21.3mm</w:t>
            </w:r>
            <w:r>
              <w:rPr>
                <w:sz w:val="21"/>
              </w:rPr>
              <w:t>；</w:t>
            </w:r>
            <w:r>
              <w:rPr>
                <w:sz w:val="21"/>
                <w:b/>
              </w:rPr>
              <w:t>（物镜成像清晰圆指标提供具有</w:t>
            </w:r>
            <w:r>
              <w:rPr>
                <w:sz w:val="21"/>
                <w:b/>
              </w:rPr>
              <w:t>CMA资质的第三方检测机构出具的检测报告复印件予以证明）</w:t>
            </w:r>
          </w:p>
          <w:p>
            <w:pPr>
              <w:pStyle w:val="null3"/>
              <w:jc w:val="both"/>
            </w:pPr>
            <w:r>
              <w:rPr>
                <w:sz w:val="21"/>
              </w:rPr>
              <w:t>▲3.5.5 100x平场复消色差物镜 NA≥1.49，油镜，</w:t>
            </w:r>
            <w:r>
              <w:rPr>
                <w:sz w:val="21"/>
              </w:rPr>
              <w:t>成像清晰圆直径</w:t>
            </w:r>
            <w:r>
              <w:rPr>
                <w:sz w:val="21"/>
              </w:rPr>
              <w:t>≥</w:t>
            </w:r>
            <w:r>
              <w:rPr>
                <w:sz w:val="21"/>
              </w:rPr>
              <w:t>21.2mm</w:t>
            </w:r>
            <w:r>
              <w:rPr>
                <w:sz w:val="21"/>
              </w:rPr>
              <w:t>；</w:t>
            </w:r>
            <w:r>
              <w:rPr>
                <w:sz w:val="21"/>
                <w:b/>
              </w:rPr>
              <w:t>（物镜成像清晰圆指标</w:t>
            </w:r>
            <w:r>
              <w:rPr>
                <w:sz w:val="21"/>
                <w:b/>
              </w:rPr>
              <w:t>提供实物照片予以证明</w:t>
            </w:r>
            <w:r>
              <w:rPr>
                <w:sz w:val="21"/>
                <w:b/>
              </w:rPr>
              <w:t>）</w:t>
            </w:r>
          </w:p>
          <w:p>
            <w:pPr>
              <w:pStyle w:val="null3"/>
              <w:jc w:val="both"/>
            </w:pPr>
            <w:r>
              <w:rPr>
                <w:sz w:val="21"/>
              </w:rPr>
              <w:t>3.6电动转换器：电动≥6孔物镜转换器带DIC分析插槽(透射、反射同时具有)。可通过通讯控制，≥6孔位物镜LED灯亮度记忆功能，高功率LED灯亮度可通过通讯和编码器调节，寿命≥60000小时；</w:t>
            </w:r>
          </w:p>
          <w:p>
            <w:pPr>
              <w:pStyle w:val="null3"/>
              <w:jc w:val="both"/>
            </w:pPr>
            <w:r>
              <w:rPr>
                <w:sz w:val="21"/>
              </w:rPr>
              <w:t>▲3.7防焦点偏移模块，采用包括但不限于875nm LED主动对焦，支持10x、20x、40x、60x、100x全套复消色差物镜，精度≤1/2焦深，实现长时程观测；</w:t>
            </w:r>
            <w:r>
              <w:rPr>
                <w:sz w:val="21"/>
                <w:b/>
              </w:rPr>
              <w:t>（提供</w:t>
            </w:r>
            <w:r>
              <w:rPr>
                <w:sz w:val="21"/>
                <w:b/>
              </w:rPr>
              <w:t>以下防焦点偏移模块物镜锁焦范围、锁焦精度及调焦范围</w:t>
            </w:r>
            <w:r>
              <w:rPr>
                <w:sz w:val="21"/>
                <w:b/>
              </w:rPr>
              <w:t>具有</w:t>
            </w:r>
            <w:r>
              <w:rPr>
                <w:sz w:val="21"/>
                <w:b/>
              </w:rPr>
              <w:t>CMA资质的</w:t>
            </w:r>
            <w:r>
              <w:rPr>
                <w:sz w:val="21"/>
                <w:b/>
              </w:rPr>
              <w:t>第三方检测机构出具的检测报告复印件及</w:t>
            </w:r>
            <w:r>
              <w:rPr>
                <w:sz w:val="21"/>
                <w:b/>
              </w:rPr>
              <w:t>防焦点偏移模块</w:t>
            </w:r>
            <w:r>
              <w:rPr>
                <w:sz w:val="21"/>
                <w:b/>
              </w:rPr>
              <w:t>实物图片予以证明）</w:t>
            </w:r>
          </w:p>
          <w:p>
            <w:pPr>
              <w:pStyle w:val="null3"/>
              <w:jc w:val="both"/>
            </w:pPr>
            <w:r>
              <w:rPr>
                <w:sz w:val="21"/>
              </w:rPr>
              <w:t>10X</w:t>
            </w:r>
            <w:r>
              <w:rPr>
                <w:sz w:val="21"/>
              </w:rPr>
              <w:t>物镜：锁焦范围≥</w:t>
            </w:r>
            <w:r>
              <w:rPr>
                <w:sz w:val="21"/>
              </w:rPr>
              <w:t>410um</w:t>
            </w:r>
            <w:r>
              <w:rPr>
                <w:sz w:val="21"/>
              </w:rPr>
              <w:t>；锁焦精度≤</w:t>
            </w:r>
            <w:r>
              <w:rPr>
                <w:sz w:val="21"/>
              </w:rPr>
              <w:t>0.23um</w:t>
            </w:r>
            <w:r>
              <w:rPr>
                <w:sz w:val="21"/>
              </w:rPr>
              <w:t>；调焦范围≥</w:t>
            </w:r>
            <w:r>
              <w:rPr>
                <w:sz w:val="21"/>
              </w:rPr>
              <w:t>1713um</w:t>
            </w:r>
            <w:r>
              <w:rPr>
                <w:sz w:val="21"/>
              </w:rPr>
              <w:t>；</w:t>
            </w:r>
          </w:p>
          <w:p>
            <w:pPr>
              <w:pStyle w:val="null3"/>
              <w:jc w:val="both"/>
            </w:pPr>
            <w:r>
              <w:rPr>
                <w:sz w:val="21"/>
              </w:rPr>
              <w:t>20X</w:t>
            </w:r>
            <w:r>
              <w:rPr>
                <w:sz w:val="21"/>
              </w:rPr>
              <w:t>物镜：锁焦范围≥</w:t>
            </w:r>
            <w:r>
              <w:rPr>
                <w:sz w:val="21"/>
              </w:rPr>
              <w:t>210um</w:t>
            </w:r>
            <w:r>
              <w:rPr>
                <w:sz w:val="21"/>
              </w:rPr>
              <w:t>；锁焦精度≤</w:t>
            </w:r>
            <w:r>
              <w:rPr>
                <w:sz w:val="21"/>
              </w:rPr>
              <w:t>0.10um</w:t>
            </w:r>
            <w:r>
              <w:rPr>
                <w:sz w:val="21"/>
              </w:rPr>
              <w:t>；调焦范围≥</w:t>
            </w:r>
            <w:r>
              <w:rPr>
                <w:sz w:val="21"/>
              </w:rPr>
              <w:t>530um</w:t>
            </w:r>
            <w:r>
              <w:rPr>
                <w:sz w:val="21"/>
              </w:rPr>
              <w:t>；</w:t>
            </w:r>
          </w:p>
          <w:p>
            <w:pPr>
              <w:pStyle w:val="null3"/>
              <w:jc w:val="both"/>
            </w:pPr>
            <w:r>
              <w:rPr>
                <w:sz w:val="21"/>
              </w:rPr>
              <w:t>40X</w:t>
            </w:r>
            <w:r>
              <w:rPr>
                <w:sz w:val="21"/>
              </w:rPr>
              <w:t>物镜：锁焦范围≥</w:t>
            </w:r>
            <w:r>
              <w:rPr>
                <w:sz w:val="21"/>
              </w:rPr>
              <w:t>42um</w:t>
            </w:r>
            <w:r>
              <w:rPr>
                <w:sz w:val="21"/>
              </w:rPr>
              <w:t>；锁焦精度≤</w:t>
            </w:r>
            <w:r>
              <w:rPr>
                <w:sz w:val="21"/>
              </w:rPr>
              <w:t>0.08um</w:t>
            </w:r>
            <w:r>
              <w:rPr>
                <w:sz w:val="21"/>
              </w:rPr>
              <w:t>；调焦范围≥</w:t>
            </w:r>
            <w:r>
              <w:rPr>
                <w:sz w:val="21"/>
              </w:rPr>
              <w:t>176um</w:t>
            </w:r>
            <w:r>
              <w:rPr>
                <w:sz w:val="21"/>
              </w:rPr>
              <w:t>；</w:t>
            </w:r>
          </w:p>
          <w:p>
            <w:pPr>
              <w:pStyle w:val="null3"/>
              <w:jc w:val="both"/>
            </w:pPr>
            <w:r>
              <w:rPr>
                <w:sz w:val="21"/>
              </w:rPr>
              <w:t>60X</w:t>
            </w:r>
            <w:r>
              <w:rPr>
                <w:sz w:val="21"/>
              </w:rPr>
              <w:t>物镜：锁焦范围≥</w:t>
            </w:r>
            <w:r>
              <w:rPr>
                <w:sz w:val="21"/>
              </w:rPr>
              <w:t>10um</w:t>
            </w:r>
            <w:r>
              <w:rPr>
                <w:sz w:val="21"/>
              </w:rPr>
              <w:t>；锁焦精度≤</w:t>
            </w:r>
            <w:r>
              <w:rPr>
                <w:sz w:val="21"/>
              </w:rPr>
              <w:t>0.06um</w:t>
            </w:r>
            <w:r>
              <w:rPr>
                <w:sz w:val="21"/>
              </w:rPr>
              <w:t>；调焦范围≥</w:t>
            </w:r>
            <w:r>
              <w:rPr>
                <w:sz w:val="21"/>
              </w:rPr>
              <w:t>20um</w:t>
            </w:r>
            <w:r>
              <w:rPr>
                <w:sz w:val="21"/>
              </w:rPr>
              <w:t>；</w:t>
            </w:r>
          </w:p>
          <w:p>
            <w:pPr>
              <w:pStyle w:val="null3"/>
              <w:jc w:val="both"/>
            </w:pPr>
            <w:r>
              <w:rPr>
                <w:sz w:val="21"/>
              </w:rPr>
              <w:t>100X</w:t>
            </w:r>
            <w:r>
              <w:rPr>
                <w:sz w:val="21"/>
              </w:rPr>
              <w:t>物镜：锁焦范围≥</w:t>
            </w:r>
            <w:r>
              <w:rPr>
                <w:sz w:val="21"/>
              </w:rPr>
              <w:t>7um</w:t>
            </w:r>
            <w:r>
              <w:rPr>
                <w:sz w:val="21"/>
              </w:rPr>
              <w:t>；锁焦精度≤</w:t>
            </w:r>
            <w:r>
              <w:rPr>
                <w:sz w:val="21"/>
              </w:rPr>
              <w:t>0.05um</w:t>
            </w:r>
            <w:r>
              <w:rPr>
                <w:sz w:val="21"/>
              </w:rPr>
              <w:t>；调焦范围≥</w:t>
            </w:r>
            <w:r>
              <w:rPr>
                <w:sz w:val="21"/>
              </w:rPr>
              <w:t>16um</w:t>
            </w:r>
            <w:r>
              <w:rPr>
                <w:sz w:val="21"/>
              </w:rPr>
              <w:t>；</w:t>
            </w:r>
          </w:p>
          <w:p>
            <w:pPr>
              <w:pStyle w:val="null3"/>
              <w:jc w:val="both"/>
            </w:pPr>
            <w:r>
              <w:rPr>
                <w:sz w:val="21"/>
              </w:rPr>
              <w:t>3.8电动平台：行程≥130x100mm（台面≥445x300mm），重复定位精度≤0.5μm，分辨率≤0.1μm；</w:t>
            </w:r>
            <w:r>
              <w:rPr>
                <w:sz w:val="21"/>
                <w:b/>
              </w:rPr>
              <w:t>（</w:t>
            </w:r>
            <w:r>
              <w:rPr>
                <w:sz w:val="21"/>
                <w:b/>
              </w:rPr>
              <w:t>提供技术确认函予以证明</w:t>
            </w:r>
            <w:r>
              <w:rPr>
                <w:sz w:val="21"/>
                <w:b/>
              </w:rPr>
              <w:t>）</w:t>
            </w:r>
          </w:p>
          <w:p>
            <w:pPr>
              <w:pStyle w:val="null3"/>
              <w:jc w:val="both"/>
            </w:pPr>
            <w:r>
              <w:rPr>
                <w:sz w:val="21"/>
              </w:rPr>
              <w:t>3.9调焦方式：包括但不限于3档变速升降机构, 移动行程≥10mm，（焦面上≥8.5mm，下≥1.5mm），Z轴调焦精度≤20nm；</w:t>
            </w:r>
          </w:p>
          <w:p>
            <w:pPr>
              <w:pStyle w:val="null3"/>
              <w:jc w:val="both"/>
            </w:pPr>
            <w:r>
              <w:rPr>
                <w:sz w:val="21"/>
              </w:rPr>
              <w:t>3.10聚光镜：长工作距离转盘式结构，≥7孔位电动转盘，≥4个直径37mm小型开口（用于相衬、霍夫曼、ND滤光片），≥3个直径39mm大型开口（用于DIC、ND滤光片），NA≥0.52，WD≥30mm；</w:t>
            </w:r>
          </w:p>
          <w:p>
            <w:pPr>
              <w:pStyle w:val="null3"/>
              <w:jc w:val="both"/>
            </w:pPr>
            <w:r>
              <w:rPr>
                <w:sz w:val="21"/>
              </w:rPr>
              <w:t>▲</w:t>
            </w:r>
            <w:r>
              <w:rPr>
                <w:sz w:val="21"/>
              </w:rPr>
              <w:t>3.11内置系统中间倍率：包括但不限于 1x、1.5x转盘式切换；</w:t>
            </w:r>
            <w:r>
              <w:rPr>
                <w:sz w:val="21"/>
                <w:b/>
              </w:rPr>
              <w:t>（</w:t>
            </w:r>
            <w:r>
              <w:rPr>
                <w:sz w:val="21"/>
                <w:b/>
              </w:rPr>
              <w:t>提供实物图片予以证明</w:t>
            </w:r>
            <w:r>
              <w:rPr>
                <w:sz w:val="21"/>
                <w:b/>
              </w:rPr>
              <w:t>）</w:t>
            </w:r>
          </w:p>
          <w:p>
            <w:pPr>
              <w:pStyle w:val="null3"/>
              <w:jc w:val="both"/>
            </w:pPr>
            <w:r>
              <w:rPr>
                <w:sz w:val="21"/>
              </w:rPr>
              <w:t>3.12主机分光出口：采用转盘式结构（电动）≥4档位，机身自带右端口（非中间模块）。左侧/目视=100%/0%；右侧/目视=100%/0%；左右侧/目视=0/100%；目视/右端口=20%/80%；</w:t>
            </w:r>
          </w:p>
          <w:p>
            <w:pPr>
              <w:pStyle w:val="null3"/>
              <w:jc w:val="both"/>
            </w:pPr>
            <w:r>
              <w:rPr>
                <w:sz w:val="21"/>
              </w:rPr>
              <w:t>3.13荧光装置:支持双层光路，多功能转盘式结构，≥6工位电动转盘（≥2个），可通过通讯控制；可从主机取出，方便更换各模块；</w:t>
            </w:r>
          </w:p>
          <w:p>
            <w:pPr>
              <w:pStyle w:val="null3"/>
              <w:jc w:val="both"/>
            </w:pPr>
            <w:r>
              <w:rPr>
                <w:sz w:val="21"/>
              </w:rPr>
              <w:t>3.14荧光滤块：覆盖紫外至可见光，置换方便：</w:t>
            </w:r>
          </w:p>
          <w:p>
            <w:pPr>
              <w:pStyle w:val="null3"/>
              <w:jc w:val="both"/>
            </w:pPr>
            <w:r>
              <w:rPr>
                <w:sz w:val="21"/>
              </w:rPr>
              <w:t>3.14.1 DAPI单色滤块:激发330-390nm</w:t>
            </w:r>
            <w:r>
              <w:rPr>
                <w:sz w:val="21"/>
              </w:rPr>
              <w:t>；阻挡</w:t>
            </w:r>
            <w:r>
              <w:rPr>
                <w:sz w:val="21"/>
              </w:rPr>
              <w:t>415nm；发射: 435-485nm；</w:t>
            </w:r>
          </w:p>
          <w:p>
            <w:pPr>
              <w:pStyle w:val="null3"/>
              <w:jc w:val="both"/>
            </w:pPr>
            <w:r>
              <w:rPr>
                <w:sz w:val="21"/>
              </w:rPr>
              <w:t>3.14.2 FITC激发单色滤块:激发460-495nm；阻挡505nm；发射: 510-550nm；</w:t>
            </w:r>
          </w:p>
          <w:p>
            <w:pPr>
              <w:pStyle w:val="null3"/>
              <w:jc w:val="both"/>
            </w:pPr>
            <w:r>
              <w:rPr>
                <w:sz w:val="21"/>
              </w:rPr>
              <w:t>3.14.3 TRITC激发单色滤块:激发528-553nm；阻挡565nm；发射: 57</w:t>
            </w:r>
            <w:r>
              <w:rPr>
                <w:sz w:val="21"/>
              </w:rPr>
              <w:t>8-633nm；</w:t>
            </w:r>
          </w:p>
          <w:p>
            <w:pPr>
              <w:pStyle w:val="null3"/>
              <w:jc w:val="both"/>
            </w:pPr>
            <w:r>
              <w:rPr>
                <w:sz w:val="21"/>
              </w:rPr>
              <w:t>3.15荧光照明系统：高功率光纤式LED灯箱照明；</w:t>
            </w:r>
          </w:p>
          <w:p>
            <w:pPr>
              <w:pStyle w:val="null3"/>
              <w:jc w:val="both"/>
            </w:pPr>
            <w:r>
              <w:rPr>
                <w:sz w:val="21"/>
              </w:rPr>
              <w:t>3.16照明控制：在机身左侧布置编码式透射照明开关，按键开关；</w:t>
            </w:r>
          </w:p>
          <w:p>
            <w:pPr>
              <w:pStyle w:val="null3"/>
              <w:jc w:val="both"/>
            </w:pPr>
            <w:r>
              <w:rPr>
                <w:sz w:val="21"/>
              </w:rPr>
              <w:t>3.17可倾式透射照明柱；</w:t>
            </w:r>
          </w:p>
          <w:p>
            <w:pPr>
              <w:pStyle w:val="null3"/>
              <w:jc w:val="both"/>
            </w:pPr>
            <w:r>
              <w:rPr>
                <w:sz w:val="21"/>
              </w:rPr>
              <w:t>3.18为方便搬运，设计带有把手位置；</w:t>
            </w:r>
          </w:p>
          <w:p>
            <w:pPr>
              <w:pStyle w:val="null3"/>
              <w:jc w:val="both"/>
            </w:pPr>
            <w:r>
              <w:rPr>
                <w:sz w:val="21"/>
              </w:rPr>
              <w:t>3.19主光路系统，可实现图像输出视野≥25mm；</w:t>
            </w:r>
          </w:p>
          <w:p>
            <w:pPr>
              <w:pStyle w:val="null3"/>
              <w:jc w:val="both"/>
            </w:pPr>
            <w:r>
              <w:rPr>
                <w:sz w:val="21"/>
              </w:rPr>
              <w:t>3.20系统可根据观察方式，调整优化参数，并可实现一键操作；</w:t>
            </w:r>
          </w:p>
          <w:p>
            <w:pPr>
              <w:pStyle w:val="null3"/>
              <w:jc w:val="both"/>
            </w:pPr>
            <w:r>
              <w:rPr>
                <w:sz w:val="21"/>
              </w:rPr>
              <w:t>▲</w:t>
            </w:r>
            <w:r>
              <w:rPr>
                <w:sz w:val="21"/>
              </w:rPr>
              <w:t>3.21显微镜主机身前置液晶显示屏：≥5.7寸，触摸显示</w:t>
            </w:r>
            <w:r>
              <w:rPr>
                <w:sz w:val="21"/>
              </w:rPr>
              <w:t>（非部分显示无触摸控制）</w:t>
            </w:r>
            <w:r>
              <w:rPr>
                <w:sz w:val="21"/>
              </w:rPr>
              <w:t>，一键控制光源强度、物镜倍率、荧光波段、中间倍率、转盘位置、勃氏镜等；</w:t>
            </w:r>
          </w:p>
          <w:p>
            <w:pPr>
              <w:pStyle w:val="null3"/>
              <w:jc w:val="both"/>
            </w:pPr>
            <w:r>
              <w:rPr>
                <w:sz w:val="21"/>
              </w:rPr>
              <w:t>4 操作配套</w:t>
            </w:r>
          </w:p>
          <w:p>
            <w:pPr>
              <w:pStyle w:val="null3"/>
              <w:jc w:val="both"/>
            </w:pPr>
            <w:r>
              <w:rPr>
                <w:sz w:val="21"/>
              </w:rPr>
              <w:t>4.1所有共聚焦及显微镜操作均可通过软件操作；</w:t>
            </w:r>
          </w:p>
          <w:p>
            <w:pPr>
              <w:pStyle w:val="null3"/>
              <w:jc w:val="both"/>
            </w:pPr>
            <w:r>
              <w:rPr>
                <w:sz w:val="21"/>
              </w:rPr>
              <w:t>4.2显微镜系统既可通过软件，也以手动操作；</w:t>
            </w:r>
          </w:p>
          <w:p>
            <w:pPr>
              <w:pStyle w:val="null3"/>
              <w:jc w:val="both"/>
            </w:pPr>
            <w:r>
              <w:rPr>
                <w:sz w:val="21"/>
              </w:rPr>
              <w:t>5 软件</w:t>
            </w:r>
          </w:p>
          <w:p>
            <w:pPr>
              <w:pStyle w:val="null3"/>
              <w:jc w:val="both"/>
            </w:pPr>
            <w:r>
              <w:rPr>
                <w:sz w:val="21"/>
              </w:rPr>
              <w:t>5.1 图像采集和系统自动控制功能，光路全电动控制切换，包括≥6个电动物镜孔位、≥6个荧光转盘孔位和≥6个聚光镜孔位控制，实现主界面鼠标滚轮对焦；</w:t>
            </w:r>
          </w:p>
          <w:p>
            <w:pPr>
              <w:pStyle w:val="null3"/>
              <w:jc w:val="both"/>
            </w:pPr>
            <w:r>
              <w:rPr>
                <w:sz w:val="21"/>
              </w:rPr>
              <w:t>5.2 国产化软件，中/英界面一键切换；</w:t>
            </w:r>
          </w:p>
          <w:p>
            <w:pPr>
              <w:pStyle w:val="null3"/>
              <w:jc w:val="both"/>
            </w:pPr>
            <w:r>
              <w:rPr>
                <w:sz w:val="21"/>
              </w:rPr>
              <w:t>▲</w:t>
            </w:r>
            <w:r>
              <w:rPr>
                <w:sz w:val="21"/>
              </w:rPr>
              <w:t>5.3 智能化设置：根据染料或不同应用要求，软件可设置≥四通道分时或者同时扫描，双/双通道分时或同时扫描</w:t>
            </w:r>
            <w:r>
              <w:rPr>
                <w:sz w:val="21"/>
              </w:rPr>
              <w:t>，自定义扫描方式。</w:t>
            </w:r>
            <w:r>
              <w:rPr>
                <w:sz w:val="21"/>
                <w:b/>
              </w:rPr>
              <w:t>（提供软件截图及</w:t>
            </w:r>
            <w:r>
              <w:rPr>
                <w:sz w:val="21"/>
                <w:b/>
              </w:rPr>
              <w:t>具有</w:t>
            </w:r>
            <w:r>
              <w:rPr>
                <w:sz w:val="21"/>
                <w:b/>
              </w:rPr>
              <w:t>CMA资质的</w:t>
            </w:r>
            <w:r>
              <w:rPr>
                <w:sz w:val="21"/>
                <w:b/>
              </w:rPr>
              <w:t>第三方检测机构出具的检测报告复印件予以证明）</w:t>
            </w:r>
          </w:p>
          <w:p>
            <w:pPr>
              <w:pStyle w:val="null3"/>
              <w:jc w:val="both"/>
            </w:pPr>
            <w:r>
              <w:rPr>
                <w:sz w:val="21"/>
              </w:rPr>
              <w:t>5.4自带软件支持X、Y、Z、λ、T五维扫描为一体并在同一软件中处理及显示，不借助第三方软件；</w:t>
            </w:r>
          </w:p>
          <w:p>
            <w:pPr>
              <w:pStyle w:val="null3"/>
              <w:jc w:val="both"/>
            </w:pPr>
            <w:r>
              <w:rPr>
                <w:sz w:val="21"/>
              </w:rPr>
              <w:t>5.5实时多色图像扫描和实时多色图像叠加，多维（X,Y,Z,T）共聚焦图像获取、处理和重建；</w:t>
            </w:r>
          </w:p>
          <w:p>
            <w:pPr>
              <w:pStyle w:val="null3"/>
              <w:jc w:val="both"/>
            </w:pPr>
            <w:r>
              <w:rPr>
                <w:sz w:val="21"/>
              </w:rPr>
              <w:t>▲5.6 采集软件自带三维可视图象重建功能，可进行空间切割，交互立体显示。采集软件与三维浏览软件为同一软件；</w:t>
            </w:r>
          </w:p>
          <w:p>
            <w:pPr>
              <w:pStyle w:val="null3"/>
              <w:jc w:val="both"/>
            </w:pPr>
            <w:r>
              <w:rPr>
                <w:sz w:val="21"/>
              </w:rPr>
              <w:t>5.7区域测量功能，能够在图像上画出感兴趣的分区图形，测量区域内的各项参数，例如：面积/长度等；</w:t>
            </w:r>
          </w:p>
          <w:p>
            <w:pPr>
              <w:pStyle w:val="null3"/>
              <w:jc w:val="both"/>
            </w:pPr>
            <w:r>
              <w:rPr>
                <w:sz w:val="21"/>
              </w:rPr>
              <w:t>5.8能够重组获取的Z轴序列图像组，用户可以浏览样本三维立体图像；</w:t>
            </w:r>
          </w:p>
          <w:p>
            <w:pPr>
              <w:pStyle w:val="null3"/>
              <w:jc w:val="both"/>
            </w:pPr>
            <w:r>
              <w:rPr>
                <w:sz w:val="21"/>
              </w:rPr>
              <w:t>5.9软件自带显微镜电动部件控制功能，可实现控制物镜转盘旋转、荧光转盘旋转、聚光镜旋转、平台运动、Z轴调焦。可实现切片扫描功能；</w:t>
            </w:r>
          </w:p>
          <w:p>
            <w:pPr>
              <w:pStyle w:val="null3"/>
              <w:jc w:val="both"/>
            </w:pPr>
            <w:r>
              <w:rPr>
                <w:sz w:val="21"/>
              </w:rPr>
              <w:t>5.10 软件自带大图拼接功能，实现自动激光共聚焦扫描拼图并查看拼接后结果；</w:t>
            </w:r>
          </w:p>
          <w:p>
            <w:pPr>
              <w:pStyle w:val="null3"/>
              <w:jc w:val="both"/>
            </w:pPr>
            <w:r>
              <w:rPr>
                <w:sz w:val="21"/>
              </w:rPr>
              <w:t>5.11智能化光路设置：至少提供宽场荧光、共聚焦2种光路配置模式，一键自动设置所有的光路；</w:t>
            </w:r>
          </w:p>
          <w:p>
            <w:pPr>
              <w:pStyle w:val="null3"/>
              <w:jc w:val="both"/>
            </w:pPr>
            <w:r>
              <w:rPr>
                <w:sz w:val="21"/>
              </w:rPr>
              <w:t>5.12 软件自带三维大图拼接功能，实现自动激光共聚焦扫描拼大图和三维Z-Stacks扫描同步完成；</w:t>
            </w:r>
          </w:p>
          <w:p>
            <w:pPr>
              <w:pStyle w:val="null3"/>
              <w:jc w:val="both"/>
            </w:pPr>
            <w:r>
              <w:rPr>
                <w:sz w:val="21"/>
              </w:rPr>
              <w:t>5.13 高灵敏度荧光相机，≥1230万像素</w:t>
            </w:r>
          </w:p>
          <w:p>
            <w:pPr>
              <w:pStyle w:val="null3"/>
              <w:jc w:val="both"/>
            </w:pPr>
            <w:r>
              <w:rPr>
                <w:sz w:val="21"/>
              </w:rPr>
              <w:t>6 活细胞工作站</w:t>
            </w:r>
          </w:p>
          <w:p>
            <w:pPr>
              <w:pStyle w:val="null3"/>
              <w:jc w:val="both"/>
            </w:pPr>
            <w:r>
              <w:rPr>
                <w:sz w:val="21"/>
              </w:rPr>
              <w:t>6.1 细胞培养系统可分别精确控制温度、湿度、CO</w:t>
            </w:r>
            <w:r>
              <w:rPr>
                <w:sz w:val="21"/>
                <w:vertAlign w:val="subscript"/>
              </w:rPr>
              <w:t>2</w:t>
            </w:r>
            <w:r>
              <w:rPr>
                <w:sz w:val="21"/>
              </w:rPr>
              <w:t>浓度，能够满足长时间细胞培养的需要（</w:t>
            </w:r>
            <w:r>
              <w:rPr>
                <w:sz w:val="21"/>
              </w:rPr>
              <w:t>≥1天）；</w:t>
            </w:r>
          </w:p>
          <w:p>
            <w:pPr>
              <w:pStyle w:val="null3"/>
              <w:jc w:val="both"/>
            </w:pPr>
            <w:r>
              <w:rPr>
                <w:sz w:val="21"/>
              </w:rPr>
              <w:t>6.2 温度控制模块：温度调控范围：≥室温-50℃；精度≤0.1℃；</w:t>
            </w:r>
          </w:p>
          <w:p>
            <w:pPr>
              <w:pStyle w:val="null3"/>
              <w:jc w:val="both"/>
            </w:pPr>
            <w:r>
              <w:rPr>
                <w:sz w:val="21"/>
              </w:rPr>
              <w:t>6.3 CO</w:t>
            </w:r>
            <w:r>
              <w:rPr>
                <w:sz w:val="21"/>
                <w:vertAlign w:val="subscript"/>
              </w:rPr>
              <w:t>2</w:t>
            </w:r>
            <w:r>
              <w:rPr>
                <w:sz w:val="21"/>
              </w:rPr>
              <w:t>浓度设定：</w:t>
            </w:r>
            <w:r>
              <w:rPr>
                <w:sz w:val="21"/>
              </w:rPr>
              <w:t>≥5%-20%；气瓶类型：100%CO</w:t>
            </w:r>
            <w:r>
              <w:rPr>
                <w:sz w:val="21"/>
                <w:vertAlign w:val="subscript"/>
              </w:rPr>
              <w:t>2</w:t>
            </w:r>
            <w:r>
              <w:rPr>
                <w:sz w:val="21"/>
              </w:rPr>
              <w:t>气体；输入气体压力：</w:t>
            </w:r>
            <w:r>
              <w:rPr>
                <w:sz w:val="21"/>
              </w:rPr>
              <w:t>≥0.1-0.15MPa；</w:t>
            </w:r>
          </w:p>
          <w:p>
            <w:pPr>
              <w:pStyle w:val="null3"/>
              <w:jc w:val="both"/>
            </w:pPr>
            <w:r>
              <w:rPr>
                <w:sz w:val="21"/>
              </w:rPr>
              <w:t>6.4 内部加湿方式：采用培养箱内部的直接加湿方式，可以保持≥90%高湿度；</w:t>
            </w:r>
          </w:p>
          <w:p>
            <w:pPr>
              <w:pStyle w:val="null3"/>
              <w:jc w:val="both"/>
            </w:pPr>
            <w:r>
              <w:rPr>
                <w:sz w:val="21"/>
              </w:rPr>
              <w:t xml:space="preserve">7 </w:t>
            </w:r>
            <w:r>
              <w:rPr>
                <w:sz w:val="21"/>
              </w:rPr>
              <w:t>控制终端</w:t>
            </w:r>
            <w:r>
              <w:rPr>
                <w:sz w:val="21"/>
              </w:rPr>
              <w:t>（最低配置）：</w:t>
            </w:r>
          </w:p>
          <w:p>
            <w:pPr>
              <w:pStyle w:val="null3"/>
              <w:jc w:val="both"/>
            </w:pPr>
            <w:r>
              <w:rPr>
                <w:sz w:val="21"/>
              </w:rPr>
              <w:t>7.1 系统：正版操作系统；</w:t>
            </w:r>
          </w:p>
          <w:p>
            <w:pPr>
              <w:pStyle w:val="null3"/>
              <w:jc w:val="both"/>
            </w:pPr>
            <w:r>
              <w:rPr>
                <w:sz w:val="21"/>
              </w:rPr>
              <w:t>7.2 处理器：≥16 Core，≥8核，≥12MB Cache；</w:t>
            </w:r>
          </w:p>
          <w:p>
            <w:pPr>
              <w:pStyle w:val="null3"/>
              <w:jc w:val="both"/>
            </w:pPr>
            <w:r>
              <w:rPr>
                <w:sz w:val="21"/>
              </w:rPr>
              <w:t>7.3 内存: ≥32GB；</w:t>
            </w:r>
          </w:p>
          <w:p>
            <w:pPr>
              <w:pStyle w:val="null3"/>
              <w:jc w:val="both"/>
            </w:pPr>
            <w:r>
              <w:rPr>
                <w:sz w:val="21"/>
              </w:rPr>
              <w:t>7.4 硬盘: ≥1TB SSD； 和≥4T的非叠瓦机械硬盘；</w:t>
            </w:r>
          </w:p>
          <w:p>
            <w:pPr>
              <w:pStyle w:val="null3"/>
              <w:jc w:val="both"/>
            </w:pPr>
            <w:r>
              <w:rPr>
                <w:sz w:val="21"/>
              </w:rPr>
              <w:t>7.5 显卡: ≥6GB，4 mDP to DP adapter；</w:t>
            </w:r>
          </w:p>
          <w:p>
            <w:pPr>
              <w:pStyle w:val="null3"/>
              <w:jc w:val="both"/>
            </w:pPr>
            <w:r>
              <w:rPr>
                <w:sz w:val="21"/>
              </w:rPr>
              <w:t>7.6 USB 接口：≥6个可用的USB插槽；</w:t>
            </w:r>
          </w:p>
          <w:p>
            <w:pPr>
              <w:pStyle w:val="null3"/>
              <w:jc w:val="both"/>
            </w:pPr>
            <w:r>
              <w:rPr>
                <w:sz w:val="21"/>
              </w:rPr>
              <w:t>7.7 显示器屏幕分辨率：≥3840*2160；</w:t>
            </w:r>
          </w:p>
          <w:p>
            <w:pPr>
              <w:pStyle w:val="null3"/>
              <w:jc w:val="both"/>
            </w:pPr>
            <w:r>
              <w:rPr>
                <w:sz w:val="21"/>
              </w:rPr>
              <w:t>8 质保期≥5年。</w:t>
            </w:r>
          </w:p>
          <w:p>
            <w:pPr>
              <w:pStyle w:val="null3"/>
              <w:jc w:val="both"/>
            </w:pPr>
            <w:r>
              <w:rPr>
                <w:sz w:val="21"/>
              </w:rPr>
              <w:t>9至少满足以下配置：</w:t>
            </w:r>
          </w:p>
          <w:p>
            <w:pPr>
              <w:pStyle w:val="null3"/>
              <w:jc w:val="both"/>
            </w:pPr>
            <w:r>
              <w:rPr>
                <w:sz w:val="21"/>
              </w:rPr>
              <w:t>9.1 全电动倒置荧光显微镜  1套</w:t>
            </w:r>
          </w:p>
          <w:p>
            <w:pPr>
              <w:pStyle w:val="null3"/>
              <w:jc w:val="both"/>
            </w:pPr>
            <w:r>
              <w:rPr>
                <w:sz w:val="21"/>
              </w:rPr>
              <w:t>9.2 防震平台或气动平台  1套</w:t>
            </w:r>
          </w:p>
          <w:p>
            <w:pPr>
              <w:pStyle w:val="null3"/>
              <w:jc w:val="both"/>
            </w:pPr>
            <w:r>
              <w:rPr>
                <w:sz w:val="21"/>
              </w:rPr>
              <w:t>9.3 共聚焦扫描系统  1套</w:t>
            </w:r>
          </w:p>
          <w:p>
            <w:pPr>
              <w:pStyle w:val="null3"/>
              <w:jc w:val="both"/>
            </w:pPr>
            <w:r>
              <w:rPr>
                <w:sz w:val="21"/>
              </w:rPr>
              <w:t>9.4</w:t>
            </w:r>
            <w:r>
              <w:rPr>
                <w:sz w:val="21"/>
              </w:rPr>
              <w:t xml:space="preserve"> </w:t>
            </w:r>
            <w:r>
              <w:rPr>
                <w:sz w:val="21"/>
              </w:rPr>
              <w:t>远程控制器</w:t>
            </w:r>
            <w:r>
              <w:rPr>
                <w:sz w:val="21"/>
              </w:rPr>
              <w:t xml:space="preserve">  </w:t>
            </w:r>
            <w:r>
              <w:rPr>
                <w:sz w:val="21"/>
              </w:rPr>
              <w:t>1套</w:t>
            </w:r>
          </w:p>
          <w:p>
            <w:pPr>
              <w:pStyle w:val="null3"/>
              <w:jc w:val="both"/>
            </w:pPr>
            <w:r>
              <w:rPr>
                <w:sz w:val="21"/>
              </w:rPr>
              <w:t>9.5 活细胞控制终端 1 套</w:t>
            </w:r>
          </w:p>
          <w:p>
            <w:pPr>
              <w:pStyle w:val="null3"/>
              <w:jc w:val="both"/>
            </w:pPr>
            <w:r>
              <w:rPr>
                <w:sz w:val="21"/>
              </w:rPr>
              <w:t>9.6 PC控制终端 1 套</w:t>
            </w:r>
          </w:p>
          <w:p>
            <w:pPr>
              <w:pStyle w:val="null3"/>
              <w:jc w:val="both"/>
            </w:pPr>
            <w:r>
              <w:rPr>
                <w:sz w:val="21"/>
              </w:rPr>
              <w:t xml:space="preserve">9.7 </w:t>
            </w:r>
            <w:r>
              <w:rPr>
                <w:sz w:val="21"/>
              </w:rPr>
              <w:t>控制终端打印</w:t>
            </w:r>
            <w:r>
              <w:rPr>
                <w:sz w:val="21"/>
              </w:rPr>
              <w:t>（激光黑白）</w:t>
            </w:r>
            <w:r>
              <w:rPr>
                <w:sz w:val="21"/>
              </w:rPr>
              <w:t>1台</w:t>
            </w:r>
          </w:p>
          <w:p>
            <w:pPr>
              <w:pStyle w:val="null3"/>
              <w:jc w:val="both"/>
            </w:pPr>
            <w:r>
              <w:rPr>
                <w:sz w:val="21"/>
              </w:rPr>
              <w:t>9.8 配套</w:t>
            </w:r>
            <w:r>
              <w:rPr>
                <w:sz w:val="21"/>
              </w:rPr>
              <w:t>控制终端</w:t>
            </w:r>
            <w:r>
              <w:rPr>
                <w:sz w:val="21"/>
              </w:rPr>
              <w:t xml:space="preserve"> </w:t>
            </w:r>
            <w:r>
              <w:rPr>
                <w:sz w:val="21"/>
              </w:rPr>
              <w:t>1</w:t>
            </w:r>
            <w:r>
              <w:rPr>
                <w:sz w:val="21"/>
              </w:rPr>
              <w:t>套</w:t>
            </w:r>
          </w:p>
          <w:p>
            <w:pPr>
              <w:pStyle w:val="null3"/>
              <w:jc w:val="both"/>
            </w:pPr>
            <w:r>
              <w:rPr>
                <w:sz w:val="21"/>
              </w:rPr>
              <w:t>9.9 离线分析软件  1套</w:t>
            </w:r>
          </w:p>
          <w:p>
            <w:pPr>
              <w:pStyle w:val="null3"/>
              <w:jc w:val="both"/>
            </w:pPr>
            <w:r>
              <w:rPr>
                <w:sz w:val="21"/>
              </w:rPr>
              <w:t>9.10 100*复消色差平场物镜(油镜)  1个</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汕头大学·香港中文大学联合汕头国际眼科中心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（1）以项目中标金额作为代理服务费的计算基数； （2）招标代理服务费采用差额定率累进法进行计算，按照以下标准计算后下浮30%计取：100万元以下的部分，按照1.5%计取； 100-500万元的部分，按照1.1%计取；计算后不足4000元的以4000元收取；；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汕头大学·香港中文大学联合汕头国际眼科中心激光共聚焦显微镜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采购包1（汕头大学·香港中文大学联合汕头国际眼科中心激光共聚焦显微镜采购项目）：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采购包1（汕头大学·香港中文大学联合汕头国际眼科中心激光共聚焦显微镜采购项目）：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联合体规定</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采购包1（汕头大学·香港中文大学联合汕头国际眼科中心激光共聚焦显微镜采购项目）：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采购包1(汕头大学·香港中文大学联合汕头国际眼科中心激光共聚焦显微镜采购项目):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带▲号的重要技术参数响应程度 (25.5分)</w:t>
            </w:r>
          </w:p>
        </w:tc>
        <w:tc>
          <w:tcPr>
            <w:tcW w:type="dxa" w:w="5076"/>
          </w:tcPr>
          <w:p>
            <w:pPr>
              <w:pStyle w:val="null3"/>
              <w:jc w:val="left"/>
            </w:pPr>
            <w:r>
              <w:rPr/>
              <w:t>根据投标人对招标文件“具体技术(参数)要求”中▲号参数（共17条）响应进行评审：每满足一个▲号，得1.5分，最高得25.5分。 注：如“具体技术(参数)要求”中有明确要求提供证明材料的，则以“具体技术(参数)要求”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一般技术参数响应程度 (8.5分)</w:t>
            </w:r>
          </w:p>
        </w:tc>
        <w:tc>
          <w:tcPr>
            <w:tcW w:type="dxa" w:w="5076"/>
          </w:tcPr>
          <w:p>
            <w:pPr>
              <w:pStyle w:val="null3"/>
              <w:jc w:val="left"/>
            </w:pPr>
            <w:r>
              <w:rPr/>
              <w:t>根据投标人对招标文件“具体技术(参数)要求”中一般技术参数（不含带“▲”及“★”条款）响应情况进行评审： 得分计算公式=（一般技术参数总数-负偏离总数）/一般技术参数总数×8.5分，结果四舍五入保留两位小数；本项目一般技术参数共63条。 注：如“具体技术(参数)要求”中有明确要求提供证明材料的，则以“具体技术(参数)要求”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根据投标人提供的技术服务方案（包括运输、安装、调试等）进行评审： （1）技术服务方案具体，可行性高的，得5分； （2）技术服务方案较具体，可行性较高的，得3分； （3）技术服务方案基本具体，可行性一般的，得1分； （4）未提供技术服务方案，得0分。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根据投标人提供的培训方案（包括但不限于培训计划、时间安排、人员安排，内容安排、考核及效果评估等）进行评审： （1）针对本项目的培训方案详细具体，可行性、可操作性强、培训计划全面，得5分； （2）针对本项目的培训服务方案基本具体，可行性、可操作性一般、培训计划基本全面，得3分； （3）针对本项目的培训服务方案不够详细具体，可行性、可操作性一般、培训计划不够全面，得1分； （4）未提供培训方案，得0分。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根据投标人售后服务情况（包括但不限于质保期内外的服务内容、服务方式、售后服务计划及人员支持安排等）进行评审： （1）售后服务内容全面、服务方式、售后服务计划及人员支持安排清晰明确且合理可行，完全满足用户需求，得5分； （2）售后服务内容基本全面、服务方式、售后服务计划及人员支持安排清晰且基本合理，基本满足用户需求，得3分； （3）售后服务内容不够全面、服务方式、售后服务计划及人员支持安排不清晰或不够合理，得1分； （4）未提供售后服务方案，得0分。</w:t>
            </w:r>
          </w:p>
        </w:tc>
      </w:tr>
      <w:tr>
        <w:tc>
          <w:tcPr>
            <w:tcW w:type="dxa" w:w="922"/>
            <w:gridSpan w:val="2"/>
            <w:vMerge/>
          </w:tcPr>
          <w:p/>
        </w:tc>
        <w:tc>
          <w:tcPr>
            <w:tcW w:type="dxa" w:w="2307"/>
          </w:tcPr>
          <w:p>
            <w:pPr>
              <w:pStyle w:val="null3"/>
              <w:jc w:val="left"/>
            </w:pPr>
            <w:r>
              <w:rPr/>
              <w:t>质量保证方案 (6.0分)</w:t>
            </w:r>
          </w:p>
        </w:tc>
        <w:tc>
          <w:tcPr>
            <w:tcW w:type="dxa" w:w="5076"/>
          </w:tcPr>
          <w:p>
            <w:pPr>
              <w:pStyle w:val="null3"/>
              <w:jc w:val="left"/>
            </w:pPr>
            <w:r>
              <w:rPr/>
              <w:t>根据投标人的质量保证方案（包括但不限于质量保障措施等）进行评审： （1）方案内容完善、科学合理、可操作性强，得6分； （2）方案内容较完善、较科学合理、可操作性较强，得4分； （3）方案内容基本完善、基本科学合理、可操作性欠缺，得2分； （4）未提供质量保证方案，得0分。</w:t>
            </w:r>
          </w:p>
        </w:tc>
      </w:tr>
      <w:tr>
        <w:tc>
          <w:tcPr>
            <w:tcW w:type="dxa" w:w="922"/>
            <w:gridSpan w:val="2"/>
            <w:vMerge w:val="restart"/>
          </w:tcPr>
          <w:p>
            <w:pPr>
              <w:pStyle w:val="null3"/>
              <w:jc w:val="center"/>
            </w:pPr>
            <w:r>
              <w:rPr/>
              <w:t>商务部分</w:t>
            </w:r>
          </w:p>
        </w:tc>
        <w:tc>
          <w:tcPr>
            <w:tcW w:type="dxa" w:w="2307"/>
          </w:tcPr>
          <w:p>
            <w:pPr>
              <w:pStyle w:val="null3"/>
              <w:jc w:val="left"/>
            </w:pPr>
            <w:r>
              <w:rPr/>
              <w:t>拟投入项目团队情况 (9.0分)</w:t>
            </w:r>
          </w:p>
        </w:tc>
        <w:tc>
          <w:tcPr>
            <w:tcW w:type="dxa" w:w="5076"/>
          </w:tcPr>
          <w:p>
            <w:pPr>
              <w:pStyle w:val="null3"/>
              <w:jc w:val="left"/>
            </w:pPr>
            <w:r>
              <w:rPr/>
              <w:t>投标人拟投入本项目的技术服务人员团队情况： 每提供1名得3分，最高得9分； 注：以上人员提供在本单位任职的证明材料（如加盖所在地区政府有关部门印章的社保缴纳时间在本项目投标截止日之前六个月以内任一月的《投保单》或《社会保险参保人员证明》，或单位代缴个人所得税税单，或加盖单位印章的工作复印件等）；不提供不得分。</w:t>
            </w:r>
          </w:p>
        </w:tc>
      </w:tr>
      <w:tr>
        <w:tc>
          <w:tcPr>
            <w:tcW w:type="dxa" w:w="922"/>
            <w:gridSpan w:val="2"/>
            <w:vMerge/>
          </w:tcPr>
          <w:p/>
        </w:tc>
        <w:tc>
          <w:tcPr>
            <w:tcW w:type="dxa" w:w="2307"/>
          </w:tcPr>
          <w:p>
            <w:pPr>
              <w:pStyle w:val="null3"/>
              <w:jc w:val="left"/>
            </w:pPr>
            <w:r>
              <w:rPr/>
              <w:t>服务响应能力 (6.0分)</w:t>
            </w:r>
          </w:p>
        </w:tc>
        <w:tc>
          <w:tcPr>
            <w:tcW w:type="dxa" w:w="5076"/>
          </w:tcPr>
          <w:p>
            <w:pPr>
              <w:pStyle w:val="null3"/>
              <w:jc w:val="left"/>
            </w:pPr>
            <w:r>
              <w:rPr/>
              <w:t>根据投标人的响应速度进行评分： （1）承诺保修期内的维修，在接到用户维修通知，投标人人员能在24小时内到达现场处理，如设备在检修24小时后故障仍无法排除，投标人将在三个工作日内更换零配件，修复故障设备；得6分。 （2）承诺保修期内的维修，在接到用户维修通知，投标人人员能在36小时内到达现场处理，如设备在检修36小时后故障仍无法排除，投标人将在四个工作日内更换零配件，修复故障设备；得4分。 （3）承诺保修期内的维修，在接到用户维修通知，投标人人员能在48小时内到达现场处理，如设备在检修48小时后故障仍无法排除，投标人将在五个工作日内更换零配件，修复故障设备；得2分。 （4）其他不得分。 注：提供承诺或声明，格式自拟，不提供或无法认定的不得分。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rPr>
        <w:t>合同模板</w:t>
      </w:r>
    </w:p>
    <w:p>
      <w:pPr>
        <w:pStyle w:val="null3"/>
        <w:jc w:val="right"/>
      </w:pPr>
      <w:r>
        <w:rPr>
          <w:sz w:val="21"/>
        </w:rPr>
        <w:t>甲</w:t>
      </w:r>
      <w:r>
        <w:rPr>
          <w:sz w:val="21"/>
        </w:rPr>
        <w:t xml:space="preserve">  </w:t>
      </w:r>
      <w:r>
        <w:rPr>
          <w:sz w:val="21"/>
        </w:rPr>
        <w:t>方：（买方）汕头大学</w:t>
      </w:r>
      <w:r>
        <w:rPr>
          <w:sz w:val="21"/>
        </w:rPr>
        <w:t>·香港中文大学联合汕头国际眼科中心</w:t>
      </w:r>
    </w:p>
    <w:p>
      <w:pPr>
        <w:pStyle w:val="null3"/>
        <w:jc w:val="both"/>
      </w:pPr>
      <w:r>
        <w:rPr>
          <w:sz w:val="21"/>
        </w:rPr>
        <w:t>乙</w:t>
      </w:r>
      <w:r>
        <w:rPr>
          <w:sz w:val="21"/>
        </w:rPr>
        <w:t xml:space="preserve">  </w:t>
      </w:r>
      <w:r>
        <w:rPr>
          <w:sz w:val="21"/>
        </w:rPr>
        <w:t>方：（卖方）</w:t>
      </w:r>
    </w:p>
    <w:p>
      <w:pPr>
        <w:pStyle w:val="null3"/>
        <w:jc w:val="both"/>
      </w:pPr>
      <w:r>
        <w:rPr>
          <w:sz w:val="21"/>
        </w:rPr>
        <w:t>签订时间：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签订地点：广东汕头</w:t>
      </w:r>
    </w:p>
    <w:p>
      <w:pPr>
        <w:pStyle w:val="null3"/>
        <w:spacing w:before="105" w:after="105"/>
        <w:jc w:val="both"/>
      </w:pPr>
      <w:r>
        <w:rPr>
          <w:sz w:val="21"/>
          <w:shd w:fill="FFFFFF" w:val="clear"/>
        </w:rPr>
        <w:t xml:space="preserve">      </w:t>
      </w:r>
      <w:r>
        <w:rPr>
          <w:sz w:val="21"/>
          <w:shd w:fill="FFFFFF" w:val="clear"/>
        </w:rPr>
        <w:t>根据《中华人民共和国民法典》及</w:t>
      </w:r>
      <w:r>
        <w:rPr>
          <w:sz w:val="21"/>
          <w:shd w:fill="FFFFFF" w:val="clear"/>
        </w:rPr>
        <w:t xml:space="preserve">   </w:t>
      </w:r>
      <w:r>
        <w:rPr>
          <w:sz w:val="21"/>
          <w:shd w:fill="FFFFFF" w:val="clear"/>
        </w:rPr>
        <w:t>年</w:t>
      </w:r>
      <w:r>
        <w:rPr>
          <w:sz w:val="21"/>
          <w:shd w:fill="FFFFFF" w:val="clear"/>
        </w:rPr>
        <w:t xml:space="preserve">  </w:t>
      </w:r>
      <w:r>
        <w:rPr>
          <w:sz w:val="21"/>
          <w:shd w:fill="FFFFFF" w:val="clear"/>
        </w:rPr>
        <w:t>月</w:t>
      </w:r>
      <w:r>
        <w:rPr>
          <w:sz w:val="21"/>
          <w:shd w:fill="FFFFFF" w:val="clear"/>
        </w:rPr>
        <w:t xml:space="preserve">  </w:t>
      </w:r>
      <w:r>
        <w:rPr>
          <w:sz w:val="21"/>
          <w:shd w:fill="FFFFFF" w:val="clear"/>
        </w:rPr>
        <w:t>日</w:t>
      </w:r>
      <w:r>
        <w:rPr>
          <w:sz w:val="21"/>
          <w:shd w:fill="FFFFFF" w:val="clear"/>
        </w:rPr>
        <w:t>xxx招标文件（xxx项目（项目编号xxx）及中标通知书，经甲、乙双方协商一致，签订本合同，条款如下：</w:t>
      </w:r>
    </w:p>
    <w:p>
      <w:pPr>
        <w:pStyle w:val="null3"/>
        <w:jc w:val="both"/>
      </w:pPr>
      <w:r>
        <w:rPr>
          <w:sz w:val="21"/>
        </w:rPr>
        <w:t>1．中标设备名称及价格</w:t>
      </w:r>
    </w:p>
    <w:tbl>
      <w:tblPr>
        <w:tblW w:w="0" w:type="auto"/>
        <w:tblBorders>
          <w:top w:val="none" w:color="000000" w:sz="4"/>
          <w:left w:val="none" w:color="000000" w:sz="4"/>
          <w:bottom w:val="none" w:color="000000" w:sz="4"/>
          <w:right w:val="none" w:color="000000" w:sz="4"/>
          <w:insideH w:val="none"/>
          <w:insideV w:val="none"/>
        </w:tblBorders>
      </w:tblPr>
      <w:tblGrid>
        <w:gridCol w:w="2515"/>
        <w:gridCol w:w="1366"/>
        <w:gridCol w:w="1028"/>
        <w:gridCol w:w="677"/>
        <w:gridCol w:w="447"/>
        <w:gridCol w:w="1028"/>
        <w:gridCol w:w="1245"/>
      </w:tblGrid>
      <w:tr>
        <w:tc>
          <w:tcPr>
            <w:tcW w:type="dxa" w:w="2515"/>
            <w:tcBorders>
              <w:top w:val="single" w:color="000000" w:sz="8"/>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1"/>
              </w:rPr>
              <w:t>品名</w:t>
            </w:r>
          </w:p>
        </w:tc>
        <w:tc>
          <w:tcPr>
            <w:tcW w:type="dxa" w:w="1366"/>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型号、规格</w:t>
            </w:r>
          </w:p>
        </w:tc>
        <w:tc>
          <w:tcPr>
            <w:tcW w:type="dxa" w:w="1028"/>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生产厂家</w:t>
            </w:r>
          </w:p>
        </w:tc>
        <w:tc>
          <w:tcPr>
            <w:tcW w:type="dxa" w:w="677"/>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数量</w:t>
            </w:r>
          </w:p>
        </w:tc>
        <w:tc>
          <w:tcPr>
            <w:tcW w:type="dxa" w:w="447"/>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单位</w:t>
            </w:r>
          </w:p>
        </w:tc>
        <w:tc>
          <w:tcPr>
            <w:tcW w:type="dxa" w:w="1028"/>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单价</w:t>
            </w:r>
            <w:r>
              <w:rPr>
                <w:sz w:val="21"/>
              </w:rPr>
              <w:t>(元)</w:t>
            </w:r>
          </w:p>
        </w:tc>
        <w:tc>
          <w:tcPr>
            <w:tcW w:type="dxa" w:w="1245"/>
            <w:tcBorders>
              <w:top w:val="single" w:color="000000" w:sz="8"/>
              <w:left w:val="none" w:color="000000" w:sz="4"/>
              <w:bottom w:val="single" w:color="000000" w:sz="4"/>
              <w:right w:val="single" w:color="000000" w:sz="8"/>
            </w:tcBorders>
            <w:tcMar>
              <w:top w:type="dxa" w:w="0"/>
              <w:left w:type="dxa" w:w="30"/>
              <w:bottom w:type="dxa" w:w="0"/>
              <w:right w:type="dxa" w:w="30"/>
            </w:tcMar>
            <w:vAlign w:val="top"/>
          </w:tcPr>
          <w:p>
            <w:pPr>
              <w:pStyle w:val="null3"/>
              <w:jc w:val="center"/>
            </w:pPr>
            <w:r>
              <w:rPr>
                <w:sz w:val="21"/>
              </w:rPr>
              <w:t>总价</w:t>
            </w:r>
            <w:r>
              <w:rPr>
                <w:sz w:val="21"/>
              </w:rPr>
              <w:t>(元)</w:t>
            </w:r>
          </w:p>
        </w:tc>
      </w:tr>
      <w:tr>
        <w:tc>
          <w:tcPr>
            <w:tcW w:type="dxa" w:w="2515"/>
            <w:tcBorders>
              <w:top w:val="single" w:color="000000" w:sz="8"/>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366"/>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tc>
        <w:tc>
          <w:tcPr>
            <w:tcW w:type="dxa" w:w="1028"/>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tc>
        <w:tc>
          <w:tcPr>
            <w:tcW w:type="dxa" w:w="677"/>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tc>
        <w:tc>
          <w:tcPr>
            <w:tcW w:type="dxa" w:w="447"/>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tc>
        <w:tc>
          <w:tcPr>
            <w:tcW w:type="dxa" w:w="1028"/>
            <w:tcBorders>
              <w:top w:val="single" w:color="000000" w:sz="8"/>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XXX</w:t>
            </w:r>
            <w:r>
              <w:rPr>
                <w:sz w:val="21"/>
              </w:rPr>
              <w:t>,</w:t>
            </w:r>
            <w:r>
              <w:rPr>
                <w:sz w:val="21"/>
              </w:rPr>
              <w:t>XXX</w:t>
            </w:r>
            <w:r>
              <w:rPr>
                <w:sz w:val="21"/>
              </w:rPr>
              <w:t>.</w:t>
            </w:r>
            <w:r>
              <w:rPr>
                <w:sz w:val="21"/>
              </w:rPr>
              <w:t>XX</w:t>
            </w:r>
          </w:p>
        </w:tc>
        <w:tc>
          <w:tcPr>
            <w:tcW w:type="dxa" w:w="1245"/>
            <w:tcBorders>
              <w:top w:val="single" w:color="000000" w:sz="8"/>
              <w:left w:val="none" w:color="000000" w:sz="4"/>
              <w:bottom w:val="single" w:color="000000" w:sz="4"/>
              <w:right w:val="single" w:color="000000" w:sz="8"/>
            </w:tcBorders>
            <w:tcMar>
              <w:top w:type="dxa" w:w="0"/>
              <w:left w:type="dxa" w:w="30"/>
              <w:bottom w:type="dxa" w:w="0"/>
              <w:right w:type="dxa" w:w="30"/>
            </w:tcMar>
            <w:vAlign w:val="top"/>
          </w:tcPr>
          <w:p>
            <w:pPr>
              <w:pStyle w:val="null3"/>
              <w:jc w:val="center"/>
            </w:pPr>
            <w:r>
              <w:rPr>
                <w:sz w:val="21"/>
              </w:rPr>
              <w:t>XXX</w:t>
            </w:r>
            <w:r>
              <w:rPr>
                <w:sz w:val="21"/>
              </w:rPr>
              <w:t>,</w:t>
            </w:r>
            <w:r>
              <w:rPr>
                <w:sz w:val="21"/>
              </w:rPr>
              <w:t>XXX</w:t>
            </w:r>
            <w:r>
              <w:rPr>
                <w:sz w:val="21"/>
              </w:rPr>
              <w:t>.</w:t>
            </w:r>
            <w:r>
              <w:rPr>
                <w:sz w:val="21"/>
              </w:rPr>
              <w:t>XX</w:t>
            </w:r>
          </w:p>
        </w:tc>
      </w:tr>
      <w:tr>
        <w:tc>
          <w:tcPr>
            <w:tcW w:type="dxa" w:w="8306"/>
            <w:gridSpan w:val="7"/>
            <w:tcBorders>
              <w:top w:val="none" w:color="000000" w:sz="4"/>
              <w:left w:val="single" w:color="000000" w:sz="8"/>
              <w:bottom w:val="single" w:color="000000" w:sz="8"/>
              <w:right w:val="single" w:color="000000" w:sz="8"/>
            </w:tcBorders>
            <w:tcMar>
              <w:top w:type="dxa" w:w="0"/>
              <w:left w:type="dxa" w:w="30"/>
              <w:bottom w:type="dxa" w:w="0"/>
              <w:right w:type="dxa" w:w="30"/>
            </w:tcMar>
            <w:vAlign w:val="top"/>
          </w:tcPr>
          <w:p>
            <w:pPr>
              <w:pStyle w:val="null3"/>
              <w:ind w:right="15"/>
              <w:jc w:val="left"/>
            </w:pPr>
            <w:r>
              <w:rPr>
                <w:sz w:val="21"/>
              </w:rPr>
              <w:t>总金额（人民币）：￥</w:t>
            </w:r>
            <w:r>
              <w:rPr>
                <w:sz w:val="21"/>
              </w:rPr>
              <w:t xml:space="preserve"> </w:t>
            </w:r>
            <w:r>
              <w:rPr>
                <w:sz w:val="21"/>
              </w:rPr>
              <w:t>XXX</w:t>
            </w:r>
            <w:r>
              <w:rPr>
                <w:sz w:val="21"/>
              </w:rPr>
              <w:t>,</w:t>
            </w:r>
            <w:r>
              <w:rPr>
                <w:sz w:val="21"/>
              </w:rPr>
              <w:t>XXX</w:t>
            </w:r>
            <w:r>
              <w:rPr>
                <w:sz w:val="21"/>
              </w:rPr>
              <w:t>.</w:t>
            </w:r>
            <w:r>
              <w:rPr>
                <w:sz w:val="21"/>
              </w:rPr>
              <w:t>XX</w:t>
            </w:r>
            <w:r>
              <w:rPr>
                <w:sz w:val="21"/>
              </w:rPr>
              <w:t xml:space="preserve"> </w:t>
            </w:r>
            <w:r>
              <w:rPr>
                <w:sz w:val="21"/>
              </w:rPr>
              <w:t>元</w:t>
            </w:r>
            <w:r>
              <w:rPr>
                <w:sz w:val="21"/>
              </w:rPr>
              <w:t xml:space="preserve">  </w:t>
            </w:r>
            <w:r>
              <w:rPr>
                <w:sz w:val="21"/>
              </w:rPr>
              <w:t>（大写）：</w:t>
            </w:r>
          </w:p>
        </w:tc>
      </w:tr>
    </w:tbl>
    <w:p>
      <w:pPr>
        <w:pStyle w:val="null3"/>
        <w:jc w:val="both"/>
      </w:pPr>
      <w:r>
        <w:rPr>
          <w:sz w:val="21"/>
        </w:rPr>
        <w:t>注：品名、规格型号与注册证描述一致。合同总额包括产品（含相关配件、附件、安装材料）价格、运送货物到甲方指定地点费用</w:t>
      </w:r>
      <w:r>
        <w:rPr>
          <w:sz w:val="21"/>
        </w:rPr>
        <w:t>(包括但不限于运输、保险、装卸等费用)、仓储费、安装调试费、伴随服务费（包括但不限于人员培训费、技术使用及技术指导费）、保修期内服务费、各种税费及合同实施过程中不可预见费用等。本合同执行期间合同总价款不变。</w:t>
      </w:r>
    </w:p>
    <w:p>
      <w:pPr>
        <w:pStyle w:val="null3"/>
        <w:jc w:val="both"/>
      </w:pPr>
      <w:r>
        <w:rPr>
          <w:sz w:val="21"/>
        </w:rPr>
        <w:t>2．结算方式</w:t>
      </w:r>
    </w:p>
    <w:p>
      <w:pPr>
        <w:pStyle w:val="null3"/>
        <w:ind w:firstLine="210"/>
        <w:jc w:val="both"/>
      </w:pPr>
      <w:r>
        <w:rPr>
          <w:sz w:val="21"/>
        </w:rPr>
        <w:t xml:space="preserve">2.1 </w:t>
      </w:r>
      <w:r>
        <w:rPr>
          <w:sz w:val="21"/>
        </w:rPr>
        <w:t>甲方在合同签订后</w:t>
      </w:r>
      <w:r>
        <w:rPr>
          <w:sz w:val="21"/>
        </w:rPr>
        <w:t>5个工作日内向乙方预付合同款的30%</w:t>
      </w:r>
      <w:r>
        <w:rPr>
          <w:sz w:val="21"/>
        </w:rPr>
        <w:t>,</w:t>
      </w:r>
      <w:r>
        <w:rPr>
          <w:sz w:val="21"/>
        </w:rPr>
        <w:t>即人民币：</w:t>
      </w:r>
      <w:r>
        <w:rPr>
          <w:sz w:val="21"/>
        </w:rPr>
        <w:t>XXXXX</w:t>
      </w:r>
      <w:r>
        <w:rPr>
          <w:sz w:val="21"/>
        </w:rPr>
        <w:t>整（￥</w:t>
      </w:r>
      <w:r>
        <w:rPr>
          <w:sz w:val="21"/>
        </w:rPr>
        <w:t>XXX</w:t>
      </w:r>
      <w:r>
        <w:rPr>
          <w:sz w:val="21"/>
        </w:rPr>
        <w:t>,</w:t>
      </w:r>
      <w:r>
        <w:rPr>
          <w:sz w:val="21"/>
        </w:rPr>
        <w:t>XXX</w:t>
      </w:r>
      <w:r>
        <w:rPr>
          <w:sz w:val="21"/>
        </w:rPr>
        <w:t>.</w:t>
      </w:r>
      <w:r>
        <w:rPr>
          <w:sz w:val="21"/>
        </w:rPr>
        <w:t>XX</w:t>
      </w:r>
      <w:r>
        <w:rPr>
          <w:sz w:val="21"/>
        </w:rPr>
        <w:t>元）</w:t>
      </w:r>
    </w:p>
    <w:p>
      <w:pPr>
        <w:pStyle w:val="null3"/>
        <w:ind w:firstLine="210"/>
        <w:jc w:val="both"/>
      </w:pPr>
      <w:r>
        <w:rPr>
          <w:sz w:val="21"/>
        </w:rPr>
        <w:t xml:space="preserve">2.2 </w:t>
      </w:r>
      <w:r>
        <w:rPr>
          <w:sz w:val="21"/>
        </w:rPr>
        <w:t>合同设备全部按甲方指定地点交付并完成安装及验收后，</w:t>
      </w:r>
      <w:r>
        <w:rPr>
          <w:sz w:val="21"/>
        </w:rPr>
        <w:t>甲方收到乙方开具的增值税发票</w:t>
      </w:r>
      <w:r>
        <w:rPr>
          <w:sz w:val="21"/>
        </w:rPr>
        <w:t>10个工作日内</w:t>
      </w:r>
      <w:r>
        <w:rPr>
          <w:sz w:val="21"/>
        </w:rPr>
        <w:t>向乙方支付合同款的</w:t>
      </w:r>
      <w:r>
        <w:rPr>
          <w:sz w:val="21"/>
        </w:rPr>
        <w:t>70%</w:t>
      </w:r>
      <w:r>
        <w:rPr>
          <w:sz w:val="21"/>
        </w:rPr>
        <w:t>,</w:t>
      </w:r>
      <w:r>
        <w:rPr>
          <w:sz w:val="21"/>
        </w:rPr>
        <w:t>即人民币：</w:t>
      </w:r>
      <w:r>
        <w:rPr>
          <w:sz w:val="21"/>
        </w:rPr>
        <w:t>XXXXX</w:t>
      </w:r>
      <w:r>
        <w:rPr>
          <w:sz w:val="21"/>
        </w:rPr>
        <w:t>整（￥</w:t>
      </w:r>
      <w:r>
        <w:rPr>
          <w:sz w:val="21"/>
        </w:rPr>
        <w:t>XXX</w:t>
      </w:r>
      <w:r>
        <w:rPr>
          <w:sz w:val="21"/>
        </w:rPr>
        <w:t>,</w:t>
      </w:r>
      <w:r>
        <w:rPr>
          <w:sz w:val="21"/>
        </w:rPr>
        <w:t>XXX</w:t>
      </w:r>
      <w:r>
        <w:rPr>
          <w:sz w:val="21"/>
        </w:rPr>
        <w:t>.</w:t>
      </w:r>
      <w:r>
        <w:rPr>
          <w:sz w:val="21"/>
        </w:rPr>
        <w:t>XX</w:t>
      </w:r>
      <w:r>
        <w:rPr>
          <w:sz w:val="21"/>
        </w:rPr>
        <w:t>元）</w:t>
      </w:r>
    </w:p>
    <w:p>
      <w:pPr>
        <w:pStyle w:val="null3"/>
        <w:jc w:val="both"/>
      </w:pPr>
      <w:r>
        <w:rPr>
          <w:sz w:val="21"/>
        </w:rPr>
        <w:t>甲方发票信息：</w:t>
      </w:r>
    </w:p>
    <w:p>
      <w:pPr>
        <w:pStyle w:val="null3"/>
        <w:ind w:firstLine="315"/>
        <w:jc w:val="both"/>
      </w:pPr>
      <w:r>
        <w:rPr>
          <w:sz w:val="21"/>
        </w:rPr>
        <w:t>户</w:t>
      </w:r>
      <w:r>
        <w:rPr>
          <w:sz w:val="21"/>
        </w:rPr>
        <w:t xml:space="preserve">  </w:t>
      </w:r>
      <w:r>
        <w:rPr>
          <w:sz w:val="21"/>
        </w:rPr>
        <w:t>名：汕头大学</w:t>
      </w:r>
      <w:r>
        <w:rPr>
          <w:sz w:val="21"/>
        </w:rPr>
        <w:t>•香港中文大学联合汕头国际眼科中心</w:t>
      </w:r>
    </w:p>
    <w:p>
      <w:pPr>
        <w:pStyle w:val="null3"/>
        <w:ind w:firstLine="315"/>
        <w:jc w:val="both"/>
      </w:pPr>
      <w:r>
        <w:rPr>
          <w:sz w:val="21"/>
        </w:rPr>
        <w:t>税务登记号：</w:t>
      </w:r>
      <w:r>
        <w:rPr>
          <w:sz w:val="21"/>
        </w:rPr>
        <w:t>124400007350370078</w:t>
      </w:r>
    </w:p>
    <w:p>
      <w:pPr>
        <w:pStyle w:val="null3"/>
        <w:ind w:firstLine="315"/>
        <w:jc w:val="both"/>
      </w:pPr>
      <w:r>
        <w:rPr>
          <w:sz w:val="21"/>
        </w:rPr>
        <w:t>地址：汕头市东厦北路</w:t>
      </w:r>
    </w:p>
    <w:p>
      <w:pPr>
        <w:pStyle w:val="null3"/>
        <w:ind w:firstLine="315"/>
        <w:jc w:val="both"/>
      </w:pPr>
      <w:r>
        <w:rPr>
          <w:sz w:val="21"/>
        </w:rPr>
        <w:t>电话：</w:t>
      </w:r>
      <w:r>
        <w:rPr>
          <w:sz w:val="21"/>
        </w:rPr>
        <w:t>0754-88393528</w:t>
      </w:r>
    </w:p>
    <w:p>
      <w:pPr>
        <w:pStyle w:val="null3"/>
        <w:ind w:firstLine="315"/>
        <w:jc w:val="both"/>
      </w:pPr>
      <w:r>
        <w:rPr>
          <w:sz w:val="21"/>
        </w:rPr>
        <w:t>开户行：中国银行汕头市高新技术开发区支行</w:t>
      </w:r>
    </w:p>
    <w:p>
      <w:pPr>
        <w:pStyle w:val="null3"/>
        <w:ind w:firstLine="315"/>
        <w:jc w:val="both"/>
      </w:pPr>
      <w:r>
        <w:rPr>
          <w:sz w:val="21"/>
        </w:rPr>
        <w:t>账</w:t>
      </w:r>
      <w:r>
        <w:rPr>
          <w:sz w:val="21"/>
        </w:rPr>
        <w:t xml:space="preserve">  </w:t>
      </w:r>
      <w:r>
        <w:rPr>
          <w:sz w:val="21"/>
        </w:rPr>
        <w:t>号：</w:t>
      </w:r>
      <w:r>
        <w:rPr>
          <w:sz w:val="21"/>
        </w:rPr>
        <w:t>731557746892</w:t>
      </w:r>
    </w:p>
    <w:p>
      <w:pPr>
        <w:pStyle w:val="null3"/>
        <w:ind w:firstLine="315"/>
        <w:jc w:val="both"/>
      </w:pPr>
      <w:r>
        <w:rPr>
          <w:sz w:val="21"/>
        </w:rPr>
        <w:t>乙方收款账号信息：</w:t>
      </w:r>
    </w:p>
    <w:p>
      <w:pPr>
        <w:pStyle w:val="null3"/>
        <w:ind w:firstLine="315"/>
        <w:jc w:val="both"/>
      </w:pPr>
      <w:r>
        <w:rPr>
          <w:sz w:val="21"/>
        </w:rPr>
        <w:t>户名：</w:t>
      </w:r>
    </w:p>
    <w:p>
      <w:pPr>
        <w:pStyle w:val="null3"/>
        <w:ind w:firstLine="315"/>
        <w:jc w:val="both"/>
      </w:pPr>
      <w:r>
        <w:rPr>
          <w:sz w:val="21"/>
        </w:rPr>
        <w:t>开户银行：</w:t>
      </w:r>
    </w:p>
    <w:p>
      <w:pPr>
        <w:pStyle w:val="null3"/>
        <w:ind w:firstLine="315"/>
        <w:jc w:val="both"/>
      </w:pPr>
      <w:r>
        <w:rPr>
          <w:sz w:val="21"/>
        </w:rPr>
        <w:t>账</w:t>
      </w:r>
      <w:r>
        <w:rPr>
          <w:sz w:val="21"/>
        </w:rPr>
        <w:t xml:space="preserve">  </w:t>
      </w:r>
      <w:r>
        <w:rPr>
          <w:sz w:val="21"/>
        </w:rPr>
        <w:t>号：</w:t>
      </w:r>
    </w:p>
    <w:p>
      <w:pPr>
        <w:pStyle w:val="null3"/>
        <w:jc w:val="both"/>
      </w:pPr>
      <w:r>
        <w:rPr>
          <w:sz w:val="21"/>
        </w:rPr>
        <w:t>3．合同组成</w:t>
      </w:r>
    </w:p>
    <w:p>
      <w:pPr>
        <w:pStyle w:val="null3"/>
        <w:ind w:firstLine="315"/>
        <w:jc w:val="both"/>
      </w:pPr>
      <w:r>
        <w:rPr>
          <w:sz w:val="21"/>
        </w:rPr>
        <w:t>详细价格（包括设备配件及所用耗材的价格）、技术说明及其它有关合同设备的特定信息由合同附件说明。所有合同附件均为本合同不可分割之一部分</w:t>
      </w:r>
      <w:r>
        <w:rPr>
          <w:sz w:val="21"/>
        </w:rPr>
        <w:t>，具有同等的法律效力</w:t>
      </w:r>
      <w:r>
        <w:rPr>
          <w:sz w:val="21"/>
        </w:rPr>
        <w:t>。</w:t>
      </w:r>
    </w:p>
    <w:p>
      <w:pPr>
        <w:pStyle w:val="null3"/>
        <w:jc w:val="both"/>
      </w:pPr>
      <w:r>
        <w:rPr>
          <w:sz w:val="21"/>
        </w:rPr>
        <w:t>4．技术要求</w:t>
      </w:r>
    </w:p>
    <w:p>
      <w:pPr>
        <w:pStyle w:val="null3"/>
        <w:ind w:firstLine="315"/>
        <w:jc w:val="both"/>
      </w:pPr>
      <w:r>
        <w:rPr>
          <w:sz w:val="21"/>
        </w:rPr>
        <w:t>乙方所提供产品，必须符合国家有关规范和环保要求及甲方的技术要求，并提供货物的出厂测试报告及合格证。</w:t>
      </w:r>
    </w:p>
    <w:p>
      <w:pPr>
        <w:pStyle w:val="null3"/>
        <w:jc w:val="both"/>
      </w:pPr>
      <w:r>
        <w:rPr>
          <w:sz w:val="21"/>
        </w:rPr>
        <w:t>5．设备包装、交货、安装、调试及验收</w:t>
      </w:r>
    </w:p>
    <w:p>
      <w:pPr>
        <w:pStyle w:val="null3"/>
        <w:ind w:firstLine="315"/>
        <w:jc w:val="both"/>
      </w:pPr>
      <w:r>
        <w:rPr>
          <w:sz w:val="21"/>
        </w:rPr>
        <w:t>5.1合同设备的包装：设备的包装均应有良好的防湿、防锈、防潮、防雨、防腐及防碰撞的措施。凡由于包装不良造成的损失和由此产生的费用均由乙方承担。</w:t>
      </w:r>
    </w:p>
    <w:p>
      <w:pPr>
        <w:pStyle w:val="null3"/>
        <w:ind w:firstLine="315"/>
        <w:jc w:val="both"/>
      </w:pPr>
      <w:r>
        <w:rPr>
          <w:sz w:val="21"/>
        </w:rPr>
        <w:t>5.2设备的交货：</w:t>
      </w:r>
    </w:p>
    <w:p>
      <w:pPr>
        <w:pStyle w:val="null3"/>
        <w:ind w:firstLine="315"/>
        <w:jc w:val="both"/>
      </w:pPr>
      <w:r>
        <w:rPr>
          <w:sz w:val="21"/>
        </w:rPr>
        <w:t>5.2.1乙方交货时间：签订合同后三个月内。如遇甲方场地条件不满足，乙方配合甲方待场地条件满足后安排发货（</w:t>
      </w:r>
      <w:r>
        <w:rPr>
          <w:sz w:val="21"/>
        </w:rPr>
        <w:t>在此情况下，</w:t>
      </w:r>
      <w:r>
        <w:rPr>
          <w:sz w:val="21"/>
        </w:rPr>
        <w:t>乙方</w:t>
      </w:r>
      <w:r>
        <w:rPr>
          <w:sz w:val="21"/>
        </w:rPr>
        <w:t>应</w:t>
      </w:r>
      <w:r>
        <w:rPr>
          <w:sz w:val="21"/>
        </w:rPr>
        <w:t>在接到甲方</w:t>
      </w:r>
      <w:r>
        <w:rPr>
          <w:sz w:val="21"/>
        </w:rPr>
        <w:t>场地条件满足的</w:t>
      </w:r>
      <w:r>
        <w:rPr>
          <w:sz w:val="21"/>
        </w:rPr>
        <w:t>通知后</w:t>
      </w:r>
      <w:r>
        <w:rPr>
          <w:sz w:val="21"/>
        </w:rPr>
        <w:t xml:space="preserve">1个月内完成项目交货工作）。   </w:t>
      </w:r>
    </w:p>
    <w:p>
      <w:pPr>
        <w:pStyle w:val="null3"/>
        <w:ind w:firstLine="315"/>
        <w:jc w:val="both"/>
      </w:pPr>
      <w:r>
        <w:rPr>
          <w:sz w:val="21"/>
        </w:rPr>
        <w:t>5.2.2乙方交货地点：汕头大学•香港中文大学联合汕头国际眼科中心</w:t>
      </w:r>
      <w:r>
        <w:rPr>
          <w:sz w:val="21"/>
        </w:rPr>
        <w:t>甲方</w:t>
      </w:r>
      <w:r>
        <w:rPr>
          <w:sz w:val="21"/>
        </w:rPr>
        <w:t>指定房间。</w:t>
      </w:r>
    </w:p>
    <w:p>
      <w:pPr>
        <w:pStyle w:val="null3"/>
        <w:ind w:firstLine="315"/>
        <w:jc w:val="both"/>
      </w:pPr>
      <w:r>
        <w:rPr>
          <w:sz w:val="21"/>
        </w:rPr>
        <w:t>5.3合同设备的安装调试：</w:t>
      </w:r>
    </w:p>
    <w:p>
      <w:pPr>
        <w:pStyle w:val="null3"/>
        <w:ind w:firstLine="315"/>
        <w:jc w:val="both"/>
      </w:pPr>
      <w:r>
        <w:rPr>
          <w:sz w:val="21"/>
        </w:rPr>
        <w:t>5.3.1乙方负责合同项下的安装调试，一切费用由乙方负责。</w:t>
      </w:r>
    </w:p>
    <w:p>
      <w:pPr>
        <w:pStyle w:val="null3"/>
        <w:ind w:firstLine="315"/>
        <w:jc w:val="both"/>
      </w:pPr>
      <w:r>
        <w:rPr>
          <w:sz w:val="21"/>
        </w:rPr>
        <w:t>5.3.2乙方安装时须对各安装场地内的其它设备、设施有良好保护措施</w:t>
      </w:r>
      <w:r>
        <w:rPr>
          <w:sz w:val="21"/>
        </w:rPr>
        <w:t>。若因乙方违反此条约定给甲方造成的全部损失，乙方应予以赔偿。</w:t>
      </w:r>
    </w:p>
    <w:p>
      <w:pPr>
        <w:pStyle w:val="null3"/>
        <w:ind w:firstLine="315"/>
        <w:jc w:val="both"/>
      </w:pPr>
      <w:r>
        <w:rPr>
          <w:sz w:val="21"/>
        </w:rPr>
        <w:t>5.3.3乙方安装调试时需负责设备或系统免费接入医院</w:t>
      </w:r>
      <w:r>
        <w:rPr>
          <w:sz w:val="21"/>
        </w:rPr>
        <w:t>医学影像</w:t>
      </w:r>
      <w:r>
        <w:rPr>
          <w:sz w:val="21"/>
        </w:rPr>
        <w:t>存档与通讯系统，及免费完成与甲方</w:t>
      </w:r>
      <w:r>
        <w:rPr>
          <w:sz w:val="21"/>
        </w:rPr>
        <w:t>LIS系统的对接。</w:t>
      </w:r>
    </w:p>
    <w:p>
      <w:pPr>
        <w:pStyle w:val="null3"/>
        <w:ind w:firstLine="315"/>
        <w:jc w:val="both"/>
      </w:pPr>
      <w:r>
        <w:rPr>
          <w:sz w:val="21"/>
        </w:rPr>
        <w:t>5.4 设备的验收：</w:t>
      </w:r>
    </w:p>
    <w:p>
      <w:pPr>
        <w:pStyle w:val="null3"/>
        <w:ind w:firstLine="315"/>
        <w:jc w:val="both"/>
      </w:pPr>
      <w:r>
        <w:rPr>
          <w:sz w:val="21"/>
        </w:rPr>
        <w:t>5.4.1验收应在甲乙双方共同参加下进行。</w:t>
      </w:r>
    </w:p>
    <w:p>
      <w:pPr>
        <w:pStyle w:val="null3"/>
        <w:ind w:firstLine="315"/>
        <w:jc w:val="both"/>
      </w:pPr>
      <w:r>
        <w:rPr>
          <w:sz w:val="21"/>
        </w:rPr>
        <w:t>5.4.2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w:t>
      </w:r>
    </w:p>
    <w:p>
      <w:pPr>
        <w:pStyle w:val="null3"/>
        <w:ind w:firstLine="315"/>
        <w:jc w:val="both"/>
      </w:pPr>
      <w:r>
        <w:rPr>
          <w:sz w:val="21"/>
        </w:rPr>
        <w:t>5.4.3如果合同设备运输和安装调试过程中因事故造成货物短缺、损坏，乙方应及时安排换装，以保证合同设备安装调试的成功完成。换货的相关费用由乙方承担。</w:t>
      </w:r>
    </w:p>
    <w:p>
      <w:pPr>
        <w:pStyle w:val="null3"/>
        <w:ind w:firstLine="315"/>
        <w:jc w:val="both"/>
      </w:pPr>
      <w:r>
        <w:rPr>
          <w:sz w:val="21"/>
        </w:rPr>
        <w:t>5.4.4国内</w:t>
      </w:r>
      <w:r>
        <w:rPr>
          <w:sz w:val="21"/>
        </w:rPr>
        <w:t>产品或合资厂的产品必须具备出厂合格证。</w:t>
      </w:r>
    </w:p>
    <w:p>
      <w:pPr>
        <w:pStyle w:val="null3"/>
        <w:ind w:firstLine="315"/>
        <w:jc w:val="both"/>
      </w:pPr>
      <w:r>
        <w:rPr>
          <w:sz w:val="21"/>
        </w:rPr>
        <w:t>5.5 乙方保证合同项下提供的设备不侵犯任何第三方的专利、商标或版权。否则，乙方须承担对第三方的专利或版权的侵权责任并承担因此而发生的所有费用。若造成甲方损失的，乙方需承担甲方因此遭受的全部损失，包括但不限于诉讼费、律师费、商誉损失等。</w:t>
      </w:r>
    </w:p>
    <w:p>
      <w:pPr>
        <w:pStyle w:val="null3"/>
        <w:ind w:firstLine="315"/>
        <w:jc w:val="both"/>
      </w:pPr>
      <w:r>
        <w:rPr>
          <w:sz w:val="21"/>
        </w:rPr>
        <w:t>5.6完成设备与医院医学影像存档与通讯系统的正常联系，及与甲方信息系统的正常对接。</w:t>
      </w:r>
    </w:p>
    <w:p>
      <w:pPr>
        <w:pStyle w:val="null3"/>
        <w:ind w:firstLine="315"/>
        <w:jc w:val="both"/>
      </w:pPr>
      <w:r>
        <w:rPr>
          <w:sz w:val="21"/>
        </w:rPr>
        <w:t>5.7计算机兼容格式图像（JPEG、PNG）、病例文本信息(TXT)；免费开放DICOM接口授权，并提供对接医院PACS及RIS的DICOM连接文档</w:t>
      </w:r>
      <w:r>
        <w:rPr>
          <w:sz w:val="21"/>
        </w:rPr>
        <w:t>，</w:t>
      </w:r>
      <w:r>
        <w:rPr>
          <w:sz w:val="21"/>
        </w:rPr>
        <w:t>完成与甲方</w:t>
      </w:r>
      <w:r>
        <w:rPr>
          <w:sz w:val="21"/>
        </w:rPr>
        <w:t>LIS系统的对接</w:t>
      </w:r>
      <w:r>
        <w:rPr>
          <w:sz w:val="21"/>
        </w:rPr>
        <w:t>。</w:t>
      </w:r>
    </w:p>
    <w:p>
      <w:pPr>
        <w:pStyle w:val="null3"/>
        <w:ind w:firstLine="315"/>
        <w:jc w:val="both"/>
      </w:pPr>
      <w:r>
        <w:rPr>
          <w:sz w:val="21"/>
        </w:rPr>
        <w:t>5.8乙方应将设备用户手册、保修手册，有关资料等交给甲方。</w:t>
      </w:r>
    </w:p>
    <w:p>
      <w:pPr>
        <w:pStyle w:val="null3"/>
        <w:jc w:val="both"/>
      </w:pPr>
      <w:r>
        <w:rPr>
          <w:sz w:val="21"/>
        </w:rPr>
        <w:t>6．质量保证及售后服务</w:t>
      </w:r>
    </w:p>
    <w:p>
      <w:pPr>
        <w:pStyle w:val="null3"/>
        <w:ind w:firstLine="315"/>
        <w:jc w:val="both"/>
      </w:pPr>
      <w:r>
        <w:rPr>
          <w:sz w:val="21"/>
        </w:rPr>
        <w:t>6.1乙方应保证所提供的产品为全新的、技术先进的、质量高的、并满足设计参数要求</w:t>
      </w:r>
      <w:r>
        <w:rPr>
          <w:sz w:val="21"/>
        </w:rPr>
        <w:t>，软件版本为最新版本并提供免费的升级更新服务</w:t>
      </w:r>
      <w:r>
        <w:rPr>
          <w:sz w:val="21"/>
        </w:rPr>
        <w:t>。在正常工作条件下不会出现因设计、选材、制造失误所造成的设备缺陷。在正常的工作条件下，自设备发运至甲方后</w:t>
      </w:r>
      <w:r>
        <w:rPr>
          <w:sz w:val="21"/>
        </w:rPr>
        <w:t>14个月内或自设备考核验收后12个月内（两者以先到为准），出现了因乙方设计、选材、制造失误造成的设备缺陷，乙方将在接到用户的通知后免费对缺陷部分进行维修或更换。用户的不正确装卸、存储、维护、安装、操作等造成的设备故障不包括在上述保证范围内。</w:t>
      </w:r>
    </w:p>
    <w:p>
      <w:pPr>
        <w:pStyle w:val="null3"/>
        <w:ind w:firstLine="315"/>
        <w:jc w:val="both"/>
      </w:pPr>
      <w:r>
        <w:rPr>
          <w:sz w:val="21"/>
        </w:rPr>
        <w:t>6.2 乙方应对其产品提供及时、可靠的售后服务。质保期为</w:t>
      </w:r>
      <w:r>
        <w:rPr>
          <w:sz w:val="21"/>
          <w:u w:val="single"/>
        </w:rPr>
        <w:t xml:space="preserve">    </w:t>
      </w:r>
      <w:r>
        <w:rPr>
          <w:sz w:val="21"/>
        </w:rPr>
        <w:t>年免费保修及终生保养。</w:t>
      </w:r>
    </w:p>
    <w:p>
      <w:pPr>
        <w:pStyle w:val="null3"/>
        <w:ind w:firstLine="315"/>
        <w:jc w:val="both"/>
      </w:pPr>
      <w:r>
        <w:rPr>
          <w:sz w:val="21"/>
        </w:rPr>
        <w:t>6.3服务响应时间与服务内容（包括免费保修期及终生保养期）：保修期内的维修，乙方在接到用户维修通知，乙方人员应48小时内到达现场处理，如设备在检修48小时后故障仍无法排除，乙方将在五个工作日内更换零配件，修复故障设备，设备的检修期将以双倍计算延长保修期。保修期内的保养，乙方每季度进行一次设备的全面保养维护（一般安排于每季度最后一个月），并形成保养维护记录报告。</w:t>
      </w:r>
    </w:p>
    <w:p>
      <w:pPr>
        <w:pStyle w:val="null3"/>
        <w:ind w:firstLine="315"/>
        <w:jc w:val="both"/>
      </w:pPr>
      <w:r>
        <w:rPr>
          <w:sz w:val="21"/>
        </w:rPr>
        <w:t>6.4</w:t>
      </w:r>
      <w:r>
        <w:rPr>
          <w:sz w:val="21"/>
        </w:rPr>
        <w:t>乙方保证</w:t>
      </w:r>
      <w:r>
        <w:rPr>
          <w:sz w:val="21"/>
        </w:rPr>
        <w:t>保修期满后本合同项下</w:t>
      </w:r>
      <w:r>
        <w:rPr>
          <w:sz w:val="21"/>
        </w:rPr>
        <w:t>设备</w:t>
      </w:r>
      <w:r>
        <w:rPr>
          <w:sz w:val="21"/>
        </w:rPr>
        <w:t>年维保（全保）费用不超过合同采购价</w:t>
      </w:r>
      <w:r>
        <w:rPr>
          <w:sz w:val="21"/>
        </w:rPr>
        <w:t>5%。如不购年保，维修保养人工费标准与计价方式：免费系统维护保养及调试（每年一次）。需要更换零配件时，只收取相应的配件费，免收维修费、检修费、交通费等。</w:t>
      </w:r>
    </w:p>
    <w:p>
      <w:pPr>
        <w:pStyle w:val="null3"/>
        <w:ind w:firstLine="315"/>
        <w:jc w:val="both"/>
      </w:pPr>
      <w:r>
        <w:rPr>
          <w:sz w:val="21"/>
        </w:rPr>
        <w:t>6.5保修期内如合同设备需要维修致使甲方不能正常使用的，乙方应提供相同设备供甲方使用。</w:t>
      </w:r>
    </w:p>
    <w:p>
      <w:pPr>
        <w:pStyle w:val="null3"/>
        <w:jc w:val="both"/>
      </w:pPr>
      <w:r>
        <w:rPr>
          <w:sz w:val="21"/>
        </w:rPr>
        <w:t>下列情况乙方不负责免费保修：</w:t>
      </w:r>
    </w:p>
    <w:p>
      <w:pPr>
        <w:pStyle w:val="null3"/>
        <w:ind w:firstLine="315"/>
        <w:jc w:val="both"/>
      </w:pPr>
      <w:r>
        <w:rPr>
          <w:sz w:val="21"/>
        </w:rPr>
        <w:t>6.5.1甲方不按照乙方提供的正确使用方法而引致设备故障损坏；</w:t>
      </w:r>
    </w:p>
    <w:p>
      <w:pPr>
        <w:pStyle w:val="null3"/>
        <w:ind w:firstLine="315"/>
        <w:jc w:val="both"/>
      </w:pPr>
      <w:r>
        <w:rPr>
          <w:sz w:val="21"/>
        </w:rPr>
        <w:t>6.5.2甲方擅自改装设备；</w:t>
      </w:r>
    </w:p>
    <w:p>
      <w:pPr>
        <w:pStyle w:val="null3"/>
        <w:ind w:firstLine="315"/>
        <w:jc w:val="both"/>
      </w:pPr>
      <w:r>
        <w:rPr>
          <w:sz w:val="21"/>
        </w:rPr>
        <w:t>6.5.3各种人为因素或天灾等外来因素造成的损坏。</w:t>
      </w:r>
    </w:p>
    <w:p>
      <w:pPr>
        <w:pStyle w:val="null3"/>
        <w:ind w:firstLine="315"/>
        <w:jc w:val="both"/>
      </w:pPr>
      <w:r>
        <w:rPr>
          <w:sz w:val="21"/>
        </w:rPr>
        <w:t>6.6 因设备的质量问题而发生争议，由广东省或广州市质检部门进行质量鉴定。设备符合质量标准的，鉴定费用由甲方承担；设备不符合质量标准的，鉴定费用由乙方承担。</w:t>
      </w:r>
    </w:p>
    <w:p>
      <w:pPr>
        <w:pStyle w:val="null3"/>
        <w:ind w:firstLine="315"/>
        <w:jc w:val="both"/>
      </w:pPr>
      <w:r>
        <w:rPr>
          <w:sz w:val="21"/>
        </w:rPr>
        <w:t>6.7乙方为甲方无偿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315"/>
        <w:jc w:val="both"/>
      </w:pPr>
      <w:r>
        <w:rPr>
          <w:sz w:val="21"/>
        </w:rPr>
        <w:t>6.8设备耗材的使用，甲方在按规范操作下，耗材的使用次数及寿命若达不到配置表中所述，由乙方负责不足部分的使用提供。</w:t>
      </w:r>
    </w:p>
    <w:p>
      <w:pPr>
        <w:pStyle w:val="null3"/>
        <w:jc w:val="both"/>
      </w:pPr>
      <w:r>
        <w:rPr>
          <w:sz w:val="21"/>
        </w:rPr>
        <w:t>7．技术服务</w:t>
      </w:r>
    </w:p>
    <w:p>
      <w:pPr>
        <w:pStyle w:val="null3"/>
        <w:ind w:firstLine="315"/>
        <w:jc w:val="both"/>
      </w:pPr>
      <w:r>
        <w:rPr>
          <w:sz w:val="21"/>
        </w:rPr>
        <w:t>7.1乙方应派员到甲方指定地点配合工作。</w:t>
      </w:r>
    </w:p>
    <w:p>
      <w:pPr>
        <w:pStyle w:val="null3"/>
        <w:ind w:firstLine="315"/>
        <w:jc w:val="both"/>
      </w:pPr>
      <w:r>
        <w:rPr>
          <w:sz w:val="21"/>
        </w:rPr>
        <w:t>7.2乙方按甲方提供的合同执行进度计划，再配合甲方及有关单位，以此做好合同执行进度上的配合工作。</w:t>
      </w:r>
    </w:p>
    <w:p>
      <w:pPr>
        <w:pStyle w:val="null3"/>
        <w:ind w:firstLine="315"/>
        <w:jc w:val="both"/>
      </w:pPr>
      <w:r>
        <w:rPr>
          <w:sz w:val="21"/>
        </w:rPr>
        <w:t>8</w:t>
      </w:r>
      <w:r>
        <w:rPr>
          <w:sz w:val="21"/>
        </w:rPr>
        <w:t>．不可抗力</w:t>
      </w:r>
    </w:p>
    <w:p>
      <w:pPr>
        <w:pStyle w:val="null3"/>
        <w:ind w:firstLine="315"/>
        <w:jc w:val="both"/>
      </w:pPr>
      <w:r>
        <w:rPr>
          <w:sz w:val="21"/>
        </w:rPr>
        <w:t>8</w:t>
      </w:r>
      <w:r>
        <w:rPr>
          <w:sz w:val="21"/>
        </w:rPr>
        <w:t>.1不可抗力指战争、严重火灾、洪水、台风、地震等或其它双方认定的不可抗力事件。</w:t>
      </w:r>
    </w:p>
    <w:p>
      <w:pPr>
        <w:pStyle w:val="null3"/>
        <w:ind w:firstLine="315"/>
        <w:jc w:val="both"/>
      </w:pPr>
      <w:r>
        <w:rPr>
          <w:sz w:val="21"/>
        </w:rPr>
        <w:t>8</w:t>
      </w:r>
      <w:r>
        <w:rPr>
          <w:sz w:val="21"/>
        </w:rPr>
        <w:t>.2签约双方中任何一方由于不可抗力影响合同执行时，发生不可抗力一方应尽快将事故通知另一方。 在此情况下，乙方仍然有责任采取必要的措施加速供货，双方应通过友好协商尽快解决本合同的执行问题。</w:t>
      </w:r>
    </w:p>
    <w:p>
      <w:pPr>
        <w:pStyle w:val="null3"/>
        <w:jc w:val="both"/>
      </w:pPr>
      <w:r>
        <w:rPr>
          <w:sz w:val="21"/>
        </w:rPr>
        <w:t>9</w:t>
      </w:r>
      <w:r>
        <w:rPr>
          <w:sz w:val="21"/>
        </w:rPr>
        <w:t>．索赔</w:t>
      </w:r>
    </w:p>
    <w:p>
      <w:pPr>
        <w:pStyle w:val="null3"/>
        <w:ind w:firstLine="315"/>
        <w:jc w:val="both"/>
      </w:pPr>
      <w:r>
        <w:rPr>
          <w:sz w:val="21"/>
        </w:rPr>
        <w:t>9</w:t>
      </w:r>
      <w:r>
        <w:rPr>
          <w:sz w:val="21"/>
        </w:rPr>
        <w:t>.1如有异议，甲方有权根据有关政府部门的检验结果向乙方提出索赔。</w:t>
      </w:r>
    </w:p>
    <w:p>
      <w:pPr>
        <w:pStyle w:val="null3"/>
        <w:ind w:firstLine="315"/>
        <w:jc w:val="both"/>
      </w:pPr>
      <w:r>
        <w:rPr>
          <w:sz w:val="21"/>
        </w:rPr>
        <w:t>9</w:t>
      </w:r>
      <w:r>
        <w:rPr>
          <w:sz w:val="21"/>
        </w:rPr>
        <w:t>.2在合同执行期间，如果乙方对甲方提出的索赔和差异负有责任，乙方应按照甲方同意的下列一种或多种方式解决索赔事宜：</w:t>
      </w:r>
    </w:p>
    <w:p>
      <w:pPr>
        <w:pStyle w:val="null3"/>
        <w:ind w:firstLine="315"/>
        <w:jc w:val="both"/>
      </w:pPr>
      <w:r>
        <w:rPr>
          <w:sz w:val="21"/>
        </w:rPr>
        <w:t>9</w:t>
      </w:r>
      <w:r>
        <w:rPr>
          <w:sz w:val="21"/>
        </w:rPr>
        <w:t>.2.1乙方同意退货，并按合同规定的同种货币将全部货款退还给甲方，并承担由此发生的一切损失和费用。</w:t>
      </w:r>
    </w:p>
    <w:p>
      <w:pPr>
        <w:pStyle w:val="null3"/>
        <w:ind w:firstLine="315"/>
        <w:jc w:val="both"/>
      </w:pPr>
      <w:r>
        <w:rPr>
          <w:sz w:val="21"/>
        </w:rPr>
        <w:t>9</w:t>
      </w:r>
      <w:r>
        <w:rPr>
          <w:sz w:val="21"/>
        </w:rPr>
        <w:t>.2.2根据货物低劣程度、损坏程度以及甲方所遭受损失的数额甲乙双方商定降低货物的价格。</w:t>
      </w:r>
    </w:p>
    <w:p>
      <w:pPr>
        <w:pStyle w:val="null3"/>
        <w:ind w:firstLine="315"/>
        <w:jc w:val="both"/>
      </w:pPr>
      <w:r>
        <w:rPr>
          <w:sz w:val="21"/>
        </w:rPr>
        <w:t>9.2.3</w:t>
      </w:r>
      <w:r>
        <w:rPr>
          <w:sz w:val="21"/>
        </w:rPr>
        <w:t>用符合规格、质量和性能要求的新零件、部件或货物来更换有缺陷的部分或修补缺陷的部分，乙方应承担一切费用和风险并负有甲方所发生的一切直接费用，并承担甲方因此遭受的全部损失，包括但不限于因质量问题引起的直接损失及间接损失、律师费、</w:t>
      </w:r>
      <w:r>
        <w:rPr>
          <w:sz w:val="21"/>
        </w:rPr>
        <w:t>仲裁费、</w:t>
      </w:r>
      <w:r>
        <w:rPr>
          <w:sz w:val="21"/>
        </w:rPr>
        <w:t>保全费、鉴定费、诉讼费、差旅费、食宿费等费用。同时，相应延长质量保证期。</w:t>
      </w:r>
    </w:p>
    <w:p>
      <w:pPr>
        <w:pStyle w:val="null3"/>
        <w:ind w:firstLine="315"/>
        <w:jc w:val="both"/>
      </w:pPr>
      <w:r>
        <w:rPr>
          <w:sz w:val="21"/>
        </w:rPr>
        <w:t>9</w:t>
      </w:r>
      <w:r>
        <w:rPr>
          <w:sz w:val="21"/>
        </w:rPr>
        <w:t>.3如果在甲方发出索赔通知后30天内，乙方未作答复，上述索赔应视为已被乙方接受。甲方将从合同款项中扣回索赔金额。如果这些金额不足以补偿索赔金额，甲方有权向乙方提出不足部分的补偿。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rPr>
        <w:t>10</w:t>
      </w:r>
      <w:r>
        <w:rPr>
          <w:sz w:val="21"/>
        </w:rPr>
        <w:t>．违约与处罚</w:t>
      </w:r>
    </w:p>
    <w:p>
      <w:pPr>
        <w:pStyle w:val="null3"/>
        <w:ind w:firstLine="420"/>
        <w:jc w:val="both"/>
      </w:pPr>
      <w:r>
        <w:rPr>
          <w:sz w:val="21"/>
        </w:rPr>
        <w:t>10</w:t>
      </w:r>
      <w:r>
        <w:rPr>
          <w:sz w:val="21"/>
        </w:rPr>
        <w:t>.1甲方应依合同规定时间内，向乙方支付货款，每拖延一天乙方可向甲方加收合同金额的3‰的违约金。</w:t>
      </w:r>
    </w:p>
    <w:p>
      <w:pPr>
        <w:pStyle w:val="null3"/>
        <w:ind w:firstLine="420"/>
        <w:jc w:val="both"/>
      </w:pPr>
      <w:r>
        <w:rPr>
          <w:sz w:val="21"/>
        </w:rPr>
        <w:t>10</w:t>
      </w:r>
      <w:r>
        <w:rPr>
          <w:sz w:val="21"/>
        </w:rPr>
        <w:t>.2乙方未能按时交货，每拖延一天，须向甲方支付合同金额的3‰的违约金，逾期超过七天，甲方有权选择</w:t>
      </w:r>
      <w:r>
        <w:rPr>
          <w:sz w:val="21"/>
        </w:rPr>
        <w:t>单方</w:t>
      </w:r>
      <w:r>
        <w:rPr>
          <w:sz w:val="21"/>
        </w:rPr>
        <w:t>解除合同</w:t>
      </w:r>
      <w:r>
        <w:rPr>
          <w:sz w:val="21"/>
        </w:rPr>
        <w:t>且不承担任何责任</w:t>
      </w:r>
      <w:r>
        <w:rPr>
          <w:sz w:val="21"/>
        </w:rPr>
        <w:t>，乙方应向甲方支出合同总价款的</w:t>
      </w:r>
      <w:r>
        <w:rPr>
          <w:sz w:val="21"/>
        </w:rPr>
        <w:t>10 %的违约金 ，并承担甲方因此遭受的全部损失，包括但不限于律师费、</w:t>
      </w:r>
      <w:r>
        <w:rPr>
          <w:sz w:val="21"/>
        </w:rPr>
        <w:t>仲裁费、</w:t>
      </w:r>
      <w:r>
        <w:rPr>
          <w:sz w:val="21"/>
        </w:rPr>
        <w:t>保全费、鉴定费、诉讼费、差旅费、食宿费等费用。</w:t>
      </w:r>
    </w:p>
    <w:p>
      <w:pPr>
        <w:pStyle w:val="null3"/>
        <w:ind w:firstLine="420"/>
        <w:jc w:val="both"/>
      </w:pPr>
      <w:r>
        <w:rPr>
          <w:sz w:val="21"/>
        </w:rPr>
        <w:t>10</w:t>
      </w:r>
      <w:r>
        <w:rPr>
          <w:sz w:val="21"/>
        </w:rPr>
        <w:t>.3乙方交付的货物不符合合同规定的，甲方有权拒收，</w:t>
      </w:r>
      <w:r>
        <w:rPr>
          <w:sz w:val="21"/>
        </w:rPr>
        <w:t>同时</w:t>
      </w:r>
      <w:r>
        <w:rPr>
          <w:sz w:val="21"/>
        </w:rPr>
        <w:t>乙方</w:t>
      </w:r>
      <w:r>
        <w:rPr>
          <w:sz w:val="21"/>
        </w:rPr>
        <w:t>需</w:t>
      </w:r>
      <w:r>
        <w:rPr>
          <w:sz w:val="21"/>
        </w:rPr>
        <w:t>向甲方支付合同金额的</w:t>
      </w:r>
      <w:r>
        <w:rPr>
          <w:sz w:val="21"/>
        </w:rPr>
        <w:t>5%的违约金。</w:t>
      </w:r>
    </w:p>
    <w:p>
      <w:pPr>
        <w:pStyle w:val="null3"/>
        <w:ind w:firstLine="420"/>
        <w:jc w:val="both"/>
      </w:pPr>
      <w:r>
        <w:rPr>
          <w:sz w:val="21"/>
        </w:rPr>
        <w:t>10</w:t>
      </w:r>
      <w:r>
        <w:rPr>
          <w:sz w:val="21"/>
        </w:rPr>
        <w:t>.4甲方无正当理由拒收货物的，甲方向乙方支付合同金额的10%的违约金。</w:t>
      </w:r>
    </w:p>
    <w:p>
      <w:pPr>
        <w:pStyle w:val="null3"/>
        <w:ind w:firstLine="420"/>
        <w:jc w:val="both"/>
      </w:pPr>
      <w:r>
        <w:rPr>
          <w:sz w:val="21"/>
        </w:rPr>
        <w:t>10</w:t>
      </w:r>
      <w:r>
        <w:rPr>
          <w:sz w:val="21"/>
        </w:rPr>
        <w:t>.5乙方未能交付货物，</w:t>
      </w:r>
      <w:r>
        <w:rPr>
          <w:sz w:val="21"/>
        </w:rPr>
        <w:t>须退还甲方已支付的款项并</w:t>
      </w:r>
      <w:r>
        <w:rPr>
          <w:sz w:val="21"/>
        </w:rPr>
        <w:t>向甲方支付合同金额的</w:t>
      </w:r>
      <w:r>
        <w:rPr>
          <w:sz w:val="21"/>
        </w:rPr>
        <w:t>10</w:t>
      </w:r>
      <w:r>
        <w:rPr>
          <w:sz w:val="21"/>
        </w:rPr>
        <w:t>%的违约金。</w:t>
      </w:r>
    </w:p>
    <w:p>
      <w:pPr>
        <w:pStyle w:val="null3"/>
        <w:ind w:firstLine="420"/>
        <w:jc w:val="both"/>
      </w:pPr>
      <w:r>
        <w:rPr>
          <w:sz w:val="21"/>
        </w:rPr>
        <w:t>10.6</w:t>
      </w:r>
      <w:r>
        <w:rPr>
          <w:sz w:val="21"/>
        </w:rPr>
        <w:t>若设备出现质量问题，</w:t>
      </w:r>
      <w:r>
        <w:rPr>
          <w:sz w:val="21"/>
        </w:rPr>
        <w:t>乙方</w:t>
      </w:r>
      <w:r>
        <w:rPr>
          <w:sz w:val="21"/>
        </w:rPr>
        <w:t>应当及时进行换货。由此导致设备未按照合同约定的期限交货每延迟一天，</w:t>
      </w:r>
      <w:r>
        <w:rPr>
          <w:sz w:val="21"/>
        </w:rPr>
        <w:t>乙方</w:t>
      </w:r>
      <w:r>
        <w:rPr>
          <w:sz w:val="21"/>
        </w:rPr>
        <w:t>应向甲方支付合同价款</w:t>
      </w:r>
      <w:r>
        <w:rPr>
          <w:sz w:val="21"/>
        </w:rPr>
        <w:t>1%的违约金。若</w:t>
      </w:r>
      <w:r>
        <w:rPr>
          <w:sz w:val="21"/>
        </w:rPr>
        <w:t>乙方</w:t>
      </w:r>
      <w:r>
        <w:rPr>
          <w:sz w:val="21"/>
        </w:rPr>
        <w:t>延期交货的天数超过</w:t>
      </w:r>
      <w:r>
        <w:rPr>
          <w:sz w:val="21"/>
        </w:rPr>
        <w:t>30天，则甲方有权单方解除本合同，且</w:t>
      </w:r>
      <w:r>
        <w:rPr>
          <w:sz w:val="21"/>
        </w:rPr>
        <w:t>乙方</w:t>
      </w:r>
      <w:r>
        <w:rPr>
          <w:sz w:val="21"/>
        </w:rPr>
        <w:t>应当承担合</w:t>
      </w:r>
      <w:r>
        <w:rPr>
          <w:sz w:val="21"/>
        </w:rPr>
        <w:t>同</w:t>
      </w:r>
      <w:r>
        <w:rPr>
          <w:sz w:val="21"/>
        </w:rPr>
        <w:t>价款</w:t>
      </w:r>
      <w:r>
        <w:rPr>
          <w:sz w:val="21"/>
        </w:rPr>
        <w:t>30%的违约金。甲方维权由此所产生的损失，包括但不限于律师费、诉讼费用、</w:t>
      </w:r>
      <w:r>
        <w:rPr>
          <w:sz w:val="21"/>
        </w:rPr>
        <w:t>仲裁费用、</w:t>
      </w:r>
      <w:r>
        <w:rPr>
          <w:sz w:val="21"/>
        </w:rPr>
        <w:t>保全费</w:t>
      </w:r>
      <w:r>
        <w:rPr>
          <w:sz w:val="21"/>
        </w:rPr>
        <w:t>、</w:t>
      </w:r>
      <w:r>
        <w:rPr>
          <w:sz w:val="21"/>
        </w:rPr>
        <w:t>担保</w:t>
      </w:r>
      <w:r>
        <w:rPr>
          <w:sz w:val="21"/>
        </w:rPr>
        <w:t>费</w:t>
      </w:r>
      <w:r>
        <w:rPr>
          <w:sz w:val="21"/>
        </w:rPr>
        <w:t>、评估费、交通费等相关费用由</w:t>
      </w:r>
      <w:r>
        <w:rPr>
          <w:sz w:val="21"/>
        </w:rPr>
        <w:t>乙方</w:t>
      </w:r>
      <w:r>
        <w:rPr>
          <w:sz w:val="21"/>
        </w:rPr>
        <w:t>承担。</w:t>
      </w:r>
    </w:p>
    <w:p>
      <w:pPr>
        <w:pStyle w:val="null3"/>
        <w:ind w:firstLine="420"/>
        <w:jc w:val="both"/>
      </w:pPr>
      <w:r>
        <w:rPr>
          <w:sz w:val="21"/>
        </w:rPr>
        <w:t>10</w:t>
      </w:r>
      <w:r>
        <w:rPr>
          <w:sz w:val="21"/>
        </w:rPr>
        <w:t>.7乙方承诺所提供产品（含配件、软件、工具、服务等）均有合法来源且不侵犯其他第三方的任何知识产权或其他合法权益。否则，由此造成的相关不利后果及一切损失均由乙方承担，且乙方应承担由此给甲方造成的所有损失（包括但不限于：诉讼费、仲裁费、律师费、受裁决所负赔偿责任、生产经营损失等。）</w:t>
      </w:r>
    </w:p>
    <w:p>
      <w:pPr>
        <w:pStyle w:val="null3"/>
        <w:ind w:firstLine="420"/>
        <w:jc w:val="both"/>
      </w:pPr>
      <w:r>
        <w:rPr>
          <w:sz w:val="21"/>
        </w:rPr>
        <w:t>10</w:t>
      </w:r>
      <w:r>
        <w:rPr>
          <w:sz w:val="21"/>
        </w:rPr>
        <w:t>.8如发现乙方存在采用各种违法及不正当手段获得合同标的（包括但不限于利用关联关系、行贿、串通投标、弄虚作假等）导致合同解除，乙方承担违约责任，乙方应向甲方支付合同款项总额20%的违约金，并承担由此给甲方造成损失的赔偿责任。同时，甲方有权终止合同，乙方的合同履约保证金不予退还，并将乙方纳入甲方的黑名单。</w:t>
      </w:r>
    </w:p>
    <w:p>
      <w:pPr>
        <w:pStyle w:val="null3"/>
        <w:jc w:val="both"/>
      </w:pPr>
      <w:r>
        <w:rPr>
          <w:sz w:val="21"/>
        </w:rPr>
        <w:t>11</w:t>
      </w:r>
      <w:r>
        <w:rPr>
          <w:sz w:val="21"/>
        </w:rPr>
        <w:t>．合同终止</w:t>
      </w:r>
    </w:p>
    <w:p>
      <w:pPr>
        <w:pStyle w:val="null3"/>
        <w:ind w:firstLine="420"/>
        <w:jc w:val="both"/>
      </w:pPr>
      <w:r>
        <w:rPr>
          <w:sz w:val="21"/>
        </w:rPr>
        <w:t>如果一方严重违反合同，并在收到对方违约通知书后在</w:t>
      </w:r>
      <w:r>
        <w:rPr>
          <w:sz w:val="21"/>
        </w:rPr>
        <w:t>30天内仍未能改正违约的，另一方可立即终止本合同。</w:t>
      </w:r>
    </w:p>
    <w:p>
      <w:pPr>
        <w:pStyle w:val="null3"/>
        <w:jc w:val="both"/>
      </w:pPr>
      <w:r>
        <w:rPr>
          <w:sz w:val="21"/>
        </w:rPr>
        <w:t>1</w:t>
      </w:r>
      <w:r>
        <w:rPr>
          <w:sz w:val="21"/>
        </w:rPr>
        <w:t>2</w:t>
      </w:r>
      <w:r>
        <w:rPr>
          <w:sz w:val="21"/>
        </w:rPr>
        <w:t>．法律诉讼</w:t>
      </w:r>
    </w:p>
    <w:p>
      <w:pPr>
        <w:pStyle w:val="null3"/>
        <w:ind w:firstLine="420"/>
        <w:jc w:val="both"/>
      </w:pPr>
      <w:r>
        <w:rPr>
          <w:sz w:val="21"/>
        </w:rPr>
        <w:t>签约双方在履约中发生争执和分歧，双方应通过友好协商解决，若经协商不能达成协议时，则</w:t>
      </w:r>
      <w:r>
        <w:rPr>
          <w:sz w:val="21"/>
        </w:rPr>
        <w:t>任何一方可以向</w:t>
      </w:r>
      <w:r>
        <w:rPr>
          <w:sz w:val="21"/>
        </w:rPr>
        <w:t>合同签订地人民法院提起诉讼。受理期间，双方应继续执行合同其余部分。</w:t>
      </w:r>
    </w:p>
    <w:p>
      <w:pPr>
        <w:pStyle w:val="null3"/>
        <w:jc w:val="both"/>
      </w:pPr>
      <w:r>
        <w:rPr>
          <w:sz w:val="21"/>
        </w:rPr>
        <w:t>1</w:t>
      </w:r>
      <w:r>
        <w:rPr>
          <w:sz w:val="21"/>
        </w:rPr>
        <w:t>3</w:t>
      </w:r>
      <w:r>
        <w:rPr>
          <w:sz w:val="21"/>
        </w:rPr>
        <w:t>．其它</w:t>
      </w:r>
    </w:p>
    <w:p>
      <w:pPr>
        <w:pStyle w:val="null3"/>
        <w:ind w:firstLine="420"/>
        <w:jc w:val="both"/>
      </w:pPr>
      <w:r>
        <w:rPr>
          <w:sz w:val="21"/>
        </w:rPr>
        <w:t>1</w:t>
      </w:r>
      <w:r>
        <w:rPr>
          <w:sz w:val="21"/>
        </w:rPr>
        <w:t>3</w:t>
      </w:r>
      <w:r>
        <w:rPr>
          <w:sz w:val="21"/>
        </w:rPr>
        <w:t>.1本合同一式肆份，甲方</w:t>
      </w:r>
      <w:r>
        <w:rPr>
          <w:sz w:val="21"/>
        </w:rPr>
        <w:t>、</w:t>
      </w:r>
      <w:r>
        <w:rPr>
          <w:sz w:val="21"/>
        </w:rPr>
        <w:t>乙方各执贰份，具有同等法律效力。合同自</w:t>
      </w:r>
      <w:r>
        <w:rPr>
          <w:sz w:val="21"/>
        </w:rPr>
        <w:t>甲乙双方</w:t>
      </w:r>
      <w:r>
        <w:rPr>
          <w:sz w:val="21"/>
        </w:rPr>
        <w:t>签字</w:t>
      </w:r>
      <w:r>
        <w:rPr>
          <w:sz w:val="21"/>
        </w:rPr>
        <w:t>盖章</w:t>
      </w:r>
      <w:r>
        <w:rPr>
          <w:sz w:val="21"/>
        </w:rPr>
        <w:t>之日起即时生效。</w:t>
      </w:r>
    </w:p>
    <w:p>
      <w:pPr>
        <w:pStyle w:val="null3"/>
        <w:ind w:firstLine="420"/>
        <w:jc w:val="both"/>
      </w:pPr>
      <w:r>
        <w:rPr>
          <w:sz w:val="21"/>
        </w:rPr>
        <w:t>1</w:t>
      </w:r>
      <w:r>
        <w:rPr>
          <w:sz w:val="21"/>
        </w:rPr>
        <w:t>3</w:t>
      </w:r>
      <w:r>
        <w:rPr>
          <w:sz w:val="21"/>
        </w:rPr>
        <w:t>.2下列合同附件是本合同的一部分，并与本合同一起阅读和解释：</w:t>
      </w:r>
    </w:p>
    <w:p>
      <w:pPr>
        <w:pStyle w:val="null3"/>
        <w:ind w:firstLine="1155"/>
        <w:jc w:val="both"/>
      </w:pPr>
      <w:r>
        <w:rPr>
          <w:sz w:val="21"/>
        </w:rPr>
        <w:t>附件</w:t>
      </w:r>
      <w:r>
        <w:rPr>
          <w:sz w:val="21"/>
        </w:rPr>
        <w:t>1《中标设备详细配置清单/耗材价格表》；</w:t>
      </w:r>
    </w:p>
    <w:p>
      <w:pPr>
        <w:pStyle w:val="null3"/>
        <w:ind w:firstLine="1155"/>
        <w:jc w:val="both"/>
      </w:pPr>
      <w:r>
        <w:rPr>
          <w:sz w:val="21"/>
        </w:rPr>
        <w:t>附件</w:t>
      </w:r>
      <w:r>
        <w:rPr>
          <w:sz w:val="21"/>
        </w:rPr>
        <w:t>2《设备资料卡》；</w:t>
      </w:r>
    </w:p>
    <w:p>
      <w:pPr>
        <w:pStyle w:val="null3"/>
        <w:ind w:firstLine="1155"/>
        <w:jc w:val="both"/>
      </w:pPr>
      <w:r>
        <w:rPr>
          <w:sz w:val="21"/>
        </w:rPr>
        <w:t>附件</w:t>
      </w:r>
      <w:r>
        <w:rPr>
          <w:sz w:val="21"/>
        </w:rPr>
        <w:t>3《医药购销廉洁协议书》；</w:t>
      </w:r>
    </w:p>
    <w:p>
      <w:pPr>
        <w:pStyle w:val="null3"/>
        <w:ind w:firstLine="1155"/>
        <w:jc w:val="both"/>
      </w:pPr>
      <w:r>
        <w:rPr>
          <w:sz w:val="21"/>
        </w:rPr>
        <w:t>附件</w:t>
      </w:r>
      <w:r>
        <w:rPr>
          <w:sz w:val="21"/>
        </w:rPr>
        <w:t>4《中标通知书》</w:t>
      </w:r>
    </w:p>
    <w:p>
      <w:pPr>
        <w:pStyle w:val="null3"/>
        <w:ind w:firstLine="1155"/>
        <w:jc w:val="both"/>
      </w:pPr>
      <w:r>
        <w:rPr>
          <w:sz w:val="21"/>
        </w:rPr>
        <w:t>附件</w:t>
      </w:r>
      <w:r>
        <w:rPr>
          <w:sz w:val="21"/>
        </w:rPr>
        <w:t>5</w:t>
      </w:r>
      <w:r>
        <w:rPr>
          <w:sz w:val="21"/>
        </w:rPr>
        <w:t>《</w:t>
      </w:r>
      <w:r>
        <w:rPr>
          <w:sz w:val="21"/>
        </w:rPr>
        <w:t>供应商营业执照</w:t>
      </w:r>
      <w:r>
        <w:rPr>
          <w:sz w:val="21"/>
        </w:rPr>
        <w:t>》</w:t>
      </w:r>
    </w:p>
    <w:p>
      <w:pPr>
        <w:pStyle w:val="null3"/>
        <w:ind w:firstLine="1155"/>
        <w:jc w:val="both"/>
      </w:pPr>
      <w:r>
        <w:rPr>
          <w:sz w:val="21"/>
        </w:rPr>
        <w:t>附件</w:t>
      </w:r>
      <w:r>
        <w:rPr>
          <w:sz w:val="21"/>
        </w:rPr>
        <w:t>6</w:t>
      </w:r>
      <w:r>
        <w:rPr>
          <w:sz w:val="21"/>
        </w:rPr>
        <w:t>《产品注册证》</w:t>
      </w:r>
    </w:p>
    <w:p>
      <w:pPr>
        <w:pStyle w:val="null3"/>
        <w:ind w:firstLine="1155"/>
        <w:jc w:val="both"/>
      </w:pPr>
      <w:r>
        <w:rPr>
          <w:sz w:val="21"/>
        </w:rPr>
        <w:t>附件</w:t>
      </w:r>
      <w:r>
        <w:rPr>
          <w:sz w:val="21"/>
        </w:rPr>
        <w:t>7</w:t>
      </w:r>
      <w:r>
        <w:rPr>
          <w:sz w:val="21"/>
        </w:rPr>
        <w:t>《产品授权书》</w:t>
      </w:r>
    </w:p>
    <w:p>
      <w:pPr>
        <w:pStyle w:val="null3"/>
        <w:ind w:firstLine="420"/>
        <w:jc w:val="both"/>
      </w:pPr>
      <w:r>
        <w:rPr>
          <w:sz w:val="21"/>
        </w:rPr>
        <w:t>1</w:t>
      </w:r>
      <w:r>
        <w:rPr>
          <w:sz w:val="21"/>
        </w:rPr>
        <w:t>3</w:t>
      </w:r>
      <w:r>
        <w:rPr>
          <w:sz w:val="21"/>
        </w:rPr>
        <w:t>.3本合同未尽事宜，由双方协商处理。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3889"/>
        <w:gridCol w:w="198"/>
        <w:gridCol w:w="4219"/>
      </w:tblGrid>
      <w:tr>
        <w:tc>
          <w:tcPr>
            <w:tcW w:type="dxa" w:w="38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55"/>
              <w:jc w:val="both"/>
            </w:pPr>
            <w:r>
              <w:rPr>
                <w:sz w:val="21"/>
              </w:rPr>
              <w:t>甲方（盖章）：汕头大学</w:t>
            </w:r>
            <w:r>
              <w:rPr>
                <w:sz w:val="21"/>
              </w:rPr>
              <w:t>·香港中文大学联合汕头国际眼科中心</w:t>
            </w:r>
          </w:p>
          <w:p>
            <w:pPr>
              <w:pStyle w:val="null3"/>
              <w:ind w:left="1155"/>
              <w:jc w:val="both"/>
            </w:pPr>
            <w:r>
              <w:rPr>
                <w:sz w:val="21"/>
              </w:rPr>
              <w:t>地</w:t>
            </w:r>
            <w:r>
              <w:rPr>
                <w:sz w:val="21"/>
              </w:rPr>
              <w:t xml:space="preserve">    </w:t>
            </w:r>
            <w:r>
              <w:rPr>
                <w:sz w:val="21"/>
              </w:rPr>
              <w:t>址：汕头市东厦北路尾</w:t>
            </w:r>
          </w:p>
          <w:p>
            <w:pPr>
              <w:pStyle w:val="null3"/>
              <w:jc w:val="both"/>
            </w:pPr>
            <w:r>
              <w:rPr>
                <w:sz w:val="21"/>
              </w:rPr>
              <w:t>甲方代表（签字）：</w:t>
            </w:r>
          </w:p>
          <w:p>
            <w:pPr>
              <w:pStyle w:val="null3"/>
              <w:jc w:val="both"/>
            </w:pPr>
            <w:r>
              <w:rPr>
                <w:sz w:val="21"/>
              </w:rPr>
              <w:t>联系电话：</w:t>
            </w:r>
            <w:r>
              <w:rPr>
                <w:sz w:val="21"/>
              </w:rPr>
              <w:t>0754-88393571</w:t>
            </w:r>
          </w:p>
          <w:p>
            <w:pPr>
              <w:pStyle w:val="null3"/>
              <w:jc w:val="both"/>
            </w:pPr>
          </w:p>
        </w:tc>
        <w:tc>
          <w:tcPr>
            <w:tcW w:type="dxa" w:w="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42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r>
              <w:rPr>
                <w:sz w:val="21"/>
              </w:rPr>
              <w:t>地</w:t>
            </w:r>
            <w:r>
              <w:rPr>
                <w:sz w:val="21"/>
              </w:rPr>
              <w:t xml:space="preserve">    </w:t>
            </w:r>
            <w:r>
              <w:rPr>
                <w:sz w:val="21"/>
              </w:rPr>
              <w:t>址：</w:t>
            </w:r>
          </w:p>
          <w:p>
            <w:pPr>
              <w:pStyle w:val="null3"/>
              <w:jc w:val="both"/>
            </w:pPr>
            <w:r>
              <w:rPr>
                <w:sz w:val="21"/>
              </w:rPr>
              <w:t xml:space="preserve"> </w:t>
            </w:r>
          </w:p>
          <w:p>
            <w:pPr>
              <w:pStyle w:val="null3"/>
              <w:jc w:val="both"/>
            </w:pPr>
            <w:r>
              <w:rPr>
                <w:sz w:val="21"/>
              </w:rPr>
              <w:t>乙方代表（签字）：</w:t>
            </w:r>
          </w:p>
          <w:p>
            <w:pPr>
              <w:pStyle w:val="null3"/>
              <w:jc w:val="both"/>
            </w:pPr>
            <w:r>
              <w:rPr>
                <w:sz w:val="21"/>
              </w:rPr>
              <w:t>联系电话：</w:t>
            </w:r>
          </w:p>
          <w:p>
            <w:pPr>
              <w:pStyle w:val="null3"/>
              <w:jc w:val="both"/>
            </w:pPr>
            <w:r>
              <w:rPr>
                <w:sz w:val="21"/>
              </w:rPr>
              <w:t>开户银行：</w:t>
            </w:r>
          </w:p>
          <w:p>
            <w:pPr>
              <w:pStyle w:val="null3"/>
              <w:jc w:val="both"/>
            </w:pPr>
            <w:r>
              <w:rPr>
                <w:sz w:val="21"/>
              </w:rPr>
              <w:t xml:space="preserve"> </w:t>
            </w:r>
          </w:p>
          <w:p>
            <w:pPr>
              <w:pStyle w:val="null3"/>
              <w:jc w:val="both"/>
            </w:pPr>
            <w:r>
              <w:rPr>
                <w:sz w:val="21"/>
              </w:rPr>
              <w:t xml:space="preserve"> </w:t>
            </w:r>
            <w:r>
              <w:rPr>
                <w:sz w:val="21"/>
              </w:rPr>
              <w:t>帐</w:t>
            </w:r>
            <w:r>
              <w:rPr>
                <w:sz w:val="21"/>
              </w:rPr>
              <w:t xml:space="preserve">    </w:t>
            </w:r>
            <w:r>
              <w:rPr>
                <w:sz w:val="21"/>
              </w:rPr>
              <w:t>号：</w:t>
            </w:r>
          </w:p>
        </w:tc>
      </w:tr>
    </w:tbl>
    <w:p>
      <w:pPr>
        <w:pStyle w:val="null3"/>
        <w:jc w:val="both"/>
      </w:pPr>
      <w:r>
        <w:rPr>
          <w:sz w:val="21"/>
        </w:rPr>
        <w:t>附件</w:t>
      </w:r>
      <w:r>
        <w:rPr>
          <w:sz w:val="21"/>
        </w:rPr>
        <w:t>1：《中标设备配置清单/耗材价格表》：</w:t>
      </w:r>
    </w:p>
    <w:p>
      <w:pPr>
        <w:pStyle w:val="null3"/>
      </w:pPr>
      <w:r>
        <w:rPr/>
        <w:t xml:space="preserve"> </w:t>
      </w:r>
    </w:p>
    <w:p>
      <w:pPr>
        <w:pStyle w:val="null3"/>
        <w:jc w:val="center"/>
      </w:pPr>
      <w:r>
        <w:rPr>
          <w:sz w:val="21"/>
          <w:b/>
        </w:rPr>
        <w:t>配置清单</w:t>
      </w:r>
    </w:p>
    <w:tbl>
      <w:tblPr>
        <w:tblW w:w="0" w:type="auto"/>
        <w:tblBorders>
          <w:top w:val="none" w:color="000000" w:sz="4"/>
          <w:left w:val="none" w:color="000000" w:sz="4"/>
          <w:bottom w:val="none" w:color="000000" w:sz="4"/>
          <w:right w:val="none" w:color="000000" w:sz="4"/>
          <w:insideH w:val="none"/>
          <w:insideV w:val="none"/>
        </w:tblBorders>
      </w:tblPr>
      <w:tblGrid>
        <w:gridCol w:w="1001"/>
        <w:gridCol w:w="4386"/>
        <w:gridCol w:w="1247"/>
        <w:gridCol w:w="1672"/>
      </w:tblGrid>
      <w:tr>
        <w:tc>
          <w:tcPr>
            <w:tcW w:type="dxa" w:w="1001"/>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序号</w:t>
            </w:r>
          </w:p>
        </w:tc>
        <w:tc>
          <w:tcPr>
            <w:tcW w:type="dxa" w:w="4386"/>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配置清单名称</w:t>
            </w:r>
          </w:p>
        </w:tc>
        <w:tc>
          <w:tcPr>
            <w:tcW w:type="dxa" w:w="1247"/>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数量</w:t>
            </w:r>
          </w:p>
        </w:tc>
        <w:tc>
          <w:tcPr>
            <w:tcW w:type="dxa" w:w="1672"/>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说明</w:t>
            </w: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100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438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12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67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bl>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1"/>
          <w:b/>
        </w:rPr>
        <w:t>耗材价格表</w:t>
      </w:r>
    </w:p>
    <w:tbl>
      <w:tblPr>
        <w:tblW w:w="0" w:type="auto"/>
        <w:tblBorders>
          <w:top w:val="none" w:color="000000" w:sz="4"/>
          <w:left w:val="none" w:color="000000" w:sz="4"/>
          <w:bottom w:val="none" w:color="000000" w:sz="4"/>
          <w:right w:val="none" w:color="000000" w:sz="4"/>
          <w:insideH w:val="none"/>
          <w:insideV w:val="none"/>
        </w:tblBorders>
      </w:tblPr>
      <w:tblGrid>
        <w:gridCol w:w="983"/>
        <w:gridCol w:w="3346"/>
        <w:gridCol w:w="942"/>
        <w:gridCol w:w="956"/>
        <w:gridCol w:w="887"/>
        <w:gridCol w:w="1147"/>
      </w:tblGrid>
      <w:tr>
        <w:tc>
          <w:tcPr>
            <w:tcW w:type="dxa" w:w="983"/>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序号</w:t>
            </w:r>
          </w:p>
        </w:tc>
        <w:tc>
          <w:tcPr>
            <w:tcW w:type="dxa" w:w="3346"/>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耗材</w:t>
            </w:r>
            <w:r>
              <w:rPr>
                <w:sz w:val="21"/>
              </w:rPr>
              <w:t>名称</w:t>
            </w:r>
          </w:p>
        </w:tc>
        <w:tc>
          <w:tcPr>
            <w:tcW w:type="dxa" w:w="942"/>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数量</w:t>
            </w:r>
          </w:p>
        </w:tc>
        <w:tc>
          <w:tcPr>
            <w:tcW w:type="dxa" w:w="956"/>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单位</w:t>
            </w:r>
          </w:p>
        </w:tc>
        <w:tc>
          <w:tcPr>
            <w:tcW w:type="dxa" w:w="887"/>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单价</w:t>
            </w:r>
          </w:p>
        </w:tc>
        <w:tc>
          <w:tcPr>
            <w:tcW w:type="dxa" w:w="1147"/>
            <w:tcBorders>
              <w:top w:val="single" w:color="000000" w:sz="8"/>
              <w:left w:val="single" w:color="000000" w:sz="8"/>
              <w:bottom w:val="single" w:color="000000" w:sz="8"/>
              <w:right w:val="single" w:color="000000" w:sz="8"/>
            </w:tcBorders>
            <w:shd w:fill="CCFFFF"/>
            <w:tcMar>
              <w:top w:type="dxa" w:w="0"/>
              <w:left w:type="dxa" w:w="105"/>
              <w:bottom w:type="dxa" w:w="0"/>
              <w:right w:type="dxa" w:w="105"/>
            </w:tcMar>
            <w:vAlign w:val="top"/>
          </w:tcPr>
          <w:p>
            <w:pPr>
              <w:pStyle w:val="null3"/>
              <w:jc w:val="center"/>
            </w:pPr>
            <w:r>
              <w:rPr>
                <w:sz w:val="21"/>
              </w:rPr>
              <w:t>说明</w:t>
            </w: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r>
        <w:tc>
          <w:tcPr>
            <w:tcW w:type="dxa" w:w="9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33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p>
        </w:tc>
        <w:tc>
          <w:tcPr>
            <w:tcW w:type="dxa" w:w="9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95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8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114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r>
    </w:tbl>
    <w:p>
      <w:pPr>
        <w:pStyle w:val="null3"/>
      </w:pPr>
      <w:r>
        <w:rPr>
          <w:sz w:val="21"/>
        </w:rPr>
        <w:t>附件</w:t>
      </w:r>
      <w:r>
        <w:rPr>
          <w:sz w:val="21"/>
        </w:rPr>
        <w:t>2：设备资料卡</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473"/>
        <w:gridCol w:w="3833"/>
      </w:tblGrid>
      <w:tr>
        <w:tc>
          <w:tcPr>
            <w:tcW w:type="dxa" w:w="4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应用方向及适用范围：</w:t>
            </w:r>
          </w:p>
        </w:tc>
        <w:tc>
          <w:tcPr>
            <w:tcW w:type="dxa" w:w="3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设备相片：</w:t>
            </w:r>
          </w:p>
        </w:tc>
      </w:tr>
      <w:tr>
        <w:tc>
          <w:tcPr>
            <w:tcW w:type="dxa" w:w="4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现有功能：</w:t>
            </w:r>
          </w:p>
        </w:tc>
        <w:tc>
          <w:tcPr>
            <w:tcW w:type="dxa" w:w="3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可扩展功能：</w:t>
            </w:r>
          </w:p>
        </w:tc>
      </w:tr>
      <w:tr>
        <w:tc>
          <w:tcPr>
            <w:tcW w:type="dxa" w:w="4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错误代码：</w:t>
            </w:r>
          </w:p>
        </w:tc>
        <w:tc>
          <w:tcPr>
            <w:tcW w:type="dxa" w:w="3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环境要求：</w:t>
            </w:r>
          </w:p>
        </w:tc>
      </w:tr>
      <w:tr>
        <w:tc>
          <w:tcPr>
            <w:tcW w:type="dxa" w:w="4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SOP流程</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主要参数</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t xml:space="preserve"> </w:t>
      </w:r>
    </w:p>
    <w:p>
      <w:pPr>
        <w:pStyle w:val="null3"/>
        <w:jc w:val="both"/>
      </w:pPr>
      <w:r>
        <w:rPr>
          <w:sz w:val="21"/>
        </w:rPr>
        <w:t>附件</w:t>
      </w:r>
      <w:r>
        <w:rPr>
          <w:sz w:val="21"/>
        </w:rPr>
        <w:t>3：医药购销廉洁购销合同</w:t>
      </w:r>
    </w:p>
    <w:p>
      <w:pPr>
        <w:pStyle w:val="null3"/>
        <w:jc w:val="both"/>
      </w:pPr>
      <w:r>
        <w:rPr>
          <w:sz w:val="21"/>
          <w:b/>
        </w:rPr>
        <w:t>医疗卫生机构医药产品廉洁购销合同</w:t>
      </w:r>
    </w:p>
    <w:p>
      <w:pPr>
        <w:pStyle w:val="null3"/>
        <w:jc w:val="both"/>
      </w:pPr>
      <w:r>
        <w:rPr>
          <w:sz w:val="21"/>
          <w:b/>
        </w:rPr>
        <w:t>甲方</w:t>
      </w:r>
      <w:r>
        <w:rPr>
          <w:sz w:val="21"/>
        </w:rPr>
        <w:t>（医疗卫生机构）：汕头大学</w:t>
      </w:r>
      <w:r>
        <w:rPr>
          <w:sz w:val="21"/>
        </w:rPr>
        <w:t>·香港中文大学联合汕头国际眼科中心</w:t>
      </w:r>
    </w:p>
    <w:p>
      <w:pPr>
        <w:pStyle w:val="null3"/>
        <w:jc w:val="both"/>
      </w:pPr>
      <w:r>
        <w:rPr>
          <w:sz w:val="21"/>
          <w:b/>
        </w:rPr>
        <w:t>乙方</w:t>
      </w:r>
      <w:r>
        <w:rPr>
          <w:sz w:val="21"/>
        </w:rPr>
        <w:t>（医药生产经营企业及其代理人）：</w:t>
      </w:r>
    </w:p>
    <w:p>
      <w:pPr>
        <w:pStyle w:val="null3"/>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pStyle w:val="null3"/>
        <w:ind w:firstLine="420"/>
        <w:jc w:val="both"/>
      </w:pPr>
      <w:r>
        <w:rPr>
          <w:sz w:val="21"/>
        </w:rPr>
        <w:t>一、甲乙双方按照《中华人民共和国民法典》及医药产品购销合同约定购销药品、医用设备、医用耗材等医药产品。</w:t>
      </w:r>
    </w:p>
    <w:p>
      <w:pPr>
        <w:pStyle w:val="null3"/>
        <w:ind w:firstLine="420"/>
        <w:jc w:val="both"/>
      </w:pPr>
      <w:r>
        <w:rPr>
          <w:sz w:val="21"/>
        </w:rPr>
        <w:t>二、甲方应当严格执行医药产品购销合同验收、入库制度，对采购医药产品及发票进行查验，不得违反有关规定合同外采购、违价采购或从非规定渠道采购。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四、严禁甲方工作人员利用任何途径和方式，为乙方统计医师个人及临床科室有关医药产品用量信息，或为乙方统计提供便利。</w:t>
      </w:r>
    </w:p>
    <w:p>
      <w:pPr>
        <w:pStyle w:val="null3"/>
        <w:ind w:firstLine="420"/>
        <w:jc w:val="both"/>
      </w:pPr>
      <w:r>
        <w:rPr>
          <w:sz w:val="21"/>
        </w:rPr>
        <w:t>五、乙方不得以回扣、宴请等方式影响甲方工作人员采购或使用医药产品的选择权，不得在学术活动中提供旅游、超标准支付食宿费用。</w:t>
      </w:r>
    </w:p>
    <w:p>
      <w:pPr>
        <w:pStyle w:val="null3"/>
        <w:ind w:firstLine="420"/>
        <w:jc w:val="both"/>
      </w:pPr>
      <w:r>
        <w:rPr>
          <w:sz w:val="21"/>
        </w:rPr>
        <w:t>六、乙方指定</w:t>
      </w:r>
      <w:r>
        <w:rPr>
          <w:sz w:val="21"/>
          <w:u w:val="single"/>
        </w:rPr>
        <w:t xml:space="preserve">       </w:t>
      </w:r>
      <w:r>
        <w:rPr>
          <w:sz w:val="2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w:t>
      </w:r>
      <w:r>
        <w:rPr>
          <w:sz w:val="21"/>
          <w:shd w:fill="FFFFFF" w:val="clear"/>
        </w:rPr>
        <w:t>（国卫法制发〔</w:t>
      </w:r>
      <w:r>
        <w:rPr>
          <w:sz w:val="21"/>
          <w:shd w:fill="FFFFFF" w:val="clear"/>
        </w:rPr>
        <w:t>2013〕50号）</w:t>
      </w:r>
      <w:r>
        <w:rPr>
          <w:sz w:val="21"/>
        </w:rPr>
        <w:t>相关规定处理。</w:t>
      </w:r>
    </w:p>
    <w:p>
      <w:pPr>
        <w:pStyle w:val="null3"/>
        <w:ind w:firstLine="420"/>
        <w:jc w:val="both"/>
      </w:pPr>
      <w:r>
        <w:rPr>
          <w:sz w:val="21"/>
        </w:rPr>
        <w:t>八、本合同作为医药产品购销合同的重要组成部分，与购销合同一并执行，具有同等的法律效力。</w:t>
      </w:r>
    </w:p>
    <w:p>
      <w:pPr>
        <w:pStyle w:val="null3"/>
        <w:ind w:firstLine="420"/>
        <w:jc w:val="both"/>
      </w:pPr>
      <w:r>
        <w:rPr>
          <w:sz w:val="21"/>
        </w:rPr>
        <w:t>九、本合同一式</w:t>
      </w:r>
      <w:r>
        <w:rPr>
          <w:sz w:val="21"/>
        </w:rPr>
        <w:t>肆</w:t>
      </w:r>
      <w:r>
        <w:rPr>
          <w:sz w:val="21"/>
        </w:rPr>
        <w:t>份，甲方、乙方各执贰份。</w:t>
      </w:r>
    </w:p>
    <w:tbl>
      <w:tblPr>
        <w:tblW w:w="0" w:type="auto"/>
        <w:tblBorders>
          <w:top w:val="none" w:color="000000" w:sz="4"/>
          <w:left w:val="none" w:color="000000" w:sz="4"/>
          <w:bottom w:val="none" w:color="000000" w:sz="4"/>
          <w:right w:val="none" w:color="000000" w:sz="4"/>
          <w:insideH w:val="none"/>
          <w:insideV w:val="none"/>
        </w:tblBorders>
      </w:tblPr>
      <w:tblGrid>
        <w:gridCol w:w="4087"/>
        <w:gridCol w:w="211"/>
        <w:gridCol w:w="4008"/>
      </w:tblGrid>
      <w:tr>
        <w:tc>
          <w:tcPr>
            <w:tcW w:type="dxa" w:w="40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r>
              <w:rPr>
                <w:sz w:val="21"/>
              </w:rPr>
              <w:t>汕头大学</w:t>
            </w:r>
            <w:r>
              <w:rPr>
                <w:sz w:val="21"/>
              </w:rPr>
              <w:t>·香港中文大学联合汕头国际眼科中心</w:t>
            </w:r>
          </w:p>
          <w:p>
            <w:pPr>
              <w:pStyle w:val="null3"/>
              <w:jc w:val="both"/>
            </w:pPr>
            <w:r>
              <w:rPr>
                <w:sz w:val="21"/>
                <w:b/>
              </w:rPr>
              <w:t>经办人签名：</w:t>
            </w:r>
          </w:p>
          <w:p>
            <w:pPr>
              <w:pStyle w:val="null3"/>
              <w:spacing w:before="150"/>
              <w:jc w:val="right"/>
            </w:pPr>
            <w:r>
              <w:rPr>
                <w:sz w:val="21"/>
                <w:b/>
                <w:u w:val="single"/>
              </w:rPr>
              <w:t xml:space="preserve">     </w:t>
            </w:r>
            <w:r>
              <w:rPr>
                <w:sz w:val="21"/>
                <w:b/>
              </w:rPr>
              <w:t>年</w:t>
            </w:r>
            <w:r>
              <w:rPr>
                <w:sz w:val="21"/>
                <w:b/>
                <w:u w:val="single"/>
              </w:rPr>
              <w:t xml:space="preserve">   </w:t>
            </w:r>
            <w:r>
              <w:rPr>
                <w:sz w:val="21"/>
                <w:b/>
              </w:rPr>
              <w:t>月</w:t>
            </w:r>
            <w:r>
              <w:rPr>
                <w:sz w:val="21"/>
                <w:b/>
                <w:u w:val="single"/>
              </w:rPr>
              <w:t xml:space="preserve">   </w:t>
            </w:r>
            <w:r>
              <w:rPr>
                <w:sz w:val="21"/>
                <w:b/>
              </w:rPr>
              <w:t>日</w:t>
            </w: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0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r>
              <w:rPr>
                <w:sz w:val="21"/>
              </w:rPr>
              <w:t>汕头潮影科技有限公司</w:t>
            </w:r>
          </w:p>
          <w:p>
            <w:pPr>
              <w:pStyle w:val="null3"/>
              <w:jc w:val="both"/>
            </w:pPr>
            <w:r>
              <w:rPr>
                <w:sz w:val="21"/>
                <w:b/>
              </w:rPr>
              <w:t>经办人签名：</w:t>
            </w:r>
          </w:p>
          <w:p>
            <w:pPr>
              <w:pStyle w:val="null3"/>
              <w:spacing w:before="150"/>
              <w:jc w:val="right"/>
            </w:pPr>
            <w:r>
              <w:rPr>
                <w:sz w:val="21"/>
                <w:b/>
              </w:rPr>
              <w:t xml:space="preserve"> </w:t>
            </w:r>
            <w:r>
              <w:rPr>
                <w:sz w:val="21"/>
                <w:b/>
                <w:u w:val="single"/>
              </w:rPr>
              <w:t xml:space="preserve">     </w:t>
            </w:r>
            <w:r>
              <w:rPr>
                <w:sz w:val="21"/>
                <w:b/>
              </w:rPr>
              <w:t>年</w:t>
            </w:r>
            <w:r>
              <w:rPr>
                <w:sz w:val="21"/>
                <w:b/>
                <w:u w:val="single"/>
              </w:rPr>
              <w:t xml:space="preserve">   </w:t>
            </w:r>
            <w:r>
              <w:rPr>
                <w:sz w:val="21"/>
                <w:b/>
              </w:rPr>
              <w:t>月</w:t>
            </w:r>
            <w:r>
              <w:rPr>
                <w:sz w:val="21"/>
                <w:b/>
                <w:u w:val="single"/>
              </w:rPr>
              <w:t xml:space="preserve">   </w:t>
            </w:r>
            <w:r>
              <w:rPr>
                <w:sz w:val="21"/>
                <w:b/>
              </w:rPr>
              <w:t>日</w:t>
            </w:r>
          </w:p>
        </w:tc>
      </w:tr>
    </w:tbl>
    <w:p>
      <w:pPr>
        <w:pStyle w:val="null3"/>
        <w:jc w:val="both"/>
      </w:pPr>
      <w:r>
        <w:rPr/>
        <w:t xml:space="preserve"> </w:t>
      </w:r>
    </w:p>
    <w:p>
      <w:pPr>
        <w:pStyle w:val="null3"/>
        <w:jc w:val="both"/>
      </w:pPr>
      <w:r>
        <w:rPr>
          <w:sz w:val="21"/>
        </w:rPr>
        <w:t>附件</w:t>
      </w:r>
      <w:r>
        <w:rPr>
          <w:sz w:val="21"/>
        </w:rPr>
        <w:t>4：《中标通知书》</w:t>
      </w:r>
    </w:p>
    <w:p>
      <w:pPr>
        <w:pStyle w:val="null3"/>
        <w:spacing w:after="120"/>
        <w:ind w:left="420" w:firstLine="420"/>
        <w:jc w:val="both"/>
      </w:pPr>
      <w:r>
        <w:rPr/>
        <w:t xml:space="preserve"> </w:t>
      </w:r>
    </w:p>
    <w:p>
      <w:pPr>
        <w:pStyle w:val="null3"/>
        <w:jc w:val="both"/>
      </w:pPr>
      <w:r>
        <w:rPr>
          <w:sz w:val="21"/>
        </w:rPr>
        <w:t>附件</w:t>
      </w:r>
      <w:r>
        <w:rPr>
          <w:sz w:val="21"/>
        </w:rPr>
        <w:t>5</w:t>
      </w:r>
      <w:r>
        <w:rPr>
          <w:sz w:val="21"/>
        </w:rPr>
        <w:t>《</w:t>
      </w:r>
      <w:r>
        <w:rPr>
          <w:sz w:val="21"/>
        </w:rPr>
        <w:t>供应商营业执照</w:t>
      </w:r>
      <w:r>
        <w:rPr>
          <w:sz w:val="21"/>
        </w:rPr>
        <w:t>》</w:t>
      </w:r>
    </w:p>
    <w:p>
      <w:pPr>
        <w:pStyle w:val="null3"/>
        <w:spacing w:after="120"/>
        <w:ind w:left="420" w:firstLine="420"/>
        <w:jc w:val="both"/>
      </w:pPr>
      <w:r>
        <w:rPr/>
        <w:t xml:space="preserve"> </w:t>
      </w:r>
    </w:p>
    <w:p>
      <w:pPr>
        <w:pStyle w:val="null3"/>
        <w:jc w:val="both"/>
      </w:pPr>
      <w:r>
        <w:rPr>
          <w:sz w:val="21"/>
        </w:rPr>
        <w:t>附件</w:t>
      </w:r>
      <w:r>
        <w:rPr>
          <w:sz w:val="21"/>
        </w:rPr>
        <w:t>6</w:t>
      </w:r>
      <w:r>
        <w:rPr>
          <w:sz w:val="21"/>
        </w:rPr>
        <w:t>《产品注册证》</w:t>
      </w:r>
    </w:p>
    <w:p>
      <w:pPr>
        <w:pStyle w:val="null3"/>
        <w:jc w:val="both"/>
      </w:pPr>
      <w:r>
        <w:rPr/>
        <w:t xml:space="preserve"> </w:t>
      </w:r>
    </w:p>
    <w:p>
      <w:pPr>
        <w:pStyle w:val="null3"/>
        <w:jc w:val="both"/>
      </w:pPr>
      <w:r>
        <w:rPr>
          <w:sz w:val="21"/>
        </w:rPr>
        <w:t>附件</w:t>
      </w:r>
      <w:r>
        <w:rPr>
          <w:sz w:val="21"/>
        </w:rPr>
        <w:t>7</w:t>
      </w:r>
      <w:r>
        <w:rPr>
          <w:sz w:val="21"/>
        </w:rPr>
        <w:t>《产品授权书》</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440001-2025-25400</w:t>
      </w:r>
    </w:p>
    <w:p>
      <w:pPr>
        <w:pStyle w:val="null3"/>
        <w:jc w:val="center"/>
        <w:outlineLvl w:val="3"/>
      </w:pPr>
      <w:r>
        <w:rPr>
          <w:sz w:val="24"/>
          <w:b/>
        </w:rPr>
        <w:t>采购项目编号：</w:t>
      </w:r>
      <w:r>
        <w:rPr>
          <w:sz w:val="24"/>
          <w:b/>
        </w:rPr>
        <w:t>ZZ0250350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汕头大学·香港中文大学联合汕头国际眼科中心激光共聚焦显微镜采购项目</w:t>
      </w:r>
      <w:r>
        <w:rPr>
          <w:u w:val="single"/>
        </w:rPr>
        <w:t>”</w:t>
      </w:r>
      <w:r>
        <w:rPr/>
        <w:t>项目的招标[采购项目编号为：</w:t>
      </w:r>
      <w:r>
        <w:rPr>
          <w:u w:val="single"/>
        </w:rPr>
        <w:t>ZZ0250350</w:t>
      </w:r>
      <w:r>
        <w:rPr/>
        <w:t>]，我方愿参与投标。</w:t>
      </w:r>
    </w:p>
    <w:p>
      <w:pPr>
        <w:pStyle w:val="null3"/>
        <w:ind w:firstLine="480"/>
      </w:pPr>
      <w:r>
        <w:rPr/>
        <w:t>我方确认收到贵方提供的</w:t>
      </w:r>
      <w:r>
        <w:rPr>
          <w:u w:val="single"/>
        </w:rPr>
        <w:t>“</w:t>
      </w:r>
      <w:r>
        <w:rPr>
          <w:u w:val="single"/>
        </w:rPr>
        <w:t>汕头大学·香港中文大学联合汕头国际眼科中心激光共聚焦显微镜采购项目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汕头大学·香港中文大学联合汕头国际眼科中心激光共聚焦显微镜采购项目</w:t>
      </w:r>
      <w:r>
        <w:rPr/>
        <w:t>”项目采购[采购项目编号为</w:t>
      </w:r>
      <w:r>
        <w:rPr/>
        <w:t>ZZ0250350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汕头大学·香港中文大学联合汕头国际眼科中心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汕头大学·香港中文大学联合汕头国际眼科中心激光共聚焦显微镜采购项目</w:t>
      </w:r>
      <w:r>
        <w:rPr/>
        <w:t>招标中获中标（采购项目编号：</w:t>
      </w:r>
      <w:r>
        <w:rPr/>
        <w:t>ZZ0250350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汕头大学·香港中文大学联合汕头国际眼科中心激光共聚焦显微镜采购项目</w:t>
      </w:r>
      <w:r>
        <w:rPr/>
        <w:t>”项目（采购项目编号：</w:t>
      </w:r>
      <w:r>
        <w:rPr/>
        <w:t>ZZ0250350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