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440701-2025-01162</w:t>
      </w:r>
    </w:p>
    <w:p>
      <w:pPr>
        <w:pStyle w:val="null3"/>
        <w:jc w:val="center"/>
        <w:outlineLvl w:val="3"/>
      </w:pPr>
      <w:r>
        <w:rPr>
          <w:sz w:val="24"/>
          <w:b/>
        </w:rPr>
        <w:t>采购项目编号：</w:t>
      </w:r>
      <w:r>
        <w:rPr>
          <w:sz w:val="24"/>
          <w:b/>
        </w:rPr>
        <w:t>WYUZB2025-049HW</w:t>
      </w:r>
    </w:p>
    <w:p>
      <w:pPr>
        <w:pStyle w:val="null3"/>
        <w:jc w:val="center"/>
        <w:outlineLvl w:val="3"/>
      </w:pPr>
      <w:r>
        <w:rPr>
          <w:sz w:val="24"/>
          <w:b/>
        </w:rPr>
        <w:t>项目名称：</w:t>
      </w:r>
      <w:r>
        <w:rPr>
          <w:sz w:val="24"/>
          <w:b/>
        </w:rPr>
        <w:t>先进轨道交通装备服役摩擦机理及控制实验室试验机等设备采购项目</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先进轨道交通装备服役摩擦机理及控制实验室试验机等设备采购项目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先进轨道交通装备服役摩擦机理及控制实验室试验机等设备采购项目</w:t>
      </w:r>
    </w:p>
    <w:p>
      <w:pPr>
        <w:pStyle w:val="null3"/>
        <w:ind w:firstLine="480"/>
      </w:pPr>
      <w:r>
        <w:rPr/>
        <w:t>采购计划编号：</w:t>
      </w:r>
      <w:r>
        <w:rPr/>
        <w:t>440701-2025-01162</w:t>
      </w:r>
    </w:p>
    <w:p>
      <w:pPr>
        <w:pStyle w:val="null3"/>
        <w:ind w:firstLine="480"/>
      </w:pPr>
      <w:r>
        <w:rPr/>
        <w:t>采购项目编号：</w:t>
      </w:r>
      <w:r>
        <w:rPr/>
        <w:t>WYUZB2025-049HW</w:t>
      </w:r>
    </w:p>
    <w:p>
      <w:pPr>
        <w:pStyle w:val="null3"/>
        <w:ind w:firstLine="480"/>
      </w:pPr>
      <w:r>
        <w:rPr/>
        <w:t>采购方式：</w:t>
      </w:r>
      <w:r>
        <w:rPr/>
        <w:t>公开招标</w:t>
      </w:r>
    </w:p>
    <w:p>
      <w:pPr>
        <w:pStyle w:val="null3"/>
        <w:ind w:firstLine="480"/>
      </w:pPr>
      <w:r>
        <w:rPr/>
        <w:t>预算金额：</w:t>
      </w:r>
      <w:r>
        <w:rPr/>
        <w:t>1,497,000.00</w:t>
      </w:r>
      <w:r>
        <w:rPr/>
        <w:t>元</w:t>
      </w:r>
    </w:p>
    <w:p>
      <w:pPr>
        <w:pStyle w:val="null3"/>
        <w:outlineLvl w:val="3"/>
      </w:pPr>
      <w:r>
        <w:rPr>
          <w:sz w:val="24"/>
          <w:b/>
        </w:rPr>
        <w:t>2.项目内容及需求情况（采购项目技术规格、参数及要求）</w:t>
      </w:r>
    </w:p>
    <w:p>
      <w:pPr>
        <w:pStyle w:val="null3"/>
      </w:pPr>
      <w:r>
        <w:rPr/>
        <w:t>采购包1(先进轨道交通装备服役摩擦机理及控制实验室试验机等设备采购项目):</w:t>
      </w:r>
    </w:p>
    <w:p>
      <w:pPr>
        <w:pStyle w:val="null3"/>
      </w:pPr>
      <w:r>
        <w:rPr/>
        <w:t>采购包预算金额：1,497,000.00元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100kN电液伺服疲劳试验机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高低温轮轨接触特性模拟试验台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教学仪器</w:t>
            </w:r>
          </w:p>
        </w:tc>
        <w:tc>
          <w:tcPr>
            <w:tcW w:type="dxa" w:w="2136"/>
          </w:tcPr>
          <w:p>
            <w:pPr>
              <w:pStyle w:val="null3"/>
            </w:pPr>
            <w:r>
              <w:rPr/>
              <w:t>金相磨抛机</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教学仪器</w:t>
            </w:r>
          </w:p>
        </w:tc>
        <w:tc>
          <w:tcPr>
            <w:tcW w:type="dxa" w:w="2136"/>
          </w:tcPr>
          <w:p>
            <w:pPr>
              <w:pStyle w:val="null3"/>
            </w:pPr>
            <w:r>
              <w:rPr/>
              <w:t>干燥箱</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教学仪器</w:t>
            </w:r>
          </w:p>
        </w:tc>
        <w:tc>
          <w:tcPr>
            <w:tcW w:type="dxa" w:w="2136"/>
          </w:tcPr>
          <w:p>
            <w:pPr>
              <w:pStyle w:val="null3"/>
            </w:pPr>
            <w:r>
              <w:rPr/>
              <w:t>除湿机</w:t>
            </w:r>
          </w:p>
        </w:tc>
        <w:tc>
          <w:tcPr>
            <w:tcW w:type="dxa" w:w="1187"/>
          </w:tcPr>
          <w:p>
            <w:pPr>
              <w:pStyle w:val="null3"/>
            </w:pPr>
            <w:r>
              <w:rPr/>
              <w:t>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教学仪器</w:t>
            </w:r>
          </w:p>
        </w:tc>
        <w:tc>
          <w:tcPr>
            <w:tcW w:type="dxa" w:w="2136"/>
          </w:tcPr>
          <w:p>
            <w:pPr>
              <w:pStyle w:val="null3"/>
            </w:pPr>
            <w:r>
              <w:rPr/>
              <w:t>防震工作台</w:t>
            </w:r>
          </w:p>
        </w:tc>
        <w:tc>
          <w:tcPr>
            <w:tcW w:type="dxa" w:w="1187"/>
          </w:tcPr>
          <w:p>
            <w:pPr>
              <w:pStyle w:val="null3"/>
            </w:pPr>
            <w:r>
              <w:rPr/>
              <w:t>10(张)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教学仪器</w:t>
            </w:r>
          </w:p>
        </w:tc>
        <w:tc>
          <w:tcPr>
            <w:tcW w:type="dxa" w:w="2136"/>
          </w:tcPr>
          <w:p>
            <w:pPr>
              <w:pStyle w:val="null3"/>
            </w:pPr>
            <w:r>
              <w:rPr/>
              <w:t>工作台</w:t>
            </w:r>
          </w:p>
        </w:tc>
        <w:tc>
          <w:tcPr>
            <w:tcW w:type="dxa" w:w="1187"/>
          </w:tcPr>
          <w:p>
            <w:pPr>
              <w:pStyle w:val="null3"/>
            </w:pPr>
            <w:r>
              <w:rPr/>
              <w:t>10(张)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教学仪器</w:t>
            </w:r>
          </w:p>
        </w:tc>
        <w:tc>
          <w:tcPr>
            <w:tcW w:type="dxa" w:w="2136"/>
          </w:tcPr>
          <w:p>
            <w:pPr>
              <w:pStyle w:val="null3"/>
            </w:pPr>
            <w:r>
              <w:rPr/>
              <w:t>音箱</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合同履行期限：中标人必须在合同签订生效之日起120个日历日内完成所投产品的交货、安装及调试，包括向采购人职能部门提交认可的完整的验收申请资料。</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度财务状况报告或投标截止日前6个月内任意1个月的财务报表复印件或基本开户行出具的资信证明） 。</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采购包1（先进轨道交通装备服役摩擦机理及控制实验室试验机等设备采购项目）：</w:t>
      </w:r>
      <w:r>
        <w:rPr/>
        <w:t>本采购包属于整体专门面向中小企业采购，投标人须提供中小企业声明函（即本采购包所有产品的制造商（或生产商）须是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采购包1（先进轨道交通装备服役摩擦机理及控制实验室试验机等设备采购项目）：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0750-3296186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、投标人须对本项目为单位（有划分包组的，则以包组为单位）的标的物进行整体投标，任何只对其中一部分内容进行的投标都被视为无效投标。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100kN电液伺服疲劳试验机、高低温轮轨接触特性模拟试验台。投标人应在响应文件中清晰列明“货物名称、品牌”。注：若存在多项核心产品，当不同供应商提供的任意一项核心产品的品牌相同，则视同其是所响应核心产品品牌相同供应商。</w:t>
      </w:r>
    </w:p>
    <w:p>
      <w:pPr>
        <w:pStyle w:val="null3"/>
      </w:pPr>
      <w:r>
        <w:rPr/>
        <w:t>采购包1（先进轨道交通装备服役摩擦机理及控制实验室试验机等设备采购项目）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中标人必须在合同签订生效之日起 120个日历日内完成所投产品的交货、安装及调试，包括向采购人职能部门提交认可的完整的验收申请资料。</w:t>
            </w:r>
          </w:p>
        </w:tc>
      </w:tr>
      <w:tr>
        <w:tc>
          <w:tcPr>
            <w:tcW w:type="dxa" w:w="4153"/>
          </w:tcPr>
          <w:p>
            <w:pPr>
              <w:pStyle w:val="null3"/>
            </w:pPr>
            <w:r>
              <w:rPr/>
              <w:t>标的提供的地点</w:t>
            </w:r>
          </w:p>
        </w:tc>
        <w:tc>
          <w:tcPr>
            <w:tcW w:type="dxa" w:w="4153"/>
          </w:tcPr>
          <w:p>
            <w:pPr>
              <w:pStyle w:val="null3"/>
            </w:pPr>
            <w:r>
              <w:rPr/>
              <w:t>五邑大学指定地点</w:t>
            </w:r>
          </w:p>
        </w:tc>
      </w:tr>
      <w:tr/>
      <w:tr/>
      <w:tr>
        <w:tc>
          <w:tcPr>
            <w:tcW w:type="dxa" w:w="4153"/>
          </w:tcPr>
          <w:p>
            <w:pPr>
              <w:pStyle w:val="null3"/>
            </w:pPr>
            <w:r>
              <w:rPr/>
              <w:t>付款方式</w:t>
            </w:r>
          </w:p>
        </w:tc>
        <w:tc>
          <w:tcPr>
            <w:tcW w:type="dxa" w:w="4153"/>
          </w:tcPr>
          <w:p>
            <w:pPr>
              <w:pStyle w:val="null3"/>
            </w:pPr>
            <w:r>
              <w:rPr/>
              <w:t>第1期为(预付款)：支付比例40%，采购人在合同签订生效后10个工作日内(不含审批时间)按合同总金额40%支付预付款；结算方式:银行转账。</w:t>
            </w:r>
          </w:p>
          <w:p>
            <w:pPr>
              <w:pStyle w:val="null3"/>
            </w:pPr>
            <w:r>
              <w:rPr/>
              <w:t>第2期为(结算款)：支付比例60%，验收合格后,中标人按合同金额向采购人开具符合合同类型要求的增值税专用发票和提供由采购人认可的验收报告。货物验收合格和采购人收到前述发票、验收报告后10个工作日(不含审批时间)内采购人完成办理合同总额60%的贷款的支付手续。</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1期：（一）货物交付 中标人必须在合同签订生效之日起 120个日历日内完成所投产品的交货、安装及调试，包括向采购人职能部门提交认可的完整的验收申请资料。货物须为原厂商未启封的全新包装，具有出厂合格证，序列号、包装箱号与出厂批号一致，并可追溯查阅。 （二）货物验收 1.开箱验收： 全部货物送到采购人指定场地后，采购人、中标人双方同时在场才能开封验货，现场安装。如果发现货物的包装损坏、不符合包装要求或设备的质量、型号、规格和数量等与合同不符，采购人有权拒收货物，中标人应在合同约定的交货时间内按照合同要求及时进行第二次交货处理并通过验收，否则按违约处理，采购人有权解除采购合同并上报主管部门，相关损失由中标人自行承担。 2.功能性验收： （1）设备安装及调试完成后，经初步培训，采购人用户方掌握设备的具体操作后7日内，由采购人报请主管部门组织验收小组进行验收，项目验收合格后，出具有效的验收报告。 （2）验收细则以中标人在投标书中提供的设备技术资料及双方签订的合同条款为准。（验收时需要对每一条参数进行逐一验证，并提供验证佐证材料作为验收资料） （三）违约处置 1.出现以下任何情形之一的，采购人有权单方面解除合同并向中标人收取合同总价10%的违约金，若因此造成采购人损失的，中标人还应当向采购人承担相应的损失： （1）中标人拒绝供货或逾期15日交付货物； （2）中标人交付的货物不符合合同规定，且采购人拒收的； （3）中标人交付的货物经两次及以上验收仍不合格的； （4）中标人交付的货物经有关部门鉴定为不合格产品的； （5）中标人提供的货物涉及侵犯他人知识产权、肖像权、商业经营保密的信息或其他权益纠纷的； （6）中标人利用本合同实施损害采购人合法权益行为的。 （7）中标人不按合同约定履行义务，经采购人提出后，在合理期限内仍不改正的； （8）中标人所交货的货物验收不合格，或经维修、退换后仍无法正常使用的，或虽可正常使用但无法达到本合同约定的参数及要求的。 2.中标人逾期交付货物的，则每逾期一日采购人有权在履约保证金或合同价款中直接扣除合同总价的0.3‰作为违约金，直到交付验收合格货物时止。 3.采购人逾期付款的，则每逾期一日中标人有权要求采购人按合同总价0.3‰偿付违约金，采购人支付的违约金总额不超过合同总价的3%；在履行合同过程中，因相关部门审核导致的支付延误，采购人无须承担违约责任。</w:t>
            </w:r>
          </w:p>
        </w:tc>
      </w:tr>
      <w:tr>
        <w:tc>
          <w:tcPr>
            <w:tcW w:type="dxa" w:w="4153"/>
          </w:tcPr>
          <w:p>
            <w:pPr>
              <w:pStyle w:val="null3"/>
            </w:pPr>
            <w:r>
              <w:rPr/>
              <w:t>履约保证金</w:t>
            </w:r>
          </w:p>
        </w:tc>
        <w:tc>
          <w:tcPr>
            <w:tcW w:type="dxa" w:w="4153"/>
          </w:tcPr>
          <w:p>
            <w:pPr>
              <w:pStyle w:val="null3"/>
            </w:pPr>
            <w:r>
              <w:rPr/>
              <w:t>收取比例：3.8%,说明：1.本项目合同签订之日起 5 个工作日内，中标人向采购人提交合同总价的3.8%作为本项目的履约保证金，可通过银行转账、支票、汇票、本票等非现金形式支付。验收合格后20个工作日内一次性返还履约保证金（不计息）。 2.履约保证金也可以以履约保函（保险）形式提供，目前"广东政府采购智慧云平台金融服务中心(https://gdgpo.czt.gd.gov.cn/zcdservice/zcd/guangdong/)已实现电子履约保函（保险）在线办理功能，有意愿供应商可自行办理提供。如以保函方式，采购人验收合格且无违约情况后二十个工作日内(不含审批时间)保函原件退回。 3.履约保证金的违约责任： （1）中标人超过缴纳履约保证金期限，未向采购人缴纳本项目履约保证金的，每逾期一日，采购人有权要求中标人按履约保证金的1%偿付违约金，中标人逾期缴纳履约保证金的违约金总额不超过履约保证金数额。 （2）采购人逾期退还履约保证金的，每逾期1天，中标人有权要求采购人按履约保证金的1%偿付违约金，采购人逾期退还履约保证金的违约金总额不超过履约保证金数额。</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（一）供货要求，1.投标人所投报的产品必须是本国产品，本项目不接受所投报产品为进口产品的投标。（本招标文件中所称进口产品是指通过中国海关报关验放进入中国境内且产自关境外的产品） 2.安全责任：本项目安全措施由投标人制定方案及组织实施，并承担全部安全责任，采购人不负责任何投标人人员伤亡、投标人人员劳保福利以及施工中材料/工具器械等被盗、毁损灭失等责任。投标人制定的安全措施方案中标后应提交一份至采购人留存备案，且采购人有权监督投标人组织实施情况。（投标人需提供承诺函，格式自拟） 3.消防责任：本项目消防措施由投标人制定方案及组织实施，投标人严格按照消防法的规定进行操作，需用的水电由采购人协助提供，需用电源必须由投标人派有资质的电工按规范拉接，不允许投标人的施工人员乱拉乱接。凡在施工期间因投标人过失引起的火灾事故应由投标人负责，所造成的经济损失由投标人负责全额赔偿，造成采购人损失的，投标人应赔偿采购人全部损失。投标人制定的消防措施方案中标后应提交一份至采购人留存备案，且采购人有权监督投标人组织实施情况。（投标人需提供承诺函，格式自拟） 4.投标人应当按照采购人要求及其他资料对设备进行设计、制作、安装和调试，所提供的设备在生产、安装和调试时应能满足国家相应的标准要求。投标人在设备采购、运输、安装、调试、维护、保修的过程中必须负责一切安全责任。 5.投标人必须保证所投报货物为在售设备，投标前应自行做好充分的市场调查，中标后不得以笔误等情况为由，提出更改中标设备参数或更换中标设备。更改设备参数或更换设备需由采购人承办部门组织专家组确认后再批准。如无法确认，采购人有权拒收且不承担任何违约责任，同时采购人有权追究投标人相应违约责任。 6.知识产权和专利权 投标人提供的货物必须是无知识产权争议，且全新的产品（含零部件、配件、随机工具等），表面无划损、无碰撞、无任何缺陷隐患、无其他侵权行为，在中国境内可依常规安全合法使用。 投标人应保证采购人在中华人民共和国使用货物或其任何一部分时，如有第三方向采购人提出侵犯专利权、商标权或者其他知识产权的主张，因此产生的法律责任、赔偿责任由投标人承担；因此给采购人造成损失的，投标人应赔偿采购人全部损失。 投标人应于售出货物前向所有权人支付专利权、商标权或其他知识产权的有关费用及税费。 7.投标人必须具备相应的维护保养服务能力，能提供完善的售后服务（包括技术人员、响应时间及备品、备件方面等）。（投标人需提供承诺函，格式自拟）</w:t>
            </w:r>
          </w:p>
          <w:p>
            <w:pPr>
              <w:pStyle w:val="null3"/>
            </w:pPr>
            <w:r>
              <w:rPr/>
              <w:t>（二）售后服务要求，1.质保期为验收合格后硬件产品至少提供保修 3 年。从验收合格之日起 3 年内，采购人所购设备发生非人为故障，中标人应上门维修。如不能完全修复，则应更换不低于原规格型号的新部件或设备。 2.从验收合格之日起一个月内，中标人提供的货物各部件发生非人为损坏，应给予无条件更换。 3.质保期内，同一硬件一个月内连续 2 次出现同一故障，中标人须无偿更换同一档次的设备或部件。质保期内因货物质量问题发生3次及以上维修的 ，则该设备或部件的质量保修期从最后一次维修的日期起算。 4.中标人应指派专人负责与采购人联系售后服务事宜。中标人接到用户报修后，电话即时响应，如电话响应无法解决的在 4 个小时内进行答复，如确定需要来人进行修理，保证在 24小时内到达现场。如在 24 小时内不能解决问题，中标人应在随后 48 小时内提供不低于故障设备规格型号档次的备用设备供采购人代替使用，直至故障设备修复，确保设备的正常使用技术要求中有特别要求的以技术要求为主。 5.质保期内中标人负责所有因设备质量问题而产生的费用。 6.中标人提供终身售后服务，无论在保修期内或保修期外，中标人需提供上门服务，所有设备保修服务方式均为中标人上门保修，即由中标人派遣专门技术人员到采购人设备使用现场维修。对于质保期外的设备维修，中标人仅收取损坏部分的成本材料费。 7.质保期内中标人售后服务部门将提供每年不低于4次的电话回访和2次现场设备检修服务，由此产生的一切费用均由中标人承担。 8.质保期后中标人提供终身技术服务；提供终身对产品进行软件升级服务。 9.中标人在质保期内提供人员培训和技术服务，中标人需为采购人操作人员提供实地设备操作规程、维护培训等服务，讲解产品的基本结构及工作原理，直至操作人员掌握产品的日常使用、维护保养方法，保证操作人员可正确操作使用，并能排除一般故障。 10.中标人未按合同约定时间和约定标准提供保修服务的，采购人有权向中标人主张合同总价的10%的违约金，并有权自行委托第三方提供采购人所需要的技术支持和维修服务，由此造成的包括但不限于第三方维保费用、采购人其他经济损失等均由中标人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100kN电液伺服疲劳试验机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高低温轮轨接触特性模拟试验台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教学仪器</w:t>
            </w:r>
          </w:p>
        </w:tc>
        <w:tc>
          <w:tcPr>
            <w:tcW w:type="dxa" w:w="831"/>
          </w:tcPr>
          <w:p>
            <w:pPr>
              <w:pStyle w:val="null3"/>
              <w:jc w:val="left"/>
            </w:pPr>
            <w:r>
              <w:rPr/>
              <w:t>金相磨抛机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教学仪器</w:t>
            </w:r>
          </w:p>
        </w:tc>
        <w:tc>
          <w:tcPr>
            <w:tcW w:type="dxa" w:w="831"/>
          </w:tcPr>
          <w:p>
            <w:pPr>
              <w:pStyle w:val="null3"/>
              <w:jc w:val="left"/>
            </w:pPr>
            <w:r>
              <w:rPr/>
              <w:t>干燥箱</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教学仪器</w:t>
            </w:r>
          </w:p>
        </w:tc>
        <w:tc>
          <w:tcPr>
            <w:tcW w:type="dxa" w:w="831"/>
          </w:tcPr>
          <w:p>
            <w:pPr>
              <w:pStyle w:val="null3"/>
              <w:jc w:val="left"/>
            </w:pPr>
            <w:r>
              <w:rPr/>
              <w:t>除湿机</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教学仪器</w:t>
            </w:r>
          </w:p>
        </w:tc>
        <w:tc>
          <w:tcPr>
            <w:tcW w:type="dxa" w:w="831"/>
          </w:tcPr>
          <w:p>
            <w:pPr>
              <w:pStyle w:val="null3"/>
              <w:jc w:val="left"/>
            </w:pPr>
            <w:r>
              <w:rPr/>
              <w:t>防震工作台</w:t>
            </w:r>
          </w:p>
        </w:tc>
        <w:tc>
          <w:tcPr>
            <w:tcW w:type="dxa" w:w="831"/>
          </w:tcPr>
          <w:p>
            <w:pPr>
              <w:pStyle w:val="null3"/>
              <w:jc w:val="left"/>
            </w:pPr>
            <w:r>
              <w:rPr/>
              <w:t>张</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教学仪器</w:t>
            </w:r>
          </w:p>
        </w:tc>
        <w:tc>
          <w:tcPr>
            <w:tcW w:type="dxa" w:w="831"/>
          </w:tcPr>
          <w:p>
            <w:pPr>
              <w:pStyle w:val="null3"/>
              <w:jc w:val="left"/>
            </w:pPr>
            <w:r>
              <w:rPr/>
              <w:t>工作台</w:t>
            </w:r>
          </w:p>
        </w:tc>
        <w:tc>
          <w:tcPr>
            <w:tcW w:type="dxa" w:w="831"/>
          </w:tcPr>
          <w:p>
            <w:pPr>
              <w:pStyle w:val="null3"/>
              <w:jc w:val="left"/>
            </w:pPr>
            <w:r>
              <w:rPr/>
              <w:t>张</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教学仪器</w:t>
            </w:r>
          </w:p>
        </w:tc>
        <w:tc>
          <w:tcPr>
            <w:tcW w:type="dxa" w:w="831"/>
          </w:tcPr>
          <w:p>
            <w:pPr>
              <w:pStyle w:val="null3"/>
              <w:jc w:val="left"/>
            </w:pPr>
            <w:r>
              <w:rPr/>
              <w:t>音箱</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bl>
    <w:p>
      <w:pPr>
        <w:pStyle w:val="null3"/>
      </w:pPr>
      <w:r>
        <w:rPr>
          <w:b/>
        </w:rPr>
        <w:t>附表</w:t>
      </w:r>
      <w:r>
        <w:rPr>
          <w:b/>
        </w:rPr>
        <w:t>一</w:t>
      </w:r>
      <w:r>
        <w:rPr>
          <w:b/>
        </w:rPr>
        <w:t>：</w:t>
      </w:r>
      <w:r>
        <w:rPr>
          <w:b/>
        </w:rPr>
        <w:t>100kN电液伺服疲劳试验机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具有应力、应变、位移三种闭环控制方式，可求取正弦波、方波、三角波、斜波、随机波形以及外部输入波形等参数；根据包括但不限于GB及ISO等标准进行试验和提供数据。</w:t>
            </w:r>
          </w:p>
        </w:tc>
      </w:tr>
      <w:tr>
        <w:tc>
          <w:tcPr>
            <w:tcW w:type="dxa" w:w="2076"/>
          </w:tcPr>
          <w:p/>
        </w:tc>
        <w:tc>
          <w:tcPr>
            <w:tcW w:type="dxa" w:w="415"/>
          </w:tcPr>
          <w:p>
            <w:pPr>
              <w:pStyle w:val="null3"/>
            </w:pPr>
            <w:r>
              <w:rPr/>
              <w:t>2</w:t>
            </w:r>
          </w:p>
        </w:tc>
        <w:tc>
          <w:tcPr>
            <w:tcW w:type="dxa" w:w="5814"/>
          </w:tcPr>
          <w:p>
            <w:pPr>
              <w:pStyle w:val="null3"/>
            </w:pPr>
            <w:r>
              <w:rPr>
                <w:sz w:val="21"/>
              </w:rPr>
              <w:t>试验空间范围至少涵盖50mm～1200mm。</w:t>
            </w:r>
          </w:p>
        </w:tc>
      </w:tr>
      <w:tr>
        <w:tc>
          <w:tcPr>
            <w:tcW w:type="dxa" w:w="2076"/>
          </w:tcPr>
          <w:p/>
        </w:tc>
        <w:tc>
          <w:tcPr>
            <w:tcW w:type="dxa" w:w="415"/>
          </w:tcPr>
          <w:p>
            <w:pPr>
              <w:pStyle w:val="null3"/>
            </w:pPr>
            <w:r>
              <w:rPr/>
              <w:t>3</w:t>
            </w:r>
          </w:p>
        </w:tc>
        <w:tc>
          <w:tcPr>
            <w:tcW w:type="dxa" w:w="5814"/>
          </w:tcPr>
          <w:p>
            <w:pPr>
              <w:pStyle w:val="null3"/>
            </w:pPr>
            <w:r>
              <w:rPr>
                <w:sz w:val="21"/>
              </w:rPr>
              <w:t>立柱间距离≥540mm；立柱直径≥φ80mm。</w:t>
            </w:r>
          </w:p>
        </w:tc>
      </w:tr>
      <w:tr>
        <w:tc>
          <w:tcPr>
            <w:tcW w:type="dxa" w:w="2076"/>
          </w:tcPr>
          <w:p/>
        </w:tc>
        <w:tc>
          <w:tcPr>
            <w:tcW w:type="dxa" w:w="415"/>
          </w:tcPr>
          <w:p>
            <w:pPr>
              <w:pStyle w:val="null3"/>
            </w:pPr>
            <w:r>
              <w:rPr/>
              <w:t>4</w:t>
            </w:r>
          </w:p>
        </w:tc>
        <w:tc>
          <w:tcPr>
            <w:tcW w:type="dxa" w:w="5814"/>
          </w:tcPr>
          <w:p>
            <w:pPr>
              <w:pStyle w:val="null3"/>
            </w:pPr>
            <w:r>
              <w:rPr>
                <w:sz w:val="21"/>
              </w:rPr>
              <w:t>横梁升降液压双向驱动；液压锁紧、松开。</w:t>
            </w:r>
          </w:p>
        </w:tc>
      </w:tr>
      <w:tr>
        <w:tc>
          <w:tcPr>
            <w:tcW w:type="dxa" w:w="2076"/>
          </w:tcPr>
          <w:p/>
        </w:tc>
        <w:tc>
          <w:tcPr>
            <w:tcW w:type="dxa" w:w="415"/>
          </w:tcPr>
          <w:p>
            <w:pPr>
              <w:pStyle w:val="null3"/>
            </w:pPr>
            <w:r>
              <w:rPr/>
              <w:t>5</w:t>
            </w:r>
          </w:p>
        </w:tc>
        <w:tc>
          <w:tcPr>
            <w:tcW w:type="dxa" w:w="5814"/>
          </w:tcPr>
          <w:p>
            <w:pPr>
              <w:pStyle w:val="null3"/>
            </w:pPr>
            <w:r>
              <w:rPr>
                <w:sz w:val="21"/>
              </w:rPr>
              <w:t>频率范围至少涵盖0.01Hz(对应位移幅值75mm)～100Hz(对应位移幅值0.1mm)。</w:t>
            </w:r>
          </w:p>
        </w:tc>
      </w:tr>
      <w:tr>
        <w:tc>
          <w:tcPr>
            <w:tcW w:type="dxa" w:w="2076"/>
          </w:tcPr>
          <w:p/>
        </w:tc>
        <w:tc>
          <w:tcPr>
            <w:tcW w:type="dxa" w:w="415"/>
          </w:tcPr>
          <w:p>
            <w:pPr>
              <w:pStyle w:val="null3"/>
            </w:pPr>
            <w:r>
              <w:rPr/>
              <w:t>6</w:t>
            </w:r>
          </w:p>
        </w:tc>
        <w:tc>
          <w:tcPr>
            <w:tcW w:type="dxa" w:w="5814"/>
          </w:tcPr>
          <w:p>
            <w:pPr>
              <w:pStyle w:val="null3"/>
            </w:pPr>
            <w:r>
              <w:rPr>
                <w:sz w:val="21"/>
              </w:rPr>
              <w:t>静态载荷范围：0N～100kN；动态载荷范围：-90kN～+90kN。</w:t>
            </w:r>
          </w:p>
        </w:tc>
      </w:tr>
      <w:tr>
        <w:tc>
          <w:tcPr>
            <w:tcW w:type="dxa" w:w="2076"/>
          </w:tcPr>
          <w:p/>
        </w:tc>
        <w:tc>
          <w:tcPr>
            <w:tcW w:type="dxa" w:w="415"/>
          </w:tcPr>
          <w:p>
            <w:pPr>
              <w:pStyle w:val="null3"/>
            </w:pPr>
            <w:r>
              <w:rPr/>
              <w:t>7</w:t>
            </w:r>
          </w:p>
        </w:tc>
        <w:tc>
          <w:tcPr>
            <w:tcW w:type="dxa" w:w="5814"/>
          </w:tcPr>
          <w:p>
            <w:pPr>
              <w:pStyle w:val="null3"/>
            </w:pPr>
            <w:r>
              <w:rPr>
                <w:sz w:val="21"/>
              </w:rPr>
              <w:t>静态示值精度≤±0.5%；动态加载精度≤±2%；位移测量精度≤±0.5%；位移测量分辨率≤0.001mm。</w:t>
            </w:r>
          </w:p>
        </w:tc>
      </w:tr>
      <w:tr>
        <w:tc>
          <w:tcPr>
            <w:tcW w:type="dxa" w:w="2076"/>
          </w:tcPr>
          <w:p/>
        </w:tc>
        <w:tc>
          <w:tcPr>
            <w:tcW w:type="dxa" w:w="415"/>
          </w:tcPr>
          <w:p>
            <w:pPr>
              <w:pStyle w:val="null3"/>
            </w:pPr>
            <w:r>
              <w:rPr/>
              <w:t>8</w:t>
            </w:r>
          </w:p>
        </w:tc>
        <w:tc>
          <w:tcPr>
            <w:tcW w:type="dxa" w:w="5814"/>
          </w:tcPr>
          <w:p>
            <w:pPr>
              <w:pStyle w:val="null3"/>
            </w:pPr>
            <w:r>
              <w:rPr>
                <w:sz w:val="21"/>
              </w:rPr>
              <w:t>作动缸行程涵盖-75mm～+75mm，双出杆双作用疲劳级（末端带有缓冲）。</w:t>
            </w:r>
          </w:p>
        </w:tc>
      </w:tr>
      <w:tr>
        <w:tc>
          <w:tcPr>
            <w:tcW w:type="dxa" w:w="2076"/>
          </w:tcPr>
          <w:p/>
        </w:tc>
        <w:tc>
          <w:tcPr>
            <w:tcW w:type="dxa" w:w="415"/>
          </w:tcPr>
          <w:p>
            <w:pPr>
              <w:pStyle w:val="null3"/>
            </w:pPr>
            <w:r>
              <w:rPr/>
              <w:t>9</w:t>
            </w:r>
          </w:p>
        </w:tc>
        <w:tc>
          <w:tcPr>
            <w:tcW w:type="dxa" w:w="5814"/>
          </w:tcPr>
          <w:p>
            <w:pPr>
              <w:pStyle w:val="null3"/>
            </w:pPr>
            <w:r>
              <w:rPr>
                <w:sz w:val="21"/>
              </w:rPr>
              <w:t>机架刚度：不低于5×10e8 N/m。</w:t>
            </w:r>
          </w:p>
        </w:tc>
      </w:tr>
      <w:tr>
        <w:tc>
          <w:tcPr>
            <w:tcW w:type="dxa" w:w="2076"/>
          </w:tcPr>
          <w:p/>
        </w:tc>
        <w:tc>
          <w:tcPr>
            <w:tcW w:type="dxa" w:w="415"/>
          </w:tcPr>
          <w:p>
            <w:pPr>
              <w:pStyle w:val="null3"/>
            </w:pPr>
            <w:r>
              <w:rPr/>
              <w:t>10</w:t>
            </w:r>
          </w:p>
        </w:tc>
        <w:tc>
          <w:tcPr>
            <w:tcW w:type="dxa" w:w="5814"/>
          </w:tcPr>
          <w:p>
            <w:pPr>
              <w:pStyle w:val="null3"/>
            </w:pPr>
            <w:r>
              <w:rPr>
                <w:sz w:val="21"/>
              </w:rPr>
              <w:t>主要试验波形：正弦波、方波、三角波、斜波、随机波形以及外部输入波形；可实现多段不同频率或幅值组合的正弦波形；可以自定义参数的随机波形；可导入自定义波形。</w:t>
            </w:r>
          </w:p>
        </w:tc>
      </w:tr>
      <w:tr>
        <w:tc>
          <w:tcPr>
            <w:tcW w:type="dxa" w:w="2076"/>
          </w:tcPr>
          <w:p/>
        </w:tc>
        <w:tc>
          <w:tcPr>
            <w:tcW w:type="dxa" w:w="415"/>
          </w:tcPr>
          <w:p>
            <w:pPr>
              <w:pStyle w:val="null3"/>
            </w:pPr>
            <w:r>
              <w:rPr/>
              <w:t>11</w:t>
            </w:r>
          </w:p>
        </w:tc>
        <w:tc>
          <w:tcPr>
            <w:tcW w:type="dxa" w:w="5814"/>
          </w:tcPr>
          <w:p>
            <w:pPr>
              <w:pStyle w:val="null3"/>
            </w:pPr>
            <w:r>
              <w:rPr>
                <w:sz w:val="21"/>
              </w:rPr>
              <w:t>试验控制方式：负荷、位移、变形控制方式；不同的控制方式可实现平滑切换。</w:t>
            </w:r>
          </w:p>
        </w:tc>
      </w:tr>
      <w:tr>
        <w:tc>
          <w:tcPr>
            <w:tcW w:type="dxa" w:w="2076"/>
          </w:tcPr>
          <w:p/>
        </w:tc>
        <w:tc>
          <w:tcPr>
            <w:tcW w:type="dxa" w:w="415"/>
          </w:tcPr>
          <w:p>
            <w:pPr>
              <w:pStyle w:val="null3"/>
            </w:pPr>
            <w:r>
              <w:rPr/>
              <w:t>12</w:t>
            </w:r>
          </w:p>
        </w:tc>
        <w:tc>
          <w:tcPr>
            <w:tcW w:type="dxa" w:w="5814"/>
          </w:tcPr>
          <w:p>
            <w:pPr>
              <w:pStyle w:val="null3"/>
            </w:pPr>
            <w:r>
              <w:rPr>
                <w:sz w:val="21"/>
              </w:rPr>
              <w:t>磁滞伸缩位移传感器：（分辨率≤1um；量程≥150mm。）。</w:t>
            </w:r>
          </w:p>
        </w:tc>
      </w:tr>
      <w:tr>
        <w:tc>
          <w:tcPr>
            <w:tcW w:type="dxa" w:w="2076"/>
          </w:tcPr>
          <w:p/>
        </w:tc>
        <w:tc>
          <w:tcPr>
            <w:tcW w:type="dxa" w:w="415"/>
          </w:tcPr>
          <w:p>
            <w:pPr>
              <w:pStyle w:val="null3"/>
            </w:pPr>
            <w:r>
              <w:rPr/>
              <w:t>13</w:t>
            </w:r>
          </w:p>
        </w:tc>
        <w:tc>
          <w:tcPr>
            <w:tcW w:type="dxa" w:w="5814"/>
          </w:tcPr>
          <w:p>
            <w:pPr>
              <w:pStyle w:val="null3"/>
            </w:pPr>
            <w:r>
              <w:rPr>
                <w:sz w:val="21"/>
              </w:rPr>
              <w:t>动态载荷传感器：（测量范围涵盖﹣125kN～+125kN；具有涵盖﹣300%～+300%的抗过载能力）。</w:t>
            </w:r>
          </w:p>
        </w:tc>
      </w:tr>
      <w:tr>
        <w:tc>
          <w:tcPr>
            <w:tcW w:type="dxa" w:w="2076"/>
          </w:tcPr>
          <w:p/>
        </w:tc>
        <w:tc>
          <w:tcPr>
            <w:tcW w:type="dxa" w:w="415"/>
          </w:tcPr>
          <w:p>
            <w:pPr>
              <w:pStyle w:val="null3"/>
            </w:pPr>
            <w:r>
              <w:rPr/>
              <w:t>14</w:t>
            </w:r>
          </w:p>
        </w:tc>
        <w:tc>
          <w:tcPr>
            <w:tcW w:type="dxa" w:w="5814"/>
          </w:tcPr>
          <w:p>
            <w:pPr>
              <w:pStyle w:val="null3"/>
            </w:pPr>
            <w:r>
              <w:rPr>
                <w:sz w:val="21"/>
              </w:rPr>
              <w:t>液压油源不低于（40L油源）：（公称流量：40lpm；公称压力：21MPa；）。</w:t>
            </w:r>
          </w:p>
        </w:tc>
      </w:tr>
      <w:tr>
        <w:tc>
          <w:tcPr>
            <w:tcW w:type="dxa" w:w="2076"/>
          </w:tcPr>
          <w:p/>
        </w:tc>
        <w:tc>
          <w:tcPr>
            <w:tcW w:type="dxa" w:w="415"/>
          </w:tcPr>
          <w:p>
            <w:pPr>
              <w:pStyle w:val="null3"/>
            </w:pPr>
            <w:r>
              <w:rPr/>
              <w:t>15</w:t>
            </w:r>
          </w:p>
        </w:tc>
        <w:tc>
          <w:tcPr>
            <w:tcW w:type="dxa" w:w="5814"/>
          </w:tcPr>
          <w:p>
            <w:pPr>
              <w:pStyle w:val="null3"/>
            </w:pPr>
            <w:r>
              <w:rPr>
                <w:sz w:val="21"/>
              </w:rPr>
              <w:t>循环冷却水系统（40L油源用）：（采用全封闭一体式水冷机，可有效杜绝外部污染;可根据油源的实际运行温度自动开启关闭，保证油源的正常工作温度的同时最大程度上节能。）。</w:t>
            </w:r>
          </w:p>
        </w:tc>
      </w:tr>
      <w:tr>
        <w:tc>
          <w:tcPr>
            <w:tcW w:type="dxa" w:w="2076"/>
          </w:tcPr>
          <w:p/>
        </w:tc>
        <w:tc>
          <w:tcPr>
            <w:tcW w:type="dxa" w:w="415"/>
          </w:tcPr>
          <w:p>
            <w:pPr>
              <w:pStyle w:val="null3"/>
            </w:pPr>
            <w:r>
              <w:rPr/>
              <w:t>16</w:t>
            </w:r>
          </w:p>
        </w:tc>
        <w:tc>
          <w:tcPr>
            <w:tcW w:type="dxa" w:w="5814"/>
          </w:tcPr>
          <w:p>
            <w:pPr>
              <w:pStyle w:val="null3"/>
            </w:pPr>
            <w:r>
              <w:rPr>
                <w:sz w:val="21"/>
                <w:b/>
              </w:rPr>
              <w:t>▲</w:t>
            </w:r>
            <w:r>
              <w:rPr>
                <w:sz w:val="21"/>
                <w:b/>
              </w:rPr>
              <w:t>间隙密封或者静压支承设计，高响应、低摩擦、长寿命；低摩擦同时无需外部抽油泵，有效避免外部污染引入油源。</w:t>
            </w:r>
          </w:p>
        </w:tc>
      </w:tr>
      <w:tr>
        <w:tc>
          <w:tcPr>
            <w:tcW w:type="dxa" w:w="2076"/>
          </w:tcPr>
          <w:p/>
        </w:tc>
        <w:tc>
          <w:tcPr>
            <w:tcW w:type="dxa" w:w="415"/>
          </w:tcPr>
          <w:p>
            <w:pPr>
              <w:pStyle w:val="null3"/>
            </w:pPr>
            <w:r>
              <w:rPr/>
              <w:t>17</w:t>
            </w:r>
          </w:p>
        </w:tc>
        <w:tc>
          <w:tcPr>
            <w:tcW w:type="dxa" w:w="5814"/>
          </w:tcPr>
          <w:p>
            <w:pPr>
              <w:pStyle w:val="null3"/>
            </w:pPr>
            <w:r>
              <w:rPr>
                <w:sz w:val="21"/>
                <w:b/>
              </w:rPr>
              <w:t>▲</w:t>
            </w:r>
            <w:r>
              <w:rPr>
                <w:sz w:val="21"/>
                <w:b/>
              </w:rPr>
              <w:t>设备同轴度：≤5%，依据 《拉压轴向负荷下试验架与试样同轴度校准的标准方法》检测的报告（需提供该量程具有cma标识的第三方检测机构出具的校准证书）。</w:t>
            </w:r>
          </w:p>
        </w:tc>
      </w:tr>
      <w:tr>
        <w:tc>
          <w:tcPr>
            <w:tcW w:type="dxa" w:w="2076"/>
          </w:tcPr>
          <w:p/>
        </w:tc>
        <w:tc>
          <w:tcPr>
            <w:tcW w:type="dxa" w:w="415"/>
          </w:tcPr>
          <w:p>
            <w:pPr>
              <w:pStyle w:val="null3"/>
            </w:pPr>
            <w:r>
              <w:rPr/>
              <w:t>18</w:t>
            </w:r>
          </w:p>
        </w:tc>
        <w:tc>
          <w:tcPr>
            <w:tcW w:type="dxa" w:w="5814"/>
          </w:tcPr>
          <w:p>
            <w:pPr>
              <w:pStyle w:val="null3"/>
            </w:pPr>
            <w:r>
              <w:rPr>
                <w:sz w:val="21"/>
                <w:b/>
              </w:rPr>
              <w:t>▲</w:t>
            </w:r>
            <w:r>
              <w:rPr>
                <w:sz w:val="21"/>
                <w:b/>
              </w:rPr>
              <w:t>疲劳试验机整机可靠性指标验证试验的总有效试验时间为：≥3600h（(投标文件提供具有cma标识的第三方检测机构出具的平均无故障连续运行时间(MTBF)可靠性验证检测报告；如不能提供,则承诺(投标文件提供承诺函，格式自拟)在设备验收前向采购人提供检测报告原件）。</w:t>
            </w:r>
          </w:p>
        </w:tc>
      </w:tr>
      <w:tr>
        <w:tc>
          <w:tcPr>
            <w:tcW w:type="dxa" w:w="2076"/>
          </w:tcPr>
          <w:p/>
        </w:tc>
        <w:tc>
          <w:tcPr>
            <w:tcW w:type="dxa" w:w="415"/>
          </w:tcPr>
          <w:p>
            <w:pPr>
              <w:pStyle w:val="null3"/>
            </w:pPr>
            <w:r>
              <w:rPr/>
              <w:t>19</w:t>
            </w:r>
          </w:p>
        </w:tc>
        <w:tc>
          <w:tcPr>
            <w:tcW w:type="dxa" w:w="5814"/>
          </w:tcPr>
          <w:p>
            <w:pPr>
              <w:pStyle w:val="null3"/>
            </w:pPr>
            <w:r>
              <w:rPr>
                <w:sz w:val="21"/>
                <w:b/>
              </w:rPr>
              <w:t>▲</w:t>
            </w:r>
            <w:r>
              <w:rPr>
                <w:sz w:val="21"/>
                <w:b/>
              </w:rPr>
              <w:t>静音油源系统采用柱塞式恒压变量泵和阀组，可以根据系统流量需求自动调节液压流量。</w:t>
            </w:r>
          </w:p>
        </w:tc>
      </w:tr>
      <w:tr>
        <w:tc>
          <w:tcPr>
            <w:tcW w:type="dxa" w:w="2076"/>
          </w:tcPr>
          <w:p/>
        </w:tc>
        <w:tc>
          <w:tcPr>
            <w:tcW w:type="dxa" w:w="415"/>
          </w:tcPr>
          <w:p>
            <w:pPr>
              <w:pStyle w:val="null3"/>
            </w:pPr>
            <w:r>
              <w:rPr/>
              <w:t>20</w:t>
            </w:r>
          </w:p>
        </w:tc>
        <w:tc>
          <w:tcPr>
            <w:tcW w:type="dxa" w:w="5814"/>
          </w:tcPr>
          <w:p>
            <w:pPr>
              <w:pStyle w:val="null3"/>
            </w:pPr>
            <w:r>
              <w:rPr>
                <w:sz w:val="21"/>
              </w:rPr>
              <w:t>采用油浸电机，电机泵组整套浸入液压介质中。</w:t>
            </w:r>
          </w:p>
        </w:tc>
      </w:tr>
      <w:tr>
        <w:tc>
          <w:tcPr>
            <w:tcW w:type="dxa" w:w="2076"/>
          </w:tcPr>
          <w:p/>
        </w:tc>
        <w:tc>
          <w:tcPr>
            <w:tcW w:type="dxa" w:w="415"/>
          </w:tcPr>
          <w:p>
            <w:pPr>
              <w:pStyle w:val="null3"/>
            </w:pPr>
            <w:r>
              <w:rPr/>
              <w:t>21</w:t>
            </w:r>
          </w:p>
        </w:tc>
        <w:tc>
          <w:tcPr>
            <w:tcW w:type="dxa" w:w="5814"/>
          </w:tcPr>
          <w:p>
            <w:pPr>
              <w:pStyle w:val="null3"/>
            </w:pPr>
            <w:r>
              <w:rPr>
                <w:sz w:val="21"/>
              </w:rPr>
              <w:t>采用全数字伺服控制器；(1.数据测量采集频率≥10kHz；2.闭环控制速率≥10kHz)。</w:t>
            </w:r>
          </w:p>
        </w:tc>
      </w:tr>
      <w:tr>
        <w:tc>
          <w:tcPr>
            <w:tcW w:type="dxa" w:w="2076"/>
          </w:tcPr>
          <w:p/>
        </w:tc>
        <w:tc>
          <w:tcPr>
            <w:tcW w:type="dxa" w:w="415"/>
          </w:tcPr>
          <w:p>
            <w:pPr>
              <w:pStyle w:val="null3"/>
            </w:pPr>
            <w:r>
              <w:rPr/>
              <w:t>22</w:t>
            </w:r>
          </w:p>
        </w:tc>
        <w:tc>
          <w:tcPr>
            <w:tcW w:type="dxa" w:w="5814"/>
          </w:tcPr>
          <w:p>
            <w:pPr>
              <w:pStyle w:val="null3"/>
            </w:pPr>
            <w:r>
              <w:rPr>
                <w:sz w:val="21"/>
                <w:b/>
              </w:rPr>
              <w:t>▲</w:t>
            </w:r>
            <w:r>
              <w:rPr>
                <w:sz w:val="21"/>
                <w:b/>
              </w:rPr>
              <w:t>提供试验应变控制及其功能截图。</w:t>
            </w:r>
          </w:p>
        </w:tc>
      </w:tr>
      <w:tr>
        <w:tc>
          <w:tcPr>
            <w:tcW w:type="dxa" w:w="2076"/>
          </w:tcPr>
          <w:p/>
        </w:tc>
        <w:tc>
          <w:tcPr>
            <w:tcW w:type="dxa" w:w="415"/>
          </w:tcPr>
          <w:p>
            <w:pPr>
              <w:pStyle w:val="null3"/>
            </w:pPr>
            <w:r>
              <w:rPr/>
              <w:t>23</w:t>
            </w:r>
          </w:p>
        </w:tc>
        <w:tc>
          <w:tcPr>
            <w:tcW w:type="dxa" w:w="5814"/>
          </w:tcPr>
          <w:p>
            <w:pPr>
              <w:pStyle w:val="null3"/>
            </w:pPr>
            <w:r>
              <w:rPr>
                <w:sz w:val="21"/>
              </w:rPr>
              <w:t>测试过程中能够在同一界面下实现频率、应力、位移、应变、载荷等参数更改。</w:t>
            </w:r>
          </w:p>
        </w:tc>
      </w:tr>
      <w:tr>
        <w:tc>
          <w:tcPr>
            <w:tcW w:type="dxa" w:w="2076"/>
          </w:tcPr>
          <w:p/>
        </w:tc>
        <w:tc>
          <w:tcPr>
            <w:tcW w:type="dxa" w:w="415"/>
          </w:tcPr>
          <w:p>
            <w:pPr>
              <w:pStyle w:val="null3"/>
            </w:pPr>
            <w:r>
              <w:rPr/>
              <w:t>24</w:t>
            </w:r>
          </w:p>
        </w:tc>
        <w:tc>
          <w:tcPr>
            <w:tcW w:type="dxa" w:w="5814"/>
          </w:tcPr>
          <w:p>
            <w:pPr>
              <w:pStyle w:val="null3"/>
            </w:pPr>
            <w:r>
              <w:rPr>
                <w:sz w:val="21"/>
              </w:rPr>
              <w:t>100kN</w:t>
            </w:r>
            <w:r>
              <w:rPr>
                <w:sz w:val="21"/>
              </w:rPr>
              <w:t>液压楔形拉伸夹具，包含V夹块满足试样加持范围至少涵盖Φ6～26mm，平楔块满足试样加持范围至少涵盖0～20mm。</w:t>
            </w:r>
          </w:p>
        </w:tc>
      </w:tr>
      <w:tr>
        <w:tc>
          <w:tcPr>
            <w:tcW w:type="dxa" w:w="2076"/>
          </w:tcPr>
          <w:p/>
        </w:tc>
        <w:tc>
          <w:tcPr>
            <w:tcW w:type="dxa" w:w="415"/>
          </w:tcPr>
          <w:p>
            <w:pPr>
              <w:pStyle w:val="null3"/>
            </w:pPr>
            <w:r>
              <w:rPr/>
              <w:t>25</w:t>
            </w:r>
          </w:p>
        </w:tc>
        <w:tc>
          <w:tcPr>
            <w:tcW w:type="dxa" w:w="5814"/>
          </w:tcPr>
          <w:p>
            <w:pPr>
              <w:pStyle w:val="null3"/>
            </w:pPr>
            <w:r>
              <w:rPr>
                <w:sz w:val="21"/>
              </w:rPr>
              <w:t>疲劳用三段箱式高温炉（工作温度范围涵盖300～1100℃）：（包含高温炉支架、疲劳用三段高温炉控制器、S型铂铑热电偶、水冷组件、高温拉杆连接装置-10T、高温拉杆-10T、高温棒材夹具-M12/φ5（螺纹套）、高温棒材夹具-M16/φ10（螺纹套）、高温板材夹具夹持范围涵盖0.1～3mm）。</w:t>
            </w:r>
          </w:p>
        </w:tc>
      </w:tr>
      <w:tr>
        <w:tc>
          <w:tcPr>
            <w:tcW w:type="dxa" w:w="2076"/>
          </w:tcPr>
          <w:p/>
        </w:tc>
        <w:tc>
          <w:tcPr>
            <w:tcW w:type="dxa" w:w="415"/>
          </w:tcPr>
          <w:p>
            <w:pPr>
              <w:pStyle w:val="null3"/>
            </w:pPr>
            <w:r>
              <w:rPr/>
              <w:t>26</w:t>
            </w:r>
          </w:p>
        </w:tc>
        <w:tc>
          <w:tcPr>
            <w:tcW w:type="dxa" w:w="5814"/>
          </w:tcPr>
          <w:p>
            <w:pPr>
              <w:pStyle w:val="null3"/>
            </w:pPr>
            <w:r>
              <w:rPr>
                <w:sz w:val="21"/>
              </w:rPr>
              <w:t>CT</w:t>
            </w:r>
            <w:r>
              <w:rPr>
                <w:sz w:val="21"/>
              </w:rPr>
              <w:t>试验夹具：（B=20mm，W=40mm；参照标准：GB/T 21143， ISO 12135）。</w:t>
            </w:r>
          </w:p>
        </w:tc>
      </w:tr>
      <w:tr>
        <w:tc>
          <w:tcPr>
            <w:tcW w:type="dxa" w:w="2076"/>
          </w:tcPr>
          <w:p/>
        </w:tc>
        <w:tc>
          <w:tcPr>
            <w:tcW w:type="dxa" w:w="415"/>
          </w:tcPr>
          <w:p>
            <w:pPr>
              <w:pStyle w:val="null3"/>
            </w:pPr>
            <w:r>
              <w:rPr/>
              <w:t>27</w:t>
            </w:r>
          </w:p>
        </w:tc>
        <w:tc>
          <w:tcPr>
            <w:tcW w:type="dxa" w:w="5814"/>
          </w:tcPr>
          <w:p>
            <w:pPr>
              <w:pStyle w:val="null3"/>
            </w:pPr>
            <w:r>
              <w:rPr>
                <w:sz w:val="21"/>
              </w:rPr>
              <w:t>断裂力学引伸计（温度范围涵盖-40℃～100℃）：（标距：5.0mm；测量范围涵盖-1.0mm～+2.5mm；精度等级： ISO9513 0.5级）。</w:t>
            </w:r>
          </w:p>
        </w:tc>
      </w:tr>
      <w:tr>
        <w:tc>
          <w:tcPr>
            <w:tcW w:type="dxa" w:w="2076"/>
          </w:tcPr>
          <w:p/>
        </w:tc>
        <w:tc>
          <w:tcPr>
            <w:tcW w:type="dxa" w:w="415"/>
          </w:tcPr>
          <w:p>
            <w:pPr>
              <w:pStyle w:val="null3"/>
            </w:pPr>
            <w:r>
              <w:rPr/>
              <w:t>28</w:t>
            </w:r>
          </w:p>
        </w:tc>
        <w:tc>
          <w:tcPr>
            <w:tcW w:type="dxa" w:w="5814"/>
          </w:tcPr>
          <w:p>
            <w:pPr>
              <w:pStyle w:val="null3"/>
            </w:pPr>
            <w:r>
              <w:rPr>
                <w:sz w:val="21"/>
              </w:rPr>
              <w:t>动态引伸计；（精度等级：ISO9513 0.5级/JJG 762 0.5级，标距：12.5mm；变形范围涵盖-1.0mm～+2.5mm；双向超行程机械停止；采用双弯曲结构设计，可用于高频循环试验）。</w:t>
            </w:r>
          </w:p>
        </w:tc>
      </w:tr>
      <w:tr>
        <w:tc>
          <w:tcPr>
            <w:tcW w:type="dxa" w:w="2076"/>
          </w:tcPr>
          <w:p/>
        </w:tc>
        <w:tc>
          <w:tcPr>
            <w:tcW w:type="dxa" w:w="415"/>
          </w:tcPr>
          <w:p>
            <w:pPr>
              <w:pStyle w:val="null3"/>
            </w:pPr>
            <w:r>
              <w:rPr/>
              <w:t>29</w:t>
            </w:r>
          </w:p>
        </w:tc>
        <w:tc>
          <w:tcPr>
            <w:tcW w:type="dxa" w:w="5814"/>
          </w:tcPr>
          <w:p>
            <w:pPr>
              <w:pStyle w:val="null3"/>
            </w:pPr>
            <w:r>
              <w:rPr>
                <w:sz w:val="21"/>
              </w:rPr>
              <w:t>动态高温引伸计（温度范围涵盖室温～+1200℃，包含高温引伸计支架）：（标距：12.5mm；变形范围：-1.5mm～+1.5mm；温度范围涵盖室温～+1200℃；精度等级： ISO9513 0.5级）。</w:t>
            </w:r>
          </w:p>
        </w:tc>
      </w:tr>
      <w:tr>
        <w:tc>
          <w:tcPr>
            <w:tcW w:type="dxa" w:w="2076"/>
          </w:tcPr>
          <w:p/>
        </w:tc>
        <w:tc>
          <w:tcPr>
            <w:tcW w:type="dxa" w:w="415"/>
          </w:tcPr>
          <w:p>
            <w:pPr>
              <w:pStyle w:val="null3"/>
            </w:pPr>
            <w:r>
              <w:rPr/>
              <w:t>30</w:t>
            </w:r>
          </w:p>
        </w:tc>
        <w:tc>
          <w:tcPr>
            <w:tcW w:type="dxa" w:w="5814"/>
          </w:tcPr>
          <w:p>
            <w:pPr>
              <w:pStyle w:val="null3"/>
            </w:pPr>
            <w:r>
              <w:rPr>
                <w:sz w:val="21"/>
              </w:rPr>
              <w:t>操作控制终端：（CPU主频不低于3.8 GHz，最高睿频4.6 GHz，64位国产化操作系统，不低于16GB运行内存，不低于256GB SSD M.2/1TB 7200RPM转速硬盘，不低于23.8英寸显示屏，黑色鼠标、键盘）。</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高低温轮轨接触特性模拟试验台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试验力范围为≥1～30kN，试验力控制方式采用喷嘴挡板伺服阀，电液伺服液压无级加载，需能满足载荷谱控制试验，最大载荷≥30kN，载荷示值误差≤±1%；另附带一套传动比为1:2的低速重载带轮传动系统，最大扭矩≥140 N.m。</w:t>
            </w:r>
          </w:p>
        </w:tc>
      </w:tr>
      <w:tr>
        <w:tc>
          <w:tcPr>
            <w:tcW w:type="dxa" w:w="2076"/>
          </w:tcPr>
          <w:p/>
        </w:tc>
        <w:tc>
          <w:tcPr>
            <w:tcW w:type="dxa" w:w="415"/>
          </w:tcPr>
          <w:p>
            <w:pPr>
              <w:pStyle w:val="null3"/>
            </w:pPr>
            <w:r>
              <w:rPr/>
              <w:t>2</w:t>
            </w:r>
          </w:p>
        </w:tc>
        <w:tc>
          <w:tcPr>
            <w:tcW w:type="dxa" w:w="5814"/>
          </w:tcPr>
          <w:p>
            <w:pPr>
              <w:pStyle w:val="null3"/>
            </w:pPr>
            <w:r>
              <w:rPr>
                <w:sz w:val="21"/>
              </w:rPr>
              <w:t>额定转速1500r/min，最高转速≥2000r/min，双伺服电机功率11kW，转速测量精度≤±5r/min，滑差率无级可调。</w:t>
            </w:r>
          </w:p>
        </w:tc>
      </w:tr>
      <w:tr>
        <w:tc>
          <w:tcPr>
            <w:tcW w:type="dxa" w:w="2076"/>
          </w:tcPr>
          <w:p/>
        </w:tc>
        <w:tc>
          <w:tcPr>
            <w:tcW w:type="dxa" w:w="415"/>
          </w:tcPr>
          <w:p>
            <w:pPr>
              <w:pStyle w:val="null3"/>
            </w:pPr>
            <w:r>
              <w:rPr/>
              <w:t>3</w:t>
            </w:r>
          </w:p>
        </w:tc>
        <w:tc>
          <w:tcPr>
            <w:tcW w:type="dxa" w:w="5814"/>
          </w:tcPr>
          <w:p>
            <w:pPr>
              <w:pStyle w:val="null3"/>
            </w:pPr>
            <w:r>
              <w:rPr>
                <w:sz w:val="21"/>
                <w:b/>
              </w:rPr>
              <w:t>▲</w:t>
            </w:r>
            <w:r>
              <w:rPr>
                <w:sz w:val="21"/>
                <w:b/>
              </w:rPr>
              <w:t>单独的高低温环境控制系统使试样试验环境温度范围为≥-40℃～室温，单独的试样润滑系统，试验油温为≥室温～100 ℃。</w:t>
            </w:r>
          </w:p>
        </w:tc>
      </w:tr>
      <w:tr>
        <w:tc>
          <w:tcPr>
            <w:tcW w:type="dxa" w:w="2076"/>
          </w:tcPr>
          <w:p/>
        </w:tc>
        <w:tc>
          <w:tcPr>
            <w:tcW w:type="dxa" w:w="415"/>
          </w:tcPr>
          <w:p>
            <w:pPr>
              <w:pStyle w:val="null3"/>
            </w:pPr>
            <w:r>
              <w:rPr/>
              <w:t>4</w:t>
            </w:r>
          </w:p>
        </w:tc>
        <w:tc>
          <w:tcPr>
            <w:tcW w:type="dxa" w:w="5814"/>
          </w:tcPr>
          <w:p>
            <w:pPr>
              <w:pStyle w:val="null3"/>
            </w:pPr>
            <w:r>
              <w:rPr>
                <w:sz w:val="21"/>
              </w:rPr>
              <w:t>摩擦力矩测量范围≥0～200N.m，扭矩误差范围≤±2%。</w:t>
            </w:r>
          </w:p>
        </w:tc>
      </w:tr>
      <w:tr>
        <w:tc>
          <w:tcPr>
            <w:tcW w:type="dxa" w:w="2076"/>
          </w:tcPr>
          <w:p/>
        </w:tc>
        <w:tc>
          <w:tcPr>
            <w:tcW w:type="dxa" w:w="415"/>
          </w:tcPr>
          <w:p>
            <w:pPr>
              <w:pStyle w:val="null3"/>
            </w:pPr>
            <w:r>
              <w:rPr/>
              <w:t>5</w:t>
            </w:r>
          </w:p>
        </w:tc>
        <w:tc>
          <w:tcPr>
            <w:tcW w:type="dxa" w:w="5814"/>
          </w:tcPr>
          <w:p>
            <w:pPr>
              <w:pStyle w:val="null3"/>
            </w:pPr>
            <w:r>
              <w:rPr>
                <w:sz w:val="21"/>
                <w:color w:val="000000"/>
              </w:rPr>
              <w:t>★</w:t>
            </w:r>
            <w:r>
              <w:rPr>
                <w:sz w:val="21"/>
                <w:b/>
              </w:rPr>
              <w:t>该设备加载方式有恒载试验方式，同时可具备激振加载、波形加载。波形可实现正弦波、方波、三角波、任意波等，加载频率不低于30Hz。激振波形加载条件下，载荷和扭矩模拟量信号可通过数据采集仪实时记录。</w:t>
            </w:r>
          </w:p>
        </w:tc>
      </w:tr>
      <w:tr>
        <w:tc>
          <w:tcPr>
            <w:tcW w:type="dxa" w:w="2076"/>
          </w:tcPr>
          <w:p/>
        </w:tc>
        <w:tc>
          <w:tcPr>
            <w:tcW w:type="dxa" w:w="415"/>
          </w:tcPr>
          <w:p>
            <w:pPr>
              <w:pStyle w:val="null3"/>
            </w:pPr>
            <w:r>
              <w:rPr/>
              <w:t>6</w:t>
            </w:r>
          </w:p>
        </w:tc>
        <w:tc>
          <w:tcPr>
            <w:tcW w:type="dxa" w:w="5814"/>
          </w:tcPr>
          <w:p>
            <w:pPr>
              <w:pStyle w:val="null3"/>
            </w:pPr>
            <w:r>
              <w:rPr>
                <w:sz w:val="21"/>
              </w:rPr>
              <w:t>圆柱试样标准直径60mm，试样间标准中心距60mm，根据用户特殊要求试样间中心距可在50mm～70mm范围内调整。</w:t>
            </w:r>
          </w:p>
        </w:tc>
      </w:tr>
      <w:tr>
        <w:tc>
          <w:tcPr>
            <w:tcW w:type="dxa" w:w="2076"/>
          </w:tcPr>
          <w:p/>
        </w:tc>
        <w:tc>
          <w:tcPr>
            <w:tcW w:type="dxa" w:w="415"/>
          </w:tcPr>
          <w:p>
            <w:pPr>
              <w:pStyle w:val="null3"/>
            </w:pPr>
            <w:r>
              <w:rPr/>
              <w:t>7</w:t>
            </w:r>
          </w:p>
        </w:tc>
        <w:tc>
          <w:tcPr>
            <w:tcW w:type="dxa" w:w="5814"/>
          </w:tcPr>
          <w:p>
            <w:pPr>
              <w:pStyle w:val="null3"/>
            </w:pPr>
            <w:r>
              <w:rPr>
                <w:sz w:val="21"/>
              </w:rPr>
              <w:t>根据圆柱试样间接触面形状的不同，可以实现点接触和线接触试验。</w:t>
            </w:r>
          </w:p>
        </w:tc>
      </w:tr>
      <w:tr>
        <w:tc>
          <w:tcPr>
            <w:tcW w:type="dxa" w:w="2076"/>
          </w:tcPr>
          <w:p/>
        </w:tc>
        <w:tc>
          <w:tcPr>
            <w:tcW w:type="dxa" w:w="415"/>
          </w:tcPr>
          <w:p>
            <w:pPr>
              <w:pStyle w:val="null3"/>
            </w:pPr>
            <w:r>
              <w:rPr/>
              <w:t>8</w:t>
            </w:r>
          </w:p>
        </w:tc>
        <w:tc>
          <w:tcPr>
            <w:tcW w:type="dxa" w:w="5814"/>
          </w:tcPr>
          <w:p>
            <w:pPr>
              <w:pStyle w:val="null3"/>
            </w:pPr>
            <w:r>
              <w:rPr>
                <w:sz w:val="21"/>
              </w:rPr>
              <w:t>主要配置为主机（</w:t>
            </w:r>
            <w:r>
              <w:rPr>
                <w:sz w:val="21"/>
                <w:color w:val="333333"/>
                <w:shd w:fill="FFFFFF" w:val="clear"/>
              </w:rPr>
              <w:t>×1</w:t>
            </w:r>
            <w:r>
              <w:rPr>
                <w:sz w:val="21"/>
                <w:color w:val="333333"/>
                <w:shd w:fill="FFFFFF" w:val="clear"/>
              </w:rPr>
              <w:t>）</w:t>
            </w:r>
            <w:r>
              <w:rPr>
                <w:sz w:val="21"/>
              </w:rPr>
              <w:t>、控制柜（</w:t>
            </w:r>
            <w:r>
              <w:rPr>
                <w:sz w:val="21"/>
                <w:color w:val="333333"/>
                <w:shd w:fill="FFFFFF" w:val="clear"/>
              </w:rPr>
              <w:t>×1</w:t>
            </w:r>
            <w:r>
              <w:rPr>
                <w:sz w:val="21"/>
                <w:color w:val="333333"/>
                <w:shd w:fill="FFFFFF" w:val="clear"/>
              </w:rPr>
              <w:t>）</w:t>
            </w:r>
            <w:r>
              <w:rPr>
                <w:sz w:val="21"/>
              </w:rPr>
              <w:t>、加载油源（</w:t>
            </w:r>
            <w:r>
              <w:rPr>
                <w:sz w:val="21"/>
                <w:color w:val="333333"/>
                <w:shd w:fill="FFFFFF" w:val="clear"/>
              </w:rPr>
              <w:t>×1</w:t>
            </w:r>
            <w:r>
              <w:rPr>
                <w:sz w:val="21"/>
                <w:color w:val="333333"/>
                <w:shd w:fill="FFFFFF" w:val="clear"/>
              </w:rPr>
              <w:t>）</w:t>
            </w:r>
            <w:r>
              <w:rPr>
                <w:sz w:val="21"/>
              </w:rPr>
              <w:t>、润滑油源（</w:t>
            </w:r>
            <w:r>
              <w:rPr>
                <w:sz w:val="21"/>
                <w:color w:val="333333"/>
                <w:shd w:fill="FFFFFF" w:val="clear"/>
              </w:rPr>
              <w:t>×1</w:t>
            </w:r>
            <w:r>
              <w:rPr>
                <w:sz w:val="21"/>
                <w:color w:val="333333"/>
                <w:shd w:fill="FFFFFF" w:val="clear"/>
              </w:rPr>
              <w:t>）</w:t>
            </w:r>
            <w:r>
              <w:rPr>
                <w:sz w:val="21"/>
              </w:rPr>
              <w:t>、高低温环境箱（</w:t>
            </w:r>
            <w:r>
              <w:rPr>
                <w:sz w:val="21"/>
                <w:color w:val="333333"/>
                <w:shd w:fill="FFFFFF" w:val="clear"/>
              </w:rPr>
              <w:t>×1</w:t>
            </w:r>
            <w:r>
              <w:rPr>
                <w:sz w:val="21"/>
                <w:color w:val="333333"/>
                <w:shd w:fill="FFFFFF" w:val="clear"/>
              </w:rPr>
              <w:t>）</w:t>
            </w:r>
            <w:r>
              <w:rPr>
                <w:sz w:val="21"/>
              </w:rPr>
              <w:t>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金相磨抛机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磨抛盘直径≥230mm；</w:t>
            </w:r>
          </w:p>
        </w:tc>
      </w:tr>
      <w:tr>
        <w:tc>
          <w:tcPr>
            <w:tcW w:type="dxa" w:w="2076"/>
          </w:tcPr>
          <w:p/>
        </w:tc>
        <w:tc>
          <w:tcPr>
            <w:tcW w:type="dxa" w:w="415"/>
          </w:tcPr>
          <w:p>
            <w:pPr>
              <w:pStyle w:val="null3"/>
            </w:pPr>
            <w:r>
              <w:rPr/>
              <w:t>2</w:t>
            </w:r>
          </w:p>
        </w:tc>
        <w:tc>
          <w:tcPr>
            <w:tcW w:type="dxa" w:w="5814"/>
          </w:tcPr>
          <w:p>
            <w:pPr>
              <w:pStyle w:val="null3"/>
            </w:pPr>
            <w:r>
              <w:rPr>
                <w:sz w:val="21"/>
              </w:rPr>
              <w:t>转速：50～1000转/分；</w:t>
            </w:r>
          </w:p>
        </w:tc>
      </w:tr>
      <w:tr>
        <w:tc>
          <w:tcPr>
            <w:tcW w:type="dxa" w:w="2076"/>
          </w:tcPr>
          <w:p/>
        </w:tc>
        <w:tc>
          <w:tcPr>
            <w:tcW w:type="dxa" w:w="415"/>
          </w:tcPr>
          <w:p>
            <w:pPr>
              <w:pStyle w:val="null3"/>
            </w:pPr>
            <w:r>
              <w:rPr/>
              <w:t>3</w:t>
            </w:r>
          </w:p>
        </w:tc>
        <w:tc>
          <w:tcPr>
            <w:tcW w:type="dxa" w:w="5814"/>
          </w:tcPr>
          <w:p>
            <w:pPr>
              <w:pStyle w:val="null3"/>
            </w:pPr>
            <w:r>
              <w:rPr>
                <w:sz w:val="21"/>
              </w:rPr>
              <w:t>具有正反转调节功能；</w:t>
            </w:r>
          </w:p>
        </w:tc>
      </w:tr>
      <w:tr>
        <w:tc>
          <w:tcPr>
            <w:tcW w:type="dxa" w:w="2076"/>
          </w:tcPr>
          <w:p/>
        </w:tc>
        <w:tc>
          <w:tcPr>
            <w:tcW w:type="dxa" w:w="415"/>
          </w:tcPr>
          <w:p>
            <w:pPr>
              <w:pStyle w:val="null3"/>
            </w:pPr>
            <w:r>
              <w:rPr/>
              <w:t>4</w:t>
            </w:r>
          </w:p>
        </w:tc>
        <w:tc>
          <w:tcPr>
            <w:tcW w:type="dxa" w:w="5814"/>
          </w:tcPr>
          <w:p>
            <w:pPr>
              <w:pStyle w:val="null3"/>
            </w:pPr>
            <w:r>
              <w:rPr>
                <w:sz w:val="21"/>
              </w:rPr>
              <w:t xml:space="preserve"> 磨盘电机：无级变速；</w:t>
            </w:r>
          </w:p>
        </w:tc>
      </w:tr>
      <w:tr>
        <w:tc>
          <w:tcPr>
            <w:tcW w:type="dxa" w:w="2076"/>
          </w:tcPr>
          <w:p/>
        </w:tc>
        <w:tc>
          <w:tcPr>
            <w:tcW w:type="dxa" w:w="415"/>
          </w:tcPr>
          <w:p>
            <w:pPr>
              <w:pStyle w:val="null3"/>
            </w:pPr>
            <w:r>
              <w:rPr/>
              <w:t>5</w:t>
            </w:r>
          </w:p>
        </w:tc>
        <w:tc>
          <w:tcPr>
            <w:tcW w:type="dxa" w:w="5814"/>
          </w:tcPr>
          <w:p>
            <w:pPr>
              <w:pStyle w:val="null3"/>
            </w:pPr>
            <w:r>
              <w:rPr>
                <w:sz w:val="21"/>
              </w:rPr>
              <w:t>控制方式：双盘双控。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干燥箱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体积≥540L；</w:t>
            </w:r>
          </w:p>
        </w:tc>
      </w:tr>
      <w:tr>
        <w:tc>
          <w:tcPr>
            <w:tcW w:type="dxa" w:w="2076"/>
          </w:tcPr>
          <w:p/>
        </w:tc>
        <w:tc>
          <w:tcPr>
            <w:tcW w:type="dxa" w:w="415"/>
          </w:tcPr>
          <w:p>
            <w:pPr>
              <w:pStyle w:val="null3"/>
            </w:pPr>
            <w:r>
              <w:rPr/>
              <w:t>2</w:t>
            </w:r>
          </w:p>
        </w:tc>
        <w:tc>
          <w:tcPr>
            <w:tcW w:type="dxa" w:w="5814"/>
          </w:tcPr>
          <w:p>
            <w:pPr>
              <w:pStyle w:val="null3"/>
            </w:pPr>
            <w:r>
              <w:rPr>
                <w:sz w:val="21"/>
              </w:rPr>
              <w:t>湿度控制范围10%～20%RH；</w:t>
            </w:r>
          </w:p>
        </w:tc>
      </w:tr>
      <w:tr>
        <w:tc>
          <w:tcPr>
            <w:tcW w:type="dxa" w:w="2076"/>
          </w:tcPr>
          <w:p/>
        </w:tc>
        <w:tc>
          <w:tcPr>
            <w:tcW w:type="dxa" w:w="415"/>
          </w:tcPr>
          <w:p>
            <w:pPr>
              <w:pStyle w:val="null3"/>
            </w:pPr>
            <w:r>
              <w:rPr/>
              <w:t>3</w:t>
            </w:r>
          </w:p>
        </w:tc>
        <w:tc>
          <w:tcPr>
            <w:tcW w:type="dxa" w:w="5814"/>
          </w:tcPr>
          <w:p>
            <w:pPr>
              <w:pStyle w:val="null3"/>
            </w:pPr>
            <w:r>
              <w:rPr>
                <w:sz w:val="21"/>
              </w:rPr>
              <w:t>温度显示-9℃～99℃，湿度显示范围0%～99%RH；</w:t>
            </w:r>
          </w:p>
        </w:tc>
      </w:tr>
      <w:tr>
        <w:tc>
          <w:tcPr>
            <w:tcW w:type="dxa" w:w="2076"/>
          </w:tcPr>
          <w:p/>
        </w:tc>
        <w:tc>
          <w:tcPr>
            <w:tcW w:type="dxa" w:w="415"/>
          </w:tcPr>
          <w:p>
            <w:pPr>
              <w:pStyle w:val="null3"/>
            </w:pPr>
            <w:r>
              <w:rPr/>
              <w:t>4</w:t>
            </w:r>
          </w:p>
        </w:tc>
        <w:tc>
          <w:tcPr>
            <w:tcW w:type="dxa" w:w="5814"/>
          </w:tcPr>
          <w:p>
            <w:pPr>
              <w:pStyle w:val="null3"/>
            </w:pPr>
            <w:r>
              <w:rPr>
                <w:sz w:val="21"/>
              </w:rPr>
              <w:t>承重层板，可上下调节高度；</w:t>
            </w:r>
          </w:p>
        </w:tc>
      </w:tr>
      <w:tr>
        <w:tc>
          <w:tcPr>
            <w:tcW w:type="dxa" w:w="2076"/>
          </w:tcPr>
          <w:p/>
        </w:tc>
        <w:tc>
          <w:tcPr>
            <w:tcW w:type="dxa" w:w="415"/>
          </w:tcPr>
          <w:p>
            <w:pPr>
              <w:pStyle w:val="null3"/>
            </w:pPr>
            <w:r>
              <w:rPr/>
              <w:t>5</w:t>
            </w:r>
          </w:p>
        </w:tc>
        <w:tc>
          <w:tcPr>
            <w:tcW w:type="dxa" w:w="5814"/>
          </w:tcPr>
          <w:p>
            <w:pPr>
              <w:pStyle w:val="null3"/>
            </w:pPr>
            <w:r>
              <w:rPr>
                <w:sz w:val="21"/>
              </w:rPr>
              <w:t>底部安装不少于4组万向脚轮。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除湿机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除湿量不低于：138L/D（30</w:t>
            </w:r>
            <w:r>
              <w:rPr>
                <w:sz w:val="21"/>
                <w:vertAlign w:val="superscript"/>
              </w:rPr>
              <w:t>0</w:t>
            </w:r>
            <w:r>
              <w:rPr>
                <w:sz w:val="21"/>
              </w:rPr>
              <w:t>C/80RH%）</w:t>
            </w:r>
          </w:p>
        </w:tc>
      </w:tr>
      <w:tr>
        <w:tc>
          <w:tcPr>
            <w:tcW w:type="dxa" w:w="2076"/>
          </w:tcPr>
          <w:p/>
        </w:tc>
        <w:tc>
          <w:tcPr>
            <w:tcW w:type="dxa" w:w="415"/>
          </w:tcPr>
          <w:p>
            <w:pPr>
              <w:pStyle w:val="null3"/>
            </w:pPr>
            <w:r>
              <w:rPr/>
              <w:t>2</w:t>
            </w:r>
          </w:p>
        </w:tc>
        <w:tc>
          <w:tcPr>
            <w:tcW w:type="dxa" w:w="5814"/>
          </w:tcPr>
          <w:p>
            <w:pPr>
              <w:pStyle w:val="null3"/>
            </w:pPr>
            <w:r>
              <w:rPr>
                <w:sz w:val="21"/>
              </w:rPr>
              <w:t>额定功率≥ 1.6KW</w:t>
            </w:r>
          </w:p>
        </w:tc>
      </w:tr>
      <w:tr>
        <w:tc>
          <w:tcPr>
            <w:tcW w:type="dxa" w:w="2076"/>
          </w:tcPr>
          <w:p/>
        </w:tc>
        <w:tc>
          <w:tcPr>
            <w:tcW w:type="dxa" w:w="415"/>
          </w:tcPr>
          <w:p>
            <w:pPr>
              <w:pStyle w:val="null3"/>
            </w:pPr>
            <w:r>
              <w:rPr/>
              <w:t>3</w:t>
            </w:r>
          </w:p>
        </w:tc>
        <w:tc>
          <w:tcPr>
            <w:tcW w:type="dxa" w:w="5814"/>
          </w:tcPr>
          <w:p>
            <w:pPr>
              <w:pStyle w:val="null3"/>
            </w:pPr>
            <w:r>
              <w:rPr>
                <w:sz w:val="21"/>
              </w:rPr>
              <w:t>配置:排水管、移动万向轮</w:t>
            </w:r>
          </w:p>
        </w:tc>
      </w:tr>
      <w:tr>
        <w:tc>
          <w:tcPr>
            <w:tcW w:type="dxa" w:w="2076"/>
          </w:tcPr>
          <w:p/>
        </w:tc>
        <w:tc>
          <w:tcPr>
            <w:tcW w:type="dxa" w:w="415"/>
          </w:tcPr>
          <w:p>
            <w:pPr>
              <w:pStyle w:val="null3"/>
            </w:pPr>
            <w:r>
              <w:rPr/>
              <w:t>4</w:t>
            </w:r>
          </w:p>
        </w:tc>
        <w:tc>
          <w:tcPr>
            <w:tcW w:type="dxa" w:w="5814"/>
          </w:tcPr>
          <w:p>
            <w:pPr>
              <w:pStyle w:val="null3"/>
            </w:pPr>
            <w:r>
              <w:rPr>
                <w:sz w:val="21"/>
              </w:rPr>
              <w:t>功能：断电记忆、自动排水。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防震工作台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柜体≥40×60mm方管，台面≥12.7mm厚理化板，承重均载不低于300kg;</w:t>
            </w:r>
          </w:p>
        </w:tc>
      </w:tr>
      <w:tr>
        <w:tc>
          <w:tcPr>
            <w:tcW w:type="dxa" w:w="2076"/>
          </w:tcPr>
          <w:p/>
        </w:tc>
        <w:tc>
          <w:tcPr>
            <w:tcW w:type="dxa" w:w="415"/>
          </w:tcPr>
          <w:p>
            <w:pPr>
              <w:pStyle w:val="null3"/>
            </w:pPr>
            <w:r>
              <w:rPr/>
              <w:t>2</w:t>
            </w:r>
          </w:p>
        </w:tc>
        <w:tc>
          <w:tcPr>
            <w:tcW w:type="dxa" w:w="5814"/>
          </w:tcPr>
          <w:p>
            <w:pPr>
              <w:pStyle w:val="null3"/>
            </w:pPr>
            <w:r>
              <w:rPr>
                <w:sz w:val="21"/>
              </w:rPr>
              <w:t>宝蓝色;</w:t>
            </w:r>
          </w:p>
        </w:tc>
      </w:tr>
      <w:tr>
        <w:tc>
          <w:tcPr>
            <w:tcW w:type="dxa" w:w="2076"/>
          </w:tcPr>
          <w:p/>
        </w:tc>
        <w:tc>
          <w:tcPr>
            <w:tcW w:type="dxa" w:w="415"/>
          </w:tcPr>
          <w:p>
            <w:pPr>
              <w:pStyle w:val="null3"/>
            </w:pPr>
            <w:r>
              <w:rPr/>
              <w:t>3</w:t>
            </w:r>
          </w:p>
        </w:tc>
        <w:tc>
          <w:tcPr>
            <w:tcW w:type="dxa" w:w="5814"/>
          </w:tcPr>
          <w:p>
            <w:pPr>
              <w:pStyle w:val="null3"/>
            </w:pPr>
            <w:r>
              <w:rPr>
                <w:sz w:val="21"/>
              </w:rPr>
              <w:t>尺寸: 长×宽×高为（1500±10）mm×（750±10）mm×（800±10）mm；以现场实际测量情况为准。</w:t>
            </w:r>
          </w:p>
        </w:tc>
      </w:tr>
      <w:tr>
        <w:tc>
          <w:tcPr>
            <w:tcW w:type="dxa" w:w="2076"/>
          </w:tcPr>
          <w:p/>
        </w:tc>
        <w:tc>
          <w:tcPr>
            <w:tcW w:type="dxa" w:w="415"/>
          </w:tcPr>
          <w:p>
            <w:pPr>
              <w:pStyle w:val="null3"/>
            </w:pPr>
            <w:r>
              <w:rPr/>
              <w:t>4</w:t>
            </w:r>
          </w:p>
        </w:tc>
        <w:tc>
          <w:tcPr>
            <w:tcW w:type="dxa" w:w="5814"/>
          </w:tcPr>
          <w:p>
            <w:pPr>
              <w:pStyle w:val="null3"/>
            </w:pPr>
            <w:r>
              <w:rPr>
                <w:sz w:val="21"/>
              </w:rPr>
              <w:t>配置单桌带抽屉+五孔插座，防震动。</w:t>
            </w:r>
          </w:p>
        </w:tc>
      </w:tr>
      <w:tr>
        <w:tc>
          <w:tcPr>
            <w:tcW w:type="dxa" w:w="2076"/>
          </w:tcPr>
          <w:p/>
        </w:tc>
        <w:tc>
          <w:tcPr>
            <w:tcW w:type="dxa" w:w="415"/>
          </w:tcPr>
          <w:p>
            <w:pPr>
              <w:pStyle w:val="null3"/>
            </w:pPr>
            <w:r>
              <w:rPr/>
              <w:t>5</w:t>
            </w:r>
          </w:p>
        </w:tc>
        <w:tc>
          <w:tcPr>
            <w:tcW w:type="dxa" w:w="5814"/>
          </w:tcPr>
          <w:p>
            <w:pPr>
              <w:pStyle w:val="null3"/>
              <w:jc w:val="both"/>
            </w:pPr>
            <w:r>
              <w:rPr>
                <w:sz w:val="21"/>
              </w:rPr>
              <w:t>参考图片</w:t>
            </w:r>
          </w:p>
          <w:p>
            <w:pPr>
              <w:pStyle w:val="null3"/>
            </w:pPr>
            <w:r>
              <w:drawing>
                <wp:inline distT="0" distR="0" distB="0" distL="0">
                  <wp:extent cx="1771650" cy="14192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771650" cy="1419225"/>
                          </a:xfrm>
                          <a:prstGeom prst="rect">
                            <a:avLst/>
                          </a:prstGeom>
                        </pic:spPr>
                      </pic:pic>
                    </a:graphicData>
                  </a:graphic>
                </wp:inline>
              </w:drawing>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工作台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柜体≥40×60mm方管，台面≥12.7mm厚理化板，承重均载不低于300kg；</w:t>
            </w:r>
          </w:p>
        </w:tc>
      </w:tr>
      <w:tr>
        <w:tc>
          <w:tcPr>
            <w:tcW w:type="dxa" w:w="2076"/>
          </w:tcPr>
          <w:p/>
        </w:tc>
        <w:tc>
          <w:tcPr>
            <w:tcW w:type="dxa" w:w="415"/>
          </w:tcPr>
          <w:p>
            <w:pPr>
              <w:pStyle w:val="null3"/>
            </w:pPr>
            <w:r>
              <w:rPr/>
              <w:t>2</w:t>
            </w:r>
          </w:p>
        </w:tc>
        <w:tc>
          <w:tcPr>
            <w:tcW w:type="dxa" w:w="5814"/>
          </w:tcPr>
          <w:p>
            <w:pPr>
              <w:pStyle w:val="null3"/>
            </w:pPr>
            <w:r>
              <w:rPr>
                <w:sz w:val="21"/>
              </w:rPr>
              <w:t>宝蓝色；</w:t>
            </w:r>
          </w:p>
        </w:tc>
      </w:tr>
      <w:tr>
        <w:tc>
          <w:tcPr>
            <w:tcW w:type="dxa" w:w="2076"/>
          </w:tcPr>
          <w:p/>
        </w:tc>
        <w:tc>
          <w:tcPr>
            <w:tcW w:type="dxa" w:w="415"/>
          </w:tcPr>
          <w:p>
            <w:pPr>
              <w:pStyle w:val="null3"/>
            </w:pPr>
            <w:r>
              <w:rPr/>
              <w:t>3</w:t>
            </w:r>
          </w:p>
        </w:tc>
        <w:tc>
          <w:tcPr>
            <w:tcW w:type="dxa" w:w="5814"/>
          </w:tcPr>
          <w:p>
            <w:pPr>
              <w:pStyle w:val="null3"/>
            </w:pPr>
            <w:r>
              <w:rPr>
                <w:sz w:val="21"/>
              </w:rPr>
              <w:t>尺寸：长×宽×高为（1500±10）mm×（750±10）mm×（800±10）mm，配置单桌带抽屉。以现场实际测量情况为准。</w:t>
            </w:r>
          </w:p>
        </w:tc>
      </w:tr>
      <w:tr>
        <w:tc>
          <w:tcPr>
            <w:tcW w:type="dxa" w:w="2076"/>
          </w:tcPr>
          <w:p/>
        </w:tc>
        <w:tc>
          <w:tcPr>
            <w:tcW w:type="dxa" w:w="415"/>
          </w:tcPr>
          <w:p>
            <w:pPr>
              <w:pStyle w:val="null3"/>
            </w:pPr>
            <w:r>
              <w:rPr/>
              <w:t>4</w:t>
            </w:r>
          </w:p>
        </w:tc>
        <w:tc>
          <w:tcPr>
            <w:tcW w:type="dxa" w:w="5814"/>
          </w:tcPr>
          <w:p>
            <w:pPr>
              <w:pStyle w:val="null3"/>
              <w:jc w:val="both"/>
            </w:pPr>
            <w:r>
              <w:rPr>
                <w:sz w:val="21"/>
              </w:rPr>
              <w:t>参考图片</w:t>
            </w:r>
          </w:p>
          <w:p>
            <w:pPr>
              <w:pStyle w:val="null3"/>
            </w:pPr>
            <w:r>
              <w:drawing>
                <wp:inline distT="0" distR="0" distB="0" distL="0">
                  <wp:extent cx="2714625" cy="22479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2714625" cy="2247900"/>
                          </a:xfrm>
                          <a:prstGeom prst="rect">
                            <a:avLst/>
                          </a:prstGeom>
                        </pic:spPr>
                      </pic:pic>
                    </a:graphicData>
                  </a:graphic>
                </wp:inline>
              </w:drawing>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音箱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三分频八寸蓝牙音响，电子管胆机功放，蓝牙无损CD机hifi组合音响音箱即：音箱+胆机+DVD(黑）。</w:t>
            </w:r>
          </w:p>
        </w:tc>
      </w:tr>
      <w:tr>
        <w:tc>
          <w:tcPr>
            <w:tcW w:type="dxa" w:w="2076"/>
          </w:tcPr>
          <w:p/>
        </w:tc>
        <w:tc>
          <w:tcPr>
            <w:tcW w:type="dxa" w:w="415"/>
          </w:tcPr>
          <w:p>
            <w:pPr>
              <w:pStyle w:val="null3"/>
            </w:pPr>
            <w:r>
              <w:rPr/>
              <w:t>2</w:t>
            </w:r>
          </w:p>
        </w:tc>
        <w:tc>
          <w:tcPr>
            <w:tcW w:type="dxa" w:w="5814"/>
          </w:tcPr>
          <w:p>
            <w:pPr>
              <w:pStyle w:val="null3"/>
            </w:pPr>
            <w:r>
              <w:rPr>
                <w:sz w:val="21"/>
              </w:rPr>
              <w:t>音箱：高音喇叭≥1英寸，喇叭≥4英寸，中低音≥8英寸，功率≥120W，频率范围65Hz～20kHz。</w:t>
            </w:r>
          </w:p>
        </w:tc>
      </w:tr>
      <w:tr>
        <w:tc>
          <w:tcPr>
            <w:tcW w:type="dxa" w:w="2076"/>
          </w:tcPr>
          <w:p/>
        </w:tc>
        <w:tc>
          <w:tcPr>
            <w:tcW w:type="dxa" w:w="415"/>
          </w:tcPr>
          <w:p>
            <w:pPr>
              <w:pStyle w:val="null3"/>
            </w:pPr>
            <w:r>
              <w:rPr/>
              <w:t>3</w:t>
            </w:r>
          </w:p>
        </w:tc>
        <w:tc>
          <w:tcPr>
            <w:tcW w:type="dxa" w:w="5814"/>
          </w:tcPr>
          <w:p>
            <w:pPr>
              <w:pStyle w:val="null3"/>
            </w:pPr>
            <w:r>
              <w:rPr>
                <w:sz w:val="21"/>
              </w:rPr>
              <w:t>胆机：前级电子胆管≥6只，后级功率管≥2对，支持包括但不限于USB、蓝牙播放，独立高低音调节/带遥控，机器接口含有但不限于：立体声、光纤、同轴。</w:t>
            </w:r>
          </w:p>
        </w:tc>
      </w:tr>
      <w:tr>
        <w:tc>
          <w:tcPr>
            <w:tcW w:type="dxa" w:w="2076"/>
          </w:tcPr>
          <w:p/>
        </w:tc>
        <w:tc>
          <w:tcPr>
            <w:tcW w:type="dxa" w:w="415"/>
          </w:tcPr>
          <w:p>
            <w:pPr>
              <w:pStyle w:val="null3"/>
            </w:pPr>
            <w:r>
              <w:rPr/>
              <w:t>4</w:t>
            </w:r>
          </w:p>
        </w:tc>
        <w:tc>
          <w:tcPr>
            <w:tcW w:type="dxa" w:w="5814"/>
          </w:tcPr>
          <w:p>
            <w:pPr>
              <w:pStyle w:val="null3"/>
            </w:pPr>
            <w:r>
              <w:rPr>
                <w:sz w:val="21"/>
              </w:rPr>
              <w:t>DVD/CD</w:t>
            </w:r>
            <w:r>
              <w:rPr>
                <w:sz w:val="21"/>
              </w:rPr>
              <w:t>机：支持DVD/CD/VCD等碟片读取，高清HDMI数字音频输出，数字光纤同轴音频输出；</w:t>
            </w:r>
          </w:p>
        </w:tc>
      </w:tr>
      <w:tr>
        <w:tc>
          <w:tcPr>
            <w:tcW w:type="dxa" w:w="2076"/>
          </w:tcPr>
          <w:p/>
        </w:tc>
        <w:tc>
          <w:tcPr>
            <w:tcW w:type="dxa" w:w="415"/>
          </w:tcPr>
          <w:p>
            <w:pPr>
              <w:pStyle w:val="null3"/>
            </w:pPr>
            <w:r>
              <w:rPr/>
              <w:t>5</w:t>
            </w:r>
          </w:p>
        </w:tc>
        <w:tc>
          <w:tcPr>
            <w:tcW w:type="dxa" w:w="5814"/>
          </w:tcPr>
          <w:p>
            <w:pPr>
              <w:pStyle w:val="null3"/>
            </w:pPr>
            <w:r>
              <w:rPr>
                <w:sz w:val="21"/>
              </w:rPr>
              <w:t>配有1.5米发烧音箱线≥2条，1.5米光纤线≥1条，1.8米602A同轴线≥1条，1.5米2对2音频线≥1条。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不含税）：参照《广东省物价局粤价函〔2013〕1233号》规定的货物招标标准费率下浮20%计取。按标准费率下浮20%后计算不足人民币肆仟元的，按最低收费人民币肆仟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p>
            <w:pPr>
              <w:pStyle w:val="null3"/>
              <w:jc w:val="left"/>
            </w:pPr>
            <w:r>
              <w:rPr/>
              <w:t>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先进轨道交通装备服役摩擦机理及控制实验室试验机等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采购包1（先进轨道交通装备服役摩擦机理及控制实验室试验机等设备采购项目）：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采购包1（先进轨道交通装备服役摩擦机理及控制实验室试验机等设备采购项目）：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供应商必须具有良好的商业信誉和健全的财务会计制度（提供2024年度财务状况报告或投标截止日前6个月内任意1个月的财务报表复印件或基本开户行出具的资信证明）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整体专门面向中小企业采购，投标人须提供中小企业声明函（即本采购包所有产品的制造商（或生产商）须是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采购包1（先进轨道交通装备服役摩擦机理及控制实验室试验机等设备采购项目）：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采购包1(先进轨道交通装备服役摩擦机理及控制实验室试验机等设备采购项目):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技术响应程度-1部分 (24.0分)</w:t>
            </w:r>
          </w:p>
        </w:tc>
        <w:tc>
          <w:tcPr>
            <w:tcW w:type="dxa" w:w="5076"/>
          </w:tcPr>
          <w:p>
            <w:pPr>
              <w:pStyle w:val="null3"/>
              <w:jc w:val="left"/>
            </w:pPr>
            <w:r>
              <w:rPr/>
              <w:t>根据投标人对“第二章 采购需求”附表一至附表八中【具体技术(参数)要求】的带“▲”条款的响应情况进行评分： 投标人所投产品（设备）每满足招标文件“第二章 采购需求”附表一至附表八中【具体技术(参数)要求】的带“▲”条款要求的，得4分，最高得24分。 注：如【具体技术(参数)要求】中有明确要求提供证明资料的，以【具体技术(参数)要求】中的要求为准；如【具体技术(参数)要求】中未明确要求提供证明资料的，以投标人响应情况为准。</w:t>
            </w:r>
          </w:p>
        </w:tc>
      </w:tr>
      <w:tr>
        <w:tc>
          <w:tcPr>
            <w:tcW w:type="dxa" w:w="922"/>
            <w:gridSpan w:val="2"/>
            <w:vMerge/>
          </w:tcPr>
          <w:p/>
        </w:tc>
        <w:tc>
          <w:tcPr>
            <w:tcW w:type="dxa" w:w="2307"/>
          </w:tcPr>
          <w:p>
            <w:pPr>
              <w:pStyle w:val="null3"/>
              <w:jc w:val="left"/>
            </w:pPr>
            <w:r>
              <w:rPr/>
              <w:t>技术响应程度-2部分 (20.0分)</w:t>
            </w:r>
          </w:p>
        </w:tc>
        <w:tc>
          <w:tcPr>
            <w:tcW w:type="dxa" w:w="5076"/>
          </w:tcPr>
          <w:p>
            <w:pPr>
              <w:pStyle w:val="null3"/>
              <w:jc w:val="left"/>
            </w:pPr>
            <w:r>
              <w:rPr/>
              <w:t>根据投标人对“第二章 采购需求”附表一至附表八中【具体技术(参数)要求】的一般技术参数要求的（不含带“▲”及“★”条款、参考图片）的响应情况进行评分。得分计算公式=（一般技术参数总数-负偏离总数）/一般技术参数总数×20.0分，结果四舍五入保留两位小数；本项目一般技术参数共57条。 注：如【具体技术(参数)要求】中有明确要求提供证明资料的，以【具体技术(参数)要求】中的要求为准；如【具体技术(参数)要求】中未明确要求提供证明资料的，以投标人响应情况为准。</w:t>
            </w:r>
          </w:p>
        </w:tc>
      </w:tr>
      <w:tr>
        <w:tc>
          <w:tcPr>
            <w:tcW w:type="dxa" w:w="922"/>
            <w:gridSpan w:val="2"/>
            <w:vMerge/>
          </w:tcPr>
          <w:p/>
        </w:tc>
        <w:tc>
          <w:tcPr>
            <w:tcW w:type="dxa" w:w="2307"/>
          </w:tcPr>
          <w:p>
            <w:pPr>
              <w:pStyle w:val="null3"/>
              <w:jc w:val="left"/>
            </w:pPr>
            <w:r>
              <w:rPr/>
              <w:t>项目实施能力和措施 (8.0分)</w:t>
            </w:r>
          </w:p>
        </w:tc>
        <w:tc>
          <w:tcPr>
            <w:tcW w:type="dxa" w:w="5076"/>
          </w:tcPr>
          <w:p>
            <w:pPr>
              <w:pStyle w:val="null3"/>
              <w:jc w:val="left"/>
            </w:pPr>
            <w:r>
              <w:rPr/>
              <w:t>根据投标人提供的项目实施方案（包括但不限于：总体实施计划、组织措施、安全责任、消防责任等）进行评审： 1.总体实施计划周全，采取的组织措施全面、合理、可行，得8分。 2.总体实施计划基本周全，采取的组织措施基本全面、具有一定的合理性、具有一定的可行性，得5分。 3.总体实施计划不周全，采取的组织措施不全面、欠缺合理性和可行性，得2分。 4.无提供方案，得0分。</w:t>
            </w:r>
          </w:p>
        </w:tc>
      </w:tr>
      <w:tr>
        <w:tc>
          <w:tcPr>
            <w:tcW w:type="dxa" w:w="922"/>
            <w:gridSpan w:val="2"/>
            <w:vMerge/>
          </w:tcPr>
          <w:p/>
        </w:tc>
        <w:tc>
          <w:tcPr>
            <w:tcW w:type="dxa" w:w="2307"/>
          </w:tcPr>
          <w:p>
            <w:pPr>
              <w:pStyle w:val="null3"/>
              <w:jc w:val="left"/>
            </w:pPr>
            <w:r>
              <w:rPr/>
              <w:t>质量保障及安装、调试方案 (8.0分)</w:t>
            </w:r>
          </w:p>
        </w:tc>
        <w:tc>
          <w:tcPr>
            <w:tcW w:type="dxa" w:w="5076"/>
          </w:tcPr>
          <w:p>
            <w:pPr>
              <w:pStyle w:val="null3"/>
              <w:jc w:val="left"/>
            </w:pPr>
            <w:r>
              <w:rPr/>
              <w:t>根据投标人提供的质量保障及安装、调试方案（包括但不限于：质量保障措施、货物运输、安装方案及安装调试进度计划等）进行综合评审： 1.方案详细具体、具有针对性、可操作性强的，得8分； 2.方案具体、具有一定的针对性、可操作性的，得5分； 3.方案不全面、欠缺合理性和可行性，得2分； 4.无提供方案，得0分。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2022年1月1日至今投标人具有同类供货项目业绩【应满足合同标的至少包括与本项目核心产品类似的产品】，每提供一份合同业绩，得1分，满分5分。 注：提供合同复印件，以签订合同的时间为准，未提供则不得分。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根据投标人提供的售后服务方案（包括但不限于维保服务范围、服务能力、服务标准、维护保养及应急维修时间安排、售后服务承诺和技术力量、响应时间及备品、备件方面等）进行评审： 1.有提供售后服务方案，方案内容完整、详细、科学合理，得5分； 2.有提供售后服务方案，但方案内容有缺漏，得3分； 3.有提供售后服务方案，但方案内容不科学或不合理，得1分； 4.无提供方案，得0分。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合同编号：</w:t>
      </w:r>
    </w:p>
    <w:p>
      <w:pPr>
        <w:pStyle w:val="null3"/>
        <w:spacing w:before="405" w:after="405"/>
        <w:jc w:val="center"/>
      </w:pPr>
      <w:r>
        <w:rPr>
          <w:sz w:val="21"/>
          <w:b/>
        </w:rPr>
        <w:t>五邑大学仪器设备政府采购合同</w:t>
      </w:r>
    </w:p>
    <w:p>
      <w:pPr>
        <w:pStyle w:val="null3"/>
        <w:jc w:val="both"/>
      </w:pPr>
      <w:r>
        <w:rPr>
          <w:sz w:val="21"/>
          <w:b/>
        </w:rPr>
        <w:t>甲方：五邑大学</w:t>
      </w:r>
    </w:p>
    <w:p>
      <w:pPr>
        <w:pStyle w:val="null3"/>
        <w:jc w:val="both"/>
      </w:pPr>
      <w:r>
        <w:rPr>
          <w:sz w:val="21"/>
          <w:b/>
        </w:rPr>
        <w:t>乙方：</w:t>
      </w:r>
    </w:p>
    <w:p>
      <w:pPr>
        <w:pStyle w:val="null3"/>
        <w:jc w:val="both"/>
      </w:pPr>
      <w:r>
        <w:rPr>
          <w:sz w:val="21"/>
        </w:rPr>
        <w:t>甲乙双方根据《中华人民共和国民法典》和《中华人民共和国政府采购法》等有关法律法规的规定，按照五邑大学</w:t>
      </w:r>
      <w:r>
        <w:rPr>
          <w:sz w:val="21"/>
          <w:u w:val="single"/>
        </w:rPr>
        <w:t xml:space="preserve">       </w:t>
      </w:r>
      <w:r>
        <w:rPr>
          <w:sz w:val="21"/>
        </w:rPr>
        <w:t>项目</w:t>
      </w:r>
      <w:r>
        <w:rPr>
          <w:sz w:val="21"/>
          <w:u w:val="single"/>
        </w:rPr>
        <w:t xml:space="preserve">                          </w:t>
      </w:r>
      <w:r>
        <w:rPr>
          <w:sz w:val="21"/>
        </w:rPr>
        <w:t>的中标结果、招标文件、中标供应商的投标文件及</w:t>
      </w:r>
      <w:r>
        <w:rPr>
          <w:sz w:val="21"/>
          <w:u w:val="single"/>
        </w:rPr>
        <w:t xml:space="preserve">          </w:t>
      </w:r>
      <w:r>
        <w:rPr>
          <w:sz w:val="21"/>
        </w:rPr>
        <w:t>发出的中标通知书的要求，经双方协商一致，订立合同如下：</w:t>
      </w:r>
    </w:p>
    <w:p>
      <w:pPr>
        <w:pStyle w:val="null3"/>
        <w:ind w:firstLine="420"/>
      </w:pPr>
      <w:r>
        <w:rPr>
          <w:sz w:val="21"/>
          <w:b/>
        </w:rPr>
        <w:t>第一条  项目的名称、合同总价和项目货物的清单（名称、数量、规格、单价、型号、品牌和技术指标等）</w:t>
      </w:r>
    </w:p>
    <w:p>
      <w:pPr>
        <w:pStyle w:val="null3"/>
        <w:ind w:firstLine="420"/>
      </w:pPr>
      <w:r>
        <w:rPr>
          <w:sz w:val="21"/>
        </w:rPr>
        <w:t>1.项目名称：</w:t>
      </w:r>
      <w:r>
        <w:rPr>
          <w:sz w:val="21"/>
          <w:u w:val="single"/>
        </w:rPr>
        <w:t xml:space="preserve">     </w:t>
      </w:r>
      <w:r>
        <w:rPr>
          <w:sz w:val="21"/>
          <w:b/>
          <w:u w:val="single"/>
        </w:rPr>
        <w:t xml:space="preserve">     </w:t>
      </w:r>
    </w:p>
    <w:p>
      <w:pPr>
        <w:pStyle w:val="null3"/>
        <w:ind w:firstLine="420"/>
      </w:pPr>
      <w:r>
        <w:rPr>
          <w:sz w:val="21"/>
        </w:rPr>
        <w:t>2.设备名称：</w:t>
      </w:r>
      <w:r>
        <w:rPr>
          <w:sz w:val="21"/>
          <w:u w:val="single"/>
        </w:rPr>
        <w:t xml:space="preserve">          </w:t>
      </w:r>
    </w:p>
    <w:p>
      <w:pPr>
        <w:pStyle w:val="null3"/>
        <w:ind w:firstLine="420"/>
      </w:pPr>
      <w:r>
        <w:rPr>
          <w:sz w:val="21"/>
        </w:rPr>
        <w:t>3.合同总价为人民币</w:t>
      </w:r>
      <w:r>
        <w:rPr>
          <w:sz w:val="21"/>
          <w:b/>
          <w:u w:val="single"/>
        </w:rPr>
        <w:t>¥</w:t>
      </w:r>
      <w:r>
        <w:rPr>
          <w:sz w:val="21"/>
          <w:b/>
          <w:u w:val="single"/>
        </w:rPr>
        <w:t xml:space="preserve">         </w:t>
      </w:r>
      <w:r>
        <w:rPr>
          <w:sz w:val="21"/>
        </w:rPr>
        <w:t>元（大写：</w:t>
      </w:r>
      <w:r>
        <w:rPr>
          <w:sz w:val="21"/>
          <w:b/>
          <w:u w:val="single"/>
        </w:rPr>
        <w:t xml:space="preserve">         </w:t>
      </w:r>
      <w:r>
        <w:rPr>
          <w:sz w:val="21"/>
        </w:rPr>
        <w:t>）</w:t>
      </w:r>
    </w:p>
    <w:p>
      <w:pPr>
        <w:pStyle w:val="null3"/>
        <w:ind w:firstLine="420"/>
      </w:pPr>
      <w:r>
        <w:rPr>
          <w:sz w:val="21"/>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pStyle w:val="null3"/>
        <w:ind w:firstLine="420"/>
      </w:pPr>
      <w:r>
        <w:rPr>
          <w:sz w:val="21"/>
        </w:rPr>
        <w:t>货物清单、主要技术参数、保修服务表和培训计划请见附件1、附件2、附件3和附件4。</w:t>
      </w:r>
    </w:p>
    <w:p>
      <w:pPr>
        <w:pStyle w:val="null3"/>
        <w:ind w:firstLine="420"/>
      </w:pPr>
      <w:r>
        <w:rPr>
          <w:sz w:val="21"/>
        </w:rPr>
        <w:t>4.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p>
    <w:p>
      <w:pPr>
        <w:pStyle w:val="null3"/>
        <w:ind w:firstLine="420"/>
      </w:pPr>
      <w:r>
        <w:rPr>
          <w:sz w:val="21"/>
        </w:rPr>
        <w:t>5.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p>
    <w:p>
      <w:pPr>
        <w:pStyle w:val="null3"/>
        <w:ind w:firstLine="420"/>
      </w:pPr>
      <w:r>
        <w:rPr>
          <w:sz w:val="21"/>
        </w:rPr>
        <w:t>6.本项目由乙方负责第三方检测及办证的有关事宜，合同如未明确则按行业标准或惯例，如涉及费用由乙方进行支付。</w:t>
      </w:r>
    </w:p>
    <w:p>
      <w:pPr>
        <w:pStyle w:val="null3"/>
        <w:ind w:firstLine="420"/>
      </w:pPr>
      <w:r>
        <w:rPr>
          <w:sz w:val="21"/>
          <w:b/>
        </w:rPr>
        <w:t>第二条  货物质量要求及乙方对质量负责的条件和期限</w:t>
      </w:r>
    </w:p>
    <w:p>
      <w:pPr>
        <w:pStyle w:val="null3"/>
        <w:ind w:firstLine="420"/>
      </w:pPr>
      <w:r>
        <w:rPr>
          <w:sz w:val="21"/>
        </w:rPr>
        <w:t>1.乙方提供的货物应符合中华人民共和国国家质量、安全、环保等标准（若有国家标准的，以行业最高标准为本合同履行标准）以及该产品的出厂标准。</w:t>
      </w:r>
    </w:p>
    <w:p>
      <w:pPr>
        <w:pStyle w:val="null3"/>
        <w:ind w:firstLine="420"/>
      </w:pPr>
      <w:r>
        <w:rPr>
          <w:sz w:val="21"/>
        </w:rPr>
        <w:t>2.知识产权和专利权：</w:t>
      </w:r>
    </w:p>
    <w:p>
      <w:pPr>
        <w:pStyle w:val="null3"/>
        <w:ind w:firstLine="420"/>
      </w:pPr>
      <w:r>
        <w:rPr>
          <w:sz w:val="21"/>
        </w:rPr>
        <w:t>（1）乙方提供的货物应是无知识产权争议，且全新的产品（含零部件、配件、随机工具等），表面无划损、无碰撞、无任何缺陷隐患、无其他侵权行为，在中国境内可依常规安全合法使用。</w:t>
      </w:r>
    </w:p>
    <w:p>
      <w:pPr>
        <w:pStyle w:val="null3"/>
        <w:ind w:firstLine="420"/>
      </w:pPr>
      <w:r>
        <w:rPr>
          <w:sz w:val="21"/>
        </w:rPr>
        <w:t>（2）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pStyle w:val="null3"/>
        <w:ind w:firstLine="420"/>
      </w:pPr>
      <w:r>
        <w:rPr>
          <w:sz w:val="21"/>
        </w:rPr>
        <w:t>（3）乙方应于售出货物前向所有权人支付专利权、商标权或其他知识产权的有关费用及税费。</w:t>
      </w:r>
    </w:p>
    <w:p>
      <w:pPr>
        <w:pStyle w:val="null3"/>
        <w:ind w:firstLine="420"/>
      </w:pPr>
      <w:r>
        <w:rPr>
          <w:sz w:val="21"/>
        </w:rPr>
        <w:t>3.保密：</w:t>
      </w:r>
    </w:p>
    <w:p>
      <w:pPr>
        <w:pStyle w:val="null3"/>
        <w:ind w:firstLine="420"/>
      </w:pPr>
      <w:r>
        <w:rPr>
          <w:sz w:val="21"/>
        </w:rPr>
        <w:t>（1）如甲方向乙方提供图纸、详细资料、样品、模型和所有其他资料，这些均视为保密资料，仅被用于经甲方允许的用途，除非得到甲方的同意，乙方不能向任何第三方泄露以上资料或者利用以上资料牟利。</w:t>
      </w:r>
    </w:p>
    <w:p>
      <w:pPr>
        <w:pStyle w:val="null3"/>
        <w:ind w:firstLine="420"/>
        <w:jc w:val="both"/>
      </w:pPr>
      <w:r>
        <w:rPr>
          <w:sz w:val="21"/>
        </w:rPr>
        <w:t>（2）如乙方收集甲方单位的个人信息类型应当与实际产品或服务的业务功能有直接关联，并严格按照国家相关法律法规要求对采集到的个人信息进行保护。在本合同期满、解除或者终止后的10个工作日内，乙方根据甲方的要求及时删除采集到的甲方单位的个人信息。</w:t>
      </w:r>
    </w:p>
    <w:p>
      <w:pPr>
        <w:pStyle w:val="null3"/>
        <w:ind w:firstLine="420"/>
      </w:pPr>
      <w:r>
        <w:rPr>
          <w:sz w:val="21"/>
        </w:rPr>
        <w:t>4.本项目由乙方负责第三方检测及办证的有关事宜，检测和办证标准如未明确则按行业标准或行业惯例，所有费用均由乙方承担。</w:t>
      </w:r>
    </w:p>
    <w:p>
      <w:pPr>
        <w:pStyle w:val="null3"/>
        <w:ind w:firstLine="420"/>
      </w:pPr>
      <w:r>
        <w:rPr>
          <w:sz w:val="21"/>
        </w:rPr>
        <w:t>5.货物进场后甲方有权提出对存在疑问的货物进行现场抽样送检，检测项目含材料的成分、组分及相关性能指标等，检测费用由乙方承担。</w:t>
      </w:r>
    </w:p>
    <w:p>
      <w:pPr>
        <w:pStyle w:val="null3"/>
        <w:ind w:firstLine="420"/>
      </w:pPr>
      <w:r>
        <w:rPr>
          <w:sz w:val="21"/>
        </w:rPr>
        <w:t>6.质保期内如货物非因甲方的人为原因而出现的问题由乙方负责包修、包换或包退，并承担维修、更换或退货的所有费用。乙方拒绝或者未在甲方指定期限内维修、更换或退货的，均按违约处理。</w:t>
      </w:r>
    </w:p>
    <w:p>
      <w:pPr>
        <w:pStyle w:val="null3"/>
        <w:ind w:firstLine="420"/>
      </w:pPr>
      <w:r>
        <w:rPr>
          <w:sz w:val="21"/>
          <w:b/>
        </w:rPr>
        <w:t>第三条  货物的交付、开箱检验及验收</w:t>
      </w:r>
    </w:p>
    <w:p>
      <w:pPr>
        <w:pStyle w:val="null3"/>
        <w:ind w:firstLine="420"/>
      </w:pPr>
      <w:r>
        <w:rPr>
          <w:sz w:val="21"/>
        </w:rPr>
        <w:t>1.交货时间：</w:t>
      </w:r>
      <w:r>
        <w:rPr>
          <w:sz w:val="21"/>
          <w:u w:val="single"/>
        </w:rPr>
        <w:t>合同生效后    日历日内完成交付合格的货物（包括：货物的安装、调试和向甲方职能部门提交认可的完整的验收申请资料）</w:t>
      </w:r>
      <w:r>
        <w:rPr>
          <w:sz w:val="21"/>
        </w:rPr>
        <w:t>。</w:t>
      </w:r>
    </w:p>
    <w:p>
      <w:pPr>
        <w:pStyle w:val="null3"/>
        <w:ind w:firstLine="420"/>
      </w:pPr>
      <w:r>
        <w:rPr>
          <w:sz w:val="21"/>
        </w:rPr>
        <w:t>2.国内产品或合资厂的产品应具备出厂合格证，国外产品应提供相关材料证明产品系合法进口且已经按照我国相关法律法规缴纳进口税费。</w:t>
      </w:r>
    </w:p>
    <w:p>
      <w:pPr>
        <w:pStyle w:val="null3"/>
        <w:ind w:firstLine="420"/>
      </w:pPr>
      <w:r>
        <w:rPr>
          <w:sz w:val="21"/>
        </w:rPr>
        <w:t>3.交货地点：</w:t>
      </w:r>
      <w:r>
        <w:rPr>
          <w:sz w:val="21"/>
          <w:u w:val="single"/>
        </w:rPr>
        <w:t>五邑大学指定地点。</w:t>
      </w:r>
    </w:p>
    <w:p>
      <w:pPr>
        <w:pStyle w:val="null3"/>
        <w:ind w:firstLine="420"/>
      </w:pPr>
      <w:r>
        <w:rPr>
          <w:sz w:val="21"/>
        </w:rPr>
        <w:t>4.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pStyle w:val="null3"/>
        <w:ind w:firstLine="420"/>
      </w:pPr>
      <w:r>
        <w:rPr>
          <w:sz w:val="21"/>
        </w:rPr>
        <w:t>5.货物的验收：</w:t>
      </w:r>
    </w:p>
    <w:p>
      <w:pPr>
        <w:pStyle w:val="null3"/>
        <w:ind w:firstLine="420"/>
      </w:pPr>
      <w:r>
        <w:rPr>
          <w:sz w:val="21"/>
        </w:rPr>
        <w:t>（1）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甲方有权拒收货物，乙方应在合同约定的交货时间内按照合同要求及时进行第二次交货处理并通过验收，否则按违约处理，甲方有权解除采购合同并上报主管部门，相关损失由乙方自行承担。</w:t>
      </w:r>
    </w:p>
    <w:p>
      <w:pPr>
        <w:pStyle w:val="null3"/>
        <w:ind w:firstLine="420"/>
      </w:pPr>
      <w:r>
        <w:rPr>
          <w:sz w:val="21"/>
        </w:rPr>
        <w:t>（2）设备安装及调试完成后，经初步培训，甲方相关操作人员掌握仪器的具体操作后</w:t>
      </w:r>
      <w:r>
        <w:rPr>
          <w:sz w:val="21"/>
          <w:u w:val="single"/>
        </w:rPr>
        <w:t xml:space="preserve"> ** </w:t>
      </w:r>
      <w:r>
        <w:rPr>
          <w:sz w:val="21"/>
        </w:rPr>
        <w:t>个工作日内（如遇寒暑假，时间顺延），由甲方组织验收小组进行验收，项目验收合格后，出具有效的验收报告。</w:t>
      </w:r>
    </w:p>
    <w:p>
      <w:pPr>
        <w:pStyle w:val="null3"/>
        <w:ind w:firstLine="420"/>
      </w:pPr>
      <w:r>
        <w:rPr>
          <w:sz w:val="21"/>
        </w:rPr>
        <w:t>（3）其他验收细则以乙方在投标文件中提供的设备技术资料及双方签订的合同条款为准。（验收时需要对每一条参数进行逐一验证，并提供验证佐证材料作为验收资料）。</w:t>
      </w:r>
    </w:p>
    <w:p>
      <w:pPr>
        <w:pStyle w:val="null3"/>
        <w:ind w:firstLine="420"/>
      </w:pPr>
      <w:r>
        <w:rPr>
          <w:sz w:val="21"/>
          <w:b/>
        </w:rPr>
        <w:t>第四条  履约保证金和付款方式</w:t>
      </w:r>
    </w:p>
    <w:p>
      <w:pPr>
        <w:pStyle w:val="null3"/>
        <w:ind w:firstLine="420"/>
      </w:pPr>
      <w:r>
        <w:rPr>
          <w:sz w:val="21"/>
        </w:rPr>
        <w:t>（1）本合同签订之日起五个工作日内，乙方须向甲方提交合同总价3.8%的履约保证金（</w:t>
      </w:r>
      <w:r>
        <w:rPr>
          <w:sz w:val="21"/>
          <w:b/>
          <w:u w:val="single"/>
        </w:rPr>
        <w:t>人民币大写：        ；小写：</w:t>
      </w:r>
      <w:r>
        <w:rPr>
          <w:sz w:val="21"/>
          <w:b/>
          <w:u w:val="single"/>
        </w:rPr>
        <w:t>¥</w:t>
      </w:r>
      <w:r>
        <w:rPr>
          <w:sz w:val="21"/>
          <w:b/>
          <w:u w:val="single"/>
        </w:rPr>
        <w:t xml:space="preserve">          </w:t>
      </w:r>
      <w:r>
        <w:rPr>
          <w:sz w:val="21"/>
          <w:b/>
          <w:u w:val="single"/>
        </w:rPr>
        <w:t>元）</w:t>
      </w:r>
      <w:r>
        <w:rPr>
          <w:sz w:val="21"/>
          <w:u w:val="single"/>
        </w:rPr>
        <w:t>，</w:t>
      </w:r>
      <w:r>
        <w:rPr>
          <w:sz w:val="21"/>
        </w:rPr>
        <w:t>可通过银行转账、支票、汇票、本票、保函等非现金形式（</w:t>
      </w:r>
      <w:r>
        <w:rPr>
          <w:sz w:val="21"/>
          <w:b/>
        </w:rPr>
        <w:t>签订合同时要确定其中一种形式</w:t>
      </w:r>
      <w:r>
        <w:rPr>
          <w:sz w:val="21"/>
        </w:rPr>
        <w:t>）支付。验收合格后，乙方应向甲方提出履约保证金退还书面申请，甲方在收到申请后20个工作日内（不含审批时间）以非现金形式一次性返还履约保证金（不计息），如以保函方式，保函原件退回。</w:t>
      </w:r>
    </w:p>
    <w:p>
      <w:pPr>
        <w:pStyle w:val="null3"/>
        <w:ind w:firstLine="420"/>
      </w:pPr>
      <w:r>
        <w:rPr>
          <w:sz w:val="21"/>
        </w:rPr>
        <w:t>（2）合同签订生效后***个工作日内（不含审批时间）甲方完成办理合同总金额40%的货款（人民币大写：</w:t>
      </w:r>
      <w:r>
        <w:rPr>
          <w:sz w:val="21"/>
          <w:u w:val="single"/>
        </w:rPr>
        <w:t xml:space="preserve">           </w:t>
      </w:r>
      <w:r>
        <w:rPr>
          <w:sz w:val="21"/>
        </w:rPr>
        <w:t>；小写：¥</w:t>
      </w:r>
      <w:r>
        <w:rPr>
          <w:sz w:val="21"/>
          <w:u w:val="single"/>
        </w:rPr>
        <w:t xml:space="preserve">          </w:t>
      </w:r>
      <w:r>
        <w:rPr>
          <w:sz w:val="21"/>
        </w:rPr>
        <w:t>元）的支付手续。</w:t>
      </w:r>
    </w:p>
    <w:p>
      <w:pPr>
        <w:pStyle w:val="null3"/>
        <w:ind w:firstLine="420"/>
      </w:pPr>
      <w:r>
        <w:rPr>
          <w:sz w:val="21"/>
        </w:rPr>
        <w:t>（3）验收合格后，乙方按合同总金额向甲方开具符合合同类型要求的增值税专用发票和提供由甲方认可的验收报告。货物验收合格和甲方收到前述发票、验收报告后***个工作日（不含审批时间）内甲方完成办理合同总金额60%的货款（人民币大写：</w:t>
      </w:r>
      <w:r>
        <w:rPr>
          <w:sz w:val="21"/>
          <w:u w:val="single"/>
        </w:rPr>
        <w:t xml:space="preserve">            </w:t>
      </w:r>
      <w:r>
        <w:rPr>
          <w:sz w:val="21"/>
        </w:rPr>
        <w:t>；小写：¥</w:t>
      </w:r>
      <w:r>
        <w:rPr>
          <w:sz w:val="21"/>
          <w:u w:val="single"/>
        </w:rPr>
        <w:t xml:space="preserve">            </w:t>
      </w:r>
      <w:r>
        <w:rPr>
          <w:sz w:val="21"/>
        </w:rPr>
        <w:t>元）的支付手续。</w:t>
      </w:r>
    </w:p>
    <w:p>
      <w:pPr>
        <w:pStyle w:val="null3"/>
        <w:ind w:firstLine="420"/>
      </w:pPr>
      <w:r>
        <w:rPr>
          <w:sz w:val="21"/>
        </w:rPr>
        <w:t>因甲方使用的是财政性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pPr>
      <w:r>
        <w:rPr>
          <w:sz w:val="21"/>
        </w:rPr>
        <w:t>（4）结算方式：银行转账</w:t>
      </w:r>
    </w:p>
    <w:p>
      <w:pPr>
        <w:pStyle w:val="null3"/>
        <w:ind w:firstLine="420"/>
      </w:pPr>
      <w:r>
        <w:rPr>
          <w:sz w:val="21"/>
        </w:rPr>
        <w:t>乙方户名：</w:t>
      </w:r>
    </w:p>
    <w:p>
      <w:pPr>
        <w:pStyle w:val="null3"/>
        <w:ind w:firstLine="420"/>
      </w:pPr>
      <w:r>
        <w:rPr>
          <w:sz w:val="21"/>
        </w:rPr>
        <w:t>开户银行：</w:t>
      </w:r>
    </w:p>
    <w:p>
      <w:pPr>
        <w:pStyle w:val="null3"/>
        <w:ind w:firstLine="420"/>
      </w:pPr>
      <w:r>
        <w:rPr>
          <w:sz w:val="21"/>
        </w:rPr>
        <w:t>帐　　号：</w:t>
      </w:r>
    </w:p>
    <w:p>
      <w:pPr>
        <w:pStyle w:val="null3"/>
        <w:ind w:firstLine="420"/>
      </w:pPr>
      <w:r>
        <w:rPr>
          <w:sz w:val="21"/>
          <w:b/>
        </w:rPr>
        <w:t>第五条  货物的保修与售后服务</w:t>
      </w:r>
    </w:p>
    <w:p>
      <w:pPr>
        <w:pStyle w:val="null3"/>
        <w:ind w:firstLine="420"/>
      </w:pPr>
      <w:r>
        <w:rPr>
          <w:sz w:val="21"/>
        </w:rPr>
        <w:t>1.质保期为验收合格之日起</w:t>
      </w:r>
      <w:r>
        <w:rPr>
          <w:sz w:val="21"/>
          <w:b/>
          <w:u w:val="single"/>
        </w:rPr>
        <w:t xml:space="preserve">      </w:t>
      </w:r>
      <w:r>
        <w:rPr>
          <w:sz w:val="21"/>
          <w:u w:val="single"/>
        </w:rPr>
        <w:t>年</w:t>
      </w:r>
      <w:r>
        <w:rPr>
          <w:sz w:val="21"/>
        </w:rPr>
        <w:t>。从验收合格之日起</w:t>
      </w:r>
      <w:r>
        <w:rPr>
          <w:sz w:val="21"/>
          <w:b/>
          <w:u w:val="single"/>
        </w:rPr>
        <w:t xml:space="preserve">      </w:t>
      </w:r>
      <w:r>
        <w:rPr>
          <w:sz w:val="21"/>
          <w:u w:val="single"/>
        </w:rPr>
        <w:t>年</w:t>
      </w:r>
      <w:r>
        <w:rPr>
          <w:sz w:val="21"/>
        </w:rPr>
        <w:t>，甲方所购设备发生非人为故障，乙方应无条件上门维修。如不能完全修复，则应更换不低于原规格型号的新部件或设备。</w:t>
      </w:r>
    </w:p>
    <w:p>
      <w:pPr>
        <w:pStyle w:val="null3"/>
        <w:ind w:firstLine="420"/>
      </w:pPr>
      <w:r>
        <w:rPr>
          <w:sz w:val="21"/>
        </w:rPr>
        <w:t>2.从验收合格之日起一个月内，甲方所购货物各部件发生非人为损坏，乙方应给予无条件更换。</w:t>
      </w:r>
    </w:p>
    <w:p>
      <w:pPr>
        <w:pStyle w:val="null3"/>
        <w:ind w:firstLine="420"/>
      </w:pPr>
      <w:r>
        <w:rPr>
          <w:sz w:val="21"/>
        </w:rPr>
        <w:t>3.质保期内，同一硬件因质量问题一个月内累计2次出现同一故障的，乙方须无偿更换同一档次的设备或部件。质保期内因货物质量问题发生3次及以上维修的，则该设备或部件的质保期从最后一次维修的日期起重新计算。</w:t>
      </w:r>
    </w:p>
    <w:p>
      <w:pPr>
        <w:pStyle w:val="null3"/>
        <w:ind w:firstLine="420"/>
      </w:pPr>
      <w:r>
        <w:rPr>
          <w:sz w:val="21"/>
        </w:rPr>
        <w:t>4.乙方指派专人负责与甲方联系售后服务事宜。乙方接到甲方报修后，电话即时响应，如电话响应无法解决的，乙方在4个小时内应给予答复，如确定需要来人进行修理，保证在24小时内到达现场并完成修理工作。如在24小时内不能解决问题，乙方应在随后48小时内提供不低于故障设备规格型号档次的备用设备供甲方代替使用，直至故障设备修复，确保设备的正常使用，技术要求中有特别要求的以技术要求为主。</w:t>
      </w:r>
    </w:p>
    <w:p>
      <w:pPr>
        <w:pStyle w:val="null3"/>
        <w:ind w:firstLine="420"/>
      </w:pPr>
      <w:r>
        <w:rPr>
          <w:sz w:val="21"/>
        </w:rPr>
        <w:t>5.质保期内乙方负责所有因货物质量问题而产生的费用。</w:t>
      </w:r>
    </w:p>
    <w:p>
      <w:pPr>
        <w:pStyle w:val="null3"/>
        <w:ind w:firstLine="420"/>
      </w:pPr>
      <w:r>
        <w:rPr>
          <w:sz w:val="21"/>
        </w:rPr>
        <w:t>6.乙方提供终身售后服务，无论质保期内或质保期外，乙方均需提供上门维修服务，即由乙方派遣专门技术人员到甲方设备使用现场维修。对于质保期内由此产生的一切费用均由乙方承担，对于质保期外的设备维修，乙方仅收取损坏部分的成本材料费。</w:t>
      </w:r>
    </w:p>
    <w:p>
      <w:pPr>
        <w:pStyle w:val="null3"/>
        <w:ind w:firstLine="420"/>
      </w:pPr>
      <w:r>
        <w:rPr>
          <w:sz w:val="21"/>
        </w:rPr>
        <w:t>7.质保期内乙方售后服务部门将提供每年不低于四次（含本数）的电话回访和二次现场设备检修服务。</w:t>
      </w:r>
    </w:p>
    <w:p>
      <w:pPr>
        <w:pStyle w:val="null3"/>
        <w:ind w:firstLine="420"/>
      </w:pPr>
      <w:r>
        <w:rPr>
          <w:sz w:val="21"/>
        </w:rPr>
        <w:t>8.质保期后乙方无偿提供终身技术服务，软件产品无偿提供终身升级。</w:t>
      </w:r>
    </w:p>
    <w:p>
      <w:pPr>
        <w:pStyle w:val="null3"/>
        <w:ind w:firstLine="420"/>
      </w:pPr>
      <w:r>
        <w:rPr>
          <w:sz w:val="21"/>
        </w:rPr>
        <w:t>9.乙方在质保期内提供人员培训和技术服务，乙方需为甲方操作人员提供实地设备操作规程、维护培训等服务，讲解产品的基本结构及工作原理，直至操作人员掌握产品的日常使用、维护保养方法，保证操作人员可正确操作使用，并能排除一般故障。</w:t>
      </w:r>
    </w:p>
    <w:p>
      <w:pPr>
        <w:pStyle w:val="null3"/>
        <w:ind w:firstLine="420"/>
      </w:pPr>
      <w:r>
        <w:rPr>
          <w:sz w:val="21"/>
        </w:rPr>
        <w:t>10.乙方未按合同约定时间和约定标准提供保修服务的，甲方有权向乙方主张合同总价的10%的违约金，并有权自行委托第三方提供甲方所需要的技术支持和维修服务，由此造成的包括但不限于第三方维保费用、甲方其他经济损失等均由乙方承担。</w:t>
      </w:r>
    </w:p>
    <w:p>
      <w:pPr>
        <w:pStyle w:val="null3"/>
        <w:ind w:firstLine="420"/>
      </w:pPr>
      <w:r>
        <w:rPr>
          <w:sz w:val="21"/>
        </w:rPr>
        <w:t>11.售后服务：</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4118"/>
        <w:gridCol w:w="4188"/>
      </w:tblGrid>
      <w:tr>
        <w:tc>
          <w:tcPr>
            <w:tcW w:type="dxa" w:w="4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售后服务负责人：</w:t>
            </w:r>
          </w:p>
        </w:tc>
        <w:tc>
          <w:tcPr>
            <w:tcW w:type="dxa" w:w="4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联系电话（手机）：</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固定电话1：</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固定电话2：</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微信号：</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E-mail：</w:t>
            </w:r>
          </w:p>
        </w:tc>
      </w:tr>
    </w:tbl>
    <w:p>
      <w:pPr>
        <w:pStyle w:val="null3"/>
        <w:ind w:firstLine="420"/>
      </w:pPr>
      <w:r>
        <w:rPr>
          <w:sz w:val="21"/>
          <w:b/>
        </w:rPr>
        <w:t>第六条  违约责任</w:t>
      </w:r>
    </w:p>
    <w:p>
      <w:pPr>
        <w:pStyle w:val="null3"/>
        <w:ind w:firstLine="420"/>
        <w:jc w:val="both"/>
      </w:pPr>
      <w:r>
        <w:rPr>
          <w:sz w:val="21"/>
        </w:rPr>
        <w:t>1.出现以下任何情形之一的，甲方有权单方面解除本合同，自甲方发出书面解除通知书的第二日起，本合同即可解除，甲方不承担违约责任或赔偿责任，因合同解除而发生的费用由乙方承担。乙方应在合同解除之日起的3日内，一次性退还甲方已支付的所有款项，同时没收乙方已支付的全部履约保证金和向乙方收取合同总价10%的违约金，违约金不足以弥补甲方损失的（包括但不限于律师费、诉讼费、保全费、担保费、交通费、差旅费、鉴定费等），乙方应另行赔偿：</w:t>
      </w:r>
    </w:p>
    <w:p>
      <w:pPr>
        <w:pStyle w:val="null3"/>
        <w:ind w:firstLine="420"/>
      </w:pPr>
      <w:r>
        <w:rPr>
          <w:sz w:val="21"/>
        </w:rPr>
        <w:t>（1）乙方拒绝供货或逾期15日交付货物；</w:t>
      </w:r>
    </w:p>
    <w:p>
      <w:pPr>
        <w:pStyle w:val="null3"/>
        <w:ind w:firstLine="420"/>
      </w:pPr>
      <w:r>
        <w:rPr>
          <w:sz w:val="21"/>
        </w:rPr>
        <w:t>（2）乙方交付的货物不符合合同规定，且甲方拒收的；</w:t>
      </w:r>
    </w:p>
    <w:p>
      <w:pPr>
        <w:pStyle w:val="null3"/>
        <w:ind w:firstLine="420"/>
      </w:pPr>
      <w:r>
        <w:rPr>
          <w:sz w:val="21"/>
        </w:rPr>
        <w:t>（3）乙方交付的货物经两次及以上验收仍不合格的；</w:t>
      </w:r>
    </w:p>
    <w:p>
      <w:pPr>
        <w:pStyle w:val="null3"/>
        <w:ind w:firstLine="420"/>
      </w:pPr>
      <w:r>
        <w:rPr>
          <w:sz w:val="21"/>
        </w:rPr>
        <w:t>（4）乙方交付的货物经有关部门鉴定为不合格产品的；</w:t>
      </w:r>
    </w:p>
    <w:p>
      <w:pPr>
        <w:pStyle w:val="null3"/>
        <w:ind w:firstLine="420"/>
      </w:pPr>
      <w:r>
        <w:rPr>
          <w:sz w:val="21"/>
        </w:rPr>
        <w:t>（5）乙方提供的货物涉及侵犯他人知识产权、肖像权、商业经营保密的信息或其他权益纠纷的；</w:t>
      </w:r>
    </w:p>
    <w:p>
      <w:pPr>
        <w:pStyle w:val="null3"/>
        <w:ind w:firstLine="420"/>
      </w:pPr>
      <w:r>
        <w:rPr>
          <w:sz w:val="21"/>
        </w:rPr>
        <w:t>（6）乙方利用本合同实施损害甲方合法权益行为的。</w:t>
      </w:r>
    </w:p>
    <w:p>
      <w:pPr>
        <w:pStyle w:val="null3"/>
        <w:ind w:firstLine="420"/>
      </w:pPr>
      <w:r>
        <w:rPr>
          <w:sz w:val="21"/>
        </w:rPr>
        <w:t>（7）乙方不按合同约定履行义务，经甲方提出后，在合理期限内仍不改正的；</w:t>
      </w:r>
    </w:p>
    <w:p>
      <w:pPr>
        <w:pStyle w:val="null3"/>
        <w:ind w:firstLine="420"/>
        <w:jc w:val="both"/>
      </w:pPr>
      <w:r>
        <w:rPr>
          <w:sz w:val="21"/>
        </w:rPr>
        <w:t>（8）乙方所交货的货物验收不合格，或经维修、退换后仍无法正常使用的，或虽可正常使用但无法达到本合同约定的参数及要求的。</w:t>
      </w:r>
    </w:p>
    <w:p>
      <w:pPr>
        <w:pStyle w:val="null3"/>
        <w:ind w:firstLine="420"/>
      </w:pPr>
      <w:r>
        <w:rPr>
          <w:sz w:val="21"/>
        </w:rPr>
        <w:t>2.乙方超过缴纳履约保证金期限，未向甲方缴纳履约保证金的，每逾期一日，甲方有权要求乙方按履约保证金的1%偿付违约金，乙方逾期缴纳履约保证金的违约金总额不超过履约保证金数额的5%。</w:t>
      </w:r>
    </w:p>
    <w:p>
      <w:pPr>
        <w:pStyle w:val="null3"/>
        <w:ind w:firstLine="420"/>
      </w:pPr>
      <w:r>
        <w:rPr>
          <w:sz w:val="21"/>
        </w:rPr>
        <w:t>3.甲方逾期退还履约保证金的，每逾期1天，乙方有权要求甲方按履约保证金的1%偿付违约金，甲方逾期退还履约保证金的违约金总额不超过履约保证金数额的5%。</w:t>
      </w:r>
    </w:p>
    <w:p>
      <w:pPr>
        <w:pStyle w:val="null3"/>
        <w:ind w:firstLine="420"/>
      </w:pPr>
      <w:r>
        <w:rPr>
          <w:sz w:val="21"/>
        </w:rPr>
        <w:t>4.乙方逾期交付货物的，则每逾期一日甲方有权在履约保证金或合同价款中直接扣除合同总价的0.3‰作为违约金，直到交付验收合格货物时止。</w:t>
      </w:r>
    </w:p>
    <w:p>
      <w:pPr>
        <w:pStyle w:val="null3"/>
        <w:ind w:firstLine="420"/>
      </w:pPr>
      <w:r>
        <w:rPr>
          <w:sz w:val="21"/>
        </w:rPr>
        <w:t>5.甲方逾期付款的，则每逾期一日乙方有权要求甲方按合同总价0.3‰偿付违约金，甲方支付的违约金总额不超过合同总价的5%；在履行合同过程中，因相关部门审核导致的支付延误，甲方无须承担违约责任。</w:t>
      </w:r>
    </w:p>
    <w:p>
      <w:pPr>
        <w:pStyle w:val="null3"/>
        <w:ind w:firstLine="420"/>
      </w:pPr>
      <w:r>
        <w:rPr>
          <w:sz w:val="21"/>
          <w:b/>
        </w:rPr>
        <w:t>第七条  不可抗力</w:t>
      </w:r>
    </w:p>
    <w:p>
      <w:pPr>
        <w:pStyle w:val="null3"/>
        <w:ind w:firstLine="420"/>
      </w:pPr>
      <w:r>
        <w:rPr>
          <w:sz w:val="21"/>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firstLine="420"/>
      </w:pPr>
      <w:r>
        <w:rPr>
          <w:sz w:val="21"/>
          <w:b/>
        </w:rPr>
        <w:t>第八条  解决争议的办法</w:t>
      </w:r>
    </w:p>
    <w:p>
      <w:pPr>
        <w:pStyle w:val="null3"/>
        <w:ind w:firstLine="420"/>
      </w:pPr>
      <w:r>
        <w:rPr>
          <w:sz w:val="21"/>
        </w:rPr>
        <w:t>1.本合同在执行期间，如有未尽事宜，由双方另行协商解决，并可以签订补充合同或协议，补充合同或协议与本合同具有同等效力。</w:t>
      </w:r>
    </w:p>
    <w:p>
      <w:pPr>
        <w:pStyle w:val="null3"/>
        <w:ind w:firstLine="420"/>
      </w:pPr>
      <w:r>
        <w:rPr>
          <w:sz w:val="21"/>
        </w:rPr>
        <w:t>2.若执行本合同的过程中发生纠纷，双方当事人应当及时协商解决；协商不成时，可向甲方所在地有管辖权的人民法院提起诉讼。</w:t>
      </w:r>
    </w:p>
    <w:p>
      <w:pPr>
        <w:pStyle w:val="null3"/>
        <w:ind w:firstLine="420"/>
      </w:pPr>
      <w:r>
        <w:rPr>
          <w:sz w:val="21"/>
        </w:rPr>
        <w:t>3.甲方为维护本合同合法权益提起诉讼的，乙方应承担甲方为维护权益而支出的律师费、诉讼费、保全费、担保费、执行费等合理费用。</w:t>
      </w:r>
    </w:p>
    <w:p>
      <w:pPr>
        <w:pStyle w:val="null3"/>
        <w:ind w:firstLine="420"/>
      </w:pPr>
      <w:r>
        <w:rPr>
          <w:sz w:val="21"/>
          <w:b/>
        </w:rPr>
        <w:t>第九条  合同生效及终止</w:t>
      </w:r>
    </w:p>
    <w:p>
      <w:pPr>
        <w:pStyle w:val="null3"/>
        <w:ind w:firstLine="420"/>
        <w:jc w:val="both"/>
      </w:pPr>
      <w:r>
        <w:rPr>
          <w:sz w:val="21"/>
        </w:rPr>
        <w:t>1.本合同自甲乙双方签署之日起生效。本合同</w:t>
      </w:r>
      <w:r>
        <w:rPr>
          <w:sz w:val="21"/>
          <w:u w:val="single"/>
        </w:rPr>
        <w:t>一式陆份，甲方执伍份，乙方执壹份。</w:t>
      </w:r>
    </w:p>
    <w:p>
      <w:pPr>
        <w:pStyle w:val="null3"/>
        <w:ind w:firstLine="420"/>
        <w:jc w:val="both"/>
      </w:pPr>
      <w:r>
        <w:rPr>
          <w:sz w:val="21"/>
        </w:rPr>
        <w:t>2.本合同所有附件、招标文件（如有）、投标文件（如有）、中标通知书或成交公告（如有）均为合同的有效组成部分，与本合同具有同等法律效力。以上文件约定不一致的，以形成在后的文件约定为准。</w:t>
      </w:r>
    </w:p>
    <w:p>
      <w:pPr>
        <w:pStyle w:val="null3"/>
        <w:ind w:firstLine="420"/>
      </w:pPr>
      <w:r>
        <w:rPr>
          <w:sz w:val="21"/>
          <w:b/>
        </w:rPr>
        <w:t>第十条</w:t>
      </w:r>
      <w:r>
        <w:rPr>
          <w:sz w:val="21"/>
        </w:rPr>
        <w:t xml:space="preserve">  </w:t>
      </w:r>
      <w:r>
        <w:rPr>
          <w:sz w:val="21"/>
          <w:b/>
        </w:rPr>
        <w:t>监督和管理</w:t>
      </w:r>
    </w:p>
    <w:p>
      <w:pPr>
        <w:pStyle w:val="null3"/>
        <w:ind w:firstLine="420"/>
      </w:pPr>
      <w:r>
        <w:rPr>
          <w:sz w:val="21"/>
        </w:rPr>
        <w:t>1.双方经协商一致需变更合同实质性条款或订立补充合同的，应先取得政府采购监督管理部门的同意，并送政府采购中心备案。</w:t>
      </w:r>
    </w:p>
    <w:p>
      <w:pPr>
        <w:pStyle w:val="null3"/>
        <w:ind w:firstLine="420"/>
      </w:pPr>
      <w:r>
        <w:rPr>
          <w:sz w:val="21"/>
        </w:rPr>
        <w:t>2.甲乙双方均应配合政府采购监督管理部门和政府采购中心（校外）采购组织部门（校内）对合同履行情况的监督检查，如实反映情况，提供有关资料。</w:t>
      </w:r>
    </w:p>
    <w:p>
      <w:pPr>
        <w:pStyle w:val="null3"/>
        <w:ind w:firstLine="420"/>
      </w:pPr>
      <w:r>
        <w:rPr>
          <w:sz w:val="21"/>
          <w:b/>
        </w:rPr>
        <w:t>第十一条  其他约定条款</w:t>
      </w:r>
    </w:p>
    <w:p>
      <w:pPr>
        <w:pStyle w:val="null3"/>
        <w:ind w:firstLine="420"/>
      </w:pPr>
      <w:r>
        <w:rPr>
          <w:sz w:val="21"/>
        </w:rPr>
        <w:t>1.甲乙双方之间据以联系的通知或者信件应当是书面形式，按本合同列明地址通过特快专递邮寄或直接送达的方式送达，以特快专递邮寄方式送达的，自寄出之日起2日后视为有效送达。任何一方更改地址、传真电话须提前七日有效通知对方，否则应承担不能送达的法律责任。</w:t>
      </w:r>
    </w:p>
    <w:p>
      <w:pPr>
        <w:pStyle w:val="null3"/>
        <w:ind w:firstLine="420"/>
      </w:pPr>
      <w:r>
        <w:rPr>
          <w:sz w:val="21"/>
        </w:rPr>
        <w:t>2.若甲方根据本合同向乙方主张权益时，甲方因此所支付或垫付的所有费用（包括但不限于诉讼费、公证费、律师费）均由乙方承担。</w:t>
      </w:r>
    </w:p>
    <w:p>
      <w:pPr>
        <w:pStyle w:val="null3"/>
        <w:ind w:firstLine="420"/>
      </w:pPr>
      <w:r>
        <w:rPr>
          <w:sz w:val="21"/>
        </w:rPr>
        <w:t>3.本合同经甲乙双方充分协商确定，在对合同条款出现不一致理解时，应当以履行合同的目的作出合理解释，不能作出有利于任何一方的解释。</w:t>
      </w:r>
    </w:p>
    <w:tbl>
      <w:tblPr>
        <w:tblW w:w="0" w:type="auto"/>
        <w:tblBorders>
          <w:top w:val="single"/>
          <w:left w:val="single"/>
          <w:bottom w:val="single"/>
          <w:right w:val="single"/>
          <w:insideH w:val="single"/>
          <w:insideV w:val="single"/>
        </w:tblBorders>
      </w:tblPr>
      <w:tblGrid>
        <w:gridCol w:w="4153"/>
        <w:gridCol w:w="4153"/>
      </w:tblGrid>
      <w:tr>
        <w:tc>
          <w:tcPr>
            <w:tcW w:type="dxa" w:w="4153"/>
            <w:tcMar>
              <w:top w:type="dxa" w:w="0"/>
              <w:left w:type="dxa" w:w="105"/>
              <w:bottom w:type="dxa" w:w="0"/>
              <w:right w:type="dxa" w:w="105"/>
            </w:tcMar>
            <w:vAlign w:val="top"/>
          </w:tcPr>
          <w:p>
            <w:pPr>
              <w:pStyle w:val="null3"/>
              <w:jc w:val="left"/>
            </w:pPr>
            <w:r>
              <w:rPr>
                <w:sz w:val="21"/>
              </w:rPr>
              <w:t>甲方（公章）：五邑大学</w:t>
            </w:r>
          </w:p>
        </w:tc>
        <w:tc>
          <w:tcPr>
            <w:tcW w:type="dxa" w:w="4153"/>
            <w:tcMar>
              <w:top w:type="dxa" w:w="0"/>
              <w:left w:type="dxa" w:w="105"/>
              <w:bottom w:type="dxa" w:w="0"/>
              <w:right w:type="dxa" w:w="105"/>
            </w:tcMar>
            <w:vAlign w:val="top"/>
          </w:tcPr>
          <w:p>
            <w:pPr>
              <w:pStyle w:val="null3"/>
              <w:jc w:val="left"/>
            </w:pPr>
            <w:r>
              <w:rPr>
                <w:sz w:val="21"/>
              </w:rPr>
              <w:t>乙方（公章）：</w:t>
            </w:r>
          </w:p>
        </w:tc>
      </w:tr>
      <w:tr>
        <w:tc>
          <w:tcPr>
            <w:tcW w:type="dxa" w:w="4153"/>
            <w:tcMar>
              <w:top w:type="dxa" w:w="0"/>
              <w:left w:type="dxa" w:w="105"/>
              <w:bottom w:type="dxa" w:w="0"/>
              <w:right w:type="dxa" w:w="105"/>
            </w:tcMar>
            <w:vAlign w:val="top"/>
          </w:tcPr>
          <w:p>
            <w:pPr>
              <w:pStyle w:val="null3"/>
              <w:jc w:val="left"/>
            </w:pPr>
            <w:r>
              <w:rPr>
                <w:sz w:val="21"/>
              </w:rPr>
              <w:t>法定代表人（或授权人）：</w:t>
            </w:r>
          </w:p>
        </w:tc>
        <w:tc>
          <w:tcPr>
            <w:tcW w:type="dxa" w:w="4153"/>
            <w:tcMar>
              <w:top w:type="dxa" w:w="0"/>
              <w:left w:type="dxa" w:w="105"/>
              <w:bottom w:type="dxa" w:w="0"/>
              <w:right w:type="dxa" w:w="105"/>
            </w:tcMar>
            <w:vAlign w:val="top"/>
          </w:tcPr>
          <w:p>
            <w:pPr>
              <w:pStyle w:val="null3"/>
              <w:jc w:val="left"/>
            </w:pPr>
            <w:r>
              <w:rPr>
                <w:sz w:val="21"/>
              </w:rPr>
              <w:t>法定代表人（或授权人）：</w:t>
            </w:r>
          </w:p>
        </w:tc>
      </w:tr>
      <w:tr>
        <w:tc>
          <w:tcPr>
            <w:tcW w:type="dxa" w:w="4153"/>
            <w:tcMar>
              <w:top w:type="dxa" w:w="0"/>
              <w:left w:type="dxa" w:w="105"/>
              <w:bottom w:type="dxa" w:w="0"/>
              <w:right w:type="dxa" w:w="105"/>
            </w:tcMar>
            <w:vAlign w:val="top"/>
          </w:tcPr>
          <w:p>
            <w:pPr>
              <w:pStyle w:val="null3"/>
              <w:jc w:val="left"/>
            </w:pPr>
            <w:r>
              <w:rPr>
                <w:sz w:val="21"/>
              </w:rPr>
              <w:t>地址：广东省江门市蓬江区东成村22号</w:t>
            </w:r>
          </w:p>
        </w:tc>
        <w:tc>
          <w:tcPr>
            <w:tcW w:type="dxa" w:w="4153"/>
            <w:tcMar>
              <w:top w:type="dxa" w:w="0"/>
              <w:left w:type="dxa" w:w="105"/>
              <w:bottom w:type="dxa" w:w="0"/>
              <w:right w:type="dxa" w:w="105"/>
            </w:tcMar>
            <w:vAlign w:val="top"/>
          </w:tcPr>
          <w:p>
            <w:pPr>
              <w:pStyle w:val="null3"/>
              <w:jc w:val="left"/>
            </w:pPr>
            <w:r>
              <w:rPr>
                <w:sz w:val="21"/>
              </w:rPr>
              <w:t>地址：</w:t>
            </w:r>
          </w:p>
        </w:tc>
      </w:tr>
      <w:tr>
        <w:tc>
          <w:tcPr>
            <w:tcW w:type="dxa" w:w="4153"/>
            <w:tcMar>
              <w:top w:type="dxa" w:w="0"/>
              <w:left w:type="dxa" w:w="105"/>
              <w:bottom w:type="dxa" w:w="0"/>
              <w:right w:type="dxa" w:w="105"/>
            </w:tcMar>
            <w:vAlign w:val="top"/>
          </w:tcPr>
          <w:p>
            <w:pPr>
              <w:pStyle w:val="null3"/>
              <w:jc w:val="left"/>
            </w:pPr>
            <w:r>
              <w:rPr>
                <w:sz w:val="21"/>
              </w:rPr>
              <w:t>开户银行：中国工商银行股份有限公司江门蓬江支行</w:t>
            </w:r>
          </w:p>
        </w:tc>
        <w:tc>
          <w:tcPr>
            <w:tcW w:type="dxa" w:w="4153"/>
            <w:tcMar>
              <w:top w:type="dxa" w:w="0"/>
              <w:left w:type="dxa" w:w="105"/>
              <w:bottom w:type="dxa" w:w="0"/>
              <w:right w:type="dxa" w:w="105"/>
            </w:tcMar>
            <w:vAlign w:val="top"/>
          </w:tcPr>
          <w:p>
            <w:pPr>
              <w:pStyle w:val="null3"/>
              <w:jc w:val="left"/>
            </w:pPr>
            <w:r>
              <w:rPr>
                <w:sz w:val="21"/>
              </w:rPr>
              <w:t>开户银行：</w:t>
            </w:r>
          </w:p>
        </w:tc>
      </w:tr>
      <w:tr>
        <w:tc>
          <w:tcPr>
            <w:tcW w:type="dxa" w:w="4153"/>
            <w:tcMar>
              <w:top w:type="dxa" w:w="0"/>
              <w:left w:type="dxa" w:w="105"/>
              <w:bottom w:type="dxa" w:w="0"/>
              <w:right w:type="dxa" w:w="105"/>
            </w:tcMar>
            <w:vAlign w:val="top"/>
          </w:tcPr>
          <w:p>
            <w:pPr>
              <w:pStyle w:val="null3"/>
              <w:jc w:val="left"/>
            </w:pPr>
            <w:r>
              <w:rPr>
                <w:sz w:val="21"/>
              </w:rPr>
              <w:t>账号：2012006509024900818</w:t>
            </w:r>
          </w:p>
        </w:tc>
        <w:tc>
          <w:tcPr>
            <w:tcW w:type="dxa" w:w="4153"/>
            <w:tcMar>
              <w:top w:type="dxa" w:w="0"/>
              <w:left w:type="dxa" w:w="105"/>
              <w:bottom w:type="dxa" w:w="0"/>
              <w:right w:type="dxa" w:w="105"/>
            </w:tcMar>
            <w:vAlign w:val="top"/>
          </w:tcPr>
          <w:p>
            <w:pPr>
              <w:pStyle w:val="null3"/>
              <w:jc w:val="left"/>
            </w:pPr>
            <w:r>
              <w:rPr>
                <w:sz w:val="21"/>
              </w:rPr>
              <w:t>账号：</w:t>
            </w:r>
          </w:p>
        </w:tc>
      </w:tr>
      <w:tr>
        <w:tc>
          <w:tcPr>
            <w:tcW w:type="dxa" w:w="4153"/>
            <w:tcMar>
              <w:top w:type="dxa" w:w="0"/>
              <w:left w:type="dxa" w:w="105"/>
              <w:bottom w:type="dxa" w:w="0"/>
              <w:right w:type="dxa" w:w="105"/>
            </w:tcMar>
            <w:vAlign w:val="top"/>
          </w:tcPr>
          <w:p>
            <w:pPr>
              <w:pStyle w:val="null3"/>
              <w:jc w:val="left"/>
            </w:pPr>
            <w:r>
              <w:rPr>
                <w:sz w:val="21"/>
              </w:rPr>
              <w:t>电话：0750-3296151</w:t>
            </w:r>
          </w:p>
        </w:tc>
        <w:tc>
          <w:tcPr>
            <w:tcW w:type="dxa" w:w="4153"/>
            <w:tcMar>
              <w:top w:type="dxa" w:w="0"/>
              <w:left w:type="dxa" w:w="105"/>
              <w:bottom w:type="dxa" w:w="0"/>
              <w:right w:type="dxa" w:w="105"/>
            </w:tcMar>
            <w:vAlign w:val="top"/>
          </w:tcPr>
          <w:p>
            <w:pPr>
              <w:pStyle w:val="null3"/>
              <w:ind w:right="105"/>
              <w:jc w:val="left"/>
            </w:pPr>
            <w:r>
              <w:rPr>
                <w:sz w:val="21"/>
              </w:rPr>
              <w:t>电话：</w:t>
            </w:r>
          </w:p>
        </w:tc>
      </w:tr>
      <w:tr>
        <w:tc>
          <w:tcPr>
            <w:tcW w:type="dxa" w:w="4153"/>
            <w:tcMar>
              <w:top w:type="dxa" w:w="0"/>
              <w:left w:type="dxa" w:w="105"/>
              <w:bottom w:type="dxa" w:w="0"/>
              <w:right w:type="dxa" w:w="105"/>
            </w:tcMar>
            <w:vAlign w:val="top"/>
          </w:tcPr>
          <w:p>
            <w:pPr>
              <w:pStyle w:val="null3"/>
              <w:jc w:val="left"/>
            </w:pPr>
            <w:r>
              <w:rPr>
                <w:sz w:val="21"/>
              </w:rPr>
              <w:t>E-mail：sbc@wyu.edu.cn</w:t>
            </w:r>
          </w:p>
        </w:tc>
        <w:tc>
          <w:tcPr>
            <w:tcW w:type="dxa" w:w="4153"/>
            <w:tcMar>
              <w:top w:type="dxa" w:w="0"/>
              <w:left w:type="dxa" w:w="105"/>
              <w:bottom w:type="dxa" w:w="0"/>
              <w:right w:type="dxa" w:w="105"/>
            </w:tcMar>
            <w:vAlign w:val="top"/>
          </w:tcPr>
          <w:p>
            <w:pPr>
              <w:pStyle w:val="null3"/>
              <w:jc w:val="left"/>
            </w:pPr>
            <w:r>
              <w:rPr>
                <w:sz w:val="21"/>
              </w:rPr>
              <w:t>E-mail：</w:t>
            </w:r>
          </w:p>
        </w:tc>
      </w:tr>
      <w:tr>
        <w:tc>
          <w:tcPr>
            <w:tcW w:type="dxa" w:w="8306"/>
            <w:gridSpan w:val="2"/>
            <w:tcMar>
              <w:top w:type="dxa" w:w="0"/>
              <w:left w:type="dxa" w:w="105"/>
              <w:bottom w:type="dxa" w:w="0"/>
              <w:right w:type="dxa" w:w="105"/>
            </w:tcMar>
            <w:vAlign w:val="top"/>
          </w:tcPr>
          <w:p>
            <w:pPr>
              <w:pStyle w:val="null3"/>
              <w:ind w:firstLine="2100"/>
              <w:jc w:val="both"/>
            </w:pPr>
            <w:r>
              <w:rPr>
                <w:sz w:val="21"/>
              </w:rPr>
              <w:t>签订日期：  年  月   日</w:t>
            </w:r>
          </w:p>
        </w:tc>
      </w:tr>
    </w:tbl>
    <w:p>
      <w:pPr>
        <w:pStyle w:val="null3"/>
      </w:pPr>
      <w:r>
        <w:rPr/>
        <w:t xml:space="preserve"> </w:t>
      </w:r>
    </w:p>
    <w:p>
      <w:pPr>
        <w:pStyle w:val="null3"/>
      </w:pPr>
      <w:r>
        <w:rPr>
          <w:sz w:val="21"/>
          <w:b/>
        </w:rPr>
        <w:t>附件1：货物清单</w:t>
      </w:r>
    </w:p>
    <w:p>
      <w:pPr>
        <w:pStyle w:val="null3"/>
        <w:ind w:left="495" w:firstLine="422"/>
        <w:jc w:val="both"/>
      </w:pPr>
      <w:r>
        <w:rPr>
          <w:sz w:val="21"/>
        </w:rPr>
        <w:t>单位：元</w:t>
      </w:r>
    </w:p>
    <w:tbl>
      <w:tblPr>
        <w:tblW w:w="0" w:type="auto"/>
        <w:tblBorders>
          <w:top w:val="none" w:color="000000" w:sz="4"/>
          <w:left w:val="none" w:color="000000" w:sz="4"/>
          <w:bottom w:val="none" w:color="000000" w:sz="4"/>
          <w:right w:val="none" w:color="000000" w:sz="4"/>
          <w:insideH w:val="none"/>
          <w:insideV w:val="none"/>
        </w:tblBorders>
      </w:tblPr>
      <w:tblGrid>
        <w:gridCol w:w="524"/>
        <w:gridCol w:w="1089"/>
        <w:gridCol w:w="941"/>
        <w:gridCol w:w="914"/>
        <w:gridCol w:w="753"/>
        <w:gridCol w:w="699"/>
        <w:gridCol w:w="632"/>
        <w:gridCol w:w="632"/>
        <w:gridCol w:w="1169"/>
        <w:gridCol w:w="954"/>
      </w:tblGrid>
      <w:tr>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序号</w:t>
            </w:r>
          </w:p>
        </w:tc>
        <w:tc>
          <w:tcPr>
            <w:tcW w:type="dxa" w:w="10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货物名称</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品牌</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规格</w:t>
            </w:r>
          </w:p>
          <w:p>
            <w:pPr>
              <w:pStyle w:val="null3"/>
              <w:jc w:val="center"/>
            </w:pPr>
            <w:r>
              <w:rPr>
                <w:sz w:val="21"/>
                <w:b/>
              </w:rPr>
              <w:t>型号</w:t>
            </w:r>
          </w:p>
        </w:tc>
        <w:tc>
          <w:tcPr>
            <w:tcW w:type="dxa" w:w="7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产地</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制造商名称</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单位</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单价</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总价</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pPr>
            <w:r>
              <w:rPr>
                <w:sz w:val="21"/>
              </w:rPr>
              <w:t>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技术服务费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安装调试费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培训费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运输费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保险费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其他费用</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无</w:t>
            </w:r>
          </w:p>
        </w:tc>
      </w:tr>
      <w:tr>
        <w:tc>
          <w:tcPr>
            <w:tcW w:type="dxa" w:w="16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总价（含税）</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小写：</w:t>
            </w:r>
            <w:r>
              <w:rPr>
                <w:sz w:val="21"/>
                <w:b/>
                <w:u w:val="single"/>
              </w:rPr>
              <w:t xml:space="preserve">¥         </w:t>
            </w:r>
            <w:r>
              <w:rPr>
                <w:sz w:val="21"/>
                <w:b/>
              </w:rPr>
              <w:t>元</w:t>
            </w:r>
          </w:p>
        </w:tc>
      </w:tr>
      <w:tr>
        <w:tc>
          <w:tcPr>
            <w:tcW w:type="dxa" w:w="1613"/>
            <w:gridSpan w:val="2"/>
            <w:vMerge/>
            <w:tcBorders>
              <w:top w:val="none" w:color="000000" w:sz="4"/>
              <w:left w:val="single" w:color="000000" w:sz="4"/>
              <w:bottom w:val="single" w:color="000000" w:sz="4"/>
              <w:right w:val="single" w:color="000000" w:sz="4"/>
            </w:tcBorders>
          </w:tcP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大写：</w:t>
            </w:r>
            <w:r>
              <w:rPr>
                <w:sz w:val="21"/>
                <w:b/>
                <w:u w:val="single"/>
              </w:rPr>
              <w:t xml:space="preserve">             </w:t>
            </w:r>
          </w:p>
        </w:tc>
      </w:tr>
    </w:tbl>
    <w:p>
      <w:pPr>
        <w:pStyle w:val="null3"/>
        <w:ind w:firstLine="210"/>
        <w:jc w:val="both"/>
      </w:pPr>
      <w:r>
        <w:rPr>
          <w:sz w:val="21"/>
          <w:b/>
        </w:rPr>
        <w:t>乙方如实申报货物名称，品牌、型号、规格、产地、数量、单位、大小写英文，必须与实际供货产品机身铭牌上所标识的完全一致，如有错漏，将无法验收，造成的一切后果由乙方自行承担。</w:t>
      </w:r>
    </w:p>
    <w:p>
      <w:pPr>
        <w:pStyle w:val="null3"/>
        <w:ind w:firstLine="210"/>
        <w:jc w:val="both"/>
      </w:pPr>
      <w:r>
        <w:rPr>
          <w:sz w:val="21"/>
          <w:b/>
        </w:rPr>
        <w:t>附件2：主要技术参数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343"/>
        <w:gridCol w:w="1456"/>
        <w:gridCol w:w="428"/>
        <w:gridCol w:w="1113"/>
        <w:gridCol w:w="4966"/>
      </w:tblGrid>
      <w:tr>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货物名称</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品牌</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规格</w:t>
            </w:r>
          </w:p>
          <w:p>
            <w:pPr>
              <w:pStyle w:val="null3"/>
              <w:jc w:val="center"/>
            </w:pPr>
            <w:r>
              <w:rPr>
                <w:sz w:val="21"/>
                <w:b/>
              </w:rPr>
              <w:t>型号</w:t>
            </w:r>
          </w:p>
        </w:tc>
        <w:tc>
          <w:tcPr>
            <w:tcW w:type="dxa" w:w="49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配置/技术参数</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jc w:val="center"/>
            </w:p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jc w:val="center"/>
            </w:p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jc w:val="center"/>
            </w:p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jc w:val="center"/>
            </w:p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sz w:val="21"/>
          <w:b/>
        </w:rPr>
        <w:t>附件3：保修服务表</w:t>
      </w:r>
    </w:p>
    <w:tbl>
      <w:tblPr>
        <w:tblW w:w="0" w:type="auto"/>
        <w:tblBorders>
          <w:top w:val="none" w:color="000000" w:sz="4"/>
          <w:left w:val="none" w:color="000000" w:sz="4"/>
          <w:bottom w:val="none" w:color="000000" w:sz="4"/>
          <w:right w:val="none" w:color="000000" w:sz="4"/>
          <w:insideH w:val="none"/>
          <w:insideV w:val="none"/>
        </w:tblBorders>
      </w:tblPr>
      <w:tblGrid>
        <w:gridCol w:w="599"/>
        <w:gridCol w:w="1969"/>
        <w:gridCol w:w="856"/>
        <w:gridCol w:w="1713"/>
        <w:gridCol w:w="2569"/>
        <w:gridCol w:w="599"/>
      </w:tblGrid>
      <w:tr>
        <w:tc>
          <w:tcPr>
            <w:tcW w:type="dxa" w:w="599"/>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1"/>
                <w:b/>
              </w:rPr>
              <w:t>序号</w:t>
            </w:r>
          </w:p>
        </w:tc>
        <w:tc>
          <w:tcPr>
            <w:tcW w:type="dxa" w:w="1969"/>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1"/>
                <w:b/>
              </w:rPr>
              <w:t>货物及配件名称</w:t>
            </w:r>
          </w:p>
        </w:tc>
        <w:tc>
          <w:tcPr>
            <w:tcW w:type="dxa" w:w="85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1"/>
                <w:b/>
              </w:rPr>
              <w:t>质保期</w:t>
            </w:r>
          </w:p>
        </w:tc>
        <w:tc>
          <w:tcPr>
            <w:tcW w:type="dxa" w:w="1713"/>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1"/>
                <w:b/>
              </w:rPr>
              <w:t>保修响应时间</w:t>
            </w:r>
          </w:p>
        </w:tc>
        <w:tc>
          <w:tcPr>
            <w:tcW w:type="dxa" w:w="2569"/>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1"/>
                <w:b/>
              </w:rPr>
              <w:t>售后服务网点及电话</w:t>
            </w:r>
          </w:p>
        </w:tc>
        <w:tc>
          <w:tcPr>
            <w:tcW w:type="dxa" w:w="599"/>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1"/>
                <w:b/>
              </w:rPr>
              <w:t>备注</w:t>
            </w:r>
          </w:p>
        </w:tc>
      </w:tr>
      <w:tr>
        <w:tc>
          <w:tcPr>
            <w:tcW w:type="dxa" w:w="599"/>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1"/>
                <w:b/>
              </w:rPr>
              <w:t>1</w:t>
            </w:r>
          </w:p>
        </w:tc>
        <w:tc>
          <w:tcPr>
            <w:tcW w:type="dxa" w:w="196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713"/>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56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599"/>
            <w:tcBorders>
              <w:top w:val="none" w:color="000000" w:sz="4"/>
              <w:left w:val="none" w:color="000000" w:sz="4"/>
              <w:bottom w:val="single" w:color="000000" w:sz="4"/>
              <w:right w:val="single" w:color="000000" w:sz="4"/>
            </w:tcBorders>
            <w:tcMar>
              <w:top w:type="dxa" w:w="0"/>
              <w:left w:type="dxa" w:w="30"/>
              <w:bottom w:type="dxa" w:w="0"/>
              <w:right w:type="dxa" w:w="30"/>
            </w:tcMar>
          </w:tcPr>
          <w:p/>
        </w:tc>
      </w:tr>
      <w:tr>
        <w:tc>
          <w:tcPr>
            <w:tcW w:type="dxa" w:w="599"/>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1"/>
                <w:b/>
              </w:rPr>
              <w:t>2</w:t>
            </w:r>
          </w:p>
        </w:tc>
        <w:tc>
          <w:tcPr>
            <w:tcW w:type="dxa" w:w="196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713"/>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56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599"/>
            <w:tcBorders>
              <w:top w:val="none" w:color="000000" w:sz="4"/>
              <w:left w:val="none" w:color="000000" w:sz="4"/>
              <w:bottom w:val="single" w:color="000000" w:sz="4"/>
              <w:right w:val="single" w:color="000000" w:sz="4"/>
            </w:tcBorders>
            <w:tcMar>
              <w:top w:type="dxa" w:w="0"/>
              <w:left w:type="dxa" w:w="30"/>
              <w:bottom w:type="dxa" w:w="0"/>
              <w:right w:type="dxa" w:w="30"/>
            </w:tcMar>
          </w:tcPr>
          <w:p/>
        </w:tc>
      </w:tr>
      <w:tr>
        <w:tc>
          <w:tcPr>
            <w:tcW w:type="dxa" w:w="599"/>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1"/>
                <w:b/>
              </w:rPr>
              <w:t>…</w:t>
            </w:r>
          </w:p>
        </w:tc>
        <w:tc>
          <w:tcPr>
            <w:tcW w:type="dxa" w:w="196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713"/>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56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599"/>
            <w:tcBorders>
              <w:top w:val="none" w:color="000000" w:sz="4"/>
              <w:left w:val="none" w:color="000000" w:sz="4"/>
              <w:bottom w:val="single" w:color="000000" w:sz="4"/>
              <w:right w:val="single" w:color="000000" w:sz="4"/>
            </w:tcBorders>
            <w:tcMar>
              <w:top w:type="dxa" w:w="0"/>
              <w:left w:type="dxa" w:w="30"/>
              <w:bottom w:type="dxa" w:w="0"/>
              <w:right w:type="dxa" w:w="30"/>
            </w:tcMar>
          </w:tcPr>
          <w:p/>
        </w:tc>
      </w:tr>
    </w:tbl>
    <w:p>
      <w:pPr>
        <w:pStyle w:val="null3"/>
        <w:jc w:val="both"/>
      </w:pPr>
      <w:r>
        <w:rPr>
          <w:sz w:val="21"/>
          <w:b/>
        </w:rPr>
        <w:t>附件4：培训计划</w:t>
      </w:r>
    </w:p>
    <w:p>
      <w:pPr>
        <w:pStyle w:val="null3"/>
        <w:ind w:firstLine="420"/>
        <w:jc w:val="both"/>
      </w:pPr>
      <w:r>
        <w:rPr>
          <w:sz w:val="21"/>
          <w:b/>
        </w:rPr>
        <w:t>培训结束后，由甲乙双方技术人员进行验收</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440701-2025-01162</w:t>
      </w:r>
    </w:p>
    <w:p>
      <w:pPr>
        <w:pStyle w:val="null3"/>
        <w:jc w:val="center"/>
        <w:outlineLvl w:val="3"/>
      </w:pPr>
      <w:r>
        <w:rPr>
          <w:sz w:val="24"/>
          <w:b/>
        </w:rPr>
        <w:t>采购项目编号：</w:t>
      </w:r>
      <w:r>
        <w:rPr>
          <w:sz w:val="24"/>
          <w:b/>
        </w:rPr>
        <w:t>WYUZB2025-049HW</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先进轨道交通装备服役摩擦机理及控制实验室试验机等设备采购项目</w:t>
      </w:r>
      <w:r>
        <w:rPr>
          <w:u w:val="single"/>
        </w:rPr>
        <w:t>”</w:t>
      </w:r>
      <w:r>
        <w:rPr/>
        <w:t>项目的招标[采购项目编号为：</w:t>
      </w:r>
      <w:r>
        <w:rPr>
          <w:u w:val="single"/>
        </w:rPr>
        <w:t>WYUZB2025-049HW</w:t>
      </w:r>
      <w:r>
        <w:rPr/>
        <w:t>]，我方愿参与投标。</w:t>
      </w:r>
    </w:p>
    <w:p>
      <w:pPr>
        <w:pStyle w:val="null3"/>
        <w:ind w:firstLine="480"/>
      </w:pPr>
      <w:r>
        <w:rPr/>
        <w:t>我方确认收到贵方提供的</w:t>
      </w:r>
      <w:r>
        <w:rPr>
          <w:u w:val="single"/>
        </w:rPr>
        <w:t>“</w:t>
      </w:r>
      <w:r>
        <w:rPr>
          <w:u w:val="single"/>
        </w:rPr>
        <w:t>先进轨道交通装备服役摩擦机理及控制实验室试验机等设备采购项目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先进轨道交通装备服役摩擦机理及控制实验室试验机等设备采购项目</w:t>
      </w:r>
      <w:r>
        <w:rPr/>
        <w:t>”项目采购[采购项目编号为</w:t>
      </w:r>
      <w:r>
        <w:rPr/>
        <w:t>WYUZB2025-049HW</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先进轨道交通装备服役摩擦机理及控制实验室试验机等设备采购项目</w:t>
      </w:r>
      <w:r>
        <w:rPr/>
        <w:t>招标中获中标（采购项目编号：</w:t>
      </w:r>
      <w:r>
        <w:rPr/>
        <w:t>WYUZB2025-049HW</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先进轨道交通装备服役摩擦机理及控制实验室试验机等设备采购项目</w:t>
      </w:r>
      <w:r>
        <w:rPr/>
        <w:t>”项目（采购项目编号：</w:t>
      </w:r>
      <w:r>
        <w:rPr/>
        <w:t>WYUZB2025-049HW</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