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440001-2025-18964</w:t>
      </w:r>
    </w:p>
    <w:p>
      <w:pPr>
        <w:pStyle w:val="null3"/>
        <w:jc w:val="center"/>
        <w:outlineLvl w:val="3"/>
      </w:pPr>
      <w:r>
        <w:rPr>
          <w:sz w:val="24"/>
          <w:b/>
        </w:rPr>
        <w:t>采购项目编号：</w:t>
      </w:r>
      <w:r>
        <w:rPr>
          <w:sz w:val="24"/>
          <w:b/>
        </w:rPr>
        <w:t>ZZ0250243</w:t>
      </w:r>
    </w:p>
    <w:p>
      <w:pPr>
        <w:pStyle w:val="null3"/>
        <w:jc w:val="center"/>
        <w:outlineLvl w:val="3"/>
      </w:pPr>
      <w:r>
        <w:rPr>
          <w:sz w:val="24"/>
          <w:b/>
        </w:rPr>
        <w:t>项目名称：</w:t>
      </w:r>
      <w:r>
        <w:rPr>
          <w:sz w:val="24"/>
          <w:b/>
        </w:rPr>
        <w:t>广东工业大学大学城校区实验室节能灯照明改造项目</w:t>
      </w:r>
    </w:p>
    <w:p>
      <w:pPr>
        <w:pStyle w:val="null3"/>
        <w:jc w:val="center"/>
        <w:outlineLvl w:val="3"/>
      </w:pPr>
      <w:r>
        <w:rPr>
          <w:sz w:val="24"/>
          <w:b/>
        </w:rPr>
        <w:t>采购人：</w:t>
      </w:r>
      <w:r>
        <w:rPr>
          <w:sz w:val="24"/>
          <w:b/>
        </w:rPr>
        <w:t>广东工业大学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广东工业大学</w:t>
      </w:r>
      <w:r>
        <w:rPr/>
        <w:t>的委托，采用</w:t>
      </w:r>
      <w:r>
        <w:rPr/>
        <w:t>公开招标</w:t>
      </w:r>
      <w:r>
        <w:rPr/>
        <w:t>方式组织采购</w:t>
      </w:r>
      <w:r>
        <w:rPr/>
        <w:t>广东工业大学大学城校区实验室节能灯照明改造项目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广东工业大学大学城校区实验室节能灯照明改造项目</w:t>
      </w:r>
    </w:p>
    <w:p>
      <w:pPr>
        <w:pStyle w:val="null3"/>
        <w:ind w:firstLine="480"/>
      </w:pPr>
      <w:r>
        <w:rPr/>
        <w:t>采购计划编号：</w:t>
      </w:r>
      <w:r>
        <w:rPr/>
        <w:t>440001-2025-18964</w:t>
      </w:r>
    </w:p>
    <w:p>
      <w:pPr>
        <w:pStyle w:val="null3"/>
        <w:ind w:firstLine="480"/>
      </w:pPr>
      <w:r>
        <w:rPr/>
        <w:t>采购项目编号：</w:t>
      </w:r>
      <w:r>
        <w:rPr/>
        <w:t>ZZ0250243</w:t>
      </w:r>
    </w:p>
    <w:p>
      <w:pPr>
        <w:pStyle w:val="null3"/>
        <w:ind w:firstLine="480"/>
      </w:pPr>
      <w:r>
        <w:rPr/>
        <w:t>采购方式：</w:t>
      </w:r>
      <w:r>
        <w:rPr/>
        <w:t>公开招标</w:t>
      </w:r>
    </w:p>
    <w:p>
      <w:pPr>
        <w:pStyle w:val="null3"/>
        <w:ind w:firstLine="480"/>
      </w:pPr>
      <w:r>
        <w:rPr/>
        <w:t>预算金额：</w:t>
      </w:r>
      <w:r>
        <w:rPr/>
        <w:t>2,712,791.00</w:t>
      </w:r>
      <w:r>
        <w:rPr/>
        <w:t>元</w:t>
      </w:r>
    </w:p>
    <w:p>
      <w:pPr>
        <w:pStyle w:val="null3"/>
        <w:outlineLvl w:val="3"/>
      </w:pPr>
      <w:r>
        <w:rPr>
          <w:sz w:val="24"/>
          <w:b/>
        </w:rPr>
        <w:t>2.项目内容及需求情况（采购项目技术规格、参数及要求）</w:t>
      </w:r>
    </w:p>
    <w:p>
      <w:pPr>
        <w:pStyle w:val="null3"/>
      </w:pPr>
      <w:r>
        <w:rPr/>
        <w:t>采购包1(广东工业大学大学城校区实验室节能灯照明改造):</w:t>
      </w:r>
    </w:p>
    <w:p>
      <w:pPr>
        <w:pStyle w:val="null3"/>
      </w:pPr>
      <w:r>
        <w:rPr/>
        <w:t>采购包预算金额：2,712,791.00元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室内照明灯具</w:t>
            </w:r>
          </w:p>
        </w:tc>
        <w:tc>
          <w:tcPr>
            <w:tcW w:type="dxa" w:w="2136"/>
          </w:tcPr>
          <w:p>
            <w:pPr>
              <w:pStyle w:val="null3"/>
            </w:pPr>
            <w:r>
              <w:rPr/>
              <w:t>600*1200灯盘</w:t>
            </w:r>
          </w:p>
        </w:tc>
        <w:tc>
          <w:tcPr>
            <w:tcW w:type="dxa" w:w="1187"/>
          </w:tcPr>
          <w:p>
            <w:pPr>
              <w:pStyle w:val="null3"/>
            </w:pPr>
            <w:r>
              <w:rPr/>
              <w:t>500(件)</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室内照明灯具</w:t>
            </w:r>
          </w:p>
        </w:tc>
        <w:tc>
          <w:tcPr>
            <w:tcW w:type="dxa" w:w="2136"/>
          </w:tcPr>
          <w:p>
            <w:pPr>
              <w:pStyle w:val="null3"/>
            </w:pPr>
            <w:r>
              <w:rPr/>
              <w:t>600*600灯盘等产品</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合同履行期限：中标人应按照采购人指定的时间、地点，派遣其授权代表与采购人签订合同，并在合同签订后90日内完成货物的进场、安装调试和验收，并交付采购人使用。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2023年或2024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采购包1（广东工业大学大学城校区实验室节能灯照明改造）：</w:t>
      </w:r>
      <w:r>
        <w:rPr/>
        <w:t>本项目整体专门面向中小企业采购，投标人须提供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采购包1（广东工业大学大学城校区实验室节能灯照明改造）：</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广东工业大学</w:t>
      </w:r>
    </w:p>
    <w:p>
      <w:pPr>
        <w:pStyle w:val="null3"/>
        <w:ind w:firstLine="480"/>
      </w:pPr>
      <w:r>
        <w:rPr/>
        <w:t xml:space="preserve"> 地址：</w:t>
      </w:r>
      <w:r>
        <w:rPr/>
        <w:t>广州市广州大学城外环西路100号</w:t>
      </w:r>
    </w:p>
    <w:p>
      <w:pPr>
        <w:pStyle w:val="null3"/>
        <w:ind w:firstLine="480"/>
      </w:pPr>
      <w:r>
        <w:rPr/>
        <w:t xml:space="preserve"> 联系方式：</w:t>
      </w:r>
      <w:r>
        <w:rPr/>
        <w:t>杜老师020-39340032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1、投标人须对本项目为单位（有划分包组的，则以包组为单位）的标的物进行整体投标，任何只对其中一部分内容进行的投标都被视为无效投标。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4、本项目核心产品为：600*1200灯盘。注：若存在多项核心产品，当不同供应商提供的任意一项核心产品的品牌相同，则视同其是所响应核心产品品牌相同供应商。</w:t>
      </w:r>
    </w:p>
    <w:p>
      <w:pPr>
        <w:pStyle w:val="null3"/>
        <w:jc w:val="both"/>
      </w:pPr>
      <w:r>
        <w:rPr>
          <w:sz w:val="21"/>
          <w:b/>
        </w:rPr>
        <w:t>5、本项目对应的中小企业划分标准所属行业为：工业。</w:t>
      </w:r>
      <w:r>
        <w:br/>
      </w:r>
      <w:r>
        <w:rPr>
          <w:sz w:val="21"/>
          <w:b/>
        </w:rPr>
        <w:t>6、★投标人应在投标分项报价表上标明拟提供本项目的所有采购标的的名称、产地、规格型号、数量、单价以及制造商名称。</w:t>
      </w:r>
    </w:p>
    <w:p>
      <w:pPr>
        <w:pStyle w:val="null3"/>
      </w:pPr>
      <w:r>
        <w:rPr>
          <w:sz w:val="21"/>
          <w:b/>
        </w:rPr>
        <w:t>7、各产品的采购数量均为预估数量，按实际安装数量结算。</w:t>
      </w:r>
    </w:p>
    <w:p>
      <w:pPr>
        <w:pStyle w:val="null3"/>
      </w:pPr>
      <w:r>
        <w:rPr/>
        <w:t>采购包1（广东工业大学大学城校区实验室节能灯照明改造）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中标人应按照采购人指定的时间、地点，派遣其授权代表与采购人签订合同，并在合同签订后90日内完成货物的进场、安装调试和验收，并交付采购人使用。</w:t>
            </w:r>
          </w:p>
        </w:tc>
      </w:tr>
      <w:tr>
        <w:tc>
          <w:tcPr>
            <w:tcW w:type="dxa" w:w="4153"/>
          </w:tcPr>
          <w:p>
            <w:pPr>
              <w:pStyle w:val="null3"/>
            </w:pPr>
            <w:r>
              <w:rPr/>
              <w:t>标的提供的地点</w:t>
            </w:r>
          </w:p>
        </w:tc>
        <w:tc>
          <w:tcPr>
            <w:tcW w:type="dxa" w:w="4153"/>
          </w:tcPr>
          <w:p>
            <w:pPr>
              <w:pStyle w:val="null3"/>
            </w:pPr>
            <w:r>
              <w:rPr/>
              <w:t>广东工业大学大学城校区实验室与设备管理处。</w:t>
            </w:r>
          </w:p>
        </w:tc>
      </w:tr>
      <w:tr/>
      <w:tr/>
      <w:tr>
        <w:tc>
          <w:tcPr>
            <w:tcW w:type="dxa" w:w="4153"/>
          </w:tcPr>
          <w:p>
            <w:pPr>
              <w:pStyle w:val="null3"/>
            </w:pPr>
            <w:r>
              <w:rPr/>
              <w:t>付款方式</w:t>
            </w:r>
          </w:p>
        </w:tc>
        <w:tc>
          <w:tcPr>
            <w:tcW w:type="dxa" w:w="4153"/>
          </w:tcPr>
          <w:p>
            <w:pPr>
              <w:pStyle w:val="null3"/>
            </w:pPr>
            <w:r>
              <w:rPr/>
              <w:t>第1期为(预付款)：支付比例40%，（1）政府采购合同签订后，中标人提供具体的施工计划、人员进场后，采购人在5个工作日内向中标人支付合同总金额的40%。 （2）中标人需在项目质保期内正常履行合同义务，由此产生的一切费用均由中标人自行承担。中标人需提供以下证明材料办理付款： ①合同； ②中标人开具的正式发票；③验收调试报告（适用于尾款支付）；④中标通知书。</w:t>
            </w:r>
          </w:p>
          <w:p>
            <w:pPr>
              <w:pStyle w:val="null3"/>
            </w:pPr>
            <w:r>
              <w:rPr/>
              <w:t>第2期为(尾款)：支付比例60%，（1）安装调试完毕且项目竣工验收合格后，采购人收到中标人付款申请后在10个工作日内支付至结算总价的100%。 （2）中标人需在项目质保期内正常履行合同义务，由此产生的一切费用均由中标人自行承担。中标人需提供以下证明材料办理付款： ①合同； ②中标人开具的正式发票；③验收调试报告（适用于尾款支付）；④中标通知书。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 1.中标人负责将货物材料到现场过程中的全部运输，包括装卸车、货物现场的搬运。进场前2个工作日，应以书面形式通知采购人发货日期、到货日期，以便采购人提供场地。 2.各种货物必须提供装箱清单，按装箱清单验收货物。 3.货物在现场的保管由中标人负责，直至货物安装、验收完毕。 4.货物在安装调试验收合格前的保险由中标人负责，中标人负责其派出的现场服务人员人身意外保险。 5.货物至采购人指定的使用现场的包装、保险及发运等环节和费用均由中标人负责。 6.货物的拆箱、安装、调试等各项工作由中标人负责，但必须在用户指定人员的参与下进行。在实际实施前必须先经用户方同意方可进行。 7.所有货物在开箱时必须完好，无破损。配置与装箱单相符。数量、质量不低于需求中提出的要求。 8.中标人应给出项目详细的验收方案，包括验收项目、验收标准，验收实施方法等。 9.货物正常运行后由中标人提请验收，采购人收到中标人的验收申请后7日内组织验收，验收由采购人、中标人及相关人员依国家有关标准、合同及有关附件要求进行。 10.中标人负责本项目所有货物的安装调试以及所有必须的线材与备件等。 11.中标人应提交详细货物安装进度表。 12.中标人应设安装负责人，负责安装协调管理工作。 13.中标人需根据货物特点和项目要求，做好安装的前提工作。安装所需工具设施物料由中标人自备、自费运到现场，完工后自费搬走。 14.中标人应派有经验的技术人员到项目现场按国家相关规范进行进行货物的安装和调试，负责处理货物的质量和数量短缺等问题，并应对货物质量全面负责。 15.中标人在货物进场、安装与调试期间，必须严格遵守采购人的各项规章制度与合理要求。中标人需指定和落实安全生产与文明施工措施，施工现场需设置警示标志与维护设施，安全生产管理人员现场到位，发生一切安全事故由中标人自行负责。</w:t>
            </w:r>
          </w:p>
        </w:tc>
      </w:tr>
      <w:tr>
        <w:tc>
          <w:tcPr>
            <w:tcW w:type="dxa" w:w="4153"/>
          </w:tcPr>
          <w:p>
            <w:pPr>
              <w:pStyle w:val="null3"/>
            </w:pPr>
            <w:r>
              <w:rPr/>
              <w:t>履约保证金</w:t>
            </w:r>
          </w:p>
        </w:tc>
        <w:tc>
          <w:tcPr>
            <w:tcW w:type="dxa" w:w="4153"/>
          </w:tcPr>
          <w:p>
            <w:pPr>
              <w:pStyle w:val="null3"/>
            </w:pPr>
            <w:r>
              <w:rPr/>
              <w:t>收取比例：10%,说明：中标人应在合同签订后5个工作日内，向采购方提交合同总金额的10%作为履约保证金（当中标人为中小企业时，则向采购方提交合同总金额的5%作为履约保证金（以中小企业声明函为准），最高不超过人民币XXX万元）。保证金将在货物验收合格且质保期届满后30日内无息退还（无未决索赔或违约行为）。 出现以下情形时，采购方有权全额或部分扣除履约保证金： 1.中标人未按合同约定时间交货或提供服务，每延迟1日扣除0.5%（不超过保证金总额的20%）； 2.货物质量未达到技术标准（如不良率≥30%），且未按期更换； 3.其他实质性违约行为（如擅自更换原材料、虚假验收等）。</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供货要求</w:t>
            </w:r>
          </w:p>
        </w:tc>
        <w:tc>
          <w:tcPr>
            <w:tcW w:type="dxa" w:w="2076"/>
          </w:tcPr>
          <w:p>
            <w:pPr>
              <w:pStyle w:val="null3"/>
              <w:jc w:val="left"/>
            </w:pPr>
            <w:r>
              <w:rPr/>
              <w:t>1.货物须按国家相关规范进行包装出厂，交货时须为原厂未启封的全新包装并且每个产品提供相应二维码，可以追溯产品的真伪及批次。 2.货物包装须适合于现行国内运输方式，并保证货物在正常情况下的多次搬运和装卸不被损毁。 3.由中标人负责安装，并经调试合格后，达到采购人可直接使用状态。 4.货物及项目安装所需的材料须为原制造商制造的全新产品，无污染，无侵权行为、无任何缺陷隐患，在中国境内可依常规安全合法使用。 5.货物及材料的验收标准：依次序对照适用标准为：①符合中华人民共和国国家安全质量标准、环保标准或行业标准；②符合招标文件和响应承诺中采购人认可的合理最佳配置、参数及各项要求；③货物来源国官方标准。上述标准必须是有关官方机构发布的最新版本的标准。 6.货物产品必须具备出厂合格证。 7.中标人应以采购人的名义作为终端客户，负责办理所有产品设备(包括保修卡)的一切保修注册备案手续并将货物的用户使用手册、保修手册、有关单证资料及配备件、随附工具等交付给采购人，使用操作及安全须知等重要资料应附有中文说明。 8.项目竣工验收，须按照现行项目安装技术规范、项目竣工验收规范、环保测评标准等组织验收，必须达到合格或以上标准，相关验收、评定等费用由中标人负责。 9.验收由中标人、采购人依国家有关标准、合同及有关附件要求进行。中标人须为验收提供必需的相关条件及一切费用。 10.中标人未按要求履行合同义务时，采购人有权拒绝验收。 11.供应商负责拆除原有灯光器材及项目实施过程中应预见和不可预见的特殊情况所涉及的一切费用。有害垃圾必须由具备资质的环保机构或专业公司处理，供应商需提供废物处理证明（如回收协议、加盖处理机构公章的《危险废物转移联单》等）以确保合规。 12.本项目投标单位必须对项目内所有内容进行投标，不允许对本项目部分内容选择性投标，报价方式为总价包干形式（即包含货物价款、仓储费、运输费、装卸费、安装费、保险费、货物所需办理手续的费用以及为一切关税等费用，采购人无须向中标人另外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项目培训及售后服务要求</w:t>
            </w:r>
          </w:p>
        </w:tc>
        <w:tc>
          <w:tcPr>
            <w:tcW w:type="dxa" w:w="2076"/>
          </w:tcPr>
          <w:p>
            <w:pPr>
              <w:pStyle w:val="null3"/>
              <w:jc w:val="left"/>
            </w:pPr>
            <w:r>
              <w:rPr/>
              <w:t>1.中标人应向采购人提供货物的中文使用手册、维护手册，并提供操作培训。 2.中标人需提供针对本项目至少3年的保修期，对产品提供至少3年的保修服务，保修服务的费用纳入本项目的费用中。 3.质保期内由于中标人的质量原因或非不可抗力因素（人为除外）引起的原因，出现变形、掉漆、松动、发霉、爆裂等问题，均属中标人的保修范围，中标人需接到维修通知后24小时内到现场处理。 4.在质保期内，中标人应无条件提供货物正常使用情况下的维修及保养服务，在非人为因素情况下，一切维护费用均由中标人负责。质保期内货物本身质量出现问题或由于货物本身质量原因造成的任何损伤或损坏，中标人应及时给予无条件维修或免费更换，由此引起的安装费、人工费、材料费等其它一切费用由中标人负责。 5.中标人应为采购人提供终身维修服务，质保期满后货物出现故障需更换配件，维修时只收取零配件费用，免收其他费用。 6.更换的货物、配件应为货物原生产厂商提供的原装货物、配件，或经原厂书面认可的同等替代品；技术参数、材质及性能不得低于原装货物、配件的设计标准。 7.若货物验收合格后12个月内，经双方确认的不良品（包括但不限于死灯、色偏、灯闪、光衰超过行业标准20%等）数量达到实际使用量的30%或以上，采购方有权判定该批次产品存在质量瑕疵。中标人应在收到书面通知后90个自然日内，无偿将该批次全部货物 （含未出现问题的产品）更换为同型号或性能更优的全新货物（禁止使用翻新、维修品或降级替代品），并承担由此产生的一切直接和间接费用。若逾期未完成更换，中标人需按迟延货物金额的每日0.5%支付违约金。</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室内照明灯具</w:t>
            </w:r>
          </w:p>
        </w:tc>
        <w:tc>
          <w:tcPr>
            <w:tcW w:type="dxa" w:w="831"/>
          </w:tcPr>
          <w:p>
            <w:pPr>
              <w:pStyle w:val="null3"/>
              <w:jc w:val="left"/>
            </w:pPr>
            <w:r>
              <w:rPr/>
              <w:t>600*1200灯盘</w:t>
            </w:r>
          </w:p>
        </w:tc>
        <w:tc>
          <w:tcPr>
            <w:tcW w:type="dxa" w:w="831"/>
          </w:tcPr>
          <w:p>
            <w:pPr>
              <w:pStyle w:val="null3"/>
              <w:jc w:val="left"/>
            </w:pPr>
            <w:r>
              <w:rPr/>
              <w:t>件</w:t>
            </w:r>
          </w:p>
        </w:tc>
        <w:tc>
          <w:tcPr>
            <w:tcW w:type="dxa" w:w="831"/>
          </w:tcPr>
          <w:p>
            <w:pPr>
              <w:pStyle w:val="null3"/>
              <w:jc w:val="right"/>
            </w:pPr>
            <w:r>
              <w:rPr/>
              <w:t>500.00</w:t>
            </w:r>
          </w:p>
        </w:tc>
        <w:tc>
          <w:tcPr>
            <w:tcW w:type="dxa" w:w="831"/>
          </w:tcPr>
          <w:p>
            <w:pPr>
              <w:pStyle w:val="null3"/>
              <w:jc w:val="right"/>
            </w:pPr>
            <w:r>
              <w:rPr/>
              <w:t>288.15</w:t>
            </w:r>
          </w:p>
        </w:tc>
        <w:tc>
          <w:tcPr>
            <w:tcW w:type="dxa" w:w="831"/>
          </w:tcPr>
          <w:p>
            <w:pPr>
              <w:pStyle w:val="null3"/>
              <w:jc w:val="right"/>
            </w:pPr>
            <w:r>
              <w:rPr/>
              <w:t>144,075.00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室内照明灯具</w:t>
            </w:r>
          </w:p>
        </w:tc>
        <w:tc>
          <w:tcPr>
            <w:tcW w:type="dxa" w:w="831"/>
          </w:tcPr>
          <w:p>
            <w:pPr>
              <w:pStyle w:val="null3"/>
              <w:jc w:val="left"/>
            </w:pPr>
            <w:r>
              <w:rPr/>
              <w:t>600*600灯盘等产品</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2,568,716.00</w:t>
            </w:r>
          </w:p>
        </w:tc>
        <w:tc>
          <w:tcPr>
            <w:tcW w:type="dxa" w:w="831"/>
          </w:tcPr>
          <w:p>
            <w:pPr>
              <w:pStyle w:val="null3"/>
              <w:jc w:val="right"/>
            </w:pPr>
            <w:r>
              <w:rPr/>
              <w:t>2,568,716.00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600*1200灯盘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600*1200灯盘（</w:t>
            </w:r>
            <w:r>
              <w:rPr>
                <w:sz w:val="22"/>
                <w:b/>
              </w:rPr>
              <w:t>采购数量：</w:t>
            </w:r>
            <w:r>
              <w:rPr>
                <w:sz w:val="22"/>
                <w:b/>
              </w:rPr>
              <w:t>500件</w:t>
            </w:r>
            <w:r>
              <w:rPr>
                <w:sz w:val="21"/>
                <w:b/>
              </w:rPr>
              <w:t>）</w:t>
            </w:r>
            <w:r>
              <w:br/>
            </w:r>
            <w:r>
              <w:rPr>
                <w:sz w:val="21"/>
              </w:rPr>
              <w:t>1.光源要求：LED 封装光源；</w:t>
            </w:r>
          </w:p>
          <w:p>
            <w:pPr>
              <w:pStyle w:val="null3"/>
              <w:jc w:val="both"/>
            </w:pPr>
            <w:r>
              <w:rPr>
                <w:sz w:val="21"/>
              </w:rPr>
              <w:t>2.功率：72W±2W（投标文件中提供带有CMA标志的检测报告扫描件）；</w:t>
            </w:r>
          </w:p>
          <w:p>
            <w:pPr>
              <w:pStyle w:val="null3"/>
              <w:jc w:val="both"/>
            </w:pPr>
            <w:r>
              <w:rPr>
                <w:sz w:val="21"/>
              </w:rPr>
              <w:t>3.色温：5700K(±100K）（投标文件中提供带有CMA标志的检测报告扫描件）；</w:t>
            </w:r>
          </w:p>
          <w:p>
            <w:pPr>
              <w:pStyle w:val="null3"/>
              <w:jc w:val="both"/>
            </w:pPr>
            <w:r>
              <w:rPr>
                <w:sz w:val="21"/>
              </w:rPr>
              <w:t>4.显色指数：Ra≥80。（投标文件中提供带有CMA标志的检测报告扫描件）；</w:t>
            </w:r>
          </w:p>
          <w:p>
            <w:pPr>
              <w:pStyle w:val="null3"/>
              <w:jc w:val="both"/>
            </w:pPr>
            <w:r>
              <w:rPr>
                <w:sz w:val="21"/>
              </w:rPr>
              <w:t>5.材质：灯体一体化材质，无外露明线，表面喷粉处理；电器与光源一体内置；</w:t>
            </w:r>
          </w:p>
          <w:p>
            <w:pPr>
              <w:pStyle w:val="null3"/>
              <w:jc w:val="both"/>
            </w:pPr>
            <w:r>
              <w:rPr>
                <w:sz w:val="21"/>
              </w:rPr>
              <w:t>6.</w:t>
            </w:r>
            <w:r>
              <w:rPr>
                <w:sz w:val="21"/>
              </w:rPr>
              <w:t>★</w:t>
            </w:r>
            <w:r>
              <w:rPr>
                <w:sz w:val="21"/>
              </w:rPr>
              <w:t>具有</w:t>
            </w:r>
            <w:r>
              <w:rPr>
                <w:sz w:val="21"/>
              </w:rPr>
              <w:t>CCC认证（投标文件中提供证明材料扫描件）；</w:t>
            </w:r>
          </w:p>
          <w:p>
            <w:pPr>
              <w:pStyle w:val="null3"/>
              <w:jc w:val="both"/>
            </w:pPr>
            <w:r>
              <w:rPr>
                <w:sz w:val="21"/>
              </w:rPr>
              <w:t>7.蓝光控制：蓝光危害在RG0（投标文件中提供带有CMA标志的检测报告扫描件）；</w:t>
            </w:r>
          </w:p>
          <w:p>
            <w:pPr>
              <w:pStyle w:val="null3"/>
              <w:jc w:val="both"/>
            </w:pPr>
            <w:r>
              <w:rPr>
                <w:sz w:val="21"/>
              </w:rPr>
              <w:t>8.产品尺寸：宽</w:t>
            </w:r>
            <w:r>
              <w:rPr>
                <w:sz w:val="21"/>
              </w:rPr>
              <w:t>600</w:t>
            </w:r>
            <w:r>
              <w:rPr>
                <w:sz w:val="21"/>
              </w:rPr>
              <w:t>mm*长</w:t>
            </w:r>
            <w:r>
              <w:rPr>
                <w:sz w:val="21"/>
              </w:rPr>
              <w:t>1200</w:t>
            </w:r>
            <w:r>
              <w:rPr>
                <w:sz w:val="21"/>
              </w:rPr>
              <w:t>mm（各参数允许偏差值±2mm）；</w:t>
            </w:r>
          </w:p>
          <w:p>
            <w:pPr>
              <w:pStyle w:val="null3"/>
              <w:jc w:val="both"/>
            </w:pPr>
            <w:r>
              <w:rPr>
                <w:sz w:val="21"/>
              </w:rPr>
              <w:t>9.功率因数：大于等于0.95，（投标文件中提供带有CMA标志的检测报告扫描件）；</w:t>
            </w:r>
          </w:p>
          <w:p>
            <w:pPr>
              <w:pStyle w:val="null3"/>
              <w:jc w:val="both"/>
            </w:pPr>
            <w:r>
              <w:rPr>
                <w:sz w:val="21"/>
              </w:rPr>
              <w:t>1</w:t>
            </w:r>
            <w:r>
              <w:rPr>
                <w:sz w:val="21"/>
              </w:rPr>
              <w:t>0</w:t>
            </w:r>
            <w:r>
              <w:rPr>
                <w:sz w:val="21"/>
              </w:rPr>
              <w:t>.产品保质期：</w:t>
            </w:r>
            <w:r>
              <w:rPr>
                <w:sz w:val="21"/>
              </w:rPr>
              <w:t>≥</w:t>
            </w:r>
            <w:r>
              <w:rPr>
                <w:sz w:val="21"/>
              </w:rPr>
              <w:t>36个月</w:t>
            </w:r>
            <w:r>
              <w:rPr>
                <w:sz w:val="21"/>
              </w:rPr>
              <w:t>；</w:t>
            </w:r>
          </w:p>
          <w:p>
            <w:pPr>
              <w:pStyle w:val="null3"/>
              <w:jc w:val="both"/>
            </w:pPr>
            <w:r>
              <w:rPr>
                <w:sz w:val="21"/>
              </w:rPr>
              <w:t>1</w:t>
            </w:r>
            <w:r>
              <w:rPr>
                <w:sz w:val="21"/>
              </w:rPr>
              <w:t>1</w:t>
            </w:r>
            <w:r>
              <w:rPr>
                <w:sz w:val="21"/>
              </w:rPr>
              <w:t>.安装方式：吸顶安装。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600*600灯盘等产品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2"/>
                <w:b/>
              </w:rPr>
              <w:t>一、</w:t>
            </w:r>
            <w:r>
              <w:rPr>
                <w:sz w:val="21"/>
                <w:b/>
              </w:rPr>
              <w:t>600*600灯盘（</w:t>
            </w:r>
            <w:r>
              <w:rPr>
                <w:sz w:val="22"/>
                <w:b/>
              </w:rPr>
              <w:t>采购数量：</w:t>
            </w:r>
            <w:r>
              <w:rPr>
                <w:sz w:val="22"/>
                <w:b/>
              </w:rPr>
              <w:t>700件</w:t>
            </w:r>
            <w:r>
              <w:rPr>
                <w:sz w:val="21"/>
                <w:b/>
              </w:rPr>
              <w:t>）</w:t>
            </w:r>
            <w:r>
              <w:br/>
            </w:r>
            <w:r>
              <w:rPr>
                <w:sz w:val="22"/>
              </w:rPr>
              <w:t>1.光源要求：LED 封装光源；</w:t>
            </w:r>
          </w:p>
          <w:p>
            <w:pPr>
              <w:pStyle w:val="null3"/>
              <w:jc w:val="both"/>
            </w:pPr>
            <w:r>
              <w:rPr>
                <w:sz w:val="22"/>
              </w:rPr>
              <w:t>2.功率：36W±2W（投标文件中提供带有CMA标志的检测报告扫描件）；</w:t>
            </w:r>
          </w:p>
          <w:p>
            <w:pPr>
              <w:pStyle w:val="null3"/>
              <w:jc w:val="both"/>
            </w:pPr>
            <w:r>
              <w:rPr>
                <w:sz w:val="22"/>
              </w:rPr>
              <w:t>3.色温：5700K(±100K）（投标文件中提供带有CMA标志的检测报告扫描件）；</w:t>
            </w:r>
          </w:p>
          <w:p>
            <w:pPr>
              <w:pStyle w:val="null3"/>
              <w:jc w:val="both"/>
            </w:pPr>
            <w:r>
              <w:rPr>
                <w:sz w:val="22"/>
              </w:rPr>
              <w:t>4.显色指数：Ra≥80。（投标文件中提供带有CMA标志的检测报告扫描件）；</w:t>
            </w:r>
          </w:p>
          <w:p>
            <w:pPr>
              <w:pStyle w:val="null3"/>
              <w:jc w:val="both"/>
            </w:pPr>
            <w:r>
              <w:rPr>
                <w:sz w:val="22"/>
              </w:rPr>
              <w:t>5.材质：灯体一体化材质，无外露明线，表面喷粉处理；电器与光源一体内置；</w:t>
            </w:r>
          </w:p>
          <w:p>
            <w:pPr>
              <w:pStyle w:val="null3"/>
              <w:jc w:val="both"/>
            </w:pPr>
            <w:r>
              <w:rPr>
                <w:sz w:val="22"/>
              </w:rPr>
              <w:t>6.</w:t>
            </w:r>
            <w:r>
              <w:rPr>
                <w:sz w:val="21"/>
              </w:rPr>
              <w:t>★</w:t>
            </w:r>
            <w:r>
              <w:rPr>
                <w:sz w:val="22"/>
              </w:rPr>
              <w:t>具有</w:t>
            </w:r>
            <w:r>
              <w:rPr>
                <w:sz w:val="22"/>
              </w:rPr>
              <w:t>CCC认证（投标文件中提供证明材料扫描件）；</w:t>
            </w:r>
          </w:p>
          <w:p>
            <w:pPr>
              <w:pStyle w:val="null3"/>
              <w:jc w:val="both"/>
            </w:pPr>
            <w:r>
              <w:rPr>
                <w:sz w:val="22"/>
              </w:rPr>
              <w:t>7.蓝光控制：蓝光危害在RG0（投标文件中提供带有CMA标志的检测报告扫描件）；</w:t>
            </w:r>
          </w:p>
          <w:p>
            <w:pPr>
              <w:pStyle w:val="null3"/>
              <w:jc w:val="both"/>
            </w:pPr>
            <w:r>
              <w:rPr>
                <w:sz w:val="22"/>
              </w:rPr>
              <w:t>8.产品尺寸：</w:t>
            </w:r>
            <w:r>
              <w:rPr>
                <w:sz w:val="22"/>
              </w:rPr>
              <w:t>600</w:t>
            </w:r>
            <w:r>
              <w:rPr>
                <w:sz w:val="22"/>
              </w:rPr>
              <w:t>mm*</w:t>
            </w:r>
            <w:r>
              <w:rPr>
                <w:sz w:val="22"/>
              </w:rPr>
              <w:t>600</w:t>
            </w:r>
            <w:r>
              <w:rPr>
                <w:sz w:val="22"/>
              </w:rPr>
              <w:t>mm（</w:t>
            </w:r>
            <w:r>
              <w:rPr>
                <w:sz w:val="21"/>
              </w:rPr>
              <w:t>各参数允许偏差值</w:t>
            </w:r>
            <w:r>
              <w:rPr>
                <w:sz w:val="22"/>
              </w:rPr>
              <w:t>±2mm）；</w:t>
            </w:r>
          </w:p>
          <w:p>
            <w:pPr>
              <w:pStyle w:val="null3"/>
              <w:jc w:val="both"/>
            </w:pPr>
            <w:r>
              <w:rPr>
                <w:sz w:val="22"/>
              </w:rPr>
              <w:t>9.功率因数：大于等于0.95，（投标文件中提供带有CMA标志的检测报告扫描件）；</w:t>
            </w:r>
          </w:p>
          <w:p>
            <w:pPr>
              <w:pStyle w:val="null3"/>
              <w:jc w:val="both"/>
            </w:pPr>
            <w:r>
              <w:rPr>
                <w:sz w:val="22"/>
              </w:rPr>
              <w:t>1</w:t>
            </w:r>
            <w:r>
              <w:rPr>
                <w:sz w:val="22"/>
              </w:rPr>
              <w:t>0</w:t>
            </w:r>
            <w:r>
              <w:rPr>
                <w:sz w:val="22"/>
              </w:rPr>
              <w:t>.产品保质期：</w:t>
            </w:r>
            <w:r>
              <w:rPr>
                <w:sz w:val="22"/>
              </w:rPr>
              <w:t>≥</w:t>
            </w:r>
            <w:r>
              <w:rPr>
                <w:sz w:val="22"/>
              </w:rPr>
              <w:t>36个月</w:t>
            </w:r>
            <w:r>
              <w:rPr>
                <w:sz w:val="22"/>
              </w:rPr>
              <w:t>；</w:t>
            </w:r>
          </w:p>
          <w:p>
            <w:pPr>
              <w:pStyle w:val="null3"/>
              <w:jc w:val="both"/>
            </w:pPr>
            <w:r>
              <w:rPr>
                <w:sz w:val="22"/>
              </w:rPr>
              <w:t>1</w:t>
            </w:r>
            <w:r>
              <w:rPr>
                <w:sz w:val="22"/>
              </w:rPr>
              <w:t>1</w:t>
            </w:r>
            <w:r>
              <w:rPr>
                <w:sz w:val="22"/>
              </w:rPr>
              <w:t>.安装方式：吸顶安装。</w:t>
            </w:r>
          </w:p>
        </w:tc>
      </w:tr>
      <w:tr>
        <w:tc>
          <w:tcPr>
            <w:tcW w:type="dxa" w:w="2076"/>
          </w:tcPr>
          <w:p/>
        </w:tc>
        <w:tc>
          <w:tcPr>
            <w:tcW w:type="dxa" w:w="415"/>
          </w:tcPr>
          <w:p>
            <w:pPr>
              <w:pStyle w:val="null3"/>
            </w:pPr>
            <w:r>
              <w:rPr/>
              <w:t>2</w:t>
            </w:r>
          </w:p>
        </w:tc>
        <w:tc>
          <w:tcPr>
            <w:tcW w:type="dxa" w:w="5814"/>
          </w:tcPr>
          <w:p>
            <w:pPr>
              <w:pStyle w:val="null3"/>
              <w:jc w:val="both"/>
            </w:pPr>
            <w:r>
              <w:rPr>
                <w:sz w:val="22"/>
                <w:b/>
              </w:rPr>
              <w:t>一、</w:t>
            </w:r>
            <w:r>
              <w:rPr>
                <w:sz w:val="22"/>
                <w:b/>
              </w:rPr>
              <w:t>300*1200灯盘</w:t>
            </w:r>
            <w:r>
              <w:rPr>
                <w:sz w:val="21"/>
                <w:b/>
              </w:rPr>
              <w:t>（</w:t>
            </w:r>
            <w:r>
              <w:rPr>
                <w:sz w:val="22"/>
                <w:b/>
              </w:rPr>
              <w:t>采购数量：</w:t>
            </w:r>
            <w:r>
              <w:rPr>
                <w:sz w:val="22"/>
                <w:b/>
              </w:rPr>
              <w:t>11000件</w:t>
            </w:r>
            <w:r>
              <w:rPr>
                <w:sz w:val="21"/>
                <w:b/>
              </w:rPr>
              <w:t>）</w:t>
            </w:r>
            <w:r>
              <w:br/>
            </w:r>
            <w:r>
              <w:rPr>
                <w:sz w:val="22"/>
              </w:rPr>
              <w:t>1.光源要求：LED 封装光源；</w:t>
            </w:r>
          </w:p>
          <w:p>
            <w:pPr>
              <w:pStyle w:val="null3"/>
              <w:jc w:val="both"/>
            </w:pPr>
            <w:r>
              <w:rPr>
                <w:sz w:val="22"/>
              </w:rPr>
              <w:t>2.功率：40W±2W（投标文件中提供带有CMA标志的检测报告扫描件）；</w:t>
            </w:r>
          </w:p>
          <w:p>
            <w:pPr>
              <w:pStyle w:val="null3"/>
              <w:jc w:val="both"/>
            </w:pPr>
            <w:r>
              <w:rPr>
                <w:sz w:val="22"/>
              </w:rPr>
              <w:t>3.色温：5700K(±100K）（投标文件中提供带有CMA标志的检测报告扫描件）；</w:t>
            </w:r>
          </w:p>
          <w:p>
            <w:pPr>
              <w:pStyle w:val="null3"/>
              <w:jc w:val="both"/>
            </w:pPr>
            <w:r>
              <w:rPr>
                <w:sz w:val="22"/>
              </w:rPr>
              <w:t>4.显色指数：Ra≥80。（投标文件中提供带有CMA标志的检测报告扫描件）；</w:t>
            </w:r>
          </w:p>
          <w:p>
            <w:pPr>
              <w:pStyle w:val="null3"/>
              <w:jc w:val="both"/>
            </w:pPr>
            <w:r>
              <w:rPr>
                <w:sz w:val="22"/>
              </w:rPr>
              <w:t>5.材质：灯体一体化材质，无外露明线，表面喷粉处理；电器与光源一体内置；</w:t>
            </w:r>
          </w:p>
          <w:p>
            <w:pPr>
              <w:pStyle w:val="null3"/>
              <w:jc w:val="both"/>
            </w:pPr>
            <w:r>
              <w:rPr>
                <w:sz w:val="22"/>
              </w:rPr>
              <w:t>6.</w:t>
            </w:r>
            <w:r>
              <w:rPr>
                <w:sz w:val="21"/>
              </w:rPr>
              <w:t>★</w:t>
            </w:r>
            <w:r>
              <w:rPr>
                <w:sz w:val="22"/>
              </w:rPr>
              <w:t>具有</w:t>
            </w:r>
            <w:r>
              <w:rPr>
                <w:sz w:val="22"/>
              </w:rPr>
              <w:t>CCC认证（投标文件中提供证明材料扫描件）；</w:t>
            </w:r>
          </w:p>
          <w:p>
            <w:pPr>
              <w:pStyle w:val="null3"/>
              <w:jc w:val="both"/>
            </w:pPr>
            <w:r>
              <w:rPr>
                <w:sz w:val="22"/>
              </w:rPr>
              <w:t>7.蓝光控制：蓝光危害在RG0（投标文件中提供带有CMA标志的检测报告扫描件）；</w:t>
            </w:r>
          </w:p>
          <w:p>
            <w:pPr>
              <w:pStyle w:val="null3"/>
              <w:jc w:val="both"/>
            </w:pPr>
            <w:r>
              <w:rPr>
                <w:sz w:val="22"/>
              </w:rPr>
              <w:t>8.产品尺寸：</w:t>
            </w:r>
            <w:r>
              <w:rPr>
                <w:sz w:val="21"/>
              </w:rPr>
              <w:t>宽</w:t>
            </w:r>
            <w:r>
              <w:rPr>
                <w:sz w:val="22"/>
              </w:rPr>
              <w:t>300</w:t>
            </w:r>
            <w:r>
              <w:rPr>
                <w:sz w:val="22"/>
              </w:rPr>
              <w:t>mm*</w:t>
            </w:r>
            <w:r>
              <w:rPr>
                <w:sz w:val="21"/>
              </w:rPr>
              <w:t>长</w:t>
            </w:r>
            <w:r>
              <w:rPr>
                <w:sz w:val="22"/>
              </w:rPr>
              <w:t>1200</w:t>
            </w:r>
            <w:r>
              <w:rPr>
                <w:sz w:val="22"/>
              </w:rPr>
              <w:t>mm（</w:t>
            </w:r>
            <w:r>
              <w:rPr>
                <w:sz w:val="21"/>
              </w:rPr>
              <w:t>各参数允许偏差值</w:t>
            </w:r>
            <w:r>
              <w:rPr>
                <w:sz w:val="22"/>
              </w:rPr>
              <w:t>±2mm）；</w:t>
            </w:r>
          </w:p>
          <w:p>
            <w:pPr>
              <w:pStyle w:val="null3"/>
              <w:jc w:val="both"/>
            </w:pPr>
            <w:r>
              <w:rPr>
                <w:sz w:val="22"/>
              </w:rPr>
              <w:t>9.功率因数：大于等于0.95，（投标文件中提供带有CMA标志的检测报告扫描件）；</w:t>
            </w:r>
          </w:p>
          <w:p>
            <w:pPr>
              <w:pStyle w:val="null3"/>
              <w:jc w:val="both"/>
            </w:pPr>
            <w:r>
              <w:rPr>
                <w:sz w:val="22"/>
              </w:rPr>
              <w:t>1</w:t>
            </w:r>
            <w:r>
              <w:rPr>
                <w:sz w:val="22"/>
              </w:rPr>
              <w:t>0</w:t>
            </w:r>
            <w:r>
              <w:rPr>
                <w:sz w:val="22"/>
              </w:rPr>
              <w:t>.产品保质期：</w:t>
            </w:r>
            <w:r>
              <w:rPr>
                <w:sz w:val="22"/>
              </w:rPr>
              <w:t>≥</w:t>
            </w:r>
            <w:r>
              <w:rPr>
                <w:sz w:val="22"/>
              </w:rPr>
              <w:t>36个月</w:t>
            </w:r>
            <w:r>
              <w:rPr>
                <w:sz w:val="22"/>
              </w:rPr>
              <w:t>；</w:t>
            </w:r>
          </w:p>
          <w:p>
            <w:pPr>
              <w:pStyle w:val="null3"/>
              <w:jc w:val="both"/>
            </w:pPr>
            <w:r>
              <w:rPr>
                <w:sz w:val="22"/>
              </w:rPr>
              <w:t>1</w:t>
            </w:r>
            <w:r>
              <w:rPr>
                <w:sz w:val="22"/>
              </w:rPr>
              <w:t>1</w:t>
            </w:r>
            <w:r>
              <w:rPr>
                <w:sz w:val="22"/>
              </w:rPr>
              <w:t>.安装方式：吸顶安装。</w:t>
            </w:r>
          </w:p>
        </w:tc>
      </w:tr>
      <w:tr>
        <w:tc>
          <w:tcPr>
            <w:tcW w:type="dxa" w:w="2076"/>
          </w:tcPr>
          <w:p/>
        </w:tc>
        <w:tc>
          <w:tcPr>
            <w:tcW w:type="dxa" w:w="415"/>
          </w:tcPr>
          <w:p>
            <w:pPr>
              <w:pStyle w:val="null3"/>
            </w:pPr>
            <w:r>
              <w:rPr/>
              <w:t>3</w:t>
            </w:r>
          </w:p>
        </w:tc>
        <w:tc>
          <w:tcPr>
            <w:tcW w:type="dxa" w:w="5814"/>
          </w:tcPr>
          <w:p>
            <w:pPr>
              <w:pStyle w:val="null3"/>
              <w:jc w:val="both"/>
            </w:pPr>
            <w:r>
              <w:rPr>
                <w:sz w:val="22"/>
                <w:b/>
              </w:rPr>
              <w:t>一、</w:t>
            </w:r>
            <w:r>
              <w:rPr>
                <w:sz w:val="22"/>
                <w:b/>
              </w:rPr>
              <w:t>80*1200灯盘</w:t>
            </w:r>
            <w:r>
              <w:rPr>
                <w:sz w:val="21"/>
                <w:b/>
              </w:rPr>
              <w:t>（</w:t>
            </w:r>
            <w:r>
              <w:rPr>
                <w:sz w:val="22"/>
                <w:b/>
              </w:rPr>
              <w:t>采购数量：</w:t>
            </w:r>
            <w:r>
              <w:rPr>
                <w:sz w:val="22"/>
                <w:b/>
              </w:rPr>
              <w:t>600件</w:t>
            </w:r>
            <w:r>
              <w:rPr>
                <w:sz w:val="21"/>
                <w:b/>
              </w:rPr>
              <w:t>）</w:t>
            </w:r>
            <w:r>
              <w:br/>
            </w:r>
            <w:r>
              <w:rPr>
                <w:sz w:val="22"/>
              </w:rPr>
              <w:t>1.光源要求：LED 封装光源；</w:t>
            </w:r>
          </w:p>
          <w:p>
            <w:pPr>
              <w:pStyle w:val="null3"/>
              <w:jc w:val="both"/>
            </w:pPr>
            <w:r>
              <w:rPr>
                <w:sz w:val="22"/>
              </w:rPr>
              <w:t>2.功率：24W±2W（投标文件中提供带有CMA标志的检测报告扫描件）；</w:t>
            </w:r>
          </w:p>
          <w:p>
            <w:pPr>
              <w:pStyle w:val="null3"/>
              <w:jc w:val="both"/>
            </w:pPr>
            <w:r>
              <w:rPr>
                <w:sz w:val="22"/>
              </w:rPr>
              <w:t>3.色温：5700K(±100K）（投标文件中提供带有CMA标志的检测报告扫描件）；</w:t>
            </w:r>
          </w:p>
          <w:p>
            <w:pPr>
              <w:pStyle w:val="null3"/>
              <w:jc w:val="both"/>
            </w:pPr>
            <w:r>
              <w:rPr>
                <w:sz w:val="22"/>
              </w:rPr>
              <w:t>4.显色指数：Ra≥80。（投标文件中提供带有CMA标志的检测报告扫描件）；</w:t>
            </w:r>
          </w:p>
          <w:p>
            <w:pPr>
              <w:pStyle w:val="null3"/>
              <w:jc w:val="both"/>
            </w:pPr>
            <w:r>
              <w:rPr>
                <w:sz w:val="22"/>
              </w:rPr>
              <w:t>5.材质：灯体一体化材质，无外露明线，表面喷粉处理；电器与光源一体内置；</w:t>
            </w:r>
          </w:p>
          <w:p>
            <w:pPr>
              <w:pStyle w:val="null3"/>
              <w:jc w:val="both"/>
            </w:pPr>
            <w:r>
              <w:rPr>
                <w:sz w:val="22"/>
              </w:rPr>
              <w:t>6.</w:t>
            </w:r>
            <w:r>
              <w:rPr>
                <w:sz w:val="21"/>
              </w:rPr>
              <w:t>★</w:t>
            </w:r>
            <w:r>
              <w:rPr>
                <w:sz w:val="22"/>
              </w:rPr>
              <w:t>具有</w:t>
            </w:r>
            <w:r>
              <w:rPr>
                <w:sz w:val="22"/>
              </w:rPr>
              <w:t>CCC 认证（投标文件中提供证明材料扫描件）；</w:t>
            </w:r>
          </w:p>
          <w:p>
            <w:pPr>
              <w:pStyle w:val="null3"/>
              <w:jc w:val="both"/>
            </w:pPr>
            <w:r>
              <w:rPr>
                <w:sz w:val="22"/>
              </w:rPr>
              <w:t>7.蓝光控制：蓝光危害在RG0（投标文件中提供带有CMA标志的检测报告扫描件）；</w:t>
            </w:r>
          </w:p>
          <w:p>
            <w:pPr>
              <w:pStyle w:val="null3"/>
              <w:jc w:val="both"/>
            </w:pPr>
            <w:r>
              <w:rPr>
                <w:sz w:val="22"/>
              </w:rPr>
              <w:t>8.产品尺寸：</w:t>
            </w:r>
            <w:r>
              <w:rPr>
                <w:sz w:val="21"/>
              </w:rPr>
              <w:t>宽</w:t>
            </w:r>
            <w:r>
              <w:rPr>
                <w:sz w:val="22"/>
              </w:rPr>
              <w:t>80</w:t>
            </w:r>
            <w:r>
              <w:rPr>
                <w:sz w:val="22"/>
              </w:rPr>
              <w:t>mm</w:t>
            </w:r>
            <w:r>
              <w:rPr>
                <w:sz w:val="22"/>
              </w:rPr>
              <w:t>*</w:t>
            </w:r>
            <w:r>
              <w:rPr>
                <w:sz w:val="21"/>
              </w:rPr>
              <w:t>长</w:t>
            </w:r>
            <w:r>
              <w:rPr>
                <w:sz w:val="22"/>
              </w:rPr>
              <w:t>1200mm（</w:t>
            </w:r>
            <w:r>
              <w:rPr>
                <w:sz w:val="21"/>
              </w:rPr>
              <w:t>各参数允许偏差值</w:t>
            </w:r>
            <w:r>
              <w:rPr>
                <w:sz w:val="22"/>
              </w:rPr>
              <w:t>±2mm）；</w:t>
            </w:r>
          </w:p>
          <w:p>
            <w:pPr>
              <w:pStyle w:val="null3"/>
              <w:jc w:val="both"/>
            </w:pPr>
            <w:r>
              <w:rPr>
                <w:sz w:val="22"/>
              </w:rPr>
              <w:t>9.功率因数：大于等于0.85，（投标文件中提供带有CMA标志的检测报告扫描件）；</w:t>
            </w:r>
          </w:p>
          <w:p>
            <w:pPr>
              <w:pStyle w:val="null3"/>
              <w:jc w:val="both"/>
            </w:pPr>
            <w:r>
              <w:rPr>
                <w:sz w:val="22"/>
              </w:rPr>
              <w:t>1</w:t>
            </w:r>
            <w:r>
              <w:rPr>
                <w:sz w:val="22"/>
              </w:rPr>
              <w:t>0</w:t>
            </w:r>
            <w:r>
              <w:rPr>
                <w:sz w:val="22"/>
              </w:rPr>
              <w:t>.产品保质期：≥</w:t>
            </w:r>
            <w:r>
              <w:rPr>
                <w:sz w:val="22"/>
              </w:rPr>
              <w:t>36个月</w:t>
            </w:r>
            <w:r>
              <w:rPr>
                <w:sz w:val="22"/>
              </w:rPr>
              <w:t>；</w:t>
            </w:r>
          </w:p>
          <w:p>
            <w:pPr>
              <w:pStyle w:val="null3"/>
              <w:jc w:val="both"/>
            </w:pPr>
            <w:r>
              <w:rPr>
                <w:sz w:val="22"/>
              </w:rPr>
              <w:t>1</w:t>
            </w:r>
            <w:r>
              <w:rPr>
                <w:sz w:val="22"/>
              </w:rPr>
              <w:t>1</w:t>
            </w:r>
            <w:r>
              <w:rPr>
                <w:sz w:val="22"/>
              </w:rPr>
              <w:t>.安装方式：吸顶安装。</w:t>
            </w:r>
          </w:p>
        </w:tc>
      </w:tr>
      <w:tr>
        <w:tc>
          <w:tcPr>
            <w:tcW w:type="dxa" w:w="2076"/>
          </w:tcPr>
          <w:p/>
        </w:tc>
        <w:tc>
          <w:tcPr>
            <w:tcW w:type="dxa" w:w="415"/>
          </w:tcPr>
          <w:p>
            <w:pPr>
              <w:pStyle w:val="null3"/>
            </w:pPr>
            <w:r>
              <w:rPr/>
              <w:t>4</w:t>
            </w:r>
          </w:p>
        </w:tc>
        <w:tc>
          <w:tcPr>
            <w:tcW w:type="dxa" w:w="5814"/>
          </w:tcPr>
          <w:p>
            <w:pPr>
              <w:pStyle w:val="null3"/>
              <w:jc w:val="both"/>
            </w:pPr>
            <w:r>
              <w:rPr>
                <w:sz w:val="22"/>
                <w:b/>
              </w:rPr>
              <w:t>一、单只灯管</w:t>
            </w:r>
            <w:r>
              <w:rPr>
                <w:sz w:val="21"/>
                <w:b/>
              </w:rPr>
              <w:t>（</w:t>
            </w:r>
            <w:r>
              <w:rPr>
                <w:sz w:val="22"/>
                <w:b/>
              </w:rPr>
              <w:t>采购数量：</w:t>
            </w:r>
            <w:r>
              <w:rPr>
                <w:sz w:val="22"/>
                <w:b/>
              </w:rPr>
              <w:t>500件</w:t>
            </w:r>
            <w:r>
              <w:rPr>
                <w:sz w:val="21"/>
                <w:b/>
              </w:rPr>
              <w:t>）</w:t>
            </w:r>
            <w:r>
              <w:br/>
            </w:r>
            <w:r>
              <w:rPr>
                <w:sz w:val="22"/>
              </w:rPr>
              <w:t>1.光源要求：LED 封装光源；</w:t>
            </w:r>
          </w:p>
          <w:p>
            <w:pPr>
              <w:pStyle w:val="null3"/>
              <w:jc w:val="both"/>
            </w:pPr>
            <w:r>
              <w:rPr>
                <w:sz w:val="22"/>
              </w:rPr>
              <w:t>2.功率：18W±1W（投标文件中提供带有CMA标志的检测报告扫描件）；</w:t>
            </w:r>
          </w:p>
          <w:p>
            <w:pPr>
              <w:pStyle w:val="null3"/>
              <w:jc w:val="both"/>
            </w:pPr>
            <w:r>
              <w:rPr>
                <w:sz w:val="22"/>
              </w:rPr>
              <w:t>3.色温：6500K(±100K）（投标文件中提供带有CMA标志的检测报告扫描件）；</w:t>
            </w:r>
          </w:p>
          <w:p>
            <w:pPr>
              <w:pStyle w:val="null3"/>
              <w:jc w:val="both"/>
            </w:pPr>
            <w:r>
              <w:rPr>
                <w:sz w:val="22"/>
              </w:rPr>
              <w:t>4.显色指数：Ra≥80。（投标文件中提供带有CMA标志的检测报告扫描件）；</w:t>
            </w:r>
          </w:p>
          <w:p>
            <w:pPr>
              <w:pStyle w:val="null3"/>
              <w:jc w:val="both"/>
            </w:pPr>
            <w:r>
              <w:rPr>
                <w:sz w:val="22"/>
              </w:rPr>
              <w:t>5.材质：灯体一体化材质，无外露明线，表面喷粉处理； 电器与光源一体内置；</w:t>
            </w:r>
          </w:p>
          <w:p>
            <w:pPr>
              <w:pStyle w:val="null3"/>
              <w:jc w:val="both"/>
            </w:pPr>
            <w:r>
              <w:rPr>
                <w:sz w:val="22"/>
              </w:rPr>
              <w:t>6.</w:t>
            </w:r>
            <w:r>
              <w:rPr>
                <w:sz w:val="21"/>
              </w:rPr>
              <w:t>★</w:t>
            </w:r>
            <w:r>
              <w:rPr>
                <w:sz w:val="22"/>
              </w:rPr>
              <w:t>具有</w:t>
            </w:r>
            <w:r>
              <w:rPr>
                <w:sz w:val="22"/>
              </w:rPr>
              <w:t>CCC 认证（投标文件中提供证明材料扫描件）；</w:t>
            </w:r>
          </w:p>
          <w:p>
            <w:pPr>
              <w:pStyle w:val="null3"/>
              <w:jc w:val="both"/>
            </w:pPr>
            <w:r>
              <w:rPr>
                <w:sz w:val="22"/>
              </w:rPr>
              <w:t>7.蓝光控制：蓝光危害在RG0（投标文件中提供带有CMA标志的检测报告扫描件）；</w:t>
            </w:r>
          </w:p>
          <w:p>
            <w:pPr>
              <w:pStyle w:val="null3"/>
              <w:jc w:val="both"/>
            </w:pPr>
            <w:r>
              <w:rPr>
                <w:sz w:val="22"/>
              </w:rPr>
              <w:t>8.产品尺寸：</w:t>
            </w:r>
            <w:r>
              <w:rPr>
                <w:sz w:val="21"/>
              </w:rPr>
              <w:t>宽</w:t>
            </w:r>
            <w:r>
              <w:rPr>
                <w:sz w:val="22"/>
              </w:rPr>
              <w:t>3</w:t>
            </w:r>
            <w:r>
              <w:rPr>
                <w:sz w:val="22"/>
              </w:rPr>
              <w:t>5mm</w:t>
            </w:r>
            <w:r>
              <w:rPr>
                <w:sz w:val="22"/>
              </w:rPr>
              <w:t>*</w:t>
            </w:r>
            <w:r>
              <w:rPr>
                <w:sz w:val="21"/>
              </w:rPr>
              <w:t>长</w:t>
            </w:r>
            <w:r>
              <w:rPr>
                <w:sz w:val="22"/>
              </w:rPr>
              <w:t>12</w:t>
            </w:r>
            <w:r>
              <w:rPr>
                <w:sz w:val="22"/>
              </w:rPr>
              <w:t>20</w:t>
            </w:r>
            <w:r>
              <w:rPr>
                <w:sz w:val="22"/>
              </w:rPr>
              <w:t>mm（</w:t>
            </w:r>
            <w:r>
              <w:rPr>
                <w:sz w:val="21"/>
              </w:rPr>
              <w:t>各参数允许偏差值</w:t>
            </w:r>
            <w:r>
              <w:rPr>
                <w:sz w:val="22"/>
              </w:rPr>
              <w:t>±2mm）；</w:t>
            </w:r>
          </w:p>
          <w:p>
            <w:pPr>
              <w:pStyle w:val="null3"/>
              <w:jc w:val="both"/>
            </w:pPr>
            <w:r>
              <w:rPr>
                <w:sz w:val="22"/>
              </w:rPr>
              <w:t>9.功率因数：大于等于0.9，（投标文件中提供带有CMA标志的检测报告扫描件）；</w:t>
            </w:r>
          </w:p>
          <w:p>
            <w:pPr>
              <w:pStyle w:val="null3"/>
              <w:jc w:val="both"/>
            </w:pPr>
            <w:r>
              <w:rPr>
                <w:sz w:val="22"/>
              </w:rPr>
              <w:t>1</w:t>
            </w:r>
            <w:r>
              <w:rPr>
                <w:sz w:val="22"/>
              </w:rPr>
              <w:t>0</w:t>
            </w:r>
            <w:r>
              <w:rPr>
                <w:sz w:val="22"/>
              </w:rPr>
              <w:t>.产品保质期：</w:t>
            </w:r>
            <w:r>
              <w:rPr>
                <w:sz w:val="22"/>
              </w:rPr>
              <w:t>≥</w:t>
            </w:r>
            <w:r>
              <w:rPr>
                <w:sz w:val="22"/>
              </w:rPr>
              <w:t>36个月</w:t>
            </w:r>
            <w:r>
              <w:rPr>
                <w:sz w:val="22"/>
              </w:rPr>
              <w:t>；</w:t>
            </w:r>
          </w:p>
          <w:p>
            <w:pPr>
              <w:pStyle w:val="null3"/>
              <w:jc w:val="both"/>
            </w:pPr>
            <w:r>
              <w:rPr>
                <w:sz w:val="22"/>
              </w:rPr>
              <w:t>1</w:t>
            </w:r>
            <w:r>
              <w:rPr>
                <w:sz w:val="22"/>
              </w:rPr>
              <w:t>1</w:t>
            </w:r>
            <w:r>
              <w:rPr>
                <w:sz w:val="22"/>
              </w:rPr>
              <w:t>.安装方式：吸顶安装。</w:t>
            </w:r>
          </w:p>
        </w:tc>
      </w:tr>
      <w:tr>
        <w:tc>
          <w:tcPr>
            <w:tcW w:type="dxa" w:w="2076"/>
          </w:tcPr>
          <w:p/>
        </w:tc>
        <w:tc>
          <w:tcPr>
            <w:tcW w:type="dxa" w:w="415"/>
          </w:tcPr>
          <w:p>
            <w:pPr>
              <w:pStyle w:val="null3"/>
            </w:pPr>
            <w:r>
              <w:rPr/>
              <w:t>5</w:t>
            </w:r>
          </w:p>
        </w:tc>
        <w:tc>
          <w:tcPr>
            <w:tcW w:type="dxa" w:w="5814"/>
          </w:tcPr>
          <w:p>
            <w:pPr>
              <w:pStyle w:val="null3"/>
              <w:jc w:val="both"/>
            </w:pPr>
            <w:r>
              <w:rPr>
                <w:sz w:val="22"/>
                <w:b/>
              </w:rPr>
              <w:t>一、单联单控开关</w:t>
            </w:r>
            <w:r>
              <w:rPr>
                <w:sz w:val="21"/>
                <w:b/>
              </w:rPr>
              <w:t>（</w:t>
            </w:r>
            <w:r>
              <w:rPr>
                <w:sz w:val="22"/>
                <w:b/>
              </w:rPr>
              <w:t>采购数量：</w:t>
            </w:r>
            <w:r>
              <w:rPr>
                <w:sz w:val="22"/>
                <w:b/>
              </w:rPr>
              <w:t>500件</w:t>
            </w:r>
            <w:r>
              <w:rPr>
                <w:sz w:val="21"/>
                <w:b/>
              </w:rPr>
              <w:t>）</w:t>
            </w:r>
            <w:r>
              <w:br/>
            </w:r>
            <w:r>
              <w:rPr>
                <w:sz w:val="22"/>
              </w:rPr>
              <w:t>1.符合国家及行业标准。</w:t>
            </w:r>
          </w:p>
          <w:p>
            <w:pPr>
              <w:pStyle w:val="null3"/>
              <w:jc w:val="both"/>
            </w:pPr>
            <w:r>
              <w:rPr>
                <w:sz w:val="22"/>
              </w:rPr>
              <w:t>2</w:t>
            </w:r>
            <w:r>
              <w:rPr>
                <w:sz w:val="22"/>
              </w:rPr>
              <w:t>.开关插座的额定电压、额定电流需满足10A 250V。</w:t>
            </w:r>
          </w:p>
          <w:p>
            <w:pPr>
              <w:pStyle w:val="null3"/>
              <w:jc w:val="both"/>
            </w:pPr>
            <w:r>
              <w:rPr>
                <w:sz w:val="22"/>
              </w:rPr>
              <w:t>3</w:t>
            </w:r>
            <w:r>
              <w:rPr>
                <w:sz w:val="22"/>
              </w:rPr>
              <w:t>.开关寿命需达到或超过招标文件规定的次数，如不低于40000次。</w:t>
            </w:r>
          </w:p>
          <w:p>
            <w:pPr>
              <w:pStyle w:val="null3"/>
              <w:jc w:val="both"/>
            </w:pPr>
            <w:r>
              <w:rPr>
                <w:sz w:val="22"/>
              </w:rPr>
              <w:t>4</w:t>
            </w:r>
            <w:r>
              <w:rPr>
                <w:sz w:val="22"/>
              </w:rPr>
              <w:t>.电气间隙和爬电距离需符合国家标准规定，以确保产品的电气安全性。</w:t>
            </w:r>
          </w:p>
          <w:p>
            <w:pPr>
              <w:pStyle w:val="null3"/>
              <w:jc w:val="both"/>
            </w:pPr>
            <w:r>
              <w:rPr>
                <w:sz w:val="22"/>
              </w:rPr>
              <w:t>5</w:t>
            </w:r>
            <w:r>
              <w:rPr>
                <w:sz w:val="22"/>
              </w:rPr>
              <w:t>.材料品质方面，面板材料采用PC料，底壳材料可为PC料或尼龙料。开关触点应采用银合金触点，以提高导电性能和耐腐蚀性。</w:t>
            </w:r>
          </w:p>
          <w:p>
            <w:pPr>
              <w:pStyle w:val="null3"/>
              <w:jc w:val="both"/>
            </w:pPr>
            <w:r>
              <w:rPr>
                <w:sz w:val="22"/>
              </w:rPr>
              <w:t>6</w:t>
            </w:r>
            <w:r>
              <w:rPr>
                <w:sz w:val="22"/>
              </w:rPr>
              <w:t>.</w:t>
            </w:r>
            <w:r>
              <w:rPr>
                <w:sz w:val="21"/>
              </w:rPr>
              <w:t>★</w:t>
            </w:r>
            <w:r>
              <w:rPr>
                <w:sz w:val="22"/>
              </w:rPr>
              <w:t>强制性安全认证。所有开关产品必须按国家规定要求通过强制性安全认证（</w:t>
            </w:r>
            <w:r>
              <w:rPr>
                <w:sz w:val="22"/>
              </w:rPr>
              <w:t>CCC认证），并获得相应的认证证书。</w:t>
            </w:r>
          </w:p>
          <w:p>
            <w:pPr>
              <w:pStyle w:val="null3"/>
              <w:jc w:val="both"/>
            </w:pPr>
            <w:r>
              <w:rPr>
                <w:sz w:val="22"/>
              </w:rPr>
              <w:t>7</w:t>
            </w:r>
            <w:r>
              <w:rPr>
                <w:sz w:val="22"/>
              </w:rPr>
              <w:t>.开关产品选用大按钮小边框产品。</w:t>
            </w:r>
          </w:p>
          <w:p>
            <w:pPr>
              <w:pStyle w:val="null3"/>
              <w:jc w:val="both"/>
            </w:pPr>
            <w:r>
              <w:rPr>
                <w:sz w:val="22"/>
              </w:rPr>
              <w:t>8</w:t>
            </w:r>
            <w:r>
              <w:rPr>
                <w:sz w:val="22"/>
              </w:rPr>
              <w:t>.产品保质期：</w:t>
            </w:r>
            <w:r>
              <w:rPr>
                <w:sz w:val="22"/>
              </w:rPr>
              <w:t>≥</w:t>
            </w:r>
            <w:r>
              <w:rPr>
                <w:sz w:val="22"/>
              </w:rPr>
              <w:t>36个月。</w:t>
            </w:r>
          </w:p>
        </w:tc>
      </w:tr>
      <w:tr>
        <w:tc>
          <w:tcPr>
            <w:tcW w:type="dxa" w:w="2076"/>
          </w:tcPr>
          <w:p/>
        </w:tc>
        <w:tc>
          <w:tcPr>
            <w:tcW w:type="dxa" w:w="415"/>
          </w:tcPr>
          <w:p>
            <w:pPr>
              <w:pStyle w:val="null3"/>
            </w:pPr>
            <w:r>
              <w:rPr/>
              <w:t>6</w:t>
            </w:r>
          </w:p>
        </w:tc>
        <w:tc>
          <w:tcPr>
            <w:tcW w:type="dxa" w:w="5814"/>
          </w:tcPr>
          <w:p>
            <w:pPr>
              <w:pStyle w:val="null3"/>
              <w:jc w:val="both"/>
            </w:pPr>
            <w:r>
              <w:rPr>
                <w:sz w:val="22"/>
                <w:b/>
              </w:rPr>
              <w:t>一、双联单控开关</w:t>
            </w:r>
            <w:r>
              <w:rPr>
                <w:sz w:val="21"/>
                <w:b/>
              </w:rPr>
              <w:t>（</w:t>
            </w:r>
            <w:r>
              <w:rPr>
                <w:sz w:val="22"/>
                <w:b/>
              </w:rPr>
              <w:t>采购数量：</w:t>
            </w:r>
            <w:r>
              <w:rPr>
                <w:sz w:val="22"/>
                <w:b/>
              </w:rPr>
              <w:t>700件</w:t>
            </w:r>
            <w:r>
              <w:rPr>
                <w:sz w:val="21"/>
                <w:b/>
              </w:rPr>
              <w:t>）</w:t>
            </w:r>
            <w:r>
              <w:br/>
            </w:r>
            <w:r>
              <w:rPr>
                <w:sz w:val="22"/>
              </w:rPr>
              <w:t>1.符合国家及行业标准。</w:t>
            </w:r>
          </w:p>
          <w:p>
            <w:pPr>
              <w:pStyle w:val="null3"/>
              <w:jc w:val="both"/>
            </w:pPr>
            <w:r>
              <w:rPr>
                <w:sz w:val="22"/>
              </w:rPr>
              <w:t>2</w:t>
            </w:r>
            <w:r>
              <w:rPr>
                <w:sz w:val="22"/>
              </w:rPr>
              <w:t>.开关插座的额定电压、额定电流需满足10A 250V。</w:t>
            </w:r>
          </w:p>
          <w:p>
            <w:pPr>
              <w:pStyle w:val="null3"/>
              <w:jc w:val="both"/>
            </w:pPr>
            <w:r>
              <w:rPr>
                <w:sz w:val="22"/>
              </w:rPr>
              <w:t>3</w:t>
            </w:r>
            <w:r>
              <w:rPr>
                <w:sz w:val="22"/>
              </w:rPr>
              <w:t>.开关寿命需达到或超过招标文件规定的次数，如不低于40000次。</w:t>
            </w:r>
          </w:p>
          <w:p>
            <w:pPr>
              <w:pStyle w:val="null3"/>
              <w:jc w:val="both"/>
            </w:pPr>
            <w:r>
              <w:rPr>
                <w:sz w:val="22"/>
              </w:rPr>
              <w:t>4</w:t>
            </w:r>
            <w:r>
              <w:rPr>
                <w:sz w:val="22"/>
              </w:rPr>
              <w:t>.电气间隙和爬电距离需符合国家标准规定，以确保产品的电气安全性。</w:t>
            </w:r>
          </w:p>
          <w:p>
            <w:pPr>
              <w:pStyle w:val="null3"/>
              <w:jc w:val="both"/>
            </w:pPr>
            <w:r>
              <w:rPr>
                <w:sz w:val="22"/>
              </w:rPr>
              <w:t>5</w:t>
            </w:r>
            <w:r>
              <w:rPr>
                <w:sz w:val="22"/>
              </w:rPr>
              <w:t>.材料品质方面，面板材料采用PC料，底壳材料可为PC料或尼龙料。开关触点应采用银合金触点，以提高导电性能和耐腐蚀性。</w:t>
            </w:r>
          </w:p>
          <w:p>
            <w:pPr>
              <w:pStyle w:val="null3"/>
              <w:jc w:val="both"/>
            </w:pPr>
            <w:r>
              <w:rPr>
                <w:sz w:val="22"/>
              </w:rPr>
              <w:t>6</w:t>
            </w:r>
            <w:r>
              <w:rPr>
                <w:sz w:val="22"/>
              </w:rPr>
              <w:t>.</w:t>
            </w:r>
            <w:r>
              <w:rPr>
                <w:sz w:val="21"/>
              </w:rPr>
              <w:t>★</w:t>
            </w:r>
            <w:r>
              <w:rPr>
                <w:sz w:val="22"/>
              </w:rPr>
              <w:t>强制性安全认证。所有开关产品必须按国家规定要求通过强制性安全认证（</w:t>
            </w:r>
            <w:r>
              <w:rPr>
                <w:sz w:val="22"/>
              </w:rPr>
              <w:t>CCC认证），并获得相应的认证证书。</w:t>
            </w:r>
          </w:p>
          <w:p>
            <w:pPr>
              <w:pStyle w:val="null3"/>
              <w:jc w:val="both"/>
            </w:pPr>
            <w:r>
              <w:rPr>
                <w:sz w:val="22"/>
              </w:rPr>
              <w:t>7</w:t>
            </w:r>
            <w:r>
              <w:rPr>
                <w:sz w:val="22"/>
              </w:rPr>
              <w:t>.开关产品选用大按钮小边框产品。</w:t>
            </w:r>
          </w:p>
          <w:p>
            <w:pPr>
              <w:pStyle w:val="null3"/>
              <w:jc w:val="both"/>
            </w:pPr>
            <w:r>
              <w:rPr>
                <w:sz w:val="22"/>
              </w:rPr>
              <w:t>8</w:t>
            </w:r>
            <w:r>
              <w:rPr>
                <w:sz w:val="22"/>
              </w:rPr>
              <w:t>.产品保质期：</w:t>
            </w:r>
            <w:r>
              <w:rPr>
                <w:sz w:val="22"/>
              </w:rPr>
              <w:t>≥</w:t>
            </w:r>
            <w:r>
              <w:rPr>
                <w:sz w:val="22"/>
              </w:rPr>
              <w:t>36个月。</w:t>
            </w:r>
          </w:p>
        </w:tc>
      </w:tr>
      <w:tr>
        <w:tc>
          <w:tcPr>
            <w:tcW w:type="dxa" w:w="2076"/>
          </w:tcPr>
          <w:p/>
        </w:tc>
        <w:tc>
          <w:tcPr>
            <w:tcW w:type="dxa" w:w="415"/>
          </w:tcPr>
          <w:p>
            <w:pPr>
              <w:pStyle w:val="null3"/>
            </w:pPr>
            <w:r>
              <w:rPr/>
              <w:t>7</w:t>
            </w:r>
          </w:p>
        </w:tc>
        <w:tc>
          <w:tcPr>
            <w:tcW w:type="dxa" w:w="5814"/>
          </w:tcPr>
          <w:p>
            <w:pPr>
              <w:pStyle w:val="null3"/>
              <w:jc w:val="both"/>
            </w:pPr>
            <w:r>
              <w:rPr>
                <w:sz w:val="22"/>
                <w:b/>
              </w:rPr>
              <w:t>一、三联单控开关</w:t>
            </w:r>
            <w:r>
              <w:rPr>
                <w:sz w:val="21"/>
                <w:b/>
              </w:rPr>
              <w:t>（</w:t>
            </w:r>
            <w:r>
              <w:rPr>
                <w:sz w:val="22"/>
                <w:b/>
              </w:rPr>
              <w:t>采购数量：</w:t>
            </w:r>
            <w:r>
              <w:rPr>
                <w:sz w:val="22"/>
                <w:b/>
              </w:rPr>
              <w:t>600件</w:t>
            </w:r>
            <w:r>
              <w:rPr>
                <w:sz w:val="21"/>
                <w:b/>
              </w:rPr>
              <w:t>）</w:t>
            </w:r>
            <w:r>
              <w:br/>
            </w:r>
            <w:r>
              <w:rPr>
                <w:sz w:val="22"/>
              </w:rPr>
              <w:t>1.符合国家及行业标准。</w:t>
            </w:r>
          </w:p>
          <w:p>
            <w:pPr>
              <w:pStyle w:val="null3"/>
              <w:jc w:val="both"/>
            </w:pPr>
            <w:r>
              <w:rPr>
                <w:sz w:val="22"/>
              </w:rPr>
              <w:t>2</w:t>
            </w:r>
            <w:r>
              <w:rPr>
                <w:sz w:val="22"/>
              </w:rPr>
              <w:t>.开关插座的额定电压、额定电流需满足10A 250V。</w:t>
            </w:r>
          </w:p>
          <w:p>
            <w:pPr>
              <w:pStyle w:val="null3"/>
              <w:jc w:val="both"/>
            </w:pPr>
            <w:r>
              <w:rPr>
                <w:sz w:val="22"/>
              </w:rPr>
              <w:t>3</w:t>
            </w:r>
            <w:r>
              <w:rPr>
                <w:sz w:val="22"/>
              </w:rPr>
              <w:t>.开关寿命需达到或超过招标文件规定的次数，如不低于40000次。</w:t>
            </w:r>
          </w:p>
          <w:p>
            <w:pPr>
              <w:pStyle w:val="null3"/>
              <w:jc w:val="both"/>
            </w:pPr>
            <w:r>
              <w:rPr>
                <w:sz w:val="22"/>
              </w:rPr>
              <w:t>4</w:t>
            </w:r>
            <w:r>
              <w:rPr>
                <w:sz w:val="22"/>
              </w:rPr>
              <w:t>.电气间隙和爬电距离需符合国家标准规定，以确保产品的电气安全性。</w:t>
            </w:r>
          </w:p>
          <w:p>
            <w:pPr>
              <w:pStyle w:val="null3"/>
              <w:jc w:val="both"/>
            </w:pPr>
            <w:r>
              <w:rPr>
                <w:sz w:val="22"/>
              </w:rPr>
              <w:t>5</w:t>
            </w:r>
            <w:r>
              <w:rPr>
                <w:sz w:val="22"/>
              </w:rPr>
              <w:t>.材料品质方面，面板材料采用PC料，底壳材料可为PC料或尼龙料。开关触点应采用银合金触点，以提高导电性能和耐腐蚀性。</w:t>
            </w:r>
          </w:p>
          <w:p>
            <w:pPr>
              <w:pStyle w:val="null3"/>
              <w:jc w:val="both"/>
            </w:pPr>
            <w:r>
              <w:rPr>
                <w:sz w:val="22"/>
              </w:rPr>
              <w:t>6</w:t>
            </w:r>
            <w:r>
              <w:rPr>
                <w:sz w:val="22"/>
              </w:rPr>
              <w:t>.</w:t>
            </w:r>
            <w:r>
              <w:rPr>
                <w:sz w:val="21"/>
              </w:rPr>
              <w:t>★</w:t>
            </w:r>
            <w:r>
              <w:rPr>
                <w:sz w:val="22"/>
              </w:rPr>
              <w:t>强制性安全认证。所有开关产品必须按国家规定要求通过强制性安全认证（</w:t>
            </w:r>
            <w:r>
              <w:rPr>
                <w:sz w:val="22"/>
              </w:rPr>
              <w:t>CCC认证），并获得相应的认证证书。</w:t>
            </w:r>
          </w:p>
          <w:p>
            <w:pPr>
              <w:pStyle w:val="null3"/>
              <w:jc w:val="both"/>
            </w:pPr>
            <w:r>
              <w:rPr>
                <w:sz w:val="22"/>
              </w:rPr>
              <w:t>7</w:t>
            </w:r>
            <w:r>
              <w:rPr>
                <w:sz w:val="22"/>
              </w:rPr>
              <w:t>.开关产品选用大按钮小边框产品。</w:t>
            </w:r>
          </w:p>
          <w:p>
            <w:pPr>
              <w:pStyle w:val="null3"/>
              <w:jc w:val="both"/>
            </w:pPr>
            <w:r>
              <w:rPr>
                <w:sz w:val="22"/>
              </w:rPr>
              <w:t>8</w:t>
            </w:r>
            <w:r>
              <w:rPr>
                <w:sz w:val="22"/>
              </w:rPr>
              <w:t>.产品保质期：≥</w:t>
            </w:r>
            <w:r>
              <w:rPr>
                <w:sz w:val="22"/>
              </w:rPr>
              <w:t>36个月。</w:t>
            </w:r>
          </w:p>
        </w:tc>
      </w:tr>
      <w:tr>
        <w:tc>
          <w:tcPr>
            <w:tcW w:type="dxa" w:w="2076"/>
          </w:tcPr>
          <w:p/>
        </w:tc>
        <w:tc>
          <w:tcPr>
            <w:tcW w:type="dxa" w:w="415"/>
          </w:tcPr>
          <w:p>
            <w:pPr>
              <w:pStyle w:val="null3"/>
            </w:pPr>
            <w:r>
              <w:rPr/>
              <w:t>8</w:t>
            </w:r>
          </w:p>
        </w:tc>
        <w:tc>
          <w:tcPr>
            <w:tcW w:type="dxa" w:w="5814"/>
          </w:tcPr>
          <w:p>
            <w:pPr>
              <w:pStyle w:val="null3"/>
              <w:jc w:val="both"/>
            </w:pPr>
            <w:r>
              <w:rPr>
                <w:sz w:val="22"/>
                <w:b/>
              </w:rPr>
              <w:t>一、四联单控</w:t>
            </w:r>
            <w:r>
              <w:rPr>
                <w:sz w:val="22"/>
                <w:b/>
              </w:rPr>
              <w:t>开关</w:t>
            </w:r>
            <w:r>
              <w:rPr>
                <w:sz w:val="21"/>
                <w:b/>
              </w:rPr>
              <w:t>（</w:t>
            </w:r>
            <w:r>
              <w:rPr>
                <w:sz w:val="22"/>
                <w:b/>
              </w:rPr>
              <w:t>采购数量：</w:t>
            </w:r>
            <w:r>
              <w:rPr>
                <w:sz w:val="22"/>
                <w:b/>
              </w:rPr>
              <w:t>500件</w:t>
            </w:r>
            <w:r>
              <w:rPr>
                <w:sz w:val="21"/>
                <w:b/>
              </w:rPr>
              <w:t>）</w:t>
            </w:r>
            <w:r>
              <w:br/>
            </w:r>
            <w:r>
              <w:rPr>
                <w:sz w:val="22"/>
              </w:rPr>
              <w:t>1.符合国家及行业标准。</w:t>
            </w:r>
          </w:p>
          <w:p>
            <w:pPr>
              <w:pStyle w:val="null3"/>
              <w:jc w:val="both"/>
            </w:pPr>
            <w:r>
              <w:rPr>
                <w:sz w:val="22"/>
              </w:rPr>
              <w:t>2</w:t>
            </w:r>
            <w:r>
              <w:rPr>
                <w:sz w:val="22"/>
              </w:rPr>
              <w:t>.开关插座的额定电压、额定电流需满足10A 250V。</w:t>
            </w:r>
          </w:p>
          <w:p>
            <w:pPr>
              <w:pStyle w:val="null3"/>
              <w:jc w:val="both"/>
            </w:pPr>
            <w:r>
              <w:rPr>
                <w:sz w:val="22"/>
              </w:rPr>
              <w:t>3</w:t>
            </w:r>
            <w:r>
              <w:rPr>
                <w:sz w:val="22"/>
              </w:rPr>
              <w:t>.开关寿命需达到或超过招标文件规定的次数，如不低于40000次。</w:t>
            </w:r>
          </w:p>
          <w:p>
            <w:pPr>
              <w:pStyle w:val="null3"/>
              <w:jc w:val="both"/>
            </w:pPr>
            <w:r>
              <w:rPr>
                <w:sz w:val="22"/>
              </w:rPr>
              <w:t>4</w:t>
            </w:r>
            <w:r>
              <w:rPr>
                <w:sz w:val="22"/>
              </w:rPr>
              <w:t>.电气间隙和爬电距离需符合国家标准规定，以确保产品的电气安全性。</w:t>
            </w:r>
          </w:p>
          <w:p>
            <w:pPr>
              <w:pStyle w:val="null3"/>
              <w:jc w:val="both"/>
            </w:pPr>
            <w:r>
              <w:rPr>
                <w:sz w:val="22"/>
              </w:rPr>
              <w:t>5</w:t>
            </w:r>
            <w:r>
              <w:rPr>
                <w:sz w:val="22"/>
              </w:rPr>
              <w:t>.材料品质方面，面板材料采用PC料，底壳材料可为PC料或尼龙料。开关触点应采用银合金触点，以提高导电性能和耐腐蚀性。</w:t>
            </w:r>
          </w:p>
          <w:p>
            <w:pPr>
              <w:pStyle w:val="null3"/>
              <w:jc w:val="both"/>
            </w:pPr>
            <w:r>
              <w:rPr>
                <w:sz w:val="22"/>
              </w:rPr>
              <w:t>6</w:t>
            </w:r>
            <w:r>
              <w:rPr>
                <w:sz w:val="22"/>
              </w:rPr>
              <w:t>.</w:t>
            </w:r>
            <w:r>
              <w:rPr>
                <w:sz w:val="21"/>
              </w:rPr>
              <w:t>★</w:t>
            </w:r>
            <w:r>
              <w:rPr>
                <w:sz w:val="22"/>
              </w:rPr>
              <w:t>强制性安全认证。所有开关产品必须按国家规定要求通过强制性安全认证（</w:t>
            </w:r>
            <w:r>
              <w:rPr>
                <w:sz w:val="22"/>
              </w:rPr>
              <w:t>CCC认证），并获得相应的认证证书。</w:t>
            </w:r>
          </w:p>
          <w:p>
            <w:pPr>
              <w:pStyle w:val="null3"/>
              <w:jc w:val="both"/>
            </w:pPr>
            <w:r>
              <w:rPr>
                <w:sz w:val="22"/>
              </w:rPr>
              <w:t>7</w:t>
            </w:r>
            <w:r>
              <w:rPr>
                <w:sz w:val="22"/>
              </w:rPr>
              <w:t>.开关产品选用大按钮小边框产品。</w:t>
            </w:r>
          </w:p>
          <w:p>
            <w:pPr>
              <w:pStyle w:val="null3"/>
              <w:jc w:val="both"/>
            </w:pPr>
            <w:r>
              <w:rPr>
                <w:sz w:val="22"/>
              </w:rPr>
              <w:t>8</w:t>
            </w:r>
            <w:r>
              <w:rPr>
                <w:sz w:val="22"/>
              </w:rPr>
              <w:t>.产品保质期：≥</w:t>
            </w:r>
            <w:r>
              <w:rPr>
                <w:sz w:val="22"/>
              </w:rPr>
              <w:t>36个月。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广东工业大学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采购包1：保证金人民币：27,000.00元整。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 （1）以项目预算金额作为代理服务费的计算基数； （2）代理服务费采用差额定率累进法进行计算，按照以下标准计算后的80%计取：100万元以下的部分，按照1.5%计取； 100-500万元的部分，按照1.1%计取；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工业大学大学城校区实验室节能灯照明改造)：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采购包1（广东工业大学大学城校区实验室节能灯照明改造）：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采购包1（广东工业大学大学城校区实验室节能灯照明改造）：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供应商必须具有良好的商业信誉和健全的财务会计制度（提供2023年或2024年年度财务状况报告或投标截止日前6个月内任意1个月的财务报表复印件或基本开户行出具的资信证明）。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投标人须提供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采购包1（广东工业大学大学城校区实验室节能灯照明改造）：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投标保证金已按招标文件要求缴纳</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采购包1(广东工业大学大学城校区实验室节能灯照明改造):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(25.0分)</w:t>
            </w:r>
          </w:p>
        </w:tc>
        <w:tc>
          <w:tcPr>
            <w:tcW w:type="dxa" w:w="5076"/>
          </w:tcPr>
          <w:p>
            <w:pPr>
              <w:pStyle w:val="null3"/>
              <w:jc w:val="left"/>
            </w:pPr>
            <w:r>
              <w:rPr/>
              <w:t>根据投标人对具体技术(参数)要求中不带“▲”、不带“★”号的一般技术参数要求的响应情况进行评分。完全满足得25分，得分计算公式=(一般技术参数总数-负偏离总数)/一般技术参数总数*25分，结果四舍五入保留两位小数，本项目不带“▲”号、不带“★”号的一般技术参数要求共78项。 注：如采购需求有要求提供具体证明材料的，需按采购需求要求提供；如采购需求无明确要求提供的证明材料，则以投标人提供的响应情况为准，不按要求提供或提供不符的视为负偏离。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安装调试方案 (20.0分)</w:t>
            </w:r>
          </w:p>
        </w:tc>
        <w:tc>
          <w:tcPr>
            <w:tcW w:type="dxa" w:w="5076"/>
          </w:tcPr>
          <w:p>
            <w:pPr>
              <w:pStyle w:val="null3"/>
              <w:jc w:val="left"/>
            </w:pPr>
            <w:r>
              <w:rPr/>
              <w:t>投标人根据采购需求的“到货检验、安装调试”要求提供详细的安装调试方案（包括但不限于①安装方案、②调试方案等）： 1.安装调试方案详细完整且具备可操作性，具有明确的步骤和分工，能提供各项货物的安装调试计划安排表，能满足或优于采购人需求，得20分； 2.安装调试方案基本完整且具备可操作性，具有明确的步骤和分工，能提供各项货物的安装调试计划安排表，能基本满足采购人需求，得13分； 3.有提供安装调试方案的，得6分； 4.其它情况，得0分。</w:t>
            </w:r>
          </w:p>
        </w:tc>
      </w:tr>
      <w:tr>
        <w:tc>
          <w:tcPr>
            <w:tcW w:type="dxa" w:w="922"/>
            <w:gridSpan w:val="2"/>
            <w:vMerge/>
          </w:tcPr>
          <w:p/>
        </w:tc>
        <w:tc>
          <w:tcPr>
            <w:tcW w:type="dxa" w:w="2307"/>
          </w:tcPr>
          <w:p>
            <w:pPr>
              <w:pStyle w:val="null3"/>
              <w:jc w:val="left"/>
            </w:pPr>
            <w:r>
              <w:rPr/>
              <w:t>培训及售后服务方案 (5.0分)</w:t>
            </w:r>
          </w:p>
        </w:tc>
        <w:tc>
          <w:tcPr>
            <w:tcW w:type="dxa" w:w="5076"/>
          </w:tcPr>
          <w:p>
            <w:pPr>
              <w:pStyle w:val="null3"/>
              <w:jc w:val="left"/>
            </w:pPr>
            <w:r>
              <w:rPr/>
              <w:t>投标人根据采购需求的“培训及售后服务”要求提供详细的培训及售后服务方案（包括但不限于①人员培训、②服务响应计划等）： 1.培训及售后服务方案详细完整且具备可操作性，具有初步的培训内容安排、服务响应计划满足或优于采购人需求，得5分； 2.培训及售后服务方案基本完整且具备可操作性，具有初步的培训内容安排、服务响应计划基本满足采购人需求，得3分； 3.有提供培训及售后服务方案，得1分； 4.其它情况，得0分。</w:t>
            </w:r>
          </w:p>
        </w:tc>
      </w:tr>
      <w:tr>
        <w:tc>
          <w:tcPr>
            <w:tcW w:type="dxa" w:w="922"/>
            <w:gridSpan w:val="2"/>
            <w:vMerge/>
          </w:tcPr>
          <w:p/>
        </w:tc>
        <w:tc>
          <w:tcPr>
            <w:tcW w:type="dxa" w:w="2307"/>
          </w:tcPr>
          <w:p>
            <w:pPr>
              <w:pStyle w:val="null3"/>
              <w:jc w:val="left"/>
            </w:pPr>
            <w:r>
              <w:rPr/>
              <w:t>质保期 (5.0分)</w:t>
            </w:r>
          </w:p>
        </w:tc>
        <w:tc>
          <w:tcPr>
            <w:tcW w:type="dxa" w:w="5076"/>
          </w:tcPr>
          <w:p>
            <w:pPr>
              <w:pStyle w:val="null3"/>
              <w:jc w:val="left"/>
            </w:pPr>
            <w:r>
              <w:rPr/>
              <w:t>在满足采购需求要求的质保期（3年）的基础上，投标人承诺所投产品的质保期每增加一年的，得2.5分，最高得5分。 注：需提供承诺或声明，格式自拟。</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2022年1月1日至今投标人具有同类项目供货的业绩【应同时满足以下条件：（1）以投标人名义签订；（2）合同标的至少包括灯盘或灯管或单控开关等类似产品的】，每具有一个项目业绩的，得1分，满分10分。 注：提供合同复印件，以签订合同的时间为准，未提供则不得分。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上述有效计分的“同类项目业绩”的项目获得用户单位出具的满意度良好（或同等评价的）的评价证明，每一个评价得0.5分，本项最高得5分。 注：提供用户单位出具的评价证明复印件，不提供不得分。同一用户单位出具多个用户评价的不重复计分。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br/>
      </w:r>
    </w:p>
    <w:p>
      <w:pPr>
        <w:pStyle w:val="null3"/>
        <w:jc w:val="both"/>
      </w:pPr>
      <w:r>
        <w:rPr>
          <w:sz w:val="21"/>
        </w:rPr>
        <w:t>采购系统编号</w:t>
      </w:r>
    </w:p>
    <w:p>
      <w:pPr>
        <w:pStyle w:val="null3"/>
        <w:jc w:val="both"/>
      </w:pPr>
      <w:r>
        <w:rPr>
          <w:sz w:val="21"/>
          <w:u w:val="single"/>
        </w:rPr>
        <w:t>***</w:t>
      </w:r>
      <w:r>
        <w:rPr>
          <w:sz w:val="21"/>
        </w:rPr>
        <w:t>学院</w:t>
      </w:r>
    </w:p>
    <w:p>
      <w:pPr>
        <w:pStyle w:val="null3"/>
        <w:spacing w:before="150" w:after="315"/>
        <w:ind w:left="420"/>
        <w:jc w:val="center"/>
      </w:pPr>
      <w:r>
        <w:rPr>
          <w:sz w:val="21"/>
          <w:b/>
        </w:rPr>
        <w:t>设备采购合同（国内货物）</w:t>
      </w:r>
    </w:p>
    <w:p>
      <w:pPr>
        <w:pStyle w:val="null3"/>
        <w:spacing w:before="150" w:after="315"/>
        <w:ind w:left="-135"/>
        <w:jc w:val="center"/>
      </w:pPr>
      <w:r>
        <w:rPr>
          <w:sz w:val="21"/>
          <w:b/>
        </w:rPr>
        <w:t>[合同类型：□政府采购；□学校集中采购；□用户部门零散采购；□科研绿色；□教育部门协议]</w:t>
      </w:r>
    </w:p>
    <w:p>
      <w:pPr>
        <w:pStyle w:val="null3"/>
        <w:jc w:val="both"/>
      </w:pPr>
      <w:r>
        <w:rPr>
          <w:sz w:val="21"/>
        </w:rPr>
        <w:t>甲方（业主）：广东工业大学</w:t>
      </w:r>
      <w:r>
        <w:rPr>
          <w:sz w:val="21"/>
        </w:rPr>
        <w:t xml:space="preserve">                              </w:t>
      </w:r>
    </w:p>
    <w:p>
      <w:pPr>
        <w:pStyle w:val="null3"/>
        <w:jc w:val="both"/>
      </w:pPr>
      <w:r>
        <w:rPr>
          <w:sz w:val="21"/>
        </w:rPr>
        <w:t>乙方（中标人）：</w:t>
      </w:r>
      <w:r>
        <w:rPr>
          <w:sz w:val="21"/>
          <w:u w:val="single"/>
        </w:rPr>
        <w:t>*********</w:t>
      </w:r>
      <w:r>
        <w:rPr>
          <w:sz w:val="21"/>
        </w:rPr>
        <w:t>公司</w:t>
      </w:r>
      <w:r>
        <w:rPr>
          <w:sz w:val="21"/>
        </w:rPr>
        <w:t xml:space="preserve">                       </w:t>
      </w:r>
    </w:p>
    <w:p>
      <w:pPr>
        <w:pStyle w:val="null3"/>
        <w:jc w:val="both"/>
      </w:pPr>
      <w:r>
        <w:rPr>
          <w:sz w:val="21"/>
        </w:rPr>
        <w:t>签订地点：广州市</w:t>
      </w:r>
    </w:p>
    <w:p>
      <w:pPr>
        <w:pStyle w:val="null3"/>
        <w:ind w:firstLine="210"/>
        <w:jc w:val="both"/>
      </w:pPr>
      <w:r>
        <w:rPr>
          <w:sz w:val="21"/>
        </w:rPr>
        <w:t>根据</w:t>
      </w:r>
      <w:r>
        <w:rPr>
          <w:sz w:val="21"/>
        </w:rPr>
        <w:t>***招标/采购机构的*****项目的招标/采购文件[编号****]、乙方针对该项目的投标/响应文件及20**年**月**日的中标/成交结果通知书，按照中华人民共和国[《民法典》；□《政府采购法》]的规定，本着平等互利和诚实信用的原则，一致同意签订本合同。</w:t>
      </w:r>
    </w:p>
    <w:p>
      <w:pPr>
        <w:pStyle w:val="null3"/>
        <w:spacing w:before="150"/>
        <w:jc w:val="both"/>
      </w:pPr>
      <w:r>
        <w:rPr>
          <w:sz w:val="21"/>
          <w:b/>
        </w:rPr>
        <w:t>一、货物及价格</w:t>
      </w:r>
      <w:r>
        <w:rPr>
          <w:sz w:val="21"/>
          <w:b/>
        </w:rPr>
        <w:t>(详细配置清单及技术指标见附件)</w:t>
      </w:r>
    </w:p>
    <w:tbl>
      <w:tblPr>
        <w:tblW w:w="0" w:type="auto"/>
        <w:tblBorders>
          <w:top w:val="none" w:color="000000" w:sz="4"/>
          <w:left w:val="none" w:color="000000" w:sz="4"/>
          <w:bottom w:val="none" w:color="000000" w:sz="4"/>
          <w:right w:val="none" w:color="000000" w:sz="4"/>
          <w:insideH w:val="none"/>
          <w:insideV w:val="none"/>
        </w:tblBorders>
      </w:tblPr>
      <w:tblGrid>
        <w:gridCol w:w="612"/>
        <w:gridCol w:w="1463"/>
        <w:gridCol w:w="1463"/>
        <w:gridCol w:w="1350"/>
        <w:gridCol w:w="600"/>
        <w:gridCol w:w="600"/>
        <w:gridCol w:w="1013"/>
        <w:gridCol w:w="1175"/>
      </w:tblGrid>
      <w:tr>
        <w:tc>
          <w:tcPr>
            <w:tcW w:type="dxa" w:w="612"/>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6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146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r>
              <w:rPr>
                <w:sz w:val="21"/>
                <w:b/>
              </w:rPr>
              <w:t>/规格</w:t>
            </w:r>
          </w:p>
        </w:tc>
        <w:tc>
          <w:tcPr>
            <w:tcW w:type="dxa" w:w="135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r>
              <w:rPr>
                <w:sz w:val="21"/>
                <w:b/>
              </w:rPr>
              <w:t>/产地</w:t>
            </w:r>
          </w:p>
        </w:tc>
        <w:tc>
          <w:tcPr>
            <w:tcW w:type="dxa" w:w="60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600"/>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1013"/>
            <w:tcBorders>
              <w:top w:val="doub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(元)</w:t>
            </w:r>
          </w:p>
        </w:tc>
        <w:tc>
          <w:tcPr>
            <w:tcW w:type="dxa" w:w="1175"/>
            <w:tcBorders>
              <w:top w:val="doub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b/>
              </w:rPr>
              <w:t>总价</w:t>
            </w:r>
            <w:r>
              <w:rPr>
                <w:sz w:val="21"/>
                <w:b/>
              </w:rPr>
              <w:t>(元)</w:t>
            </w:r>
          </w:p>
        </w:tc>
      </w:tr>
      <w:tr>
        <w:tc>
          <w:tcPr>
            <w:tcW w:type="dxa" w:w="612"/>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612"/>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61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75"/>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tc>
      </w:tr>
      <w:tr>
        <w:tc>
          <w:tcPr>
            <w:tcW w:type="dxa" w:w="8276"/>
            <w:gridSpan w:val="8"/>
            <w:tcBorders>
              <w:top w:val="none" w:color="000000" w:sz="4"/>
              <w:left w:val="double" w:color="000000" w:sz="4"/>
              <w:bottom w:val="double" w:color="000000" w:sz="4"/>
              <w:right w:val="double" w:color="000000" w:sz="4"/>
            </w:tcBorders>
            <w:tcMar>
              <w:top w:type="dxa" w:w="0"/>
              <w:left w:type="dxa" w:w="105"/>
              <w:bottom w:type="dxa" w:w="0"/>
              <w:right w:type="dxa" w:w="105"/>
            </w:tcMar>
            <w:vAlign w:val="top"/>
          </w:tcPr>
          <w:p>
            <w:pPr>
              <w:pStyle w:val="null3"/>
              <w:jc w:val="left"/>
            </w:pPr>
            <w:r>
              <w:rPr>
                <w:sz w:val="21"/>
                <w:b/>
              </w:rPr>
              <w:t>总金额（人民币）：</w:t>
            </w:r>
            <w:r>
              <w:rPr>
                <w:sz w:val="21"/>
                <w:b/>
              </w:rPr>
              <w:t>*仟*佰*拾*万*仟*佰*拾*元整（¥*******）</w:t>
            </w:r>
          </w:p>
        </w:tc>
      </w:tr>
    </w:tbl>
    <w:p>
      <w:pPr>
        <w:pStyle w:val="null3"/>
        <w:ind w:firstLine="420"/>
        <w:jc w:val="both"/>
      </w:pPr>
      <w:r>
        <w:rPr>
          <w:sz w:val="21"/>
        </w:rPr>
        <w:t>上述合同总金额为完成项目的全包价，包括但不限于购买货物、保险运输、装卸进场、安装调试、产品检测、产品验收、培训验收、售后服务等费用、各项税费及合同实施过程中不可预见费用等。除合同明确约定的费用外，甲方无需支付任何额外费用和承担任何额外义务。</w:t>
      </w:r>
    </w:p>
    <w:p>
      <w:pPr>
        <w:pStyle w:val="null3"/>
        <w:spacing w:before="150"/>
        <w:jc w:val="both"/>
      </w:pPr>
      <w:r>
        <w:rPr>
          <w:sz w:val="21"/>
          <w:b/>
        </w:rPr>
        <w:t>二、货物质量要求</w:t>
      </w:r>
    </w:p>
    <w:p>
      <w:pPr>
        <w:pStyle w:val="null3"/>
        <w:ind w:firstLine="420"/>
        <w:jc w:val="both"/>
      </w:pPr>
      <w:r>
        <w:rPr>
          <w:sz w:val="21"/>
        </w:rPr>
        <w:t>1.乙方提供的货物必须符合中华人民共和国国家标准、行业标准、地方标准、货物生产商的产品质量标准、有关部门制定的相关技术规范、符合产品说明书表明的质量状况和使用性能、国家规定的安全和环保要求（该等标准不一致的，以较高为准）</w:t>
      </w:r>
      <w:r>
        <w:rPr>
          <w:sz w:val="21"/>
        </w:rPr>
        <w:t>。</w:t>
      </w:r>
    </w:p>
    <w:p>
      <w:pPr>
        <w:pStyle w:val="null3"/>
        <w:ind w:firstLine="420"/>
        <w:jc w:val="both"/>
      </w:pPr>
      <w:r>
        <w:rPr>
          <w:sz w:val="21"/>
        </w:rPr>
        <w:t>2.乙方提供的货物必须是原厂原装全新正版产品（含零部件、配件、随机工具等），包装外观完好、表面无划伤无破损、附件齐全，整机无污染、无任何缺陷隐患，序列号、包装箱号与出厂批号一致，并可追索查阅。国内货物则必须具备出厂合格证，所有货物在中国境内可依常规安全合法使用。</w:t>
      </w:r>
    </w:p>
    <w:p>
      <w:pPr>
        <w:pStyle w:val="null3"/>
        <w:ind w:firstLine="420"/>
        <w:jc w:val="both"/>
      </w:pPr>
      <w:r>
        <w:rPr>
          <w:sz w:val="21"/>
        </w:rPr>
        <w:t>3.乙方对提供的货物提供</w:t>
      </w:r>
      <w:r>
        <w:rPr>
          <w:sz w:val="21"/>
          <w:u w:val="single"/>
        </w:rPr>
        <w:t>****</w:t>
      </w:r>
      <w:r>
        <w:rPr>
          <w:sz w:val="21"/>
        </w:rPr>
        <w:t>年的质量保证期。货物在质量保证期内被证明有缺陷，包括内在缺陷或使用不适当原材料，或者货物在维保期内维修超过</w:t>
      </w:r>
      <w:r>
        <w:rPr>
          <w:sz w:val="21"/>
        </w:rPr>
        <w:t>3次，仍达不到合同要求，乙方应予退换货。</w:t>
      </w:r>
    </w:p>
    <w:p>
      <w:pPr>
        <w:pStyle w:val="null3"/>
        <w:ind w:firstLine="420"/>
        <w:jc w:val="both"/>
      </w:pPr>
      <w:r>
        <w:rPr>
          <w:sz w:val="21"/>
        </w:rPr>
        <w:t>4.乙方保证提供货物安全，包括技术和质量安全，非因甲方人员原因，货物造成的人身、财产损害，由乙方承担全部责任。</w:t>
      </w:r>
    </w:p>
    <w:p>
      <w:pPr>
        <w:pStyle w:val="null3"/>
        <w:spacing w:before="150"/>
        <w:jc w:val="both"/>
      </w:pPr>
      <w:r>
        <w:rPr>
          <w:sz w:val="21"/>
          <w:b/>
        </w:rPr>
        <w:t>三、交货期及交货地点</w:t>
      </w:r>
    </w:p>
    <w:p>
      <w:pPr>
        <w:pStyle w:val="null3"/>
        <w:ind w:firstLine="420"/>
        <w:jc w:val="both"/>
      </w:pPr>
      <w:r>
        <w:rPr>
          <w:sz w:val="21"/>
        </w:rPr>
        <w:t>1.交货时间：</w:t>
      </w:r>
      <w:r>
        <w:rPr>
          <w:sz w:val="21"/>
        </w:rPr>
        <w:t>合同生效</w:t>
      </w:r>
      <w:r>
        <w:rPr>
          <w:sz w:val="21"/>
          <w:u w:val="single"/>
        </w:rPr>
        <w:t>****</w:t>
      </w:r>
      <w:r>
        <w:rPr>
          <w:sz w:val="21"/>
        </w:rPr>
        <w:t>天内乙方完成货物</w:t>
      </w:r>
      <w:r>
        <w:rPr>
          <w:sz w:val="21"/>
        </w:rPr>
        <w:t>安装调试并交付使用。</w:t>
      </w:r>
    </w:p>
    <w:p>
      <w:pPr>
        <w:pStyle w:val="null3"/>
        <w:ind w:firstLine="420"/>
        <w:jc w:val="both"/>
      </w:pPr>
      <w:r>
        <w:rPr>
          <w:sz w:val="21"/>
        </w:rPr>
        <w:t>2.交货地点：甲方</w:t>
      </w:r>
      <w:r>
        <w:rPr>
          <w:sz w:val="21"/>
          <w:u w:val="single"/>
        </w:rPr>
        <w:t>****校区****</w:t>
      </w:r>
      <w:r>
        <w:rPr>
          <w:sz w:val="21"/>
        </w:rPr>
        <w:t>学院。</w:t>
      </w:r>
    </w:p>
    <w:p>
      <w:pPr>
        <w:pStyle w:val="null3"/>
        <w:spacing w:before="150"/>
        <w:jc w:val="both"/>
      </w:pPr>
      <w:r>
        <w:rPr>
          <w:sz w:val="21"/>
          <w:b/>
        </w:rPr>
        <w:t>四、到货检验、安装调试</w:t>
      </w:r>
    </w:p>
    <w:p>
      <w:pPr>
        <w:pStyle w:val="null3"/>
        <w:ind w:firstLine="420"/>
        <w:jc w:val="both"/>
      </w:pPr>
      <w:r>
        <w:rPr>
          <w:sz w:val="21"/>
        </w:rPr>
        <w:t>1.</w:t>
      </w:r>
      <w:r>
        <w:rPr>
          <w:sz w:val="21"/>
        </w:rPr>
        <w:t>货物送到甲方指定地点后，甲乙双方代表同时在场时才能开箱检验。</w:t>
      </w:r>
    </w:p>
    <w:p>
      <w:pPr>
        <w:pStyle w:val="null3"/>
        <w:ind w:firstLine="420"/>
        <w:jc w:val="both"/>
      </w:pPr>
      <w:r>
        <w:rPr>
          <w:sz w:val="21"/>
        </w:rPr>
        <w:t>2.甲乙双方就货物进行的检验包括但不限于名称、品牌、规格、型号、产地、数量外在可视参数。</w:t>
      </w:r>
    </w:p>
    <w:p>
      <w:pPr>
        <w:pStyle w:val="null3"/>
        <w:ind w:firstLine="420"/>
        <w:jc w:val="both"/>
      </w:pPr>
      <w:r>
        <w:rPr>
          <w:sz w:val="21"/>
        </w:rPr>
        <w:t>3.除非甲方另有通知，乙方应按照合同的要求以及合同执行计划的时间安排，派出足够的人员进行现场安装和调试工作，并承担货物安装调试过程所产生的一切费用和责任直至验收合格。</w:t>
      </w:r>
    </w:p>
    <w:p>
      <w:pPr>
        <w:pStyle w:val="null3"/>
        <w:ind w:firstLine="412"/>
        <w:jc w:val="both"/>
      </w:pPr>
      <w:r>
        <w:rPr>
          <w:sz w:val="21"/>
        </w:rPr>
        <w:t>4.乙方必须依照招标文件的要求和报价文件的承诺，将货物安装并调试至正常运行的最佳状态。</w:t>
      </w:r>
    </w:p>
    <w:p>
      <w:pPr>
        <w:pStyle w:val="null3"/>
        <w:spacing w:before="150"/>
        <w:jc w:val="both"/>
      </w:pPr>
      <w:r>
        <w:rPr>
          <w:sz w:val="21"/>
          <w:b/>
        </w:rPr>
        <w:t>五、验收</w:t>
      </w:r>
    </w:p>
    <w:p>
      <w:pPr>
        <w:pStyle w:val="null3"/>
        <w:ind w:firstLine="420"/>
        <w:jc w:val="both"/>
      </w:pPr>
      <w:r>
        <w:rPr>
          <w:sz w:val="21"/>
        </w:rPr>
        <w:t>1.交付验收标准为：按本合同约定的货物及价格、详细配置清单及技术指标、符合采购文件和响应承诺中甲方认可的合理最佳配置、参数及各项要求、国家相关标准和行业规范进行验收（该等标准不一致的，以较高为准）</w:t>
      </w:r>
      <w:r>
        <w:rPr>
          <w:sz w:val="21"/>
        </w:rPr>
        <w:t>。</w:t>
      </w:r>
    </w:p>
    <w:p>
      <w:pPr>
        <w:pStyle w:val="null3"/>
        <w:ind w:firstLine="420"/>
        <w:jc w:val="both"/>
      </w:pPr>
      <w:r>
        <w:rPr>
          <w:sz w:val="21"/>
        </w:rPr>
        <w:t>2.验收流程按甲方规章制度执行，由甲方组成验收小组（含乙方人员）按国家有关规定、规范进行验收，必要时甲方可邀请相关的专业人员或机构参与验收，验收时，甲乙双方必须同时在场，验收完毕后做出验收结果报告。</w:t>
      </w:r>
    </w:p>
    <w:p>
      <w:pPr>
        <w:pStyle w:val="null3"/>
        <w:ind w:firstLine="420"/>
        <w:jc w:val="both"/>
      </w:pPr>
      <w:r>
        <w:rPr>
          <w:sz w:val="21"/>
        </w:rPr>
        <w:t>3.货物安装调试完毕且正常运行后，乙方应向甲方提出书面验收申请，准备并向甲方提交验收文件，本合同项下的全部货物按甲方验收流程验收通过，经甲乙双方签署验收合格证明后，视为验收合格。</w:t>
      </w:r>
    </w:p>
    <w:p>
      <w:pPr>
        <w:pStyle w:val="null3"/>
        <w:ind w:firstLine="420"/>
        <w:jc w:val="both"/>
      </w:pPr>
      <w:r>
        <w:rPr>
          <w:sz w:val="21"/>
        </w:rPr>
        <w:t>4.验收合格后，乙方应将货物的用户手册、保修手册、有关单证资料及配备件、随机工具等交付给甲方，使用操作及安全须知等重要资料应附有中文说明。前述资料物品交付完毕当日，视为合同货物完成交付。</w:t>
      </w:r>
    </w:p>
    <w:p>
      <w:pPr>
        <w:pStyle w:val="null3"/>
        <w:ind w:firstLine="420"/>
        <w:jc w:val="both"/>
      </w:pPr>
      <w:r>
        <w:rPr>
          <w:sz w:val="21"/>
        </w:rPr>
        <w:t>5.乙方交货前应对产品做出全面检查和对验收文件进行整理，并列出清单，作为甲方收货验收和使用的技术条件依据，检验的结果应随货交甲方。</w:t>
      </w:r>
    </w:p>
    <w:p>
      <w:pPr>
        <w:pStyle w:val="null3"/>
        <w:ind w:firstLine="420"/>
        <w:jc w:val="both"/>
      </w:pPr>
      <w:r>
        <w:rPr>
          <w:sz w:val="21"/>
        </w:rPr>
        <w:t xml:space="preserve">6.甲方收货验收并不免除乙方对合同产品质量应当承担的责任，如果甲方在使用或含有合同产品的产品时发现因合同产品在设计、安装、制造、材料、工艺等方面的缺陷导致的任何质量问题，乙方仍应承担责任。  </w:t>
      </w:r>
    </w:p>
    <w:p>
      <w:pPr>
        <w:pStyle w:val="null3"/>
        <w:ind w:firstLine="420"/>
        <w:jc w:val="both"/>
      </w:pPr>
      <w:r>
        <w:rPr>
          <w:sz w:val="21"/>
        </w:rPr>
        <w:t>7.如本合同所采购的产品因其自身特点导致甲方无法在验收当时发现其质量问题、设计、安装、制造、材料、工艺等缺陷，则甲方应享有合理的适用或测试使用期间，如在该期间内发现上述产品问题，则乙方应无条件为甲方提供换货或退货处理，在此种情况下乙方无权以甲方已签收作为已交付合格产品的抗辩。</w:t>
      </w:r>
    </w:p>
    <w:p>
      <w:pPr>
        <w:pStyle w:val="null3"/>
        <w:ind w:firstLine="420"/>
        <w:jc w:val="both"/>
      </w:pPr>
      <w:r>
        <w:rPr>
          <w:sz w:val="21"/>
        </w:rPr>
        <w:t>8.因本合同产品质量存在缺陷造成人身、财产损害或者给甲方造成不良影响的，甲方有权要求乙方单独承担赔偿责任，乙方不得以非实际责任人进行抗辩，但乙方有权在赔偿后向生产者或其他实际责任人追偿。</w:t>
      </w:r>
    </w:p>
    <w:p>
      <w:pPr>
        <w:pStyle w:val="null3"/>
        <w:spacing w:before="150"/>
        <w:jc w:val="both"/>
      </w:pPr>
      <w:r>
        <w:rPr>
          <w:sz w:val="21"/>
          <w:b/>
        </w:rPr>
        <w:t>六、</w:t>
      </w:r>
      <w:r>
        <w:rPr>
          <w:sz w:val="21"/>
          <w:b/>
          <w:color w:val="000000"/>
        </w:rPr>
        <w:t>付款</w:t>
      </w:r>
      <w:r>
        <w:rPr>
          <w:sz w:val="21"/>
          <w:b/>
          <w:color w:val="000000"/>
        </w:rPr>
        <w:t>及履约保证金</w:t>
      </w:r>
    </w:p>
    <w:p>
      <w:pPr>
        <w:pStyle w:val="null3"/>
        <w:ind w:left="210"/>
        <w:jc w:val="both"/>
      </w:pPr>
      <w:r>
        <w:rPr>
          <w:sz w:val="21"/>
          <w:color w:val="000000"/>
        </w:rPr>
        <w:t>（一）付款：</w:t>
      </w:r>
      <w:r>
        <w:br/>
      </w:r>
      <w:r>
        <w:rPr>
          <w:sz w:val="21"/>
        </w:rPr>
        <w:t>1期：支付比例：40%；</w:t>
      </w:r>
      <w:r>
        <w:br/>
      </w:r>
      <w:r>
        <w:rPr>
          <w:sz w:val="21"/>
        </w:rPr>
        <w:t>（</w:t>
      </w:r>
      <w:r>
        <w:rPr>
          <w:sz w:val="21"/>
        </w:rPr>
        <w:t>1）政府采购合同签订后，</w:t>
      </w:r>
      <w:r>
        <w:rPr>
          <w:sz w:val="21"/>
        </w:rPr>
        <w:t>乙方</w:t>
      </w:r>
      <w:r>
        <w:rPr>
          <w:sz w:val="21"/>
        </w:rPr>
        <w:t>提供具体的施工计划、人员进场后，</w:t>
      </w:r>
      <w:r>
        <w:rPr>
          <w:sz w:val="21"/>
        </w:rPr>
        <w:t>甲方</w:t>
      </w:r>
      <w:r>
        <w:rPr>
          <w:sz w:val="21"/>
        </w:rPr>
        <w:t>在</w:t>
      </w:r>
      <w:r>
        <w:rPr>
          <w:sz w:val="21"/>
        </w:rPr>
        <w:t>5个工作日内向</w:t>
      </w:r>
      <w:r>
        <w:rPr>
          <w:sz w:val="21"/>
        </w:rPr>
        <w:t>乙方</w:t>
      </w:r>
      <w:r>
        <w:rPr>
          <w:sz w:val="21"/>
        </w:rPr>
        <w:t>支付合同总金额的</w:t>
      </w:r>
      <w:r>
        <w:rPr>
          <w:sz w:val="21"/>
        </w:rPr>
        <w:t>40%。</w:t>
      </w:r>
      <w:r>
        <w:br/>
      </w:r>
      <w:r>
        <w:rPr>
          <w:sz w:val="21"/>
        </w:rPr>
        <w:t>（</w:t>
      </w:r>
      <w:r>
        <w:rPr>
          <w:sz w:val="21"/>
        </w:rPr>
        <w:t>2）</w:t>
      </w:r>
      <w:r>
        <w:rPr>
          <w:sz w:val="21"/>
        </w:rPr>
        <w:t>乙方</w:t>
      </w:r>
      <w:r>
        <w:rPr>
          <w:sz w:val="21"/>
        </w:rPr>
        <w:t>需在项目质保期内正常履行合同义务，由此产生的一切费用均由</w:t>
      </w:r>
      <w:r>
        <w:rPr>
          <w:sz w:val="21"/>
        </w:rPr>
        <w:t>乙方</w:t>
      </w:r>
      <w:r>
        <w:rPr>
          <w:sz w:val="21"/>
        </w:rPr>
        <w:t>自行承担。</w:t>
      </w:r>
      <w:r>
        <w:rPr>
          <w:sz w:val="21"/>
        </w:rPr>
        <w:t>乙方</w:t>
      </w:r>
      <w:r>
        <w:rPr>
          <w:sz w:val="21"/>
        </w:rPr>
        <w:t>需提供以下证明材料办理付款：</w:t>
      </w:r>
      <w:r>
        <w:rPr>
          <w:sz w:val="21"/>
        </w:rPr>
        <w:t>①合同； ②</w:t>
      </w:r>
      <w:r>
        <w:rPr>
          <w:sz w:val="21"/>
        </w:rPr>
        <w:t>乙方</w:t>
      </w:r>
      <w:r>
        <w:rPr>
          <w:sz w:val="21"/>
        </w:rPr>
        <w:t>开具的正式发票；</w:t>
      </w:r>
      <w:r>
        <w:rPr>
          <w:sz w:val="21"/>
        </w:rPr>
        <w:t>③验收调试报告（适用于尾款支付）；④中标通知书。</w:t>
      </w:r>
    </w:p>
    <w:p>
      <w:pPr>
        <w:pStyle w:val="null3"/>
        <w:ind w:left="210"/>
        <w:jc w:val="both"/>
      </w:pPr>
      <w:r>
        <w:rPr>
          <w:sz w:val="21"/>
        </w:rPr>
        <w:t>2期：支付比例：60%；</w:t>
      </w:r>
      <w:r>
        <w:br/>
      </w:r>
      <w:r>
        <w:rPr>
          <w:sz w:val="21"/>
        </w:rPr>
        <w:t>（</w:t>
      </w:r>
      <w:r>
        <w:rPr>
          <w:sz w:val="21"/>
        </w:rPr>
        <w:t>1）安装调试完毕且项目竣工验收合格后，</w:t>
      </w:r>
      <w:r>
        <w:rPr>
          <w:sz w:val="21"/>
        </w:rPr>
        <w:t>甲方</w:t>
      </w:r>
      <w:r>
        <w:rPr>
          <w:sz w:val="21"/>
        </w:rPr>
        <w:t>收到</w:t>
      </w:r>
      <w:r>
        <w:rPr>
          <w:sz w:val="21"/>
        </w:rPr>
        <w:t>乙方</w:t>
      </w:r>
      <w:r>
        <w:rPr>
          <w:sz w:val="21"/>
        </w:rPr>
        <w:t>付款申请后在</w:t>
      </w:r>
      <w:r>
        <w:rPr>
          <w:sz w:val="21"/>
        </w:rPr>
        <w:t>10个工作日内支付至结算总价的100%。</w:t>
      </w:r>
      <w:r>
        <w:br/>
      </w:r>
      <w:r>
        <w:rPr>
          <w:sz w:val="21"/>
        </w:rPr>
        <w:t>（</w:t>
      </w:r>
      <w:r>
        <w:rPr>
          <w:sz w:val="21"/>
        </w:rPr>
        <w:t>2）</w:t>
      </w:r>
      <w:r>
        <w:rPr>
          <w:sz w:val="21"/>
        </w:rPr>
        <w:t>乙方</w:t>
      </w:r>
      <w:r>
        <w:rPr>
          <w:sz w:val="21"/>
        </w:rPr>
        <w:t>需在项目质保期内正常履行合同义务，由此产生的一切费用均由</w:t>
      </w:r>
      <w:r>
        <w:rPr>
          <w:sz w:val="21"/>
        </w:rPr>
        <w:t>乙方</w:t>
      </w:r>
      <w:r>
        <w:rPr>
          <w:sz w:val="21"/>
        </w:rPr>
        <w:t>自行承担。</w:t>
      </w:r>
      <w:r>
        <w:rPr>
          <w:sz w:val="21"/>
        </w:rPr>
        <w:t>乙方</w:t>
      </w:r>
      <w:r>
        <w:rPr>
          <w:sz w:val="21"/>
        </w:rPr>
        <w:t>需提供以下证明材料办理付款：</w:t>
      </w:r>
      <w:r>
        <w:rPr>
          <w:sz w:val="21"/>
        </w:rPr>
        <w:t>①合同； ②</w:t>
      </w:r>
      <w:r>
        <w:rPr>
          <w:sz w:val="21"/>
        </w:rPr>
        <w:t>乙方</w:t>
      </w:r>
      <w:r>
        <w:rPr>
          <w:sz w:val="21"/>
        </w:rPr>
        <w:t>开具的正式发票；</w:t>
      </w:r>
      <w:r>
        <w:rPr>
          <w:sz w:val="21"/>
        </w:rPr>
        <w:t>③验收调试报告（适用于尾款支付）；④中标通知书。</w:t>
      </w:r>
      <w:r>
        <w:br/>
      </w:r>
      <w:r>
        <w:rPr>
          <w:sz w:val="21"/>
          <w:color w:val="000000"/>
        </w:rPr>
        <w:t>（二）履约保证金：</w:t>
      </w:r>
      <w:r>
        <w:rPr>
          <w:sz w:val="21"/>
          <w:color w:val="000000"/>
        </w:rPr>
        <w:t>乙</w:t>
      </w:r>
      <w:r>
        <w:rPr>
          <w:sz w:val="21"/>
        </w:rPr>
        <w:t>方</w:t>
      </w:r>
      <w:r>
        <w:rPr>
          <w:sz w:val="21"/>
        </w:rPr>
        <w:t>应在合同签订后</w:t>
      </w:r>
      <w:r>
        <w:rPr>
          <w:sz w:val="21"/>
        </w:rPr>
        <w:t>5个工作日内，向</w:t>
      </w:r>
      <w:r>
        <w:rPr>
          <w:sz w:val="21"/>
        </w:rPr>
        <w:t>甲方</w:t>
      </w:r>
      <w:r>
        <w:rPr>
          <w:sz w:val="21"/>
        </w:rPr>
        <w:t>提交合同总金额的</w:t>
      </w:r>
      <w:r>
        <w:rPr>
          <w:sz w:val="21"/>
        </w:rPr>
        <w:t>10%作为履约保证金（当</w:t>
      </w:r>
      <w:r>
        <w:rPr>
          <w:sz w:val="21"/>
        </w:rPr>
        <w:t>乙方</w:t>
      </w:r>
      <w:r>
        <w:rPr>
          <w:sz w:val="21"/>
        </w:rPr>
        <w:t>为中小企业时，则向</w:t>
      </w:r>
      <w:r>
        <w:rPr>
          <w:sz w:val="21"/>
        </w:rPr>
        <w:t>甲方</w:t>
      </w:r>
      <w:r>
        <w:rPr>
          <w:sz w:val="21"/>
        </w:rPr>
        <w:t>提交合同总金额的</w:t>
      </w:r>
      <w:r>
        <w:rPr>
          <w:sz w:val="21"/>
        </w:rPr>
        <w:t>5%作为履约保证金（以中小企业声明函为准），最高不超过人民币XXX万元）。保证金将在货物验收合格且质保期届满后30日内无息退还（无未决索赔或违约行为）。</w:t>
      </w:r>
    </w:p>
    <w:p>
      <w:pPr>
        <w:pStyle w:val="null3"/>
        <w:ind w:left="210"/>
        <w:jc w:val="both"/>
      </w:pPr>
      <w:r>
        <w:rPr>
          <w:sz w:val="21"/>
        </w:rPr>
        <w:t>出现以下情形时，</w:t>
      </w:r>
      <w:r>
        <w:rPr>
          <w:sz w:val="21"/>
        </w:rPr>
        <w:t>甲方</w:t>
      </w:r>
      <w:r>
        <w:rPr>
          <w:sz w:val="21"/>
        </w:rPr>
        <w:t>有权全额或部分扣除履约保证金：</w:t>
      </w:r>
    </w:p>
    <w:p>
      <w:pPr>
        <w:pStyle w:val="null3"/>
        <w:ind w:left="210"/>
        <w:jc w:val="both"/>
      </w:pPr>
      <w:r>
        <w:rPr>
          <w:sz w:val="21"/>
        </w:rPr>
        <w:t>1.</w:t>
      </w:r>
      <w:r>
        <w:rPr>
          <w:sz w:val="21"/>
        </w:rPr>
        <w:t>乙方</w:t>
      </w:r>
      <w:r>
        <w:rPr>
          <w:sz w:val="21"/>
        </w:rPr>
        <w:t>未按合同约定时间交货或提供服务，每延迟</w:t>
      </w:r>
      <w:r>
        <w:rPr>
          <w:sz w:val="21"/>
        </w:rPr>
        <w:t>1日扣除0.5%（不超过保证金总额的20%）；</w:t>
      </w:r>
    </w:p>
    <w:p>
      <w:pPr>
        <w:pStyle w:val="null3"/>
        <w:ind w:left="210"/>
        <w:jc w:val="both"/>
      </w:pPr>
      <w:r>
        <w:rPr>
          <w:sz w:val="21"/>
        </w:rPr>
        <w:t>2.货物质量未达到技术标准（如不良率≥30%），且未按期更换；</w:t>
      </w:r>
    </w:p>
    <w:p>
      <w:pPr>
        <w:pStyle w:val="null3"/>
        <w:ind w:left="210"/>
        <w:jc w:val="both"/>
      </w:pPr>
      <w:r>
        <w:rPr>
          <w:sz w:val="21"/>
        </w:rPr>
        <w:t>3.其他实质性违约行为（如擅自更换原材料、虚假验收等）。</w:t>
      </w:r>
      <w:r>
        <w:br/>
      </w:r>
      <w:r>
        <w:rPr>
          <w:sz w:val="21"/>
          <w:b/>
        </w:rPr>
        <w:t>七、培训及售后服务</w:t>
      </w:r>
    </w:p>
    <w:p>
      <w:pPr>
        <w:pStyle w:val="null3"/>
        <w:ind w:firstLine="420"/>
        <w:jc w:val="both"/>
      </w:pPr>
      <w:r>
        <w:rPr>
          <w:sz w:val="21"/>
        </w:rPr>
        <w:t>1.乙方负责甲方使用人员的使用操作技术及维护技术的培训直至其能熟练、独立操作，具体培训内容和时间安排由双方协商确定。</w:t>
      </w:r>
    </w:p>
    <w:p>
      <w:pPr>
        <w:pStyle w:val="null3"/>
        <w:ind w:firstLine="420"/>
        <w:jc w:val="both"/>
      </w:pPr>
      <w:r>
        <w:rPr>
          <w:sz w:val="21"/>
        </w:rPr>
        <w:t>2.所有货物保修期为</w:t>
      </w:r>
      <w:r>
        <w:rPr>
          <w:sz w:val="21"/>
          <w:u w:val="single"/>
        </w:rPr>
        <w:t>****</w:t>
      </w:r>
      <w:r>
        <w:rPr>
          <w:sz w:val="21"/>
        </w:rPr>
        <w:t>年，乙方提供免费</w:t>
      </w:r>
      <w:r>
        <w:rPr>
          <w:sz w:val="21"/>
          <w:u w:val="single"/>
        </w:rPr>
        <w:t>****</w:t>
      </w:r>
      <w:r>
        <w:rPr>
          <w:sz w:val="21"/>
        </w:rPr>
        <w:t>年上门保修服务和系统维护，乙方不再收取任何费用，保修期自甲乙双方代表在货物安装调试后的验收证明文件上签字之日起计算。</w:t>
      </w:r>
    </w:p>
    <w:p>
      <w:pPr>
        <w:pStyle w:val="null3"/>
        <w:ind w:firstLine="420"/>
        <w:jc w:val="both"/>
      </w:pPr>
      <w:r>
        <w:rPr>
          <w:sz w:val="21"/>
        </w:rPr>
        <w:t>3.保修期内，货物或零部件因质量原因出现故障而造成短期停用时，则保修期和免费维修期相应顺延。如停用时间累计超过60天则保修期重新计算。</w:t>
      </w:r>
    </w:p>
    <w:p>
      <w:pPr>
        <w:pStyle w:val="null3"/>
        <w:ind w:firstLine="420"/>
        <w:jc w:val="both"/>
      </w:pPr>
      <w:r>
        <w:rPr>
          <w:sz w:val="21"/>
        </w:rPr>
        <w:t>4.保修期内，货物如非甲方人为原因而出现的问题由乙方负责包修、包换或包退，并承担修理、调换或退货的实际费用。如果货物同一硬件一个月内连续2次出现同一故障时，乙方须无偿更换全新货物。</w:t>
      </w:r>
    </w:p>
    <w:p>
      <w:pPr>
        <w:pStyle w:val="null3"/>
        <w:ind w:firstLine="420"/>
        <w:jc w:val="both"/>
      </w:pPr>
      <w:r>
        <w:rPr>
          <w:sz w:val="21"/>
        </w:rPr>
        <w:t>5.货物故障报修的响应时间为2小时，且在8小时内（连同前面时间计算）到达现场，24 小时内处理完毕。规定时间内未处理完毕的，乙方在48小时内提供不低于同等档次的替代货物供用户使用至故障消除为止。</w:t>
      </w:r>
    </w:p>
    <w:p>
      <w:pPr>
        <w:pStyle w:val="null3"/>
        <w:ind w:firstLine="420"/>
        <w:jc w:val="both"/>
      </w:pPr>
      <w:r>
        <w:rPr>
          <w:sz w:val="21"/>
        </w:rPr>
        <w:t>6.保修期内，货物如非甲方人为原因而出现的问题由乙方负责包修、包换或包退，并承担修理、调换或退货的实际费用。如果货物同一硬件一个月内连续2次出现同一故障时，提出明确解决方案。</w:t>
      </w:r>
    </w:p>
    <w:p>
      <w:pPr>
        <w:pStyle w:val="null3"/>
        <w:ind w:firstLine="420"/>
        <w:jc w:val="both"/>
      </w:pPr>
      <w:r>
        <w:rPr>
          <w:sz w:val="21"/>
        </w:rPr>
        <w:t>7.货物故障报修的响应时间为2小时，且在8小时内（连同前面时间计算）到达现场，24 小时内处理完毕。规定时间内未处理完毕的，乙方在48小时内提出明确解决方案。</w:t>
      </w:r>
    </w:p>
    <w:p>
      <w:pPr>
        <w:pStyle w:val="null3"/>
        <w:ind w:firstLine="420"/>
        <w:jc w:val="both"/>
      </w:pPr>
      <w:r>
        <w:rPr>
          <w:sz w:val="21"/>
        </w:rPr>
        <w:t xml:space="preserve">8.负责维修的单位名称：  </w:t>
      </w:r>
      <w:r>
        <w:rPr>
          <w:sz w:val="21"/>
          <w:u w:val="single"/>
        </w:rPr>
        <w:t>****</w:t>
      </w:r>
      <w:r>
        <w:rPr>
          <w:sz w:val="21"/>
        </w:rPr>
        <w:t>公司</w:t>
      </w:r>
    </w:p>
    <w:p>
      <w:pPr>
        <w:pStyle w:val="null3"/>
        <w:ind w:firstLine="630"/>
        <w:jc w:val="both"/>
      </w:pPr>
      <w:r>
        <w:rPr>
          <w:sz w:val="21"/>
        </w:rPr>
        <w:t>地</w:t>
      </w:r>
      <w:r>
        <w:rPr>
          <w:sz w:val="21"/>
        </w:rPr>
        <w:t xml:space="preserve">             </w:t>
      </w:r>
      <w:r>
        <w:rPr>
          <w:sz w:val="21"/>
        </w:rPr>
        <w:t>址：</w:t>
      </w:r>
      <w:r>
        <w:rPr>
          <w:sz w:val="21"/>
        </w:rPr>
        <w:t xml:space="preserve">  </w:t>
      </w:r>
      <w:r>
        <w:rPr>
          <w:sz w:val="21"/>
          <w:u w:val="single"/>
        </w:rPr>
        <w:t>****</w:t>
      </w:r>
      <w:r>
        <w:rPr>
          <w:sz w:val="21"/>
        </w:rPr>
        <w:t>市</w:t>
      </w:r>
      <w:r>
        <w:rPr>
          <w:sz w:val="21"/>
          <w:u w:val="single"/>
        </w:rPr>
        <w:t>****</w:t>
      </w:r>
      <w:r>
        <w:rPr>
          <w:sz w:val="21"/>
        </w:rPr>
        <w:t>路</w:t>
      </w:r>
      <w:r>
        <w:rPr>
          <w:sz w:val="21"/>
          <w:u w:val="single"/>
        </w:rPr>
        <w:t>****</w:t>
      </w:r>
      <w:r>
        <w:rPr>
          <w:sz w:val="21"/>
        </w:rPr>
        <w:t>号</w:t>
      </w:r>
      <w:r>
        <w:rPr>
          <w:sz w:val="21"/>
          <w:u w:val="single"/>
        </w:rPr>
        <w:t>****</w:t>
      </w:r>
      <w:r>
        <w:rPr>
          <w:sz w:val="21"/>
        </w:rPr>
        <w:t>室</w:t>
      </w:r>
    </w:p>
    <w:p>
      <w:pPr>
        <w:pStyle w:val="null3"/>
        <w:ind w:firstLine="630"/>
        <w:jc w:val="both"/>
      </w:pPr>
      <w:r>
        <w:rPr>
          <w:sz w:val="21"/>
        </w:rPr>
        <w:t>联</w:t>
      </w:r>
      <w:r>
        <w:rPr>
          <w:sz w:val="21"/>
        </w:rPr>
        <w:t xml:space="preserve">      </w:t>
      </w:r>
      <w:r>
        <w:rPr>
          <w:sz w:val="21"/>
        </w:rPr>
        <w:t>系</w:t>
      </w:r>
      <w:r>
        <w:rPr>
          <w:sz w:val="21"/>
        </w:rPr>
        <w:t xml:space="preserve">     </w:t>
      </w:r>
      <w:r>
        <w:rPr>
          <w:sz w:val="21"/>
        </w:rPr>
        <w:t>人：</w:t>
      </w:r>
      <w:r>
        <w:rPr>
          <w:sz w:val="21"/>
        </w:rPr>
        <w:t xml:space="preserve">   </w:t>
      </w:r>
      <w:r>
        <w:rPr>
          <w:sz w:val="21"/>
          <w:u w:val="single"/>
        </w:rPr>
        <w:t>****</w:t>
      </w:r>
      <w:r>
        <w:rPr>
          <w:sz w:val="21"/>
        </w:rPr>
        <w:t xml:space="preserve">         </w:t>
      </w:r>
    </w:p>
    <w:p>
      <w:pPr>
        <w:pStyle w:val="null3"/>
        <w:ind w:firstLine="630"/>
        <w:jc w:val="both"/>
      </w:pPr>
      <w:r>
        <w:rPr>
          <w:sz w:val="21"/>
        </w:rPr>
        <w:t>电</w:t>
      </w:r>
      <w:r>
        <w:rPr>
          <w:sz w:val="21"/>
        </w:rPr>
        <w:t xml:space="preserve">    </w:t>
      </w:r>
      <w:r>
        <w:rPr>
          <w:sz w:val="21"/>
        </w:rPr>
        <w:t>话：</w:t>
      </w:r>
      <w:r>
        <w:rPr>
          <w:sz w:val="21"/>
        </w:rPr>
        <w:t xml:space="preserve">   </w:t>
      </w:r>
      <w:r>
        <w:rPr>
          <w:sz w:val="21"/>
          <w:u w:val="single"/>
        </w:rPr>
        <w:t>****</w:t>
      </w:r>
      <w:r>
        <w:rPr>
          <w:sz w:val="21"/>
        </w:rPr>
        <w:t xml:space="preserve">  </w:t>
      </w:r>
      <w:r>
        <w:rPr>
          <w:sz w:val="21"/>
        </w:rPr>
        <w:t>手机：</w:t>
      </w:r>
      <w:r>
        <w:rPr>
          <w:sz w:val="21"/>
          <w:u w:val="single"/>
        </w:rPr>
        <w:t>****</w:t>
      </w:r>
      <w:r>
        <w:rPr>
          <w:sz w:val="21"/>
        </w:rPr>
        <w:t xml:space="preserve">   </w:t>
      </w:r>
    </w:p>
    <w:p>
      <w:pPr>
        <w:pStyle w:val="null3"/>
        <w:spacing w:before="150"/>
        <w:jc w:val="both"/>
      </w:pPr>
      <w:r>
        <w:rPr>
          <w:sz w:val="21"/>
          <w:b/>
        </w:rPr>
        <w:t>八、违约责任</w:t>
      </w:r>
    </w:p>
    <w:p>
      <w:pPr>
        <w:pStyle w:val="null3"/>
        <w:ind w:firstLine="420"/>
        <w:jc w:val="both"/>
      </w:pPr>
      <w:r>
        <w:rPr>
          <w:sz w:val="21"/>
        </w:rPr>
        <w:t>1.甲方无正当理由拒收货物，甲方应向乙方赔付拒收部分货物的货款金额5%的违约金。</w:t>
      </w:r>
    </w:p>
    <w:p>
      <w:pPr>
        <w:pStyle w:val="null3"/>
        <w:ind w:firstLine="420"/>
        <w:jc w:val="both"/>
      </w:pPr>
      <w:r>
        <w:rPr>
          <w:sz w:val="21"/>
        </w:rPr>
        <w:t>2.甲方无正当理由逾期支付货款的，经乙方书面催告后仍未在合理期限内支付的，每逾期1天，甲方向乙方赔付欠款总额的3‰的滞纳金，累计滞纳金总额不超过欠款金额的5%。但由于乙方不充分履行合同义务造成甲方逾期支付的情况除外。由于财政拨款不到位而导致甲方逾期付款的，甲方不承担违约责任，并且此情况不能成为乙方延期提供货物及服务的理由。</w:t>
      </w:r>
    </w:p>
    <w:p>
      <w:pPr>
        <w:pStyle w:val="null3"/>
        <w:ind w:firstLine="420"/>
        <w:jc w:val="both"/>
      </w:pPr>
      <w:r>
        <w:rPr>
          <w:sz w:val="21"/>
        </w:rPr>
        <w:t>3.乙方所交付的货物存在与合同约定内容有任何不相符的情况（包括但不限于名称、品牌、规格、型号、产地、数量、技术指标等）均视为乙方违约，甲方有权拒收货物，乙方应支付合同总金额5%的违约金。如甲方同意乙方整改的，乙方除应交纳的前述违约金外，还必须在甲方规定的期限内整改到位（包括但不限于退换货），并承担由此产生的全部费用。如果甲方不同意乙方整改的，视为乙方严重违约，甲方可以单方面解除合同，乙方需要退还甲方已支付的所有款项并赔付合同总金额10%的违约金。</w:t>
      </w:r>
    </w:p>
    <w:p>
      <w:pPr>
        <w:pStyle w:val="null3"/>
        <w:ind w:firstLine="420"/>
        <w:jc w:val="both"/>
      </w:pPr>
      <w:r>
        <w:rPr>
          <w:sz w:val="21"/>
        </w:rPr>
        <w:t>4.乙方逾期交货的，每逾期1天，乙方向甲方赔付逾期交货部分货款金额3‰的滞纳金，累计滞纳金总额不超过合同总金额的5%。乙方逾期交货超过15天，视为乙方严重违约，甲方可以单方面解除合同，乙方需要退还甲方已支付的所有款项并赔付合同总金额10%的违约金。</w:t>
      </w:r>
    </w:p>
    <w:p>
      <w:pPr>
        <w:pStyle w:val="null3"/>
        <w:ind w:firstLine="420"/>
        <w:jc w:val="both"/>
      </w:pPr>
      <w:r>
        <w:rPr>
          <w:sz w:val="21"/>
        </w:rPr>
        <w:t>5.乙方如没有按合同规定履行售后服务承诺，甲方可请第三方单位进行修复，由此造成的包括但不限于第三方的维保费用、甲方的其他经济损失等均由乙方承担，甲方有权直接从履约保证金中扣减。</w:t>
      </w:r>
    </w:p>
    <w:p>
      <w:pPr>
        <w:pStyle w:val="null3"/>
        <w:ind w:firstLine="420"/>
        <w:jc w:val="both"/>
      </w:pPr>
      <w:r>
        <w:rPr>
          <w:sz w:val="21"/>
        </w:rPr>
        <w:t>6.乙方有以下情形之一的，甲方可以单方面解除合同，乙方需退还甲方已支付的所有款项，并按合同总金额10%向甲方赔付违约金，并赔偿甲方的一切损失（包括但不限于赔偿款、律师费、差旅费、公证费、检测费、税费、财产保全担保费等）。具体情形如下：</w:t>
      </w:r>
    </w:p>
    <w:p>
      <w:pPr>
        <w:pStyle w:val="null3"/>
        <w:ind w:firstLine="420"/>
        <w:jc w:val="both"/>
      </w:pPr>
      <w:r>
        <w:rPr>
          <w:sz w:val="21"/>
        </w:rPr>
        <w:t>（</w:t>
      </w:r>
      <w:r>
        <w:rPr>
          <w:sz w:val="21"/>
        </w:rPr>
        <w:t>1）乙方交付的货物存在侵犯他人知识产权、所有权、肖像权、技术秘密、商业秘密或其他任何权益的；</w:t>
      </w:r>
    </w:p>
    <w:p>
      <w:pPr>
        <w:pStyle w:val="null3"/>
        <w:ind w:firstLine="420"/>
        <w:jc w:val="both"/>
      </w:pPr>
      <w:r>
        <w:rPr>
          <w:sz w:val="21"/>
        </w:rPr>
        <w:t>（</w:t>
      </w:r>
      <w:r>
        <w:rPr>
          <w:sz w:val="21"/>
        </w:rPr>
        <w:t>2）乙方履行义务不符合同约定，经甲方提出后在合理期限内仍未整改到位的；</w:t>
      </w:r>
    </w:p>
    <w:p>
      <w:pPr>
        <w:pStyle w:val="null3"/>
        <w:ind w:firstLine="420"/>
        <w:jc w:val="both"/>
      </w:pPr>
      <w:r>
        <w:rPr>
          <w:sz w:val="21"/>
        </w:rPr>
        <w:t>（</w:t>
      </w:r>
      <w:r>
        <w:rPr>
          <w:sz w:val="21"/>
        </w:rPr>
        <w:t>3）未经甲方书面同意，乙方将本合同项下的权利或义务转让，或将本合同项下服务转包或分包的；</w:t>
      </w:r>
    </w:p>
    <w:p>
      <w:pPr>
        <w:pStyle w:val="null3"/>
        <w:ind w:firstLine="567"/>
        <w:jc w:val="both"/>
      </w:pPr>
      <w:r>
        <w:rPr>
          <w:sz w:val="21"/>
        </w:rPr>
        <w:t>（</w:t>
      </w:r>
      <w:r>
        <w:rPr>
          <w:sz w:val="21"/>
        </w:rPr>
        <w:t>4）违反本合同第十条第4点保密责任的；</w:t>
      </w:r>
    </w:p>
    <w:p>
      <w:pPr>
        <w:pStyle w:val="null3"/>
        <w:ind w:firstLine="420"/>
        <w:jc w:val="both"/>
      </w:pPr>
      <w:r>
        <w:rPr>
          <w:sz w:val="21"/>
        </w:rPr>
        <w:t>（</w:t>
      </w:r>
      <w:r>
        <w:rPr>
          <w:sz w:val="21"/>
        </w:rPr>
        <w:t>5）国家法律规定的其合同解除的情形。</w:t>
      </w:r>
    </w:p>
    <w:p>
      <w:pPr>
        <w:pStyle w:val="null3"/>
        <w:ind w:firstLine="420"/>
        <w:jc w:val="both"/>
      </w:pPr>
      <w:r>
        <w:rPr>
          <w:sz w:val="21"/>
        </w:rPr>
        <w:t>7.因乙方原因导致的一切人身、财产损失均由乙方负责赔偿。</w:t>
      </w:r>
    </w:p>
    <w:p>
      <w:pPr>
        <w:pStyle w:val="null3"/>
        <w:spacing w:before="150"/>
        <w:jc w:val="both"/>
      </w:pPr>
      <w:r>
        <w:rPr>
          <w:sz w:val="21"/>
          <w:b/>
        </w:rPr>
        <w:t>九、适用法律与争议解决</w:t>
      </w:r>
    </w:p>
    <w:p>
      <w:pPr>
        <w:pStyle w:val="null3"/>
        <w:ind w:firstLine="420"/>
        <w:jc w:val="both"/>
      </w:pPr>
      <w:r>
        <w:rPr>
          <w:sz w:val="21"/>
        </w:rPr>
        <w:t>1.本合同的成立、有效性、解释、履行、签署、修订和终止以及争议的解决均应适用中华人民共和国法律。</w:t>
      </w:r>
    </w:p>
    <w:p>
      <w:pPr>
        <w:pStyle w:val="null3"/>
        <w:ind w:firstLine="420"/>
        <w:jc w:val="both"/>
      </w:pPr>
      <w:r>
        <w:rPr>
          <w:sz w:val="21"/>
        </w:rPr>
        <w:t>2.因货物的质量问题发生争议，可共同或单方委托质量鉴定单位进行质量鉴定；货物符合质量标准的，鉴定费由甲方承担，货物不符合质量标准的，鉴定费由乙方承担。</w:t>
      </w:r>
    </w:p>
    <w:p>
      <w:pPr>
        <w:pStyle w:val="null3"/>
        <w:ind w:firstLine="420"/>
        <w:jc w:val="both"/>
      </w:pPr>
      <w:r>
        <w:rPr>
          <w:sz w:val="21"/>
        </w:rPr>
        <w:t>3.合同任一方因受不可抗力事件影响导致无法履行合同时，该方可以免责。但是，受不可抗力事件影响的一方须尽快将事件发生情况通知对方，并在不可抗力事件影响消除之日起10个工作日内将由官方机构出具的不可抗力事件证明交给对方。未能提供以上证明的，不能免除违约责任。</w:t>
      </w:r>
    </w:p>
    <w:p>
      <w:pPr>
        <w:pStyle w:val="null3"/>
        <w:ind w:firstLine="420"/>
        <w:jc w:val="both"/>
      </w:pPr>
      <w:r>
        <w:rPr>
          <w:sz w:val="21"/>
        </w:rPr>
        <w:t>4.由于其他非不可抗力因素导致合同无法继续履行时，责任方应及时通知对方办理合同终止协议，并由责任方赔偿对方由此造成的经济损失。</w:t>
      </w:r>
    </w:p>
    <w:p>
      <w:pPr>
        <w:pStyle w:val="null3"/>
        <w:ind w:firstLine="420"/>
        <w:jc w:val="both"/>
      </w:pPr>
      <w:r>
        <w:rPr>
          <w:sz w:val="21"/>
        </w:rPr>
        <w:t>5.凡与本合同有关而引起的一切争议，双方应首先通过友好协商解决。如经协商后仍不能达成协议时，任何一方可以向甲方所在地人民法院提起诉讼。</w:t>
      </w:r>
    </w:p>
    <w:p>
      <w:pPr>
        <w:pStyle w:val="null3"/>
        <w:spacing w:before="150"/>
        <w:jc w:val="both"/>
      </w:pPr>
      <w:r>
        <w:rPr>
          <w:sz w:val="21"/>
          <w:b/>
        </w:rPr>
        <w:t>十、风险转移与保密责任</w:t>
      </w:r>
    </w:p>
    <w:p>
      <w:pPr>
        <w:pStyle w:val="null3"/>
        <w:ind w:firstLine="420"/>
        <w:jc w:val="both"/>
      </w:pPr>
      <w:r>
        <w:rPr>
          <w:sz w:val="21"/>
        </w:rPr>
        <w:t>1.货物毁损、灭失的风险，在验收合格并交付前由乙方承担，在验收合格并交付后由甲方承担。</w:t>
      </w:r>
    </w:p>
    <w:p>
      <w:pPr>
        <w:pStyle w:val="null3"/>
        <w:ind w:firstLine="420"/>
        <w:jc w:val="both"/>
      </w:pPr>
      <w:r>
        <w:rPr>
          <w:sz w:val="21"/>
        </w:rPr>
        <w:t>2.甲方因货物不符合合同约定而拒收的，或者合同解除的，货物的毁损、灭失风险均由乙方承担。</w:t>
      </w:r>
    </w:p>
    <w:p>
      <w:pPr>
        <w:pStyle w:val="null3"/>
        <w:ind w:firstLine="420"/>
        <w:jc w:val="both"/>
      </w:pPr>
      <w:r>
        <w:rPr>
          <w:sz w:val="21"/>
        </w:rPr>
        <w:t>3.产权和风险的转移，不影响甲方追究乙方违约责任的权利。</w:t>
      </w:r>
    </w:p>
    <w:p>
      <w:pPr>
        <w:pStyle w:val="null3"/>
        <w:ind w:firstLine="420"/>
        <w:jc w:val="both"/>
      </w:pPr>
      <w:r>
        <w:rPr>
          <w:sz w:val="21"/>
        </w:rPr>
        <w:t>4.合同双方均应保守通过签订履行本合同而获得的对方之商业及技术秘密，包括本合同文本，相关技术文件、相关数据以及其他有关信息，无论以何种形式或载于何种载体，无论在披露时是否以口头、图像或以书面方式均具有保密性。任何一方违反上述规定的，应赔偿合同守约方的损失。没有甲方事先书面同意，乙方不得将由甲方提供的有关合同或任何合同条文、规格、计划、图纸、样品或资料提供给与履行本合同无关的任何其他人。即使向履行本合同有关的人员提供，也应注意保密并限于履行合同的必需范围。合同范围内如涉及国家机密的，按照《中华人民共和国保守国家秘密法》执行，受中华人民共和国的法律管辖并按照中国的法律进行解释及处理。本保密条款及保密责任不因合同解除或终止而消失。</w:t>
      </w:r>
    </w:p>
    <w:p>
      <w:pPr>
        <w:pStyle w:val="null3"/>
        <w:spacing w:before="150"/>
        <w:jc w:val="both"/>
      </w:pPr>
      <w:r>
        <w:rPr>
          <w:sz w:val="21"/>
          <w:b/>
        </w:rPr>
        <w:t>十一、其他约定条款</w:t>
      </w:r>
    </w:p>
    <w:p>
      <w:pPr>
        <w:pStyle w:val="null3"/>
        <w:ind w:firstLine="420"/>
        <w:jc w:val="both"/>
      </w:pPr>
      <w:r>
        <w:rPr>
          <w:sz w:val="21"/>
        </w:rPr>
        <w:t>1.合同生效：合同经各方授权代表签字并经单位盖章；合同生效日期以后一个签字的日期为准。</w:t>
      </w:r>
    </w:p>
    <w:p>
      <w:pPr>
        <w:pStyle w:val="null3"/>
        <w:ind w:firstLine="420"/>
        <w:jc w:val="both"/>
      </w:pPr>
      <w:r>
        <w:rPr>
          <w:sz w:val="21"/>
        </w:rPr>
        <w:t>2.开标结果通知书、投标文件、招标文件、响应文件、其他补充通知及本合同之所有附件均为组成部分，与本合同具有同样法律效力，解释的顺序以文件生成时间在后的为准。</w:t>
      </w:r>
    </w:p>
    <w:p>
      <w:pPr>
        <w:pStyle w:val="null3"/>
        <w:ind w:firstLine="420"/>
        <w:jc w:val="both"/>
      </w:pPr>
      <w:r>
        <w:rPr>
          <w:sz w:val="21"/>
        </w:rPr>
        <w:t>3.在执行本合同的过程中，所有经甲乙双方签署确认的文件（包括会议纪要、补充协议、合同修改书、往来信函等）均为本合同的有效组成部分，其生效日期为双方均签字盖章或确认之日。</w:t>
      </w:r>
    </w:p>
    <w:p>
      <w:pPr>
        <w:pStyle w:val="null3"/>
        <w:ind w:firstLine="420"/>
        <w:jc w:val="both"/>
      </w:pPr>
      <w:r>
        <w:rPr>
          <w:sz w:val="21"/>
        </w:rPr>
        <w:t>4.合同任一方的名称、地址、电话、银行账号信息有变更，应在变更之日起5日内书面通知对方，未履行书面通知义务的，另一方按原合同信息邮寄相关材料、或通知相关信息、或支付相关款项即视为履行送达义务。合同任一方因公司注销、银行账号注销或冻结等导致无法收到款项的，由该方承担相应后果。</w:t>
      </w:r>
    </w:p>
    <w:p>
      <w:pPr>
        <w:pStyle w:val="null3"/>
        <w:ind w:firstLine="420"/>
        <w:jc w:val="both"/>
      </w:pPr>
      <w:r>
        <w:rPr>
          <w:sz w:val="21"/>
        </w:rPr>
        <w:t>5.在履行合同过程中，乙方的委托代理人、项目联系人、经办人的行为、意思表示及对甲方所作的任何承诺、回复、通知等，都对乙方直接具有约束力；甲方的通知、文书、文件、资料等送达该人时，即视为送达乙方；甲方当面交付上述材料的，在交付之时视为送达；以邮寄方式交付的，寄出、发出或者投邮后即视为送达；通过电子邮件、传真、短信方式通知的，自甲方向乙方发出即视为送达。</w:t>
      </w:r>
    </w:p>
    <w:p>
      <w:pPr>
        <w:pStyle w:val="null3"/>
        <w:ind w:firstLine="420"/>
        <w:jc w:val="both"/>
      </w:pPr>
      <w:r>
        <w:rPr>
          <w:sz w:val="21"/>
        </w:rPr>
        <w:t>6.本合同书一式四份，均为正本，具有同等法律效力，甲方执三份，乙方一份。</w:t>
      </w:r>
    </w:p>
    <w:tbl>
      <w:tblPr>
        <w:tblW w:w="0" w:type="auto"/>
        <w:tblBorders>
          <w:top w:val="none" w:color="000000" w:sz="4"/>
          <w:left w:val="none" w:color="000000" w:sz="4"/>
          <w:bottom w:val="none" w:color="000000" w:sz="4"/>
          <w:right w:val="none" w:color="000000" w:sz="4"/>
          <w:insideH w:val="none"/>
          <w:insideV w:val="none"/>
        </w:tblBorders>
      </w:tblPr>
      <w:tblGrid>
        <w:gridCol w:w="1359"/>
        <w:gridCol w:w="2265"/>
        <w:gridCol w:w="1359"/>
        <w:gridCol w:w="3322"/>
      </w:tblGrid>
      <w:tr>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　　　方：</w:t>
            </w:r>
          </w:p>
        </w:tc>
        <w:tc>
          <w:tcPr>
            <w:tcW w:type="dxa" w:w="2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广东工业大学</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　　　方：</w:t>
            </w:r>
          </w:p>
        </w:tc>
        <w:tc>
          <w:tcPr>
            <w:tcW w:type="dxa" w:w="3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****有限公司</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广州市广州大学城外环西路</w:t>
            </w:r>
            <w:r>
              <w:rPr>
                <w:sz w:val="21"/>
              </w:rPr>
              <w:t>100号</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　　　址：</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****市****路****号****室</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广州市工行三支行</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开户银行：</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3602028909000196985</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银行账号：</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纳税人识别号：</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12440000455860226X</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银行联行号</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12位，必填项</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邱学青</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委托代理人：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项目负责人：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w:t>
            </w:r>
            <w:r>
              <w:rPr>
                <w:sz w:val="21"/>
              </w:rPr>
              <w:t xml:space="preserve">  </w:t>
            </w:r>
            <w:r>
              <w:rPr>
                <w:sz w:val="21"/>
              </w:rPr>
              <w:t>办</w:t>
            </w:r>
            <w:r>
              <w:rPr>
                <w:sz w:val="21"/>
              </w:rPr>
              <w:t xml:space="preserve">  </w:t>
            </w:r>
            <w:r>
              <w:rPr>
                <w:sz w:val="21"/>
              </w:rPr>
              <w:t>人：</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　　</w:t>
            </w:r>
            <w:r>
              <w:rPr>
                <w:sz w:val="21"/>
              </w:rPr>
              <w:t xml:space="preserve">  </w:t>
            </w:r>
            <w:r>
              <w:rPr>
                <w:sz w:val="21"/>
              </w:rPr>
              <w:t>话：</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020-39322383</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w:t>
            </w:r>
            <w:r>
              <w:rPr>
                <w:sz w:val="21"/>
              </w:rPr>
              <w:t xml:space="preserve">      </w:t>
            </w:r>
            <w:r>
              <w:rPr>
                <w:sz w:val="21"/>
              </w:rPr>
              <w:t>话：</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w:t>
            </w:r>
            <w:r>
              <w:rPr>
                <w:sz w:val="21"/>
              </w:rPr>
              <w:t>订</w:t>
            </w:r>
            <w:r>
              <w:rPr>
                <w:sz w:val="21"/>
              </w:rPr>
              <w:t>时</w:t>
            </w:r>
            <w:r>
              <w:rPr>
                <w:sz w:val="21"/>
              </w:rPr>
              <w:t>间：</w:t>
            </w:r>
          </w:p>
        </w:tc>
        <w:tc>
          <w:tcPr>
            <w:tcW w:type="dxa" w:w="2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20  年   月   日</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签</w:t>
            </w:r>
            <w:r>
              <w:rPr>
                <w:sz w:val="21"/>
              </w:rPr>
              <w:t>订</w:t>
            </w:r>
            <w:r>
              <w:rPr>
                <w:sz w:val="21"/>
              </w:rPr>
              <w:t>时</w:t>
            </w:r>
            <w:r>
              <w:rPr>
                <w:sz w:val="21"/>
              </w:rPr>
              <w:t>间：</w:t>
            </w:r>
          </w:p>
        </w:tc>
        <w:tc>
          <w:tcPr>
            <w:tcW w:type="dxa" w:w="3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年</w:t>
            </w:r>
            <w:r>
              <w:rPr>
                <w:sz w:val="21"/>
              </w:rPr>
              <w:t>****</w:t>
            </w:r>
            <w:r>
              <w:rPr>
                <w:sz w:val="21"/>
              </w:rPr>
              <w:t>月</w:t>
            </w:r>
            <w:r>
              <w:rPr>
                <w:sz w:val="21"/>
              </w:rPr>
              <w:t>****</w:t>
            </w:r>
            <w:r>
              <w:rPr>
                <w:sz w:val="21"/>
              </w:rPr>
              <w:t>日</w:t>
            </w:r>
          </w:p>
        </w:tc>
      </w:tr>
    </w:tbl>
    <w:p>
      <w:pPr>
        <w:pStyle w:val="null3"/>
        <w:jc w:val="both"/>
      </w:pPr>
      <w:r>
        <w:rPr>
          <w:sz w:val="21"/>
          <w:b/>
        </w:rPr>
        <w:t>附件</w:t>
      </w:r>
      <w:r>
        <w:rPr>
          <w:sz w:val="21"/>
          <w:b/>
        </w:rPr>
        <w:t>.</w:t>
      </w:r>
      <w:r>
        <w:rPr>
          <w:sz w:val="21"/>
        </w:rPr>
        <w:t xml:space="preserve"> </w:t>
      </w:r>
      <w:r>
        <w:rPr>
          <w:sz w:val="21"/>
          <w:b/>
        </w:rPr>
        <w:t>详细配置清单及技术指标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683"/>
        <w:gridCol w:w="2291"/>
        <w:gridCol w:w="5317"/>
      </w:tblGrid>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详细配置清单及技术指标</w:t>
            </w: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440001-2025-18964</w:t>
      </w:r>
    </w:p>
    <w:p>
      <w:pPr>
        <w:pStyle w:val="null3"/>
        <w:jc w:val="center"/>
        <w:outlineLvl w:val="3"/>
      </w:pPr>
      <w:r>
        <w:rPr>
          <w:sz w:val="24"/>
          <w:b/>
        </w:rPr>
        <w:t>采购项目编号：</w:t>
      </w:r>
      <w:r>
        <w:rPr>
          <w:sz w:val="24"/>
          <w:b/>
        </w:rPr>
        <w:t>ZZ0250243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广东工业大学大学城校区实验室节能灯照明改造项目</w:t>
      </w:r>
      <w:r>
        <w:rPr>
          <w:u w:val="single"/>
        </w:rPr>
        <w:t>”</w:t>
      </w:r>
      <w:r>
        <w:rPr/>
        <w:t>项目的招标[采购项目编号为：</w:t>
      </w:r>
      <w:r>
        <w:rPr>
          <w:u w:val="single"/>
        </w:rPr>
        <w:t>ZZ0250243</w:t>
      </w:r>
      <w:r>
        <w:rPr/>
        <w:t>]，我方愿参与投标。</w:t>
      </w:r>
    </w:p>
    <w:p>
      <w:pPr>
        <w:pStyle w:val="null3"/>
        <w:ind w:firstLine="480"/>
      </w:pPr>
      <w:r>
        <w:rPr/>
        <w:t>我方确认收到贵方提供的</w:t>
      </w:r>
      <w:r>
        <w:rPr>
          <w:u w:val="single"/>
        </w:rPr>
        <w:t>“</w:t>
      </w:r>
      <w:r>
        <w:rPr>
          <w:u w:val="single"/>
        </w:rPr>
        <w:t>广东工业大学大学城校区实验室节能灯照明改造项目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广东工业大学大学城校区实验室节能灯照明改造项目</w:t>
      </w:r>
      <w:r>
        <w:rPr/>
        <w:t>”项目采购[采购项目编号为</w:t>
      </w:r>
      <w:r>
        <w:rPr/>
        <w:t>ZZ0250243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广东工业大学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广东工业大学大学城校区实验室节能灯照明改造项目</w:t>
      </w:r>
      <w:r>
        <w:rPr/>
        <w:t>招标中获中标（采购项目编号：</w:t>
      </w:r>
      <w:r>
        <w:rPr/>
        <w:t>ZZ0250243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广东工业大学大学城校区实验室节能灯照明改造项目</w:t>
      </w:r>
      <w:r>
        <w:rPr/>
        <w:t>”项目（采购项目编号：</w:t>
      </w:r>
      <w:r>
        <w:rPr/>
        <w:t>ZZ0250243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