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440101-2025-08128</w:t>
      </w:r>
    </w:p>
    <w:p>
      <w:pPr>
        <w:pStyle w:val="null3"/>
        <w:jc w:val="center"/>
        <w:outlineLvl w:val="3"/>
      </w:pPr>
      <w:r>
        <w:rPr>
          <w:sz w:val="24"/>
          <w:b/>
        </w:rPr>
        <w:t>采购项目编号：</w:t>
      </w:r>
      <w:r>
        <w:rPr>
          <w:sz w:val="24"/>
          <w:b/>
        </w:rPr>
        <w:t>ZZ0250185</w:t>
      </w:r>
    </w:p>
    <w:p>
      <w:pPr>
        <w:pStyle w:val="null3"/>
        <w:jc w:val="center"/>
        <w:outlineLvl w:val="3"/>
      </w:pPr>
      <w:r>
        <w:rPr>
          <w:sz w:val="24"/>
          <w:b/>
        </w:rPr>
        <w:t>项目名称：</w:t>
      </w:r>
      <w:r>
        <w:rPr>
          <w:sz w:val="24"/>
          <w:b/>
        </w:rPr>
        <w:t>2025-2026年度番禺区环境空气自动监测站及水质自动监测站运维服务项目</w:t>
      </w:r>
    </w:p>
    <w:p>
      <w:pPr>
        <w:pStyle w:val="null3"/>
        <w:jc w:val="center"/>
        <w:outlineLvl w:val="3"/>
      </w:pPr>
      <w:r>
        <w:rPr>
          <w:sz w:val="24"/>
          <w:b/>
        </w:rPr>
        <w:t>采购人：</w:t>
      </w:r>
      <w:r>
        <w:rPr>
          <w:sz w:val="24"/>
          <w:b/>
        </w:rPr>
        <w:t>广州市生态环境局番禺环境监测站</w:t>
      </w:r>
    </w:p>
    <w:p>
      <w:pPr>
        <w:pStyle w:val="null3"/>
        <w:jc w:val="center"/>
        <w:outlineLvl w:val="3"/>
      </w:pPr>
      <w:r>
        <w:rPr>
          <w:sz w:val="24"/>
          <w:b/>
        </w:rPr>
        <w:t>采购代理机构：</w:t>
      </w:r>
      <w:r>
        <w:rPr>
          <w:sz w:val="24"/>
          <w:b/>
        </w:rPr>
        <w:t>广东志正招标有限公司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广东志正招标有限公司</w:t>
      </w:r>
      <w:r>
        <w:rPr/>
        <w:t>受</w:t>
      </w:r>
      <w:r>
        <w:rPr/>
        <w:t>广州市生态环境局番禺环境监测站</w:t>
      </w:r>
      <w:r>
        <w:rPr/>
        <w:t>的委托，采用</w:t>
      </w:r>
      <w:r>
        <w:rPr/>
        <w:t>竞争性磋商</w:t>
      </w:r>
      <w:r>
        <w:rPr/>
        <w:t>方式组织采购</w:t>
      </w:r>
      <w:r>
        <w:rPr/>
        <w:t>2025-2026年度番禺区环境空气自动监测站及水质自动监测站运维服务项目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2025-2026年度番禺区环境空气自动监测站及水质自动监测站运维服务项目</w:t>
      </w:r>
    </w:p>
    <w:p>
      <w:pPr>
        <w:pStyle w:val="null3"/>
        <w:ind w:firstLine="480"/>
      </w:pPr>
      <w:r>
        <w:rPr/>
        <w:t>采购计划编号：</w:t>
      </w:r>
      <w:r>
        <w:rPr/>
        <w:t>440101-2025-08128</w:t>
      </w:r>
    </w:p>
    <w:p>
      <w:pPr>
        <w:pStyle w:val="null3"/>
        <w:ind w:firstLine="480"/>
      </w:pPr>
      <w:r>
        <w:rPr/>
        <w:t>采购项目编号：</w:t>
      </w:r>
      <w:r>
        <w:rPr/>
        <w:t>ZZ0250185</w:t>
      </w:r>
    </w:p>
    <w:p>
      <w:pPr>
        <w:pStyle w:val="null3"/>
        <w:ind w:firstLine="480"/>
      </w:pPr>
      <w:r>
        <w:rPr/>
        <w:t>采购方式：</w:t>
      </w:r>
      <w:r>
        <w:rPr/>
        <w:t>竞争性磋商</w:t>
      </w:r>
    </w:p>
    <w:p>
      <w:pPr>
        <w:pStyle w:val="null3"/>
        <w:ind w:firstLine="480"/>
      </w:pPr>
      <w:r>
        <w:rPr/>
        <w:t>预算金额：</w:t>
      </w:r>
      <w:r>
        <w:rPr/>
        <w:t>2,915,800.00</w:t>
      </w:r>
      <w:r>
        <w:rPr/>
        <w:t>元</w:t>
      </w:r>
    </w:p>
    <w:p>
      <w:pPr>
        <w:pStyle w:val="null3"/>
        <w:outlineLvl w:val="3"/>
      </w:pPr>
      <w:r>
        <w:rPr>
          <w:sz w:val="24"/>
          <w:b/>
        </w:rPr>
        <w:t>2.项目内容及需求情况（采购项目技术规格、参数及要求）</w:t>
      </w:r>
    </w:p>
    <w:p>
      <w:pPr>
        <w:pStyle w:val="null3"/>
      </w:pPr>
      <w:r>
        <w:rPr/>
        <w:t>采购包1(番禺区环境空气自动监测站运维服务项目):</w:t>
      </w:r>
    </w:p>
    <w:p>
      <w:pPr>
        <w:pStyle w:val="null3"/>
      </w:pPr>
      <w:r>
        <w:rPr/>
        <w:t>采购包预算金额：1,202,800.00元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其他维修和保养服务</w:t>
            </w:r>
          </w:p>
        </w:tc>
        <w:tc>
          <w:tcPr>
            <w:tcW w:type="dxa" w:w="2052"/>
          </w:tcPr>
          <w:p>
            <w:pPr>
              <w:pStyle w:val="null3"/>
            </w:pPr>
            <w:r>
              <w:rPr/>
              <w:t>番禺区环境空气自动监测站运维服务项目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1,202,800.00</w:t>
            </w:r>
          </w:p>
        </w:tc>
        <w:tc>
          <w:tcPr>
            <w:tcW w:type="dxa" w:w="977"/>
          </w:tcPr>
          <w:p>
            <w:pPr>
              <w:pStyle w:val="null3"/>
            </w:pPr>
            <w:r>
              <w:rPr/>
              <w:t>否</w:t>
            </w:r>
          </w:p>
        </w:tc>
      </w:tr>
    </w:tbl>
    <w:p>
      <w:pPr>
        <w:pStyle w:val="null3"/>
      </w:pPr>
      <w:r>
        <w:rPr/>
        <w:t>本采购包不接受联合体响应</w:t>
      </w:r>
    </w:p>
    <w:p>
      <w:pPr>
        <w:pStyle w:val="null3"/>
      </w:pPr>
      <w:r>
        <w:rPr/>
        <w:t>合同分包：允许合同分包</w:t>
      </w:r>
    </w:p>
    <w:p>
      <w:pPr>
        <w:pStyle w:val="null3"/>
      </w:pPr>
      <w:r>
        <w:rPr/>
        <w:t>合同履行期限：自合同签订之日至2026年6月30日</w:t>
      </w:r>
    </w:p>
    <w:p>
      <w:pPr>
        <w:pStyle w:val="null3"/>
      </w:pPr>
      <w:r>
        <w:rPr/>
        <w:t>采购包2(番禺水质自动监测站运行维护项目):</w:t>
      </w:r>
    </w:p>
    <w:p>
      <w:pPr>
        <w:pStyle w:val="null3"/>
      </w:pPr>
      <w:r>
        <w:rPr/>
        <w:t>采购包预算金额：1,713,000.00元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2-1</w:t>
            </w:r>
          </w:p>
        </w:tc>
        <w:tc>
          <w:tcPr>
            <w:tcW w:type="dxa" w:w="1368"/>
          </w:tcPr>
          <w:p>
            <w:pPr>
              <w:pStyle w:val="null3"/>
            </w:pPr>
            <w:r>
              <w:rPr/>
              <w:t>其他维修和保养服务</w:t>
            </w:r>
          </w:p>
        </w:tc>
        <w:tc>
          <w:tcPr>
            <w:tcW w:type="dxa" w:w="2052"/>
          </w:tcPr>
          <w:p>
            <w:pPr>
              <w:pStyle w:val="null3"/>
            </w:pPr>
            <w:r>
              <w:rPr/>
              <w:t>番禺水质自动监测站运行维护项目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1,713,000.00</w:t>
            </w:r>
          </w:p>
        </w:tc>
        <w:tc>
          <w:tcPr>
            <w:tcW w:type="dxa" w:w="977"/>
          </w:tcPr>
          <w:p>
            <w:pPr>
              <w:pStyle w:val="null3"/>
            </w:pPr>
            <w:r>
              <w:rPr/>
              <w:t>否</w:t>
            </w:r>
          </w:p>
        </w:tc>
      </w:tr>
    </w:tbl>
    <w:p>
      <w:pPr>
        <w:pStyle w:val="null3"/>
      </w:pPr>
      <w:r>
        <w:rPr/>
        <w:t>本采购包不接受联合体响应</w:t>
      </w:r>
    </w:p>
    <w:p>
      <w:pPr>
        <w:pStyle w:val="null3"/>
      </w:pPr>
      <w:r>
        <w:rPr/>
        <w:t>合同分包：允许合同分包</w:t>
      </w:r>
    </w:p>
    <w:p>
      <w:pPr>
        <w:pStyle w:val="null3"/>
      </w:pPr>
      <w:r>
        <w:rPr/>
        <w:t>合同履行期限：自合同签订之日至2026年6月30日</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2）有依法缴纳税收和社会保障资金的良好记录：依据《响应承诺函》。</w:t>
      </w:r>
    </w:p>
    <w:p>
      <w:pPr>
        <w:pStyle w:val="null3"/>
      </w:pPr>
      <w:r>
        <w:rPr/>
        <w:t>3）具有良好的商业信誉和健全的财务会计制度：依据《响应承诺函》。</w:t>
      </w:r>
    </w:p>
    <w:p>
      <w:pPr>
        <w:pStyle w:val="null3"/>
      </w:pPr>
      <w:r>
        <w:rPr/>
        <w:t>4）履行合同所必需的设备和专业技术能力：依据《响应承诺函》。</w:t>
      </w:r>
    </w:p>
    <w:p>
      <w:pPr>
        <w:pStyle w:val="null3"/>
      </w:pPr>
      <w:r>
        <w:rPr/>
        <w:t>5）参加采购活动前3年内，在经营活动中没有重大违法记录：依据《响应承诺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采购包1（番禺区环境空气自动监测站运维服务项目）：</w:t>
      </w:r>
      <w:r>
        <w:rPr/>
        <w:t>采购包整体专门面向中小企业。供应商应按要求出具《中小企业声明函》；属于监狱企业的，提供由省级以上监狱管理局、戒毒管理局(含新疆生产建设兵团)出具的属于监狱企业的证明文件；属于残疾人福利性单位的，提供《残疾人福利性单位声明函》。</w:t>
      </w:r>
    </w:p>
    <w:p>
      <w:pPr>
        <w:pStyle w:val="null3"/>
        <w:jc w:val="left"/>
      </w:pPr>
      <w:r>
        <w:rPr/>
        <w:t>采购包2（番禺水质自动监测站运行维护项目）：</w:t>
      </w:r>
      <w:r>
        <w:rPr/>
        <w:t>采购包整体不专门面向中小企业。</w:t>
      </w:r>
    </w:p>
    <w:p>
      <w:pPr>
        <w:pStyle w:val="null3"/>
        <w:outlineLvl w:val="3"/>
      </w:pPr>
      <w:r>
        <w:rPr>
          <w:sz w:val="24"/>
          <w:b/>
        </w:rPr>
        <w:t>3.本项目特定的资格要求：</w:t>
      </w:r>
    </w:p>
    <w:p>
      <w:pPr>
        <w:pStyle w:val="null3"/>
      </w:pPr>
      <w:r>
        <w:rPr/>
        <w:t>采购包1（番禺区环境空气自动监测站运维服务项目）：</w:t>
      </w:r>
    </w:p>
    <w:p>
      <w:pPr>
        <w:pStyle w:val="null3"/>
      </w:pPr>
      <w:r>
        <w:rPr/>
        <w:t>1)①未列入失信被执行人、重大税收违法失信主体、政府采购严重违法失信行为记录名单的供应商（以开标当日采购代理机构工作人员在“信用中国”网站（www.creditchina.gov.cn）、中国政府采购网（www.ccgp.gov.cn）的查询结果为准；处罚期限届满的除外。如“信用中国”网站查询结果显示“没有找到您搜索的企业”或“没有找到您搜索数据”，视为没有上述三类不良信用记录）。②若供应商具有分公司的，其所属分公司有上述不良信用记录的，视同该供应商存在不良信用记录。③若供应商为分公司的，其所属总公司（总所）存在上述不良信用记录的，视同该分公司存在不良信用记录。</w:t>
      </w:r>
    </w:p>
    <w:p>
      <w:pPr>
        <w:pStyle w:val="null3"/>
      </w:pPr>
      <w:r>
        <w:rPr/>
        <w:t>2)不得参与同一采购项目竞争的供应商（依据《响应承诺函》） 1）单位负责人为同一人或者存在直接控股、管理关系的不同供应商，不得参加同一包组投标或者未划分包组的同一招标项目的政府采购活动。如同时参加，则评审时均作无效投标处理。 2）为采购项目提供整体设计、规范编制或者项目管理、监理、检测等服务的供应商，不得再参加该采购项目的其他采购活动。</w:t>
      </w:r>
    </w:p>
    <w:p>
      <w:pPr>
        <w:pStyle w:val="null3"/>
      </w:pPr>
      <w:r>
        <w:rPr/>
        <w:t>采购包2（番禺水质自动监测站运行维护项目）：</w:t>
      </w:r>
    </w:p>
    <w:p>
      <w:pPr>
        <w:pStyle w:val="null3"/>
      </w:pPr>
      <w:r>
        <w:rPr/>
        <w:t>1)①未列入失信被执行人、重大税收违法失信主体、政府采购严重违法失信行为记录名单的供应商（以开标当日采购代理机构工作人员在“信用中国”网站（www.creditchina.gov.cn）、中国政府采购网（www.ccgp.gov.cn）的查询结果为准；处罚期限届满的除外。如“信用中国”网站查询结果显示“没有找到您搜索的企业”或“没有找到您搜索数据”，视为没有上述三类不良信用记录）。②若供应商具有分公司的，其所属分公司有上述不良信用记录的，视同该供应商存在不良信用记录。③若供应商为分公司的，其所属总公司（总所）存在上述不良信用记录的，视同该分公司存在不良信用记录。</w:t>
      </w:r>
    </w:p>
    <w:p>
      <w:pPr>
        <w:pStyle w:val="null3"/>
      </w:pPr>
      <w:r>
        <w:rPr/>
        <w:t>2)不得参与同一采购项目竞争的供应商（依据《响应承诺函》） 1）单位负责人为同一人或者存在直接控股、管理关系的不同供应商，不得参加同一包组投标或者未划分包组的同一招标项目的政府采购活动。如同时参加，则评审时均作无效投标处理。 2）为采购项目提供整体设计、规范编制或者项目管理、监理、检测等服务的供应商，不得再参加该采购项目的其他采购活动。</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广东志正招标有限公司（https:https://www.zztender.com/）</w:t>
      </w:r>
      <w:r>
        <w:rPr/>
        <w:t>。</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广州市生态环境局番禺环境监测站</w:t>
      </w:r>
    </w:p>
    <w:p>
      <w:pPr>
        <w:pStyle w:val="null3"/>
        <w:ind w:firstLine="480"/>
      </w:pPr>
      <w:r>
        <w:rPr/>
        <w:t>地址：</w:t>
      </w:r>
      <w:r>
        <w:rPr/>
        <w:t>番禺区沙湾镇南村大巷涌路171号</w:t>
      </w:r>
    </w:p>
    <w:p>
      <w:pPr>
        <w:pStyle w:val="null3"/>
        <w:ind w:firstLine="480"/>
      </w:pPr>
      <w:r>
        <w:rPr/>
        <w:t>联系方式：</w:t>
      </w:r>
      <w:r>
        <w:rPr/>
        <w:t>020-34835860</w:t>
      </w:r>
    </w:p>
    <w:p>
      <w:pPr>
        <w:pStyle w:val="null3"/>
        <w:outlineLvl w:val="3"/>
      </w:pPr>
      <w:r>
        <w:rPr>
          <w:sz w:val="24"/>
          <w:b/>
        </w:rPr>
        <w:t>2.采购代理机构信息</w:t>
      </w:r>
    </w:p>
    <w:p>
      <w:pPr>
        <w:pStyle w:val="null3"/>
        <w:ind w:firstLine="480"/>
      </w:pPr>
      <w:r>
        <w:rPr/>
        <w:t>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020-87554038</w:t>
      </w:r>
    </w:p>
    <w:p>
      <w:pPr>
        <w:pStyle w:val="null3"/>
        <w:outlineLvl w:val="3"/>
      </w:pPr>
      <w:r>
        <w:rPr>
          <w:sz w:val="24"/>
          <w:b/>
        </w:rPr>
        <w:t xml:space="preserve"> 3.项目联系方式</w:t>
      </w:r>
    </w:p>
    <w:p>
      <w:pPr>
        <w:pStyle w:val="null3"/>
        <w:ind w:firstLine="480"/>
      </w:pPr>
      <w:r>
        <w:rPr/>
        <w:t xml:space="preserve"> 项目联系人：</w:t>
      </w:r>
      <w:r>
        <w:rPr/>
        <w:t>周小姐、魏先生</w:t>
      </w:r>
    </w:p>
    <w:p>
      <w:pPr>
        <w:pStyle w:val="null3"/>
        <w:ind w:firstLine="480"/>
      </w:pPr>
      <w:r>
        <w:rPr/>
        <w:t xml:space="preserve"> 电话：</w:t>
      </w:r>
      <w:r>
        <w:rPr/>
        <w:t>020-87554038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shd w:fill="FFFFFF" w:val="clear"/>
        </w:rPr>
        <w:t>1、供应商须对本项目为单位（有划分包组的，则以包组为单位）的标的物进行整体投标，任何只对其中一部分内容进行的投标都被视为无效投标。</w:t>
      </w:r>
    </w:p>
    <w:p>
      <w:pPr>
        <w:pStyle w:val="null3"/>
        <w:ind w:left="-15" w:firstLine="480"/>
        <w:jc w:val="both"/>
      </w:pPr>
      <w:r>
        <w:rPr>
          <w:sz w:val="21"/>
          <w:shd w:fill="FFFFFF" w:val="clear"/>
        </w:rPr>
        <w:t>2、磋商文件中，凡标有“★”的地方均为实质性响应条款，供应商若有一项带“★”的条款未响应或不满足，将按无效响应处理。</w:t>
      </w:r>
    </w:p>
    <w:p>
      <w:pPr>
        <w:pStyle w:val="null3"/>
        <w:ind w:left="-15" w:firstLine="480"/>
        <w:jc w:val="both"/>
      </w:pPr>
      <w:r>
        <w:rPr>
          <w:sz w:val="21"/>
          <w:shd w:fill="FFFFFF" w:val="clear"/>
        </w:rPr>
        <w:t>3、落实政府采购政策需满足的资格要求</w:t>
      </w:r>
      <w:r>
        <w:rPr>
          <w:sz w:val="21"/>
          <w:u w:val="single"/>
          <w:shd w:fill="FFFFFF" w:val="clear"/>
        </w:rPr>
        <w:t>：本项目</w:t>
      </w:r>
      <w:r>
        <w:rPr>
          <w:sz w:val="21"/>
          <w:b/>
          <w:u w:val="single"/>
          <w:shd w:fill="FFFFFF" w:val="clear"/>
        </w:rPr>
        <w:t>采购包一：</w:t>
      </w:r>
      <w:r>
        <w:rPr>
          <w:sz w:val="21"/>
          <w:u w:val="single"/>
          <w:shd w:fill="FFFFFF" w:val="clear"/>
        </w:rPr>
        <w:t>属于专门面向中小企业采购的项目。</w:t>
      </w:r>
      <w:r>
        <w:rPr>
          <w:sz w:val="21"/>
          <w:shd w:fill="FFFFFF" w:val="clear"/>
        </w:rPr>
        <w:t>供应商应按要求出具《中小企业声明函》；属于监狱企业的，提供由省级以上监狱管理局、戒毒管理局</w:t>
      </w:r>
      <w:r>
        <w:rPr>
          <w:sz w:val="21"/>
          <w:shd w:fill="FFFFFF" w:val="clear"/>
        </w:rPr>
        <w:t>(含新疆生产建设兵团)出具的属于监狱企业的证明文件；属于残疾人福利性单位的，提供《残疾人福利性单位声明函》。</w:t>
      </w:r>
      <w:r>
        <w:rPr>
          <w:sz w:val="21"/>
          <w:b/>
          <w:shd w:fill="FFFFFF" w:val="clear"/>
        </w:rPr>
        <w:t>采购包二：</w:t>
      </w:r>
      <w:r>
        <w:rPr>
          <w:sz w:val="21"/>
          <w:shd w:fill="FFFFFF" w:val="clear"/>
        </w:rPr>
        <w:t>采购包整体不专门面向中小企业。</w:t>
      </w:r>
    </w:p>
    <w:p>
      <w:pPr>
        <w:pStyle w:val="null3"/>
        <w:ind w:left="-15" w:firstLine="480"/>
        <w:jc w:val="both"/>
      </w:pPr>
      <w:r>
        <w:rPr>
          <w:sz w:val="21"/>
          <w:shd w:fill="FFFFFF" w:val="clear"/>
        </w:rPr>
        <w:t>4、本项目对应的中小企业划分标准所属行业为：</w:t>
      </w:r>
      <w:r>
        <w:rPr>
          <w:sz w:val="21"/>
          <w:u w:val="single"/>
          <w:shd w:fill="FFFFFF" w:val="clear"/>
        </w:rPr>
        <w:t xml:space="preserve"> </w:t>
      </w:r>
      <w:r>
        <w:rPr>
          <w:sz w:val="21"/>
          <w:u w:val="single"/>
          <w:shd w:fill="FFFFFF" w:val="clear"/>
        </w:rPr>
        <w:t>其他未列明行业</w:t>
      </w:r>
      <w:r>
        <w:rPr>
          <w:sz w:val="21"/>
          <w:shd w:fill="FFFFFF" w:val="clear"/>
        </w:rPr>
        <w:t>。</w:t>
      </w:r>
    </w:p>
    <w:p>
      <w:pPr>
        <w:pStyle w:val="null3"/>
        <w:ind w:left="-15" w:firstLine="480"/>
        <w:jc w:val="both"/>
      </w:pPr>
      <w:r>
        <w:rPr>
          <w:sz w:val="21"/>
          <w:shd w:fill="FFFFFF" w:val="clear"/>
        </w:rPr>
        <w:t>5、</w:t>
      </w:r>
      <w:r>
        <w:rPr>
          <w:sz w:val="21"/>
          <w:shd w:fill="FFFFFF" w:val="clear"/>
        </w:rPr>
        <w:t>成交供应商</w:t>
      </w:r>
      <w:r>
        <w:rPr>
          <w:sz w:val="21"/>
          <w:shd w:fill="FFFFFF" w:val="clear"/>
        </w:rPr>
        <w:t>不得对整个项目进行转包</w:t>
      </w:r>
      <w:r>
        <w:rPr>
          <w:sz w:val="21"/>
          <w:shd w:fill="FFFFFF" w:val="clear"/>
        </w:rPr>
        <w:t>，取得采购人同意后可进行部分内容分包。</w:t>
      </w:r>
      <w:r>
        <w:rPr>
          <w:sz w:val="21"/>
          <w:shd w:fill="FFFFFF" w:val="clear"/>
        </w:rPr>
        <w:t>经采购人同意，</w:t>
      </w:r>
      <w:r>
        <w:rPr>
          <w:sz w:val="21"/>
          <w:shd w:fill="FFFFFF" w:val="clear"/>
        </w:rPr>
        <w:t>成交供应商</w:t>
      </w:r>
      <w:r>
        <w:rPr>
          <w:sz w:val="21"/>
          <w:shd w:fill="FFFFFF" w:val="clear"/>
        </w:rPr>
        <w:t>可以依法将采购项目的非主体、非关键性工作进行分包。政府采购合同分包履行的，</w:t>
      </w:r>
      <w:r>
        <w:rPr>
          <w:sz w:val="21"/>
          <w:shd w:fill="FFFFFF" w:val="clear"/>
        </w:rPr>
        <w:t>成交供应商</w:t>
      </w:r>
      <w:r>
        <w:rPr>
          <w:sz w:val="21"/>
          <w:shd w:fill="FFFFFF" w:val="clear"/>
        </w:rPr>
        <w:t>就采购项目和分包项目向采购人负责，分包供应商就分包项目承担责任。</w:t>
      </w:r>
    </w:p>
    <w:p>
      <w:pPr>
        <w:pStyle w:val="null3"/>
        <w:jc w:val="both"/>
      </w:pPr>
      <w:r>
        <w:rPr>
          <w:sz w:val="21"/>
          <w:b/>
        </w:rPr>
        <w:t>二、总体要求</w:t>
      </w:r>
    </w:p>
    <w:p>
      <w:pPr>
        <w:pStyle w:val="null3"/>
        <w:numPr>
          <w:ilvl w:val="0"/>
          <w:numId w:val="1"/>
        </w:numPr>
        <w:jc w:val="both"/>
      </w:pPr>
      <w:r>
        <w:rPr>
          <w:sz w:val="21"/>
        </w:rPr>
        <w:t>（一）</w:t>
      </w:r>
      <w:r>
        <w:rPr>
          <w:sz w:val="21"/>
        </w:rPr>
        <w:t>供应商负责采购需求中列出的所有工作内容，以及其他隐含的配套工作。供应商应充分考虑影响报价的各种因素和风险。采购人不再支付成交金额以外的任何费用。</w:t>
      </w:r>
    </w:p>
    <w:p>
      <w:pPr>
        <w:pStyle w:val="null3"/>
        <w:numPr>
          <w:ilvl w:val="0"/>
          <w:numId w:val="1"/>
        </w:numPr>
        <w:jc w:val="both"/>
      </w:pPr>
      <w:r>
        <w:rPr>
          <w:sz w:val="21"/>
        </w:rPr>
        <w:t>（二）</w:t>
      </w:r>
      <w:r>
        <w:rPr>
          <w:sz w:val="21"/>
        </w:rPr>
        <w:t>供应商必须确保项目的完整性和可靠性。对于磋商文件没有列出，而对该项目的正常运行和维护必不可少的部件、配件、模块和配套服务等，供应商有责任给予补充（所有费用包含在响应总价内）。</w:t>
      </w:r>
    </w:p>
    <w:p>
      <w:pPr>
        <w:pStyle w:val="null3"/>
        <w:ind w:left="420"/>
        <w:jc w:val="both"/>
      </w:pPr>
      <w:r>
        <w:rPr>
          <w:sz w:val="21"/>
          <w:b/>
        </w:rPr>
        <w:t>三、服务范围及服务要求</w:t>
      </w:r>
    </w:p>
    <w:p>
      <w:pPr>
        <w:pStyle w:val="null3"/>
        <w:numPr>
          <w:ilvl w:val="0"/>
          <w:numId w:val="1"/>
        </w:numPr>
        <w:jc w:val="both"/>
      </w:pPr>
      <w:r>
        <w:rPr>
          <w:sz w:val="21"/>
          <w:b/>
        </w:rPr>
        <w:t>（一）</w:t>
      </w:r>
      <w:r>
        <w:rPr>
          <w:sz w:val="21"/>
          <w:b/>
        </w:rPr>
        <w:t>服务范围</w:t>
      </w:r>
    </w:p>
    <w:tbl>
      <w:tblPr>
        <w:tblW w:w="0" w:type="auto"/>
        <w:tblBorders>
          <w:top w:val="none" w:color="000000" w:sz="4"/>
          <w:left w:val="none" w:color="000000" w:sz="4"/>
          <w:bottom w:val="none" w:color="000000" w:sz="4"/>
          <w:right w:val="none" w:color="000000" w:sz="4"/>
          <w:insideH w:val="none"/>
          <w:insideV w:val="none"/>
        </w:tblBorders>
      </w:tblPr>
      <w:tblGrid>
        <w:gridCol w:w="895"/>
        <w:gridCol w:w="7407"/>
      </w:tblGrid>
      <w:tr>
        <w:tc>
          <w:tcPr>
            <w:tcW w:type="dxa" w:w="8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采购包</w:t>
            </w:r>
          </w:p>
        </w:tc>
        <w:tc>
          <w:tcPr>
            <w:tcW w:type="dxa" w:w="74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服务范围</w:t>
            </w:r>
          </w:p>
        </w:tc>
      </w:tr>
      <w:tr>
        <w:tc>
          <w:tcPr>
            <w:tcW w:type="dxa" w:w="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sz w:val="21"/>
              </w:rPr>
              <w:t>一</w:t>
            </w:r>
          </w:p>
        </w:tc>
        <w:tc>
          <w:tcPr>
            <w:tcW w:type="dxa" w:w="7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sz w:val="21"/>
              </w:rPr>
              <w:t>番禺沙湾、番禺大夫山、番禺亚运城、番禺南村、番禺大石（</w:t>
            </w:r>
            <w:r>
              <w:rPr>
                <w:sz w:val="21"/>
              </w:rPr>
              <w:t>5个市控点空气站）、番禺沙头（重金属空气站）、番禺海鸥岛（挥发性有机物空气站）、洛浦街、大石街、钟村街、石壁街、沙头街、东环街、桥南街、大龙街、石碁镇、化龙镇、新造镇（11个镇街空气站）共18个空气自动监测站运行和维护</w:t>
            </w:r>
          </w:p>
        </w:tc>
      </w:tr>
      <w:tr>
        <w:tc>
          <w:tcPr>
            <w:tcW w:type="dxa" w:w="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sz w:val="21"/>
              </w:rPr>
              <w:t>二</w:t>
            </w:r>
          </w:p>
        </w:tc>
        <w:tc>
          <w:tcPr>
            <w:tcW w:type="dxa" w:w="7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sz w:val="21"/>
              </w:rPr>
              <w:t>番禺紫坭、番禺东涌、番禺中游、番禺市桥（</w:t>
            </w:r>
            <w:r>
              <w:rPr>
                <w:sz w:val="21"/>
              </w:rPr>
              <w:t>4个区属固定水站）、雁洲水闸、大龙涌口、清流渡口、清流岛尖、海鸥岛尖（5个挥发酚微型水站）、雁洲水闸、大龙涌口、清流渡口、清流岛尖、海鸥岛尖、墩涌、沙东地玄、观龙渡口（8个水质自动留样器）、新涌水闸、屏山水闸、龙湾水闸、大巷涌水闸、涌口涌水闸、大塱涌水闸、大蕴涌水闸、下婆水闸、蚬涌南闸、雁洲水闸、蟛蜞南水闸、草河水闸、孖涌水闸、蚬涌篸颈水闸、大口涌南闸、大口涌北闸、沙拦水闸、孖坝水闸、五十亩水闸、塱沙涌水闸、杨家涌水闸（21个河涌水站）共38个水质自动监测站的运行和维护。</w:t>
            </w:r>
          </w:p>
        </w:tc>
      </w:tr>
    </w:tbl>
    <w:p>
      <w:pPr>
        <w:pStyle w:val="null3"/>
        <w:numPr>
          <w:ilvl w:val="0"/>
          <w:numId w:val="1"/>
        </w:numPr>
        <w:ind w:firstLine="630"/>
        <w:jc w:val="both"/>
      </w:pPr>
      <w:r>
        <w:rPr>
          <w:sz w:val="21"/>
          <w:b/>
        </w:rPr>
        <w:t>（二）</w:t>
      </w:r>
      <w:r>
        <w:rPr>
          <w:sz w:val="21"/>
          <w:b/>
        </w:rPr>
        <w:t>项目仪器设备及运维组成</w:t>
      </w:r>
    </w:p>
    <w:p>
      <w:pPr>
        <w:pStyle w:val="null3"/>
        <w:jc w:val="both"/>
      </w:pPr>
      <w:r>
        <w:rPr>
          <w:sz w:val="21"/>
        </w:rPr>
        <w:t>采购包一：番禺区环境空气自动监测站运维服务项目</w:t>
      </w:r>
    </w:p>
    <w:tbl>
      <w:tblPr>
        <w:tblW w:w="0" w:type="auto"/>
        <w:tblBorders>
          <w:top w:val="none" w:color="000000" w:sz="4"/>
          <w:left w:val="none" w:color="000000" w:sz="4"/>
          <w:bottom w:val="none" w:color="000000" w:sz="4"/>
          <w:right w:val="none" w:color="000000" w:sz="4"/>
          <w:insideH w:val="none"/>
          <w:insideV w:val="none"/>
        </w:tblBorders>
      </w:tblPr>
      <w:tblGrid>
        <w:gridCol w:w="678"/>
        <w:gridCol w:w="1335"/>
        <w:gridCol w:w="1736"/>
        <w:gridCol w:w="1044"/>
        <w:gridCol w:w="1299"/>
        <w:gridCol w:w="775"/>
        <w:gridCol w:w="1438"/>
      </w:tblGrid>
      <w:tr>
        <w:tc>
          <w:tcPr>
            <w:tcW w:type="dxa" w:w="8305"/>
            <w:gridSpan w:val="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市控空气站、重金属空气站、挥发性有机物空气站</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3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站点</w:t>
            </w:r>
          </w:p>
        </w:tc>
        <w:tc>
          <w:tcPr>
            <w:tcW w:type="dxa" w:w="17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仪器</w:t>
            </w:r>
            <w:r>
              <w:rPr>
                <w:sz w:val="21"/>
              </w:rPr>
              <w:t>/开支项目</w:t>
            </w:r>
          </w:p>
        </w:tc>
        <w:tc>
          <w:tcPr>
            <w:tcW w:type="dxa" w:w="10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厂家</w:t>
            </w:r>
          </w:p>
        </w:tc>
        <w:tc>
          <w:tcPr>
            <w:tcW w:type="dxa" w:w="12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型号</w:t>
            </w:r>
          </w:p>
        </w:tc>
        <w:tc>
          <w:tcPr>
            <w:tcW w:type="dxa" w:w="7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14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验收日期</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沙湾</w:t>
            </w:r>
            <w:r>
              <w:rPr>
                <w:sz w:val="21"/>
              </w:rPr>
              <w:t>/大夫山/亚运城</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PM10颗粒物检测仪</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赛默飞</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FH62</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2011年12月</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大石</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PM10颗粒物检测仪</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METONE</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BAM1020</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2010年12月</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南村</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PM10颗粒物检测仪</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赛默飞</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FH62</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2015年12月</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沙湾</w:t>
            </w:r>
            <w:r>
              <w:rPr>
                <w:sz w:val="21"/>
              </w:rPr>
              <w:t>/大夫山</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PM2.5颗粒物检测仪</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赛默飞</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FH62</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2011年12月</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大石</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PM2.5颗粒物检测仪</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METONE</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BAM1020</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2010年12月</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南村</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PM2.5颗粒物检测仪</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赛默飞</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FH62</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2015年12月</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亚运城</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PM2.5颗粒物检测仪</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赛默飞</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5030i</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2024年6月</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沙湾</w:t>
            </w:r>
            <w:r>
              <w:rPr>
                <w:sz w:val="21"/>
              </w:rPr>
              <w:t>/亚运城/大石</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二氧化硫分析仪</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赛默飞</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43i</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2011年12月</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南村</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二氧化硫分析仪</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赛默飞</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43i</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2015年12月</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大夫山</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二氧化硫分析仪</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赛默飞</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43i</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2024年6月</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沙湾</w:t>
            </w:r>
            <w:r>
              <w:rPr>
                <w:sz w:val="21"/>
              </w:rPr>
              <w:t>/大夫山/大石</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氮氧化物分析仪</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赛默飞</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42i</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2011年12月</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南村</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氮氧化物分析仪</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赛默飞</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42i</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2015年12月</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亚运城</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氮氧化物分析仪</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赛默飞</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42i</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2024年6月</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大夫山</w:t>
            </w:r>
            <w:r>
              <w:rPr>
                <w:sz w:val="21"/>
              </w:rPr>
              <w:t>/大石</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臭氧分析仪</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赛默飞</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49i</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2011年12月</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南村</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臭氧分析仪</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赛默飞</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49i</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2015年12月</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沙湾</w:t>
            </w:r>
            <w:r>
              <w:rPr>
                <w:sz w:val="21"/>
              </w:rPr>
              <w:t>/亚运城</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臭氧分析仪</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赛默飞</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49i</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2024年6月</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大夫山</w:t>
            </w:r>
            <w:r>
              <w:rPr>
                <w:sz w:val="21"/>
              </w:rPr>
              <w:t>/亚运城/大石</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一氧化碳分析仪</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赛默飞</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48i</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2011年12月</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南村</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一氧化碳分析仪</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赛默飞</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48i</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2015年12月</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沙湾</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一氧化碳分析仪</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赛默飞</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48i</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2024年6月</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沙湾</w:t>
            </w:r>
            <w:r>
              <w:rPr>
                <w:sz w:val="21"/>
              </w:rPr>
              <w:t>/大夫山/亚运城/大石</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气体校准稀释仪</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赛默飞</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146i</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2011年12月</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南村</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气体校准稀释仪</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赛默飞</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146i</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2015年12月</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沙湾</w:t>
            </w:r>
            <w:r>
              <w:rPr>
                <w:sz w:val="21"/>
              </w:rPr>
              <w:t>/大夫山/亚运城</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气象参数仪</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维萨拉</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WXT520</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2011年12月</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南村</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气象参数仪</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维萨拉</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WXT520</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2015年12月</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大石</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气象参数仪</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智翔宇</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MULTI 6P</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沙湾</w:t>
            </w:r>
            <w:r>
              <w:rPr>
                <w:sz w:val="21"/>
              </w:rPr>
              <w:t>/大夫山/亚运城/大石</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站房</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2011年12月</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南村</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站房</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2015年12月</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沙头</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空气重金属自动检测仪</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江苏天瑞</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EHM-X100</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2015年12月</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r>
              <w:rPr>
                <w:sz w:val="21"/>
              </w:rPr>
              <w:t>9</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沙头</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气象参数仪</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PH-HBS05</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2015年12月</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海鸥岛</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VOCs分析仪</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Nutech</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N6000</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2017年6月</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海鸥岛</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房租</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亚运城</w:t>
            </w:r>
            <w:r>
              <w:rPr>
                <w:sz w:val="21"/>
              </w:rPr>
              <w:t>/大夫山/南村</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水电费</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沙湾</w:t>
            </w:r>
            <w:r>
              <w:rPr>
                <w:sz w:val="21"/>
              </w:rPr>
              <w:t>/大夫山/亚运城/大石/南村</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防雷检测费</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7个站点</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网络通信费</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8305"/>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镇街空气站</w:t>
            </w:r>
          </w:p>
        </w:tc>
      </w:tr>
      <w:tr>
        <w:tc>
          <w:tcPr>
            <w:tcW w:type="dxa" w:w="678"/>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1335"/>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洛浦街、大石街、钟村街、石壁街、沙头街、东环街、桥南街、大龙街、石碁镇、化龙镇、新造镇</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PM10颗粒物检测仪</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武汉天虹</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TH2000PM</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2022年5月</w:t>
            </w:r>
          </w:p>
        </w:tc>
      </w:tr>
      <w:tr>
        <w:tc>
          <w:tcPr>
            <w:tcW w:type="dxa" w:w="678"/>
            <w:vMerge/>
            <w:tcBorders>
              <w:top w:val="none" w:color="000000" w:sz="4"/>
              <w:left w:val="single" w:color="000000" w:sz="4"/>
              <w:bottom w:val="none" w:color="000000" w:sz="4"/>
              <w:right w:val="single" w:color="000000" w:sz="4"/>
            </w:tcBorders>
          </w:tcPr>
          <w:p/>
        </w:tc>
        <w:tc>
          <w:tcPr>
            <w:tcW w:type="dxa" w:w="1335"/>
            <w:vMerge/>
            <w:tcBorders>
              <w:top w:val="none" w:color="000000" w:sz="4"/>
              <w:left w:val="none" w:color="000000" w:sz="4"/>
              <w:bottom w:val="none" w:color="000000" w:sz="4"/>
              <w:right w:val="single" w:color="000000" w:sz="4"/>
            </w:tcBorders>
          </w:tcP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PM2.5颗粒物检测仪</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武汉天虹</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TH2000PM</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2022年5月</w:t>
            </w:r>
          </w:p>
        </w:tc>
      </w:tr>
      <w:tr>
        <w:tc>
          <w:tcPr>
            <w:tcW w:type="dxa" w:w="678"/>
            <w:vMerge/>
            <w:tcBorders>
              <w:top w:val="none" w:color="000000" w:sz="4"/>
              <w:left w:val="single" w:color="000000" w:sz="4"/>
              <w:bottom w:val="none" w:color="000000" w:sz="4"/>
              <w:right w:val="single" w:color="000000" w:sz="4"/>
            </w:tcBorders>
          </w:tcPr>
          <w:p/>
        </w:tc>
        <w:tc>
          <w:tcPr>
            <w:tcW w:type="dxa" w:w="1335"/>
            <w:vMerge/>
            <w:tcBorders>
              <w:top w:val="none" w:color="000000" w:sz="4"/>
              <w:left w:val="none" w:color="000000" w:sz="4"/>
              <w:bottom w:val="none" w:color="000000" w:sz="4"/>
              <w:right w:val="single" w:color="000000" w:sz="4"/>
            </w:tcBorders>
          </w:tcP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一氧化碳分析仪</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武汉天虹</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TH2004H</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2022年5月</w:t>
            </w:r>
          </w:p>
        </w:tc>
      </w:tr>
      <w:tr>
        <w:tc>
          <w:tcPr>
            <w:tcW w:type="dxa" w:w="678"/>
            <w:vMerge/>
            <w:tcBorders>
              <w:top w:val="none" w:color="000000" w:sz="4"/>
              <w:left w:val="single" w:color="000000" w:sz="4"/>
              <w:bottom w:val="none" w:color="000000" w:sz="4"/>
              <w:right w:val="single" w:color="000000" w:sz="4"/>
            </w:tcBorders>
          </w:tcPr>
          <w:p/>
        </w:tc>
        <w:tc>
          <w:tcPr>
            <w:tcW w:type="dxa" w:w="1335"/>
            <w:vMerge/>
            <w:tcBorders>
              <w:top w:val="none" w:color="000000" w:sz="4"/>
              <w:left w:val="none" w:color="000000" w:sz="4"/>
              <w:bottom w:val="none" w:color="000000" w:sz="4"/>
              <w:right w:val="single" w:color="000000" w:sz="4"/>
            </w:tcBorders>
          </w:tcP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二氧化硫分析仪</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武汉天虹</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TH2002H</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2022年5月</w:t>
            </w:r>
          </w:p>
        </w:tc>
      </w:tr>
      <w:tr>
        <w:tc>
          <w:tcPr>
            <w:tcW w:type="dxa" w:w="678"/>
            <w:vMerge/>
            <w:tcBorders>
              <w:top w:val="none" w:color="000000" w:sz="4"/>
              <w:left w:val="single" w:color="000000" w:sz="4"/>
              <w:bottom w:val="none" w:color="000000" w:sz="4"/>
              <w:right w:val="single" w:color="000000" w:sz="4"/>
            </w:tcBorders>
          </w:tcPr>
          <w:p/>
        </w:tc>
        <w:tc>
          <w:tcPr>
            <w:tcW w:type="dxa" w:w="1335"/>
            <w:vMerge/>
            <w:tcBorders>
              <w:top w:val="none" w:color="000000" w:sz="4"/>
              <w:left w:val="none" w:color="000000" w:sz="4"/>
              <w:bottom w:val="none" w:color="000000" w:sz="4"/>
              <w:right w:val="single" w:color="000000" w:sz="4"/>
            </w:tcBorders>
          </w:tcP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氮氧化物分析仪</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武汉天虹</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TH2001H</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2022年5月</w:t>
            </w:r>
          </w:p>
        </w:tc>
      </w:tr>
      <w:tr>
        <w:tc>
          <w:tcPr>
            <w:tcW w:type="dxa" w:w="678"/>
            <w:vMerge/>
            <w:tcBorders>
              <w:top w:val="none" w:color="000000" w:sz="4"/>
              <w:left w:val="single" w:color="000000" w:sz="4"/>
              <w:bottom w:val="none" w:color="000000" w:sz="4"/>
              <w:right w:val="single" w:color="000000" w:sz="4"/>
            </w:tcBorders>
          </w:tcPr>
          <w:p/>
        </w:tc>
        <w:tc>
          <w:tcPr>
            <w:tcW w:type="dxa" w:w="1335"/>
            <w:vMerge/>
            <w:tcBorders>
              <w:top w:val="none" w:color="000000" w:sz="4"/>
              <w:left w:val="none" w:color="000000" w:sz="4"/>
              <w:bottom w:val="none" w:color="000000" w:sz="4"/>
              <w:right w:val="single" w:color="000000" w:sz="4"/>
            </w:tcBorders>
          </w:tcP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臭氧分析仪</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武汉天虹</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TH2003H</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2022年5月</w:t>
            </w:r>
          </w:p>
        </w:tc>
      </w:tr>
      <w:tr>
        <w:tc>
          <w:tcPr>
            <w:tcW w:type="dxa" w:w="678"/>
            <w:vMerge/>
            <w:tcBorders>
              <w:top w:val="none" w:color="000000" w:sz="4"/>
              <w:left w:val="single" w:color="000000" w:sz="4"/>
              <w:bottom w:val="none" w:color="000000" w:sz="4"/>
              <w:right w:val="single" w:color="000000" w:sz="4"/>
            </w:tcBorders>
          </w:tcPr>
          <w:p/>
        </w:tc>
        <w:tc>
          <w:tcPr>
            <w:tcW w:type="dxa" w:w="1335"/>
            <w:vMerge/>
            <w:tcBorders>
              <w:top w:val="none" w:color="000000" w:sz="4"/>
              <w:left w:val="none" w:color="000000" w:sz="4"/>
              <w:bottom w:val="none" w:color="000000" w:sz="4"/>
              <w:right w:val="single" w:color="000000" w:sz="4"/>
            </w:tcBorders>
          </w:tcP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气体校准稀释仪</w:t>
            </w:r>
            <w:r>
              <w:rPr>
                <w:sz w:val="21"/>
              </w:rPr>
              <w:t>/零气发生器</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武汉天虹</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TH2008H/</w:t>
            </w:r>
          </w:p>
          <w:p>
            <w:pPr>
              <w:pStyle w:val="null3"/>
              <w:jc w:val="center"/>
            </w:pPr>
            <w:r>
              <w:rPr>
                <w:sz w:val="21"/>
              </w:rPr>
              <w:t>TH2007H</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2022年5月</w:t>
            </w:r>
          </w:p>
        </w:tc>
      </w:tr>
      <w:tr>
        <w:tc>
          <w:tcPr>
            <w:tcW w:type="dxa" w:w="678"/>
            <w:vMerge/>
            <w:tcBorders>
              <w:top w:val="none" w:color="000000" w:sz="4"/>
              <w:left w:val="single" w:color="000000" w:sz="4"/>
              <w:bottom w:val="none" w:color="000000" w:sz="4"/>
              <w:right w:val="single" w:color="000000" w:sz="4"/>
            </w:tcBorders>
          </w:tcPr>
          <w:p/>
        </w:tc>
        <w:tc>
          <w:tcPr>
            <w:tcW w:type="dxa" w:w="1335"/>
            <w:vMerge/>
            <w:tcBorders>
              <w:top w:val="none" w:color="000000" w:sz="4"/>
              <w:left w:val="none" w:color="000000" w:sz="4"/>
              <w:bottom w:val="none" w:color="000000" w:sz="4"/>
              <w:right w:val="single" w:color="000000" w:sz="4"/>
            </w:tcBorders>
          </w:tcP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采样进气系统</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武汉天虹</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2022年5月</w:t>
            </w:r>
          </w:p>
        </w:tc>
      </w:tr>
      <w:tr>
        <w:tc>
          <w:tcPr>
            <w:tcW w:type="dxa" w:w="678"/>
            <w:vMerge/>
            <w:tcBorders>
              <w:top w:val="none" w:color="000000" w:sz="4"/>
              <w:left w:val="single" w:color="000000" w:sz="4"/>
              <w:bottom w:val="none" w:color="000000" w:sz="4"/>
              <w:right w:val="single" w:color="000000" w:sz="4"/>
            </w:tcBorders>
          </w:tcPr>
          <w:p/>
        </w:tc>
        <w:tc>
          <w:tcPr>
            <w:tcW w:type="dxa" w:w="1335"/>
            <w:vMerge/>
            <w:tcBorders>
              <w:top w:val="none" w:color="000000" w:sz="4"/>
              <w:left w:val="none" w:color="000000" w:sz="4"/>
              <w:bottom w:val="none" w:color="000000" w:sz="4"/>
              <w:right w:val="single" w:color="000000" w:sz="4"/>
            </w:tcBorders>
          </w:tcP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气象参数仪</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武汉天虹</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TH2009</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2022年5月</w:t>
            </w:r>
          </w:p>
        </w:tc>
      </w:tr>
      <w:tr>
        <w:tc>
          <w:tcPr>
            <w:tcW w:type="dxa" w:w="678"/>
            <w:vMerge/>
            <w:tcBorders>
              <w:top w:val="none" w:color="000000" w:sz="4"/>
              <w:left w:val="single" w:color="000000" w:sz="4"/>
              <w:bottom w:val="none" w:color="000000" w:sz="4"/>
              <w:right w:val="single" w:color="000000" w:sz="4"/>
            </w:tcBorders>
          </w:tcPr>
          <w:p/>
        </w:tc>
        <w:tc>
          <w:tcPr>
            <w:tcW w:type="dxa" w:w="1335"/>
            <w:vMerge/>
            <w:tcBorders>
              <w:top w:val="none" w:color="000000" w:sz="4"/>
              <w:left w:val="none" w:color="000000" w:sz="4"/>
              <w:bottom w:val="none" w:color="000000" w:sz="4"/>
              <w:right w:val="single" w:color="000000" w:sz="4"/>
            </w:tcBorders>
          </w:tcP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站房及配套设施</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武汉天虹</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2022年5月</w:t>
            </w:r>
          </w:p>
        </w:tc>
      </w:tr>
      <w:tr>
        <w:tc>
          <w:tcPr>
            <w:tcW w:type="dxa" w:w="678"/>
            <w:vMerge/>
            <w:tcBorders>
              <w:top w:val="none" w:color="000000" w:sz="4"/>
              <w:left w:val="single" w:color="000000" w:sz="4"/>
              <w:bottom w:val="none" w:color="000000" w:sz="4"/>
              <w:right w:val="single" w:color="000000" w:sz="4"/>
            </w:tcBorders>
          </w:tcPr>
          <w:p/>
        </w:tc>
        <w:tc>
          <w:tcPr>
            <w:tcW w:type="dxa" w:w="1335"/>
            <w:vMerge/>
            <w:tcBorders>
              <w:top w:val="none" w:color="000000" w:sz="4"/>
              <w:left w:val="none" w:color="000000" w:sz="4"/>
              <w:bottom w:val="none" w:color="000000" w:sz="4"/>
              <w:right w:val="single" w:color="000000" w:sz="4"/>
            </w:tcBorders>
          </w:tcP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镇街空气自动监测数据平台</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武汉天虹</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2022年5月</w:t>
            </w:r>
          </w:p>
        </w:tc>
      </w:tr>
      <w:tr>
        <w:tc>
          <w:tcPr>
            <w:tcW w:type="dxa" w:w="678"/>
            <w:vMerge/>
            <w:tcBorders>
              <w:top w:val="none" w:color="000000" w:sz="4"/>
              <w:left w:val="single" w:color="000000" w:sz="4"/>
              <w:bottom w:val="none" w:color="000000" w:sz="4"/>
              <w:right w:val="single" w:color="000000" w:sz="4"/>
            </w:tcBorders>
          </w:tcPr>
          <w:p/>
        </w:tc>
        <w:tc>
          <w:tcPr>
            <w:tcW w:type="dxa" w:w="1335"/>
            <w:vMerge/>
            <w:tcBorders>
              <w:top w:val="none" w:color="000000" w:sz="4"/>
              <w:left w:val="none" w:color="000000" w:sz="4"/>
              <w:bottom w:val="none" w:color="000000" w:sz="4"/>
              <w:right w:val="single" w:color="000000" w:sz="4"/>
            </w:tcBorders>
          </w:tcP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水电费</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678"/>
            <w:vMerge/>
            <w:tcBorders>
              <w:top w:val="none" w:color="000000" w:sz="4"/>
              <w:left w:val="single" w:color="000000" w:sz="4"/>
              <w:bottom w:val="none" w:color="000000" w:sz="4"/>
              <w:right w:val="single" w:color="000000" w:sz="4"/>
            </w:tcBorders>
          </w:tcPr>
          <w:p/>
        </w:tc>
        <w:tc>
          <w:tcPr>
            <w:tcW w:type="dxa" w:w="1335"/>
            <w:vMerge/>
            <w:tcBorders>
              <w:top w:val="none" w:color="000000" w:sz="4"/>
              <w:left w:val="none" w:color="000000" w:sz="4"/>
              <w:bottom w:val="none" w:color="000000" w:sz="4"/>
              <w:right w:val="single" w:color="000000" w:sz="4"/>
            </w:tcBorders>
          </w:tcP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防雷检测费</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678"/>
            <w:vMerge/>
            <w:tcBorders>
              <w:top w:val="none" w:color="000000" w:sz="4"/>
              <w:left w:val="single" w:color="000000" w:sz="4"/>
              <w:bottom w:val="none" w:color="000000" w:sz="4"/>
              <w:right w:val="single" w:color="000000" w:sz="4"/>
            </w:tcBorders>
          </w:tcPr>
          <w:p/>
        </w:tc>
        <w:tc>
          <w:tcPr>
            <w:tcW w:type="dxa" w:w="1335"/>
            <w:vMerge/>
            <w:tcBorders>
              <w:top w:val="none" w:color="000000" w:sz="4"/>
              <w:left w:val="none" w:color="000000" w:sz="4"/>
              <w:bottom w:val="none" w:color="000000" w:sz="4"/>
              <w:right w:val="single" w:color="000000" w:sz="4"/>
            </w:tcBorders>
          </w:tcP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网络通信费</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bl>
    <w:p>
      <w:pPr>
        <w:pStyle w:val="null3"/>
        <w:jc w:val="both"/>
      </w:pPr>
      <w:r>
        <w:rPr>
          <w:sz w:val="21"/>
        </w:rPr>
        <w:t>采购包二：番禺水质自动监测站运行维护项目</w:t>
      </w:r>
    </w:p>
    <w:tbl>
      <w:tblPr>
        <w:tblW w:w="0" w:type="auto"/>
        <w:tblBorders>
          <w:top w:val="none" w:color="000000" w:sz="4"/>
          <w:left w:val="none" w:color="000000" w:sz="4"/>
          <w:bottom w:val="none" w:color="000000" w:sz="4"/>
          <w:right w:val="none" w:color="000000" w:sz="4"/>
          <w:insideH w:val="none"/>
          <w:insideV w:val="none"/>
        </w:tblBorders>
      </w:tblPr>
      <w:tblGrid>
        <w:gridCol w:w="574"/>
        <w:gridCol w:w="1369"/>
        <w:gridCol w:w="1413"/>
        <w:gridCol w:w="1104"/>
        <w:gridCol w:w="1443"/>
        <w:gridCol w:w="574"/>
        <w:gridCol w:w="810"/>
        <w:gridCol w:w="1016"/>
      </w:tblGrid>
      <w:tr>
        <w:tc>
          <w:tcPr>
            <w:tcW w:type="dxa" w:w="5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3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站点名称</w:t>
            </w:r>
          </w:p>
        </w:tc>
        <w:tc>
          <w:tcPr>
            <w:tcW w:type="dxa" w:w="14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仪器</w:t>
            </w:r>
            <w:r>
              <w:rPr>
                <w:sz w:val="21"/>
              </w:rPr>
              <w:t>/项目</w:t>
            </w:r>
          </w:p>
        </w:tc>
        <w:tc>
          <w:tcPr>
            <w:tcW w:type="dxa" w:w="11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厂家</w:t>
            </w:r>
          </w:p>
        </w:tc>
        <w:tc>
          <w:tcPr>
            <w:tcW w:type="dxa" w:w="14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型号</w:t>
            </w:r>
          </w:p>
        </w:tc>
        <w:tc>
          <w:tcPr>
            <w:tcW w:type="dxa" w:w="5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8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验收日期</w:t>
            </w:r>
          </w:p>
        </w:tc>
        <w:tc>
          <w:tcPr>
            <w:tcW w:type="dxa" w:w="10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紫坭</w:t>
            </w:r>
            <w:r>
              <w:rPr>
                <w:sz w:val="21"/>
              </w:rPr>
              <w:t>/中游/东涌/市桥</w:t>
            </w:r>
          </w:p>
        </w:tc>
        <w:tc>
          <w:tcPr>
            <w:tcW w:type="dxa" w:w="1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水质五参数测量仪</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力合科技</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LFWCS-2008</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2022年12月</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中游</w:t>
            </w:r>
            <w:r>
              <w:rPr>
                <w:sz w:val="21"/>
              </w:rPr>
              <w:t>/东涌</w:t>
            </w:r>
          </w:p>
        </w:tc>
        <w:tc>
          <w:tcPr>
            <w:tcW w:type="dxa" w:w="1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氨氮测量仪</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力合科技</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LFNH-DW2001</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2009年9月</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紫坭</w:t>
            </w:r>
            <w:r>
              <w:rPr>
                <w:sz w:val="21"/>
              </w:rPr>
              <w:t>/市桥</w:t>
            </w:r>
          </w:p>
        </w:tc>
        <w:tc>
          <w:tcPr>
            <w:tcW w:type="dxa" w:w="1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氨氮测量仪</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力合科技</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LFNH-DW2001</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2009年9月</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已损坏，备机运行</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紫坭</w:t>
            </w:r>
          </w:p>
        </w:tc>
        <w:tc>
          <w:tcPr>
            <w:tcW w:type="dxa" w:w="1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总磷测量仪</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力合科技</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LFTP-DW2001</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2009年9月</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中游</w:t>
            </w:r>
          </w:p>
        </w:tc>
        <w:tc>
          <w:tcPr>
            <w:tcW w:type="dxa" w:w="1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总磷</w:t>
            </w:r>
            <w:r>
              <w:rPr>
                <w:sz w:val="21"/>
              </w:rPr>
              <w:t>/CODcr测量仪</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DKK</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NPW-150</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2009年9月</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已损坏，备机运行</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市桥</w:t>
            </w:r>
          </w:p>
        </w:tc>
        <w:tc>
          <w:tcPr>
            <w:tcW w:type="dxa" w:w="1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CODcr测量仪</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力合科技</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LFCOD2002</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2009年9月</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市桥</w:t>
            </w:r>
          </w:p>
        </w:tc>
        <w:tc>
          <w:tcPr>
            <w:tcW w:type="dxa" w:w="1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总磷测量仪</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力合科技</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LFS-2002(TP)</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2022年12月</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东涌</w:t>
            </w:r>
          </w:p>
        </w:tc>
        <w:tc>
          <w:tcPr>
            <w:tcW w:type="dxa" w:w="1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总磷测量仪</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岛津</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TNP 4100</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2009年9月</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已损坏，备机运行</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紫坭</w:t>
            </w:r>
          </w:p>
        </w:tc>
        <w:tc>
          <w:tcPr>
            <w:tcW w:type="dxa" w:w="1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高锰酸盐指数测量仪</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力合科技</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LFKM-DW2001</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2009年9月</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东涌</w:t>
            </w:r>
          </w:p>
        </w:tc>
        <w:tc>
          <w:tcPr>
            <w:tcW w:type="dxa" w:w="1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高锰酸盐指数测量仪</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KUNTZE</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K301 COD</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2006年11月</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已损坏，备机运行</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东涌</w:t>
            </w:r>
          </w:p>
        </w:tc>
        <w:tc>
          <w:tcPr>
            <w:tcW w:type="dxa" w:w="1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六价铬测量仪</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KUNTZE</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K201  Cr</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2006年11月</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已损坏，备机运行</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东涌</w:t>
            </w:r>
          </w:p>
        </w:tc>
        <w:tc>
          <w:tcPr>
            <w:tcW w:type="dxa" w:w="1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氰化物</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KUNTZE</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K201 CN</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2006年11月</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已损坏，备机运行</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紫坭</w:t>
            </w:r>
            <w:r>
              <w:rPr>
                <w:sz w:val="21"/>
              </w:rPr>
              <w:t>/市桥</w:t>
            </w:r>
          </w:p>
        </w:tc>
        <w:tc>
          <w:tcPr>
            <w:tcW w:type="dxa" w:w="1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六价铬测量仪</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力合科技</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LFCR-DW2001</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2009年9月</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紫坭</w:t>
            </w:r>
            <w:r>
              <w:rPr>
                <w:sz w:val="21"/>
              </w:rPr>
              <w:t>/中游/市桥</w:t>
            </w:r>
          </w:p>
        </w:tc>
        <w:tc>
          <w:tcPr>
            <w:tcW w:type="dxa" w:w="1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氰化物测量仪</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力合科技</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LFS-2002(CN)</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2009年9月</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中游</w:t>
            </w:r>
            <w:r>
              <w:rPr>
                <w:sz w:val="21"/>
              </w:rPr>
              <w:t>/东涌/市桥</w:t>
            </w:r>
          </w:p>
        </w:tc>
        <w:tc>
          <w:tcPr>
            <w:tcW w:type="dxa" w:w="1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总氮测量仪</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力合科技</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LFS-2002(TN)</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2022年12月</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紫坭</w:t>
            </w:r>
          </w:p>
        </w:tc>
        <w:tc>
          <w:tcPr>
            <w:tcW w:type="dxa" w:w="1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重金属测量仪</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力合科技</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LFTZ-DW2002</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2009年9月</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中游</w:t>
            </w:r>
          </w:p>
        </w:tc>
        <w:tc>
          <w:tcPr>
            <w:tcW w:type="dxa" w:w="1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重金属测量仪</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力合科技</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LFTZ-DW2002</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2009年9月</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已损坏，备机运行</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紫坭</w:t>
            </w:r>
            <w:r>
              <w:rPr>
                <w:sz w:val="21"/>
              </w:rPr>
              <w:t>/中游</w:t>
            </w:r>
          </w:p>
        </w:tc>
        <w:tc>
          <w:tcPr>
            <w:tcW w:type="dxa" w:w="1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挥发酚测量仪</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力合科技</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LFPhe-DW2001</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2009年9月</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中游</w:t>
            </w:r>
            <w:r>
              <w:rPr>
                <w:sz w:val="21"/>
              </w:rPr>
              <w:t>/</w:t>
            </w:r>
          </w:p>
        </w:tc>
        <w:tc>
          <w:tcPr>
            <w:tcW w:type="dxa" w:w="1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砷化物测量仪</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力合科技</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LFAs-DW2001</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2009年9月</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紫坭</w:t>
            </w:r>
          </w:p>
        </w:tc>
        <w:tc>
          <w:tcPr>
            <w:tcW w:type="dxa" w:w="1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砷化物测量仪</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力合科技</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LFAs-DW2001</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2009年9月</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已损坏，备机运行</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紫坭</w:t>
            </w:r>
          </w:p>
        </w:tc>
        <w:tc>
          <w:tcPr>
            <w:tcW w:type="dxa" w:w="1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汞测量仪</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力合科技</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LFS-2002(Hg)</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2022年12月</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雁洲水闸</w:t>
            </w:r>
            <w:r>
              <w:rPr>
                <w:sz w:val="21"/>
              </w:rPr>
              <w:t>/大龙涌口/清流渡口</w:t>
            </w:r>
          </w:p>
        </w:tc>
        <w:tc>
          <w:tcPr>
            <w:tcW w:type="dxa" w:w="1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挥发酚分析仪</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力合科技</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LFS-2002(Phe)</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2022年5月</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清流岛尖</w:t>
            </w:r>
            <w:r>
              <w:rPr>
                <w:sz w:val="21"/>
              </w:rPr>
              <w:t>/海鸥岛尖</w:t>
            </w:r>
          </w:p>
        </w:tc>
        <w:tc>
          <w:tcPr>
            <w:tcW w:type="dxa" w:w="1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挥发酚分析仪</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力合科技</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LFS-2002(Phe)</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2022年12月</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雁洲水闸</w:t>
            </w:r>
            <w:r>
              <w:rPr>
                <w:sz w:val="21"/>
              </w:rPr>
              <w:t>/大龙涌口/清流渡口/清流岛尖/海鸥岛尖/墩涌/沙东地玄/观龙渡口</w:t>
            </w:r>
          </w:p>
        </w:tc>
        <w:tc>
          <w:tcPr>
            <w:tcW w:type="dxa" w:w="1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水质自动采样器</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力合科技</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LFLY-DW2004</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2022年12月</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大龙涌口</w:t>
            </w:r>
          </w:p>
        </w:tc>
        <w:tc>
          <w:tcPr>
            <w:tcW w:type="dxa" w:w="1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流量计</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开闳科技</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RS-HD6X</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2022年5月</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清流岛尖</w:t>
            </w:r>
          </w:p>
        </w:tc>
        <w:tc>
          <w:tcPr>
            <w:tcW w:type="dxa" w:w="1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流量计</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和时通科技</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HST-600</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2022年8月</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紫坭</w:t>
            </w:r>
            <w:r>
              <w:rPr>
                <w:sz w:val="21"/>
              </w:rPr>
              <w:t>/东涌</w:t>
            </w:r>
          </w:p>
        </w:tc>
        <w:tc>
          <w:tcPr>
            <w:tcW w:type="dxa" w:w="1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房租</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站房租赁</w:t>
            </w:r>
          </w:p>
        </w:tc>
      </w:tr>
      <w:tr>
        <w:tc>
          <w:tcPr>
            <w:tcW w:type="dxa" w:w="574"/>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1369"/>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新涌水闸、屏山水闸、龙湾水闸、大巷涌水闸、涌口涌水闸、大塱涌水闸、大蕴涌水闸、下婆水闸、蚬涌南闸、雁洲水闸、蟛蜞南水闸、草河水闸、孖涌水闸、蚬涌篸颈水闸、大口涌南闸、大口涌北闸、沙拦水闸、孖坝水闸、五十亩水闸、塱沙涌水闸、杨家涌水闸</w:t>
            </w:r>
          </w:p>
        </w:tc>
        <w:tc>
          <w:tcPr>
            <w:tcW w:type="dxa" w:w="1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水质五参数测量仪</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聚光科技</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WCS-2000</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2022年6月2日</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4"/>
            <w:vMerge/>
            <w:tcBorders>
              <w:top w:val="none" w:color="000000" w:sz="4"/>
              <w:left w:val="single" w:color="000000" w:sz="4"/>
              <w:bottom w:val="none" w:color="000000" w:sz="4"/>
              <w:right w:val="single" w:color="000000" w:sz="4"/>
            </w:tcBorders>
          </w:tcPr>
          <w:p/>
        </w:tc>
        <w:tc>
          <w:tcPr>
            <w:tcW w:type="dxa" w:w="1369"/>
            <w:vMerge/>
            <w:tcBorders>
              <w:top w:val="none" w:color="000000" w:sz="4"/>
              <w:left w:val="none" w:color="000000" w:sz="4"/>
              <w:bottom w:val="none" w:color="000000" w:sz="4"/>
              <w:right w:val="single" w:color="000000" w:sz="4"/>
            </w:tcBorders>
          </w:tcPr>
          <w:p/>
        </w:tc>
        <w:tc>
          <w:tcPr>
            <w:tcW w:type="dxa" w:w="1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氨氮测量仪</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聚光科技</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NH3N-2000</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2022年6月2日</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4"/>
            <w:vMerge/>
            <w:tcBorders>
              <w:top w:val="none" w:color="000000" w:sz="4"/>
              <w:left w:val="single" w:color="000000" w:sz="4"/>
              <w:bottom w:val="none" w:color="000000" w:sz="4"/>
              <w:right w:val="single" w:color="000000" w:sz="4"/>
            </w:tcBorders>
          </w:tcPr>
          <w:p/>
        </w:tc>
        <w:tc>
          <w:tcPr>
            <w:tcW w:type="dxa" w:w="1369"/>
            <w:vMerge/>
            <w:tcBorders>
              <w:top w:val="none" w:color="000000" w:sz="4"/>
              <w:left w:val="none" w:color="000000" w:sz="4"/>
              <w:bottom w:val="none" w:color="000000" w:sz="4"/>
              <w:right w:val="single" w:color="000000" w:sz="4"/>
            </w:tcBorders>
          </w:tcPr>
          <w:p/>
        </w:tc>
        <w:tc>
          <w:tcPr>
            <w:tcW w:type="dxa" w:w="1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总磷测量</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聚光科技</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TPN-2000(TP)</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2022年6月2日</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4"/>
            <w:vMerge/>
            <w:tcBorders>
              <w:top w:val="none" w:color="000000" w:sz="4"/>
              <w:left w:val="single" w:color="000000" w:sz="4"/>
              <w:bottom w:val="none" w:color="000000" w:sz="4"/>
              <w:right w:val="single" w:color="000000" w:sz="4"/>
            </w:tcBorders>
          </w:tcPr>
          <w:p/>
        </w:tc>
        <w:tc>
          <w:tcPr>
            <w:tcW w:type="dxa" w:w="1369"/>
            <w:vMerge/>
            <w:tcBorders>
              <w:top w:val="none" w:color="000000" w:sz="4"/>
              <w:left w:val="none" w:color="000000" w:sz="4"/>
              <w:bottom w:val="none" w:color="000000" w:sz="4"/>
              <w:right w:val="single" w:color="000000" w:sz="4"/>
            </w:tcBorders>
          </w:tcPr>
          <w:p/>
        </w:tc>
        <w:tc>
          <w:tcPr>
            <w:tcW w:type="dxa" w:w="1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高锰酸盐指数测量仪</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聚光科技</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SIA-2000</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2022年6月2日</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所有站点</w:t>
            </w:r>
          </w:p>
        </w:tc>
        <w:tc>
          <w:tcPr>
            <w:tcW w:type="dxa" w:w="1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水电费</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所有站点</w:t>
            </w:r>
          </w:p>
        </w:tc>
        <w:tc>
          <w:tcPr>
            <w:tcW w:type="dxa" w:w="1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网络通讯费</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所有站点</w:t>
            </w:r>
          </w:p>
        </w:tc>
        <w:tc>
          <w:tcPr>
            <w:tcW w:type="dxa" w:w="1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废液处理</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bl>
    <w:p>
      <w:pPr>
        <w:pStyle w:val="null3"/>
      </w:pPr>
      <w:r>
        <w:rPr/>
        <w:t>采购包1（番禺区环境空气自动监测站运维服务项目）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自合同签订之日至2026年6月30日</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第1期为(预付款)：支付比例30%，签订合同后5个工作日内，采购人向成交供应商支付合同金额的30%作为预付款。</w:t>
            </w:r>
          </w:p>
          <w:p>
            <w:pPr>
              <w:pStyle w:val="null3"/>
            </w:pPr>
            <w:r>
              <w:rPr/>
              <w:t>第2期为(进度款)：支付比例30%，在完成6个月的运维工作后，成交供应商提交运维维护报告或相关材料并经采购人审核合格后5个工作日内办理支付手续合同金额的30%。</w:t>
            </w:r>
          </w:p>
          <w:p>
            <w:pPr>
              <w:pStyle w:val="null3"/>
            </w:pPr>
            <w:r>
              <w:rPr/>
              <w:t>第3期为(进度款)：支付比例30%，在完成9个月的运维工作后，成交供应商提交运维维护报告或相关材料并经采购人审核合格后5个工作日内办理支付手续合同金额的30%。</w:t>
            </w:r>
          </w:p>
          <w:p>
            <w:pPr>
              <w:pStyle w:val="null3"/>
            </w:pPr>
            <w:r>
              <w:rPr/>
              <w:t>第4期为(尾款)：支付比例10%，在完成周期运维工作后，成交供应商提交年终的运维维护报告或相关材料并经采购人审核合格后5个工作日内办理支付手续合同金额的10%。 付款方式：成交供应商在支付当月开具正式税务发票原件交采购人，采购人在收到发票审核无误后5个工作日内向成交供应商支付服务费（采购人办理请款手续后即视为付款，具体到账时间以财政部门划拨为准）。 本合同的付款时间为采购人向政府采购支付部门提出支付申请的时间（不含政府财政支付部门审查的时间）。本合同的金额如需政府采购支付部门审核确定的，以政府采购支付部门审核确定的金额为准。</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1期：运维期结束后10日内，须向广州市生态环境局番禺环境监测站提交运维工作总结报告及相关运维记录材料等，广州市生态环境局番禺环境监测站按照相关标准规范及番禺分局要求对运维工作进行评估验收。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其他，（一）★供应商必须如实提供响应所需证明材料，不得弄虚作假。供应商如果没有在响应文件中注明偏离的条款，被视为供应商已完全接受本磋商文件。 （二）在有效服务期内，如成交供应商在人员配置、作业管理、质量控制等各个方面不能满足磋商文件、政府采购合同的相关要求或没有实现响应文件中的相关承诺，采购人有权单方面无责解除合同，并保留追究其法律责任的权利。 （三）除采购人在磋商文件中明确外，成交供应商不可以转包本项目，取得采购人同意后可进行部分内容分包。 （四）本项目需求中未作细化详尽的地方，采购人将在服务项目开始前制定具体的要求，服务机构应遵守执行；当政策法规发生调整或者工作形势发生变更，采购人可以调整有关工作要求，服务机构应按采购人要求实施。</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其他维修和保养服务</w:t>
            </w:r>
          </w:p>
        </w:tc>
        <w:tc>
          <w:tcPr>
            <w:tcW w:type="dxa" w:w="933"/>
          </w:tcPr>
          <w:p>
            <w:pPr>
              <w:pStyle w:val="null3"/>
              <w:jc w:val="left"/>
            </w:pPr>
            <w:r>
              <w:rPr/>
              <w:t>番禺区环境空气自动监测站运维服务项目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1,202,800.00</w:t>
            </w:r>
          </w:p>
        </w:tc>
        <w:tc>
          <w:tcPr>
            <w:tcW w:type="dxa" w:w="933"/>
          </w:tcPr>
          <w:p>
            <w:pPr>
              <w:pStyle w:val="null3"/>
              <w:jc w:val="right"/>
            </w:pPr>
            <w:r>
              <w:rPr/>
              <w:t>1,202,800.00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番禺区环境空气自动监测站运维服务项目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一、环境空气自动监测站运行和维护工作目标要求</w:t>
            </w:r>
          </w:p>
          <w:p>
            <w:pPr>
              <w:pStyle w:val="null3"/>
              <w:jc w:val="both"/>
            </w:pPr>
            <w:r>
              <w:rPr>
                <w:sz w:val="21"/>
                <w:b/>
              </w:rPr>
              <w:t>（一）执行标准及依据</w:t>
            </w:r>
          </w:p>
          <w:p>
            <w:pPr>
              <w:pStyle w:val="null3"/>
              <w:ind w:firstLine="420"/>
              <w:jc w:val="both"/>
            </w:pPr>
            <w:r>
              <w:rPr>
                <w:sz w:val="21"/>
              </w:rPr>
              <w:t>1、《环境空气质量标准》（GB3095-2012）及2018年修改单。</w:t>
            </w:r>
          </w:p>
          <w:p>
            <w:pPr>
              <w:pStyle w:val="null3"/>
              <w:ind w:firstLine="420"/>
              <w:jc w:val="both"/>
            </w:pPr>
            <w:r>
              <w:rPr>
                <w:sz w:val="21"/>
              </w:rPr>
              <w:t>2、《环境空气颗粒物（PM10 和 PM2.5）连续自动监测系统运行和质控技术规范》(HJ817-2018）</w:t>
            </w:r>
          </w:p>
          <w:p>
            <w:pPr>
              <w:pStyle w:val="null3"/>
              <w:ind w:firstLine="420"/>
              <w:jc w:val="both"/>
            </w:pPr>
            <w:r>
              <w:rPr>
                <w:sz w:val="21"/>
              </w:rPr>
              <w:t>3、《环境空气气态污染物（SO</w:t>
            </w:r>
            <w:r>
              <w:rPr>
                <w:sz w:val="21"/>
                <w:vertAlign w:val="subscript"/>
              </w:rPr>
              <w:t>2</w:t>
            </w:r>
            <w:r>
              <w:rPr>
                <w:sz w:val="21"/>
              </w:rPr>
              <w:t>、</w:t>
            </w:r>
            <w:r>
              <w:rPr>
                <w:sz w:val="21"/>
              </w:rPr>
              <w:t>NO</w:t>
            </w:r>
            <w:r>
              <w:rPr>
                <w:sz w:val="21"/>
                <w:vertAlign w:val="subscript"/>
              </w:rPr>
              <w:t>2</w:t>
            </w:r>
            <w:r>
              <w:rPr>
                <w:sz w:val="21"/>
              </w:rPr>
              <w:t>、</w:t>
            </w:r>
            <w:r>
              <w:rPr>
                <w:sz w:val="21"/>
              </w:rPr>
              <w:t>O</w:t>
            </w:r>
            <w:r>
              <w:rPr>
                <w:sz w:val="21"/>
                <w:vertAlign w:val="subscript"/>
              </w:rPr>
              <w:t>3</w:t>
            </w:r>
            <w:r>
              <w:rPr>
                <w:sz w:val="21"/>
              </w:rPr>
              <w:t>、</w:t>
            </w:r>
            <w:r>
              <w:rPr>
                <w:sz w:val="21"/>
              </w:rPr>
              <w:t>CO）连续自动监测系统运行和质控技术规范》(HJ 818-2018)。</w:t>
            </w:r>
          </w:p>
          <w:p>
            <w:pPr>
              <w:pStyle w:val="null3"/>
              <w:ind w:firstLine="420"/>
              <w:jc w:val="both"/>
            </w:pPr>
            <w:r>
              <w:rPr>
                <w:sz w:val="21"/>
              </w:rPr>
              <w:t>4、广州市国控和省控空气质量自动监测站建设与运行管理办法实施细则（暂行）</w:t>
            </w:r>
          </w:p>
          <w:p>
            <w:pPr>
              <w:pStyle w:val="null3"/>
              <w:ind w:firstLine="420"/>
              <w:jc w:val="both"/>
            </w:pPr>
            <w:r>
              <w:rPr>
                <w:sz w:val="21"/>
              </w:rPr>
              <w:t>5、国家及广东省、广州市颁布的有关空气自动监测方面的其它相关标准、规范和文件。</w:t>
            </w:r>
          </w:p>
          <w:p>
            <w:pPr>
              <w:pStyle w:val="null3"/>
              <w:jc w:val="both"/>
            </w:pPr>
            <w:r>
              <w:rPr>
                <w:sz w:val="21"/>
                <w:b/>
              </w:rPr>
              <w:t>（二）工作目标</w:t>
            </w:r>
          </w:p>
          <w:p>
            <w:pPr>
              <w:pStyle w:val="null3"/>
              <w:ind w:firstLine="420"/>
              <w:jc w:val="both"/>
            </w:pPr>
            <w:r>
              <w:rPr>
                <w:sz w:val="21"/>
              </w:rPr>
              <w:t>1、保证环境空气自动监测站（包括仪器、数据采集和传输、站房及配套设施）的正常运作。</w:t>
            </w:r>
          </w:p>
          <w:p>
            <w:pPr>
              <w:pStyle w:val="null3"/>
              <w:ind w:firstLine="420"/>
              <w:jc w:val="both"/>
            </w:pPr>
            <w:r>
              <w:rPr>
                <w:sz w:val="21"/>
              </w:rPr>
              <w:t>2、保证数据的采集频率及采集量必须满足或优于国家标准《环境空气质量标准》规定的有效性数据的要求和国家总站以及广东省对环境空气质量自动监测数据捕获率和有效率的要求，提供真实有效的数据。</w:t>
            </w:r>
          </w:p>
          <w:p>
            <w:pPr>
              <w:pStyle w:val="null3"/>
              <w:ind w:firstLine="420"/>
              <w:jc w:val="both"/>
            </w:pPr>
            <w:r>
              <w:rPr>
                <w:sz w:val="21"/>
              </w:rPr>
              <w:t>3、保证市控空气站点和镇街空气站点数据上传国家总站数据平台和广州市环境空气自动监测数据平台，数据捕获率和捕获数据有效率满足要求。</w:t>
            </w:r>
          </w:p>
          <w:p>
            <w:pPr>
              <w:pStyle w:val="null3"/>
              <w:jc w:val="both"/>
            </w:pPr>
            <w:r>
              <w:rPr>
                <w:sz w:val="21"/>
                <w:b/>
              </w:rPr>
              <w:t>（三）要求</w:t>
            </w:r>
          </w:p>
          <w:p>
            <w:pPr>
              <w:pStyle w:val="null3"/>
              <w:ind w:firstLine="420"/>
              <w:jc w:val="both"/>
            </w:pPr>
            <w:r>
              <w:rPr>
                <w:sz w:val="21"/>
              </w:rPr>
              <w:t>1、供应商专门针对本项目的维护技术人员不少于4名，维护专用车辆不少于两辆，保证番禺区环境空气自动监测站运维工作的质量以及突发事件的应急处理能力。</w:t>
            </w:r>
          </w:p>
          <w:p>
            <w:pPr>
              <w:pStyle w:val="null3"/>
              <w:ind w:firstLine="420"/>
              <w:jc w:val="both"/>
            </w:pPr>
            <w:r>
              <w:rPr>
                <w:sz w:val="21"/>
              </w:rPr>
              <w:t>2、供应商的维护人员需经过相关专业培训、取得环境空气自动监测站运维考核合格相关证明。</w:t>
            </w:r>
          </w:p>
          <w:p>
            <w:pPr>
              <w:pStyle w:val="null3"/>
              <w:ind w:firstLine="420"/>
              <w:jc w:val="both"/>
            </w:pPr>
            <w:r>
              <w:rPr>
                <w:sz w:val="21"/>
              </w:rPr>
              <w:t>3、为保证监测数据的可靠性和延续性，供应商所提供的颗粒物分析仪、二氧化硫分析仪、氮氧化物分析仪、臭氧分析仪、一氧化碳分析仪、动态校准仪、零气发生器等备机应通过中国环境监测总站相关检验合格。</w:t>
            </w:r>
          </w:p>
          <w:p>
            <w:pPr>
              <w:pStyle w:val="null3"/>
              <w:ind w:firstLine="420"/>
              <w:jc w:val="both"/>
            </w:pPr>
            <w:r>
              <w:rPr>
                <w:sz w:val="21"/>
              </w:rPr>
              <w:t>4、供应商需提供一套经过SRP一级传递的臭氧校准仪，提供相关设备自有权属证明和在有效期内SRP溯源证书，保证成交后两个月内完成空气自动站的臭氧监测仪的质量溯源工作并提交质量溯源报告。</w:t>
            </w:r>
          </w:p>
          <w:p>
            <w:pPr>
              <w:pStyle w:val="null3"/>
              <w:ind w:firstLine="420"/>
              <w:jc w:val="both"/>
            </w:pPr>
            <w:r>
              <w:rPr>
                <w:sz w:val="21"/>
              </w:rPr>
              <w:t>5、运行单位须建立质控保证实验室，须配置不少于2套高量程标准流量计、低量程标准流量计、标准大气压计、标准温湿度计等质控设备，并保证质控设备定期经过专业计量检定/校准；质控保证实验室还需提供满足日常颗粒物分析仪、二氧化硫分析仪、氮氧化物分析仪、臭氧分析仪、一氧化碳分析仪、动态校准仪、零气发生器等监测设备的质控设备，满足空气站日常质量保证要求。</w:t>
            </w:r>
          </w:p>
          <w:p>
            <w:pPr>
              <w:pStyle w:val="null3"/>
              <w:ind w:firstLine="420"/>
              <w:jc w:val="both"/>
            </w:pPr>
            <w:r>
              <w:rPr>
                <w:sz w:val="21"/>
              </w:rPr>
              <w:t>6、供应商承担空气自动站的易耗品耗材、零配件、水费、电费及网络通讯费、站房租赁、防雷年检等运维工作中产生的费用，所有费用包含在响应报价内。</w:t>
            </w:r>
          </w:p>
          <w:p>
            <w:pPr>
              <w:pStyle w:val="null3"/>
              <w:ind w:firstLine="420"/>
              <w:jc w:val="both"/>
            </w:pPr>
            <w:r>
              <w:rPr>
                <w:sz w:val="21"/>
              </w:rPr>
              <w:t>7、番禺区环境空气自动监测站的数据除了接入广州市环境空气数据平台外，还实时接入广东省和国家环境空气数据平台。因此，供应商必须保证能将数据准确有效的传输到各个数据平台上。</w:t>
            </w:r>
          </w:p>
          <w:p>
            <w:pPr>
              <w:pStyle w:val="null3"/>
              <w:ind w:firstLine="420"/>
              <w:jc w:val="both"/>
            </w:pPr>
            <w:r>
              <w:rPr>
                <w:sz w:val="21"/>
              </w:rPr>
              <w:t>8、供应商应按国家及省市相关法律法规和规定计算并支付投入本项目人员的各项劳动报酬及社保相关费用全部由供应商自行解决（包含在响应报价内），采购人不再支付任何费用。</w:t>
            </w:r>
          </w:p>
          <w:p>
            <w:pPr>
              <w:pStyle w:val="null3"/>
              <w:ind w:firstLine="420"/>
              <w:jc w:val="both"/>
            </w:pPr>
            <w:r>
              <w:rPr>
                <w:sz w:val="21"/>
              </w:rPr>
              <w:t>10、供应商必须积极配合广州市生态环境局番禺环境监测站工作，做好接受各级管理部门的检查、监督工作，并提供与其工作有关的资料、信息等，所有费用包含在响应报价内。</w:t>
            </w:r>
          </w:p>
          <w:p>
            <w:pPr>
              <w:pStyle w:val="null3"/>
              <w:ind w:firstLine="420"/>
              <w:jc w:val="both"/>
            </w:pPr>
            <w:r>
              <w:rPr>
                <w:sz w:val="21"/>
              </w:rPr>
              <w:t>11、参与履行运行维护服务本项目的所有人员，对工作中所涉的数据、资料及文件等负有保密义务，未经采购人同意，不得向第三方泄露。</w:t>
            </w:r>
          </w:p>
          <w:p>
            <w:pPr>
              <w:pStyle w:val="null3"/>
              <w:ind w:left="420" w:firstLine="420"/>
              <w:jc w:val="both"/>
            </w:pPr>
            <w:r>
              <w:rPr>
                <w:sz w:val="21"/>
                <w:b/>
              </w:rPr>
              <w:t>二、对环境空气自动监测站运行维护服务工作各项要求</w:t>
            </w:r>
          </w:p>
          <w:p>
            <w:pPr>
              <w:pStyle w:val="null3"/>
              <w:jc w:val="both"/>
            </w:pPr>
            <w:r>
              <w:rPr>
                <w:sz w:val="21"/>
                <w:b/>
              </w:rPr>
              <w:t>（一）日常运行巡视具体要求</w:t>
            </w:r>
          </w:p>
          <w:p>
            <w:pPr>
              <w:pStyle w:val="null3"/>
              <w:ind w:firstLine="420"/>
              <w:jc w:val="both"/>
            </w:pPr>
            <w:r>
              <w:rPr>
                <w:sz w:val="21"/>
              </w:rPr>
              <w:t>1、保证空气空气自动站的仪器系统及站房配套设施的财产安全，做好防火、防雨、防风、防盗和卫生清洁工作。保障站房内空调、电力线路、照明系统、排气设备等设施正常运行，若因此引起安全事故、责任等所有损失由成交供应商承担。</w:t>
            </w:r>
          </w:p>
          <w:p>
            <w:pPr>
              <w:pStyle w:val="null3"/>
              <w:ind w:firstLine="420"/>
              <w:jc w:val="both"/>
            </w:pPr>
            <w:r>
              <w:rPr>
                <w:sz w:val="21"/>
              </w:rPr>
              <w:t>2、维护人员每天8:30-9:30和17:00-18:00两个时段必须登录数据平台对各空气自动站数据进行调阅检查及分析。若发现数据有异常状况，必须尽快安排现场巡查并及时报告。</w:t>
            </w:r>
          </w:p>
          <w:p>
            <w:pPr>
              <w:pStyle w:val="null3"/>
              <w:ind w:firstLine="420"/>
              <w:jc w:val="both"/>
            </w:pPr>
            <w:r>
              <w:rPr>
                <w:sz w:val="21"/>
              </w:rPr>
              <w:t>3、每周至少巡视一次各空气自动站，检查各台仪器的工作状态。查看各仪器的关键技术参数，仪器数据的有效性，空调的工作情况，室内温度湿度，采样风机，采样管，PM2.5、PM10加热温度，采样管加热温度，管路密封情况，室外采样头，避雷接地情况，数据采集器的数据是否与仪器一致，空气自动站通讯是否正常等，做好日常的维护记录。维护记录作为日常维护工作的必要有效文件，定期归集放空气自动站备查，定期归档。</w:t>
            </w:r>
          </w:p>
          <w:p>
            <w:pPr>
              <w:pStyle w:val="null3"/>
              <w:ind w:firstLine="420"/>
              <w:jc w:val="both"/>
            </w:pPr>
            <w:r>
              <w:rPr>
                <w:sz w:val="21"/>
              </w:rPr>
              <w:t>4、定期、及时更换易耗品。所有的易耗品必须是仪器原厂家的原配易耗品。运行维护服务必须配备足够的在有效期内的各项目标准气体。</w:t>
            </w:r>
          </w:p>
          <w:p>
            <w:pPr>
              <w:pStyle w:val="null3"/>
              <w:ind w:firstLine="420"/>
              <w:jc w:val="both"/>
            </w:pPr>
            <w:r>
              <w:rPr>
                <w:sz w:val="21"/>
              </w:rPr>
              <w:t>5、在日常巡查维护过程中，若发现仪器或配套设备出现故障不能正常工作，应立即组织力量进行问题确认、排查故障和修复。故障的确认应该在到达现场后2小时内完成，修复工作应该在到达现场后4小时内完成，最长不能超过12小时。若不能马上修复，需要更换非常规的零配件时，必须在到达现场后24小时内完成。若不能在24小时内完成故障的解决，则成交供应商必须用其单位的备机替代。在以上响应的同时必须满足国家标准《环境空气质量标准》（GB3095-2012）中数据有效性的最低要求。</w:t>
            </w:r>
          </w:p>
          <w:p>
            <w:pPr>
              <w:pStyle w:val="null3"/>
              <w:ind w:firstLine="420"/>
              <w:jc w:val="both"/>
            </w:pPr>
            <w:r>
              <w:rPr>
                <w:sz w:val="21"/>
              </w:rPr>
              <w:t>6、</w:t>
            </w:r>
            <w:r>
              <w:rPr>
                <w:sz w:val="21"/>
              </w:rPr>
              <w:t>运行维护服务对</w:t>
            </w:r>
            <w:r>
              <w:rPr>
                <w:sz w:val="21"/>
              </w:rPr>
              <w:t>仪器设备</w:t>
            </w:r>
            <w:r>
              <w:rPr>
                <w:sz w:val="21"/>
              </w:rPr>
              <w:t>检查项目内容的要求</w:t>
            </w:r>
          </w:p>
          <w:p>
            <w:pPr>
              <w:pStyle w:val="null3"/>
              <w:jc w:val="center"/>
            </w:pPr>
            <w:r>
              <w:rPr>
                <w:sz w:val="21"/>
                <w:b/>
              </w:rPr>
              <w:t>表三：</w:t>
            </w:r>
            <w:r>
              <w:rPr>
                <w:sz w:val="21"/>
                <w:b/>
              </w:rPr>
              <w:t>检查项目内容及频次表</w:t>
            </w:r>
          </w:p>
          <w:tbl>
            <w:tblPr>
              <w:tblBorders>
                <w:top w:val="none" w:color="000000" w:sz="4"/>
                <w:left w:val="none" w:color="000000" w:sz="4"/>
                <w:bottom w:val="none" w:color="000000" w:sz="4"/>
                <w:right w:val="none" w:color="000000" w:sz="4"/>
                <w:insideH w:val="none"/>
                <w:insideV w:val="none"/>
              </w:tblBorders>
            </w:tblPr>
            <w:tblGrid>
              <w:gridCol w:w="457"/>
              <w:gridCol w:w="1028"/>
              <w:gridCol w:w="4112"/>
            </w:tblGrid>
            <w:tr>
              <w:tc>
                <w:tcPr>
                  <w:tcW w:type="dxa" w:w="4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0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频次</w:t>
                  </w:r>
                </w:p>
              </w:tc>
              <w:tc>
                <w:tcPr>
                  <w:tcW w:type="dxa" w:w="41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项目内容</w:t>
                  </w:r>
                </w:p>
              </w:tc>
            </w:tr>
            <w:tr>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每周一次</w:t>
                  </w:r>
                </w:p>
              </w:tc>
              <w:tc>
                <w:tcPr>
                  <w:tcW w:type="dxa" w:w="4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各空气自动站日常巡查</w:t>
                  </w:r>
                </w:p>
              </w:tc>
            </w:tr>
            <w:tr>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每周一次</w:t>
                  </w:r>
                </w:p>
              </w:tc>
              <w:tc>
                <w:tcPr>
                  <w:tcW w:type="dxa" w:w="4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PM10/PM2.5/SO</w:t>
                  </w:r>
                  <w:r>
                    <w:rPr>
                      <w:sz w:val="21"/>
                      <w:vertAlign w:val="subscript"/>
                    </w:rPr>
                    <w:t>2</w:t>
                  </w:r>
                  <w:r>
                    <w:rPr>
                      <w:sz w:val="21"/>
                    </w:rPr>
                    <w:t>/</w:t>
                  </w:r>
                  <w:r>
                    <w:rPr>
                      <w:sz w:val="21"/>
                    </w:rPr>
                    <w:t>NO</w:t>
                  </w:r>
                  <w:r>
                    <w:rPr>
                      <w:sz w:val="21"/>
                      <w:vertAlign w:val="subscript"/>
                    </w:rPr>
                    <w:t>2</w:t>
                  </w:r>
                  <w:r>
                    <w:rPr>
                      <w:sz w:val="21"/>
                    </w:rPr>
                    <w:t>/CO/</w:t>
                  </w:r>
                  <w:r>
                    <w:rPr>
                      <w:sz w:val="21"/>
                    </w:rPr>
                    <w:t>O</w:t>
                  </w:r>
                  <w:r>
                    <w:rPr>
                      <w:sz w:val="21"/>
                      <w:vertAlign w:val="subscript"/>
                    </w:rPr>
                    <w:t>3</w:t>
                  </w:r>
                  <w:r>
                    <w:rPr>
                      <w:sz w:val="21"/>
                    </w:rPr>
                    <w:t>零跨标检查</w:t>
                  </w:r>
                  <w:r>
                    <w:rPr>
                      <w:sz w:val="21"/>
                    </w:rPr>
                    <w:t>/校准</w:t>
                  </w:r>
                </w:p>
              </w:tc>
            </w:tr>
            <w:tr>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w:t>
                  </w:r>
                  <w:r>
                    <w:rPr>
                      <w:sz w:val="21"/>
                    </w:rPr>
                    <w:t>2周一次</w:t>
                  </w:r>
                </w:p>
              </w:tc>
              <w:tc>
                <w:tcPr>
                  <w:tcW w:type="dxa" w:w="4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每台仪器精度检查</w:t>
                  </w:r>
                </w:p>
              </w:tc>
            </w:tr>
            <w:tr>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w:t>
                  </w:r>
                  <w:r>
                    <w:rPr>
                      <w:sz w:val="21"/>
                    </w:rPr>
                    <w:t>2周一次</w:t>
                  </w:r>
                </w:p>
              </w:tc>
              <w:tc>
                <w:tcPr>
                  <w:tcW w:type="dxa" w:w="4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NO</w:t>
                  </w:r>
                  <w:r>
                    <w:rPr>
                      <w:sz w:val="21"/>
                      <w:vertAlign w:val="subscript"/>
                    </w:rPr>
                    <w:t>2</w:t>
                  </w:r>
                  <w:r>
                    <w:rPr>
                      <w:sz w:val="21"/>
                    </w:rPr>
                    <w:t>钼转换效率</w:t>
                  </w:r>
                </w:p>
              </w:tc>
            </w:tr>
            <w:tr>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每月一次</w:t>
                  </w:r>
                </w:p>
              </w:tc>
              <w:tc>
                <w:tcPr>
                  <w:tcW w:type="dxa" w:w="4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SO</w:t>
                  </w:r>
                  <w:r>
                    <w:rPr>
                      <w:sz w:val="21"/>
                      <w:vertAlign w:val="subscript"/>
                    </w:rPr>
                    <w:t>2</w:t>
                  </w:r>
                  <w:r>
                    <w:rPr>
                      <w:sz w:val="21"/>
                    </w:rPr>
                    <w:t>/</w:t>
                  </w:r>
                  <w:r>
                    <w:rPr>
                      <w:sz w:val="21"/>
                    </w:rPr>
                    <w:t>NO</w:t>
                  </w:r>
                  <w:r>
                    <w:rPr>
                      <w:sz w:val="21"/>
                      <w:vertAlign w:val="subscript"/>
                    </w:rPr>
                    <w:t>2</w:t>
                  </w:r>
                  <w:r>
                    <w:rPr>
                      <w:sz w:val="21"/>
                    </w:rPr>
                    <w:t>/CO/</w:t>
                  </w:r>
                  <w:r>
                    <w:rPr>
                      <w:sz w:val="21"/>
                    </w:rPr>
                    <w:t>O</w:t>
                  </w:r>
                  <w:r>
                    <w:rPr>
                      <w:sz w:val="21"/>
                      <w:vertAlign w:val="subscript"/>
                    </w:rPr>
                    <w:t>3</w:t>
                  </w:r>
                  <w:r>
                    <w:rPr>
                      <w:sz w:val="21"/>
                    </w:rPr>
                    <w:t>流量检查</w:t>
                  </w:r>
                  <w:r>
                    <w:rPr>
                      <w:sz w:val="21"/>
                    </w:rPr>
                    <w:t>/校准</w:t>
                  </w:r>
                </w:p>
              </w:tc>
            </w:tr>
            <w:tr>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每月一次</w:t>
                  </w:r>
                </w:p>
              </w:tc>
              <w:tc>
                <w:tcPr>
                  <w:tcW w:type="dxa" w:w="4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风机</w:t>
                  </w:r>
                  <w:r>
                    <w:rPr>
                      <w:sz w:val="21"/>
                    </w:rPr>
                    <w:t>/加热/空调检查</w:t>
                  </w:r>
                </w:p>
              </w:tc>
            </w:tr>
            <w:tr>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每月一次</w:t>
                  </w:r>
                </w:p>
              </w:tc>
              <w:tc>
                <w:tcPr>
                  <w:tcW w:type="dxa" w:w="4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数据采集器数据备份</w:t>
                  </w:r>
                </w:p>
              </w:tc>
            </w:tr>
            <w:tr>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每月一次</w:t>
                  </w:r>
                </w:p>
              </w:tc>
              <w:tc>
                <w:tcPr>
                  <w:tcW w:type="dxa" w:w="4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清洁</w:t>
                  </w:r>
                  <w:r>
                    <w:rPr>
                      <w:sz w:val="21"/>
                    </w:rPr>
                    <w:t>PM2.5</w:t>
                  </w:r>
                  <w:r>
                    <w:rPr>
                      <w:sz w:val="21"/>
                    </w:rPr>
                    <w:t>、</w:t>
                  </w:r>
                  <w:r>
                    <w:rPr>
                      <w:sz w:val="21"/>
                    </w:rPr>
                    <w:t>PM10</w:t>
                  </w:r>
                  <w:r>
                    <w:rPr>
                      <w:sz w:val="21"/>
                    </w:rPr>
                    <w:t>、重金属仪采样口</w:t>
                  </w:r>
                </w:p>
              </w:tc>
            </w:tr>
            <w:tr>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每季度一次</w:t>
                  </w:r>
                </w:p>
              </w:tc>
              <w:tc>
                <w:tcPr>
                  <w:tcW w:type="dxa" w:w="4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SO</w:t>
                  </w:r>
                  <w:r>
                    <w:rPr>
                      <w:sz w:val="21"/>
                      <w:vertAlign w:val="subscript"/>
                    </w:rPr>
                    <w:t>2</w:t>
                  </w:r>
                  <w:r>
                    <w:rPr>
                      <w:sz w:val="21"/>
                    </w:rPr>
                    <w:t>/</w:t>
                  </w:r>
                  <w:r>
                    <w:rPr>
                      <w:sz w:val="21"/>
                    </w:rPr>
                    <w:t>NO</w:t>
                  </w:r>
                  <w:r>
                    <w:rPr>
                      <w:sz w:val="21"/>
                      <w:vertAlign w:val="subscript"/>
                    </w:rPr>
                    <w:t>2</w:t>
                  </w:r>
                  <w:r>
                    <w:rPr>
                      <w:sz w:val="21"/>
                    </w:rPr>
                    <w:t>/CO/</w:t>
                  </w:r>
                  <w:r>
                    <w:rPr>
                      <w:sz w:val="21"/>
                    </w:rPr>
                    <w:t>O</w:t>
                  </w:r>
                  <w:r>
                    <w:rPr>
                      <w:sz w:val="21"/>
                      <w:vertAlign w:val="subscript"/>
                    </w:rPr>
                    <w:t>3</w:t>
                  </w:r>
                  <w:r>
                    <w:rPr>
                      <w:sz w:val="21"/>
                    </w:rPr>
                    <w:t>多点校准</w:t>
                  </w:r>
                </w:p>
              </w:tc>
            </w:tr>
            <w:tr>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每季度一次</w:t>
                  </w:r>
                </w:p>
              </w:tc>
              <w:tc>
                <w:tcPr>
                  <w:tcW w:type="dxa" w:w="4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清洗各仪器及采样管路</w:t>
                  </w:r>
                </w:p>
              </w:tc>
            </w:tr>
            <w:tr>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每季度一次</w:t>
                  </w:r>
                </w:p>
              </w:tc>
              <w:tc>
                <w:tcPr>
                  <w:tcW w:type="dxa" w:w="4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PM</w:t>
                  </w:r>
                  <w:r>
                    <w:rPr>
                      <w:sz w:val="21"/>
                      <w:vertAlign w:val="subscript"/>
                    </w:rPr>
                    <w:t>10</w:t>
                  </w:r>
                  <w:r>
                    <w:rPr>
                      <w:sz w:val="21"/>
                    </w:rPr>
                    <w:t>、</w:t>
                  </w:r>
                  <w:r>
                    <w:rPr>
                      <w:sz w:val="21"/>
                    </w:rPr>
                    <w:t>PM</w:t>
                  </w:r>
                  <w:r>
                    <w:rPr>
                      <w:sz w:val="21"/>
                      <w:vertAlign w:val="subscript"/>
                    </w:rPr>
                    <w:t>2.5</w:t>
                  </w:r>
                  <w:r>
                    <w:rPr>
                      <w:sz w:val="21"/>
                    </w:rPr>
                    <w:t>、重金属仪流量检查</w:t>
                  </w:r>
                  <w:r>
                    <w:rPr>
                      <w:sz w:val="21"/>
                    </w:rPr>
                    <w:t>/校准</w:t>
                  </w:r>
                </w:p>
              </w:tc>
            </w:tr>
            <w:tr>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每季度一次</w:t>
                  </w:r>
                </w:p>
              </w:tc>
              <w:tc>
                <w:tcPr>
                  <w:tcW w:type="dxa" w:w="4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每台仪器电路</w:t>
                  </w:r>
                  <w:r>
                    <w:rPr>
                      <w:sz w:val="21"/>
                    </w:rPr>
                    <w:t>A/D，D/A检查</w:t>
                  </w:r>
                </w:p>
              </w:tc>
            </w:tr>
            <w:tr>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每季度一次</w:t>
                  </w:r>
                </w:p>
              </w:tc>
              <w:tc>
                <w:tcPr>
                  <w:tcW w:type="dxa" w:w="4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每台仪器预防性维护</w:t>
                  </w:r>
                </w:p>
              </w:tc>
            </w:tr>
            <w:tr>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每半年一次</w:t>
                  </w:r>
                </w:p>
              </w:tc>
              <w:tc>
                <w:tcPr>
                  <w:tcW w:type="dxa" w:w="4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PM2.5、PM10</w:t>
                  </w:r>
                  <w:r>
                    <w:rPr>
                      <w:sz w:val="21"/>
                    </w:rPr>
                    <w:t>校准膜和流量校准</w:t>
                  </w:r>
                </w:p>
              </w:tc>
            </w:tr>
            <w:tr>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每年一次</w:t>
                  </w:r>
                </w:p>
              </w:tc>
              <w:tc>
                <w:tcPr>
                  <w:tcW w:type="dxa" w:w="4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每台仪器采样泵，泵膜维护更换</w:t>
                  </w:r>
                </w:p>
              </w:tc>
            </w:tr>
            <w:tr>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每年一次</w:t>
                  </w:r>
                </w:p>
              </w:tc>
              <w:tc>
                <w:tcPr>
                  <w:tcW w:type="dxa" w:w="4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每台仪器光路系统检查</w:t>
                  </w:r>
                </w:p>
              </w:tc>
            </w:tr>
            <w:tr>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每年一次</w:t>
                  </w:r>
                </w:p>
              </w:tc>
              <w:tc>
                <w:tcPr>
                  <w:tcW w:type="dxa" w:w="4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系统联机，远程控制检查</w:t>
                  </w:r>
                </w:p>
              </w:tc>
            </w:tr>
          </w:tbl>
          <w:p>
            <w:pPr>
              <w:pStyle w:val="null3"/>
              <w:jc w:val="both"/>
            </w:pPr>
            <w:r>
              <w:rPr>
                <w:sz w:val="21"/>
                <w:b/>
              </w:rPr>
              <w:t>（二）对运行维护服务质量控制要求</w:t>
            </w:r>
          </w:p>
          <w:p>
            <w:pPr>
              <w:pStyle w:val="null3"/>
              <w:ind w:firstLine="420"/>
              <w:jc w:val="both"/>
            </w:pPr>
            <w:r>
              <w:rPr>
                <w:sz w:val="21"/>
              </w:rPr>
              <w:t>1、应保证技术服务的质量和效果，保证每月至少27天有效数据（2月至少25天有效数据）；数据捕获率应大于或等于95%，捕获数据有效率应大于或等于95%，总体月数据有效率应大于或等于90%。</w:t>
            </w:r>
          </w:p>
          <w:p>
            <w:pPr>
              <w:pStyle w:val="null3"/>
              <w:ind w:firstLine="420"/>
              <w:jc w:val="both"/>
            </w:pPr>
            <w:r>
              <w:rPr>
                <w:sz w:val="21"/>
              </w:rPr>
              <w:t>2、分析仪性能质量控制目标</w:t>
            </w:r>
          </w:p>
          <w:p>
            <w:pPr>
              <w:pStyle w:val="null3"/>
              <w:ind w:firstLine="420"/>
              <w:jc w:val="both"/>
            </w:pPr>
            <w:r>
              <w:rPr>
                <w:sz w:val="21"/>
              </w:rPr>
              <w:t>（</w:t>
            </w:r>
            <w:r>
              <w:rPr>
                <w:sz w:val="21"/>
              </w:rPr>
              <w:t>1）精度检查</w:t>
            </w:r>
          </w:p>
          <w:tbl>
            <w:tblPr>
              <w:tblInd w:type="dxa" w:w="120"/>
              <w:tblBorders>
                <w:top w:val="none" w:color="000000" w:sz="4"/>
                <w:left w:val="none" w:color="000000" w:sz="4"/>
                <w:bottom w:val="none" w:color="000000" w:sz="4"/>
                <w:right w:val="none" w:color="000000" w:sz="4"/>
                <w:insideH w:val="none"/>
                <w:insideV w:val="none"/>
              </w:tblBorders>
            </w:tblPr>
            <w:tblGrid>
              <w:gridCol w:w="1470"/>
              <w:gridCol w:w="1176"/>
              <w:gridCol w:w="2951"/>
            </w:tblGrid>
            <w:tr>
              <w:tc>
                <w:tcPr>
                  <w:tcW w:type="dxa" w:w="264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参数</w:t>
                  </w:r>
                </w:p>
              </w:tc>
              <w:tc>
                <w:tcPr>
                  <w:tcW w:type="dxa" w:w="29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控制极限</w:t>
                  </w:r>
                </w:p>
              </w:tc>
            </w:tr>
            <w:tr>
              <w:tc>
                <w:tcPr>
                  <w:tcW w:type="dxa" w:w="264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SO</w:t>
                  </w:r>
                  <w:r>
                    <w:rPr>
                      <w:sz w:val="21"/>
                      <w:vertAlign w:val="subscript"/>
                    </w:rPr>
                    <w:t>2</w:t>
                  </w:r>
                  <w:r>
                    <w:rPr>
                      <w:sz w:val="21"/>
                    </w:rPr>
                    <w:t>，</w:t>
                  </w:r>
                  <w:r>
                    <w:rPr>
                      <w:sz w:val="21"/>
                    </w:rPr>
                    <w:t>NO</w:t>
                  </w:r>
                  <w:r>
                    <w:rPr>
                      <w:sz w:val="21"/>
                      <w:vertAlign w:val="subscript"/>
                    </w:rPr>
                    <w:t>2</w:t>
                  </w:r>
                  <w:r>
                    <w:rPr>
                      <w:sz w:val="21"/>
                    </w:rPr>
                    <w:t>，</w:t>
                  </w:r>
                  <w:r>
                    <w:rPr>
                      <w:sz w:val="21"/>
                    </w:rPr>
                    <w:t>O</w:t>
                  </w:r>
                  <w:r>
                    <w:rPr>
                      <w:sz w:val="21"/>
                      <w:vertAlign w:val="subscript"/>
                    </w:rPr>
                    <w:t>3</w:t>
                  </w:r>
                  <w:r>
                    <w:rPr>
                      <w:sz w:val="21"/>
                    </w:rPr>
                    <w:t>，</w:t>
                  </w:r>
                  <w:r>
                    <w:rPr>
                      <w:sz w:val="21"/>
                    </w:rPr>
                    <w:t>CO,</w:t>
                  </w:r>
                </w:p>
              </w:tc>
              <w:tc>
                <w:tcPr>
                  <w:tcW w:type="dxa" w:w="2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1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PM2.5、PM10</w:t>
                  </w:r>
                </w:p>
              </w:tc>
              <w:tc>
                <w:tcPr>
                  <w:tcW w:type="dxa" w:w="1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总流量</w:t>
                  </w:r>
                </w:p>
              </w:tc>
              <w:tc>
                <w:tcPr>
                  <w:tcW w:type="dxa" w:w="29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±5%（24小时）</w:t>
                  </w:r>
                </w:p>
              </w:tc>
            </w:tr>
          </w:tbl>
          <w:p>
            <w:pPr>
              <w:pStyle w:val="null3"/>
              <w:ind w:firstLine="420"/>
              <w:jc w:val="both"/>
            </w:pPr>
            <w:r>
              <w:rPr>
                <w:sz w:val="21"/>
              </w:rPr>
              <w:t>（</w:t>
            </w:r>
            <w:r>
              <w:rPr>
                <w:sz w:val="21"/>
              </w:rPr>
              <w:t>2）日常运行质控目标</w:t>
            </w:r>
          </w:p>
          <w:tbl>
            <w:tblPr>
              <w:tblInd w:type="dxa" w:w="120"/>
              <w:tblBorders>
                <w:top w:val="none" w:color="000000" w:sz="4"/>
                <w:left w:val="none" w:color="000000" w:sz="4"/>
                <w:bottom w:val="none" w:color="000000" w:sz="4"/>
                <w:right w:val="none" w:color="000000" w:sz="4"/>
                <w:insideH w:val="none"/>
                <w:insideV w:val="none"/>
              </w:tblBorders>
            </w:tblPr>
            <w:tblGrid>
              <w:gridCol w:w="1345"/>
              <w:gridCol w:w="1025"/>
              <w:gridCol w:w="701"/>
              <w:gridCol w:w="1166"/>
              <w:gridCol w:w="1361"/>
            </w:tblGrid>
            <w:tr>
              <w:tc>
                <w:tcPr>
                  <w:tcW w:type="dxa" w:w="3071"/>
                  <w:gridSpan w:val="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参数</w:t>
                  </w:r>
                </w:p>
              </w:tc>
              <w:tc>
                <w:tcPr>
                  <w:tcW w:type="dxa" w:w="2527"/>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运行评价指标</w:t>
                  </w:r>
                </w:p>
              </w:tc>
            </w:tr>
            <w:tr>
              <w:tc>
                <w:tcPr>
                  <w:tcW w:type="dxa" w:w="3071"/>
                  <w:gridSpan w:val="3"/>
                  <w:vMerge/>
                  <w:tcBorders>
                    <w:top w:val="single" w:color="000000" w:sz="4"/>
                    <w:left w:val="single" w:color="000000" w:sz="4"/>
                    <w:bottom w:val="single" w:color="000000" w:sz="4"/>
                    <w:right w:val="single" w:color="000000" w:sz="4"/>
                  </w:tcBorders>
                </w:tcPr>
                <w:p/>
              </w:tc>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警告极限</w:t>
                  </w:r>
                </w:p>
              </w:tc>
              <w:tc>
                <w:tcPr>
                  <w:tcW w:type="dxa" w:w="13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控制极限</w:t>
                  </w:r>
                </w:p>
              </w:tc>
            </w:tr>
            <w:tr>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SO</w:t>
                  </w:r>
                  <w:r>
                    <w:rPr>
                      <w:sz w:val="21"/>
                      <w:vertAlign w:val="subscript"/>
                    </w:rPr>
                    <w:t>2</w:t>
                  </w:r>
                  <w:r>
                    <w:rPr>
                      <w:sz w:val="21"/>
                    </w:rPr>
                    <w:t>，</w:t>
                  </w:r>
                  <w:r>
                    <w:rPr>
                      <w:sz w:val="21"/>
                    </w:rPr>
                    <w:t>O</w:t>
                  </w:r>
                  <w:r>
                    <w:rPr>
                      <w:sz w:val="21"/>
                      <w:vertAlign w:val="subscript"/>
                    </w:rPr>
                    <w:t>3</w:t>
                  </w:r>
                  <w:r>
                    <w:rPr>
                      <w:sz w:val="21"/>
                    </w:rPr>
                    <w:t>，</w:t>
                  </w:r>
                  <w:r>
                    <w:rPr>
                      <w:sz w:val="21"/>
                    </w:rPr>
                    <w:t>CO，</w:t>
                  </w:r>
                  <w:r>
                    <w:rPr>
                      <w:sz w:val="21"/>
                    </w:rPr>
                    <w:t>NO</w:t>
                  </w:r>
                  <w:r>
                    <w:rPr>
                      <w:sz w:val="21"/>
                      <w:vertAlign w:val="subscript"/>
                    </w:rPr>
                    <w:t>2</w:t>
                  </w:r>
                  <w:r>
                    <w:rPr>
                      <w:sz w:val="21"/>
                    </w:rPr>
                    <w:t>，</w:t>
                  </w:r>
                  <w:r>
                    <w:rPr>
                      <w:sz w:val="21"/>
                    </w:rPr>
                    <w:t>NO，</w:t>
                  </w:r>
                  <w:r>
                    <w:rPr>
                      <w:sz w:val="21"/>
                    </w:rPr>
                    <w:t>NO</w:t>
                  </w:r>
                  <w:r>
                    <w:rPr>
                      <w:sz w:val="21"/>
                      <w:vertAlign w:val="subscript"/>
                    </w:rPr>
                    <w:t>X</w:t>
                  </w:r>
                </w:p>
              </w:tc>
              <w:tc>
                <w:tcPr>
                  <w:tcW w:type="dxa" w:w="172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所有级别准确度</w:t>
                  </w:r>
                </w:p>
              </w:tc>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3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r>
            <w:tr>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NO</w:t>
                  </w:r>
                  <w:r>
                    <w:rPr>
                      <w:sz w:val="21"/>
                      <w:vertAlign w:val="subscript"/>
                    </w:rPr>
                    <w:t>2</w:t>
                  </w:r>
                  <w:r>
                    <w:rPr>
                      <w:sz w:val="21"/>
                    </w:rPr>
                    <w:t>，</w:t>
                  </w:r>
                  <w:r>
                    <w:rPr>
                      <w:sz w:val="21"/>
                    </w:rPr>
                    <w:t>NO，</w:t>
                  </w:r>
                  <w:r>
                    <w:rPr>
                      <w:sz w:val="21"/>
                    </w:rPr>
                    <w:t>NO</w:t>
                  </w:r>
                  <w:r>
                    <w:rPr>
                      <w:sz w:val="21"/>
                      <w:vertAlign w:val="subscript"/>
                    </w:rPr>
                    <w:t>X</w:t>
                  </w:r>
                </w:p>
              </w:tc>
              <w:tc>
                <w:tcPr>
                  <w:tcW w:type="dxa" w:w="172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所有级别钼转换效率</w:t>
                  </w:r>
                </w:p>
              </w:tc>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不适用</w:t>
                  </w:r>
                </w:p>
              </w:tc>
              <w:tc>
                <w:tcPr>
                  <w:tcW w:type="dxa" w:w="1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≥96%</w:t>
                  </w:r>
                </w:p>
              </w:tc>
            </w:tr>
            <w:tr>
              <w:tc>
                <w:tcPr>
                  <w:tcW w:type="dxa" w:w="13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PM2.5，PM10，重金属</w:t>
                  </w:r>
                </w:p>
              </w:tc>
              <w:tc>
                <w:tcPr>
                  <w:tcW w:type="dxa" w:w="172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传感器校准常数</w:t>
                  </w:r>
                </w:p>
              </w:tc>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1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1345"/>
                  <w:vMerge/>
                  <w:tcBorders>
                    <w:top w:val="none" w:color="000000" w:sz="4"/>
                    <w:left w:val="single" w:color="000000" w:sz="4"/>
                    <w:bottom w:val="single" w:color="000000" w:sz="4"/>
                    <w:right w:val="single" w:color="000000" w:sz="4"/>
                  </w:tcBorders>
                </w:tcP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泄漏流量</w:t>
                  </w:r>
                </w:p>
              </w:tc>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主要</w:t>
                  </w:r>
                </w:p>
              </w:tc>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≤0.10L/Min</w:t>
                  </w:r>
                </w:p>
              </w:tc>
              <w:tc>
                <w:tcPr>
                  <w:tcW w:type="dxa" w:w="13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≤0.15L/Min</w:t>
                  </w:r>
                </w:p>
              </w:tc>
            </w:tr>
            <w:tr>
              <w:tc>
                <w:tcPr>
                  <w:tcW w:type="dxa" w:w="1345"/>
                  <w:vMerge/>
                  <w:tcBorders>
                    <w:top w:val="none" w:color="000000" w:sz="4"/>
                    <w:left w:val="single" w:color="000000" w:sz="4"/>
                    <w:bottom w:val="single" w:color="000000" w:sz="4"/>
                    <w:right w:val="single" w:color="000000" w:sz="4"/>
                  </w:tcBorders>
                </w:tcP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流量准确度</w:t>
                  </w:r>
                </w:p>
              </w:tc>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全部</w:t>
                  </w:r>
                </w:p>
              </w:tc>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bl>
          <w:p>
            <w:pPr>
              <w:pStyle w:val="null3"/>
              <w:ind w:firstLine="420"/>
              <w:jc w:val="both"/>
            </w:pPr>
            <w:r>
              <w:rPr>
                <w:sz w:val="21"/>
              </w:rPr>
              <w:t>3、具体质控内容要求见表</w:t>
            </w:r>
          </w:p>
          <w:p>
            <w:pPr>
              <w:pStyle w:val="null3"/>
              <w:ind w:left="420" w:firstLine="422"/>
              <w:jc w:val="center"/>
            </w:pPr>
            <w:r>
              <w:rPr>
                <w:sz w:val="21"/>
                <w:b/>
              </w:rPr>
              <w:t>气体分析仪质控内容及频率表</w:t>
            </w:r>
          </w:p>
          <w:tbl>
            <w:tblPr>
              <w:tblInd w:type="dxa" w:w="120"/>
              <w:tblBorders>
                <w:top w:val="none" w:color="000000" w:sz="4"/>
                <w:left w:val="none" w:color="000000" w:sz="4"/>
                <w:bottom w:val="none" w:color="000000" w:sz="4"/>
                <w:right w:val="none" w:color="000000" w:sz="4"/>
                <w:insideH w:val="none"/>
                <w:insideV w:val="none"/>
              </w:tblBorders>
            </w:tblPr>
            <w:tblGrid>
              <w:gridCol w:w="1416"/>
              <w:gridCol w:w="4181"/>
            </w:tblGrid>
            <w:tr>
              <w:tc>
                <w:tcPr>
                  <w:tcW w:type="dxa" w:w="14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项目内容</w:t>
                  </w:r>
                </w:p>
              </w:tc>
              <w:tc>
                <w:tcPr>
                  <w:tcW w:type="dxa" w:w="41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频率和可供选择方法</w:t>
                  </w:r>
                </w:p>
              </w:tc>
            </w:tr>
            <w:tr>
              <w:tc>
                <w:tcPr>
                  <w:tcW w:type="dxa" w:w="1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1、零点/跨度检查SO</w:t>
                  </w:r>
                  <w:r>
                    <w:rPr>
                      <w:sz w:val="21"/>
                      <w:vertAlign w:val="subscript"/>
                    </w:rPr>
                    <w:t>2、</w:t>
                  </w:r>
                  <w:r>
                    <w:rPr>
                      <w:sz w:val="21"/>
                    </w:rPr>
                    <w:t>CO、NO</w:t>
                  </w:r>
                  <w:r>
                    <w:rPr>
                      <w:sz w:val="21"/>
                      <w:vertAlign w:val="subscript"/>
                    </w:rPr>
                    <w:t>X、</w:t>
                  </w:r>
                  <w:r>
                    <w:rPr>
                      <w:sz w:val="21"/>
                    </w:rPr>
                    <w:t>O</w:t>
                  </w:r>
                  <w:r>
                    <w:rPr>
                      <w:sz w:val="21"/>
                      <w:vertAlign w:val="subscript"/>
                    </w:rPr>
                    <w:t>3、</w:t>
                  </w:r>
                  <w:r>
                    <w:rPr>
                      <w:sz w:val="21"/>
                    </w:rPr>
                    <w:t>全部</w:t>
                  </w:r>
                </w:p>
              </w:tc>
              <w:tc>
                <w:tcPr>
                  <w:tcW w:type="dxa" w:w="4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频率方法：</w:t>
                  </w:r>
                </w:p>
                <w:p>
                  <w:pPr>
                    <w:pStyle w:val="null3"/>
                    <w:jc w:val="both"/>
                  </w:pPr>
                  <w:r>
                    <w:rPr>
                      <w:sz w:val="21"/>
                    </w:rPr>
                    <w:t>（</w:t>
                  </w:r>
                  <w:r>
                    <w:rPr>
                      <w:sz w:val="21"/>
                    </w:rPr>
                    <w:t>1）至少每周一次通过校准对所有自动监测站自动/手动检查</w:t>
                  </w:r>
                </w:p>
                <w:p>
                  <w:pPr>
                    <w:pStyle w:val="null3"/>
                    <w:jc w:val="both"/>
                  </w:pPr>
                  <w:r>
                    <w:rPr>
                      <w:sz w:val="21"/>
                    </w:rPr>
                    <w:t>（</w:t>
                  </w:r>
                  <w:r>
                    <w:rPr>
                      <w:sz w:val="21"/>
                    </w:rPr>
                    <w:t>2）对于NO</w:t>
                  </w:r>
                  <w:r>
                    <w:rPr>
                      <w:sz w:val="21"/>
                      <w:vertAlign w:val="subscript"/>
                    </w:rPr>
                    <w:t>2</w:t>
                  </w:r>
                  <w:r>
                    <w:rPr>
                      <w:sz w:val="21"/>
                    </w:rPr>
                    <w:t>最少每两周一次在精度水平自动进行稀释法和</w:t>
                  </w:r>
                  <w:r>
                    <w:rPr>
                      <w:sz w:val="21"/>
                    </w:rPr>
                    <w:t>GPT法，并检查钼转换效率；最少每周一次通过臭氧发生器自动进行</w:t>
                  </w:r>
                </w:p>
                <w:p>
                  <w:pPr>
                    <w:pStyle w:val="null3"/>
                    <w:jc w:val="both"/>
                  </w:pPr>
                  <w:r>
                    <w:rPr>
                      <w:sz w:val="21"/>
                    </w:rPr>
                    <w:t>（</w:t>
                  </w:r>
                  <w:r>
                    <w:rPr>
                      <w:sz w:val="21"/>
                    </w:rPr>
                    <w:t>3）在零点/跨度调节之前和之后</w:t>
                  </w:r>
                </w:p>
                <w:p>
                  <w:pPr>
                    <w:pStyle w:val="null3"/>
                    <w:ind w:left="630"/>
                    <w:jc w:val="both"/>
                  </w:pPr>
                  <w:r>
                    <w:rPr>
                      <w:sz w:val="21"/>
                    </w:rPr>
                    <w:t>（</w:t>
                  </w:r>
                  <w:r>
                    <w:rPr>
                      <w:sz w:val="21"/>
                    </w:rPr>
                    <w:t>4）校准仪更换：应进行非正式零点/跨度检查，已确认校准系统处于要求的状态</w:t>
                  </w:r>
                </w:p>
                <w:p>
                  <w:pPr>
                    <w:pStyle w:val="null3"/>
                    <w:jc w:val="both"/>
                  </w:pPr>
                  <w:r>
                    <w:rPr>
                      <w:sz w:val="21"/>
                    </w:rPr>
                    <w:t>（</w:t>
                  </w:r>
                  <w:r>
                    <w:rPr>
                      <w:sz w:val="21"/>
                    </w:rPr>
                    <w:t>5）对于没有经过日常零点/跨度检查的分析仪，在自动监测站停止使用分析仪之前，在由于PMP更换校准仪之后，也在定期零点/跨度检查日</w:t>
                  </w:r>
                </w:p>
                <w:p>
                  <w:pPr>
                    <w:pStyle w:val="null3"/>
                    <w:jc w:val="both"/>
                  </w:pPr>
                  <w:r>
                    <w:rPr>
                      <w:sz w:val="21"/>
                    </w:rPr>
                    <w:t>（</w:t>
                  </w:r>
                  <w:r>
                    <w:rPr>
                      <w:sz w:val="21"/>
                    </w:rPr>
                    <w:t>6）在超出零点/跨度极限时，要求进行零点/跨度调节（非多点校准）</w:t>
                  </w:r>
                </w:p>
              </w:tc>
            </w:tr>
            <w:tr>
              <w:tc>
                <w:tcPr>
                  <w:tcW w:type="dxa" w:w="1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2、多点校准（5-7点）SO</w:t>
                  </w:r>
                  <w:r>
                    <w:rPr>
                      <w:sz w:val="21"/>
                      <w:vertAlign w:val="subscript"/>
                    </w:rPr>
                    <w:t>2、</w:t>
                  </w:r>
                  <w:r>
                    <w:rPr>
                      <w:sz w:val="21"/>
                    </w:rPr>
                    <w:t>NO</w:t>
                  </w:r>
                  <w:r>
                    <w:rPr>
                      <w:sz w:val="21"/>
                      <w:vertAlign w:val="subscript"/>
                    </w:rPr>
                    <w:t>X、</w:t>
                  </w:r>
                  <w:r>
                    <w:rPr>
                      <w:sz w:val="21"/>
                    </w:rPr>
                    <w:t>O</w:t>
                  </w:r>
                  <w:r>
                    <w:rPr>
                      <w:sz w:val="21"/>
                      <w:vertAlign w:val="subscript"/>
                    </w:rPr>
                    <w:t>3、</w:t>
                  </w:r>
                  <w:r>
                    <w:rPr>
                      <w:sz w:val="21"/>
                    </w:rPr>
                    <w:t>CO</w:t>
                  </w:r>
                </w:p>
              </w:tc>
              <w:tc>
                <w:tcPr>
                  <w:tcW w:type="dxa" w:w="4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频率方法：</w:t>
                  </w:r>
                </w:p>
                <w:p>
                  <w:pPr>
                    <w:pStyle w:val="null3"/>
                    <w:jc w:val="both"/>
                  </w:pPr>
                  <w:r>
                    <w:rPr>
                      <w:sz w:val="21"/>
                    </w:rPr>
                    <w:t>（</w:t>
                  </w:r>
                  <w:r>
                    <w:rPr>
                      <w:sz w:val="21"/>
                    </w:rPr>
                    <w:t>a）半年</w:t>
                  </w:r>
                </w:p>
                <w:p>
                  <w:pPr>
                    <w:pStyle w:val="null3"/>
                    <w:jc w:val="both"/>
                  </w:pPr>
                  <w:r>
                    <w:rPr>
                      <w:sz w:val="21"/>
                    </w:rPr>
                    <w:t>（</w:t>
                  </w:r>
                  <w:r>
                    <w:rPr>
                      <w:sz w:val="21"/>
                    </w:rPr>
                    <w:t>b）安装时</w:t>
                  </w:r>
                </w:p>
                <w:p>
                  <w:pPr>
                    <w:pStyle w:val="null3"/>
                    <w:jc w:val="both"/>
                  </w:pPr>
                  <w:r>
                    <w:rPr>
                      <w:sz w:val="21"/>
                    </w:rPr>
                    <w:t>（</w:t>
                  </w:r>
                  <w:r>
                    <w:rPr>
                      <w:sz w:val="21"/>
                    </w:rPr>
                    <w:t>c）重新定位</w:t>
                  </w:r>
                </w:p>
                <w:p>
                  <w:pPr>
                    <w:pStyle w:val="null3"/>
                    <w:jc w:val="both"/>
                  </w:pPr>
                  <w:r>
                    <w:rPr>
                      <w:sz w:val="21"/>
                    </w:rPr>
                    <w:t>（</w:t>
                  </w:r>
                  <w:r>
                    <w:rPr>
                      <w:sz w:val="21"/>
                    </w:rPr>
                    <w:t>d）在影响线性的大修后</w:t>
                  </w:r>
                </w:p>
                <w:p>
                  <w:pPr>
                    <w:pStyle w:val="null3"/>
                    <w:jc w:val="both"/>
                  </w:pPr>
                  <w:r>
                    <w:rPr>
                      <w:sz w:val="21"/>
                    </w:rPr>
                    <w:t>（</w:t>
                  </w:r>
                  <w:r>
                    <w:rPr>
                      <w:sz w:val="21"/>
                    </w:rPr>
                    <w:t>e）表现出严重的不准确（故障诊断）</w:t>
                  </w:r>
                </w:p>
              </w:tc>
            </w:tr>
            <w:tr>
              <w:tc>
                <w:tcPr>
                  <w:tcW w:type="dxa" w:w="1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3、校准仪校准流量</w:t>
                  </w:r>
                </w:p>
              </w:tc>
              <w:tc>
                <w:tcPr>
                  <w:tcW w:type="dxa" w:w="4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频率方法：</w:t>
                  </w:r>
                </w:p>
                <w:p>
                  <w:pPr>
                    <w:pStyle w:val="null3"/>
                    <w:jc w:val="both"/>
                  </w:pPr>
                  <w:r>
                    <w:rPr>
                      <w:sz w:val="21"/>
                    </w:rPr>
                    <w:t>（</w:t>
                  </w:r>
                  <w:r>
                    <w:rPr>
                      <w:sz w:val="21"/>
                    </w:rPr>
                    <w:t>1）每季度通过可追溯的标准流量计</w:t>
                  </w:r>
                </w:p>
                <w:p>
                  <w:pPr>
                    <w:pStyle w:val="null3"/>
                    <w:jc w:val="both"/>
                  </w:pPr>
                  <w:r>
                    <w:rPr>
                      <w:sz w:val="21"/>
                    </w:rPr>
                    <w:t>（</w:t>
                  </w:r>
                  <w:r>
                    <w:rPr>
                      <w:sz w:val="21"/>
                    </w:rPr>
                    <w:t>2）在校准已投入自动监测站使用之前</w:t>
                  </w:r>
                </w:p>
                <w:p>
                  <w:pPr>
                    <w:pStyle w:val="null3"/>
                    <w:jc w:val="both"/>
                  </w:pPr>
                  <w:r>
                    <w:rPr>
                      <w:sz w:val="21"/>
                    </w:rPr>
                    <w:t>（</w:t>
                  </w:r>
                  <w:r>
                    <w:rPr>
                      <w:sz w:val="21"/>
                    </w:rPr>
                    <w:t>3）零点/跨度结果超出控制极限</w:t>
                  </w:r>
                </w:p>
              </w:tc>
            </w:tr>
            <w:tr>
              <w:tc>
                <w:tcPr>
                  <w:tcW w:type="dxa" w:w="1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4、精度检查SO</w:t>
                  </w:r>
                  <w:r>
                    <w:rPr>
                      <w:sz w:val="21"/>
                      <w:vertAlign w:val="subscript"/>
                    </w:rPr>
                    <w:t>2、、</w:t>
                  </w:r>
                  <w:r>
                    <w:rPr>
                      <w:sz w:val="21"/>
                    </w:rPr>
                    <w:t>NO</w:t>
                  </w:r>
                  <w:r>
                    <w:rPr>
                      <w:sz w:val="21"/>
                      <w:vertAlign w:val="subscript"/>
                    </w:rPr>
                    <w:t>2、</w:t>
                  </w:r>
                  <w:r>
                    <w:rPr>
                      <w:sz w:val="21"/>
                    </w:rPr>
                    <w:t>NO/NO</w:t>
                  </w:r>
                  <w:r>
                    <w:rPr>
                      <w:sz w:val="21"/>
                      <w:vertAlign w:val="subscript"/>
                    </w:rPr>
                    <w:t>X、</w:t>
                  </w:r>
                  <w:r>
                    <w:rPr>
                      <w:sz w:val="21"/>
                    </w:rPr>
                    <w:t>O</w:t>
                  </w:r>
                  <w:r>
                    <w:rPr>
                      <w:sz w:val="21"/>
                      <w:vertAlign w:val="subscript"/>
                    </w:rPr>
                    <w:t>3、</w:t>
                  </w:r>
                  <w:r>
                    <w:rPr>
                      <w:sz w:val="21"/>
                    </w:rPr>
                    <w:t>CO</w:t>
                  </w:r>
                </w:p>
              </w:tc>
              <w:tc>
                <w:tcPr>
                  <w:tcW w:type="dxa" w:w="4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频率方法：</w:t>
                  </w:r>
                  <w:r>
                    <w:rPr>
                      <w:sz w:val="21"/>
                    </w:rPr>
                    <w:t>2周一次</w:t>
                  </w:r>
                </w:p>
              </w:tc>
            </w:tr>
          </w:tbl>
          <w:p>
            <w:pPr>
              <w:pStyle w:val="null3"/>
              <w:ind w:firstLine="102"/>
              <w:jc w:val="both"/>
            </w:pPr>
            <w:r>
              <w:rPr>
                <w:sz w:val="21"/>
                <w:b/>
              </w:rPr>
              <w:t>PM2.5、PM10重金属质控内容及频率表</w:t>
            </w:r>
          </w:p>
          <w:tbl>
            <w:tblPr>
              <w:tblInd w:type="dxa" w:w="120"/>
              <w:tblBorders>
                <w:top w:val="none" w:color="000000" w:sz="4"/>
                <w:left w:val="none" w:color="000000" w:sz="4"/>
                <w:bottom w:val="none" w:color="000000" w:sz="4"/>
                <w:right w:val="none" w:color="000000" w:sz="4"/>
                <w:insideH w:val="none"/>
                <w:insideV w:val="none"/>
              </w:tblBorders>
            </w:tblPr>
            <w:tblGrid>
              <w:gridCol w:w="2624"/>
              <w:gridCol w:w="2973"/>
            </w:tblGrid>
            <w:tr>
              <w:tc>
                <w:tcPr>
                  <w:tcW w:type="dxa" w:w="26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质量控制内容</w:t>
                  </w:r>
                </w:p>
              </w:tc>
              <w:tc>
                <w:tcPr>
                  <w:tcW w:type="dxa" w:w="29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频率和方法</w:t>
                  </w:r>
                </w:p>
              </w:tc>
            </w:tr>
            <w:tr>
              <w:tc>
                <w:tcPr>
                  <w:tcW w:type="dxa" w:w="2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清洁</w:t>
                  </w:r>
                  <w:r>
                    <w:rPr>
                      <w:sz w:val="21"/>
                    </w:rPr>
                    <w:t>PM2.5、PM10、重金属采样口</w:t>
                  </w:r>
                </w:p>
              </w:tc>
              <w:tc>
                <w:tcPr>
                  <w:tcW w:type="dxa" w:w="2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测点每月一次</w:t>
                  </w:r>
                </w:p>
              </w:tc>
            </w:tr>
            <w:tr>
              <w:tc>
                <w:tcPr>
                  <w:tcW w:type="dxa" w:w="2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清洁空气采样管路</w:t>
                  </w:r>
                </w:p>
              </w:tc>
              <w:tc>
                <w:tcPr>
                  <w:tcW w:type="dxa" w:w="2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每季度一次或变脏了的时候</w:t>
                  </w:r>
                </w:p>
              </w:tc>
            </w:tr>
            <w:tr>
              <w:tc>
                <w:tcPr>
                  <w:tcW w:type="dxa" w:w="2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流量的校准</w:t>
                  </w:r>
                </w:p>
              </w:tc>
              <w:tc>
                <w:tcPr>
                  <w:tcW w:type="dxa" w:w="2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每半年一次超出</w:t>
                  </w:r>
                  <w:r>
                    <w:rPr>
                      <w:sz w:val="21"/>
                    </w:rPr>
                    <w:t>±10%</w:t>
                  </w:r>
                </w:p>
              </w:tc>
            </w:tr>
            <w:tr>
              <w:tc>
                <w:tcPr>
                  <w:tcW w:type="dxa" w:w="2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模拟输出校准</w:t>
                  </w:r>
                </w:p>
              </w:tc>
              <w:tc>
                <w:tcPr>
                  <w:tcW w:type="dxa" w:w="2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每年一次硬件校准前</w:t>
                  </w:r>
                </w:p>
              </w:tc>
            </w:tr>
            <w:tr>
              <w:tc>
                <w:tcPr>
                  <w:tcW w:type="dxa" w:w="2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质量校准检定</w:t>
                  </w:r>
                </w:p>
              </w:tc>
              <w:tc>
                <w:tcPr>
                  <w:tcW w:type="dxa" w:w="2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每年</w:t>
                  </w:r>
                  <w:r>
                    <w:rPr>
                      <w:sz w:val="21"/>
                    </w:rPr>
                    <w:t>---用校准膜校准应不超出控制极限±10%</w:t>
                  </w:r>
                </w:p>
              </w:tc>
            </w:tr>
          </w:tbl>
          <w:p>
            <w:pPr>
              <w:pStyle w:val="null3"/>
              <w:ind w:firstLine="420"/>
              <w:jc w:val="both"/>
            </w:pPr>
            <w:r>
              <w:rPr>
                <w:sz w:val="21"/>
              </w:rPr>
              <w:t>4、考核要求：</w:t>
            </w:r>
          </w:p>
          <w:p>
            <w:pPr>
              <w:pStyle w:val="null3"/>
              <w:ind w:firstLine="420"/>
              <w:jc w:val="both"/>
            </w:pPr>
            <w:r>
              <w:rPr>
                <w:sz w:val="21"/>
              </w:rPr>
              <w:t>成交供应商有责任接受采购人的定期和不定期考核。在采购人的考核中，不能出现两次以上偏差大于等于</w:t>
            </w:r>
            <w:r>
              <w:rPr>
                <w:sz w:val="21"/>
              </w:rPr>
              <w:t>10%。</w:t>
            </w:r>
          </w:p>
          <w:p>
            <w:pPr>
              <w:pStyle w:val="null3"/>
              <w:ind w:firstLine="420"/>
              <w:jc w:val="both"/>
            </w:pPr>
            <w:r>
              <w:rPr>
                <w:sz w:val="21"/>
              </w:rPr>
              <w:t>5、服务违约处理标准：</w:t>
            </w:r>
          </w:p>
          <w:p>
            <w:pPr>
              <w:pStyle w:val="null3"/>
              <w:ind w:firstLine="420"/>
              <w:jc w:val="both"/>
            </w:pPr>
            <w:r>
              <w:rPr>
                <w:sz w:val="21"/>
              </w:rPr>
              <w:t>（</w:t>
            </w:r>
            <w:r>
              <w:rPr>
                <w:sz w:val="21"/>
              </w:rPr>
              <w:t>1）成交供应商有责任接受采购人定期和不定期检查。若在服务期限内被检查出不符合上述相关国家和省市标准及规范，第一次口头警告，第二次书面警告，第三次扣除成交供应商进行运行维护服务费用，每次扣除运行维护服务费用为当年度合同总额的2%。</w:t>
            </w:r>
          </w:p>
          <w:p>
            <w:pPr>
              <w:pStyle w:val="null3"/>
              <w:ind w:firstLine="420"/>
              <w:jc w:val="both"/>
            </w:pPr>
            <w:r>
              <w:rPr>
                <w:sz w:val="21"/>
              </w:rPr>
              <w:t>（</w:t>
            </w:r>
            <w:r>
              <w:rPr>
                <w:sz w:val="21"/>
              </w:rPr>
              <w:t>2）如成交供应商在服务期内在采购人空气质量数据平台收集的运行空气自动站单站月数据有效率达不到90%，单站以月计处以扣除当年度合同总额的2%，多站多月累计，直至扣完为止。</w:t>
            </w:r>
          </w:p>
          <w:p>
            <w:pPr>
              <w:pStyle w:val="null3"/>
              <w:ind w:firstLine="420"/>
              <w:jc w:val="both"/>
            </w:pPr>
            <w:r>
              <w:rPr>
                <w:sz w:val="21"/>
              </w:rPr>
              <w:t>（</w:t>
            </w:r>
            <w:r>
              <w:rPr>
                <w:sz w:val="21"/>
              </w:rPr>
              <w:t>3）如成交供应商在服务期内在采购人上级单位每年安排的成效审核中，单站点总分未达到85分，单站处以扣除合同总额的2%，多站累计，直至扣完为止。</w:t>
            </w:r>
          </w:p>
          <w:p>
            <w:pPr>
              <w:pStyle w:val="null3"/>
              <w:ind w:firstLine="420"/>
              <w:jc w:val="both"/>
            </w:pPr>
            <w:r>
              <w:rPr>
                <w:sz w:val="21"/>
                <w:b/>
              </w:rPr>
              <w:t>（三）运行维护服务需提交文字记录的要求</w:t>
            </w:r>
          </w:p>
          <w:p>
            <w:pPr>
              <w:pStyle w:val="null3"/>
              <w:ind w:firstLine="420"/>
              <w:jc w:val="both"/>
            </w:pPr>
            <w:r>
              <w:rPr>
                <w:sz w:val="21"/>
              </w:rPr>
              <w:t>1、需依要求内容定期提交每个监测空气自动站的运行报告。</w:t>
            </w:r>
          </w:p>
          <w:p>
            <w:pPr>
              <w:pStyle w:val="null3"/>
              <w:ind w:firstLine="420"/>
              <w:jc w:val="both"/>
            </w:pPr>
            <w:r>
              <w:rPr>
                <w:sz w:val="21"/>
              </w:rPr>
              <w:t>2、半年维护结束后15日内提交半年维护报告，包括：</w:t>
            </w:r>
          </w:p>
          <w:p>
            <w:pPr>
              <w:pStyle w:val="null3"/>
              <w:ind w:left="210" w:firstLine="420"/>
              <w:jc w:val="both"/>
            </w:pPr>
            <w:r>
              <w:rPr>
                <w:sz w:val="21"/>
              </w:rPr>
              <w:t>1）各监测空气自动站参数达标结果总结（空气质量监测数据分析情况等）。</w:t>
            </w:r>
          </w:p>
          <w:p>
            <w:pPr>
              <w:pStyle w:val="null3"/>
              <w:ind w:left="210" w:firstLine="420"/>
              <w:jc w:val="both"/>
            </w:pPr>
            <w:r>
              <w:rPr>
                <w:sz w:val="21"/>
              </w:rPr>
              <w:t>2）各监测空气自动站质控任务总结表（数据获取率，校准执行等）</w:t>
            </w:r>
          </w:p>
          <w:p>
            <w:pPr>
              <w:pStyle w:val="null3"/>
              <w:ind w:left="210" w:firstLine="420"/>
              <w:jc w:val="both"/>
            </w:pPr>
            <w:r>
              <w:rPr>
                <w:sz w:val="21"/>
              </w:rPr>
              <w:t>3）各监测空气自动站站点突发事件说明。</w:t>
            </w:r>
          </w:p>
          <w:p>
            <w:pPr>
              <w:pStyle w:val="null3"/>
              <w:ind w:left="210" w:firstLine="420"/>
              <w:jc w:val="both"/>
            </w:pPr>
            <w:r>
              <w:rPr>
                <w:sz w:val="21"/>
              </w:rPr>
              <w:t>4）各监测空气自动站校准结果，工作记录。</w:t>
            </w:r>
          </w:p>
          <w:p>
            <w:pPr>
              <w:pStyle w:val="null3"/>
              <w:ind w:left="210" w:firstLine="420"/>
              <w:jc w:val="both"/>
            </w:pPr>
            <w:r>
              <w:rPr>
                <w:sz w:val="21"/>
              </w:rPr>
              <w:t>5）各监测空气自动站校准结果表格。</w:t>
            </w:r>
          </w:p>
          <w:p>
            <w:pPr>
              <w:pStyle w:val="null3"/>
              <w:ind w:left="210" w:firstLine="420"/>
              <w:jc w:val="both"/>
            </w:pPr>
            <w:r>
              <w:rPr>
                <w:sz w:val="21"/>
              </w:rPr>
              <w:t>6）各监测空气自动站附录维修工作表及测试报告。</w:t>
            </w:r>
          </w:p>
          <w:p>
            <w:pPr>
              <w:pStyle w:val="null3"/>
              <w:ind w:left="210" w:firstLine="420"/>
              <w:jc w:val="both"/>
            </w:pPr>
            <w:r>
              <w:rPr>
                <w:sz w:val="21"/>
              </w:rPr>
              <w:t>7）结论与建议。</w:t>
            </w:r>
          </w:p>
          <w:p>
            <w:pPr>
              <w:pStyle w:val="null3"/>
              <w:ind w:left="210" w:firstLine="420"/>
              <w:jc w:val="both"/>
            </w:pPr>
            <w:r>
              <w:rPr>
                <w:sz w:val="21"/>
              </w:rPr>
              <w:t>8）规定的其他条目。</w:t>
            </w:r>
          </w:p>
          <w:p>
            <w:pPr>
              <w:pStyle w:val="null3"/>
              <w:ind w:firstLine="420"/>
              <w:jc w:val="both"/>
            </w:pPr>
            <w:r>
              <w:rPr>
                <w:sz w:val="21"/>
              </w:rPr>
              <w:t>3、9个月维护结束后15日内提交半年维护报告，包括：</w:t>
            </w:r>
          </w:p>
          <w:p>
            <w:pPr>
              <w:pStyle w:val="null3"/>
              <w:ind w:left="210" w:firstLine="420"/>
              <w:jc w:val="both"/>
            </w:pPr>
            <w:r>
              <w:rPr>
                <w:sz w:val="21"/>
              </w:rPr>
              <w:t>1）各监测空气自动站参数达标结果总结（空气质量监测数据分析情况等）。</w:t>
            </w:r>
          </w:p>
          <w:p>
            <w:pPr>
              <w:pStyle w:val="null3"/>
              <w:ind w:left="210" w:firstLine="420"/>
              <w:jc w:val="both"/>
            </w:pPr>
            <w:r>
              <w:rPr>
                <w:sz w:val="21"/>
              </w:rPr>
              <w:t>2）各监测空气自动站质控任务总结表（数据获取率，校准执行等）</w:t>
            </w:r>
          </w:p>
          <w:p>
            <w:pPr>
              <w:pStyle w:val="null3"/>
              <w:ind w:left="210" w:firstLine="420"/>
              <w:jc w:val="both"/>
            </w:pPr>
            <w:r>
              <w:rPr>
                <w:sz w:val="21"/>
              </w:rPr>
              <w:t>3）各监测空气自动站站点突发事件说明。</w:t>
            </w:r>
          </w:p>
          <w:p>
            <w:pPr>
              <w:pStyle w:val="null3"/>
              <w:ind w:left="210" w:firstLine="420"/>
              <w:jc w:val="both"/>
            </w:pPr>
            <w:r>
              <w:rPr>
                <w:sz w:val="21"/>
              </w:rPr>
              <w:t>4）各监测空气自动站校准结果，工作记录。</w:t>
            </w:r>
          </w:p>
          <w:p>
            <w:pPr>
              <w:pStyle w:val="null3"/>
              <w:ind w:left="210" w:firstLine="420"/>
              <w:jc w:val="both"/>
            </w:pPr>
            <w:r>
              <w:rPr>
                <w:sz w:val="21"/>
              </w:rPr>
              <w:t>5）各监测空气自动站校准结果表格。</w:t>
            </w:r>
          </w:p>
          <w:p>
            <w:pPr>
              <w:pStyle w:val="null3"/>
              <w:ind w:left="210" w:firstLine="420"/>
              <w:jc w:val="both"/>
            </w:pPr>
            <w:r>
              <w:rPr>
                <w:sz w:val="21"/>
              </w:rPr>
              <w:t>6）各监测空气自动站附录维修工作表及测试报告。</w:t>
            </w:r>
          </w:p>
          <w:p>
            <w:pPr>
              <w:pStyle w:val="null3"/>
              <w:ind w:left="210" w:firstLine="420"/>
              <w:jc w:val="both"/>
            </w:pPr>
            <w:r>
              <w:rPr>
                <w:sz w:val="21"/>
              </w:rPr>
              <w:t>7）结论与建议。</w:t>
            </w:r>
          </w:p>
          <w:p>
            <w:pPr>
              <w:pStyle w:val="null3"/>
              <w:ind w:left="210" w:firstLine="420"/>
              <w:jc w:val="both"/>
            </w:pPr>
            <w:r>
              <w:rPr>
                <w:sz w:val="21"/>
              </w:rPr>
              <w:t>8）规定的其他条目。</w:t>
            </w:r>
          </w:p>
          <w:p>
            <w:pPr>
              <w:pStyle w:val="null3"/>
              <w:jc w:val="both"/>
            </w:pPr>
            <w:r>
              <w:rPr>
                <w:sz w:val="21"/>
                <w:b/>
              </w:rPr>
              <w:t>（四）运行维护服务结束需提交的文字报告要求</w:t>
            </w:r>
          </w:p>
          <w:p>
            <w:pPr>
              <w:pStyle w:val="null3"/>
              <w:ind w:firstLine="420"/>
              <w:jc w:val="both"/>
            </w:pPr>
            <w:r>
              <w:rPr>
                <w:sz w:val="21"/>
              </w:rPr>
              <w:t>运行结束</w:t>
            </w:r>
            <w:r>
              <w:rPr>
                <w:sz w:val="21"/>
              </w:rPr>
              <w:t>10日内，须向采购人提交各监测空气自动站运行状况总结报告，对于未修复的仪器，须于计划结束后15日内完成修复，并通过对各空气自动站站房设备和仪器性能的验收，经确认后结案。报告内容包含下列各项：</w:t>
            </w:r>
          </w:p>
          <w:p>
            <w:pPr>
              <w:pStyle w:val="null3"/>
              <w:ind w:firstLine="420"/>
              <w:jc w:val="both"/>
            </w:pPr>
            <w:r>
              <w:rPr>
                <w:sz w:val="21"/>
              </w:rPr>
              <w:t>1、各监测空气自动站仪器运行情况总结。</w:t>
            </w:r>
          </w:p>
          <w:p>
            <w:pPr>
              <w:pStyle w:val="null3"/>
              <w:ind w:firstLine="420"/>
              <w:jc w:val="both"/>
            </w:pPr>
            <w:r>
              <w:rPr>
                <w:sz w:val="21"/>
              </w:rPr>
              <w:t>2、各监测仪器可能潜在的问题及建议。</w:t>
            </w:r>
          </w:p>
          <w:p>
            <w:pPr>
              <w:pStyle w:val="null3"/>
              <w:ind w:firstLine="420"/>
              <w:jc w:val="both"/>
            </w:pPr>
            <w:r>
              <w:rPr>
                <w:sz w:val="21"/>
              </w:rPr>
              <w:t>3、气体使用状况。</w:t>
            </w:r>
          </w:p>
          <w:p>
            <w:pPr>
              <w:pStyle w:val="null3"/>
              <w:ind w:firstLine="420"/>
              <w:jc w:val="both"/>
            </w:pPr>
            <w:r>
              <w:rPr>
                <w:sz w:val="21"/>
              </w:rPr>
              <w:t>4、仪器故障未修复状况。</w:t>
            </w:r>
          </w:p>
          <w:p>
            <w:pPr>
              <w:pStyle w:val="null3"/>
              <w:ind w:firstLine="420"/>
              <w:jc w:val="both"/>
            </w:pPr>
            <w:r>
              <w:rPr>
                <w:sz w:val="21"/>
              </w:rPr>
              <w:t>5、PM2.5、PM10、重金属仪滤带使用估算及气体采样滤膜使用估算。</w:t>
            </w:r>
          </w:p>
          <w:p>
            <w:pPr>
              <w:pStyle w:val="null3"/>
              <w:ind w:firstLine="420"/>
              <w:jc w:val="both"/>
            </w:pPr>
            <w:r>
              <w:rPr>
                <w:sz w:val="21"/>
              </w:rPr>
              <w:t>6、灭火器有效期限。</w:t>
            </w:r>
          </w:p>
          <w:p>
            <w:pPr>
              <w:pStyle w:val="null3"/>
              <w:ind w:firstLine="420"/>
              <w:jc w:val="both"/>
            </w:pPr>
            <w:r>
              <w:rPr>
                <w:sz w:val="21"/>
              </w:rPr>
              <w:t>7、供电及防雷情况说明。</w:t>
            </w:r>
          </w:p>
          <w:p>
            <w:pPr>
              <w:pStyle w:val="null3"/>
              <w:ind w:firstLine="420"/>
              <w:jc w:val="both"/>
            </w:pPr>
            <w:r>
              <w:rPr>
                <w:sz w:val="21"/>
              </w:rPr>
              <w:t>8、站房安全危害与改善状况。</w:t>
            </w:r>
          </w:p>
          <w:p>
            <w:pPr>
              <w:pStyle w:val="null3"/>
              <w:ind w:left="420" w:firstLine="420"/>
              <w:jc w:val="both"/>
            </w:pPr>
            <w:r>
              <w:rPr>
                <w:sz w:val="21"/>
                <w:b/>
              </w:rPr>
              <w:t>三、运行维护服务费用</w:t>
            </w:r>
          </w:p>
          <w:p>
            <w:pPr>
              <w:pStyle w:val="null3"/>
              <w:jc w:val="both"/>
            </w:pPr>
            <w:r>
              <w:rPr>
                <w:sz w:val="21"/>
              </w:rPr>
              <w:t>提供的运行维护服务费用，已包括了所有日常运行维护工作、易耗品更换、零配件更换、水电费、站房租赁费用等所有运行维护费用。</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采购包2（番禺水质自动监测站运行维护项目）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自合同签订之日至2026年6月30日</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第1期为(预付款)：支付比例30%，签订合同后5个工作日内，采购人向成交供应商支付合同金额的30%作为预付款。</w:t>
            </w:r>
          </w:p>
          <w:p>
            <w:pPr>
              <w:pStyle w:val="null3"/>
            </w:pPr>
            <w:r>
              <w:rPr/>
              <w:t>第2期为(进度款)：支付比例30%，在完成6个月的运维工作后，成交供应商提交运维维护报告或相关材料并经采购人审核合格后5个工作日内办理支付手续合同金额的30%。</w:t>
            </w:r>
          </w:p>
          <w:p>
            <w:pPr>
              <w:pStyle w:val="null3"/>
            </w:pPr>
            <w:r>
              <w:rPr/>
              <w:t>第3期为(进度款)：支付比例30%，在完成9个月的运维工作后，成交供应商提交运维维护报告或相关材料并经采购人审核合格后5个工作日内办理支付手续合同金额的30%。</w:t>
            </w:r>
          </w:p>
          <w:p>
            <w:pPr>
              <w:pStyle w:val="null3"/>
            </w:pPr>
            <w:r>
              <w:rPr/>
              <w:t>第4期为(尾款)：支付比例10%，在完成周期运维工作后，成交供应商提交年终的运维维护报告或相关材料并经采购人审核合格后5个工作日内办理支付手续合同金额的10%。 付款方式：成交供应商在支付当月开具正式税务发票原件交采购人，采购人在收到发票审核无误后5个工作日内向成交供应商支付服务费（采购人办理请款手续后即视为付款，具体到账时间以财政部门划拨为准）。 本合同的付款时间为采购人向政府采购支付部门提出支付申请的时间（不含政府财政支付部门审查的时间）。本合同的金额如需政府采购支付部门审核确定的，以政府采购支付部门审核确定的金额为准。</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1期：运维期结束后10日内，须向广州市生态环境局番禺环境监测站提交运维工作总结报告及相关运维记录材料等，广州市生态环境局番禺环境监测站按照相关标准规范及番禺分局要求对运维工作进行评估验收。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其他，（一）★供应商必须如实提供响应所需证明材料，不得弄虚作假。供应商如果没有在响应文件中注明偏离的条款，被视为供应商已完全接受本磋商文件。 （二）在有效服务期内，如成交供应商在人员配置、作业管理、质量控制等各个方面不能满足磋商文件、政府采购合同的相关要求或没有实现响应文件中的相关承诺，采购人有权单方面无责解除合同，并保留追究其法律责任的权利。 （三）除采购人在磋商文件中明确外，成交供应商不可以转包本项目，取得采购人同意后可进行部分内容分包。 （四）本项目需求中未作细化详尽的地方，采购人将在服务项目开始前制定具体的要求，服务机构应遵守执行；当政策法规发生调整或者工作形势发生变更，采购人可以调整有关工作要求，服务机构应按采购人要求实施。</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其他维修和保养服务</w:t>
            </w:r>
          </w:p>
        </w:tc>
        <w:tc>
          <w:tcPr>
            <w:tcW w:type="dxa" w:w="933"/>
          </w:tcPr>
          <w:p>
            <w:pPr>
              <w:pStyle w:val="null3"/>
              <w:jc w:val="left"/>
            </w:pPr>
            <w:r>
              <w:rPr/>
              <w:t>番禺水质自动监测站运行维护项目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1,713,000.00</w:t>
            </w:r>
          </w:p>
        </w:tc>
        <w:tc>
          <w:tcPr>
            <w:tcW w:type="dxa" w:w="933"/>
          </w:tcPr>
          <w:p>
            <w:pPr>
              <w:pStyle w:val="null3"/>
              <w:jc w:val="right"/>
            </w:pPr>
            <w:r>
              <w:rPr/>
              <w:t>1,713,000.00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番禺水质自动监测站运行维护项目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一、水质自动监测系统运行和维护工作目标要求</w:t>
            </w:r>
          </w:p>
          <w:p>
            <w:pPr>
              <w:pStyle w:val="null3"/>
              <w:ind w:firstLine="422"/>
              <w:jc w:val="both"/>
            </w:pPr>
            <w:r>
              <w:rPr>
                <w:sz w:val="21"/>
                <w:b/>
              </w:rPr>
              <w:t>（一）参照执行标准及依据</w:t>
            </w:r>
          </w:p>
          <w:p>
            <w:pPr>
              <w:pStyle w:val="null3"/>
              <w:ind w:firstLine="420"/>
              <w:jc w:val="both"/>
            </w:pPr>
            <w:r>
              <w:rPr>
                <w:sz w:val="21"/>
              </w:rPr>
              <w:t>1、《地表水环境质量标准》（GB3838-2002）。</w:t>
            </w:r>
          </w:p>
          <w:p>
            <w:pPr>
              <w:pStyle w:val="null3"/>
              <w:ind w:firstLine="420"/>
              <w:jc w:val="both"/>
            </w:pPr>
            <w:r>
              <w:rPr>
                <w:sz w:val="21"/>
              </w:rPr>
              <w:t>2、《国家地表水水质自动监测站运行管理办法》（中国环境监测总站）</w:t>
            </w:r>
          </w:p>
          <w:p>
            <w:pPr>
              <w:pStyle w:val="null3"/>
              <w:ind w:firstLine="420"/>
              <w:jc w:val="both"/>
            </w:pPr>
            <w:r>
              <w:rPr>
                <w:sz w:val="21"/>
              </w:rPr>
              <w:t>3、《国家地表水水质自动监测站运行维护管理实施细则（试行）》（中国环境监测总站）</w:t>
            </w:r>
          </w:p>
          <w:p>
            <w:pPr>
              <w:pStyle w:val="null3"/>
              <w:ind w:firstLine="420"/>
              <w:jc w:val="both"/>
            </w:pPr>
            <w:r>
              <w:rPr>
                <w:sz w:val="21"/>
              </w:rPr>
              <w:t>4、广东省地表水水质自动监测站运行管理办法</w:t>
            </w:r>
          </w:p>
          <w:p>
            <w:pPr>
              <w:pStyle w:val="null3"/>
              <w:ind w:firstLine="420"/>
              <w:jc w:val="both"/>
            </w:pPr>
            <w:r>
              <w:rPr>
                <w:sz w:val="21"/>
              </w:rPr>
              <w:t>5、国家及广东省、广州市颁布的有关水质自动监测方面的其它相关标准、规范和文件</w:t>
            </w:r>
            <w:r>
              <w:rPr>
                <w:sz w:val="21"/>
              </w:rPr>
              <w:t>。</w:t>
            </w:r>
          </w:p>
          <w:p>
            <w:pPr>
              <w:pStyle w:val="null3"/>
              <w:ind w:firstLine="422"/>
              <w:jc w:val="both"/>
            </w:pPr>
            <w:r>
              <w:rPr>
                <w:sz w:val="21"/>
                <w:b/>
              </w:rPr>
              <w:t>（二）工作目标</w:t>
            </w:r>
          </w:p>
          <w:p>
            <w:pPr>
              <w:pStyle w:val="null3"/>
              <w:ind w:firstLine="420"/>
              <w:jc w:val="both"/>
            </w:pPr>
            <w:r>
              <w:rPr>
                <w:sz w:val="21"/>
              </w:rPr>
              <w:t>1、保证番禺各个水质自动监测站（包括仪器、数据采集和传输、站房及配套设施）的正常运作。</w:t>
            </w:r>
          </w:p>
          <w:p>
            <w:pPr>
              <w:pStyle w:val="null3"/>
              <w:ind w:firstLine="420"/>
              <w:jc w:val="both"/>
            </w:pPr>
            <w:r>
              <w:rPr>
                <w:sz w:val="21"/>
              </w:rPr>
              <w:t>2、保证数据的采集频率及采集量必须满足或优于规定的有效性数据的要求，提供真实有效的数据。</w:t>
            </w:r>
          </w:p>
          <w:p>
            <w:pPr>
              <w:pStyle w:val="null3"/>
              <w:ind w:firstLine="420"/>
              <w:jc w:val="both"/>
            </w:pPr>
            <w:r>
              <w:rPr>
                <w:sz w:val="21"/>
              </w:rPr>
              <w:t>3、保证数据在省、市二级数据平台的准确传输。</w:t>
            </w:r>
          </w:p>
          <w:p>
            <w:pPr>
              <w:pStyle w:val="null3"/>
              <w:ind w:firstLine="422"/>
              <w:jc w:val="both"/>
            </w:pPr>
            <w:r>
              <w:rPr>
                <w:sz w:val="21"/>
                <w:b/>
              </w:rPr>
              <w:t>（三）要求</w:t>
            </w:r>
          </w:p>
          <w:p>
            <w:pPr>
              <w:pStyle w:val="null3"/>
              <w:ind w:firstLine="420"/>
              <w:jc w:val="both"/>
            </w:pPr>
            <w:r>
              <w:rPr>
                <w:sz w:val="21"/>
              </w:rPr>
              <w:t>1、供应商在中国具有水质自动监测站的实际建设案例，最近三年内（2022年-2025年）有地表水水质自动站运行维护的经验和业绩，具备完善的系统配件供应渠道，具备完善的仪表配件供应渠道。</w:t>
            </w:r>
          </w:p>
          <w:p>
            <w:pPr>
              <w:pStyle w:val="null3"/>
              <w:ind w:firstLine="420"/>
              <w:jc w:val="both"/>
            </w:pPr>
            <w:r>
              <w:rPr>
                <w:sz w:val="21"/>
              </w:rPr>
              <w:t>2、供应商具备一定数量的相关领域的技术人才；供应商应具备水质自动监测系统运行及管理的人才、技术；同时具备相当的能力和条件，专门针对本项目的具备水质自动监测站运维考核合格相关证明的维护技术人员不少于4名，维护专用车辆不少于2辆，保证番禺区水质自动监测系统维护工作的质量以及突发事件的应急处理能力。</w:t>
            </w:r>
          </w:p>
          <w:p>
            <w:pPr>
              <w:pStyle w:val="null3"/>
              <w:ind w:firstLine="420"/>
              <w:jc w:val="both"/>
            </w:pPr>
            <w:r>
              <w:rPr>
                <w:sz w:val="21"/>
              </w:rPr>
              <w:t>3、▲因本项目部分仪器老旧停运，故需要备机运行。供应商应具有水质自动监测系统的分析仪表备用机，在原有仪器不能正常工作时可直接使用备用机替代工作，所提供的备用机需提供产权归属证明。若为生产厂家，需提供仪器设备生产能力证明。</w:t>
            </w:r>
          </w:p>
          <w:p>
            <w:pPr>
              <w:pStyle w:val="null3"/>
              <w:ind w:firstLine="420"/>
              <w:jc w:val="both"/>
            </w:pPr>
            <w:r>
              <w:rPr>
                <w:sz w:val="21"/>
              </w:rPr>
              <w:t>4、供应商应配有水质自动系统常规参数（如五参数、氨氮、总磷等）的应急监测车，必要时替代水站开展水质应急监测。</w:t>
            </w:r>
          </w:p>
          <w:p>
            <w:pPr>
              <w:pStyle w:val="null3"/>
              <w:ind w:firstLine="420"/>
              <w:jc w:val="both"/>
            </w:pPr>
            <w:r>
              <w:rPr>
                <w:sz w:val="21"/>
              </w:rPr>
              <w:t>5、供应商负责运行过程中产生的所有零配件及耗品耗材的更换,费用由供应商承担。</w:t>
            </w:r>
          </w:p>
          <w:p>
            <w:pPr>
              <w:pStyle w:val="null3"/>
              <w:ind w:firstLine="420"/>
              <w:jc w:val="both"/>
            </w:pPr>
            <w:r>
              <w:rPr>
                <w:sz w:val="21"/>
              </w:rPr>
              <w:t>6、▲供应商必须配备广州市番禺区水质自动监测系统中的所有水质自动监测仪器（流量计仪器除外）的零配件备件库，所提供的零配件库存清单需提供产权归属证明。若为生产厂家，需提供零配件对应仪器设备生产能力证明。</w:t>
            </w:r>
          </w:p>
          <w:p>
            <w:pPr>
              <w:pStyle w:val="null3"/>
              <w:ind w:firstLine="420"/>
              <w:jc w:val="both"/>
            </w:pPr>
            <w:r>
              <w:rPr>
                <w:sz w:val="21"/>
              </w:rPr>
              <w:t>7、供应商承担水站的租赁费用、水电费、网络通讯费、废液处理费。</w:t>
            </w:r>
          </w:p>
          <w:p>
            <w:pPr>
              <w:pStyle w:val="null3"/>
              <w:ind w:firstLine="420"/>
              <w:jc w:val="both"/>
            </w:pPr>
            <w:r>
              <w:rPr>
                <w:sz w:val="21"/>
              </w:rPr>
              <w:t>8、对参与本项目运行维护服务工作人员均需按有关规定与其签订劳动合同和购买社保、医保和工伤保险等。</w:t>
            </w:r>
          </w:p>
          <w:p>
            <w:pPr>
              <w:pStyle w:val="null3"/>
              <w:ind w:firstLine="420"/>
              <w:jc w:val="both"/>
            </w:pPr>
            <w:r>
              <w:rPr>
                <w:sz w:val="21"/>
              </w:rPr>
              <w:t>9、供应商必须积极配合广州市生态环境局番禺环境监测站，做好接受各级管理部门的检查、监督工作，并无偿提供与其工作有关的资料、信息等。</w:t>
            </w:r>
          </w:p>
          <w:p>
            <w:pPr>
              <w:pStyle w:val="null3"/>
              <w:ind w:firstLine="420"/>
              <w:jc w:val="both"/>
            </w:pPr>
            <w:r>
              <w:rPr>
                <w:sz w:val="21"/>
              </w:rPr>
              <w:t>10、参与履行运行维护服务本项目的所有人员，对工作中所涉的数据、资料及文件等负有保密义务，未经采购人同意，不得向第三方泄露。</w:t>
            </w:r>
          </w:p>
          <w:p>
            <w:pPr>
              <w:pStyle w:val="null3"/>
              <w:jc w:val="both"/>
            </w:pPr>
            <w:r>
              <w:rPr>
                <w:sz w:val="21"/>
                <w:b/>
              </w:rPr>
              <w:t>二、对水质自动监测系统运行维护服务工作各项要求</w:t>
            </w:r>
          </w:p>
          <w:p>
            <w:pPr>
              <w:pStyle w:val="null3"/>
              <w:ind w:firstLine="422"/>
              <w:jc w:val="both"/>
            </w:pPr>
            <w:r>
              <w:rPr>
                <w:sz w:val="21"/>
                <w:b/>
              </w:rPr>
              <w:t>（一）日常运行巡视具体要求</w:t>
            </w:r>
          </w:p>
          <w:p>
            <w:pPr>
              <w:pStyle w:val="null3"/>
              <w:ind w:firstLine="420"/>
              <w:jc w:val="both"/>
            </w:pPr>
            <w:r>
              <w:rPr>
                <w:sz w:val="21"/>
              </w:rPr>
              <w:t>1、保证各水站的仪器系统及站房配套设施的财产安全，做好防火、防雨、防风、防盗和卫生清洁工作。保障站房内空调、电力线路、照明系统、排气设备等设施正常运行，若因此引起安全事故、责任等所有损失由成交供应商承担。</w:t>
            </w:r>
          </w:p>
          <w:p>
            <w:pPr>
              <w:pStyle w:val="null3"/>
              <w:ind w:firstLine="420"/>
              <w:jc w:val="both"/>
            </w:pPr>
            <w:r>
              <w:rPr>
                <w:sz w:val="21"/>
              </w:rPr>
              <w:t>2、维护人员每天8:30-9:30和17:30-18:30时期间必须登录水质自动监测系统对各水站数据进行调阅检查及分析。若发现数据有异常状况，应尽快安排现场巡视。</w:t>
            </w:r>
          </w:p>
          <w:p>
            <w:pPr>
              <w:pStyle w:val="null3"/>
              <w:ind w:firstLine="420"/>
              <w:jc w:val="both"/>
            </w:pPr>
            <w:r>
              <w:rPr>
                <w:sz w:val="21"/>
              </w:rPr>
              <w:t>3、每周至少巡查一次各水站，检查各台仪器的工作状态。查看各仪器的关键技术参数，仪器数据的有效性，空调的工作情况，数据采集器的数据是否与仪器一致，水站通讯是否正常等。做好日常的维护记录。维护记录作为日常维护工作的必要有效文件，放在水站备查，定期归档。</w:t>
            </w:r>
          </w:p>
          <w:p>
            <w:pPr>
              <w:pStyle w:val="null3"/>
              <w:ind w:firstLine="420"/>
              <w:jc w:val="both"/>
            </w:pPr>
            <w:r>
              <w:rPr>
                <w:sz w:val="21"/>
              </w:rPr>
              <w:t>4、定期和及时更换易耗品，所有的易耗品必须是仪器原厂家的原配易耗品。</w:t>
            </w:r>
          </w:p>
          <w:p>
            <w:pPr>
              <w:pStyle w:val="null3"/>
              <w:ind w:firstLine="420"/>
              <w:jc w:val="both"/>
            </w:pPr>
            <w:r>
              <w:rPr>
                <w:sz w:val="21"/>
              </w:rPr>
              <w:t>5、在日常巡查维护过程中，若发现仪器或配套设备出现故障不能正常工作，应立即组织力量进行问题确认、排查故障和修复。故障的排除和确认应该在到达现场后2小时内完成，修复工作应该在到达现场后4小时内完成，原则上不能超过12小时。若不能马上修复，需要更换非常规的零配件时，必须在到达现场后24小时内完成，原则上不能超过48小时。若不能在48小时内完成故障的解决，则供应商必须用其单位的备机替代。所有的故障解决过程必须形成书面报告，定期归档。在以上响应的同时必须满足《广东省环境质量自动监测质量保证管理办法》中数据有效性的最低要求。</w:t>
            </w:r>
          </w:p>
          <w:p>
            <w:pPr>
              <w:pStyle w:val="null3"/>
              <w:ind w:firstLine="422"/>
              <w:jc w:val="both"/>
            </w:pPr>
            <w:r>
              <w:rPr>
                <w:sz w:val="21"/>
                <w:b/>
              </w:rPr>
              <w:t>（二）对运行维护服务工作及质量控制要求</w:t>
            </w:r>
          </w:p>
          <w:p>
            <w:pPr>
              <w:pStyle w:val="null3"/>
              <w:ind w:firstLine="420"/>
              <w:jc w:val="both"/>
            </w:pPr>
            <w:r>
              <w:rPr>
                <w:sz w:val="21"/>
              </w:rPr>
              <w:t>1、供应商须指派有责任心并具相关专业知识的技术人员负责水站的日常维护，按照上述国家及省市相关的标准及规范做好维护工作，并接受广州市生态环境局番禺环境监测站的工作检查及考核。</w:t>
            </w:r>
          </w:p>
          <w:p>
            <w:pPr>
              <w:pStyle w:val="null3"/>
              <w:ind w:firstLine="420"/>
              <w:jc w:val="both"/>
            </w:pPr>
            <w:r>
              <w:rPr>
                <w:sz w:val="21"/>
              </w:rPr>
              <w:t>2、应保证技术服务的质量和效果，保证每月至少27天有效数据（2月至少25天有效数据）；数据捕获率应大于或等于95%，捕获数据有效率应大于或等于95%，有效监测数据获取率应大于或等于90%。</w:t>
            </w:r>
          </w:p>
          <w:p>
            <w:pPr>
              <w:pStyle w:val="null3"/>
              <w:ind w:firstLine="420"/>
              <w:jc w:val="both"/>
            </w:pPr>
            <w:r>
              <w:rPr>
                <w:sz w:val="21"/>
              </w:rPr>
              <w:t>3、分析仪性能质量控制目标</w:t>
            </w:r>
          </w:p>
          <w:p>
            <w:pPr>
              <w:pStyle w:val="null3"/>
              <w:ind w:firstLine="420"/>
              <w:jc w:val="both"/>
            </w:pPr>
            <w:r>
              <w:rPr>
                <w:sz w:val="21"/>
              </w:rPr>
              <w:t>（</w:t>
            </w:r>
            <w:r>
              <w:rPr>
                <w:sz w:val="21"/>
              </w:rPr>
              <w:t>1）精度检查</w:t>
            </w:r>
          </w:p>
          <w:tbl>
            <w:tblPr>
              <w:tblInd w:type="dxa" w:w="120"/>
              <w:tblBorders>
                <w:top w:val="none" w:color="000000" w:sz="4"/>
                <w:left w:val="none" w:color="000000" w:sz="4"/>
                <w:bottom w:val="none" w:color="000000" w:sz="4"/>
                <w:right w:val="none" w:color="000000" w:sz="4"/>
                <w:insideH w:val="none"/>
                <w:insideV w:val="none"/>
              </w:tblBorders>
            </w:tblPr>
            <w:tblGrid>
              <w:gridCol w:w="2670"/>
              <w:gridCol w:w="2927"/>
            </w:tblGrid>
            <w:tr>
              <w:tc>
                <w:tcPr>
                  <w:tcW w:type="dxa" w:w="26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参数</w:t>
                  </w:r>
                </w:p>
              </w:tc>
              <w:tc>
                <w:tcPr>
                  <w:tcW w:type="dxa" w:w="29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控制极限</w:t>
                  </w:r>
                </w:p>
              </w:tc>
            </w:tr>
            <w:tr>
              <w:tc>
                <w:tcPr>
                  <w:tcW w:type="dxa" w:w="2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各水站的全部测量项目</w:t>
                  </w:r>
                </w:p>
              </w:tc>
              <w:tc>
                <w:tcPr>
                  <w:tcW w:type="dxa" w:w="2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r>
          </w:tbl>
          <w:p>
            <w:pPr>
              <w:pStyle w:val="null3"/>
              <w:ind w:firstLine="420"/>
              <w:jc w:val="both"/>
            </w:pPr>
            <w:r>
              <w:rPr>
                <w:sz w:val="21"/>
              </w:rPr>
              <w:t>（</w:t>
            </w:r>
            <w:r>
              <w:rPr>
                <w:sz w:val="21"/>
              </w:rPr>
              <w:t>2）日常运行质控目标</w:t>
            </w:r>
          </w:p>
          <w:tbl>
            <w:tblPr>
              <w:tblInd w:type="dxa" w:w="120"/>
              <w:tblBorders>
                <w:top w:val="none" w:color="000000" w:sz="4"/>
                <w:left w:val="none" w:color="000000" w:sz="4"/>
                <w:bottom w:val="none" w:color="000000" w:sz="4"/>
                <w:right w:val="none" w:color="000000" w:sz="4"/>
                <w:insideH w:val="none"/>
                <w:insideV w:val="none"/>
              </w:tblBorders>
            </w:tblPr>
            <w:tblGrid>
              <w:gridCol w:w="1960"/>
              <w:gridCol w:w="1394"/>
              <w:gridCol w:w="1238"/>
              <w:gridCol w:w="1004"/>
            </w:tblGrid>
            <w:tr>
              <w:tc>
                <w:tcPr>
                  <w:tcW w:type="dxa" w:w="3354"/>
                  <w:gridSpan w:val="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参数</w:t>
                  </w:r>
                </w:p>
              </w:tc>
              <w:tc>
                <w:tcPr>
                  <w:tcW w:type="dxa" w:w="2242"/>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运行评价指标</w:t>
                  </w:r>
                </w:p>
              </w:tc>
            </w:tr>
            <w:tr>
              <w:tc>
                <w:tcPr>
                  <w:tcW w:type="dxa" w:w="3354"/>
                  <w:gridSpan w:val="2"/>
                  <w:vMerge/>
                  <w:tcBorders>
                    <w:top w:val="single" w:color="000000" w:sz="4"/>
                    <w:left w:val="single" w:color="000000" w:sz="4"/>
                    <w:bottom w:val="single" w:color="000000" w:sz="4"/>
                    <w:right w:val="single" w:color="000000" w:sz="4"/>
                  </w:tcBorders>
                </w:tcPr>
                <w:p/>
              </w:tc>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警告极限</w:t>
                  </w:r>
                </w:p>
              </w:tc>
              <w:tc>
                <w:tcPr>
                  <w:tcW w:type="dxa" w:w="10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控制极限</w:t>
                  </w:r>
                </w:p>
              </w:tc>
            </w:tr>
            <w:tr>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各水站的全部测量项目</w:t>
                  </w:r>
                </w:p>
              </w:tc>
              <w:tc>
                <w:tcPr>
                  <w:tcW w:type="dxa" w:w="1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所有级别准确度</w:t>
                  </w:r>
                </w:p>
              </w:tc>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0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r>
          </w:tbl>
          <w:p>
            <w:pPr>
              <w:pStyle w:val="null3"/>
              <w:ind w:firstLine="420"/>
              <w:jc w:val="both"/>
            </w:pPr>
            <w:r>
              <w:rPr>
                <w:sz w:val="21"/>
              </w:rPr>
              <w:t>3、具体质控内容要求（见表七、表八）</w:t>
            </w:r>
          </w:p>
          <w:p>
            <w:pPr>
              <w:pStyle w:val="null3"/>
              <w:ind w:firstLine="420"/>
              <w:jc w:val="both"/>
            </w:pPr>
            <w:r>
              <w:rPr>
                <w:sz w:val="21"/>
              </w:rPr>
              <w:t>表七：水质分析仪质控内容及频率表</w:t>
            </w:r>
          </w:p>
          <w:tbl>
            <w:tblPr>
              <w:tblInd w:type="dxa" w:w="120"/>
              <w:tblBorders>
                <w:top w:val="none" w:color="000000" w:sz="4"/>
                <w:left w:val="none" w:color="000000" w:sz="4"/>
                <w:bottom w:val="none" w:color="000000" w:sz="4"/>
                <w:right w:val="none" w:color="000000" w:sz="4"/>
                <w:insideH w:val="none"/>
                <w:insideV w:val="none"/>
              </w:tblBorders>
            </w:tblPr>
            <w:tblGrid>
              <w:gridCol w:w="1281"/>
              <w:gridCol w:w="4316"/>
            </w:tblGrid>
            <w:tr>
              <w:tc>
                <w:tcPr>
                  <w:tcW w:type="dxa" w:w="12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项目内容</w:t>
                  </w:r>
                </w:p>
              </w:tc>
              <w:tc>
                <w:tcPr>
                  <w:tcW w:type="dxa" w:w="43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频率和可供选择方法</w:t>
                  </w:r>
                </w:p>
              </w:tc>
            </w:tr>
            <w:tr>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空白</w:t>
                  </w:r>
                  <w:r>
                    <w:rPr>
                      <w:sz w:val="21"/>
                    </w:rPr>
                    <w:t>/满量程检查，全部项目（pH除外）</w:t>
                  </w:r>
                </w:p>
              </w:tc>
              <w:tc>
                <w:tcPr>
                  <w:tcW w:type="dxa" w:w="4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频率方法：</w:t>
                  </w:r>
                </w:p>
                <w:p>
                  <w:pPr>
                    <w:pStyle w:val="null3"/>
                    <w:jc w:val="both"/>
                  </w:pPr>
                  <w:r>
                    <w:rPr>
                      <w:sz w:val="21"/>
                    </w:rPr>
                    <w:t>（</w:t>
                  </w:r>
                  <w:r>
                    <w:rPr>
                      <w:sz w:val="21"/>
                    </w:rPr>
                    <w:t>1）至少每月一次对各水站所有仪器进行</w:t>
                  </w:r>
                </w:p>
                <w:p>
                  <w:pPr>
                    <w:pStyle w:val="null3"/>
                    <w:jc w:val="both"/>
                  </w:pPr>
                  <w:r>
                    <w:rPr>
                      <w:sz w:val="21"/>
                    </w:rPr>
                    <w:t>（</w:t>
                  </w:r>
                  <w:r>
                    <w:rPr>
                      <w:sz w:val="21"/>
                    </w:rPr>
                    <w:t>2）仪器更换试剂及零配件，影响到测量性能时</w:t>
                  </w:r>
                </w:p>
              </w:tc>
            </w:tr>
            <w:tr>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多点校准</w:t>
                  </w:r>
                </w:p>
                <w:p>
                  <w:pPr>
                    <w:pStyle w:val="null3"/>
                    <w:jc w:val="both"/>
                  </w:pPr>
                  <w:r>
                    <w:rPr>
                      <w:sz w:val="21"/>
                    </w:rPr>
                    <w:t>全部项目</w:t>
                  </w:r>
                </w:p>
              </w:tc>
              <w:tc>
                <w:tcPr>
                  <w:tcW w:type="dxa" w:w="4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频率方法：</w:t>
                  </w:r>
                </w:p>
                <w:p>
                  <w:pPr>
                    <w:pStyle w:val="null3"/>
                    <w:jc w:val="both"/>
                  </w:pPr>
                  <w:r>
                    <w:rPr>
                      <w:sz w:val="21"/>
                    </w:rPr>
                    <w:t>（</w:t>
                  </w:r>
                  <w:r>
                    <w:rPr>
                      <w:sz w:val="21"/>
                    </w:rPr>
                    <w:t>1）至少每一个季度对各水站所有仪器进行</w:t>
                  </w:r>
                </w:p>
                <w:p>
                  <w:pPr>
                    <w:pStyle w:val="null3"/>
                    <w:jc w:val="both"/>
                  </w:pPr>
                  <w:r>
                    <w:rPr>
                      <w:sz w:val="21"/>
                    </w:rPr>
                    <w:t>（</w:t>
                  </w:r>
                  <w:r>
                    <w:rPr>
                      <w:sz w:val="21"/>
                    </w:rPr>
                    <w:t>2）仪器更换影响到测量性能时</w:t>
                  </w:r>
                </w:p>
              </w:tc>
            </w:tr>
            <w:tr>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实际水样比对</w:t>
                  </w:r>
                </w:p>
              </w:tc>
              <w:tc>
                <w:tcPr>
                  <w:tcW w:type="dxa" w:w="4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频率方法：随机开展，随机选取测量项目。</w:t>
                  </w:r>
                </w:p>
              </w:tc>
            </w:tr>
          </w:tbl>
          <w:p>
            <w:pPr>
              <w:pStyle w:val="null3"/>
              <w:ind w:firstLine="420"/>
              <w:jc w:val="both"/>
            </w:pPr>
            <w:r>
              <w:rPr>
                <w:sz w:val="21"/>
              </w:rPr>
              <w:t>4、对水站实施“月比对检查”质量管理制度。即每月一次标准溶液检查测试及质控盲样测试,并上报测试报告，比对数据误差不超过15%。</w:t>
            </w:r>
          </w:p>
          <w:p>
            <w:pPr>
              <w:pStyle w:val="null3"/>
              <w:ind w:firstLine="420"/>
              <w:jc w:val="both"/>
            </w:pPr>
            <w:r>
              <w:rPr>
                <w:sz w:val="21"/>
              </w:rPr>
              <w:t>5、服务违约处理标准：</w:t>
            </w:r>
          </w:p>
          <w:p>
            <w:pPr>
              <w:pStyle w:val="null3"/>
              <w:ind w:firstLine="420"/>
              <w:jc w:val="both"/>
            </w:pPr>
            <w:r>
              <w:rPr>
                <w:sz w:val="21"/>
              </w:rPr>
              <w:t>（</w:t>
            </w:r>
            <w:r>
              <w:rPr>
                <w:sz w:val="21"/>
              </w:rPr>
              <w:t>1）成交供应商有责任接受采购人定期和不定期检查。若在服务期限内被检查出不符合上述相关国家和省市标准及规范，第一次口头警告，第二次书面警告，第三次则对供应商进行运维费用扣除。每次扣除数额为合同总额的2%。</w:t>
            </w:r>
          </w:p>
          <w:p>
            <w:pPr>
              <w:pStyle w:val="null3"/>
              <w:ind w:firstLine="420"/>
              <w:jc w:val="both"/>
            </w:pPr>
            <w:r>
              <w:rPr>
                <w:sz w:val="21"/>
              </w:rPr>
              <w:t>（</w:t>
            </w:r>
            <w:r>
              <w:rPr>
                <w:sz w:val="21"/>
              </w:rPr>
              <w:t>2）如成交供应商在服务期内采购人水质质量数据平台收集的运行水质自动站单站月数据有效率达不到90%，单站以月计处以合同总额的2%罚款，多站多月累计，直至扣完为止。</w:t>
            </w:r>
          </w:p>
          <w:p>
            <w:pPr>
              <w:pStyle w:val="null3"/>
              <w:ind w:firstLine="420"/>
              <w:jc w:val="both"/>
            </w:pPr>
            <w:r>
              <w:rPr>
                <w:sz w:val="21"/>
              </w:rPr>
              <w:t>（</w:t>
            </w:r>
            <w:r>
              <w:rPr>
                <w:sz w:val="21"/>
              </w:rPr>
              <w:t>3）如成交供应商在服务期内在采购人质控组安排的标准样品月度考核中，单个项目不达标，须扣除成交供应商运行维护服务费用。每个不达标项目扣除数额为当年度合同总额的0.5%，多项目累计，直至扣完为止。</w:t>
            </w:r>
          </w:p>
          <w:p>
            <w:pPr>
              <w:pStyle w:val="null3"/>
              <w:jc w:val="both"/>
            </w:pPr>
            <w:r>
              <w:rPr>
                <w:sz w:val="21"/>
                <w:b/>
              </w:rPr>
              <w:t>三、其它有关工作要求</w:t>
            </w:r>
          </w:p>
          <w:p>
            <w:pPr>
              <w:pStyle w:val="null3"/>
              <w:ind w:firstLine="422"/>
              <w:jc w:val="both"/>
            </w:pPr>
            <w:r>
              <w:rPr>
                <w:sz w:val="21"/>
                <w:b/>
              </w:rPr>
              <w:t>（一）运行维护服务需提交文字记录的要求</w:t>
            </w:r>
          </w:p>
          <w:p>
            <w:pPr>
              <w:pStyle w:val="null3"/>
              <w:ind w:firstLine="420"/>
              <w:jc w:val="both"/>
            </w:pPr>
            <w:r>
              <w:rPr>
                <w:sz w:val="21"/>
              </w:rPr>
              <w:t>1、每月维护结束后10日内提交维护状况汇整统计表报告。</w:t>
            </w:r>
          </w:p>
          <w:p>
            <w:pPr>
              <w:pStyle w:val="null3"/>
              <w:ind w:firstLine="420"/>
              <w:jc w:val="both"/>
            </w:pPr>
            <w:r>
              <w:rPr>
                <w:sz w:val="21"/>
              </w:rPr>
              <w:t>2、半年维护结束后15日内提交半年维护报告，包括：</w:t>
            </w:r>
          </w:p>
          <w:p>
            <w:pPr>
              <w:pStyle w:val="null3"/>
              <w:ind w:left="210" w:firstLine="420"/>
              <w:jc w:val="both"/>
            </w:pPr>
            <w:r>
              <w:rPr>
                <w:sz w:val="21"/>
              </w:rPr>
              <w:t>1）各水站参数达标结果总结。</w:t>
            </w:r>
          </w:p>
          <w:p>
            <w:pPr>
              <w:pStyle w:val="null3"/>
              <w:ind w:left="210" w:firstLine="420"/>
              <w:jc w:val="both"/>
            </w:pPr>
            <w:r>
              <w:rPr>
                <w:sz w:val="21"/>
              </w:rPr>
              <w:t>2）各水站质控任务总结表（数据获取率，校准执行等）</w:t>
            </w:r>
          </w:p>
          <w:p>
            <w:pPr>
              <w:pStyle w:val="null3"/>
              <w:ind w:left="210" w:firstLine="420"/>
              <w:jc w:val="both"/>
            </w:pPr>
            <w:r>
              <w:rPr>
                <w:sz w:val="21"/>
              </w:rPr>
              <w:t>3）各水站站点突发事件说明。</w:t>
            </w:r>
          </w:p>
          <w:p>
            <w:pPr>
              <w:pStyle w:val="null3"/>
              <w:ind w:left="210" w:firstLine="420"/>
              <w:jc w:val="both"/>
            </w:pPr>
            <w:r>
              <w:rPr>
                <w:sz w:val="21"/>
              </w:rPr>
              <w:t>4）各水站零跨校准结果，工作记录。</w:t>
            </w:r>
          </w:p>
          <w:p>
            <w:pPr>
              <w:pStyle w:val="null3"/>
              <w:ind w:left="210" w:firstLine="420"/>
              <w:jc w:val="both"/>
            </w:pPr>
            <w:r>
              <w:rPr>
                <w:sz w:val="21"/>
              </w:rPr>
              <w:t>5）各水站多点校准结果表格。</w:t>
            </w:r>
          </w:p>
          <w:p>
            <w:pPr>
              <w:pStyle w:val="null3"/>
              <w:ind w:left="210" w:firstLine="420"/>
              <w:jc w:val="both"/>
            </w:pPr>
            <w:r>
              <w:rPr>
                <w:sz w:val="21"/>
              </w:rPr>
              <w:t>6）各水站附录维修工作表及测试报告。</w:t>
            </w:r>
          </w:p>
          <w:p>
            <w:pPr>
              <w:pStyle w:val="null3"/>
              <w:ind w:firstLine="420"/>
              <w:jc w:val="both"/>
            </w:pPr>
            <w:r>
              <w:rPr>
                <w:sz w:val="21"/>
              </w:rPr>
              <w:t>3、9个月维护结束后15日内提交半年维护报告，包括：</w:t>
            </w:r>
          </w:p>
          <w:p>
            <w:pPr>
              <w:pStyle w:val="null3"/>
              <w:ind w:left="210" w:firstLine="420"/>
              <w:jc w:val="both"/>
            </w:pPr>
            <w:r>
              <w:rPr>
                <w:sz w:val="21"/>
              </w:rPr>
              <w:t>1）各水站参数达标结果总结。</w:t>
            </w:r>
          </w:p>
          <w:p>
            <w:pPr>
              <w:pStyle w:val="null3"/>
              <w:ind w:left="210" w:firstLine="420"/>
              <w:jc w:val="both"/>
            </w:pPr>
            <w:r>
              <w:rPr>
                <w:sz w:val="21"/>
              </w:rPr>
              <w:t>2）各水站质控任务总结表（数据获取率，校准执行等）</w:t>
            </w:r>
          </w:p>
          <w:p>
            <w:pPr>
              <w:pStyle w:val="null3"/>
              <w:ind w:left="210" w:firstLine="420"/>
              <w:jc w:val="both"/>
            </w:pPr>
            <w:r>
              <w:rPr>
                <w:sz w:val="21"/>
              </w:rPr>
              <w:t>3）各水站站点突发事件说明。</w:t>
            </w:r>
          </w:p>
          <w:p>
            <w:pPr>
              <w:pStyle w:val="null3"/>
              <w:ind w:left="210" w:firstLine="420"/>
              <w:jc w:val="both"/>
            </w:pPr>
            <w:r>
              <w:rPr>
                <w:sz w:val="21"/>
              </w:rPr>
              <w:t>4）各水站零跨校准结果，工作记录。</w:t>
            </w:r>
          </w:p>
          <w:p>
            <w:pPr>
              <w:pStyle w:val="null3"/>
              <w:ind w:left="210" w:firstLine="420"/>
              <w:jc w:val="both"/>
            </w:pPr>
            <w:r>
              <w:rPr>
                <w:sz w:val="21"/>
              </w:rPr>
              <w:t>5）各水站多点校准结果表格。</w:t>
            </w:r>
          </w:p>
          <w:p>
            <w:pPr>
              <w:pStyle w:val="null3"/>
              <w:ind w:left="210" w:firstLine="420"/>
              <w:jc w:val="both"/>
            </w:pPr>
            <w:r>
              <w:rPr>
                <w:sz w:val="21"/>
              </w:rPr>
              <w:t>6）各水站附录维修工作表及测试报告。</w:t>
            </w:r>
          </w:p>
          <w:p>
            <w:pPr>
              <w:pStyle w:val="null3"/>
              <w:ind w:firstLine="422"/>
              <w:jc w:val="both"/>
            </w:pPr>
            <w:r>
              <w:rPr>
                <w:sz w:val="21"/>
                <w:b/>
              </w:rPr>
              <w:t>（二）运行维护服务结束需提交的文字报告要求</w:t>
            </w:r>
          </w:p>
          <w:p>
            <w:pPr>
              <w:pStyle w:val="null3"/>
              <w:ind w:firstLine="420"/>
              <w:jc w:val="both"/>
            </w:pPr>
            <w:r>
              <w:rPr>
                <w:sz w:val="21"/>
              </w:rPr>
              <w:t>运行结束前</w:t>
            </w:r>
            <w:r>
              <w:rPr>
                <w:sz w:val="21"/>
              </w:rPr>
              <w:t>20日内，须向广州市生态环境局番禺环境监测站提交各水站运行状况总结报告，对于未修复的仪器，须于计划结束后15日内完成修复，并通过对各水站站房设备和仪器性能的验收，经确认后结案。报告内容包含下列各项：</w:t>
            </w:r>
          </w:p>
          <w:p>
            <w:pPr>
              <w:pStyle w:val="null3"/>
              <w:ind w:firstLine="420"/>
              <w:jc w:val="both"/>
            </w:pPr>
            <w:r>
              <w:rPr>
                <w:sz w:val="21"/>
              </w:rPr>
              <w:t>1、各水站仪器运行情况总结。</w:t>
            </w:r>
          </w:p>
          <w:p>
            <w:pPr>
              <w:pStyle w:val="null3"/>
              <w:ind w:firstLine="420"/>
              <w:jc w:val="both"/>
            </w:pPr>
            <w:r>
              <w:rPr>
                <w:sz w:val="21"/>
              </w:rPr>
              <w:t>2、各监测仪器可能潜在的问题及建议。</w:t>
            </w:r>
          </w:p>
          <w:p>
            <w:pPr>
              <w:pStyle w:val="null3"/>
              <w:ind w:firstLine="420"/>
              <w:jc w:val="both"/>
            </w:pPr>
            <w:r>
              <w:rPr>
                <w:sz w:val="21"/>
              </w:rPr>
              <w:t>3、仪器故障未修复状况。</w:t>
            </w:r>
          </w:p>
          <w:p>
            <w:pPr>
              <w:pStyle w:val="null3"/>
              <w:ind w:firstLine="420"/>
              <w:jc w:val="both"/>
            </w:pPr>
            <w:r>
              <w:rPr>
                <w:sz w:val="21"/>
              </w:rPr>
              <w:t>4、灭火器有效期限。</w:t>
            </w:r>
          </w:p>
          <w:p>
            <w:pPr>
              <w:pStyle w:val="null3"/>
              <w:ind w:firstLine="420"/>
              <w:jc w:val="both"/>
            </w:pPr>
            <w:r>
              <w:rPr>
                <w:sz w:val="21"/>
              </w:rPr>
              <w:t>5、供电及防雷情况说明。</w:t>
            </w:r>
          </w:p>
          <w:p>
            <w:pPr>
              <w:pStyle w:val="null3"/>
              <w:ind w:firstLine="420"/>
              <w:jc w:val="both"/>
            </w:pPr>
            <w:r>
              <w:rPr>
                <w:sz w:val="21"/>
              </w:rPr>
              <w:t>6、站房安全危害与改善状况。</w:t>
            </w:r>
          </w:p>
          <w:p>
            <w:pPr>
              <w:pStyle w:val="null3"/>
              <w:jc w:val="both"/>
            </w:pPr>
            <w:r>
              <w:rPr>
                <w:sz w:val="21"/>
                <w:b/>
              </w:rPr>
              <w:t>四、运行维护服务费用</w:t>
            </w:r>
          </w:p>
          <w:p>
            <w:pPr>
              <w:pStyle w:val="null3"/>
              <w:jc w:val="both"/>
            </w:pPr>
            <w:r>
              <w:rPr>
                <w:sz w:val="21"/>
              </w:rPr>
              <w:t>提供的运行维护服务费用，包括了所有日常运行维护工作经费、易耗品更换费用、零配件更换费用及维修费用、站房租赁费用、水电费、站房配套设施保养及维修费。</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广州市生态环境局番禺环境监测站</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2</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p>
            <w:pPr>
              <w:pStyle w:val="null3"/>
            </w:pPr>
            <w:r>
              <w:rPr/>
              <w:t>采购包2：综合评分法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r>
              <w:rPr/>
              <w:t>采购包2：保证金人民币：0.00元整。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p>
            <w:pPr>
              <w:pStyle w:val="null3"/>
            </w:pPr>
            <w:r>
              <w:rPr/>
              <w:t>采购包2：</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jc w:val="left"/>
            </w:pPr>
            <w:r>
              <w:rPr/>
              <w:t>采购包2：3家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项目兼投兼中规则</w:t>
            </w:r>
          </w:p>
        </w:tc>
        <w:tc>
          <w:tcPr>
            <w:tcW w:type="dxa" w:w="5004"/>
          </w:tcPr>
          <w:p>
            <w:pPr>
              <w:pStyle w:val="null3"/>
            </w:pPr>
            <w:r>
              <w:rPr/>
              <w:t>兼投不兼中：本项目兼投不兼中，每个投标人最多只能被确定为1个子包的第一中标候选人。本项目按子包的顺序进行评审，依次按照评标总得分由高到低的顺序，每包组推荐两名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r>
              <w:rPr/>
              <w:t>采购机构代理服务收费标准：成交供应商须向采购代理机构按如下标准和规定缴纳采购代理服务费（不含税）： （1）以项目成交金额作为采购代理服务费的计算基数； （2）采购代理服务费采用差额定率累进法进行计算，按照以下标准计取： 100万元以下的部分，按照1.5%计取； 100-500万元的部分，按照0.8%计取；</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其他，一、综合信用得分，（一）本项目商务部分评分的综合信用得分运用广州公共资源交易政府采购领域信用评价体系3.0（以下简称“政府采购信用3.0”）。供应商应在投标响应前通过广州交易集团有限公司网站完成企业信用档案登记，并确认成功，以免出现企业信用评价分无法使用等情况，登记手册可查阅http://www.gzggzy.cn/fwznxtbzczsc/951149.jhtml。 （二）综合信用得分运用“政府采购信用3.0”评价分进行计算，综合信用评价得分=供应商在广州公共资源交易信用评价（政府采购供应商信用评价分）×5%。供应商的信用评价分以开标当天广州交易集团有限公司网站公布的分值为准【通过“广州交易集团有限公司网站-信用信息-广州公共资源交易信用平台3.0” 进行核实，未能在网站查询到供应商信用评价分的，以信用评价基准分（93.4分）计算】。 二、履约评价，采购人负责对成交供应商的履约行为进行评价。采购人在合同备案后可通过广东政府采购智慧云平台-诚信管理-评价管理进行评价。评价结果会影响供应商的综合信用得分。 三、关于提供前期服务的供应商，为采购项目提供整体设计、规范编制或者项目管理、监理、检测等服务的供应商，不得再参加该采购项目的其他采购活动。 其他说明，中标（成交）通知书与发票送达：中标（成交）通知书、服务费（标书款）发票现场领取或邮寄，中标（成交）通知书、我司可通过快递方式送达给中标（成交）人，服务费（标书款）发票以邮件方式发送电子发票。 采购合同送达：中标（成交）人可采用邮寄方式将签订的合同或现场递交我司。 1）收件地址：广州市天河区龙怡路117号银汇大厦5楼 2）收件人：广东志正招标有限公司前台 3）注明采购项目编号</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p>
            <w:pPr>
              <w:pStyle w:val="null3"/>
              <w:jc w:val="left"/>
            </w:pPr>
            <w:r>
              <w:rPr/>
              <w:t>采购包2：非专门面向中小企业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3"/>
      </w:pPr>
      <w:r>
        <w:rPr>
          <w:sz w:val="24"/>
          <w:b/>
        </w:rPr>
        <w:t>11.关于分支机构</w:t>
      </w:r>
    </w:p>
    <w:p>
      <w:pPr>
        <w:pStyle w:val="null3"/>
        <w:ind w:firstLine="480"/>
      </w:pPr>
      <w:r>
        <w:rPr/>
        <w:t xml:space="preserve"> 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磋商的，还须提供分公司或中心支公司的保险机构的营业执照。）</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本项目不收取磋商保证金。</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广东志正招标有限公司（https:https://www.zztender.com/）</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广东志正招标有限公司（https:https://www.zztender.com/）</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p>
    <w:p>
      <w:pPr>
        <w:pStyle w:val="null3"/>
        <w:ind w:firstLine="480"/>
      </w:pPr>
      <w:r>
        <w:rPr/>
        <w:t>电话：</w:t>
      </w:r>
    </w:p>
    <w:p>
      <w:pPr>
        <w:pStyle w:val="null3"/>
        <w:ind w:firstLine="480"/>
      </w:pPr>
      <w:r>
        <w:rPr/>
        <w:t>传真：</w:t>
      </w:r>
    </w:p>
    <w:p>
      <w:pPr>
        <w:pStyle w:val="null3"/>
        <w:ind w:firstLine="480"/>
      </w:pPr>
      <w:r>
        <w:rPr/>
        <w:t>邮箱：</w:t>
      </w:r>
    </w:p>
    <w:p>
      <w:pPr>
        <w:pStyle w:val="null3"/>
        <w:ind w:firstLine="480"/>
      </w:pPr>
      <w:r>
        <w:rPr/>
        <w:t>地址：</w:t>
      </w:r>
    </w:p>
    <w:p>
      <w:pPr>
        <w:pStyle w:val="null3"/>
        <w:ind w:firstLine="480"/>
      </w:pPr>
      <w:r>
        <w:rPr/>
        <w:t>邮编：</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1.1采购人应当自《成交通知书》发出之日起二十日内，按照磋商文件和成交供应商响应文件的约定，与成交供应商签订合同。所签订的合同不得对磋商文件和成交供应商响应文件作实质性修改。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番禺区环境空气自动监测站运维服务项目)：综合评分法,是指响应文件满足磋商文件全部实质性要求，且按照评审因素的量化指标评审得分最高的投标人为成交候选人的评标方法。（最低报价不是成交的唯一依据。）</w:t>
      </w:r>
    </w:p>
    <w:p>
      <w:pPr>
        <w:pStyle w:val="null3"/>
      </w:pPr>
      <w:r>
        <w:rPr/>
        <w:t>采购包2(番禺水质自动监测站运行维护项目)：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广东志正招标有限公司</w:t>
      </w:r>
      <w:r>
        <w:rPr/>
        <w:t>统一对外发布。</w:t>
      </w:r>
    </w:p>
    <w:p>
      <w:pPr>
        <w:pStyle w:val="null3"/>
        <w:ind w:firstLine="480"/>
      </w:pPr>
      <w:r>
        <w:rPr/>
        <w:t>（2）对</w:t>
      </w:r>
      <w:r>
        <w:rPr/>
        <w:t>广东志正招标有限公司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（4）因重大变故，采购任务取消的。</w:t>
      </w:r>
    </w:p>
    <w:p>
      <w:pPr>
        <w:pStyle w:val="null3"/>
        <w:ind w:firstLine="480"/>
      </w:pPr>
      <w:r>
        <w:rPr/>
        <w:t>（5）法律、法规以及磋商文件规定其他情形。</w:t>
      </w:r>
    </w:p>
    <w:p>
      <w:pPr>
        <w:pStyle w:val="null3"/>
        <w:ind w:firstLine="480"/>
      </w:pPr>
      <w:r>
        <w:rPr/>
        <w:t>对终止采购的项目，磋商小组应出具采购文件是否存在不合理条款的论证意见。</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ind w:firstLine="480"/>
      </w:pPr>
      <w:r>
        <w:rPr/>
        <w:t>第一成交候选供应商无正当理由不得随意放弃成交资格。成交候选供应商放弃成交资格的，采购人可以按照评审报告推荐的成交候选供应商名单排序，确定下一成交候选供应商为成交供应商，也可以重新开展政府采购活动。</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采购包1（番禺区环境空气自动监测站运维服务项目）：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pPr>
      <w:r>
        <w:rPr/>
        <w:t>采购包2（番禺水质自动监测站运行维护项目）：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本项目服务全部为小型或微型企业承接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最后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采购代理机构应在资格审查报告或评审报告中以书面形式解释其排除的具体原因。</w:t>
      </w:r>
    </w:p>
    <w:p>
      <w:pPr>
        <w:pStyle w:val="null3"/>
        <w:ind w:firstLine="480"/>
      </w:pPr>
      <w:r>
        <w:rPr/>
        <w:t>表一资格性审查表：</w:t>
      </w:r>
    </w:p>
    <w:p>
      <w:pPr>
        <w:pStyle w:val="null3"/>
      </w:pPr>
      <w:r>
        <w:rPr/>
        <w:t>采购包1（番禺区环境空气自动监测站运维服务项目）：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依据《响应承诺函》。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依据《响应承诺函》。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依据《响应承诺函》。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依据《响应承诺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①未列入失信被执行人、重大税收违法失信主体、政府采购严重违法失信行为记录名单的供应商（以开标当日采购代理机构工作人员在“信用中国”网站（www.creditchina.gov.cn）、中国政府采购网（www.ccgp.gov.cn）的查询结果为准；处罚期限届满的除外。如“信用中国”网站查询结果显示“没有找到您搜索的企业”或“没有找到您搜索数据”，视为没有上述三类不良信用记录）。②若供应商具有分公司的，其所属分公司有上述不良信用记录的，视同该供应商存在不良信用记录。③若供应商为分公司的，其所属总公司（总所）存在上述不良信用记录的，视同该分公司存在不良信用记录。</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不得参与同一采购项目竞争的供应商（依据《响应承诺函》） 1）单位负责人为同一人或者存在直接控股、管理关系的不同供应商，不得参加同一包组投标或者未划分包组的同一招标项目的政府采购活动。如同时参加，则评审时均作无效投标处理。 2）为采购项目提供整体设计、规范编制或者项目管理、监理、检测等服务的供应商，不得再参加该采购项目的其他采购活动。</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采购包整体专门面向中小企业。供应商应按要求出具《中小企业声明函》；属于监狱企业的，提供由省级以上监狱管理局、戒毒管理局(含新疆生产建设兵团)出具的属于监狱企业的证明文件；属于残疾人福利性单位的，提供《残疾人福利性单位声明函》。</w:t>
            </w:r>
          </w:p>
        </w:tc>
      </w:tr>
    </w:tbl>
    <w:p>
      <w:pPr>
        <w:pStyle w:val="null3"/>
      </w:pPr>
      <w:r>
        <w:rPr/>
        <w:t>采购包2（番禺水质自动监测站运行维护项目）：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依据《响应承诺函》。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依据《响应承诺函》。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依据《响应承诺函》。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依据《响应承诺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①未列入失信被执行人、重大税收违法失信主体、政府采购严重违法失信行为记录名单的供应商（以开标当日采购代理机构工作人员在“信用中国”网站（www.creditchina.gov.cn）、中国政府采购网（www.ccgp.gov.cn）的查询结果为准；处罚期限届满的除外。如“信用中国”网站查询结果显示“没有找到您搜索的企业”或“没有找到您搜索数据”，视为没有上述三类不良信用记录）。②若供应商具有分公司的，其所属分公司有上述不良信用记录的，视同该供应商存在不良信用记录。③若供应商为分公司的，其所属总公司（总所）存在上述不良信用记录的，视同该分公司存在不良信用记录。</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不得参与同一采购项目竞争的供应商（依据《响应承诺函》） 1）单位负责人为同一人或者存在直接控股、管理关系的不同供应商，不得参加同一包组投标或者未划分包组的同一招标项目的政府采购活动。如同时参加，则评审时均作无效投标处理。 2）为采购项目提供整体设计、规范编制或者项目管理、监理、检测等服务的供应商，不得再参加该采购项目的其他采购活动。</w:t>
            </w:r>
          </w:p>
        </w:tc>
      </w:tr>
      <w:tr>
        <w:tc>
          <w:tcPr>
            <w:tcW w:type="dxa" w:w="890"/>
          </w:tcPr>
          <w:p>
            <w:pPr>
              <w:pStyle w:val="null3"/>
            </w:pPr>
            <w:r>
              <w:rPr/>
              <w:t>8</w:t>
            </w:r>
          </w:p>
        </w:tc>
        <w:tc>
          <w:tcPr>
            <w:tcW w:type="dxa" w:w="3178"/>
          </w:tcPr>
          <w:p>
            <w:pPr>
              <w:pStyle w:val="null3"/>
            </w:pPr>
            <w:r>
              <w:rPr/>
              <w:t>采购包整体不专门面向中小企业</w:t>
            </w:r>
          </w:p>
        </w:tc>
        <w:tc>
          <w:tcPr>
            <w:tcW w:type="dxa" w:w="4238"/>
          </w:tcPr>
          <w:p>
            <w:pPr>
              <w:pStyle w:val="null3"/>
            </w:pPr>
            <w:r>
              <w:rPr/>
              <w:t>采购包整体不专门面向中小企业。</w:t>
            </w:r>
          </w:p>
        </w:tc>
      </w:tr>
    </w:tbl>
    <w:p>
      <w:pPr>
        <w:pStyle w:val="null3"/>
        <w:ind w:firstLine="480"/>
      </w:pPr>
      <w:r>
        <w:rPr/>
        <w:t>表二符合性审查表：</w:t>
      </w:r>
    </w:p>
    <w:p>
      <w:pPr>
        <w:pStyle w:val="null3"/>
      </w:pPr>
      <w:r>
        <w:rPr/>
        <w:t>采购包1（番禺区环境空气自动监测站运维服务项目）：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第一阶段审查（磋商前）</w:t>
            </w:r>
          </w:p>
        </w:tc>
        <w:tc>
          <w:tcPr>
            <w:tcW w:type="dxa" w:w="4238"/>
          </w:tcPr>
          <w:p>
            <w:pPr>
              <w:pStyle w:val="null3"/>
            </w:pPr>
            <w:r>
              <w:rPr/>
              <w:t>符合磋商文件规定的资格要求。</w:t>
            </w:r>
          </w:p>
        </w:tc>
      </w:tr>
      <w:tr>
        <w:tc>
          <w:tcPr>
            <w:tcW w:type="dxa" w:w="890"/>
          </w:tcPr>
          <w:p>
            <w:pPr>
              <w:pStyle w:val="null3"/>
            </w:pPr>
            <w:r>
              <w:rPr/>
              <w:t>2</w:t>
            </w:r>
          </w:p>
        </w:tc>
        <w:tc>
          <w:tcPr>
            <w:tcW w:type="dxa" w:w="3178"/>
          </w:tcPr>
          <w:p>
            <w:pPr>
              <w:pStyle w:val="null3"/>
            </w:pPr>
            <w:r>
              <w:rPr/>
              <w:t>第一阶段审查（磋商前）</w:t>
            </w:r>
          </w:p>
        </w:tc>
        <w:tc>
          <w:tcPr>
            <w:tcW w:type="dxa" w:w="4238"/>
          </w:tcPr>
          <w:p>
            <w:pPr>
              <w:pStyle w:val="null3"/>
            </w:pPr>
            <w:r>
              <w:rPr/>
              <w:t>符合磋商有效期</w:t>
            </w:r>
          </w:p>
        </w:tc>
      </w:tr>
      <w:tr>
        <w:tc>
          <w:tcPr>
            <w:tcW w:type="dxa" w:w="890"/>
          </w:tcPr>
          <w:p>
            <w:pPr>
              <w:pStyle w:val="null3"/>
            </w:pPr>
            <w:r>
              <w:rPr/>
              <w:t>3</w:t>
            </w:r>
          </w:p>
        </w:tc>
        <w:tc>
          <w:tcPr>
            <w:tcW w:type="dxa" w:w="3178"/>
          </w:tcPr>
          <w:p>
            <w:pPr>
              <w:pStyle w:val="null3"/>
            </w:pPr>
            <w:r>
              <w:rPr/>
              <w:t>第一阶段审查（磋商前）</w:t>
            </w:r>
          </w:p>
        </w:tc>
        <w:tc>
          <w:tcPr>
            <w:tcW w:type="dxa" w:w="4238"/>
          </w:tcPr>
          <w:p>
            <w:pPr>
              <w:pStyle w:val="null3"/>
            </w:pPr>
            <w:r>
              <w:rPr/>
              <w:t>响应文件按照磋商文件规定要求签署、盖章，包含：①响应承诺函；②法定代表人证明书或法定代表人授权书；③首轮报价表；④分项报价表</w:t>
            </w:r>
          </w:p>
        </w:tc>
      </w:tr>
      <w:tr>
        <w:tc>
          <w:tcPr>
            <w:tcW w:type="dxa" w:w="890"/>
          </w:tcPr>
          <w:p>
            <w:pPr>
              <w:pStyle w:val="null3"/>
            </w:pPr>
            <w:r>
              <w:rPr/>
              <w:t>4</w:t>
            </w:r>
          </w:p>
        </w:tc>
        <w:tc>
          <w:tcPr>
            <w:tcW w:type="dxa" w:w="3178"/>
          </w:tcPr>
          <w:p>
            <w:pPr>
              <w:pStyle w:val="null3"/>
            </w:pPr>
            <w:r>
              <w:rPr/>
              <w:t>第一阶段审查（磋商前）</w:t>
            </w:r>
          </w:p>
        </w:tc>
        <w:tc>
          <w:tcPr>
            <w:tcW w:type="dxa" w:w="4238"/>
          </w:tcPr>
          <w:p>
            <w:pPr>
              <w:pStyle w:val="null3"/>
            </w:pPr>
            <w:r>
              <w:rPr/>
              <w:t>完全满足磋商文件中“★”标注的条款（若磋商文件“★”发生变动，本条将在第二阶段审查中进行评审）</w:t>
            </w:r>
          </w:p>
        </w:tc>
      </w:tr>
      <w:tr>
        <w:tc>
          <w:tcPr>
            <w:tcW w:type="dxa" w:w="890"/>
          </w:tcPr>
          <w:p>
            <w:pPr>
              <w:pStyle w:val="null3"/>
            </w:pPr>
            <w:r>
              <w:rPr/>
              <w:t>5</w:t>
            </w:r>
          </w:p>
        </w:tc>
        <w:tc>
          <w:tcPr>
            <w:tcW w:type="dxa" w:w="3178"/>
          </w:tcPr>
          <w:p>
            <w:pPr>
              <w:pStyle w:val="null3"/>
            </w:pPr>
            <w:r>
              <w:rPr/>
              <w:t>第二阶段审查（磋商后）</w:t>
            </w:r>
          </w:p>
        </w:tc>
        <w:tc>
          <w:tcPr>
            <w:tcW w:type="dxa" w:w="4238"/>
          </w:tcPr>
          <w:p>
            <w:pPr>
              <w:pStyle w:val="null3"/>
            </w:pPr>
            <w:r>
              <w:rPr/>
              <w:t>最终报价未超过本项目最高限价</w:t>
            </w:r>
          </w:p>
        </w:tc>
      </w:tr>
      <w:tr>
        <w:tc>
          <w:tcPr>
            <w:tcW w:type="dxa" w:w="890"/>
          </w:tcPr>
          <w:p>
            <w:pPr>
              <w:pStyle w:val="null3"/>
            </w:pPr>
            <w:r>
              <w:rPr/>
              <w:t>6</w:t>
            </w:r>
          </w:p>
        </w:tc>
        <w:tc>
          <w:tcPr>
            <w:tcW w:type="dxa" w:w="3178"/>
          </w:tcPr>
          <w:p>
            <w:pPr>
              <w:pStyle w:val="null3"/>
            </w:pPr>
            <w:r>
              <w:rPr/>
              <w:t>第二阶段审查（磋商后）</w:t>
            </w:r>
          </w:p>
        </w:tc>
        <w:tc>
          <w:tcPr>
            <w:tcW w:type="dxa" w:w="4238"/>
          </w:tcPr>
          <w:p>
            <w:pPr>
              <w:pStyle w:val="null3"/>
            </w:pPr>
            <w:r>
              <w:rPr/>
              <w:t>完全满足磋商文件中“★”标注的条款（若磋商文件“★”发生变动的，本条将针对供应商重新提交的响应文件进行评审）</w:t>
            </w:r>
          </w:p>
        </w:tc>
      </w:tr>
      <w:tr>
        <w:tc>
          <w:tcPr>
            <w:tcW w:type="dxa" w:w="890"/>
          </w:tcPr>
          <w:p>
            <w:pPr>
              <w:pStyle w:val="null3"/>
            </w:pPr>
            <w:r>
              <w:rPr/>
              <w:t>7</w:t>
            </w:r>
          </w:p>
        </w:tc>
        <w:tc>
          <w:tcPr>
            <w:tcW w:type="dxa" w:w="3178"/>
          </w:tcPr>
          <w:p>
            <w:pPr>
              <w:pStyle w:val="null3"/>
            </w:pPr>
            <w:r>
              <w:rPr/>
              <w:t>第二阶段审查（磋商后）</w:t>
            </w:r>
          </w:p>
        </w:tc>
        <w:tc>
          <w:tcPr>
            <w:tcW w:type="dxa" w:w="4238"/>
          </w:tcPr>
          <w:p>
            <w:pPr>
              <w:pStyle w:val="null3"/>
            </w:pPr>
            <w:r>
              <w:rPr/>
              <w:t>未出现有关法律、法规、规章或磋商文件规定的属于响应无效的情形</w:t>
            </w:r>
          </w:p>
        </w:tc>
      </w:tr>
    </w:tbl>
    <w:p>
      <w:pPr>
        <w:pStyle w:val="null3"/>
      </w:pPr>
      <w:r>
        <w:rPr/>
        <w:t>采购包2（番禺水质自动监测站运行维护项目）：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第一阶段审查（磋商前）</w:t>
            </w:r>
          </w:p>
        </w:tc>
        <w:tc>
          <w:tcPr>
            <w:tcW w:type="dxa" w:w="4238"/>
          </w:tcPr>
          <w:p>
            <w:pPr>
              <w:pStyle w:val="null3"/>
            </w:pPr>
            <w:r>
              <w:rPr/>
              <w:t>符合磋商文件规定的资格要求。</w:t>
            </w:r>
          </w:p>
        </w:tc>
      </w:tr>
      <w:tr>
        <w:tc>
          <w:tcPr>
            <w:tcW w:type="dxa" w:w="890"/>
          </w:tcPr>
          <w:p>
            <w:pPr>
              <w:pStyle w:val="null3"/>
            </w:pPr>
            <w:r>
              <w:rPr/>
              <w:t>2</w:t>
            </w:r>
          </w:p>
        </w:tc>
        <w:tc>
          <w:tcPr>
            <w:tcW w:type="dxa" w:w="3178"/>
          </w:tcPr>
          <w:p>
            <w:pPr>
              <w:pStyle w:val="null3"/>
            </w:pPr>
            <w:r>
              <w:rPr/>
              <w:t>第一阶段审查（磋商前）</w:t>
            </w:r>
          </w:p>
        </w:tc>
        <w:tc>
          <w:tcPr>
            <w:tcW w:type="dxa" w:w="4238"/>
          </w:tcPr>
          <w:p>
            <w:pPr>
              <w:pStyle w:val="null3"/>
            </w:pPr>
            <w:r>
              <w:rPr/>
              <w:t>符合磋商有效期</w:t>
            </w:r>
          </w:p>
        </w:tc>
      </w:tr>
      <w:tr>
        <w:tc>
          <w:tcPr>
            <w:tcW w:type="dxa" w:w="890"/>
          </w:tcPr>
          <w:p>
            <w:pPr>
              <w:pStyle w:val="null3"/>
            </w:pPr>
            <w:r>
              <w:rPr/>
              <w:t>3</w:t>
            </w:r>
          </w:p>
        </w:tc>
        <w:tc>
          <w:tcPr>
            <w:tcW w:type="dxa" w:w="3178"/>
          </w:tcPr>
          <w:p>
            <w:pPr>
              <w:pStyle w:val="null3"/>
            </w:pPr>
            <w:r>
              <w:rPr/>
              <w:t>第一阶段审查（磋商前）</w:t>
            </w:r>
          </w:p>
        </w:tc>
        <w:tc>
          <w:tcPr>
            <w:tcW w:type="dxa" w:w="4238"/>
          </w:tcPr>
          <w:p>
            <w:pPr>
              <w:pStyle w:val="null3"/>
            </w:pPr>
            <w:r>
              <w:rPr/>
              <w:t>响应文件按照磋商文件规定要求签署、盖章，包含：①响应承诺函；②法定代表人证明书或法定代表人授权书；③首轮报价表；④分项报价表</w:t>
            </w:r>
          </w:p>
        </w:tc>
      </w:tr>
      <w:tr>
        <w:tc>
          <w:tcPr>
            <w:tcW w:type="dxa" w:w="890"/>
          </w:tcPr>
          <w:p>
            <w:pPr>
              <w:pStyle w:val="null3"/>
            </w:pPr>
            <w:r>
              <w:rPr/>
              <w:t>4</w:t>
            </w:r>
          </w:p>
        </w:tc>
        <w:tc>
          <w:tcPr>
            <w:tcW w:type="dxa" w:w="3178"/>
          </w:tcPr>
          <w:p>
            <w:pPr>
              <w:pStyle w:val="null3"/>
            </w:pPr>
            <w:r>
              <w:rPr/>
              <w:t>第一阶段审查（磋商前）</w:t>
            </w:r>
          </w:p>
        </w:tc>
        <w:tc>
          <w:tcPr>
            <w:tcW w:type="dxa" w:w="4238"/>
          </w:tcPr>
          <w:p>
            <w:pPr>
              <w:pStyle w:val="null3"/>
            </w:pPr>
            <w:r>
              <w:rPr/>
              <w:t>完全满足磋商文件中“★”标注的条款（若磋商文件“★”发生变动，本条将在第二阶段审查中进行评审）</w:t>
            </w:r>
          </w:p>
        </w:tc>
      </w:tr>
      <w:tr>
        <w:tc>
          <w:tcPr>
            <w:tcW w:type="dxa" w:w="890"/>
          </w:tcPr>
          <w:p>
            <w:pPr>
              <w:pStyle w:val="null3"/>
            </w:pPr>
            <w:r>
              <w:rPr/>
              <w:t>5</w:t>
            </w:r>
          </w:p>
        </w:tc>
        <w:tc>
          <w:tcPr>
            <w:tcW w:type="dxa" w:w="3178"/>
          </w:tcPr>
          <w:p>
            <w:pPr>
              <w:pStyle w:val="null3"/>
            </w:pPr>
            <w:r>
              <w:rPr/>
              <w:t>第二阶段审查（磋商后）</w:t>
            </w:r>
          </w:p>
        </w:tc>
        <w:tc>
          <w:tcPr>
            <w:tcW w:type="dxa" w:w="4238"/>
          </w:tcPr>
          <w:p>
            <w:pPr>
              <w:pStyle w:val="null3"/>
            </w:pPr>
            <w:r>
              <w:rPr/>
              <w:t>最终报价未超过本项目最高限价</w:t>
            </w:r>
          </w:p>
        </w:tc>
      </w:tr>
      <w:tr>
        <w:tc>
          <w:tcPr>
            <w:tcW w:type="dxa" w:w="890"/>
          </w:tcPr>
          <w:p>
            <w:pPr>
              <w:pStyle w:val="null3"/>
            </w:pPr>
            <w:r>
              <w:rPr/>
              <w:t>6</w:t>
            </w:r>
          </w:p>
        </w:tc>
        <w:tc>
          <w:tcPr>
            <w:tcW w:type="dxa" w:w="3178"/>
          </w:tcPr>
          <w:p>
            <w:pPr>
              <w:pStyle w:val="null3"/>
            </w:pPr>
            <w:r>
              <w:rPr/>
              <w:t>第二阶段审查（磋商后）</w:t>
            </w:r>
          </w:p>
        </w:tc>
        <w:tc>
          <w:tcPr>
            <w:tcW w:type="dxa" w:w="4238"/>
          </w:tcPr>
          <w:p>
            <w:pPr>
              <w:pStyle w:val="null3"/>
            </w:pPr>
            <w:r>
              <w:rPr/>
              <w:t>完全满足磋商文件中“★”标注的条款（若磋商文件“★”发生变动的，本条将针对供应商重新提交的响应文件进行评审）</w:t>
            </w:r>
          </w:p>
        </w:tc>
      </w:tr>
      <w:tr>
        <w:tc>
          <w:tcPr>
            <w:tcW w:type="dxa" w:w="890"/>
          </w:tcPr>
          <w:p>
            <w:pPr>
              <w:pStyle w:val="null3"/>
            </w:pPr>
            <w:r>
              <w:rPr/>
              <w:t>7</w:t>
            </w:r>
          </w:p>
        </w:tc>
        <w:tc>
          <w:tcPr>
            <w:tcW w:type="dxa" w:w="3178"/>
          </w:tcPr>
          <w:p>
            <w:pPr>
              <w:pStyle w:val="null3"/>
            </w:pPr>
            <w:r>
              <w:rPr/>
              <w:t>第二阶段审查（磋商后）</w:t>
            </w:r>
          </w:p>
        </w:tc>
        <w:tc>
          <w:tcPr>
            <w:tcW w:type="dxa" w:w="4238"/>
          </w:tcPr>
          <w:p>
            <w:pPr>
              <w:pStyle w:val="null3"/>
            </w:pPr>
            <w:r>
              <w:rPr/>
              <w:t>未出现有关法律、法规、规章或磋商文件规定的属于响应无效的情形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采购包1(番禺区环境空气自动监测站运维服务项目):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技术部分50.0分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拟投入本项目人员情况 (5.0分)</w:t>
            </w:r>
          </w:p>
        </w:tc>
        <w:tc>
          <w:tcPr>
            <w:tcW w:type="dxa" w:w="5076"/>
          </w:tcPr>
          <w:p>
            <w:pPr>
              <w:pStyle w:val="null3"/>
              <w:jc w:val="left"/>
            </w:pPr>
            <w:r>
              <w:rPr/>
              <w:t>（1）拟投入本项目负责人具有环境监测相关专业中级职称（或以上）证书和具备环境空气自动监测运维上岗证证书得2分；只具有其中一个证书的得1分，其他情况不得分； 【注：须提供拟投入本项目负责人的职称证明文件、环境空气自动监测运维上岗证证书复印件和响应截止之日前6个月任意1个月在供应商单位的社保证明文件，否则不得分。】 （2）拟投入本项目运维人员中取得空气自动监测运维上岗证人数，每人得0.5分，最高3分，不提供不得分。【注：须提供拟投入本项目运维人员清单，并标注是否已取得相应上岗证。须提供拟投入本项目运维人员的相应上岗证复印件和响应截止之日前6个月任意1个月在供应商单位的社保证明文件，否则不得分。】</w:t>
            </w:r>
          </w:p>
        </w:tc>
      </w:tr>
      <w:tr>
        <w:tc>
          <w:tcPr>
            <w:tcW w:type="dxa" w:w="922"/>
            <w:gridSpan w:val="2"/>
            <w:vMerge/>
          </w:tcPr>
          <w:p/>
        </w:tc>
        <w:tc>
          <w:tcPr>
            <w:tcW w:type="dxa" w:w="2307"/>
          </w:tcPr>
          <w:p>
            <w:pPr>
              <w:pStyle w:val="null3"/>
              <w:jc w:val="left"/>
            </w:pPr>
            <w:r>
              <w:rPr/>
              <w:t>技术保障 (10.0分)</w:t>
            </w:r>
          </w:p>
        </w:tc>
        <w:tc>
          <w:tcPr>
            <w:tcW w:type="dxa" w:w="5076"/>
          </w:tcPr>
          <w:p>
            <w:pPr>
              <w:pStyle w:val="null3"/>
              <w:jc w:val="left"/>
            </w:pPr>
            <w:r>
              <w:rPr/>
              <w:t>（1）供应商具有六项指标（PM10、PM2.5、 SO2 、 NO2 、CO、 O3 ）备机三套，得5分；无，得0分； 【注：须提供备机库存清单、库存照片、购买发票（若为租赁的提供有效的租赁合同，若为自产的提供库存清单及自产声明），否则不得分。】 （2）供应商具有一套经过SRP一级传递的臭氧校准仪，可实现臭氧质量传递，得3分；无，得0分。【注：须提供相关设备自有权属证明（若为租赁的提供有效的租赁合同）和在有效期内SRP溯源证书。】 （3）供应商拟投入本项目数据分析人员具备环境监测类或计算机类高级或以上职称的得2分；具有中级职称的得1分；否则得0分。【注：须提供人员相关资质证明文件复印件、响应截止之日前6个月任意1个月在供应商单位的社保证明文件，否则不得分。】</w:t>
            </w:r>
          </w:p>
        </w:tc>
      </w:tr>
      <w:tr>
        <w:tc>
          <w:tcPr>
            <w:tcW w:type="dxa" w:w="922"/>
            <w:gridSpan w:val="2"/>
            <w:vMerge/>
          </w:tcPr>
          <w:p/>
        </w:tc>
        <w:tc>
          <w:tcPr>
            <w:tcW w:type="dxa" w:w="2307"/>
          </w:tcPr>
          <w:p>
            <w:pPr>
              <w:pStyle w:val="null3"/>
              <w:jc w:val="left"/>
            </w:pPr>
            <w:r>
              <w:rPr/>
              <w:t>运行和维护工作方案 (10.0分)</w:t>
            </w:r>
          </w:p>
        </w:tc>
        <w:tc>
          <w:tcPr>
            <w:tcW w:type="dxa" w:w="5076"/>
          </w:tcPr>
          <w:p>
            <w:pPr>
              <w:pStyle w:val="null3"/>
              <w:jc w:val="left"/>
            </w:pPr>
            <w:r>
              <w:rPr/>
              <w:t>根据“一、环境空气自动监测站运行和维护工作目标要求”提供方案，包括执行标准及依据、工作目标和工作要求进行评审： 1. 对运行和维护工作方案理解全面独到，思路清晰明了，方案切实可行，提供合理完善的服务建议，得10分； 2.对运行和维护工作方案理解较为全面，编制思路比较清晰，方案较合理，提供的服务建议不够合理完善，得6分； 3.对运行和维护工作方案理解片面，编制思路混乱，方案不可行，得2分； 4.未提供或其他情况不得分。 【注：供应商须同时提供《技术和服务要求响应表》和相应方案，否则不得分】</w:t>
            </w:r>
          </w:p>
        </w:tc>
      </w:tr>
      <w:tr>
        <w:tc>
          <w:tcPr>
            <w:tcW w:type="dxa" w:w="922"/>
            <w:gridSpan w:val="2"/>
            <w:vMerge/>
          </w:tcPr>
          <w:p/>
        </w:tc>
        <w:tc>
          <w:tcPr>
            <w:tcW w:type="dxa" w:w="2307"/>
          </w:tcPr>
          <w:p>
            <w:pPr>
              <w:pStyle w:val="null3"/>
              <w:jc w:val="left"/>
            </w:pPr>
            <w:r>
              <w:rPr/>
              <w:t>运行维护工作实施方案 (5.0分)</w:t>
            </w:r>
          </w:p>
        </w:tc>
        <w:tc>
          <w:tcPr>
            <w:tcW w:type="dxa" w:w="5076"/>
          </w:tcPr>
          <w:p>
            <w:pPr>
              <w:pStyle w:val="null3"/>
              <w:jc w:val="left"/>
            </w:pPr>
            <w:r>
              <w:rPr/>
              <w:t>根据“（一）日常运行巡视具体要求”提供工作实施方案，包括但不限于财产安全、维护人员日常工作、周常工作、易耗品更换、日常问题处理维护等方面: 1.具有完整详细的工作实施方案条理清晰，切实可行，完全满足本项目要求的，得5分。 2.具有良好的工作实施方案，比较切实可行，部分满足本项目要求的，得3分。 3.具有安全工作实施方案，基本满足本项目要求的工作实施方案不满足采购需求，得1分； 4.未提供或其他情况不得分。 【注：供应商须同时提供《技术和服务要求响应表》和相应方案，否则不得分】</w:t>
            </w:r>
          </w:p>
        </w:tc>
      </w:tr>
      <w:tr>
        <w:tc>
          <w:tcPr>
            <w:tcW w:type="dxa" w:w="922"/>
            <w:gridSpan w:val="2"/>
            <w:vMerge/>
          </w:tcPr>
          <w:p/>
        </w:tc>
        <w:tc>
          <w:tcPr>
            <w:tcW w:type="dxa" w:w="2307"/>
          </w:tcPr>
          <w:p>
            <w:pPr>
              <w:pStyle w:val="null3"/>
              <w:jc w:val="left"/>
            </w:pPr>
            <w:r>
              <w:rPr/>
              <w:t>质控方案和保证措施 (5.0分)</w:t>
            </w:r>
          </w:p>
        </w:tc>
        <w:tc>
          <w:tcPr>
            <w:tcW w:type="dxa" w:w="5076"/>
          </w:tcPr>
          <w:p>
            <w:pPr>
              <w:pStyle w:val="null3"/>
              <w:jc w:val="left"/>
            </w:pPr>
            <w:r>
              <w:rPr/>
              <w:t>根据“（二）对运行维护服务质量控制要求”提供质量控制方案，包括但不限于数据质量和效果、质量控制目标、质控内容等方面进行评审： 1.质量控制方案案健全合理，明确清晰，针对性强，完全满足采购需求的，得5分； 2.质量控制方案案较健全合理，较明确清晰，针对性较强，基本满足采购需求的，得3分； 3.质量控制方案不够健全合理，较不确清晰，针对性欠缺，不满足采购需求的，得1分； 4.未提供或其他情况不得分。 【注：供应商须同时提供《技术和服务要求响应表》和相应方案，否则不得分】</w:t>
            </w:r>
          </w:p>
        </w:tc>
      </w:tr>
      <w:tr>
        <w:tc>
          <w:tcPr>
            <w:tcW w:type="dxa" w:w="922"/>
            <w:gridSpan w:val="2"/>
            <w:vMerge/>
          </w:tcPr>
          <w:p/>
        </w:tc>
        <w:tc>
          <w:tcPr>
            <w:tcW w:type="dxa" w:w="2307"/>
          </w:tcPr>
          <w:p>
            <w:pPr>
              <w:pStyle w:val="null3"/>
              <w:jc w:val="left"/>
            </w:pPr>
            <w:r>
              <w:rPr/>
              <w:t>档案记录方案 (10.0分)</w:t>
            </w:r>
          </w:p>
        </w:tc>
        <w:tc>
          <w:tcPr>
            <w:tcW w:type="dxa" w:w="5076"/>
          </w:tcPr>
          <w:p>
            <w:pPr>
              <w:pStyle w:val="null3"/>
              <w:jc w:val="left"/>
            </w:pPr>
            <w:r>
              <w:rPr/>
              <w:t>根据“（三）运行维护服务需提交文字记录的要求、（四）运行维护服务结束需提交的文字报告要求”提供档案记录方案进行评审： 1.档案记录方案健全合理，明确清晰，针对性强，完全满足购需求的，得10分； 2.档案记录方案较健全合理，较明确清晰，针对性较强，不完全满足采购需求的，得6分； 3.档案记录方案不够健全合理，较不确清晰，针对性欠缺，不满足采购需求的，得2分； 4.未提供或其他情况不得分。 【注：供应商须同时提供《技术和服务要求响应表》和相应方案，否则不得分】</w:t>
            </w:r>
          </w:p>
        </w:tc>
      </w:tr>
      <w:tr>
        <w:tc>
          <w:tcPr>
            <w:tcW w:type="dxa" w:w="922"/>
            <w:gridSpan w:val="2"/>
            <w:vMerge/>
          </w:tcPr>
          <w:p/>
        </w:tc>
        <w:tc>
          <w:tcPr>
            <w:tcW w:type="dxa" w:w="2307"/>
          </w:tcPr>
          <w:p>
            <w:pPr>
              <w:pStyle w:val="null3"/>
              <w:jc w:val="left"/>
            </w:pPr>
            <w:r>
              <w:rPr/>
              <w:t>突发应急事件响应方案 (5.0分)</w:t>
            </w:r>
          </w:p>
        </w:tc>
        <w:tc>
          <w:tcPr>
            <w:tcW w:type="dxa" w:w="5076"/>
          </w:tcPr>
          <w:p>
            <w:pPr>
              <w:pStyle w:val="null3"/>
              <w:jc w:val="left"/>
            </w:pPr>
            <w:r>
              <w:rPr/>
              <w:t>根据供应商的突发应急事件响应方案（至少包括以下内容：①拟投入应急服务人员数量；②应急措施）进行评审： 1.供应商提供的应急相应方案合理、可操作性强，构思方案完整，应急保障措施详细，安排合理，完全满足项目要求,得5分； 2.供应商提供的应急相应方案较合理，可操作性较强，构思方案基本完整，应急保障措施较详细，安排较合理，基本满足项目要求得3分；3.供应商提供的应急相应方案一般、可操作性一般，构思方案一般，应急保障措施一般，安排一般，基本满足项目要求得1分； 4.未提供或其他情况不得分。 【注：须提供1.突发应急事件响应方案2.拟投入本项目应急人员名单3.响应截止之日前6个月任意1个月在供应商单位的社保证明文件，否则不得分。】</w:t>
            </w:r>
          </w:p>
        </w:tc>
      </w:tr>
      <w:tr>
        <w:tc>
          <w:tcPr>
            <w:tcW w:type="dxa" w:w="922"/>
            <w:gridSpan w:val="2"/>
            <w:vMerge w:val="restart"/>
          </w:tcPr>
          <w:p>
            <w:pPr>
              <w:pStyle w:val="null3"/>
              <w:jc w:val="center"/>
            </w:pPr>
            <w:r>
              <w:rPr/>
              <w:t>商务部分</w:t>
            </w:r>
          </w:p>
        </w:tc>
        <w:tc>
          <w:tcPr>
            <w:tcW w:type="dxa" w:w="2307"/>
          </w:tcPr>
          <w:p>
            <w:pPr>
              <w:pStyle w:val="null3"/>
              <w:jc w:val="left"/>
            </w:pPr>
            <w:r>
              <w:rPr/>
              <w:t>项目业绩 (8.0分)</w:t>
            </w:r>
          </w:p>
        </w:tc>
        <w:tc>
          <w:tcPr>
            <w:tcW w:type="dxa" w:w="5076"/>
          </w:tcPr>
          <w:p>
            <w:pPr>
              <w:pStyle w:val="null3"/>
              <w:jc w:val="left"/>
            </w:pPr>
            <w:r>
              <w:rPr/>
              <w:t>2021年1月1日（以合同签订时间为准）至今，供应商完成过同类服务项目，每份业绩得1分，满分不超过8分； 【注：须同时需提供1.业绩清单2.合同复印件（须提供合同关键页，合同关键页指包括但不限于合同首页、主要内容页、金额页、签字盖章页。）3.中标（成交）通知书（或中标（成交）公告）证明资料，未能提供业绩证明材料或材料不完整的，其业绩不予认定，不提供不得分。】</w:t>
            </w:r>
          </w:p>
        </w:tc>
      </w:tr>
      <w:tr>
        <w:tc>
          <w:tcPr>
            <w:tcW w:type="dxa" w:w="922"/>
            <w:gridSpan w:val="2"/>
            <w:vMerge/>
          </w:tcPr>
          <w:p/>
        </w:tc>
        <w:tc>
          <w:tcPr>
            <w:tcW w:type="dxa" w:w="2307"/>
          </w:tcPr>
          <w:p>
            <w:pPr>
              <w:pStyle w:val="null3"/>
              <w:jc w:val="left"/>
            </w:pPr>
            <w:r>
              <w:rPr/>
              <w:t>供应商认证情况 (14.0分)</w:t>
            </w:r>
          </w:p>
        </w:tc>
        <w:tc>
          <w:tcPr>
            <w:tcW w:type="dxa" w:w="5076"/>
          </w:tcPr>
          <w:p>
            <w:pPr>
              <w:pStyle w:val="null3"/>
              <w:jc w:val="left"/>
            </w:pPr>
            <w:r>
              <w:rPr/>
              <w:t>供应商具备以下认证和证书情况： 1）具备有效的质量管理体系认证证书，得3分； 2）具备有效的环境管理体系认证证书，得3分； 3）具备有效的职业健康安全管理体系认证证书，得3分；4）具备有效的中国环境服务认证证书（服务项目为环境空气连续自动监测系统运营服务），得3分； 5）具备有效的商品售后服务评价认证证书（内容包含环境空气自动监测系统），得2分； 【注：上述须提供有效期内的相关证书复印件或在全国认证认可信息公共服务平台查询信息截图（http://cx.cnca.cn）并加盖供应商单位公章，否则不得分；成立不满3个月未能取得证书的，视为具备该项证书。】</w:t>
            </w:r>
          </w:p>
        </w:tc>
      </w:tr>
      <w:tr>
        <w:tc>
          <w:tcPr>
            <w:tcW w:type="dxa" w:w="922"/>
            <w:gridSpan w:val="2"/>
            <w:vMerge/>
          </w:tcPr>
          <w:p/>
        </w:tc>
        <w:tc>
          <w:tcPr>
            <w:tcW w:type="dxa" w:w="2307"/>
          </w:tcPr>
          <w:p>
            <w:pPr>
              <w:pStyle w:val="null3"/>
              <w:jc w:val="left"/>
            </w:pPr>
            <w:r>
              <w:rPr/>
              <w:t>质控保证实验室 (5.0分)</w:t>
            </w:r>
          </w:p>
        </w:tc>
        <w:tc>
          <w:tcPr>
            <w:tcW w:type="dxa" w:w="5076"/>
          </w:tcPr>
          <w:p>
            <w:pPr>
              <w:pStyle w:val="null3"/>
              <w:jc w:val="left"/>
            </w:pPr>
            <w:r>
              <w:rPr/>
              <w:t>供应商具备空气质控保证实验室的得5分，没有不得分。【注：须提供拟投入本项目质控保证实验室质控设备配置情况及承诺函，没有提供证明材料或者磋商小组无法认定的不得分）】</w:t>
            </w:r>
          </w:p>
        </w:tc>
      </w:tr>
      <w:tr>
        <w:tc>
          <w:tcPr>
            <w:tcW w:type="dxa" w:w="922"/>
            <w:gridSpan w:val="2"/>
            <w:vMerge/>
          </w:tcPr>
          <w:p/>
        </w:tc>
        <w:tc>
          <w:tcPr>
            <w:tcW w:type="dxa" w:w="2307"/>
          </w:tcPr>
          <w:p>
            <w:pPr>
              <w:pStyle w:val="null3"/>
              <w:jc w:val="left"/>
            </w:pPr>
            <w:r>
              <w:rPr/>
              <w:t>服务便利性 (8.0分)</w:t>
            </w:r>
          </w:p>
        </w:tc>
        <w:tc>
          <w:tcPr>
            <w:tcW w:type="dxa" w:w="5076"/>
          </w:tcPr>
          <w:p>
            <w:pPr>
              <w:pStyle w:val="null3"/>
              <w:jc w:val="left"/>
            </w:pPr>
            <w:r>
              <w:rPr/>
              <w:t>（1）供应商拟安排的车辆配置数量不少于本项目用户需求的要求（2台）的，得2分，在此基础每递增1辆得2分，本项最高得6分，不配备不得分 【注：须提供拟投入本项目的1.运维车辆清单2.车辆购置发票复印件（或租赁合同证明）3.车辆行驶证，否则不得分。】 （2）供应商承诺应急到达现场时间：应急到达现场时间≤2小时，得2分；不提供承诺或大于2小时不得分。 【注：须提供加盖供应商公章的承诺函，否则不得分。】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pPr>
      <w:r>
        <w:rPr/>
        <w:t>采购包2(番禺水质自动监测站运行维护项目):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技术部分50.0分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重要技术参数的响应情况 (4.0分)</w:t>
            </w:r>
          </w:p>
        </w:tc>
        <w:tc>
          <w:tcPr>
            <w:tcW w:type="dxa" w:w="5076"/>
          </w:tcPr>
          <w:p>
            <w:pPr>
              <w:pStyle w:val="null3"/>
              <w:jc w:val="left"/>
            </w:pPr>
            <w:r>
              <w:rPr/>
              <w:t>对用户需求书中标注“▲”的重要技术参数的响应情况进行评审：（共2项）标注“▲”的重要技术参数每项得2分，最高得4分。响应为“正偏离”或“符合”的该项得2分；响应为“负偏离”的，该项不得分。 注：如采购需求有要求提供证明材料的，则以采购需求要求的为准。否则以投标人《技术和服务要求响应表》的响应情况为准。</w:t>
            </w:r>
          </w:p>
        </w:tc>
      </w:tr>
      <w:tr>
        <w:tc>
          <w:tcPr>
            <w:tcW w:type="dxa" w:w="922"/>
            <w:gridSpan w:val="2"/>
            <w:vMerge/>
          </w:tcPr>
          <w:p/>
        </w:tc>
        <w:tc>
          <w:tcPr>
            <w:tcW w:type="dxa" w:w="2307"/>
          </w:tcPr>
          <w:p>
            <w:pPr>
              <w:pStyle w:val="null3"/>
              <w:jc w:val="left"/>
            </w:pPr>
            <w:r>
              <w:rPr/>
              <w:t>拟投入本项目人员情况 (5.0分)</w:t>
            </w:r>
          </w:p>
        </w:tc>
        <w:tc>
          <w:tcPr>
            <w:tcW w:type="dxa" w:w="5076"/>
          </w:tcPr>
          <w:p>
            <w:pPr>
              <w:pStyle w:val="null3"/>
              <w:jc w:val="left"/>
            </w:pPr>
            <w:r>
              <w:rPr/>
              <w:t>（1）拟投入本项目负责人具有环境监测相关专业高级（或以上）职称的得2分；【注：须提供拟投入本项目负责人的职称证明文件、响应截止之日前6个月任意1个月在供应商单位的社保证明文件，否则不得分。】 （2）具备担任同类项目负责人业绩情况，每个得1分，满分不超过3分。【注：须提供业绩证明文件、投标截止之日前6个月任意1个月在供应商单位的社保证明文件，否则不得分。】</w:t>
            </w:r>
          </w:p>
        </w:tc>
      </w:tr>
      <w:tr>
        <w:tc>
          <w:tcPr>
            <w:tcW w:type="dxa" w:w="922"/>
            <w:gridSpan w:val="2"/>
            <w:vMerge/>
          </w:tcPr>
          <w:p/>
        </w:tc>
        <w:tc>
          <w:tcPr>
            <w:tcW w:type="dxa" w:w="2307"/>
          </w:tcPr>
          <w:p>
            <w:pPr>
              <w:pStyle w:val="null3"/>
              <w:jc w:val="left"/>
            </w:pPr>
            <w:r>
              <w:rPr/>
              <w:t>拟投入本项目运维人员情况 (4.0分)</w:t>
            </w:r>
          </w:p>
        </w:tc>
        <w:tc>
          <w:tcPr>
            <w:tcW w:type="dxa" w:w="5076"/>
          </w:tcPr>
          <w:p>
            <w:pPr>
              <w:pStyle w:val="null3"/>
              <w:jc w:val="left"/>
            </w:pPr>
            <w:r>
              <w:rPr/>
              <w:t>拟投入本项目运维人员情况：具备省级或以上环保部门颁发的水质自动监测上岗证人数，每人得1分，最高4分，不提供不得分。 【注：须提供拟投入本项目运维人员清单，并标注是否已取得相应上岗证。须提供拟投入本项目运维人员的相应上岗证复印件和投标截止之日前6个月任意1个月在供应商单位的社保证明文件，否则不得分。】</w:t>
            </w:r>
          </w:p>
        </w:tc>
      </w:tr>
      <w:tr>
        <w:tc>
          <w:tcPr>
            <w:tcW w:type="dxa" w:w="922"/>
            <w:gridSpan w:val="2"/>
            <w:vMerge/>
          </w:tcPr>
          <w:p/>
        </w:tc>
        <w:tc>
          <w:tcPr>
            <w:tcW w:type="dxa" w:w="2307"/>
          </w:tcPr>
          <w:p>
            <w:pPr>
              <w:pStyle w:val="null3"/>
              <w:jc w:val="left"/>
            </w:pPr>
            <w:r>
              <w:rPr/>
              <w:t>技术保障 (6.0分)</w:t>
            </w:r>
          </w:p>
        </w:tc>
        <w:tc>
          <w:tcPr>
            <w:tcW w:type="dxa" w:w="5076"/>
          </w:tcPr>
          <w:p>
            <w:pPr>
              <w:pStyle w:val="null3"/>
              <w:jc w:val="left"/>
            </w:pPr>
            <w:r>
              <w:rPr/>
              <w:t>（1）供应商具有水质监测指标设备备机一套（具体见项目仪器设备及运维组成采购包二1-31项），并承诺专用于本项目，得3分；无提供不得分； 注：供应商自有设备备机须提供1.承诺函2.备机库存清单3.库存照片4.购买发票（若为生产厂家，则提供提供厂家相关证明材料）；供应商无相关设备备机须提供承诺函，中标后购买或租赁满足服务的设备备机，否则不得分。 （2）供应商拟投入常规水质项目应急监测车一台，得3分；无提供不得分。 【注：提供以下任一类材料1.车辆为供应商自有，须提供发票和行驶证和照片证明材料，否则不得分；2.供应商无相关车辆，提供承诺函（格式自拟）在成交后投入常规水质项目应急监测车一台；3.车辆为供应商租赁，须提供租赁合同和行驶证和照片证明材料，否则不得分】</w:t>
            </w:r>
          </w:p>
        </w:tc>
      </w:tr>
      <w:tr>
        <w:tc>
          <w:tcPr>
            <w:tcW w:type="dxa" w:w="922"/>
            <w:gridSpan w:val="2"/>
            <w:vMerge/>
          </w:tcPr>
          <w:p/>
        </w:tc>
        <w:tc>
          <w:tcPr>
            <w:tcW w:type="dxa" w:w="2307"/>
          </w:tcPr>
          <w:p>
            <w:pPr>
              <w:pStyle w:val="null3"/>
              <w:jc w:val="left"/>
            </w:pPr>
            <w:r>
              <w:rPr/>
              <w:t>运行和维护工作方案 (8.0分)</w:t>
            </w:r>
          </w:p>
        </w:tc>
        <w:tc>
          <w:tcPr>
            <w:tcW w:type="dxa" w:w="5076"/>
          </w:tcPr>
          <w:p>
            <w:pPr>
              <w:pStyle w:val="null3"/>
              <w:jc w:val="left"/>
            </w:pPr>
            <w:r>
              <w:rPr/>
              <w:t>根据“一、水质自动监测系统运行和维护工作目标要求”提供方案，包括执行标准及依据、工作目标和工作要求进行评审： 1. 对运行和维护工作方案理解全面独到，思路清晰明了，方案切实可行，提供合理完善的服务建议，得8分； 2.对运行和维护工作方案理解较为全面，编制思路较清晰，方案比较合理，提供的服务建议不够合理完善，得5分； 3.对运行和维护工作方案理解片面，编制思路混乱，方案不可行，得2分； 4.未提供或其他情况不得分。【注：供应商须同时提供《技术和服务要求响应表》和相应方案，否则不得分】</w:t>
            </w:r>
          </w:p>
        </w:tc>
      </w:tr>
      <w:tr>
        <w:tc>
          <w:tcPr>
            <w:tcW w:type="dxa" w:w="922"/>
            <w:gridSpan w:val="2"/>
            <w:vMerge/>
          </w:tcPr>
          <w:p/>
        </w:tc>
        <w:tc>
          <w:tcPr>
            <w:tcW w:type="dxa" w:w="2307"/>
          </w:tcPr>
          <w:p>
            <w:pPr>
              <w:pStyle w:val="null3"/>
              <w:jc w:val="left"/>
            </w:pPr>
            <w:r>
              <w:rPr/>
              <w:t>运行维护工作实施方案 (5.0分)</w:t>
            </w:r>
          </w:p>
        </w:tc>
        <w:tc>
          <w:tcPr>
            <w:tcW w:type="dxa" w:w="5076"/>
          </w:tcPr>
          <w:p>
            <w:pPr>
              <w:pStyle w:val="null3"/>
              <w:jc w:val="left"/>
            </w:pPr>
            <w:r>
              <w:rPr/>
              <w:t>根据“（一）日常运行巡视具体要求”提供工作实施方案，包括但不限于财产安全、维护人员日常工作、周常工作、易耗品更换、日常问题处理维护等方面: 1.具有完整详细的工作实施方案条理清晰，切实可行，完全满足本项目要求的，得5分。 2.具有良好的工作实施方案，切实可行，部分满足本项目要求的，得3分。 3.具有安全工作实施方案，基本满足本项目要求的工作实施方案不满足采购需求，得1分； 4.未提供或其他情况不得分。 【注：供应商须同时提供《技术和服务要求响应表》和相应方案，否则不得分】</w:t>
            </w:r>
          </w:p>
        </w:tc>
      </w:tr>
      <w:tr>
        <w:tc>
          <w:tcPr>
            <w:tcW w:type="dxa" w:w="922"/>
            <w:gridSpan w:val="2"/>
            <w:vMerge/>
          </w:tcPr>
          <w:p/>
        </w:tc>
        <w:tc>
          <w:tcPr>
            <w:tcW w:type="dxa" w:w="2307"/>
          </w:tcPr>
          <w:p>
            <w:pPr>
              <w:pStyle w:val="null3"/>
              <w:jc w:val="left"/>
            </w:pPr>
            <w:r>
              <w:rPr/>
              <w:t>质控方案和保证措施 (5.0分)</w:t>
            </w:r>
          </w:p>
        </w:tc>
        <w:tc>
          <w:tcPr>
            <w:tcW w:type="dxa" w:w="5076"/>
          </w:tcPr>
          <w:p>
            <w:pPr>
              <w:pStyle w:val="null3"/>
              <w:jc w:val="left"/>
            </w:pPr>
            <w:r>
              <w:rPr/>
              <w:t>根据“（二）对运行维护服务质量控制要求”提供质量控制方案，包括但不限于数据质量和效果、质量控制目标、质控内容等方面进行评审： 1.质量控制方案案健全合理，明确清晰，针对性强，完全满足采购需求的，得5分； 2.质量控制方案案较健全合理，较明确清晰，针对性较强，基本满足采购需求的，得3分； 3.质量控制方案不够健全合理，较不确清晰，针对性欠缺，不满足采购需求的，得1分； 4.未提供或其他情况不得分。 【注：供应商须同时提供《技术和服务要求响应表》和相应方案，否则不得分】</w:t>
            </w:r>
          </w:p>
        </w:tc>
      </w:tr>
      <w:tr>
        <w:tc>
          <w:tcPr>
            <w:tcW w:type="dxa" w:w="922"/>
            <w:gridSpan w:val="2"/>
            <w:vMerge/>
          </w:tcPr>
          <w:p/>
        </w:tc>
        <w:tc>
          <w:tcPr>
            <w:tcW w:type="dxa" w:w="2307"/>
          </w:tcPr>
          <w:p>
            <w:pPr>
              <w:pStyle w:val="null3"/>
              <w:jc w:val="left"/>
            </w:pPr>
            <w:r>
              <w:rPr/>
              <w:t>档案记录方案 (8.0分)</w:t>
            </w:r>
          </w:p>
        </w:tc>
        <w:tc>
          <w:tcPr>
            <w:tcW w:type="dxa" w:w="5076"/>
          </w:tcPr>
          <w:p>
            <w:pPr>
              <w:pStyle w:val="null3"/>
              <w:jc w:val="left"/>
            </w:pPr>
            <w:r>
              <w:rPr/>
              <w:t>根据“三、其它有关工作要求”提供档案记录方案进行评审： 1.档案记录方案健全合理，明确清晰，针对性强，完全满足购需求的，得8分； 2.档案记录方案较健全合理，较明确清晰，针对性较强，不完全满足采购需求的，得5分； 3.档案记录方案不够健全合理，较不确清晰，针对性欠缺，不满足采购需求的，得2分； 4.未提供或其他情况不得分。 【注：供应商须同时提供《技术和服务要求响应表》和相应方案，否则不得分】</w:t>
            </w:r>
          </w:p>
        </w:tc>
      </w:tr>
      <w:tr>
        <w:tc>
          <w:tcPr>
            <w:tcW w:type="dxa" w:w="922"/>
            <w:gridSpan w:val="2"/>
            <w:vMerge/>
          </w:tcPr>
          <w:p/>
        </w:tc>
        <w:tc>
          <w:tcPr>
            <w:tcW w:type="dxa" w:w="2307"/>
          </w:tcPr>
          <w:p>
            <w:pPr>
              <w:pStyle w:val="null3"/>
              <w:jc w:val="left"/>
            </w:pPr>
            <w:r>
              <w:rPr/>
              <w:t>突发应急事件响应方案 (5.0分)</w:t>
            </w:r>
          </w:p>
        </w:tc>
        <w:tc>
          <w:tcPr>
            <w:tcW w:type="dxa" w:w="5076"/>
          </w:tcPr>
          <w:p>
            <w:pPr>
              <w:pStyle w:val="null3"/>
              <w:jc w:val="left"/>
            </w:pPr>
            <w:r>
              <w:rPr/>
              <w:t>根据供应商的突发应急事件响应方案（至少包括以下内容：①应急事件响应时间；②拟投入应急服务人员数量；③应急措施）进行评审： 1.供应商提供的应急相应方案合理、可操作性强，构思方案完整，应急保障措施详细，安排合理，完全满足项目要求,得5分； 2.供应商提供的应急相应方案较合理，可操作性较强，构思方案基本完整，应急保障措施较详细，安排较合理，基本满足项目要求得3分；3.供应商提供的应急相应方案一般、可操作性一般，构思方案一般，应急保障措施一般，安排一般，基本满足项目要求得1分； 4.未提供或其他情况不得分。 【注：须提供1.突发应急事件响应方案2.拟投入本项目应急人员名单3.响应截止之日前6个月任意1个月在供应商单位的社保证明文件，否则不得分。】</w:t>
            </w:r>
          </w:p>
        </w:tc>
      </w:tr>
      <w:tr>
        <w:tc>
          <w:tcPr>
            <w:tcW w:type="dxa" w:w="922"/>
            <w:gridSpan w:val="2"/>
            <w:vMerge w:val="restart"/>
          </w:tcPr>
          <w:p>
            <w:pPr>
              <w:pStyle w:val="null3"/>
              <w:jc w:val="center"/>
            </w:pPr>
            <w:r>
              <w:rPr/>
              <w:t>商务部分</w:t>
            </w:r>
          </w:p>
        </w:tc>
        <w:tc>
          <w:tcPr>
            <w:tcW w:type="dxa" w:w="2307"/>
          </w:tcPr>
          <w:p>
            <w:pPr>
              <w:pStyle w:val="null3"/>
              <w:jc w:val="left"/>
            </w:pPr>
            <w:r>
              <w:rPr/>
              <w:t>项目业绩 (8.0分)</w:t>
            </w:r>
          </w:p>
        </w:tc>
        <w:tc>
          <w:tcPr>
            <w:tcW w:type="dxa" w:w="5076"/>
          </w:tcPr>
          <w:p>
            <w:pPr>
              <w:pStyle w:val="null3"/>
              <w:jc w:val="left"/>
            </w:pPr>
            <w:r>
              <w:rPr/>
              <w:t>2021年1月1日（以合同签订时间为准）至今，供应商完成过同类服务项目，每份业绩得1分，满分不超过8分； 【注：须同时需提供1.业绩清单2.合同复印件（须提供合同关键页，合同关键页指包括但不限于合同首页、主要内容页、金额页、签字盖章页。）3.中标（成交）通知书（或中标（成交）公告）证明资料，未能提供业绩证明材料或材料不完整的，其业绩不予认定，不提供不得分。】</w:t>
            </w:r>
          </w:p>
        </w:tc>
      </w:tr>
      <w:tr>
        <w:tc>
          <w:tcPr>
            <w:tcW w:type="dxa" w:w="922"/>
            <w:gridSpan w:val="2"/>
            <w:vMerge/>
          </w:tcPr>
          <w:p/>
        </w:tc>
        <w:tc>
          <w:tcPr>
            <w:tcW w:type="dxa" w:w="2307"/>
          </w:tcPr>
          <w:p>
            <w:pPr>
              <w:pStyle w:val="null3"/>
              <w:jc w:val="left"/>
            </w:pPr>
            <w:r>
              <w:rPr/>
              <w:t>供应商认证情况 (15.0分)</w:t>
            </w:r>
          </w:p>
        </w:tc>
        <w:tc>
          <w:tcPr>
            <w:tcW w:type="dxa" w:w="5076"/>
          </w:tcPr>
          <w:p>
            <w:pPr>
              <w:pStyle w:val="null3"/>
              <w:jc w:val="left"/>
            </w:pPr>
            <w:r>
              <w:rPr/>
              <w:t>供应商具备以下认证和证书情况： （1）具备有效的质量管理体系认证证书的，得 4分； （2）具备有效的环境管理体系认证证书的，得4分。 （3）具备有效的环境污染工程服务能力评价证书（在线监控类）得 3 分。 （4）具备有效的中国环境服务认证证书（地表水水质自动监测站运营服务）一级证书，得 4分。 【注：上述须提供有效期内的相关证书复印件或在全国认证认可信息公共服务平台查询信息截图（http://cx.cnca.cn）并加盖供应商单位公章，否则不得分；。成立不满3个月未能取得证书的，视为具备该项证书。】</w:t>
            </w:r>
          </w:p>
        </w:tc>
      </w:tr>
      <w:tr>
        <w:tc>
          <w:tcPr>
            <w:tcW w:type="dxa" w:w="922"/>
            <w:gridSpan w:val="2"/>
            <w:vMerge/>
          </w:tcPr>
          <w:p/>
        </w:tc>
        <w:tc>
          <w:tcPr>
            <w:tcW w:type="dxa" w:w="2307"/>
          </w:tcPr>
          <w:p>
            <w:pPr>
              <w:pStyle w:val="null3"/>
              <w:jc w:val="left"/>
            </w:pPr>
            <w:r>
              <w:rPr/>
              <w:t>质控保证实验室 (5.0分)</w:t>
            </w:r>
          </w:p>
        </w:tc>
        <w:tc>
          <w:tcPr>
            <w:tcW w:type="dxa" w:w="5076"/>
          </w:tcPr>
          <w:p>
            <w:pPr>
              <w:pStyle w:val="null3"/>
              <w:jc w:val="left"/>
            </w:pPr>
            <w:r>
              <w:rPr/>
              <w:t>供应商具备水质CMA资质实验室的得5分，没有不得分。【注：须提供拟投入本项目水质CMA资质实验室质控设备配置情况及承诺函，没有提供证明材料或者磋商小组无法认定的不得分）】</w:t>
            </w:r>
          </w:p>
        </w:tc>
      </w:tr>
      <w:tr>
        <w:tc>
          <w:tcPr>
            <w:tcW w:type="dxa" w:w="922"/>
            <w:gridSpan w:val="2"/>
            <w:vMerge/>
          </w:tcPr>
          <w:p/>
        </w:tc>
        <w:tc>
          <w:tcPr>
            <w:tcW w:type="dxa" w:w="2307"/>
          </w:tcPr>
          <w:p>
            <w:pPr>
              <w:pStyle w:val="null3"/>
              <w:jc w:val="left"/>
            </w:pPr>
            <w:r>
              <w:rPr/>
              <w:t>服务便利性 (7.0分)</w:t>
            </w:r>
          </w:p>
        </w:tc>
        <w:tc>
          <w:tcPr>
            <w:tcW w:type="dxa" w:w="5076"/>
          </w:tcPr>
          <w:p>
            <w:pPr>
              <w:pStyle w:val="null3"/>
              <w:jc w:val="left"/>
            </w:pPr>
            <w:r>
              <w:rPr/>
              <w:t>（1）供应商拟安排的车辆配置数量不少于本项目用户需求的要求（2台）的，得3分，在此基础每递增1辆得2分，本项最高得7分，不配备不得分 【注：须提供拟投入本项目的1.运维车辆清单2.车辆购置发票复印件（或租赁合同证明）3.车辆行驶证，否则不得分。】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磋商小组采取随机抽取的方式确定。排名第一的响应供应商为第一成交候选人，排名第二的响应供应商为第二成交候选人，排名第三的响应供应商为第三成交候选人（提供相同品牌产品（非单一产品采购，以核心产品为准。多个核心产品的，有一种产品品牌相同，即视为提供相同品牌产品），评审后得分最高的同品牌响应供应商获得成交候选人推荐资格；评审得分相同的，由采购人或者采购人委托磋商小组采取随机抽取方式确定，其他同品牌响应供应商不作为成交候选人）。</w:t>
      </w:r>
    </w:p>
    <w:p>
      <w:pPr>
        <w:pStyle w:val="null3"/>
      </w:pPr>
      <w:r>
        <w:rPr/>
        <w:t>采购包2：</w:t>
      </w:r>
    </w:p>
    <w:p>
      <w:pPr>
        <w:pStyle w:val="null3"/>
      </w:pPr>
      <w:r>
        <w:rPr/>
        <w:t>评审结果按评审后总得分由高到低顺序排列。评审得分相同的，按最终报价由低到高顺序排列。得分且最终报价相同的，由磋商小组采取随机抽取的方式确定。排名第一的响应供应商为第一成交候选人，排名第二的响应供应商为第二成交候选人，排名第三的响应供应商为第三成交候选人（提供相同品牌产品（非单一产品采购，以核心产品为准。多个核心产品的，有一种产品品牌相同，即视为提供相同品牌产品），评审后得分最高的同品牌响应供应商获得成交候选人推荐资格；评审得分相同的，由采购人或者采购人委托磋商小组采取随机抽取方式确定，其他同品牌响应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4"/>
          <w:b/>
          <w:shd w:fill="FFFFFF" w:val="clear"/>
        </w:rPr>
        <w:t>2025-2026</w:t>
      </w:r>
      <w:r>
        <w:rPr>
          <w:sz w:val="44"/>
          <w:b/>
          <w:shd w:fill="FFFFFF" w:val="clear"/>
        </w:rPr>
        <w:t>年度番禺区环境空气自动监测站及水质自动监测站运维服务项目</w:t>
      </w:r>
    </w:p>
    <w:p>
      <w:pPr>
        <w:pStyle w:val="null3"/>
        <w:ind w:firstLine="480"/>
        <w:jc w:val="center"/>
      </w:pPr>
      <w:r>
        <w:rPr>
          <w:sz w:val="44"/>
          <w:b/>
          <w:shd w:fill="FFFFFF" w:val="clear"/>
        </w:rPr>
        <w:t>（采购包</w:t>
      </w:r>
      <w:r>
        <w:rPr>
          <w:sz w:val="44"/>
          <w:b/>
          <w:shd w:fill="FFFFFF" w:val="clear"/>
        </w:rPr>
        <w:t xml:space="preserve">    </w:t>
      </w:r>
      <w:r>
        <w:rPr>
          <w:sz w:val="44"/>
          <w:b/>
          <w:shd w:fill="FFFFFF" w:val="clear"/>
        </w:rPr>
        <w:t>）</w:t>
      </w:r>
    </w:p>
    <w:p>
      <w:pPr>
        <w:pStyle w:val="null3"/>
        <w:ind w:firstLine="480"/>
        <w:jc w:val="center"/>
      </w:pPr>
      <w:r>
        <w:rPr>
          <w:sz w:val="21"/>
          <w:shd w:fill="FFFFFF" w:val="clear"/>
        </w:rPr>
        <w:t xml:space="preserve"> </w:t>
      </w:r>
    </w:p>
    <w:p>
      <w:pPr>
        <w:pStyle w:val="null3"/>
        <w:ind w:firstLine="480"/>
        <w:jc w:val="center"/>
      </w:pPr>
      <w:r>
        <w:rPr>
          <w:sz w:val="21"/>
          <w:shd w:fill="FFFFFF" w:val="clear"/>
        </w:rPr>
        <w:t xml:space="preserve"> </w:t>
      </w:r>
    </w:p>
    <w:p>
      <w:pPr>
        <w:pStyle w:val="null3"/>
        <w:ind w:firstLine="480"/>
        <w:jc w:val="center"/>
      </w:pPr>
      <w:r>
        <w:rPr>
          <w:sz w:val="44"/>
          <w:b/>
          <w:shd w:fill="FFFFFF" w:val="clear"/>
        </w:rPr>
        <w:t>合同书</w:t>
      </w:r>
    </w:p>
    <w:p>
      <w:pPr>
        <w:pStyle w:val="null3"/>
        <w:ind w:firstLine="480"/>
        <w:jc w:val="center"/>
      </w:pPr>
      <w:r>
        <w:rPr>
          <w:sz w:val="15"/>
          <w:shd w:fill="FFFFFF" w:val="clear"/>
        </w:rPr>
        <w:t xml:space="preserve"> </w:t>
      </w:r>
    </w:p>
    <w:p>
      <w:pPr>
        <w:pStyle w:val="null3"/>
        <w:ind w:firstLine="480"/>
        <w:jc w:val="center"/>
      </w:pPr>
      <w:r>
        <w:rPr>
          <w:sz w:val="15"/>
          <w:shd w:fill="FFFFFF" w:val="clear"/>
        </w:rPr>
        <w:t xml:space="preserve"> </w:t>
      </w:r>
    </w:p>
    <w:p>
      <w:pPr>
        <w:pStyle w:val="null3"/>
        <w:ind w:firstLine="480"/>
        <w:jc w:val="center"/>
      </w:pPr>
      <w:r>
        <w:rPr>
          <w:sz w:val="20"/>
          <w:b/>
          <w:shd w:fill="FFFFFF" w:val="clear"/>
        </w:rPr>
        <w:t>项目名称：</w:t>
      </w:r>
      <w:r>
        <w:rPr>
          <w:sz w:val="20"/>
          <w:b/>
          <w:u w:val="single"/>
          <w:shd w:fill="FFFFFF" w:val="clear"/>
        </w:rPr>
        <w:t xml:space="preserve">                          </w:t>
      </w:r>
    </w:p>
    <w:p>
      <w:pPr>
        <w:pStyle w:val="null3"/>
        <w:ind w:left="1530" w:firstLine="480"/>
        <w:jc w:val="both"/>
      </w:pPr>
      <w:r>
        <w:rPr>
          <w:sz w:val="20"/>
          <w:b/>
          <w:shd w:fill="FFFFFF" w:val="clear"/>
        </w:rPr>
        <w:t>合同编号：</w:t>
      </w:r>
      <w:r>
        <w:rPr>
          <w:sz w:val="20"/>
          <w:b/>
          <w:u w:val="single"/>
          <w:shd w:fill="FFFFFF" w:val="clear"/>
        </w:rPr>
        <w:t xml:space="preserve">                          </w:t>
      </w:r>
    </w:p>
    <w:p>
      <w:pPr>
        <w:pStyle w:val="null3"/>
        <w:ind w:left="1530" w:firstLine="480"/>
        <w:jc w:val="both"/>
      </w:pPr>
      <w:r>
        <w:rPr>
          <w:sz w:val="20"/>
          <w:b/>
          <w:shd w:fill="FFFFFF" w:val="clear"/>
        </w:rPr>
        <w:t>签约地点：</w:t>
      </w:r>
      <w:r>
        <w:rPr>
          <w:sz w:val="20"/>
          <w:b/>
          <w:u w:val="single"/>
          <w:shd w:fill="FFFFFF" w:val="clear"/>
        </w:rPr>
        <w:t xml:space="preserve">                          </w:t>
      </w:r>
    </w:p>
    <w:p>
      <w:pPr>
        <w:pStyle w:val="null3"/>
        <w:ind w:left="1530" w:firstLine="480"/>
        <w:jc w:val="both"/>
      </w:pPr>
      <w:r>
        <w:rPr>
          <w:sz w:val="20"/>
          <w:b/>
          <w:shd w:fill="FFFFFF" w:val="clear"/>
        </w:rPr>
        <w:t>签订日期：</w:t>
      </w:r>
      <w:r>
        <w:rPr>
          <w:sz w:val="20"/>
          <w:b/>
          <w:shd w:fill="FFFFFF" w:val="clear"/>
        </w:rPr>
        <w:t xml:space="preserve">       </w:t>
      </w:r>
      <w:r>
        <w:rPr>
          <w:sz w:val="20"/>
          <w:b/>
          <w:shd w:fill="FFFFFF" w:val="clear"/>
        </w:rPr>
        <w:t>年</w:t>
      </w:r>
      <w:r>
        <w:rPr>
          <w:sz w:val="20"/>
          <w:b/>
          <w:shd w:fill="FFFFFF" w:val="clear"/>
        </w:rPr>
        <w:t xml:space="preserve">    </w:t>
      </w:r>
      <w:r>
        <w:rPr>
          <w:sz w:val="20"/>
          <w:b/>
          <w:shd w:fill="FFFFFF" w:val="clear"/>
        </w:rPr>
        <w:t>月</w:t>
      </w:r>
      <w:r>
        <w:rPr>
          <w:sz w:val="20"/>
          <w:b/>
          <w:shd w:fill="FFFFFF" w:val="clear"/>
        </w:rPr>
        <w:t xml:space="preserve">     </w:t>
      </w:r>
      <w:r>
        <w:rPr>
          <w:sz w:val="20"/>
          <w:b/>
          <w:shd w:fill="FFFFFF" w:val="clear"/>
        </w:rPr>
        <w:t>日</w:t>
      </w:r>
    </w:p>
    <w:p>
      <w:pPr>
        <w:pStyle w:val="null3"/>
        <w:jc w:val="left"/>
      </w:pPr>
      <w:r>
        <w:rPr/>
        <w:t xml:space="preserve"> </w:t>
      </w:r>
    </w:p>
    <w:p>
      <w:pPr>
        <w:pStyle w:val="null3"/>
        <w:jc w:val="both"/>
      </w:pPr>
      <w:r>
        <w:rPr>
          <w:sz w:val="21"/>
        </w:rPr>
        <w:t>甲</w:t>
      </w:r>
      <w:r>
        <w:rPr>
          <w:sz w:val="21"/>
        </w:rPr>
        <w:t xml:space="preserve">    </w:t>
      </w:r>
      <w:r>
        <w:rPr>
          <w:sz w:val="21"/>
        </w:rPr>
        <w:t>方：广州市生态环境局番禺环境监测站</w:t>
      </w:r>
    </w:p>
    <w:p>
      <w:pPr>
        <w:pStyle w:val="null3"/>
        <w:jc w:val="both"/>
      </w:pPr>
      <w:r>
        <w:rPr>
          <w:sz w:val="21"/>
        </w:rPr>
        <w:t>电</w:t>
      </w:r>
      <w:r>
        <w:rPr>
          <w:sz w:val="21"/>
        </w:rPr>
        <w:t xml:space="preserve">    </w:t>
      </w:r>
      <w:r>
        <w:rPr>
          <w:sz w:val="21"/>
        </w:rPr>
        <w:t>话：</w:t>
      </w:r>
      <w:r>
        <w:rPr>
          <w:sz w:val="21"/>
        </w:rPr>
        <w:t xml:space="preserve">                </w:t>
      </w:r>
      <w:r>
        <w:rPr>
          <w:sz w:val="21"/>
        </w:rPr>
        <w:t>传</w:t>
      </w:r>
      <w:r>
        <w:rPr>
          <w:sz w:val="21"/>
        </w:rPr>
        <w:t xml:space="preserve">  </w:t>
      </w:r>
      <w:r>
        <w:rPr>
          <w:sz w:val="21"/>
        </w:rPr>
        <w:t>真：</w:t>
      </w:r>
      <w:r>
        <w:rPr>
          <w:sz w:val="21"/>
        </w:rPr>
        <w:t xml:space="preserve">           </w:t>
      </w:r>
      <w:r>
        <w:rPr>
          <w:sz w:val="21"/>
        </w:rPr>
        <w:t>地</w:t>
      </w:r>
      <w:r>
        <w:rPr>
          <w:sz w:val="21"/>
        </w:rPr>
        <w:t xml:space="preserve">  </w:t>
      </w:r>
      <w:r>
        <w:rPr>
          <w:sz w:val="21"/>
        </w:rPr>
        <w:t>址：</w:t>
      </w:r>
    </w:p>
    <w:p>
      <w:pPr>
        <w:pStyle w:val="null3"/>
        <w:jc w:val="both"/>
      </w:pPr>
      <w:r>
        <w:rPr>
          <w:sz w:val="21"/>
        </w:rPr>
        <w:t>乙</w:t>
      </w:r>
      <w:r>
        <w:rPr>
          <w:sz w:val="21"/>
        </w:rPr>
        <w:t xml:space="preserve">    </w:t>
      </w:r>
      <w:r>
        <w:rPr>
          <w:sz w:val="21"/>
        </w:rPr>
        <w:t>方：</w:t>
      </w:r>
      <w:r>
        <w:rPr>
          <w:sz w:val="21"/>
        </w:rPr>
        <w:t xml:space="preserve">                  </w:t>
      </w:r>
      <w:r>
        <w:br/>
      </w:r>
      <w:r>
        <w:rPr>
          <w:sz w:val="21"/>
        </w:rPr>
        <w:t>电</w:t>
      </w:r>
      <w:r>
        <w:rPr>
          <w:sz w:val="21"/>
        </w:rPr>
        <w:t xml:space="preserve">    </w:t>
      </w:r>
      <w:r>
        <w:rPr>
          <w:sz w:val="21"/>
        </w:rPr>
        <w:t>话：</w:t>
      </w:r>
      <w:r>
        <w:rPr>
          <w:sz w:val="21"/>
        </w:rPr>
        <w:t xml:space="preserve">                </w:t>
      </w:r>
      <w:r>
        <w:rPr>
          <w:sz w:val="21"/>
        </w:rPr>
        <w:t>传</w:t>
      </w:r>
      <w:r>
        <w:rPr>
          <w:sz w:val="21"/>
        </w:rPr>
        <w:t xml:space="preserve">  </w:t>
      </w:r>
      <w:r>
        <w:rPr>
          <w:sz w:val="21"/>
        </w:rPr>
        <w:t>真：</w:t>
      </w:r>
      <w:r>
        <w:rPr>
          <w:sz w:val="21"/>
        </w:rPr>
        <w:t xml:space="preserve">           </w:t>
      </w:r>
      <w:r>
        <w:rPr>
          <w:sz w:val="21"/>
        </w:rPr>
        <w:t>地</w:t>
      </w:r>
      <w:r>
        <w:rPr>
          <w:sz w:val="21"/>
        </w:rPr>
        <w:t xml:space="preserve">  </w:t>
      </w:r>
      <w:r>
        <w:rPr>
          <w:sz w:val="21"/>
        </w:rPr>
        <w:t>址：</w:t>
      </w:r>
      <w:r>
        <w:rPr>
          <w:sz w:val="21"/>
        </w:rPr>
        <w:t xml:space="preserve">   </w:t>
      </w:r>
    </w:p>
    <w:p>
      <w:pPr>
        <w:pStyle w:val="null3"/>
        <w:jc w:val="both"/>
      </w:pPr>
      <w:r>
        <w:rPr>
          <w:sz w:val="21"/>
        </w:rPr>
        <w:t>根据</w:t>
      </w:r>
      <w:r>
        <w:rPr>
          <w:sz w:val="21"/>
          <w:u w:val="single"/>
        </w:rPr>
        <w:t xml:space="preserve">  </w:t>
      </w:r>
      <w:r>
        <w:rPr>
          <w:sz w:val="21"/>
          <w:u w:val="single"/>
        </w:rPr>
        <w:t>2025-2026年度番禺区环境空气自动监测站及水质自动监测站运维服务项目</w:t>
      </w:r>
    </w:p>
    <w:p>
      <w:pPr>
        <w:pStyle w:val="null3"/>
        <w:ind w:firstLine="420"/>
        <w:jc w:val="both"/>
      </w:pPr>
      <w:r>
        <w:rPr>
          <w:sz w:val="21"/>
          <w:u w:val="single"/>
        </w:rPr>
        <w:t>（采购包</w:t>
      </w:r>
      <w:r>
        <w:rPr>
          <w:sz w:val="21"/>
          <w:u w:val="single"/>
        </w:rPr>
        <w:t xml:space="preserve">1）  </w:t>
      </w:r>
      <w:r>
        <w:rPr>
          <w:sz w:val="21"/>
        </w:rPr>
        <w:t>的采购结果，按照《中华人民共和国政府采购法》、《中华人民共和国政府采购法实施条例》、《中华人民共和国民法典》第三编　合同的规定，经双方协商，本着平等互利和诚实信用的原则，一致同意签订本合同如下。</w:t>
      </w:r>
    </w:p>
    <w:p>
      <w:pPr>
        <w:pStyle w:val="null3"/>
        <w:jc w:val="both"/>
      </w:pPr>
      <w:r>
        <w:rPr>
          <w:sz w:val="21"/>
          <w:b/>
        </w:rPr>
        <w:t>一、合同金额</w:t>
      </w:r>
    </w:p>
    <w:p>
      <w:pPr>
        <w:pStyle w:val="null3"/>
        <w:ind w:firstLine="420"/>
        <w:jc w:val="both"/>
      </w:pPr>
      <w:r>
        <w:rPr>
          <w:sz w:val="21"/>
        </w:rPr>
        <w:t>采购包</w:t>
      </w:r>
      <w:r>
        <w:rPr>
          <w:sz w:val="21"/>
        </w:rPr>
        <w:t>1：合同金额为（大写）：</w:t>
      </w:r>
      <w:r>
        <w:rPr>
          <w:sz w:val="24"/>
          <w:u w:val="single"/>
        </w:rPr>
        <w:t xml:space="preserve">             </w:t>
      </w:r>
      <w:r>
        <w:rPr>
          <w:sz w:val="21"/>
        </w:rPr>
        <w:t>元（￥</w:t>
      </w:r>
      <w:r>
        <w:rPr>
          <w:sz w:val="24"/>
          <w:u w:val="single"/>
        </w:rPr>
        <w:t xml:space="preserve">            </w:t>
      </w:r>
      <w:r>
        <w:rPr>
          <w:sz w:val="21"/>
        </w:rPr>
        <w:t xml:space="preserve"> </w:t>
      </w:r>
      <w:r>
        <w:rPr>
          <w:sz w:val="21"/>
        </w:rPr>
        <w:t>元）人民币。</w:t>
      </w:r>
    </w:p>
    <w:p>
      <w:pPr>
        <w:pStyle w:val="null3"/>
        <w:jc w:val="both"/>
      </w:pPr>
      <w:r>
        <w:rPr>
          <w:sz w:val="21"/>
          <w:b/>
        </w:rPr>
        <w:t>二、</w:t>
      </w:r>
      <w:r>
        <w:rPr>
          <w:sz w:val="21"/>
          <w:b/>
        </w:rPr>
        <w:t>环境空气自动监测站运行和维护工作目标要求</w:t>
      </w:r>
    </w:p>
    <w:p>
      <w:pPr>
        <w:pStyle w:val="null3"/>
        <w:ind w:firstLine="420"/>
        <w:jc w:val="both"/>
      </w:pPr>
      <w:r>
        <w:rPr>
          <w:sz w:val="21"/>
        </w:rPr>
        <w:t>（一）工作目标</w:t>
      </w:r>
    </w:p>
    <w:p>
      <w:pPr>
        <w:pStyle w:val="null3"/>
        <w:ind w:firstLine="420"/>
        <w:jc w:val="both"/>
      </w:pPr>
      <w:r>
        <w:rPr>
          <w:sz w:val="21"/>
        </w:rPr>
        <w:t>1、保证环境空气自动监测站（包括仪器、数据采集和传输、站房及配套设施）的正常运作。</w:t>
      </w:r>
    </w:p>
    <w:p>
      <w:pPr>
        <w:pStyle w:val="null3"/>
        <w:ind w:firstLine="420"/>
        <w:jc w:val="both"/>
      </w:pPr>
      <w:r>
        <w:rPr>
          <w:sz w:val="21"/>
        </w:rPr>
        <w:t>2、保证数据的采集频率及采集量必须满足或优于国家标准《环境空气质量标准》规定的有效性数据的要求和国家总站以及广东省对环境空气质量自动监测数据捕获率和有效率的要求，提供真实有效的数据。</w:t>
      </w:r>
    </w:p>
    <w:p>
      <w:pPr>
        <w:pStyle w:val="null3"/>
        <w:ind w:firstLine="420"/>
        <w:jc w:val="both"/>
      </w:pPr>
      <w:r>
        <w:rPr>
          <w:sz w:val="21"/>
        </w:rPr>
        <w:t>3、保证市控空气站点和镇街空气站点数据上传国家总站数据平台和广州市环境空气自动监测数据平台，数据捕获率和捕获数据有效率满足要求。</w:t>
      </w:r>
    </w:p>
    <w:p>
      <w:pPr>
        <w:pStyle w:val="null3"/>
        <w:ind w:firstLine="420"/>
        <w:jc w:val="both"/>
      </w:pPr>
      <w:r>
        <w:rPr>
          <w:sz w:val="21"/>
        </w:rPr>
        <w:t>（二）要求</w:t>
      </w:r>
    </w:p>
    <w:p>
      <w:pPr>
        <w:pStyle w:val="null3"/>
        <w:ind w:firstLine="420"/>
        <w:jc w:val="both"/>
      </w:pPr>
      <w:r>
        <w:rPr>
          <w:sz w:val="21"/>
        </w:rPr>
        <w:t>1、乙方专门针对本项目的维护技术人员不少于4名，维护专用车辆不少于两辆，保证番禺区环境空气自动监测站运维工作的质量以及突发事件的应急处理能力。</w:t>
      </w:r>
    </w:p>
    <w:p>
      <w:pPr>
        <w:pStyle w:val="null3"/>
        <w:ind w:firstLine="420"/>
        <w:jc w:val="both"/>
      </w:pPr>
      <w:r>
        <w:rPr>
          <w:sz w:val="21"/>
        </w:rPr>
        <w:t>2、乙方的维护人员需经过相关专业培训、取得环境空气自动监测站运维考核合格相关证明。</w:t>
      </w:r>
    </w:p>
    <w:p>
      <w:pPr>
        <w:pStyle w:val="null3"/>
        <w:ind w:firstLine="420"/>
        <w:jc w:val="both"/>
      </w:pPr>
      <w:r>
        <w:rPr>
          <w:sz w:val="21"/>
        </w:rPr>
        <w:t>3、为保证监测数据的可靠性和延续性，乙方所提供的颗粒物分析仪、二氧化硫分析仪、氮氧化物分析仪、臭氧分析仪、一氧化碳分析仪、动态校准仪、零气发生器等备机应通过中国环境监测总站相关检验合格。</w:t>
      </w:r>
    </w:p>
    <w:p>
      <w:pPr>
        <w:pStyle w:val="null3"/>
        <w:ind w:firstLine="420"/>
        <w:jc w:val="both"/>
      </w:pPr>
      <w:r>
        <w:rPr>
          <w:sz w:val="21"/>
        </w:rPr>
        <w:t>4、乙方需提供一套经过SRP一级传递的臭氧校准仪，保证成交后两个月内完成空气自动站的臭氧监测仪的质量溯源工作并提交质量溯源报告。</w:t>
      </w:r>
    </w:p>
    <w:p>
      <w:pPr>
        <w:pStyle w:val="null3"/>
        <w:ind w:firstLine="420"/>
        <w:jc w:val="both"/>
      </w:pPr>
      <w:r>
        <w:rPr>
          <w:sz w:val="21"/>
        </w:rPr>
        <w:t>5、乙方须建立质控保证实验室，须配置不少于2套高量程标准流量计、低量程标准流量计、标准大气压计、标准温湿度计等质控设备，并保证质控设备定期经过专业计量检定</w:t>
      </w:r>
      <w:r>
        <w:rPr>
          <w:sz w:val="21"/>
        </w:rPr>
        <w:t>/校准</w:t>
      </w:r>
      <w:r>
        <w:rPr>
          <w:sz w:val="21"/>
        </w:rPr>
        <w:t>；质控保证实验室还需提供满足日常颗粒物分析仪、二氧化硫分析仪、氮氧化物分析仪、臭氧分析仪、一氧化碳分析仪、动态校准仪、零气发生器等监测设备的质控设备，满足空气站日常质量保证要求。</w:t>
      </w:r>
    </w:p>
    <w:p>
      <w:pPr>
        <w:pStyle w:val="null3"/>
        <w:ind w:firstLine="420"/>
        <w:jc w:val="both"/>
      </w:pPr>
      <w:r>
        <w:rPr>
          <w:sz w:val="21"/>
        </w:rPr>
        <w:t>6、乙方承担空气自动站的易耗品耗材、零配件、水费、电费及网络通讯费、站房租赁、防雷年检等运维工作中产生的费用，所有费用包含在响应报价内。</w:t>
      </w:r>
    </w:p>
    <w:p>
      <w:pPr>
        <w:pStyle w:val="null3"/>
        <w:ind w:firstLine="420"/>
        <w:jc w:val="both"/>
      </w:pPr>
      <w:r>
        <w:rPr>
          <w:sz w:val="21"/>
        </w:rPr>
        <w:t>7、番禺区环境空气自动监测站的数据除了接入广州市环境空气数据平台外，还实时接入广东省和国家环境空气数据平台。因此，乙方必须保证能将数据准确有效的传输到各个数据平台上。</w:t>
      </w:r>
    </w:p>
    <w:p>
      <w:pPr>
        <w:pStyle w:val="null3"/>
        <w:ind w:firstLine="420"/>
        <w:jc w:val="both"/>
      </w:pPr>
      <w:r>
        <w:rPr>
          <w:sz w:val="21"/>
        </w:rPr>
        <w:t>8、乙方应按国家及省市相关法律法规和规定计算并支付投入本项目人员的各项劳动报酬及社保相关费用全部由乙方自行解决，甲方不再支付任何费用。</w:t>
      </w:r>
    </w:p>
    <w:p>
      <w:pPr>
        <w:pStyle w:val="null3"/>
        <w:ind w:firstLine="420"/>
        <w:jc w:val="both"/>
      </w:pPr>
      <w:r>
        <w:rPr>
          <w:sz w:val="21"/>
        </w:rPr>
        <w:t>10、乙方必须积极配合甲方工作，做好接受各级管理部门的检查、监督工作，并提供与其工作有关的资料、信息等，所有费用包含在响应报价内。</w:t>
      </w:r>
    </w:p>
    <w:p>
      <w:pPr>
        <w:pStyle w:val="null3"/>
        <w:ind w:firstLine="420"/>
        <w:jc w:val="both"/>
      </w:pPr>
      <w:r>
        <w:rPr>
          <w:sz w:val="21"/>
        </w:rPr>
        <w:t>11、参与履行运行维护服务本项目的所有人员，对工作中所涉的数据、资料及文件等负有保密义务，未经甲方同意，不得向第三方泄露。</w:t>
      </w:r>
    </w:p>
    <w:p>
      <w:pPr>
        <w:pStyle w:val="null3"/>
        <w:jc w:val="both"/>
      </w:pPr>
      <w:r>
        <w:rPr>
          <w:sz w:val="21"/>
          <w:b/>
        </w:rPr>
        <w:t>三、对环境空气自动监测站运行维护服务工作各项要求</w:t>
      </w:r>
    </w:p>
    <w:p>
      <w:pPr>
        <w:pStyle w:val="null3"/>
        <w:ind w:firstLine="420"/>
        <w:jc w:val="both"/>
      </w:pPr>
      <w:r>
        <w:rPr>
          <w:sz w:val="21"/>
        </w:rPr>
        <w:t>（一）日常运行巡视具体要求</w:t>
      </w:r>
    </w:p>
    <w:p>
      <w:pPr>
        <w:pStyle w:val="null3"/>
        <w:ind w:firstLine="420"/>
        <w:jc w:val="both"/>
      </w:pPr>
      <w:r>
        <w:rPr>
          <w:sz w:val="21"/>
        </w:rPr>
        <w:t>1、保证空气空气自动站的仪器系统及站房配套设施的财产安全，做好防火、防雨、防风、防盗和卫生清洁工作。保障站房内空调、电力线路、照明系统、排气设备等设施正常运行，若因此引起安全事故、责任等所有损失由乙方承担。</w:t>
      </w:r>
    </w:p>
    <w:p>
      <w:pPr>
        <w:pStyle w:val="null3"/>
        <w:ind w:firstLine="420"/>
        <w:jc w:val="both"/>
      </w:pPr>
      <w:r>
        <w:rPr>
          <w:sz w:val="21"/>
        </w:rPr>
        <w:t>2、维护人员每天8:30-9:30和17:00-18:00两个时段必须登录数据平台对各空气自动站数据进行调阅检查及分析。若发现数据有异常状况，必须尽快安排现场巡查并及时报告。</w:t>
      </w:r>
    </w:p>
    <w:p>
      <w:pPr>
        <w:pStyle w:val="null3"/>
        <w:ind w:firstLine="420"/>
        <w:jc w:val="both"/>
      </w:pPr>
      <w:r>
        <w:rPr>
          <w:sz w:val="21"/>
        </w:rPr>
        <w:t>3、每周至少巡视一次各空气自动站，检查各台仪器的工作状态。查看各仪器的关键技术参数，仪器数据的有效性，空调的工作情况，室内温度湿度，采样风机，采样管，PM2.5、PM10加热温度，采样管加热温度，管路密封情况，室外采样头，避雷接地情况，数据采集器的数据是否与仪器一致，空气自动站通讯是否正常等，做好日常的维护记录。维护记录作为日常维护工作的必要有效文件，定期归集放空气自动站备查，定期归档。</w:t>
      </w:r>
    </w:p>
    <w:p>
      <w:pPr>
        <w:pStyle w:val="null3"/>
        <w:ind w:firstLine="420"/>
        <w:jc w:val="both"/>
      </w:pPr>
      <w:r>
        <w:rPr>
          <w:sz w:val="21"/>
        </w:rPr>
        <w:t>4、定期、及时更换易耗品。所有的易耗品必须是仪器原厂家的原配易耗品。运行维护服务必须配备足够的在有效期内的各项目标准气体。</w:t>
      </w:r>
    </w:p>
    <w:p>
      <w:pPr>
        <w:pStyle w:val="null3"/>
        <w:ind w:firstLine="420"/>
        <w:jc w:val="both"/>
      </w:pPr>
      <w:r>
        <w:rPr>
          <w:sz w:val="21"/>
        </w:rPr>
        <w:t>5、在日常巡查维护过程中，若发现仪器或配套设备出现故障不能正常工作，应立即组织力量进行问题确认、排查故障和修复。故障的确认应该在到达现场后2小时内完成，修复工作应该在到达现场后4小时内完成，最长不能超过12小时。若不能马上修复，需要更换非常规的零配件时，必须在到达现场后24小时内完成。若不能在24小时内完成故障的解决，则乙方必须用其单位的备机替代。在以上响应的同时必须满足国家标准《环境空气质量标准》（GB3095-2012）中数据有效性的最低要求。</w:t>
      </w:r>
    </w:p>
    <w:p>
      <w:pPr>
        <w:pStyle w:val="null3"/>
        <w:ind w:firstLine="420"/>
        <w:jc w:val="both"/>
      </w:pPr>
      <w:r>
        <w:rPr>
          <w:sz w:val="21"/>
        </w:rPr>
        <w:t>6、运行维护服务对仪器设备检查项目内容的要求</w:t>
      </w:r>
    </w:p>
    <w:p>
      <w:pPr>
        <w:pStyle w:val="null3"/>
        <w:ind w:firstLine="420"/>
        <w:jc w:val="both"/>
      </w:pPr>
      <w:r>
        <w:rPr>
          <w:sz w:val="21"/>
        </w:rPr>
        <w:t>表三：</w:t>
      </w:r>
      <w:r>
        <w:rPr>
          <w:sz w:val="21"/>
        </w:rPr>
        <w:t>检查项目内容及频次表</w:t>
      </w:r>
    </w:p>
    <w:tbl>
      <w:tblPr>
        <w:tblW w:w="0" w:type="auto"/>
        <w:tblBorders>
          <w:top w:val="none" w:color="000000" w:sz="4"/>
          <w:left w:val="none" w:color="000000" w:sz="4"/>
          <w:bottom w:val="none" w:color="000000" w:sz="4"/>
          <w:right w:val="none" w:color="000000" w:sz="4"/>
          <w:insideH w:val="none"/>
          <w:insideV w:val="none"/>
        </w:tblBorders>
      </w:tblPr>
      <w:tblGrid>
        <w:gridCol w:w="678"/>
        <w:gridCol w:w="1525"/>
        <w:gridCol w:w="6101"/>
      </w:tblGrid>
      <w:tr>
        <w:tc>
          <w:tcPr>
            <w:tcW w:type="dxa" w:w="6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5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频次</w:t>
            </w:r>
          </w:p>
        </w:tc>
        <w:tc>
          <w:tcPr>
            <w:tcW w:type="dxa" w:w="61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项目内容</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每周一次</w:t>
            </w:r>
          </w:p>
        </w:tc>
        <w:tc>
          <w:tcPr>
            <w:tcW w:type="dxa" w:w="6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各空气自动站日常巡查</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每周一次</w:t>
            </w:r>
          </w:p>
        </w:tc>
        <w:tc>
          <w:tcPr>
            <w:tcW w:type="dxa" w:w="6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PM10/PM2.5/SO</w:t>
            </w:r>
            <w:r>
              <w:rPr>
                <w:sz w:val="21"/>
                <w:vertAlign w:val="subscript"/>
              </w:rPr>
              <w:t>2</w:t>
            </w:r>
            <w:r>
              <w:rPr>
                <w:sz w:val="21"/>
              </w:rPr>
              <w:t>/</w:t>
            </w:r>
            <w:r>
              <w:rPr>
                <w:sz w:val="21"/>
              </w:rPr>
              <w:t xml:space="preserve"> </w:t>
            </w:r>
            <w:r>
              <w:rPr>
                <w:sz w:val="21"/>
              </w:rPr>
              <w:t>NO</w:t>
            </w:r>
            <w:r>
              <w:rPr>
                <w:sz w:val="21"/>
                <w:vertAlign w:val="subscript"/>
              </w:rPr>
              <w:t>2</w:t>
            </w:r>
            <w:r>
              <w:rPr>
                <w:sz w:val="21"/>
              </w:rPr>
              <w:t>/CO/</w:t>
            </w:r>
            <w:r>
              <w:rPr>
                <w:sz w:val="21"/>
              </w:rPr>
              <w:t xml:space="preserve"> </w:t>
            </w:r>
            <w:r>
              <w:rPr>
                <w:sz w:val="21"/>
              </w:rPr>
              <w:t>O</w:t>
            </w:r>
            <w:r>
              <w:rPr>
                <w:sz w:val="21"/>
                <w:vertAlign w:val="subscript"/>
              </w:rPr>
              <w:t>3</w:t>
            </w:r>
            <w:r>
              <w:rPr>
                <w:sz w:val="21"/>
              </w:rPr>
              <w:t>零跨标检查</w:t>
            </w:r>
            <w:r>
              <w:rPr>
                <w:sz w:val="21"/>
              </w:rPr>
              <w:t>/校准</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w:t>
            </w:r>
            <w:r>
              <w:rPr>
                <w:sz w:val="21"/>
              </w:rPr>
              <w:t>2周一次</w:t>
            </w:r>
          </w:p>
        </w:tc>
        <w:tc>
          <w:tcPr>
            <w:tcW w:type="dxa" w:w="6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每台仪器精度检查</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w:t>
            </w:r>
            <w:r>
              <w:rPr>
                <w:sz w:val="21"/>
              </w:rPr>
              <w:t>2周一次</w:t>
            </w:r>
          </w:p>
        </w:tc>
        <w:tc>
          <w:tcPr>
            <w:tcW w:type="dxa" w:w="6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NO</w:t>
            </w:r>
            <w:r>
              <w:rPr>
                <w:sz w:val="21"/>
                <w:vertAlign w:val="subscript"/>
              </w:rPr>
              <w:t>2</w:t>
            </w:r>
            <w:r>
              <w:rPr>
                <w:sz w:val="21"/>
              </w:rPr>
              <w:t>钼转换效率</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每月一次</w:t>
            </w:r>
          </w:p>
        </w:tc>
        <w:tc>
          <w:tcPr>
            <w:tcW w:type="dxa" w:w="6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SO</w:t>
            </w:r>
            <w:r>
              <w:rPr>
                <w:sz w:val="21"/>
                <w:vertAlign w:val="subscript"/>
              </w:rPr>
              <w:t>2</w:t>
            </w:r>
            <w:r>
              <w:rPr>
                <w:sz w:val="21"/>
              </w:rPr>
              <w:t>/</w:t>
            </w:r>
            <w:r>
              <w:rPr>
                <w:sz w:val="21"/>
              </w:rPr>
              <w:t xml:space="preserve"> </w:t>
            </w:r>
            <w:r>
              <w:rPr>
                <w:sz w:val="21"/>
              </w:rPr>
              <w:t>NO</w:t>
            </w:r>
            <w:r>
              <w:rPr>
                <w:sz w:val="21"/>
                <w:vertAlign w:val="subscript"/>
              </w:rPr>
              <w:t>2</w:t>
            </w:r>
            <w:r>
              <w:rPr>
                <w:sz w:val="21"/>
              </w:rPr>
              <w:t>/CO/</w:t>
            </w:r>
            <w:r>
              <w:rPr>
                <w:sz w:val="21"/>
              </w:rPr>
              <w:t xml:space="preserve"> </w:t>
            </w:r>
            <w:r>
              <w:rPr>
                <w:sz w:val="21"/>
              </w:rPr>
              <w:t>O</w:t>
            </w:r>
            <w:r>
              <w:rPr>
                <w:sz w:val="21"/>
                <w:vertAlign w:val="subscript"/>
              </w:rPr>
              <w:t>3</w:t>
            </w:r>
            <w:r>
              <w:rPr>
                <w:sz w:val="21"/>
              </w:rPr>
              <w:t>流量检查</w:t>
            </w:r>
            <w:r>
              <w:rPr>
                <w:sz w:val="21"/>
              </w:rPr>
              <w:t>/校准</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每月一次</w:t>
            </w:r>
          </w:p>
        </w:tc>
        <w:tc>
          <w:tcPr>
            <w:tcW w:type="dxa" w:w="6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风机</w:t>
            </w:r>
            <w:r>
              <w:rPr>
                <w:sz w:val="21"/>
              </w:rPr>
              <w:t>/加热/空调检查</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每月一次</w:t>
            </w:r>
          </w:p>
        </w:tc>
        <w:tc>
          <w:tcPr>
            <w:tcW w:type="dxa" w:w="6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数据采集器数据备份</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每月一次</w:t>
            </w:r>
          </w:p>
        </w:tc>
        <w:tc>
          <w:tcPr>
            <w:tcW w:type="dxa" w:w="6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清洁</w:t>
            </w:r>
            <w:r>
              <w:rPr>
                <w:sz w:val="21"/>
              </w:rPr>
              <w:t>PM2.5</w:t>
            </w:r>
            <w:r>
              <w:rPr>
                <w:sz w:val="21"/>
              </w:rPr>
              <w:t>、</w:t>
            </w:r>
            <w:r>
              <w:rPr>
                <w:sz w:val="21"/>
              </w:rPr>
              <w:t>PM10</w:t>
            </w:r>
            <w:r>
              <w:rPr>
                <w:sz w:val="21"/>
              </w:rPr>
              <w:t>、重金属仪采样口</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每季度一次</w:t>
            </w:r>
          </w:p>
        </w:tc>
        <w:tc>
          <w:tcPr>
            <w:tcW w:type="dxa" w:w="6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SO</w:t>
            </w:r>
            <w:r>
              <w:rPr>
                <w:sz w:val="21"/>
                <w:vertAlign w:val="subscript"/>
              </w:rPr>
              <w:t>2</w:t>
            </w:r>
            <w:r>
              <w:rPr>
                <w:sz w:val="21"/>
              </w:rPr>
              <w:t>/</w:t>
            </w:r>
            <w:r>
              <w:rPr>
                <w:sz w:val="21"/>
              </w:rPr>
              <w:t xml:space="preserve"> </w:t>
            </w:r>
            <w:r>
              <w:rPr>
                <w:sz w:val="21"/>
              </w:rPr>
              <w:t>NO</w:t>
            </w:r>
            <w:r>
              <w:rPr>
                <w:sz w:val="21"/>
                <w:vertAlign w:val="subscript"/>
              </w:rPr>
              <w:t>2</w:t>
            </w:r>
            <w:r>
              <w:rPr>
                <w:sz w:val="21"/>
              </w:rPr>
              <w:t>/CO/</w:t>
            </w:r>
            <w:r>
              <w:rPr>
                <w:sz w:val="21"/>
              </w:rPr>
              <w:t xml:space="preserve"> </w:t>
            </w:r>
            <w:r>
              <w:rPr>
                <w:sz w:val="21"/>
              </w:rPr>
              <w:t>O</w:t>
            </w:r>
            <w:r>
              <w:rPr>
                <w:sz w:val="21"/>
                <w:vertAlign w:val="subscript"/>
              </w:rPr>
              <w:t>3</w:t>
            </w:r>
            <w:r>
              <w:rPr>
                <w:sz w:val="21"/>
              </w:rPr>
              <w:t>多点校准</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每季度一次</w:t>
            </w:r>
          </w:p>
        </w:tc>
        <w:tc>
          <w:tcPr>
            <w:tcW w:type="dxa" w:w="6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清洗各仪器及采样管路</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每季度一次</w:t>
            </w:r>
          </w:p>
        </w:tc>
        <w:tc>
          <w:tcPr>
            <w:tcW w:type="dxa" w:w="6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PM10、PM2.5</w:t>
            </w:r>
            <w:r>
              <w:rPr>
                <w:sz w:val="21"/>
              </w:rPr>
              <w:t>、重金属仪流量检查</w:t>
            </w:r>
            <w:r>
              <w:rPr>
                <w:sz w:val="21"/>
              </w:rPr>
              <w:t>/校准</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每季度一次</w:t>
            </w:r>
          </w:p>
        </w:tc>
        <w:tc>
          <w:tcPr>
            <w:tcW w:type="dxa" w:w="6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每台仪器电路</w:t>
            </w:r>
            <w:r>
              <w:rPr>
                <w:sz w:val="21"/>
              </w:rPr>
              <w:t>A/D，D/A检查</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每季度一次</w:t>
            </w:r>
          </w:p>
        </w:tc>
        <w:tc>
          <w:tcPr>
            <w:tcW w:type="dxa" w:w="6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每台仪器预防性维护</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每半年一次</w:t>
            </w:r>
          </w:p>
        </w:tc>
        <w:tc>
          <w:tcPr>
            <w:tcW w:type="dxa" w:w="6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PM2.5、PM10</w:t>
            </w:r>
            <w:r>
              <w:rPr>
                <w:sz w:val="21"/>
              </w:rPr>
              <w:t>校准膜和流量校准</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每年一次</w:t>
            </w:r>
          </w:p>
        </w:tc>
        <w:tc>
          <w:tcPr>
            <w:tcW w:type="dxa" w:w="6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每台仪器采样泵，泵膜维护更换</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每年一次</w:t>
            </w:r>
          </w:p>
        </w:tc>
        <w:tc>
          <w:tcPr>
            <w:tcW w:type="dxa" w:w="6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每台仪器光路系统检查</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1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每年一次</w:t>
            </w:r>
          </w:p>
        </w:tc>
        <w:tc>
          <w:tcPr>
            <w:tcW w:type="dxa" w:w="6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系统联机，远程控制检查</w:t>
            </w:r>
          </w:p>
        </w:tc>
      </w:tr>
    </w:tbl>
    <w:p>
      <w:pPr>
        <w:pStyle w:val="null3"/>
        <w:ind w:firstLine="420"/>
        <w:jc w:val="both"/>
      </w:pPr>
      <w:r>
        <w:rPr>
          <w:sz w:val="21"/>
        </w:rPr>
        <w:t>（二）对运行维护服务质量控制要求</w:t>
      </w:r>
    </w:p>
    <w:p>
      <w:pPr>
        <w:pStyle w:val="null3"/>
        <w:ind w:firstLine="420"/>
        <w:jc w:val="both"/>
      </w:pPr>
      <w:r>
        <w:rPr>
          <w:sz w:val="21"/>
        </w:rPr>
        <w:t>1、应保证技术服务的质量和效果，保证每月至少27天有效数据（2月至少25天有效数据）；数据捕获率应大于或等于95%，捕获数据有效率应大于或等于95%，总体月数据有效率应大于或等于90%。</w:t>
      </w:r>
    </w:p>
    <w:p>
      <w:pPr>
        <w:pStyle w:val="null3"/>
        <w:ind w:firstLine="420"/>
        <w:jc w:val="both"/>
      </w:pPr>
      <w:r>
        <w:rPr>
          <w:sz w:val="21"/>
        </w:rPr>
        <w:t>2、分析仪性能质量控制目标</w:t>
      </w:r>
    </w:p>
    <w:p>
      <w:pPr>
        <w:pStyle w:val="null3"/>
        <w:ind w:firstLine="420"/>
        <w:jc w:val="both"/>
      </w:pPr>
      <w:r>
        <w:rPr>
          <w:sz w:val="21"/>
        </w:rPr>
        <w:t>（</w:t>
      </w:r>
      <w:r>
        <w:rPr>
          <w:sz w:val="21"/>
        </w:rPr>
        <w:t>1）精度检查</w:t>
      </w:r>
    </w:p>
    <w:tbl>
      <w:tblPr>
        <w:tblW w:w="0" w:type="auto"/>
        <w:tblBorders>
          <w:top w:val="none" w:color="000000" w:sz="4"/>
          <w:left w:val="none" w:color="000000" w:sz="4"/>
          <w:bottom w:val="none" w:color="000000" w:sz="4"/>
          <w:right w:val="none" w:color="000000" w:sz="4"/>
          <w:insideH w:val="none"/>
          <w:insideV w:val="none"/>
        </w:tblBorders>
      </w:tblPr>
      <w:tblGrid>
        <w:gridCol w:w="2181"/>
        <w:gridCol w:w="1744"/>
        <w:gridCol w:w="4379"/>
      </w:tblGrid>
      <w:tr>
        <w:tc>
          <w:tcPr>
            <w:tcW w:type="dxa" w:w="3925"/>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参数</w:t>
            </w:r>
          </w:p>
        </w:tc>
        <w:tc>
          <w:tcPr>
            <w:tcW w:type="dxa" w:w="43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控制极限</w:t>
            </w:r>
          </w:p>
        </w:tc>
      </w:tr>
      <w:tr>
        <w:tc>
          <w:tcPr>
            <w:tcW w:type="dxa" w:w="39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SO</w:t>
            </w:r>
            <w:r>
              <w:rPr>
                <w:sz w:val="21"/>
                <w:vertAlign w:val="subscript"/>
              </w:rPr>
              <w:t>2</w:t>
            </w:r>
            <w:r>
              <w:rPr>
                <w:sz w:val="21"/>
              </w:rPr>
              <w:t>，</w:t>
            </w:r>
            <w:r>
              <w:rPr>
                <w:sz w:val="21"/>
              </w:rPr>
              <w:t>NO</w:t>
            </w:r>
            <w:r>
              <w:rPr>
                <w:sz w:val="21"/>
                <w:vertAlign w:val="subscript"/>
              </w:rPr>
              <w:t>2</w:t>
            </w:r>
            <w:r>
              <w:rPr>
                <w:sz w:val="21"/>
              </w:rPr>
              <w:t>，</w:t>
            </w:r>
            <w:r>
              <w:rPr>
                <w:sz w:val="21"/>
              </w:rPr>
              <w:t>O</w:t>
            </w:r>
            <w:r>
              <w:rPr>
                <w:sz w:val="21"/>
                <w:vertAlign w:val="subscript"/>
              </w:rPr>
              <w:t>3</w:t>
            </w:r>
            <w:r>
              <w:rPr>
                <w:sz w:val="21"/>
              </w:rPr>
              <w:t>，</w:t>
            </w:r>
            <w:r>
              <w:rPr>
                <w:sz w:val="21"/>
              </w:rPr>
              <w:t>CO,</w:t>
            </w:r>
          </w:p>
        </w:tc>
        <w:tc>
          <w:tcPr>
            <w:tcW w:type="dxa" w:w="4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2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PM2.5、PM10</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总流量</w:t>
            </w:r>
          </w:p>
        </w:tc>
        <w:tc>
          <w:tcPr>
            <w:tcW w:type="dxa" w:w="43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±5%（24小时）</w:t>
            </w:r>
          </w:p>
        </w:tc>
      </w:tr>
    </w:tbl>
    <w:p>
      <w:pPr>
        <w:pStyle w:val="null3"/>
        <w:ind w:firstLine="420"/>
        <w:jc w:val="both"/>
      </w:pPr>
      <w:r>
        <w:rPr>
          <w:sz w:val="21"/>
        </w:rPr>
        <w:t>（</w:t>
      </w:r>
      <w:r>
        <w:rPr>
          <w:sz w:val="21"/>
        </w:rPr>
        <w:t>2）日常运行质控目标</w:t>
      </w:r>
    </w:p>
    <w:tbl>
      <w:tblPr>
        <w:tblW w:w="0" w:type="auto"/>
        <w:tblBorders>
          <w:top w:val="none" w:color="000000" w:sz="4"/>
          <w:left w:val="none" w:color="000000" w:sz="4"/>
          <w:bottom w:val="none" w:color="000000" w:sz="4"/>
          <w:right w:val="none" w:color="000000" w:sz="4"/>
          <w:insideH w:val="none"/>
          <w:insideV w:val="none"/>
        </w:tblBorders>
      </w:tblPr>
      <w:tblGrid>
        <w:gridCol w:w="1996"/>
        <w:gridCol w:w="1520"/>
        <w:gridCol w:w="1040"/>
        <w:gridCol w:w="1730"/>
        <w:gridCol w:w="2019"/>
      </w:tblGrid>
      <w:tr>
        <w:tc>
          <w:tcPr>
            <w:tcW w:type="dxa" w:w="4556"/>
            <w:gridSpan w:val="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参数</w:t>
            </w:r>
          </w:p>
        </w:tc>
        <w:tc>
          <w:tcPr>
            <w:tcW w:type="dxa" w:w="3749"/>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运行评价指标</w:t>
            </w:r>
          </w:p>
        </w:tc>
      </w:tr>
      <w:tr>
        <w:tc>
          <w:tcPr>
            <w:tcW w:type="dxa" w:w="4556"/>
            <w:gridSpan w:val="3"/>
            <w:vMerge/>
            <w:tcBorders>
              <w:top w:val="single" w:color="000000" w:sz="4"/>
              <w:left w:val="single" w:color="000000" w:sz="4"/>
              <w:bottom w:val="single" w:color="000000" w:sz="4"/>
              <w:right w:val="single" w:color="000000" w:sz="4"/>
            </w:tcBorders>
          </w:tcPr>
          <w:p/>
        </w:tc>
        <w:tc>
          <w:tcPr>
            <w:tcW w:type="dxa" w:w="1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警告极限</w:t>
            </w:r>
          </w:p>
        </w:tc>
        <w:tc>
          <w:tcPr>
            <w:tcW w:type="dxa" w:w="20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控制极限</w:t>
            </w:r>
          </w:p>
        </w:tc>
      </w:tr>
      <w:tr>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SO</w:t>
            </w:r>
            <w:r>
              <w:rPr>
                <w:sz w:val="21"/>
                <w:vertAlign w:val="subscript"/>
              </w:rPr>
              <w:t>2</w:t>
            </w:r>
            <w:r>
              <w:rPr>
                <w:sz w:val="21"/>
              </w:rPr>
              <w:t>，</w:t>
            </w:r>
            <w:r>
              <w:rPr>
                <w:sz w:val="21"/>
              </w:rPr>
              <w:t>O</w:t>
            </w:r>
            <w:r>
              <w:rPr>
                <w:sz w:val="21"/>
                <w:vertAlign w:val="subscript"/>
              </w:rPr>
              <w:t>3</w:t>
            </w:r>
            <w:r>
              <w:rPr>
                <w:sz w:val="21"/>
              </w:rPr>
              <w:t>，</w:t>
            </w:r>
            <w:r>
              <w:rPr>
                <w:sz w:val="21"/>
              </w:rPr>
              <w:t>CO，</w:t>
            </w:r>
            <w:r>
              <w:rPr>
                <w:sz w:val="21"/>
              </w:rPr>
              <w:t>NO</w:t>
            </w:r>
            <w:r>
              <w:rPr>
                <w:sz w:val="21"/>
                <w:vertAlign w:val="subscript"/>
              </w:rPr>
              <w:t>2</w:t>
            </w:r>
            <w:r>
              <w:rPr>
                <w:sz w:val="21"/>
              </w:rPr>
              <w:t>，</w:t>
            </w:r>
            <w:r>
              <w:rPr>
                <w:sz w:val="21"/>
              </w:rPr>
              <w:t>NO，</w:t>
            </w:r>
            <w:r>
              <w:rPr>
                <w:sz w:val="21"/>
              </w:rPr>
              <w:t>NO</w:t>
            </w:r>
            <w:r>
              <w:rPr>
                <w:sz w:val="21"/>
                <w:vertAlign w:val="subscript"/>
              </w:rPr>
              <w:t>X</w:t>
            </w:r>
          </w:p>
        </w:tc>
        <w:tc>
          <w:tcPr>
            <w:tcW w:type="dxa" w:w="256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所有级别准确度</w:t>
            </w:r>
          </w:p>
        </w:tc>
        <w:tc>
          <w:tcPr>
            <w:tcW w:type="dxa" w:w="1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0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r>
      <w:tr>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NO</w:t>
            </w:r>
            <w:r>
              <w:rPr>
                <w:sz w:val="21"/>
                <w:vertAlign w:val="subscript"/>
              </w:rPr>
              <w:t>2</w:t>
            </w:r>
            <w:r>
              <w:rPr>
                <w:sz w:val="21"/>
              </w:rPr>
              <w:t>，</w:t>
            </w:r>
            <w:r>
              <w:rPr>
                <w:sz w:val="21"/>
              </w:rPr>
              <w:t>NO，</w:t>
            </w:r>
            <w:r>
              <w:rPr>
                <w:sz w:val="21"/>
              </w:rPr>
              <w:t>NO</w:t>
            </w:r>
            <w:r>
              <w:rPr>
                <w:sz w:val="21"/>
                <w:vertAlign w:val="subscript"/>
              </w:rPr>
              <w:t>X</w:t>
            </w:r>
          </w:p>
        </w:tc>
        <w:tc>
          <w:tcPr>
            <w:tcW w:type="dxa" w:w="256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所有级别钼转换效率</w:t>
            </w:r>
          </w:p>
        </w:tc>
        <w:tc>
          <w:tcPr>
            <w:tcW w:type="dxa" w:w="1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不适用</w:t>
            </w:r>
          </w:p>
        </w:tc>
        <w:tc>
          <w:tcPr>
            <w:tcW w:type="dxa" w:w="20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≥96%</w:t>
            </w:r>
          </w:p>
        </w:tc>
      </w:tr>
      <w:tr>
        <w:tc>
          <w:tcPr>
            <w:tcW w:type="dxa" w:w="19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PM2.5，PM10，重金属</w:t>
            </w:r>
          </w:p>
        </w:tc>
        <w:tc>
          <w:tcPr>
            <w:tcW w:type="dxa" w:w="256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传感器校准常数</w:t>
            </w:r>
          </w:p>
        </w:tc>
        <w:tc>
          <w:tcPr>
            <w:tcW w:type="dxa" w:w="1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20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1996"/>
            <w:vMerge/>
            <w:tcBorders>
              <w:top w:val="none" w:color="000000" w:sz="4"/>
              <w:left w:val="single" w:color="000000" w:sz="4"/>
              <w:bottom w:val="single" w:color="000000" w:sz="4"/>
              <w:right w:val="single" w:color="000000" w:sz="4"/>
            </w:tcBorders>
          </w:tcPr>
          <w:p/>
        </w:tc>
        <w:tc>
          <w:tcPr>
            <w:tcW w:type="dxa" w:w="1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泄漏流量</w:t>
            </w:r>
          </w:p>
        </w:tc>
        <w:tc>
          <w:tcPr>
            <w:tcW w:type="dxa" w:w="10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主要</w:t>
            </w:r>
          </w:p>
        </w:tc>
        <w:tc>
          <w:tcPr>
            <w:tcW w:type="dxa" w:w="1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≤0.10L/Min</w:t>
            </w:r>
          </w:p>
        </w:tc>
        <w:tc>
          <w:tcPr>
            <w:tcW w:type="dxa" w:w="20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≤0.15L/Min</w:t>
            </w:r>
          </w:p>
        </w:tc>
      </w:tr>
      <w:tr>
        <w:tc>
          <w:tcPr>
            <w:tcW w:type="dxa" w:w="1996"/>
            <w:vMerge/>
            <w:tcBorders>
              <w:top w:val="none" w:color="000000" w:sz="4"/>
              <w:left w:val="single" w:color="000000" w:sz="4"/>
              <w:bottom w:val="single" w:color="000000" w:sz="4"/>
              <w:right w:val="single" w:color="000000" w:sz="4"/>
            </w:tcBorders>
          </w:tcPr>
          <w:p/>
        </w:tc>
        <w:tc>
          <w:tcPr>
            <w:tcW w:type="dxa" w:w="1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流量准确度</w:t>
            </w:r>
          </w:p>
        </w:tc>
        <w:tc>
          <w:tcPr>
            <w:tcW w:type="dxa" w:w="10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全部</w:t>
            </w:r>
          </w:p>
        </w:tc>
        <w:tc>
          <w:tcPr>
            <w:tcW w:type="dxa" w:w="1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20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bl>
    <w:p>
      <w:pPr>
        <w:pStyle w:val="null3"/>
        <w:ind w:firstLine="420"/>
        <w:jc w:val="both"/>
      </w:pPr>
      <w:r>
        <w:rPr>
          <w:sz w:val="21"/>
        </w:rPr>
        <w:t>3、具体质控内容要求见表</w:t>
      </w:r>
    </w:p>
    <w:p>
      <w:pPr>
        <w:pStyle w:val="null3"/>
        <w:ind w:firstLine="420"/>
        <w:jc w:val="both"/>
      </w:pPr>
      <w:r>
        <w:rPr>
          <w:sz w:val="21"/>
        </w:rPr>
        <w:t>气体分析仪质控内容及频率表</w:t>
      </w:r>
    </w:p>
    <w:tbl>
      <w:tblPr>
        <w:tblW w:w="0" w:type="auto"/>
        <w:tblBorders>
          <w:top w:val="none" w:color="000000" w:sz="4"/>
          <w:left w:val="none" w:color="000000" w:sz="4"/>
          <w:bottom w:val="none" w:color="000000" w:sz="4"/>
          <w:right w:val="none" w:color="000000" w:sz="4"/>
          <w:insideH w:val="none"/>
          <w:insideV w:val="none"/>
        </w:tblBorders>
      </w:tblPr>
      <w:tblGrid>
        <w:gridCol w:w="2101"/>
        <w:gridCol w:w="6203"/>
      </w:tblGrid>
      <w:tr>
        <w:tc>
          <w:tcPr>
            <w:tcW w:type="dxa" w:w="21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项目内容</w:t>
            </w:r>
          </w:p>
        </w:tc>
        <w:tc>
          <w:tcPr>
            <w:tcW w:type="dxa" w:w="62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频率和可供选择方法</w:t>
            </w:r>
          </w:p>
        </w:tc>
      </w:tr>
      <w:tr>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1、零点/跨度检查SO</w:t>
            </w:r>
            <w:r>
              <w:rPr>
                <w:sz w:val="21"/>
                <w:vertAlign w:val="subscript"/>
              </w:rPr>
              <w:t>2、</w:t>
            </w:r>
            <w:r>
              <w:rPr>
                <w:sz w:val="21"/>
              </w:rPr>
              <w:t>CO、NO</w:t>
            </w:r>
            <w:r>
              <w:rPr>
                <w:sz w:val="21"/>
                <w:vertAlign w:val="subscript"/>
              </w:rPr>
              <w:t>X、</w:t>
            </w:r>
            <w:r>
              <w:rPr>
                <w:sz w:val="21"/>
              </w:rPr>
              <w:t>O</w:t>
            </w:r>
            <w:r>
              <w:rPr>
                <w:sz w:val="21"/>
                <w:vertAlign w:val="subscript"/>
              </w:rPr>
              <w:t>3、</w:t>
            </w:r>
            <w:r>
              <w:rPr>
                <w:sz w:val="21"/>
              </w:rPr>
              <w:t>全部</w:t>
            </w:r>
          </w:p>
        </w:tc>
        <w:tc>
          <w:tcPr>
            <w:tcW w:type="dxa" w:w="6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频率方法：</w:t>
            </w:r>
          </w:p>
          <w:p>
            <w:pPr>
              <w:pStyle w:val="null3"/>
              <w:jc w:val="both"/>
            </w:pPr>
            <w:r>
              <w:rPr>
                <w:sz w:val="21"/>
              </w:rPr>
              <w:t>（</w:t>
            </w:r>
            <w:r>
              <w:rPr>
                <w:sz w:val="21"/>
              </w:rPr>
              <w:t>1）至少每周一次通过校准对所有自动监测站自动/手动检查</w:t>
            </w:r>
          </w:p>
          <w:p>
            <w:pPr>
              <w:pStyle w:val="null3"/>
              <w:jc w:val="both"/>
            </w:pPr>
            <w:r>
              <w:rPr>
                <w:sz w:val="21"/>
              </w:rPr>
              <w:t>（</w:t>
            </w:r>
            <w:r>
              <w:rPr>
                <w:sz w:val="21"/>
              </w:rPr>
              <w:t>2）对于NO</w:t>
            </w:r>
            <w:r>
              <w:rPr>
                <w:sz w:val="21"/>
                <w:vertAlign w:val="subscript"/>
              </w:rPr>
              <w:t>2</w:t>
            </w:r>
            <w:r>
              <w:rPr>
                <w:sz w:val="21"/>
              </w:rPr>
              <w:t>最少每两周一次在精度水平自动进行稀释法和</w:t>
            </w:r>
            <w:r>
              <w:rPr>
                <w:sz w:val="21"/>
              </w:rPr>
              <w:t>GPT法，并检查钼转换效率；最少每周一次通过臭氧发生器自动进行</w:t>
            </w:r>
          </w:p>
          <w:p>
            <w:pPr>
              <w:pStyle w:val="null3"/>
              <w:jc w:val="both"/>
            </w:pPr>
            <w:r>
              <w:rPr>
                <w:sz w:val="21"/>
              </w:rPr>
              <w:t>（</w:t>
            </w:r>
            <w:r>
              <w:rPr>
                <w:sz w:val="21"/>
              </w:rPr>
              <w:t>3）在零点/跨度调节之前和之后</w:t>
            </w:r>
          </w:p>
          <w:p>
            <w:pPr>
              <w:pStyle w:val="null3"/>
              <w:ind w:left="630"/>
              <w:jc w:val="both"/>
            </w:pPr>
            <w:r>
              <w:rPr>
                <w:sz w:val="21"/>
              </w:rPr>
              <w:t>（</w:t>
            </w:r>
            <w:r>
              <w:rPr>
                <w:sz w:val="21"/>
              </w:rPr>
              <w:t>4）校准仪更换：应进行非正式零点/跨度检查，已确认校准系统处于要求的状态</w:t>
            </w:r>
          </w:p>
          <w:p>
            <w:pPr>
              <w:pStyle w:val="null3"/>
              <w:jc w:val="both"/>
            </w:pPr>
            <w:r>
              <w:rPr>
                <w:sz w:val="21"/>
              </w:rPr>
              <w:t>（</w:t>
            </w:r>
            <w:r>
              <w:rPr>
                <w:sz w:val="21"/>
              </w:rPr>
              <w:t>5）对于没有经过日常零点/跨度检查的分析仪，在自动监测站停止使用分析仪之前，在由于PMP更换校准仪之后，也在定期零点/跨度检查日</w:t>
            </w:r>
          </w:p>
          <w:p>
            <w:pPr>
              <w:pStyle w:val="null3"/>
              <w:jc w:val="both"/>
            </w:pPr>
            <w:r>
              <w:rPr>
                <w:sz w:val="21"/>
              </w:rPr>
              <w:t>（</w:t>
            </w:r>
            <w:r>
              <w:rPr>
                <w:sz w:val="21"/>
              </w:rPr>
              <w:t>6）在超出零点/跨度极限时，要求进行零点/跨度调节（非多点校准）</w:t>
            </w:r>
          </w:p>
        </w:tc>
      </w:tr>
      <w:tr>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2、多点校准（5-7点）SO</w:t>
            </w:r>
            <w:r>
              <w:rPr>
                <w:sz w:val="21"/>
                <w:vertAlign w:val="subscript"/>
              </w:rPr>
              <w:t>2、</w:t>
            </w:r>
            <w:r>
              <w:rPr>
                <w:sz w:val="21"/>
              </w:rPr>
              <w:t>NO</w:t>
            </w:r>
            <w:r>
              <w:rPr>
                <w:sz w:val="21"/>
                <w:vertAlign w:val="subscript"/>
              </w:rPr>
              <w:t>X、</w:t>
            </w:r>
            <w:r>
              <w:rPr>
                <w:sz w:val="21"/>
              </w:rPr>
              <w:t>O</w:t>
            </w:r>
            <w:r>
              <w:rPr>
                <w:sz w:val="21"/>
                <w:vertAlign w:val="subscript"/>
              </w:rPr>
              <w:t>3、</w:t>
            </w:r>
            <w:r>
              <w:rPr>
                <w:sz w:val="21"/>
              </w:rPr>
              <w:t>CO</w:t>
            </w:r>
          </w:p>
        </w:tc>
        <w:tc>
          <w:tcPr>
            <w:tcW w:type="dxa" w:w="6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频率方法：</w:t>
            </w:r>
          </w:p>
          <w:p>
            <w:pPr>
              <w:pStyle w:val="null3"/>
              <w:jc w:val="both"/>
            </w:pPr>
            <w:r>
              <w:rPr>
                <w:sz w:val="21"/>
              </w:rPr>
              <w:t>（</w:t>
            </w:r>
            <w:r>
              <w:rPr>
                <w:sz w:val="21"/>
              </w:rPr>
              <w:t>a）半年</w:t>
            </w:r>
          </w:p>
          <w:p>
            <w:pPr>
              <w:pStyle w:val="null3"/>
              <w:jc w:val="both"/>
            </w:pPr>
            <w:r>
              <w:rPr>
                <w:sz w:val="21"/>
              </w:rPr>
              <w:t>（</w:t>
            </w:r>
            <w:r>
              <w:rPr>
                <w:sz w:val="21"/>
              </w:rPr>
              <w:t>b）安装时</w:t>
            </w:r>
          </w:p>
          <w:p>
            <w:pPr>
              <w:pStyle w:val="null3"/>
              <w:jc w:val="both"/>
            </w:pPr>
            <w:r>
              <w:rPr>
                <w:sz w:val="21"/>
              </w:rPr>
              <w:t>（</w:t>
            </w:r>
            <w:r>
              <w:rPr>
                <w:sz w:val="21"/>
              </w:rPr>
              <w:t>c）重新定位</w:t>
            </w:r>
          </w:p>
          <w:p>
            <w:pPr>
              <w:pStyle w:val="null3"/>
              <w:jc w:val="both"/>
            </w:pPr>
            <w:r>
              <w:rPr>
                <w:sz w:val="21"/>
              </w:rPr>
              <w:t>（</w:t>
            </w:r>
            <w:r>
              <w:rPr>
                <w:sz w:val="21"/>
              </w:rPr>
              <w:t>d）在影响线性的大修后</w:t>
            </w:r>
          </w:p>
          <w:p>
            <w:pPr>
              <w:pStyle w:val="null3"/>
              <w:jc w:val="both"/>
            </w:pPr>
            <w:r>
              <w:rPr>
                <w:sz w:val="21"/>
              </w:rPr>
              <w:t>（</w:t>
            </w:r>
            <w:r>
              <w:rPr>
                <w:sz w:val="21"/>
              </w:rPr>
              <w:t>e）表现出严重的不准确（故障诊断）</w:t>
            </w:r>
          </w:p>
        </w:tc>
      </w:tr>
      <w:tr>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3、校准仪校准流量</w:t>
            </w:r>
          </w:p>
        </w:tc>
        <w:tc>
          <w:tcPr>
            <w:tcW w:type="dxa" w:w="6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频率方法：</w:t>
            </w:r>
          </w:p>
          <w:p>
            <w:pPr>
              <w:pStyle w:val="null3"/>
              <w:jc w:val="both"/>
            </w:pPr>
            <w:r>
              <w:rPr>
                <w:sz w:val="21"/>
              </w:rPr>
              <w:t>（</w:t>
            </w:r>
            <w:r>
              <w:rPr>
                <w:sz w:val="21"/>
              </w:rPr>
              <w:t>1）每季度通过可追溯的标准流量计</w:t>
            </w:r>
          </w:p>
          <w:p>
            <w:pPr>
              <w:pStyle w:val="null3"/>
              <w:jc w:val="both"/>
            </w:pPr>
            <w:r>
              <w:rPr>
                <w:sz w:val="21"/>
              </w:rPr>
              <w:t>（</w:t>
            </w:r>
            <w:r>
              <w:rPr>
                <w:sz w:val="21"/>
              </w:rPr>
              <w:t>2）在校准已投入自动监测站使用之前</w:t>
            </w:r>
          </w:p>
          <w:p>
            <w:pPr>
              <w:pStyle w:val="null3"/>
              <w:jc w:val="both"/>
            </w:pPr>
            <w:r>
              <w:rPr>
                <w:sz w:val="21"/>
              </w:rPr>
              <w:t>（</w:t>
            </w:r>
            <w:r>
              <w:rPr>
                <w:sz w:val="21"/>
              </w:rPr>
              <w:t>3）零点/跨度结果超出控制极限</w:t>
            </w:r>
          </w:p>
        </w:tc>
      </w:tr>
      <w:tr>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4、精度检查SO</w:t>
            </w:r>
            <w:r>
              <w:rPr>
                <w:sz w:val="21"/>
                <w:vertAlign w:val="subscript"/>
              </w:rPr>
              <w:t>2、、</w:t>
            </w:r>
            <w:r>
              <w:rPr>
                <w:sz w:val="21"/>
              </w:rPr>
              <w:t>NO</w:t>
            </w:r>
            <w:r>
              <w:rPr>
                <w:sz w:val="21"/>
                <w:vertAlign w:val="subscript"/>
              </w:rPr>
              <w:t>2、</w:t>
            </w:r>
            <w:r>
              <w:rPr>
                <w:sz w:val="21"/>
              </w:rPr>
              <w:t>NO/NO</w:t>
            </w:r>
            <w:r>
              <w:rPr>
                <w:sz w:val="21"/>
                <w:vertAlign w:val="subscript"/>
              </w:rPr>
              <w:t>X、</w:t>
            </w:r>
            <w:r>
              <w:rPr>
                <w:sz w:val="21"/>
              </w:rPr>
              <w:t>O</w:t>
            </w:r>
            <w:r>
              <w:rPr>
                <w:sz w:val="21"/>
                <w:vertAlign w:val="subscript"/>
              </w:rPr>
              <w:t>3、</w:t>
            </w:r>
            <w:r>
              <w:rPr>
                <w:sz w:val="21"/>
              </w:rPr>
              <w:t>CO</w:t>
            </w:r>
          </w:p>
        </w:tc>
        <w:tc>
          <w:tcPr>
            <w:tcW w:type="dxa" w:w="6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频率方法：</w:t>
            </w:r>
            <w:r>
              <w:rPr>
                <w:sz w:val="21"/>
              </w:rPr>
              <w:t>2周一次</w:t>
            </w:r>
          </w:p>
        </w:tc>
      </w:tr>
    </w:tbl>
    <w:p>
      <w:pPr>
        <w:pStyle w:val="null3"/>
        <w:ind w:firstLine="420"/>
        <w:jc w:val="both"/>
      </w:pPr>
      <w:r>
        <w:rPr>
          <w:sz w:val="21"/>
        </w:rPr>
        <w:t>PM2.5、PM10重金属质控内容及频率表</w:t>
      </w:r>
    </w:p>
    <w:tbl>
      <w:tblPr>
        <w:tblW w:w="0" w:type="auto"/>
        <w:tblBorders>
          <w:top w:val="none" w:color="000000" w:sz="4"/>
          <w:left w:val="none" w:color="000000" w:sz="4"/>
          <w:bottom w:val="none" w:color="000000" w:sz="4"/>
          <w:right w:val="none" w:color="000000" w:sz="4"/>
          <w:insideH w:val="none"/>
          <w:insideV w:val="none"/>
        </w:tblBorders>
      </w:tblPr>
      <w:tblGrid>
        <w:gridCol w:w="3527"/>
        <w:gridCol w:w="4778"/>
      </w:tblGrid>
      <w:tr>
        <w:tc>
          <w:tcPr>
            <w:tcW w:type="dxa" w:w="35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质量控制内容</w:t>
            </w:r>
          </w:p>
        </w:tc>
        <w:tc>
          <w:tcPr>
            <w:tcW w:type="dxa" w:w="47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频率和方法</w:t>
            </w:r>
          </w:p>
        </w:tc>
      </w:tr>
      <w:tr>
        <w:tc>
          <w:tcPr>
            <w:tcW w:type="dxa" w:w="3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清洁</w:t>
            </w:r>
            <w:r>
              <w:rPr>
                <w:sz w:val="21"/>
              </w:rPr>
              <w:t>PM2.5、PM10、重金属采样口</w:t>
            </w:r>
          </w:p>
        </w:tc>
        <w:tc>
          <w:tcPr>
            <w:tcW w:type="dxa" w:w="4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测点每月一次</w:t>
            </w:r>
          </w:p>
        </w:tc>
      </w:tr>
      <w:tr>
        <w:tc>
          <w:tcPr>
            <w:tcW w:type="dxa" w:w="3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清洁空气采样管路</w:t>
            </w:r>
          </w:p>
        </w:tc>
        <w:tc>
          <w:tcPr>
            <w:tcW w:type="dxa" w:w="4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每季度一次或变脏了的时候</w:t>
            </w:r>
          </w:p>
        </w:tc>
      </w:tr>
      <w:tr>
        <w:tc>
          <w:tcPr>
            <w:tcW w:type="dxa" w:w="3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流量的校准</w:t>
            </w:r>
          </w:p>
        </w:tc>
        <w:tc>
          <w:tcPr>
            <w:tcW w:type="dxa" w:w="4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每半年一次</w:t>
            </w:r>
            <w:r>
              <w:rPr>
                <w:sz w:val="21"/>
              </w:rPr>
              <w:t>超出</w:t>
            </w:r>
            <w:r>
              <w:rPr>
                <w:sz w:val="21"/>
              </w:rPr>
              <w:t>±10%</w:t>
            </w:r>
          </w:p>
        </w:tc>
      </w:tr>
      <w:tr>
        <w:tc>
          <w:tcPr>
            <w:tcW w:type="dxa" w:w="3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模拟输出校准</w:t>
            </w:r>
          </w:p>
        </w:tc>
        <w:tc>
          <w:tcPr>
            <w:tcW w:type="dxa" w:w="4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每年一次</w:t>
            </w:r>
            <w:r>
              <w:rPr>
                <w:sz w:val="21"/>
              </w:rPr>
              <w:t>硬件校准前</w:t>
            </w:r>
          </w:p>
        </w:tc>
      </w:tr>
      <w:tr>
        <w:tc>
          <w:tcPr>
            <w:tcW w:type="dxa" w:w="3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质量校准检定</w:t>
            </w:r>
          </w:p>
        </w:tc>
        <w:tc>
          <w:tcPr>
            <w:tcW w:type="dxa" w:w="4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每年</w:t>
            </w:r>
            <w:r>
              <w:rPr>
                <w:sz w:val="21"/>
              </w:rPr>
              <w:t>---用校准膜校准 应不超出控制极限±10%</w:t>
            </w:r>
          </w:p>
        </w:tc>
      </w:tr>
    </w:tbl>
    <w:p>
      <w:pPr>
        <w:pStyle w:val="null3"/>
        <w:ind w:firstLine="420"/>
        <w:jc w:val="both"/>
      </w:pPr>
      <w:r>
        <w:rPr>
          <w:sz w:val="21"/>
        </w:rPr>
        <w:t>4、考核要求：</w:t>
      </w:r>
    </w:p>
    <w:p>
      <w:pPr>
        <w:pStyle w:val="null3"/>
        <w:ind w:firstLine="420"/>
        <w:jc w:val="both"/>
      </w:pPr>
      <w:r>
        <w:rPr>
          <w:sz w:val="21"/>
        </w:rPr>
        <w:t>乙方有责任接受甲方的定期和不定期考核。在甲方的考核中，不能出现两次以上偏差大于等于</w:t>
      </w:r>
      <w:r>
        <w:rPr>
          <w:sz w:val="21"/>
        </w:rPr>
        <w:t>10%。</w:t>
      </w:r>
    </w:p>
    <w:p>
      <w:pPr>
        <w:pStyle w:val="null3"/>
        <w:ind w:firstLine="420"/>
        <w:jc w:val="both"/>
      </w:pPr>
      <w:r>
        <w:rPr>
          <w:sz w:val="21"/>
        </w:rPr>
        <w:t>5、服务违约处理标准：</w:t>
      </w:r>
    </w:p>
    <w:p>
      <w:pPr>
        <w:pStyle w:val="null3"/>
        <w:ind w:firstLine="420"/>
        <w:jc w:val="both"/>
      </w:pPr>
      <w:r>
        <w:rPr>
          <w:sz w:val="21"/>
        </w:rPr>
        <w:t>（</w:t>
      </w:r>
      <w:r>
        <w:rPr>
          <w:sz w:val="21"/>
        </w:rPr>
        <w:t>1）乙方有责任接受甲方定期和不定期检查。若在服务期限内被检查出不符合上述相关国家和省市标准及规范，第一次口头警告，第二次书面警告，第三次扣除乙方进行运行维护服务费用，每次扣除运行维护服务费用为当年度合同总额的2%。</w:t>
      </w:r>
    </w:p>
    <w:p>
      <w:pPr>
        <w:pStyle w:val="null3"/>
        <w:ind w:firstLine="420"/>
        <w:jc w:val="both"/>
      </w:pPr>
      <w:r>
        <w:rPr>
          <w:sz w:val="21"/>
        </w:rPr>
        <w:t>（</w:t>
      </w:r>
      <w:r>
        <w:rPr>
          <w:sz w:val="21"/>
        </w:rPr>
        <w:t>2）如乙方在服务期内在甲方空气质量数据平台收集的运行空气自动站单站月数据有效率达不到90%，单站以月计处以扣除当年度合同总额的2%，多站多月累计，直至扣完为止。</w:t>
      </w:r>
    </w:p>
    <w:p>
      <w:pPr>
        <w:pStyle w:val="null3"/>
        <w:ind w:firstLine="420"/>
        <w:jc w:val="both"/>
      </w:pPr>
      <w:r>
        <w:rPr>
          <w:sz w:val="21"/>
        </w:rPr>
        <w:t>（</w:t>
      </w:r>
      <w:r>
        <w:rPr>
          <w:sz w:val="21"/>
        </w:rPr>
        <w:t>3）如乙方在服务期内在甲方上级单位每年安排的成效审核中，单站点总分未达到85分，单站处以扣除合同总额的2%，多站累计，直至扣完为止。</w:t>
      </w:r>
    </w:p>
    <w:p>
      <w:pPr>
        <w:pStyle w:val="null3"/>
        <w:ind w:firstLine="420"/>
        <w:jc w:val="both"/>
      </w:pPr>
      <w:r>
        <w:rPr>
          <w:sz w:val="21"/>
        </w:rPr>
        <w:t>（三）运行维护服务需提交文字记录的要求</w:t>
      </w:r>
    </w:p>
    <w:p>
      <w:pPr>
        <w:pStyle w:val="null3"/>
        <w:ind w:firstLine="420"/>
        <w:jc w:val="both"/>
      </w:pPr>
      <w:r>
        <w:rPr>
          <w:sz w:val="21"/>
        </w:rPr>
        <w:t>1、需依要求内容定期提交每个监测空气自动站的运行报告。</w:t>
      </w:r>
    </w:p>
    <w:p>
      <w:pPr>
        <w:pStyle w:val="null3"/>
        <w:ind w:firstLine="420"/>
        <w:jc w:val="both"/>
      </w:pPr>
      <w:r>
        <w:rPr>
          <w:sz w:val="21"/>
        </w:rPr>
        <w:t>2、半年维护结束后15日内提交半年维护报告，包括：</w:t>
      </w:r>
    </w:p>
    <w:p>
      <w:pPr>
        <w:pStyle w:val="null3"/>
        <w:ind w:left="210" w:firstLine="420"/>
        <w:jc w:val="both"/>
      </w:pPr>
      <w:r>
        <w:rPr>
          <w:sz w:val="21"/>
        </w:rPr>
        <w:t>1）各监测空气自动站参数达标结果总结（空气质量监测数据分析情况等）。</w:t>
      </w:r>
    </w:p>
    <w:p>
      <w:pPr>
        <w:pStyle w:val="null3"/>
        <w:ind w:left="210" w:firstLine="420"/>
        <w:jc w:val="both"/>
      </w:pPr>
      <w:r>
        <w:rPr>
          <w:sz w:val="21"/>
        </w:rPr>
        <w:t>2）各监测空气自动站质控任务总结表（数据获取率，校准执行等）</w:t>
      </w:r>
    </w:p>
    <w:p>
      <w:pPr>
        <w:pStyle w:val="null3"/>
        <w:ind w:left="210" w:firstLine="420"/>
        <w:jc w:val="both"/>
      </w:pPr>
      <w:r>
        <w:rPr>
          <w:sz w:val="21"/>
        </w:rPr>
        <w:t>3）各监测空气自动站站点突发事件说明。</w:t>
      </w:r>
    </w:p>
    <w:p>
      <w:pPr>
        <w:pStyle w:val="null3"/>
        <w:ind w:left="210" w:firstLine="420"/>
        <w:jc w:val="both"/>
      </w:pPr>
      <w:r>
        <w:rPr>
          <w:sz w:val="21"/>
        </w:rPr>
        <w:t>4）各监测空气自动站校准结果，工作记录。</w:t>
      </w:r>
    </w:p>
    <w:p>
      <w:pPr>
        <w:pStyle w:val="null3"/>
        <w:ind w:left="210" w:firstLine="420"/>
        <w:jc w:val="both"/>
      </w:pPr>
      <w:r>
        <w:rPr>
          <w:sz w:val="21"/>
        </w:rPr>
        <w:t>5）各监测空气自动站校准结果表格。</w:t>
      </w:r>
    </w:p>
    <w:p>
      <w:pPr>
        <w:pStyle w:val="null3"/>
        <w:ind w:left="210" w:firstLine="420"/>
        <w:jc w:val="both"/>
      </w:pPr>
      <w:r>
        <w:rPr>
          <w:sz w:val="21"/>
        </w:rPr>
        <w:t>6）各监测空气自动站附录维修工作表及测试报告。</w:t>
      </w:r>
    </w:p>
    <w:p>
      <w:pPr>
        <w:pStyle w:val="null3"/>
        <w:ind w:left="210" w:firstLine="420"/>
        <w:jc w:val="both"/>
      </w:pPr>
      <w:r>
        <w:rPr>
          <w:sz w:val="21"/>
        </w:rPr>
        <w:t>7）结论与建议。</w:t>
      </w:r>
    </w:p>
    <w:p>
      <w:pPr>
        <w:pStyle w:val="null3"/>
        <w:ind w:left="210" w:firstLine="420"/>
        <w:jc w:val="both"/>
      </w:pPr>
      <w:r>
        <w:rPr>
          <w:sz w:val="21"/>
        </w:rPr>
        <w:t>8）规定的其他条目。</w:t>
      </w:r>
    </w:p>
    <w:p>
      <w:pPr>
        <w:pStyle w:val="null3"/>
        <w:ind w:firstLine="420"/>
        <w:jc w:val="both"/>
      </w:pPr>
      <w:r>
        <w:rPr>
          <w:sz w:val="21"/>
        </w:rPr>
        <w:t>3、9个月维护结束后15日内提交半年维护报告，包括：</w:t>
      </w:r>
    </w:p>
    <w:p>
      <w:pPr>
        <w:pStyle w:val="null3"/>
        <w:ind w:left="210" w:firstLine="420"/>
        <w:jc w:val="both"/>
      </w:pPr>
      <w:r>
        <w:rPr>
          <w:sz w:val="21"/>
        </w:rPr>
        <w:t>1）各监测空气自动站参数达标结果总结（空气质量监测数据分析情况等）。</w:t>
      </w:r>
    </w:p>
    <w:p>
      <w:pPr>
        <w:pStyle w:val="null3"/>
        <w:ind w:left="210" w:firstLine="420"/>
        <w:jc w:val="both"/>
      </w:pPr>
      <w:r>
        <w:rPr>
          <w:sz w:val="21"/>
        </w:rPr>
        <w:t>2）各监测空气自动站质控任务总结表（数据获取率，校准执行等）</w:t>
      </w:r>
    </w:p>
    <w:p>
      <w:pPr>
        <w:pStyle w:val="null3"/>
        <w:ind w:left="210" w:firstLine="420"/>
        <w:jc w:val="both"/>
      </w:pPr>
      <w:r>
        <w:rPr>
          <w:sz w:val="21"/>
        </w:rPr>
        <w:t>3）各监测空气自动站站点突发事件说明。</w:t>
      </w:r>
    </w:p>
    <w:p>
      <w:pPr>
        <w:pStyle w:val="null3"/>
        <w:ind w:left="210" w:firstLine="420"/>
        <w:jc w:val="both"/>
      </w:pPr>
      <w:r>
        <w:rPr>
          <w:sz w:val="21"/>
        </w:rPr>
        <w:t>4）各监测空气自动站校准结果，工作记录。</w:t>
      </w:r>
    </w:p>
    <w:p>
      <w:pPr>
        <w:pStyle w:val="null3"/>
        <w:ind w:left="210" w:firstLine="420"/>
        <w:jc w:val="both"/>
      </w:pPr>
      <w:r>
        <w:rPr>
          <w:sz w:val="21"/>
        </w:rPr>
        <w:t>5）各监测空气自动站校准结果表格。</w:t>
      </w:r>
    </w:p>
    <w:p>
      <w:pPr>
        <w:pStyle w:val="null3"/>
        <w:ind w:left="210" w:firstLine="420"/>
        <w:jc w:val="both"/>
      </w:pPr>
      <w:r>
        <w:rPr>
          <w:sz w:val="21"/>
        </w:rPr>
        <w:t>6）各监测空气自动站附录维修工作表及测试报告。</w:t>
      </w:r>
    </w:p>
    <w:p>
      <w:pPr>
        <w:pStyle w:val="null3"/>
        <w:ind w:left="210" w:firstLine="420"/>
        <w:jc w:val="both"/>
      </w:pPr>
      <w:r>
        <w:rPr>
          <w:sz w:val="21"/>
        </w:rPr>
        <w:t>7）结论与建议。</w:t>
      </w:r>
    </w:p>
    <w:p>
      <w:pPr>
        <w:pStyle w:val="null3"/>
        <w:ind w:left="210" w:firstLine="420"/>
        <w:jc w:val="both"/>
      </w:pPr>
      <w:r>
        <w:rPr>
          <w:sz w:val="21"/>
        </w:rPr>
        <w:t>8）规定的其他条目。</w:t>
      </w:r>
    </w:p>
    <w:p>
      <w:pPr>
        <w:pStyle w:val="null3"/>
        <w:ind w:firstLine="420"/>
        <w:jc w:val="both"/>
      </w:pPr>
      <w:r>
        <w:rPr>
          <w:sz w:val="21"/>
        </w:rPr>
        <w:t>（四）运行维护服务结束需提交的文字报告要求</w:t>
      </w:r>
    </w:p>
    <w:p>
      <w:pPr>
        <w:pStyle w:val="null3"/>
        <w:ind w:firstLine="420"/>
        <w:jc w:val="both"/>
      </w:pPr>
      <w:r>
        <w:rPr>
          <w:sz w:val="21"/>
        </w:rPr>
        <w:t>运行结束</w:t>
      </w:r>
      <w:r>
        <w:rPr>
          <w:sz w:val="21"/>
        </w:rPr>
        <w:t>10日内，须向甲方提交各监测空气自动站运行状况总结报告，对于未修复的仪器，须于计划结束后15日内完成修复，并通过对各空气自动站站房设备和仪器性能的验收，经确认后结案。报告内容包含下列各项：</w:t>
      </w:r>
    </w:p>
    <w:p>
      <w:pPr>
        <w:pStyle w:val="null3"/>
        <w:ind w:firstLine="420"/>
        <w:jc w:val="both"/>
      </w:pPr>
      <w:r>
        <w:rPr>
          <w:sz w:val="21"/>
        </w:rPr>
        <w:t>1、各监测空气自动站仪器运行情况总结。</w:t>
      </w:r>
    </w:p>
    <w:p>
      <w:pPr>
        <w:pStyle w:val="null3"/>
        <w:ind w:firstLine="420"/>
        <w:jc w:val="both"/>
      </w:pPr>
      <w:r>
        <w:rPr>
          <w:sz w:val="21"/>
        </w:rPr>
        <w:t>2、各监测仪器可能潜在的问题及建议。</w:t>
      </w:r>
    </w:p>
    <w:p>
      <w:pPr>
        <w:pStyle w:val="null3"/>
        <w:ind w:firstLine="420"/>
        <w:jc w:val="both"/>
      </w:pPr>
      <w:r>
        <w:rPr>
          <w:sz w:val="21"/>
        </w:rPr>
        <w:t>3、气体使用状况。</w:t>
      </w:r>
    </w:p>
    <w:p>
      <w:pPr>
        <w:pStyle w:val="null3"/>
        <w:ind w:firstLine="420"/>
        <w:jc w:val="both"/>
      </w:pPr>
      <w:r>
        <w:rPr>
          <w:sz w:val="21"/>
        </w:rPr>
        <w:t>4、仪器故障未修复状况。</w:t>
      </w:r>
    </w:p>
    <w:p>
      <w:pPr>
        <w:pStyle w:val="null3"/>
        <w:ind w:firstLine="420"/>
        <w:jc w:val="both"/>
      </w:pPr>
      <w:r>
        <w:rPr>
          <w:sz w:val="21"/>
        </w:rPr>
        <w:t>5、PM2.5、PM10、重金属仪滤带使用估算及气体采样滤膜使用估算。</w:t>
      </w:r>
    </w:p>
    <w:p>
      <w:pPr>
        <w:pStyle w:val="null3"/>
        <w:ind w:firstLine="420"/>
        <w:jc w:val="both"/>
      </w:pPr>
      <w:r>
        <w:rPr>
          <w:sz w:val="21"/>
        </w:rPr>
        <w:t>6、灭火器有效期限。</w:t>
      </w:r>
    </w:p>
    <w:p>
      <w:pPr>
        <w:pStyle w:val="null3"/>
        <w:ind w:firstLine="420"/>
        <w:jc w:val="both"/>
      </w:pPr>
      <w:r>
        <w:rPr>
          <w:sz w:val="21"/>
        </w:rPr>
        <w:t>7、供电及防雷情况说明。</w:t>
      </w:r>
    </w:p>
    <w:p>
      <w:pPr>
        <w:pStyle w:val="null3"/>
        <w:ind w:firstLine="420"/>
        <w:jc w:val="both"/>
      </w:pPr>
      <w:r>
        <w:rPr>
          <w:sz w:val="21"/>
        </w:rPr>
        <w:t>8、站房安全危害与改善状况。</w:t>
      </w:r>
    </w:p>
    <w:p>
      <w:pPr>
        <w:pStyle w:val="null3"/>
        <w:jc w:val="both"/>
      </w:pPr>
      <w:r>
        <w:rPr>
          <w:sz w:val="21"/>
          <w:b/>
        </w:rPr>
        <w:t>四、运行维护服务费用及工作执行时间</w:t>
      </w:r>
    </w:p>
    <w:p>
      <w:pPr>
        <w:pStyle w:val="null3"/>
        <w:ind w:firstLine="420"/>
        <w:jc w:val="both"/>
      </w:pPr>
      <w:r>
        <w:rPr>
          <w:sz w:val="21"/>
        </w:rPr>
        <w:t>提供的运行维护服务费用，已包括了所有日常运行维护工作、易耗品更换、零配件更换、水电费、站房租赁费用等所有运行维护费用。</w:t>
      </w:r>
    </w:p>
    <w:p>
      <w:pPr>
        <w:pStyle w:val="null3"/>
        <w:jc w:val="both"/>
      </w:pPr>
      <w:r>
        <w:rPr>
          <w:sz w:val="21"/>
          <w:b/>
        </w:rPr>
        <w:t>五、甲方乙方的权利和义务</w:t>
      </w:r>
    </w:p>
    <w:p>
      <w:pPr>
        <w:pStyle w:val="null3"/>
        <w:ind w:firstLine="210"/>
        <w:jc w:val="both"/>
      </w:pPr>
      <w:r>
        <w:rPr>
          <w:sz w:val="21"/>
        </w:rPr>
        <w:t>（一）</w:t>
      </w:r>
      <w:r>
        <w:rPr>
          <w:sz w:val="21"/>
        </w:rPr>
        <w:t>甲方的权利和义务</w:t>
      </w:r>
    </w:p>
    <w:p>
      <w:pPr>
        <w:pStyle w:val="null3"/>
        <w:ind w:firstLine="420"/>
        <w:jc w:val="both"/>
      </w:pPr>
      <w:r>
        <w:rPr>
          <w:sz w:val="21"/>
        </w:rPr>
        <w:t>1.甲方对乙方的工作安排，可根据本项目实际情况进行调整，乙方应予以服从。乙方也可根据实际情况和自身经验进行调整，但调整内容须得到甲方的认可方能执行。</w:t>
      </w:r>
    </w:p>
    <w:p>
      <w:pPr>
        <w:pStyle w:val="null3"/>
        <w:ind w:firstLine="420"/>
        <w:jc w:val="both"/>
      </w:pPr>
      <w:r>
        <w:rPr>
          <w:sz w:val="21"/>
        </w:rPr>
        <w:t>2.甲方有权要求乙方按照本合同约定的期限、质量标准完成技术服务项目。</w:t>
      </w:r>
    </w:p>
    <w:p>
      <w:pPr>
        <w:pStyle w:val="null3"/>
        <w:ind w:firstLine="420"/>
        <w:jc w:val="both"/>
      </w:pPr>
      <w:r>
        <w:rPr>
          <w:sz w:val="21"/>
        </w:rPr>
        <w:t>3.甲方在监督过程中发现问题的，或乙方将运行维护服务项目委托给第三方的，甲方有权取消乙方成交资格或终止委托合同。</w:t>
      </w:r>
    </w:p>
    <w:p>
      <w:pPr>
        <w:pStyle w:val="null3"/>
        <w:ind w:firstLine="420"/>
        <w:jc w:val="both"/>
      </w:pPr>
      <w:r>
        <w:rPr>
          <w:sz w:val="21"/>
        </w:rPr>
        <w:t>4.甲方应按合同付款方式付清乙方款项。</w:t>
      </w:r>
    </w:p>
    <w:p>
      <w:pPr>
        <w:pStyle w:val="null3"/>
        <w:ind w:firstLine="420"/>
        <w:jc w:val="both"/>
      </w:pPr>
      <w:r>
        <w:rPr>
          <w:sz w:val="21"/>
        </w:rPr>
        <w:t>（二）乙方的权利和义务</w:t>
      </w:r>
    </w:p>
    <w:p>
      <w:pPr>
        <w:pStyle w:val="null3"/>
        <w:ind w:firstLine="420"/>
        <w:jc w:val="both"/>
      </w:pPr>
      <w:r>
        <w:rPr>
          <w:sz w:val="21"/>
        </w:rPr>
        <w:t>1.乙方应依据有关法律法规及甲方的要求开展工作。</w:t>
      </w:r>
    </w:p>
    <w:p>
      <w:pPr>
        <w:pStyle w:val="null3"/>
        <w:ind w:firstLine="420"/>
        <w:jc w:val="both"/>
      </w:pPr>
      <w:r>
        <w:rPr>
          <w:sz w:val="21"/>
        </w:rPr>
        <w:t>2.乙方应根据甲方的计划安排，按时完成本项目所有任务。</w:t>
      </w:r>
    </w:p>
    <w:p>
      <w:pPr>
        <w:pStyle w:val="null3"/>
        <w:ind w:firstLine="420"/>
        <w:jc w:val="both"/>
      </w:pPr>
      <w:r>
        <w:rPr>
          <w:sz w:val="21"/>
        </w:rPr>
        <w:t>3.乙方应遵守相关规定，接受甲方对实施情况进行全程跟踪和监督。</w:t>
      </w:r>
    </w:p>
    <w:p>
      <w:pPr>
        <w:pStyle w:val="null3"/>
        <w:ind w:firstLine="420"/>
        <w:jc w:val="both"/>
      </w:pPr>
      <w:r>
        <w:rPr>
          <w:sz w:val="21"/>
        </w:rPr>
        <w:t>4.乙方有权获得本合同约定的项目支付费用。</w:t>
      </w:r>
    </w:p>
    <w:p>
      <w:pPr>
        <w:pStyle w:val="null3"/>
        <w:jc w:val="both"/>
      </w:pPr>
      <w:r>
        <w:rPr>
          <w:sz w:val="21"/>
          <w:b/>
        </w:rPr>
        <w:t>六、服务期间（项目完成期限）</w:t>
      </w:r>
    </w:p>
    <w:p>
      <w:pPr>
        <w:pStyle w:val="null3"/>
        <w:ind w:firstLine="435"/>
        <w:jc w:val="both"/>
      </w:pPr>
      <w:r>
        <w:rPr>
          <w:sz w:val="21"/>
        </w:rPr>
        <w:t>委托服务期间自</w:t>
      </w:r>
      <w:r>
        <w:rPr>
          <w:sz w:val="21"/>
        </w:rPr>
        <w:t>______年______月至______年______月止。</w:t>
      </w:r>
    </w:p>
    <w:p>
      <w:pPr>
        <w:pStyle w:val="null3"/>
        <w:jc w:val="both"/>
      </w:pPr>
      <w:r>
        <w:rPr>
          <w:sz w:val="21"/>
          <w:b/>
        </w:rPr>
        <w:t>七、付款方式</w:t>
      </w:r>
    </w:p>
    <w:p>
      <w:pPr>
        <w:pStyle w:val="null3"/>
        <w:ind w:firstLine="420"/>
        <w:jc w:val="both"/>
      </w:pPr>
      <w:r>
        <w:rPr>
          <w:sz w:val="21"/>
        </w:rPr>
        <w:t>1期：支付比例30%,签订合同后5个工作日内，甲方向乙方支付合同金额的30%作为预付款。</w:t>
      </w:r>
    </w:p>
    <w:p>
      <w:pPr>
        <w:pStyle w:val="null3"/>
        <w:ind w:firstLine="420"/>
        <w:jc w:val="both"/>
      </w:pPr>
      <w:r>
        <w:rPr>
          <w:sz w:val="21"/>
        </w:rPr>
        <w:t>2期：支付比例30%,在完成</w:t>
      </w:r>
      <w:r>
        <w:rPr>
          <w:sz w:val="21"/>
        </w:rPr>
        <w:t>6</w:t>
      </w:r>
      <w:r>
        <w:rPr>
          <w:sz w:val="21"/>
        </w:rPr>
        <w:t>个月的运维工作后，乙方提交运维维护报告或相关材料并经甲方审核合格后</w:t>
      </w:r>
      <w:r>
        <w:rPr>
          <w:sz w:val="21"/>
        </w:rPr>
        <w:t>5个工作日内办理支付手续合同金额的30%。</w:t>
      </w:r>
    </w:p>
    <w:p>
      <w:pPr>
        <w:pStyle w:val="null3"/>
        <w:ind w:firstLine="420"/>
        <w:jc w:val="both"/>
      </w:pPr>
      <w:r>
        <w:rPr>
          <w:sz w:val="21"/>
        </w:rPr>
        <w:t>3期：支付比例</w:t>
      </w:r>
      <w:r>
        <w:rPr>
          <w:sz w:val="21"/>
        </w:rPr>
        <w:t>3</w:t>
      </w:r>
      <w:r>
        <w:rPr>
          <w:sz w:val="21"/>
        </w:rPr>
        <w:t>0%,在完成</w:t>
      </w:r>
      <w:r>
        <w:rPr>
          <w:sz w:val="21"/>
        </w:rPr>
        <w:t>9</w:t>
      </w:r>
      <w:r>
        <w:rPr>
          <w:sz w:val="21"/>
        </w:rPr>
        <w:t>个月的运维工作后，</w:t>
      </w:r>
      <w:r>
        <w:rPr>
          <w:sz w:val="21"/>
        </w:rPr>
        <w:t>乙方</w:t>
      </w:r>
      <w:r>
        <w:rPr>
          <w:sz w:val="21"/>
        </w:rPr>
        <w:t>提交运维维护报告或相关材料并经</w:t>
      </w:r>
      <w:r>
        <w:rPr>
          <w:sz w:val="21"/>
        </w:rPr>
        <w:t>甲方</w:t>
      </w:r>
      <w:r>
        <w:rPr>
          <w:sz w:val="21"/>
        </w:rPr>
        <w:t>审核合格后</w:t>
      </w:r>
      <w:r>
        <w:rPr>
          <w:sz w:val="21"/>
        </w:rPr>
        <w:t>5个工作日内办理支付手续合同金额的30%。</w:t>
      </w:r>
    </w:p>
    <w:p>
      <w:pPr>
        <w:pStyle w:val="null3"/>
        <w:ind w:firstLine="420"/>
        <w:jc w:val="both"/>
      </w:pPr>
      <w:r>
        <w:rPr>
          <w:sz w:val="21"/>
        </w:rPr>
        <w:t>4</w:t>
      </w:r>
      <w:r>
        <w:rPr>
          <w:sz w:val="21"/>
        </w:rPr>
        <w:t>期：支付比例</w:t>
      </w:r>
      <w:r>
        <w:rPr>
          <w:sz w:val="21"/>
        </w:rPr>
        <w:t>1</w:t>
      </w:r>
      <w:r>
        <w:rPr>
          <w:sz w:val="21"/>
        </w:rPr>
        <w:t>0%，在完成周期运维工作后，</w:t>
      </w:r>
      <w:r>
        <w:rPr>
          <w:sz w:val="21"/>
        </w:rPr>
        <w:t>乙方</w:t>
      </w:r>
      <w:r>
        <w:rPr>
          <w:sz w:val="21"/>
        </w:rPr>
        <w:t>提交年终的运维维护报告或相关材料并经</w:t>
      </w:r>
      <w:r>
        <w:rPr>
          <w:sz w:val="21"/>
        </w:rPr>
        <w:t>甲方</w:t>
      </w:r>
      <w:r>
        <w:rPr>
          <w:sz w:val="21"/>
        </w:rPr>
        <w:t>审核合格后</w:t>
      </w:r>
      <w:r>
        <w:rPr>
          <w:sz w:val="21"/>
        </w:rPr>
        <w:t>5个工作日内办理支付手续合同金额的</w:t>
      </w:r>
      <w:r>
        <w:rPr>
          <w:sz w:val="21"/>
        </w:rPr>
        <w:t>1</w:t>
      </w:r>
      <w:r>
        <w:rPr>
          <w:sz w:val="21"/>
        </w:rPr>
        <w:t>0%。 付款方式：</w:t>
      </w:r>
      <w:r>
        <w:rPr>
          <w:sz w:val="21"/>
        </w:rPr>
        <w:t>乙方</w:t>
      </w:r>
      <w:r>
        <w:rPr>
          <w:sz w:val="21"/>
        </w:rPr>
        <w:t>在支付当月开具正式税务发票原件交</w:t>
      </w:r>
      <w:r>
        <w:rPr>
          <w:sz w:val="21"/>
        </w:rPr>
        <w:t>甲方</w:t>
      </w:r>
      <w:r>
        <w:rPr>
          <w:sz w:val="21"/>
        </w:rPr>
        <w:t>，</w:t>
      </w:r>
      <w:r>
        <w:rPr>
          <w:sz w:val="21"/>
        </w:rPr>
        <w:t>甲方</w:t>
      </w:r>
      <w:r>
        <w:rPr>
          <w:sz w:val="21"/>
        </w:rPr>
        <w:t>在收到发票审核无误后</w:t>
      </w:r>
      <w:r>
        <w:rPr>
          <w:sz w:val="21"/>
        </w:rPr>
        <w:t>5个工作日内向</w:t>
      </w:r>
      <w:r>
        <w:rPr>
          <w:sz w:val="21"/>
        </w:rPr>
        <w:t>乙方</w:t>
      </w:r>
      <w:r>
        <w:rPr>
          <w:sz w:val="21"/>
        </w:rPr>
        <w:t>支付服务费（</w:t>
      </w:r>
      <w:r>
        <w:rPr>
          <w:sz w:val="21"/>
        </w:rPr>
        <w:t>甲方</w:t>
      </w:r>
      <w:r>
        <w:rPr>
          <w:sz w:val="21"/>
        </w:rPr>
        <w:t>办理请款手续后即视为付款，具体到账时间以财政部门划拨为准）。本合同的付款时间为甲方向政府采购支付部门提出支付申请的时间（不含政府财政支付部门审查的时间）。本合同的金额如需政府采购支付部门审核确定的，以政府采购支付部门审核确定的金额为准。</w:t>
      </w:r>
    </w:p>
    <w:p>
      <w:pPr>
        <w:pStyle w:val="null3"/>
        <w:ind w:firstLine="420"/>
        <w:jc w:val="both"/>
      </w:pPr>
      <w:r>
        <w:rPr>
          <w:sz w:val="21"/>
        </w:rPr>
        <w:t>因甲方使用的是财政资金，甲方在前款规定的付款时间为向政府采购支付部门提出办理财政支付申请手续的时间（不含政府财政支付部门审核的时间），在规定时间内提出支付申请手续后即视为甲方已经按期支付。</w:t>
      </w:r>
    </w:p>
    <w:p>
      <w:pPr>
        <w:pStyle w:val="null3"/>
        <w:ind w:firstLine="420"/>
        <w:jc w:val="both"/>
      </w:pPr>
      <w:r>
        <w:rPr>
          <w:sz w:val="21"/>
        </w:rPr>
        <w:t>2.乙方账户信息：</w:t>
      </w:r>
    </w:p>
    <w:p>
      <w:pPr>
        <w:pStyle w:val="null3"/>
        <w:ind w:firstLine="420"/>
        <w:jc w:val="both"/>
      </w:pPr>
      <w:r>
        <w:rPr>
          <w:sz w:val="21"/>
        </w:rPr>
        <w:t>开户名称：</w:t>
      </w:r>
    </w:p>
    <w:p>
      <w:pPr>
        <w:pStyle w:val="null3"/>
        <w:ind w:firstLine="420"/>
        <w:jc w:val="both"/>
      </w:pPr>
      <w:r>
        <w:rPr>
          <w:sz w:val="21"/>
        </w:rPr>
        <w:t>开户行：</w:t>
      </w:r>
    </w:p>
    <w:p>
      <w:pPr>
        <w:pStyle w:val="null3"/>
        <w:ind w:firstLine="420"/>
        <w:jc w:val="both"/>
      </w:pPr>
      <w:r>
        <w:rPr>
          <w:sz w:val="21"/>
        </w:rPr>
        <w:t>银行账号：</w:t>
      </w:r>
    </w:p>
    <w:p>
      <w:pPr>
        <w:pStyle w:val="null3"/>
        <w:jc w:val="both"/>
      </w:pPr>
      <w:r>
        <w:rPr>
          <w:sz w:val="21"/>
          <w:b/>
        </w:rPr>
        <w:t>八、知识产权产权归属</w:t>
      </w:r>
    </w:p>
    <w:p>
      <w:pPr>
        <w:pStyle w:val="null3"/>
        <w:ind w:firstLine="420"/>
        <w:jc w:val="both"/>
      </w:pPr>
      <w:r>
        <w:rPr>
          <w:sz w:val="21"/>
        </w:rPr>
        <w:t>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w:t>
      </w:r>
    </w:p>
    <w:p>
      <w:pPr>
        <w:pStyle w:val="null3"/>
        <w:jc w:val="both"/>
      </w:pPr>
      <w:r>
        <w:rPr>
          <w:sz w:val="21"/>
          <w:b/>
        </w:rPr>
        <w:t>九、保密</w:t>
      </w:r>
    </w:p>
    <w:p>
      <w:pPr>
        <w:pStyle w:val="null3"/>
        <w:ind w:firstLine="420"/>
        <w:jc w:val="both"/>
      </w:pPr>
      <w:r>
        <w:rPr>
          <w:sz w:val="21"/>
        </w:rPr>
        <w:t>项目实施过程中至乙方正式向甲方交付技术文档资料时止，乙方必须采取措施对本项目实施过程中的数据、技术文档等资料保密，否则，由于乙方过错导致的上述资料泄密的，乙方必须承担一切责任。项目完成后，甲、乙双方均有责任对本项目的技术保密承担责任。</w:t>
      </w:r>
    </w:p>
    <w:p>
      <w:pPr>
        <w:pStyle w:val="null3"/>
        <w:ind w:firstLine="420"/>
        <w:jc w:val="both"/>
      </w:pPr>
      <w:r>
        <w:rPr>
          <w:sz w:val="21"/>
        </w:rPr>
        <w:t>1）未经甲方事先书面同意，乙方不得将由甲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pStyle w:val="null3"/>
        <w:ind w:firstLine="420"/>
        <w:jc w:val="both"/>
      </w:pPr>
      <w:r>
        <w:rPr>
          <w:sz w:val="21"/>
        </w:rPr>
        <w:t>2）除了合同本身之外，上款所列举的任何物件均是甲方的财产。乙方应当在完成合同后应将这些物件及全部复制件还给甲方，甲方同意由乙方持有的除外。</w:t>
      </w:r>
    </w:p>
    <w:p>
      <w:pPr>
        <w:pStyle w:val="null3"/>
        <w:jc w:val="both"/>
      </w:pPr>
      <w:r>
        <w:rPr>
          <w:sz w:val="21"/>
          <w:b/>
        </w:rPr>
        <w:t>十、违约责任与赔偿损失</w:t>
      </w:r>
    </w:p>
    <w:p>
      <w:pPr>
        <w:pStyle w:val="null3"/>
        <w:ind w:firstLine="420"/>
        <w:jc w:val="both"/>
      </w:pPr>
      <w:r>
        <w:rPr>
          <w:sz w:val="21"/>
        </w:rPr>
        <w:t>1) 乙方提供的服务不符合采购文件、响应文件或本合同规定的，甲方有权拒收，并且乙方须向甲方支付本合同总价5%的违约金。</w:t>
      </w:r>
    </w:p>
    <w:p>
      <w:pPr>
        <w:pStyle w:val="null3"/>
        <w:ind w:firstLine="420"/>
        <w:jc w:val="both"/>
      </w:pPr>
      <w:r>
        <w:rPr>
          <w:sz w:val="21"/>
        </w:rPr>
        <w:t>2) 乙方未能按本合同规定的交货时间提供服务，从逾期之日起每日按本合同总价3‰的数额向甲方支付违约金；逾期半个月以上的，甲方有权终止合同，由此造成的甲方经济损失由乙方承担。</w:t>
      </w:r>
    </w:p>
    <w:p>
      <w:pPr>
        <w:pStyle w:val="null3"/>
        <w:ind w:firstLine="420"/>
        <w:jc w:val="both"/>
      </w:pPr>
      <w:r>
        <w:rPr>
          <w:sz w:val="21"/>
        </w:rPr>
        <w:t>3) 甲方无正当理由拒收接受服务，到期拒付服务款项的，甲方向乙方偿付本合同总的5%的违约金。甲方逾期付款，则每日按本合同总价的3‰向乙方偿付违约金。</w:t>
      </w:r>
    </w:p>
    <w:p>
      <w:pPr>
        <w:pStyle w:val="null3"/>
        <w:ind w:firstLine="420"/>
        <w:jc w:val="both"/>
      </w:pPr>
      <w:r>
        <w:rPr>
          <w:sz w:val="21"/>
        </w:rPr>
        <w:t>4) 其它违约责任按《中华人民共和国民法典》第三编　合同处理。</w:t>
      </w:r>
    </w:p>
    <w:p>
      <w:pPr>
        <w:pStyle w:val="null3"/>
        <w:jc w:val="both"/>
      </w:pPr>
      <w:r>
        <w:rPr>
          <w:sz w:val="21"/>
          <w:b/>
        </w:rPr>
        <w:t>十一、争端的解决</w:t>
      </w:r>
    </w:p>
    <w:p>
      <w:pPr>
        <w:pStyle w:val="null3"/>
        <w:ind w:firstLine="420"/>
        <w:jc w:val="both"/>
      </w:pPr>
      <w:r>
        <w:rPr>
          <w:sz w:val="21"/>
        </w:rPr>
        <w:t>合同执行过程中发生的任何争议，如双方不能通过友好协商解决，按相关法律法规处理。</w:t>
      </w:r>
    </w:p>
    <w:p>
      <w:pPr>
        <w:pStyle w:val="null3"/>
        <w:jc w:val="both"/>
      </w:pPr>
      <w:r>
        <w:rPr>
          <w:sz w:val="21"/>
          <w:b/>
        </w:rPr>
        <w:t>十二、不可抗力</w:t>
      </w:r>
    </w:p>
    <w:p>
      <w:pPr>
        <w:pStyle w:val="null3"/>
        <w:ind w:firstLine="411"/>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1"/>
          <w:b/>
        </w:rPr>
        <w:t>十三、税费</w:t>
      </w:r>
    </w:p>
    <w:p>
      <w:pPr>
        <w:pStyle w:val="null3"/>
        <w:ind w:firstLine="411"/>
        <w:jc w:val="both"/>
      </w:pPr>
      <w:r>
        <w:rPr>
          <w:sz w:val="21"/>
        </w:rPr>
        <w:t>在中国境内、外发生的与本合同执行有关的一切税费均由乙方负担。</w:t>
      </w:r>
    </w:p>
    <w:p>
      <w:pPr>
        <w:pStyle w:val="null3"/>
        <w:jc w:val="both"/>
      </w:pPr>
      <w:r>
        <w:rPr>
          <w:sz w:val="21"/>
          <w:b/>
        </w:rPr>
        <w:t>十四、其它</w:t>
      </w:r>
    </w:p>
    <w:p>
      <w:pPr>
        <w:pStyle w:val="null3"/>
        <w:ind w:firstLine="420"/>
        <w:jc w:val="both"/>
      </w:pPr>
      <w:r>
        <w:rPr>
          <w:sz w:val="21"/>
        </w:rPr>
        <w:t>1) 本合同所有附件、采购文件、响应文件、成交通知书均为合同的有效组成部分，与本合同具有同等法律效力。</w:t>
      </w:r>
    </w:p>
    <w:p>
      <w:pPr>
        <w:pStyle w:val="null3"/>
        <w:ind w:firstLine="420"/>
        <w:jc w:val="both"/>
      </w:pPr>
      <w:r>
        <w:rPr>
          <w:sz w:val="21"/>
        </w:rPr>
        <w:t>2) 在执行本合同的过程中，所有经双方签署确认的文件（包括会议纪要、补充协议、往来信函）即成为本合同的有效组成部分。</w:t>
      </w:r>
    </w:p>
    <w:p>
      <w:pPr>
        <w:pStyle w:val="null3"/>
        <w:ind w:firstLine="420"/>
        <w:jc w:val="both"/>
      </w:pPr>
      <w:r>
        <w:rPr>
          <w:sz w:val="21"/>
        </w:rPr>
        <w:t>3) 如一方地址、电话、传真号码有变更，应在变更当日内书面通知对方，否则，应承担相应责任。</w:t>
      </w:r>
    </w:p>
    <w:p>
      <w:pPr>
        <w:pStyle w:val="null3"/>
        <w:ind w:firstLine="420"/>
        <w:jc w:val="both"/>
      </w:pPr>
      <w:r>
        <w:rPr>
          <w:sz w:val="21"/>
        </w:rPr>
        <w:t>4) 除甲方事先书面同意外，乙方不得部分或全部转让其应履行的合同项下的义务。</w:t>
      </w:r>
    </w:p>
    <w:p>
      <w:pPr>
        <w:pStyle w:val="null3"/>
        <w:jc w:val="both"/>
      </w:pPr>
      <w:r>
        <w:rPr>
          <w:sz w:val="21"/>
          <w:b/>
        </w:rPr>
        <w:t>十五、合同生效</w:t>
      </w:r>
    </w:p>
    <w:p>
      <w:pPr>
        <w:pStyle w:val="null3"/>
        <w:ind w:firstLine="420"/>
        <w:jc w:val="both"/>
      </w:pPr>
      <w:r>
        <w:rPr>
          <w:sz w:val="21"/>
        </w:rPr>
        <w:t>1）本合同在甲乙双方法人代表或其授权代表签字盖章后生效。</w:t>
      </w:r>
    </w:p>
    <w:p>
      <w:pPr>
        <w:pStyle w:val="null3"/>
        <w:ind w:firstLine="420"/>
        <w:jc w:val="both"/>
      </w:pPr>
      <w:r>
        <w:rPr>
          <w:sz w:val="21"/>
        </w:rPr>
        <w:t>2）合同一式    份，其中甲方    份，乙方    份，监管部门壹份，采购代理机构壹份。</w:t>
      </w:r>
    </w:p>
    <w:p>
      <w:pPr>
        <w:pStyle w:val="null3"/>
        <w:jc w:val="both"/>
      </w:pPr>
      <w:r>
        <w:rPr>
          <w:sz w:val="21"/>
        </w:rPr>
        <w:t>甲方（盖章）：</w:t>
      </w:r>
      <w:r>
        <w:rPr>
          <w:sz w:val="21"/>
        </w:rPr>
        <w:t xml:space="preserve">                          </w:t>
      </w:r>
      <w:r>
        <w:rPr>
          <w:sz w:val="21"/>
        </w:rPr>
        <w:t>乙方（盖章）：</w:t>
      </w:r>
    </w:p>
    <w:p>
      <w:pPr>
        <w:pStyle w:val="null3"/>
        <w:jc w:val="both"/>
      </w:pPr>
      <w:r>
        <w:rPr>
          <w:sz w:val="21"/>
        </w:rPr>
        <w:t>法定代表</w:t>
      </w:r>
      <w:r>
        <w:rPr>
          <w:sz w:val="21"/>
        </w:rPr>
        <w:t>/授权代表（签字）：             法定代表/授权代表（签字）：</w:t>
      </w:r>
    </w:p>
    <w:p>
      <w:pPr>
        <w:pStyle w:val="null3"/>
        <w:jc w:val="both"/>
      </w:pPr>
      <w:r>
        <w:rPr>
          <w:sz w:val="21"/>
        </w:rPr>
        <w:t>日期：</w:t>
      </w:r>
      <w:r>
        <w:rPr>
          <w:sz w:val="21"/>
        </w:rPr>
        <w:t xml:space="preserve">                                 </w:t>
      </w:r>
      <w:r>
        <w:rPr>
          <w:sz w:val="21"/>
        </w:rPr>
        <w:t>日期：</w:t>
      </w:r>
    </w:p>
    <w:p>
      <w:pPr>
        <w:pStyle w:val="null3"/>
        <w:jc w:val="both"/>
      </w:pPr>
      <w:r>
        <w:rPr>
          <w:sz w:val="21"/>
        </w:rPr>
        <w:t>邮政编码：</w:t>
      </w:r>
      <w:r>
        <w:rPr>
          <w:sz w:val="21"/>
        </w:rPr>
        <w:t xml:space="preserve">                             </w:t>
      </w:r>
      <w:r>
        <w:rPr>
          <w:sz w:val="21"/>
        </w:rPr>
        <w:t>邮政编码：</w:t>
      </w:r>
    </w:p>
    <w:p>
      <w:pPr>
        <w:pStyle w:val="null3"/>
        <w:jc w:val="both"/>
      </w:pPr>
      <w:r>
        <w:rPr>
          <w:sz w:val="21"/>
        </w:rPr>
        <w:t>开户名称：</w:t>
      </w:r>
      <w:r>
        <w:rPr>
          <w:sz w:val="21"/>
        </w:rPr>
        <w:t xml:space="preserve">                             </w:t>
      </w:r>
      <w:r>
        <w:rPr>
          <w:sz w:val="21"/>
        </w:rPr>
        <w:t>开户名称：</w:t>
      </w:r>
    </w:p>
    <w:p>
      <w:pPr>
        <w:pStyle w:val="null3"/>
        <w:jc w:val="both"/>
      </w:pPr>
      <w:r>
        <w:rPr>
          <w:sz w:val="21"/>
        </w:rPr>
        <w:t>开户银行：</w:t>
      </w:r>
      <w:r>
        <w:rPr>
          <w:sz w:val="21"/>
        </w:rPr>
        <w:t xml:space="preserve">                             </w:t>
      </w:r>
      <w:r>
        <w:rPr>
          <w:sz w:val="21"/>
        </w:rPr>
        <w:t>开户银行：</w:t>
      </w:r>
    </w:p>
    <w:p>
      <w:pPr>
        <w:pStyle w:val="null3"/>
        <w:jc w:val="both"/>
      </w:pPr>
      <w:r>
        <w:rPr>
          <w:sz w:val="21"/>
        </w:rPr>
        <w:t>开户账号：</w:t>
      </w:r>
      <w:r>
        <w:rPr>
          <w:sz w:val="21"/>
        </w:rPr>
        <w:t xml:space="preserve">                             </w:t>
      </w:r>
      <w:r>
        <w:rPr>
          <w:sz w:val="21"/>
        </w:rPr>
        <w:t>开户账号</w:t>
      </w:r>
      <w:r>
        <w:rPr>
          <w:sz w:val="21"/>
        </w:rPr>
        <w:t>:</w:t>
      </w:r>
    </w:p>
    <w:p>
      <w:pPr>
        <w:pStyle w:val="null3"/>
        <w:jc w:val="left"/>
      </w:pPr>
      <w:r>
        <w:rPr>
          <w:sz w:val="21"/>
        </w:rPr>
        <w:t>注：</w:t>
      </w:r>
      <w:r>
        <w:rPr>
          <w:sz w:val="21"/>
        </w:rPr>
        <w:t>此为合同草案，可根据磋商情况进行变更！</w:t>
      </w:r>
    </w:p>
    <w:p>
      <w:pPr>
        <w:pStyle w:val="null3"/>
        <w:jc w:val="both"/>
      </w:pPr>
      <w:r>
        <w:rPr/>
        <w:t xml:space="preserve"> </w:t>
      </w:r>
    </w:p>
    <w:p>
      <w:pPr>
        <w:pStyle w:val="null3"/>
        <w:jc w:val="both"/>
      </w:pPr>
      <w:r>
        <w:rPr>
          <w:sz w:val="21"/>
        </w:rPr>
        <w:t>甲</w:t>
      </w:r>
      <w:r>
        <w:rPr>
          <w:sz w:val="21"/>
        </w:rPr>
        <w:t xml:space="preserve">    </w:t>
      </w:r>
      <w:r>
        <w:rPr>
          <w:sz w:val="21"/>
        </w:rPr>
        <w:t>方：广州市生态环境局番禺环境监测站</w:t>
      </w:r>
    </w:p>
    <w:p>
      <w:pPr>
        <w:pStyle w:val="null3"/>
        <w:jc w:val="both"/>
      </w:pPr>
      <w:r>
        <w:rPr>
          <w:sz w:val="21"/>
        </w:rPr>
        <w:t>电</w:t>
      </w:r>
      <w:r>
        <w:rPr>
          <w:sz w:val="21"/>
        </w:rPr>
        <w:t xml:space="preserve">    </w:t>
      </w:r>
      <w:r>
        <w:rPr>
          <w:sz w:val="21"/>
        </w:rPr>
        <w:t>话：</w:t>
      </w:r>
      <w:r>
        <w:rPr>
          <w:sz w:val="21"/>
        </w:rPr>
        <w:t xml:space="preserve">              </w:t>
      </w:r>
      <w:r>
        <w:rPr>
          <w:sz w:val="21"/>
        </w:rPr>
        <w:t>传</w:t>
      </w:r>
      <w:r>
        <w:rPr>
          <w:sz w:val="21"/>
        </w:rPr>
        <w:t xml:space="preserve">  </w:t>
      </w:r>
      <w:r>
        <w:rPr>
          <w:sz w:val="21"/>
        </w:rPr>
        <w:t>真：</w:t>
      </w:r>
      <w:r>
        <w:rPr>
          <w:sz w:val="21"/>
        </w:rPr>
        <w:t xml:space="preserve">           </w:t>
      </w:r>
      <w:r>
        <w:rPr>
          <w:sz w:val="21"/>
        </w:rPr>
        <w:t>地</w:t>
      </w:r>
      <w:r>
        <w:rPr>
          <w:sz w:val="21"/>
        </w:rPr>
        <w:t xml:space="preserve">  </w:t>
      </w:r>
      <w:r>
        <w:rPr>
          <w:sz w:val="21"/>
        </w:rPr>
        <w:t>址：</w:t>
      </w:r>
    </w:p>
    <w:p>
      <w:pPr>
        <w:pStyle w:val="null3"/>
        <w:jc w:val="both"/>
      </w:pPr>
      <w:r>
        <w:rPr>
          <w:sz w:val="21"/>
        </w:rPr>
        <w:t>乙</w:t>
      </w:r>
      <w:r>
        <w:rPr>
          <w:sz w:val="21"/>
        </w:rPr>
        <w:t xml:space="preserve">    </w:t>
      </w:r>
      <w:r>
        <w:rPr>
          <w:sz w:val="21"/>
        </w:rPr>
        <w:t>方：</w:t>
      </w:r>
      <w:r>
        <w:rPr>
          <w:sz w:val="21"/>
        </w:rPr>
        <w:t xml:space="preserve">                  </w:t>
      </w:r>
      <w:r>
        <w:br/>
      </w:r>
      <w:r>
        <w:rPr>
          <w:sz w:val="21"/>
        </w:rPr>
        <w:t>电</w:t>
      </w:r>
      <w:r>
        <w:rPr>
          <w:sz w:val="21"/>
        </w:rPr>
        <w:t xml:space="preserve">    </w:t>
      </w:r>
      <w:r>
        <w:rPr>
          <w:sz w:val="21"/>
        </w:rPr>
        <w:t>话：</w:t>
      </w:r>
      <w:r>
        <w:rPr>
          <w:sz w:val="21"/>
        </w:rPr>
        <w:t xml:space="preserve">                </w:t>
      </w:r>
      <w:r>
        <w:rPr>
          <w:sz w:val="21"/>
        </w:rPr>
        <w:t>传</w:t>
      </w:r>
      <w:r>
        <w:rPr>
          <w:sz w:val="21"/>
        </w:rPr>
        <w:t xml:space="preserve">  </w:t>
      </w:r>
      <w:r>
        <w:rPr>
          <w:sz w:val="21"/>
        </w:rPr>
        <w:t>真：</w:t>
      </w:r>
      <w:r>
        <w:rPr>
          <w:sz w:val="21"/>
        </w:rPr>
        <w:t xml:space="preserve">           </w:t>
      </w:r>
      <w:r>
        <w:rPr>
          <w:sz w:val="21"/>
        </w:rPr>
        <w:t>地</w:t>
      </w:r>
      <w:r>
        <w:rPr>
          <w:sz w:val="21"/>
        </w:rPr>
        <w:t xml:space="preserve">  </w:t>
      </w:r>
      <w:r>
        <w:rPr>
          <w:sz w:val="21"/>
        </w:rPr>
        <w:t>址：</w:t>
      </w:r>
      <w:r>
        <w:rPr>
          <w:sz w:val="21"/>
        </w:rPr>
        <w:t xml:space="preserve">   </w:t>
      </w:r>
    </w:p>
    <w:p>
      <w:pPr>
        <w:pStyle w:val="null3"/>
        <w:jc w:val="both"/>
      </w:pPr>
      <w:r>
        <w:rPr>
          <w:sz w:val="21"/>
        </w:rPr>
        <w:t>根据</w:t>
      </w:r>
      <w:r>
        <w:rPr>
          <w:sz w:val="21"/>
          <w:u w:val="single"/>
        </w:rPr>
        <w:t xml:space="preserve">  </w:t>
      </w:r>
      <w:r>
        <w:rPr>
          <w:sz w:val="21"/>
          <w:u w:val="single"/>
        </w:rPr>
        <w:t>2025-2026年度番禺区环境空气自动监测站及水质自动监测站运维服务项目</w:t>
      </w:r>
    </w:p>
    <w:p>
      <w:pPr>
        <w:pStyle w:val="null3"/>
        <w:ind w:firstLine="420"/>
        <w:jc w:val="both"/>
      </w:pPr>
      <w:r>
        <w:rPr>
          <w:sz w:val="21"/>
          <w:u w:val="single"/>
        </w:rPr>
        <w:t>（采购包</w:t>
      </w:r>
      <w:r>
        <w:rPr>
          <w:sz w:val="21"/>
          <w:u w:val="single"/>
        </w:rPr>
        <w:t xml:space="preserve">2）  </w:t>
      </w:r>
      <w:r>
        <w:rPr>
          <w:sz w:val="21"/>
        </w:rPr>
        <w:t>的采购结果，按照《中华人民共和国政府采购法》、《中华人民共和国政府采购法实施条例》、《中华人民共和国民法典》第三编　合同的规定，经双方协商，本着平等互利和诚实信用的原则，一致同意签订本合同如下。</w:t>
      </w:r>
    </w:p>
    <w:p>
      <w:pPr>
        <w:pStyle w:val="null3"/>
        <w:jc w:val="both"/>
      </w:pPr>
      <w:r>
        <w:rPr>
          <w:sz w:val="21"/>
          <w:b/>
        </w:rPr>
        <w:t>一、合同金额</w:t>
      </w:r>
    </w:p>
    <w:p>
      <w:pPr>
        <w:pStyle w:val="null3"/>
        <w:ind w:firstLine="420"/>
        <w:jc w:val="both"/>
      </w:pPr>
      <w:r>
        <w:rPr>
          <w:sz w:val="21"/>
        </w:rPr>
        <w:t>采购包</w:t>
      </w:r>
      <w:r>
        <w:rPr>
          <w:sz w:val="21"/>
        </w:rPr>
        <w:t>1：合同金额为（大写）：</w:t>
      </w:r>
      <w:r>
        <w:rPr>
          <w:sz w:val="24"/>
          <w:u w:val="single"/>
        </w:rPr>
        <w:t xml:space="preserve">             </w:t>
      </w:r>
      <w:r>
        <w:rPr>
          <w:sz w:val="21"/>
        </w:rPr>
        <w:t>元（￥</w:t>
      </w:r>
      <w:r>
        <w:rPr>
          <w:sz w:val="24"/>
          <w:u w:val="single"/>
        </w:rPr>
        <w:t xml:space="preserve">            </w:t>
      </w:r>
      <w:r>
        <w:rPr>
          <w:sz w:val="21"/>
        </w:rPr>
        <w:t xml:space="preserve"> </w:t>
      </w:r>
      <w:r>
        <w:rPr>
          <w:sz w:val="21"/>
        </w:rPr>
        <w:t>元）人民币。</w:t>
      </w:r>
    </w:p>
    <w:p>
      <w:pPr>
        <w:pStyle w:val="null3"/>
        <w:jc w:val="both"/>
      </w:pPr>
      <w:r>
        <w:rPr>
          <w:sz w:val="21"/>
          <w:b/>
        </w:rPr>
        <w:t>二、水质自动监测系统运行和维护工作目标要求</w:t>
      </w:r>
    </w:p>
    <w:p>
      <w:pPr>
        <w:pStyle w:val="null3"/>
        <w:ind w:firstLine="211"/>
        <w:jc w:val="both"/>
      </w:pPr>
      <w:r>
        <w:rPr>
          <w:sz w:val="21"/>
          <w:b/>
        </w:rPr>
        <w:t>（一）工作目标</w:t>
      </w:r>
    </w:p>
    <w:p>
      <w:pPr>
        <w:pStyle w:val="null3"/>
        <w:ind w:firstLine="420"/>
        <w:jc w:val="both"/>
      </w:pPr>
      <w:r>
        <w:rPr>
          <w:sz w:val="21"/>
        </w:rPr>
        <w:t>1、保证番禺各个水质自动监测站（包括仪器、数据采集和传输、站房及配套设施）的正常运作。</w:t>
      </w:r>
    </w:p>
    <w:p>
      <w:pPr>
        <w:pStyle w:val="null3"/>
        <w:ind w:firstLine="420"/>
        <w:jc w:val="both"/>
      </w:pPr>
      <w:r>
        <w:rPr>
          <w:sz w:val="21"/>
        </w:rPr>
        <w:t>2、保证数据的采集频率及采集量必须满足或优于规定的有效性数据的要求，提供真实有效的数据。</w:t>
      </w:r>
    </w:p>
    <w:p>
      <w:pPr>
        <w:pStyle w:val="null3"/>
        <w:ind w:firstLine="420"/>
        <w:jc w:val="both"/>
      </w:pPr>
      <w:r>
        <w:rPr>
          <w:sz w:val="21"/>
        </w:rPr>
        <w:t>3、保证数据在省、市二级数据平台的准确传输。</w:t>
      </w:r>
    </w:p>
    <w:p>
      <w:pPr>
        <w:pStyle w:val="null3"/>
        <w:ind w:firstLine="422"/>
        <w:jc w:val="both"/>
      </w:pPr>
      <w:r>
        <w:rPr>
          <w:sz w:val="21"/>
          <w:b/>
        </w:rPr>
        <w:t>（三）要求</w:t>
      </w:r>
    </w:p>
    <w:p>
      <w:pPr>
        <w:pStyle w:val="null3"/>
        <w:ind w:firstLine="420"/>
        <w:jc w:val="both"/>
      </w:pPr>
      <w:r>
        <w:rPr>
          <w:sz w:val="21"/>
        </w:rPr>
        <w:t>1、乙方具备完善的系统配件供应渠道，具备完善的仪表配件供应渠道。</w:t>
      </w:r>
    </w:p>
    <w:p>
      <w:pPr>
        <w:pStyle w:val="null3"/>
        <w:ind w:firstLine="420"/>
        <w:jc w:val="both"/>
      </w:pPr>
      <w:r>
        <w:rPr>
          <w:sz w:val="21"/>
        </w:rPr>
        <w:t>2、乙方具备一定数量的相关领域的技术人才；乙方应具备水质自动监测系统运行及管理的人才、技术；同时具备相当的能力和条件，专门针对本项目的具备水质自动监测站运维考核合格相关证明的维护技术人员不少于4名，维护专用车辆不少于2辆，保证番禺区水质自动监测系统维护工作的质量以及突发事件的应急处理能力。</w:t>
      </w:r>
    </w:p>
    <w:p>
      <w:pPr>
        <w:pStyle w:val="null3"/>
        <w:ind w:firstLine="420"/>
        <w:jc w:val="both"/>
      </w:pPr>
      <w:r>
        <w:rPr>
          <w:sz w:val="21"/>
        </w:rPr>
        <w:t>3、因本项目部分仪器老旧停运，故需要备机运行。乙方应具有水质自动监测系统的分析仪表备用机，在原有仪器不能正常工作时可直接使用备用机替代工作，所提供的备用机需提供产权归属证明；</w:t>
      </w:r>
    </w:p>
    <w:p>
      <w:pPr>
        <w:pStyle w:val="null3"/>
        <w:ind w:firstLine="420"/>
        <w:jc w:val="both"/>
      </w:pPr>
      <w:r>
        <w:rPr>
          <w:sz w:val="21"/>
        </w:rPr>
        <w:t>4、乙方应配有水质自动系统常规参数（如五参数、氨氮、总磷等）的应急监测车，必要时替代水站开展水质应急监测。</w:t>
      </w:r>
    </w:p>
    <w:p>
      <w:pPr>
        <w:pStyle w:val="null3"/>
        <w:ind w:firstLine="420"/>
        <w:jc w:val="both"/>
      </w:pPr>
      <w:r>
        <w:rPr>
          <w:sz w:val="21"/>
        </w:rPr>
        <w:t>5、乙方负责运行过程中产生的所有零配件及耗品耗材的更换,费用由乙方承担。</w:t>
      </w:r>
    </w:p>
    <w:p>
      <w:pPr>
        <w:pStyle w:val="null3"/>
        <w:ind w:firstLine="420"/>
        <w:jc w:val="both"/>
      </w:pPr>
      <w:r>
        <w:rPr>
          <w:sz w:val="21"/>
        </w:rPr>
        <w:t>6、乙方必须配备广州市番禺区水质自动监测系统中的所有水质自动监测仪器（流量计仪器除外）的零配件备件库，所提供的零配件库存清单需提供产权归属证明。</w:t>
      </w:r>
    </w:p>
    <w:p>
      <w:pPr>
        <w:pStyle w:val="null3"/>
        <w:ind w:firstLine="420"/>
        <w:jc w:val="both"/>
      </w:pPr>
      <w:r>
        <w:rPr>
          <w:sz w:val="21"/>
        </w:rPr>
        <w:t>7、乙方承担水站的租赁费用、水电费、网络通讯费、废液处理费。</w:t>
      </w:r>
    </w:p>
    <w:p>
      <w:pPr>
        <w:pStyle w:val="null3"/>
        <w:ind w:firstLine="420"/>
        <w:jc w:val="both"/>
      </w:pPr>
      <w:r>
        <w:rPr>
          <w:sz w:val="21"/>
        </w:rPr>
        <w:t>8、对参与本项目运行维护服务工作人员均需按有关规定与其签订劳动合同和购买社保、医保和工伤保险等。</w:t>
      </w:r>
    </w:p>
    <w:p>
      <w:pPr>
        <w:pStyle w:val="null3"/>
        <w:ind w:firstLine="420"/>
        <w:jc w:val="both"/>
      </w:pPr>
      <w:r>
        <w:rPr>
          <w:sz w:val="21"/>
        </w:rPr>
        <w:t>9、乙方必须积极配合甲方，做好接受各级管理部门的检查、监督工作，并无偿提供与其工作有关的资料、信息等。</w:t>
      </w:r>
    </w:p>
    <w:p>
      <w:pPr>
        <w:pStyle w:val="null3"/>
        <w:ind w:firstLine="420"/>
        <w:jc w:val="both"/>
      </w:pPr>
      <w:r>
        <w:rPr>
          <w:sz w:val="21"/>
        </w:rPr>
        <w:t>10、参与履行运行维护服务本项目的所有人员，对工作中所涉的数据、资料及文件等负有保密义务，未经甲方同意，不得向第三方泄露。</w:t>
      </w:r>
    </w:p>
    <w:p>
      <w:pPr>
        <w:pStyle w:val="null3"/>
        <w:jc w:val="both"/>
      </w:pPr>
      <w:r>
        <w:rPr>
          <w:sz w:val="21"/>
          <w:b/>
        </w:rPr>
        <w:t>三、对水质自动监测系统运行维护服务工作各项要求</w:t>
      </w:r>
    </w:p>
    <w:p>
      <w:pPr>
        <w:pStyle w:val="null3"/>
        <w:ind w:firstLine="422"/>
        <w:jc w:val="both"/>
      </w:pPr>
      <w:r>
        <w:rPr>
          <w:sz w:val="21"/>
          <w:b/>
        </w:rPr>
        <w:t>（一）日常运行巡视具体要求</w:t>
      </w:r>
    </w:p>
    <w:p>
      <w:pPr>
        <w:pStyle w:val="null3"/>
        <w:ind w:firstLine="420"/>
        <w:jc w:val="both"/>
      </w:pPr>
      <w:r>
        <w:rPr>
          <w:sz w:val="21"/>
        </w:rPr>
        <w:t>1、保证各水站的仪器系统及站房配套设施的财产安全，做好防火、防雨、防风、防盗和卫生清洁工作。保障站房内空调、电力线路、照明系统、排气设备等设施正常运行，若因此引起安全事故、责任等所有损失由乙方承担。</w:t>
      </w:r>
    </w:p>
    <w:p>
      <w:pPr>
        <w:pStyle w:val="null3"/>
        <w:ind w:firstLine="420"/>
        <w:jc w:val="both"/>
      </w:pPr>
      <w:r>
        <w:rPr>
          <w:sz w:val="21"/>
        </w:rPr>
        <w:t>2、维护人员每天8:30-9:30和17:30-18:30时期间必须登录水质自动监测系统对各水站数据进行调阅检查及分析。若发现数据有异常状况，应尽快安排现场巡视。</w:t>
      </w:r>
    </w:p>
    <w:p>
      <w:pPr>
        <w:pStyle w:val="null3"/>
        <w:ind w:firstLine="420"/>
        <w:jc w:val="both"/>
      </w:pPr>
      <w:r>
        <w:rPr>
          <w:sz w:val="21"/>
        </w:rPr>
        <w:t>3、每周至少巡查一次各水站，检查各台仪器的工作状态。查看各仪器的关键技术参数，仪器数据的有效性，空调的工作情况，数据采集器的数据是否与仪器一致，水站通讯是否正常等。做好日常的维护记录。维护记录作为日常维护工作的必要有效文件，放在水站备查，定期归档。</w:t>
      </w:r>
    </w:p>
    <w:p>
      <w:pPr>
        <w:pStyle w:val="null3"/>
        <w:ind w:firstLine="420"/>
        <w:jc w:val="both"/>
      </w:pPr>
      <w:r>
        <w:rPr>
          <w:sz w:val="21"/>
        </w:rPr>
        <w:t>4、定期和及时更换易耗品。所有的易耗品必须是仪器原厂家的原配易耗品。</w:t>
      </w:r>
    </w:p>
    <w:p>
      <w:pPr>
        <w:pStyle w:val="null3"/>
        <w:ind w:firstLine="420"/>
        <w:jc w:val="both"/>
      </w:pPr>
      <w:r>
        <w:rPr>
          <w:sz w:val="21"/>
        </w:rPr>
        <w:t>5、在日常巡查维护过程中，若发现仪器或配套设备出现故障不能正常工作，应立即组织力量进行问题确认、排查故障和修复。故障的排除和确认应该在到达现场后2小时内完成，修复工作应该在到达现场后4小时内完成，原则上不能超过12小时。若不能马上修复，需要更换非常规的零配件时，必须在到达现场后24小时内完成，原则上不能超过48小时。若不能在48小时内完成故障的解决，则乙方必须用其单位的备机替代。所有的故障解决过程必须形成书面报告，定期归档。在以上响应的同时必须满足《广东省环境质量自动监测质量保证管理办法》中数据有效性的最低要求。</w:t>
      </w:r>
    </w:p>
    <w:p>
      <w:pPr>
        <w:pStyle w:val="null3"/>
        <w:ind w:firstLine="422"/>
        <w:jc w:val="both"/>
      </w:pPr>
      <w:r>
        <w:rPr>
          <w:sz w:val="21"/>
          <w:b/>
        </w:rPr>
        <w:t>（二）对运行维护服务工作及质量控制要求</w:t>
      </w:r>
    </w:p>
    <w:p>
      <w:pPr>
        <w:pStyle w:val="null3"/>
        <w:ind w:firstLine="420"/>
        <w:jc w:val="both"/>
      </w:pPr>
      <w:r>
        <w:rPr>
          <w:sz w:val="21"/>
        </w:rPr>
        <w:t>1、乙方须指派有责任心并具相关专业知识的技术人员负责水站的日常维护，按照上述国家及省市相关的标准及规范做好维护工作，并接受甲方的工作检查及考核。</w:t>
      </w:r>
    </w:p>
    <w:p>
      <w:pPr>
        <w:pStyle w:val="null3"/>
        <w:ind w:firstLine="420"/>
        <w:jc w:val="both"/>
      </w:pPr>
      <w:r>
        <w:rPr>
          <w:sz w:val="21"/>
        </w:rPr>
        <w:t>2、应保证技术服务的质量和效果，保证每月至少27天有效数据（2月至少25天有效数据）；数据捕获率应大于或等于95%，捕获数据有效率应大于或等于95%，有效监测数据获取率应大于或等于90%。</w:t>
      </w:r>
    </w:p>
    <w:p>
      <w:pPr>
        <w:pStyle w:val="null3"/>
        <w:ind w:firstLine="420"/>
        <w:jc w:val="both"/>
      </w:pPr>
      <w:r>
        <w:rPr>
          <w:sz w:val="21"/>
        </w:rPr>
        <w:t>3、分析仪性能质量控制目标</w:t>
      </w:r>
    </w:p>
    <w:p>
      <w:pPr>
        <w:pStyle w:val="null3"/>
        <w:ind w:firstLine="420"/>
        <w:jc w:val="both"/>
      </w:pPr>
      <w:r>
        <w:rPr>
          <w:sz w:val="21"/>
        </w:rPr>
        <w:t>（</w:t>
      </w:r>
      <w:r>
        <w:rPr>
          <w:sz w:val="21"/>
        </w:rPr>
        <w:t>1）精度检查</w:t>
      </w:r>
    </w:p>
    <w:tbl>
      <w:tblPr>
        <w:tblW w:w="0" w:type="auto"/>
        <w:tblBorders>
          <w:top w:val="none" w:color="000000" w:sz="4"/>
          <w:left w:val="none" w:color="000000" w:sz="4"/>
          <w:bottom w:val="none" w:color="000000" w:sz="4"/>
          <w:right w:val="none" w:color="000000" w:sz="4"/>
          <w:insideH w:val="none"/>
          <w:insideV w:val="none"/>
        </w:tblBorders>
      </w:tblPr>
      <w:tblGrid>
        <w:gridCol w:w="3962"/>
        <w:gridCol w:w="4342"/>
      </w:tblGrid>
      <w:tr>
        <w:tc>
          <w:tcPr>
            <w:tcW w:type="dxa" w:w="39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参数</w:t>
            </w:r>
          </w:p>
        </w:tc>
        <w:tc>
          <w:tcPr>
            <w:tcW w:type="dxa" w:w="43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控制极限</w:t>
            </w:r>
          </w:p>
        </w:tc>
      </w:tr>
      <w:tr>
        <w:tc>
          <w:tcPr>
            <w:tcW w:type="dxa" w:w="39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各水站的全部测量项目</w:t>
            </w:r>
          </w:p>
        </w:tc>
        <w:tc>
          <w:tcPr>
            <w:tcW w:type="dxa" w:w="4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r>
    </w:tbl>
    <w:p>
      <w:pPr>
        <w:pStyle w:val="null3"/>
        <w:ind w:firstLine="420"/>
        <w:jc w:val="both"/>
      </w:pPr>
      <w:r>
        <w:rPr>
          <w:sz w:val="21"/>
        </w:rPr>
        <w:t>（</w:t>
      </w:r>
      <w:r>
        <w:rPr>
          <w:sz w:val="21"/>
        </w:rPr>
        <w:t>2）日常运行质控目标</w:t>
      </w:r>
    </w:p>
    <w:tbl>
      <w:tblPr>
        <w:tblW w:w="0" w:type="auto"/>
        <w:tblBorders>
          <w:top w:val="none" w:color="000000" w:sz="4"/>
          <w:left w:val="none" w:color="000000" w:sz="4"/>
          <w:bottom w:val="none" w:color="000000" w:sz="4"/>
          <w:right w:val="none" w:color="000000" w:sz="4"/>
          <w:insideH w:val="none"/>
          <w:insideV w:val="none"/>
        </w:tblBorders>
      </w:tblPr>
      <w:tblGrid>
        <w:gridCol w:w="2909"/>
        <w:gridCol w:w="2068"/>
        <w:gridCol w:w="1837"/>
        <w:gridCol w:w="1490"/>
      </w:tblGrid>
      <w:tr>
        <w:tc>
          <w:tcPr>
            <w:tcW w:type="dxa" w:w="4977"/>
            <w:gridSpan w:val="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参数</w:t>
            </w:r>
          </w:p>
        </w:tc>
        <w:tc>
          <w:tcPr>
            <w:tcW w:type="dxa" w:w="3327"/>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运行评价指标</w:t>
            </w:r>
          </w:p>
        </w:tc>
      </w:tr>
      <w:tr>
        <w:tc>
          <w:tcPr>
            <w:tcW w:type="dxa" w:w="4977"/>
            <w:gridSpan w:val="2"/>
            <w:vMerge/>
            <w:tcBorders>
              <w:top w:val="single" w:color="000000" w:sz="4"/>
              <w:left w:val="single" w:color="000000" w:sz="4"/>
              <w:bottom w:val="single" w:color="000000" w:sz="4"/>
              <w:right w:val="single" w:color="000000" w:sz="4"/>
            </w:tcBorders>
          </w:tcPr>
          <w:p/>
        </w:tc>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警告极限</w:t>
            </w:r>
          </w:p>
        </w:tc>
        <w:tc>
          <w:tcPr>
            <w:tcW w:type="dxa" w:w="14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控制极限</w:t>
            </w:r>
          </w:p>
        </w:tc>
      </w:tr>
      <w:tr>
        <w:tc>
          <w:tcPr>
            <w:tcW w:type="dxa" w:w="2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各水站的全部测量项目</w:t>
            </w:r>
          </w:p>
        </w:tc>
        <w:tc>
          <w:tcPr>
            <w:tcW w:type="dxa" w:w="20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所有级别准确度</w:t>
            </w:r>
          </w:p>
        </w:tc>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4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r>
    </w:tbl>
    <w:p>
      <w:pPr>
        <w:pStyle w:val="null3"/>
        <w:ind w:firstLine="420"/>
        <w:jc w:val="both"/>
      </w:pPr>
      <w:r>
        <w:rPr>
          <w:sz w:val="21"/>
        </w:rPr>
        <w:t>3、具体质控内容要求（见表七、表八）</w:t>
      </w:r>
    </w:p>
    <w:p>
      <w:pPr>
        <w:pStyle w:val="null3"/>
        <w:ind w:firstLine="420"/>
        <w:jc w:val="both"/>
      </w:pPr>
      <w:r>
        <w:rPr>
          <w:sz w:val="21"/>
        </w:rPr>
        <w:t>表七：水质分析仪质控内容及频率表</w:t>
      </w:r>
    </w:p>
    <w:tbl>
      <w:tblPr>
        <w:tblW w:w="0" w:type="auto"/>
        <w:tblBorders>
          <w:top w:val="none" w:color="000000" w:sz="4"/>
          <w:left w:val="none" w:color="000000" w:sz="4"/>
          <w:bottom w:val="none" w:color="000000" w:sz="4"/>
          <w:right w:val="none" w:color="000000" w:sz="4"/>
          <w:insideH w:val="none"/>
          <w:insideV w:val="none"/>
        </w:tblBorders>
      </w:tblPr>
      <w:tblGrid>
        <w:gridCol w:w="1900"/>
        <w:gridCol w:w="6404"/>
      </w:tblGrid>
      <w:tr>
        <w:tc>
          <w:tcPr>
            <w:tcW w:type="dxa" w:w="19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项目内容</w:t>
            </w:r>
          </w:p>
        </w:tc>
        <w:tc>
          <w:tcPr>
            <w:tcW w:type="dxa" w:w="64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频率和可供选择方法</w:t>
            </w:r>
          </w:p>
        </w:tc>
      </w:tr>
      <w:tr>
        <w:tc>
          <w:tcPr>
            <w:tcW w:type="dxa" w:w="1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空白</w:t>
            </w:r>
            <w:r>
              <w:rPr>
                <w:sz w:val="21"/>
              </w:rPr>
              <w:t>/满量程检查，全部项目（pH除外）</w:t>
            </w:r>
          </w:p>
        </w:tc>
        <w:tc>
          <w:tcPr>
            <w:tcW w:type="dxa" w:w="6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频率方法：</w:t>
            </w:r>
          </w:p>
          <w:p>
            <w:pPr>
              <w:pStyle w:val="null3"/>
              <w:jc w:val="both"/>
            </w:pPr>
            <w:r>
              <w:rPr>
                <w:sz w:val="21"/>
              </w:rPr>
              <w:t>（</w:t>
            </w:r>
            <w:r>
              <w:rPr>
                <w:sz w:val="21"/>
              </w:rPr>
              <w:t>1）至少每月一次对各水站所有仪器进行</w:t>
            </w:r>
          </w:p>
          <w:p>
            <w:pPr>
              <w:pStyle w:val="null3"/>
              <w:jc w:val="both"/>
            </w:pPr>
            <w:r>
              <w:rPr>
                <w:sz w:val="21"/>
              </w:rPr>
              <w:t>（</w:t>
            </w:r>
            <w:r>
              <w:rPr>
                <w:sz w:val="21"/>
              </w:rPr>
              <w:t>2）仪器更换试剂及零配件，影响到测量性能时</w:t>
            </w:r>
          </w:p>
        </w:tc>
      </w:tr>
      <w:tr>
        <w:tc>
          <w:tcPr>
            <w:tcW w:type="dxa" w:w="1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多点校准</w:t>
            </w:r>
          </w:p>
          <w:p>
            <w:pPr>
              <w:pStyle w:val="null3"/>
              <w:jc w:val="both"/>
            </w:pPr>
            <w:r>
              <w:rPr>
                <w:sz w:val="21"/>
              </w:rPr>
              <w:t>全部项目</w:t>
            </w:r>
          </w:p>
        </w:tc>
        <w:tc>
          <w:tcPr>
            <w:tcW w:type="dxa" w:w="6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频率方法：</w:t>
            </w:r>
          </w:p>
          <w:p>
            <w:pPr>
              <w:pStyle w:val="null3"/>
              <w:jc w:val="both"/>
            </w:pPr>
            <w:r>
              <w:rPr>
                <w:sz w:val="21"/>
              </w:rPr>
              <w:t>（</w:t>
            </w:r>
            <w:r>
              <w:rPr>
                <w:sz w:val="21"/>
              </w:rPr>
              <w:t>1）至少每一个季度对各水站所有仪器进行</w:t>
            </w:r>
          </w:p>
          <w:p>
            <w:pPr>
              <w:pStyle w:val="null3"/>
              <w:jc w:val="both"/>
            </w:pPr>
            <w:r>
              <w:rPr>
                <w:sz w:val="21"/>
              </w:rPr>
              <w:t>（</w:t>
            </w:r>
            <w:r>
              <w:rPr>
                <w:sz w:val="21"/>
              </w:rPr>
              <w:t>2）仪器更换影响到测量性能时</w:t>
            </w:r>
          </w:p>
        </w:tc>
      </w:tr>
      <w:tr>
        <w:tc>
          <w:tcPr>
            <w:tcW w:type="dxa" w:w="1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实际水样比对</w:t>
            </w:r>
          </w:p>
        </w:tc>
        <w:tc>
          <w:tcPr>
            <w:tcW w:type="dxa" w:w="6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频率方法：随机开展，随机选取测量项目。</w:t>
            </w:r>
          </w:p>
        </w:tc>
      </w:tr>
    </w:tbl>
    <w:p>
      <w:pPr>
        <w:pStyle w:val="null3"/>
        <w:ind w:firstLine="420"/>
        <w:jc w:val="both"/>
      </w:pPr>
      <w:r>
        <w:rPr>
          <w:sz w:val="21"/>
        </w:rPr>
        <w:t>4、对水站实施“月比对检查”质量管理制度。即每月一次标准溶液检查测试及质控盲样测试,并上报测试报告，比对数据误差不超过15%。</w:t>
      </w:r>
    </w:p>
    <w:p>
      <w:pPr>
        <w:pStyle w:val="null3"/>
        <w:ind w:firstLine="420"/>
        <w:jc w:val="both"/>
      </w:pPr>
      <w:r>
        <w:rPr>
          <w:sz w:val="21"/>
        </w:rPr>
        <w:t>5、服务违约处理标准：</w:t>
      </w:r>
    </w:p>
    <w:p>
      <w:pPr>
        <w:pStyle w:val="null3"/>
        <w:ind w:firstLine="420"/>
        <w:jc w:val="both"/>
      </w:pPr>
      <w:r>
        <w:rPr>
          <w:sz w:val="21"/>
        </w:rPr>
        <w:t>（</w:t>
      </w:r>
      <w:r>
        <w:rPr>
          <w:sz w:val="21"/>
        </w:rPr>
        <w:t>1）乙方有责任接受甲方定期和不定期检查。若在服务期限内被检查出不符合上述相关国家和省市标准及规范，第一次口头警告，第二次书面警告，第三次则对乙方进行运维费用扣除。每次扣除数额为合同总额的2%。</w:t>
      </w:r>
    </w:p>
    <w:p>
      <w:pPr>
        <w:pStyle w:val="null3"/>
        <w:ind w:firstLine="420"/>
        <w:jc w:val="both"/>
      </w:pPr>
      <w:r>
        <w:rPr>
          <w:sz w:val="21"/>
        </w:rPr>
        <w:t>（</w:t>
      </w:r>
      <w:r>
        <w:rPr>
          <w:sz w:val="21"/>
        </w:rPr>
        <w:t>2）如乙方在服务期内甲方水质质量数据平台收集的运行水质自动站单站月数据有效率达不到90%，单站以月计处以合同总额的2%罚款，多站多月累计，直至扣完为止。</w:t>
      </w:r>
    </w:p>
    <w:p>
      <w:pPr>
        <w:pStyle w:val="null3"/>
        <w:ind w:firstLine="420"/>
        <w:jc w:val="both"/>
      </w:pPr>
      <w:r>
        <w:rPr>
          <w:sz w:val="21"/>
        </w:rPr>
        <w:t>（</w:t>
      </w:r>
      <w:r>
        <w:rPr>
          <w:sz w:val="21"/>
        </w:rPr>
        <w:t>3）如乙方在服务期内在甲方质控组安排的标准样品月度考核中，单项目不达标，须扣除乙方运行维护服务费用。每个不达标项目扣除数额为当年度合同总额的0.5%，多项目累计，直至扣完为止。</w:t>
      </w:r>
    </w:p>
    <w:p>
      <w:pPr>
        <w:pStyle w:val="null3"/>
        <w:jc w:val="both"/>
      </w:pPr>
      <w:r>
        <w:rPr>
          <w:sz w:val="21"/>
          <w:b/>
        </w:rPr>
        <w:t>四、其它有关工作要求</w:t>
      </w:r>
    </w:p>
    <w:p>
      <w:pPr>
        <w:pStyle w:val="null3"/>
        <w:ind w:firstLine="422"/>
        <w:jc w:val="both"/>
      </w:pPr>
      <w:r>
        <w:rPr>
          <w:sz w:val="21"/>
          <w:b/>
        </w:rPr>
        <w:t>（一）运行维护服务需提交文字记录的要求</w:t>
      </w:r>
    </w:p>
    <w:p>
      <w:pPr>
        <w:pStyle w:val="null3"/>
        <w:ind w:firstLine="420"/>
        <w:jc w:val="both"/>
      </w:pPr>
      <w:r>
        <w:rPr>
          <w:sz w:val="21"/>
        </w:rPr>
        <w:t>1、每月维护结束后10日内提交维护状况汇整统计表报告。</w:t>
      </w:r>
    </w:p>
    <w:p>
      <w:pPr>
        <w:pStyle w:val="null3"/>
        <w:ind w:firstLine="420"/>
        <w:jc w:val="both"/>
      </w:pPr>
      <w:r>
        <w:rPr>
          <w:sz w:val="21"/>
        </w:rPr>
        <w:t>2、半年维护结束后15日内提交半年维护报告，包括：</w:t>
      </w:r>
    </w:p>
    <w:p>
      <w:pPr>
        <w:pStyle w:val="null3"/>
        <w:ind w:left="210" w:firstLine="420"/>
        <w:jc w:val="both"/>
      </w:pPr>
      <w:r>
        <w:rPr>
          <w:sz w:val="21"/>
        </w:rPr>
        <w:t>1）各水站参数达标结果总结。</w:t>
      </w:r>
    </w:p>
    <w:p>
      <w:pPr>
        <w:pStyle w:val="null3"/>
        <w:ind w:left="210" w:firstLine="420"/>
        <w:jc w:val="both"/>
      </w:pPr>
      <w:r>
        <w:rPr>
          <w:sz w:val="21"/>
        </w:rPr>
        <w:t>2）各水站质控任务总结表（数据获取率，校准执行等）</w:t>
      </w:r>
    </w:p>
    <w:p>
      <w:pPr>
        <w:pStyle w:val="null3"/>
        <w:ind w:left="210" w:firstLine="420"/>
        <w:jc w:val="both"/>
      </w:pPr>
      <w:r>
        <w:rPr>
          <w:sz w:val="21"/>
        </w:rPr>
        <w:t>3）各水站站点突发事件说明。</w:t>
      </w:r>
    </w:p>
    <w:p>
      <w:pPr>
        <w:pStyle w:val="null3"/>
        <w:ind w:left="210" w:firstLine="420"/>
        <w:jc w:val="both"/>
      </w:pPr>
      <w:r>
        <w:rPr>
          <w:sz w:val="21"/>
        </w:rPr>
        <w:t>4）各水站零跨校准结果，工作记录。</w:t>
      </w:r>
    </w:p>
    <w:p>
      <w:pPr>
        <w:pStyle w:val="null3"/>
        <w:ind w:left="210" w:firstLine="420"/>
        <w:jc w:val="both"/>
      </w:pPr>
      <w:r>
        <w:rPr>
          <w:sz w:val="21"/>
        </w:rPr>
        <w:t>5）各水站多点校准结果表格。</w:t>
      </w:r>
    </w:p>
    <w:p>
      <w:pPr>
        <w:pStyle w:val="null3"/>
        <w:ind w:left="210" w:firstLine="420"/>
        <w:jc w:val="both"/>
      </w:pPr>
      <w:r>
        <w:rPr>
          <w:sz w:val="21"/>
        </w:rPr>
        <w:t>6）各水站附录维修工作表及测试报告。</w:t>
      </w:r>
    </w:p>
    <w:p>
      <w:pPr>
        <w:pStyle w:val="null3"/>
        <w:ind w:firstLine="420"/>
        <w:jc w:val="both"/>
      </w:pPr>
      <w:r>
        <w:rPr>
          <w:sz w:val="21"/>
        </w:rPr>
        <w:t>3、9个月维护结束后15日内提交半年维护报告，包括：</w:t>
      </w:r>
    </w:p>
    <w:p>
      <w:pPr>
        <w:pStyle w:val="null3"/>
        <w:ind w:left="210" w:firstLine="420"/>
        <w:jc w:val="both"/>
      </w:pPr>
      <w:r>
        <w:rPr>
          <w:sz w:val="21"/>
        </w:rPr>
        <w:t>1）各水站参数达标结果总结。</w:t>
      </w:r>
    </w:p>
    <w:p>
      <w:pPr>
        <w:pStyle w:val="null3"/>
        <w:ind w:left="210" w:firstLine="420"/>
        <w:jc w:val="both"/>
      </w:pPr>
      <w:r>
        <w:rPr>
          <w:sz w:val="21"/>
        </w:rPr>
        <w:t>2）各水站质控任务总结表（数据获取率，校准执行等）</w:t>
      </w:r>
    </w:p>
    <w:p>
      <w:pPr>
        <w:pStyle w:val="null3"/>
        <w:ind w:left="210" w:firstLine="420"/>
        <w:jc w:val="both"/>
      </w:pPr>
      <w:r>
        <w:rPr>
          <w:sz w:val="21"/>
        </w:rPr>
        <w:t>3）各水站站点突发事件说明。</w:t>
      </w:r>
    </w:p>
    <w:p>
      <w:pPr>
        <w:pStyle w:val="null3"/>
        <w:ind w:left="210" w:firstLine="420"/>
        <w:jc w:val="both"/>
      </w:pPr>
      <w:r>
        <w:rPr>
          <w:sz w:val="21"/>
        </w:rPr>
        <w:t>4）各水站零跨校准结果，工作记录。</w:t>
      </w:r>
    </w:p>
    <w:p>
      <w:pPr>
        <w:pStyle w:val="null3"/>
        <w:ind w:left="210" w:firstLine="420"/>
        <w:jc w:val="both"/>
      </w:pPr>
      <w:r>
        <w:rPr>
          <w:sz w:val="21"/>
        </w:rPr>
        <w:t>5）各水站多点校准结果表格。</w:t>
      </w:r>
    </w:p>
    <w:p>
      <w:pPr>
        <w:pStyle w:val="null3"/>
        <w:ind w:left="210" w:firstLine="420"/>
        <w:jc w:val="both"/>
      </w:pPr>
      <w:r>
        <w:rPr>
          <w:sz w:val="21"/>
        </w:rPr>
        <w:t>6）各水站附录维修工作表及测试报告。</w:t>
      </w:r>
    </w:p>
    <w:p>
      <w:pPr>
        <w:pStyle w:val="null3"/>
        <w:ind w:firstLine="422"/>
        <w:jc w:val="both"/>
      </w:pPr>
      <w:r>
        <w:rPr>
          <w:sz w:val="21"/>
          <w:b/>
        </w:rPr>
        <w:t>（二）运行维护服务结束需提交的文字报告要求</w:t>
      </w:r>
    </w:p>
    <w:p>
      <w:pPr>
        <w:pStyle w:val="null3"/>
        <w:ind w:firstLine="420"/>
        <w:jc w:val="both"/>
      </w:pPr>
      <w:r>
        <w:rPr>
          <w:sz w:val="21"/>
        </w:rPr>
        <w:t>运行结束前</w:t>
      </w:r>
      <w:r>
        <w:rPr>
          <w:sz w:val="21"/>
        </w:rPr>
        <w:t>20日内，须向甲方提交各水站运行状况总结报告，对于未修复的仪器，须于计划结束后15日内完成修复，并通过对各水站站房设备和仪器性能的验收，经确认后结案。报告内容包含下列各项：</w:t>
      </w:r>
    </w:p>
    <w:p>
      <w:pPr>
        <w:pStyle w:val="null3"/>
        <w:ind w:firstLine="420"/>
        <w:jc w:val="both"/>
      </w:pPr>
      <w:r>
        <w:rPr>
          <w:sz w:val="21"/>
        </w:rPr>
        <w:t>1、各水站仪器运行情况总结。</w:t>
      </w:r>
    </w:p>
    <w:p>
      <w:pPr>
        <w:pStyle w:val="null3"/>
        <w:ind w:firstLine="420"/>
        <w:jc w:val="both"/>
      </w:pPr>
      <w:r>
        <w:rPr>
          <w:sz w:val="21"/>
        </w:rPr>
        <w:t>2、各监测仪器可能潜在的问题及建议。</w:t>
      </w:r>
    </w:p>
    <w:p>
      <w:pPr>
        <w:pStyle w:val="null3"/>
        <w:ind w:firstLine="420"/>
        <w:jc w:val="both"/>
      </w:pPr>
      <w:r>
        <w:rPr>
          <w:sz w:val="21"/>
        </w:rPr>
        <w:t>3、仪器故障未修复状况。</w:t>
      </w:r>
    </w:p>
    <w:p>
      <w:pPr>
        <w:pStyle w:val="null3"/>
        <w:ind w:firstLine="420"/>
        <w:jc w:val="both"/>
      </w:pPr>
      <w:r>
        <w:rPr>
          <w:sz w:val="21"/>
        </w:rPr>
        <w:t>4、灭火器有效期限。</w:t>
      </w:r>
    </w:p>
    <w:p>
      <w:pPr>
        <w:pStyle w:val="null3"/>
        <w:ind w:firstLine="420"/>
        <w:jc w:val="both"/>
      </w:pPr>
      <w:r>
        <w:rPr>
          <w:sz w:val="21"/>
        </w:rPr>
        <w:t>5、供电及防雷情况说明。</w:t>
      </w:r>
    </w:p>
    <w:p>
      <w:pPr>
        <w:pStyle w:val="null3"/>
        <w:ind w:firstLine="420"/>
        <w:jc w:val="both"/>
      </w:pPr>
      <w:r>
        <w:rPr>
          <w:sz w:val="21"/>
        </w:rPr>
        <w:t>6、站房安全危害与改善状况。</w:t>
      </w:r>
    </w:p>
    <w:p>
      <w:pPr>
        <w:pStyle w:val="null3"/>
        <w:jc w:val="both"/>
      </w:pPr>
      <w:r>
        <w:rPr>
          <w:sz w:val="21"/>
          <w:b/>
        </w:rPr>
        <w:t>五、运行维护服务费用及工作执行时间</w:t>
      </w:r>
    </w:p>
    <w:p>
      <w:pPr>
        <w:pStyle w:val="null3"/>
        <w:ind w:firstLine="420"/>
        <w:jc w:val="both"/>
      </w:pPr>
      <w:r>
        <w:rPr>
          <w:sz w:val="21"/>
        </w:rPr>
        <w:t>提供的运行维护服务费用，包括了所有日常运行维护工作经费、易耗品更换费用、零配件更换费用及维修费用、站房租赁费用、水电费、站房配套设施保养及维修费。</w:t>
      </w:r>
    </w:p>
    <w:p>
      <w:pPr>
        <w:pStyle w:val="null3"/>
        <w:jc w:val="both"/>
      </w:pPr>
      <w:r>
        <w:rPr>
          <w:sz w:val="21"/>
          <w:b/>
        </w:rPr>
        <w:t>六、甲方乙方的权利和义务</w:t>
      </w:r>
    </w:p>
    <w:p>
      <w:pPr>
        <w:pStyle w:val="null3"/>
        <w:ind w:firstLine="210"/>
        <w:jc w:val="both"/>
      </w:pPr>
      <w:r>
        <w:rPr>
          <w:sz w:val="21"/>
        </w:rPr>
        <w:t>（一）</w:t>
      </w:r>
      <w:r>
        <w:rPr>
          <w:sz w:val="21"/>
        </w:rPr>
        <w:t>甲方的权利和义务</w:t>
      </w:r>
    </w:p>
    <w:p>
      <w:pPr>
        <w:pStyle w:val="null3"/>
        <w:ind w:firstLine="420"/>
        <w:jc w:val="both"/>
      </w:pPr>
      <w:r>
        <w:rPr>
          <w:sz w:val="21"/>
        </w:rPr>
        <w:t>1.甲方对乙方的工作安排，可根据本项目实际情况进行调整，乙方应予以服从。乙方也可根据实际情况和自身经验进行调整，但调整内容须得到甲方的认可方能执行。</w:t>
      </w:r>
    </w:p>
    <w:p>
      <w:pPr>
        <w:pStyle w:val="null3"/>
        <w:ind w:firstLine="420"/>
        <w:jc w:val="both"/>
      </w:pPr>
      <w:r>
        <w:rPr>
          <w:sz w:val="21"/>
        </w:rPr>
        <w:t>2.甲方有权要求乙方按照本合同约定的期限、质量标准完成技术服务项目。</w:t>
      </w:r>
    </w:p>
    <w:p>
      <w:pPr>
        <w:pStyle w:val="null3"/>
        <w:ind w:firstLine="420"/>
        <w:jc w:val="both"/>
      </w:pPr>
      <w:r>
        <w:rPr>
          <w:sz w:val="21"/>
        </w:rPr>
        <w:t>3.甲方在监督过程中发现问题的，或乙方将运行维护服务项目委托给第三方的，甲方有权取消乙方成交资格或终止委托合同。</w:t>
      </w:r>
    </w:p>
    <w:p>
      <w:pPr>
        <w:pStyle w:val="null3"/>
        <w:ind w:firstLine="420"/>
        <w:jc w:val="both"/>
      </w:pPr>
      <w:r>
        <w:rPr>
          <w:sz w:val="21"/>
        </w:rPr>
        <w:t>4.甲方应按合同付款方式付清乙方款项。</w:t>
      </w:r>
    </w:p>
    <w:p>
      <w:pPr>
        <w:pStyle w:val="null3"/>
        <w:ind w:firstLine="420"/>
        <w:jc w:val="both"/>
      </w:pPr>
      <w:r>
        <w:rPr>
          <w:sz w:val="21"/>
        </w:rPr>
        <w:t>（二）乙方的权利和义务</w:t>
      </w:r>
    </w:p>
    <w:p>
      <w:pPr>
        <w:pStyle w:val="null3"/>
        <w:ind w:firstLine="420"/>
        <w:jc w:val="both"/>
      </w:pPr>
      <w:r>
        <w:rPr>
          <w:sz w:val="21"/>
        </w:rPr>
        <w:t>1.乙方应依据有关法律法规及甲方的要求开展工作。</w:t>
      </w:r>
    </w:p>
    <w:p>
      <w:pPr>
        <w:pStyle w:val="null3"/>
        <w:ind w:firstLine="420"/>
        <w:jc w:val="both"/>
      </w:pPr>
      <w:r>
        <w:rPr>
          <w:sz w:val="21"/>
        </w:rPr>
        <w:t>2.乙方应根据甲方的计划安排，按时完成本项目所有任务。</w:t>
      </w:r>
    </w:p>
    <w:p>
      <w:pPr>
        <w:pStyle w:val="null3"/>
        <w:ind w:firstLine="420"/>
        <w:jc w:val="both"/>
      </w:pPr>
      <w:r>
        <w:rPr>
          <w:sz w:val="21"/>
        </w:rPr>
        <w:t>3.乙方应遵守相关规定，接受甲方对实施情况进行全程跟踪和监督。</w:t>
      </w:r>
    </w:p>
    <w:p>
      <w:pPr>
        <w:pStyle w:val="null3"/>
        <w:ind w:firstLine="420"/>
        <w:jc w:val="both"/>
      </w:pPr>
      <w:r>
        <w:rPr>
          <w:sz w:val="21"/>
        </w:rPr>
        <w:t>4.乙方有权获得本合同约定的项目支付费用。</w:t>
      </w:r>
    </w:p>
    <w:p>
      <w:pPr>
        <w:pStyle w:val="null3"/>
        <w:jc w:val="both"/>
      </w:pPr>
      <w:r>
        <w:rPr>
          <w:sz w:val="21"/>
          <w:b/>
        </w:rPr>
        <w:t>七、</w:t>
      </w:r>
      <w:r>
        <w:rPr>
          <w:sz w:val="21"/>
          <w:b/>
        </w:rPr>
        <w:t>服务期间（项目完成期限）</w:t>
      </w:r>
    </w:p>
    <w:p>
      <w:pPr>
        <w:pStyle w:val="null3"/>
        <w:ind w:firstLine="435"/>
        <w:jc w:val="both"/>
      </w:pPr>
      <w:r>
        <w:rPr>
          <w:sz w:val="21"/>
        </w:rPr>
        <w:t>委托服务期间自</w:t>
      </w:r>
      <w:r>
        <w:rPr>
          <w:sz w:val="21"/>
        </w:rPr>
        <w:t>______年______月至______年______月止。</w:t>
      </w:r>
    </w:p>
    <w:p>
      <w:pPr>
        <w:pStyle w:val="null3"/>
        <w:jc w:val="both"/>
      </w:pPr>
      <w:r>
        <w:rPr>
          <w:sz w:val="21"/>
          <w:b/>
        </w:rPr>
        <w:t>八、</w:t>
      </w:r>
      <w:r>
        <w:rPr>
          <w:sz w:val="21"/>
          <w:b/>
        </w:rPr>
        <w:t>付款方式</w:t>
      </w:r>
    </w:p>
    <w:p>
      <w:pPr>
        <w:pStyle w:val="null3"/>
        <w:ind w:firstLine="420"/>
        <w:jc w:val="both"/>
      </w:pPr>
      <w:r>
        <w:rPr>
          <w:sz w:val="21"/>
        </w:rPr>
        <w:t>1期：支付比例30%,签订合同后5个工作日内，甲方向乙方支付合同金额的30%作为预付款。</w:t>
      </w:r>
    </w:p>
    <w:p>
      <w:pPr>
        <w:pStyle w:val="null3"/>
        <w:ind w:firstLine="420"/>
        <w:jc w:val="both"/>
      </w:pPr>
      <w:r>
        <w:rPr>
          <w:sz w:val="21"/>
        </w:rPr>
        <w:t>2期：支付比例30%,在完成</w:t>
      </w:r>
      <w:r>
        <w:rPr>
          <w:sz w:val="21"/>
        </w:rPr>
        <w:t>6</w:t>
      </w:r>
      <w:r>
        <w:rPr>
          <w:sz w:val="21"/>
        </w:rPr>
        <w:t>个月的运维工作后，乙方提交运维维护报告或相关材料并经甲方审核合格后</w:t>
      </w:r>
      <w:r>
        <w:rPr>
          <w:sz w:val="21"/>
        </w:rPr>
        <w:t>5个工作日内办理支付手续合同金额的30%。</w:t>
      </w:r>
    </w:p>
    <w:p>
      <w:pPr>
        <w:pStyle w:val="null3"/>
        <w:ind w:firstLine="420"/>
        <w:jc w:val="both"/>
      </w:pPr>
      <w:r>
        <w:rPr>
          <w:sz w:val="21"/>
        </w:rPr>
        <w:t>3</w:t>
      </w:r>
      <w:r>
        <w:rPr>
          <w:sz w:val="21"/>
        </w:rPr>
        <w:t>期：支付比例</w:t>
      </w:r>
      <w:r>
        <w:rPr>
          <w:sz w:val="21"/>
        </w:rPr>
        <w:t>30%,在完成</w:t>
      </w:r>
      <w:r>
        <w:rPr>
          <w:sz w:val="21"/>
        </w:rPr>
        <w:t>9</w:t>
      </w:r>
      <w:r>
        <w:rPr>
          <w:sz w:val="21"/>
        </w:rPr>
        <w:t>个月的运维工作后，乙方提交运维维护报告或相关材料并经甲方审核合格后</w:t>
      </w:r>
      <w:r>
        <w:rPr>
          <w:sz w:val="21"/>
        </w:rPr>
        <w:t>5个工作日内办理支付手续合同金额的30%。</w:t>
      </w:r>
    </w:p>
    <w:p>
      <w:pPr>
        <w:pStyle w:val="null3"/>
        <w:ind w:firstLine="420"/>
        <w:jc w:val="both"/>
      </w:pPr>
      <w:r>
        <w:rPr>
          <w:sz w:val="21"/>
        </w:rPr>
        <w:t>4</w:t>
      </w:r>
      <w:r>
        <w:rPr>
          <w:sz w:val="21"/>
        </w:rPr>
        <w:t>期：支付比例</w:t>
      </w:r>
      <w:r>
        <w:rPr>
          <w:sz w:val="21"/>
        </w:rPr>
        <w:t>1</w:t>
      </w:r>
      <w:r>
        <w:rPr>
          <w:sz w:val="21"/>
        </w:rPr>
        <w:t>0%,在完成周期运维工作后，乙方提交年终的运维维护报告或相关材料并经甲方审核</w:t>
      </w:r>
      <w:r>
        <w:rPr>
          <w:sz w:val="21"/>
        </w:rPr>
        <w:t>验收</w:t>
      </w:r>
      <w:r>
        <w:rPr>
          <w:sz w:val="21"/>
        </w:rPr>
        <w:t>合格后</w:t>
      </w:r>
      <w:r>
        <w:rPr>
          <w:sz w:val="21"/>
        </w:rPr>
        <w:t>5个工作日内办理支付手续合同金额的</w:t>
      </w:r>
      <w:r>
        <w:rPr>
          <w:sz w:val="21"/>
        </w:rPr>
        <w:t>1</w:t>
      </w:r>
      <w:r>
        <w:rPr>
          <w:sz w:val="21"/>
        </w:rPr>
        <w:t>0%。</w:t>
      </w:r>
    </w:p>
    <w:p>
      <w:pPr>
        <w:pStyle w:val="null3"/>
        <w:ind w:firstLine="420"/>
        <w:jc w:val="both"/>
      </w:pPr>
      <w:r>
        <w:rPr>
          <w:sz w:val="21"/>
        </w:rPr>
        <w:t>付款方式：乙方在支付当月开具正式税务发票原件交甲方，甲方在收到发票审核无误后</w:t>
      </w:r>
      <w:r>
        <w:rPr>
          <w:sz w:val="21"/>
        </w:rPr>
        <w:t>5个工作日内向乙方支付服务费（甲方办理请款手续后即视为付款，具体到账时间以财政部门划拨为准）。本合同的付款时间为甲方向政府采购支付部门提出支付申请的时间（不含政府财政支付部门审查的时间）。本合同的金额如需政府采购支付部门审核确定的，以政府采购支付部门审核确定的金额为准。</w:t>
      </w:r>
    </w:p>
    <w:p>
      <w:pPr>
        <w:pStyle w:val="null3"/>
        <w:ind w:firstLine="420"/>
        <w:jc w:val="both"/>
      </w:pPr>
      <w:r>
        <w:rPr>
          <w:sz w:val="21"/>
        </w:rPr>
        <w:t>因甲方使用的是财政资金，甲方在前款规定的付款时间为向政府采购支付部门提出办理财政支付申请手续的时间（不含政府财政支付部门审核的时间），在规定时间内提出支付申请手续后即视为甲方已经按期支付。</w:t>
      </w:r>
    </w:p>
    <w:p>
      <w:pPr>
        <w:pStyle w:val="null3"/>
        <w:ind w:firstLine="420"/>
        <w:jc w:val="both"/>
      </w:pPr>
      <w:r>
        <w:rPr>
          <w:sz w:val="21"/>
        </w:rPr>
        <w:t>2.乙方账户信息：</w:t>
      </w:r>
    </w:p>
    <w:p>
      <w:pPr>
        <w:pStyle w:val="null3"/>
        <w:ind w:firstLine="420"/>
        <w:jc w:val="both"/>
      </w:pPr>
      <w:r>
        <w:rPr>
          <w:sz w:val="21"/>
        </w:rPr>
        <w:t>开户名称：</w:t>
      </w:r>
    </w:p>
    <w:p>
      <w:pPr>
        <w:pStyle w:val="null3"/>
        <w:ind w:firstLine="420"/>
        <w:jc w:val="both"/>
      </w:pPr>
      <w:r>
        <w:rPr>
          <w:sz w:val="21"/>
        </w:rPr>
        <w:t>开户行：</w:t>
      </w:r>
    </w:p>
    <w:p>
      <w:pPr>
        <w:pStyle w:val="null3"/>
        <w:ind w:firstLine="420"/>
        <w:jc w:val="both"/>
      </w:pPr>
      <w:r>
        <w:rPr>
          <w:sz w:val="21"/>
        </w:rPr>
        <w:t>银行账号：</w:t>
      </w:r>
    </w:p>
    <w:p>
      <w:pPr>
        <w:pStyle w:val="null3"/>
        <w:jc w:val="both"/>
      </w:pPr>
      <w:r>
        <w:rPr>
          <w:sz w:val="21"/>
          <w:b/>
        </w:rPr>
        <w:t>九、知识产权产权归属</w:t>
      </w:r>
    </w:p>
    <w:p>
      <w:pPr>
        <w:pStyle w:val="null3"/>
        <w:ind w:firstLine="420"/>
        <w:jc w:val="both"/>
      </w:pPr>
      <w:r>
        <w:rPr>
          <w:sz w:val="21"/>
        </w:rPr>
        <w:t>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w:t>
      </w:r>
    </w:p>
    <w:p>
      <w:pPr>
        <w:pStyle w:val="null3"/>
        <w:jc w:val="both"/>
      </w:pPr>
      <w:r>
        <w:rPr>
          <w:sz w:val="21"/>
          <w:b/>
        </w:rPr>
        <w:t>十、保密</w:t>
      </w:r>
    </w:p>
    <w:p>
      <w:pPr>
        <w:pStyle w:val="null3"/>
        <w:ind w:firstLine="420"/>
        <w:jc w:val="both"/>
      </w:pPr>
      <w:r>
        <w:rPr>
          <w:sz w:val="21"/>
        </w:rPr>
        <w:t>项目实施过程中至乙方正式向甲方交付技术文档资料时止，乙方必须采取措施对本项目实施过程中的数据、技术文档等资料保密，否则，由于乙方过错导致的上述资料泄密的，乙方必须承担一切责任。项目完成后，甲、乙双方均有责任对本项目的技术保密承担责任。</w:t>
      </w:r>
      <w:r>
        <w:rPr>
          <w:sz w:val="21"/>
        </w:rPr>
        <w:t xml:space="preserve">  </w:t>
      </w:r>
    </w:p>
    <w:p>
      <w:pPr>
        <w:pStyle w:val="null3"/>
        <w:ind w:firstLine="420"/>
        <w:jc w:val="both"/>
      </w:pPr>
      <w:r>
        <w:rPr>
          <w:sz w:val="21"/>
        </w:rPr>
        <w:t>1）未经甲方事先书面同意，乙方不得将由甲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pStyle w:val="null3"/>
        <w:ind w:firstLine="420"/>
        <w:jc w:val="both"/>
      </w:pPr>
      <w:r>
        <w:rPr>
          <w:sz w:val="21"/>
        </w:rPr>
        <w:t>2）除了合同本身之外，上款所列举的任何物件均是甲方的财产。乙方应当在完成合同后应将这些物件及全部复制件还给甲方，甲方同意由乙方持有的除外。</w:t>
      </w:r>
    </w:p>
    <w:p>
      <w:pPr>
        <w:pStyle w:val="null3"/>
        <w:jc w:val="both"/>
      </w:pPr>
      <w:r>
        <w:rPr>
          <w:sz w:val="21"/>
          <w:b/>
        </w:rPr>
        <w:t>十一、违约责任与赔偿损失</w:t>
      </w:r>
    </w:p>
    <w:p>
      <w:pPr>
        <w:pStyle w:val="null3"/>
        <w:ind w:firstLine="420"/>
        <w:jc w:val="both"/>
      </w:pPr>
      <w:r>
        <w:rPr>
          <w:sz w:val="21"/>
        </w:rPr>
        <w:t>1) 乙方提供的服务不符合采购文件、响应文件或本合同规定的，甲方有权拒收，并且乙方须向甲方支付本合同总价5%的违约金。</w:t>
      </w:r>
    </w:p>
    <w:p>
      <w:pPr>
        <w:pStyle w:val="null3"/>
        <w:ind w:right="210" w:firstLine="420"/>
        <w:jc w:val="both"/>
      </w:pPr>
      <w:r>
        <w:rPr>
          <w:sz w:val="21"/>
        </w:rPr>
        <w:t>2) 乙方未能按本合同规定的交货时间提供服务，从逾期之日起每日按本合同总价3‰的数额向甲方支付违约金；逾期半个月以上的，甲方有权终止合同，由此造成的甲方经济损失由乙方承担。</w:t>
      </w:r>
    </w:p>
    <w:p>
      <w:pPr>
        <w:pStyle w:val="null3"/>
        <w:ind w:firstLine="420"/>
        <w:jc w:val="both"/>
      </w:pPr>
      <w:r>
        <w:rPr>
          <w:sz w:val="21"/>
        </w:rPr>
        <w:t>3) 甲方无正当理由拒收接受服务，到期拒付服务款项的，甲方向乙方偿付本合同总的5%的违约金。甲方逾期付款，则每日按本合同总价的3‰向乙方偿付违约金。</w:t>
      </w:r>
    </w:p>
    <w:p>
      <w:pPr>
        <w:pStyle w:val="null3"/>
        <w:ind w:firstLine="420"/>
        <w:jc w:val="both"/>
      </w:pPr>
      <w:r>
        <w:rPr>
          <w:sz w:val="21"/>
        </w:rPr>
        <w:t>4) 其它违约责任按《中华人民共和国民法典》第三编　合同处理。</w:t>
      </w:r>
    </w:p>
    <w:p>
      <w:pPr>
        <w:pStyle w:val="null3"/>
        <w:jc w:val="both"/>
      </w:pPr>
      <w:r>
        <w:rPr>
          <w:sz w:val="21"/>
          <w:b/>
        </w:rPr>
        <w:t>十二、争端的解决</w:t>
      </w:r>
    </w:p>
    <w:p>
      <w:pPr>
        <w:pStyle w:val="null3"/>
        <w:ind w:firstLine="420"/>
        <w:jc w:val="both"/>
      </w:pPr>
      <w:r>
        <w:rPr>
          <w:sz w:val="21"/>
        </w:rPr>
        <w:t>合同执行过程中发生的任何争议，如双方不能通过友好协商解决，按相关法律法规处理。</w:t>
      </w:r>
    </w:p>
    <w:p>
      <w:pPr>
        <w:pStyle w:val="null3"/>
        <w:jc w:val="both"/>
      </w:pPr>
      <w:r>
        <w:rPr>
          <w:sz w:val="21"/>
          <w:b/>
        </w:rPr>
        <w:t>十三、不可抗力</w:t>
      </w:r>
    </w:p>
    <w:p>
      <w:pPr>
        <w:pStyle w:val="null3"/>
        <w:ind w:firstLine="411"/>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1"/>
          <w:b/>
        </w:rPr>
        <w:t>十四、税费</w:t>
      </w:r>
    </w:p>
    <w:p>
      <w:pPr>
        <w:pStyle w:val="null3"/>
        <w:ind w:firstLine="411"/>
        <w:jc w:val="both"/>
      </w:pPr>
      <w:r>
        <w:rPr>
          <w:sz w:val="21"/>
        </w:rPr>
        <w:t>在中国境内、外发生的与本合同执行有关的一切税费均由乙方负担。</w:t>
      </w:r>
    </w:p>
    <w:p>
      <w:pPr>
        <w:pStyle w:val="null3"/>
        <w:jc w:val="both"/>
      </w:pPr>
      <w:r>
        <w:rPr>
          <w:sz w:val="21"/>
          <w:b/>
        </w:rPr>
        <w:t>十五、其它</w:t>
      </w:r>
    </w:p>
    <w:p>
      <w:pPr>
        <w:pStyle w:val="null3"/>
        <w:ind w:firstLine="420"/>
        <w:jc w:val="both"/>
      </w:pPr>
      <w:r>
        <w:rPr>
          <w:sz w:val="21"/>
        </w:rPr>
        <w:t>1) 本合同所有附件、采购文件、响应文件、成交通知书均为合同的有效组成部分，与本合同具有同等法律效力。</w:t>
      </w:r>
    </w:p>
    <w:p>
      <w:pPr>
        <w:pStyle w:val="null3"/>
        <w:ind w:firstLine="420"/>
        <w:jc w:val="both"/>
      </w:pPr>
      <w:r>
        <w:rPr>
          <w:sz w:val="21"/>
        </w:rPr>
        <w:t>2) 在执行本合同的过程中，所有经双方签署确认的文件（包括会议纪要、补充协议、往来信函）即成为本合同的有效组成部分。</w:t>
      </w:r>
    </w:p>
    <w:p>
      <w:pPr>
        <w:pStyle w:val="null3"/>
        <w:ind w:firstLine="420"/>
        <w:jc w:val="both"/>
      </w:pPr>
      <w:r>
        <w:rPr>
          <w:sz w:val="21"/>
        </w:rPr>
        <w:t>3) 如一方地址、电话、传真号码有变更，应在变更当日内书面通知对方，否则，应承担相应责任。</w:t>
      </w:r>
    </w:p>
    <w:p>
      <w:pPr>
        <w:pStyle w:val="null3"/>
        <w:ind w:firstLine="420"/>
        <w:jc w:val="both"/>
      </w:pPr>
      <w:r>
        <w:rPr>
          <w:sz w:val="21"/>
        </w:rPr>
        <w:t>4) 除甲方事先书面同意外，乙方不得部分或全部转让其应履行的合同项下的义务。</w:t>
      </w:r>
    </w:p>
    <w:p>
      <w:pPr>
        <w:pStyle w:val="null3"/>
        <w:jc w:val="both"/>
      </w:pPr>
      <w:r>
        <w:rPr>
          <w:sz w:val="21"/>
          <w:b/>
        </w:rPr>
        <w:t>十六、合同生效</w:t>
      </w:r>
    </w:p>
    <w:p>
      <w:pPr>
        <w:pStyle w:val="null3"/>
        <w:ind w:firstLine="420"/>
        <w:jc w:val="both"/>
      </w:pPr>
      <w:r>
        <w:rPr>
          <w:sz w:val="21"/>
        </w:rPr>
        <w:t>1）本合同在甲乙双方法人代表或其授权代表签字盖章后生效。</w:t>
      </w:r>
    </w:p>
    <w:p>
      <w:pPr>
        <w:pStyle w:val="null3"/>
        <w:ind w:firstLine="420"/>
        <w:jc w:val="both"/>
      </w:pPr>
      <w:r>
        <w:rPr>
          <w:sz w:val="21"/>
        </w:rPr>
        <w:t>2）合同一式</w:t>
      </w:r>
      <w:r>
        <w:rPr>
          <w:sz w:val="21"/>
          <w:u w:val="single"/>
        </w:rPr>
        <w:t xml:space="preserve">    </w:t>
      </w:r>
      <w:r>
        <w:rPr>
          <w:sz w:val="21"/>
        </w:rPr>
        <w:t>份，其中甲方</w:t>
      </w:r>
      <w:r>
        <w:rPr>
          <w:sz w:val="21"/>
          <w:u w:val="single"/>
        </w:rPr>
        <w:t xml:space="preserve">    </w:t>
      </w:r>
      <w:r>
        <w:rPr>
          <w:sz w:val="21"/>
        </w:rPr>
        <w:t>份，乙方</w:t>
      </w:r>
      <w:r>
        <w:rPr>
          <w:sz w:val="21"/>
          <w:u w:val="single"/>
        </w:rPr>
        <w:t xml:space="preserve">    </w:t>
      </w:r>
      <w:r>
        <w:rPr>
          <w:sz w:val="21"/>
        </w:rPr>
        <w:t>份，监管部门壹份，采购代理机构壹份。</w:t>
      </w:r>
    </w:p>
    <w:p>
      <w:pPr>
        <w:pStyle w:val="null3"/>
        <w:jc w:val="both"/>
      </w:pPr>
      <w:r>
        <w:rPr>
          <w:sz w:val="21"/>
        </w:rPr>
        <w:t>甲方（盖章）：</w:t>
      </w:r>
      <w:r>
        <w:rPr>
          <w:sz w:val="21"/>
        </w:rPr>
        <w:t xml:space="preserve">                          </w:t>
      </w:r>
      <w:r>
        <w:rPr>
          <w:sz w:val="21"/>
        </w:rPr>
        <w:t>乙方（盖章）：</w:t>
      </w:r>
    </w:p>
    <w:p>
      <w:pPr>
        <w:pStyle w:val="null3"/>
        <w:jc w:val="both"/>
      </w:pPr>
      <w:r>
        <w:rPr>
          <w:sz w:val="21"/>
        </w:rPr>
        <w:t>法定代表</w:t>
      </w:r>
      <w:r>
        <w:rPr>
          <w:sz w:val="21"/>
        </w:rPr>
        <w:t>/授权代表（签字）：             法定代表/授权代表（签字）：</w:t>
      </w:r>
    </w:p>
    <w:p>
      <w:pPr>
        <w:pStyle w:val="null3"/>
        <w:jc w:val="both"/>
      </w:pPr>
      <w:r>
        <w:rPr>
          <w:sz w:val="21"/>
        </w:rPr>
        <w:t>日期：</w:t>
      </w:r>
      <w:r>
        <w:rPr>
          <w:sz w:val="21"/>
        </w:rPr>
        <w:t xml:space="preserve">                                 </w:t>
      </w:r>
      <w:r>
        <w:rPr>
          <w:sz w:val="21"/>
        </w:rPr>
        <w:t>日期：</w:t>
      </w:r>
    </w:p>
    <w:p>
      <w:pPr>
        <w:pStyle w:val="null3"/>
        <w:jc w:val="both"/>
      </w:pPr>
      <w:r>
        <w:rPr>
          <w:sz w:val="21"/>
        </w:rPr>
        <w:t>邮政编码：</w:t>
      </w:r>
      <w:r>
        <w:rPr>
          <w:sz w:val="21"/>
        </w:rPr>
        <w:t xml:space="preserve">                             </w:t>
      </w:r>
      <w:r>
        <w:rPr>
          <w:sz w:val="21"/>
        </w:rPr>
        <w:t>邮政编码：</w:t>
      </w:r>
    </w:p>
    <w:p>
      <w:pPr>
        <w:pStyle w:val="null3"/>
        <w:jc w:val="both"/>
      </w:pPr>
      <w:r>
        <w:rPr>
          <w:sz w:val="21"/>
        </w:rPr>
        <w:t>开户名称：</w:t>
      </w:r>
      <w:r>
        <w:rPr>
          <w:sz w:val="21"/>
        </w:rPr>
        <w:t xml:space="preserve">                             </w:t>
      </w:r>
      <w:r>
        <w:rPr>
          <w:sz w:val="21"/>
        </w:rPr>
        <w:t>开户名称：</w:t>
      </w:r>
    </w:p>
    <w:p>
      <w:pPr>
        <w:pStyle w:val="null3"/>
        <w:jc w:val="both"/>
      </w:pPr>
      <w:r>
        <w:rPr>
          <w:sz w:val="21"/>
        </w:rPr>
        <w:t>开户银行：</w:t>
      </w:r>
      <w:r>
        <w:rPr>
          <w:sz w:val="21"/>
        </w:rPr>
        <w:t xml:space="preserve">                             </w:t>
      </w:r>
      <w:r>
        <w:rPr>
          <w:sz w:val="21"/>
        </w:rPr>
        <w:t>开户银行：</w:t>
      </w:r>
    </w:p>
    <w:p>
      <w:pPr>
        <w:pStyle w:val="null3"/>
        <w:jc w:val="both"/>
      </w:pPr>
      <w:r>
        <w:rPr>
          <w:sz w:val="21"/>
        </w:rPr>
        <w:t>开户账号：</w:t>
      </w:r>
      <w:r>
        <w:rPr>
          <w:sz w:val="21"/>
        </w:rPr>
        <w:t xml:space="preserve">                             </w:t>
      </w:r>
      <w:r>
        <w:rPr>
          <w:sz w:val="21"/>
        </w:rPr>
        <w:t>开户账号</w:t>
      </w:r>
      <w:r>
        <w:rPr>
          <w:sz w:val="21"/>
        </w:rPr>
        <w:t>:</w:t>
      </w:r>
    </w:p>
    <w:p>
      <w:pPr>
        <w:pStyle w:val="null3"/>
        <w:jc w:val="left"/>
      </w:pPr>
      <w:r>
        <w:rPr>
          <w:sz w:val="21"/>
        </w:rPr>
        <w:t>注：</w:t>
      </w:r>
      <w:r>
        <w:rPr>
          <w:sz w:val="21"/>
        </w:rPr>
        <w:t>此为合同草案，可根据磋商情况进行变更！</w:t>
      </w:r>
    </w:p>
    <w:p>
      <w:pPr>
        <w:pStyle w:val="null3"/>
        <w:spacing w:before="0" w:after="0"/>
        <w:ind w:left="0" w:right="0"/>
        <w:jc w:val="both"/>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440101-2025-08128</w:t>
      </w:r>
    </w:p>
    <w:p>
      <w:pPr>
        <w:pStyle w:val="null3"/>
        <w:jc w:val="center"/>
        <w:outlineLvl w:val="3"/>
      </w:pPr>
      <w:r>
        <w:rPr>
          <w:sz w:val="24"/>
          <w:b/>
        </w:rPr>
        <w:t>采购项目编号：</w:t>
      </w:r>
      <w:r>
        <w:rPr>
          <w:sz w:val="24"/>
          <w:b/>
        </w:rPr>
        <w:t>ZZ0250185</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十三、联合体共同响应协议书</w:t>
      </w:r>
    </w:p>
    <w:p>
      <w:pPr>
        <w:pStyle w:val="null3"/>
        <w:ind w:firstLine="480"/>
      </w:pPr>
      <w:r>
        <w:rPr/>
        <w:t>十四、供应商业绩情况表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广东志正招标有限公司</w:t>
      </w:r>
    </w:p>
    <w:p>
      <w:pPr>
        <w:pStyle w:val="null3"/>
        <w:ind w:firstLine="480"/>
      </w:pPr>
      <w:r>
        <w:rPr/>
        <w:t xml:space="preserve"> 你方组织的</w:t>
      </w:r>
      <w:r>
        <w:rPr>
          <w:u w:val="single"/>
        </w:rPr>
        <w:t>“</w:t>
      </w:r>
      <w:r>
        <w:rPr>
          <w:u w:val="single"/>
        </w:rPr>
        <w:t>2025-2026年度番禺区环境空气自动监测站及水质自动监测站运维服务项目</w:t>
      </w:r>
      <w:r>
        <w:rPr>
          <w:u w:val="single"/>
        </w:rPr>
        <w:t>”</w:t>
      </w:r>
      <w:r>
        <w:rPr/>
        <w:t>项目的竞争性磋商[采购项目编号为：</w:t>
      </w:r>
      <w:r>
        <w:rPr>
          <w:u w:val="single"/>
        </w:rPr>
        <w:t>ZZ0250185</w:t>
      </w:r>
      <w:r>
        <w:rPr/>
        <w:t>]，我方愿参与响应。</w:t>
      </w:r>
    </w:p>
    <w:p>
      <w:pPr>
        <w:pStyle w:val="null3"/>
        <w:ind w:firstLine="480"/>
      </w:pPr>
      <w:r>
        <w:rPr/>
        <w:t>我方确认收到贵方提供的</w:t>
      </w:r>
      <w:r>
        <w:rPr>
          <w:u w:val="single"/>
        </w:rPr>
        <w:t>“</w:t>
      </w:r>
      <w:r>
        <w:rPr>
          <w:u w:val="single"/>
        </w:rPr>
        <w:t>2025-2026年度番禺区环境空气自动监测站及水质自动监测站运维服务项目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（三）我方愿意向贵方提供任何与本项报价有关的数据、情况和技术资料。若贵方需要，我方愿意提供我方作出的一切承诺的证明材料。</w:t>
      </w:r>
    </w:p>
    <w:p>
      <w:pPr>
        <w:pStyle w:val="null3"/>
        <w:ind w:firstLine="480"/>
      </w:pPr>
      <w:r>
        <w:rPr/>
        <w:t>（四）我方理解贵方不一定接受最低磋商价或任何贵方可能收到的响应。</w:t>
      </w:r>
    </w:p>
    <w:p>
      <w:pPr>
        <w:pStyle w:val="null3"/>
        <w:ind w:firstLine="480"/>
      </w:pPr>
      <w:r>
        <w:rPr/>
        <w:t>（五）我方如果成交，将保证履行磋商文件及其澄清、修改文件（如果有）中的全部责任和义务，按质、按量、按期完成《采购需求》及《合同书》中的全部任务。</w:t>
      </w:r>
    </w:p>
    <w:p>
      <w:pPr>
        <w:pStyle w:val="null3"/>
        <w:ind w:firstLine="480"/>
      </w:pPr>
      <w:r>
        <w:rPr/>
        <w:t>（六）我方作为法律、财务和运作上独立于采购人、采购代理机构的供应商，在此保证所提交的所有文件和全部说明是真实的和正确的。</w:t>
      </w:r>
    </w:p>
    <w:p>
      <w:pPr>
        <w:pStyle w:val="null3"/>
        <w:ind w:firstLine="480"/>
      </w:pPr>
      <w:r>
        <w:rPr/>
        <w:t>（七）我方磋商报价已包含应向知识产权所有权人支付的所有相关税费，并保证采购人在中国使用我方提供的货物或服务时，如有第三方提出侵犯其知识产权主张的，责任由我方承担。</w:t>
      </w:r>
    </w:p>
    <w:p>
      <w:pPr>
        <w:pStyle w:val="null3"/>
        <w:ind w:firstLine="480"/>
      </w:pPr>
      <w:r>
        <w:rPr/>
        <w:t>（八）我方接受采购人委托向贵方支付代理服务费，项目总报价已包含代理服务费，如果被确定为成交供应商，承诺向贵方足额支付。（若采购人支付代理服务费，则此条不适用）</w:t>
      </w:r>
    </w:p>
    <w:p>
      <w:pPr>
        <w:pStyle w:val="null3"/>
        <w:ind w:firstLine="480"/>
      </w:pPr>
      <w:r>
        <w:rPr/>
        <w:t>（九）我方与其他供应商不存在法定代表人或单位负责人为同一人或者存在直接控股、管理关系。</w:t>
      </w:r>
    </w:p>
    <w:p>
      <w:pPr>
        <w:pStyle w:val="null3"/>
        <w:ind w:firstLine="480"/>
      </w:pPr>
      <w:r>
        <w:rPr/>
        <w:t>（十）我方承诺未为本项目提供整体设计、规范编制或者项目管理、监理、检测等服务。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（十四）我方对在本函及响应文件中所作的所有承诺承担法律责任。</w:t>
      </w:r>
    </w:p>
    <w:p>
      <w:pPr>
        <w:pStyle w:val="null3"/>
        <w:ind w:firstLine="480"/>
      </w:pPr>
      <w:r>
        <w:rPr/>
        <w:t>（十五）所有与本磋商有关的函件请发往下列地址：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jc w:val="center"/>
        <w:outlineLvl w:val="5"/>
      </w:pPr>
      <w:r>
        <w:rPr>
          <w:sz w:val="15"/>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pPr>
      <w:r>
        <w:rPr/>
        <w:t xml:space="preserve">  </w:t>
      </w:r>
    </w:p>
    <w:p>
      <w:pPr>
        <w:pStyle w:val="null3"/>
        <w:outlineLvl w:val="2"/>
      </w:pPr>
      <w:r>
        <w:rPr>
          <w:sz w:val="28"/>
          <w:b/>
        </w:rPr>
        <w:t>格式六：</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现任我单位_____________职务_____________为法定代表人，特此证明。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2025-2026年度番禺区环境空气自动监测站及水质自动监测站运维服务项目</w:t>
      </w:r>
      <w:r>
        <w:rPr/>
        <w:t>”项目采购[采购项目编号为</w:t>
      </w:r>
      <w:r>
        <w:rPr/>
        <w:t>ZZ0250185</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一、提供以下相关证照的扫描件之一：1.企业法人提供企业法人营业执照；2.事业法人提供事业法人登记证；3.其他组织提供其他组织的营业执照或执业许可证；4.自然人提供居民身份证等；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二、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投标的，还须提供分公司或中心支公司的保险机构的营业执照。）</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广州市生态环境局番禺环境监测站</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pPr>
      <w:r>
        <w:rPr>
          <w:b/>
        </w:rPr>
        <w:t>温馨提示：</w:t>
      </w:r>
    </w:p>
    <w:p>
      <w:pPr>
        <w:pStyle w:val="null3"/>
      </w:pPr>
      <w:r>
        <w:rPr/>
        <w:t>根据《广州市财政局 广州市工业和信息化局转发广东省财政厅 广东省发展和改革委员会 广东省工业和信息化厅 广东省地方金融监督管理局关于印发《广东省政府采购促进中小企业发展实施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ind w:firstLine="480"/>
      </w:pPr>
      <w:r>
        <w:rPr/>
        <w:t xml:space="preserve">  </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或照搬照抄采购文件参数、不注明实际数值者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格式十九：</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广东志正招标有限公司</w:t>
      </w:r>
    </w:p>
    <w:p>
      <w:pPr>
        <w:pStyle w:val="null3"/>
        <w:ind w:firstLine="480"/>
      </w:pPr>
      <w:r>
        <w:rPr/>
        <w:t>我单位参加贵公司组织的</w:t>
      </w:r>
      <w:r>
        <w:rPr/>
        <w:t>2025-2026年度番禺区环境空气自动监测站及水质自动监测站运维服务项目</w:t>
      </w:r>
      <w:r>
        <w:rPr/>
        <w:t>（采购项目编号：</w:t>
      </w:r>
      <w:r>
        <w:rPr/>
        <w:t>ZZ0250185</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格式二十一：</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