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440001-2025-16418</w:t>
      </w:r>
    </w:p>
    <w:p>
      <w:pPr>
        <w:pStyle w:val="null3"/>
        <w:jc w:val="center"/>
        <w:outlineLvl w:val="3"/>
      </w:pPr>
      <w:r>
        <w:rPr>
          <w:sz w:val="24"/>
          <w:b/>
        </w:rPr>
        <w:t>采购项目编号：</w:t>
      </w:r>
      <w:r>
        <w:rPr>
          <w:sz w:val="24"/>
          <w:b/>
        </w:rPr>
        <w:t>ZZ0250202</w:t>
      </w:r>
    </w:p>
    <w:p>
      <w:pPr>
        <w:pStyle w:val="null3"/>
        <w:jc w:val="center"/>
        <w:outlineLvl w:val="3"/>
      </w:pPr>
      <w:r>
        <w:rPr>
          <w:sz w:val="24"/>
          <w:b/>
        </w:rPr>
        <w:t>项目名称：</w:t>
      </w:r>
      <w:r>
        <w:rPr>
          <w:sz w:val="24"/>
          <w:b/>
        </w:rPr>
        <w:t>省知识产权保护中心广东省专利预审协作平台租赁项目(2025年)</w:t>
      </w:r>
    </w:p>
    <w:p>
      <w:pPr>
        <w:pStyle w:val="null3"/>
        <w:jc w:val="center"/>
        <w:outlineLvl w:val="3"/>
      </w:pPr>
      <w:r>
        <w:rPr>
          <w:sz w:val="24"/>
          <w:b/>
        </w:rPr>
        <w:t>采购人：</w:t>
      </w:r>
      <w:r>
        <w:rPr>
          <w:sz w:val="24"/>
          <w:b/>
        </w:rPr>
        <w:t>广东省知识产权保护中心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广东省知识产权保护中心</w:t>
      </w:r>
      <w:r>
        <w:rPr/>
        <w:t>的委托，采用</w:t>
      </w:r>
      <w:r>
        <w:rPr/>
        <w:t>公开招标</w:t>
      </w:r>
      <w:r>
        <w:rPr/>
        <w:t>方式组织采购</w:t>
      </w:r>
      <w:r>
        <w:rPr/>
        <w:t>省知识产权保护中心广东省专利预审协作平台租赁项目(2025年)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省知识产权保护中心广东省专利预审协作平台租赁项目(2025年)</w:t>
      </w:r>
    </w:p>
    <w:p>
      <w:pPr>
        <w:pStyle w:val="null3"/>
        <w:ind w:firstLine="480"/>
      </w:pPr>
      <w:r>
        <w:rPr/>
        <w:t>采购计划编号：</w:t>
      </w:r>
      <w:r>
        <w:rPr/>
        <w:t>440001-2025-16418</w:t>
      </w:r>
    </w:p>
    <w:p>
      <w:pPr>
        <w:pStyle w:val="null3"/>
        <w:ind w:firstLine="480"/>
      </w:pPr>
      <w:r>
        <w:rPr/>
        <w:t>采购项目编号：</w:t>
      </w:r>
      <w:r>
        <w:rPr/>
        <w:t>ZZ0250202</w:t>
      </w:r>
    </w:p>
    <w:p>
      <w:pPr>
        <w:pStyle w:val="null3"/>
        <w:ind w:firstLine="480"/>
      </w:pPr>
      <w:r>
        <w:rPr/>
        <w:t>采购方式：</w:t>
      </w:r>
      <w:r>
        <w:rPr/>
        <w:t>公开招标</w:t>
      </w:r>
    </w:p>
    <w:p>
      <w:pPr>
        <w:pStyle w:val="null3"/>
        <w:ind w:firstLine="480"/>
      </w:pPr>
      <w:r>
        <w:rPr/>
        <w:t>预算金额：</w:t>
      </w:r>
      <w:r>
        <w:rPr/>
        <w:t>400,000.00</w:t>
      </w:r>
      <w:r>
        <w:rPr/>
        <w:t>元</w:t>
      </w:r>
    </w:p>
    <w:p>
      <w:pPr>
        <w:pStyle w:val="null3"/>
        <w:outlineLvl w:val="3"/>
      </w:pPr>
      <w:r>
        <w:rPr>
          <w:sz w:val="24"/>
          <w:b/>
        </w:rPr>
        <w:t>2.项目内容及需求情况（采购项目技术规格、参数及要求）</w:t>
      </w:r>
    </w:p>
    <w:p>
      <w:pPr>
        <w:pStyle w:val="null3"/>
      </w:pPr>
      <w:r>
        <w:rPr/>
        <w:t>采购包1(省知识产权保护中心广东省专利预审协作平台租赁项目(2025年)):</w:t>
      </w:r>
    </w:p>
    <w:p>
      <w:pPr>
        <w:pStyle w:val="null3"/>
      </w:pPr>
      <w:r>
        <w:rPr/>
        <w:t>采购包预算金额：400,000.00元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软件运营服务</w:t>
            </w:r>
          </w:p>
        </w:tc>
        <w:tc>
          <w:tcPr>
            <w:tcW w:type="dxa" w:w="2136"/>
          </w:tcPr>
          <w:p>
            <w:pPr>
              <w:pStyle w:val="null3"/>
            </w:pPr>
            <w:r>
              <w:rPr/>
              <w:t>省知识产权保护中心广东省专利预审协作平台租赁项目(2025年)</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合同履行期限：要求本项目自合同正式签署生效之日起 3 个工作日内开通账号服务，供应商开通服务后，有效服务期为1年。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3）具有良好的商业信誉和健全的财务会计制度：提供2023年或2024年年度财务状况报告或投标截止日前6个月内任意1个月的财务报表或基本开户行出具的资信证明。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采购包1（省知识产权保护中心广东省专利预审协作平台租赁项目(2025年)）：</w:t>
      </w:r>
      <w:r>
        <w:rPr/>
        <w:t>本项目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采购包1（省知识产权保护中心广东省专利预审协作平台租赁项目(2025年)）：</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广东省知识产权保护中心</w:t>
      </w:r>
    </w:p>
    <w:p>
      <w:pPr>
        <w:pStyle w:val="null3"/>
        <w:ind w:firstLine="480"/>
      </w:pPr>
      <w:r>
        <w:rPr/>
        <w:t xml:space="preserve"> 地址：</w:t>
      </w:r>
      <w:r>
        <w:rPr/>
        <w:t>先烈中路100号大院60栋7、9-12楼</w:t>
      </w:r>
    </w:p>
    <w:p>
      <w:pPr>
        <w:pStyle w:val="null3"/>
        <w:ind w:firstLine="480"/>
      </w:pPr>
      <w:r>
        <w:rPr/>
        <w:t xml:space="preserve"> 联系方式：</w:t>
      </w:r>
      <w:r>
        <w:rPr/>
        <w:t>黄小姐020-31603186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w:t>
      </w:r>
      <w:r>
        <w:rPr>
          <w:sz w:val="21"/>
          <w:b/>
        </w:rPr>
        <w:t>”的地方，投标人要特别加以注意，必须对此作出一一响应。若有一项带“★”的指标未响应或不满足，将导致其废标或投标无效。</w:t>
      </w:r>
    </w:p>
    <w:p>
      <w:pPr>
        <w:pStyle w:val="null3"/>
      </w:pPr>
      <w:r>
        <w:rPr>
          <w:sz w:val="21"/>
          <w:b/>
        </w:rPr>
        <w:t>二</w:t>
      </w:r>
      <w:r>
        <w:rPr>
          <w:sz w:val="21"/>
          <w:b/>
        </w:rPr>
        <w:t>、</w:t>
      </w:r>
      <w:r>
        <w:rPr>
          <w:sz w:val="21"/>
          <w:b/>
        </w:rPr>
        <w:t>项目建设目标</w:t>
      </w:r>
    </w:p>
    <w:p>
      <w:pPr>
        <w:pStyle w:val="null3"/>
        <w:ind w:firstLine="420"/>
        <w:jc w:val="both"/>
      </w:pPr>
      <w:r>
        <w:rPr>
          <w:sz w:val="21"/>
        </w:rPr>
        <w:t>省知识产权保护中心广东省专利预审协作平台租赁项目</w:t>
      </w:r>
      <w:r>
        <w:rPr>
          <w:sz w:val="21"/>
        </w:rPr>
        <w:t>(2025年)的建设目标是按照国家知识产权局关于知识产权保护体系建设的总体思路，广东省知识产权保护中心主营业务包括连接专利复审无效审理部开展巡回审理或远程审理，承担新一代信息技术、生物产业及其他产业领域专利申请的快速预审服务工作，通过信息化服务平台提供公众服务，通过网络专线连接国家局内网，实现信息安全保障要求。为保障中心快速预审、快速确权等职能业务顺利开展，因此开展广东省专利预审协作平台租赁项目。通过本项目保障省知识产权保护中心专利预审等业务稳定进行，面向社会公众提供更加方便、快捷、优质、高效的专利预审服务。</w:t>
      </w:r>
    </w:p>
    <w:p>
      <w:pPr>
        <w:pStyle w:val="null3"/>
        <w:jc w:val="both"/>
      </w:pPr>
      <w:r>
        <w:rPr>
          <w:sz w:val="21"/>
          <w:b/>
        </w:rPr>
        <w:t>三、</w:t>
      </w:r>
      <w:r>
        <w:rPr>
          <w:sz w:val="21"/>
          <w:b/>
        </w:rPr>
        <w:t>项目需求</w:t>
      </w:r>
    </w:p>
    <w:p>
      <w:pPr>
        <w:pStyle w:val="null3"/>
        <w:ind w:firstLine="420"/>
        <w:jc w:val="both"/>
      </w:pPr>
      <w:r>
        <w:rPr>
          <w:sz w:val="21"/>
        </w:rPr>
        <w:t>根据国家知识产权局对专利预审业务的要求，预审管理平台系统包括申请主体注册、备案管理流程；专利申请快速预审管理流程等。预审审查机构主要负责企事业单位备案、专利预审、预审案件的统计分析等工作实现专利预审业务的全流程智能化，增强业务连续性和稳定性，提高审查效率。</w:t>
      </w:r>
      <w:r>
        <w:rPr>
          <w:sz w:val="21"/>
        </w:rPr>
        <w:t>省知识产权保护中心广东省专利预审协作平台租赁项目</w:t>
      </w:r>
      <w:r>
        <w:rPr>
          <w:sz w:val="21"/>
        </w:rPr>
        <w:t>(2025年)</w:t>
      </w:r>
      <w:r>
        <w:rPr>
          <w:sz w:val="21"/>
        </w:rPr>
        <w:t>是保护中心预审业务运行重要的信息化支撑，主要针对保护中心服务和业务定位，为实现申请主体快速预审需求和保护中心内部高效率高质量工作，要求满足以下具体需求：</w:t>
      </w:r>
    </w:p>
    <w:p>
      <w:pPr>
        <w:pStyle w:val="null3"/>
        <w:ind w:firstLine="420"/>
        <w:jc w:val="both"/>
      </w:pPr>
      <w:r>
        <w:rPr>
          <w:sz w:val="21"/>
        </w:rPr>
        <w:t>1、</w:t>
      </w:r>
      <w:r>
        <w:rPr>
          <w:sz w:val="21"/>
        </w:rPr>
        <w:t>预审服务需符合国家知识产权局关于《知识产权快速协同保护预审系统建设规范（试行）》的标准和要求。</w:t>
      </w:r>
    </w:p>
    <w:p>
      <w:pPr>
        <w:pStyle w:val="null3"/>
        <w:ind w:firstLine="420"/>
        <w:jc w:val="both"/>
      </w:pPr>
      <w:r>
        <w:rPr>
          <w:sz w:val="21"/>
        </w:rPr>
        <w:t>2、</w:t>
      </w:r>
      <w:r>
        <w:rPr>
          <w:sz w:val="21"/>
        </w:rPr>
        <w:t>需满足为申请主体提供快捷便利的注册、备案和预审申请、业务办理和预审信息查询等功能。</w:t>
      </w:r>
    </w:p>
    <w:p>
      <w:pPr>
        <w:pStyle w:val="null3"/>
        <w:ind w:firstLine="420"/>
        <w:jc w:val="both"/>
      </w:pPr>
      <w:r>
        <w:rPr>
          <w:sz w:val="21"/>
        </w:rPr>
        <w:t>3、</w:t>
      </w:r>
      <w:r>
        <w:rPr>
          <w:sz w:val="21"/>
        </w:rPr>
        <w:t>需满足保护中心内部实现注册备案审核、领域管理、专利预审审查等业务功能。</w:t>
      </w:r>
    </w:p>
    <w:p>
      <w:pPr>
        <w:pStyle w:val="null3"/>
        <w:ind w:firstLine="420"/>
        <w:jc w:val="both"/>
      </w:pPr>
      <w:r>
        <w:rPr>
          <w:sz w:val="21"/>
        </w:rPr>
        <w:t>4、</w:t>
      </w:r>
      <w:r>
        <w:rPr>
          <w:sz w:val="21"/>
        </w:rPr>
        <w:t>需满足保护中心内部实现系统管理和统计查询等管理功能。</w:t>
      </w:r>
    </w:p>
    <w:p>
      <w:pPr>
        <w:pStyle w:val="null3"/>
        <w:ind w:firstLine="420"/>
        <w:jc w:val="both"/>
      </w:pPr>
      <w:r>
        <w:rPr>
          <w:sz w:val="21"/>
        </w:rPr>
        <w:t>5、</w:t>
      </w:r>
      <w:r>
        <w:rPr>
          <w:sz w:val="21"/>
        </w:rPr>
        <w:t>需满足发明、新型和外观设计专利申请自动分类的业务功能。</w:t>
      </w:r>
    </w:p>
    <w:p>
      <w:pPr>
        <w:pStyle w:val="null3"/>
        <w:ind w:firstLine="420"/>
        <w:jc w:val="both"/>
      </w:pPr>
      <w:r>
        <w:rPr>
          <w:sz w:val="21"/>
        </w:rPr>
        <w:t>6、</w:t>
      </w:r>
      <w:r>
        <w:rPr>
          <w:sz w:val="21"/>
        </w:rPr>
        <w:t>总体功能设计应当具备一定的智能辅助能力，提高申请主体和保护中心的工作效率和工作质量。</w:t>
      </w:r>
    </w:p>
    <w:p>
      <w:pPr>
        <w:pStyle w:val="null3"/>
        <w:ind w:firstLine="420"/>
        <w:jc w:val="both"/>
      </w:pPr>
      <w:r>
        <w:rPr>
          <w:sz w:val="21"/>
        </w:rPr>
        <w:t>7、</w:t>
      </w:r>
      <w:r>
        <w:rPr>
          <w:sz w:val="21"/>
        </w:rPr>
        <w:t>能够实现保护中心备案审核时，与国家知识产权局非正常申请主体数据库进行验证。</w:t>
      </w:r>
    </w:p>
    <w:p>
      <w:pPr>
        <w:pStyle w:val="null3"/>
        <w:ind w:firstLine="420"/>
        <w:jc w:val="both"/>
      </w:pPr>
      <w:r>
        <w:rPr>
          <w:sz w:val="21"/>
        </w:rPr>
        <w:t>8、</w:t>
      </w:r>
      <w:r>
        <w:rPr>
          <w:sz w:val="21"/>
        </w:rPr>
        <w:t>能够实现保护中心预审案件与国家知识产权局专利审批等流程数据的共享。</w:t>
      </w:r>
    </w:p>
    <w:p>
      <w:pPr>
        <w:pStyle w:val="null3"/>
        <w:ind w:firstLine="420"/>
        <w:jc w:val="both"/>
      </w:pPr>
      <w:r>
        <w:rPr>
          <w:sz w:val="21"/>
        </w:rPr>
        <w:t>9、</w:t>
      </w:r>
      <w:r>
        <w:rPr>
          <w:sz w:val="21"/>
        </w:rPr>
        <w:t>能够实现保护中心预审业务发展的可视化大屏展示功能。</w:t>
      </w:r>
    </w:p>
    <w:p>
      <w:pPr>
        <w:pStyle w:val="null3"/>
        <w:ind w:firstLine="420"/>
        <w:jc w:val="both"/>
      </w:pPr>
      <w:r>
        <w:rPr>
          <w:sz w:val="21"/>
        </w:rPr>
        <w:t>10、</w:t>
      </w:r>
      <w:r>
        <w:rPr>
          <w:sz w:val="21"/>
        </w:rPr>
        <w:t>能够满足保护中心对申请主体和代理机构的信用监管，主动管理功能。</w:t>
      </w:r>
    </w:p>
    <w:p>
      <w:pPr>
        <w:pStyle w:val="null3"/>
        <w:ind w:firstLine="420"/>
        <w:jc w:val="both"/>
      </w:pPr>
      <w:r>
        <w:rPr>
          <w:sz w:val="21"/>
        </w:rPr>
        <w:t>11、</w:t>
      </w:r>
      <w:r>
        <w:rPr>
          <w:sz w:val="21"/>
        </w:rPr>
        <w:t>能够实现保护中心强制约束申请主体</w:t>
      </w:r>
      <w:r>
        <w:rPr>
          <w:sz w:val="21"/>
        </w:rPr>
        <w:t>/代理机构对形式缺陷等进行自检。</w:t>
      </w:r>
    </w:p>
    <w:p>
      <w:pPr>
        <w:pStyle w:val="null3"/>
        <w:ind w:firstLine="420"/>
        <w:jc w:val="both"/>
      </w:pPr>
      <w:r>
        <w:rPr>
          <w:sz w:val="21"/>
        </w:rPr>
        <w:t>12、预审管理服务系统应达到信息安全等级保护三级认证。</w:t>
      </w:r>
    </w:p>
    <w:p>
      <w:pPr>
        <w:pStyle w:val="null3"/>
        <w:ind w:firstLine="420"/>
        <w:jc w:val="both"/>
      </w:pPr>
      <w:r>
        <w:rPr>
          <w:sz w:val="21"/>
        </w:rPr>
        <w:t>13、</w:t>
      </w:r>
      <w:r>
        <w:rPr>
          <w:sz w:val="21"/>
        </w:rPr>
        <w:t>总体设计和开发应当符合安全性、保密性和实用性原</w:t>
      </w:r>
      <w:r>
        <w:rPr>
          <w:sz w:val="24"/>
          <w:color w:val="000000"/>
        </w:rPr>
        <w:t>则。</w:t>
      </w:r>
    </w:p>
    <w:p>
      <w:pPr>
        <w:pStyle w:val="null3"/>
      </w:pPr>
      <w:r>
        <w:rPr/>
        <w:t>采购包1（省知识产权保护中心广东省专利预审协作平台租赁项目(2025年)）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要求本项目自合同正式签署生效之日起 3 个工作日内开通账号服务，供应商开通服务后，有效服务期为1年。</w:t>
            </w:r>
          </w:p>
        </w:tc>
      </w:tr>
      <w:tr>
        <w:tc>
          <w:tcPr>
            <w:tcW w:type="dxa" w:w="4153"/>
          </w:tcPr>
          <w:p>
            <w:pPr>
              <w:pStyle w:val="null3"/>
            </w:pPr>
            <w:r>
              <w:rPr/>
              <w:t>标的提供的地点</w:t>
            </w:r>
          </w:p>
        </w:tc>
        <w:tc>
          <w:tcPr>
            <w:tcW w:type="dxa" w:w="4153"/>
          </w:tcPr>
          <w:p>
            <w:pPr>
              <w:pStyle w:val="null3"/>
            </w:pPr>
            <w:r>
              <w:rPr/>
              <w:t>采购人指定服务地点。</w:t>
            </w:r>
          </w:p>
        </w:tc>
      </w:tr>
      <w:tr/>
      <w:tr/>
      <w:tr>
        <w:tc>
          <w:tcPr>
            <w:tcW w:type="dxa" w:w="4153"/>
          </w:tcPr>
          <w:p>
            <w:pPr>
              <w:pStyle w:val="null3"/>
            </w:pPr>
            <w:r>
              <w:rPr/>
              <w:t>付款方式</w:t>
            </w:r>
          </w:p>
        </w:tc>
        <w:tc>
          <w:tcPr>
            <w:tcW w:type="dxa" w:w="4153"/>
          </w:tcPr>
          <w:p>
            <w:pPr>
              <w:pStyle w:val="null3"/>
            </w:pPr>
            <w:r>
              <w:rPr/>
              <w:t>第1期为(预付款)：支付比例60%，合同签订且收到中标人出具的等额发票后10个工作日内支付合同总额的60%。</w:t>
            </w:r>
          </w:p>
          <w:p>
            <w:pPr>
              <w:pStyle w:val="null3"/>
            </w:pPr>
            <w:r>
              <w:rPr/>
              <w:t>第2期为(进度款)：支付比例30%，合同签订之日起满三个月，收到中标人出具的等额发票后10个工作日内支付合同总额的30%。</w:t>
            </w:r>
          </w:p>
          <w:p>
            <w:pPr>
              <w:pStyle w:val="null3"/>
            </w:pPr>
            <w:r>
              <w:rPr/>
              <w:t>第3期为(尾款)：支付比例10%，服务期结束且通过采购人的验收，收到中标人出具的等额发票后10个工作日内支付合同总额的10%。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要求供应商提交项目实施总结报告，对本项目在服务期内的项目内容实施情况进行分类总结，自查是否满足项目实施相关要求。如服务项目期结束，若验收评审的结果无法满足采购人验收要求则视为本次运维服务未通过验收和完成，需要继续按评审结果进行改进，直至达到验收标准。验收应包括但不限于以下文档：（1）项目总结报告；（2）各项成果及佐证材料。</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服务形式，供应商应以SaaS服务的形式提供预审管理平台相关服务内容，要求预审管理系统安全防护等级达到网络安全等级保护2.0（三级）及以上，并且供应商应承担系统网络安全等级保护2.0（三级）及以上涉及的软硬件设施及测评相关费用及工作。</w:t>
            </w:r>
          </w:p>
          <w:p>
            <w:pPr>
              <w:pStyle w:val="null3"/>
            </w:pPr>
            <w:r>
              <w:rPr/>
              <w:t>二、售后服务要求，维护期内，供应商应提供5×8小时的技术咨询和故障报修服务，5×12小时热线电话、远程在线诊断以及Email和传真支持服务，故障报修的响应时间为30分钟，供应商需在2小时内解决故障或给出故障解决方案，1个工作日内解决问题。 维护期内，供应商需提供技术服务保障人员，为采购人提供技术咨询、故障诊断分析和处理服务。</w:t>
            </w:r>
          </w:p>
          <w:p>
            <w:pPr>
              <w:pStyle w:val="null3"/>
            </w:pPr>
            <w:r>
              <w:rPr/>
              <w:t>三、培训要求，供应商应提供管理平台操作培训方案，方案内容包括但不限于培训方式、培训课时及培训目标成果等内容。</w:t>
            </w:r>
          </w:p>
          <w:p>
            <w:pPr>
              <w:pStyle w:val="null3"/>
            </w:pPr>
            <w:r>
              <w:rPr/>
              <w:t>四、其他要求，自主知识产权要求：投标人具有专利预审服务平台（或专利预审管理平台）的开发能力，拥有自主知识产权的专利预审相关平台；具有专利预审服务平台（或专利预审管理平台）信用管理的能力，拥有相关信用管理系统的自主知识产权。</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软件运营服务</w:t>
            </w:r>
          </w:p>
        </w:tc>
        <w:tc>
          <w:tcPr>
            <w:tcW w:type="dxa" w:w="933"/>
          </w:tcPr>
          <w:p>
            <w:pPr>
              <w:pStyle w:val="null3"/>
              <w:jc w:val="left"/>
            </w:pPr>
            <w:r>
              <w:rPr/>
              <w:t>省知识产权保护中心广东省专利预审协作平台租赁项目(2025年)</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400,000.00</w:t>
            </w:r>
          </w:p>
        </w:tc>
        <w:tc>
          <w:tcPr>
            <w:tcW w:type="dxa" w:w="933"/>
          </w:tcPr>
          <w:p>
            <w:pPr>
              <w:pStyle w:val="null3"/>
              <w:jc w:val="right"/>
            </w:pPr>
            <w:r>
              <w:rPr/>
              <w:t>400,000.00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省知识产权保护中心广东省专利预审协作平台租赁项目(2025年)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left"/>
            </w:pPr>
            <w:r>
              <w:rPr>
                <w:sz w:val="21"/>
                <w:b/>
              </w:rPr>
              <w:t>一、总体技术路线</w:t>
            </w:r>
          </w:p>
          <w:p>
            <w:pPr>
              <w:pStyle w:val="null3"/>
              <w:ind w:firstLine="422"/>
              <w:jc w:val="left"/>
            </w:pPr>
            <w:r>
              <w:rPr>
                <w:sz w:val="21"/>
              </w:rPr>
              <w:t>省知识产权保护中心广东省专利预审协作平台租赁项目</w:t>
            </w:r>
            <w:r>
              <w:rPr>
                <w:sz w:val="21"/>
              </w:rPr>
              <w:t>(2025年)在技术路线选择上会遵循兼容性、稳定性、扩展性和安全性等原则，采用合理、成熟、弹性好的技术方案。拟采用B/S架构，基于Java语言开发实现。从关键技术的角度看，业务目标的达成需要规范化数据接口服务设计、大数据相关技术、面向服务架构、基于安全XML数据交换、基于主流的数据库及操作系统等多项关键技术的支撑，综合产品功能的重要性、业务模型的完备性以及相关技术的成熟性。</w:t>
            </w:r>
          </w:p>
        </w:tc>
      </w:tr>
      <w:tr>
        <w:tc>
          <w:tcPr>
            <w:tcW w:type="dxa" w:w="2076"/>
          </w:tcPr>
          <w:p/>
        </w:tc>
        <w:tc>
          <w:tcPr>
            <w:tcW w:type="dxa" w:w="415"/>
          </w:tcPr>
          <w:p>
            <w:pPr>
              <w:pStyle w:val="null3"/>
            </w:pPr>
            <w:r>
              <w:rPr/>
              <w:t>2</w:t>
            </w:r>
          </w:p>
        </w:tc>
        <w:tc>
          <w:tcPr>
            <w:tcW w:type="dxa" w:w="5814"/>
          </w:tcPr>
          <w:p>
            <w:pPr>
              <w:pStyle w:val="null3"/>
              <w:ind w:firstLine="422"/>
              <w:jc w:val="left"/>
            </w:pPr>
            <w:r>
              <w:rPr>
                <w:sz w:val="21"/>
                <w:b/>
              </w:rPr>
              <w:t>二、总体功能要求</w:t>
            </w:r>
          </w:p>
          <w:p>
            <w:pPr>
              <w:pStyle w:val="null3"/>
              <w:ind w:firstLine="420"/>
              <w:jc w:val="left"/>
            </w:pPr>
            <w:r>
              <w:rPr>
                <w:sz w:val="21"/>
              </w:rPr>
              <w:t>▲1、预审管理系统可实现对接国家知识产权局非正常申请主体数据，对非正常申请主体进行在线实时识别，</w:t>
            </w:r>
            <w:r>
              <w:rPr>
                <w:sz w:val="21"/>
                <w:b/>
              </w:rPr>
              <w:t>在投标文件中详细描述对接国家知识产权局非正常申请主体数据库具体对接内容及此功能具体实现方式，提供直观原型界面截图展示。</w:t>
            </w:r>
          </w:p>
          <w:p>
            <w:pPr>
              <w:pStyle w:val="null3"/>
              <w:ind w:firstLine="420"/>
              <w:jc w:val="left"/>
            </w:pPr>
            <w:r>
              <w:rPr>
                <w:sz w:val="21"/>
              </w:rPr>
              <w:t>▲2、预审管理系统可实现与国家知识产权局专利审查数据接口对接，自动导入预审案件后续的审批及法律状态的功能，要求此功能必须以接口形式对接国家知识产权局专利审查数据，</w:t>
            </w:r>
            <w:r>
              <w:rPr>
                <w:sz w:val="21"/>
                <w:b/>
              </w:rPr>
              <w:t>在投标文件中详细描述此功能具体实现方式，提供直观原型界面截图展示。</w:t>
            </w:r>
          </w:p>
          <w:p>
            <w:pPr>
              <w:pStyle w:val="null3"/>
              <w:ind w:firstLine="420"/>
              <w:jc w:val="left"/>
            </w:pPr>
            <w:r>
              <w:rPr>
                <w:sz w:val="21"/>
              </w:rPr>
              <w:t>▲3、预审管理系统可提供专利自动分类功能，实现IPC和洛迦诺自动分类，</w:t>
            </w:r>
            <w:r>
              <w:rPr>
                <w:sz w:val="21"/>
                <w:b/>
              </w:rPr>
              <w:t>在投标文件中详细描述此功能实现方式，提供直观原型界面截图展示。</w:t>
            </w:r>
          </w:p>
          <w:p>
            <w:pPr>
              <w:pStyle w:val="null3"/>
              <w:ind w:firstLine="420"/>
              <w:jc w:val="left"/>
            </w:pPr>
            <w:r>
              <w:rPr>
                <w:sz w:val="21"/>
              </w:rPr>
              <w:t>▲4、预审管理系统具备多维度、多指标、多视图的可视化统计分析功能，能实现保护中心正式备案企业名单、产业领域、技术领域和统计报表等数据自动按照国家局规范要求进行数据上报，</w:t>
            </w:r>
            <w:r>
              <w:rPr>
                <w:sz w:val="21"/>
                <w:b/>
              </w:rPr>
              <w:t>在投标文件中提供直观原型界面截图展示。</w:t>
            </w:r>
          </w:p>
          <w:p>
            <w:pPr>
              <w:pStyle w:val="null3"/>
              <w:ind w:firstLine="420"/>
              <w:jc w:val="left"/>
            </w:pPr>
            <w:r>
              <w:rPr>
                <w:sz w:val="21"/>
              </w:rPr>
              <w:t>▲5、预审管理系统具备智能形审、智能检索、通知书辅助撰写、智能生成检索报告的预审审查智能辅助功能，</w:t>
            </w:r>
            <w:r>
              <w:rPr>
                <w:sz w:val="21"/>
                <w:b/>
              </w:rPr>
              <w:t>在投标文件中提供直观原型界面截图展示。</w:t>
            </w:r>
          </w:p>
          <w:p>
            <w:pPr>
              <w:pStyle w:val="null3"/>
              <w:ind w:firstLine="420"/>
              <w:jc w:val="left"/>
            </w:pPr>
            <w:r>
              <w:rPr>
                <w:sz w:val="21"/>
              </w:rPr>
              <w:t>▲6、预审管理系统具备申请主体和代理机构提交案件取预约号的机制，</w:t>
            </w:r>
            <w:r>
              <w:rPr>
                <w:sz w:val="21"/>
                <w:b/>
              </w:rPr>
              <w:t>在投标文件中提供直观原型界面截图展示。</w:t>
            </w:r>
          </w:p>
          <w:p>
            <w:pPr>
              <w:pStyle w:val="null3"/>
              <w:ind w:firstLine="420"/>
              <w:jc w:val="left"/>
            </w:pPr>
            <w:r>
              <w:rPr>
                <w:sz w:val="21"/>
              </w:rPr>
              <w:t>▲7、预审管理系统可支持保护中心对申请主体和代理机构进行主动管理、批量管控的信用管理功能，</w:t>
            </w:r>
            <w:r>
              <w:rPr>
                <w:sz w:val="21"/>
                <w:b/>
              </w:rPr>
              <w:t>在投标文件中提供直观原型界面截图展示。</w:t>
            </w:r>
          </w:p>
          <w:p>
            <w:pPr>
              <w:pStyle w:val="null3"/>
              <w:ind w:firstLine="420"/>
              <w:jc w:val="left"/>
            </w:pPr>
            <w:r>
              <w:rPr>
                <w:sz w:val="21"/>
              </w:rPr>
              <w:t>▲8、预审管理系统可同时支持预审案件的自动分配功能和人工分配功能，提供产业领域自动审核功能及备案审核自动盖电子章功能，</w:t>
            </w:r>
            <w:r>
              <w:rPr>
                <w:sz w:val="21"/>
                <w:b/>
              </w:rPr>
              <w:t>在投标文件中提供直观原型界面截图展示。</w:t>
            </w:r>
          </w:p>
          <w:p>
            <w:pPr>
              <w:pStyle w:val="null3"/>
              <w:ind w:firstLine="420"/>
              <w:jc w:val="left"/>
            </w:pPr>
            <w:r>
              <w:rPr>
                <w:sz w:val="21"/>
              </w:rPr>
              <w:t>▲9、预审管理系统具备打标案件信息导出、预审文件合成PDF及下载的功能，能够支持预审员便利、快速对接中国专利智能审查和检索系统的相关操作。</w:t>
            </w:r>
          </w:p>
          <w:p>
            <w:pPr>
              <w:pStyle w:val="null3"/>
              <w:ind w:firstLine="420"/>
              <w:jc w:val="left"/>
            </w:pPr>
            <w:r>
              <w:rPr>
                <w:sz w:val="21"/>
              </w:rPr>
              <w:t>▲10、预审管理系统可支持保护中心通过可视化大屏多维度管理预审业务相关数据，可视化大屏的维度不少于10个。</w:t>
            </w:r>
          </w:p>
        </w:tc>
      </w:tr>
      <w:tr>
        <w:tc>
          <w:tcPr>
            <w:tcW w:type="dxa" w:w="2076"/>
          </w:tcPr>
          <w:p/>
        </w:tc>
        <w:tc>
          <w:tcPr>
            <w:tcW w:type="dxa" w:w="415"/>
          </w:tcPr>
          <w:p>
            <w:pPr>
              <w:pStyle w:val="null3"/>
            </w:pPr>
            <w:r>
              <w:rPr/>
              <w:t>3</w:t>
            </w:r>
          </w:p>
        </w:tc>
        <w:tc>
          <w:tcPr>
            <w:tcW w:type="dxa" w:w="5814"/>
          </w:tcPr>
          <w:p>
            <w:pPr>
              <w:pStyle w:val="null3"/>
              <w:ind w:firstLine="422"/>
              <w:jc w:val="left"/>
            </w:pPr>
            <w:r>
              <w:rPr>
                <w:sz w:val="21"/>
                <w:b/>
              </w:rPr>
              <w:t>三、功能需求</w:t>
            </w:r>
          </w:p>
          <w:p>
            <w:pPr>
              <w:pStyle w:val="null3"/>
              <w:ind w:firstLine="420"/>
              <w:jc w:val="left"/>
            </w:pPr>
            <w:r>
              <w:rPr>
                <w:sz w:val="21"/>
              </w:rPr>
              <w:t>省知识产权保护中心广东省专利预审协作平台租赁项目</w:t>
            </w:r>
            <w:r>
              <w:rPr>
                <w:sz w:val="21"/>
              </w:rPr>
              <w:t>(2025年)包括电子申请功能模块、注册备案审核模块、专利申请预审管理功能模块等18个功能模块对应成品软件租赁服务。具体功能模块如下表所示</w:t>
            </w:r>
          </w:p>
          <w:p>
            <w:pPr>
              <w:pStyle w:val="null3"/>
              <w:ind w:firstLine="420"/>
              <w:jc w:val="left"/>
            </w:pPr>
            <w:r>
              <w:rPr>
                <w:sz w:val="21"/>
              </w:rPr>
              <w:t>表</w:t>
            </w:r>
            <w:r>
              <w:rPr>
                <w:sz w:val="21"/>
              </w:rPr>
              <w:t xml:space="preserve">1 </w:t>
            </w:r>
            <w:r>
              <w:rPr>
                <w:sz w:val="21"/>
              </w:rPr>
              <w:t>省知识产权保护中心广东省专利预审协作平台租赁项目</w:t>
            </w:r>
            <w:r>
              <w:rPr>
                <w:sz w:val="21"/>
              </w:rPr>
              <w:t>(2025年)功能需求表</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序号</w:t>
                  </w:r>
                </w:p>
              </w:tc>
              <w:tc>
                <w:tcPr>
                  <w:tcW w:type="dxa" w:w="186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功能模块</w:t>
                  </w:r>
                </w:p>
              </w:tc>
              <w:tc>
                <w:tcPr>
                  <w:tcW w:type="dxa" w:w="186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功能需求</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电子申请功能模块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提供申请主体和代理机构在线注册、备案申请、信息变更、申请主体委托代理机构、预审案件提交、修改及查询。</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2</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注册备案审核功能模块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包括申请主体注册审核、代理机构注册审核、申请主体备案审核、导出备案信息、录入局审核结果、信息变更审核及管理。</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3</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专利领域管理功能模块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包括产业领域、技术领域配置、查询功能</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4</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专利申请预审管理功能模块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包括领域审查、案件分类、案件自动分配、预审审查、案件互检、质检等专利申请预审审查流程节点</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5</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复审请求预审管理功能模块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包括领域审查、案件自动分配、预审审查等专利复审请求预审审查流程节点</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6</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无效请求预审管理功能模块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包括领域审查、案件自动分配、预审审查等专利无效请求预审审查流程节点</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7</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专利权评价报告处理预审管理功能模块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包括领域审查、案件自动分配、预审审查等专利权评价报告请求预审审查流程节点</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8</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自动分类服务功能模块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可根据预审案件的申请文件自动给出</w:t>
                  </w:r>
                  <w:r>
                    <w:rPr>
                      <w:sz w:val="21"/>
                    </w:rPr>
                    <w:t>IPC小类分类号、洛迦诺小类分类号</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9</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统计查询功能模块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提供信息查询、信息统计模块对申请主体、代理机构和预审案件情况进行相关查询和统计</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10</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系统管理功能模块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根据业务流程实际情况，支持对系统用户、角色、权限、预审相关流程及规则进行配置</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11</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智能辅助审查功能模块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实现预审案件资格审查、预审审查的智能辅助功能</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12</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数据上报国知局功能模块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提供备案信息、预审案件信息等数据统计表格辅助信息上报</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13</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非正常申请主体验证功能模块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在企事业单位备案审核时，提供与国家知识产权局非正常申请主体数据库进行验证</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14</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预审数据大屏功能模块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为保护中心的管理者提供多维度的可视化数据展示。分析的数据不限于预审周期统计数据、预审申请主体数据、预审案件数据等。</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15</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操作帮助功能模块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为用户提供使用指导和操作技巧指导，通过该功能对用户使用过程中遇到的问题进行针对性解答。</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16</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案件提交预约管理模块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为申请主体</w:t>
                  </w:r>
                  <w:r>
                    <w:rPr>
                      <w:sz w:val="21"/>
                    </w:rPr>
                    <w:t>/代理机构提交预审案件提供预约机制，取预约号之后保护中心对预约号进行管理实现对申请主体/代理机构案件额度进行控制。</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17</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预审案件自检功能配置模块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提供案件自检功能，强制约束申请人对形式缺陷等进行自检，自检的内容不限于文件的完整性，还要符合专利法、专利实施细则、审查指南的相关规定。</w:t>
                  </w:r>
                </w:p>
              </w:tc>
            </w:tr>
            <w:tr>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18</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信用管理模块</w:t>
                  </w:r>
                </w:p>
              </w:tc>
              <w:tc>
                <w:tcPr>
                  <w:tcW w:type="dxa" w:w="186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为用户提供对申请主体、代理机构主动管理、批量管理操作，操作支持审核机制并提供多类型标签提醒功能，辅助保护中心对主体预审行为管理和案件审查流程。</w:t>
                  </w:r>
                </w:p>
              </w:tc>
            </w:tr>
          </w:tbl>
          <w:p>
            <w:pPr>
              <w:pStyle w:val="null3"/>
            </w:pPr>
            <w:r>
              <w:rPr/>
              <w:t xml:space="preserve"> </w:t>
            </w:r>
          </w:p>
        </w:tc>
      </w:tr>
      <w:tr>
        <w:tc>
          <w:tcPr>
            <w:tcW w:type="dxa" w:w="2076"/>
          </w:tcPr>
          <w:p/>
        </w:tc>
        <w:tc>
          <w:tcPr>
            <w:tcW w:type="dxa" w:w="415"/>
          </w:tcPr>
          <w:p>
            <w:pPr>
              <w:pStyle w:val="null3"/>
            </w:pPr>
            <w:r>
              <w:rPr/>
              <w:t>4</w:t>
            </w:r>
          </w:p>
        </w:tc>
        <w:tc>
          <w:tcPr>
            <w:tcW w:type="dxa" w:w="5814"/>
          </w:tcPr>
          <w:p>
            <w:pPr>
              <w:pStyle w:val="null3"/>
              <w:ind w:firstLine="422"/>
              <w:jc w:val="left"/>
            </w:pPr>
            <w:r>
              <w:rPr>
                <w:sz w:val="21"/>
                <w:b/>
              </w:rPr>
              <w:t>四、性能需求</w:t>
            </w:r>
          </w:p>
          <w:p>
            <w:pPr>
              <w:pStyle w:val="null3"/>
              <w:ind w:firstLine="422"/>
              <w:jc w:val="left"/>
            </w:pPr>
            <w:r>
              <w:rPr>
                <w:sz w:val="21"/>
              </w:rPr>
              <w:t>要求服务功能的年可用率</w:t>
            </w:r>
            <w:r>
              <w:rPr>
                <w:sz w:val="21"/>
              </w:rPr>
              <w:t>≥99.9%，普通页面反应时间不超过3秒，统计查询页面响应时间不超过5秒，高并发时查询页面响应时间不超过10秒。</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广东省知识产权保护中心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采购机构代理服务收费标准：采购代理机构向中标人收取代理服务费，本次代理服务费为定额收费，金额为：柒仟伍佰元整。（2）增值税另行计入代理服务费中。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知识产权保护中心广东省专利预审协作平台租赁项目(2025年))：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采购包1（省知识产权保护中心广东省专利预审协作平台租赁项目(2025年)）：</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采购包1（省知识产权保护中心广东省专利预审协作平台租赁项目(2025年)）：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采购包1（省知识产权保护中心广东省专利预审协作平台租赁项目(2025年)）：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采购包1(省知识产权保护中心广东省专利预审协作平台租赁项目(2025年)):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▲参数响应程度 (30.0分)</w:t>
            </w:r>
          </w:p>
        </w:tc>
        <w:tc>
          <w:tcPr>
            <w:tcW w:type="dxa" w:w="5076"/>
          </w:tcPr>
          <w:p>
            <w:pPr>
              <w:pStyle w:val="null3"/>
              <w:jc w:val="left"/>
            </w:pPr>
            <w:r>
              <w:rPr/>
              <w:t>投标人对采购需求中▲参数进行一一响应，每满足一项得3分，最高得30分。 注：采购需求中要求提供证明材料的须提供证明材料，否则视为负偏离。负偏离或不响应的不得分。</w:t>
            </w:r>
          </w:p>
        </w:tc>
      </w:tr>
      <w:tr>
        <w:tc>
          <w:tcPr>
            <w:tcW w:type="dxa" w:w="922"/>
            <w:gridSpan w:val="2"/>
            <w:vMerge/>
          </w:tcPr>
          <w:p/>
        </w:tc>
        <w:tc>
          <w:tcPr>
            <w:tcW w:type="dxa" w:w="2307"/>
          </w:tcPr>
          <w:p>
            <w:pPr>
              <w:pStyle w:val="null3"/>
              <w:jc w:val="left"/>
            </w:pPr>
            <w:r>
              <w:rPr/>
              <w:t>项目理解能力 (4.0分)</w:t>
            </w:r>
          </w:p>
        </w:tc>
        <w:tc>
          <w:tcPr>
            <w:tcW w:type="dxa" w:w="5076"/>
          </w:tcPr>
          <w:p>
            <w:pPr>
              <w:pStyle w:val="null3"/>
              <w:jc w:val="left"/>
            </w:pPr>
            <w:r>
              <w:rPr/>
              <w:t>充分理解项目建设目标、业务需求的，要求理解深刻、认识清晰、分析全面。 描述清晰、内容完整得4分，理解缺失或合理性较差得2分，提供不完整或描述不清晰得1分，不提供不得分。</w:t>
            </w:r>
          </w:p>
        </w:tc>
      </w:tr>
      <w:tr>
        <w:tc>
          <w:tcPr>
            <w:tcW w:type="dxa" w:w="922"/>
            <w:gridSpan w:val="2"/>
            <w:vMerge/>
          </w:tcPr>
          <w:p/>
        </w:tc>
        <w:tc>
          <w:tcPr>
            <w:tcW w:type="dxa" w:w="2307"/>
          </w:tcPr>
          <w:p>
            <w:pPr>
              <w:pStyle w:val="null3"/>
              <w:jc w:val="left"/>
            </w:pPr>
            <w:r>
              <w:rPr/>
              <w:t>总体设计 (4.0分)</w:t>
            </w:r>
          </w:p>
        </w:tc>
        <w:tc>
          <w:tcPr>
            <w:tcW w:type="dxa" w:w="5076"/>
          </w:tcPr>
          <w:p>
            <w:pPr>
              <w:pStyle w:val="null3"/>
              <w:jc w:val="left"/>
            </w:pPr>
            <w:r>
              <w:rPr/>
              <w:t>系统功能设计全面、完整，具有延续性，满足不同需求权限的用户配置，按照保护中心实际业务需求详细设计系统各功能，系统流程设计合理，符合业务要求。 描述清晰、内容完整得4分，内容缺失或合理性较差得2分，提供不完整或描述不清晰得1分，不提供不得分。</w:t>
            </w:r>
          </w:p>
        </w:tc>
      </w:tr>
      <w:tr>
        <w:tc>
          <w:tcPr>
            <w:tcW w:type="dxa" w:w="922"/>
            <w:gridSpan w:val="2"/>
            <w:vMerge/>
          </w:tcPr>
          <w:p/>
        </w:tc>
        <w:tc>
          <w:tcPr>
            <w:tcW w:type="dxa" w:w="2307"/>
          </w:tcPr>
          <w:p>
            <w:pPr>
              <w:pStyle w:val="null3"/>
              <w:jc w:val="left"/>
            </w:pPr>
            <w:r>
              <w:rPr/>
              <w:t>服务方案 (8.0分)</w:t>
            </w:r>
          </w:p>
        </w:tc>
        <w:tc>
          <w:tcPr>
            <w:tcW w:type="dxa" w:w="5076"/>
          </w:tcPr>
          <w:p>
            <w:pPr>
              <w:pStyle w:val="null3"/>
              <w:jc w:val="left"/>
            </w:pPr>
            <w:r>
              <w:rPr/>
              <w:t>投标人以SaaS服务形式提供预审管理系统服务，要求预审管理系统安全防护等级达到网络安全等级保护2.0（三级）及以上（须提供等保备案证明、年度测评报告首页、年度测评报告基本信息表页、年度测评报告测评结论页等证明），且能提供不少于3家服务案例说明： 方案内容完整、清晰合理、证件完整、服务案例说明不少于3家，得8分，方案内容较完整、较清晰合理、证件完整、服务案例说明不少于3家，得5分，方案内容有缺失或合理性较差得2分，不提供不得分。</w:t>
            </w:r>
          </w:p>
        </w:tc>
      </w:tr>
      <w:tr>
        <w:tc>
          <w:tcPr>
            <w:tcW w:type="dxa" w:w="922"/>
            <w:gridSpan w:val="2"/>
            <w:vMerge/>
          </w:tcPr>
          <w:p/>
        </w:tc>
        <w:tc>
          <w:tcPr>
            <w:tcW w:type="dxa" w:w="2307"/>
          </w:tcPr>
          <w:p>
            <w:pPr>
              <w:pStyle w:val="null3"/>
              <w:jc w:val="left"/>
            </w:pPr>
            <w:r>
              <w:rPr/>
              <w:t>实施方案 (5.0分)</w:t>
            </w:r>
          </w:p>
        </w:tc>
        <w:tc>
          <w:tcPr>
            <w:tcW w:type="dxa" w:w="5076"/>
          </w:tcPr>
          <w:p>
            <w:pPr>
              <w:pStyle w:val="null3"/>
              <w:jc w:val="left"/>
            </w:pPr>
            <w:r>
              <w:rPr/>
              <w:t>投标人结合项目实际，制定完整的合理的项目实施方案，组建项目团队，进行合理的项目实施进度安排，制定质量保障措施： 描述清晰、内容完整得5分，内容缺失或合理性较差得3分，提供不完整或描述不清晰得1分，不提供不得分。</w:t>
            </w:r>
          </w:p>
        </w:tc>
      </w:tr>
      <w:tr>
        <w:tc>
          <w:tcPr>
            <w:tcW w:type="dxa" w:w="922"/>
            <w:gridSpan w:val="2"/>
            <w:vMerge/>
          </w:tcPr>
          <w:p/>
        </w:tc>
        <w:tc>
          <w:tcPr>
            <w:tcW w:type="dxa" w:w="2307"/>
          </w:tcPr>
          <w:p>
            <w:pPr>
              <w:pStyle w:val="null3"/>
              <w:jc w:val="left"/>
            </w:pPr>
            <w:r>
              <w:rPr/>
              <w:t>培训方案 (4.0分)</w:t>
            </w:r>
          </w:p>
        </w:tc>
        <w:tc>
          <w:tcPr>
            <w:tcW w:type="dxa" w:w="5076"/>
          </w:tcPr>
          <w:p>
            <w:pPr>
              <w:pStyle w:val="null3"/>
              <w:jc w:val="left"/>
            </w:pPr>
            <w:r>
              <w:rPr/>
              <w:t>投标人结合项目实际，制定合理的项目培训方案，满足培训需求，培训配置合理完善，切实可行。 描述清晰、内容完整得4分，内容缺失或合理性较差得2分，提供不完整或描述不清晰得1分，不提供不得分。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投标人结合项目实际，制定合理的售后服务方案（包括系统容灾方案、安全保障措施、应急服务方案、售后服务保障等），方案合理、切实可行。 描述清晰、内容完整得5分，内容缺失或合理性较差得3分，提供不完整或描述不清晰得1分，不提供不得分。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类似业绩 (20.0分)</w:t>
            </w:r>
          </w:p>
        </w:tc>
        <w:tc>
          <w:tcPr>
            <w:tcW w:type="dxa" w:w="5076"/>
          </w:tcPr>
          <w:p>
            <w:pPr>
              <w:pStyle w:val="null3"/>
              <w:jc w:val="left"/>
            </w:pPr>
            <w:r>
              <w:rPr/>
              <w:t>1、供应商近三年提供过信息化预审相关业务服务，每提供一个得2分，最高得8分。 2、供应商近三年提供过案件提交预约管理相关业务服务，每提供一个得2分，最高得4分。 3、供应商近三年提供过预审案件自检功能相关业务服务，每提供一个得2分，最高得4分。 4、供应商近三年提供过信用管理相关业务服务，每提供一个得2分，最高得4分。 注：同一合同同时包含上述2项或以上不同内容的，可重复计算得分。须提供每个项目的合同复印件（包括首页、金额页、工作内容页、盖章页），否则不予计分。</w:t>
            </w:r>
          </w:p>
        </w:tc>
      </w:tr>
      <w:tr>
        <w:tc>
          <w:tcPr>
            <w:tcW w:type="dxa" w:w="922"/>
            <w:gridSpan w:val="2"/>
            <w:vMerge/>
          </w:tcPr>
          <w:p/>
        </w:tc>
        <w:tc>
          <w:tcPr>
            <w:tcW w:type="dxa" w:w="2307"/>
          </w:tcPr>
          <w:p>
            <w:pPr>
              <w:pStyle w:val="null3"/>
              <w:jc w:val="left"/>
            </w:pPr>
            <w:r>
              <w:rPr/>
              <w:t>自主知识产权 (10.0分)</w:t>
            </w:r>
          </w:p>
        </w:tc>
        <w:tc>
          <w:tcPr>
            <w:tcW w:type="dxa" w:w="5076"/>
          </w:tcPr>
          <w:p>
            <w:pPr>
              <w:pStyle w:val="null3"/>
              <w:jc w:val="left"/>
            </w:pPr>
            <w:r>
              <w:rPr/>
              <w:t>1、供应商具有专利预审服务平台（或专利预审管理平台）的开发能力，拥有自主知识产权的专利预审相关平台，得5分。 2、供应商具有专利预审服务平台（或专利预审管理平台）信用管理的能力，拥有相关信用管理系统的自主知识产权的得5分。 注：以上每个评分项均须提供软件著作权证书或其他自主知识产权证明的复印件，否则不予计分。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color w:val="000000"/>
        </w:rPr>
        <w:t>省知识产权保护中心广东省专利预审协作平台租赁项目</w:t>
      </w:r>
      <w:r>
        <w:rPr>
          <w:sz w:val="44"/>
          <w:b/>
          <w:color w:val="000000"/>
        </w:rPr>
        <w:t>(2025年)</w:t>
      </w:r>
    </w:p>
    <w:p>
      <w:pPr>
        <w:pStyle w:val="null3"/>
        <w:jc w:val="center"/>
      </w:pPr>
      <w:r>
        <w:rPr>
          <w:sz w:val="72"/>
          <w:b/>
        </w:rPr>
        <w:t>合同书</w:t>
      </w:r>
    </w:p>
    <w:p>
      <w:pPr>
        <w:pStyle w:val="null3"/>
        <w:jc w:val="center"/>
      </w:pPr>
      <w:r>
        <w:rPr>
          <w:sz w:val="28"/>
          <w:b/>
        </w:rPr>
        <w:t>项目名称：</w:t>
      </w:r>
      <w:r>
        <w:rPr>
          <w:sz w:val="21"/>
          <w:b/>
          <w:u w:val="single"/>
        </w:rPr>
        <w:t xml:space="preserve">                           </w:t>
      </w:r>
    </w:p>
    <w:p>
      <w:pPr>
        <w:pStyle w:val="null3"/>
        <w:ind w:left="1680"/>
        <w:jc w:val="both"/>
      </w:pPr>
      <w:r>
        <w:rPr>
          <w:sz w:val="28"/>
          <w:b/>
        </w:rPr>
        <w:t>合同编号：</w:t>
      </w:r>
      <w:r>
        <w:rPr>
          <w:sz w:val="21"/>
          <w:b/>
          <w:u w:val="single"/>
        </w:rPr>
        <w:t xml:space="preserve">                           </w:t>
      </w:r>
    </w:p>
    <w:p>
      <w:pPr>
        <w:pStyle w:val="null3"/>
        <w:ind w:left="1680"/>
        <w:jc w:val="both"/>
      </w:pPr>
      <w:r>
        <w:rPr>
          <w:sz w:val="28"/>
          <w:b/>
        </w:rPr>
        <w:t>签约地点：</w:t>
      </w:r>
      <w:r>
        <w:rPr>
          <w:sz w:val="21"/>
          <w:b/>
          <w:u w:val="single"/>
        </w:rPr>
        <w:t xml:space="preserve">                           </w:t>
      </w:r>
    </w:p>
    <w:p>
      <w:pPr>
        <w:pStyle w:val="null3"/>
        <w:ind w:left="1680"/>
        <w:jc w:val="both"/>
      </w:pPr>
      <w:r>
        <w:rPr>
          <w:sz w:val="28"/>
          <w:b/>
        </w:rPr>
        <w:t>签订日期：</w:t>
      </w:r>
      <w:r>
        <w:rPr>
          <w:sz w:val="28"/>
          <w:b/>
        </w:rPr>
        <w:t xml:space="preserve">       </w:t>
      </w:r>
      <w:r>
        <w:rPr>
          <w:sz w:val="28"/>
          <w:b/>
        </w:rPr>
        <w:t>年</w:t>
      </w:r>
      <w:r>
        <w:rPr>
          <w:sz w:val="28"/>
          <w:b/>
        </w:rPr>
        <w:t xml:space="preserve">    </w:t>
      </w:r>
      <w:r>
        <w:rPr>
          <w:sz w:val="28"/>
          <w:b/>
        </w:rPr>
        <w:t>月</w:t>
      </w:r>
      <w:r>
        <w:rPr>
          <w:sz w:val="28"/>
          <w:b/>
        </w:rPr>
        <w:t xml:space="preserve">     </w:t>
      </w:r>
      <w:r>
        <w:rPr>
          <w:sz w:val="28"/>
          <w:b/>
        </w:rPr>
        <w:t>日</w:t>
      </w:r>
    </w:p>
    <w:p>
      <w:pPr>
        <w:pStyle w:val="null3"/>
        <w:jc w:val="both"/>
      </w:pPr>
      <w:r>
        <w:rPr>
          <w:sz w:val="21"/>
        </w:rPr>
        <w:t xml:space="preserve"> </w:t>
      </w:r>
    </w:p>
    <w:p>
      <w:pPr>
        <w:pStyle w:val="null3"/>
        <w:jc w:val="both"/>
      </w:pPr>
      <w:r>
        <w:rPr/>
        <w:t xml:space="preserve"> </w:t>
      </w:r>
    </w:p>
    <w:p>
      <w:pPr>
        <w:pStyle w:val="null3"/>
        <w:jc w:val="both"/>
      </w:pPr>
      <w:r>
        <w:rPr>
          <w:sz w:val="21"/>
          <w:b/>
          <w:color w:val="000000"/>
        </w:rPr>
        <w:t>甲</w:t>
      </w:r>
      <w:r>
        <w:rPr>
          <w:sz w:val="21"/>
          <w:b/>
          <w:color w:val="000000"/>
        </w:rPr>
        <w:t xml:space="preserve">  </w:t>
      </w:r>
      <w:r>
        <w:rPr>
          <w:sz w:val="21"/>
          <w:b/>
          <w:color w:val="000000"/>
        </w:rPr>
        <w:t>方：</w:t>
      </w:r>
      <w:r>
        <w:rPr>
          <w:sz w:val="21"/>
          <w:b/>
          <w:color w:val="000000"/>
          <w:u w:val="single"/>
        </w:rPr>
        <w:t>广东省知识产权保护中心</w:t>
      </w:r>
    </w:p>
    <w:p>
      <w:pPr>
        <w:pStyle w:val="null3"/>
        <w:jc w:val="both"/>
      </w:pPr>
      <w:r>
        <w:rPr>
          <w:sz w:val="21"/>
          <w:color w:val="000000"/>
        </w:rPr>
        <w:t>电</w:t>
      </w:r>
      <w:r>
        <w:rPr>
          <w:sz w:val="21"/>
          <w:color w:val="000000"/>
        </w:rPr>
        <w:t xml:space="preserve">  </w:t>
      </w:r>
      <w:r>
        <w:rPr>
          <w:sz w:val="21"/>
          <w:color w:val="000000"/>
        </w:rPr>
        <w:t>话：</w:t>
      </w:r>
      <w:r>
        <w:rPr>
          <w:sz w:val="21"/>
          <w:color w:val="000000"/>
        </w:rPr>
        <w:t xml:space="preserve">           </w:t>
      </w:r>
      <w:r>
        <w:rPr>
          <w:sz w:val="21"/>
          <w:color w:val="000000"/>
        </w:rPr>
        <w:t>传真：</w:t>
      </w:r>
      <w:r>
        <w:rPr>
          <w:sz w:val="21"/>
          <w:color w:val="000000"/>
        </w:rPr>
        <w:t xml:space="preserve">         </w:t>
      </w:r>
      <w:r>
        <w:rPr>
          <w:sz w:val="21"/>
          <w:color w:val="000000"/>
        </w:rPr>
        <w:t>地址：</w:t>
      </w:r>
    </w:p>
    <w:p>
      <w:pPr>
        <w:pStyle w:val="null3"/>
        <w:jc w:val="both"/>
      </w:pPr>
      <w:r>
        <w:rPr>
          <w:sz w:val="21"/>
          <w:b/>
          <w:color w:val="000000"/>
        </w:rPr>
        <w:t>乙</w:t>
      </w:r>
      <w:r>
        <w:rPr>
          <w:sz w:val="21"/>
          <w:b/>
          <w:color w:val="000000"/>
        </w:rPr>
        <w:t xml:space="preserve">  </w:t>
      </w:r>
      <w:r>
        <w:rPr>
          <w:sz w:val="21"/>
          <w:b/>
          <w:color w:val="000000"/>
        </w:rPr>
        <w:t>方：</w:t>
      </w:r>
      <w:r>
        <w:rPr>
          <w:sz w:val="21"/>
          <w:b/>
          <w:u w:val="single"/>
        </w:rPr>
        <w:t xml:space="preserve">                  </w:t>
      </w:r>
      <w:r>
        <w:br/>
      </w:r>
      <w:r>
        <w:rPr>
          <w:sz w:val="21"/>
          <w:color w:val="000000"/>
        </w:rPr>
        <w:t>电</w:t>
      </w:r>
      <w:r>
        <w:rPr>
          <w:sz w:val="21"/>
          <w:color w:val="000000"/>
        </w:rPr>
        <w:t xml:space="preserve">  </w:t>
      </w:r>
      <w:r>
        <w:rPr>
          <w:sz w:val="21"/>
          <w:color w:val="000000"/>
        </w:rPr>
        <w:t>话：</w:t>
      </w:r>
      <w:r>
        <w:rPr>
          <w:sz w:val="21"/>
          <w:color w:val="000000"/>
        </w:rPr>
        <w:t xml:space="preserve">              </w:t>
      </w:r>
      <w:r>
        <w:rPr>
          <w:sz w:val="21"/>
          <w:color w:val="000000"/>
        </w:rPr>
        <w:t>传真：</w:t>
      </w:r>
      <w:r>
        <w:rPr>
          <w:sz w:val="21"/>
          <w:color w:val="000000"/>
        </w:rPr>
        <w:t xml:space="preserve">         </w:t>
      </w:r>
      <w:r>
        <w:rPr>
          <w:sz w:val="21"/>
          <w:color w:val="000000"/>
        </w:rPr>
        <w:t>地址：</w:t>
      </w:r>
    </w:p>
    <w:p>
      <w:pPr>
        <w:pStyle w:val="null3"/>
        <w:jc w:val="both"/>
      </w:pPr>
      <w:r>
        <w:rPr>
          <w:sz w:val="21"/>
          <w:color w:val="000000"/>
        </w:rPr>
        <w:t>根据</w:t>
      </w:r>
      <w:r>
        <w:rPr>
          <w:sz w:val="21"/>
          <w:color w:val="000000"/>
          <w:u w:val="single"/>
        </w:rPr>
        <w:t xml:space="preserve"> </w:t>
      </w:r>
      <w:r>
        <w:rPr>
          <w:sz w:val="21"/>
          <w:color w:val="000000"/>
          <w:u w:val="single"/>
        </w:rPr>
        <w:t>省知识产权保护中心广东省专利预审协作平台租赁项目</w:t>
      </w:r>
      <w:r>
        <w:rPr>
          <w:sz w:val="21"/>
          <w:color w:val="000000"/>
          <w:u w:val="single"/>
        </w:rPr>
        <w:t xml:space="preserve">(2025年)  </w:t>
      </w:r>
      <w:r>
        <w:rPr>
          <w:sz w:val="21"/>
          <w:color w:val="000000"/>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jc w:val="both"/>
      </w:pPr>
      <w:r>
        <w:rPr>
          <w:sz w:val="21"/>
          <w:b/>
          <w:color w:val="000000"/>
        </w:rPr>
        <w:t>一、合同金额</w:t>
      </w:r>
    </w:p>
    <w:p>
      <w:pPr>
        <w:pStyle w:val="null3"/>
        <w:ind w:firstLine="420"/>
        <w:jc w:val="both"/>
      </w:pPr>
      <w:r>
        <w:rPr>
          <w:sz w:val="21"/>
          <w:color w:val="000000"/>
        </w:rPr>
        <w:t>合同金额为（大写）：</w:t>
      </w:r>
      <w:r>
        <w:rPr>
          <w:sz w:val="21"/>
          <w:b/>
          <w:u w:val="single"/>
        </w:rPr>
        <w:t xml:space="preserve">             </w:t>
      </w:r>
      <w:r>
        <w:rPr>
          <w:sz w:val="21"/>
          <w:color w:val="000000"/>
        </w:rPr>
        <w:t>元（￥</w:t>
      </w:r>
      <w:r>
        <w:rPr>
          <w:sz w:val="21"/>
          <w:b/>
          <w:u w:val="single"/>
        </w:rPr>
        <w:t xml:space="preserve">             </w:t>
      </w:r>
      <w:r>
        <w:rPr>
          <w:sz w:val="21"/>
          <w:color w:val="000000"/>
        </w:rPr>
        <w:t>元）人民币。</w:t>
      </w:r>
    </w:p>
    <w:p>
      <w:pPr>
        <w:pStyle w:val="null3"/>
        <w:jc w:val="both"/>
      </w:pPr>
      <w:r>
        <w:rPr>
          <w:sz w:val="21"/>
          <w:b/>
          <w:color w:val="000000"/>
        </w:rPr>
        <w:t>二、服务范围</w:t>
      </w:r>
    </w:p>
    <w:p>
      <w:pPr>
        <w:pStyle w:val="null3"/>
        <w:jc w:val="both"/>
      </w:pPr>
      <w:r>
        <w:rPr>
          <w:sz w:val="21"/>
          <w:color w:val="000000"/>
        </w:rPr>
        <w:t>　　甲方聘请乙方提供以下服务：</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474"/>
        <w:gridCol w:w="1651"/>
        <w:gridCol w:w="6182"/>
      </w:tblGrid>
      <w:tr>
        <w:tc>
          <w:tcPr>
            <w:tcW w:type="dxa" w:w="47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sz w:val="21"/>
                <w:b/>
              </w:rPr>
              <w:t>序号</w:t>
            </w:r>
          </w:p>
        </w:tc>
        <w:tc>
          <w:tcPr>
            <w:tcW w:type="dxa" w:w="16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功能模块</w:t>
            </w:r>
          </w:p>
        </w:tc>
        <w:tc>
          <w:tcPr>
            <w:tcW w:type="dxa" w:w="618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rPr>
              <w:t>功能需求</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电子申请功能模块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提供申请主体和代理机构在线注册、备案申请、信息变更、申请主体委托代理机构、预审案件提交、修改及查询。</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2</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注册备案审核功能模块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包括申请主体注册审核、代理机构注册审核、申请主体备案审核、导出备案信息、录入局审核结果、信息变更审核及管理。</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3</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专利领域管理功能模块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包括产业领域、技术领域配置、查询功能</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4</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专利申请预审管理功能模块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包括领域审查、案件分类、案件自动分配、预审审查、案件互检、质检等专利申请预审审查流程节点</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5</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复审请求预审管理功能模块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包括领域审查、案件自动分配、预审审查等专利复审请求预审审查流程节点</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6</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无效请求预审管理功能模块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包括领域审查、案件自动分配、预审审查等专利无效请求预审审查流程节点</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7</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专利权评价报告处理预审管理功能模块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包括领域审查、案件自动分配、预审审查等专利权评价报告请求预审审查流程节点</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8</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自动分类服务功能模块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可根据预审案件的申请文件自动给出</w:t>
            </w:r>
            <w:r>
              <w:rPr>
                <w:sz w:val="21"/>
              </w:rPr>
              <w:t>IPC小类分类号、洛迦诺小类分类号</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9</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统计查询功能模块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提供信息查询、信息统计模块对申请主体、代理机构和预审案件情况进行相关查询和统计</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10</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系统管理功能模块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根据业务流程实际情况，支持对系统用户、角色、权限、预审相关流程及规则进行配置</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11</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智能辅助审查功能模块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实现预审案件资格审查、预审审查的智能辅助功能</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12</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数据上报国知局功能模块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提供备案信息、预审案件信息等数据统计表格辅助信息上报</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13</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非正常申请主体验证功能模块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在企事业单位备案审核时，提供与国家知识产权局非正常申请主体数据库进行验证</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14</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预审数据大屏功能模块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为保护中心的管理者提供多维度的可视化数据展示。分析的数据不限于预审周期统计数据、预审申请主体数据、预审案件数据等。</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15</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操作帮助功能模块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为用户提供使用指导和操作技巧指导，通过该功能对用户使用过程中遇到的问题进行针对性解答。</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16</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案件提交预约管理模块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为申请主体</w:t>
            </w:r>
            <w:r>
              <w:rPr>
                <w:sz w:val="21"/>
              </w:rPr>
              <w:t>/代理机构提交预审案件提供预约机制，取预约号之后保护中心对预约号进行管理实现对申请主体/代理机构案件额度进行控制。</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17</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预审案件自检功能配置模块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提供案件自检功能，强制约束申请人对形式缺陷等进行自检，自检的内容不限于文件的完整性，还要符合专利法、专利实施细则、审查指南的相关规定。</w:t>
            </w:r>
          </w:p>
        </w:tc>
      </w:tr>
      <w:tr>
        <w:tc>
          <w:tcPr>
            <w:tcW w:type="dxa" w:w="47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18</w:t>
            </w:r>
          </w:p>
        </w:tc>
        <w:tc>
          <w:tcPr>
            <w:tcW w:type="dxa" w:w="16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pPr>
            <w:r>
              <w:rPr>
                <w:sz w:val="21"/>
              </w:rPr>
              <w:t>信用管理模块</w:t>
            </w:r>
          </w:p>
        </w:tc>
        <w:tc>
          <w:tcPr>
            <w:tcW w:type="dxa" w:w="618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为用户提供对申请主体、代理机构主动管理、批量管理操作，操作支持审核机制并提供多类型标签提醒功能，辅助保护中心对主体预审行为管理和案件审查流程。</w:t>
            </w:r>
          </w:p>
        </w:tc>
      </w:tr>
    </w:tbl>
    <w:p>
      <w:pPr>
        <w:pStyle w:val="null3"/>
        <w:ind w:firstLine="420"/>
        <w:jc w:val="both"/>
      </w:pPr>
      <w:r>
        <w:rPr>
          <w:sz w:val="21"/>
          <w:b/>
          <w:color w:val="000000"/>
        </w:rPr>
        <w:t>三、甲方乙方的权利和义务</w:t>
      </w:r>
    </w:p>
    <w:p>
      <w:pPr>
        <w:pStyle w:val="null3"/>
        <w:jc w:val="both"/>
      </w:pPr>
      <w:r>
        <w:rPr>
          <w:sz w:val="21"/>
        </w:rPr>
        <w:t>（一）甲方的权利和义务：</w:t>
      </w:r>
    </w:p>
    <w:p>
      <w:pPr>
        <w:pStyle w:val="null3"/>
        <w:ind w:firstLine="420"/>
        <w:jc w:val="both"/>
      </w:pPr>
      <w:r>
        <w:rPr>
          <w:sz w:val="21"/>
        </w:rPr>
        <w:t>1.1甲方指派的代表作为甲方的项目经理，与乙方进行及时的联络并监督、协调项目实施及服务的执行情况。</w:t>
      </w:r>
    </w:p>
    <w:p>
      <w:pPr>
        <w:pStyle w:val="null3"/>
        <w:ind w:firstLine="420"/>
        <w:jc w:val="both"/>
      </w:pPr>
      <w:r>
        <w:rPr>
          <w:sz w:val="21"/>
        </w:rPr>
        <w:t>1.2甲方应为乙方提供其工作所需的信息、数据、资料、设施、驻场场地等。</w:t>
      </w:r>
    </w:p>
    <w:p>
      <w:pPr>
        <w:pStyle w:val="null3"/>
        <w:ind w:firstLine="420"/>
        <w:jc w:val="both"/>
      </w:pPr>
      <w:r>
        <w:rPr>
          <w:sz w:val="21"/>
        </w:rPr>
        <w:t>1.3按期支付费用。</w:t>
      </w:r>
    </w:p>
    <w:p>
      <w:pPr>
        <w:pStyle w:val="null3"/>
        <w:ind w:firstLine="420"/>
        <w:jc w:val="both"/>
      </w:pPr>
      <w:r>
        <w:rPr>
          <w:sz w:val="21"/>
        </w:rPr>
        <w:t>（二）乙方的权利和义务：</w:t>
      </w:r>
    </w:p>
    <w:p>
      <w:pPr>
        <w:pStyle w:val="null3"/>
        <w:ind w:firstLine="420"/>
        <w:jc w:val="both"/>
      </w:pPr>
      <w:r>
        <w:rPr>
          <w:sz w:val="21"/>
        </w:rPr>
        <w:t>2.1乙方应指定专人或团队作为代表与甲方配合，定期与甲方代表进行沟通交流。甲方有权监督、检查乙方服务情况，乙方应予以配合，并及时履行合同义务和合同附件中约定的具体义务。</w:t>
      </w:r>
    </w:p>
    <w:p>
      <w:pPr>
        <w:pStyle w:val="null3"/>
        <w:ind w:firstLine="420"/>
        <w:jc w:val="both"/>
      </w:pPr>
      <w:r>
        <w:rPr>
          <w:sz w:val="21"/>
        </w:rPr>
        <w:t>2.2根据本合同的条款和条件，满足甲方在技术需求和业务需求中的要求。</w:t>
      </w:r>
    </w:p>
    <w:p>
      <w:pPr>
        <w:pStyle w:val="null3"/>
        <w:ind w:firstLine="420"/>
        <w:jc w:val="both"/>
      </w:pPr>
      <w:r>
        <w:rPr>
          <w:sz w:val="21"/>
        </w:rPr>
        <w:t>2.3对涉及的设备及系统建立维护、运行档案。</w:t>
      </w:r>
    </w:p>
    <w:p>
      <w:pPr>
        <w:pStyle w:val="null3"/>
        <w:ind w:firstLine="420"/>
        <w:jc w:val="both"/>
      </w:pPr>
      <w:r>
        <w:rPr>
          <w:sz w:val="21"/>
        </w:rPr>
        <w:t>2.4乙方有义务对本合同中所约定的服务提供相应培训，甲方应提前5个工作日向乙方提出培训申请。乙方应为甲方每年提供两次的现场培训服务。</w:t>
      </w:r>
    </w:p>
    <w:p>
      <w:pPr>
        <w:pStyle w:val="null3"/>
        <w:ind w:firstLine="420"/>
        <w:jc w:val="both"/>
      </w:pPr>
      <w:r>
        <w:rPr>
          <w:sz w:val="21"/>
        </w:rPr>
        <w:t>2.5当乙方提供的系统发生故障，应甲方的请求，乙方应在2个小时内予以电话响应，并当日解决故障或提供可行的解决方案。</w:t>
      </w:r>
    </w:p>
    <w:p>
      <w:pPr>
        <w:pStyle w:val="null3"/>
        <w:ind w:firstLine="420"/>
        <w:jc w:val="both"/>
      </w:pPr>
      <w:r>
        <w:rPr>
          <w:sz w:val="21"/>
        </w:rPr>
        <w:t>2.6在合同执行期间，“专利预审协作平台”本合同涉及的服务内容及平台功能，将免费为甲方提供升级服务。</w:t>
      </w:r>
    </w:p>
    <w:p>
      <w:pPr>
        <w:pStyle w:val="null3"/>
        <w:jc w:val="both"/>
      </w:pPr>
      <w:r>
        <w:rPr>
          <w:sz w:val="21"/>
          <w:b/>
          <w:color w:val="000000"/>
        </w:rPr>
        <w:t>四、服务期间（项目完成期限）</w:t>
      </w:r>
    </w:p>
    <w:p>
      <w:pPr>
        <w:pStyle w:val="null3"/>
        <w:ind w:firstLine="435"/>
        <w:jc w:val="both"/>
      </w:pPr>
      <w:r>
        <w:rPr>
          <w:sz w:val="21"/>
          <w:color w:val="000000"/>
        </w:rPr>
        <w:t>委托服务期间自</w:t>
      </w:r>
      <w:r>
        <w:rPr>
          <w:sz w:val="21"/>
          <w:color w:val="000000"/>
        </w:rPr>
        <w:t>______年______月至______年______月止。</w:t>
      </w:r>
    </w:p>
    <w:p>
      <w:pPr>
        <w:pStyle w:val="null3"/>
        <w:jc w:val="both"/>
      </w:pPr>
      <w:r>
        <w:rPr>
          <w:sz w:val="21"/>
          <w:b/>
          <w:color w:val="000000"/>
        </w:rPr>
        <w:t>五、付款方式</w:t>
      </w:r>
    </w:p>
    <w:p>
      <w:pPr>
        <w:pStyle w:val="null3"/>
        <w:ind w:firstLine="424"/>
        <w:jc w:val="left"/>
      </w:pPr>
      <w:r>
        <w:rPr>
          <w:sz w:val="21"/>
        </w:rPr>
        <w:t>1期：支付比例60%,合同签订且收到乙方出具的等额发票后10个工作日内支付合同总额的60%。</w:t>
      </w:r>
    </w:p>
    <w:p>
      <w:pPr>
        <w:pStyle w:val="null3"/>
        <w:ind w:firstLine="424"/>
        <w:jc w:val="left"/>
      </w:pPr>
      <w:r>
        <w:rPr>
          <w:sz w:val="21"/>
        </w:rPr>
        <w:t>2期：支付比例30%,合同签订之日起满三个月，收到乙方出具的等额发票后10个工作日内支付合同总额的30%。</w:t>
      </w:r>
    </w:p>
    <w:p>
      <w:pPr>
        <w:pStyle w:val="null3"/>
        <w:ind w:firstLine="424"/>
        <w:jc w:val="left"/>
      </w:pPr>
      <w:r>
        <w:rPr>
          <w:sz w:val="21"/>
        </w:rPr>
        <w:t>3期：支付比例10%,服务期结束且通过甲方的验收，收到乙方出具的等额发票后10个工作日内支付合同总额的10%。</w:t>
      </w:r>
    </w:p>
    <w:p>
      <w:pPr>
        <w:pStyle w:val="null3"/>
        <w:jc w:val="both"/>
      </w:pPr>
      <w:r>
        <w:rPr>
          <w:sz w:val="21"/>
          <w:b/>
          <w:color w:val="000000"/>
        </w:rPr>
        <w:t>六、验收</w:t>
      </w:r>
    </w:p>
    <w:p>
      <w:pPr>
        <w:pStyle w:val="null3"/>
        <w:ind w:firstLine="420"/>
        <w:jc w:val="left"/>
      </w:pPr>
      <w:r>
        <w:rPr>
          <w:sz w:val="21"/>
        </w:rPr>
        <w:t>要求乙方提交项目实施总结报告，对本项目在服务期内的项目内容实施情况进行分类总结，自查是否满足项目实施相关要求。如服务项目期结束，若验收评审的结果无法满足甲方验收要求则视为本次运维服务未通过验收和完成，需要继续按评审结果进行改进，直至达到验收标准。验收应包括但不限于以下文档：（</w:t>
      </w:r>
      <w:r>
        <w:rPr>
          <w:sz w:val="21"/>
        </w:rPr>
        <w:t>1）项目总结报告；（2）各项成果及佐证材料。</w:t>
      </w:r>
    </w:p>
    <w:p>
      <w:pPr>
        <w:pStyle w:val="null3"/>
        <w:jc w:val="both"/>
      </w:pPr>
      <w:r>
        <w:rPr>
          <w:sz w:val="21"/>
          <w:b/>
        </w:rPr>
        <w:t>七、知识产权产权归属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color w:val="000000"/>
        </w:rPr>
        <w:t>八、保密</w:t>
      </w:r>
    </w:p>
    <w:p>
      <w:pPr>
        <w:pStyle w:val="null3"/>
        <w:ind w:firstLine="420"/>
        <w:jc w:val="both"/>
      </w:pPr>
      <w:r>
        <w:rPr>
          <w:sz w:val="21"/>
          <w:color w:val="000000"/>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color w:val="000000"/>
        </w:rPr>
        <w:t xml:space="preserve">  </w:t>
      </w:r>
    </w:p>
    <w:p>
      <w:pPr>
        <w:pStyle w:val="null3"/>
        <w:ind w:firstLine="420"/>
        <w:jc w:val="both"/>
      </w:pPr>
      <w:r>
        <w:rPr>
          <w:sz w:val="21"/>
          <w:color w:val="000000"/>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color w:val="000000"/>
        </w:rPr>
        <w:t>2）除了合同本身之外，上款所列举的任何物件均是甲方的财产。乙方应当在完成合同后应将这些物件及全部复制件还给甲方，甲方同意由乙方持有的除外。</w:t>
      </w:r>
    </w:p>
    <w:p>
      <w:pPr>
        <w:pStyle w:val="null3"/>
        <w:jc w:val="both"/>
      </w:pPr>
      <w:r>
        <w:rPr>
          <w:sz w:val="21"/>
          <w:b/>
          <w:color w:val="000000"/>
        </w:rPr>
        <w:t>九、违约责任与赔偿损失</w:t>
      </w:r>
    </w:p>
    <w:p>
      <w:pPr>
        <w:pStyle w:val="null3"/>
        <w:ind w:firstLine="420"/>
        <w:jc w:val="both"/>
      </w:pPr>
      <w:r>
        <w:rPr>
          <w:sz w:val="21"/>
          <w:color w:val="000000"/>
        </w:rPr>
        <w:t>1) 乙方提供的服务不符合采购文件、投标文件或本合同规定的，甲方有权拒收，并且乙方须向甲方方支付本合同总价5%的违约金。</w:t>
      </w:r>
    </w:p>
    <w:p>
      <w:pPr>
        <w:pStyle w:val="null3"/>
        <w:ind w:firstLine="420"/>
        <w:jc w:val="both"/>
      </w:pPr>
      <w:r>
        <w:rPr>
          <w:sz w:val="21"/>
          <w:color w:val="000000"/>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color w:val="000000"/>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color w:val="000000"/>
        </w:rPr>
        <w:t>4) 其它违约责任按《中华人民共和国民法典》第三编　合同处理。</w:t>
      </w:r>
    </w:p>
    <w:p>
      <w:pPr>
        <w:pStyle w:val="null3"/>
        <w:jc w:val="both"/>
      </w:pPr>
      <w:r>
        <w:rPr>
          <w:sz w:val="21"/>
          <w:b/>
          <w:color w:val="000000"/>
        </w:rPr>
        <w:t>十、争端的解决</w:t>
      </w:r>
    </w:p>
    <w:p>
      <w:pPr>
        <w:pStyle w:val="null3"/>
        <w:ind w:firstLine="420"/>
        <w:jc w:val="both"/>
      </w:pPr>
      <w:r>
        <w:rPr>
          <w:sz w:val="21"/>
        </w:rPr>
        <w:t>合同执行过程中发生的任何争议，如双方不能通过友好协商解决，可向甲方所在地人民法院起诉。</w:t>
      </w:r>
    </w:p>
    <w:p>
      <w:pPr>
        <w:pStyle w:val="null3"/>
        <w:jc w:val="both"/>
      </w:pPr>
      <w:r>
        <w:rPr>
          <w:sz w:val="21"/>
          <w:b/>
          <w:color w:val="000000"/>
        </w:rPr>
        <w:t>十一、不可抗力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color w:val="000000"/>
        </w:rPr>
        <w:t>十二、税费</w:t>
      </w:r>
    </w:p>
    <w:p>
      <w:pPr>
        <w:pStyle w:val="null3"/>
        <w:ind w:firstLine="411"/>
        <w:jc w:val="both"/>
      </w:pPr>
      <w:r>
        <w:rPr>
          <w:sz w:val="21"/>
          <w:color w:val="000000"/>
        </w:rPr>
        <w:t>在中国境内、外发生的与本合同执行有关的一切税费均由乙方负担。</w:t>
      </w:r>
    </w:p>
    <w:p>
      <w:pPr>
        <w:pStyle w:val="null3"/>
        <w:jc w:val="both"/>
      </w:pPr>
      <w:r>
        <w:rPr>
          <w:sz w:val="21"/>
          <w:b/>
          <w:color w:val="000000"/>
        </w:rPr>
        <w:t>十三、其它</w:t>
      </w:r>
    </w:p>
    <w:p>
      <w:pPr>
        <w:pStyle w:val="null3"/>
        <w:ind w:firstLine="411"/>
        <w:jc w:val="both"/>
      </w:pPr>
      <w:r>
        <w:rPr>
          <w:sz w:val="21"/>
          <w:color w:val="000000"/>
        </w:rPr>
        <w:t>1) 本合同所有附件、采购文件、投标文件、中标通知书均为合同的有效组成部分，与本合同具有同等法律效力。</w:t>
      </w:r>
    </w:p>
    <w:p>
      <w:pPr>
        <w:pStyle w:val="null3"/>
        <w:ind w:firstLine="411"/>
        <w:jc w:val="both"/>
      </w:pPr>
      <w:r>
        <w:rPr>
          <w:sz w:val="21"/>
          <w:color w:val="000000"/>
        </w:rPr>
        <w:t>2)在执行本合同的过程中，所有经双方签署确认的文件（包括会议纪要、补充协议、往来信函）即成为本合同的有效组成部分。</w:t>
      </w:r>
    </w:p>
    <w:p>
      <w:pPr>
        <w:pStyle w:val="null3"/>
        <w:ind w:firstLine="411"/>
        <w:jc w:val="both"/>
      </w:pPr>
      <w:r>
        <w:rPr>
          <w:sz w:val="21"/>
          <w:color w:val="000000"/>
        </w:rPr>
        <w:t>3) 如一方地址、电话、传真号码有变更，应在变更当日内书面通知对方，否则，应承担相应责任。</w:t>
      </w:r>
    </w:p>
    <w:p>
      <w:pPr>
        <w:pStyle w:val="null3"/>
        <w:ind w:firstLine="411"/>
        <w:jc w:val="both"/>
      </w:pPr>
      <w:r>
        <w:rPr>
          <w:sz w:val="21"/>
          <w:color w:val="000000"/>
        </w:rPr>
        <w:t>4) 除甲方事先书面同意外，乙方不得部分或全部转让其应履行的合同项下的义务。</w:t>
      </w:r>
    </w:p>
    <w:p>
      <w:pPr>
        <w:pStyle w:val="null3"/>
        <w:jc w:val="both"/>
      </w:pPr>
      <w:r>
        <w:rPr>
          <w:sz w:val="21"/>
          <w:b/>
          <w:color w:val="000000"/>
        </w:rPr>
        <w:t>十四、合同生效</w:t>
      </w:r>
    </w:p>
    <w:p>
      <w:pPr>
        <w:pStyle w:val="null3"/>
        <w:ind w:firstLine="411"/>
        <w:jc w:val="both"/>
      </w:pPr>
      <w:r>
        <w:rPr>
          <w:sz w:val="21"/>
          <w:color w:val="000000"/>
        </w:rPr>
        <w:t>1）本合同在甲乙双方法人代表或其授权代表签字盖章后生效。</w:t>
      </w:r>
    </w:p>
    <w:p>
      <w:pPr>
        <w:pStyle w:val="null3"/>
        <w:ind w:firstLine="411"/>
        <w:jc w:val="both"/>
      </w:pPr>
      <w:r>
        <w:rPr>
          <w:sz w:val="21"/>
          <w:color w:val="000000"/>
        </w:rPr>
        <w:t>2）合同一式</w:t>
      </w:r>
      <w:r>
        <w:rPr>
          <w:sz w:val="21"/>
          <w:u w:val="single"/>
        </w:rPr>
        <w:t xml:space="preserve">    </w:t>
      </w:r>
      <w:r>
        <w:rPr>
          <w:sz w:val="21"/>
          <w:color w:val="000000"/>
        </w:rPr>
        <w:t>份，其中甲方</w:t>
      </w:r>
      <w:r>
        <w:rPr>
          <w:sz w:val="21"/>
          <w:u w:val="single"/>
        </w:rPr>
        <w:t xml:space="preserve">    </w:t>
      </w:r>
      <w:r>
        <w:rPr>
          <w:sz w:val="21"/>
          <w:color w:val="000000"/>
        </w:rPr>
        <w:t>份，乙方</w:t>
      </w:r>
      <w:r>
        <w:rPr>
          <w:sz w:val="21"/>
          <w:u w:val="single"/>
        </w:rPr>
        <w:t xml:space="preserve">    </w:t>
      </w:r>
      <w:r>
        <w:rPr>
          <w:sz w:val="21"/>
          <w:color w:val="000000"/>
        </w:rPr>
        <w:t>份，监管部门壹份，采购代理机构</w:t>
      </w:r>
      <w:r>
        <w:rPr>
          <w:sz w:val="21"/>
          <w:color w:val="000000"/>
          <w:u w:val="single"/>
        </w:rPr>
        <w:t>壹</w:t>
      </w:r>
      <w:r>
        <w:rPr>
          <w:sz w:val="21"/>
          <w:color w:val="000000"/>
        </w:rPr>
        <w:t>份。</w:t>
      </w:r>
    </w:p>
    <w:p>
      <w:pPr>
        <w:pStyle w:val="null3"/>
        <w:jc w:val="both"/>
      </w:pPr>
      <w:r>
        <w:rPr>
          <w:sz w:val="21"/>
          <w:color w:val="000000"/>
        </w:rPr>
        <w:t>甲方（盖章）：</w:t>
      </w:r>
      <w:r>
        <w:rPr>
          <w:sz w:val="21"/>
          <w:color w:val="000000"/>
        </w:rPr>
        <w:t xml:space="preserve">                       </w:t>
      </w:r>
      <w:r>
        <w:rPr>
          <w:sz w:val="21"/>
          <w:color w:val="000000"/>
        </w:rPr>
        <w:t>乙方（盖章）：</w:t>
      </w:r>
    </w:p>
    <w:p>
      <w:pPr>
        <w:pStyle w:val="null3"/>
        <w:jc w:val="both"/>
      </w:pPr>
      <w:r>
        <w:rPr>
          <w:sz w:val="21"/>
          <w:color w:val="000000"/>
        </w:rPr>
        <w:t>法定代表</w:t>
      </w:r>
      <w:r>
        <w:rPr>
          <w:sz w:val="21"/>
          <w:color w:val="000000"/>
        </w:rPr>
        <w:t>/授权代表（签字）：           法定代表/授权代表（签字）：</w:t>
      </w:r>
    </w:p>
    <w:p>
      <w:pPr>
        <w:pStyle w:val="null3"/>
        <w:jc w:val="both"/>
      </w:pPr>
      <w:r>
        <w:rPr>
          <w:sz w:val="21"/>
          <w:color w:val="000000"/>
        </w:rPr>
        <w:t>日期：</w:t>
      </w:r>
      <w:r>
        <w:rPr>
          <w:sz w:val="21"/>
          <w:color w:val="000000"/>
        </w:rPr>
        <w:t xml:space="preserve">                                              </w:t>
      </w:r>
      <w:r>
        <w:rPr>
          <w:sz w:val="21"/>
          <w:color w:val="000000"/>
        </w:rPr>
        <w:t>日期：</w:t>
      </w:r>
    </w:p>
    <w:p>
      <w:pPr>
        <w:pStyle w:val="null3"/>
        <w:jc w:val="both"/>
      </w:pPr>
      <w:r>
        <w:rPr>
          <w:sz w:val="21"/>
          <w:color w:val="000000"/>
        </w:rPr>
        <w:t>邮政编码：</w:t>
      </w:r>
      <w:r>
        <w:rPr>
          <w:sz w:val="21"/>
          <w:color w:val="000000"/>
        </w:rPr>
        <w:t xml:space="preserve">                                       </w:t>
      </w:r>
      <w:r>
        <w:rPr>
          <w:sz w:val="21"/>
          <w:color w:val="000000"/>
        </w:rPr>
        <w:t>邮政编码：</w:t>
      </w:r>
    </w:p>
    <w:p>
      <w:pPr>
        <w:pStyle w:val="null3"/>
        <w:jc w:val="both"/>
      </w:pPr>
      <w:r>
        <w:rPr>
          <w:sz w:val="21"/>
          <w:color w:val="000000"/>
        </w:rPr>
        <w:t>开户名称：</w:t>
      </w:r>
      <w:r>
        <w:rPr>
          <w:sz w:val="21"/>
          <w:color w:val="000000"/>
        </w:rPr>
        <w:t xml:space="preserve">                                       </w:t>
      </w:r>
      <w:r>
        <w:rPr>
          <w:sz w:val="21"/>
          <w:color w:val="000000"/>
        </w:rPr>
        <w:t>开户名称：</w:t>
      </w:r>
    </w:p>
    <w:p>
      <w:pPr>
        <w:pStyle w:val="null3"/>
        <w:jc w:val="both"/>
      </w:pPr>
      <w:r>
        <w:rPr>
          <w:sz w:val="21"/>
          <w:color w:val="000000"/>
        </w:rPr>
        <w:t>开户银行：</w:t>
      </w:r>
      <w:r>
        <w:rPr>
          <w:sz w:val="21"/>
          <w:color w:val="000000"/>
        </w:rPr>
        <w:t xml:space="preserve">                                       </w:t>
      </w:r>
      <w:r>
        <w:rPr>
          <w:sz w:val="21"/>
          <w:color w:val="000000"/>
        </w:rPr>
        <w:t>开户银行：</w:t>
      </w:r>
    </w:p>
    <w:p>
      <w:pPr>
        <w:pStyle w:val="null3"/>
        <w:jc w:val="both"/>
      </w:pPr>
      <w:r>
        <w:rPr>
          <w:sz w:val="21"/>
          <w:color w:val="000000"/>
        </w:rPr>
        <w:t>开户账号：</w:t>
      </w:r>
      <w:r>
        <w:rPr>
          <w:sz w:val="21"/>
          <w:color w:val="000000"/>
        </w:rPr>
        <w:t xml:space="preserve">                                       </w:t>
      </w:r>
      <w:r>
        <w:rPr>
          <w:sz w:val="21"/>
          <w:color w:val="000000"/>
        </w:rPr>
        <w:t>开户账号：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440001-2025-16418</w:t>
      </w:r>
    </w:p>
    <w:p>
      <w:pPr>
        <w:pStyle w:val="null3"/>
        <w:jc w:val="center"/>
        <w:outlineLvl w:val="3"/>
      </w:pPr>
      <w:r>
        <w:rPr>
          <w:sz w:val="24"/>
          <w:b/>
        </w:rPr>
        <w:t>采购项目编号：</w:t>
      </w:r>
      <w:r>
        <w:rPr>
          <w:sz w:val="24"/>
          <w:b/>
        </w:rPr>
        <w:t>ZZ0250202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省知识产权保护中心广东省专利预审协作平台租赁项目(2025年)</w:t>
      </w:r>
      <w:r>
        <w:rPr>
          <w:u w:val="single"/>
        </w:rPr>
        <w:t>”</w:t>
      </w:r>
      <w:r>
        <w:rPr/>
        <w:t>项目的招标[采购项目编号为：</w:t>
      </w:r>
      <w:r>
        <w:rPr>
          <w:u w:val="single"/>
        </w:rPr>
        <w:t>ZZ0250202</w:t>
      </w:r>
      <w:r>
        <w:rPr/>
        <w:t>]，我方愿参与投标。</w:t>
      </w:r>
    </w:p>
    <w:p>
      <w:pPr>
        <w:pStyle w:val="null3"/>
        <w:ind w:firstLine="480"/>
      </w:pPr>
      <w:r>
        <w:rPr/>
        <w:t>我方确认收到贵方提供的</w:t>
      </w:r>
      <w:r>
        <w:rPr>
          <w:u w:val="single"/>
        </w:rPr>
        <w:t>“</w:t>
      </w:r>
      <w:r>
        <w:rPr>
          <w:u w:val="single"/>
        </w:rPr>
        <w:t>省知识产权保护中心广东省专利预审协作平台租赁项目(2025年)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省知识产权保护中心广东省专利预审协作平台租赁项目(2025年)</w:t>
      </w:r>
      <w:r>
        <w:rPr/>
        <w:t>”项目采购[采购项目编号为</w:t>
      </w:r>
      <w:r>
        <w:rPr/>
        <w:t>ZZ0250202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广东省知识产权保护中心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省知识产权保护中心广东省专利预审协作平台租赁项目(2025年)</w:t>
      </w:r>
      <w:r>
        <w:rPr/>
        <w:t>招标中获中标（采购项目编号：</w:t>
      </w:r>
      <w:r>
        <w:rPr/>
        <w:t>ZZ0250202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省知识产权保护中心广东省专利预审协作平台租赁项目(2025年)</w:t>
      </w:r>
      <w:r>
        <w:rPr/>
        <w:t>”项目（采购项目编号：</w:t>
      </w:r>
      <w:r>
        <w:rPr/>
        <w:t>ZZ0250202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