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F717F">
      <w:pPr>
        <w:tabs>
          <w:tab w:val="left" w:pos="426"/>
        </w:tabs>
        <w:autoSpaceDE w:val="0"/>
        <w:autoSpaceDN w:val="0"/>
        <w:spacing w:line="360" w:lineRule="auto"/>
        <w:contextualSpacing/>
        <w:jc w:val="center"/>
        <w:outlineLvl w:val="3"/>
        <w:rPr>
          <w:rFonts w:hint="eastAsia" w:ascii="黑体" w:hAnsi="黑体" w:eastAsia="黑体"/>
          <w:sz w:val="32"/>
          <w:szCs w:val="32"/>
        </w:rPr>
      </w:pPr>
      <w:bookmarkStart w:id="0" w:name="_Hlk175766962"/>
      <w:bookmarkStart w:id="1" w:name="_Toc435514875"/>
      <w:bookmarkStart w:id="2" w:name="_Toc435515315"/>
      <w:r>
        <w:rPr>
          <w:rFonts w:ascii="黑体" w:hAnsi="黑体" w:eastAsia="黑体"/>
          <w:sz w:val="32"/>
          <w:szCs w:val="32"/>
        </w:rPr>
        <w:t>《开标一览表(报价表)》</w:t>
      </w:r>
      <w:bookmarkEnd w:id="0"/>
    </w:p>
    <w:p w14:paraId="6501DDAA">
      <w:pPr>
        <w:pStyle w:val="44"/>
        <w:spacing w:line="360" w:lineRule="auto"/>
        <w:rPr>
          <w:rFonts w:hint="eastAsia" w:ascii="宋体" w:hAnsi="宋体" w:eastAsia="宋体"/>
          <w:sz w:val="24"/>
          <w:szCs w:val="24"/>
          <w:lang w:eastAsia="zh-CN"/>
        </w:rPr>
      </w:pPr>
      <w:r>
        <w:rPr>
          <w:rFonts w:ascii="宋体" w:hAnsi="宋体"/>
          <w:sz w:val="24"/>
          <w:szCs w:val="24"/>
        </w:rPr>
        <w:t>项目名称：</w:t>
      </w:r>
      <w:r>
        <w:rPr>
          <w:rFonts w:hint="eastAsia" w:ascii="宋体" w:hAnsi="宋体"/>
          <w:sz w:val="24"/>
          <w:szCs w:val="24"/>
          <w:lang w:eastAsia="zh-CN"/>
        </w:rPr>
        <w:t>2025年黄埔区控制性详细规划修编或修改（二期）</w:t>
      </w:r>
    </w:p>
    <w:tbl>
      <w:tblPr>
        <w:tblStyle w:val="17"/>
        <w:tblW w:w="50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3487"/>
        <w:gridCol w:w="2996"/>
        <w:gridCol w:w="2210"/>
      </w:tblGrid>
      <w:tr w14:paraId="5F4B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44" w:type="pct"/>
            <w:shd w:val="clear" w:color="auto" w:fill="auto"/>
            <w:tcMar>
              <w:top w:w="0" w:type="dxa"/>
              <w:left w:w="105" w:type="dxa"/>
              <w:bottom w:w="0" w:type="dxa"/>
              <w:right w:w="105" w:type="dxa"/>
            </w:tcMar>
            <w:vAlign w:val="center"/>
          </w:tcPr>
          <w:p w14:paraId="13A1BC5F">
            <w:pPr>
              <w:pStyle w:val="44"/>
              <w:adjustRightInd w:val="0"/>
              <w:contextualSpacing/>
              <w:jc w:val="center"/>
              <w:rPr>
                <w:rFonts w:ascii="宋体" w:hAnsi="宋体"/>
                <w:sz w:val="24"/>
                <w:szCs w:val="24"/>
              </w:rPr>
            </w:pPr>
            <w:r>
              <w:rPr>
                <w:rFonts w:ascii="宋体" w:hAnsi="宋体"/>
                <w:b/>
                <w:sz w:val="24"/>
                <w:szCs w:val="24"/>
              </w:rPr>
              <w:t>序号</w:t>
            </w:r>
          </w:p>
        </w:tc>
        <w:tc>
          <w:tcPr>
            <w:tcW w:w="1747" w:type="pct"/>
            <w:shd w:val="clear" w:color="auto" w:fill="auto"/>
            <w:tcMar>
              <w:top w:w="0" w:type="dxa"/>
              <w:left w:w="105" w:type="dxa"/>
              <w:bottom w:w="0" w:type="dxa"/>
              <w:right w:w="105" w:type="dxa"/>
            </w:tcMar>
            <w:vAlign w:val="center"/>
          </w:tcPr>
          <w:p w14:paraId="3EC4346C">
            <w:pPr>
              <w:pStyle w:val="44"/>
              <w:adjustRightInd w:val="0"/>
              <w:contextualSpacing/>
              <w:jc w:val="center"/>
              <w:rPr>
                <w:rFonts w:ascii="宋体" w:hAnsi="宋体"/>
                <w:sz w:val="24"/>
                <w:szCs w:val="24"/>
              </w:rPr>
            </w:pPr>
            <w:r>
              <w:rPr>
                <w:rFonts w:ascii="宋体" w:hAnsi="宋体"/>
                <w:b/>
                <w:sz w:val="24"/>
                <w:szCs w:val="24"/>
              </w:rPr>
              <w:t>分项内容</w:t>
            </w:r>
          </w:p>
        </w:tc>
        <w:tc>
          <w:tcPr>
            <w:tcW w:w="1501" w:type="pct"/>
            <w:shd w:val="clear" w:color="auto" w:fill="auto"/>
            <w:tcMar>
              <w:top w:w="0" w:type="dxa"/>
              <w:left w:w="105" w:type="dxa"/>
              <w:bottom w:w="0" w:type="dxa"/>
              <w:right w:w="105" w:type="dxa"/>
            </w:tcMar>
            <w:vAlign w:val="center"/>
          </w:tcPr>
          <w:p w14:paraId="081BD7A6">
            <w:pPr>
              <w:pStyle w:val="44"/>
              <w:adjustRightInd w:val="0"/>
              <w:contextualSpacing/>
              <w:jc w:val="center"/>
              <w:rPr>
                <w:rFonts w:ascii="宋体" w:hAnsi="宋体"/>
                <w:sz w:val="24"/>
                <w:szCs w:val="24"/>
              </w:rPr>
            </w:pPr>
            <w:r>
              <w:rPr>
                <w:rFonts w:ascii="宋体" w:hAnsi="宋体"/>
                <w:b/>
                <w:sz w:val="24"/>
                <w:szCs w:val="24"/>
              </w:rPr>
              <w:t>分项投标下浮率（%）</w:t>
            </w:r>
          </w:p>
        </w:tc>
        <w:tc>
          <w:tcPr>
            <w:tcW w:w="1107" w:type="pct"/>
            <w:shd w:val="clear" w:color="auto" w:fill="auto"/>
            <w:tcMar>
              <w:top w:w="0" w:type="dxa"/>
              <w:left w:w="105" w:type="dxa"/>
              <w:bottom w:w="0" w:type="dxa"/>
              <w:right w:w="105" w:type="dxa"/>
            </w:tcMar>
            <w:vAlign w:val="center"/>
          </w:tcPr>
          <w:p w14:paraId="2F2CA890">
            <w:pPr>
              <w:pStyle w:val="44"/>
              <w:adjustRightInd w:val="0"/>
              <w:contextualSpacing/>
              <w:jc w:val="center"/>
              <w:rPr>
                <w:rFonts w:ascii="宋体" w:hAnsi="宋体"/>
                <w:sz w:val="24"/>
                <w:szCs w:val="24"/>
              </w:rPr>
            </w:pPr>
            <w:r>
              <w:rPr>
                <w:rFonts w:ascii="宋体" w:hAnsi="宋体"/>
                <w:b/>
                <w:sz w:val="24"/>
                <w:szCs w:val="24"/>
              </w:rPr>
              <w:t>价格分值权重</w:t>
            </w:r>
          </w:p>
        </w:tc>
      </w:tr>
      <w:tr w14:paraId="49A6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44" w:type="pct"/>
            <w:tcMar>
              <w:top w:w="0" w:type="dxa"/>
              <w:left w:w="105" w:type="dxa"/>
              <w:bottom w:w="0" w:type="dxa"/>
              <w:right w:w="105" w:type="dxa"/>
            </w:tcMar>
            <w:vAlign w:val="center"/>
          </w:tcPr>
          <w:p w14:paraId="6B571AFA">
            <w:pPr>
              <w:pStyle w:val="44"/>
              <w:adjustRightInd w:val="0"/>
              <w:contextualSpacing/>
              <w:jc w:val="center"/>
              <w:rPr>
                <w:rFonts w:ascii="宋体" w:hAnsi="宋体"/>
                <w:sz w:val="24"/>
                <w:szCs w:val="24"/>
              </w:rPr>
            </w:pPr>
            <w:r>
              <w:rPr>
                <w:rFonts w:ascii="宋体" w:hAnsi="宋体"/>
                <w:sz w:val="24"/>
                <w:szCs w:val="24"/>
              </w:rPr>
              <w:t>1</w:t>
            </w:r>
          </w:p>
        </w:tc>
        <w:tc>
          <w:tcPr>
            <w:tcW w:w="1747" w:type="pct"/>
            <w:tcMar>
              <w:top w:w="0" w:type="dxa"/>
              <w:left w:w="105" w:type="dxa"/>
              <w:bottom w:w="0" w:type="dxa"/>
              <w:right w:w="105" w:type="dxa"/>
            </w:tcMar>
            <w:vAlign w:val="center"/>
          </w:tcPr>
          <w:p w14:paraId="07B2E4AE">
            <w:pPr>
              <w:pStyle w:val="44"/>
              <w:adjustRightInd w:val="0"/>
              <w:contextualSpacing/>
              <w:jc w:val="center"/>
              <w:rPr>
                <w:rFonts w:ascii="宋体" w:hAnsi="宋体"/>
                <w:sz w:val="24"/>
                <w:szCs w:val="24"/>
              </w:rPr>
            </w:pPr>
            <w:r>
              <w:rPr>
                <w:rFonts w:ascii="宋体" w:hAnsi="宋体"/>
                <w:sz w:val="24"/>
                <w:szCs w:val="24"/>
              </w:rPr>
              <w:t>控制性详细规划</w:t>
            </w:r>
          </w:p>
        </w:tc>
        <w:tc>
          <w:tcPr>
            <w:tcW w:w="1501" w:type="pct"/>
            <w:tcMar>
              <w:top w:w="0" w:type="dxa"/>
              <w:left w:w="105" w:type="dxa"/>
              <w:bottom w:w="0" w:type="dxa"/>
              <w:right w:w="105" w:type="dxa"/>
            </w:tcMar>
            <w:vAlign w:val="center"/>
          </w:tcPr>
          <w:p w14:paraId="74FBA46D">
            <w:pPr>
              <w:pStyle w:val="44"/>
              <w:adjustRightInd w:val="0"/>
              <w:contextualSpacing/>
              <w:jc w:val="center"/>
              <w:rPr>
                <w:rFonts w:ascii="宋体" w:hAnsi="宋体"/>
                <w:sz w:val="24"/>
                <w:szCs w:val="24"/>
              </w:rPr>
            </w:pPr>
          </w:p>
        </w:tc>
        <w:tc>
          <w:tcPr>
            <w:tcW w:w="1107" w:type="pct"/>
            <w:tcMar>
              <w:top w:w="0" w:type="dxa"/>
              <w:left w:w="105" w:type="dxa"/>
              <w:bottom w:w="0" w:type="dxa"/>
              <w:right w:w="105" w:type="dxa"/>
            </w:tcMar>
            <w:vAlign w:val="center"/>
          </w:tcPr>
          <w:p w14:paraId="74DFD2CB">
            <w:pPr>
              <w:pStyle w:val="44"/>
              <w:adjustRightInd w:val="0"/>
              <w:contextualSpacing/>
              <w:jc w:val="center"/>
              <w:rPr>
                <w:rFonts w:ascii="宋体" w:hAnsi="宋体"/>
                <w:sz w:val="24"/>
                <w:szCs w:val="24"/>
                <w:lang w:eastAsia="zh-CN"/>
              </w:rPr>
            </w:pPr>
            <w:r>
              <w:rPr>
                <w:rFonts w:ascii="宋体" w:hAnsi="宋体"/>
                <w:sz w:val="24"/>
                <w:szCs w:val="24"/>
                <w:lang w:eastAsia="zh-CN"/>
              </w:rPr>
              <w:t>25%</w:t>
            </w:r>
          </w:p>
        </w:tc>
      </w:tr>
      <w:tr w14:paraId="43E6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44" w:type="pct"/>
            <w:tcMar>
              <w:top w:w="0" w:type="dxa"/>
              <w:left w:w="105" w:type="dxa"/>
              <w:bottom w:w="0" w:type="dxa"/>
              <w:right w:w="105" w:type="dxa"/>
            </w:tcMar>
            <w:vAlign w:val="center"/>
          </w:tcPr>
          <w:p w14:paraId="1BC17B7A">
            <w:pPr>
              <w:pStyle w:val="44"/>
              <w:adjustRightInd w:val="0"/>
              <w:contextualSpacing/>
              <w:jc w:val="center"/>
              <w:rPr>
                <w:rFonts w:ascii="宋体" w:hAnsi="宋体"/>
                <w:sz w:val="24"/>
                <w:szCs w:val="24"/>
              </w:rPr>
            </w:pPr>
            <w:r>
              <w:rPr>
                <w:rFonts w:ascii="宋体" w:hAnsi="宋体"/>
                <w:sz w:val="24"/>
                <w:szCs w:val="24"/>
              </w:rPr>
              <w:t>2</w:t>
            </w:r>
          </w:p>
        </w:tc>
        <w:tc>
          <w:tcPr>
            <w:tcW w:w="1747" w:type="pct"/>
            <w:tcMar>
              <w:top w:w="0" w:type="dxa"/>
              <w:left w:w="105" w:type="dxa"/>
              <w:bottom w:w="0" w:type="dxa"/>
              <w:right w:w="105" w:type="dxa"/>
            </w:tcMar>
            <w:vAlign w:val="center"/>
          </w:tcPr>
          <w:p w14:paraId="68AAA639">
            <w:pPr>
              <w:pStyle w:val="44"/>
              <w:adjustRightInd w:val="0"/>
              <w:contextualSpacing/>
              <w:jc w:val="center"/>
              <w:rPr>
                <w:rFonts w:ascii="宋体" w:hAnsi="宋体"/>
                <w:sz w:val="24"/>
                <w:szCs w:val="24"/>
              </w:rPr>
            </w:pPr>
            <w:r>
              <w:rPr>
                <w:rFonts w:ascii="宋体" w:hAnsi="宋体"/>
                <w:sz w:val="24"/>
                <w:szCs w:val="24"/>
              </w:rPr>
              <w:t>交通影响评估</w:t>
            </w:r>
          </w:p>
        </w:tc>
        <w:tc>
          <w:tcPr>
            <w:tcW w:w="1501" w:type="pct"/>
            <w:tcMar>
              <w:top w:w="0" w:type="dxa"/>
              <w:left w:w="105" w:type="dxa"/>
              <w:bottom w:w="0" w:type="dxa"/>
              <w:right w:w="105" w:type="dxa"/>
            </w:tcMar>
            <w:vAlign w:val="center"/>
          </w:tcPr>
          <w:p w14:paraId="75B7CDAB">
            <w:pPr>
              <w:pStyle w:val="44"/>
              <w:adjustRightInd w:val="0"/>
              <w:contextualSpacing/>
              <w:jc w:val="center"/>
              <w:rPr>
                <w:rFonts w:ascii="宋体" w:hAnsi="宋体"/>
                <w:sz w:val="24"/>
                <w:szCs w:val="24"/>
              </w:rPr>
            </w:pPr>
          </w:p>
        </w:tc>
        <w:tc>
          <w:tcPr>
            <w:tcW w:w="1107" w:type="pct"/>
            <w:tcMar>
              <w:top w:w="0" w:type="dxa"/>
              <w:left w:w="105" w:type="dxa"/>
              <w:bottom w:w="0" w:type="dxa"/>
              <w:right w:w="105" w:type="dxa"/>
            </w:tcMar>
            <w:vAlign w:val="center"/>
          </w:tcPr>
          <w:p w14:paraId="275A07B8">
            <w:pPr>
              <w:spacing w:line="240" w:lineRule="auto"/>
              <w:contextualSpacing/>
              <w:jc w:val="center"/>
              <w:rPr>
                <w:rFonts w:hint="eastAsia" w:ascii="宋体" w:hAnsi="宋体"/>
                <w:sz w:val="24"/>
              </w:rPr>
            </w:pPr>
            <w:r>
              <w:rPr>
                <w:rFonts w:hint="eastAsia" w:ascii="宋体" w:hAnsi="宋体"/>
                <w:sz w:val="24"/>
              </w:rPr>
              <w:t>25%</w:t>
            </w:r>
          </w:p>
        </w:tc>
      </w:tr>
      <w:tr w14:paraId="0845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44" w:type="pct"/>
            <w:tcMar>
              <w:top w:w="0" w:type="dxa"/>
              <w:left w:w="105" w:type="dxa"/>
              <w:bottom w:w="0" w:type="dxa"/>
              <w:right w:w="105" w:type="dxa"/>
            </w:tcMar>
            <w:vAlign w:val="center"/>
          </w:tcPr>
          <w:p w14:paraId="098E81BD">
            <w:pPr>
              <w:pStyle w:val="44"/>
              <w:adjustRightInd w:val="0"/>
              <w:contextualSpacing/>
              <w:jc w:val="center"/>
              <w:rPr>
                <w:rFonts w:ascii="宋体" w:hAnsi="宋体"/>
                <w:sz w:val="24"/>
                <w:szCs w:val="24"/>
              </w:rPr>
            </w:pPr>
            <w:r>
              <w:rPr>
                <w:rFonts w:ascii="宋体" w:hAnsi="宋体"/>
                <w:sz w:val="24"/>
                <w:szCs w:val="24"/>
              </w:rPr>
              <w:t>3</w:t>
            </w:r>
          </w:p>
        </w:tc>
        <w:tc>
          <w:tcPr>
            <w:tcW w:w="1747" w:type="pct"/>
            <w:tcMar>
              <w:top w:w="0" w:type="dxa"/>
              <w:left w:w="105" w:type="dxa"/>
              <w:bottom w:w="0" w:type="dxa"/>
              <w:right w:w="105" w:type="dxa"/>
            </w:tcMar>
            <w:vAlign w:val="center"/>
          </w:tcPr>
          <w:p w14:paraId="3B13F292">
            <w:pPr>
              <w:pStyle w:val="44"/>
              <w:adjustRightInd w:val="0"/>
              <w:contextualSpacing/>
              <w:jc w:val="center"/>
              <w:rPr>
                <w:rFonts w:ascii="宋体" w:hAnsi="宋体"/>
                <w:sz w:val="24"/>
                <w:szCs w:val="24"/>
              </w:rPr>
            </w:pPr>
            <w:r>
              <w:rPr>
                <w:rFonts w:ascii="宋体" w:hAnsi="宋体"/>
                <w:sz w:val="24"/>
                <w:szCs w:val="24"/>
              </w:rPr>
              <w:t>洪涝安全评估</w:t>
            </w:r>
          </w:p>
        </w:tc>
        <w:tc>
          <w:tcPr>
            <w:tcW w:w="1501" w:type="pct"/>
            <w:tcMar>
              <w:top w:w="0" w:type="dxa"/>
              <w:left w:w="105" w:type="dxa"/>
              <w:bottom w:w="0" w:type="dxa"/>
              <w:right w:w="105" w:type="dxa"/>
            </w:tcMar>
            <w:vAlign w:val="center"/>
          </w:tcPr>
          <w:p w14:paraId="074DACC0">
            <w:pPr>
              <w:pStyle w:val="44"/>
              <w:adjustRightInd w:val="0"/>
              <w:contextualSpacing/>
              <w:jc w:val="center"/>
              <w:rPr>
                <w:rFonts w:ascii="宋体" w:hAnsi="宋体"/>
                <w:sz w:val="24"/>
                <w:szCs w:val="24"/>
              </w:rPr>
            </w:pPr>
          </w:p>
        </w:tc>
        <w:tc>
          <w:tcPr>
            <w:tcW w:w="1107" w:type="pct"/>
            <w:tcMar>
              <w:top w:w="0" w:type="dxa"/>
              <w:left w:w="105" w:type="dxa"/>
              <w:bottom w:w="0" w:type="dxa"/>
              <w:right w:w="105" w:type="dxa"/>
            </w:tcMar>
            <w:vAlign w:val="center"/>
          </w:tcPr>
          <w:p w14:paraId="49E8EFD5">
            <w:pPr>
              <w:spacing w:line="240" w:lineRule="auto"/>
              <w:contextualSpacing/>
              <w:jc w:val="center"/>
              <w:rPr>
                <w:rFonts w:hint="eastAsia" w:ascii="宋体" w:hAnsi="宋体"/>
                <w:sz w:val="24"/>
              </w:rPr>
            </w:pPr>
            <w:r>
              <w:rPr>
                <w:rFonts w:hint="eastAsia" w:ascii="宋体" w:hAnsi="宋体"/>
                <w:sz w:val="24"/>
              </w:rPr>
              <w:t>25%</w:t>
            </w:r>
          </w:p>
        </w:tc>
      </w:tr>
      <w:tr w14:paraId="2C1E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44" w:type="pct"/>
            <w:tcMar>
              <w:top w:w="0" w:type="dxa"/>
              <w:left w:w="105" w:type="dxa"/>
              <w:bottom w:w="0" w:type="dxa"/>
              <w:right w:w="105" w:type="dxa"/>
            </w:tcMar>
            <w:vAlign w:val="center"/>
          </w:tcPr>
          <w:p w14:paraId="6F412148">
            <w:pPr>
              <w:pStyle w:val="44"/>
              <w:adjustRightInd w:val="0"/>
              <w:contextualSpacing/>
              <w:jc w:val="center"/>
              <w:rPr>
                <w:rFonts w:ascii="宋体" w:hAnsi="宋体"/>
                <w:sz w:val="24"/>
                <w:szCs w:val="24"/>
              </w:rPr>
            </w:pPr>
            <w:r>
              <w:rPr>
                <w:rFonts w:ascii="宋体" w:hAnsi="宋体"/>
                <w:sz w:val="24"/>
                <w:szCs w:val="24"/>
                <w:lang w:eastAsia="zh-CN"/>
              </w:rPr>
              <w:t>4</w:t>
            </w:r>
          </w:p>
        </w:tc>
        <w:tc>
          <w:tcPr>
            <w:tcW w:w="1747" w:type="pct"/>
            <w:tcMar>
              <w:top w:w="0" w:type="dxa"/>
              <w:left w:w="105" w:type="dxa"/>
              <w:bottom w:w="0" w:type="dxa"/>
              <w:right w:w="105" w:type="dxa"/>
            </w:tcMar>
            <w:vAlign w:val="center"/>
          </w:tcPr>
          <w:p w14:paraId="30A6C723">
            <w:pPr>
              <w:pStyle w:val="44"/>
              <w:adjustRightInd w:val="0"/>
              <w:contextualSpacing/>
              <w:jc w:val="center"/>
              <w:rPr>
                <w:rFonts w:ascii="宋体" w:hAnsi="宋体"/>
                <w:sz w:val="24"/>
                <w:szCs w:val="24"/>
              </w:rPr>
            </w:pPr>
            <w:r>
              <w:rPr>
                <w:rFonts w:ascii="宋体" w:hAnsi="宋体"/>
                <w:sz w:val="24"/>
                <w:szCs w:val="24"/>
              </w:rPr>
              <w:t>历史文化遗产</w:t>
            </w:r>
            <w:r>
              <w:rPr>
                <w:sz w:val="24"/>
                <w:szCs w:val="24"/>
              </w:rPr>
              <w:t>普查和评审</w:t>
            </w:r>
          </w:p>
        </w:tc>
        <w:tc>
          <w:tcPr>
            <w:tcW w:w="1501" w:type="pct"/>
            <w:tcMar>
              <w:top w:w="0" w:type="dxa"/>
              <w:left w:w="105" w:type="dxa"/>
              <w:bottom w:w="0" w:type="dxa"/>
              <w:right w:w="105" w:type="dxa"/>
            </w:tcMar>
            <w:vAlign w:val="center"/>
          </w:tcPr>
          <w:p w14:paraId="0932467C">
            <w:pPr>
              <w:pStyle w:val="44"/>
              <w:adjustRightInd w:val="0"/>
              <w:contextualSpacing/>
              <w:jc w:val="center"/>
              <w:rPr>
                <w:rFonts w:ascii="宋体" w:hAnsi="宋体"/>
                <w:sz w:val="24"/>
                <w:szCs w:val="24"/>
              </w:rPr>
            </w:pPr>
          </w:p>
        </w:tc>
        <w:tc>
          <w:tcPr>
            <w:tcW w:w="1107" w:type="pct"/>
            <w:tcMar>
              <w:top w:w="0" w:type="dxa"/>
              <w:left w:w="105" w:type="dxa"/>
              <w:bottom w:w="0" w:type="dxa"/>
              <w:right w:w="105" w:type="dxa"/>
            </w:tcMar>
            <w:vAlign w:val="center"/>
          </w:tcPr>
          <w:p w14:paraId="68C6C26F">
            <w:pPr>
              <w:spacing w:line="240" w:lineRule="auto"/>
              <w:contextualSpacing/>
              <w:jc w:val="center"/>
              <w:rPr>
                <w:rFonts w:hint="eastAsia" w:ascii="宋体" w:hAnsi="宋体"/>
                <w:sz w:val="24"/>
              </w:rPr>
            </w:pPr>
            <w:r>
              <w:rPr>
                <w:rFonts w:hint="eastAsia" w:ascii="宋体" w:hAnsi="宋体"/>
                <w:sz w:val="24"/>
              </w:rPr>
              <w:t>25%</w:t>
            </w:r>
          </w:p>
        </w:tc>
      </w:tr>
    </w:tbl>
    <w:p w14:paraId="4D4D588D">
      <w:pPr>
        <w:pStyle w:val="44"/>
        <w:spacing w:line="360" w:lineRule="auto"/>
        <w:rPr>
          <w:rFonts w:ascii="宋体" w:hAnsi="宋体"/>
          <w:sz w:val="24"/>
          <w:szCs w:val="24"/>
        </w:rPr>
      </w:pPr>
      <w:r>
        <w:rPr>
          <w:rFonts w:ascii="宋体" w:hAnsi="宋体"/>
          <w:b/>
          <w:sz w:val="24"/>
          <w:szCs w:val="24"/>
        </w:rPr>
        <w:t>投标人名称（单位盖公章）：</w:t>
      </w:r>
      <w:r>
        <w:rPr>
          <w:rFonts w:ascii="宋体" w:hAnsi="宋体"/>
          <w:b/>
          <w:sz w:val="24"/>
          <w:szCs w:val="24"/>
          <w:u w:val="single"/>
        </w:rPr>
        <w:t xml:space="preserve">              </w:t>
      </w:r>
    </w:p>
    <w:p w14:paraId="2B4B03B3">
      <w:pPr>
        <w:pStyle w:val="44"/>
        <w:spacing w:line="360" w:lineRule="auto"/>
        <w:rPr>
          <w:rFonts w:ascii="宋体" w:hAnsi="宋体"/>
          <w:sz w:val="24"/>
          <w:szCs w:val="24"/>
          <w:u w:val="single"/>
        </w:rPr>
      </w:pPr>
      <w:r>
        <w:rPr>
          <w:rFonts w:ascii="宋体" w:hAnsi="宋体"/>
          <w:b/>
          <w:sz w:val="24"/>
          <w:szCs w:val="24"/>
        </w:rPr>
        <w:t>法定代表人或投标人授权代表（签名或盖个人名章）：</w:t>
      </w:r>
      <w:r>
        <w:rPr>
          <w:rFonts w:ascii="宋体" w:hAnsi="宋体"/>
          <w:b/>
          <w:sz w:val="24"/>
          <w:szCs w:val="24"/>
          <w:u w:val="single"/>
        </w:rPr>
        <w:t xml:space="preserve">               </w:t>
      </w:r>
    </w:p>
    <w:p w14:paraId="77D9A1C5">
      <w:pPr>
        <w:pStyle w:val="44"/>
        <w:spacing w:line="360" w:lineRule="auto"/>
        <w:rPr>
          <w:rFonts w:ascii="宋体" w:hAnsi="宋体"/>
          <w:sz w:val="24"/>
          <w:szCs w:val="24"/>
        </w:rPr>
      </w:pPr>
      <w:r>
        <w:rPr>
          <w:rFonts w:ascii="宋体" w:hAnsi="宋体"/>
          <w:b/>
          <w:sz w:val="24"/>
          <w:szCs w:val="24"/>
        </w:rPr>
        <w:t>日期：</w:t>
      </w:r>
      <w:r>
        <w:rPr>
          <w:rFonts w:ascii="宋体" w:hAnsi="宋体"/>
          <w:b/>
          <w:sz w:val="24"/>
          <w:szCs w:val="24"/>
          <w:u w:val="single"/>
        </w:rPr>
        <w:t xml:space="preserve">              </w:t>
      </w:r>
      <w:r>
        <w:rPr>
          <w:rFonts w:ascii="宋体" w:hAnsi="宋体"/>
          <w:b/>
          <w:sz w:val="24"/>
          <w:szCs w:val="24"/>
        </w:rPr>
        <w:t xml:space="preserve"> </w:t>
      </w:r>
    </w:p>
    <w:p w14:paraId="73200829">
      <w:pPr>
        <w:pStyle w:val="44"/>
        <w:spacing w:line="360" w:lineRule="auto"/>
        <w:rPr>
          <w:rFonts w:ascii="宋体" w:hAnsi="宋体"/>
          <w:sz w:val="24"/>
          <w:szCs w:val="24"/>
        </w:rPr>
      </w:pPr>
    </w:p>
    <w:p w14:paraId="2EE60801">
      <w:pPr>
        <w:pStyle w:val="44"/>
        <w:spacing w:line="360" w:lineRule="auto"/>
        <w:rPr>
          <w:rFonts w:ascii="宋体" w:hAnsi="宋体"/>
          <w:sz w:val="24"/>
          <w:szCs w:val="24"/>
        </w:rPr>
      </w:pPr>
      <w:r>
        <w:rPr>
          <w:rFonts w:ascii="宋体" w:hAnsi="宋体"/>
          <w:b/>
          <w:sz w:val="24"/>
          <w:szCs w:val="24"/>
        </w:rPr>
        <w:t>说明：</w:t>
      </w:r>
    </w:p>
    <w:p w14:paraId="58009FFF">
      <w:pPr>
        <w:pStyle w:val="44"/>
        <w:spacing w:line="360" w:lineRule="auto"/>
        <w:jc w:val="both"/>
        <w:rPr>
          <w:rFonts w:ascii="宋体" w:hAnsi="宋体"/>
          <w:b/>
          <w:bCs/>
          <w:sz w:val="24"/>
          <w:szCs w:val="24"/>
          <w:u w:val="double"/>
          <w:lang w:eastAsia="zh-CN"/>
        </w:rPr>
      </w:pPr>
      <w:r>
        <w:rPr>
          <w:rFonts w:ascii="宋体" w:hAnsi="宋体"/>
          <w:b/>
          <w:bCs/>
          <w:sz w:val="24"/>
          <w:szCs w:val="24"/>
          <w:u w:val="double"/>
        </w:rPr>
        <w:t>1.</w:t>
      </w:r>
      <w:r>
        <w:rPr>
          <w:b/>
          <w:bCs/>
          <w:u w:val="double"/>
        </w:rPr>
        <w:t xml:space="preserve"> </w:t>
      </w:r>
      <w:r>
        <w:rPr>
          <w:rFonts w:ascii="宋体" w:hAnsi="宋体"/>
          <w:b/>
          <w:bCs/>
          <w:sz w:val="24"/>
          <w:szCs w:val="24"/>
          <w:u w:val="double"/>
        </w:rPr>
        <w:t>本《开标一览表(报价表)》需放入投标人的投标文件中。</w:t>
      </w:r>
    </w:p>
    <w:p w14:paraId="781609CE">
      <w:pPr>
        <w:pStyle w:val="44"/>
        <w:spacing w:line="360" w:lineRule="auto"/>
        <w:jc w:val="both"/>
        <w:rPr>
          <w:rFonts w:ascii="宋体" w:hAnsi="宋体"/>
          <w:sz w:val="24"/>
          <w:szCs w:val="24"/>
        </w:rPr>
      </w:pPr>
      <w:r>
        <w:rPr>
          <w:rFonts w:ascii="宋体" w:hAnsi="宋体"/>
          <w:b/>
          <w:bCs/>
          <w:sz w:val="24"/>
          <w:szCs w:val="24"/>
          <w:lang w:eastAsia="zh-CN"/>
        </w:rPr>
        <w:t>2.</w:t>
      </w:r>
      <w:r>
        <w:rPr>
          <w:rFonts w:ascii="宋体" w:hAnsi="宋体"/>
          <w:b/>
          <w:sz w:val="24"/>
          <w:szCs w:val="24"/>
          <w:shd w:val="clear" w:color="auto" w:fill="FFFFFF"/>
        </w:rPr>
        <w:t>智慧云平台系统所填写投标下浮率值为各分项内容的分项投标下浮率的平均值，即：智慧云平台系统所填写投标下浮率值=（Σ分项投标下浮率）÷4，但智慧云平台系统所填写投标下浮率值不参与价格评分的计算。</w:t>
      </w:r>
    </w:p>
    <w:p w14:paraId="44E0D38E">
      <w:pPr>
        <w:pStyle w:val="44"/>
        <w:spacing w:line="360" w:lineRule="auto"/>
        <w:jc w:val="both"/>
        <w:rPr>
          <w:rFonts w:hint="eastAsia" w:ascii="宋体" w:hAnsi="宋体" w:cs="宋体"/>
          <w:sz w:val="24"/>
        </w:rPr>
      </w:pPr>
      <w:r>
        <w:rPr>
          <w:rFonts w:ascii="宋体" w:hAnsi="宋体"/>
          <w:sz w:val="24"/>
          <w:szCs w:val="24"/>
          <w:lang w:eastAsia="zh-CN"/>
        </w:rPr>
        <w:t>3</w:t>
      </w:r>
      <w:r>
        <w:rPr>
          <w:rFonts w:ascii="宋体" w:hAnsi="宋体"/>
          <w:sz w:val="24"/>
          <w:szCs w:val="24"/>
        </w:rPr>
        <w:t>.各分项投标下浮率</w:t>
      </w:r>
      <w:r>
        <w:rPr>
          <w:rFonts w:ascii="宋体" w:hAnsi="宋体" w:cs="宋体"/>
          <w:sz w:val="24"/>
        </w:rPr>
        <w:t>确定且没有大于或等于100%，</w:t>
      </w:r>
      <w:r>
        <w:rPr>
          <w:rFonts w:hint="eastAsia" w:ascii="宋体" w:hAnsi="宋体" w:cs="宋体"/>
          <w:sz w:val="24"/>
        </w:rPr>
        <w:t>，也没有为负数</w:t>
      </w:r>
      <w:r>
        <w:rPr>
          <w:rFonts w:hint="eastAsia" w:ascii="宋体" w:hAnsi="宋体" w:cs="宋体"/>
          <w:sz w:val="24"/>
          <w:lang w:eastAsia="zh-CN"/>
        </w:rPr>
        <w:t>，</w:t>
      </w:r>
      <w:r>
        <w:rPr>
          <w:rFonts w:ascii="宋体" w:hAnsi="宋体" w:cs="宋体"/>
          <w:sz w:val="24"/>
        </w:rPr>
        <w:t>且是固定唯一值的。</w:t>
      </w:r>
      <w:r>
        <w:rPr>
          <w:rFonts w:hint="eastAsia" w:ascii="宋体" w:hAnsi="宋体" w:cs="宋体"/>
          <w:sz w:val="24"/>
        </w:rPr>
        <w:t>，否则将导致投标无效</w:t>
      </w:r>
    </w:p>
    <w:p w14:paraId="00832132">
      <w:pPr>
        <w:pStyle w:val="44"/>
        <w:spacing w:line="360" w:lineRule="auto"/>
        <w:jc w:val="both"/>
        <w:rPr>
          <w:rFonts w:ascii="宋体" w:hAnsi="宋体"/>
          <w:sz w:val="24"/>
          <w:szCs w:val="24"/>
        </w:rPr>
      </w:pPr>
      <w:r>
        <w:rPr>
          <w:rFonts w:hint="eastAsia" w:ascii="宋体" w:hAnsi="宋体" w:cs="宋体"/>
          <w:sz w:val="24"/>
          <w:lang w:val="en-US" w:eastAsia="zh-CN"/>
        </w:rPr>
        <w:t>4.</w:t>
      </w:r>
      <w:r>
        <w:rPr>
          <w:rFonts w:ascii="宋体" w:hAnsi="宋体"/>
          <w:sz w:val="24"/>
          <w:szCs w:val="24"/>
        </w:rPr>
        <w:t>各分项投标下浮率均四舍五入保留两位有效小数。</w:t>
      </w:r>
    </w:p>
    <w:p w14:paraId="456C62C1">
      <w:pPr>
        <w:pStyle w:val="44"/>
        <w:spacing w:line="360" w:lineRule="auto"/>
        <w:rPr>
          <w:rFonts w:ascii="宋体" w:hAnsi="宋体"/>
          <w:sz w:val="24"/>
          <w:szCs w:val="24"/>
        </w:rPr>
      </w:pPr>
      <w:r>
        <w:rPr>
          <w:rFonts w:hint="eastAsia" w:ascii="宋体" w:hAnsi="宋体"/>
          <w:sz w:val="24"/>
          <w:szCs w:val="24"/>
          <w:lang w:val="en-US" w:eastAsia="zh-CN"/>
        </w:rPr>
        <w:t>5</w:t>
      </w:r>
      <w:r>
        <w:rPr>
          <w:rFonts w:ascii="宋体" w:hAnsi="宋体"/>
          <w:sz w:val="24"/>
          <w:szCs w:val="24"/>
        </w:rPr>
        <w:t>.</w:t>
      </w:r>
      <w:r>
        <w:rPr>
          <w:rFonts w:hint="eastAsia" w:ascii="宋体" w:hAnsi="宋体"/>
          <w:sz w:val="24"/>
          <w:szCs w:val="24"/>
        </w:rPr>
        <w:t>满足招标文件要求且下浮率最大的为评标基准下浮率。（如：投标下浮率20%为最大下浮率，评标基准下浮率为20%。）</w:t>
      </w:r>
    </w:p>
    <w:p w14:paraId="6A154D71">
      <w:pPr>
        <w:pStyle w:val="44"/>
        <w:spacing w:line="360" w:lineRule="auto"/>
        <w:jc w:val="both"/>
        <w:rPr>
          <w:rFonts w:ascii="宋体" w:hAnsi="宋体"/>
          <w:sz w:val="24"/>
          <w:szCs w:val="24"/>
        </w:rPr>
      </w:pPr>
      <w:r>
        <w:rPr>
          <w:rFonts w:hint="eastAsia" w:ascii="宋体" w:hAnsi="宋体"/>
          <w:sz w:val="24"/>
          <w:szCs w:val="24"/>
          <w:lang w:val="en-US" w:eastAsia="zh-CN"/>
        </w:rPr>
        <w:t>6</w:t>
      </w:r>
      <w:r>
        <w:rPr>
          <w:rFonts w:ascii="宋体" w:hAnsi="宋体"/>
          <w:sz w:val="24"/>
          <w:szCs w:val="24"/>
        </w:rPr>
        <w:t>.各分项内容项目结算价=各分项内容项目预算金额×(1-该分项内容的中标下浮率)</w:t>
      </w:r>
    </w:p>
    <w:p w14:paraId="4E48E541">
      <w:pPr>
        <w:pStyle w:val="44"/>
        <w:spacing w:line="360" w:lineRule="auto"/>
        <w:jc w:val="both"/>
        <w:rPr>
          <w:rFonts w:ascii="宋体" w:hAnsi="宋体"/>
          <w:sz w:val="24"/>
          <w:szCs w:val="24"/>
        </w:rPr>
      </w:pPr>
      <w:r>
        <w:rPr>
          <w:rFonts w:hint="eastAsia" w:ascii="宋体" w:hAnsi="宋体"/>
          <w:sz w:val="24"/>
          <w:szCs w:val="24"/>
          <w:lang w:val="en-US" w:eastAsia="zh-CN"/>
        </w:rPr>
        <w:t>7</w:t>
      </w:r>
      <w:r>
        <w:rPr>
          <w:rFonts w:ascii="宋体" w:hAnsi="宋体"/>
          <w:sz w:val="24"/>
          <w:szCs w:val="24"/>
        </w:rPr>
        <w:t>.价格评审</w:t>
      </w:r>
    </w:p>
    <w:p w14:paraId="052195A5">
      <w:pPr>
        <w:pStyle w:val="44"/>
        <w:spacing w:line="360" w:lineRule="auto"/>
        <w:rPr>
          <w:rFonts w:hint="eastAsia" w:ascii="宋体" w:hAnsi="宋体"/>
          <w:sz w:val="24"/>
          <w:szCs w:val="24"/>
        </w:rPr>
      </w:pPr>
      <w:r>
        <w:rPr>
          <w:rFonts w:ascii="宋体" w:hAnsi="宋体"/>
          <w:sz w:val="24"/>
          <w:szCs w:val="24"/>
        </w:rPr>
        <w:t>（1）</w:t>
      </w:r>
      <w:r>
        <w:rPr>
          <w:rFonts w:hint="eastAsia" w:ascii="宋体" w:hAnsi="宋体"/>
          <w:sz w:val="24"/>
          <w:szCs w:val="24"/>
        </w:rPr>
        <w:t>各分项投标报价得分=(该分项内容的评标基准价/该分项内容的单项投标报价)×价格分×该分项内容的价格权重</w:t>
      </w:r>
    </w:p>
    <w:p w14:paraId="075D58E1">
      <w:pPr>
        <w:pStyle w:val="44"/>
        <w:spacing w:line="360" w:lineRule="auto"/>
        <w:rPr>
          <w:rFonts w:ascii="宋体" w:hAnsi="宋体"/>
          <w:sz w:val="24"/>
          <w:szCs w:val="24"/>
        </w:rPr>
      </w:pPr>
      <w:r>
        <w:rPr>
          <w:rFonts w:ascii="宋体" w:hAnsi="宋体"/>
          <w:sz w:val="24"/>
          <w:szCs w:val="24"/>
        </w:rPr>
        <w:t>（2）各投标人最终价格得</w:t>
      </w:r>
      <w:bookmarkStart w:id="3" w:name="_GoBack"/>
      <w:bookmarkEnd w:id="3"/>
      <w:r>
        <w:rPr>
          <w:rFonts w:ascii="宋体" w:hAnsi="宋体"/>
          <w:sz w:val="24"/>
          <w:szCs w:val="24"/>
        </w:rPr>
        <w:t>分=各分项内容的投标报价得分之和。</w:t>
      </w:r>
    </w:p>
    <w:p w14:paraId="7F9A3DDE">
      <w:pPr>
        <w:pStyle w:val="44"/>
        <w:spacing w:line="360" w:lineRule="auto"/>
        <w:jc w:val="both"/>
        <w:rPr>
          <w:rFonts w:ascii="宋体" w:hAnsi="宋体"/>
          <w:sz w:val="24"/>
          <w:szCs w:val="24"/>
          <w:lang w:eastAsia="zh-CN"/>
        </w:rPr>
      </w:pPr>
      <w:r>
        <w:rPr>
          <w:rFonts w:ascii="宋体" w:hAnsi="宋体"/>
          <w:sz w:val="24"/>
          <w:szCs w:val="24"/>
        </w:rPr>
        <w:t>（3）各分项内容投标报价以“1-投标下浮率”进行价格评分的计算。</w:t>
      </w:r>
    </w:p>
    <w:bookmarkEnd w:id="1"/>
    <w:bookmarkEnd w:id="2"/>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8CB"/>
    <w:rsid w:val="00030D20"/>
    <w:rsid w:val="00066FD1"/>
    <w:rsid w:val="00091B25"/>
    <w:rsid w:val="001402F8"/>
    <w:rsid w:val="001D29D0"/>
    <w:rsid w:val="00252897"/>
    <w:rsid w:val="002669BE"/>
    <w:rsid w:val="00293402"/>
    <w:rsid w:val="002B5FCB"/>
    <w:rsid w:val="002B67E4"/>
    <w:rsid w:val="00314F41"/>
    <w:rsid w:val="003222E3"/>
    <w:rsid w:val="003B5498"/>
    <w:rsid w:val="004D7D21"/>
    <w:rsid w:val="004F1E12"/>
    <w:rsid w:val="005550DA"/>
    <w:rsid w:val="00576D4C"/>
    <w:rsid w:val="0065436A"/>
    <w:rsid w:val="00670C90"/>
    <w:rsid w:val="006A58E5"/>
    <w:rsid w:val="006D1CDD"/>
    <w:rsid w:val="006F5392"/>
    <w:rsid w:val="00747B10"/>
    <w:rsid w:val="00784FCF"/>
    <w:rsid w:val="008578CB"/>
    <w:rsid w:val="008A0723"/>
    <w:rsid w:val="008E6D6F"/>
    <w:rsid w:val="008F0E07"/>
    <w:rsid w:val="00900D0A"/>
    <w:rsid w:val="00901104"/>
    <w:rsid w:val="00920F33"/>
    <w:rsid w:val="00A27998"/>
    <w:rsid w:val="00A83AC5"/>
    <w:rsid w:val="00AE4647"/>
    <w:rsid w:val="00B25533"/>
    <w:rsid w:val="00BA1FD6"/>
    <w:rsid w:val="00BC2ACC"/>
    <w:rsid w:val="00C74BA4"/>
    <w:rsid w:val="00C804EB"/>
    <w:rsid w:val="00D86DDF"/>
    <w:rsid w:val="00DC7EB0"/>
    <w:rsid w:val="00EF5A7E"/>
    <w:rsid w:val="00F110C3"/>
    <w:rsid w:val="00F221C0"/>
    <w:rsid w:val="00F318FC"/>
    <w:rsid w:val="00F328CB"/>
    <w:rsid w:val="42001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0"/>
      <w:sz w:val="20"/>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0"/>
    <w:unhideWhenUsed/>
    <w:qFormat/>
    <w:uiPriority w:val="99"/>
    <w:pPr>
      <w:jc w:val="left"/>
    </w:pPr>
  </w:style>
  <w:style w:type="paragraph" w:styleId="12">
    <w:name w:val="footer"/>
    <w:basedOn w:val="1"/>
    <w:link w:val="43"/>
    <w:unhideWhenUsed/>
    <w:qFormat/>
    <w:uiPriority w:val="99"/>
    <w:pPr>
      <w:tabs>
        <w:tab w:val="center" w:pos="4153"/>
        <w:tab w:val="right" w:pos="8306"/>
      </w:tabs>
      <w:snapToGrid w:val="0"/>
      <w:spacing w:line="240" w:lineRule="atLeast"/>
      <w:jc w:val="left"/>
    </w:pPr>
    <w:rPr>
      <w:sz w:val="18"/>
      <w:szCs w:val="18"/>
    </w:rPr>
  </w:style>
  <w:style w:type="paragraph" w:styleId="13">
    <w:name w:val="header"/>
    <w:basedOn w:val="1"/>
    <w:link w:val="42"/>
    <w:unhideWhenUsed/>
    <w:qFormat/>
    <w:uiPriority w:val="99"/>
    <w:pPr>
      <w:tabs>
        <w:tab w:val="center" w:pos="4153"/>
        <w:tab w:val="right" w:pos="8306"/>
      </w:tabs>
      <w:snapToGrid w:val="0"/>
      <w:spacing w:line="240" w:lineRule="atLeast"/>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6">
    <w:name w:val="annotation subject"/>
    <w:basedOn w:val="11"/>
    <w:next w:val="11"/>
    <w:link w:val="41"/>
    <w:semiHidden/>
    <w:unhideWhenUsed/>
    <w:qFormat/>
    <w:uiPriority w:val="99"/>
    <w:rPr>
      <w:b/>
      <w:bCs/>
    </w:r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szCs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link w:val="38"/>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列表段落 字符"/>
    <w:link w:val="33"/>
    <w:qFormat/>
    <w:uiPriority w:val="34"/>
  </w:style>
  <w:style w:type="paragraph" w:customStyle="1" w:styleId="39">
    <w:name w:val="Revision"/>
    <w:hidden/>
    <w:semiHidden/>
    <w:qFormat/>
    <w:uiPriority w:val="99"/>
    <w:rPr>
      <w:rFonts w:ascii="Times New Roman" w:hAnsi="Times New Roman" w:eastAsia="宋体" w:cs="Times New Roman"/>
      <w:kern w:val="0"/>
      <w:sz w:val="20"/>
      <w:szCs w:val="24"/>
      <w:lang w:val="en-US" w:eastAsia="zh-CN" w:bidi="ar-SA"/>
      <w14:ligatures w14:val="standardContextual"/>
    </w:rPr>
  </w:style>
  <w:style w:type="character" w:customStyle="1" w:styleId="40">
    <w:name w:val="批注文字 字符"/>
    <w:basedOn w:val="18"/>
    <w:link w:val="11"/>
    <w:qFormat/>
    <w:uiPriority w:val="99"/>
    <w:rPr>
      <w:rFonts w:ascii="Times New Roman" w:hAnsi="Times New Roman" w:eastAsia="宋体" w:cs="Times New Roman"/>
      <w:kern w:val="0"/>
      <w:sz w:val="20"/>
      <w:szCs w:val="24"/>
    </w:rPr>
  </w:style>
  <w:style w:type="character" w:customStyle="1" w:styleId="41">
    <w:name w:val="批注主题 字符"/>
    <w:basedOn w:val="40"/>
    <w:link w:val="16"/>
    <w:semiHidden/>
    <w:qFormat/>
    <w:uiPriority w:val="99"/>
    <w:rPr>
      <w:rFonts w:ascii="Times New Roman" w:hAnsi="Times New Roman" w:eastAsia="宋体" w:cs="Times New Roman"/>
      <w:b/>
      <w:bCs/>
      <w:kern w:val="0"/>
      <w:sz w:val="20"/>
      <w:szCs w:val="24"/>
    </w:rPr>
  </w:style>
  <w:style w:type="character" w:customStyle="1" w:styleId="42">
    <w:name w:val="页眉 字符"/>
    <w:basedOn w:val="18"/>
    <w:link w:val="13"/>
    <w:qFormat/>
    <w:uiPriority w:val="99"/>
    <w:rPr>
      <w:rFonts w:ascii="Times New Roman" w:hAnsi="Times New Roman" w:eastAsia="宋体" w:cs="Times New Roman"/>
      <w:kern w:val="0"/>
      <w:sz w:val="18"/>
      <w:szCs w:val="18"/>
    </w:rPr>
  </w:style>
  <w:style w:type="character" w:customStyle="1" w:styleId="43">
    <w:name w:val="页脚 字符"/>
    <w:basedOn w:val="18"/>
    <w:link w:val="12"/>
    <w:qFormat/>
    <w:uiPriority w:val="99"/>
    <w:rPr>
      <w:rFonts w:ascii="Times New Roman" w:hAnsi="Times New Roman" w:eastAsia="宋体" w:cs="Times New Roman"/>
      <w:kern w:val="0"/>
      <w:sz w:val="18"/>
      <w:szCs w:val="18"/>
    </w:rPr>
  </w:style>
  <w:style w:type="paragraph" w:customStyle="1" w:styleId="44">
    <w:name w:val="null3"/>
    <w:qFormat/>
    <w:uiPriority w:val="0"/>
    <w:rPr>
      <w:rFonts w:hint="eastAsia" w:ascii="Calibri" w:hAnsi="Calibri" w:eastAsia="宋体" w:cs="Times New Roman"/>
      <w:kern w:val="0"/>
      <w:sz w:val="20"/>
      <w:szCs w:val="20"/>
      <w:lang w:val="en-US" w:eastAsia="zh-Hans" w:bidi="ar-SA"/>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1111</Words>
  <Characters>1161</Characters>
  <Lines>9</Lines>
  <Paragraphs>2</Paragraphs>
  <TotalTime>0</TotalTime>
  <ScaleCrop>false</ScaleCrop>
  <LinksUpToDate>false</LinksUpToDate>
  <CharactersWithSpaces>1208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2024-07-25T11:42:00Z</dcterms:created>
  <dc:creator>Pirican</dc:creator>
  <cp:lastModifiedBy>代理机构</cp:lastModifiedBy>
  <cp:lastPrinted>2025-03-20T09:11:00Z</cp:lastPrinted>
  <dcterms:modified xsi:type="dcterms:W3CDTF">2025-04-08T11:27:38Z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eyJoZGlkIjoiYjVhM2MyN2Y2MDNlZmIwYTQxZWVkMDFlZDFkY2Q2OTcifQ==</vt:lpwstr>
  </property>
  <property fmtid="{D5CDD505-2E9C-101B-9397-08002B2CF9AE}" pid="3" name="KSOProductBuildVer">
    <vt:lpwstr>2052-12.1.0.19770</vt:lpwstr>
  </property>
  <property fmtid="{D5CDD505-2E9C-101B-9397-08002B2CF9AE}" pid="4" name="ICV">
    <vt:lpwstr>158BF1D7FC8C4C37A523A1C77345E314_12</vt:lpwstr>
  </property>
</Properties>
</file>