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440101-2025-06228</w:t>
      </w:r>
    </w:p>
    <w:p>
      <w:pPr>
        <w:pStyle w:val="null3"/>
        <w:jc w:val="center"/>
        <w:outlineLvl w:val="3"/>
      </w:pPr>
      <w:r>
        <w:rPr>
          <w:sz w:val="24"/>
          <w:b/>
        </w:rPr>
        <w:t>采购项目编号：</w:t>
      </w:r>
      <w:r>
        <w:rPr>
          <w:sz w:val="24"/>
          <w:b/>
        </w:rPr>
        <w:t>440101-2025-06228</w:t>
      </w:r>
    </w:p>
    <w:p>
      <w:pPr>
        <w:pStyle w:val="null3"/>
        <w:jc w:val="center"/>
        <w:outlineLvl w:val="3"/>
      </w:pPr>
      <w:r>
        <w:rPr>
          <w:sz w:val="24"/>
          <w:b/>
        </w:rPr>
        <w:t>项目名称：</w:t>
      </w:r>
      <w:r>
        <w:rPr>
          <w:sz w:val="24"/>
          <w:b/>
        </w:rPr>
        <w:t>广州市重点区域大气环境智能化监测保障项目</w:t>
      </w:r>
    </w:p>
    <w:p>
      <w:pPr>
        <w:pStyle w:val="null3"/>
        <w:jc w:val="center"/>
        <w:outlineLvl w:val="3"/>
      </w:pPr>
      <w:r>
        <w:rPr>
          <w:sz w:val="24"/>
          <w:b/>
        </w:rPr>
        <w:t>采购人：</w:t>
      </w:r>
      <w:r>
        <w:rPr>
          <w:sz w:val="24"/>
          <w:b/>
        </w:rPr>
        <w:t>广东省广州生态环境监测中心站</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广东省广州生态环境监测中心站</w:t>
      </w:r>
      <w:r>
        <w:rPr/>
        <w:t>的委托，采用</w:t>
      </w:r>
      <w:r>
        <w:rPr/>
        <w:t>公开招标</w:t>
      </w:r>
      <w:r>
        <w:rPr/>
        <w:t>方式组织采购</w:t>
      </w:r>
      <w:r>
        <w:rPr/>
        <w:t>广州市重点区域大气环境智能化监测保障项目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广州市重点区域大气环境智能化监测保障项目</w:t>
      </w:r>
    </w:p>
    <w:p>
      <w:pPr>
        <w:pStyle w:val="null3"/>
        <w:ind w:firstLine="480"/>
      </w:pPr>
      <w:r>
        <w:rPr/>
        <w:t>采购计划编号：</w:t>
      </w:r>
      <w:r>
        <w:rPr/>
        <w:t>440101-2025-06228</w:t>
      </w:r>
    </w:p>
    <w:p>
      <w:pPr>
        <w:pStyle w:val="null3"/>
        <w:ind w:firstLine="480"/>
      </w:pPr>
      <w:r>
        <w:rPr/>
        <w:t>采购项目编号：</w:t>
      </w:r>
      <w:r>
        <w:rPr/>
        <w:t>440101-2025-06228</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采购包1(广州市重点区域大气环境智能化监测保障):</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广州市重点区域大气环境智能化监测保障项目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合同履行期限：自合同签订之日起至2026年5月31日。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p>
      <w:pPr>
        <w:pStyle w:val="null3"/>
      </w:pPr>
      <w:r>
        <w:rPr/>
        <w:t>2）有依法缴纳税收和社会保障资金的良好记录：提供签署及盖章合格的承诺声明函（格式自拟）。</w:t>
      </w:r>
    </w:p>
    <w:p>
      <w:pPr>
        <w:pStyle w:val="null3"/>
      </w:pPr>
      <w:r>
        <w:rPr/>
        <w:t>3）具有良好的商业信誉和健全的财务会计制度：提供签署及盖章合格的承诺声明函（格式自拟）。</w:t>
      </w:r>
    </w:p>
    <w:p>
      <w:pPr>
        <w:pStyle w:val="null3"/>
      </w:pPr>
      <w:r>
        <w:rPr/>
        <w:t>4）履行合同所必需的设备和专业技术能力：提供签署及盖章合格的承诺声明函（格式自拟）。</w:t>
      </w:r>
    </w:p>
    <w:p>
      <w:pPr>
        <w:pStyle w:val="null3"/>
      </w:pPr>
      <w:r>
        <w:rPr/>
        <w:t>5）参加采购活动前3年内，在经营活动中没有重大违法记录：提供签署及盖章合格的承诺声明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采购包1（广州市重点区域大气环境智能化监测保障）：</w:t>
      </w:r>
      <w:r>
        <w:rPr/>
        <w:t>本项目不属于专门面向中小企业采购的项目。</w:t>
      </w:r>
    </w:p>
    <w:p>
      <w:pPr>
        <w:pStyle w:val="null3"/>
        <w:outlineLvl w:val="3"/>
      </w:pPr>
      <w:r>
        <w:rPr>
          <w:sz w:val="24"/>
          <w:b/>
        </w:rPr>
        <w:t>3.本项目特定的资格要求：</w:t>
      </w:r>
    </w:p>
    <w:p>
      <w:pPr>
        <w:pStyle w:val="null3"/>
      </w:pPr>
      <w:r>
        <w:rPr/>
        <w:t>采购包1（广州市重点区域大气环境智能化监测保障）：</w:t>
      </w:r>
    </w:p>
    <w:p>
      <w:pPr>
        <w:pStyle w:val="null3"/>
      </w:pPr>
      <w:r>
        <w:rPr/>
        <w:t>1)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p>
      <w:pPr>
        <w:pStyle w:val="null3"/>
      </w:pPr>
      <w:r>
        <w:rPr/>
        <w:t>2)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p>
      <w:pPr>
        <w:pStyle w:val="null3"/>
      </w:pPr>
      <w:r>
        <w:rPr/>
        <w:t>3)本项目不允许合同分包，不接受联合体投标。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广东省广州生态环境监测中心站</w:t>
      </w:r>
    </w:p>
    <w:p>
      <w:pPr>
        <w:pStyle w:val="null3"/>
        <w:ind w:firstLine="480"/>
      </w:pPr>
      <w:r>
        <w:rPr/>
        <w:t xml:space="preserve"> 地址：</w:t>
      </w:r>
      <w:r>
        <w:rPr/>
        <w:t>广州市番禺区大学城中心南大街19号</w:t>
      </w:r>
    </w:p>
    <w:p>
      <w:pPr>
        <w:pStyle w:val="null3"/>
        <w:ind w:firstLine="480"/>
      </w:pPr>
      <w:r>
        <w:rPr/>
        <w:t xml:space="preserve"> 联系方式：</w:t>
      </w:r>
      <w:r>
        <w:rPr/>
        <w:t>020-32663151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020-85165610，020-87554018</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020-85165610，020-87554018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jc w:val="both"/>
      </w:pPr>
      <w:r>
        <w:rPr>
          <w:sz w:val="21"/>
        </w:rPr>
        <w:t>1</w:t>
      </w:r>
      <w:r>
        <w:rPr>
          <w:sz w:val="21"/>
        </w:rPr>
        <w:t>．投标人须对本项目为单位的标的物进行整体投标，任何只对其中一部分内容进行的投标都被视为无效投标。</w:t>
      </w:r>
    </w:p>
    <w:p>
      <w:pPr>
        <w:pStyle w:val="null3"/>
        <w:ind w:firstLine="420"/>
        <w:jc w:val="both"/>
      </w:pPr>
      <w:r>
        <w:rPr>
          <w:sz w:val="21"/>
        </w:rPr>
        <w:t>2</w:t>
      </w:r>
      <w:r>
        <w:rPr>
          <w:sz w:val="21"/>
        </w:rPr>
        <w:t>．本招标文件中，凡标有“★”的地方，投标人要特别加以注意，必须对此作出一一响应。若有一项带“★”的指标未响应或不满足，将导致其废标或投标无效。</w:t>
      </w:r>
    </w:p>
    <w:p>
      <w:pPr>
        <w:pStyle w:val="null3"/>
        <w:ind w:firstLine="420"/>
        <w:jc w:val="both"/>
      </w:pPr>
      <w:r>
        <w:rPr>
          <w:sz w:val="21"/>
        </w:rPr>
        <w:t>3</w:t>
      </w:r>
      <w:r>
        <w:rPr>
          <w:sz w:val="21"/>
        </w:rPr>
        <w:t>．</w:t>
      </w:r>
      <w:r>
        <w:rPr>
          <w:sz w:val="21"/>
        </w:rPr>
        <w:t>本项目不属于专门面向中小企业采购项目，理由如下：</w:t>
      </w:r>
      <w:r>
        <w:rPr>
          <w:sz w:val="21"/>
          <w:u w:val="single"/>
          <w:shd w:fill="FFFFFF" w:val="clear"/>
        </w:rPr>
        <w:t>根据《政府采购促进中小企业发展管理办法》的规定，本项目属于</w:t>
      </w:r>
      <w:r>
        <w:rPr>
          <w:sz w:val="21"/>
          <w:u w:val="single"/>
          <w:shd w:fill="FFFFFF" w:val="clear"/>
        </w:rPr>
        <w:t>“按照本办法规定预留采购份额无法确保充分供应、充分竞争，或者存在可能影响政府采购目标实现的情形”的情形</w:t>
      </w:r>
      <w:r>
        <w:rPr>
          <w:sz w:val="21"/>
          <w:u w:val="single"/>
          <w:shd w:fill="FFFFFF" w:val="clear"/>
        </w:rPr>
        <w:t>。</w:t>
      </w:r>
      <w:r>
        <w:rPr>
          <w:sz w:val="21"/>
        </w:rPr>
        <w:t>本项目中小企业划分标准所属行业为：其他未列明行业。</w:t>
      </w:r>
    </w:p>
    <w:p>
      <w:pPr>
        <w:pStyle w:val="null3"/>
        <w:ind w:firstLine="420"/>
      </w:pPr>
      <w:r>
        <w:rPr>
          <w:sz w:val="21"/>
        </w:rPr>
        <w:t>（二）项目名称：</w:t>
      </w:r>
      <w:r>
        <w:rPr>
          <w:sz w:val="21"/>
        </w:rPr>
        <w:t>广州市重点区域大气环境智能化监测保障项目</w:t>
      </w:r>
    </w:p>
    <w:p>
      <w:pPr>
        <w:pStyle w:val="null3"/>
        <w:ind w:firstLine="420"/>
      </w:pPr>
      <w:r>
        <w:rPr>
          <w:sz w:val="21"/>
        </w:rPr>
        <w:t>（三）项目预算（最高限价）：</w:t>
      </w:r>
      <w:r>
        <w:rPr>
          <w:sz w:val="21"/>
        </w:rPr>
        <w:t>¥</w:t>
      </w:r>
      <w:r>
        <w:rPr>
          <w:sz w:val="21"/>
        </w:rPr>
        <w:t>1,500,000.00</w:t>
      </w:r>
      <w:r>
        <w:rPr>
          <w:sz w:val="21"/>
        </w:rPr>
        <w:t>元（凡超过最高限价的，一律视为无效报价）。预算资金根据当年市财政下达的部门预算计划执行。投标人在投标时应充分考虑到由此带来的风险并无条件承诺自行承担风险。投标人不得恶意竞争以低于成本的报价竞标。评标委员会认为投标人的报价明显低于其他通过资格性、符合性审查投标人的报价，有可能影响服务质量或者不能诚信履约的，应当要求其在合理的时间内提供书面说明，必要时提交相关证明材料；投标人不能证明其报价合理性的，评标委员会应当将其作为无效投标处理。</w:t>
      </w:r>
    </w:p>
    <w:p>
      <w:pPr>
        <w:pStyle w:val="null3"/>
        <w:ind w:firstLine="420"/>
      </w:pPr>
      <w:r>
        <w:rPr>
          <w:sz w:val="21"/>
        </w:rPr>
        <w:t>（四）本项目报价采用总价包干的方式，凡超过最高限价的投标报价均视为无效投标。</w:t>
      </w:r>
    </w:p>
    <w:p>
      <w:pPr>
        <w:pStyle w:val="null3"/>
        <w:ind w:firstLine="420"/>
      </w:pPr>
      <w:r>
        <w:rPr>
          <w:sz w:val="21"/>
        </w:rPr>
        <w:t>（五）投标供应商须对本项目服务进行整体响应，任何只对其中一部分内容进行的响应都被视为无效投标。</w:t>
      </w:r>
    </w:p>
    <w:p>
      <w:pPr>
        <w:pStyle w:val="null3"/>
        <w:ind w:firstLine="420"/>
      </w:pPr>
      <w:r>
        <w:rPr>
          <w:sz w:val="21"/>
        </w:rPr>
        <w:t>（六）除法律、法规有明确规定可以分包的情形外，中标供应商不得以任何方式分包或转包本项目。</w:t>
      </w:r>
    </w:p>
    <w:p>
      <w:pPr>
        <w:pStyle w:val="null3"/>
        <w:ind w:firstLine="420"/>
      </w:pPr>
      <w:r>
        <w:rPr>
          <w:sz w:val="21"/>
        </w:rPr>
        <w:t>（七）项目目标</w:t>
      </w:r>
    </w:p>
    <w:p>
      <w:pPr>
        <w:pStyle w:val="null3"/>
        <w:ind w:firstLine="420"/>
      </w:pPr>
      <w:r>
        <w:rPr>
          <w:sz w:val="21"/>
        </w:rPr>
        <w:t>拟委托开展科学可行的、有针对性的广州市重点区域周边机动车排放、施工扬尘、道路保湿率等综合监控措施，借助智能预警技术及时获取重点监测区域周边人为干扰或其他影响环境空气质量的异常情况，为保障重点区域周边大气环境质量的稳定，保障监测数据</w:t>
      </w:r>
      <w:r>
        <w:rPr>
          <w:sz w:val="21"/>
        </w:rPr>
        <w:t>“</w:t>
      </w:r>
      <w:r>
        <w:rPr>
          <w:sz w:val="21"/>
        </w:rPr>
        <w:t>真实、准确、全面</w:t>
      </w:r>
      <w:r>
        <w:rPr>
          <w:sz w:val="21"/>
        </w:rPr>
        <w:t>”</w:t>
      </w:r>
      <w:r>
        <w:rPr>
          <w:sz w:val="21"/>
        </w:rPr>
        <w:t>，推进属地污染防治等工作。</w:t>
      </w:r>
      <w:r>
        <w:rPr>
          <w:sz w:val="21"/>
        </w:rPr>
        <w:t>试点在重点区域获得不同高度的空气质量结果，进一步精细化掌握近地面层污染物变化情况。</w:t>
      </w:r>
    </w:p>
    <w:p>
      <w:pPr>
        <w:pStyle w:val="null3"/>
        <w:ind w:firstLine="420"/>
      </w:pPr>
      <w:r>
        <w:rPr/>
        <w:t>采购包1（广州市重点区域大气环境智能化监测保障）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自合同签订之日起至2026年5月31日。</w:t>
            </w:r>
          </w:p>
        </w:tc>
      </w:tr>
      <w:tr>
        <w:tc>
          <w:tcPr>
            <w:tcW w:type="dxa" w:w="4153"/>
          </w:tcPr>
          <w:p>
            <w:pPr>
              <w:pStyle w:val="null3"/>
            </w:pPr>
            <w:r>
              <w:rPr/>
              <w:t>标的提供的地点</w:t>
            </w:r>
          </w:p>
        </w:tc>
        <w:tc>
          <w:tcPr>
            <w:tcW w:type="dxa" w:w="4153"/>
          </w:tcPr>
          <w:p>
            <w:pPr>
              <w:pStyle w:val="null3"/>
            </w:pPr>
            <w:r>
              <w:rPr/>
              <w:t>广州市内采购人指定地点。</w:t>
            </w:r>
          </w:p>
        </w:tc>
      </w:tr>
      <w:tr/>
      <w:tr/>
      <w:tr>
        <w:tc>
          <w:tcPr>
            <w:tcW w:type="dxa" w:w="4153"/>
          </w:tcPr>
          <w:p>
            <w:pPr>
              <w:pStyle w:val="null3"/>
            </w:pPr>
            <w:r>
              <w:rPr/>
              <w:t>付款方式</w:t>
            </w:r>
          </w:p>
        </w:tc>
        <w:tc>
          <w:tcPr>
            <w:tcW w:type="dxa" w:w="4153"/>
          </w:tcPr>
          <w:p>
            <w:pPr>
              <w:pStyle w:val="null3"/>
            </w:pPr>
            <w:r>
              <w:rPr/>
              <w:t>第1期为(预付款)：支付比例50%，（1）预付款：合同签订后，于5个工作日内支付合同总额50%款项。</w:t>
            </w:r>
          </w:p>
          <w:p>
            <w:pPr>
              <w:pStyle w:val="null3"/>
            </w:pPr>
            <w:r>
              <w:rPr/>
              <w:t>第2期为(进度款)：支付比例3.3%，（2）进度款：项目开展至2025年8月，中标供应商按时序进度提交日报月报，采购人收到发票后，于5个工作日内支付合同总额3.3%款项。</w:t>
            </w:r>
          </w:p>
          <w:p>
            <w:pPr>
              <w:pStyle w:val="null3"/>
            </w:pPr>
            <w:r>
              <w:rPr/>
              <w:t>第3期为(验收款)：支付比例46.7%，（3）2026年项目结束，所有工作完成通过技术验收，采购人收到有效发票后于5个工作日内支付合同总额46.7%款项。如2026年本项目尾款申请财政经费不获批复，合同执行至2025年12月（按比例金额计算）自动终止。 注：（1）每笔款项支付时，中标供应商同时向采购人提供规定金额的合法、有效的发票，否则采购人有权拒绝支付直至中标供应商能提供相应发票，由此产生的不利后果及损失由中标供应商承担。 （2）除首付款外，对于满足合同约定支付条件的，采购人自收到发票，审核无误后5个工作日内完成资金支付。 （3）因本项目执行财政集中支付，实际支付时间与金额以集中支付机构支付为准，如因财政资金额度下达或财政审批等原因导致采购人延迟支付，不属于采购人违约。采购人有权根据年度资金批复情况，调整付款时间和金额。 （4）本合同约定的采购人付款时间为采购人完成支付申请手续，向集中支付机构申请资金支付的时间，不包括集中支付机构支付时间。 （5）采购人支付前有权扣除相应的违约金和赔偿款等费用，已扣除的费用不再支付。 （6）该项目合同总金额为中标供应商完成本项目的包干价，中标供应商不得以任何理由向采购人要求追加经费。（7）中标供应商凭以下有效的文件向采购人提出支付申请：项目合同；按法律规定开具相应的发票；项目中标（成交）通知书；服务进度成果材料。</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1期：1.验收时间及方式：项目完结后，由中标供应商提出验收申请。采购人组织邀请不少于3名专家对项目进行验收。 2.验收标准：对照合同要求提供相关报表及报告。 （1）提供监控时段日报不少于285份（95%），月报10份，年报1份，梯度数据监控月报10份； （2）按要求提交验收报告； （3）验收费用：本项目验收所产生的所有费用由中标供应商承担。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1.罚则，（1）中标供应商未能按本合同规定的时间提供服务，从逾期之日起每日按本合同总价5‰的数额向采购人支付违约金，逾期半个月以上的，采购人有权单方面终止合同。 （2）除受不可抗力因素影响外，视频信息采集年度可用率小于85%，采购人有权对中标供应商处以合同总额5%的罚款。 （3）除受不可抗力因素影响外，微型空气质量监测系统需满足“年度数据有效率≥75%”的要求，每降低1%处以合同总额的0.01%作为罚款。</w:t>
            </w:r>
          </w:p>
          <w:p>
            <w:pPr>
              <w:pStyle w:val="null3"/>
            </w:pPr>
            <w:r>
              <w:rPr/>
              <w:t>2.保密要求，中标供应商需对所有监测数据及相关信息资料保密，未经采购人书面许可不得以任何方式公开展示、发表或透露给第三方。参与本项目的中标供应商及所有人员，对工作中所涉的数据、资料及文件等负有保密义务，任何情况不得向第三方泄露。如存在上述情况，将按严重违约行为依法追究中标供应商相关责任。</w:t>
            </w:r>
          </w:p>
          <w:p>
            <w:pPr>
              <w:pStyle w:val="null3"/>
            </w:pPr>
            <w:r>
              <w:rPr/>
              <w:t>3.安全要求，中标供应商有义务对设备进行保护，同时中标供应商全责保障其技术人员在运维工作期间的人身安全。</w:t>
            </w:r>
          </w:p>
          <w:p>
            <w:pPr>
              <w:pStyle w:val="null3"/>
            </w:pPr>
            <w:r>
              <w:rPr/>
              <w:t>4.配合采购人工作要求，中标供应商应积极配合采购人，做好接受各级管理部门的检查、监督工作；协助其他服务单位开展工作；协调在本项目工作范围内与相关单位之间的相互配合、沟通，并经采购人同意，无偿提供与其工作有关的资料、信息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广州市重点区域大气环境智能化监测保障项目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1,500,000.00</w:t>
            </w:r>
          </w:p>
        </w:tc>
        <w:tc>
          <w:tcPr>
            <w:tcW w:type="dxa" w:w="933"/>
          </w:tcPr>
          <w:p>
            <w:pPr>
              <w:pStyle w:val="null3"/>
              <w:jc w:val="right"/>
            </w:pPr>
            <w:r>
              <w:rPr/>
              <w:t>1,500,000.00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广州市重点区域大气环境智能化监测保障项目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（一）服务内容</w:t>
            </w:r>
          </w:p>
          <w:p>
            <w:pPr>
              <w:pStyle w:val="null3"/>
              <w:ind w:firstLine="420"/>
              <w:jc w:val="both"/>
            </w:pPr>
            <w:r>
              <w:rPr>
                <w:sz w:val="21"/>
              </w:rPr>
              <w:t>1.开展时间</w:t>
            </w:r>
          </w:p>
          <w:p>
            <w:pPr>
              <w:pStyle w:val="null3"/>
              <w:ind w:firstLine="420"/>
              <w:jc w:val="both"/>
            </w:pPr>
            <w:r>
              <w:rPr>
                <w:sz w:val="21"/>
              </w:rPr>
              <w:t>本项目将在</w:t>
            </w:r>
            <w:r>
              <w:rPr>
                <w:sz w:val="21"/>
              </w:rPr>
              <w:t>2025年6月至2026年5月分阶段进行，累积开展时间约10个月（具体开始结束时间，按实际合同规定时间确定）。</w:t>
            </w:r>
          </w:p>
          <w:p>
            <w:pPr>
              <w:pStyle w:val="null3"/>
              <w:ind w:firstLine="420"/>
              <w:jc w:val="both"/>
            </w:pPr>
            <w:r>
              <w:rPr>
                <w:sz w:val="21"/>
              </w:rPr>
              <w:t>2.工作范围</w:t>
            </w:r>
          </w:p>
          <w:p>
            <w:pPr>
              <w:pStyle w:val="null3"/>
              <w:ind w:firstLine="420"/>
              <w:jc w:val="both"/>
            </w:pPr>
            <w:r>
              <w:rPr>
                <w:sz w:val="21"/>
              </w:rPr>
              <w:t>工作范围包括广州市</w:t>
            </w:r>
            <w:r>
              <w:rPr>
                <w:sz w:val="21"/>
              </w:rPr>
              <w:t>20个重点区域：荔湾西村、海珠宝岗、公园前、体育西、麓湖、海珠赤沙、黄埔大沙地、番禺市桥、花都新华、黄埔镇龙、白云嘉禾、白云竹料、从化街口、从化良口、番禺大学城、花都梯面、黄埔科学城、南沙黄阁、南沙街、增城荔城。具体位置由采购人决定。</w:t>
            </w:r>
            <w:r>
              <w:rPr>
                <w:sz w:val="21"/>
              </w:rPr>
              <w:t>合同签</w:t>
            </w:r>
            <w:r>
              <w:rPr>
                <w:sz w:val="21"/>
              </w:rPr>
              <w:t>订后一个月内中标供应根据合同要求，严格按照采购人指定地点进行点位落实、仪器设备安装并开始服务</w:t>
            </w:r>
            <w:r>
              <w:rPr>
                <w:sz w:val="21"/>
              </w:rPr>
              <w:t>。</w:t>
            </w:r>
          </w:p>
          <w:p>
            <w:pPr>
              <w:pStyle w:val="null3"/>
              <w:ind w:firstLine="420"/>
              <w:jc w:val="both"/>
            </w:pPr>
            <w:r>
              <w:rPr>
                <w:sz w:val="21"/>
              </w:rPr>
              <w:t>3.工作内容</w:t>
            </w:r>
          </w:p>
          <w:p>
            <w:pPr>
              <w:pStyle w:val="null3"/>
              <w:ind w:firstLine="420"/>
              <w:jc w:val="both"/>
            </w:pPr>
            <w:r>
              <w:rPr>
                <w:sz w:val="21"/>
              </w:rPr>
              <w:t>中标供应商经由采购人委托，在广州市</w:t>
            </w:r>
            <w:r>
              <w:rPr>
                <w:sz w:val="21"/>
              </w:rPr>
              <w:t>20个重点区域开展实时视频监控，基于监控信息对异常情况进行实时告警；并选择一个典型位置在不少于4个高度开展空气质量梯度观测，获取该点位空气质量梯度状况。</w:t>
            </w:r>
          </w:p>
          <w:p>
            <w:pPr>
              <w:pStyle w:val="null3"/>
              <w:ind w:firstLine="420"/>
              <w:jc w:val="both"/>
            </w:pPr>
            <w:r>
              <w:rPr>
                <w:sz w:val="21"/>
              </w:rPr>
              <w:t>3.1智能化监控</w:t>
            </w:r>
          </w:p>
          <w:p>
            <w:pPr>
              <w:pStyle w:val="null3"/>
              <w:ind w:firstLine="420"/>
              <w:jc w:val="both"/>
            </w:pPr>
            <w:r>
              <w:rPr>
                <w:sz w:val="21"/>
              </w:rPr>
              <w:t>中标供应商提供重点区域周边及主要道路实时高清视频监控，实现重点区域内对影响环境空气质量的各类异常情况进行全方位在线监控；提供数据分析处理业务平台对视频数据分析处理及发送；同时负责所有设备的运行维护。视频信号同步传送至数据分析处理业务平台，可实现远程实时多画面对重点区域视频监控。利用视频、云技术、人工智能图像识别技术、</w:t>
            </w:r>
            <w:r>
              <w:rPr>
                <w:sz w:val="21"/>
              </w:rPr>
              <w:t>GIS地理信息技术识别异常情况并告警及发送处理任务，同时对任务流程跟踪。同时根据采购人预警要求提供指定时段的监控报表。为传统人工巡查提供科学支持，提高重点区域大气污染防治的整体工作效率和成效。</w:t>
            </w:r>
          </w:p>
          <w:p>
            <w:pPr>
              <w:pStyle w:val="null3"/>
              <w:ind w:firstLine="420"/>
              <w:jc w:val="both"/>
            </w:pPr>
            <w:r>
              <w:rPr>
                <w:sz w:val="21"/>
              </w:rPr>
              <w:t>监控内容包括：</w:t>
            </w:r>
          </w:p>
          <w:p>
            <w:pPr>
              <w:pStyle w:val="null3"/>
              <w:ind w:firstLine="420"/>
              <w:jc w:val="both"/>
            </w:pPr>
            <w:r>
              <w:rPr>
                <w:sz w:val="21"/>
              </w:rPr>
              <w:t>（</w:t>
            </w:r>
            <w:r>
              <w:rPr>
                <w:sz w:val="21"/>
              </w:rPr>
              <w:t>1）工地：利用AI识别施工扬尘，包括渣土车辆100%密闭运输、裸土覆盖等情况。</w:t>
            </w:r>
          </w:p>
          <w:p>
            <w:pPr>
              <w:pStyle w:val="null3"/>
              <w:ind w:firstLine="420"/>
              <w:jc w:val="both"/>
            </w:pPr>
            <w:r>
              <w:rPr>
                <w:sz w:val="21"/>
              </w:rPr>
              <w:t>（</w:t>
            </w:r>
            <w:r>
              <w:rPr>
                <w:sz w:val="21"/>
              </w:rPr>
              <w:t>2）移动污染源和非道路移动机械：车辆黑烟、车辆冒装撒漏、车辆偷倒泥渣。</w:t>
            </w:r>
          </w:p>
          <w:p>
            <w:pPr>
              <w:pStyle w:val="null3"/>
              <w:ind w:firstLine="420"/>
              <w:jc w:val="both"/>
            </w:pPr>
            <w:r>
              <w:rPr>
                <w:sz w:val="21"/>
              </w:rPr>
              <w:t>（</w:t>
            </w:r>
            <w:r>
              <w:rPr>
                <w:sz w:val="21"/>
              </w:rPr>
              <w:t>3）道路源：路面干湿状态识别、道路扬尘识别、道路拥堵状态识别。</w:t>
            </w:r>
          </w:p>
          <w:p>
            <w:pPr>
              <w:pStyle w:val="null3"/>
              <w:ind w:firstLine="420"/>
              <w:jc w:val="both"/>
            </w:pPr>
            <w:r>
              <w:rPr>
                <w:sz w:val="21"/>
              </w:rPr>
              <w:t>（</w:t>
            </w:r>
            <w:r>
              <w:rPr>
                <w:sz w:val="21"/>
              </w:rPr>
              <w:t>4）燃烧源：烟花爆竹、秸秆焚烧、垃圾露天焚烧识别等的异常情况。</w:t>
            </w:r>
          </w:p>
          <w:p>
            <w:pPr>
              <w:pStyle w:val="null3"/>
              <w:ind w:firstLine="420"/>
              <w:jc w:val="both"/>
            </w:pPr>
            <w:r>
              <w:rPr>
                <w:sz w:val="21"/>
              </w:rPr>
              <w:t>3.2空气质量梯度观测</w:t>
            </w:r>
          </w:p>
          <w:p>
            <w:pPr>
              <w:pStyle w:val="null3"/>
              <w:ind w:firstLine="420"/>
              <w:jc w:val="both"/>
            </w:pPr>
            <w:r>
              <w:rPr>
                <w:sz w:val="21"/>
              </w:rPr>
              <w:t>中标供应商根据采购人需求选择一个典型位置，提供不少于</w:t>
            </w:r>
            <w:r>
              <w:rPr>
                <w:sz w:val="21"/>
              </w:rPr>
              <w:t>4个高度处的微型空气质量监测服务，点位周边开阔无遮挡。主要监测项目为：PM</w:t>
            </w:r>
            <w:r>
              <w:rPr>
                <w:sz w:val="21"/>
                <w:vertAlign w:val="subscript"/>
              </w:rPr>
              <w:t>10</w:t>
            </w:r>
            <w:r>
              <w:rPr>
                <w:sz w:val="21"/>
              </w:rPr>
              <w:t>、</w:t>
            </w:r>
            <w:r>
              <w:rPr>
                <w:sz w:val="21"/>
              </w:rPr>
              <w:t>PM</w:t>
            </w:r>
            <w:r>
              <w:rPr>
                <w:sz w:val="21"/>
                <w:vertAlign w:val="subscript"/>
              </w:rPr>
              <w:t>2.5</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CO、SO</w:t>
            </w:r>
            <w:r>
              <w:rPr>
                <w:sz w:val="21"/>
                <w:vertAlign w:val="subscript"/>
              </w:rPr>
              <w:t>2</w:t>
            </w:r>
            <w:r>
              <w:rPr>
                <w:sz w:val="21"/>
              </w:rPr>
              <w:t>，获取该点位空气质量梯度状况，中标供应商应提供一年的持续稳定的在线监测数据服务，需负责监测点位及监测设备的协调与使用、各监测设备的数据采集与监控、运行维护、质量控制、故障维修等各项工作，所需费用均由中标供应商承担。</w:t>
            </w:r>
          </w:p>
          <w:p>
            <w:pPr>
              <w:pStyle w:val="null3"/>
              <w:ind w:firstLine="422"/>
              <w:jc w:val="both"/>
            </w:pPr>
            <w:r>
              <w:rPr>
                <w:sz w:val="21"/>
                <w:b/>
              </w:rPr>
              <w:t>（二）服务成果</w:t>
            </w:r>
          </w:p>
          <w:p>
            <w:pPr>
              <w:pStyle w:val="null3"/>
              <w:ind w:firstLine="420"/>
              <w:jc w:val="both"/>
            </w:pPr>
            <w:r>
              <w:rPr>
                <w:sz w:val="21"/>
              </w:rPr>
              <w:t>所有服务成果需以电子形式提供给采购人，并按照采购人要求，协助提供纸质版材料，成果包括（但不限于）：</w:t>
            </w:r>
          </w:p>
          <w:p>
            <w:pPr>
              <w:pStyle w:val="null3"/>
              <w:ind w:firstLine="420"/>
              <w:jc w:val="both"/>
            </w:pPr>
            <w:r>
              <w:rPr>
                <w:sz w:val="21"/>
              </w:rPr>
              <w:t>1.提供监控时段日报不少于285份（95%），月报10份，年报1份。</w:t>
            </w:r>
          </w:p>
          <w:p>
            <w:pPr>
              <w:pStyle w:val="null3"/>
              <w:ind w:firstLine="420"/>
              <w:jc w:val="both"/>
            </w:pPr>
            <w:r>
              <w:rPr>
                <w:sz w:val="21"/>
              </w:rPr>
              <w:t>2.提供梯度数据监控月报10份。</w:t>
            </w:r>
          </w:p>
          <w:p>
            <w:pPr>
              <w:pStyle w:val="null3"/>
              <w:ind w:firstLine="420"/>
              <w:jc w:val="both"/>
            </w:pPr>
            <w:r>
              <w:rPr>
                <w:sz w:val="21"/>
              </w:rPr>
              <w:t>3.按要求提交验收报告。</w:t>
            </w:r>
          </w:p>
          <w:p>
            <w:pPr>
              <w:pStyle w:val="null3"/>
              <w:ind w:firstLine="422"/>
              <w:jc w:val="both"/>
            </w:pPr>
            <w:r>
              <w:rPr>
                <w:sz w:val="21"/>
                <w:b/>
              </w:rPr>
              <w:t>（三）服务技术要求</w:t>
            </w:r>
          </w:p>
          <w:p>
            <w:pPr>
              <w:pStyle w:val="null3"/>
              <w:ind w:firstLine="420"/>
              <w:jc w:val="both"/>
            </w:pPr>
            <w:r>
              <w:rPr>
                <w:sz w:val="21"/>
              </w:rPr>
              <w:t>项目技术要求包括：</w:t>
            </w:r>
          </w:p>
          <w:tbl>
            <w:tblPr>
              <w:tblBorders>
                <w:top w:val="none" w:color="000000" w:sz="4"/>
                <w:left w:val="none" w:color="000000" w:sz="4"/>
                <w:bottom w:val="none" w:color="000000" w:sz="4"/>
                <w:right w:val="none" w:color="000000" w:sz="4"/>
                <w:insideH w:val="none"/>
                <w:insideV w:val="none"/>
              </w:tblBorders>
            </w:tblPr>
            <w:tblGrid>
              <w:gridCol w:w="816"/>
              <w:gridCol w:w="465"/>
              <w:gridCol w:w="2702"/>
              <w:gridCol w:w="743"/>
              <w:gridCol w:w="870"/>
            </w:tblGrid>
            <w:tr>
              <w:tc>
                <w:tcPr>
                  <w:tcW w:type="dxa" w:w="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工作内容</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8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智能化</w:t>
                  </w:r>
                </w:p>
                <w:p>
                  <w:pPr>
                    <w:pStyle w:val="null3"/>
                    <w:jc w:val="center"/>
                  </w:pPr>
                  <w:r>
                    <w:rPr>
                      <w:sz w:val="21"/>
                    </w:rPr>
                    <w:t>监控</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红外高清球机实时视频流</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w:t>
                  </w:r>
                  <w:r>
                    <w:rPr>
                      <w:sz w:val="21"/>
                    </w:rPr>
                    <w:t>·10个月</w:t>
                  </w:r>
                </w:p>
              </w:tc>
            </w:tr>
            <w:tr>
              <w:tc>
                <w:tcPr>
                  <w:tcW w:type="dxa" w:w="816"/>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红外高清热成像双光谱球机实时视频流（安装于郊区点位）</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w:t>
                  </w:r>
                  <w:r>
                    <w:rPr>
                      <w:sz w:val="21"/>
                    </w:rPr>
                    <w:t>·10个月</w:t>
                  </w:r>
                </w:p>
              </w:tc>
            </w:tr>
            <w:tr>
              <w:tc>
                <w:tcPr>
                  <w:tcW w:type="dxa" w:w="816"/>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监控点位设置</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点位</w:t>
                  </w:r>
                </w:p>
              </w:tc>
            </w:tr>
            <w:tr>
              <w:tc>
                <w:tcPr>
                  <w:tcW w:type="dxa" w:w="816"/>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数据分析处理业务平台（含小程序）</w:t>
                  </w:r>
                </w:p>
                <w:p>
                  <w:pPr>
                    <w:pStyle w:val="null3"/>
                    <w:jc w:val="center"/>
                  </w:pPr>
                  <w:r>
                    <w:rPr>
                      <w:sz w:val="21"/>
                    </w:rPr>
                    <w:t>（服务期内提供使用权限）</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16"/>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数据分析服务</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w:t>
                  </w:r>
                </w:p>
              </w:tc>
            </w:tr>
            <w:tr>
              <w:tc>
                <w:tcPr>
                  <w:tcW w:type="dxa" w:w="816"/>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运行维护服务</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w:t>
                  </w:r>
                </w:p>
              </w:tc>
            </w:tr>
            <w:tr>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空气质量梯度观测</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微型空气质量监测系统</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bl>
          <w:p>
            <w:pPr>
              <w:pStyle w:val="null3"/>
            </w:pPr>
            <w:r>
              <w:rPr>
                <w:sz w:val="21"/>
              </w:rPr>
              <w:t>1.</w:t>
            </w:r>
            <w:r>
              <w:rPr>
                <w:sz w:val="21"/>
              </w:rPr>
              <w:t>监控设备要求</w:t>
            </w:r>
          </w:p>
          <w:p>
            <w:pPr>
              <w:pStyle w:val="null3"/>
              <w:ind w:firstLine="420"/>
              <w:jc w:val="both"/>
            </w:pPr>
            <w:r>
              <w:rPr>
                <w:sz w:val="21"/>
              </w:rPr>
              <w:t>提供视频服务设备的基础参数应满足：实时高清视频不低于</w:t>
            </w:r>
            <w:r>
              <w:rPr>
                <w:sz w:val="21"/>
              </w:rPr>
              <w:t>400万像素；焦距6-336 mm；光学变倍不低于45倍；最大图像分辨率不低于2688×1520；支持光学透雾、强光抑制、电子防抖；防护等级不低于IP66；TVS 6000V防雷、防浪涌、防突波，符合GB/T</w:t>
            </w:r>
            <w:r>
              <w:rPr>
                <w:sz w:val="21"/>
              </w:rPr>
              <w:t xml:space="preserve"> </w:t>
            </w:r>
            <w:r>
              <w:rPr>
                <w:sz w:val="21"/>
              </w:rPr>
              <w:t>17626.5四级标准。</w:t>
            </w:r>
          </w:p>
          <w:p>
            <w:pPr>
              <w:pStyle w:val="null3"/>
              <w:ind w:firstLine="420"/>
              <w:jc w:val="both"/>
            </w:pPr>
            <w:r>
              <w:rPr>
                <w:sz w:val="21"/>
              </w:rPr>
              <w:t>2.</w:t>
            </w:r>
            <w:r>
              <w:rPr>
                <w:sz w:val="21"/>
              </w:rPr>
              <w:t>监控点位设置要求</w:t>
            </w:r>
          </w:p>
          <w:p>
            <w:pPr>
              <w:pStyle w:val="null3"/>
              <w:ind w:firstLine="420"/>
              <w:jc w:val="both"/>
            </w:pPr>
            <w:r>
              <w:rPr>
                <w:sz w:val="21"/>
              </w:rPr>
              <w:t>（</w:t>
            </w:r>
            <w:r>
              <w:rPr>
                <w:sz w:val="21"/>
              </w:rPr>
              <w:t>1）高度：</w:t>
            </w:r>
            <w:r>
              <w:rPr>
                <w:sz w:val="21"/>
              </w:rPr>
              <w:t>20个</w:t>
            </w:r>
            <w:r>
              <w:rPr>
                <w:sz w:val="21"/>
              </w:rPr>
              <w:t>可供附挂摄像头的杆塔、建筑物等高点要求高于地面</w:t>
            </w:r>
            <w:r>
              <w:rPr>
                <w:sz w:val="21"/>
              </w:rPr>
              <w:t>25m及以上，其中城区及工业园区要求高于地面30米及以上。</w:t>
            </w:r>
          </w:p>
          <w:p>
            <w:pPr>
              <w:pStyle w:val="null3"/>
              <w:ind w:firstLine="420"/>
              <w:jc w:val="both"/>
            </w:pPr>
            <w:r>
              <w:rPr>
                <w:sz w:val="21"/>
              </w:rPr>
              <w:t>（</w:t>
            </w:r>
            <w:r>
              <w:rPr>
                <w:sz w:val="21"/>
              </w:rPr>
              <w:t>2）可供附挂摄像头的杆塔、建筑物等高点设施牢固、安全，能抵抗洪水、强风等特殊天气。</w:t>
            </w:r>
          </w:p>
          <w:p>
            <w:pPr>
              <w:pStyle w:val="null3"/>
              <w:ind w:firstLine="420"/>
              <w:jc w:val="both"/>
            </w:pPr>
            <w:r>
              <w:rPr>
                <w:sz w:val="21"/>
              </w:rPr>
              <w:t>（</w:t>
            </w:r>
            <w:r>
              <w:rPr>
                <w:sz w:val="21"/>
              </w:rPr>
              <w:t>3）高点周边环境空旷开阔，无明显的建筑阻挡，保证前端摄像头360度旋转观察。</w:t>
            </w:r>
          </w:p>
          <w:p>
            <w:pPr>
              <w:pStyle w:val="null3"/>
              <w:ind w:firstLine="420"/>
              <w:jc w:val="both"/>
            </w:pPr>
            <w:r>
              <w:rPr>
                <w:sz w:val="21"/>
              </w:rPr>
              <w:t>（</w:t>
            </w:r>
            <w:r>
              <w:rPr>
                <w:sz w:val="21"/>
              </w:rPr>
              <w:t>4）高点上端有供前端摄像头安装的1个以上钢制支臂，整体支撑牢固可靠。</w:t>
            </w:r>
          </w:p>
          <w:p>
            <w:pPr>
              <w:pStyle w:val="null3"/>
              <w:ind w:firstLine="420"/>
              <w:jc w:val="both"/>
            </w:pPr>
            <w:r>
              <w:rPr>
                <w:sz w:val="21"/>
              </w:rPr>
              <w:t>（</w:t>
            </w:r>
            <w:r>
              <w:rPr>
                <w:sz w:val="21"/>
              </w:rPr>
              <w:t>5）前端高点有专业的机柜或者机房，可放置前端摄像头配套的接入设备。</w:t>
            </w:r>
          </w:p>
          <w:p>
            <w:pPr>
              <w:pStyle w:val="null3"/>
              <w:ind w:firstLine="420"/>
              <w:jc w:val="both"/>
            </w:pPr>
            <w:r>
              <w:rPr>
                <w:sz w:val="21"/>
              </w:rPr>
              <w:t>（</w:t>
            </w:r>
            <w:r>
              <w:rPr>
                <w:sz w:val="21"/>
              </w:rPr>
              <w:t>6）前端高点有电力接入条件，可供摄像头设备取电用电，取电距离不超过100m，同时配置UPS或蓄电池等后备电源，提供不间断供电保障。</w:t>
            </w:r>
          </w:p>
          <w:p>
            <w:pPr>
              <w:pStyle w:val="null3"/>
              <w:ind w:firstLine="420"/>
              <w:jc w:val="both"/>
            </w:pPr>
            <w:r>
              <w:rPr>
                <w:sz w:val="21"/>
              </w:rPr>
              <w:t>（</w:t>
            </w:r>
            <w:r>
              <w:rPr>
                <w:sz w:val="21"/>
              </w:rPr>
              <w:t>7）前端设备采集数据要求采用光纤有线网络传输，传输上行带宽不低于10M。</w:t>
            </w:r>
          </w:p>
          <w:p>
            <w:pPr>
              <w:pStyle w:val="null3"/>
              <w:ind w:firstLine="420"/>
              <w:jc w:val="both"/>
            </w:pPr>
            <w:r>
              <w:rPr>
                <w:sz w:val="21"/>
              </w:rPr>
              <w:t>（</w:t>
            </w:r>
            <w:r>
              <w:rPr>
                <w:sz w:val="21"/>
              </w:rPr>
              <w:t>8）防雷：为了确保监控系统可靠、稳定地运行，前端环境应具备避雷设施。</w:t>
            </w:r>
          </w:p>
          <w:p>
            <w:pPr>
              <w:pStyle w:val="null3"/>
              <w:ind w:firstLine="420"/>
              <w:jc w:val="both"/>
            </w:pPr>
            <w:r>
              <w:rPr>
                <w:sz w:val="21"/>
              </w:rPr>
              <w:t>3.</w:t>
            </w:r>
            <w:r>
              <w:rPr>
                <w:sz w:val="21"/>
              </w:rPr>
              <w:t>数据分析处理功能要求</w:t>
            </w:r>
          </w:p>
          <w:p>
            <w:pPr>
              <w:pStyle w:val="null3"/>
              <w:ind w:firstLine="420"/>
              <w:jc w:val="both"/>
            </w:pPr>
            <w:r>
              <w:rPr>
                <w:sz w:val="21"/>
              </w:rPr>
              <w:t>3.1平台</w:t>
            </w:r>
            <w:r>
              <w:rPr>
                <w:sz w:val="21"/>
              </w:rPr>
              <w:t>功能要求：</w:t>
            </w:r>
          </w:p>
          <w:p>
            <w:pPr>
              <w:pStyle w:val="null3"/>
              <w:ind w:firstLine="420"/>
              <w:jc w:val="both"/>
            </w:pPr>
            <w:r>
              <w:rPr>
                <w:sz w:val="21"/>
              </w:rPr>
              <w:t>（</w:t>
            </w:r>
            <w:r>
              <w:rPr>
                <w:sz w:val="21"/>
              </w:rPr>
              <w:t>1）AI综合研判：支持以AI图像识别能力为核心的监管功能，包括如下功能：实时平台弹窗告警提示。</w:t>
            </w:r>
          </w:p>
          <w:p>
            <w:pPr>
              <w:pStyle w:val="null3"/>
              <w:ind w:firstLine="420"/>
              <w:jc w:val="both"/>
            </w:pPr>
            <w:r>
              <w:rPr>
                <w:sz w:val="21"/>
              </w:rPr>
              <w:t>可通过数据二次分析，查看最近高发区域和站点、陡升区域和站点、个人和区域任务处置时长排行分析等数据挖掘排行。</w:t>
            </w:r>
          </w:p>
          <w:p>
            <w:pPr>
              <w:pStyle w:val="null3"/>
              <w:ind w:firstLine="420"/>
              <w:jc w:val="both"/>
            </w:pPr>
            <w:r>
              <w:rPr>
                <w:sz w:val="21"/>
              </w:rPr>
              <w:t>（</w:t>
            </w:r>
            <w:r>
              <w:rPr>
                <w:sz w:val="21"/>
              </w:rPr>
              <w:t>2）AI告警：可查看包括图片、时间、定位信息、录像、视频，并具备相关问题反馈的功能。可通过平台、移动端进行及时推送。信息可便捷查阅。可对数据二次挖掘和分析。</w:t>
            </w:r>
          </w:p>
          <w:p>
            <w:pPr>
              <w:pStyle w:val="null3"/>
              <w:ind w:firstLine="420"/>
              <w:jc w:val="both"/>
            </w:pPr>
            <w:r>
              <w:rPr>
                <w:sz w:val="21"/>
              </w:rPr>
              <w:t>（</w:t>
            </w:r>
            <w:r>
              <w:rPr>
                <w:sz w:val="21"/>
              </w:rPr>
              <w:t>3）AI识别：</w:t>
            </w:r>
          </w:p>
          <w:p>
            <w:pPr>
              <w:pStyle w:val="null3"/>
              <w:ind w:firstLine="420"/>
              <w:jc w:val="both"/>
            </w:pPr>
            <w:r>
              <w:rPr>
                <w:sz w:val="21"/>
              </w:rPr>
              <w:t>1）施工扬尘：对视频监控区域的施工工地进行自动监控，对工地的扬尘情况进行分析和自动预警，定位扬尘所在点（利用AI识别施工扬尘，包括渣土车辆100%密闭运输、裸土覆盖等情况）。</w:t>
            </w:r>
          </w:p>
          <w:p>
            <w:pPr>
              <w:pStyle w:val="null3"/>
              <w:ind w:firstLine="420"/>
              <w:jc w:val="both"/>
            </w:pPr>
            <w:r>
              <w:rPr>
                <w:sz w:val="21"/>
              </w:rPr>
              <w:t>2）移动污染源和非道路移动机械告警</w:t>
            </w:r>
            <w:r>
              <w:rPr>
                <w:sz w:val="21"/>
              </w:rPr>
              <w:t>：包括车辆黑烟、车辆冒装撒漏、车辆偷倒泥渣。</w:t>
            </w:r>
          </w:p>
          <w:p>
            <w:pPr>
              <w:pStyle w:val="null3"/>
              <w:ind w:firstLine="420"/>
              <w:jc w:val="both"/>
            </w:pPr>
            <w:r>
              <w:rPr>
                <w:sz w:val="21"/>
              </w:rPr>
              <w:t>3）道路监控：包括干路面识别、道路扬尘识别、车辆拥堵识别。</w:t>
            </w:r>
          </w:p>
          <w:p>
            <w:pPr>
              <w:pStyle w:val="null3"/>
              <w:ind w:firstLine="420"/>
              <w:jc w:val="both"/>
            </w:pPr>
            <w:r>
              <w:rPr>
                <w:sz w:val="21"/>
              </w:rPr>
              <w:t>4）燃烧源：烟花爆竹燃放现象、秸秆/垃圾等造成的露天焚烧现象识别等的异常情况。</w:t>
            </w:r>
          </w:p>
          <w:p>
            <w:pPr>
              <w:pStyle w:val="null3"/>
              <w:ind w:firstLine="420"/>
              <w:jc w:val="both"/>
            </w:pPr>
            <w:r>
              <w:rPr>
                <w:sz w:val="21"/>
              </w:rPr>
              <w:t>（</w:t>
            </w:r>
            <w:r>
              <w:rPr>
                <w:sz w:val="21"/>
              </w:rPr>
              <w:t>4）分析研判：主要功能包括统计数据分析总览、告警信息统计、实时和历史异常图片和视频查看、分析报告查看和下载（日报、月报、年报）</w:t>
            </w:r>
          </w:p>
          <w:p>
            <w:pPr>
              <w:pStyle w:val="null3"/>
              <w:ind w:firstLine="420"/>
              <w:jc w:val="both"/>
            </w:pPr>
            <w:r>
              <w:rPr>
                <w:sz w:val="21"/>
              </w:rPr>
              <w:t>（</w:t>
            </w:r>
            <w:r>
              <w:rPr>
                <w:sz w:val="21"/>
              </w:rPr>
              <w:t>5）数据审核</w:t>
            </w:r>
            <w:r>
              <w:rPr>
                <w:sz w:val="21"/>
              </w:rPr>
              <w:t>：</w:t>
            </w:r>
            <w:r>
              <w:rPr>
                <w:sz w:val="21"/>
              </w:rPr>
              <w:t>专人对发现问题、反馈问题进行复核。按采购人需求在指定时间（部分预报出现污染天气时间）进行加强监控。</w:t>
            </w:r>
          </w:p>
          <w:p>
            <w:pPr>
              <w:pStyle w:val="null3"/>
              <w:ind w:firstLine="420"/>
              <w:jc w:val="both"/>
            </w:pPr>
            <w:r>
              <w:rPr>
                <w:sz w:val="21"/>
              </w:rPr>
              <w:t>（</w:t>
            </w:r>
            <w:r>
              <w:rPr>
                <w:sz w:val="21"/>
              </w:rPr>
              <w:t>6）实时视频：通过平台可以控制前端所有摄像机转动，对前端点位周边的情况进行实时画面查看，可实时控制视频摄像头，调整前端需要重点查看的区域，确定视频重点监视方向，缩放监控的范围，聚焦局部进行查看。</w:t>
            </w:r>
          </w:p>
          <w:p>
            <w:pPr>
              <w:pStyle w:val="null3"/>
              <w:ind w:firstLine="420"/>
              <w:jc w:val="both"/>
            </w:pPr>
            <w:r>
              <w:rPr>
                <w:sz w:val="21"/>
              </w:rPr>
              <w:t>3</w:t>
            </w:r>
            <w:r>
              <w:rPr>
                <w:sz w:val="21"/>
              </w:rPr>
              <w:t>.2</w:t>
            </w:r>
            <w:r>
              <w:rPr>
                <w:sz w:val="21"/>
              </w:rPr>
              <w:t>任务动态发布：</w:t>
            </w:r>
          </w:p>
          <w:p>
            <w:pPr>
              <w:pStyle w:val="null3"/>
              <w:ind w:firstLine="420"/>
              <w:jc w:val="both"/>
            </w:pPr>
            <w:r>
              <w:rPr>
                <w:sz w:val="21"/>
              </w:rPr>
              <w:t>可按照处置效率优化智能发布</w:t>
            </w:r>
            <w:r>
              <w:rPr>
                <w:sz w:val="21"/>
              </w:rPr>
              <w:t>AI识别任务，并追踪过程管理。</w:t>
            </w:r>
          </w:p>
          <w:p>
            <w:pPr>
              <w:pStyle w:val="null3"/>
              <w:ind w:firstLine="420"/>
              <w:jc w:val="both"/>
            </w:pPr>
            <w:r>
              <w:rPr>
                <w:sz w:val="21"/>
              </w:rPr>
              <w:t>3.3移动端小程序功能：</w:t>
            </w:r>
          </w:p>
          <w:p>
            <w:pPr>
              <w:pStyle w:val="null3"/>
              <w:ind w:firstLine="420"/>
              <w:jc w:val="both"/>
            </w:pPr>
            <w:r>
              <w:rPr>
                <w:sz w:val="21"/>
              </w:rPr>
              <w:t>（</w:t>
            </w:r>
            <w:r>
              <w:rPr>
                <w:sz w:val="21"/>
              </w:rPr>
              <w:t>1）首页：首页共同展示信息包括：区域AQI信息、污染动态信息、违规图片告警信息以及其它统计数据信息。</w:t>
            </w:r>
          </w:p>
          <w:p>
            <w:pPr>
              <w:pStyle w:val="null3"/>
              <w:ind w:firstLine="420"/>
              <w:jc w:val="both"/>
            </w:pPr>
            <w:r>
              <w:rPr>
                <w:sz w:val="21"/>
              </w:rPr>
              <w:t>（</w:t>
            </w:r>
            <w:r>
              <w:rPr>
                <w:sz w:val="21"/>
              </w:rPr>
              <w:t>2）数据分析：可按月维度进行历史数据查询，展示当月所有站点类别管理减排饼图占比情况。</w:t>
            </w:r>
          </w:p>
          <w:p>
            <w:pPr>
              <w:pStyle w:val="null3"/>
              <w:ind w:firstLine="420"/>
              <w:jc w:val="both"/>
            </w:pPr>
            <w:r>
              <w:rPr>
                <w:sz w:val="21"/>
              </w:rPr>
              <w:t>（</w:t>
            </w:r>
            <w:r>
              <w:rPr>
                <w:sz w:val="21"/>
              </w:rPr>
              <w:t>3）实时告警：支持查看告警列表、污染告警详情、告警空间特征详情、告警时间特征详情。</w:t>
            </w:r>
          </w:p>
          <w:p>
            <w:pPr>
              <w:pStyle w:val="null3"/>
              <w:ind w:firstLine="420"/>
              <w:jc w:val="both"/>
            </w:pPr>
            <w:r>
              <w:rPr>
                <w:sz w:val="21"/>
              </w:rPr>
              <w:t>（</w:t>
            </w:r>
            <w:r>
              <w:rPr>
                <w:sz w:val="21"/>
              </w:rPr>
              <w:t>4）实时视频：支持以视频播放的形式查看站点的实时现场情况，并可通过移动端对设备进行反控。</w:t>
            </w:r>
          </w:p>
          <w:p>
            <w:pPr>
              <w:pStyle w:val="null3"/>
              <w:ind w:firstLine="420"/>
              <w:jc w:val="both"/>
            </w:pPr>
            <w:r>
              <w:rPr>
                <w:sz w:val="21"/>
              </w:rPr>
              <w:t>4</w:t>
            </w:r>
            <w:r>
              <w:rPr>
                <w:sz w:val="21"/>
              </w:rPr>
              <w:t>.</w:t>
            </w:r>
            <w:r>
              <w:rPr>
                <w:sz w:val="21"/>
              </w:rPr>
              <w:t>运行维护服务</w:t>
            </w:r>
          </w:p>
          <w:p>
            <w:pPr>
              <w:pStyle w:val="null3"/>
              <w:ind w:firstLine="420"/>
              <w:jc w:val="both"/>
            </w:pPr>
            <w:r>
              <w:rPr>
                <w:sz w:val="21"/>
              </w:rPr>
              <w:t>在项目建设和运维期间，采购人不再向中标供应商支付除中标金额外的其他任何费用，包括网络通讯、配件更换、日常维护、电费、防雷检查等一切费用均由中标供应商承担。</w:t>
            </w:r>
          </w:p>
          <w:p>
            <w:pPr>
              <w:pStyle w:val="null3"/>
              <w:ind w:firstLine="420"/>
              <w:jc w:val="both"/>
            </w:pPr>
            <w:r>
              <w:rPr>
                <w:sz w:val="21"/>
              </w:rPr>
              <w:t>4.1运维工作具体内容：</w:t>
            </w:r>
          </w:p>
          <w:p>
            <w:pPr>
              <w:pStyle w:val="null3"/>
              <w:ind w:firstLine="420"/>
              <w:jc w:val="both"/>
            </w:pPr>
            <w:r>
              <w:rPr>
                <w:sz w:val="21"/>
              </w:rPr>
              <w:t>运维工作主要包括本次项目所有前端设备、辅助设备的运行维护工作，包括平台维护、设备维护、设备迁移、现场巡检、定期校准、故障处理等，全力保证设备正常平稳运行，监控数据实时正常上传。</w:t>
            </w:r>
          </w:p>
          <w:p>
            <w:pPr>
              <w:pStyle w:val="null3"/>
              <w:ind w:firstLine="420"/>
              <w:jc w:val="both"/>
            </w:pPr>
            <w:r>
              <w:rPr>
                <w:sz w:val="21"/>
              </w:rPr>
              <w:t>4.2运维要求：</w:t>
            </w:r>
          </w:p>
          <w:p>
            <w:pPr>
              <w:pStyle w:val="null3"/>
              <w:ind w:firstLine="420"/>
              <w:jc w:val="both"/>
            </w:pPr>
            <w:r>
              <w:rPr>
                <w:sz w:val="21"/>
              </w:rPr>
              <w:t>除受不可抗力因素影响外，前端摄像头视频信息采集年度可用率高于或等于</w:t>
            </w:r>
            <w:r>
              <w:rPr>
                <w:sz w:val="21"/>
              </w:rPr>
              <w:t>85%。</w:t>
            </w:r>
          </w:p>
          <w:p>
            <w:pPr>
              <w:pStyle w:val="null3"/>
              <w:ind w:firstLine="420"/>
              <w:jc w:val="both"/>
            </w:pPr>
            <w:r>
              <w:rPr>
                <w:sz w:val="21"/>
              </w:rPr>
              <w:t>计算公式：年度可用率</w:t>
            </w:r>
            <w:r>
              <w:rPr>
                <w:sz w:val="21"/>
              </w:rPr>
              <w:t>=月度可用率的平均值（按10个月计算）；月度可用率=全设备月度在线时长/（20*当月天数*24）*100%。</w:t>
            </w:r>
          </w:p>
          <w:p>
            <w:pPr>
              <w:pStyle w:val="null3"/>
              <w:ind w:firstLine="420"/>
              <w:jc w:val="both"/>
            </w:pPr>
            <w:r>
              <w:rPr>
                <w:sz w:val="21"/>
              </w:rPr>
              <w:t>4.3故障处理要求：</w:t>
            </w:r>
          </w:p>
          <w:p>
            <w:pPr>
              <w:pStyle w:val="null3"/>
              <w:ind w:firstLine="420"/>
              <w:jc w:val="both"/>
            </w:pPr>
            <w:r>
              <w:rPr>
                <w:sz w:val="21"/>
              </w:rPr>
              <w:t>（</w:t>
            </w:r>
            <w:r>
              <w:rPr>
                <w:sz w:val="21"/>
              </w:rPr>
              <w:t>1）服务响应：中标供应商在项目系统（设备）出现异常后，48小时内完成系统平台故障和普通设备故障恢复，若设备、仪器故障48小时内无法排除和解决</w:t>
            </w:r>
            <w:r>
              <w:rPr>
                <w:sz w:val="21"/>
              </w:rPr>
              <w:t>的</w:t>
            </w:r>
            <w:r>
              <w:rPr>
                <w:sz w:val="21"/>
              </w:rPr>
              <w:t>，中标供应商提供并更换备用设备、仪器，同时提供相应的解</w:t>
            </w:r>
            <w:r>
              <w:rPr>
                <w:sz w:val="21"/>
              </w:rPr>
              <w:t>决方案，故障修复时间不超过</w:t>
            </w:r>
            <w:r>
              <w:rPr>
                <w:sz w:val="21"/>
              </w:rPr>
              <w:t>10个工作日，不可抗力等外力因素除外（备用设备、仪器更换过程所产生的任何费用均已包含在本项目合同总价中，采购人不另行支付）。</w:t>
            </w:r>
          </w:p>
          <w:p>
            <w:pPr>
              <w:pStyle w:val="null3"/>
              <w:ind w:firstLine="420"/>
              <w:jc w:val="both"/>
            </w:pPr>
            <w:r>
              <w:rPr>
                <w:sz w:val="21"/>
              </w:rPr>
              <w:t>（</w:t>
            </w:r>
            <w:r>
              <w:rPr>
                <w:sz w:val="21"/>
              </w:rPr>
              <w:t>2）定期巡检：中标供应商对所有监控摄像头进行定期巡检和卫生清理。降低系统设备故障率，提高系统的运行性能，从而保障可视化监控系统的正常运行，要求每半年完成一次现场巡检，以及时发现并解决问题和安全隐患。</w:t>
            </w:r>
          </w:p>
          <w:p>
            <w:pPr>
              <w:pStyle w:val="null3"/>
              <w:ind w:firstLine="420"/>
              <w:jc w:val="both"/>
            </w:pPr>
            <w:r>
              <w:rPr>
                <w:sz w:val="21"/>
              </w:rPr>
              <w:t>4.4设备迁移要求</w:t>
            </w:r>
          </w:p>
          <w:p>
            <w:pPr>
              <w:pStyle w:val="null3"/>
              <w:ind w:firstLine="420"/>
              <w:jc w:val="both"/>
            </w:pPr>
            <w:r>
              <w:rPr>
                <w:sz w:val="21"/>
              </w:rPr>
              <w:t>中标供应商应承诺保证在服务期内，配合采购人要求进行前端点位设备的迁移，迁移费用已包含在本项目合同总额中，采购人不另行支付。每点迁移施工时间（含所有配套、运输、电源施工、设备调测、平台接入）不超过</w:t>
            </w:r>
            <w:r>
              <w:rPr>
                <w:sz w:val="21"/>
              </w:rPr>
              <w:t>15个工作日。</w:t>
            </w:r>
          </w:p>
          <w:p>
            <w:pPr>
              <w:pStyle w:val="null3"/>
              <w:ind w:firstLine="420"/>
              <w:jc w:val="both"/>
            </w:pPr>
            <w:r>
              <w:rPr>
                <w:sz w:val="21"/>
              </w:rPr>
              <w:t>5.微型空气质量监测系统</w:t>
            </w:r>
          </w:p>
          <w:p>
            <w:pPr>
              <w:pStyle w:val="null3"/>
              <w:ind w:firstLine="420"/>
              <w:jc w:val="both"/>
            </w:pPr>
            <w:r>
              <w:rPr>
                <w:sz w:val="21"/>
              </w:rPr>
              <w:t>微型空气质量监测系统测量参数至少包含</w:t>
            </w:r>
            <w:r>
              <w:rPr>
                <w:sz w:val="21"/>
              </w:rPr>
              <w:t>PM</w:t>
            </w:r>
            <w:r>
              <w:rPr>
                <w:sz w:val="21"/>
                <w:vertAlign w:val="subscript"/>
              </w:rPr>
              <w:t>10</w:t>
            </w:r>
            <w:r>
              <w:rPr>
                <w:sz w:val="21"/>
              </w:rPr>
              <w:t>、</w:t>
            </w:r>
            <w:r>
              <w:rPr>
                <w:sz w:val="21"/>
              </w:rPr>
              <w:t>PM</w:t>
            </w:r>
            <w:r>
              <w:rPr>
                <w:sz w:val="21"/>
                <w:vertAlign w:val="subscript"/>
              </w:rPr>
              <w:t>2.5</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CO、SO</w:t>
            </w:r>
            <w:r>
              <w:rPr>
                <w:sz w:val="21"/>
                <w:vertAlign w:val="subscript"/>
              </w:rPr>
              <w:t>2</w:t>
            </w:r>
            <w:r>
              <w:rPr>
                <w:sz w:val="21"/>
              </w:rPr>
              <w:t>，应具有机械强度高、抗风、防雹、防腐等性能，输出采用密封防水，高可靠性多功能接线盒，可适应各种复杂恶劣气候条件下的使用。</w:t>
            </w:r>
          </w:p>
          <w:p>
            <w:pPr>
              <w:pStyle w:val="null3"/>
              <w:ind w:firstLine="420"/>
              <w:jc w:val="both"/>
            </w:pPr>
            <w:r>
              <w:rPr>
                <w:sz w:val="21"/>
              </w:rPr>
              <w:t>系统技术参数要求如下：</w:t>
            </w:r>
          </w:p>
          <w:tbl>
            <w:tblPr>
              <w:tblInd w:type="dxa" w:w="120"/>
              <w:tblBorders>
                <w:top w:val="none" w:color="000000" w:sz="4"/>
                <w:left w:val="none" w:color="000000" w:sz="4"/>
                <w:bottom w:val="none" w:color="000000" w:sz="4"/>
                <w:right w:val="none" w:color="000000" w:sz="4"/>
                <w:insideH w:val="none"/>
                <w:insideV w:val="none"/>
              </w:tblBorders>
            </w:tblPr>
            <w:tblGrid>
              <w:gridCol w:w="1840"/>
              <w:gridCol w:w="3757"/>
            </w:tblGrid>
            <w:tr>
              <w:tc>
                <w:tcPr>
                  <w:tcW w:type="dxa" w:w="1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PM</w:t>
                  </w:r>
                  <w:r>
                    <w:rPr>
                      <w:sz w:val="21"/>
                      <w:vertAlign w:val="subscript"/>
                    </w:rPr>
                    <w:t>10</w:t>
                  </w:r>
                </w:p>
              </w:tc>
              <w:tc>
                <w:tcPr>
                  <w:tcW w:type="dxa" w:w="3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工作原理：光散射法</w:t>
                  </w:r>
                </w:p>
                <w:p>
                  <w:pPr>
                    <w:pStyle w:val="null3"/>
                    <w:ind w:firstLine="420"/>
                    <w:jc w:val="left"/>
                  </w:pPr>
                  <w:r>
                    <w:rPr>
                      <w:sz w:val="21"/>
                    </w:rPr>
                    <w:t>测量范围：</w:t>
                  </w:r>
                  <w:r>
                    <w:rPr>
                      <w:sz w:val="21"/>
                    </w:rPr>
                    <w:t>0~2000</w:t>
                  </w:r>
                  <w:r>
                    <w:rPr>
                      <w:sz w:val="21"/>
                    </w:rPr>
                    <w:t>μ</w:t>
                  </w:r>
                  <w:r>
                    <w:rPr>
                      <w:sz w:val="21"/>
                    </w:rPr>
                    <w:t>g/m</w:t>
                  </w:r>
                  <w:r>
                    <w:rPr>
                      <w:sz w:val="21"/>
                      <w:vertAlign w:val="superscript"/>
                    </w:rPr>
                    <w:t>3</w:t>
                  </w:r>
                </w:p>
                <w:p>
                  <w:pPr>
                    <w:pStyle w:val="null3"/>
                    <w:ind w:firstLine="420"/>
                    <w:jc w:val="left"/>
                  </w:pPr>
                  <w:r>
                    <w:rPr>
                      <w:sz w:val="21"/>
                    </w:rPr>
                    <w:t>最小分辨率：</w:t>
                  </w:r>
                  <w:r>
                    <w:rPr>
                      <w:sz w:val="21"/>
                    </w:rPr>
                    <w:t>1</w:t>
                  </w:r>
                  <w:r>
                    <w:rPr>
                      <w:sz w:val="21"/>
                    </w:rPr>
                    <w:t>μ</w:t>
                  </w:r>
                  <w:r>
                    <w:rPr>
                      <w:sz w:val="21"/>
                    </w:rPr>
                    <w:t>g/m</w:t>
                  </w:r>
                  <w:r>
                    <w:rPr>
                      <w:sz w:val="21"/>
                      <w:vertAlign w:val="superscript"/>
                    </w:rPr>
                    <w:t>3</w:t>
                  </w:r>
                </w:p>
              </w:tc>
            </w:tr>
            <w:tr>
              <w:tc>
                <w:tcPr>
                  <w:tcW w:type="dxa" w:w="1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PM</w:t>
                  </w:r>
                  <w:r>
                    <w:rPr>
                      <w:sz w:val="21"/>
                      <w:vertAlign w:val="subscript"/>
                    </w:rPr>
                    <w:t>2.5</w:t>
                  </w:r>
                </w:p>
              </w:tc>
              <w:tc>
                <w:tcPr>
                  <w:tcW w:type="dxa" w:w="3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工作原理：光散射法</w:t>
                  </w:r>
                </w:p>
                <w:p>
                  <w:pPr>
                    <w:pStyle w:val="null3"/>
                    <w:ind w:firstLine="420"/>
                    <w:jc w:val="left"/>
                  </w:pPr>
                  <w:r>
                    <w:rPr>
                      <w:sz w:val="21"/>
                    </w:rPr>
                    <w:t>测量范围：</w:t>
                  </w:r>
                  <w:r>
                    <w:rPr>
                      <w:sz w:val="21"/>
                    </w:rPr>
                    <w:t>0~2000</w:t>
                  </w:r>
                  <w:r>
                    <w:rPr>
                      <w:sz w:val="21"/>
                    </w:rPr>
                    <w:t>μ</w:t>
                  </w:r>
                  <w:r>
                    <w:rPr>
                      <w:sz w:val="21"/>
                    </w:rPr>
                    <w:t>g/m</w:t>
                  </w:r>
                  <w:r>
                    <w:rPr>
                      <w:sz w:val="21"/>
                      <w:vertAlign w:val="superscript"/>
                    </w:rPr>
                    <w:t>3</w:t>
                  </w:r>
                </w:p>
                <w:p>
                  <w:pPr>
                    <w:pStyle w:val="null3"/>
                    <w:ind w:firstLine="420"/>
                    <w:jc w:val="left"/>
                  </w:pPr>
                  <w:r>
                    <w:rPr>
                      <w:sz w:val="21"/>
                    </w:rPr>
                    <w:t>最小分辨率：</w:t>
                  </w:r>
                  <w:r>
                    <w:rPr>
                      <w:sz w:val="21"/>
                    </w:rPr>
                    <w:t>1</w:t>
                  </w:r>
                  <w:r>
                    <w:rPr>
                      <w:sz w:val="21"/>
                    </w:rPr>
                    <w:t>μ</w:t>
                  </w:r>
                  <w:r>
                    <w:rPr>
                      <w:sz w:val="21"/>
                    </w:rPr>
                    <w:t>g/m</w:t>
                  </w:r>
                  <w:r>
                    <w:rPr>
                      <w:sz w:val="21"/>
                      <w:vertAlign w:val="superscript"/>
                    </w:rPr>
                    <w:t>3</w:t>
                  </w:r>
                </w:p>
              </w:tc>
            </w:tr>
            <w:tr>
              <w:tc>
                <w:tcPr>
                  <w:tcW w:type="dxa" w:w="1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NO</w:t>
                  </w:r>
                  <w:r>
                    <w:rPr>
                      <w:sz w:val="21"/>
                      <w:vertAlign w:val="subscript"/>
                    </w:rPr>
                    <w:t>2</w:t>
                  </w:r>
                </w:p>
              </w:tc>
              <w:tc>
                <w:tcPr>
                  <w:tcW w:type="dxa" w:w="3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工作原理：电化学法</w:t>
                  </w:r>
                </w:p>
                <w:p>
                  <w:pPr>
                    <w:pStyle w:val="null3"/>
                    <w:ind w:firstLine="420"/>
                    <w:jc w:val="left"/>
                  </w:pPr>
                  <w:r>
                    <w:rPr>
                      <w:sz w:val="21"/>
                    </w:rPr>
                    <w:t>测量范围：</w:t>
                  </w:r>
                  <w:r>
                    <w:rPr>
                      <w:sz w:val="21"/>
                    </w:rPr>
                    <w:t>0~500 nmol/mol</w:t>
                  </w:r>
                </w:p>
                <w:p>
                  <w:pPr>
                    <w:pStyle w:val="null3"/>
                    <w:ind w:firstLine="420"/>
                    <w:jc w:val="left"/>
                  </w:pPr>
                  <w:r>
                    <w:rPr>
                      <w:sz w:val="21"/>
                    </w:rPr>
                    <w:t>示值误差：</w:t>
                  </w:r>
                  <w:r>
                    <w:rPr>
                      <w:sz w:val="21"/>
                    </w:rPr>
                    <w:t>±</w:t>
                  </w:r>
                  <w:r>
                    <w:rPr>
                      <w:sz w:val="21"/>
                    </w:rPr>
                    <w:t>10%FS</w:t>
                  </w:r>
                </w:p>
              </w:tc>
            </w:tr>
            <w:tr>
              <w:tc>
                <w:tcPr>
                  <w:tcW w:type="dxa" w:w="1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O</w:t>
                  </w:r>
                  <w:r>
                    <w:rPr>
                      <w:sz w:val="21"/>
                      <w:vertAlign w:val="subscript"/>
                    </w:rPr>
                    <w:t>3</w:t>
                  </w:r>
                </w:p>
              </w:tc>
              <w:tc>
                <w:tcPr>
                  <w:tcW w:type="dxa" w:w="3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工作原理：电化学法</w:t>
                  </w:r>
                </w:p>
                <w:p>
                  <w:pPr>
                    <w:pStyle w:val="null3"/>
                    <w:ind w:firstLine="420"/>
                    <w:jc w:val="left"/>
                  </w:pPr>
                  <w:r>
                    <w:rPr>
                      <w:sz w:val="21"/>
                    </w:rPr>
                    <w:t>测量范围：</w:t>
                  </w:r>
                  <w:r>
                    <w:rPr>
                      <w:sz w:val="21"/>
                    </w:rPr>
                    <w:t>0~500 nmol/mol</w:t>
                  </w:r>
                </w:p>
                <w:p>
                  <w:pPr>
                    <w:pStyle w:val="null3"/>
                    <w:ind w:firstLine="420"/>
                    <w:jc w:val="left"/>
                  </w:pPr>
                  <w:r>
                    <w:rPr>
                      <w:sz w:val="21"/>
                    </w:rPr>
                    <w:t>示值误差：</w:t>
                  </w:r>
                  <w:r>
                    <w:rPr>
                      <w:sz w:val="21"/>
                    </w:rPr>
                    <w:t>±</w:t>
                  </w:r>
                  <w:r>
                    <w:rPr>
                      <w:sz w:val="21"/>
                    </w:rPr>
                    <w:t>10%FS</w:t>
                  </w:r>
                </w:p>
              </w:tc>
            </w:tr>
            <w:tr>
              <w:tc>
                <w:tcPr>
                  <w:tcW w:type="dxa" w:w="1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CO</w:t>
                  </w:r>
                </w:p>
              </w:tc>
              <w:tc>
                <w:tcPr>
                  <w:tcW w:type="dxa" w:w="3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工作原理：电化学法</w:t>
                  </w:r>
                </w:p>
                <w:p>
                  <w:pPr>
                    <w:pStyle w:val="null3"/>
                    <w:ind w:firstLine="420"/>
                    <w:jc w:val="left"/>
                  </w:pPr>
                  <w:r>
                    <w:rPr>
                      <w:sz w:val="21"/>
                    </w:rPr>
                    <w:t>测量范围：</w:t>
                  </w:r>
                  <w:r>
                    <w:rPr>
                      <w:sz w:val="21"/>
                    </w:rPr>
                    <w:t xml:space="preserve">0~50 </w:t>
                  </w:r>
                  <w:r>
                    <w:rPr>
                      <w:sz w:val="21"/>
                    </w:rPr>
                    <w:t>μ</w:t>
                  </w:r>
                  <w:r>
                    <w:rPr>
                      <w:sz w:val="21"/>
                    </w:rPr>
                    <w:t>mol/mol</w:t>
                  </w:r>
                </w:p>
                <w:p>
                  <w:pPr>
                    <w:pStyle w:val="null3"/>
                    <w:ind w:firstLine="420"/>
                    <w:jc w:val="left"/>
                  </w:pPr>
                  <w:r>
                    <w:rPr>
                      <w:sz w:val="21"/>
                    </w:rPr>
                    <w:t>示值误差：</w:t>
                  </w:r>
                  <w:r>
                    <w:rPr>
                      <w:sz w:val="21"/>
                    </w:rPr>
                    <w:t>±</w:t>
                  </w:r>
                  <w:r>
                    <w:rPr>
                      <w:sz w:val="21"/>
                    </w:rPr>
                    <w:t>10%FS</w:t>
                  </w:r>
                </w:p>
              </w:tc>
            </w:tr>
            <w:tr>
              <w:tc>
                <w:tcPr>
                  <w:tcW w:type="dxa" w:w="1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SO</w:t>
                  </w:r>
                  <w:r>
                    <w:rPr>
                      <w:sz w:val="21"/>
                      <w:vertAlign w:val="subscript"/>
                    </w:rPr>
                    <w:t>2</w:t>
                  </w:r>
                </w:p>
              </w:tc>
              <w:tc>
                <w:tcPr>
                  <w:tcW w:type="dxa" w:w="3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工作原理：电化学法</w:t>
                  </w:r>
                </w:p>
                <w:p>
                  <w:pPr>
                    <w:pStyle w:val="null3"/>
                    <w:ind w:firstLine="420"/>
                    <w:jc w:val="left"/>
                  </w:pPr>
                  <w:r>
                    <w:rPr>
                      <w:sz w:val="21"/>
                    </w:rPr>
                    <w:t>测量范围：</w:t>
                  </w:r>
                  <w:r>
                    <w:rPr>
                      <w:sz w:val="21"/>
                    </w:rPr>
                    <w:t>0~500 nmol/mol</w:t>
                  </w:r>
                </w:p>
                <w:p>
                  <w:pPr>
                    <w:pStyle w:val="null3"/>
                    <w:ind w:firstLine="420"/>
                    <w:jc w:val="left"/>
                  </w:pPr>
                  <w:r>
                    <w:rPr>
                      <w:sz w:val="21"/>
                    </w:rPr>
                    <w:t>示值误差：</w:t>
                  </w:r>
                  <w:r>
                    <w:rPr>
                      <w:sz w:val="21"/>
                    </w:rPr>
                    <w:t>±10%FS</w:t>
                  </w:r>
                </w:p>
              </w:tc>
            </w:tr>
            <w:tr>
              <w:tc>
                <w:tcPr>
                  <w:tcW w:type="dxa" w:w="1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供电方式</w:t>
                  </w:r>
                </w:p>
              </w:tc>
              <w:tc>
                <w:tcPr>
                  <w:tcW w:type="dxa" w:w="3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市政供电或太阳能供电</w:t>
                  </w:r>
                </w:p>
              </w:tc>
            </w:tr>
            <w:tr>
              <w:tc>
                <w:tcPr>
                  <w:tcW w:type="dxa" w:w="1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通讯</w:t>
                  </w:r>
                </w:p>
              </w:tc>
              <w:tc>
                <w:tcPr>
                  <w:tcW w:type="dxa" w:w="3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采用</w:t>
                  </w:r>
                  <w:r>
                    <w:rPr>
                      <w:sz w:val="21"/>
                    </w:rPr>
                    <w:t>4G以上级别通讯方式，监测数据通过无线通讯实时传送至服务器，也可发送到指定的平台终端</w:t>
                  </w:r>
                </w:p>
              </w:tc>
            </w:tr>
            <w:tr>
              <w:tc>
                <w:tcPr>
                  <w:tcW w:type="dxa" w:w="1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存储</w:t>
                  </w:r>
                </w:p>
              </w:tc>
              <w:tc>
                <w:tcPr>
                  <w:tcW w:type="dxa" w:w="3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本地存储数据</w:t>
                  </w:r>
                  <w:r>
                    <w:rPr>
                      <w:sz w:val="21"/>
                    </w:rPr>
                    <w:t>1年以上</w:t>
                  </w:r>
                </w:p>
              </w:tc>
            </w:tr>
            <w:tr>
              <w:tc>
                <w:tcPr>
                  <w:tcW w:type="dxa" w:w="1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平台功能</w:t>
                  </w:r>
                </w:p>
              </w:tc>
              <w:tc>
                <w:tcPr>
                  <w:tcW w:type="dxa" w:w="3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系统配套管理平台，可查看实时数据、历史数据、数据曲线分析，支持向多个平台推送</w:t>
                  </w:r>
                </w:p>
              </w:tc>
            </w:tr>
          </w:tbl>
          <w:p>
            <w:pPr>
              <w:pStyle w:val="null3"/>
              <w:ind w:firstLine="420"/>
              <w:jc w:val="both"/>
            </w:pPr>
            <w:r>
              <w:rPr>
                <w:sz w:val="21"/>
              </w:rPr>
              <w:t>中标供应商在开展垂直梯度观测期间，还应按照维护周期对各高度监测系统进行运行维护、故障维修、按采购人要求协助开展环境空气质量梯度观测比对、安全检查等工作。监测数据应有专人监控，每日复核，对于缺数、异常数据需做审核说明。</w:t>
            </w:r>
          </w:p>
          <w:p>
            <w:pPr>
              <w:pStyle w:val="null3"/>
              <w:ind w:firstLine="420"/>
              <w:jc w:val="both"/>
            </w:pPr>
            <w:r>
              <w:rPr>
                <w:sz w:val="21"/>
              </w:rPr>
              <w:t>维护要求如下：</w:t>
            </w:r>
          </w:p>
          <w:p>
            <w:pPr>
              <w:pStyle w:val="null3"/>
              <w:numPr>
                <w:ilvl w:val="0"/>
                <w:numId w:val="1"/>
              </w:numPr>
              <w:jc w:val="both"/>
            </w:pPr>
            <w:r>
              <w:rPr>
                <w:sz w:val="21"/>
              </w:rPr>
              <w:t>每日平台查看各点位数据情况，发现异常数据及时报告处理。</w:t>
            </w:r>
          </w:p>
          <w:p>
            <w:pPr>
              <w:pStyle w:val="null3"/>
              <w:numPr>
                <w:ilvl w:val="0"/>
                <w:numId w:val="1"/>
              </w:numPr>
              <w:jc w:val="both"/>
            </w:pPr>
            <w:r>
              <w:rPr>
                <w:sz w:val="21"/>
              </w:rPr>
              <w:t>每季度每个点位现场巡检一次，巡查微型空气质量监测系统各安装辅件是否牢固或损坏，检查采样风机是否正常及滤网是否脏污需要清洗；应对微型空气质量监测系统进行校准核查。</w:t>
            </w:r>
          </w:p>
          <w:p>
            <w:pPr>
              <w:pStyle w:val="null3"/>
              <w:numPr>
                <w:ilvl w:val="0"/>
                <w:numId w:val="1"/>
              </w:numPr>
              <w:jc w:val="both"/>
            </w:pPr>
            <w:r>
              <w:rPr>
                <w:sz w:val="21"/>
              </w:rPr>
              <w:t>每半年对微型空气质量监测系统进行一次平行性检查，针对不合格的及时更换。</w:t>
            </w:r>
          </w:p>
          <w:p>
            <w:pPr>
              <w:pStyle w:val="null3"/>
              <w:ind w:firstLine="420"/>
              <w:jc w:val="both"/>
            </w:pPr>
            <w:r>
              <w:rPr>
                <w:sz w:val="21"/>
              </w:rPr>
              <w:t>除受不可抗力因素影响外，微型空气质量监测系统年度数据有效率需大于或等于</w:t>
            </w:r>
            <w:r>
              <w:rPr>
                <w:sz w:val="21"/>
              </w:rPr>
              <w:t>75%。</w:t>
            </w:r>
          </w:p>
          <w:p>
            <w:pPr>
              <w:pStyle w:val="null3"/>
              <w:ind w:firstLine="420"/>
              <w:jc w:val="both"/>
            </w:pPr>
            <w:r>
              <w:rPr>
                <w:sz w:val="21"/>
              </w:rPr>
              <w:t>计算公式：年度数据有效率</w:t>
            </w:r>
            <w:r>
              <w:rPr>
                <w:sz w:val="21"/>
              </w:rPr>
              <w:t>=年度数据有效日数/年度监测日数*100%（按10个月计算）。</w:t>
            </w:r>
          </w:p>
          <w:p>
            <w:pPr>
              <w:pStyle w:val="null3"/>
              <w:ind w:firstLine="422"/>
              <w:jc w:val="both"/>
            </w:pPr>
            <w:r>
              <w:rPr>
                <w:sz w:val="21"/>
                <w:b/>
              </w:rPr>
              <w:t>（四）安全生产要求</w:t>
            </w:r>
          </w:p>
          <w:p>
            <w:pPr>
              <w:pStyle w:val="null3"/>
              <w:ind w:firstLine="420"/>
              <w:jc w:val="both"/>
            </w:pPr>
            <w:r>
              <w:rPr>
                <w:sz w:val="21"/>
              </w:rPr>
              <w:t>中标供应商应建立安全生产制度，保障服务人员的工作安全，切实消除安全隐患。当发生安全事故时，所有责任由中标供应商承担。合同期内，中标供应商因各种原因，在工作过程中造成第三方的人身和财产损失，由中标供应商独自承担相应的法律和经济责任，与采购人无关；造成采购人经济损失的，由中标供应商承担，采购人保留追究其法律责任的权利。</w:t>
            </w:r>
          </w:p>
          <w:p>
            <w:pPr>
              <w:pStyle w:val="null3"/>
              <w:ind w:firstLine="422"/>
              <w:jc w:val="both"/>
            </w:pPr>
            <w:r>
              <w:rPr>
                <w:sz w:val="21"/>
                <w:b/>
              </w:rPr>
              <w:t>（</w:t>
            </w:r>
            <w:r>
              <w:rPr>
                <w:sz w:val="21"/>
                <w:b/>
              </w:rPr>
              <w:t>五</w:t>
            </w:r>
            <w:r>
              <w:rPr>
                <w:sz w:val="21"/>
                <w:b/>
              </w:rPr>
              <w:t>）服务人员要求</w:t>
            </w:r>
          </w:p>
          <w:p>
            <w:pPr>
              <w:pStyle w:val="null3"/>
              <w:ind w:firstLine="420"/>
              <w:jc w:val="both"/>
            </w:pPr>
            <w:r>
              <w:rPr>
                <w:sz w:val="21"/>
              </w:rPr>
              <w:t>1.人员配置</w:t>
            </w:r>
          </w:p>
          <w:p>
            <w:pPr>
              <w:pStyle w:val="null3"/>
              <w:ind w:firstLine="420"/>
              <w:jc w:val="both"/>
            </w:pPr>
            <w:r>
              <w:rPr>
                <w:sz w:val="21"/>
              </w:rPr>
              <w:t>需配备项目负责人</w:t>
            </w:r>
            <w:r>
              <w:rPr>
                <w:sz w:val="21"/>
              </w:rPr>
              <w:t>1人及项目实施人员团队成员（不含项目负责人）3人或以上，团队人员包括但不限于：调度负责人（1人）、专职保障调度员（1人或以上）、现场工作人员（1人或以上）</w:t>
            </w:r>
            <w:r>
              <w:rPr>
                <w:sz w:val="21"/>
              </w:rPr>
              <w:t>。未经采购人批准，不得随意更换项目负责人（若因不可抗力因素导致项目负责人发生变更的，中标供应商需在</w:t>
            </w:r>
            <w:r>
              <w:rPr>
                <w:sz w:val="21"/>
              </w:rPr>
              <w:t>3 个工作日内书面通知采购人，替代人员必须具有与原人员相当或更高的资质和能力）</w:t>
            </w:r>
            <w:r>
              <w:rPr>
                <w:sz w:val="21"/>
              </w:rPr>
              <w:t>。</w:t>
            </w:r>
          </w:p>
          <w:p>
            <w:pPr>
              <w:pStyle w:val="null3"/>
              <w:ind w:firstLine="420"/>
              <w:jc w:val="both"/>
            </w:pPr>
            <w:r>
              <w:rPr>
                <w:sz w:val="21"/>
              </w:rPr>
              <w:t>2.人员资质</w:t>
            </w:r>
          </w:p>
          <w:p>
            <w:pPr>
              <w:pStyle w:val="null3"/>
              <w:ind w:firstLine="420"/>
              <w:jc w:val="both"/>
            </w:pPr>
            <w:r>
              <w:rPr>
                <w:sz w:val="21"/>
              </w:rPr>
              <w:t>2.1 项目人员知识能力水平要求：</w:t>
            </w:r>
          </w:p>
          <w:p>
            <w:pPr>
              <w:pStyle w:val="null3"/>
              <w:ind w:firstLine="420"/>
              <w:jc w:val="both"/>
            </w:pPr>
            <w:r>
              <w:rPr>
                <w:sz w:val="21"/>
              </w:rPr>
              <w:t>项目负责人具有硕士（含）以上学</w:t>
            </w:r>
            <w:r>
              <w:rPr>
                <w:sz w:val="21"/>
              </w:rPr>
              <w:t>位</w:t>
            </w:r>
            <w:r>
              <w:rPr>
                <w:sz w:val="21"/>
              </w:rPr>
              <w:t>，或具有</w:t>
            </w:r>
            <w:r>
              <w:rPr>
                <w:sz w:val="21"/>
              </w:rPr>
              <w:t>高</w:t>
            </w:r>
            <w:r>
              <w:rPr>
                <w:sz w:val="21"/>
              </w:rPr>
              <w:t>级工程师或以上职称；调度负责人具有硕士（含）以上学位，或具有高级工程师或以上职称，专职保障调度员具有本科以上学历且具有工程师（含）以上职称，现场人员具有本科以上学历且具有工程师以上职称。</w:t>
            </w:r>
          </w:p>
          <w:p>
            <w:pPr>
              <w:pStyle w:val="null3"/>
              <w:ind w:firstLine="420"/>
              <w:jc w:val="both"/>
            </w:pPr>
            <w:r>
              <w:rPr>
                <w:sz w:val="21"/>
              </w:rPr>
              <w:t>2.2 高空作业人员要求</w:t>
            </w:r>
          </w:p>
          <w:p>
            <w:pPr>
              <w:pStyle w:val="null3"/>
              <w:ind w:firstLine="420"/>
              <w:jc w:val="both"/>
            </w:pPr>
            <w:r>
              <w:rPr>
                <w:sz w:val="21"/>
              </w:rPr>
              <w:t>★开展微型空气质量监测系统运维的人员中，涉及高空作业的人员须具有中华人民共和国特种作业操作证（作业类别为“高处作业”，操作项目为“高处安装、维护、拆除作业”）。</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广东省广州生态环境监测中心站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供应商须向采购代理机构按如下标准和规定缴纳招标代理服务费（未含税）：（1）以项目成交金额作为采购代理服务费的计算基数，参照广州市工程招标代理行业协会关于印发《广州市招标代理服务费计费规则》的通知(穗招代理协[2017]号)执行； （2）采购代理服务费采用差额定率累进法累计进行计算，按照以下标准计取： 100万元以下的部分，按照1.5%计取； 100-500万元的部分，按照0.8%计取； 500-1000万元的部分，按照0.45%计取； 1000-5000万元的部分，按照0.25%计取。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其他，温馨提示： 1.本项目开标方式为远程开标。参与全流程云平台采购项目的投标供应商须在投标截止前30分钟登录广东省政府采购网（广东政府采购智慧云平台），进行签到及投标文件的解密，签到需在开标时间前30分钟内完成，不需要委派代表前往开标现场。（详见平台项目采购供应商操作手册） 2.投标供应商电脑需提前安装CA签章客户端，并运行CA证书。 3.请各投标供应商保管好CA证书的密码，如遗忘，请及时重置，以免影响投标文件的解密。 4.中标（成交）通知书与发票送达：中标（成交）通知书、服务费发票现场领取或邮寄，中标（成交）通知书、我司可通过快递方式送达给中标（成交）人，服务费发票以邮件方式发送电子发票。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重点区域大气环境智能化监测保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采购包1（广州市重点区域大气环境智能化监测保障）：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采购包1（广州市重点区域大气环境智能化监测保障）：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提供签署及盖章合格的承诺声明函（格式自拟）。【重大违法记录，是指供应商因违法经营受到刑事处罚或者责令停产停业、吊销许可证或者执照、较大数额罚款等行政处罚。（根据财库〔2022〕3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本项目不允许合同分包，不接受联合体投标。</w:t>
            </w:r>
          </w:p>
        </w:tc>
        <w:tc>
          <w:tcPr>
            <w:tcW w:type="dxa" w:w="4238"/>
          </w:tcPr>
          <w:p>
            <w:pPr>
              <w:pStyle w:val="null3"/>
            </w:pPr>
            <w:r>
              <w:rPr/>
              <w:t>本项目不允许合同分包，不接受联合体投标。</w:t>
            </w:r>
          </w:p>
        </w:tc>
      </w:tr>
      <w:tr>
        <w:tc>
          <w:tcPr>
            <w:tcW w:type="dxa" w:w="890"/>
          </w:tcPr>
          <w:p>
            <w:pPr>
              <w:pStyle w:val="null3"/>
            </w:pPr>
            <w:r>
              <w:rPr/>
              <w:t>9</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采购包1（广州市重点区域大气环境智能化监测保障）：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是否满足项目的合同履行期限</w:t>
            </w:r>
          </w:p>
        </w:tc>
        <w:tc>
          <w:tcPr>
            <w:tcW w:type="dxa" w:w="4238"/>
          </w:tcPr>
          <w:p>
            <w:pPr>
              <w:pStyle w:val="null3"/>
            </w:pPr>
            <w:r>
              <w:rPr/>
              <w:t>是否满足项目的合同履行期限</w:t>
            </w:r>
          </w:p>
        </w:tc>
      </w:tr>
      <w:tr>
        <w:tc>
          <w:tcPr>
            <w:tcW w:type="dxa" w:w="890"/>
          </w:tcPr>
          <w:p>
            <w:pPr>
              <w:pStyle w:val="null3"/>
            </w:pPr>
            <w:r>
              <w:rPr/>
              <w:t>2</w:t>
            </w:r>
          </w:p>
        </w:tc>
        <w:tc>
          <w:tcPr>
            <w:tcW w:type="dxa" w:w="3178"/>
          </w:tcPr>
          <w:p>
            <w:pPr>
              <w:pStyle w:val="null3"/>
            </w:pPr>
            <w:r>
              <w:rPr/>
              <w:t>是否符合招标文件的签署盖章要求</w:t>
            </w:r>
          </w:p>
        </w:tc>
        <w:tc>
          <w:tcPr>
            <w:tcW w:type="dxa" w:w="4238"/>
          </w:tcPr>
          <w:p>
            <w:pPr>
              <w:pStyle w:val="null3"/>
            </w:pPr>
            <w:r>
              <w:rPr/>
              <w:t>是否符合招标文件的签署盖章要求</w:t>
            </w:r>
          </w:p>
        </w:tc>
      </w:tr>
      <w:tr>
        <w:tc>
          <w:tcPr>
            <w:tcW w:type="dxa" w:w="890"/>
          </w:tcPr>
          <w:p>
            <w:pPr>
              <w:pStyle w:val="null3"/>
            </w:pPr>
            <w:r>
              <w:rPr/>
              <w:t>3</w:t>
            </w:r>
          </w:p>
        </w:tc>
        <w:tc>
          <w:tcPr>
            <w:tcW w:type="dxa" w:w="3178"/>
          </w:tcPr>
          <w:p>
            <w:pPr>
              <w:pStyle w:val="null3"/>
            </w:pPr>
            <w:r>
              <w:rPr/>
              <w:t>投标有效期是否为90天</w:t>
            </w:r>
          </w:p>
        </w:tc>
        <w:tc>
          <w:tcPr>
            <w:tcW w:type="dxa" w:w="4238"/>
          </w:tcPr>
          <w:p>
            <w:pPr>
              <w:pStyle w:val="null3"/>
            </w:pPr>
            <w:r>
              <w:rPr/>
              <w:t>投标有效期是否为90天</w:t>
            </w:r>
          </w:p>
        </w:tc>
      </w:tr>
      <w:tr>
        <w:tc>
          <w:tcPr>
            <w:tcW w:type="dxa" w:w="890"/>
          </w:tcPr>
          <w:p>
            <w:pPr>
              <w:pStyle w:val="null3"/>
            </w:pPr>
            <w:r>
              <w:rPr/>
              <w:t>4</w:t>
            </w:r>
          </w:p>
        </w:tc>
        <w:tc>
          <w:tcPr>
            <w:tcW w:type="dxa" w:w="3178"/>
          </w:tcPr>
          <w:p>
            <w:pPr>
              <w:pStyle w:val="null3"/>
            </w:pPr>
            <w:r>
              <w:rPr/>
              <w:t>具备有效的法定代表人证明书/法人授权委托书</w:t>
            </w:r>
          </w:p>
        </w:tc>
        <w:tc>
          <w:tcPr>
            <w:tcW w:type="dxa" w:w="4238"/>
          </w:tcPr>
          <w:p>
            <w:pPr>
              <w:pStyle w:val="null3"/>
            </w:pPr>
            <w:r>
              <w:rPr/>
              <w:t>具备有效的法定代表人证明书/法人授权委托书</w:t>
            </w:r>
          </w:p>
        </w:tc>
      </w:tr>
      <w:tr>
        <w:tc>
          <w:tcPr>
            <w:tcW w:type="dxa" w:w="890"/>
          </w:tcPr>
          <w:p>
            <w:pPr>
              <w:pStyle w:val="null3"/>
            </w:pPr>
            <w:r>
              <w:rPr/>
              <w:t>5</w:t>
            </w:r>
          </w:p>
        </w:tc>
        <w:tc>
          <w:tcPr>
            <w:tcW w:type="dxa" w:w="3178"/>
          </w:tcPr>
          <w:p>
            <w:pPr>
              <w:pStyle w:val="null3"/>
            </w:pPr>
            <w:r>
              <w:rPr/>
              <w:t>投标报价固定唯一，且投标报价没有超过最高限价/报价范围</w:t>
            </w:r>
          </w:p>
        </w:tc>
        <w:tc>
          <w:tcPr>
            <w:tcW w:type="dxa" w:w="4238"/>
          </w:tcPr>
          <w:p>
            <w:pPr>
              <w:pStyle w:val="null3"/>
            </w:pPr>
            <w:r>
              <w:rPr/>
              <w:t>投标报价固定唯一，且投标报价没有超过最高限价/报价范围</w:t>
            </w:r>
          </w:p>
        </w:tc>
      </w:tr>
      <w:tr>
        <w:tc>
          <w:tcPr>
            <w:tcW w:type="dxa" w:w="890"/>
          </w:tcPr>
          <w:p>
            <w:pPr>
              <w:pStyle w:val="null3"/>
            </w:pPr>
            <w:r>
              <w:rPr/>
              <w:t>6</w:t>
            </w:r>
          </w:p>
        </w:tc>
        <w:tc>
          <w:tcPr>
            <w:tcW w:type="dxa" w:w="3178"/>
          </w:tcPr>
          <w:p>
            <w:pPr>
              <w:pStyle w:val="null3"/>
            </w:pPr>
            <w:r>
              <w:rPr/>
              <w:t>没有被评审委员会认定为低于企业成本竞标</w:t>
            </w:r>
          </w:p>
        </w:tc>
        <w:tc>
          <w:tcPr>
            <w:tcW w:type="dxa" w:w="4238"/>
          </w:tcPr>
          <w:p>
            <w:pPr>
              <w:pStyle w:val="null3"/>
            </w:pPr>
            <w:r>
              <w:rPr/>
              <w:t>没有被评审委员会认定为低于企业成本竞标</w:t>
            </w:r>
          </w:p>
        </w:tc>
      </w:tr>
      <w:tr>
        <w:tc>
          <w:tcPr>
            <w:tcW w:type="dxa" w:w="890"/>
          </w:tcPr>
          <w:p>
            <w:pPr>
              <w:pStyle w:val="null3"/>
            </w:pPr>
            <w:r>
              <w:rPr/>
              <w:t>7</w:t>
            </w:r>
          </w:p>
        </w:tc>
        <w:tc>
          <w:tcPr>
            <w:tcW w:type="dxa" w:w="3178"/>
          </w:tcPr>
          <w:p>
            <w:pPr>
              <w:pStyle w:val="null3"/>
            </w:pPr>
            <w:r>
              <w:rPr/>
              <w:t>投标文件满足采购需求“★”条款要求</w:t>
            </w:r>
          </w:p>
        </w:tc>
        <w:tc>
          <w:tcPr>
            <w:tcW w:type="dxa" w:w="4238"/>
          </w:tcPr>
          <w:p>
            <w:pPr>
              <w:pStyle w:val="null3"/>
            </w:pPr>
            <w:r>
              <w:rPr/>
              <w:t>投标文件满足采购需求“★”条款要求</w:t>
            </w:r>
          </w:p>
        </w:tc>
      </w:tr>
      <w:tr>
        <w:tc>
          <w:tcPr>
            <w:tcW w:type="dxa" w:w="890"/>
          </w:tcPr>
          <w:p>
            <w:pPr>
              <w:pStyle w:val="null3"/>
            </w:pPr>
            <w:r>
              <w:rPr/>
              <w:t>8</w:t>
            </w:r>
          </w:p>
        </w:tc>
        <w:tc>
          <w:tcPr>
            <w:tcW w:type="dxa" w:w="3178"/>
          </w:tcPr>
          <w:p>
            <w:pPr>
              <w:pStyle w:val="null3"/>
            </w:pPr>
            <w:r>
              <w:rPr/>
              <w:t>其他无效投标情形：（1）投标文件提供虚假材料；（2）评审期间，投标供应商没有按评标委员会的要求提交有效的澄清、说明、补正，或提交的澄清、说明、补正改变了采购、投标文件的实质性内容；（3）投标供应商对采购人、采购代理机构、评标委员会及其工作人员施加影响，有碍公平、公正；（4）采购文件中规定的其它无效投标情形；（5）法律法规规定属于响应无效的其他情形</w:t>
            </w:r>
          </w:p>
        </w:tc>
        <w:tc>
          <w:tcPr>
            <w:tcW w:type="dxa" w:w="4238"/>
          </w:tcPr>
          <w:p>
            <w:pPr>
              <w:pStyle w:val="null3"/>
            </w:pPr>
            <w:r>
              <w:rPr/>
              <w:t>其他无效投标情形：（1）投标文件提供虚假材料；（2）评审期间，投标供应商没有按评标委员会的要求提交有效的澄清、说明、补正，或提交的澄清、说明、补正改变了采购、投标文件的实质性内容；（3）投标供应商对采购人、采购代理机构、评标委员会及其工作人员施加影响，有碍公平、公正；（4）采购文件中规定的其它无效投标情形；（5）法律法规规定属于响应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采购包1(广州市重点区域大气环境智能化监测保障):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整体技术方案A (3.0分)</w:t>
            </w:r>
          </w:p>
        </w:tc>
        <w:tc>
          <w:tcPr>
            <w:tcW w:type="dxa" w:w="5076"/>
          </w:tcPr>
          <w:p>
            <w:pPr>
              <w:pStyle w:val="null3"/>
              <w:jc w:val="left"/>
            </w:pPr>
            <w:r>
              <w:rPr/>
              <w:t>1.能根据“第二章 采购需求”中“2.技术标准与要求”的“（一）服务内容”提供整体技术方案，且整体技术方案包括仪器设备安装，数据分析处理，设备运行维护等内容，得3分。 2.未提供整体技术方案或整体技术方案不完整的，不得分，同时“整体技术方案B ”也不得分。</w:t>
            </w:r>
          </w:p>
        </w:tc>
      </w:tr>
      <w:tr>
        <w:tc>
          <w:tcPr>
            <w:tcW w:type="dxa" w:w="922"/>
            <w:gridSpan w:val="2"/>
            <w:vMerge/>
          </w:tcPr>
          <w:p/>
        </w:tc>
        <w:tc>
          <w:tcPr>
            <w:tcW w:type="dxa" w:w="2307"/>
          </w:tcPr>
          <w:p>
            <w:pPr>
              <w:pStyle w:val="null3"/>
              <w:jc w:val="left"/>
            </w:pPr>
            <w:r>
              <w:rPr/>
              <w:t>整体技术方案B (3.0分)</w:t>
            </w:r>
          </w:p>
        </w:tc>
        <w:tc>
          <w:tcPr>
            <w:tcW w:type="dxa" w:w="5076"/>
          </w:tcPr>
          <w:p>
            <w:pPr>
              <w:pStyle w:val="null3"/>
              <w:jc w:val="left"/>
            </w:pPr>
            <w:r>
              <w:rPr/>
              <w:t>根据投标人提供的整体技术方案中对仪器设备安装调试的熟悉程度，仪器设备安装的保障措施的合理性，数据分析处理制度的可行性，设备运行维护措施的合理性，降低设备故障率的有效性等方面进行评审： （1）方案内容完全满足采购需求且优于采购需求的，得3分； （2）方案内容部分满足采购需求的，得1分； （3）方案内容不能满足采购需求的，不得分。</w:t>
            </w:r>
          </w:p>
        </w:tc>
      </w:tr>
      <w:tr>
        <w:tc>
          <w:tcPr>
            <w:tcW w:type="dxa" w:w="922"/>
            <w:gridSpan w:val="2"/>
            <w:vMerge/>
          </w:tcPr>
          <w:p/>
        </w:tc>
        <w:tc>
          <w:tcPr>
            <w:tcW w:type="dxa" w:w="2307"/>
          </w:tcPr>
          <w:p>
            <w:pPr>
              <w:pStyle w:val="null3"/>
              <w:jc w:val="left"/>
            </w:pPr>
            <w:r>
              <w:rPr/>
              <w:t>项目实施方案A (3.0分)</w:t>
            </w:r>
          </w:p>
        </w:tc>
        <w:tc>
          <w:tcPr>
            <w:tcW w:type="dxa" w:w="5076"/>
          </w:tcPr>
          <w:p>
            <w:pPr>
              <w:pStyle w:val="null3"/>
              <w:jc w:val="left"/>
            </w:pPr>
            <w:r>
              <w:rPr/>
              <w:t>1.能根据“第二章 采购需求”中“2.技术标准与要求”的“（三）服务技术要求”（不含“4.运行维护服务”部分）提供项目实施方案，且项目实施方案包括管理方案、拟派人员职责分工说明、项目实施难点分析及解决方案、应急预案等内容，得3分。 2.未提供项目实施方案或项目实施方案不完整的，不得分，同时“项目实施方案B ”也不得分。</w:t>
            </w:r>
          </w:p>
        </w:tc>
      </w:tr>
      <w:tr>
        <w:tc>
          <w:tcPr>
            <w:tcW w:type="dxa" w:w="922"/>
            <w:gridSpan w:val="2"/>
            <w:vMerge/>
          </w:tcPr>
          <w:p/>
        </w:tc>
        <w:tc>
          <w:tcPr>
            <w:tcW w:type="dxa" w:w="2307"/>
          </w:tcPr>
          <w:p>
            <w:pPr>
              <w:pStyle w:val="null3"/>
              <w:jc w:val="left"/>
            </w:pPr>
            <w:r>
              <w:rPr/>
              <w:t>项目实施方案B (3.0分)</w:t>
            </w:r>
          </w:p>
        </w:tc>
        <w:tc>
          <w:tcPr>
            <w:tcW w:type="dxa" w:w="5076"/>
          </w:tcPr>
          <w:p>
            <w:pPr>
              <w:pStyle w:val="null3"/>
              <w:jc w:val="left"/>
            </w:pPr>
            <w:r>
              <w:rPr/>
              <w:t>根据投标人提供的项目实施方案中管理方案的可行性，拟派人员职责分工说明是否详细具体，项目实施难点分析及解决方案是否完全符合项目实际情况，应急预案对项目实施过程中的潜在问题是否进行高度预判，相应应急措施的合理性，方案是否规范，具有操作性等方面进行评审： （1）方案内容完全满足采购需求且优于采购需求的，得3分； （2）方案内容部分满足采购需求的，得1分； （3）方案内容不能满足采购需求的，不得分。</w:t>
            </w:r>
          </w:p>
        </w:tc>
      </w:tr>
      <w:tr>
        <w:tc>
          <w:tcPr>
            <w:tcW w:type="dxa" w:w="922"/>
            <w:gridSpan w:val="2"/>
            <w:vMerge/>
          </w:tcPr>
          <w:p/>
        </w:tc>
        <w:tc>
          <w:tcPr>
            <w:tcW w:type="dxa" w:w="2307"/>
          </w:tcPr>
          <w:p>
            <w:pPr>
              <w:pStyle w:val="null3"/>
              <w:jc w:val="left"/>
            </w:pPr>
            <w:r>
              <w:rPr/>
              <w:t>项目运维服务方案A (3.0分)</w:t>
            </w:r>
          </w:p>
        </w:tc>
        <w:tc>
          <w:tcPr>
            <w:tcW w:type="dxa" w:w="5076"/>
          </w:tcPr>
          <w:p>
            <w:pPr>
              <w:pStyle w:val="null3"/>
              <w:jc w:val="left"/>
            </w:pPr>
            <w:r>
              <w:rPr/>
              <w:t>1.能根据“第二章 采购需求”中“2.技术标准与要求”的“（三）服务技术要求”中“4.运行维护服务”提供项目运维服务方案，且方案包括但不限于运维工作流程及操作规范需求分析、工作任务、服务的对象和要求、难点与风险应对措施等内容，得3分。 2.未提供项目运维服务方案或方案不完整的，不得分，同时“项目运维服务方案B ”也不得分。</w:t>
            </w:r>
          </w:p>
        </w:tc>
      </w:tr>
      <w:tr>
        <w:tc>
          <w:tcPr>
            <w:tcW w:type="dxa" w:w="922"/>
            <w:gridSpan w:val="2"/>
            <w:vMerge/>
          </w:tcPr>
          <w:p/>
        </w:tc>
        <w:tc>
          <w:tcPr>
            <w:tcW w:type="dxa" w:w="2307"/>
          </w:tcPr>
          <w:p>
            <w:pPr>
              <w:pStyle w:val="null3"/>
              <w:jc w:val="left"/>
            </w:pPr>
            <w:r>
              <w:rPr/>
              <w:t>项目运维服务方案B (3.0分)</w:t>
            </w:r>
          </w:p>
        </w:tc>
        <w:tc>
          <w:tcPr>
            <w:tcW w:type="dxa" w:w="5076"/>
          </w:tcPr>
          <w:p>
            <w:pPr>
              <w:pStyle w:val="null3"/>
              <w:jc w:val="left"/>
            </w:pPr>
            <w:r>
              <w:rPr/>
              <w:t>根据投标人提供的项目运维服务方案中运维工作流程及操作规范需求分析是否具体、详细，对本项目的工作任务、服务的对象和要求是否明确，难点与风险应对措施归纳是否全面及具备可行性等方面进行评审： （1）方案内容能完全满足采购需求且优于采购需求的，得3分； （2）方案内容部分满足采购需求的，得1分； （3）方案内容不能满足采购需求的，不得分。</w:t>
            </w:r>
          </w:p>
        </w:tc>
      </w:tr>
      <w:tr>
        <w:tc>
          <w:tcPr>
            <w:tcW w:type="dxa" w:w="922"/>
            <w:gridSpan w:val="2"/>
            <w:vMerge/>
          </w:tcPr>
          <w:p/>
        </w:tc>
        <w:tc>
          <w:tcPr>
            <w:tcW w:type="dxa" w:w="2307"/>
          </w:tcPr>
          <w:p>
            <w:pPr>
              <w:pStyle w:val="null3"/>
              <w:jc w:val="left"/>
            </w:pPr>
            <w:r>
              <w:rPr/>
              <w:t>安全管理措施A (2.0分)</w:t>
            </w:r>
          </w:p>
        </w:tc>
        <w:tc>
          <w:tcPr>
            <w:tcW w:type="dxa" w:w="5076"/>
          </w:tcPr>
          <w:p>
            <w:pPr>
              <w:pStyle w:val="null3"/>
              <w:jc w:val="left"/>
            </w:pPr>
            <w:r>
              <w:rPr/>
              <w:t>1.能根据“第二章 采购需求”中“2.技术标准与要求”的“（四）安全生产要求”提供安全管理措施，且安全管理措施包括设备安装安全管理、设施设备的安全操作保障措施、巡检人员安全保障措施等内容，得2分。 2.未提供安全管理措施或安全管理措施不完整的，不得分，同时“安全管理措施B”也不得分。</w:t>
            </w:r>
          </w:p>
        </w:tc>
      </w:tr>
      <w:tr>
        <w:tc>
          <w:tcPr>
            <w:tcW w:type="dxa" w:w="922"/>
            <w:gridSpan w:val="2"/>
            <w:vMerge/>
          </w:tcPr>
          <w:p/>
        </w:tc>
        <w:tc>
          <w:tcPr>
            <w:tcW w:type="dxa" w:w="2307"/>
          </w:tcPr>
          <w:p>
            <w:pPr>
              <w:pStyle w:val="null3"/>
              <w:jc w:val="left"/>
            </w:pPr>
            <w:r>
              <w:rPr/>
              <w:t>安全管理措施B (3.0分)</w:t>
            </w:r>
          </w:p>
        </w:tc>
        <w:tc>
          <w:tcPr>
            <w:tcW w:type="dxa" w:w="5076"/>
          </w:tcPr>
          <w:p>
            <w:pPr>
              <w:pStyle w:val="null3"/>
              <w:jc w:val="left"/>
            </w:pPr>
            <w:r>
              <w:rPr/>
              <w:t>根据投标人提交的安全管理措施是否详细、全面，保障设备拆卸、安装人员的人身安全，设施设备操作是否严格按照相关安全操作规范执行，巡检人员安全保障措施是否详细、可行性高等方面进行评审： （1）措施完全满足采购需求且优于采购需求的，得3分； （2）措施部分满足采购需求的，得1分； （3）措施不能满足采购需求的，不得分。</w:t>
            </w:r>
          </w:p>
        </w:tc>
      </w:tr>
      <w:tr>
        <w:tc>
          <w:tcPr>
            <w:tcW w:type="dxa" w:w="922"/>
            <w:gridSpan w:val="2"/>
            <w:vMerge/>
          </w:tcPr>
          <w:p/>
        </w:tc>
        <w:tc>
          <w:tcPr>
            <w:tcW w:type="dxa" w:w="2307"/>
          </w:tcPr>
          <w:p>
            <w:pPr>
              <w:pStyle w:val="null3"/>
              <w:jc w:val="left"/>
            </w:pPr>
            <w:r>
              <w:rPr/>
              <w:t>系统平台功能 (18.0分)</w:t>
            </w:r>
          </w:p>
        </w:tc>
        <w:tc>
          <w:tcPr>
            <w:tcW w:type="dxa" w:w="5076"/>
          </w:tcPr>
          <w:p>
            <w:pPr>
              <w:pStyle w:val="null3"/>
              <w:jc w:val="left"/>
            </w:pPr>
            <w:r>
              <w:rPr/>
              <w:t>根据投标人提供的系统平台功能进行评审，每满足一项功能得2分（最高得18分）。 （1）AI综合研判：可实时平台弹窗告警提示。可通过数据二次分析，查看最近高发区域和站点、陡升区域和站点、个人和区域任务处置时长排行分析等数据挖掘排行。 （2）AI告警：可查看包括图片、时间、定位信息、录像、视频，并具备相关问题反馈的功能。可通过平台、移动端进行及时推送。信息可便捷查阅。可对数据二次挖掘和分析。 （3）AI识别1：施工扬尘：对视频监控区域的施工工地进行自动监控，对工地的扬尘情况进行判别，定位扬尘所在点（利用AI识别施工扬尘，包括渣土车辆100%密闭运输、裸土覆盖等情况）。 （4）AI识别2：移动污染源和非道路移动机械异常：包括车辆黑烟、车辆冒装撒漏、车辆偷倒泥渣。 （5）AI识别3：道路监控：包括干路面识别、道路扬尘识别、车辆拥堵识别。 （6）AI识别4：燃烧源、烟花爆竹燃放现象、秸秆/垃圾等造成的露天焚烧现象识别等的异常情况。 （7）分析研判：主要功能包括统计数据分析总览、告警信息统计、实时和历史异常图片和视频查看、分析报告查看和下载（日报、月报、年报）。 （8）数据审核：专人对发现问题、反馈问题进行复核。按采购人需求在指定时间（部分预报出现污染天气时间）进行加强监控。 （9）实时视频：通过平台可以控制前端所有摄像机转动，对前端点位周边的情况进行实时画面查看，可实时控制视频摄像头，调整前端需要重点查看的区域，确定视频重点监视方向，缩放监控的范围，聚焦局部进行查看。 注：以上功能需提供系统截图，缺少一项截图或截图不能体现系统平台符合相应要求的，该项不得分。</w:t>
            </w:r>
          </w:p>
        </w:tc>
      </w:tr>
      <w:tr>
        <w:tc>
          <w:tcPr>
            <w:tcW w:type="dxa" w:w="922"/>
            <w:gridSpan w:val="2"/>
            <w:vMerge/>
          </w:tcPr>
          <w:p/>
        </w:tc>
        <w:tc>
          <w:tcPr>
            <w:tcW w:type="dxa" w:w="2307"/>
          </w:tcPr>
          <w:p>
            <w:pPr>
              <w:pStyle w:val="null3"/>
              <w:jc w:val="left"/>
            </w:pPr>
            <w:r>
              <w:rPr/>
              <w:t>高位视频监控挂载服务能力 (9.0分)</w:t>
            </w:r>
          </w:p>
        </w:tc>
        <w:tc>
          <w:tcPr>
            <w:tcW w:type="dxa" w:w="5076"/>
          </w:tcPr>
          <w:p>
            <w:pPr>
              <w:pStyle w:val="null3"/>
              <w:jc w:val="left"/>
            </w:pPr>
            <w:r>
              <w:rPr/>
              <w:t>针对投标人是否可以在项目所在地范围内提供可用于本项目的高位监控点位（每个点位的最高高度不低于25米，其中城区及工业园区要求高于地面30米及以上。）进行评审。 1.可提供符合上述条件点位≥30个的，得9分； 2.20个≤提供符合上述条件点位＜30个的，得5分； 3.提供符合上述条件点位＜20个的不得分。 【注：需提供高位监控点位的分布图的复印件或扫描件；最高高度是指点位最高点至地面的高度差（可包含山体、建筑物等），需提供相关所有权或业主授权本项目的使用证明材料，不提供不得分。】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(6.0分)</w:t>
            </w:r>
          </w:p>
        </w:tc>
        <w:tc>
          <w:tcPr>
            <w:tcW w:type="dxa" w:w="5076"/>
          </w:tcPr>
          <w:p>
            <w:pPr>
              <w:pStyle w:val="null3"/>
              <w:jc w:val="left"/>
            </w:pPr>
            <w:r>
              <w:rPr/>
              <w:t>投标人自2021年1月1日（以合同签订时间为准）以来完成的同类（视频监控）项目业绩提供情况进行评分：每提供一个合同得2分，最高得6分。 【注：投标人须同时提供以下业绩证明资料：需提供合同关键页扫描件（含签订合同双方的单位名称、合同项目名称、签订合同双方的落款盖章的关键页）和验收意见等证明文件扫描件作为得分依据。投标人与以上合同签约主体必须保持一致（分包或转包的合同无效）。】</w:t>
            </w:r>
          </w:p>
        </w:tc>
      </w:tr>
      <w:tr>
        <w:tc>
          <w:tcPr>
            <w:tcW w:type="dxa" w:w="922"/>
            <w:gridSpan w:val="2"/>
            <w:vMerge/>
          </w:tcPr>
          <w:p/>
        </w:tc>
        <w:tc>
          <w:tcPr>
            <w:tcW w:type="dxa" w:w="2307"/>
          </w:tcPr>
          <w:p>
            <w:pPr>
              <w:pStyle w:val="null3"/>
              <w:jc w:val="left"/>
            </w:pPr>
            <w:r>
              <w:rPr/>
              <w:t>故障处理承诺 (5.0分)</w:t>
            </w:r>
          </w:p>
        </w:tc>
        <w:tc>
          <w:tcPr>
            <w:tcW w:type="dxa" w:w="5076"/>
          </w:tcPr>
          <w:p>
            <w:pPr>
              <w:pStyle w:val="null3"/>
              <w:jc w:val="left"/>
            </w:pPr>
            <w:r>
              <w:rPr/>
              <w:t>1.接到报障后故障排除及解决时效≤24小时，并到达设备安装地点处理的，得5分； 2.24小时＜接到报障后故障排除及解决时效≤36小时，并到达设备安装地点处理的，得3分； 3.36小时＜接到报障后故障排除及解决时效≤48小时，并到达设备安装地点处理的，得1分。 4.其他情况不得分。【注：投标人须提供承诺函，不提供不得分。】</w:t>
            </w:r>
          </w:p>
        </w:tc>
      </w:tr>
      <w:tr>
        <w:tc>
          <w:tcPr>
            <w:tcW w:type="dxa" w:w="922"/>
            <w:gridSpan w:val="2"/>
            <w:vMerge/>
          </w:tcPr>
          <w:p/>
        </w:tc>
        <w:tc>
          <w:tcPr>
            <w:tcW w:type="dxa" w:w="2307"/>
          </w:tcPr>
          <w:p>
            <w:pPr>
              <w:pStyle w:val="null3"/>
              <w:jc w:val="left"/>
            </w:pPr>
            <w:r>
              <w:rPr/>
              <w:t>项目负责人（限1人） (10.0分)</w:t>
            </w:r>
          </w:p>
        </w:tc>
        <w:tc>
          <w:tcPr>
            <w:tcW w:type="dxa" w:w="5076"/>
          </w:tcPr>
          <w:p>
            <w:pPr>
              <w:pStyle w:val="null3"/>
              <w:jc w:val="left"/>
            </w:pPr>
            <w:r>
              <w:rPr/>
              <w:t>1.具有硕士（含）以上学位，得5分； 2.具有高级工程师（含）以上职称，得5分； 3.其他学位或职称不得分。 【注:投标人须提供上述人员学历证明或职称证书复印件，以及在本公司任职的外部证明材料（如加盖政府有关部门印章的打印日期在本项目投标截止日之前六个月内任意一个月的《投保单》或《社会保险参保人员证明》，或单位代缴个人所得税税单等，否则无效）。】</w:t>
            </w:r>
          </w:p>
        </w:tc>
      </w:tr>
      <w:tr>
        <w:tc>
          <w:tcPr>
            <w:tcW w:type="dxa" w:w="922"/>
            <w:gridSpan w:val="2"/>
            <w:vMerge/>
          </w:tcPr>
          <w:p/>
        </w:tc>
        <w:tc>
          <w:tcPr>
            <w:tcW w:type="dxa" w:w="2307"/>
          </w:tcPr>
          <w:p>
            <w:pPr>
              <w:pStyle w:val="null3"/>
              <w:jc w:val="left"/>
            </w:pPr>
            <w:r>
              <w:rPr/>
              <w:t>项目实施人员团队（项目负责人除外） (14.0分)</w:t>
            </w:r>
          </w:p>
        </w:tc>
        <w:tc>
          <w:tcPr>
            <w:tcW w:type="dxa" w:w="5076"/>
          </w:tcPr>
          <w:p>
            <w:pPr>
              <w:pStyle w:val="null3"/>
              <w:jc w:val="left"/>
            </w:pPr>
            <w:r>
              <w:rPr/>
              <w:t>1.调度负责人： （1）具有硕士（含）以上学位，得4分； （2）具有高级工程师（含）以上职称，得4分； 2.专职保障调度员：具有本科（含）以上学历且具有工程师（含）以上职称的每人得3分，满分3分； 3.现场人员：具有本科（含）以上学历且具有工程师（含）以上职称的每人得3分，满分3分。 【注:调度负责人、专职保障调度员和现场人员不得兼任，投标人须提供上述人员职称证书、学历证明复印件，以及在本公司任职的外部证明材料（如加盖政府有关部门印章的打印日期在本项目投标截止日之前六个月内任意一个月的《投保单》或《社会保险参保人员证明》，或单位代缴个人所得税税单等，否则无效）。】</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评标委员会对入围的投标人的投标价格进行修正核实得出评标价。综合评分法中的价格分统一采用低价优先法计算，即满足招标文件要求（通过资格、符合性审查）且价格最低的有效投标报价（指修正核实后的价格，下同）为评标基准价，其价格分为满分。其他投标人的价格分统一按照下列公式计算：投标报价得分=（评标基准价/投标报价）x价格分值。（精确到0.01）。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投标人获得中标人推荐资格；评审得分相同的，由采购人或者采购人委托评标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18"/>
          <w:b/>
        </w:rPr>
        <w:t xml:space="preserve"> </w:t>
      </w:r>
    </w:p>
    <w:p>
      <w:pPr>
        <w:pStyle w:val="null3"/>
        <w:spacing w:before="0" w:after="0"/>
        <w:ind w:left="0" w:right="0"/>
        <w:jc w:val="center"/>
      </w:pPr>
      <w:r>
        <w:rPr>
          <w:sz w:val="18"/>
          <w:b/>
        </w:rPr>
        <w:t xml:space="preserve"> </w:t>
      </w:r>
    </w:p>
    <w:p>
      <w:pPr>
        <w:pStyle w:val="null3"/>
        <w:spacing w:before="0" w:after="0"/>
        <w:ind w:left="0" w:right="0"/>
        <w:jc w:val="center"/>
      </w:pPr>
      <w:r>
        <w:rPr>
          <w:sz w:val="18"/>
          <w:b/>
        </w:rPr>
        <w:t xml:space="preserve"> </w:t>
      </w:r>
    </w:p>
    <w:p>
      <w:pPr>
        <w:pStyle w:val="null3"/>
        <w:spacing w:before="0" w:after="0"/>
        <w:ind w:left="0" w:right="0"/>
        <w:jc w:val="center"/>
      </w:pPr>
      <w:r>
        <w:rPr>
          <w:sz w:val="18"/>
          <w:b/>
        </w:rPr>
        <w:t xml:space="preserve"> </w:t>
      </w:r>
    </w:p>
    <w:p>
      <w:pPr>
        <w:pStyle w:val="null3"/>
        <w:spacing w:before="0" w:after="0"/>
        <w:ind w:left="0" w:right="0"/>
        <w:jc w:val="center"/>
      </w:pPr>
      <w:r>
        <w:rPr>
          <w:sz w:val="18"/>
          <w:b/>
        </w:rPr>
        <w:t>广东省政府采购</w:t>
      </w:r>
    </w:p>
    <w:p>
      <w:pPr>
        <w:pStyle w:val="null3"/>
        <w:spacing w:before="150" w:after="150"/>
        <w:ind w:left="0" w:right="0"/>
        <w:jc w:val="both"/>
      </w:pPr>
      <w:r>
        <w:rPr>
          <w:sz w:val="18"/>
          <w:color w:val="222222"/>
        </w:rPr>
        <w:t xml:space="preserve"> </w:t>
      </w:r>
    </w:p>
    <w:p>
      <w:pPr>
        <w:pStyle w:val="null3"/>
        <w:jc w:val="center"/>
      </w:pPr>
      <w:r>
        <w:rPr>
          <w:sz w:val="18"/>
        </w:rPr>
        <w:t xml:space="preserve"> </w:t>
      </w:r>
    </w:p>
    <w:p>
      <w:pPr>
        <w:pStyle w:val="null3"/>
      </w:pPr>
      <w:r>
        <w:rPr>
          <w:sz w:val="18"/>
          <w:b/>
        </w:rPr>
        <w:t>广州市重点区域大气环境智能化监测保障项目</w:t>
      </w:r>
    </w:p>
    <w:p>
      <w:pPr>
        <w:pStyle w:val="null3"/>
        <w:jc w:val="center"/>
      </w:pPr>
      <w:r>
        <w:rPr>
          <w:sz w:val="18"/>
          <w:b/>
        </w:rPr>
        <w:t>合同书</w:t>
      </w:r>
    </w:p>
    <w:p>
      <w:pPr>
        <w:pStyle w:val="null3"/>
        <w:ind w:firstLine="1687"/>
        <w:jc w:val="both"/>
      </w:pPr>
      <w:r>
        <w:rPr>
          <w:sz w:val="18"/>
          <w:b/>
        </w:rPr>
        <w:t>项目名称：</w:t>
      </w:r>
      <w:r>
        <w:rPr>
          <w:sz w:val="18"/>
          <w:b/>
          <w:u w:val="single"/>
        </w:rPr>
        <w:t xml:space="preserve">                           </w:t>
      </w:r>
    </w:p>
    <w:p>
      <w:pPr>
        <w:pStyle w:val="null3"/>
        <w:ind w:left="1695"/>
        <w:jc w:val="both"/>
      </w:pPr>
      <w:r>
        <w:rPr>
          <w:sz w:val="18"/>
          <w:b/>
        </w:rPr>
        <w:t>合同编号：</w:t>
      </w:r>
      <w:r>
        <w:rPr>
          <w:sz w:val="18"/>
          <w:b/>
          <w:u w:val="single"/>
        </w:rPr>
        <w:t xml:space="preserve">                           </w:t>
      </w:r>
    </w:p>
    <w:p>
      <w:pPr>
        <w:pStyle w:val="null3"/>
        <w:ind w:left="1695"/>
        <w:jc w:val="both"/>
      </w:pPr>
      <w:r>
        <w:rPr>
          <w:sz w:val="18"/>
          <w:b/>
        </w:rPr>
        <w:t>签约地点：</w:t>
      </w:r>
      <w:r>
        <w:rPr>
          <w:sz w:val="18"/>
          <w:b/>
          <w:u w:val="single"/>
        </w:rPr>
        <w:t xml:space="preserve">                           </w:t>
      </w:r>
    </w:p>
    <w:p>
      <w:pPr>
        <w:pStyle w:val="null3"/>
        <w:ind w:left="1695"/>
        <w:jc w:val="both"/>
      </w:pPr>
      <w:r>
        <w:rPr>
          <w:sz w:val="18"/>
          <w:b/>
        </w:rPr>
        <w:t>签订日期：       年    月     日</w:t>
      </w:r>
    </w:p>
    <w:p>
      <w:pPr>
        <w:pStyle w:val="null3"/>
        <w:jc w:val="both"/>
      </w:pPr>
      <w:r>
        <w:rPr>
          <w:sz w:val="18"/>
        </w:rPr>
        <w:t xml:space="preserve">甲方：广东省广州生态环境监测中心站   </w:t>
      </w:r>
    </w:p>
    <w:p>
      <w:pPr>
        <w:pStyle w:val="null3"/>
        <w:ind w:firstLine="480"/>
        <w:jc w:val="both"/>
      </w:pPr>
      <w:r>
        <w:rPr>
          <w:sz w:val="18"/>
        </w:rPr>
        <w:t>电话：020-32662113       地址：广州市番禺区大学城中心南大街19号</w:t>
      </w:r>
    </w:p>
    <w:p>
      <w:pPr>
        <w:pStyle w:val="null3"/>
        <w:ind w:firstLine="480"/>
        <w:jc w:val="both"/>
      </w:pPr>
      <w:r>
        <w:rPr>
          <w:sz w:val="18"/>
        </w:rPr>
        <w:t>乙方：</w:t>
      </w:r>
    </w:p>
    <w:p>
      <w:pPr>
        <w:pStyle w:val="null3"/>
        <w:ind w:firstLine="480"/>
        <w:jc w:val="both"/>
      </w:pPr>
      <w:r>
        <w:rPr>
          <w:sz w:val="18"/>
        </w:rPr>
        <w:t>电话：                   地址：</w:t>
      </w:r>
    </w:p>
    <w:p>
      <w:pPr>
        <w:pStyle w:val="null3"/>
        <w:ind w:firstLine="480"/>
        <w:jc w:val="both"/>
      </w:pPr>
      <w:r>
        <w:rPr>
          <w:sz w:val="18"/>
        </w:rPr>
        <w:t>根据</w:t>
      </w:r>
      <w:r>
        <w:rPr>
          <w:sz w:val="18"/>
          <w:u w:val="single"/>
        </w:rPr>
        <w:t>广州市重点区域大气环境智能化监测保障项目</w:t>
      </w:r>
      <w:r>
        <w:rPr>
          <w:sz w:val="18"/>
        </w:rPr>
        <w:t>的采购结果，按照《中华人民共和国政府采购法》、《中华人民共和国政府采购法实施条例》、《中华人民共和国民法典》的相关规定，经甲乙双方协商一致，签订本合同，共同遵守如下条款：</w:t>
      </w:r>
    </w:p>
    <w:p>
      <w:pPr>
        <w:pStyle w:val="null3"/>
        <w:ind w:firstLine="482"/>
        <w:jc w:val="both"/>
      </w:pPr>
      <w:r>
        <w:rPr>
          <w:sz w:val="18"/>
          <w:b/>
        </w:rPr>
        <w:t>一、合同标的</w:t>
      </w:r>
    </w:p>
    <w:p>
      <w:pPr>
        <w:pStyle w:val="null3"/>
        <w:ind w:firstLine="480"/>
        <w:jc w:val="both"/>
      </w:pPr>
      <w:r>
        <w:rPr>
          <w:sz w:val="18"/>
        </w:rPr>
        <w:t>甲方委托乙方就</w:t>
      </w:r>
      <w:r>
        <w:rPr>
          <w:sz w:val="18"/>
          <w:b/>
        </w:rPr>
        <w:t>广州市重点区域大气环境智能化监测保障项目</w:t>
      </w:r>
      <w:r>
        <w:rPr>
          <w:sz w:val="18"/>
          <w:b/>
        </w:rPr>
        <w:t>项目提供服务</w:t>
      </w:r>
      <w:r>
        <w:rPr>
          <w:sz w:val="18"/>
        </w:rPr>
        <w:t>。</w:t>
      </w:r>
    </w:p>
    <w:p>
      <w:pPr>
        <w:pStyle w:val="null3"/>
        <w:ind w:firstLine="482"/>
        <w:jc w:val="both"/>
      </w:pPr>
      <w:r>
        <w:rPr>
          <w:sz w:val="18"/>
          <w:b/>
        </w:rPr>
        <w:t>二、金额及支付方式</w:t>
      </w:r>
    </w:p>
    <w:p>
      <w:pPr>
        <w:pStyle w:val="null3"/>
        <w:ind w:firstLine="480"/>
        <w:jc w:val="both"/>
      </w:pPr>
      <w:r>
        <w:rPr>
          <w:sz w:val="18"/>
        </w:rPr>
        <w:t>1．合同总价：（人民币）大写</w:t>
      </w:r>
      <w:r>
        <w:rPr>
          <w:sz w:val="18"/>
          <w:u w:val="single"/>
        </w:rPr>
        <w:t xml:space="preserve">               </w:t>
      </w:r>
      <w:r>
        <w:rPr>
          <w:sz w:val="18"/>
        </w:rPr>
        <w:t>(￥      )。</w:t>
      </w:r>
    </w:p>
    <w:p>
      <w:pPr>
        <w:pStyle w:val="null3"/>
        <w:ind w:firstLine="480"/>
        <w:jc w:val="both"/>
      </w:pPr>
      <w:r>
        <w:rPr>
          <w:sz w:val="18"/>
        </w:rPr>
        <w:t>2.本项目发生的税费包含在投标总价中。本项目采用分期付款方式，具体如下：</w:t>
      </w:r>
    </w:p>
    <w:p>
      <w:pPr>
        <w:pStyle w:val="null3"/>
        <w:ind w:firstLine="480"/>
        <w:jc w:val="both"/>
      </w:pPr>
      <w:r>
        <w:rPr>
          <w:sz w:val="18"/>
        </w:rPr>
        <w:t>1）预付款</w:t>
      </w:r>
    </w:p>
    <w:p>
      <w:pPr>
        <w:pStyle w:val="null3"/>
        <w:ind w:firstLine="480"/>
        <w:jc w:val="both"/>
      </w:pPr>
      <w:r>
        <w:rPr>
          <w:sz w:val="18"/>
        </w:rPr>
        <w:t>合同签订后，于5个工作日内支付合同总额50%款项。</w:t>
      </w:r>
    </w:p>
    <w:p>
      <w:pPr>
        <w:pStyle w:val="null3"/>
        <w:ind w:firstLine="480"/>
        <w:jc w:val="both"/>
      </w:pPr>
      <w:r>
        <w:rPr>
          <w:sz w:val="18"/>
        </w:rPr>
        <w:t>2）进度款</w:t>
      </w:r>
    </w:p>
    <w:p>
      <w:pPr>
        <w:pStyle w:val="null3"/>
        <w:ind w:firstLine="480"/>
        <w:jc w:val="both"/>
      </w:pPr>
      <w:r>
        <w:rPr>
          <w:sz w:val="18"/>
        </w:rPr>
        <w:t>项目开展至2025年8月，乙方按时序进度提交日报月报，甲方收到发票后，于5个工作日内支付合同总额3.3%款项</w:t>
      </w:r>
    </w:p>
    <w:p>
      <w:pPr>
        <w:pStyle w:val="null3"/>
        <w:ind w:firstLine="480"/>
        <w:jc w:val="both"/>
      </w:pPr>
      <w:r>
        <w:rPr>
          <w:sz w:val="18"/>
        </w:rPr>
        <w:t>3）验收款</w:t>
      </w:r>
    </w:p>
    <w:p>
      <w:pPr>
        <w:pStyle w:val="null3"/>
        <w:ind w:firstLine="480"/>
        <w:jc w:val="both"/>
      </w:pPr>
      <w:r>
        <w:rPr>
          <w:sz w:val="18"/>
        </w:rPr>
        <w:t>2026年项目结束，所有工作完成通过技术验收，甲方收到有效发票后于5个工作日内支付合同总额46.7%款项。如2026年本项目尾款申请财政经费不获批复，合同执行至2025年12月（按比例金额计算）自动终止。</w:t>
      </w:r>
    </w:p>
    <w:p>
      <w:pPr>
        <w:pStyle w:val="null3"/>
        <w:ind w:firstLine="480"/>
        <w:jc w:val="both"/>
      </w:pPr>
      <w:r>
        <w:rPr>
          <w:sz w:val="18"/>
        </w:rPr>
        <w:t>3、乙方凭以下有效的文件向甲方提出支付申请：</w:t>
      </w:r>
    </w:p>
    <w:p>
      <w:pPr>
        <w:pStyle w:val="null3"/>
        <w:ind w:firstLine="480"/>
        <w:jc w:val="both"/>
      </w:pPr>
      <w:r>
        <w:rPr>
          <w:sz w:val="18"/>
        </w:rPr>
        <w:t>（1）项目合同；</w:t>
      </w:r>
    </w:p>
    <w:p>
      <w:pPr>
        <w:pStyle w:val="null3"/>
        <w:ind w:firstLine="480"/>
        <w:jc w:val="both"/>
      </w:pPr>
      <w:r>
        <w:rPr>
          <w:sz w:val="18"/>
        </w:rPr>
        <w:t>（2）按法律规定开具相应的发票；</w:t>
      </w:r>
    </w:p>
    <w:p>
      <w:pPr>
        <w:pStyle w:val="null3"/>
        <w:ind w:firstLine="480"/>
        <w:jc w:val="both"/>
      </w:pPr>
      <w:r>
        <w:rPr>
          <w:sz w:val="18"/>
        </w:rPr>
        <w:t>（3）项目中标（成交）通知书；</w:t>
      </w:r>
    </w:p>
    <w:p>
      <w:pPr>
        <w:pStyle w:val="null3"/>
        <w:ind w:firstLine="480"/>
        <w:jc w:val="both"/>
      </w:pPr>
      <w:r>
        <w:rPr>
          <w:sz w:val="18"/>
        </w:rPr>
        <w:t>（4）服务进度成果材料。</w:t>
      </w:r>
    </w:p>
    <w:p>
      <w:pPr>
        <w:pStyle w:val="null3"/>
        <w:ind w:firstLine="480"/>
        <w:jc w:val="both"/>
      </w:pPr>
      <w:r>
        <w:rPr>
          <w:sz w:val="18"/>
        </w:rPr>
        <w:t>4、关于款项支付的其他说明：</w:t>
      </w:r>
    </w:p>
    <w:p>
      <w:pPr>
        <w:pStyle w:val="null3"/>
        <w:ind w:firstLine="480"/>
        <w:jc w:val="both"/>
      </w:pPr>
      <w:r>
        <w:rPr>
          <w:sz w:val="18"/>
        </w:rPr>
        <w:t>（1）乙方有义务向甲方提供申请财政付款所需文件材料。除了证明服务进度成果材料之外，乙方还必须向甲方相应的款项发票作为请款凭据。如对申请材料有其他要求的，乙方也应配合及时提供。如乙方未按本合同约定及时提供请款所需材料和发票的，甲方有权延缓申请支付，直至收到乙方提供的材料和发票时止，而不视为甲方违约。</w:t>
      </w:r>
    </w:p>
    <w:p>
      <w:pPr>
        <w:pStyle w:val="null3"/>
        <w:ind w:firstLine="480"/>
        <w:jc w:val="both"/>
      </w:pPr>
      <w:r>
        <w:rPr>
          <w:sz w:val="18"/>
        </w:rPr>
        <w:t>（2）由于甲方使用的是财政性资金，甲方向财政部门申请支付即视为履行了付款义务，乙方不得因财政部门审核需要时间、拨款迟延等原因要求甲方承担迟延付款的责任，更不得因此怠于履行合同义务。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ind w:firstLine="480"/>
        <w:jc w:val="both"/>
      </w:pPr>
      <w:r>
        <w:rPr>
          <w:sz w:val="18"/>
        </w:rPr>
        <w:t>5、乙方开户银行名称、地址和账号为：</w:t>
      </w:r>
    </w:p>
    <w:p>
      <w:pPr>
        <w:pStyle w:val="null3"/>
        <w:ind w:firstLine="480"/>
        <w:jc w:val="both"/>
      </w:pPr>
      <w:r>
        <w:rPr>
          <w:sz w:val="18"/>
        </w:rPr>
        <w:t>单位全称：</w:t>
      </w:r>
    </w:p>
    <w:p>
      <w:pPr>
        <w:pStyle w:val="null3"/>
        <w:ind w:firstLine="480"/>
        <w:jc w:val="both"/>
      </w:pPr>
      <w:r>
        <w:rPr>
          <w:sz w:val="18"/>
        </w:rPr>
        <w:t>开户银行：</w:t>
      </w:r>
    </w:p>
    <w:p>
      <w:pPr>
        <w:pStyle w:val="null3"/>
        <w:ind w:firstLine="480"/>
        <w:jc w:val="both"/>
      </w:pPr>
      <w:r>
        <w:rPr>
          <w:sz w:val="18"/>
        </w:rPr>
        <w:t>开户银行地址：</w:t>
      </w:r>
    </w:p>
    <w:p>
      <w:pPr>
        <w:pStyle w:val="null3"/>
        <w:ind w:firstLine="480"/>
        <w:jc w:val="both"/>
      </w:pPr>
      <w:r>
        <w:rPr>
          <w:sz w:val="18"/>
        </w:rPr>
        <w:t>账号：</w:t>
      </w:r>
    </w:p>
    <w:p>
      <w:pPr>
        <w:pStyle w:val="null3"/>
        <w:ind w:firstLine="482"/>
        <w:jc w:val="both"/>
      </w:pPr>
      <w:r>
        <w:rPr>
          <w:sz w:val="18"/>
          <w:b/>
        </w:rPr>
        <w:t>三、合同期限和实施地点</w:t>
      </w:r>
    </w:p>
    <w:p>
      <w:pPr>
        <w:pStyle w:val="null3"/>
        <w:ind w:firstLine="480"/>
        <w:jc w:val="both"/>
      </w:pPr>
      <w:r>
        <w:rPr>
          <w:sz w:val="18"/>
        </w:rPr>
        <w:t>1．合同期限：2025年6月1日至2026年5月31日。</w:t>
      </w:r>
    </w:p>
    <w:p>
      <w:pPr>
        <w:pStyle w:val="null3"/>
        <w:ind w:firstLine="480"/>
        <w:jc w:val="both"/>
      </w:pPr>
      <w:r>
        <w:rPr>
          <w:sz w:val="18"/>
        </w:rPr>
        <w:t>2．实施地点：广州市内甲方指定地点。</w:t>
      </w:r>
    </w:p>
    <w:p>
      <w:pPr>
        <w:pStyle w:val="null3"/>
        <w:ind w:firstLine="482"/>
        <w:jc w:val="both"/>
      </w:pPr>
      <w:r>
        <w:rPr>
          <w:sz w:val="18"/>
          <w:b/>
        </w:rPr>
        <w:t>四、服务内容</w:t>
      </w:r>
    </w:p>
    <w:p>
      <w:pPr>
        <w:pStyle w:val="null3"/>
        <w:ind w:firstLine="420"/>
        <w:jc w:val="both"/>
      </w:pPr>
      <w:r>
        <w:rPr>
          <w:sz w:val="18"/>
        </w:rPr>
        <w:t>乙方经由甲方委托，在广州市20个重点区域开展实时视频监控，基于监控信息对异常情况进行实时告警；并选择一个典型位置在不少于4个高度开展空气质量梯度观测，获取该点位空气质量梯度状况。</w:t>
      </w:r>
    </w:p>
    <w:p>
      <w:pPr>
        <w:pStyle w:val="null3"/>
        <w:ind w:firstLine="422"/>
        <w:jc w:val="both"/>
      </w:pPr>
      <w:r>
        <w:rPr>
          <w:sz w:val="18"/>
          <w:b/>
        </w:rPr>
        <w:t>具体要求按本项目招标文件中第二章《采购需求》的相关规定、投标文件中乙方承诺的具体服务方案执行。</w:t>
      </w:r>
    </w:p>
    <w:p>
      <w:pPr>
        <w:pStyle w:val="null3"/>
        <w:ind w:firstLine="482"/>
        <w:jc w:val="both"/>
      </w:pPr>
      <w:r>
        <w:rPr>
          <w:sz w:val="18"/>
          <w:b/>
        </w:rPr>
        <w:t>五、双方的权利和义务</w:t>
      </w:r>
    </w:p>
    <w:p>
      <w:pPr>
        <w:pStyle w:val="null3"/>
        <w:ind w:firstLine="482"/>
        <w:jc w:val="both"/>
      </w:pPr>
      <w:r>
        <w:rPr>
          <w:sz w:val="18"/>
        </w:rPr>
        <w:t>1、 甲方的权利和义务</w:t>
      </w:r>
    </w:p>
    <w:p>
      <w:pPr>
        <w:pStyle w:val="null3"/>
        <w:ind w:firstLine="482"/>
        <w:jc w:val="both"/>
      </w:pPr>
      <w:r>
        <w:rPr>
          <w:sz w:val="18"/>
        </w:rPr>
        <w:t>（1）在合同执行期内，甲方应积极配合乙方做好服务工作。</w:t>
      </w:r>
    </w:p>
    <w:p>
      <w:pPr>
        <w:pStyle w:val="null3"/>
        <w:ind w:firstLine="482"/>
        <w:jc w:val="both"/>
      </w:pPr>
      <w:r>
        <w:rPr>
          <w:sz w:val="18"/>
        </w:rPr>
        <w:t>（2）在服务期内，甲方应组织对乙方人员的工作态度、技术水平进行监督，并汇总收集和及时反馈意见，以便改正乙方的不足与缺点。</w:t>
      </w:r>
    </w:p>
    <w:p>
      <w:pPr>
        <w:pStyle w:val="null3"/>
        <w:ind w:firstLine="482"/>
        <w:jc w:val="both"/>
      </w:pPr>
      <w:r>
        <w:rPr>
          <w:sz w:val="18"/>
        </w:rPr>
        <w:t>（3）在服务期内，甲方针对乙方服务内容开展相应的监督，如发现工作中存在质量或其他问题的，乙方应及时整改。</w:t>
      </w:r>
    </w:p>
    <w:p>
      <w:pPr>
        <w:pStyle w:val="null3"/>
        <w:ind w:firstLine="482"/>
        <w:jc w:val="both"/>
      </w:pPr>
      <w:r>
        <w:rPr>
          <w:sz w:val="18"/>
        </w:rPr>
        <w:t>2、乙方的权利和义务</w:t>
      </w:r>
    </w:p>
    <w:p>
      <w:pPr>
        <w:pStyle w:val="null3"/>
        <w:ind w:firstLine="482"/>
        <w:jc w:val="both"/>
      </w:pPr>
      <w:r>
        <w:rPr>
          <w:sz w:val="18"/>
        </w:rPr>
        <w:t>（1）在合同期内，乙方需按照甲方要求开展服务工作。</w:t>
      </w:r>
    </w:p>
    <w:p>
      <w:pPr>
        <w:pStyle w:val="null3"/>
        <w:ind w:firstLine="482"/>
        <w:jc w:val="both"/>
      </w:pPr>
      <w:r>
        <w:rPr>
          <w:sz w:val="18"/>
        </w:rPr>
        <w:t>（2）合同期内，乙方的服务需符合相关要求标准，如果由于不符合导致重新开展工作的，费用由乙方负责。</w:t>
      </w:r>
    </w:p>
    <w:p>
      <w:pPr>
        <w:pStyle w:val="null3"/>
        <w:ind w:firstLine="482"/>
        <w:jc w:val="both"/>
      </w:pPr>
      <w:r>
        <w:rPr>
          <w:sz w:val="18"/>
        </w:rPr>
        <w:t>（3）乙方应承担本项目的安全生产责任。乙方在项目实施过程中造成的第三方的人身及财产损失，由乙方独自承担相应的法律和经济责任，与甲方无关；造成甲方经济损失的，由乙方承担，甲方保留追究其法律责任的权利。</w:t>
      </w:r>
    </w:p>
    <w:p>
      <w:pPr>
        <w:pStyle w:val="null3"/>
        <w:ind w:firstLine="482"/>
        <w:jc w:val="both"/>
      </w:pPr>
      <w:r>
        <w:rPr>
          <w:sz w:val="18"/>
        </w:rPr>
        <w:t>3.安全要求</w:t>
      </w:r>
    </w:p>
    <w:p>
      <w:pPr>
        <w:pStyle w:val="null3"/>
        <w:spacing w:before="120" w:after="120"/>
        <w:ind w:firstLine="482"/>
        <w:jc w:val="both"/>
      </w:pPr>
      <w:r>
        <w:rPr>
          <w:sz w:val="18"/>
        </w:rPr>
        <w:t>乙方有义务对设备进行保护，同时乙方全责保障其技术人员在运维工作期间的人身安全。</w:t>
      </w:r>
    </w:p>
    <w:p>
      <w:pPr>
        <w:pStyle w:val="null3"/>
        <w:spacing w:before="120" w:after="120"/>
        <w:ind w:firstLine="482"/>
        <w:jc w:val="both"/>
      </w:pPr>
      <w:r>
        <w:rPr>
          <w:sz w:val="18"/>
          <w:b/>
        </w:rPr>
        <w:t>六、验收条款</w:t>
      </w:r>
    </w:p>
    <w:p>
      <w:pPr>
        <w:pStyle w:val="null3"/>
        <w:spacing w:before="120" w:after="120"/>
        <w:ind w:firstLine="482"/>
        <w:jc w:val="both"/>
      </w:pPr>
      <w:r>
        <w:rPr>
          <w:sz w:val="18"/>
        </w:rPr>
        <w:t>在项目开展1次验收，项目验收而产生的有关费用，由项目乙方承担。</w:t>
      </w:r>
    </w:p>
    <w:p>
      <w:pPr>
        <w:pStyle w:val="null3"/>
        <w:spacing w:before="120" w:after="120"/>
        <w:ind w:firstLine="482"/>
        <w:jc w:val="both"/>
      </w:pPr>
      <w:r>
        <w:rPr>
          <w:sz w:val="18"/>
        </w:rPr>
        <w:t>1、验收时间：服务期到期并完成所有任务后，由乙方向甲方提出验收申请，由甲方组织邀请不少于3名专家对项目进行整体项目验收。</w:t>
      </w:r>
    </w:p>
    <w:p>
      <w:pPr>
        <w:pStyle w:val="null3"/>
        <w:ind w:firstLine="480"/>
        <w:jc w:val="both"/>
      </w:pPr>
      <w:r>
        <w:rPr>
          <w:sz w:val="18"/>
        </w:rPr>
        <w:t>2、验收标准：</w:t>
      </w:r>
    </w:p>
    <w:p>
      <w:pPr>
        <w:pStyle w:val="null3"/>
        <w:ind w:firstLine="480"/>
        <w:jc w:val="both"/>
      </w:pPr>
      <w:r>
        <w:rPr>
          <w:sz w:val="18"/>
        </w:rPr>
        <w:t>（1）提供监控时段日报不少于285份（95%），月报10份，年报1份，梯度数据监控月报10份；</w:t>
      </w:r>
    </w:p>
    <w:p>
      <w:pPr>
        <w:pStyle w:val="null3"/>
        <w:ind w:firstLine="480"/>
        <w:jc w:val="both"/>
      </w:pPr>
      <w:r>
        <w:rPr>
          <w:sz w:val="18"/>
        </w:rPr>
        <w:t>（2）按要求提交验收报告；</w:t>
      </w:r>
    </w:p>
    <w:p>
      <w:pPr>
        <w:pStyle w:val="null3"/>
        <w:ind w:firstLine="480"/>
        <w:jc w:val="both"/>
      </w:pPr>
      <w:r>
        <w:rPr>
          <w:sz w:val="18"/>
        </w:rPr>
        <w:t>（3）验收费用：本项目验收所产生的所有费用由乙方承担。</w:t>
      </w:r>
    </w:p>
    <w:p>
      <w:pPr>
        <w:pStyle w:val="null3"/>
        <w:spacing w:before="150" w:after="150"/>
        <w:ind w:firstLine="482"/>
        <w:jc w:val="both"/>
      </w:pPr>
      <w:r>
        <w:rPr>
          <w:sz w:val="18"/>
          <w:b/>
        </w:rPr>
        <w:t>七、保密</w:t>
      </w:r>
    </w:p>
    <w:p>
      <w:pPr>
        <w:pStyle w:val="null3"/>
        <w:spacing w:before="150" w:after="150"/>
        <w:ind w:firstLine="482"/>
        <w:jc w:val="both"/>
      </w:pPr>
      <w:r>
        <w:rPr>
          <w:sz w:val="18"/>
        </w:rPr>
        <w:t>1、保密义务：未经甲方许可，乙方及乙方参与本项目的人员均不得对外披露、泄露本项目执行过程中甲方提供的信息、因合同履行而知悉的企业信息或环境信息、本项目执行过程中形成的过程信息、以及最终的成果信息。乙方应采取有效措施，保证其参与本项目的人员遵守本约定，并对乙方人员违反本约定所造成的后果承担连带责任。</w:t>
      </w:r>
    </w:p>
    <w:p>
      <w:pPr>
        <w:pStyle w:val="null3"/>
        <w:spacing w:before="150" w:after="150"/>
        <w:ind w:firstLine="482"/>
        <w:jc w:val="both"/>
      </w:pPr>
      <w:r>
        <w:rPr>
          <w:sz w:val="18"/>
        </w:rPr>
        <w:t>2、泄密责任：乙方违反本条规定的，甲方有权视乙方合同履行情况及违约情形，要求乙方支付本合同总价5%的违约金；返还甲方已经支付的费用；赔偿甲方损失（包括但不限于：甲方的经济损失；甲方因此支付的赔偿金、补偿金、罚金；甲方因维权、减少或制止损失所支付的一切费用）等。并且根据相关法律法规追究乙方涉密人员责任。</w:t>
      </w:r>
    </w:p>
    <w:p>
      <w:pPr>
        <w:pStyle w:val="null3"/>
        <w:spacing w:before="150" w:after="150"/>
        <w:ind w:firstLine="482"/>
        <w:jc w:val="both"/>
      </w:pPr>
      <w:r>
        <w:rPr>
          <w:sz w:val="18"/>
        </w:rPr>
        <w:t>3、保密内容：技术信息和经济信息。包括乙方在本项目实施过程中从甲方获取的有关本项目的技术文件、相关资料、技术诀窍、技术秘密、商业秘密，以及已由甲方明确列为保密信息的其他信息。</w:t>
      </w:r>
    </w:p>
    <w:p>
      <w:pPr>
        <w:pStyle w:val="null3"/>
        <w:spacing w:before="150" w:after="150"/>
        <w:ind w:firstLine="482"/>
        <w:jc w:val="both"/>
      </w:pPr>
      <w:r>
        <w:rPr>
          <w:sz w:val="18"/>
        </w:rPr>
        <w:t>4、保密责任者范围：乙方及乙方参与本项目的所有人员。</w:t>
      </w:r>
    </w:p>
    <w:p>
      <w:pPr>
        <w:pStyle w:val="null3"/>
        <w:spacing w:before="150" w:after="150"/>
        <w:ind w:firstLine="482"/>
        <w:jc w:val="both"/>
      </w:pPr>
      <w:r>
        <w:rPr>
          <w:sz w:val="18"/>
          <w:b/>
        </w:rPr>
        <w:t>八、违约处理</w:t>
      </w:r>
    </w:p>
    <w:p>
      <w:pPr>
        <w:pStyle w:val="null3"/>
        <w:spacing w:before="150" w:after="150"/>
        <w:ind w:firstLine="482"/>
        <w:jc w:val="both"/>
      </w:pPr>
      <w:r>
        <w:rPr>
          <w:sz w:val="18"/>
        </w:rPr>
        <w:t>1、乙方提供的服务不符合需求或本合同规定的，甲方有权拒绝接受服务、单方面终止合同，并且乙方须向甲方支付本合同总价5%的违约金。</w:t>
      </w:r>
    </w:p>
    <w:p>
      <w:pPr>
        <w:pStyle w:val="null3"/>
        <w:spacing w:before="150" w:after="150"/>
        <w:ind w:firstLine="482"/>
        <w:jc w:val="both"/>
      </w:pPr>
      <w:r>
        <w:rPr>
          <w:sz w:val="18"/>
        </w:rPr>
        <w:t>2、乙方未能按本合同规定的时间提供服务，从逾期之日起每日按本合同总价3‰ 的数额向甲方支付违约金；逾期半个月以上的，甲方有权单方面终止合同，由此造成的甲方经济损失由乙方承担。</w:t>
      </w:r>
    </w:p>
    <w:p>
      <w:pPr>
        <w:pStyle w:val="null3"/>
        <w:spacing w:before="150" w:after="150"/>
        <w:ind w:firstLine="482"/>
        <w:jc w:val="both"/>
      </w:pPr>
      <w:r>
        <w:rPr>
          <w:sz w:val="18"/>
        </w:rPr>
        <w:t>3、甲方无正当理由拒绝接受服务，到期拒付服务款项的，甲方向乙方支付本合同总价5%的违约金。</w:t>
      </w:r>
    </w:p>
    <w:p>
      <w:pPr>
        <w:pStyle w:val="null3"/>
        <w:spacing w:before="150" w:after="150"/>
        <w:ind w:firstLine="482"/>
        <w:jc w:val="both"/>
      </w:pPr>
      <w:r>
        <w:rPr>
          <w:sz w:val="18"/>
        </w:rPr>
        <w:t>4、甲方无正当理由逾期付款，自甲方收到付款所需的完整文件材料且5个工作日后起，甲方须按每天按合同总金额1‰的金额向乙方偿付违约金。</w:t>
      </w:r>
    </w:p>
    <w:p>
      <w:pPr>
        <w:pStyle w:val="null3"/>
        <w:spacing w:before="150" w:after="150"/>
        <w:ind w:firstLine="482"/>
        <w:jc w:val="both"/>
      </w:pPr>
      <w:r>
        <w:rPr>
          <w:sz w:val="18"/>
        </w:rPr>
        <w:t>5、其它违约责任按《中华人民共和国民法典》处理。</w:t>
      </w:r>
    </w:p>
    <w:p>
      <w:pPr>
        <w:pStyle w:val="null3"/>
        <w:spacing w:before="150" w:after="150"/>
        <w:ind w:firstLine="482"/>
        <w:jc w:val="both"/>
      </w:pPr>
      <w:r>
        <w:rPr>
          <w:sz w:val="18"/>
          <w:b/>
        </w:rPr>
        <w:t>九、合同转让与分包</w:t>
      </w:r>
    </w:p>
    <w:p>
      <w:pPr>
        <w:pStyle w:val="null3"/>
        <w:spacing w:before="150" w:after="150"/>
        <w:ind w:firstLine="482"/>
        <w:jc w:val="both"/>
      </w:pPr>
      <w:r>
        <w:rPr>
          <w:sz w:val="18"/>
        </w:rPr>
        <w:t>本合同乙方在任何情况下都不得转让其应履行的合同义务。否则，甲方有权单方面解除合同，并要求乙方承担合同总金额20%的违约金。</w:t>
      </w:r>
    </w:p>
    <w:p>
      <w:pPr>
        <w:pStyle w:val="null3"/>
        <w:spacing w:before="150" w:after="150"/>
        <w:ind w:firstLine="482"/>
        <w:jc w:val="both"/>
      </w:pPr>
      <w:r>
        <w:rPr>
          <w:sz w:val="18"/>
          <w:b/>
        </w:rPr>
        <w:t>十、合同终止</w:t>
      </w:r>
    </w:p>
    <w:p>
      <w:pPr>
        <w:pStyle w:val="null3"/>
        <w:spacing w:before="150" w:after="150"/>
        <w:ind w:firstLine="482"/>
        <w:jc w:val="both"/>
      </w:pPr>
      <w:r>
        <w:rPr>
          <w:sz w:val="18"/>
        </w:rPr>
        <w:t>如果一方严重违反合同，并在收到对方违约通知书后在30天内仍未能改正违约的，另一方可立即终止本合同。</w:t>
      </w:r>
    </w:p>
    <w:p>
      <w:pPr>
        <w:pStyle w:val="null3"/>
        <w:spacing w:before="150" w:after="150"/>
        <w:ind w:firstLine="482"/>
        <w:jc w:val="both"/>
      </w:pPr>
      <w:r>
        <w:rPr>
          <w:sz w:val="18"/>
          <w:b/>
        </w:rPr>
        <w:t>十一、争端的解决</w:t>
      </w:r>
    </w:p>
    <w:p>
      <w:pPr>
        <w:pStyle w:val="null3"/>
        <w:spacing w:before="150" w:after="150"/>
        <w:ind w:firstLine="482"/>
        <w:jc w:val="both"/>
      </w:pPr>
      <w:r>
        <w:rPr>
          <w:sz w:val="18"/>
        </w:rPr>
        <w:t>合同执行过程中发生的任何争议，如双方不能通过友好协商解决，向甲方所在地人民法院提起诉讼。</w:t>
      </w:r>
    </w:p>
    <w:p>
      <w:pPr>
        <w:pStyle w:val="null3"/>
        <w:spacing w:before="150" w:after="150"/>
        <w:ind w:firstLine="482"/>
        <w:jc w:val="both"/>
      </w:pPr>
      <w:r>
        <w:rPr>
          <w:sz w:val="18"/>
          <w:b/>
        </w:rPr>
        <w:t>十二、不可抗力</w:t>
      </w:r>
    </w:p>
    <w:p>
      <w:pPr>
        <w:pStyle w:val="null3"/>
        <w:spacing w:before="150" w:after="150"/>
        <w:ind w:firstLine="482"/>
        <w:jc w:val="both"/>
      </w:pPr>
      <w:r>
        <w:rPr>
          <w:sz w:val="18"/>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150" w:after="150"/>
        <w:ind w:firstLine="482"/>
        <w:jc w:val="both"/>
      </w:pPr>
      <w:r>
        <w:rPr>
          <w:sz w:val="18"/>
        </w:rPr>
        <w:t>甲方为广州市财政核拔的事业单位。如因政策调整等不确定因素造成本合同无法履行或需要变更时，甲方有权提早一个月书面通知乙方终止或变更合同，乙方应当理解并不得以此向甲方索赔。</w:t>
      </w:r>
    </w:p>
    <w:p>
      <w:pPr>
        <w:pStyle w:val="null3"/>
        <w:spacing w:before="150" w:after="150"/>
        <w:ind w:firstLine="482"/>
        <w:jc w:val="both"/>
      </w:pPr>
      <w:r>
        <w:rPr>
          <w:sz w:val="18"/>
          <w:b/>
        </w:rPr>
        <w:t>十三、罚则</w:t>
      </w:r>
    </w:p>
    <w:p>
      <w:pPr>
        <w:pStyle w:val="null3"/>
        <w:spacing w:before="150" w:after="150"/>
        <w:ind w:firstLine="482"/>
        <w:jc w:val="both"/>
      </w:pPr>
      <w:r>
        <w:rPr>
          <w:sz w:val="18"/>
        </w:rPr>
        <w:t>（1）乙方未能按本合同规定的时间提供服务，从逾期之日起每日按本合同总价5‰的数额向采购人支付违约金，逾期半个月以上的，甲方有权单方面终止合同。</w:t>
      </w:r>
    </w:p>
    <w:p>
      <w:pPr>
        <w:pStyle w:val="null3"/>
        <w:spacing w:before="150" w:after="150"/>
        <w:ind w:firstLine="482"/>
        <w:jc w:val="both"/>
      </w:pPr>
      <w:r>
        <w:rPr>
          <w:sz w:val="18"/>
        </w:rPr>
        <w:t>（2）除受不可抗力因素影响外，视频信息采集年度可用率小于85%，甲方有权对乙方处以合同总额5%的罚款。</w:t>
      </w:r>
    </w:p>
    <w:p>
      <w:pPr>
        <w:pStyle w:val="null3"/>
        <w:spacing w:before="150" w:after="150"/>
        <w:ind w:firstLine="482"/>
        <w:jc w:val="both"/>
      </w:pPr>
      <w:r>
        <w:rPr>
          <w:sz w:val="18"/>
        </w:rPr>
        <w:t>（3）除受不可抗力因素影响外，微型空气质量监测系统需满足“年度数据有效率≥75%”的要求，每降低1%处以合同总额的0.01%作为罚款。</w:t>
      </w:r>
    </w:p>
    <w:p>
      <w:pPr>
        <w:pStyle w:val="null3"/>
        <w:spacing w:before="150" w:after="150"/>
        <w:ind w:firstLine="482"/>
        <w:jc w:val="both"/>
      </w:pPr>
      <w:r>
        <w:rPr>
          <w:sz w:val="18"/>
          <w:b/>
        </w:rPr>
        <w:t>十四、其它</w:t>
      </w:r>
    </w:p>
    <w:p>
      <w:pPr>
        <w:pStyle w:val="null3"/>
        <w:spacing w:before="150" w:after="150"/>
        <w:ind w:firstLine="482"/>
        <w:jc w:val="both"/>
      </w:pPr>
      <w:r>
        <w:rPr>
          <w:sz w:val="18"/>
        </w:rPr>
        <w:t>1、本合同所有附件、甲乙双方要约及响应文件均为合同的有效组成部分，与本合同具有同等法律效力。</w:t>
      </w:r>
    </w:p>
    <w:p>
      <w:pPr>
        <w:pStyle w:val="null3"/>
        <w:spacing w:before="150" w:after="150"/>
        <w:ind w:firstLine="482"/>
        <w:jc w:val="both"/>
      </w:pPr>
      <w:r>
        <w:rPr>
          <w:sz w:val="18"/>
        </w:rPr>
        <w:t>2、在执行本合同的过程中，所有经双方签署确认的文件（包括会议纪要、补充协议、往来信函）即成为本合同的有效组成部分。</w:t>
      </w:r>
    </w:p>
    <w:p>
      <w:pPr>
        <w:pStyle w:val="null3"/>
        <w:spacing w:before="150" w:after="150"/>
        <w:ind w:firstLine="482"/>
        <w:jc w:val="both"/>
      </w:pPr>
      <w:r>
        <w:rPr>
          <w:sz w:val="18"/>
        </w:rPr>
        <w:t>3、如一方地址、电话、传真号码有变更，应在变更后3个工作日内书面通知对方，否则，应承担相应责任。</w:t>
      </w:r>
    </w:p>
    <w:p>
      <w:pPr>
        <w:pStyle w:val="null3"/>
        <w:spacing w:before="150" w:after="150"/>
        <w:ind w:firstLine="482"/>
        <w:jc w:val="both"/>
      </w:pPr>
      <w:r>
        <w:rPr>
          <w:sz w:val="18"/>
          <w:b/>
        </w:rPr>
        <w:t>十五、合同生效</w:t>
      </w:r>
    </w:p>
    <w:p>
      <w:pPr>
        <w:pStyle w:val="null3"/>
        <w:spacing w:before="150" w:after="150"/>
        <w:ind w:firstLine="482"/>
        <w:jc w:val="both"/>
      </w:pPr>
      <w:r>
        <w:rPr>
          <w:sz w:val="18"/>
        </w:rPr>
        <w:t>1、本合同在甲乙双方法人代表或其授权代表签字盖章后生效。</w:t>
      </w:r>
    </w:p>
    <w:p>
      <w:pPr>
        <w:pStyle w:val="null3"/>
        <w:spacing w:before="150" w:after="150"/>
        <w:ind w:firstLine="482"/>
        <w:jc w:val="both"/>
      </w:pPr>
      <w:r>
        <w:rPr>
          <w:sz w:val="18"/>
        </w:rPr>
        <w:t>2、合同一式 伍 份，其中甲方 贰 份，乙方 贰 份，采购代理机构 壹 份。</w:t>
      </w:r>
    </w:p>
    <w:p>
      <w:pPr>
        <w:pStyle w:val="null3"/>
        <w:ind w:firstLine="480"/>
        <w:jc w:val="both"/>
      </w:pPr>
      <w:r>
        <w:rPr>
          <w:sz w:val="18"/>
          <w:b/>
        </w:rPr>
        <w:t xml:space="preserve"> 【以下无正文】</w:t>
      </w:r>
    </w:p>
    <w:p>
      <w:pPr>
        <w:pStyle w:val="null3"/>
        <w:jc w:val="both"/>
      </w:pPr>
      <w:r>
        <w:rPr>
          <w:sz w:val="18"/>
        </w:rPr>
        <w:t>甲方（盖章）：                         乙方（盖章）：</w:t>
      </w:r>
    </w:p>
    <w:p>
      <w:pPr>
        <w:pStyle w:val="null3"/>
        <w:jc w:val="both"/>
      </w:pPr>
      <w:r>
        <w:rPr>
          <w:sz w:val="18"/>
          <w:b/>
        </w:rPr>
        <w:t>广东省广州生态环境监测中心站</w:t>
      </w:r>
      <w:r>
        <w:rPr>
          <w:sz w:val="18"/>
        </w:rPr>
        <w:t xml:space="preserve">                                          </w:t>
      </w:r>
    </w:p>
    <w:p>
      <w:pPr>
        <w:pStyle w:val="null3"/>
        <w:jc w:val="both"/>
      </w:pPr>
      <w:r>
        <w:rPr>
          <w:sz w:val="18"/>
        </w:rPr>
        <w:t>法定代表人/授权代表（签字）：           法定代表人/授权代表（签字）：</w:t>
      </w:r>
    </w:p>
    <w:p>
      <w:pPr>
        <w:pStyle w:val="null3"/>
        <w:jc w:val="both"/>
      </w:pPr>
      <w:r>
        <w:rPr>
          <w:sz w:val="18"/>
        </w:rPr>
        <w:t>签字日期：                              签字日期：</w:t>
      </w:r>
    </w:p>
    <w:p>
      <w:pPr>
        <w:pStyle w:val="null3"/>
        <w:jc w:val="both"/>
      </w:pPr>
      <w:r>
        <w:rPr>
          <w:sz w:val="18"/>
        </w:rPr>
        <w:t>地址：                                  地址：</w:t>
      </w:r>
    </w:p>
    <w:p>
      <w:pPr>
        <w:pStyle w:val="null3"/>
        <w:jc w:val="both"/>
      </w:pPr>
      <w:r>
        <w:rPr>
          <w:sz w:val="18"/>
        </w:rPr>
        <w:t>邮政编码：                              邮政编码：</w:t>
      </w:r>
    </w:p>
    <w:p>
      <w:pPr>
        <w:pStyle w:val="null3"/>
        <w:jc w:val="both"/>
      </w:pPr>
      <w:r>
        <w:rPr>
          <w:sz w:val="18"/>
        </w:rPr>
        <w:t>电话：                                  电话：</w:t>
      </w:r>
    </w:p>
    <w:p>
      <w:pPr>
        <w:pStyle w:val="null3"/>
        <w:jc w:val="both"/>
      </w:pPr>
      <w:r>
        <w:rPr>
          <w:sz w:val="18"/>
        </w:rPr>
        <w:t xml:space="preserve">传真：                                  传真：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440101-2025-06228</w:t>
      </w:r>
    </w:p>
    <w:p>
      <w:pPr>
        <w:pStyle w:val="null3"/>
        <w:jc w:val="center"/>
        <w:outlineLvl w:val="3"/>
      </w:pPr>
      <w:r>
        <w:rPr>
          <w:sz w:val="24"/>
          <w:b/>
        </w:rPr>
        <w:t>采购项目编号：</w:t>
      </w:r>
      <w:r>
        <w:rPr>
          <w:sz w:val="24"/>
          <w:b/>
        </w:rPr>
        <w:t>440101-2025-06228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广州市重点区域大气环境智能化监测保障项目</w:t>
      </w:r>
      <w:r>
        <w:rPr>
          <w:u w:val="single"/>
        </w:rPr>
        <w:t>”</w:t>
      </w:r>
      <w:r>
        <w:rPr/>
        <w:t>项目的招标[采购项目编号为：</w:t>
      </w:r>
      <w:r>
        <w:rPr>
          <w:u w:val="single"/>
        </w:rPr>
        <w:t>440101-2025-06228</w:t>
      </w:r>
      <w:r>
        <w:rPr/>
        <w:t>]，我方愿参与投标。</w:t>
      </w:r>
    </w:p>
    <w:p>
      <w:pPr>
        <w:pStyle w:val="null3"/>
        <w:ind w:firstLine="480"/>
      </w:pPr>
      <w:r>
        <w:rPr/>
        <w:t>我方确认收到贵方提供的</w:t>
      </w:r>
      <w:r>
        <w:rPr>
          <w:u w:val="single"/>
        </w:rPr>
        <w:t>“</w:t>
      </w:r>
      <w:r>
        <w:rPr>
          <w:u w:val="single"/>
        </w:rPr>
        <w:t>广州市重点区域大气环境智能化监测保障项目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广州市重点区域大气环境智能化监测保障项目</w:t>
      </w:r>
      <w:r>
        <w:rPr/>
        <w:t>”项目采购[采购项目编号为</w:t>
      </w:r>
      <w:r>
        <w:rPr/>
        <w:t>440101-2025-06228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广东省广州生态环境监测中心站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广州市重点区域大气环境智能化监测保障项目</w:t>
      </w:r>
      <w:r>
        <w:rPr/>
        <w:t>招标中获中标（采购项目编号：</w:t>
      </w:r>
      <w:r>
        <w:rPr/>
        <w:t>440101-2025-06228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