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C3C210">
      <w:pPr>
        <w:widowControl/>
        <w:shd w:val="clear" w:color="auto"/>
        <w:spacing w:line="630" w:lineRule="atLeast"/>
        <w:jc w:val="center"/>
        <w:outlineLvl w:val="5"/>
        <w:rPr>
          <w:rFonts w:ascii="宋体" w:hAnsi="宋体" w:cs="宋体"/>
          <w:color w:val="666666"/>
          <w:kern w:val="0"/>
          <w:sz w:val="30"/>
          <w:szCs w:val="30"/>
        </w:rPr>
      </w:pPr>
      <w:r>
        <w:rPr>
          <w:rFonts w:hint="eastAsia" w:ascii="宋体" w:hAnsi="宋体" w:cs="宋体"/>
          <w:b/>
          <w:bCs/>
          <w:kern w:val="0"/>
          <w:sz w:val="30"/>
          <w:szCs w:val="30"/>
        </w:rPr>
        <w:t>实质性响应一览表</w:t>
      </w:r>
    </w:p>
    <w:tbl>
      <w:tblPr>
        <w:tblStyle w:val="6"/>
        <w:tblW w:w="5000" w:type="pct"/>
        <w:tblInd w:w="0" w:type="dxa"/>
        <w:tblBorders>
          <w:top w:val="single" w:color="CCCCCC" w:sz="6" w:space="0"/>
          <w:left w:val="single" w:color="CCCCCC" w:sz="6"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686"/>
        <w:gridCol w:w="4573"/>
        <w:gridCol w:w="2943"/>
        <w:gridCol w:w="1110"/>
      </w:tblGrid>
      <w:tr w14:paraId="6A62CF7C">
        <w:tblPrEx>
          <w:tblBorders>
            <w:top w:val="single" w:color="CCCCCC" w:sz="6" w:space="0"/>
            <w:left w:val="single" w:color="CCCCCC"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48F8AF63">
            <w:pPr>
              <w:widowControl/>
              <w:shd w:val="clear"/>
              <w:wordWrap w:val="0"/>
              <w:spacing w:line="360" w:lineRule="auto"/>
              <w:contextualSpacing/>
              <w:jc w:val="center"/>
              <w:rPr>
                <w:rFonts w:ascii="宋体" w:hAnsi="宋体" w:cs="宋体"/>
                <w:kern w:val="0"/>
                <w:sz w:val="21"/>
                <w:szCs w:val="21"/>
              </w:rPr>
            </w:pPr>
            <w:r>
              <w:rPr>
                <w:rFonts w:hint="eastAsia" w:ascii="宋体" w:hAnsi="宋体" w:cs="宋体"/>
                <w:kern w:val="0"/>
                <w:sz w:val="21"/>
                <w:szCs w:val="21"/>
              </w:rPr>
              <w:t>序号</w:t>
            </w:r>
          </w:p>
        </w:tc>
        <w:tc>
          <w:tcPr>
            <w:tcW w:w="2455"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076D3F10">
            <w:pPr>
              <w:widowControl/>
              <w:shd w:val="clear"/>
              <w:wordWrap w:val="0"/>
              <w:spacing w:line="360" w:lineRule="auto"/>
              <w:contextualSpacing/>
              <w:jc w:val="center"/>
              <w:rPr>
                <w:rFonts w:ascii="宋体" w:hAnsi="宋体" w:cs="宋体"/>
                <w:kern w:val="0"/>
                <w:sz w:val="21"/>
                <w:szCs w:val="21"/>
              </w:rPr>
            </w:pPr>
            <w:r>
              <w:rPr>
                <w:rFonts w:hint="eastAsia" w:ascii="宋体" w:hAnsi="宋体" w:cs="宋体"/>
                <w:kern w:val="0"/>
                <w:sz w:val="21"/>
                <w:szCs w:val="21"/>
              </w:rPr>
              <w:t>实质性响应条款</w:t>
            </w:r>
          </w:p>
        </w:tc>
        <w:tc>
          <w:tcPr>
            <w:tcW w:w="1580"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0518F0FA">
            <w:pPr>
              <w:widowControl/>
              <w:shd w:val="clear"/>
              <w:wordWrap w:val="0"/>
              <w:spacing w:line="360" w:lineRule="auto"/>
              <w:contextualSpacing/>
              <w:jc w:val="center"/>
              <w:rPr>
                <w:rFonts w:ascii="宋体" w:hAnsi="宋体" w:cs="宋体"/>
                <w:kern w:val="0"/>
                <w:sz w:val="21"/>
                <w:szCs w:val="21"/>
              </w:rPr>
            </w:pPr>
            <w:r>
              <w:rPr>
                <w:rFonts w:hint="eastAsia" w:ascii="宋体" w:hAnsi="宋体" w:cs="宋体"/>
                <w:kern w:val="0"/>
                <w:sz w:val="21"/>
                <w:szCs w:val="21"/>
              </w:rPr>
              <w:t>投标人响应情况</w:t>
            </w:r>
          </w:p>
        </w:tc>
        <w:tc>
          <w:tcPr>
            <w:tcW w:w="596"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28E16816">
            <w:pPr>
              <w:widowControl/>
              <w:shd w:val="clear"/>
              <w:wordWrap w:val="0"/>
              <w:spacing w:line="360" w:lineRule="auto"/>
              <w:contextualSpacing/>
              <w:jc w:val="center"/>
              <w:rPr>
                <w:rFonts w:ascii="宋体" w:hAnsi="宋体" w:cs="宋体"/>
                <w:kern w:val="0"/>
                <w:sz w:val="21"/>
                <w:szCs w:val="21"/>
              </w:rPr>
            </w:pPr>
            <w:r>
              <w:rPr>
                <w:rFonts w:hint="eastAsia" w:ascii="宋体" w:hAnsi="宋体" w:cs="宋体"/>
                <w:kern w:val="0"/>
                <w:sz w:val="21"/>
                <w:szCs w:val="21"/>
              </w:rPr>
              <w:t>差异</w:t>
            </w:r>
          </w:p>
        </w:tc>
      </w:tr>
      <w:tr w14:paraId="3398B63D">
        <w:tblPrEx>
          <w:tblBorders>
            <w:top w:val="single" w:color="CCCCCC" w:sz="6" w:space="0"/>
            <w:left w:val="single" w:color="CCCCCC"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6BBEAA6D">
            <w:pPr>
              <w:widowControl/>
              <w:shd w:val="clear"/>
              <w:wordWrap w:val="0"/>
              <w:spacing w:line="360" w:lineRule="auto"/>
              <w:contextualSpacing/>
              <w:jc w:val="center"/>
              <w:rPr>
                <w:rFonts w:ascii="宋体" w:hAnsi="宋体" w:cs="宋体"/>
                <w:kern w:val="0"/>
                <w:sz w:val="21"/>
                <w:szCs w:val="21"/>
              </w:rPr>
            </w:pPr>
            <w:r>
              <w:rPr>
                <w:rFonts w:hint="eastAsia" w:ascii="宋体" w:hAnsi="宋体" w:cs="宋体"/>
                <w:kern w:val="0"/>
                <w:sz w:val="21"/>
                <w:szCs w:val="21"/>
              </w:rPr>
              <w:t>1</w:t>
            </w:r>
          </w:p>
        </w:tc>
        <w:tc>
          <w:tcPr>
            <w:tcW w:w="2455"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0C9D0466">
            <w:pPr>
              <w:widowControl/>
              <w:shd w:val="clear"/>
              <w:wordWrap w:val="0"/>
              <w:spacing w:line="360" w:lineRule="auto"/>
              <w:contextualSpacing/>
              <w:rPr>
                <w:rFonts w:ascii="宋体" w:hAnsi="宋体" w:cs="宋体"/>
                <w:kern w:val="0"/>
                <w:sz w:val="21"/>
                <w:szCs w:val="21"/>
              </w:rPr>
            </w:pPr>
            <w:r>
              <w:rPr>
                <w:rFonts w:hint="eastAsia" w:ascii="宋体" w:hAnsi="宋体" w:cs="宋体"/>
                <w:kern w:val="0"/>
                <w:sz w:val="21"/>
                <w:szCs w:val="21"/>
              </w:rPr>
              <w:t>★本次采购产品为非进口产品（进口产品指通过中国海关报关验放进入中国境内且产自关境外的产品）</w:t>
            </w:r>
          </w:p>
        </w:tc>
        <w:tc>
          <w:tcPr>
            <w:tcW w:w="1580"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7EBE66A3">
            <w:pPr>
              <w:widowControl/>
              <w:shd w:val="clear"/>
              <w:wordWrap w:val="0"/>
              <w:spacing w:line="360" w:lineRule="auto"/>
              <w:contextualSpacing/>
              <w:jc w:val="left"/>
              <w:rPr>
                <w:rFonts w:ascii="Times New Roman" w:hAnsi="Times New Roman" w:eastAsia="Times New Roman"/>
                <w:kern w:val="0"/>
                <w:sz w:val="21"/>
                <w:szCs w:val="21"/>
              </w:rPr>
            </w:pPr>
          </w:p>
        </w:tc>
        <w:tc>
          <w:tcPr>
            <w:tcW w:w="596"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69747426">
            <w:pPr>
              <w:widowControl/>
              <w:shd w:val="clear"/>
              <w:wordWrap w:val="0"/>
              <w:spacing w:line="360" w:lineRule="auto"/>
              <w:contextualSpacing/>
              <w:jc w:val="left"/>
              <w:rPr>
                <w:rFonts w:ascii="Times New Roman" w:hAnsi="Times New Roman" w:eastAsia="Times New Roman"/>
                <w:kern w:val="0"/>
                <w:sz w:val="21"/>
                <w:szCs w:val="21"/>
              </w:rPr>
            </w:pPr>
          </w:p>
        </w:tc>
      </w:tr>
      <w:tr w14:paraId="6D00BC86">
        <w:tblPrEx>
          <w:tblBorders>
            <w:top w:val="single" w:color="CCCCCC" w:sz="6" w:space="0"/>
            <w:left w:val="single" w:color="CCCCCC"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0494133D">
            <w:pPr>
              <w:widowControl/>
              <w:wordWrap w:val="0"/>
              <w:spacing w:line="360" w:lineRule="auto"/>
              <w:contextualSpacing/>
              <w:jc w:val="center"/>
              <w:rPr>
                <w:rFonts w:ascii="宋体" w:hAnsi="宋体" w:cs="宋体"/>
                <w:kern w:val="0"/>
                <w:sz w:val="21"/>
                <w:szCs w:val="21"/>
              </w:rPr>
            </w:pPr>
            <w:r>
              <w:rPr>
                <w:rFonts w:hint="eastAsia" w:ascii="宋体" w:hAnsi="宋体" w:cs="宋体"/>
                <w:kern w:val="0"/>
                <w:sz w:val="21"/>
                <w:szCs w:val="21"/>
              </w:rPr>
              <w:t>2</w:t>
            </w:r>
          </w:p>
        </w:tc>
        <w:tc>
          <w:tcPr>
            <w:tcW w:w="2455"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437494BA">
            <w:pPr>
              <w:widowControl/>
              <w:wordWrap w:val="0"/>
              <w:spacing w:line="360" w:lineRule="auto"/>
              <w:contextualSpacing/>
              <w:rPr>
                <w:rFonts w:hint="eastAsia" w:ascii="宋体" w:hAnsi="宋体" w:eastAsia="宋体" w:cs="宋体"/>
                <w:kern w:val="0"/>
                <w:sz w:val="21"/>
                <w:szCs w:val="21"/>
                <w:lang w:eastAsia="zh-CN"/>
              </w:rPr>
            </w:pPr>
            <w:r>
              <w:rPr>
                <w:rFonts w:hint="eastAsia" w:ascii="宋体" w:hAnsi="宋体" w:eastAsia="宋体" w:cs="宋体"/>
                <w:kern w:val="0"/>
                <w:sz w:val="21"/>
                <w:szCs w:val="21"/>
                <w:lang w:eastAsia="zh-CN"/>
              </w:rPr>
              <w:t>★凡属于《中华人民共和国实施强制性产品认证的产品目录》的产品，请投标人在投标文件中承诺在交货时提供该产品的“中国强制性产品认证”（CCC认证）证书。</w:t>
            </w:r>
          </w:p>
        </w:tc>
        <w:tc>
          <w:tcPr>
            <w:tcW w:w="1580"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449C23AB">
            <w:pPr>
              <w:widowControl/>
              <w:wordWrap w:val="0"/>
              <w:spacing w:line="360" w:lineRule="auto"/>
              <w:contextualSpacing/>
              <w:jc w:val="left"/>
              <w:rPr>
                <w:rFonts w:ascii="Times New Roman" w:hAnsi="Times New Roman" w:eastAsia="Times New Roman"/>
                <w:kern w:val="0"/>
                <w:sz w:val="21"/>
                <w:szCs w:val="21"/>
              </w:rPr>
            </w:pPr>
          </w:p>
        </w:tc>
        <w:tc>
          <w:tcPr>
            <w:tcW w:w="596"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35111FE1">
            <w:pPr>
              <w:widowControl/>
              <w:wordWrap w:val="0"/>
              <w:spacing w:line="360" w:lineRule="auto"/>
              <w:contextualSpacing/>
              <w:jc w:val="left"/>
              <w:rPr>
                <w:rFonts w:ascii="Times New Roman" w:hAnsi="Times New Roman" w:eastAsia="Times New Roman"/>
                <w:kern w:val="0"/>
                <w:sz w:val="21"/>
                <w:szCs w:val="21"/>
              </w:rPr>
            </w:pPr>
          </w:p>
        </w:tc>
      </w:tr>
      <w:tr w14:paraId="4BA64EFC">
        <w:tblPrEx>
          <w:tblBorders>
            <w:top w:val="single" w:color="CCCCCC" w:sz="6" w:space="0"/>
            <w:left w:val="single" w:color="CCCCCC"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776BFE9A">
            <w:pPr>
              <w:widowControl/>
              <w:wordWrap w:val="0"/>
              <w:spacing w:line="360" w:lineRule="auto"/>
              <w:contextualSpacing/>
              <w:jc w:val="center"/>
              <w:rPr>
                <w:rFonts w:hint="eastAsia" w:ascii="宋体" w:hAnsi="宋体" w:eastAsia="宋体" w:cs="宋体"/>
                <w:kern w:val="0"/>
                <w:sz w:val="21"/>
                <w:szCs w:val="21"/>
                <w:lang w:val="en-US" w:eastAsia="zh-CN"/>
              </w:rPr>
            </w:pPr>
            <w:commentRangeStart w:id="0"/>
            <w:r>
              <w:rPr>
                <w:rFonts w:hint="eastAsia" w:ascii="宋体" w:hAnsi="宋体" w:cs="宋体"/>
                <w:kern w:val="0"/>
                <w:sz w:val="21"/>
                <w:szCs w:val="21"/>
                <w:lang w:val="en-US" w:eastAsia="zh-CN"/>
              </w:rPr>
              <w:t>3</w:t>
            </w:r>
            <w:commentRangeEnd w:id="0"/>
            <w:r>
              <w:commentReference w:id="0"/>
            </w:r>
          </w:p>
        </w:tc>
        <w:tc>
          <w:tcPr>
            <w:tcW w:w="2455"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3EB738A2">
            <w:pPr>
              <w:widowControl/>
              <w:wordWrap w:val="0"/>
              <w:spacing w:line="360" w:lineRule="auto"/>
              <w:contextualSpacing/>
              <w:rPr>
                <w:rFonts w:hint="eastAsia" w:ascii="宋体" w:hAnsi="宋体" w:eastAsia="宋体" w:cs="宋体"/>
                <w:kern w:val="0"/>
                <w:sz w:val="21"/>
                <w:szCs w:val="21"/>
                <w:lang w:eastAsia="zh-CN"/>
              </w:rPr>
            </w:pPr>
            <w:r>
              <w:rPr>
                <w:rFonts w:hint="eastAsia" w:ascii="宋体" w:hAnsi="宋体" w:eastAsia="宋体" w:cs="宋体"/>
                <w:kern w:val="0"/>
                <w:sz w:val="21"/>
                <w:szCs w:val="21"/>
                <w:lang w:eastAsia="zh-CN"/>
              </w:rPr>
              <w:t>★3、店铺装修界面内置页面模块具有拖拽功能，学生根据任务要求将所需模块放置在指定区域内进行装修设计，同时系统在每个页面模块设有提示悬浮框，可帮助学生在选择模块时能查看模块所支持的内容。</w:t>
            </w:r>
            <w:r>
              <w:rPr>
                <w:rFonts w:hint="eastAsia" w:ascii="宋体" w:hAnsi="宋体" w:eastAsia="宋体" w:cs="宋体"/>
                <w:b/>
                <w:bCs/>
                <w:kern w:val="0"/>
                <w:sz w:val="21"/>
                <w:szCs w:val="21"/>
                <w:lang w:eastAsia="zh-CN"/>
              </w:rPr>
              <w:t>（投标时提供加盖公章的承诺函，格式自拟）</w:t>
            </w:r>
          </w:p>
        </w:tc>
        <w:tc>
          <w:tcPr>
            <w:tcW w:w="1580"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566C9BC8">
            <w:pPr>
              <w:widowControl/>
              <w:wordWrap w:val="0"/>
              <w:spacing w:line="360" w:lineRule="auto"/>
              <w:contextualSpacing/>
              <w:jc w:val="left"/>
              <w:rPr>
                <w:rFonts w:ascii="Times New Roman" w:hAnsi="Times New Roman" w:eastAsia="Times New Roman"/>
                <w:kern w:val="0"/>
                <w:sz w:val="21"/>
                <w:szCs w:val="21"/>
              </w:rPr>
            </w:pPr>
          </w:p>
        </w:tc>
        <w:tc>
          <w:tcPr>
            <w:tcW w:w="596"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7B93F1F1">
            <w:pPr>
              <w:widowControl/>
              <w:wordWrap w:val="0"/>
              <w:spacing w:line="360" w:lineRule="auto"/>
              <w:contextualSpacing/>
              <w:jc w:val="left"/>
              <w:rPr>
                <w:rFonts w:ascii="Times New Roman" w:hAnsi="Times New Roman" w:eastAsia="Times New Roman"/>
                <w:kern w:val="0"/>
                <w:sz w:val="21"/>
                <w:szCs w:val="21"/>
              </w:rPr>
            </w:pPr>
          </w:p>
        </w:tc>
      </w:tr>
      <w:tr w14:paraId="6FDE8E6A">
        <w:tblPrEx>
          <w:tblBorders>
            <w:top w:val="single" w:color="CCCCCC" w:sz="6" w:space="0"/>
            <w:left w:val="single" w:color="CCCCCC"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702E68E5">
            <w:pPr>
              <w:widowControl/>
              <w:wordWrap w:val="0"/>
              <w:spacing w:line="360" w:lineRule="auto"/>
              <w:contextualSpacing/>
              <w:jc w:val="center"/>
              <w:rPr>
                <w:rFonts w:hint="eastAsia" w:ascii="宋体" w:hAnsi="宋体" w:eastAsia="宋体" w:cs="宋体"/>
                <w:kern w:val="0"/>
                <w:sz w:val="21"/>
                <w:szCs w:val="21"/>
                <w:lang w:val="en-US" w:eastAsia="zh-CN"/>
              </w:rPr>
            </w:pPr>
            <w:r>
              <w:rPr>
                <w:rFonts w:hint="eastAsia" w:ascii="宋体" w:hAnsi="宋体" w:cs="宋体"/>
                <w:kern w:val="0"/>
                <w:sz w:val="21"/>
                <w:szCs w:val="21"/>
                <w:lang w:val="en-US" w:eastAsia="zh-CN"/>
              </w:rPr>
              <w:t>4</w:t>
            </w:r>
          </w:p>
        </w:tc>
        <w:tc>
          <w:tcPr>
            <w:tcW w:w="2455"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16077EB4">
            <w:pPr>
              <w:widowControl/>
              <w:wordWrap w:val="0"/>
              <w:spacing w:line="360" w:lineRule="auto"/>
              <w:contextualSpacing/>
              <w:rPr>
                <w:rFonts w:hint="eastAsia" w:ascii="宋体" w:hAnsi="宋体" w:eastAsia="宋体" w:cs="宋体"/>
                <w:kern w:val="0"/>
                <w:sz w:val="21"/>
                <w:szCs w:val="21"/>
                <w:lang w:eastAsia="zh-CN"/>
              </w:rPr>
            </w:pPr>
            <w:r>
              <w:rPr>
                <w:rFonts w:hint="eastAsia" w:ascii="宋体" w:hAnsi="宋体" w:eastAsia="宋体" w:cs="宋体"/>
                <w:kern w:val="0"/>
                <w:sz w:val="21"/>
                <w:szCs w:val="21"/>
                <w:lang w:eastAsia="zh-CN"/>
              </w:rPr>
              <w:t>★6、网络推广工作领域，应包含SEO优化、SEM推广、信息流推广3类工作任务，能够模拟网店推广职业岗位基本工作内容与业务流程，模拟电子商务网店站内对不同类型的商品分别进行推广。数据分析功能：分析数据包括店铺宝贝、关键词分析、流量解析、引力魔方出价分析等；店铺宝贝：商品的标题、属性、类目、描述、推广前展现量、推广前点击量、推广前点击率、推广前的成交量、推广前转化率；关键词分析：包含当前类目关键词的搜索人气、点击率、转化率、竞争指数等信息；流量解析：可查看各地区/时段流量的潜在卖家指数和质量指数，包括地图样式、折线图样式与文字样式3种；引力魔方出价分析：提供按CPC或CPM出价的最低出价与平均出价、建议出价查询功能，并展示往期引力魔方的平均点击率和平均成交率数据。</w:t>
            </w:r>
          </w:p>
        </w:tc>
        <w:tc>
          <w:tcPr>
            <w:tcW w:w="1580"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786358BF">
            <w:pPr>
              <w:widowControl/>
              <w:wordWrap w:val="0"/>
              <w:spacing w:line="360" w:lineRule="auto"/>
              <w:contextualSpacing/>
              <w:jc w:val="left"/>
              <w:rPr>
                <w:rFonts w:ascii="Times New Roman" w:hAnsi="Times New Roman" w:eastAsia="Times New Roman"/>
                <w:kern w:val="0"/>
                <w:sz w:val="21"/>
                <w:szCs w:val="21"/>
              </w:rPr>
            </w:pPr>
          </w:p>
        </w:tc>
        <w:tc>
          <w:tcPr>
            <w:tcW w:w="596"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52E09CCF">
            <w:pPr>
              <w:widowControl/>
              <w:wordWrap w:val="0"/>
              <w:spacing w:line="360" w:lineRule="auto"/>
              <w:contextualSpacing/>
              <w:jc w:val="left"/>
              <w:rPr>
                <w:rFonts w:ascii="Times New Roman" w:hAnsi="Times New Roman" w:eastAsia="Times New Roman"/>
                <w:kern w:val="0"/>
                <w:sz w:val="21"/>
                <w:szCs w:val="21"/>
              </w:rPr>
            </w:pPr>
          </w:p>
        </w:tc>
      </w:tr>
      <w:tr w14:paraId="71FE6321">
        <w:tblPrEx>
          <w:tblBorders>
            <w:top w:val="single" w:color="CCCCCC" w:sz="6" w:space="0"/>
            <w:left w:val="single" w:color="CCCCCC"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3BA370A4">
            <w:pPr>
              <w:widowControl/>
              <w:wordWrap w:val="0"/>
              <w:spacing w:line="360" w:lineRule="auto"/>
              <w:contextualSpacing/>
              <w:jc w:val="center"/>
              <w:rPr>
                <w:rFonts w:hint="eastAsia" w:ascii="宋体" w:hAnsi="宋体" w:eastAsia="宋体" w:cs="宋体"/>
                <w:kern w:val="0"/>
                <w:sz w:val="21"/>
                <w:szCs w:val="21"/>
                <w:lang w:val="en-US" w:eastAsia="zh-CN"/>
              </w:rPr>
            </w:pPr>
            <w:r>
              <w:rPr>
                <w:rFonts w:hint="eastAsia" w:ascii="宋体" w:hAnsi="宋体" w:cs="宋体"/>
                <w:kern w:val="0"/>
                <w:sz w:val="21"/>
                <w:szCs w:val="21"/>
                <w:lang w:val="en-US" w:eastAsia="zh-CN"/>
              </w:rPr>
              <w:t>5</w:t>
            </w:r>
          </w:p>
        </w:tc>
        <w:tc>
          <w:tcPr>
            <w:tcW w:w="2455"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6FBCA6F7">
            <w:pPr>
              <w:widowControl/>
              <w:wordWrap w:val="0"/>
              <w:spacing w:line="360" w:lineRule="auto"/>
              <w:contextualSpacing/>
              <w:rPr>
                <w:rFonts w:hint="eastAsia" w:ascii="宋体" w:hAnsi="宋体" w:eastAsia="宋体" w:cs="宋体"/>
                <w:kern w:val="0"/>
                <w:sz w:val="21"/>
                <w:szCs w:val="21"/>
                <w:lang w:eastAsia="zh-CN"/>
              </w:rPr>
            </w:pPr>
            <w:r>
              <w:rPr>
                <w:rFonts w:hint="eastAsia" w:ascii="宋体" w:hAnsi="宋体" w:eastAsia="宋体" w:cs="宋体"/>
                <w:kern w:val="0"/>
                <w:sz w:val="21"/>
                <w:szCs w:val="21"/>
                <w:lang w:eastAsia="zh-CN"/>
              </w:rPr>
              <w:t>★8、直通车报告：教师可以查看每个学生在SEM推广相关任务中创建的所有推广计划，并对每个推广计划中每个推广单元的推广词、进店词、搜索词进行分析。可以展现每个推广计划的限额、花费、展现量、点击量、点击率、成交量、成交率，每个关键词的质量分、花费、展现量、点击量、点击率、成交量、成交率等。</w:t>
            </w:r>
          </w:p>
        </w:tc>
        <w:tc>
          <w:tcPr>
            <w:tcW w:w="1580"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55416E60">
            <w:pPr>
              <w:widowControl/>
              <w:wordWrap w:val="0"/>
              <w:spacing w:line="360" w:lineRule="auto"/>
              <w:contextualSpacing/>
              <w:jc w:val="left"/>
              <w:rPr>
                <w:rFonts w:ascii="Times New Roman" w:hAnsi="Times New Roman" w:eastAsia="Times New Roman"/>
                <w:kern w:val="0"/>
                <w:sz w:val="21"/>
                <w:szCs w:val="21"/>
              </w:rPr>
            </w:pPr>
          </w:p>
        </w:tc>
        <w:tc>
          <w:tcPr>
            <w:tcW w:w="596"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791D2B40">
            <w:pPr>
              <w:widowControl/>
              <w:wordWrap w:val="0"/>
              <w:spacing w:line="360" w:lineRule="auto"/>
              <w:contextualSpacing/>
              <w:jc w:val="left"/>
              <w:rPr>
                <w:rFonts w:ascii="Times New Roman" w:hAnsi="Times New Roman" w:eastAsia="Times New Roman"/>
                <w:kern w:val="0"/>
                <w:sz w:val="21"/>
                <w:szCs w:val="21"/>
              </w:rPr>
            </w:pPr>
          </w:p>
        </w:tc>
      </w:tr>
      <w:tr w14:paraId="60DE50EC">
        <w:tblPrEx>
          <w:tblBorders>
            <w:top w:val="single" w:color="CCCCCC" w:sz="6" w:space="0"/>
            <w:left w:val="single" w:color="CCCCCC"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694707D4">
            <w:pPr>
              <w:widowControl/>
              <w:wordWrap w:val="0"/>
              <w:spacing w:line="360" w:lineRule="auto"/>
              <w:contextualSpacing/>
              <w:jc w:val="center"/>
              <w:rPr>
                <w:rFonts w:hint="default" w:ascii="宋体" w:hAnsi="宋体" w:cs="宋体"/>
                <w:kern w:val="0"/>
                <w:sz w:val="21"/>
                <w:szCs w:val="21"/>
                <w:lang w:val="en-US" w:eastAsia="zh-CN"/>
              </w:rPr>
            </w:pPr>
            <w:r>
              <w:rPr>
                <w:rFonts w:hint="eastAsia" w:ascii="宋体" w:hAnsi="宋体" w:cs="宋体"/>
                <w:kern w:val="0"/>
                <w:sz w:val="21"/>
                <w:szCs w:val="21"/>
                <w:lang w:val="en-US" w:eastAsia="zh-CN"/>
              </w:rPr>
              <w:t>6</w:t>
            </w:r>
          </w:p>
        </w:tc>
        <w:tc>
          <w:tcPr>
            <w:tcW w:w="2455"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3E2627A4">
            <w:pPr>
              <w:widowControl/>
              <w:wordWrap w:val="0"/>
              <w:spacing w:line="360" w:lineRule="auto"/>
              <w:contextualSpacing/>
              <w:rPr>
                <w:rFonts w:hint="default" w:ascii="宋体" w:hAnsi="宋体" w:eastAsia="宋体" w:cs="宋体"/>
                <w:kern w:val="0"/>
                <w:sz w:val="21"/>
                <w:szCs w:val="21"/>
                <w:lang w:val="en-US" w:eastAsia="zh-CN"/>
              </w:rPr>
            </w:pPr>
            <w:r>
              <w:rPr>
                <w:rFonts w:hint="eastAsia" w:ascii="宋体" w:hAnsi="宋体" w:cs="宋体"/>
                <w:kern w:val="0"/>
                <w:sz w:val="21"/>
                <w:szCs w:val="21"/>
                <w:lang w:val="en-US" w:eastAsia="zh-CN"/>
              </w:rPr>
              <w:t>......</w:t>
            </w:r>
          </w:p>
        </w:tc>
        <w:tc>
          <w:tcPr>
            <w:tcW w:w="1580"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76564408">
            <w:pPr>
              <w:widowControl/>
              <w:wordWrap w:val="0"/>
              <w:spacing w:line="360" w:lineRule="auto"/>
              <w:contextualSpacing/>
              <w:jc w:val="left"/>
              <w:rPr>
                <w:rFonts w:ascii="Times New Roman" w:hAnsi="Times New Roman" w:eastAsia="Times New Roman"/>
                <w:kern w:val="0"/>
                <w:sz w:val="21"/>
                <w:szCs w:val="21"/>
              </w:rPr>
            </w:pPr>
          </w:p>
        </w:tc>
        <w:tc>
          <w:tcPr>
            <w:tcW w:w="596" w:type="pct"/>
            <w:tcBorders>
              <w:top w:val="single" w:color="000000" w:sz="6" w:space="0"/>
              <w:left w:val="single" w:color="000000" w:sz="6" w:space="0"/>
              <w:bottom w:val="single" w:color="000000" w:sz="6" w:space="0"/>
              <w:right w:val="single" w:color="000000" w:sz="6" w:space="0"/>
            </w:tcBorders>
            <w:shd w:val="clear" w:color="auto" w:fill="auto"/>
            <w:tcMar>
              <w:top w:w="0" w:type="dxa"/>
              <w:left w:w="120" w:type="dxa"/>
              <w:bottom w:w="0" w:type="dxa"/>
              <w:right w:w="120" w:type="dxa"/>
            </w:tcMar>
            <w:vAlign w:val="center"/>
          </w:tcPr>
          <w:p w14:paraId="2CF59A00">
            <w:pPr>
              <w:widowControl/>
              <w:wordWrap w:val="0"/>
              <w:spacing w:line="360" w:lineRule="auto"/>
              <w:contextualSpacing/>
              <w:jc w:val="left"/>
              <w:rPr>
                <w:rFonts w:ascii="Times New Roman" w:hAnsi="Times New Roman" w:eastAsia="Times New Roman"/>
                <w:kern w:val="0"/>
                <w:sz w:val="21"/>
                <w:szCs w:val="21"/>
              </w:rPr>
            </w:pPr>
          </w:p>
        </w:tc>
      </w:tr>
    </w:tbl>
    <w:p w14:paraId="56A62F1A">
      <w:pPr>
        <w:widowControl/>
        <w:shd w:val="clear" w:color="auto"/>
        <w:spacing w:line="480" w:lineRule="atLeast"/>
        <w:ind w:firstLine="480"/>
        <w:rPr>
          <w:rFonts w:ascii="宋体" w:hAnsi="宋体" w:cs="宋体"/>
          <w:kern w:val="0"/>
          <w:sz w:val="21"/>
          <w:szCs w:val="21"/>
        </w:rPr>
      </w:pPr>
      <w:r>
        <w:rPr>
          <w:rFonts w:hint="eastAsia" w:ascii="宋体" w:hAnsi="宋体" w:cs="宋体"/>
          <w:kern w:val="0"/>
          <w:sz w:val="21"/>
          <w:szCs w:val="21"/>
        </w:rPr>
        <w:t>说明：</w:t>
      </w:r>
    </w:p>
    <w:p w14:paraId="4069D1D6">
      <w:pPr>
        <w:widowControl/>
        <w:shd w:val="clear" w:color="auto"/>
        <w:spacing w:line="480" w:lineRule="atLeast"/>
        <w:ind w:firstLine="480"/>
        <w:rPr>
          <w:rFonts w:ascii="宋体" w:hAnsi="宋体" w:cs="宋体"/>
          <w:kern w:val="0"/>
          <w:sz w:val="21"/>
          <w:szCs w:val="21"/>
        </w:rPr>
      </w:pPr>
      <w:r>
        <w:rPr>
          <w:rFonts w:hint="eastAsia" w:ascii="宋体" w:hAnsi="宋体" w:cs="宋体"/>
          <w:kern w:val="0"/>
          <w:sz w:val="21"/>
          <w:szCs w:val="21"/>
        </w:rPr>
        <w:t>1.实质性响应条款一览表后续内容请根据第二章采购需求★号条款详细列举</w:t>
      </w:r>
    </w:p>
    <w:p w14:paraId="36A3CCF8">
      <w:pPr>
        <w:widowControl/>
        <w:shd w:val="clear" w:color="auto"/>
        <w:spacing w:line="480" w:lineRule="atLeast"/>
        <w:ind w:firstLine="480"/>
        <w:rPr>
          <w:rFonts w:ascii="宋体" w:hAnsi="宋体" w:cs="宋体"/>
          <w:kern w:val="0"/>
          <w:sz w:val="21"/>
          <w:szCs w:val="21"/>
        </w:rPr>
      </w:pPr>
      <w:r>
        <w:rPr>
          <w:rFonts w:hint="eastAsia" w:ascii="宋体" w:hAnsi="宋体" w:cs="宋体"/>
          <w:kern w:val="0"/>
          <w:sz w:val="21"/>
          <w:szCs w:val="21"/>
        </w:rPr>
        <w:t>2.本表所列条款必须一一予以响应，“投标人响应情况”一栏应填写具体的响应内容，有差异的要具体说明。</w:t>
      </w:r>
    </w:p>
    <w:p w14:paraId="44FB11D9">
      <w:pPr>
        <w:widowControl/>
        <w:shd w:val="clear" w:color="auto"/>
        <w:spacing w:line="480" w:lineRule="atLeast"/>
        <w:ind w:firstLine="480"/>
        <w:rPr>
          <w:rFonts w:ascii="宋体" w:hAnsi="宋体" w:cs="宋体"/>
          <w:kern w:val="0"/>
          <w:sz w:val="21"/>
          <w:szCs w:val="21"/>
        </w:rPr>
      </w:pPr>
      <w:r>
        <w:rPr>
          <w:rFonts w:hint="eastAsia" w:ascii="宋体" w:hAnsi="宋体" w:cs="宋体"/>
          <w:kern w:val="0"/>
          <w:sz w:val="21"/>
          <w:szCs w:val="21"/>
        </w:rPr>
        <w:t>3.请投标人认真填写本表内容，如填写错误将可能导致投标无效。</w:t>
      </w:r>
    </w:p>
    <w:p w14:paraId="0BEFC368">
      <w:pPr>
        <w:shd w:val="clear"/>
      </w:pPr>
    </w:p>
    <w:sectPr>
      <w:pgSz w:w="11906" w:h="16838"/>
      <w:pgMar w:top="1440" w:right="1417" w:bottom="1440" w:left="1417" w:header="851" w:footer="992" w:gutter="0"/>
      <w:cols w:space="425" w:num="1"/>
      <w:docGrid w:type="lines" w:linePitch="312"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作者" w:date="2025-04-02T17:55:45Z" w:initials="A">
    <w:p w14:paraId="58CF5736">
      <w:pPr>
        <w:pStyle w:val="3"/>
        <w:rPr>
          <w:rFonts w:hint="eastAsia" w:ascii="宋体" w:hAnsi="宋体" w:eastAsia="宋体" w:cs="宋体"/>
          <w:lang w:val="en-US" w:eastAsia="zh-CN"/>
        </w:rPr>
      </w:pPr>
      <w:r>
        <w:rPr>
          <w:rFonts w:hint="eastAsia" w:ascii="宋体" w:hAnsi="宋体" w:eastAsia="宋体" w:cs="宋体"/>
          <w:lang w:val="en-US" w:eastAsia="zh-CN"/>
        </w:rPr>
        <w:t>序号3、4、5的</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号条款采购包4（电子商务师三级实训系统采购）适用</w:t>
      </w:r>
      <w:bookmarkStart w:id="0" w:name="_GoBack"/>
      <w:bookmarkEnd w:id="0"/>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58CF5736"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removePersonalInformation/>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Q0Nzc2ODc5ZTI5ZWVlZGU5MGUwN2QwYTFhNTViNzIifQ=="/>
  </w:docVars>
  <w:rsids>
    <w:rsidRoot w:val="003F70C9"/>
    <w:rsid w:val="000D0272"/>
    <w:rsid w:val="00122E5B"/>
    <w:rsid w:val="00294317"/>
    <w:rsid w:val="003F70C9"/>
    <w:rsid w:val="004A1696"/>
    <w:rsid w:val="009C41CD"/>
    <w:rsid w:val="00C45815"/>
    <w:rsid w:val="00C83A70"/>
    <w:rsid w:val="00CD7BAD"/>
    <w:rsid w:val="0125617A"/>
    <w:rsid w:val="0D651924"/>
    <w:rsid w:val="495C08EA"/>
    <w:rsid w:val="518B68B4"/>
    <w:rsid w:val="578B7186"/>
    <w:rsid w:val="5D4D2304"/>
    <w:rsid w:val="674906EE"/>
    <w:rsid w:val="744B00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3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ahoma" w:hAnsi="Tahoma" w:eastAsia="宋体" w:cs="Times New Roman"/>
      <w:kern w:val="2"/>
      <w:sz w:val="24"/>
      <w:szCs w:val="24"/>
      <w:lang w:val="en-US" w:eastAsia="zh-CN" w:bidi="ar-SA"/>
    </w:rPr>
  </w:style>
  <w:style w:type="paragraph" w:styleId="2">
    <w:name w:val="heading 3"/>
    <w:basedOn w:val="1"/>
    <w:next w:val="1"/>
    <w:qFormat/>
    <w:uiPriority w:val="9"/>
    <w:pPr>
      <w:widowControl/>
      <w:spacing w:before="100" w:beforeAutospacing="1" w:after="100" w:afterAutospacing="1"/>
      <w:jc w:val="left"/>
      <w:outlineLvl w:val="2"/>
    </w:pPr>
    <w:rPr>
      <w:rFonts w:ascii="宋体" w:hAnsi="宋体" w:cs="宋体"/>
      <w:b/>
      <w:bCs/>
      <w:kern w:val="0"/>
      <w:sz w:val="27"/>
      <w:szCs w:val="27"/>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semiHidden/>
    <w:unhideWhenUsed/>
    <w:uiPriority w:val="99"/>
    <w:pPr>
      <w:jc w:val="left"/>
    </w:pPr>
  </w:style>
  <w:style w:type="paragraph" w:styleId="4">
    <w:name w:val="footer"/>
    <w:basedOn w:val="1"/>
    <w:link w:val="9"/>
    <w:unhideWhenUsed/>
    <w:qFormat/>
    <w:uiPriority w:val="99"/>
    <w:pPr>
      <w:tabs>
        <w:tab w:val="center" w:pos="4153"/>
        <w:tab w:val="right" w:pos="8306"/>
      </w:tabs>
      <w:snapToGrid w:val="0"/>
      <w:jc w:val="left"/>
    </w:pPr>
    <w:rPr>
      <w:sz w:val="18"/>
      <w:szCs w:val="18"/>
    </w:rPr>
  </w:style>
  <w:style w:type="paragraph" w:styleId="5">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8">
    <w:name w:val="页眉 字符"/>
    <w:basedOn w:val="7"/>
    <w:link w:val="5"/>
    <w:qFormat/>
    <w:uiPriority w:val="99"/>
    <w:rPr>
      <w:rFonts w:ascii="Tahoma" w:hAnsi="Tahoma" w:eastAsia="宋体" w:cs="Times New Roman"/>
      <w:sz w:val="18"/>
      <w:szCs w:val="18"/>
    </w:rPr>
  </w:style>
  <w:style w:type="character" w:customStyle="1" w:styleId="9">
    <w:name w:val="页脚 字符"/>
    <w:basedOn w:val="7"/>
    <w:link w:val="4"/>
    <w:qFormat/>
    <w:uiPriority w:val="99"/>
    <w:rPr>
      <w:rFonts w:ascii="Tahoma" w:hAnsi="Tahoma" w:eastAsia="宋体"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microsoft.com/office/2011/relationships/commentsExtended" Target="commentsExtended.xml"/><Relationship Id="rId3" Type="http://schemas.openxmlformats.org/officeDocument/2006/relationships/comments" Target="comment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263</Words>
  <Characters>268</Characters>
  <Lines>5</Lines>
  <Paragraphs>1</Paragraphs>
  <TotalTime>0</TotalTime>
  <ScaleCrop>false</ScaleCrop>
  <LinksUpToDate>false</LinksUpToDate>
  <CharactersWithSpaces>268</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2023-05-04T08:13:00Z</dcterms:created>
  <dcterms:modified xsi:type="dcterms:W3CDTF">2025-04-02T09:56:55Z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eyJoZGlkIjoiNzgyYTRiNGYxYjgwZGY1NWVhZDQwMGZkZjBhMDQxNjciLCJ1c2VySWQiOiIxMTQzOTM3OTU3In0=</vt:lpwstr>
  </property>
  <property fmtid="{D5CDD505-2E9C-101B-9397-08002B2CF9AE}" pid="3" name="KSOProductBuildVer">
    <vt:lpwstr>2052-12.1.0.18608</vt:lpwstr>
  </property>
  <property fmtid="{D5CDD505-2E9C-101B-9397-08002B2CF9AE}" pid="4" name="ICV">
    <vt:lpwstr>4EA89CE86FD2498987D0786684325DA5_12</vt:lpwstr>
  </property>
</Properties>
</file>