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440701-2025-00088</w:t>
      </w:r>
    </w:p>
    <w:p>
      <w:pPr>
        <w:pStyle w:val="null3"/>
        <w:jc w:val="center"/>
        <w:outlineLvl w:val="3"/>
      </w:pPr>
      <w:r>
        <w:rPr>
          <w:sz w:val="24"/>
          <w:b/>
        </w:rPr>
        <w:t>采购项目编号：</w:t>
      </w:r>
      <w:r>
        <w:rPr>
          <w:sz w:val="24"/>
          <w:b/>
        </w:rPr>
        <w:t>WYUZB2024-131HW</w:t>
      </w:r>
    </w:p>
    <w:p>
      <w:pPr>
        <w:pStyle w:val="null3"/>
        <w:jc w:val="center"/>
        <w:outlineLvl w:val="3"/>
      </w:pPr>
      <w:r>
        <w:rPr>
          <w:sz w:val="24"/>
          <w:b/>
        </w:rPr>
        <w:t>项目名称：</w:t>
      </w:r>
      <w:r>
        <w:rPr>
          <w:sz w:val="24"/>
          <w:b/>
        </w:rPr>
        <w:t>类器官自动化培养和光电一体化的多重染色病理诊断和监测平台设备采购项目(二次)</w:t>
      </w:r>
    </w:p>
    <w:p>
      <w:pPr>
        <w:pStyle w:val="null3"/>
        <w:jc w:val="center"/>
        <w:outlineLvl w:val="3"/>
      </w:pPr>
      <w:r>
        <w:rPr>
          <w:sz w:val="24"/>
          <w:b/>
        </w:rPr>
        <w:t>采购人：</w:t>
      </w:r>
      <w:r>
        <w:rPr>
          <w:sz w:val="24"/>
          <w:b/>
        </w:rPr>
        <w:t>五邑大学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五邑大学</w:t>
      </w:r>
      <w:r>
        <w:rPr/>
        <w:t>的委托，采用</w:t>
      </w:r>
      <w:r>
        <w:rPr/>
        <w:t>公开招标</w:t>
      </w:r>
      <w:r>
        <w:rPr/>
        <w:t>方式组织采购</w:t>
      </w:r>
      <w:r>
        <w:rPr/>
        <w:t>类器官自动化培养和光电一体化的多重染色病理诊断和监测平台设备采购项目(二次)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类器官自动化培养和光电一体化的多重染色病理诊断和监测平台设备采购项目(二次)</w:t>
      </w:r>
    </w:p>
    <w:p>
      <w:pPr>
        <w:pStyle w:val="null3"/>
        <w:ind w:firstLine="480"/>
      </w:pPr>
      <w:r>
        <w:rPr/>
        <w:t>采购计划编号：</w:t>
      </w:r>
      <w:r>
        <w:rPr/>
        <w:t>440701-2025-00088</w:t>
      </w:r>
    </w:p>
    <w:p>
      <w:pPr>
        <w:pStyle w:val="null3"/>
        <w:ind w:firstLine="480"/>
      </w:pPr>
      <w:r>
        <w:rPr/>
        <w:t>采购项目编号：</w:t>
      </w:r>
      <w:r>
        <w:rPr/>
        <w:t>WYUZB2024-131HW</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采购包1(类器官自动化培养和光电一体化的多重染色病理诊断和监测平台设备采购项目):</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教学仪器</w:t>
            </w:r>
          </w:p>
        </w:tc>
        <w:tc>
          <w:tcPr>
            <w:tcW w:type="dxa" w:w="2136"/>
          </w:tcPr>
          <w:p>
            <w:pPr>
              <w:pStyle w:val="null3"/>
            </w:pPr>
            <w:r>
              <w:rPr/>
              <w:t>类器官高通量智能成像设备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教学仪器</w:t>
            </w:r>
          </w:p>
        </w:tc>
        <w:tc>
          <w:tcPr>
            <w:tcW w:type="dxa" w:w="2136"/>
          </w:tcPr>
          <w:p>
            <w:pPr>
              <w:pStyle w:val="null3"/>
            </w:pPr>
            <w:r>
              <w:rPr/>
              <w:t>全自动试剂自适配的智能组织处理设备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教学仪器</w:t>
            </w:r>
          </w:p>
        </w:tc>
        <w:tc>
          <w:tcPr>
            <w:tcW w:type="dxa" w:w="2136"/>
          </w:tcPr>
          <w:p>
            <w:pPr>
              <w:pStyle w:val="null3"/>
            </w:pPr>
            <w:r>
              <w:rPr/>
              <w:t>类器官智能复苏设备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教学仪器</w:t>
            </w:r>
          </w:p>
        </w:tc>
        <w:tc>
          <w:tcPr>
            <w:tcW w:type="dxa" w:w="2136"/>
          </w:tcPr>
          <w:p>
            <w:pPr>
              <w:pStyle w:val="null3"/>
            </w:pPr>
            <w:r>
              <w:rPr/>
              <w:t>高通量单液滴筛选设备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教学仪器</w:t>
            </w:r>
          </w:p>
        </w:tc>
        <w:tc>
          <w:tcPr>
            <w:tcW w:type="dxa" w:w="2136"/>
          </w:tcPr>
          <w:p>
            <w:pPr>
              <w:pStyle w:val="null3"/>
            </w:pPr>
            <w:r>
              <w:rPr/>
              <w:t>类器官洁净工作设备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教学仪器</w:t>
            </w:r>
          </w:p>
        </w:tc>
        <w:tc>
          <w:tcPr>
            <w:tcW w:type="dxa" w:w="2136"/>
          </w:tcPr>
          <w:p>
            <w:pPr>
              <w:pStyle w:val="null3"/>
            </w:pPr>
            <w:r>
              <w:rPr/>
              <w:t>类器官冻存液氮设备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教学仪器</w:t>
            </w:r>
          </w:p>
        </w:tc>
        <w:tc>
          <w:tcPr>
            <w:tcW w:type="dxa" w:w="2136"/>
          </w:tcPr>
          <w:p>
            <w:pPr>
              <w:pStyle w:val="null3"/>
            </w:pPr>
            <w:r>
              <w:rPr/>
              <w:t>超低温冰箱</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合同履行期限：合同签订后90个日历日内完成所投产品的交货、安装及调试，包括向采购人职能部门提交认可的完整的验收申请资料。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年度财务状况报告或投标截止日前6个月内任意1个月的财务报表复印件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采购包1（类器官自动化培养和光电一体化的多重染色病理诊断和监测平台设备采购项目）：</w:t>
      </w: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采购包1（类器官自动化培养和光电一体化的多重染色病理诊断和监测平台设备采购项目）：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五邑大学</w:t>
      </w:r>
    </w:p>
    <w:p>
      <w:pPr>
        <w:pStyle w:val="null3"/>
        <w:ind w:firstLine="480"/>
      </w:pPr>
      <w:r>
        <w:rPr/>
        <w:t xml:space="preserve"> 地址：</w:t>
      </w:r>
      <w:r>
        <w:rPr/>
        <w:t>江门市蓬江区东成村22号</w:t>
      </w:r>
    </w:p>
    <w:p>
      <w:pPr>
        <w:pStyle w:val="null3"/>
        <w:ind w:firstLine="480"/>
      </w:pPr>
      <w:r>
        <w:rPr/>
        <w:t xml:space="preserve"> 联系方式：</w:t>
      </w:r>
      <w:r>
        <w:rPr/>
        <w:t>唐老师 0750-3296186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梁小姐、孔先生、吴小姐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w:t>
      </w:r>
      <w:r>
        <w:rPr>
          <w:sz w:val="21"/>
          <w:b/>
        </w:rPr>
        <w:t>、投标人须对本项目为单位</w:t>
      </w:r>
      <w:r>
        <w:rPr>
          <w:sz w:val="21"/>
          <w:b/>
        </w:rPr>
        <w:t>（有划分包组的，则以包组为单位）</w:t>
      </w:r>
      <w:r>
        <w:rPr>
          <w:sz w:val="21"/>
          <w:b/>
        </w:rPr>
        <w:t>的标的物进行整体投标，任何只对其中一部分内容进行的投标都被视为无效投标。</w:t>
      </w:r>
    </w:p>
    <w:p>
      <w:pPr>
        <w:pStyle w:val="null3"/>
        <w:jc w:val="both"/>
      </w:pPr>
      <w:r>
        <w:rPr>
          <w:sz w:val="21"/>
          <w:b/>
        </w:rPr>
        <w:t>2</w:t>
      </w:r>
      <w:r>
        <w:rPr>
          <w:sz w:val="21"/>
          <w:b/>
        </w:rPr>
        <w:t>、本招标文件中，凡标有“★”的地方，投标人要特别加以注意，必须对此作出一一响应。若有一项带“★”的指标未响应或不满足，将导致其废标或投标无效。</w:t>
      </w:r>
    </w:p>
    <w:p>
      <w:pPr>
        <w:pStyle w:val="null3"/>
        <w:jc w:val="both"/>
      </w:pPr>
      <w:r>
        <w:rPr>
          <w:sz w:val="21"/>
          <w:b/>
        </w:rPr>
        <w:t>3</w:t>
      </w:r>
      <w:r>
        <w:rPr>
          <w:sz w:val="21"/>
          <w:b/>
        </w:rPr>
        <w:t>、无论招标文件中是否有具体要求，投标人所投的货物及伴随的服务和工程均应符合国家的强制性标准。同时，所投产品的生产制造商应遵守国家关于生产许可的强制规定。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w:t>
      </w:r>
      <w:r>
        <w:rPr>
          <w:sz w:val="21"/>
          <w:b/>
        </w:rPr>
        <w:t>类器官高通量智能成像设备</w:t>
      </w:r>
      <w:r>
        <w:rPr>
          <w:sz w:val="21"/>
          <w:b/>
        </w:rPr>
        <w:t>。投标人应在响应文件中清晰列明</w:t>
      </w:r>
      <w:r>
        <w:rPr>
          <w:sz w:val="21"/>
          <w:b/>
        </w:rPr>
        <w:t>“货物名称、品牌”。注：若存在多项核心产品，当不同供应商提供的任意一项核心产品的品牌相同，则视同其是所响应核心产品品牌相同供应商。</w:t>
      </w:r>
    </w:p>
    <w:p>
      <w:pPr>
        <w:pStyle w:val="null3"/>
        <w:jc w:val="both"/>
      </w:pPr>
      <w:r>
        <w:rPr>
          <w:sz w:val="21"/>
          <w:b/>
        </w:rPr>
        <w:t>5</w:t>
      </w:r>
      <w:r>
        <w:rPr>
          <w:sz w:val="21"/>
          <w:b/>
        </w:rPr>
        <w:t>、本项目对应的中小企业划分标准所属行业为：工业。</w:t>
      </w:r>
    </w:p>
    <w:p>
      <w:pPr>
        <w:pStyle w:val="null3"/>
      </w:pPr>
      <w:r>
        <w:rPr/>
        <w:t>采购包1（类器官自动化培养和光电一体化的多重染色病理诊断和监测平台设备采购项目）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合同签订后90个日历日内完成所投产品的交货、安装及调试，包括向采购人职能部门提交认可的完整的验收申请资料。</w:t>
            </w:r>
          </w:p>
        </w:tc>
      </w:tr>
      <w:tr>
        <w:tc>
          <w:tcPr>
            <w:tcW w:type="dxa" w:w="4153"/>
          </w:tcPr>
          <w:p>
            <w:pPr>
              <w:pStyle w:val="null3"/>
            </w:pPr>
            <w:r>
              <w:rPr/>
              <w:t>标的提供的地点</w:t>
            </w:r>
          </w:p>
        </w:tc>
        <w:tc>
          <w:tcPr>
            <w:tcW w:type="dxa" w:w="4153"/>
          </w:tcPr>
          <w:p>
            <w:pPr>
              <w:pStyle w:val="null3"/>
            </w:pPr>
            <w:r>
              <w:rPr/>
              <w:t>五邑大学指定地点</w:t>
            </w:r>
          </w:p>
        </w:tc>
      </w:tr>
      <w:tr/>
      <w:tr/>
      <w:tr>
        <w:tc>
          <w:tcPr>
            <w:tcW w:type="dxa" w:w="4153"/>
          </w:tcPr>
          <w:p>
            <w:pPr>
              <w:pStyle w:val="null3"/>
            </w:pPr>
            <w:r>
              <w:rPr/>
              <w:t>付款方式</w:t>
            </w:r>
          </w:p>
        </w:tc>
        <w:tc>
          <w:tcPr>
            <w:tcW w:type="dxa" w:w="4153"/>
          </w:tcPr>
          <w:p>
            <w:pPr>
              <w:pStyle w:val="null3"/>
            </w:pPr>
            <w:r>
              <w:rPr/>
              <w:t>第1期为(预付款)：支付比例30%，采购人在合同签订后5个工作日内按合同总金额30%支付预付款。</w:t>
            </w:r>
          </w:p>
          <w:p>
            <w:pPr>
              <w:pStyle w:val="null3"/>
            </w:pPr>
            <w:r>
              <w:rPr/>
              <w:t>第2期为(尾款)：支付比例70%，验收合格后，中标人按合同总金额向采购人开具相应金额的增值税专用发票和提供由采购人认可的验收报告。货物验收合格和采购人收到前述发票、验收报告后10个工作日内采购人办理完合同总额70%划入中标人账户的支付手续；结算方式：银行转账。</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1期：（一）货物交付 中标人应在合同签订生效之日起 90个日历日内完成所投产品的交货、安装及调试，包括向采购人职能部门提交认可的完整的验收申请资料。货物应为原厂商未启封的全新包装，具有出厂合格证，序列号、包装箱号与出厂批号一致，并可追溯查阅。 （二）货物验收 1.开箱验收： 全部货物送到采购人指定场地后，采购人、中标人双方同时在场才能开封验货，现场安装。如果发现货物的包装损坏、不符合包装要求或设备的质量、型号、规格和数量等与合同不符，采购人有权拒收货物，中标人应在合同约定的交货时间内按照合同要求及时进行第二次交货处理并通过验收，否则按违约处理，采购人有权解除采购合同并上报主管部门，相关损失由中标人自行承担。 2.功能性验收： （1）设备安装及调试完成后，经初步培训，采购人用户方掌握设备的具体操作后7日内，由采购人报请主管部门组织验收小组进行验收，项目验收合格后，出具有效的验收报告。 （2）验收细则以中标人在投标文件中提供的设备技术资料及双方签订的合同条款为准。（验收时需要对每一条参数进行逐一验证，并提供验证佐证材料作为验收资料） （三）违约处置 1.出现以下任何情形之一的，采购人有权单方面解除合同同时没收中标人已支付的全部履约保证金并向中标人收取合同总价10%的违约金，若因此造成采购人损失的，中标人还应当向采购人承担相应的损失： （1）中标人拒绝供货或逾期15日交付货物； （2）中标人交付的货物不符合合同规定，且采购人拒收的； （3）中标人交付的货物经两次及以上验收仍不合格的； （4）中标人交付的货物经有关部门鉴定为不合格产品的； （5）中标人提供的货物涉及侵犯他人知识产权、肖像权、技术权益、商业权益或其他权益纠纷的； （6）中标人利用本合同实施损害采购人合法权益行为的。 （7）中标人不按合同约定履行义务，经采购人提出后，在合理期限内仍不改正的； （8）中标人所交货的货物验收不合格，或经维修、退换后仍无法正常使用的，或虽可正常使用但无法达到本合同约定的参数及要求的。 2.中标人逾期交付货物的，则每逾期一日采购人有权在履约保证金或合同价款中直接扣除合同总价的0.3‰作为违约金，直到交付验收合格货物时止。 3.采购人逾期付款的，则每逾期一日中标人有权要求采购人按合同总价0.3‰偿付违约金，采购人支付的违约金总额不超过合同总价的3%；在履行合同过程中，因相关部门审核导致的支付延误，采购人无须承担违约责任。</w:t>
            </w:r>
          </w:p>
        </w:tc>
      </w:tr>
      <w:tr>
        <w:tc>
          <w:tcPr>
            <w:tcW w:type="dxa" w:w="4153"/>
          </w:tcPr>
          <w:p>
            <w:pPr>
              <w:pStyle w:val="null3"/>
            </w:pPr>
            <w:r>
              <w:rPr/>
              <w:t>履约保证金</w:t>
            </w:r>
          </w:p>
        </w:tc>
        <w:tc>
          <w:tcPr>
            <w:tcW w:type="dxa" w:w="4153"/>
          </w:tcPr>
          <w:p>
            <w:pPr>
              <w:pStyle w:val="null3"/>
            </w:pPr>
            <w:r>
              <w:rPr/>
              <w:t>收取比例：3.8%,说明：1.本项目合同签订之日起5个工作日内，中标人向采购人提交合同总价的3.8%作为本项目的履约保证金，可通过银行转账、支票、汇票、本票、保函等非现金形式支付。验收合格且无违约情况中标人应向采购人提出履约保证金退还书面申请，采购人在收到申请后20个工作日内一次性返还履约保证金（不计息），如以保函方式，保函原件退回。 2.履约保证金的违约责任： （1）中标人超过缴纳履约保证金期限，未向采购人缴纳本项目履约保证金的，每逾期一日，采购人有权要求中标人按履约保证金的1%偿付违约金，中标人逾期缴纳履约保证金的违约金总额不超过履约保证金数额的5%。 （2）采购人逾期退还履约保证金的，每逾期1天，中标人有权要求采购人按履约保证金的1%偿付违约金，采购人逾期退还履约保证金的违约金总额不超过履约保证金数额的5%。</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其他，一、服务要求 （一）供货要求 1.投标人所投报的产品必须是本国产品，本项目不接受所投报产品为进口产品的投标。（本招标文件中所称进口产品是指通过中国海关报关验放进入中国境内且产自关境外的产品） 2.安全责任：本项目安全措施由投标人制定方案及组织实施，并承担全部安全责任，采购人不负责任何投标人人员伤亡、投标人人员劳保福利以及施工中材料/工具器械等被盗、毁损灭失等责任。投标人制定的安全措施方案中标后应提交一份至采购人留存备案，且采购人有权监督投标人组织实施情况。（投标人需提供承诺函，格式自拟） 3.消防责任：本项目消防措施由投标人制定方案及组织实施，投标人严格按照消防法的规定进行操作，需用的水电由采购人协助提供，需用电源必须由投标人派有资质的电工按规范拉接，不允许投标人的施工人员乱拉乱接。凡在施工期间因投标人过失引起的火灾事故应由投标人负责，所造成的经济损失由投标人负责全额赔偿，造成采购人损失的，投标人应赔偿采购人全部损失。投标人制定的消防措施方案中标后应提交一份至采购人留存备案，且采购人有权监督投标人组织实施情况。（投标人需提供承诺函，格式自拟） 4.投标人应当按照采购人要求及其他资料对设备进行设计、制作、安装和调试，所提供的设备在生产、安装和调试时应能满足国家相应的标准要求。投标人在设备采购、运输、安装、调试、维护、保修的过程中必须负责一切安全责任。 5.投标人必须保证所投报货物为在售设备，投标前应自行做好充分的市场调查，中标后不得以笔误等情况为由，提出更改中标设备参数或更换中标设备。更改设备参数或更换设备需由采购人承办部门组织专家组确认后再批准。如无法确认，采购人有权拒收且不承担任何违约责任，同时采购人有权追究投标人相应违约责任。 6.知识产权和专利权 投标人提供的货物必须是无知识产权争议，且全新的产品（含零部件、配件、随机工具等），表面无划损、无碰撞、无任何缺陷隐患、无其他侵权行为，在中国境内可依常规安全合法使用。 投标人应保证采购人在中华人民共和国使用货物或其任何一部分时，如有第三方向采购人提出侵犯专利权、商标权或者其他知识产权的主张，因此产生的法律责任、赔偿责任由投标人承担；因此给采购人造成损失的，投标人应赔偿甲方全部损失。 投标人应于售出货物前向所有权人支付专利权、商标权或其他知识产权的有关费用及税费。 7.投标人必须具备相应的维护保养服务能力，能提供完善的售后服务（包括技术人员、响应时间及备品、备件方面等）。（投标人需提供承诺函，格式自拟） （二）售后服务要求 1.质保期为验收合格后硬件产品至少提供保修 1 年。从验收合格之日起 1 年内，采购人所购设备发生非人为故障，中标人应上门维修（费用包含在投标报价中）。如不能完全修复，则应更换不低于原规格型号的新部件或设备（费用包含在投标报价中）。 2.从验收合格之日起一个月内，中标人提供的货物各部件发生非人为损坏，应给予无条件更换。 3.质保期内，同一硬件一个月内连续 2 次出现同一故障，中标人须无偿更换同一档次的设备或部件。质保期内因货物质量问题发生3次及以上维修的 ，则该设备或部件的质量保修期从最后一次维修的日期起算。 4.中标人应指派专人负责与采购人联系售后服务事宜。中标人接到用户报修后，电话即时响应，如电话响应无法解决的在4个小时内进行答复，如确定需要来人进行修理，保证在24小时内到达现场。如在24小时内不能解决问题，中标人应在随后48小时内提供不低于故障设备规格型号档次的备用设备供采购人代替使用，直至故障设备修复，确保设备的正常使用技术要求中有特别要求的以技术要求为主。 5.质保期内中标人负责所有因设备质量问题而产生的费用。 6.中标人提供终身售后服务，无论在保修期内或保修期外，中标人需提供上门服务，所有设备保修服务方式均为中标人上门保修，即由中标人派遣专门技术人员到采购人设备使用现场维修。对于质保期外的设备维修，中标人仅收取损坏部分的成本材料费。 7.质保期内中标人售后服务部门将提供每年不低于4次的电话回访和2次现场设备检修服务，由此产生的一切费用均由中标人承担。 8.质保期后中标人提供终身技术服务（费用包含在投标报价中），提供终身对产品进行无条件软件升级服务。 9.中标人在质保期内提供人员培训和技术服务，中标人需为采购人操作人员提供实地设备操作规程、维护培训等服务，讲解产品的基本结构及工作原理，直至操作人员掌握产品的日常使用、维护保养方法，保证操作人员可正确操作使用，并能排除一般故障（费用包含在投标报价中）。 10.中标人未按合同约定时间和约定标准提供保修服务的，采购人有权向中标人主张合同金额的10%的违约金，并有权自行委托第三方提供采购人所需要的技术支持和维修服务，由此造成的包括但不限于第三方维保费用、采购人其他经济损失等均由中标人承担。</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类器官高通量智能成像设备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教学仪器</w:t>
            </w:r>
          </w:p>
        </w:tc>
        <w:tc>
          <w:tcPr>
            <w:tcW w:type="dxa" w:w="831"/>
          </w:tcPr>
          <w:p>
            <w:pPr>
              <w:pStyle w:val="null3"/>
              <w:jc w:val="left"/>
            </w:pPr>
            <w:r>
              <w:rPr/>
              <w:t>全自动试剂自适配的智能组织处理设备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教学仪器</w:t>
            </w:r>
          </w:p>
        </w:tc>
        <w:tc>
          <w:tcPr>
            <w:tcW w:type="dxa" w:w="831"/>
          </w:tcPr>
          <w:p>
            <w:pPr>
              <w:pStyle w:val="null3"/>
              <w:jc w:val="left"/>
            </w:pPr>
            <w:r>
              <w:rPr/>
              <w:t>类器官智能复苏设备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教学仪器</w:t>
            </w:r>
          </w:p>
        </w:tc>
        <w:tc>
          <w:tcPr>
            <w:tcW w:type="dxa" w:w="831"/>
          </w:tcPr>
          <w:p>
            <w:pPr>
              <w:pStyle w:val="null3"/>
              <w:jc w:val="left"/>
            </w:pPr>
            <w:r>
              <w:rPr/>
              <w:t>高通量单液滴筛选设备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教学仪器</w:t>
            </w:r>
          </w:p>
        </w:tc>
        <w:tc>
          <w:tcPr>
            <w:tcW w:type="dxa" w:w="831"/>
          </w:tcPr>
          <w:p>
            <w:pPr>
              <w:pStyle w:val="null3"/>
              <w:jc w:val="left"/>
            </w:pPr>
            <w:r>
              <w:rPr/>
              <w:t>类器官洁净工作设备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教学仪器</w:t>
            </w:r>
          </w:p>
        </w:tc>
        <w:tc>
          <w:tcPr>
            <w:tcW w:type="dxa" w:w="831"/>
          </w:tcPr>
          <w:p>
            <w:pPr>
              <w:pStyle w:val="null3"/>
              <w:jc w:val="left"/>
            </w:pPr>
            <w:r>
              <w:rPr/>
              <w:t>类器官冻存液氮设备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教学仪器</w:t>
            </w:r>
          </w:p>
        </w:tc>
        <w:tc>
          <w:tcPr>
            <w:tcW w:type="dxa" w:w="831"/>
          </w:tcPr>
          <w:p>
            <w:pPr>
              <w:pStyle w:val="null3"/>
              <w:jc w:val="left"/>
            </w:pPr>
            <w:r>
              <w:rPr/>
              <w:t>超低温冰箱</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bl>
    <w:p>
      <w:pPr>
        <w:pStyle w:val="null3"/>
      </w:pPr>
      <w:r>
        <w:rPr>
          <w:b/>
        </w:rPr>
        <w:t>附表</w:t>
      </w:r>
      <w:r>
        <w:rPr>
          <w:b/>
        </w:rPr>
        <w:t>一</w:t>
      </w:r>
      <w:r>
        <w:rPr>
          <w:b/>
        </w:rPr>
        <w:t>：</w:t>
      </w:r>
      <w:r>
        <w:rPr>
          <w:b/>
        </w:rPr>
        <w:t>类器官高通量智能成像设备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一、激光及检测模块</w:t>
            </w:r>
          </w:p>
          <w:p>
            <w:pPr>
              <w:pStyle w:val="null3"/>
              <w:jc w:val="both"/>
            </w:pPr>
            <w:r>
              <w:rPr>
                <w:sz w:val="21"/>
              </w:rPr>
              <w:t>1.光源：至少配置405nm、488nm 和 635nm 三个激光器；</w:t>
            </w:r>
          </w:p>
        </w:tc>
      </w:tr>
      <w:tr>
        <w:tc>
          <w:tcPr>
            <w:tcW w:type="dxa" w:w="2076"/>
          </w:tcPr>
          <w:p/>
        </w:tc>
        <w:tc>
          <w:tcPr>
            <w:tcW w:type="dxa" w:w="415"/>
          </w:tcPr>
          <w:p>
            <w:pPr>
              <w:pStyle w:val="null3"/>
            </w:pPr>
            <w:r>
              <w:rPr/>
              <w:t>2</w:t>
            </w:r>
          </w:p>
        </w:tc>
        <w:tc>
          <w:tcPr>
            <w:tcW w:type="dxa" w:w="5814"/>
          </w:tcPr>
          <w:p>
            <w:pPr>
              <w:pStyle w:val="null3"/>
              <w:jc w:val="both"/>
            </w:pPr>
            <w:r>
              <w:rPr>
                <w:sz w:val="21"/>
              </w:rPr>
              <w:t>2.检测通道至少四个，覆盖：450/±50 nm、530/±30 nm、585/±37nm、660/±30 nm；</w:t>
            </w:r>
          </w:p>
        </w:tc>
      </w:tr>
      <w:tr>
        <w:tc>
          <w:tcPr>
            <w:tcW w:type="dxa" w:w="2076"/>
          </w:tcPr>
          <w:p/>
        </w:tc>
        <w:tc>
          <w:tcPr>
            <w:tcW w:type="dxa" w:w="415"/>
          </w:tcPr>
          <w:p>
            <w:pPr>
              <w:pStyle w:val="null3"/>
            </w:pPr>
            <w:r>
              <w:rPr/>
              <w:t>3</w:t>
            </w:r>
          </w:p>
        </w:tc>
        <w:tc>
          <w:tcPr>
            <w:tcW w:type="dxa" w:w="5814"/>
          </w:tcPr>
          <w:p>
            <w:pPr>
              <w:pStyle w:val="null3"/>
              <w:jc w:val="both"/>
            </w:pPr>
            <w:r>
              <w:rPr>
                <w:sz w:val="21"/>
              </w:rPr>
              <w:t>3.检测灵敏度：≤10nM FITC或≤10nM PE</w:t>
            </w:r>
          </w:p>
        </w:tc>
      </w:tr>
      <w:tr>
        <w:tc>
          <w:tcPr>
            <w:tcW w:type="dxa" w:w="2076"/>
          </w:tcPr>
          <w:p/>
        </w:tc>
        <w:tc>
          <w:tcPr>
            <w:tcW w:type="dxa" w:w="415"/>
          </w:tcPr>
          <w:p>
            <w:pPr>
              <w:pStyle w:val="null3"/>
            </w:pPr>
            <w:r>
              <w:rPr/>
              <w:t>4</w:t>
            </w:r>
          </w:p>
        </w:tc>
        <w:tc>
          <w:tcPr>
            <w:tcW w:type="dxa" w:w="5814"/>
          </w:tcPr>
          <w:p>
            <w:pPr>
              <w:pStyle w:val="null3"/>
              <w:jc w:val="both"/>
            </w:pPr>
            <w:r>
              <w:rPr>
                <w:sz w:val="21"/>
              </w:rPr>
              <w:t>4.液滴检测直径至少覆盖：25μm—100μm</w:t>
            </w:r>
          </w:p>
        </w:tc>
      </w:tr>
      <w:tr>
        <w:tc>
          <w:tcPr>
            <w:tcW w:type="dxa" w:w="2076"/>
          </w:tcPr>
          <w:p/>
        </w:tc>
        <w:tc>
          <w:tcPr>
            <w:tcW w:type="dxa" w:w="415"/>
          </w:tcPr>
          <w:p>
            <w:pPr>
              <w:pStyle w:val="null3"/>
            </w:pPr>
            <w:r>
              <w:rPr/>
              <w:t>5</w:t>
            </w:r>
          </w:p>
        </w:tc>
        <w:tc>
          <w:tcPr>
            <w:tcW w:type="dxa" w:w="5814"/>
          </w:tcPr>
          <w:p>
            <w:pPr>
              <w:pStyle w:val="null3"/>
              <w:jc w:val="left"/>
            </w:pPr>
            <w:r>
              <w:rPr>
                <w:sz w:val="21"/>
              </w:rPr>
              <w:t>二、液流和驱动模块</w:t>
            </w:r>
          </w:p>
          <w:p>
            <w:pPr>
              <w:pStyle w:val="null3"/>
              <w:jc w:val="both"/>
            </w:pPr>
            <w:r>
              <w:rPr>
                <w:sz w:val="21"/>
              </w:rPr>
              <w:t>1.气压输出通道：≥3路；</w:t>
            </w:r>
          </w:p>
        </w:tc>
      </w:tr>
      <w:tr>
        <w:tc>
          <w:tcPr>
            <w:tcW w:type="dxa" w:w="2076"/>
          </w:tcPr>
          <w:p/>
        </w:tc>
        <w:tc>
          <w:tcPr>
            <w:tcW w:type="dxa" w:w="415"/>
          </w:tcPr>
          <w:p>
            <w:pPr>
              <w:pStyle w:val="null3"/>
            </w:pPr>
            <w:r>
              <w:rPr/>
              <w:t>6</w:t>
            </w:r>
          </w:p>
        </w:tc>
        <w:tc>
          <w:tcPr>
            <w:tcW w:type="dxa" w:w="5814"/>
          </w:tcPr>
          <w:p>
            <w:pPr>
              <w:pStyle w:val="null3"/>
              <w:jc w:val="both"/>
            </w:pPr>
            <w:r>
              <w:rPr>
                <w:sz w:val="21"/>
              </w:rPr>
              <w:t>2.输出范围：至少覆盖0～14 psi；</w:t>
            </w:r>
          </w:p>
        </w:tc>
      </w:tr>
      <w:tr>
        <w:tc>
          <w:tcPr>
            <w:tcW w:type="dxa" w:w="2076"/>
          </w:tcPr>
          <w:p/>
        </w:tc>
        <w:tc>
          <w:tcPr>
            <w:tcW w:type="dxa" w:w="415"/>
          </w:tcPr>
          <w:p>
            <w:pPr>
              <w:pStyle w:val="null3"/>
            </w:pPr>
            <w:r>
              <w:rPr/>
              <w:t>7</w:t>
            </w:r>
          </w:p>
        </w:tc>
        <w:tc>
          <w:tcPr>
            <w:tcW w:type="dxa" w:w="5814"/>
          </w:tcPr>
          <w:p>
            <w:pPr>
              <w:pStyle w:val="null3"/>
              <w:jc w:val="both"/>
            </w:pPr>
            <w:r>
              <w:rPr>
                <w:sz w:val="21"/>
              </w:rPr>
              <w:t>3.泄压时间＜10s。</w:t>
            </w:r>
          </w:p>
        </w:tc>
      </w:tr>
      <w:tr>
        <w:tc>
          <w:tcPr>
            <w:tcW w:type="dxa" w:w="2076"/>
          </w:tcPr>
          <w:p/>
        </w:tc>
        <w:tc>
          <w:tcPr>
            <w:tcW w:type="dxa" w:w="415"/>
          </w:tcPr>
          <w:p>
            <w:pPr>
              <w:pStyle w:val="null3"/>
            </w:pPr>
            <w:r>
              <w:rPr/>
              <w:t>8</w:t>
            </w:r>
          </w:p>
        </w:tc>
        <w:tc>
          <w:tcPr>
            <w:tcW w:type="dxa" w:w="5814"/>
          </w:tcPr>
          <w:p>
            <w:pPr>
              <w:pStyle w:val="null3"/>
              <w:jc w:val="both"/>
            </w:pPr>
            <w:r>
              <w:rPr>
                <w:sz w:val="21"/>
              </w:rPr>
              <w:t>4.可拆卸鞘液油瓶设计。</w:t>
            </w:r>
          </w:p>
        </w:tc>
      </w:tr>
      <w:tr>
        <w:tc>
          <w:tcPr>
            <w:tcW w:type="dxa" w:w="2076"/>
          </w:tcPr>
          <w:p/>
        </w:tc>
        <w:tc>
          <w:tcPr>
            <w:tcW w:type="dxa" w:w="415"/>
          </w:tcPr>
          <w:p>
            <w:pPr>
              <w:pStyle w:val="null3"/>
            </w:pPr>
            <w:r>
              <w:rPr/>
              <w:t>9</w:t>
            </w:r>
          </w:p>
        </w:tc>
        <w:tc>
          <w:tcPr>
            <w:tcW w:type="dxa" w:w="5814"/>
          </w:tcPr>
          <w:p>
            <w:pPr>
              <w:pStyle w:val="null3"/>
              <w:jc w:val="left"/>
            </w:pPr>
            <w:r>
              <w:rPr>
                <w:sz w:val="21"/>
              </w:rPr>
              <w:t>三、影像模块</w:t>
            </w:r>
          </w:p>
          <w:p>
            <w:pPr>
              <w:pStyle w:val="null3"/>
              <w:jc w:val="both"/>
            </w:pPr>
            <w:r>
              <w:rPr>
                <w:sz w:val="21"/>
              </w:rPr>
              <w:t>1.显微分辨率：≤1μm；</w:t>
            </w:r>
          </w:p>
        </w:tc>
      </w:tr>
      <w:tr>
        <w:tc>
          <w:tcPr>
            <w:tcW w:type="dxa" w:w="2076"/>
          </w:tcPr>
          <w:p/>
        </w:tc>
        <w:tc>
          <w:tcPr>
            <w:tcW w:type="dxa" w:w="415"/>
          </w:tcPr>
          <w:p>
            <w:pPr>
              <w:pStyle w:val="null3"/>
            </w:pPr>
            <w:r>
              <w:rPr/>
              <w:t>10</w:t>
            </w:r>
          </w:p>
        </w:tc>
        <w:tc>
          <w:tcPr>
            <w:tcW w:type="dxa" w:w="5814"/>
          </w:tcPr>
          <w:p>
            <w:pPr>
              <w:pStyle w:val="null3"/>
              <w:jc w:val="both"/>
            </w:pPr>
            <w:r>
              <w:rPr>
                <w:sz w:val="21"/>
              </w:rPr>
              <w:t>2.物镜放大倍数：≥10X；</w:t>
            </w:r>
          </w:p>
        </w:tc>
      </w:tr>
      <w:tr>
        <w:tc>
          <w:tcPr>
            <w:tcW w:type="dxa" w:w="2076"/>
          </w:tcPr>
          <w:p/>
        </w:tc>
        <w:tc>
          <w:tcPr>
            <w:tcW w:type="dxa" w:w="415"/>
          </w:tcPr>
          <w:p>
            <w:pPr>
              <w:pStyle w:val="null3"/>
            </w:pPr>
            <w:r>
              <w:rPr/>
              <w:t>11</w:t>
            </w:r>
          </w:p>
        </w:tc>
        <w:tc>
          <w:tcPr>
            <w:tcW w:type="dxa" w:w="5814"/>
          </w:tcPr>
          <w:p>
            <w:pPr>
              <w:pStyle w:val="null3"/>
              <w:jc w:val="both"/>
            </w:pPr>
            <w:r>
              <w:rPr>
                <w:sz w:val="21"/>
              </w:rPr>
              <w:t>3.高速高分辨率CCD：≥2592*2048，≥40fps；</w:t>
            </w:r>
          </w:p>
        </w:tc>
      </w:tr>
      <w:tr>
        <w:tc>
          <w:tcPr>
            <w:tcW w:type="dxa" w:w="2076"/>
          </w:tcPr>
          <w:p/>
        </w:tc>
        <w:tc>
          <w:tcPr>
            <w:tcW w:type="dxa" w:w="415"/>
          </w:tcPr>
          <w:p>
            <w:pPr>
              <w:pStyle w:val="null3"/>
            </w:pPr>
            <w:r>
              <w:rPr/>
              <w:t>12</w:t>
            </w:r>
          </w:p>
        </w:tc>
        <w:tc>
          <w:tcPr>
            <w:tcW w:type="dxa" w:w="5814"/>
          </w:tcPr>
          <w:p>
            <w:pPr>
              <w:pStyle w:val="null3"/>
              <w:jc w:val="left"/>
            </w:pPr>
            <w:r>
              <w:rPr>
                <w:sz w:val="21"/>
              </w:rPr>
              <w:t>四、高压模块</w:t>
            </w:r>
          </w:p>
          <w:p>
            <w:pPr>
              <w:pStyle w:val="null3"/>
              <w:jc w:val="both"/>
            </w:pPr>
            <w:r>
              <w:rPr>
                <w:sz w:val="21"/>
              </w:rPr>
              <w:t>1.高压输出范围：至少覆盖0 ～ 2000V；</w:t>
            </w:r>
          </w:p>
        </w:tc>
      </w:tr>
      <w:tr>
        <w:tc>
          <w:tcPr>
            <w:tcW w:type="dxa" w:w="2076"/>
          </w:tcPr>
          <w:p/>
        </w:tc>
        <w:tc>
          <w:tcPr>
            <w:tcW w:type="dxa" w:w="415"/>
          </w:tcPr>
          <w:p>
            <w:pPr>
              <w:pStyle w:val="null3"/>
            </w:pPr>
            <w:r>
              <w:rPr/>
              <w:t>13</w:t>
            </w:r>
          </w:p>
        </w:tc>
        <w:tc>
          <w:tcPr>
            <w:tcW w:type="dxa" w:w="5814"/>
          </w:tcPr>
          <w:p>
            <w:pPr>
              <w:pStyle w:val="null3"/>
              <w:jc w:val="both"/>
            </w:pPr>
            <w:r>
              <w:rPr>
                <w:sz w:val="21"/>
              </w:rPr>
              <w:t>2.高压频率：≥10khz；</w:t>
            </w:r>
          </w:p>
        </w:tc>
      </w:tr>
      <w:tr>
        <w:tc>
          <w:tcPr>
            <w:tcW w:type="dxa" w:w="2076"/>
          </w:tcPr>
          <w:p/>
        </w:tc>
        <w:tc>
          <w:tcPr>
            <w:tcW w:type="dxa" w:w="415"/>
          </w:tcPr>
          <w:p>
            <w:pPr>
              <w:pStyle w:val="null3"/>
            </w:pPr>
            <w:r>
              <w:rPr/>
              <w:t>14</w:t>
            </w:r>
          </w:p>
        </w:tc>
        <w:tc>
          <w:tcPr>
            <w:tcW w:type="dxa" w:w="5814"/>
          </w:tcPr>
          <w:p>
            <w:pPr>
              <w:pStyle w:val="null3"/>
              <w:jc w:val="both"/>
            </w:pPr>
            <w:r>
              <w:rPr>
                <w:sz w:val="21"/>
              </w:rPr>
              <w:t>3.具有应急开关按钮。</w:t>
            </w:r>
          </w:p>
        </w:tc>
      </w:tr>
      <w:tr>
        <w:tc>
          <w:tcPr>
            <w:tcW w:type="dxa" w:w="2076"/>
          </w:tcPr>
          <w:p/>
        </w:tc>
        <w:tc>
          <w:tcPr>
            <w:tcW w:type="dxa" w:w="415"/>
          </w:tcPr>
          <w:p>
            <w:pPr>
              <w:pStyle w:val="null3"/>
            </w:pPr>
            <w:r>
              <w:rPr/>
              <w:t>15</w:t>
            </w:r>
          </w:p>
        </w:tc>
        <w:tc>
          <w:tcPr>
            <w:tcW w:type="dxa" w:w="5814"/>
          </w:tcPr>
          <w:p>
            <w:pPr>
              <w:pStyle w:val="null3"/>
              <w:jc w:val="left"/>
            </w:pPr>
            <w:r>
              <w:rPr>
                <w:sz w:val="21"/>
              </w:rPr>
              <w:t>五、打印模块</w:t>
            </w:r>
          </w:p>
          <w:p>
            <w:pPr>
              <w:pStyle w:val="null3"/>
              <w:jc w:val="both"/>
            </w:pPr>
            <w:r>
              <w:rPr>
                <w:sz w:val="21"/>
              </w:rPr>
              <w:t>1.打印成功率：≥90%；</w:t>
            </w:r>
          </w:p>
        </w:tc>
      </w:tr>
      <w:tr>
        <w:tc>
          <w:tcPr>
            <w:tcW w:type="dxa" w:w="2076"/>
          </w:tcPr>
          <w:p/>
        </w:tc>
        <w:tc>
          <w:tcPr>
            <w:tcW w:type="dxa" w:w="415"/>
          </w:tcPr>
          <w:p>
            <w:pPr>
              <w:pStyle w:val="null3"/>
            </w:pPr>
            <w:r>
              <w:rPr/>
              <w:t>16</w:t>
            </w:r>
          </w:p>
        </w:tc>
        <w:tc>
          <w:tcPr>
            <w:tcW w:type="dxa" w:w="5814"/>
          </w:tcPr>
          <w:p>
            <w:pPr>
              <w:pStyle w:val="null3"/>
              <w:jc w:val="both"/>
            </w:pPr>
            <w:r>
              <w:rPr>
                <w:sz w:val="21"/>
              </w:rPr>
              <w:t>2.单板打印时间：≤20 min；</w:t>
            </w:r>
          </w:p>
        </w:tc>
      </w:tr>
      <w:tr>
        <w:tc>
          <w:tcPr>
            <w:tcW w:type="dxa" w:w="2076"/>
          </w:tcPr>
          <w:p/>
        </w:tc>
        <w:tc>
          <w:tcPr>
            <w:tcW w:type="dxa" w:w="415"/>
          </w:tcPr>
          <w:p>
            <w:pPr>
              <w:pStyle w:val="null3"/>
            </w:pPr>
            <w:r>
              <w:rPr/>
              <w:t>17</w:t>
            </w:r>
          </w:p>
        </w:tc>
        <w:tc>
          <w:tcPr>
            <w:tcW w:type="dxa" w:w="5814"/>
          </w:tcPr>
          <w:p>
            <w:pPr>
              <w:pStyle w:val="null3"/>
              <w:jc w:val="both"/>
            </w:pPr>
            <w:r>
              <w:rPr>
                <w:sz w:val="21"/>
              </w:rPr>
              <w:t>3.兼容耗材：至少兼容96孔板培养板、96孔PCR板，PCR 8联管等。</w:t>
            </w:r>
          </w:p>
        </w:tc>
      </w:tr>
      <w:tr>
        <w:tc>
          <w:tcPr>
            <w:tcW w:type="dxa" w:w="2076"/>
          </w:tcPr>
          <w:p/>
        </w:tc>
        <w:tc>
          <w:tcPr>
            <w:tcW w:type="dxa" w:w="415"/>
          </w:tcPr>
          <w:p>
            <w:pPr>
              <w:pStyle w:val="null3"/>
            </w:pPr>
            <w:r>
              <w:rPr/>
              <w:t>18</w:t>
            </w:r>
          </w:p>
        </w:tc>
        <w:tc>
          <w:tcPr>
            <w:tcW w:type="dxa" w:w="5814"/>
          </w:tcPr>
          <w:p>
            <w:pPr>
              <w:pStyle w:val="null3"/>
              <w:jc w:val="left"/>
            </w:pPr>
            <w:r>
              <w:rPr>
                <w:sz w:val="21"/>
              </w:rPr>
              <w:t>六、分选芯片</w:t>
            </w:r>
          </w:p>
          <w:p>
            <w:pPr>
              <w:pStyle w:val="null3"/>
              <w:jc w:val="both"/>
            </w:pPr>
            <w:r>
              <w:rPr>
                <w:sz w:val="21"/>
              </w:rPr>
              <w:t>1.注塑材质，有金属外壳进行高压防护。</w:t>
            </w:r>
          </w:p>
        </w:tc>
      </w:tr>
      <w:tr>
        <w:tc>
          <w:tcPr>
            <w:tcW w:type="dxa" w:w="2076"/>
          </w:tcPr>
          <w:p/>
        </w:tc>
        <w:tc>
          <w:tcPr>
            <w:tcW w:type="dxa" w:w="415"/>
          </w:tcPr>
          <w:p>
            <w:pPr>
              <w:pStyle w:val="null3"/>
            </w:pPr>
            <w:r>
              <w:rPr/>
              <w:t>19</w:t>
            </w:r>
          </w:p>
        </w:tc>
        <w:tc>
          <w:tcPr>
            <w:tcW w:type="dxa" w:w="5814"/>
          </w:tcPr>
          <w:p>
            <w:pPr>
              <w:pStyle w:val="null3"/>
              <w:jc w:val="both"/>
            </w:pPr>
            <w:r>
              <w:rPr>
                <w:sz w:val="21"/>
              </w:rPr>
              <w:t>2.液路鲁尔头等快速接口，高压拔插式等快速接口。</w:t>
            </w:r>
          </w:p>
        </w:tc>
      </w:tr>
      <w:tr>
        <w:tc>
          <w:tcPr>
            <w:tcW w:type="dxa" w:w="2076"/>
          </w:tcPr>
          <w:p/>
        </w:tc>
        <w:tc>
          <w:tcPr>
            <w:tcW w:type="dxa" w:w="415"/>
          </w:tcPr>
          <w:p>
            <w:pPr>
              <w:pStyle w:val="null3"/>
            </w:pPr>
            <w:r>
              <w:rPr/>
              <w:t>20</w:t>
            </w:r>
          </w:p>
        </w:tc>
        <w:tc>
          <w:tcPr>
            <w:tcW w:type="dxa" w:w="5814"/>
          </w:tcPr>
          <w:p>
            <w:pPr>
              <w:pStyle w:val="null3"/>
              <w:jc w:val="left"/>
            </w:pPr>
            <w:r>
              <w:rPr>
                <w:sz w:val="21"/>
              </w:rPr>
              <w:t>七、</w:t>
            </w:r>
            <w:r>
              <w:rPr>
                <w:sz w:val="21"/>
              </w:rPr>
              <w:t>控制设备</w:t>
            </w:r>
            <w:r>
              <w:rPr>
                <w:sz w:val="21"/>
              </w:rPr>
              <w:t>：</w:t>
            </w:r>
          </w:p>
          <w:p>
            <w:pPr>
              <w:pStyle w:val="null3"/>
              <w:jc w:val="both"/>
            </w:pPr>
            <w:r>
              <w:rPr>
                <w:sz w:val="21"/>
              </w:rPr>
              <w:t>1.CPU主频≥2.5GHz，最高睿频≥4.8GHz；</w:t>
            </w:r>
          </w:p>
        </w:tc>
      </w:tr>
      <w:tr>
        <w:tc>
          <w:tcPr>
            <w:tcW w:type="dxa" w:w="2076"/>
          </w:tcPr>
          <w:p/>
        </w:tc>
        <w:tc>
          <w:tcPr>
            <w:tcW w:type="dxa" w:w="415"/>
          </w:tcPr>
          <w:p>
            <w:pPr>
              <w:pStyle w:val="null3"/>
            </w:pPr>
            <w:r>
              <w:rPr/>
              <w:t>21</w:t>
            </w:r>
          </w:p>
        </w:tc>
        <w:tc>
          <w:tcPr>
            <w:tcW w:type="dxa" w:w="5814"/>
          </w:tcPr>
          <w:p>
            <w:pPr>
              <w:pStyle w:val="null3"/>
              <w:jc w:val="both"/>
            </w:pPr>
            <w:r>
              <w:rPr>
                <w:sz w:val="21"/>
              </w:rPr>
              <w:t>2.运行内存≥16G，硬盘≥500G；</w:t>
            </w:r>
          </w:p>
        </w:tc>
      </w:tr>
      <w:tr>
        <w:tc>
          <w:tcPr>
            <w:tcW w:type="dxa" w:w="2076"/>
          </w:tcPr>
          <w:p/>
        </w:tc>
        <w:tc>
          <w:tcPr>
            <w:tcW w:type="dxa" w:w="415"/>
          </w:tcPr>
          <w:p>
            <w:pPr>
              <w:pStyle w:val="null3"/>
            </w:pPr>
            <w:r>
              <w:rPr/>
              <w:t>22</w:t>
            </w:r>
          </w:p>
        </w:tc>
        <w:tc>
          <w:tcPr>
            <w:tcW w:type="dxa" w:w="5814"/>
          </w:tcPr>
          <w:p>
            <w:pPr>
              <w:pStyle w:val="null3"/>
              <w:jc w:val="both"/>
            </w:pPr>
            <w:r>
              <w:rPr>
                <w:sz w:val="21"/>
              </w:rPr>
              <w:t>3</w:t>
            </w:r>
            <w:r>
              <w:rPr>
                <w:sz w:val="21"/>
              </w:rPr>
              <w:t>.显示器：≥29英寸</w:t>
            </w:r>
            <w:r>
              <w:rPr>
                <w:sz w:val="21"/>
              </w:rPr>
              <w:t>图形输出设备</w:t>
            </w:r>
            <w:r>
              <w:rPr>
                <w:sz w:val="21"/>
              </w:rPr>
              <w:t>，分辨率</w:t>
            </w:r>
            <w:r>
              <w:rPr>
                <w:sz w:val="21"/>
              </w:rPr>
              <w:t>≥2560x1080。</w:t>
            </w:r>
          </w:p>
        </w:tc>
      </w:tr>
      <w:tr>
        <w:tc>
          <w:tcPr>
            <w:tcW w:type="dxa" w:w="2076"/>
          </w:tcPr>
          <w:p/>
        </w:tc>
        <w:tc>
          <w:tcPr>
            <w:tcW w:type="dxa" w:w="415"/>
          </w:tcPr>
          <w:p>
            <w:pPr>
              <w:pStyle w:val="null3"/>
            </w:pPr>
            <w:r>
              <w:rPr/>
              <w:t>23</w:t>
            </w:r>
          </w:p>
        </w:tc>
        <w:tc>
          <w:tcPr>
            <w:tcW w:type="dxa" w:w="5814"/>
          </w:tcPr>
          <w:p>
            <w:pPr>
              <w:pStyle w:val="null3"/>
              <w:jc w:val="left"/>
            </w:pPr>
            <w:r>
              <w:rPr>
                <w:sz w:val="21"/>
              </w:rPr>
              <w:t>八</w:t>
            </w:r>
            <w:r>
              <w:rPr>
                <w:sz w:val="21"/>
              </w:rPr>
              <w:t>、软件系统</w:t>
            </w:r>
          </w:p>
          <w:p>
            <w:pPr>
              <w:pStyle w:val="null3"/>
              <w:jc w:val="both"/>
            </w:pPr>
            <w:r>
              <w:rPr>
                <w:sz w:val="21"/>
              </w:rPr>
              <w:t>1.硬件控制：可控制对液滴驱动、载台、影像、激光及检测、打印模块等全模块。</w:t>
            </w:r>
          </w:p>
        </w:tc>
      </w:tr>
      <w:tr>
        <w:tc>
          <w:tcPr>
            <w:tcW w:type="dxa" w:w="2076"/>
          </w:tcPr>
          <w:p/>
        </w:tc>
        <w:tc>
          <w:tcPr>
            <w:tcW w:type="dxa" w:w="415"/>
          </w:tcPr>
          <w:p>
            <w:pPr>
              <w:pStyle w:val="null3"/>
            </w:pPr>
            <w:r>
              <w:rPr/>
              <w:t>24</w:t>
            </w:r>
          </w:p>
        </w:tc>
        <w:tc>
          <w:tcPr>
            <w:tcW w:type="dxa" w:w="5814"/>
          </w:tcPr>
          <w:p>
            <w:pPr>
              <w:pStyle w:val="null3"/>
              <w:jc w:val="both"/>
            </w:pPr>
            <w:r>
              <w:rPr>
                <w:sz w:val="21"/>
              </w:rPr>
              <w:t>2.可对光源功率及PMT接收功率进行调节，实现检测范围的调节，满足不同样品的需求。</w:t>
            </w:r>
          </w:p>
        </w:tc>
      </w:tr>
      <w:tr>
        <w:tc>
          <w:tcPr>
            <w:tcW w:type="dxa" w:w="2076"/>
          </w:tcPr>
          <w:p/>
        </w:tc>
        <w:tc>
          <w:tcPr>
            <w:tcW w:type="dxa" w:w="415"/>
          </w:tcPr>
          <w:p>
            <w:pPr>
              <w:pStyle w:val="null3"/>
            </w:pPr>
            <w:r>
              <w:rPr/>
              <w:t>25</w:t>
            </w:r>
          </w:p>
        </w:tc>
        <w:tc>
          <w:tcPr>
            <w:tcW w:type="dxa" w:w="5814"/>
          </w:tcPr>
          <w:p>
            <w:pPr>
              <w:pStyle w:val="null3"/>
              <w:jc w:val="both"/>
            </w:pPr>
            <w:r>
              <w:rPr>
                <w:sz w:val="21"/>
              </w:rPr>
              <w:t>3.散点图显示检测液滴，具备荧光共定位功能，支持多荧光通道检测及逻辑圈门分析与分选，实时显示分选过程；</w:t>
            </w:r>
          </w:p>
        </w:tc>
      </w:tr>
      <w:tr>
        <w:tc>
          <w:tcPr>
            <w:tcW w:type="dxa" w:w="2076"/>
          </w:tcPr>
          <w:p/>
        </w:tc>
        <w:tc>
          <w:tcPr>
            <w:tcW w:type="dxa" w:w="415"/>
          </w:tcPr>
          <w:p>
            <w:pPr>
              <w:pStyle w:val="null3"/>
            </w:pPr>
            <w:r>
              <w:rPr/>
              <w:t>26</w:t>
            </w:r>
          </w:p>
        </w:tc>
        <w:tc>
          <w:tcPr>
            <w:tcW w:type="dxa" w:w="5814"/>
          </w:tcPr>
          <w:p>
            <w:pPr>
              <w:pStyle w:val="null3"/>
              <w:jc w:val="both"/>
            </w:pPr>
            <w:r>
              <w:rPr>
                <w:sz w:val="21"/>
              </w:rPr>
              <w:t>4.软件可实时显示液滴中阴阳性比例、群集关系、分选获得的液滴数量等重要参数；</w:t>
            </w:r>
          </w:p>
        </w:tc>
      </w:tr>
      <w:tr>
        <w:tc>
          <w:tcPr>
            <w:tcW w:type="dxa" w:w="2076"/>
          </w:tcPr>
          <w:p/>
        </w:tc>
        <w:tc>
          <w:tcPr>
            <w:tcW w:type="dxa" w:w="415"/>
          </w:tcPr>
          <w:p>
            <w:pPr>
              <w:pStyle w:val="null3"/>
            </w:pPr>
            <w:r>
              <w:rPr/>
              <w:t>27</w:t>
            </w:r>
          </w:p>
        </w:tc>
        <w:tc>
          <w:tcPr>
            <w:tcW w:type="dxa" w:w="5814"/>
          </w:tcPr>
          <w:p>
            <w:pPr>
              <w:pStyle w:val="null3"/>
              <w:jc w:val="both"/>
            </w:pPr>
            <w:r>
              <w:rPr>
                <w:sz w:val="21"/>
              </w:rPr>
              <w:t>5.实时显示分选过程，确保分选全程稳定；可保存图像及信号散点图，记录分选状态。</w:t>
            </w:r>
          </w:p>
        </w:tc>
      </w:tr>
      <w:tr>
        <w:tc>
          <w:tcPr>
            <w:tcW w:type="dxa" w:w="2076"/>
          </w:tcPr>
          <w:p/>
        </w:tc>
        <w:tc>
          <w:tcPr>
            <w:tcW w:type="dxa" w:w="415"/>
          </w:tcPr>
          <w:p>
            <w:pPr>
              <w:pStyle w:val="null3"/>
            </w:pPr>
            <w:r>
              <w:rPr/>
              <w:t>28</w:t>
            </w:r>
          </w:p>
        </w:tc>
        <w:tc>
          <w:tcPr>
            <w:tcW w:type="dxa" w:w="5814"/>
          </w:tcPr>
          <w:p>
            <w:pPr>
              <w:pStyle w:val="null3"/>
              <w:jc w:val="both"/>
            </w:pPr>
            <w:r>
              <w:rPr>
                <w:sz w:val="21"/>
              </w:rPr>
              <w:t>6.打印中拍照自动保存液滴图像，生成与孔对应图片，并可查看相应的峰图、荧光值及在散点图中位置。</w:t>
            </w:r>
          </w:p>
        </w:tc>
      </w:tr>
      <w:tr>
        <w:tc>
          <w:tcPr>
            <w:tcW w:type="dxa" w:w="2076"/>
          </w:tcPr>
          <w:p/>
        </w:tc>
        <w:tc>
          <w:tcPr>
            <w:tcW w:type="dxa" w:w="415"/>
          </w:tcPr>
          <w:p>
            <w:pPr>
              <w:pStyle w:val="null3"/>
            </w:pPr>
            <w:r>
              <w:rPr/>
              <w:t>29</w:t>
            </w:r>
          </w:p>
        </w:tc>
        <w:tc>
          <w:tcPr>
            <w:tcW w:type="dxa" w:w="5814"/>
          </w:tcPr>
          <w:p>
            <w:pPr>
              <w:pStyle w:val="null3"/>
              <w:jc w:val="both"/>
            </w:pPr>
            <w:r>
              <w:rPr>
                <w:sz w:val="21"/>
              </w:rPr>
              <w:t>7.检测方法：可使用磁珠阵列聚光法，兼容FRET法，底物荧光法，报告探针法，荧光标签法等；</w:t>
            </w:r>
          </w:p>
        </w:tc>
      </w:tr>
      <w:tr>
        <w:tc>
          <w:tcPr>
            <w:tcW w:type="dxa" w:w="2076"/>
          </w:tcPr>
          <w:p/>
        </w:tc>
        <w:tc>
          <w:tcPr>
            <w:tcW w:type="dxa" w:w="415"/>
          </w:tcPr>
          <w:p>
            <w:pPr>
              <w:pStyle w:val="null3"/>
            </w:pPr>
            <w:r>
              <w:rPr/>
              <w:t>30</w:t>
            </w:r>
          </w:p>
        </w:tc>
        <w:tc>
          <w:tcPr>
            <w:tcW w:type="dxa" w:w="5814"/>
          </w:tcPr>
          <w:p>
            <w:pPr>
              <w:pStyle w:val="null3"/>
              <w:jc w:val="both"/>
            </w:pPr>
            <w:r>
              <w:rPr>
                <w:sz w:val="21"/>
              </w:rPr>
              <w:t>8.分析与分选液滴数：≥1000万个；</w:t>
            </w:r>
          </w:p>
        </w:tc>
      </w:tr>
      <w:tr>
        <w:tc>
          <w:tcPr>
            <w:tcW w:type="dxa" w:w="2076"/>
          </w:tcPr>
          <w:p/>
        </w:tc>
        <w:tc>
          <w:tcPr>
            <w:tcW w:type="dxa" w:w="415"/>
          </w:tcPr>
          <w:p>
            <w:pPr>
              <w:pStyle w:val="null3"/>
            </w:pPr>
            <w:r>
              <w:rPr/>
              <w:t>31</w:t>
            </w:r>
          </w:p>
        </w:tc>
        <w:tc>
          <w:tcPr>
            <w:tcW w:type="dxa" w:w="5814"/>
          </w:tcPr>
          <w:p>
            <w:pPr>
              <w:pStyle w:val="null3"/>
              <w:jc w:val="both"/>
            </w:pPr>
            <w:r>
              <w:rPr>
                <w:sz w:val="21"/>
              </w:rPr>
              <w:t>9.分选速度：≥1000个液滴/s；</w:t>
            </w:r>
          </w:p>
        </w:tc>
      </w:tr>
      <w:tr>
        <w:tc>
          <w:tcPr>
            <w:tcW w:type="dxa" w:w="2076"/>
          </w:tcPr>
          <w:p/>
        </w:tc>
        <w:tc>
          <w:tcPr>
            <w:tcW w:type="dxa" w:w="415"/>
          </w:tcPr>
          <w:p>
            <w:pPr>
              <w:pStyle w:val="null3"/>
            </w:pPr>
            <w:r>
              <w:rPr/>
              <w:t>32</w:t>
            </w:r>
          </w:p>
        </w:tc>
        <w:tc>
          <w:tcPr>
            <w:tcW w:type="dxa" w:w="5814"/>
          </w:tcPr>
          <w:p>
            <w:pPr>
              <w:pStyle w:val="null3"/>
              <w:jc w:val="left"/>
            </w:pPr>
            <w:r>
              <w:rPr>
                <w:sz w:val="21"/>
              </w:rPr>
              <w:t>设备清单：</w:t>
            </w:r>
          </w:p>
          <w:p>
            <w:pPr>
              <w:pStyle w:val="null3"/>
              <w:jc w:val="both"/>
            </w:pPr>
            <w:r>
              <w:rPr>
                <w:sz w:val="21"/>
              </w:rPr>
              <w:t>1.主机1台</w:t>
            </w:r>
          </w:p>
        </w:tc>
      </w:tr>
      <w:tr>
        <w:tc>
          <w:tcPr>
            <w:tcW w:type="dxa" w:w="2076"/>
          </w:tcPr>
          <w:p/>
        </w:tc>
        <w:tc>
          <w:tcPr>
            <w:tcW w:type="dxa" w:w="415"/>
          </w:tcPr>
          <w:p>
            <w:pPr>
              <w:pStyle w:val="null3"/>
            </w:pPr>
            <w:r>
              <w:rPr/>
              <w:t>33</w:t>
            </w:r>
          </w:p>
        </w:tc>
        <w:tc>
          <w:tcPr>
            <w:tcW w:type="dxa" w:w="5814"/>
          </w:tcPr>
          <w:p>
            <w:pPr>
              <w:pStyle w:val="null3"/>
              <w:jc w:val="both"/>
            </w:pPr>
            <w:r>
              <w:rPr>
                <w:sz w:val="21"/>
              </w:rPr>
              <w:t>2.控制设备1套</w:t>
            </w:r>
          </w:p>
        </w:tc>
      </w:tr>
      <w:tr>
        <w:tc>
          <w:tcPr>
            <w:tcW w:type="dxa" w:w="2076"/>
          </w:tcPr>
          <w:p/>
        </w:tc>
        <w:tc>
          <w:tcPr>
            <w:tcW w:type="dxa" w:w="415"/>
          </w:tcPr>
          <w:p>
            <w:pPr>
              <w:pStyle w:val="null3"/>
            </w:pPr>
            <w:r>
              <w:rPr/>
              <w:t>34</w:t>
            </w:r>
          </w:p>
        </w:tc>
        <w:tc>
          <w:tcPr>
            <w:tcW w:type="dxa" w:w="5814"/>
          </w:tcPr>
          <w:p>
            <w:pPr>
              <w:pStyle w:val="null3"/>
              <w:jc w:val="both"/>
            </w:pPr>
            <w:r>
              <w:rPr>
                <w:sz w:val="21"/>
              </w:rPr>
              <w:t>3.分析软件1套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全自动试剂自适配的智能组织处理设备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1.解离温度范围：至少覆盖20°C-40°C</w:t>
            </w:r>
            <w:r>
              <w:rPr>
                <w:sz w:val="21"/>
              </w:rPr>
              <w:t>；</w:t>
            </w:r>
          </w:p>
        </w:tc>
      </w:tr>
      <w:tr>
        <w:tc>
          <w:tcPr>
            <w:tcW w:type="dxa" w:w="2076"/>
          </w:tcPr>
          <w:p/>
        </w:tc>
        <w:tc>
          <w:tcPr>
            <w:tcW w:type="dxa" w:w="415"/>
          </w:tcPr>
          <w:p>
            <w:pPr>
              <w:pStyle w:val="null3"/>
            </w:pPr>
            <w:r>
              <w:rPr/>
              <w:t>2</w:t>
            </w:r>
          </w:p>
        </w:tc>
        <w:tc>
          <w:tcPr>
            <w:tcW w:type="dxa" w:w="5814"/>
          </w:tcPr>
          <w:p>
            <w:pPr>
              <w:pStyle w:val="null3"/>
              <w:jc w:val="both"/>
            </w:pPr>
            <w:r>
              <w:rPr>
                <w:sz w:val="21"/>
              </w:rPr>
              <w:t>2.高通量处理样品：设备单次样品处理通量≥13个，至少能支持2 mL和5 mL样品管的解离。</w:t>
            </w:r>
          </w:p>
        </w:tc>
      </w:tr>
      <w:tr>
        <w:tc>
          <w:tcPr>
            <w:tcW w:type="dxa" w:w="2076"/>
          </w:tcPr>
          <w:p/>
        </w:tc>
        <w:tc>
          <w:tcPr>
            <w:tcW w:type="dxa" w:w="415"/>
          </w:tcPr>
          <w:p>
            <w:pPr>
              <w:pStyle w:val="null3"/>
            </w:pPr>
            <w:r>
              <w:rPr/>
              <w:t>3</w:t>
            </w:r>
          </w:p>
        </w:tc>
        <w:tc>
          <w:tcPr>
            <w:tcW w:type="dxa" w:w="5814"/>
          </w:tcPr>
          <w:p>
            <w:pPr>
              <w:pStyle w:val="null3"/>
              <w:jc w:val="both"/>
            </w:pPr>
            <w:r>
              <w:rPr>
                <w:sz w:val="21"/>
              </w:rPr>
              <w:t>3.自动化：预设≥8种解离程序，可自定义编辑程序；</w:t>
            </w:r>
          </w:p>
        </w:tc>
      </w:tr>
      <w:tr>
        <w:tc>
          <w:tcPr>
            <w:tcW w:type="dxa" w:w="2076"/>
          </w:tcPr>
          <w:p/>
        </w:tc>
        <w:tc>
          <w:tcPr>
            <w:tcW w:type="dxa" w:w="415"/>
          </w:tcPr>
          <w:p>
            <w:pPr>
              <w:pStyle w:val="null3"/>
            </w:pPr>
            <w:r>
              <w:rPr/>
              <w:t>4</w:t>
            </w:r>
          </w:p>
        </w:tc>
        <w:tc>
          <w:tcPr>
            <w:tcW w:type="dxa" w:w="5814"/>
          </w:tcPr>
          <w:p>
            <w:pPr>
              <w:pStyle w:val="null3"/>
              <w:jc w:val="both"/>
            </w:pPr>
            <w:r>
              <w:rPr>
                <w:sz w:val="21"/>
              </w:rPr>
              <w:t>4.采用微珠机械研磨结合生物酶处理，解离系统配合解离试剂实现高细胞活性，所回收的细胞活性≥95%。</w:t>
            </w:r>
          </w:p>
        </w:tc>
      </w:tr>
      <w:tr>
        <w:tc>
          <w:tcPr>
            <w:tcW w:type="dxa" w:w="2076"/>
          </w:tcPr>
          <w:p/>
        </w:tc>
        <w:tc>
          <w:tcPr>
            <w:tcW w:type="dxa" w:w="415"/>
          </w:tcPr>
          <w:p>
            <w:pPr>
              <w:pStyle w:val="null3"/>
            </w:pPr>
            <w:r>
              <w:rPr/>
              <w:t>5</w:t>
            </w:r>
          </w:p>
        </w:tc>
        <w:tc>
          <w:tcPr>
            <w:tcW w:type="dxa" w:w="5814"/>
          </w:tcPr>
          <w:p>
            <w:pPr>
              <w:pStyle w:val="null3"/>
              <w:jc w:val="both"/>
            </w:pPr>
            <w:r>
              <w:rPr>
                <w:sz w:val="21"/>
              </w:rPr>
              <w:t>5.样本量：支持多种临床组织样品（至少包括手术、活检、穿刺）的预处理，样本量至少覆盖5mg - 2000 mg；支持临床穿刺样本在≤2 mL解离体系统中解离；支持手术等样品在≤5 mL解离体系统中解离。针对临床穿刺样本，使组织的利用率≥99%，细胞产量≥10万个。</w:t>
            </w:r>
          </w:p>
        </w:tc>
      </w:tr>
      <w:tr>
        <w:tc>
          <w:tcPr>
            <w:tcW w:type="dxa" w:w="2076"/>
          </w:tcPr>
          <w:p/>
        </w:tc>
        <w:tc>
          <w:tcPr>
            <w:tcW w:type="dxa" w:w="415"/>
          </w:tcPr>
          <w:p>
            <w:pPr>
              <w:pStyle w:val="null3"/>
            </w:pPr>
            <w:r>
              <w:rPr/>
              <w:t>6</w:t>
            </w:r>
          </w:p>
        </w:tc>
        <w:tc>
          <w:tcPr>
            <w:tcW w:type="dxa" w:w="5814"/>
          </w:tcPr>
          <w:p>
            <w:pPr>
              <w:pStyle w:val="null3"/>
              <w:jc w:val="both"/>
            </w:pPr>
            <w:r>
              <w:rPr>
                <w:sz w:val="21"/>
              </w:rPr>
              <w:t>6.针对原代细胞培养样本，可在2- 60min内完成组织到单细胞或细胞悬液的过程。</w:t>
            </w:r>
          </w:p>
        </w:tc>
      </w:tr>
      <w:tr>
        <w:tc>
          <w:tcPr>
            <w:tcW w:type="dxa" w:w="2076"/>
          </w:tcPr>
          <w:p/>
        </w:tc>
        <w:tc>
          <w:tcPr>
            <w:tcW w:type="dxa" w:w="415"/>
          </w:tcPr>
          <w:p>
            <w:pPr>
              <w:pStyle w:val="null3"/>
            </w:pPr>
            <w:r>
              <w:rPr/>
              <w:t>7</w:t>
            </w:r>
          </w:p>
        </w:tc>
        <w:tc>
          <w:tcPr>
            <w:tcW w:type="dxa" w:w="5814"/>
          </w:tcPr>
          <w:p>
            <w:pPr>
              <w:pStyle w:val="null3"/>
              <w:jc w:val="both"/>
            </w:pPr>
            <w:r>
              <w:rPr>
                <w:sz w:val="21"/>
              </w:rPr>
              <w:t>配置清单：</w:t>
            </w:r>
          </w:p>
          <w:p>
            <w:pPr>
              <w:pStyle w:val="null3"/>
              <w:jc w:val="both"/>
            </w:pPr>
            <w:r>
              <w:rPr>
                <w:sz w:val="21"/>
              </w:rPr>
              <w:t>1.主机1台；</w:t>
            </w:r>
          </w:p>
        </w:tc>
      </w:tr>
      <w:tr>
        <w:tc>
          <w:tcPr>
            <w:tcW w:type="dxa" w:w="2076"/>
          </w:tcPr>
          <w:p/>
        </w:tc>
        <w:tc>
          <w:tcPr>
            <w:tcW w:type="dxa" w:w="415"/>
          </w:tcPr>
          <w:p>
            <w:pPr>
              <w:pStyle w:val="null3"/>
            </w:pPr>
            <w:r>
              <w:rPr/>
              <w:t>8</w:t>
            </w:r>
          </w:p>
        </w:tc>
        <w:tc>
          <w:tcPr>
            <w:tcW w:type="dxa" w:w="5814"/>
          </w:tcPr>
          <w:p>
            <w:pPr>
              <w:pStyle w:val="null3"/>
              <w:jc w:val="both"/>
            </w:pPr>
            <w:r>
              <w:rPr>
                <w:sz w:val="21"/>
              </w:rPr>
              <w:t>2.标配碾磨微珠及解离管，</w:t>
            </w:r>
            <w:r>
              <w:rPr>
                <w:sz w:val="21"/>
              </w:rPr>
              <w:t>至少</w:t>
            </w:r>
            <w:r>
              <w:rPr>
                <w:sz w:val="21"/>
              </w:rPr>
              <w:t>各</w:t>
            </w:r>
            <w:r>
              <w:rPr>
                <w:sz w:val="21"/>
              </w:rPr>
              <w:t>1000个；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类器官智能复苏设备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支持类器官、免疫细胞、细胞系、干细胞以及冻存组织的复苏，可应用于</w:t>
            </w:r>
            <w:r>
              <w:rPr>
                <w:sz w:val="21"/>
              </w:rPr>
              <w:t>GMP B</w:t>
            </w:r>
            <w:r>
              <w:rPr>
                <w:sz w:val="21"/>
              </w:rPr>
              <w:t>级和</w:t>
            </w:r>
            <w:r>
              <w:rPr>
                <w:sz w:val="21"/>
              </w:rPr>
              <w:t>C</w:t>
            </w:r>
            <w:r>
              <w:rPr>
                <w:sz w:val="21"/>
              </w:rPr>
              <w:t>级的细胞生产与科学研究。</w:t>
            </w:r>
          </w:p>
        </w:tc>
      </w:tr>
      <w:tr>
        <w:tc>
          <w:tcPr>
            <w:tcW w:type="dxa" w:w="2076"/>
          </w:tcPr>
          <w:p/>
        </w:tc>
        <w:tc>
          <w:tcPr>
            <w:tcW w:type="dxa" w:w="415"/>
          </w:tcPr>
          <w:p>
            <w:pPr>
              <w:pStyle w:val="null3"/>
            </w:pPr>
            <w:r>
              <w:rPr/>
              <w:t>2</w:t>
            </w:r>
          </w:p>
        </w:tc>
        <w:tc>
          <w:tcPr>
            <w:tcW w:type="dxa" w:w="5814"/>
          </w:tcPr>
          <w:p>
            <w:pPr>
              <w:pStyle w:val="null3"/>
              <w:jc w:val="both"/>
            </w:pPr>
            <w:r>
              <w:rPr>
                <w:sz w:val="21"/>
              </w:rPr>
              <w:t>2.</w:t>
            </w:r>
            <w:r>
              <w:rPr>
                <w:sz w:val="21"/>
              </w:rPr>
              <w:t>复苏时间：≤</w:t>
            </w:r>
            <w:r>
              <w:rPr>
                <w:sz w:val="21"/>
              </w:rPr>
              <w:t>3</w:t>
            </w:r>
            <w:r>
              <w:rPr>
                <w:sz w:val="21"/>
              </w:rPr>
              <w:t>分钟（典型），样品台控温精度：≤±</w:t>
            </w:r>
            <w:r>
              <w:rPr>
                <w:sz w:val="21"/>
              </w:rPr>
              <w:t>1.0</w:t>
            </w:r>
            <w:r>
              <w:rPr>
                <w:sz w:val="21"/>
              </w:rPr>
              <w:t>℃。</w:t>
            </w:r>
          </w:p>
        </w:tc>
      </w:tr>
      <w:tr>
        <w:tc>
          <w:tcPr>
            <w:tcW w:type="dxa" w:w="2076"/>
          </w:tcPr>
          <w:p/>
        </w:tc>
        <w:tc>
          <w:tcPr>
            <w:tcW w:type="dxa" w:w="415"/>
          </w:tcPr>
          <w:p>
            <w:pPr>
              <w:pStyle w:val="null3"/>
            </w:pPr>
            <w:r>
              <w:rPr/>
              <w:t>3</w:t>
            </w:r>
          </w:p>
        </w:tc>
        <w:tc>
          <w:tcPr>
            <w:tcW w:type="dxa" w:w="5814"/>
          </w:tcPr>
          <w:p>
            <w:pPr>
              <w:pStyle w:val="null3"/>
              <w:jc w:val="both"/>
            </w:pPr>
            <w:r>
              <w:rPr>
                <w:sz w:val="21"/>
              </w:rPr>
              <w:t>3.</w:t>
            </w:r>
            <w:r>
              <w:rPr>
                <w:sz w:val="21"/>
              </w:rPr>
              <w:t>通道数量：≥</w:t>
            </w:r>
            <w:r>
              <w:rPr>
                <w:sz w:val="21"/>
              </w:rPr>
              <w:t>6</w:t>
            </w:r>
            <w:r>
              <w:rPr>
                <w:sz w:val="21"/>
              </w:rPr>
              <w:t>个</w:t>
            </w:r>
            <w:r>
              <w:rPr>
                <w:sz w:val="21"/>
              </w:rPr>
              <w:t>1.8</w:t>
            </w:r>
            <w:r>
              <w:rPr>
                <w:sz w:val="21"/>
              </w:rPr>
              <w:t>～</w:t>
            </w:r>
            <w:r>
              <w:rPr>
                <w:sz w:val="21"/>
              </w:rPr>
              <w:t>2.0 mL</w:t>
            </w:r>
            <w:r>
              <w:rPr>
                <w:sz w:val="21"/>
              </w:rPr>
              <w:t>可立冻存管，单管典型容量至少覆盖：</w:t>
            </w:r>
            <w:r>
              <w:rPr>
                <w:sz w:val="21"/>
              </w:rPr>
              <w:t xml:space="preserve">0.8 </w:t>
            </w:r>
            <w:r>
              <w:rPr>
                <w:sz w:val="21"/>
              </w:rPr>
              <w:t>～</w:t>
            </w:r>
            <w:r>
              <w:rPr>
                <w:sz w:val="21"/>
              </w:rPr>
              <w:t>1.5 mL</w:t>
            </w:r>
            <w:r>
              <w:rPr>
                <w:sz w:val="21"/>
              </w:rPr>
              <w:t>。</w:t>
            </w:r>
          </w:p>
        </w:tc>
      </w:tr>
      <w:tr>
        <w:tc>
          <w:tcPr>
            <w:tcW w:type="dxa" w:w="2076"/>
          </w:tcPr>
          <w:p/>
        </w:tc>
        <w:tc>
          <w:tcPr>
            <w:tcW w:type="dxa" w:w="415"/>
          </w:tcPr>
          <w:p>
            <w:pPr>
              <w:pStyle w:val="null3"/>
            </w:pPr>
            <w:r>
              <w:rPr/>
              <w:t>4</w:t>
            </w:r>
          </w:p>
        </w:tc>
        <w:tc>
          <w:tcPr>
            <w:tcW w:type="dxa" w:w="5814"/>
          </w:tcPr>
          <w:p>
            <w:pPr>
              <w:pStyle w:val="null3"/>
              <w:jc w:val="both"/>
            </w:pPr>
            <w:r>
              <w:rPr>
                <w:sz w:val="21"/>
              </w:rPr>
              <w:t>4.</w:t>
            </w:r>
            <w:r>
              <w:rPr>
                <w:sz w:val="21"/>
              </w:rPr>
              <w:t>安全性：可以在生物安全柜中使用。</w:t>
            </w:r>
          </w:p>
        </w:tc>
      </w:tr>
      <w:tr>
        <w:tc>
          <w:tcPr>
            <w:tcW w:type="dxa" w:w="2076"/>
          </w:tcPr>
          <w:p/>
        </w:tc>
        <w:tc>
          <w:tcPr>
            <w:tcW w:type="dxa" w:w="415"/>
          </w:tcPr>
          <w:p>
            <w:pPr>
              <w:pStyle w:val="null3"/>
            </w:pPr>
            <w:r>
              <w:rPr/>
              <w:t>5</w:t>
            </w:r>
          </w:p>
        </w:tc>
        <w:tc>
          <w:tcPr>
            <w:tcW w:type="dxa" w:w="5814"/>
          </w:tcPr>
          <w:p>
            <w:pPr>
              <w:pStyle w:val="null3"/>
              <w:jc w:val="both"/>
            </w:pPr>
            <w:r>
              <w:rPr>
                <w:sz w:val="21"/>
              </w:rPr>
              <w:t>5.</w:t>
            </w:r>
            <w:r>
              <w:rPr>
                <w:sz w:val="21"/>
              </w:rPr>
              <w:t>配备低温转运盒≥</w:t>
            </w:r>
            <w:r>
              <w:rPr>
                <w:sz w:val="21"/>
              </w:rPr>
              <w:t>1</w:t>
            </w:r>
            <w:r>
              <w:rPr>
                <w:sz w:val="21"/>
              </w:rPr>
              <w:t>个。</w:t>
            </w:r>
          </w:p>
        </w:tc>
      </w:tr>
      <w:tr>
        <w:tc>
          <w:tcPr>
            <w:tcW w:type="dxa" w:w="2076"/>
          </w:tcPr>
          <w:p/>
        </w:tc>
        <w:tc>
          <w:tcPr>
            <w:tcW w:type="dxa" w:w="415"/>
          </w:tcPr>
          <w:p>
            <w:pPr>
              <w:pStyle w:val="null3"/>
            </w:pPr>
            <w:r>
              <w:rPr/>
              <w:t>6</w:t>
            </w:r>
          </w:p>
        </w:tc>
        <w:tc>
          <w:tcPr>
            <w:tcW w:type="dxa" w:w="5814"/>
          </w:tcPr>
          <w:p>
            <w:pPr>
              <w:pStyle w:val="null3"/>
              <w:jc w:val="left"/>
            </w:pPr>
            <w:r>
              <w:rPr>
                <w:sz w:val="21"/>
              </w:rPr>
              <w:t>配置清单：</w:t>
            </w:r>
          </w:p>
          <w:p>
            <w:pPr>
              <w:pStyle w:val="null3"/>
              <w:jc w:val="both"/>
            </w:pPr>
            <w:r>
              <w:rPr>
                <w:sz w:val="21"/>
              </w:rPr>
              <w:t>1.</w:t>
            </w:r>
            <w:r>
              <w:rPr>
                <w:sz w:val="21"/>
              </w:rPr>
              <w:t>主机</w:t>
            </w:r>
            <w:r>
              <w:rPr>
                <w:sz w:val="21"/>
              </w:rPr>
              <w:t>1</w:t>
            </w:r>
            <w:r>
              <w:rPr>
                <w:sz w:val="21"/>
              </w:rPr>
              <w:t>台；</w:t>
            </w:r>
          </w:p>
        </w:tc>
      </w:tr>
      <w:tr>
        <w:tc>
          <w:tcPr>
            <w:tcW w:type="dxa" w:w="2076"/>
          </w:tcPr>
          <w:p/>
        </w:tc>
        <w:tc>
          <w:tcPr>
            <w:tcW w:type="dxa" w:w="415"/>
          </w:tcPr>
          <w:p>
            <w:pPr>
              <w:pStyle w:val="null3"/>
            </w:pPr>
            <w:r>
              <w:rPr/>
              <w:t>7</w:t>
            </w:r>
          </w:p>
        </w:tc>
        <w:tc>
          <w:tcPr>
            <w:tcW w:type="dxa" w:w="5814"/>
          </w:tcPr>
          <w:p>
            <w:pPr>
              <w:pStyle w:val="null3"/>
              <w:jc w:val="both"/>
            </w:pPr>
            <w:r>
              <w:rPr>
                <w:sz w:val="21"/>
              </w:rPr>
              <w:t>2.</w:t>
            </w:r>
            <w:r>
              <w:rPr>
                <w:sz w:val="21"/>
              </w:rPr>
              <w:t>低温转运盒≥</w:t>
            </w:r>
            <w:r>
              <w:rPr>
                <w:sz w:val="21"/>
              </w:rPr>
              <w:t>1</w:t>
            </w:r>
            <w:r>
              <w:rPr>
                <w:sz w:val="21"/>
              </w:rPr>
              <w:t>个</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高通量单液滴筛选设备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rPr>
              <w:t>一、液滴生成主要技术性能和指标：</w:t>
            </w:r>
          </w:p>
          <w:p>
            <w:pPr>
              <w:pStyle w:val="null3"/>
              <w:jc w:val="both"/>
            </w:pPr>
            <w:r>
              <w:rPr>
                <w:sz w:val="21"/>
              </w:rPr>
              <w:t>1.独立液滴生成系统，可单独置于生物安全柜或者厌氧系统工作，可与液滴分选和液滴融合同时工作，互不干扰；</w:t>
            </w:r>
          </w:p>
        </w:tc>
      </w:tr>
      <w:tr>
        <w:tc>
          <w:tcPr>
            <w:tcW w:type="dxa" w:w="2076"/>
          </w:tcPr>
          <w:p/>
        </w:tc>
        <w:tc>
          <w:tcPr>
            <w:tcW w:type="dxa" w:w="415"/>
          </w:tcPr>
          <w:p>
            <w:pPr>
              <w:pStyle w:val="null3"/>
            </w:pPr>
            <w:r>
              <w:rPr/>
              <w:t>2</w:t>
            </w:r>
          </w:p>
        </w:tc>
        <w:tc>
          <w:tcPr>
            <w:tcW w:type="dxa" w:w="5814"/>
          </w:tcPr>
          <w:p>
            <w:pPr>
              <w:pStyle w:val="null3"/>
              <w:jc w:val="both"/>
            </w:pPr>
            <w:r>
              <w:rPr>
                <w:sz w:val="21"/>
              </w:rPr>
              <w:t>2.压力输出通道数量：≥4个通道，单水相或双相液滴制备；</w:t>
            </w:r>
          </w:p>
        </w:tc>
      </w:tr>
      <w:tr>
        <w:tc>
          <w:tcPr>
            <w:tcW w:type="dxa" w:w="2076"/>
          </w:tcPr>
          <w:p/>
        </w:tc>
        <w:tc>
          <w:tcPr>
            <w:tcW w:type="dxa" w:w="415"/>
          </w:tcPr>
          <w:p>
            <w:pPr>
              <w:pStyle w:val="null3"/>
            </w:pPr>
            <w:r>
              <w:rPr/>
              <w:t>3</w:t>
            </w:r>
          </w:p>
        </w:tc>
        <w:tc>
          <w:tcPr>
            <w:tcW w:type="dxa" w:w="5814"/>
          </w:tcPr>
          <w:p>
            <w:pPr>
              <w:pStyle w:val="null3"/>
              <w:jc w:val="both"/>
            </w:pPr>
            <w:r>
              <w:rPr>
                <w:sz w:val="21"/>
              </w:rPr>
              <w:t>3.液滴生成速度：至少覆盖100～5000个液滴/秒；</w:t>
            </w:r>
          </w:p>
        </w:tc>
      </w:tr>
      <w:tr>
        <w:tc>
          <w:tcPr>
            <w:tcW w:type="dxa" w:w="2076"/>
          </w:tcPr>
          <w:p/>
        </w:tc>
        <w:tc>
          <w:tcPr>
            <w:tcW w:type="dxa" w:w="415"/>
          </w:tcPr>
          <w:p>
            <w:pPr>
              <w:pStyle w:val="null3"/>
            </w:pPr>
            <w:r>
              <w:rPr/>
              <w:t>4</w:t>
            </w:r>
          </w:p>
        </w:tc>
        <w:tc>
          <w:tcPr>
            <w:tcW w:type="dxa" w:w="5814"/>
          </w:tcPr>
          <w:p>
            <w:pPr>
              <w:pStyle w:val="null3"/>
              <w:jc w:val="both"/>
            </w:pPr>
            <w:r>
              <w:rPr>
                <w:sz w:val="21"/>
              </w:rPr>
              <w:t>4.液滴直径：至少覆盖兼容20μm-150μm；</w:t>
            </w:r>
          </w:p>
        </w:tc>
      </w:tr>
      <w:tr>
        <w:tc>
          <w:tcPr>
            <w:tcW w:type="dxa" w:w="2076"/>
          </w:tcPr>
          <w:p/>
        </w:tc>
        <w:tc>
          <w:tcPr>
            <w:tcW w:type="dxa" w:w="415"/>
          </w:tcPr>
          <w:p>
            <w:pPr>
              <w:pStyle w:val="null3"/>
            </w:pPr>
            <w:r>
              <w:rPr/>
              <w:t>5</w:t>
            </w:r>
          </w:p>
        </w:tc>
        <w:tc>
          <w:tcPr>
            <w:tcW w:type="dxa" w:w="5814"/>
          </w:tcPr>
          <w:p>
            <w:pPr>
              <w:pStyle w:val="null3"/>
              <w:jc w:val="both"/>
            </w:pPr>
            <w:r>
              <w:rPr>
                <w:sz w:val="21"/>
              </w:rPr>
              <w:t>5.液滴生成芯片：可提供标准注塑芯片，30μm/50μm/90μm液滴直径规格可选，可通过流速/压力设置，制备相近直径液滴；</w:t>
            </w:r>
          </w:p>
        </w:tc>
      </w:tr>
      <w:tr>
        <w:tc>
          <w:tcPr>
            <w:tcW w:type="dxa" w:w="2076"/>
          </w:tcPr>
          <w:p/>
        </w:tc>
        <w:tc>
          <w:tcPr>
            <w:tcW w:type="dxa" w:w="415"/>
          </w:tcPr>
          <w:p>
            <w:pPr>
              <w:pStyle w:val="null3"/>
            </w:pPr>
            <w:r>
              <w:rPr/>
              <w:t>6</w:t>
            </w:r>
          </w:p>
        </w:tc>
        <w:tc>
          <w:tcPr>
            <w:tcW w:type="dxa" w:w="5814"/>
          </w:tcPr>
          <w:p>
            <w:pPr>
              <w:pStyle w:val="null3"/>
              <w:jc w:val="both"/>
            </w:pPr>
            <w:r>
              <w:rPr>
                <w:sz w:val="21"/>
              </w:rPr>
              <w:t>6.分辨率：显微镜分辨率≤2μm；CMOS分辨率≥1280*860；</w:t>
            </w:r>
          </w:p>
        </w:tc>
      </w:tr>
      <w:tr>
        <w:tc>
          <w:tcPr>
            <w:tcW w:type="dxa" w:w="2076"/>
          </w:tcPr>
          <w:p/>
        </w:tc>
        <w:tc>
          <w:tcPr>
            <w:tcW w:type="dxa" w:w="415"/>
          </w:tcPr>
          <w:p>
            <w:pPr>
              <w:pStyle w:val="null3"/>
            </w:pPr>
            <w:r>
              <w:rPr/>
              <w:t>7</w:t>
            </w:r>
          </w:p>
        </w:tc>
        <w:tc>
          <w:tcPr>
            <w:tcW w:type="dxa" w:w="5814"/>
          </w:tcPr>
          <w:p>
            <w:pPr>
              <w:pStyle w:val="null3"/>
              <w:jc w:val="both"/>
            </w:pPr>
            <w:r>
              <w:rPr>
                <w:sz w:val="21"/>
              </w:rPr>
              <w:t>7.上样管：至少兼容1.5mL，5mL，15mL离心管；</w:t>
            </w:r>
          </w:p>
        </w:tc>
      </w:tr>
      <w:tr>
        <w:tc>
          <w:tcPr>
            <w:tcW w:type="dxa" w:w="2076"/>
          </w:tcPr>
          <w:p/>
        </w:tc>
        <w:tc>
          <w:tcPr>
            <w:tcW w:type="dxa" w:w="415"/>
          </w:tcPr>
          <w:p>
            <w:pPr>
              <w:pStyle w:val="null3"/>
            </w:pPr>
            <w:r>
              <w:rPr/>
              <w:t>8</w:t>
            </w:r>
          </w:p>
        </w:tc>
        <w:tc>
          <w:tcPr>
            <w:tcW w:type="dxa" w:w="5814"/>
          </w:tcPr>
          <w:p>
            <w:pPr>
              <w:pStyle w:val="null3"/>
              <w:jc w:val="both"/>
            </w:pPr>
            <w:r>
              <w:rPr>
                <w:sz w:val="21"/>
              </w:rPr>
              <w:t>8.控制软件：灵活的实验配置及生成设置：包括单双水相设置、液滴生成大小、加样体积等；</w:t>
            </w:r>
          </w:p>
        </w:tc>
      </w:tr>
      <w:tr>
        <w:tc>
          <w:tcPr>
            <w:tcW w:type="dxa" w:w="2076"/>
          </w:tcPr>
          <w:p/>
        </w:tc>
        <w:tc>
          <w:tcPr>
            <w:tcW w:type="dxa" w:w="415"/>
          </w:tcPr>
          <w:p>
            <w:pPr>
              <w:pStyle w:val="null3"/>
            </w:pPr>
            <w:r>
              <w:rPr/>
              <w:t>9</w:t>
            </w:r>
          </w:p>
        </w:tc>
        <w:tc>
          <w:tcPr>
            <w:tcW w:type="dxa" w:w="5814"/>
          </w:tcPr>
          <w:p>
            <w:pPr>
              <w:pStyle w:val="null3"/>
              <w:jc w:val="both"/>
            </w:pPr>
            <w:r>
              <w:rPr>
                <w:sz w:val="21"/>
              </w:rPr>
              <w:t>9.卡槽式芯片安装方式。</w:t>
            </w:r>
          </w:p>
        </w:tc>
      </w:tr>
      <w:tr>
        <w:tc>
          <w:tcPr>
            <w:tcW w:type="dxa" w:w="2076"/>
          </w:tcPr>
          <w:p/>
        </w:tc>
        <w:tc>
          <w:tcPr>
            <w:tcW w:type="dxa" w:w="415"/>
          </w:tcPr>
          <w:p>
            <w:pPr>
              <w:pStyle w:val="null3"/>
            </w:pPr>
            <w:r>
              <w:rPr/>
              <w:t>10</w:t>
            </w:r>
          </w:p>
        </w:tc>
        <w:tc>
          <w:tcPr>
            <w:tcW w:type="dxa" w:w="5814"/>
          </w:tcPr>
          <w:p>
            <w:pPr>
              <w:pStyle w:val="null3"/>
              <w:jc w:val="left"/>
            </w:pPr>
            <w:r>
              <w:rPr>
                <w:sz w:val="21"/>
              </w:rPr>
              <w:t>二、液滴融合主要技术性能和指标：</w:t>
            </w:r>
          </w:p>
          <w:p>
            <w:pPr>
              <w:pStyle w:val="null3"/>
              <w:jc w:val="both"/>
            </w:pPr>
            <w:r>
              <w:rPr>
                <w:sz w:val="21"/>
              </w:rPr>
              <w:t>1.独立液滴融合仪，可与液滴微流控分析筛选系统同时并行使用，互不干扰。</w:t>
            </w:r>
          </w:p>
        </w:tc>
      </w:tr>
      <w:tr>
        <w:tc>
          <w:tcPr>
            <w:tcW w:type="dxa" w:w="2076"/>
          </w:tcPr>
          <w:p/>
        </w:tc>
        <w:tc>
          <w:tcPr>
            <w:tcW w:type="dxa" w:w="415"/>
          </w:tcPr>
          <w:p>
            <w:pPr>
              <w:pStyle w:val="null3"/>
            </w:pPr>
            <w:r>
              <w:rPr/>
              <w:t>11</w:t>
            </w:r>
          </w:p>
        </w:tc>
        <w:tc>
          <w:tcPr>
            <w:tcW w:type="dxa" w:w="5814"/>
          </w:tcPr>
          <w:p>
            <w:pPr>
              <w:pStyle w:val="null3"/>
              <w:jc w:val="both"/>
            </w:pPr>
            <w:r>
              <w:rPr>
                <w:sz w:val="21"/>
              </w:rPr>
              <w:t>2.液体驱动通道：≥4个；</w:t>
            </w:r>
          </w:p>
        </w:tc>
      </w:tr>
      <w:tr>
        <w:tc>
          <w:tcPr>
            <w:tcW w:type="dxa" w:w="2076"/>
          </w:tcPr>
          <w:p/>
        </w:tc>
        <w:tc>
          <w:tcPr>
            <w:tcW w:type="dxa" w:w="415"/>
          </w:tcPr>
          <w:p>
            <w:pPr>
              <w:pStyle w:val="null3"/>
            </w:pPr>
            <w:r>
              <w:rPr/>
              <w:t>12</w:t>
            </w:r>
          </w:p>
        </w:tc>
        <w:tc>
          <w:tcPr>
            <w:tcW w:type="dxa" w:w="5814"/>
          </w:tcPr>
          <w:p>
            <w:pPr>
              <w:pStyle w:val="null3"/>
              <w:jc w:val="both"/>
            </w:pPr>
            <w:r>
              <w:rPr>
                <w:sz w:val="21"/>
              </w:rPr>
              <w:t>3.可兼容1mL、5mL等以及不同品牌的注射器；</w:t>
            </w:r>
          </w:p>
        </w:tc>
      </w:tr>
      <w:tr>
        <w:tc>
          <w:tcPr>
            <w:tcW w:type="dxa" w:w="2076"/>
          </w:tcPr>
          <w:p/>
        </w:tc>
        <w:tc>
          <w:tcPr>
            <w:tcW w:type="dxa" w:w="415"/>
          </w:tcPr>
          <w:p>
            <w:pPr>
              <w:pStyle w:val="null3"/>
            </w:pPr>
            <w:r>
              <w:rPr/>
              <w:t>13</w:t>
            </w:r>
          </w:p>
        </w:tc>
        <w:tc>
          <w:tcPr>
            <w:tcW w:type="dxa" w:w="5814"/>
          </w:tcPr>
          <w:p>
            <w:pPr>
              <w:pStyle w:val="null3"/>
              <w:jc w:val="both"/>
            </w:pPr>
            <w:r>
              <w:rPr>
                <w:sz w:val="21"/>
              </w:rPr>
              <w:t>4.上样体积：至少覆盖20μL-1mL；</w:t>
            </w:r>
          </w:p>
        </w:tc>
      </w:tr>
      <w:tr>
        <w:tc>
          <w:tcPr>
            <w:tcW w:type="dxa" w:w="2076"/>
          </w:tcPr>
          <w:p/>
        </w:tc>
        <w:tc>
          <w:tcPr>
            <w:tcW w:type="dxa" w:w="415"/>
          </w:tcPr>
          <w:p>
            <w:pPr>
              <w:pStyle w:val="null3"/>
            </w:pPr>
            <w:r>
              <w:rPr/>
              <w:t>14</w:t>
            </w:r>
          </w:p>
        </w:tc>
        <w:tc>
          <w:tcPr>
            <w:tcW w:type="dxa" w:w="5814"/>
          </w:tcPr>
          <w:p>
            <w:pPr>
              <w:pStyle w:val="null3"/>
              <w:jc w:val="both"/>
            </w:pPr>
            <w:r>
              <w:rPr>
                <w:sz w:val="21"/>
              </w:rPr>
              <w:t>5.至少兼容30μm 、50μm等多个尺寸液滴的注入（由选择液滴注入芯片型号决定）；</w:t>
            </w:r>
          </w:p>
        </w:tc>
      </w:tr>
      <w:tr>
        <w:tc>
          <w:tcPr>
            <w:tcW w:type="dxa" w:w="2076"/>
          </w:tcPr>
          <w:p/>
        </w:tc>
        <w:tc>
          <w:tcPr>
            <w:tcW w:type="dxa" w:w="415"/>
          </w:tcPr>
          <w:p>
            <w:pPr>
              <w:pStyle w:val="null3"/>
            </w:pPr>
            <w:r>
              <w:rPr/>
              <w:t>15</w:t>
            </w:r>
          </w:p>
        </w:tc>
        <w:tc>
          <w:tcPr>
            <w:tcW w:type="dxa" w:w="5814"/>
          </w:tcPr>
          <w:p>
            <w:pPr>
              <w:pStyle w:val="null3"/>
              <w:jc w:val="both"/>
            </w:pPr>
            <w:r>
              <w:rPr>
                <w:sz w:val="21"/>
              </w:rPr>
              <w:t>6.注入芯片有金属防护外壳作为高压防护；</w:t>
            </w:r>
          </w:p>
        </w:tc>
      </w:tr>
      <w:tr>
        <w:tc>
          <w:tcPr>
            <w:tcW w:type="dxa" w:w="2076"/>
          </w:tcPr>
          <w:p/>
        </w:tc>
        <w:tc>
          <w:tcPr>
            <w:tcW w:type="dxa" w:w="415"/>
          </w:tcPr>
          <w:p>
            <w:pPr>
              <w:pStyle w:val="null3"/>
            </w:pPr>
            <w:r>
              <w:rPr/>
              <w:t>16</w:t>
            </w:r>
          </w:p>
        </w:tc>
        <w:tc>
          <w:tcPr>
            <w:tcW w:type="dxa" w:w="5814"/>
          </w:tcPr>
          <w:p>
            <w:pPr>
              <w:pStyle w:val="null3"/>
              <w:jc w:val="both"/>
            </w:pPr>
            <w:r>
              <w:rPr>
                <w:sz w:val="21"/>
              </w:rPr>
              <w:t>7.导入液滴数量：至少覆盖百万～千万；</w:t>
            </w:r>
          </w:p>
        </w:tc>
      </w:tr>
      <w:tr>
        <w:tc>
          <w:tcPr>
            <w:tcW w:type="dxa" w:w="2076"/>
          </w:tcPr>
          <w:p/>
        </w:tc>
        <w:tc>
          <w:tcPr>
            <w:tcW w:type="dxa" w:w="415"/>
          </w:tcPr>
          <w:p>
            <w:pPr>
              <w:pStyle w:val="null3"/>
            </w:pPr>
            <w:r>
              <w:rPr/>
              <w:t>17</w:t>
            </w:r>
          </w:p>
        </w:tc>
        <w:tc>
          <w:tcPr>
            <w:tcW w:type="dxa" w:w="5814"/>
          </w:tcPr>
          <w:p>
            <w:pPr>
              <w:pStyle w:val="null3"/>
              <w:jc w:val="both"/>
            </w:pPr>
            <w:r>
              <w:rPr>
                <w:sz w:val="21"/>
              </w:rPr>
              <w:t>8.液滴注入频率：至少覆盖～1.5KHz；</w:t>
            </w:r>
          </w:p>
        </w:tc>
      </w:tr>
      <w:tr>
        <w:tc>
          <w:tcPr>
            <w:tcW w:type="dxa" w:w="2076"/>
          </w:tcPr>
          <w:p/>
        </w:tc>
        <w:tc>
          <w:tcPr>
            <w:tcW w:type="dxa" w:w="415"/>
          </w:tcPr>
          <w:p>
            <w:pPr>
              <w:pStyle w:val="null3"/>
            </w:pPr>
            <w:r>
              <w:rPr/>
              <w:t>18</w:t>
            </w:r>
          </w:p>
        </w:tc>
        <w:tc>
          <w:tcPr>
            <w:tcW w:type="dxa" w:w="5814"/>
          </w:tcPr>
          <w:p>
            <w:pPr>
              <w:pStyle w:val="null3"/>
              <w:jc w:val="both"/>
            </w:pPr>
            <w:r>
              <w:rPr>
                <w:sz w:val="21"/>
              </w:rPr>
              <w:t>9.液滴注入成功率：≥95%；</w:t>
            </w:r>
          </w:p>
        </w:tc>
      </w:tr>
      <w:tr>
        <w:tc>
          <w:tcPr>
            <w:tcW w:type="dxa" w:w="2076"/>
          </w:tcPr>
          <w:p/>
        </w:tc>
        <w:tc>
          <w:tcPr>
            <w:tcW w:type="dxa" w:w="415"/>
          </w:tcPr>
          <w:p>
            <w:pPr>
              <w:pStyle w:val="null3"/>
            </w:pPr>
            <w:r>
              <w:rPr/>
              <w:t>19</w:t>
            </w:r>
          </w:p>
        </w:tc>
        <w:tc>
          <w:tcPr>
            <w:tcW w:type="dxa" w:w="5814"/>
          </w:tcPr>
          <w:p>
            <w:pPr>
              <w:pStyle w:val="null3"/>
              <w:jc w:val="both"/>
            </w:pPr>
            <w:r>
              <w:rPr>
                <w:sz w:val="21"/>
              </w:rPr>
              <w:t>10.高速高分辨率cMOS：≥2592x2048，≥40fps；</w:t>
            </w:r>
          </w:p>
        </w:tc>
      </w:tr>
      <w:tr>
        <w:tc>
          <w:tcPr>
            <w:tcW w:type="dxa" w:w="2076"/>
          </w:tcPr>
          <w:p/>
        </w:tc>
        <w:tc>
          <w:tcPr>
            <w:tcW w:type="dxa" w:w="415"/>
          </w:tcPr>
          <w:p>
            <w:pPr>
              <w:pStyle w:val="null3"/>
            </w:pPr>
            <w:r>
              <w:rPr/>
              <w:t>20</w:t>
            </w:r>
          </w:p>
        </w:tc>
        <w:tc>
          <w:tcPr>
            <w:tcW w:type="dxa" w:w="5814"/>
          </w:tcPr>
          <w:p>
            <w:pPr>
              <w:pStyle w:val="null3"/>
              <w:jc w:val="both"/>
            </w:pPr>
            <w:r>
              <w:rPr>
                <w:sz w:val="21"/>
              </w:rPr>
              <w:t>11.显微镜分辨率：≤2μm；</w:t>
            </w:r>
          </w:p>
        </w:tc>
      </w:tr>
      <w:tr>
        <w:tc>
          <w:tcPr>
            <w:tcW w:type="dxa" w:w="2076"/>
          </w:tcPr>
          <w:p/>
        </w:tc>
        <w:tc>
          <w:tcPr>
            <w:tcW w:type="dxa" w:w="415"/>
          </w:tcPr>
          <w:p>
            <w:pPr>
              <w:pStyle w:val="null3"/>
            </w:pPr>
            <w:r>
              <w:rPr/>
              <w:t>21</w:t>
            </w:r>
          </w:p>
        </w:tc>
        <w:tc>
          <w:tcPr>
            <w:tcW w:type="dxa" w:w="5814"/>
          </w:tcPr>
          <w:p>
            <w:pPr>
              <w:pStyle w:val="null3"/>
              <w:jc w:val="left"/>
            </w:pPr>
            <w:r>
              <w:rPr>
                <w:sz w:val="21"/>
              </w:rPr>
              <w:t>12.</w:t>
            </w:r>
            <w:r>
              <w:rPr>
                <w:sz w:val="21"/>
              </w:rPr>
              <w:t>控制设备</w:t>
            </w:r>
            <w:r>
              <w:rPr>
                <w:sz w:val="21"/>
              </w:rPr>
              <w:t>：</w:t>
            </w:r>
          </w:p>
          <w:p>
            <w:pPr>
              <w:pStyle w:val="null3"/>
              <w:jc w:val="both"/>
            </w:pPr>
            <w:r>
              <w:rPr>
                <w:sz w:val="21"/>
              </w:rPr>
              <w:t>①CPU主频≥2.5GHz，最高睿频≥4.8GHz；</w:t>
            </w:r>
          </w:p>
        </w:tc>
      </w:tr>
      <w:tr>
        <w:tc>
          <w:tcPr>
            <w:tcW w:type="dxa" w:w="2076"/>
          </w:tcPr>
          <w:p/>
        </w:tc>
        <w:tc>
          <w:tcPr>
            <w:tcW w:type="dxa" w:w="415"/>
          </w:tcPr>
          <w:p>
            <w:pPr>
              <w:pStyle w:val="null3"/>
            </w:pPr>
            <w:r>
              <w:rPr/>
              <w:t>22</w:t>
            </w:r>
          </w:p>
        </w:tc>
        <w:tc>
          <w:tcPr>
            <w:tcW w:type="dxa" w:w="5814"/>
          </w:tcPr>
          <w:p>
            <w:pPr>
              <w:pStyle w:val="null3"/>
              <w:jc w:val="both"/>
            </w:pPr>
            <w:r>
              <w:rPr>
                <w:sz w:val="21"/>
              </w:rPr>
              <w:t>②运行内存≥16G，硬盘≥500G；</w:t>
            </w:r>
          </w:p>
        </w:tc>
      </w:tr>
      <w:tr>
        <w:tc>
          <w:tcPr>
            <w:tcW w:type="dxa" w:w="2076"/>
          </w:tcPr>
          <w:p/>
        </w:tc>
        <w:tc>
          <w:tcPr>
            <w:tcW w:type="dxa" w:w="415"/>
          </w:tcPr>
          <w:p>
            <w:pPr>
              <w:pStyle w:val="null3"/>
            </w:pPr>
            <w:r>
              <w:rPr/>
              <w:t>23</w:t>
            </w:r>
          </w:p>
        </w:tc>
        <w:tc>
          <w:tcPr>
            <w:tcW w:type="dxa" w:w="5814"/>
          </w:tcPr>
          <w:p>
            <w:pPr>
              <w:pStyle w:val="null3"/>
              <w:jc w:val="both"/>
            </w:pPr>
            <w:r>
              <w:rPr>
                <w:sz w:val="21"/>
              </w:rPr>
              <w:t>③显示器：≥24英寸</w:t>
            </w:r>
            <w:r>
              <w:rPr>
                <w:sz w:val="21"/>
              </w:rPr>
              <w:t>图形输出设备</w:t>
            </w:r>
            <w:r>
              <w:rPr>
                <w:sz w:val="21"/>
              </w:rPr>
              <w:t>，分辨率</w:t>
            </w:r>
            <w:r>
              <w:rPr>
                <w:sz w:val="21"/>
              </w:rPr>
              <w:t>≥2560x1080。</w:t>
            </w:r>
          </w:p>
        </w:tc>
      </w:tr>
      <w:tr>
        <w:tc>
          <w:tcPr>
            <w:tcW w:type="dxa" w:w="2076"/>
          </w:tcPr>
          <w:p/>
        </w:tc>
        <w:tc>
          <w:tcPr>
            <w:tcW w:type="dxa" w:w="415"/>
          </w:tcPr>
          <w:p>
            <w:pPr>
              <w:pStyle w:val="null3"/>
            </w:pPr>
            <w:r>
              <w:rPr/>
              <w:t>24</w:t>
            </w:r>
          </w:p>
        </w:tc>
        <w:tc>
          <w:tcPr>
            <w:tcW w:type="dxa" w:w="5814"/>
          </w:tcPr>
          <w:p>
            <w:pPr>
              <w:pStyle w:val="null3"/>
              <w:jc w:val="left"/>
            </w:pPr>
            <w:r>
              <w:rPr>
                <w:sz w:val="21"/>
              </w:rPr>
              <w:t>设备清单</w:t>
            </w:r>
          </w:p>
          <w:p>
            <w:pPr>
              <w:pStyle w:val="null3"/>
              <w:jc w:val="both"/>
            </w:pPr>
            <w:r>
              <w:rPr>
                <w:sz w:val="21"/>
              </w:rPr>
              <w:t>1.主机一台</w:t>
            </w:r>
          </w:p>
        </w:tc>
      </w:tr>
      <w:tr>
        <w:tc>
          <w:tcPr>
            <w:tcW w:type="dxa" w:w="2076"/>
          </w:tcPr>
          <w:p/>
        </w:tc>
        <w:tc>
          <w:tcPr>
            <w:tcW w:type="dxa" w:w="415"/>
          </w:tcPr>
          <w:p>
            <w:pPr>
              <w:pStyle w:val="null3"/>
            </w:pPr>
            <w:r>
              <w:rPr/>
              <w:t>25</w:t>
            </w:r>
          </w:p>
        </w:tc>
        <w:tc>
          <w:tcPr>
            <w:tcW w:type="dxa" w:w="5814"/>
          </w:tcPr>
          <w:p>
            <w:pPr>
              <w:pStyle w:val="null3"/>
              <w:jc w:val="both"/>
            </w:pPr>
            <w:r>
              <w:rPr>
                <w:sz w:val="21"/>
              </w:rPr>
              <w:t>2.控制设备1套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类器官洁净工作设备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1.垂直流洁净台，双人单面操作，工作区台面宽度≥1400mm；</w:t>
            </w:r>
          </w:p>
        </w:tc>
      </w:tr>
      <w:tr>
        <w:tc>
          <w:tcPr>
            <w:tcW w:type="dxa" w:w="2076"/>
          </w:tcPr>
          <w:p/>
        </w:tc>
        <w:tc>
          <w:tcPr>
            <w:tcW w:type="dxa" w:w="415"/>
          </w:tcPr>
          <w:p>
            <w:pPr>
              <w:pStyle w:val="null3"/>
            </w:pPr>
            <w:r>
              <w:rPr/>
              <w:t>2</w:t>
            </w:r>
          </w:p>
        </w:tc>
        <w:tc>
          <w:tcPr>
            <w:tcW w:type="dxa" w:w="5814"/>
          </w:tcPr>
          <w:p>
            <w:pPr>
              <w:pStyle w:val="null3"/>
              <w:jc w:val="both"/>
            </w:pPr>
            <w:r>
              <w:rPr>
                <w:sz w:val="21"/>
              </w:rPr>
              <w:t>2.风速范围：0.28—0.36m/s，具有三档或三档以上不同风速模式可选；</w:t>
            </w:r>
          </w:p>
        </w:tc>
      </w:tr>
      <w:tr>
        <w:tc>
          <w:tcPr>
            <w:tcW w:type="dxa" w:w="2076"/>
          </w:tcPr>
          <w:p/>
        </w:tc>
        <w:tc>
          <w:tcPr>
            <w:tcW w:type="dxa" w:w="415"/>
          </w:tcPr>
          <w:p>
            <w:pPr>
              <w:pStyle w:val="null3"/>
            </w:pPr>
            <w:r>
              <w:rPr/>
              <w:t>3</w:t>
            </w:r>
          </w:p>
        </w:tc>
        <w:tc>
          <w:tcPr>
            <w:tcW w:type="dxa" w:w="5814"/>
          </w:tcPr>
          <w:p>
            <w:pPr>
              <w:pStyle w:val="null3"/>
              <w:jc w:val="both"/>
            </w:pPr>
            <w:r>
              <w:rPr>
                <w:sz w:val="21"/>
              </w:rPr>
              <w:t>3.工作台面采用304不锈钢材质；</w:t>
            </w:r>
          </w:p>
        </w:tc>
      </w:tr>
      <w:tr>
        <w:tc>
          <w:tcPr>
            <w:tcW w:type="dxa" w:w="2076"/>
          </w:tcPr>
          <w:p/>
        </w:tc>
        <w:tc>
          <w:tcPr>
            <w:tcW w:type="dxa" w:w="415"/>
          </w:tcPr>
          <w:p>
            <w:pPr>
              <w:pStyle w:val="null3"/>
            </w:pPr>
            <w:r>
              <w:rPr/>
              <w:t>4</w:t>
            </w:r>
          </w:p>
        </w:tc>
        <w:tc>
          <w:tcPr>
            <w:tcW w:type="dxa" w:w="5814"/>
          </w:tcPr>
          <w:p>
            <w:pPr>
              <w:pStyle w:val="null3"/>
              <w:jc w:val="both"/>
            </w:pPr>
            <w:r>
              <w:rPr>
                <w:sz w:val="21"/>
              </w:rPr>
              <w:t>4.采用整体式HEPA高效空气过滤器过滤，过滤效率≥99.99%；洁净度等级：不低于ISO 5级；</w:t>
            </w:r>
          </w:p>
        </w:tc>
      </w:tr>
      <w:tr>
        <w:tc>
          <w:tcPr>
            <w:tcW w:type="dxa" w:w="2076"/>
          </w:tcPr>
          <w:p/>
        </w:tc>
        <w:tc>
          <w:tcPr>
            <w:tcW w:type="dxa" w:w="415"/>
          </w:tcPr>
          <w:p>
            <w:pPr>
              <w:pStyle w:val="null3"/>
            </w:pPr>
            <w:r>
              <w:rPr/>
              <w:t>5</w:t>
            </w:r>
          </w:p>
        </w:tc>
        <w:tc>
          <w:tcPr>
            <w:tcW w:type="dxa" w:w="5814"/>
          </w:tcPr>
          <w:p>
            <w:pPr>
              <w:pStyle w:val="null3"/>
              <w:jc w:val="both"/>
            </w:pPr>
            <w:r>
              <w:rPr>
                <w:sz w:val="21"/>
              </w:rPr>
              <w:t>5.配备预过滤器，拦截大的颗粒物及杂质；</w:t>
            </w:r>
          </w:p>
        </w:tc>
      </w:tr>
      <w:tr>
        <w:tc>
          <w:tcPr>
            <w:tcW w:type="dxa" w:w="2076"/>
          </w:tcPr>
          <w:p/>
        </w:tc>
        <w:tc>
          <w:tcPr>
            <w:tcW w:type="dxa" w:w="415"/>
          </w:tcPr>
          <w:p>
            <w:pPr>
              <w:pStyle w:val="null3"/>
            </w:pPr>
            <w:r>
              <w:rPr/>
              <w:t>6</w:t>
            </w:r>
          </w:p>
        </w:tc>
        <w:tc>
          <w:tcPr>
            <w:tcW w:type="dxa" w:w="5814"/>
          </w:tcPr>
          <w:p>
            <w:pPr>
              <w:pStyle w:val="null3"/>
              <w:jc w:val="both"/>
            </w:pPr>
            <w:r>
              <w:rPr>
                <w:sz w:val="21"/>
              </w:rPr>
              <w:t>6.0-5°倾斜角设计的钢化玻璃门；</w:t>
            </w:r>
          </w:p>
        </w:tc>
      </w:tr>
      <w:tr>
        <w:tc>
          <w:tcPr>
            <w:tcW w:type="dxa" w:w="2076"/>
          </w:tcPr>
          <w:p/>
        </w:tc>
        <w:tc>
          <w:tcPr>
            <w:tcW w:type="dxa" w:w="415"/>
          </w:tcPr>
          <w:p>
            <w:pPr>
              <w:pStyle w:val="null3"/>
            </w:pPr>
            <w:r>
              <w:rPr/>
              <w:t>7</w:t>
            </w:r>
          </w:p>
        </w:tc>
        <w:tc>
          <w:tcPr>
            <w:tcW w:type="dxa" w:w="5814"/>
          </w:tcPr>
          <w:p>
            <w:pPr>
              <w:pStyle w:val="null3"/>
              <w:jc w:val="both"/>
            </w:pPr>
            <w:r>
              <w:rPr>
                <w:sz w:val="21"/>
              </w:rPr>
              <w:t>7.玻璃门采用配重块升降方式；</w:t>
            </w:r>
          </w:p>
        </w:tc>
      </w:tr>
      <w:tr>
        <w:tc>
          <w:tcPr>
            <w:tcW w:type="dxa" w:w="2076"/>
          </w:tcPr>
          <w:p/>
        </w:tc>
        <w:tc>
          <w:tcPr>
            <w:tcW w:type="dxa" w:w="415"/>
          </w:tcPr>
          <w:p>
            <w:pPr>
              <w:pStyle w:val="null3"/>
            </w:pPr>
            <w:r>
              <w:rPr/>
              <w:t>8</w:t>
            </w:r>
          </w:p>
        </w:tc>
        <w:tc>
          <w:tcPr>
            <w:tcW w:type="dxa" w:w="5814"/>
          </w:tcPr>
          <w:p>
            <w:pPr>
              <w:pStyle w:val="null3"/>
              <w:jc w:val="both"/>
            </w:pPr>
            <w:r>
              <w:rPr>
                <w:sz w:val="21"/>
              </w:rPr>
              <w:t>8.配备玻璃门锁；</w:t>
            </w:r>
          </w:p>
        </w:tc>
      </w:tr>
      <w:tr>
        <w:tc>
          <w:tcPr>
            <w:tcW w:type="dxa" w:w="2076"/>
          </w:tcPr>
          <w:p/>
        </w:tc>
        <w:tc>
          <w:tcPr>
            <w:tcW w:type="dxa" w:w="415"/>
          </w:tcPr>
          <w:p>
            <w:pPr>
              <w:pStyle w:val="null3"/>
            </w:pPr>
            <w:r>
              <w:rPr/>
              <w:t>9</w:t>
            </w:r>
          </w:p>
        </w:tc>
        <w:tc>
          <w:tcPr>
            <w:tcW w:type="dxa" w:w="5814"/>
          </w:tcPr>
          <w:p>
            <w:pPr>
              <w:pStyle w:val="null3"/>
              <w:jc w:val="both"/>
            </w:pPr>
            <w:r>
              <w:rPr>
                <w:sz w:val="21"/>
              </w:rPr>
              <w:t>9.配备移动脚轮；</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类器官冻存液氮设备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1.最大可贮存样品（2ml冻存管）≥6000个；</w:t>
            </w:r>
          </w:p>
        </w:tc>
      </w:tr>
      <w:tr>
        <w:tc>
          <w:tcPr>
            <w:tcW w:type="dxa" w:w="2076"/>
          </w:tcPr>
          <w:p/>
        </w:tc>
        <w:tc>
          <w:tcPr>
            <w:tcW w:type="dxa" w:w="415"/>
          </w:tcPr>
          <w:p>
            <w:pPr>
              <w:pStyle w:val="null3"/>
            </w:pPr>
            <w:r>
              <w:rPr/>
              <w:t>2</w:t>
            </w:r>
          </w:p>
        </w:tc>
        <w:tc>
          <w:tcPr>
            <w:tcW w:type="dxa" w:w="5814"/>
          </w:tcPr>
          <w:p>
            <w:pPr>
              <w:pStyle w:val="null3"/>
              <w:jc w:val="both"/>
            </w:pPr>
            <w:r>
              <w:rPr>
                <w:sz w:val="21"/>
              </w:rPr>
              <w:t>2.每个方提筒冻存盒数≤10个；</w:t>
            </w:r>
          </w:p>
        </w:tc>
      </w:tr>
      <w:tr>
        <w:tc>
          <w:tcPr>
            <w:tcW w:type="dxa" w:w="2076"/>
          </w:tcPr>
          <w:p/>
        </w:tc>
        <w:tc>
          <w:tcPr>
            <w:tcW w:type="dxa" w:w="415"/>
          </w:tcPr>
          <w:p>
            <w:pPr>
              <w:pStyle w:val="null3"/>
            </w:pPr>
            <w:r>
              <w:rPr/>
              <w:t>3</w:t>
            </w:r>
          </w:p>
        </w:tc>
        <w:tc>
          <w:tcPr>
            <w:tcW w:type="dxa" w:w="5814"/>
          </w:tcPr>
          <w:p>
            <w:pPr>
              <w:pStyle w:val="null3"/>
              <w:jc w:val="both"/>
            </w:pPr>
            <w:r>
              <w:rPr>
                <w:sz w:val="21"/>
              </w:rPr>
              <w:t>3.每盒冻存管数（100格/盒）≥100；</w:t>
            </w:r>
          </w:p>
        </w:tc>
      </w:tr>
      <w:tr>
        <w:tc>
          <w:tcPr>
            <w:tcW w:type="dxa" w:w="2076"/>
          </w:tcPr>
          <w:p/>
        </w:tc>
        <w:tc>
          <w:tcPr>
            <w:tcW w:type="dxa" w:w="415"/>
          </w:tcPr>
          <w:p>
            <w:pPr>
              <w:pStyle w:val="null3"/>
            </w:pPr>
            <w:r>
              <w:rPr/>
              <w:t>4</w:t>
            </w:r>
          </w:p>
        </w:tc>
        <w:tc>
          <w:tcPr>
            <w:tcW w:type="dxa" w:w="5814"/>
          </w:tcPr>
          <w:p>
            <w:pPr>
              <w:pStyle w:val="null3"/>
              <w:jc w:val="both"/>
            </w:pPr>
            <w:r>
              <w:rPr>
                <w:sz w:val="21"/>
              </w:rPr>
              <w:t>4.提筒数量：≥6个；</w:t>
            </w:r>
          </w:p>
        </w:tc>
      </w:tr>
      <w:tr>
        <w:tc>
          <w:tcPr>
            <w:tcW w:type="dxa" w:w="2076"/>
          </w:tcPr>
          <w:p/>
        </w:tc>
        <w:tc>
          <w:tcPr>
            <w:tcW w:type="dxa" w:w="415"/>
          </w:tcPr>
          <w:p>
            <w:pPr>
              <w:pStyle w:val="null3"/>
            </w:pPr>
            <w:r>
              <w:rPr/>
              <w:t>5</w:t>
            </w:r>
          </w:p>
        </w:tc>
        <w:tc>
          <w:tcPr>
            <w:tcW w:type="dxa" w:w="5814"/>
          </w:tcPr>
          <w:p>
            <w:pPr>
              <w:pStyle w:val="null3"/>
              <w:jc w:val="both"/>
            </w:pPr>
            <w:r>
              <w:rPr>
                <w:sz w:val="21"/>
              </w:rPr>
              <w:t>5.几何容积：≥175L；</w:t>
            </w:r>
          </w:p>
        </w:tc>
      </w:tr>
      <w:tr>
        <w:tc>
          <w:tcPr>
            <w:tcW w:type="dxa" w:w="2076"/>
          </w:tcPr>
          <w:p/>
        </w:tc>
        <w:tc>
          <w:tcPr>
            <w:tcW w:type="dxa" w:w="415"/>
          </w:tcPr>
          <w:p>
            <w:pPr>
              <w:pStyle w:val="null3"/>
            </w:pPr>
            <w:r>
              <w:rPr/>
              <w:t>6</w:t>
            </w:r>
          </w:p>
        </w:tc>
        <w:tc>
          <w:tcPr>
            <w:tcW w:type="dxa" w:w="5814"/>
          </w:tcPr>
          <w:p>
            <w:pPr>
              <w:pStyle w:val="null3"/>
              <w:jc w:val="both"/>
            </w:pPr>
            <w:r>
              <w:rPr>
                <w:sz w:val="21"/>
              </w:rPr>
              <w:t>6.口径：≥210mm；</w:t>
            </w:r>
          </w:p>
        </w:tc>
      </w:tr>
      <w:tr>
        <w:tc>
          <w:tcPr>
            <w:tcW w:type="dxa" w:w="2076"/>
          </w:tcPr>
          <w:p/>
        </w:tc>
        <w:tc>
          <w:tcPr>
            <w:tcW w:type="dxa" w:w="415"/>
          </w:tcPr>
          <w:p>
            <w:pPr>
              <w:pStyle w:val="null3"/>
            </w:pPr>
            <w:r>
              <w:rPr/>
              <w:t>7</w:t>
            </w:r>
          </w:p>
        </w:tc>
        <w:tc>
          <w:tcPr>
            <w:tcW w:type="dxa" w:w="5814"/>
          </w:tcPr>
          <w:p>
            <w:pPr>
              <w:pStyle w:val="null3"/>
              <w:jc w:val="both"/>
            </w:pPr>
            <w:r>
              <w:rPr>
                <w:sz w:val="21"/>
              </w:rPr>
              <w:t>7.外径：≥650mm；</w:t>
            </w:r>
          </w:p>
        </w:tc>
      </w:tr>
      <w:tr>
        <w:tc>
          <w:tcPr>
            <w:tcW w:type="dxa" w:w="2076"/>
          </w:tcPr>
          <w:p/>
        </w:tc>
        <w:tc>
          <w:tcPr>
            <w:tcW w:type="dxa" w:w="415"/>
          </w:tcPr>
          <w:p>
            <w:pPr>
              <w:pStyle w:val="null3"/>
            </w:pPr>
            <w:r>
              <w:rPr/>
              <w:t>8</w:t>
            </w:r>
          </w:p>
        </w:tc>
        <w:tc>
          <w:tcPr>
            <w:tcW w:type="dxa" w:w="5814"/>
          </w:tcPr>
          <w:p>
            <w:pPr>
              <w:pStyle w:val="null3"/>
              <w:jc w:val="both"/>
            </w:pPr>
            <w:r>
              <w:rPr>
                <w:sz w:val="21"/>
              </w:rPr>
              <w:t>8.高度：≥1000mm；</w:t>
            </w:r>
          </w:p>
        </w:tc>
      </w:tr>
      <w:tr>
        <w:tc>
          <w:tcPr>
            <w:tcW w:type="dxa" w:w="2076"/>
          </w:tcPr>
          <w:p/>
        </w:tc>
        <w:tc>
          <w:tcPr>
            <w:tcW w:type="dxa" w:w="415"/>
          </w:tcPr>
          <w:p>
            <w:pPr>
              <w:pStyle w:val="null3"/>
            </w:pPr>
            <w:r>
              <w:rPr/>
              <w:t>9</w:t>
            </w:r>
          </w:p>
        </w:tc>
        <w:tc>
          <w:tcPr>
            <w:tcW w:type="dxa" w:w="5814"/>
          </w:tcPr>
          <w:p>
            <w:pPr>
              <w:pStyle w:val="null3"/>
              <w:jc w:val="both"/>
            </w:pPr>
            <w:r>
              <w:rPr>
                <w:sz w:val="21"/>
              </w:rPr>
              <w:t>9.空重≤55KG；</w:t>
            </w:r>
          </w:p>
        </w:tc>
      </w:tr>
      <w:tr>
        <w:tc>
          <w:tcPr>
            <w:tcW w:type="dxa" w:w="2076"/>
          </w:tcPr>
          <w:p/>
        </w:tc>
        <w:tc>
          <w:tcPr>
            <w:tcW w:type="dxa" w:w="415"/>
          </w:tcPr>
          <w:p>
            <w:pPr>
              <w:pStyle w:val="null3"/>
            </w:pPr>
            <w:r>
              <w:rPr/>
              <w:t>10</w:t>
            </w:r>
          </w:p>
        </w:tc>
        <w:tc>
          <w:tcPr>
            <w:tcW w:type="dxa" w:w="5814"/>
          </w:tcPr>
          <w:p>
            <w:pPr>
              <w:pStyle w:val="null3"/>
              <w:jc w:val="both"/>
            </w:pPr>
            <w:r>
              <w:rPr>
                <w:sz w:val="21"/>
              </w:rPr>
              <w:t>10.静态液氮日蒸发量≤0.95L；</w:t>
            </w:r>
          </w:p>
        </w:tc>
      </w:tr>
      <w:tr>
        <w:tc>
          <w:tcPr>
            <w:tcW w:type="dxa" w:w="2076"/>
          </w:tcPr>
          <w:p/>
        </w:tc>
        <w:tc>
          <w:tcPr>
            <w:tcW w:type="dxa" w:w="415"/>
          </w:tcPr>
          <w:p>
            <w:pPr>
              <w:pStyle w:val="null3"/>
            </w:pPr>
            <w:r>
              <w:rPr/>
              <w:t>11</w:t>
            </w:r>
          </w:p>
        </w:tc>
        <w:tc>
          <w:tcPr>
            <w:tcW w:type="dxa" w:w="5814"/>
          </w:tcPr>
          <w:p>
            <w:pPr>
              <w:pStyle w:val="null3"/>
              <w:jc w:val="both"/>
            </w:pPr>
            <w:r>
              <w:rPr>
                <w:sz w:val="21"/>
              </w:rPr>
              <w:t>11.静态液氮保存期≥180天；</w:t>
            </w:r>
          </w:p>
        </w:tc>
      </w:tr>
      <w:tr>
        <w:tc>
          <w:tcPr>
            <w:tcW w:type="dxa" w:w="2076"/>
          </w:tcPr>
          <w:p/>
        </w:tc>
        <w:tc>
          <w:tcPr>
            <w:tcW w:type="dxa" w:w="415"/>
          </w:tcPr>
          <w:p>
            <w:pPr>
              <w:pStyle w:val="null3"/>
            </w:pPr>
            <w:r>
              <w:rPr/>
              <w:t>12</w:t>
            </w:r>
          </w:p>
        </w:tc>
        <w:tc>
          <w:tcPr>
            <w:tcW w:type="dxa" w:w="5814"/>
          </w:tcPr>
          <w:p>
            <w:pPr>
              <w:pStyle w:val="null3"/>
              <w:jc w:val="both"/>
            </w:pPr>
            <w:r>
              <w:rPr>
                <w:sz w:val="21"/>
              </w:rPr>
              <w:t>12.铝合金材质；</w:t>
            </w:r>
          </w:p>
        </w:tc>
      </w:tr>
      <w:tr>
        <w:tc>
          <w:tcPr>
            <w:tcW w:type="dxa" w:w="2076"/>
          </w:tcPr>
          <w:p/>
        </w:tc>
        <w:tc>
          <w:tcPr>
            <w:tcW w:type="dxa" w:w="415"/>
          </w:tcPr>
          <w:p>
            <w:pPr>
              <w:pStyle w:val="null3"/>
            </w:pPr>
            <w:r>
              <w:rPr/>
              <w:t>13</w:t>
            </w:r>
          </w:p>
        </w:tc>
        <w:tc>
          <w:tcPr>
            <w:tcW w:type="dxa" w:w="5814"/>
          </w:tcPr>
          <w:p>
            <w:pPr>
              <w:pStyle w:val="null3"/>
              <w:jc w:val="both"/>
            </w:pPr>
            <w:r>
              <w:rPr>
                <w:sz w:val="21"/>
              </w:rPr>
              <w:t>13.标配锁盖；</w:t>
            </w:r>
          </w:p>
        </w:tc>
      </w:tr>
      <w:tr>
        <w:tc>
          <w:tcPr>
            <w:tcW w:type="dxa" w:w="2076"/>
          </w:tcPr>
          <w:p/>
        </w:tc>
        <w:tc>
          <w:tcPr>
            <w:tcW w:type="dxa" w:w="415"/>
          </w:tcPr>
          <w:p>
            <w:pPr>
              <w:pStyle w:val="null3"/>
            </w:pPr>
            <w:r>
              <w:rPr/>
              <w:t>14</w:t>
            </w:r>
          </w:p>
        </w:tc>
        <w:tc>
          <w:tcPr>
            <w:tcW w:type="dxa" w:w="5814"/>
          </w:tcPr>
          <w:p>
            <w:pPr>
              <w:pStyle w:val="null3"/>
              <w:jc w:val="both"/>
            </w:pPr>
            <w:r>
              <w:rPr>
                <w:sz w:val="21"/>
              </w:rPr>
              <w:t>14.液氮罐1台；</w:t>
            </w:r>
          </w:p>
        </w:tc>
      </w:tr>
      <w:tr>
        <w:tc>
          <w:tcPr>
            <w:tcW w:type="dxa" w:w="2076"/>
          </w:tcPr>
          <w:p/>
        </w:tc>
        <w:tc>
          <w:tcPr>
            <w:tcW w:type="dxa" w:w="415"/>
          </w:tcPr>
          <w:p>
            <w:pPr>
              <w:pStyle w:val="null3"/>
            </w:pPr>
            <w:r>
              <w:rPr/>
              <w:t>15</w:t>
            </w:r>
          </w:p>
        </w:tc>
        <w:tc>
          <w:tcPr>
            <w:tcW w:type="dxa" w:w="5814"/>
          </w:tcPr>
          <w:p>
            <w:pPr>
              <w:pStyle w:val="null3"/>
              <w:jc w:val="both"/>
            </w:pPr>
            <w:r>
              <w:rPr>
                <w:sz w:val="21"/>
              </w:rPr>
              <w:t>15.标配</w:t>
            </w:r>
            <w:r>
              <w:rPr>
                <w:sz w:val="21"/>
              </w:rPr>
              <w:t>至少</w:t>
            </w:r>
            <w:r>
              <w:rPr>
                <w:sz w:val="21"/>
              </w:rPr>
              <w:t>6个10层方提桶；</w:t>
            </w:r>
          </w:p>
        </w:tc>
      </w:tr>
      <w:tr>
        <w:tc>
          <w:tcPr>
            <w:tcW w:type="dxa" w:w="2076"/>
          </w:tcPr>
          <w:p/>
        </w:tc>
        <w:tc>
          <w:tcPr>
            <w:tcW w:type="dxa" w:w="415"/>
          </w:tcPr>
          <w:p>
            <w:pPr>
              <w:pStyle w:val="null3"/>
            </w:pPr>
            <w:r>
              <w:rPr/>
              <w:t>16</w:t>
            </w:r>
          </w:p>
        </w:tc>
        <w:tc>
          <w:tcPr>
            <w:tcW w:type="dxa" w:w="5814"/>
          </w:tcPr>
          <w:p>
            <w:pPr>
              <w:pStyle w:val="null3"/>
              <w:jc w:val="both"/>
            </w:pPr>
            <w:r>
              <w:rPr>
                <w:sz w:val="21"/>
              </w:rPr>
              <w:t>16.适配冻存盒；</w:t>
            </w:r>
          </w:p>
        </w:tc>
      </w:tr>
      <w:tr>
        <w:tc>
          <w:tcPr>
            <w:tcW w:type="dxa" w:w="2076"/>
          </w:tcPr>
          <w:p/>
        </w:tc>
        <w:tc>
          <w:tcPr>
            <w:tcW w:type="dxa" w:w="415"/>
          </w:tcPr>
          <w:p>
            <w:pPr>
              <w:pStyle w:val="null3"/>
            </w:pPr>
            <w:r>
              <w:rPr/>
              <w:t>17</w:t>
            </w:r>
          </w:p>
        </w:tc>
        <w:tc>
          <w:tcPr>
            <w:tcW w:type="dxa" w:w="5814"/>
          </w:tcPr>
          <w:p>
            <w:pPr>
              <w:pStyle w:val="null3"/>
              <w:jc w:val="both"/>
            </w:pPr>
            <w:r>
              <w:rPr>
                <w:sz w:val="21"/>
              </w:rPr>
              <w:t>17.适配锁盖。</w:t>
            </w:r>
          </w:p>
        </w:tc>
      </w:tr>
      <w:tr>
        <w:tc>
          <w:tcPr>
            <w:tcW w:type="dxa" w:w="2076"/>
          </w:tcPr>
          <w:p/>
        </w:tc>
        <w:tc>
          <w:tcPr>
            <w:tcW w:type="dxa" w:w="415"/>
          </w:tcPr>
          <w:p>
            <w:pPr>
              <w:pStyle w:val="null3"/>
            </w:pPr>
            <w:r>
              <w:rPr/>
              <w:t>18</w:t>
            </w:r>
          </w:p>
        </w:tc>
        <w:tc>
          <w:tcPr>
            <w:tcW w:type="dxa" w:w="5814"/>
          </w:tcPr>
          <w:p>
            <w:pPr>
              <w:pStyle w:val="null3"/>
              <w:jc w:val="left"/>
            </w:pPr>
            <w:r>
              <w:rPr>
                <w:sz w:val="21"/>
              </w:rPr>
              <w:t>液氮储存设备清单</w:t>
            </w:r>
          </w:p>
          <w:p>
            <w:pPr>
              <w:pStyle w:val="null3"/>
              <w:jc w:val="both"/>
            </w:pPr>
            <w:r>
              <w:rPr>
                <w:sz w:val="21"/>
              </w:rPr>
              <w:t>1.储存罐1个；</w:t>
            </w:r>
          </w:p>
        </w:tc>
      </w:tr>
      <w:tr>
        <w:tc>
          <w:tcPr>
            <w:tcW w:type="dxa" w:w="2076"/>
          </w:tcPr>
          <w:p/>
        </w:tc>
        <w:tc>
          <w:tcPr>
            <w:tcW w:type="dxa" w:w="415"/>
          </w:tcPr>
          <w:p>
            <w:pPr>
              <w:pStyle w:val="null3"/>
            </w:pPr>
            <w:r>
              <w:rPr/>
              <w:t>19</w:t>
            </w:r>
          </w:p>
        </w:tc>
        <w:tc>
          <w:tcPr>
            <w:tcW w:type="dxa" w:w="5814"/>
          </w:tcPr>
          <w:p>
            <w:pPr>
              <w:pStyle w:val="null3"/>
              <w:jc w:val="both"/>
            </w:pPr>
            <w:r>
              <w:rPr>
                <w:sz w:val="21"/>
              </w:rPr>
              <w:t>2.提筒不少于6个；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超低温冰箱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1.工作温度范围：-50℃至-86℃，工作温度设定点可调节；</w:t>
            </w:r>
          </w:p>
        </w:tc>
      </w:tr>
      <w:tr>
        <w:tc>
          <w:tcPr>
            <w:tcW w:type="dxa" w:w="2076"/>
          </w:tcPr>
          <w:p/>
        </w:tc>
        <w:tc>
          <w:tcPr>
            <w:tcW w:type="dxa" w:w="415"/>
          </w:tcPr>
          <w:p>
            <w:pPr>
              <w:pStyle w:val="null3"/>
            </w:pPr>
            <w:r>
              <w:rPr/>
              <w:t>2</w:t>
            </w:r>
          </w:p>
        </w:tc>
        <w:tc>
          <w:tcPr>
            <w:tcW w:type="dxa" w:w="5814"/>
          </w:tcPr>
          <w:p>
            <w:pPr>
              <w:pStyle w:val="null3"/>
              <w:jc w:val="both"/>
            </w:pPr>
            <w:r>
              <w:rPr>
                <w:sz w:val="21"/>
              </w:rPr>
              <w:t>2.内部容积：≥600L，2英寸冻存盒的存放数量≥500个；</w:t>
            </w:r>
          </w:p>
        </w:tc>
      </w:tr>
      <w:tr>
        <w:tc>
          <w:tcPr>
            <w:tcW w:type="dxa" w:w="2076"/>
          </w:tcPr>
          <w:p/>
        </w:tc>
        <w:tc>
          <w:tcPr>
            <w:tcW w:type="dxa" w:w="415"/>
          </w:tcPr>
          <w:p>
            <w:pPr>
              <w:pStyle w:val="null3"/>
            </w:pPr>
            <w:r>
              <w:rPr/>
              <w:t>3</w:t>
            </w:r>
          </w:p>
        </w:tc>
        <w:tc>
          <w:tcPr>
            <w:tcW w:type="dxa" w:w="5814"/>
          </w:tcPr>
          <w:p>
            <w:pPr>
              <w:pStyle w:val="null3"/>
              <w:jc w:val="both"/>
            </w:pPr>
            <w:r>
              <w:rPr>
                <w:sz w:val="21"/>
              </w:rPr>
              <w:t>3.外部尺寸（H*D*W）≦1985*980*970(mm)；</w:t>
            </w:r>
          </w:p>
        </w:tc>
      </w:tr>
      <w:tr>
        <w:tc>
          <w:tcPr>
            <w:tcW w:type="dxa" w:w="2076"/>
          </w:tcPr>
          <w:p/>
        </w:tc>
        <w:tc>
          <w:tcPr>
            <w:tcW w:type="dxa" w:w="415"/>
          </w:tcPr>
          <w:p>
            <w:pPr>
              <w:pStyle w:val="null3"/>
            </w:pPr>
            <w:r>
              <w:rPr/>
              <w:t>4</w:t>
            </w:r>
          </w:p>
        </w:tc>
        <w:tc>
          <w:tcPr>
            <w:tcW w:type="dxa" w:w="5814"/>
          </w:tcPr>
          <w:p>
            <w:pPr>
              <w:pStyle w:val="null3"/>
              <w:jc w:val="both"/>
            </w:pPr>
            <w:r>
              <w:rPr>
                <w:sz w:val="21"/>
              </w:rPr>
              <w:t>4.室温20℃断电时，空载的情况下从-80℃升温到-50℃的时间≥300分钟；</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五邑大学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参照《广东省物价局粤价函〔2013〕1233号》规定的货物招标标准费率下浮20%计取。按标准费率下浮20%后计算不足人民币肆仟元的，按最低收费人民币肆仟元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见《广东省财政厅广东省地方金融监督管理局中国人民银行广州分行关于开展省级政府采购合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政府采购监督管理机构名称：江门市财政局</w:t>
      </w:r>
    </w:p>
    <w:p>
      <w:pPr>
        <w:pStyle w:val="null3"/>
      </w:pPr>
      <w:r>
        <w:rPr/>
        <w:t>地 址：江门市蓬江区华园中路21-23号</w:t>
      </w:r>
    </w:p>
    <w:p>
      <w:pPr>
        <w:pStyle w:val="null3"/>
      </w:pPr>
      <w:r>
        <w:rPr/>
        <w:t>电 话：0750-3501936、0750-3501903</w:t>
      </w:r>
    </w:p>
    <w:p>
      <w:pPr>
        <w:pStyle w:val="null3"/>
      </w:pPr>
      <w:r>
        <w:rPr/>
        <w:t>邮 编：529000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类器官自动化培养和光电一体化的多重染色病理诊断和监测平台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最新的投标人营业执照（或事业单位法人证书，或社会团体法人登记证书，或执业许可证）副本复印件；依法经国务院批准免予登记的社会组织的，应提供相应文件证明其依法免予登记。如投标人为自然人的需提供自然人身份证明。若以不具有独立承担民事责任能力的分支机构投标，须取得具有法人资格的总公司的授权书，并提供总公司营业执照副本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供应商必须具有良好的商业信誉和健全的财务会计制度（提供2023年年度财务状况报告或投标截止日前6个月内任意1个月的财务报表复印件或基本开户行出具的资信证明）。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采购包属于整体专门面向中小企业采购，投标人须提供中小企业声明函（即本采购包所有产品的制造商（或生产商）须是“工业”中的中小微企业）。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采购包1(类器官自动化培养和光电一体化的多重染色病理诊断和监测平台设备采购项目):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技术部分55.0分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(37.0分)</w:t>
            </w:r>
          </w:p>
        </w:tc>
        <w:tc>
          <w:tcPr>
            <w:tcW w:type="dxa" w:w="5076"/>
          </w:tcPr>
          <w:p>
            <w:pPr>
              <w:pStyle w:val="null3"/>
              <w:jc w:val="left"/>
            </w:pPr>
            <w:r>
              <w:rPr/>
              <w:t>根据投标人对“第二章 采购需求”附表一至附表七中【具体技术(参数)要求】的一般技术参数要求的（不含带“▲”及“★”条款）的响应情况进行评分。得分计算公式=（一般技术参数总数-负偏离总数）/一般技术参数总数×37分，结果四舍五入保留两位小数；本项目一般技术参数共106条。 注：如【具体技术(参数)要求】中有明确要求提供证明资料的，以【具体技术(参数)要求】中的要求为准；如【具体技术(参数)要求】中未明确要求提供证明材料的，以投标人响应情况为准。</w:t>
            </w:r>
          </w:p>
        </w:tc>
      </w:tr>
      <w:tr>
        <w:tc>
          <w:tcPr>
            <w:tcW w:type="dxa" w:w="922"/>
            <w:gridSpan w:val="2"/>
            <w:vMerge/>
          </w:tcPr>
          <w:p/>
        </w:tc>
        <w:tc>
          <w:tcPr>
            <w:tcW w:type="dxa" w:w="2307"/>
          </w:tcPr>
          <w:p>
            <w:pPr>
              <w:pStyle w:val="null3"/>
              <w:jc w:val="left"/>
            </w:pPr>
            <w:r>
              <w:rPr/>
              <w:t>项目实施能力和措施 (9.0分)</w:t>
            </w:r>
          </w:p>
        </w:tc>
        <w:tc>
          <w:tcPr>
            <w:tcW w:type="dxa" w:w="5076"/>
          </w:tcPr>
          <w:p>
            <w:pPr>
              <w:pStyle w:val="null3"/>
              <w:jc w:val="left"/>
            </w:pPr>
            <w:r>
              <w:rPr/>
              <w:t>根据投标人提供的项目实施方案（包括但不限于：总体实施计划、组织措施、安全责任、消防责任等）进行评审： 1.总体实施计划周全，采取的组织措施全面、合理、可行，得9分； 2.总体实施计划基本周全，采取的组织措施基本全面、具有一定的合理性、具有一定的可行性，得5分； 3.总体实施计划不周全，采取的组织措施不全面、欠缺合理性和可行性，得1分； 4.无提供方案，得0分。</w:t>
            </w:r>
          </w:p>
        </w:tc>
      </w:tr>
      <w:tr>
        <w:tc>
          <w:tcPr>
            <w:tcW w:type="dxa" w:w="922"/>
            <w:gridSpan w:val="2"/>
            <w:vMerge/>
          </w:tcPr>
          <w:p/>
        </w:tc>
        <w:tc>
          <w:tcPr>
            <w:tcW w:type="dxa" w:w="2307"/>
          </w:tcPr>
          <w:p>
            <w:pPr>
              <w:pStyle w:val="null3"/>
              <w:jc w:val="left"/>
            </w:pPr>
            <w:r>
              <w:rPr/>
              <w:t>质量保障及安装、调试方案 (9.0分)</w:t>
            </w:r>
          </w:p>
        </w:tc>
        <w:tc>
          <w:tcPr>
            <w:tcW w:type="dxa" w:w="5076"/>
          </w:tcPr>
          <w:p>
            <w:pPr>
              <w:pStyle w:val="null3"/>
              <w:jc w:val="left"/>
            </w:pPr>
            <w:r>
              <w:rPr/>
              <w:t>根据投标人提供的质量保障及安装、调试方案（包括但不限于：质量保障措施、货物运输、安装方案及安装调试进度计划等）进行综合评审： 1.方案详细具体、具有针对性、可操作性强的，得9分； 2.方案具体、具有一定的针对性、可操作性的，得5分； 3.方案不全面、欠缺合理性和可行性，得1分； 4.无提供方案，得0分。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(10.0分)</w:t>
            </w:r>
          </w:p>
        </w:tc>
        <w:tc>
          <w:tcPr>
            <w:tcW w:type="dxa" w:w="5076"/>
          </w:tcPr>
          <w:p>
            <w:pPr>
              <w:pStyle w:val="null3"/>
              <w:jc w:val="left"/>
            </w:pPr>
            <w:r>
              <w:rPr/>
              <w:t>2021年1月1日至今投标人具有同类供货项目业绩【应满足以下条件：（1）以投标人名义签订；（2）合同标的至少包括与本项目核心产品类似的产品】，每提供一份合同业绩，得2分，满分10分。 注：提供合同复印件，以签订合同的时间为准，未提供则不得分。</w:t>
            </w:r>
          </w:p>
        </w:tc>
      </w:tr>
      <w:tr>
        <w:tc>
          <w:tcPr>
            <w:tcW w:type="dxa" w:w="922"/>
            <w:gridSpan w:val="2"/>
            <w:vMerge/>
          </w:tcPr>
          <w:p/>
        </w:tc>
        <w:tc>
          <w:tcPr>
            <w:tcW w:type="dxa" w:w="2307"/>
          </w:tcPr>
          <w:p>
            <w:pPr>
              <w:pStyle w:val="null3"/>
              <w:jc w:val="left"/>
            </w:pPr>
            <w:r>
              <w:rPr/>
              <w:t>售后服务方案 (5.0分)</w:t>
            </w:r>
          </w:p>
        </w:tc>
        <w:tc>
          <w:tcPr>
            <w:tcW w:type="dxa" w:w="5076"/>
          </w:tcPr>
          <w:p>
            <w:pPr>
              <w:pStyle w:val="null3"/>
              <w:jc w:val="left"/>
            </w:pPr>
            <w:r>
              <w:rPr/>
              <w:t>根据投标人提供的售后服务方案（包括但不限于维保服务范围、服务能力、服务标准、维护保养及应急维修安排、售后服务承诺和技术力量、备品、备件方面等）进行评审： 1、有提供售后服务方案，方案内容完整、详细、科学合理，得5分； 2、有提供售后服务方案，但方案内容有缺漏，得3分； 3、有提供售后服务方案，但方案内容不科学或不合理，得1分； 4、无提供方案，得0分。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p>
    <w:p>
      <w:pPr>
        <w:pStyle w:val="null3"/>
        <w:jc w:val="center"/>
      </w:pPr>
      <w:r>
        <w:rPr>
          <w:sz w:val="21"/>
          <w:b/>
        </w:rPr>
        <w:t>五邑大学仪器设备政府采购合同</w:t>
      </w:r>
    </w:p>
    <w:p>
      <w:pPr>
        <w:pStyle w:val="null3"/>
        <w:jc w:val="both"/>
      </w:pPr>
      <w:r>
        <w:rPr>
          <w:sz w:val="21"/>
          <w:b/>
        </w:rPr>
        <w:t>甲方：五邑大学</w:t>
      </w:r>
    </w:p>
    <w:p>
      <w:pPr>
        <w:pStyle w:val="null3"/>
        <w:jc w:val="both"/>
      </w:pPr>
      <w:r>
        <w:rPr>
          <w:sz w:val="21"/>
          <w:b/>
        </w:rPr>
        <w:t>乙方：</w:t>
      </w:r>
    </w:p>
    <w:p>
      <w:pPr>
        <w:pStyle w:val="null3"/>
        <w:ind w:firstLine="367"/>
        <w:jc w:val="both"/>
      </w:pPr>
      <w:r>
        <w:rPr>
          <w:sz w:val="21"/>
        </w:rPr>
        <w:t>甲乙双方根据《中华人民共和国民法典》和《中华人民共和国政府采购法》等有关法律法规的规定，按照五邑大学</w:t>
      </w:r>
      <w:r>
        <w:rPr>
          <w:sz w:val="21"/>
          <w:u w:val="single"/>
        </w:rPr>
        <w:t xml:space="preserve">       </w:t>
      </w:r>
      <w:r>
        <w:rPr>
          <w:sz w:val="21"/>
        </w:rPr>
        <w:t>项目</w:t>
      </w:r>
      <w:r>
        <w:rPr>
          <w:sz w:val="21"/>
          <w:u w:val="single"/>
        </w:rPr>
        <w:t xml:space="preserve">                          </w:t>
      </w:r>
      <w:r>
        <w:rPr>
          <w:sz w:val="21"/>
        </w:rPr>
        <w:t>的中标结果、招标文件、中标供应商的投标文件及</w:t>
      </w:r>
      <w:r>
        <w:rPr>
          <w:sz w:val="21"/>
          <w:u w:val="single"/>
        </w:rPr>
        <w:t xml:space="preserve">          </w:t>
      </w:r>
      <w:r>
        <w:rPr>
          <w:sz w:val="21"/>
        </w:rPr>
        <w:t>发出的中标通知书的要求，经双方协商一致，订立合同如下：</w:t>
      </w:r>
    </w:p>
    <w:p>
      <w:pPr>
        <w:pStyle w:val="null3"/>
        <w:ind w:firstLine="420"/>
        <w:jc w:val="both"/>
      </w:pPr>
      <w:r>
        <w:rPr>
          <w:sz w:val="24"/>
          <w:b/>
        </w:rPr>
        <w:t>第一条</w:t>
      </w:r>
      <w:r>
        <w:rPr>
          <w:sz w:val="21"/>
          <w:b/>
        </w:rPr>
        <w:t xml:space="preserve">  </w:t>
      </w:r>
      <w:r>
        <w:rPr>
          <w:sz w:val="21"/>
          <w:b/>
        </w:rPr>
        <w:t>项目的名称、合同总价和项目货物的清单（名称、数量、规格、单价、型号、品牌和技术指标等）</w:t>
      </w:r>
    </w:p>
    <w:p>
      <w:pPr>
        <w:pStyle w:val="null3"/>
        <w:ind w:firstLine="420"/>
        <w:jc w:val="both"/>
      </w:pPr>
      <w:r>
        <w:rPr>
          <w:sz w:val="21"/>
        </w:rPr>
        <w:t>1.</w:t>
      </w:r>
      <w:r>
        <w:rPr>
          <w:sz w:val="21"/>
        </w:rPr>
        <w:t>项目名称：</w:t>
      </w:r>
      <w:r>
        <w:rPr>
          <w:sz w:val="21"/>
          <w:u w:val="single"/>
        </w:rPr>
        <w:t xml:space="preserve">      </w:t>
      </w:r>
      <w:r>
        <w:rPr>
          <w:sz w:val="21"/>
          <w:b/>
          <w:u w:val="single"/>
        </w:rPr>
        <w:t xml:space="preserve">     </w:t>
      </w:r>
    </w:p>
    <w:p>
      <w:pPr>
        <w:pStyle w:val="null3"/>
        <w:ind w:firstLine="420"/>
        <w:jc w:val="both"/>
      </w:pPr>
      <w:r>
        <w:rPr>
          <w:sz w:val="21"/>
        </w:rPr>
        <w:t>2.</w:t>
      </w:r>
      <w:r>
        <w:rPr>
          <w:sz w:val="21"/>
        </w:rPr>
        <w:t>设备名称：</w:t>
      </w:r>
      <w:r>
        <w:rPr>
          <w:sz w:val="21"/>
          <w:u w:val="single"/>
        </w:rPr>
        <w:t xml:space="preserve">           </w:t>
      </w:r>
    </w:p>
    <w:p>
      <w:pPr>
        <w:pStyle w:val="null3"/>
        <w:ind w:firstLine="420"/>
        <w:jc w:val="both"/>
      </w:pPr>
      <w:r>
        <w:rPr>
          <w:sz w:val="21"/>
        </w:rPr>
        <w:t>3.</w:t>
      </w:r>
      <w:r>
        <w:rPr>
          <w:sz w:val="21"/>
        </w:rPr>
        <w:t>合同总价为</w:t>
      </w:r>
      <w:r>
        <w:rPr>
          <w:sz w:val="21"/>
          <w:b/>
          <w:u w:val="single"/>
        </w:rPr>
        <w:t xml:space="preserve">¥         </w:t>
      </w:r>
      <w:r>
        <w:rPr>
          <w:sz w:val="21"/>
        </w:rPr>
        <w:t>元（大写：人民币</w:t>
      </w:r>
      <w:r>
        <w:rPr>
          <w:sz w:val="21"/>
          <w:b/>
          <w:u w:val="single"/>
        </w:rPr>
        <w:t xml:space="preserve">         </w:t>
      </w:r>
      <w:r>
        <w:rPr>
          <w:sz w:val="21"/>
        </w:rPr>
        <w:t>）</w:t>
      </w:r>
    </w:p>
    <w:p>
      <w:pPr>
        <w:pStyle w:val="null3"/>
        <w:ind w:firstLine="420"/>
        <w:jc w:val="both"/>
      </w:pPr>
      <w:r>
        <w:rPr>
          <w:sz w:val="21"/>
        </w:rPr>
        <w:t>合同总价是完成项目的含税全包价，包括但不限于货物的设计，制造、包装、仓储、运输、保险以及乙方进行的安装、调试、试运行、验收、培训、技术服务（包括技术资料、图纸的提供）、质保期间保障服务等的全部费用。所有价格变动的风险均由乙方承担。甲方不需再向乙方支付任何其他费用。</w:t>
      </w:r>
    </w:p>
    <w:p>
      <w:pPr>
        <w:pStyle w:val="null3"/>
        <w:ind w:firstLine="420"/>
        <w:jc w:val="both"/>
      </w:pPr>
      <w:r>
        <w:rPr>
          <w:sz w:val="21"/>
        </w:rPr>
        <w:t>货物清单、主要技术参数、保修服务表和培训计划请见附件</w:t>
      </w:r>
      <w:r>
        <w:rPr>
          <w:sz w:val="21"/>
        </w:rPr>
        <w:t>1、附件2、附件3和附件4。</w:t>
      </w:r>
    </w:p>
    <w:p>
      <w:pPr>
        <w:pStyle w:val="null3"/>
        <w:ind w:firstLine="420"/>
        <w:jc w:val="both"/>
      </w:pPr>
      <w:r>
        <w:rPr>
          <w:sz w:val="21"/>
        </w:rPr>
        <w:t>4.</w:t>
      </w:r>
      <w:r>
        <w:rPr>
          <w:sz w:val="21"/>
        </w:rPr>
        <w:t>安全责任：本项目安全措施由乙方制定方案及组织实施，并承担全部安全责任，甲方不负责任何伤亡、劳保福利以及施工中材料被盗等责任。乙方制定的安全措施方案应提交一份至甲方留存备案，且甲方有权监督乙方组织实施情况。</w:t>
      </w:r>
    </w:p>
    <w:p>
      <w:pPr>
        <w:pStyle w:val="null3"/>
        <w:ind w:firstLine="420"/>
        <w:jc w:val="both"/>
      </w:pPr>
      <w:r>
        <w:rPr>
          <w:sz w:val="21"/>
        </w:rPr>
        <w:t>5.</w:t>
      </w:r>
      <w:r>
        <w:rPr>
          <w:sz w:val="21"/>
        </w:rPr>
        <w:t>消防责任：本项目消防措施由乙方制定方案及组织实施，严格按照消防法的规定进行操作，需用的水电由甲方协助提供，需用电源必须由乙方派有资质的电工按规范拉接，不允许乙方的施工人员乱拉乱接。凡在施工期间因乙方过失引起的火灾事故应由乙方负责，所造成的经济损失由乙方负责全额赔偿。乙方制定的消防措施方案应提交一份至甲方留存备案，且甲方有权监督乙方组织实施情况。</w:t>
      </w:r>
    </w:p>
    <w:p>
      <w:pPr>
        <w:pStyle w:val="null3"/>
        <w:ind w:firstLine="420"/>
        <w:jc w:val="both"/>
      </w:pPr>
      <w:r>
        <w:rPr>
          <w:sz w:val="21"/>
        </w:rPr>
        <w:t>6.</w:t>
      </w:r>
      <w:r>
        <w:rPr>
          <w:sz w:val="21"/>
        </w:rPr>
        <w:t>本项目由乙方负责第三方检测及办证的有关事宜，合同如未明确则按行业标准或惯例，如涉及费用由乙方进行支付。</w:t>
      </w:r>
    </w:p>
    <w:p>
      <w:pPr>
        <w:pStyle w:val="null3"/>
        <w:ind w:firstLine="420"/>
        <w:jc w:val="both"/>
      </w:pPr>
      <w:r>
        <w:rPr>
          <w:sz w:val="24"/>
          <w:b/>
        </w:rPr>
        <w:t>第二条</w:t>
      </w:r>
      <w:r>
        <w:rPr>
          <w:sz w:val="21"/>
          <w:b/>
        </w:rPr>
        <w:t xml:space="preserve">  </w:t>
      </w:r>
      <w:r>
        <w:rPr>
          <w:sz w:val="21"/>
          <w:b/>
        </w:rPr>
        <w:t>货物质量要求及乙方对质量负责的条件和期限</w:t>
      </w:r>
    </w:p>
    <w:p>
      <w:pPr>
        <w:pStyle w:val="null3"/>
        <w:ind w:firstLine="420"/>
        <w:jc w:val="both"/>
      </w:pPr>
      <w:r>
        <w:rPr>
          <w:sz w:val="21"/>
        </w:rPr>
        <w:t>1.</w:t>
      </w:r>
      <w:r>
        <w:rPr>
          <w:sz w:val="21"/>
        </w:rPr>
        <w:t>乙方提供的货物必须符合中华人民共和国国家质量、安全、环保等标准（若有国家标准的，以行业最高标准为本合同履行标准）以及该产品的出厂标准。</w:t>
      </w:r>
    </w:p>
    <w:p>
      <w:pPr>
        <w:pStyle w:val="null3"/>
        <w:ind w:firstLine="420"/>
        <w:jc w:val="both"/>
      </w:pPr>
      <w:r>
        <w:rPr>
          <w:sz w:val="21"/>
        </w:rPr>
        <w:t>2.</w:t>
      </w:r>
      <w:r>
        <w:rPr>
          <w:sz w:val="21"/>
        </w:rPr>
        <w:t>知识产权和专利权：</w:t>
      </w:r>
    </w:p>
    <w:p>
      <w:pPr>
        <w:pStyle w:val="null3"/>
        <w:ind w:firstLine="480"/>
        <w:jc w:val="both"/>
      </w:pPr>
      <w:r>
        <w:rPr>
          <w:sz w:val="24"/>
        </w:rPr>
        <w:t>(1)</w:t>
      </w:r>
      <w:r>
        <w:rPr>
          <w:sz w:val="21"/>
        </w:rPr>
        <w:t>乙方提供的货物必须是无知识产权争议，且全新的产品（含零部件、配件、随机工具等），表面无划损、无碰撞、无任何缺陷隐患、无其他侵权行为，在中国境内可依常规安全合法使用。</w:t>
      </w:r>
    </w:p>
    <w:p>
      <w:pPr>
        <w:pStyle w:val="null3"/>
        <w:ind w:firstLine="480"/>
        <w:jc w:val="both"/>
      </w:pPr>
      <w:r>
        <w:rPr>
          <w:sz w:val="24"/>
        </w:rPr>
        <w:t>(2)</w:t>
      </w:r>
      <w:r>
        <w:rPr>
          <w:sz w:val="21"/>
        </w:rPr>
        <w:t>乙方应保证甲方在中华人民共和国使用货物或其任何一部分时，如有第三方向甲方提出侵犯专利权、商标权或者其他知识产权的主张，因此产生的法律责任、赔偿责任由乙方承担；因此给甲方造成损失的，乙方应赔偿甲方全部损失。</w:t>
      </w:r>
    </w:p>
    <w:p>
      <w:pPr>
        <w:pStyle w:val="null3"/>
        <w:ind w:firstLine="480"/>
        <w:jc w:val="both"/>
      </w:pPr>
      <w:r>
        <w:rPr>
          <w:sz w:val="24"/>
        </w:rPr>
        <w:t>(3)</w:t>
      </w:r>
      <w:r>
        <w:rPr>
          <w:sz w:val="21"/>
        </w:rPr>
        <w:t>乙方应于售出货物前向所有权人支付专利权、商标权或其他知识产权的有关费用及税费。</w:t>
      </w:r>
    </w:p>
    <w:p>
      <w:pPr>
        <w:pStyle w:val="null3"/>
        <w:ind w:firstLine="420"/>
        <w:jc w:val="both"/>
      </w:pPr>
      <w:r>
        <w:rPr>
          <w:sz w:val="21"/>
        </w:rPr>
        <w:t>3.</w:t>
      </w:r>
      <w:r>
        <w:rPr>
          <w:sz w:val="21"/>
        </w:rPr>
        <w:t>保密：</w:t>
      </w:r>
    </w:p>
    <w:p>
      <w:pPr>
        <w:pStyle w:val="null3"/>
        <w:ind w:firstLine="420"/>
        <w:jc w:val="both"/>
      </w:pPr>
      <w:r>
        <w:rPr>
          <w:sz w:val="21"/>
        </w:rPr>
        <w:t>（</w:t>
      </w:r>
      <w:r>
        <w:rPr>
          <w:sz w:val="21"/>
        </w:rPr>
        <w:t>1）</w:t>
      </w:r>
      <w:r>
        <w:rPr>
          <w:sz w:val="21"/>
        </w:rPr>
        <w:t>如甲方向乙方提供图纸、详细资料、样品、模型和所有其他资料，这些均视为保密资料，仅被用于经甲方允许的用途，除非得到甲方的同意，乙方不能向任何第三方泄露以上资料或者利用以上资料牟利。</w:t>
      </w:r>
    </w:p>
    <w:p>
      <w:pPr>
        <w:pStyle w:val="null3"/>
        <w:ind w:firstLine="420"/>
        <w:jc w:val="left"/>
      </w:pPr>
      <w:r>
        <w:rPr>
          <w:sz w:val="21"/>
        </w:rPr>
        <w:t>（</w:t>
      </w:r>
      <w:r>
        <w:rPr>
          <w:sz w:val="21"/>
        </w:rPr>
        <w:t>2）</w:t>
      </w:r>
      <w:r>
        <w:rPr>
          <w:sz w:val="21"/>
        </w:rPr>
        <w:t>如乙方收集甲方单位的个人信息类型应当与实际产品或服务的业务功能有直接关联，并严格按照国家相关法律法规要求对采集到的个人信息进行保护。在本合同期满、解除或者终止后的</w:t>
      </w:r>
      <w:r>
        <w:rPr>
          <w:sz w:val="21"/>
        </w:rPr>
        <w:t>10个工作日内，乙方根据甲方的要求及时删除采集到的甲方单位的个人信息。</w:t>
      </w:r>
    </w:p>
    <w:p>
      <w:pPr>
        <w:pStyle w:val="null3"/>
        <w:ind w:firstLine="420"/>
        <w:jc w:val="both"/>
      </w:pPr>
      <w:r>
        <w:rPr>
          <w:sz w:val="21"/>
        </w:rPr>
        <w:t>4.</w:t>
      </w:r>
      <w:r>
        <w:rPr>
          <w:sz w:val="21"/>
        </w:rPr>
        <w:t>本项目由乙方负责第三方检测及办证的有关事宜，检测和办证标准如未明确则按行业标准或行业惯例，所有费用均由乙方承担。</w:t>
      </w:r>
    </w:p>
    <w:p>
      <w:pPr>
        <w:pStyle w:val="null3"/>
        <w:ind w:firstLine="420"/>
        <w:jc w:val="both"/>
      </w:pPr>
      <w:r>
        <w:rPr>
          <w:sz w:val="21"/>
        </w:rPr>
        <w:t>5.</w:t>
      </w:r>
      <w:r>
        <w:rPr>
          <w:sz w:val="21"/>
        </w:rPr>
        <w:t>货物进场后甲方有权提出对存在疑问的货物进行现场抽样送检，检测项目含材料的成分、组分及相关性能指标等，检测费用由乙方承担。</w:t>
      </w:r>
    </w:p>
    <w:p>
      <w:pPr>
        <w:pStyle w:val="null3"/>
        <w:ind w:firstLine="420"/>
        <w:jc w:val="both"/>
      </w:pPr>
      <w:r>
        <w:rPr>
          <w:sz w:val="21"/>
        </w:rPr>
        <w:t>6.</w:t>
      </w:r>
      <w:r>
        <w:rPr>
          <w:sz w:val="21"/>
        </w:rPr>
        <w:t>质保期内如货物非因甲方的人为原因而出现的问题由乙方负责包修、包换或包退，并承担维修、更换或退货的所有费用。乙方拒绝或者未在甲方指定期限内维修、更换或退货的，均按违约处理。</w:t>
      </w:r>
    </w:p>
    <w:p>
      <w:pPr>
        <w:pStyle w:val="null3"/>
        <w:ind w:firstLine="420"/>
        <w:jc w:val="both"/>
      </w:pPr>
      <w:r>
        <w:rPr>
          <w:sz w:val="24"/>
          <w:b/>
        </w:rPr>
        <w:t>第三条</w:t>
      </w:r>
      <w:r>
        <w:rPr>
          <w:sz w:val="21"/>
          <w:b/>
        </w:rPr>
        <w:t xml:space="preserve">  </w:t>
      </w:r>
      <w:r>
        <w:rPr>
          <w:sz w:val="21"/>
          <w:b/>
        </w:rPr>
        <w:t>货物的交付、开箱检验及验收</w:t>
      </w:r>
    </w:p>
    <w:p>
      <w:pPr>
        <w:pStyle w:val="null3"/>
        <w:ind w:firstLine="420"/>
        <w:jc w:val="both"/>
      </w:pPr>
      <w:r>
        <w:rPr>
          <w:sz w:val="21"/>
        </w:rPr>
        <w:t>1.</w:t>
      </w:r>
      <w:r>
        <w:rPr>
          <w:sz w:val="21"/>
        </w:rPr>
        <w:t>交货时间：</w:t>
      </w:r>
      <w:r>
        <w:rPr>
          <w:sz w:val="21"/>
          <w:u w:val="single"/>
        </w:rPr>
        <w:t>合同生效后</w:t>
      </w:r>
      <w:r>
        <w:rPr>
          <w:sz w:val="21"/>
          <w:u w:val="single"/>
        </w:rPr>
        <w:t xml:space="preserve">    </w:t>
      </w:r>
      <w:r>
        <w:rPr>
          <w:sz w:val="21"/>
          <w:u w:val="single"/>
        </w:rPr>
        <w:t>日历日内完成交付合格的货物（包括：货物的安装、调试和向甲方职能部门提交认可的完整的验收申请资料）</w:t>
      </w:r>
      <w:r>
        <w:rPr>
          <w:sz w:val="21"/>
        </w:rPr>
        <w:t>。</w:t>
      </w:r>
    </w:p>
    <w:p>
      <w:pPr>
        <w:pStyle w:val="null3"/>
        <w:ind w:firstLine="420"/>
        <w:jc w:val="both"/>
      </w:pPr>
      <w:r>
        <w:rPr>
          <w:sz w:val="21"/>
        </w:rPr>
        <w:t>2.</w:t>
      </w:r>
      <w:r>
        <w:rPr>
          <w:sz w:val="21"/>
        </w:rPr>
        <w:t>国内产品或合资厂的产品必须具备出厂合格证，国外产品必须提供相关材料证明产品系合法进口且已经按照我国相关法律法规缴纳进口税费。</w:t>
      </w:r>
    </w:p>
    <w:p>
      <w:pPr>
        <w:pStyle w:val="null3"/>
        <w:ind w:firstLine="420"/>
        <w:jc w:val="both"/>
      </w:pPr>
      <w:r>
        <w:rPr>
          <w:sz w:val="21"/>
        </w:rPr>
        <w:t>3.</w:t>
      </w:r>
      <w:r>
        <w:rPr>
          <w:sz w:val="21"/>
        </w:rPr>
        <w:t>交货地点：</w:t>
      </w:r>
      <w:r>
        <w:rPr>
          <w:sz w:val="21"/>
          <w:u w:val="single"/>
        </w:rPr>
        <w:t>五邑大学指定地点。</w:t>
      </w:r>
    </w:p>
    <w:p>
      <w:pPr>
        <w:pStyle w:val="null3"/>
        <w:ind w:firstLine="420"/>
        <w:jc w:val="both"/>
      </w:pPr>
      <w:r>
        <w:rPr>
          <w:sz w:val="21"/>
        </w:rPr>
        <w:t>4.</w:t>
      </w:r>
      <w:r>
        <w:rPr>
          <w:sz w:val="21"/>
        </w:rPr>
        <w:t>乙方应将关键主机设备的用户手册、保修手册、有关单证资料及配备件、随机工具等一并交付给甲方，使用操作及安全须知等重要资料应附有中文说明。甲方对货物交付有特殊要求的，乙方在交付货物时还应当满足甲方的相应要求。</w:t>
      </w:r>
    </w:p>
    <w:p>
      <w:pPr>
        <w:pStyle w:val="null3"/>
        <w:ind w:firstLine="420"/>
        <w:jc w:val="both"/>
      </w:pPr>
      <w:r>
        <w:rPr>
          <w:sz w:val="21"/>
        </w:rPr>
        <w:t>5.</w:t>
      </w:r>
      <w:r>
        <w:rPr>
          <w:sz w:val="21"/>
        </w:rPr>
        <w:t>货物的验收：</w:t>
      </w:r>
    </w:p>
    <w:p>
      <w:pPr>
        <w:pStyle w:val="null3"/>
        <w:ind w:firstLine="420"/>
        <w:jc w:val="both"/>
      </w:pPr>
      <w:r>
        <w:rPr>
          <w:sz w:val="21"/>
        </w:rPr>
        <w:t>（</w:t>
      </w:r>
      <w:r>
        <w:rPr>
          <w:sz w:val="21"/>
        </w:rPr>
        <w:t>1）货物为原厂商未启封全新包装，出厂合格证、序列号、包装箱号与出厂批号须一致，并可追索查阅。全部货物送到甲方指定场地后，甲、乙双方同时在场才能开封验货，甲方就货物质量、型号、规格和数量进行初步开箱验收，如果发现货物的包装损坏、不符合包装要求或设备的质量、型号、规格和数量等与合同不符，甲方有权拒收货物，乙方应在合同约定的交货时间内按照合同要求及时进行第二次交货处理并通过验收，否则按违约处理，甲方有权解除采购合同并上报主管部门，相关损失由乙方自行承担。</w:t>
      </w:r>
    </w:p>
    <w:p>
      <w:pPr>
        <w:pStyle w:val="null3"/>
        <w:ind w:firstLine="420"/>
        <w:jc w:val="both"/>
      </w:pPr>
      <w:r>
        <w:rPr>
          <w:sz w:val="21"/>
        </w:rPr>
        <w:t>（</w:t>
      </w:r>
      <w:r>
        <w:rPr>
          <w:sz w:val="21"/>
        </w:rPr>
        <w:t>2）</w:t>
      </w:r>
      <w:r>
        <w:rPr>
          <w:sz w:val="21"/>
        </w:rPr>
        <w:t>设备安装及调试完成后</w:t>
      </w:r>
      <w:r>
        <w:rPr>
          <w:sz w:val="21"/>
        </w:rPr>
        <w:t>，经初步培训，甲方相关操作人员掌握仪器的具体操作后</w:t>
      </w:r>
      <w:r>
        <w:rPr>
          <w:sz w:val="21"/>
          <w:u w:val="single"/>
        </w:rPr>
        <w:t xml:space="preserve"> </w:t>
      </w:r>
      <w:r>
        <w:rPr>
          <w:sz w:val="21"/>
          <w:u w:val="single"/>
        </w:rPr>
        <w:t xml:space="preserve">** </w:t>
      </w:r>
      <w:r>
        <w:rPr>
          <w:sz w:val="21"/>
        </w:rPr>
        <w:t>个工作日内（如遇寒暑假，时间顺延），由甲方组织验收小组进行验收，项目验收合格后，出具有效的验收报告。</w:t>
      </w:r>
    </w:p>
    <w:p>
      <w:pPr>
        <w:pStyle w:val="null3"/>
        <w:ind w:firstLine="420"/>
        <w:jc w:val="both"/>
      </w:pPr>
      <w:r>
        <w:rPr>
          <w:sz w:val="21"/>
        </w:rPr>
        <w:t>（</w:t>
      </w:r>
      <w:r>
        <w:rPr>
          <w:sz w:val="21"/>
        </w:rPr>
        <w:t>3）其他验收细则以乙方在投标文件中提供的设备技术资料及双方签订的合同条款为准。（验收时需要对每一条参数进行逐一验证，并提供验证佐证材料作为验收资料）。</w:t>
      </w:r>
    </w:p>
    <w:p>
      <w:pPr>
        <w:pStyle w:val="null3"/>
        <w:ind w:firstLine="420"/>
        <w:jc w:val="both"/>
      </w:pPr>
      <w:r>
        <w:rPr>
          <w:sz w:val="24"/>
          <w:b/>
        </w:rPr>
        <w:t>第四条</w:t>
      </w:r>
      <w:r>
        <w:rPr>
          <w:sz w:val="21"/>
          <w:b/>
        </w:rPr>
        <w:t xml:space="preserve">  </w:t>
      </w:r>
      <w:r>
        <w:rPr>
          <w:sz w:val="21"/>
          <w:b/>
        </w:rPr>
        <w:t>履约保证金和付款方式</w:t>
      </w:r>
    </w:p>
    <w:p>
      <w:pPr>
        <w:pStyle w:val="null3"/>
        <w:ind w:firstLine="420"/>
        <w:jc w:val="both"/>
      </w:pPr>
      <w:r>
        <w:rPr>
          <w:sz w:val="21"/>
        </w:rPr>
        <w:t>1.</w:t>
      </w:r>
      <w:r>
        <w:rPr>
          <w:sz w:val="21"/>
        </w:rPr>
        <w:t>本合同签订之日起五个工作日内，乙方须向甲方提交合同总价</w:t>
      </w:r>
      <w:r>
        <w:rPr>
          <w:sz w:val="21"/>
        </w:rPr>
        <w:t>3.8%的履约保证金（</w:t>
      </w:r>
      <w:r>
        <w:rPr>
          <w:sz w:val="21"/>
          <w:b/>
          <w:u w:val="single"/>
        </w:rPr>
        <w:t>人民币大写：</w:t>
      </w:r>
      <w:r>
        <w:rPr>
          <w:sz w:val="21"/>
          <w:b/>
          <w:u w:val="single"/>
        </w:rPr>
        <w:t xml:space="preserve">        </w:t>
      </w:r>
      <w:r>
        <w:rPr>
          <w:sz w:val="21"/>
          <w:b/>
          <w:u w:val="single"/>
        </w:rPr>
        <w:t>；小写：</w:t>
      </w:r>
      <w:r>
        <w:rPr>
          <w:sz w:val="21"/>
          <w:b/>
          <w:u w:val="single"/>
        </w:rPr>
        <w:t>¥          元）</w:t>
      </w:r>
      <w:r>
        <w:rPr>
          <w:sz w:val="21"/>
          <w:u w:val="single"/>
        </w:rPr>
        <w:t>，</w:t>
      </w:r>
      <w:r>
        <w:rPr>
          <w:sz w:val="21"/>
        </w:rPr>
        <w:t>可通过银行转账、支票、汇票、本票、保函等非现金形式（</w:t>
      </w:r>
      <w:r>
        <w:rPr>
          <w:sz w:val="21"/>
          <w:b/>
        </w:rPr>
        <w:t>签订合同时要确定其中一种形式</w:t>
      </w:r>
      <w:r>
        <w:rPr>
          <w:sz w:val="21"/>
        </w:rPr>
        <w:t>）支付。验收合格</w:t>
      </w:r>
      <w:r>
        <w:rPr>
          <w:sz w:val="21"/>
        </w:rPr>
        <w:t>且无违约情况</w:t>
      </w:r>
      <w:r>
        <w:rPr>
          <w:sz w:val="21"/>
        </w:rPr>
        <w:t>，乙方应向甲方提出履约保证金退还书面申请，甲方在收到申请后</w:t>
      </w:r>
      <w:r>
        <w:rPr>
          <w:sz w:val="21"/>
        </w:rPr>
        <w:t>20个工作日内（不含审批时间）以非现金形式一次性返还履约保证金（不计息），如以保函方式，保函原件退回。</w:t>
      </w:r>
    </w:p>
    <w:p>
      <w:pPr>
        <w:pStyle w:val="null3"/>
        <w:ind w:firstLine="420"/>
        <w:jc w:val="both"/>
      </w:pPr>
      <w:r>
        <w:rPr>
          <w:sz w:val="21"/>
        </w:rPr>
        <w:t>2.</w:t>
      </w:r>
      <w:r>
        <w:rPr>
          <w:sz w:val="21"/>
        </w:rPr>
        <w:t>合同签订生效后</w:t>
      </w:r>
      <w:r>
        <w:rPr>
          <w:sz w:val="21"/>
        </w:rPr>
        <w:t>***个工作日内（不含审批时间）甲方完成办理合同总金额30%的货款（人民币大写：</w:t>
      </w:r>
      <w:r>
        <w:rPr>
          <w:sz w:val="21"/>
          <w:u w:val="single"/>
        </w:rPr>
        <w:t xml:space="preserve">           </w:t>
      </w:r>
      <w:r>
        <w:rPr>
          <w:sz w:val="21"/>
        </w:rPr>
        <w:t>；小写：</w:t>
      </w:r>
      <w:r>
        <w:rPr>
          <w:sz w:val="21"/>
        </w:rPr>
        <w:t>¥</w:t>
      </w:r>
      <w:r>
        <w:rPr>
          <w:sz w:val="21"/>
          <w:u w:val="single"/>
        </w:rPr>
        <w:t xml:space="preserve">          </w:t>
      </w:r>
      <w:r>
        <w:rPr>
          <w:sz w:val="21"/>
        </w:rPr>
        <w:t>元）的支付手续。</w:t>
      </w:r>
    </w:p>
    <w:p>
      <w:pPr>
        <w:pStyle w:val="null3"/>
        <w:ind w:firstLine="420"/>
        <w:jc w:val="both"/>
      </w:pPr>
      <w:r>
        <w:rPr>
          <w:sz w:val="21"/>
        </w:rPr>
        <w:t>3.</w:t>
      </w:r>
      <w:r>
        <w:rPr>
          <w:sz w:val="21"/>
        </w:rPr>
        <w:t>验收合格后，乙方按合同总金额向甲方开具符合合同类型要求的增值税专用发票和提供由甲方认可的验收报告。货物验收合格和甲方收到前述发票、验收报告后</w:t>
      </w:r>
      <w:r>
        <w:rPr>
          <w:sz w:val="21"/>
        </w:rPr>
        <w:t>***个工作日（不含审批时间）内甲方完成办理合同总金额70%的货款（人民币大写：</w:t>
      </w:r>
      <w:r>
        <w:rPr>
          <w:sz w:val="21"/>
          <w:u w:val="single"/>
        </w:rPr>
        <w:t xml:space="preserve">            </w:t>
      </w:r>
      <w:r>
        <w:rPr>
          <w:sz w:val="21"/>
        </w:rPr>
        <w:t>；小写：</w:t>
      </w:r>
      <w:r>
        <w:rPr>
          <w:sz w:val="21"/>
        </w:rPr>
        <w:t>¥</w:t>
      </w:r>
      <w:r>
        <w:rPr>
          <w:sz w:val="21"/>
          <w:u w:val="single"/>
        </w:rPr>
        <w:t xml:space="preserve">            </w:t>
      </w:r>
      <w:r>
        <w:rPr>
          <w:sz w:val="21"/>
        </w:rPr>
        <w:t>元）的支付手续。</w:t>
      </w:r>
    </w:p>
    <w:p>
      <w:pPr>
        <w:pStyle w:val="null3"/>
        <w:ind w:firstLine="420"/>
        <w:jc w:val="both"/>
      </w:pPr>
      <w:r>
        <w:rPr>
          <w:sz w:val="21"/>
        </w:rPr>
        <w:t>因甲方使用的是财政性资金，甲方在前款规定的付款时间为向政府采购支付部门提出办理财政支付申请手续的时间（不含政府财政支付部门审核的时间），在规定时间内提出支付申请手续后即视为甲方已经按期支付。</w:t>
      </w:r>
    </w:p>
    <w:p>
      <w:pPr>
        <w:pStyle w:val="null3"/>
        <w:ind w:firstLine="420"/>
        <w:jc w:val="both"/>
      </w:pPr>
      <w:r>
        <w:rPr>
          <w:sz w:val="21"/>
        </w:rPr>
        <w:t>4.</w:t>
      </w:r>
      <w:r>
        <w:rPr>
          <w:sz w:val="21"/>
        </w:rPr>
        <w:t>结算方式：银行转账</w:t>
      </w:r>
    </w:p>
    <w:p>
      <w:pPr>
        <w:pStyle w:val="null3"/>
        <w:ind w:firstLine="420"/>
        <w:jc w:val="both"/>
      </w:pPr>
      <w:r>
        <w:rPr>
          <w:sz w:val="21"/>
        </w:rPr>
        <w:t>乙方户名：</w:t>
      </w:r>
    </w:p>
    <w:p>
      <w:pPr>
        <w:pStyle w:val="null3"/>
        <w:ind w:firstLine="420"/>
        <w:jc w:val="both"/>
      </w:pPr>
      <w:r>
        <w:rPr>
          <w:sz w:val="21"/>
        </w:rPr>
        <w:t>开户银行：</w:t>
      </w:r>
    </w:p>
    <w:p>
      <w:pPr>
        <w:pStyle w:val="null3"/>
        <w:ind w:firstLine="420"/>
        <w:jc w:val="both"/>
      </w:pPr>
      <w:r>
        <w:rPr>
          <w:sz w:val="21"/>
        </w:rPr>
        <w:t>账</w:t>
      </w:r>
      <w:r>
        <w:rPr>
          <w:sz w:val="21"/>
        </w:rPr>
        <w:t>　　号：</w:t>
      </w:r>
    </w:p>
    <w:p>
      <w:pPr>
        <w:pStyle w:val="null3"/>
        <w:ind w:firstLine="420"/>
        <w:jc w:val="both"/>
      </w:pPr>
      <w:r>
        <w:rPr>
          <w:sz w:val="24"/>
          <w:b/>
        </w:rPr>
        <w:t>第五条</w:t>
      </w:r>
      <w:r>
        <w:rPr>
          <w:sz w:val="21"/>
          <w:b/>
        </w:rPr>
        <w:t xml:space="preserve">  </w:t>
      </w:r>
      <w:r>
        <w:rPr>
          <w:sz w:val="21"/>
          <w:b/>
        </w:rPr>
        <w:t>货物的保修与售后服务</w:t>
      </w:r>
    </w:p>
    <w:p>
      <w:pPr>
        <w:pStyle w:val="null3"/>
        <w:ind w:firstLine="420"/>
        <w:jc w:val="both"/>
      </w:pPr>
      <w:r>
        <w:rPr>
          <w:sz w:val="21"/>
        </w:rPr>
        <w:t>1.</w:t>
      </w:r>
      <w:r>
        <w:rPr>
          <w:sz w:val="21"/>
        </w:rPr>
        <w:t>质保期为验收合格之日起</w:t>
      </w:r>
      <w:r>
        <w:rPr>
          <w:sz w:val="21"/>
          <w:b/>
          <w:u w:val="single"/>
        </w:rPr>
        <w:t xml:space="preserve">      </w:t>
      </w:r>
      <w:r>
        <w:rPr>
          <w:sz w:val="21"/>
          <w:u w:val="single"/>
        </w:rPr>
        <w:t>年</w:t>
      </w:r>
      <w:r>
        <w:rPr>
          <w:sz w:val="21"/>
        </w:rPr>
        <w:t>。从验收合格之日起</w:t>
      </w:r>
      <w:r>
        <w:rPr>
          <w:sz w:val="21"/>
          <w:b/>
          <w:u w:val="single"/>
        </w:rPr>
        <w:t xml:space="preserve">      </w:t>
      </w:r>
      <w:r>
        <w:rPr>
          <w:sz w:val="21"/>
          <w:u w:val="single"/>
        </w:rPr>
        <w:t>年</w:t>
      </w:r>
      <w:r>
        <w:rPr>
          <w:sz w:val="21"/>
        </w:rPr>
        <w:t>，甲方所购设备发生非人为故障，乙方应无条件上门维修。如不能完全修复，则应更换不低于原规格型号的新部件或设备。</w:t>
      </w:r>
    </w:p>
    <w:p>
      <w:pPr>
        <w:pStyle w:val="null3"/>
        <w:ind w:firstLine="420"/>
        <w:jc w:val="both"/>
      </w:pPr>
      <w:r>
        <w:rPr>
          <w:sz w:val="21"/>
        </w:rPr>
        <w:t>2.</w:t>
      </w:r>
      <w:r>
        <w:rPr>
          <w:sz w:val="21"/>
        </w:rPr>
        <w:t>从验收合格之日起一个月内，甲方所购货物各部件发生非人为损坏，乙方应给予无条件更换。</w:t>
      </w:r>
    </w:p>
    <w:p>
      <w:pPr>
        <w:pStyle w:val="null3"/>
        <w:ind w:firstLine="420"/>
        <w:jc w:val="both"/>
      </w:pPr>
      <w:r>
        <w:rPr>
          <w:sz w:val="21"/>
        </w:rPr>
        <w:t>3.</w:t>
      </w:r>
      <w:r>
        <w:rPr>
          <w:sz w:val="21"/>
        </w:rPr>
        <w:t>质保期内，同一硬件因质量问题一个月内累计</w:t>
      </w:r>
      <w:r>
        <w:rPr>
          <w:sz w:val="21"/>
        </w:rPr>
        <w:t>2次出现同一故障的，乙方须无偿更换同一档次的设备或部件。免费质保期内因货物质量问题发生3次及以上维修的，则该设备或部件的质保期从最后一次维修的日期起重新计算。</w:t>
      </w:r>
    </w:p>
    <w:p>
      <w:pPr>
        <w:pStyle w:val="null3"/>
        <w:ind w:firstLine="420"/>
        <w:jc w:val="both"/>
      </w:pPr>
      <w:r>
        <w:rPr>
          <w:sz w:val="21"/>
        </w:rPr>
        <w:t>4.</w:t>
      </w:r>
      <w:r>
        <w:rPr>
          <w:sz w:val="21"/>
        </w:rPr>
        <w:t>乙方指派专人负责与甲方联系售后服务事宜。乙方接到甲方报修后，电话即时响应，如电话响应无法解决的，乙方在</w:t>
      </w:r>
      <w:r>
        <w:rPr>
          <w:sz w:val="21"/>
        </w:rPr>
        <w:t>4个小时内必须给予答复，如确定需要来人进行修理，保证在24小时内到达现场并完成修理工作。如在24小时内不能解决问题，乙方应在随后48小时内提供不低于故障设备规格型号档次的备用设备供甲方代替使用，直至故障设备修复，确保设备的正常使用，技术要求中有特别要求的以技术要求为主。</w:t>
      </w:r>
    </w:p>
    <w:p>
      <w:pPr>
        <w:pStyle w:val="null3"/>
        <w:ind w:firstLine="420"/>
        <w:jc w:val="both"/>
      </w:pPr>
      <w:r>
        <w:rPr>
          <w:sz w:val="21"/>
        </w:rPr>
        <w:t>5.</w:t>
      </w:r>
      <w:r>
        <w:rPr>
          <w:sz w:val="21"/>
        </w:rPr>
        <w:t>质保期内乙方负责所有因货物质量问题而产生的费用。</w:t>
      </w:r>
    </w:p>
    <w:p>
      <w:pPr>
        <w:pStyle w:val="null3"/>
        <w:ind w:firstLine="420"/>
        <w:jc w:val="both"/>
      </w:pPr>
      <w:r>
        <w:rPr>
          <w:sz w:val="21"/>
        </w:rPr>
        <w:t>6.</w:t>
      </w:r>
      <w:r>
        <w:rPr>
          <w:sz w:val="21"/>
        </w:rPr>
        <w:t>乙方提供终身售后服务，</w:t>
      </w:r>
      <w:r>
        <w:rPr>
          <w:sz w:val="21"/>
        </w:rPr>
        <w:t>无论质保期内或质保期外，乙方均需提供上门维修服务，即由乙方派遣专门技术人员到甲方设备使用现场维修。对于质保期内由此产生的一切费用均由乙方承担，对于质保期外的设备维修，乙方仅收取损坏部分的成本材料费。</w:t>
      </w:r>
    </w:p>
    <w:p>
      <w:pPr>
        <w:pStyle w:val="null3"/>
        <w:ind w:firstLine="420"/>
        <w:jc w:val="both"/>
      </w:pPr>
      <w:r>
        <w:rPr>
          <w:sz w:val="21"/>
        </w:rPr>
        <w:t>7.</w:t>
      </w:r>
      <w:r>
        <w:rPr>
          <w:sz w:val="21"/>
        </w:rPr>
        <w:t>质保期内乙方售后服务部门将提供每年不低于四次（含本数）的电话回访和二次现场设备检修服务。</w:t>
      </w:r>
    </w:p>
    <w:p>
      <w:pPr>
        <w:pStyle w:val="null3"/>
        <w:ind w:firstLine="420"/>
        <w:jc w:val="both"/>
      </w:pPr>
      <w:r>
        <w:rPr>
          <w:sz w:val="21"/>
        </w:rPr>
        <w:t>8.</w:t>
      </w:r>
      <w:r>
        <w:rPr>
          <w:sz w:val="21"/>
        </w:rPr>
        <w:t>质保期后乙方提供终身无条件技术服务，提供终身对产品进行无条件软件升级服务。</w:t>
      </w:r>
    </w:p>
    <w:p>
      <w:pPr>
        <w:pStyle w:val="null3"/>
        <w:ind w:firstLine="420"/>
        <w:jc w:val="both"/>
      </w:pPr>
      <w:r>
        <w:rPr>
          <w:sz w:val="21"/>
        </w:rPr>
        <w:t>9.</w:t>
      </w:r>
      <w:r>
        <w:rPr>
          <w:sz w:val="21"/>
        </w:rPr>
        <w:t>乙方在质保期内提供人员培训和技术服务，乙方需为甲方操作人员提供实地设备操作规程、维护培训等服务，讲解产品的基本结构及工作原理，直至操作人员掌握产品的日常使用、维护保养方法，保证操作人员可正确操作使用，并能排除一般故障。</w:t>
      </w:r>
    </w:p>
    <w:p>
      <w:pPr>
        <w:pStyle w:val="null3"/>
        <w:ind w:firstLine="420"/>
        <w:jc w:val="both"/>
      </w:pPr>
      <w:r>
        <w:rPr>
          <w:sz w:val="21"/>
        </w:rPr>
        <w:t>10.</w:t>
      </w:r>
      <w:r>
        <w:rPr>
          <w:sz w:val="21"/>
        </w:rPr>
        <w:t>乙方未按合同约定时间和约定标准提供保修服务的，甲方有权向乙方主张合同总价的</w:t>
      </w:r>
      <w:r>
        <w:rPr>
          <w:sz w:val="21"/>
        </w:rPr>
        <w:t>10%的违约金，并有权自行委托第三方提供甲方所需要的技术支持和维修服务，由此造成的包括但不限于第三方维保费用、甲方其他经济损失等均由乙方承担。</w:t>
      </w:r>
    </w:p>
    <w:p>
      <w:pPr>
        <w:pStyle w:val="null3"/>
        <w:ind w:firstLine="420"/>
        <w:jc w:val="both"/>
      </w:pPr>
      <w:r>
        <w:rPr>
          <w:sz w:val="21"/>
        </w:rPr>
        <w:t>11.</w:t>
      </w:r>
      <w:r>
        <w:rPr>
          <w:sz w:val="21"/>
        </w:rPr>
        <w:t>售后服务：</w:t>
      </w:r>
    </w:p>
    <w:tbl>
      <w:tblPr>
        <w:tblW w:w="0" w:type="auto"/>
        <w:tblInd w:type="dxa" w:w="420"/>
        <w:tblBorders>
          <w:top w:val="none" w:color="000000" w:sz="4"/>
          <w:left w:val="none" w:color="000000" w:sz="4"/>
          <w:bottom w:val="none" w:color="000000" w:sz="4"/>
          <w:right w:val="none" w:color="000000" w:sz="4"/>
          <w:insideH w:val="none"/>
          <w:insideV w:val="none"/>
        </w:tblBorders>
      </w:tblPr>
      <w:tblGrid>
        <w:gridCol w:w="4118"/>
        <w:gridCol w:w="4188"/>
      </w:tblGrid>
      <w:tr>
        <w:tc>
          <w:tcPr>
            <w:tcW w:type="dxa" w:w="4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售后服务负责人：</w:t>
            </w:r>
          </w:p>
        </w:tc>
        <w:tc>
          <w:tcPr>
            <w:tcW w:type="dxa" w:w="4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联系电话（手机）：</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固定电话</w:t>
            </w:r>
            <w:r>
              <w:rPr>
                <w:sz w:val="21"/>
              </w:rPr>
              <w:t>1：</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固定电话</w:t>
            </w:r>
            <w:r>
              <w:rPr>
                <w:sz w:val="21"/>
              </w:rPr>
              <w:t>2：</w:t>
            </w:r>
          </w:p>
        </w:tc>
      </w:tr>
      <w:tr>
        <w:tc>
          <w:tcPr>
            <w:tcW w:type="dxa" w:w="4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微信号：</w:t>
            </w:r>
          </w:p>
        </w:tc>
        <w:tc>
          <w:tcPr>
            <w:tcW w:type="dxa" w:w="4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E-mail</w:t>
            </w:r>
            <w:r>
              <w:rPr>
                <w:sz w:val="21"/>
              </w:rPr>
              <w:t>:</w:t>
            </w:r>
          </w:p>
        </w:tc>
      </w:tr>
    </w:tbl>
    <w:p>
      <w:pPr>
        <w:pStyle w:val="null3"/>
        <w:ind w:firstLine="420"/>
        <w:jc w:val="both"/>
      </w:pPr>
      <w:r>
        <w:rPr>
          <w:sz w:val="24"/>
          <w:b/>
        </w:rPr>
        <w:t>第六条</w:t>
      </w:r>
      <w:r>
        <w:rPr>
          <w:sz w:val="21"/>
          <w:b/>
        </w:rPr>
        <w:t xml:space="preserve">  </w:t>
      </w:r>
      <w:r>
        <w:rPr>
          <w:sz w:val="21"/>
          <w:b/>
        </w:rPr>
        <w:t>违约责任</w:t>
      </w:r>
    </w:p>
    <w:p>
      <w:pPr>
        <w:pStyle w:val="null3"/>
        <w:ind w:firstLine="420"/>
        <w:jc w:val="both"/>
      </w:pPr>
      <w:r>
        <w:rPr>
          <w:sz w:val="21"/>
        </w:rPr>
        <w:t>1.</w:t>
      </w:r>
      <w:r>
        <w:rPr>
          <w:sz w:val="21"/>
        </w:rPr>
        <w:t>出现以下任何情形之一的，甲方有权单方面解除本合同，自甲方发出书面解除通知书的第二日起，本合同即可解除，甲方不承担违约责任或赔偿责任，因合同解除而发生的费用由乙方承担。乙方应在合同解除之日起的</w:t>
      </w:r>
      <w:r>
        <w:rPr>
          <w:sz w:val="21"/>
        </w:rPr>
        <w:t>3日内，一次性退还甲方已支付的所有款项，同时没收乙方已支付的全部履约保证金和向乙方收取合同总价10%的违约金，违约金不足以弥补甲方损失的（包括但不限于律师费、诉讼费、保全费、担保费、交通费、差旅费、鉴定费等），乙方应另行赔偿：</w:t>
      </w:r>
    </w:p>
    <w:p>
      <w:pPr>
        <w:pStyle w:val="null3"/>
        <w:ind w:firstLine="420"/>
        <w:jc w:val="both"/>
      </w:pPr>
      <w:r>
        <w:rPr>
          <w:sz w:val="21"/>
        </w:rPr>
        <w:t>（</w:t>
      </w:r>
      <w:r>
        <w:rPr>
          <w:sz w:val="21"/>
        </w:rPr>
        <w:t>1）乙方拒绝供货或逾期15日交付货物；</w:t>
      </w:r>
    </w:p>
    <w:p>
      <w:pPr>
        <w:pStyle w:val="null3"/>
        <w:ind w:firstLine="420"/>
        <w:jc w:val="both"/>
      </w:pPr>
      <w:r>
        <w:rPr>
          <w:sz w:val="21"/>
        </w:rPr>
        <w:t>（</w:t>
      </w:r>
      <w:r>
        <w:rPr>
          <w:sz w:val="21"/>
        </w:rPr>
        <w:t>2）乙方交付的货物不符合合同规定，且甲方拒收的；</w:t>
      </w:r>
    </w:p>
    <w:p>
      <w:pPr>
        <w:pStyle w:val="null3"/>
        <w:ind w:firstLine="420"/>
        <w:jc w:val="both"/>
      </w:pPr>
      <w:r>
        <w:rPr>
          <w:sz w:val="21"/>
        </w:rPr>
        <w:t>（</w:t>
      </w:r>
      <w:r>
        <w:rPr>
          <w:sz w:val="21"/>
        </w:rPr>
        <w:t>3）乙方交付的货物经两次及以上验收仍不合格的；</w:t>
      </w:r>
    </w:p>
    <w:p>
      <w:pPr>
        <w:pStyle w:val="null3"/>
        <w:ind w:firstLine="420"/>
        <w:jc w:val="both"/>
      </w:pPr>
      <w:r>
        <w:rPr>
          <w:sz w:val="21"/>
        </w:rPr>
        <w:t>（</w:t>
      </w:r>
      <w:r>
        <w:rPr>
          <w:sz w:val="21"/>
        </w:rPr>
        <w:t>4）乙方交付的货物经有关部门鉴定为不合格产品的；</w:t>
      </w:r>
    </w:p>
    <w:p>
      <w:pPr>
        <w:pStyle w:val="null3"/>
        <w:ind w:firstLine="420"/>
        <w:jc w:val="both"/>
      </w:pPr>
      <w:r>
        <w:rPr>
          <w:sz w:val="21"/>
        </w:rPr>
        <w:t>（</w:t>
      </w:r>
      <w:r>
        <w:rPr>
          <w:sz w:val="21"/>
        </w:rPr>
        <w:t>5）乙方提供的货物涉及侵犯他人知识产权、肖像权、技术秘密、商业秘密或其他权益纠纷的；</w:t>
      </w:r>
    </w:p>
    <w:p>
      <w:pPr>
        <w:pStyle w:val="null3"/>
        <w:ind w:firstLine="420"/>
        <w:jc w:val="both"/>
      </w:pPr>
      <w:r>
        <w:rPr>
          <w:sz w:val="21"/>
        </w:rPr>
        <w:t>（</w:t>
      </w:r>
      <w:r>
        <w:rPr>
          <w:sz w:val="21"/>
        </w:rPr>
        <w:t>6）乙方利用本合同实施损害甲方合法权益行为的。</w:t>
      </w:r>
    </w:p>
    <w:p>
      <w:pPr>
        <w:pStyle w:val="null3"/>
        <w:ind w:firstLine="420"/>
        <w:jc w:val="both"/>
      </w:pPr>
      <w:r>
        <w:rPr>
          <w:sz w:val="21"/>
        </w:rPr>
        <w:t>（</w:t>
      </w:r>
      <w:r>
        <w:rPr>
          <w:sz w:val="21"/>
        </w:rPr>
        <w:t>7）乙方不按合同约定履行义务，经甲方提出后，在合理期限内仍不改正的；</w:t>
      </w:r>
    </w:p>
    <w:p>
      <w:pPr>
        <w:pStyle w:val="null3"/>
        <w:ind w:firstLine="482"/>
        <w:jc w:val="both"/>
      </w:pPr>
      <w:r>
        <w:rPr>
          <w:sz w:val="21"/>
        </w:rPr>
        <w:t>（</w:t>
      </w:r>
      <w:r>
        <w:rPr>
          <w:sz w:val="21"/>
        </w:rPr>
        <w:t>8）乙方所交货的货物验收不合格，或经维修、退换后仍无法正常使用的，或虽可正常使用但无法达到本合同约定的参数及要求的。</w:t>
      </w:r>
    </w:p>
    <w:p>
      <w:pPr>
        <w:pStyle w:val="null3"/>
        <w:ind w:firstLine="420"/>
        <w:jc w:val="both"/>
      </w:pPr>
      <w:r>
        <w:rPr>
          <w:sz w:val="21"/>
        </w:rPr>
        <w:t>2.</w:t>
      </w:r>
      <w:r>
        <w:rPr>
          <w:sz w:val="21"/>
        </w:rPr>
        <w:t>乙方超过缴纳履约保证金期限，未向甲方缴纳履约保证金的，每逾期一日，甲方有权要求乙方按履约保证金的</w:t>
      </w:r>
      <w:r>
        <w:rPr>
          <w:sz w:val="21"/>
        </w:rPr>
        <w:t>1%偿付违约金，乙方逾期缴纳履约保证金的违约金总额不超过履约保证金数额的5%。乙方拒不缴纳履约保证金，甲方有权单方解除本合同，并要求乙方合同总价5%偿付违约金。</w:t>
      </w:r>
    </w:p>
    <w:p>
      <w:pPr>
        <w:pStyle w:val="null3"/>
        <w:ind w:firstLine="420"/>
        <w:jc w:val="both"/>
      </w:pPr>
      <w:r>
        <w:rPr>
          <w:sz w:val="21"/>
        </w:rPr>
        <w:t>3.</w:t>
      </w:r>
      <w:r>
        <w:rPr>
          <w:sz w:val="21"/>
        </w:rPr>
        <w:t>甲方逾期退还履约保证金的，每逾期</w:t>
      </w:r>
      <w:r>
        <w:rPr>
          <w:sz w:val="21"/>
        </w:rPr>
        <w:t>1天，乙方有权要求甲方按履约保证金的1%偿付违约金，甲方逾期退还履约保证金的违约金总额不超过履约保证金数额的5%。</w:t>
      </w:r>
    </w:p>
    <w:p>
      <w:pPr>
        <w:pStyle w:val="null3"/>
        <w:ind w:firstLine="420"/>
        <w:jc w:val="both"/>
      </w:pPr>
      <w:r>
        <w:rPr>
          <w:sz w:val="21"/>
        </w:rPr>
        <w:t>4.</w:t>
      </w:r>
      <w:r>
        <w:rPr>
          <w:sz w:val="21"/>
        </w:rPr>
        <w:t>乙方逾期交付货物的，则每逾期一日甲方有权在履约保证金或合同价款中直接扣除合同总价的</w:t>
      </w:r>
      <w:r>
        <w:rPr>
          <w:sz w:val="21"/>
        </w:rPr>
        <w:t>0.3‰作为违约金，直到交付验收合格货物时止。</w:t>
      </w:r>
    </w:p>
    <w:p>
      <w:pPr>
        <w:pStyle w:val="null3"/>
        <w:ind w:firstLine="420"/>
        <w:jc w:val="both"/>
      </w:pPr>
      <w:r>
        <w:rPr>
          <w:sz w:val="21"/>
        </w:rPr>
        <w:t>5.</w:t>
      </w:r>
      <w:r>
        <w:rPr>
          <w:sz w:val="21"/>
        </w:rPr>
        <w:t>甲方逾期付款的，则每逾期一日乙方有权要求甲方按合同总价</w:t>
      </w:r>
      <w:r>
        <w:rPr>
          <w:sz w:val="21"/>
        </w:rPr>
        <w:t>0.3‰偿付违约金，甲方支付的违约金总额不</w:t>
      </w:r>
      <w:r>
        <w:rPr>
          <w:sz w:val="21"/>
        </w:rPr>
        <w:t>超过</w:t>
      </w:r>
      <w:r>
        <w:rPr>
          <w:sz w:val="21"/>
        </w:rPr>
        <w:t>未付合同金额的</w:t>
      </w:r>
      <w:r>
        <w:rPr>
          <w:sz w:val="21"/>
        </w:rPr>
        <w:t>3%；在履行合同过程中，因相关部门审核导致的支付延误，甲方无需承担违约责任。</w:t>
      </w:r>
    </w:p>
    <w:p>
      <w:pPr>
        <w:pStyle w:val="null3"/>
        <w:ind w:firstLine="420"/>
        <w:jc w:val="both"/>
      </w:pPr>
      <w:r>
        <w:rPr>
          <w:sz w:val="24"/>
          <w:b/>
        </w:rPr>
        <w:t>第七条</w:t>
      </w:r>
      <w:r>
        <w:rPr>
          <w:sz w:val="21"/>
          <w:b/>
        </w:rPr>
        <w:t xml:space="preserve">  </w:t>
      </w:r>
      <w:r>
        <w:rPr>
          <w:sz w:val="21"/>
          <w:b/>
        </w:rPr>
        <w:t>不可抗力</w:t>
      </w:r>
    </w:p>
    <w:p>
      <w:pPr>
        <w:pStyle w:val="null3"/>
        <w:ind w:firstLine="367"/>
        <w:jc w:val="both"/>
      </w:pPr>
      <w:r>
        <w:rPr>
          <w:sz w:val="21"/>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于承担违约责任。</w:t>
      </w:r>
    </w:p>
    <w:p>
      <w:pPr>
        <w:pStyle w:val="null3"/>
        <w:ind w:firstLine="420"/>
        <w:jc w:val="both"/>
      </w:pPr>
      <w:r>
        <w:rPr>
          <w:sz w:val="24"/>
          <w:b/>
        </w:rPr>
        <w:t>第八条</w:t>
      </w:r>
      <w:r>
        <w:rPr>
          <w:sz w:val="21"/>
          <w:b/>
        </w:rPr>
        <w:t xml:space="preserve">  </w:t>
      </w:r>
      <w:r>
        <w:rPr>
          <w:sz w:val="21"/>
          <w:b/>
        </w:rPr>
        <w:t>解决争议的办法</w:t>
      </w:r>
    </w:p>
    <w:p>
      <w:pPr>
        <w:pStyle w:val="null3"/>
        <w:ind w:firstLine="315"/>
        <w:jc w:val="both"/>
      </w:pPr>
      <w:r>
        <w:rPr>
          <w:sz w:val="21"/>
        </w:rPr>
        <w:t>1.本合同在执行期间，如有未尽事宜，由双方另行协商解决，并可以签订补充合同或协议，补充合同或协议与本合同具有同等效力。</w:t>
      </w:r>
    </w:p>
    <w:p>
      <w:pPr>
        <w:pStyle w:val="null3"/>
        <w:ind w:firstLine="315"/>
        <w:jc w:val="both"/>
      </w:pPr>
      <w:r>
        <w:rPr>
          <w:sz w:val="21"/>
        </w:rPr>
        <w:t>2.若执行本合同的过程中发生纠纷，双方当事人应当及时协商解决；协商不成时，可向甲方所在地有管辖权的人民法院提起诉讼。</w:t>
      </w:r>
    </w:p>
    <w:p>
      <w:pPr>
        <w:pStyle w:val="null3"/>
        <w:ind w:firstLine="315"/>
        <w:jc w:val="both"/>
      </w:pPr>
      <w:r>
        <w:rPr>
          <w:sz w:val="21"/>
        </w:rPr>
        <w:t>3.甲方为维护本合同合法权益提起诉讼的，乙方应承担甲方为维护权益而支出的律师费、诉讼费、保全费、担保费、执行费等合理费用。</w:t>
      </w:r>
    </w:p>
    <w:p>
      <w:pPr>
        <w:pStyle w:val="null3"/>
        <w:ind w:firstLine="420"/>
        <w:jc w:val="both"/>
      </w:pPr>
      <w:r>
        <w:rPr>
          <w:sz w:val="24"/>
          <w:b/>
        </w:rPr>
        <w:t>第九条</w:t>
      </w:r>
      <w:r>
        <w:rPr>
          <w:sz w:val="21"/>
          <w:b/>
        </w:rPr>
        <w:t xml:space="preserve">  </w:t>
      </w:r>
      <w:r>
        <w:rPr>
          <w:sz w:val="21"/>
          <w:b/>
        </w:rPr>
        <w:t>合同生效及终止</w:t>
      </w:r>
    </w:p>
    <w:p>
      <w:pPr>
        <w:pStyle w:val="null3"/>
        <w:ind w:firstLine="420"/>
      </w:pPr>
      <w:r>
        <w:rPr>
          <w:sz w:val="21"/>
        </w:rPr>
        <w:t>1.</w:t>
      </w:r>
      <w:r>
        <w:rPr>
          <w:sz w:val="21"/>
        </w:rPr>
        <w:t>本合同自甲乙双方签署之日起生效。本合同</w:t>
      </w:r>
      <w:r>
        <w:rPr>
          <w:sz w:val="21"/>
          <w:u w:val="single"/>
        </w:rPr>
        <w:t>一式陆份，甲方执伍份，乙方执壹份。</w:t>
      </w:r>
    </w:p>
    <w:p>
      <w:pPr>
        <w:pStyle w:val="null3"/>
        <w:ind w:firstLine="420"/>
      </w:pPr>
      <w:r>
        <w:rPr>
          <w:sz w:val="21"/>
        </w:rPr>
        <w:t>2.</w:t>
      </w:r>
      <w:r>
        <w:rPr>
          <w:sz w:val="21"/>
        </w:rPr>
        <w:t>本合同所有附件、招标文件（如有）、投标文件（如有）、中标通知书或成交公告（如有）均为合同的有效组成部分，与本合同具有同等法律效力。以上文件约定不一致的，以形成在后的文件约定为准。</w:t>
      </w:r>
    </w:p>
    <w:p>
      <w:pPr>
        <w:pStyle w:val="null3"/>
        <w:ind w:firstLine="420"/>
        <w:jc w:val="both"/>
      </w:pPr>
      <w:r>
        <w:rPr>
          <w:sz w:val="24"/>
          <w:b/>
        </w:rPr>
        <w:t>第十条</w:t>
      </w:r>
      <w:r>
        <w:rPr>
          <w:sz w:val="21"/>
        </w:rPr>
        <w:t xml:space="preserve">  </w:t>
      </w:r>
      <w:r>
        <w:rPr>
          <w:sz w:val="21"/>
          <w:b/>
        </w:rPr>
        <w:t>监督和管理</w:t>
      </w:r>
    </w:p>
    <w:p>
      <w:pPr>
        <w:pStyle w:val="null3"/>
        <w:ind w:firstLine="367"/>
        <w:jc w:val="both"/>
      </w:pPr>
      <w:r>
        <w:rPr>
          <w:sz w:val="21"/>
        </w:rPr>
        <w:t>1.</w:t>
      </w:r>
      <w:r>
        <w:rPr>
          <w:sz w:val="21"/>
        </w:rPr>
        <w:t>双方经协商一致需变更合同实质性条款或订立补充合同的，应先取得政府采购监督管理部门的同意，并送政府采购中心备案。</w:t>
      </w:r>
    </w:p>
    <w:p>
      <w:pPr>
        <w:pStyle w:val="null3"/>
        <w:ind w:firstLine="367"/>
        <w:jc w:val="both"/>
      </w:pPr>
      <w:r>
        <w:rPr>
          <w:sz w:val="21"/>
        </w:rPr>
        <w:t>2.</w:t>
      </w:r>
      <w:r>
        <w:rPr>
          <w:sz w:val="21"/>
        </w:rPr>
        <w:t>甲乙双方均应配合政府采购监督管理部门和政府采购中心（校外）采购组织部门（校内）对合同履行情况的监督检查，如实反映情况，提供有关资料。</w:t>
      </w:r>
    </w:p>
    <w:p>
      <w:pPr>
        <w:pStyle w:val="null3"/>
        <w:ind w:firstLine="420"/>
        <w:jc w:val="both"/>
      </w:pPr>
      <w:r>
        <w:rPr>
          <w:sz w:val="24"/>
          <w:b/>
        </w:rPr>
        <w:t>第十一条</w:t>
      </w:r>
      <w:r>
        <w:rPr>
          <w:sz w:val="21"/>
          <w:b/>
        </w:rPr>
        <w:t xml:space="preserve">  </w:t>
      </w:r>
      <w:r>
        <w:rPr>
          <w:sz w:val="21"/>
          <w:b/>
        </w:rPr>
        <w:t>其他约定条款</w:t>
      </w:r>
    </w:p>
    <w:p>
      <w:pPr>
        <w:pStyle w:val="null3"/>
        <w:ind w:firstLine="367"/>
        <w:jc w:val="both"/>
      </w:pPr>
      <w:r>
        <w:rPr>
          <w:sz w:val="21"/>
        </w:rPr>
        <w:t>1.甲乙双方之间据以联系的通知或者信件应当是书面形式，按本合同列明地址通过特快专递邮寄或直接送达的方式送达，以特快专递邮寄方式送达的，自寄出之日起2日后视为有效送达。任何一方更改地址、传真电话须提前七日有效通知对方，否则应承担不能送达的法律责任。</w:t>
      </w:r>
    </w:p>
    <w:p>
      <w:pPr>
        <w:pStyle w:val="null3"/>
        <w:ind w:firstLine="367"/>
        <w:jc w:val="both"/>
      </w:pPr>
      <w:r>
        <w:rPr>
          <w:sz w:val="21"/>
        </w:rPr>
        <w:t>2.若甲方根据本合同向乙方主张权益时，甲方因此所支付或垫付的所有费用（包括但不限于诉讼费、公证费、律师费）均由乙方承担。</w:t>
      </w:r>
    </w:p>
    <w:p>
      <w:pPr>
        <w:pStyle w:val="null3"/>
        <w:ind w:firstLine="367"/>
        <w:jc w:val="both"/>
      </w:pPr>
      <w:r>
        <w:rPr>
          <w:sz w:val="21"/>
        </w:rPr>
        <w:t>3.本合同经甲乙双方充分协商确定，在对合同条款出现不一致理解时，应当以履行合同的目的作出合理解释，不能作出有利于任何一方的解释。</w:t>
      </w:r>
    </w:p>
    <w:p>
      <w:pPr>
        <w:pStyle w:val="null3"/>
        <w:jc w:val="left"/>
      </w:pPr>
      <w:r>
        <w:rPr>
          <w:sz w:val="21"/>
        </w:rPr>
        <w:t>（本页为甲乙双方《五邑大学仪器设备政府采购合同》签署栏）</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甲方（公章）：五邑大学</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乙方（公章）：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法定代表人（或授权人）：</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地址：广东省江门市蓬江区东成村</w:t>
            </w:r>
            <w:r>
              <w:rPr>
                <w:sz w:val="21"/>
              </w:rPr>
              <w:t>22号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开户银行：中国工商银行股份有限公司江门蓬江支行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开户银行：</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r>
              <w:rPr>
                <w:sz w:val="21"/>
              </w:rPr>
              <w:t>2012006509024900818</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账号：</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r>
              <w:rPr>
                <w:sz w:val="21"/>
              </w:rPr>
              <w:t>0750-3296151</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电话：</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E-mail</w:t>
            </w:r>
            <w:r>
              <w:rPr>
                <w:sz w:val="21"/>
              </w:rPr>
              <w:t>:</w:t>
            </w:r>
            <w:r>
              <w:rPr>
                <w:sz w:val="21"/>
              </w:rPr>
              <w:t>sbc@wyu.edu.cn</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E-mail</w:t>
            </w:r>
            <w:r>
              <w:rPr>
                <w:sz w:val="21"/>
              </w:rPr>
              <w:t>:</w:t>
            </w:r>
          </w:p>
        </w:tc>
      </w:tr>
      <w:tr>
        <w:tc>
          <w:tcPr>
            <w:tcW w:type="dxa" w:w="8306"/>
            <w:gridSpan w:val="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p>
        </w:tc>
      </w:tr>
    </w:tbl>
    <w:p>
      <w:pPr>
        <w:pStyle w:val="null3"/>
        <w:ind w:left="420"/>
      </w:pPr>
      <w:r>
        <w:rPr>
          <w:sz w:val="21"/>
          <w:b/>
        </w:rPr>
        <w:t>附件</w:t>
      </w:r>
      <w:r>
        <w:rPr>
          <w:sz w:val="21"/>
          <w:b/>
        </w:rPr>
        <w:t>1</w:t>
      </w:r>
      <w:r>
        <w:rPr>
          <w:sz w:val="21"/>
          <w:b/>
        </w:rPr>
        <w:t>：货物清单</w:t>
      </w:r>
    </w:p>
    <w:p>
      <w:pPr>
        <w:pStyle w:val="null3"/>
        <w:ind w:firstLine="422"/>
        <w:jc w:val="both"/>
      </w:pPr>
      <w:r>
        <w:rPr>
          <w:sz w:val="21"/>
        </w:rPr>
        <w:t>单位：元</w:t>
      </w:r>
    </w:p>
    <w:tbl>
      <w:tblPr>
        <w:tblW w:w="0" w:type="auto"/>
        <w:tblBorders>
          <w:top w:val="none" w:color="000000" w:sz="4"/>
          <w:left w:val="none" w:color="000000" w:sz="4"/>
          <w:bottom w:val="none" w:color="000000" w:sz="4"/>
          <w:right w:val="none" w:color="000000" w:sz="4"/>
          <w:insideH w:val="none"/>
          <w:insideV w:val="none"/>
        </w:tblBorders>
      </w:tblPr>
      <w:tblGrid>
        <w:gridCol w:w="778"/>
        <w:gridCol w:w="1295"/>
        <w:gridCol w:w="778"/>
        <w:gridCol w:w="778"/>
        <w:gridCol w:w="778"/>
        <w:gridCol w:w="778"/>
        <w:gridCol w:w="778"/>
        <w:gridCol w:w="778"/>
        <w:gridCol w:w="778"/>
        <w:gridCol w:w="778"/>
      </w:tblGrid>
      <w:tr>
        <w:tc>
          <w:tcPr>
            <w:tcW w:type="dxa" w:w="7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2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货物名称</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产地</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单价</w:t>
            </w:r>
          </w:p>
        </w:tc>
        <w:tc>
          <w:tcPr>
            <w:tcW w:type="dxa" w:w="7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总价</w:t>
            </w: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2</w:t>
            </w:r>
          </w:p>
        </w:tc>
        <w:tc>
          <w:tcPr>
            <w:tcW w:type="dxa" w:w="12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技术服务费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安装调试费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培训费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运输费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保险费</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已包含</w:t>
            </w:r>
          </w:p>
        </w:tc>
      </w:tr>
      <w:tr>
        <w:tc>
          <w:tcPr>
            <w:tcW w:type="dxa" w:w="207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其他费用</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207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总价（含税）</w:t>
            </w: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小写：</w:t>
            </w:r>
            <w:r>
              <w:rPr>
                <w:sz w:val="21"/>
                <w:b/>
                <w:u w:val="single"/>
              </w:rPr>
              <w:t xml:space="preserve">¥         </w:t>
            </w:r>
            <w:r>
              <w:rPr>
                <w:sz w:val="21"/>
                <w:b/>
              </w:rPr>
              <w:t>元</w:t>
            </w:r>
          </w:p>
        </w:tc>
      </w:tr>
      <w:tr>
        <w:tc>
          <w:tcPr>
            <w:tcW w:type="dxa" w:w="2073"/>
            <w:gridSpan w:val="2"/>
            <w:vMerge/>
            <w:tcBorders>
              <w:top w:val="none" w:color="000000" w:sz="4"/>
              <w:left w:val="single" w:color="000000" w:sz="4"/>
              <w:bottom w:val="single" w:color="000000" w:sz="4"/>
              <w:right w:val="single" w:color="000000" w:sz="4"/>
            </w:tcBorders>
          </w:tcPr>
          <w:p/>
        </w:tc>
        <w:tc>
          <w:tcPr>
            <w:tcW w:type="dxa" w:w="6224"/>
            <w:gridSpan w:val="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大写：</w:t>
            </w:r>
            <w:r>
              <w:rPr>
                <w:sz w:val="21"/>
                <w:b/>
                <w:u w:val="single"/>
              </w:rPr>
              <w:t xml:space="preserve">              </w:t>
            </w:r>
          </w:p>
        </w:tc>
      </w:tr>
    </w:tbl>
    <w:p>
      <w:pPr>
        <w:pStyle w:val="null3"/>
        <w:ind w:firstLine="211"/>
        <w:jc w:val="both"/>
      </w:pPr>
      <w:r>
        <w:rPr>
          <w:sz w:val="21"/>
          <w:b/>
        </w:rPr>
        <w:t>乙方如实申报货物名称，品牌、型号、规格、产地、数量、单位、大小写英文，必须与实际供货产品机身铭牌上所标识的完全一致，如有错漏，将无法验收，造成的一切后果由乙方自行承担。</w:t>
      </w:r>
    </w:p>
    <w:p>
      <w:pPr>
        <w:pStyle w:val="null3"/>
        <w:ind w:firstLine="210"/>
        <w:jc w:val="both"/>
      </w:pPr>
      <w:r>
        <w:rPr>
          <w:sz w:val="21"/>
          <w:b/>
        </w:rPr>
        <w:t>附件</w:t>
      </w:r>
      <w:r>
        <w:rPr>
          <w:sz w:val="21"/>
          <w:b/>
        </w:rPr>
        <w:t>2</w:t>
      </w:r>
      <w:r>
        <w:rPr>
          <w:sz w:val="21"/>
          <w:b/>
        </w:rPr>
        <w:t>：主要技术参数</w:t>
      </w:r>
    </w:p>
    <w:tbl>
      <w:tblPr>
        <w:tblW w:w="0" w:type="auto"/>
        <w:tblBorders>
          <w:top w:val="none" w:color="000000" w:sz="4"/>
          <w:left w:val="none" w:color="000000" w:sz="4"/>
          <w:bottom w:val="none" w:color="000000" w:sz="4"/>
          <w:right w:val="none" w:color="000000" w:sz="4"/>
          <w:insideH w:val="none"/>
          <w:insideV w:val="none"/>
        </w:tblBorders>
      </w:tblPr>
      <w:tblGrid>
        <w:gridCol w:w="349"/>
        <w:gridCol w:w="1394"/>
        <w:gridCol w:w="463"/>
        <w:gridCol w:w="463"/>
        <w:gridCol w:w="465"/>
        <w:gridCol w:w="5166"/>
      </w:tblGrid>
      <w:tr>
        <w:tc>
          <w:tcPr>
            <w:tcW w:type="dxa" w:w="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货物名称</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品牌</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型号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规格</w:t>
            </w:r>
          </w:p>
        </w:tc>
        <w:tc>
          <w:tcPr>
            <w:tcW w:type="dxa" w:w="5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配置</w:t>
            </w:r>
            <w:r>
              <w:rPr>
                <w:sz w:val="21"/>
                <w:b/>
              </w:rPr>
              <w:t>/技术参数</w:t>
            </w: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pPr>
          </w:p>
        </w:tc>
        <w:tc>
          <w:tcPr>
            <w:tcW w:type="dxa" w:w="1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1"/>
          <w:b/>
        </w:rPr>
        <w:t>附件</w:t>
      </w:r>
      <w:r>
        <w:rPr>
          <w:sz w:val="21"/>
          <w:b/>
        </w:rPr>
        <w:t>3</w:t>
      </w:r>
      <w:r>
        <w:rPr>
          <w:sz w:val="21"/>
          <w:b/>
        </w:rPr>
        <w:t>：保修服务表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1419"/>
        <w:gridCol w:w="1060"/>
        <w:gridCol w:w="1588"/>
        <w:gridCol w:w="2324"/>
        <w:gridCol w:w="894"/>
      </w:tblGrid>
      <w:tr>
        <w:tc>
          <w:tcPr>
            <w:tcW w:type="dxa" w:w="101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序号</w:t>
            </w:r>
          </w:p>
        </w:tc>
        <w:tc>
          <w:tcPr>
            <w:tcW w:type="dxa" w:w="1419"/>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货物及</w:t>
            </w:r>
          </w:p>
          <w:p>
            <w:pPr>
              <w:pStyle w:val="null3"/>
              <w:jc w:val="both"/>
            </w:pPr>
            <w:r>
              <w:rPr>
                <w:sz w:val="21"/>
                <w:b/>
              </w:rPr>
              <w:t>配件名称</w:t>
            </w:r>
          </w:p>
        </w:tc>
        <w:tc>
          <w:tcPr>
            <w:tcW w:type="dxa" w:w="106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质保期</w:t>
            </w:r>
          </w:p>
        </w:tc>
        <w:tc>
          <w:tcPr>
            <w:tcW w:type="dxa" w:w="1588"/>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保修响应时间</w:t>
            </w:r>
          </w:p>
        </w:tc>
        <w:tc>
          <w:tcPr>
            <w:tcW w:type="dxa" w:w="232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售后服务网点及电话</w:t>
            </w:r>
          </w:p>
        </w:tc>
        <w:tc>
          <w:tcPr>
            <w:tcW w:type="dxa" w:w="894"/>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备注</w:t>
            </w:r>
          </w:p>
        </w:tc>
      </w:tr>
      <w:tr>
        <w:tc>
          <w:tcPr>
            <w:tcW w:type="dxa" w:w="101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1</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2</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r>
        <w:tc>
          <w:tcPr>
            <w:tcW w:type="dxa" w:w="1017"/>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sz w:val="21"/>
                <w:b/>
              </w:rPr>
              <w:t>…</w:t>
            </w:r>
          </w:p>
        </w:tc>
        <w:tc>
          <w:tcPr>
            <w:tcW w:type="dxa" w:w="1419"/>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p>
        </w:tc>
        <w:tc>
          <w:tcPr>
            <w:tcW w:type="dxa" w:w="106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1588"/>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232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c>
          <w:tcPr>
            <w:tcW w:type="dxa" w:w="894"/>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tc>
      </w:tr>
    </w:tbl>
    <w:p>
      <w:pPr>
        <w:pStyle w:val="null3"/>
      </w:pPr>
      <w:r>
        <w:rPr>
          <w:sz w:val="21"/>
          <w:b/>
        </w:rPr>
        <w:t>附件</w:t>
      </w:r>
      <w:r>
        <w:rPr>
          <w:sz w:val="21"/>
          <w:b/>
        </w:rPr>
        <w:t>4</w:t>
      </w:r>
      <w:r>
        <w:rPr>
          <w:sz w:val="21"/>
          <w:b/>
        </w:rPr>
        <w:t>：培训计划</w:t>
      </w:r>
    </w:p>
    <w:p>
      <w:pPr>
        <w:pStyle w:val="null3"/>
        <w:jc w:val="both"/>
      </w:pPr>
      <w:r>
        <w:rPr>
          <w:sz w:val="21"/>
          <w:b/>
        </w:rPr>
        <w:t>培训结束后，由甲乙双方技术人员进行验收</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440701-2025-00088</w:t>
      </w:r>
    </w:p>
    <w:p>
      <w:pPr>
        <w:pStyle w:val="null3"/>
        <w:jc w:val="center"/>
        <w:outlineLvl w:val="3"/>
      </w:pPr>
      <w:r>
        <w:rPr>
          <w:sz w:val="24"/>
          <w:b/>
        </w:rPr>
        <w:t>采购项目编号：</w:t>
      </w:r>
      <w:r>
        <w:rPr>
          <w:sz w:val="24"/>
          <w:b/>
        </w:rPr>
        <w:t>WYUZB2024-131HW</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类器官自动化培养和光电一体化的多重染色病理诊断和监测平台设备采购项目(二次)</w:t>
      </w:r>
      <w:r>
        <w:rPr>
          <w:u w:val="single"/>
        </w:rPr>
        <w:t>”</w:t>
      </w:r>
      <w:r>
        <w:rPr/>
        <w:t>项目的招标[采购项目编号为：</w:t>
      </w:r>
      <w:r>
        <w:rPr>
          <w:u w:val="single"/>
        </w:rPr>
        <w:t>WYUZB2024-131HW</w:t>
      </w:r>
      <w:r>
        <w:rPr/>
        <w:t>]，我方愿参与投标。</w:t>
      </w:r>
    </w:p>
    <w:p>
      <w:pPr>
        <w:pStyle w:val="null3"/>
        <w:ind w:firstLine="480"/>
      </w:pPr>
      <w:r>
        <w:rPr/>
        <w:t>我方确认收到贵方提供的</w:t>
      </w:r>
      <w:r>
        <w:rPr>
          <w:u w:val="single"/>
        </w:rPr>
        <w:t>“</w:t>
      </w:r>
      <w:r>
        <w:rPr>
          <w:u w:val="single"/>
        </w:rPr>
        <w:t>类器官自动化培养和光电一体化的多重染色病理诊断和监测平台设备采购项目(二次)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类器官自动化培养和光电一体化的多重染色病理诊断和监测平台设备采购项目(二次)</w:t>
      </w:r>
      <w:r>
        <w:rPr/>
        <w:t>”项目采购[采购项目编号为</w:t>
      </w:r>
      <w:r>
        <w:rPr/>
        <w:t>WYUZB2024-131HW</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五邑大学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类器官自动化培养和光电一体化的多重染色病理诊断和监测平台设备采购项目(二次)</w:t>
      </w:r>
      <w:r>
        <w:rPr/>
        <w:t>招标中获中标（采购项目编号：</w:t>
      </w:r>
      <w:r>
        <w:rPr/>
        <w:t>WYUZB2024-131HW</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类器官自动化培养和光电一体化的多重染色病理诊断和监测平台设备采购项目(二次)</w:t>
      </w:r>
      <w:r>
        <w:rPr/>
        <w:t>”项目（采购项目编号：</w:t>
      </w:r>
      <w:r>
        <w:rPr/>
        <w:t>WYUZB2024-131HW</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