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440101-2025-19257</w:t>
      </w:r>
    </w:p>
    <w:p>
      <w:pPr>
        <w:pStyle w:val="null3"/>
        <w:jc w:val="center"/>
        <w:outlineLvl w:val="3"/>
      </w:pPr>
      <w:r>
        <w:rPr>
          <w:sz w:val="24"/>
          <w:b/>
        </w:rPr>
        <w:t>采购项目编号：</w:t>
      </w:r>
      <w:r>
        <w:rPr>
          <w:sz w:val="24"/>
          <w:b/>
        </w:rPr>
        <w:t>ZZ0250730</w:t>
      </w:r>
    </w:p>
    <w:p>
      <w:pPr>
        <w:pStyle w:val="null3"/>
        <w:jc w:val="center"/>
        <w:outlineLvl w:val="3"/>
      </w:pPr>
      <w:r>
        <w:rPr>
          <w:sz w:val="24"/>
          <w:b/>
        </w:rPr>
        <w:t>项目名称：</w:t>
      </w:r>
      <w:r>
        <w:rPr>
          <w:sz w:val="24"/>
          <w:b/>
        </w:rPr>
        <w:t>城市轨道交通智能运输技能提升设备购置项目</w:t>
      </w:r>
    </w:p>
    <w:p>
      <w:pPr>
        <w:pStyle w:val="null3"/>
        <w:jc w:val="center"/>
        <w:outlineLvl w:val="3"/>
      </w:pPr>
      <w:r>
        <w:rPr>
          <w:sz w:val="24"/>
          <w:b/>
        </w:rPr>
        <w:t>采购人：</w:t>
      </w:r>
      <w:r>
        <w:rPr>
          <w:sz w:val="24"/>
          <w:b/>
        </w:rPr>
        <w:t>广州铁路职业技术学院</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广州铁路职业技术学院</w:t>
      </w:r>
      <w:r>
        <w:rPr/>
        <w:t>的委托，采用</w:t>
      </w:r>
      <w:r>
        <w:rPr/>
        <w:t>公开招标</w:t>
      </w:r>
      <w:r>
        <w:rPr/>
        <w:t>方式组织采购</w:t>
      </w:r>
      <w:r>
        <w:rPr/>
        <w:t>城市轨道交通智能运输技能提升设备购置项目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城市轨道交通智能运输技能提升设备购置项目</w:t>
      </w:r>
    </w:p>
    <w:p>
      <w:pPr>
        <w:pStyle w:val="null3"/>
        <w:ind w:firstLine="480"/>
      </w:pPr>
      <w:r>
        <w:rPr/>
        <w:t>采购计划编号：</w:t>
      </w:r>
      <w:r>
        <w:rPr/>
        <w:t>440101-2025-19257</w:t>
      </w:r>
    </w:p>
    <w:p>
      <w:pPr>
        <w:pStyle w:val="null3"/>
        <w:ind w:firstLine="480"/>
      </w:pPr>
      <w:r>
        <w:rPr/>
        <w:t>采购项目编号：</w:t>
      </w:r>
      <w:r>
        <w:rPr/>
        <w:t>ZZ0250730</w:t>
      </w:r>
    </w:p>
    <w:p>
      <w:pPr>
        <w:pStyle w:val="null3"/>
        <w:ind w:firstLine="480"/>
      </w:pPr>
      <w:r>
        <w:rPr/>
        <w:t>采购方式：</w:t>
      </w:r>
      <w:r>
        <w:rPr/>
        <w:t>公开招标</w:t>
      </w:r>
    </w:p>
    <w:p>
      <w:pPr>
        <w:pStyle w:val="null3"/>
        <w:ind w:firstLine="480"/>
      </w:pPr>
      <w:r>
        <w:rPr/>
        <w:t>预算金额：</w:t>
      </w:r>
      <w:r>
        <w:rPr/>
        <w:t>1,430,000.00</w:t>
      </w:r>
      <w:r>
        <w:rPr/>
        <w:t>元</w:t>
      </w:r>
    </w:p>
    <w:p>
      <w:pPr>
        <w:pStyle w:val="null3"/>
        <w:outlineLvl w:val="3"/>
      </w:pPr>
      <w:r>
        <w:rPr>
          <w:sz w:val="24"/>
          <w:b/>
        </w:rPr>
        <w:t>2.项目内容及需求情况（采购项目技术规格、参数及要求）</w:t>
      </w:r>
    </w:p>
    <w:p>
      <w:pPr>
        <w:pStyle w:val="null3"/>
      </w:pPr>
      <w:r>
        <w:rPr/>
        <w:t>采购包1(城市轨道交通智能运输技能提升设备购置项目):</w:t>
      </w:r>
    </w:p>
    <w:p>
      <w:pPr>
        <w:pStyle w:val="null3"/>
      </w:pPr>
      <w:r>
        <w:rPr/>
        <w:t>采购包预算金额：1,430,000.00元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应用软件</w:t>
            </w:r>
          </w:p>
        </w:tc>
        <w:tc>
          <w:tcPr>
            <w:tcW w:type="dxa" w:w="2136"/>
          </w:tcPr>
          <w:p>
            <w:pPr>
              <w:pStyle w:val="null3"/>
            </w:pPr>
            <w:r>
              <w:rPr/>
              <w:t>虚拟车站仿真系统</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应用软件</w:t>
            </w:r>
          </w:p>
        </w:tc>
        <w:tc>
          <w:tcPr>
            <w:tcW w:type="dxa" w:w="2136"/>
          </w:tcPr>
          <w:p>
            <w:pPr>
              <w:pStyle w:val="null3"/>
            </w:pPr>
            <w:r>
              <w:rPr/>
              <w:t>智慧城轨运营组织考评系统</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其他铁路运输设备</w:t>
            </w:r>
          </w:p>
        </w:tc>
        <w:tc>
          <w:tcPr>
            <w:tcW w:type="dxa" w:w="2136"/>
          </w:tcPr>
          <w:p>
            <w:pPr>
              <w:pStyle w:val="null3"/>
            </w:pPr>
            <w:r>
              <w:rPr/>
              <w:t>道岔实训平台</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调度中心实训平台</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教学仪器</w:t>
            </w:r>
          </w:p>
        </w:tc>
        <w:tc>
          <w:tcPr>
            <w:tcW w:type="dxa" w:w="2136"/>
          </w:tcPr>
          <w:p>
            <w:pPr>
              <w:pStyle w:val="null3"/>
            </w:pPr>
            <w:r>
              <w:rPr/>
              <w:t>车站控制室实训平台</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其他机械设备</w:t>
            </w:r>
          </w:p>
        </w:tc>
        <w:tc>
          <w:tcPr>
            <w:tcW w:type="dxa" w:w="2136"/>
          </w:tcPr>
          <w:p>
            <w:pPr>
              <w:pStyle w:val="null3"/>
            </w:pPr>
            <w:r>
              <w:rPr/>
              <w:t>实训工具</w:t>
            </w:r>
          </w:p>
        </w:tc>
        <w:tc>
          <w:tcPr>
            <w:tcW w:type="dxa" w:w="1187"/>
          </w:tcPr>
          <w:p>
            <w:pPr>
              <w:pStyle w:val="null3"/>
            </w:pPr>
            <w:r>
              <w:rPr/>
              <w:t>10(套)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电工、电子生产设备零部件</w:t>
            </w:r>
          </w:p>
        </w:tc>
        <w:tc>
          <w:tcPr>
            <w:tcW w:type="dxa" w:w="2136"/>
          </w:tcPr>
          <w:p>
            <w:pPr>
              <w:pStyle w:val="null3"/>
            </w:pPr>
            <w:r>
              <w:rPr/>
              <w:t>实训耗材</w:t>
            </w:r>
          </w:p>
        </w:tc>
        <w:tc>
          <w:tcPr>
            <w:tcW w:type="dxa" w:w="1187"/>
          </w:tcPr>
          <w:p>
            <w:pPr>
              <w:pStyle w:val="null3"/>
            </w:pPr>
            <w:r>
              <w:rPr/>
              <w:t>20(套)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教学仪器</w:t>
            </w:r>
          </w:p>
        </w:tc>
        <w:tc>
          <w:tcPr>
            <w:tcW w:type="dxa" w:w="2136"/>
          </w:tcPr>
          <w:p>
            <w:pPr>
              <w:pStyle w:val="null3"/>
            </w:pPr>
            <w:r>
              <w:rPr/>
              <w:t>虚拟信号设备故障处理和检修作业实训平台</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其他铁路运输设备</w:t>
            </w:r>
          </w:p>
        </w:tc>
        <w:tc>
          <w:tcPr>
            <w:tcW w:type="dxa" w:w="2136"/>
          </w:tcPr>
          <w:p>
            <w:pPr>
              <w:pStyle w:val="null3"/>
            </w:pPr>
            <w:r>
              <w:rPr/>
              <w:t>城市轨道交通信号系统实训与考核平台</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应用软件</w:t>
            </w:r>
          </w:p>
        </w:tc>
        <w:tc>
          <w:tcPr>
            <w:tcW w:type="dxa" w:w="2136"/>
          </w:tcPr>
          <w:p>
            <w:pPr>
              <w:pStyle w:val="null3"/>
            </w:pPr>
            <w:r>
              <w:rPr/>
              <w:t>智慧城轨通信信号考评系统</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合同履行期限：自合同签订之日起20日历天内。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2）有依法缴纳税收和社会保障资金的良好记录：提供签署及盖章合格的投标函。</w:t>
      </w:r>
    </w:p>
    <w:p>
      <w:pPr>
        <w:pStyle w:val="null3"/>
      </w:pPr>
      <w:r>
        <w:rPr/>
        <w:t>3）具有良好的商业信誉和健全的财务会计制度：提供签署及盖章合格的投标函。</w:t>
      </w:r>
    </w:p>
    <w:p>
      <w:pPr>
        <w:pStyle w:val="null3"/>
      </w:pPr>
      <w:r>
        <w:rPr/>
        <w:t>4）履行合同所必需的设备和专业技术能力：提供签署及盖章合格的投标函。</w:t>
      </w:r>
    </w:p>
    <w:p>
      <w:pPr>
        <w:pStyle w:val="null3"/>
      </w:pPr>
      <w:r>
        <w:rPr/>
        <w:t>5）参加采购活动前3年内，在经营活动中没有重大违法记录：提供签署及盖章合格的投标函。</w:t>
      </w:r>
    </w:p>
    <w:p>
      <w:pPr>
        <w:pStyle w:val="null3"/>
        <w:outlineLvl w:val="3"/>
      </w:pPr>
      <w:r>
        <w:rPr>
          <w:sz w:val="24"/>
          <w:b/>
        </w:rPr>
        <w:t>2.落实政府采购政策需满足的资格要求：</w:t>
      </w:r>
    </w:p>
    <w:p>
      <w:pPr>
        <w:pStyle w:val="null3"/>
        <w:jc w:val="left"/>
      </w:pPr>
      <w:r>
        <w:rPr/>
        <w:t>采购包1（城市轨道交通智能运输技能提升设备购置项目）：</w:t>
      </w:r>
      <w:r>
        <w:rPr/>
        <w:t>本项目属于整体专门面向中小企业采购，投标人须提供中小企业声明函。所有货物由符合货物（采购标的）所属行业（工业）政策划分标准的中小微企业生产且使用该中小微企业商号或注册商标，投标人应按规定提供《中小企业声明函》。</w:t>
      </w:r>
    </w:p>
    <w:p>
      <w:pPr>
        <w:pStyle w:val="null3"/>
        <w:outlineLvl w:val="3"/>
      </w:pPr>
      <w:r>
        <w:rPr>
          <w:sz w:val="24"/>
          <w:b/>
        </w:rPr>
        <w:t>3.本项目特定的资格要求：</w:t>
      </w:r>
    </w:p>
    <w:p>
      <w:pPr>
        <w:pStyle w:val="null3"/>
      </w:pPr>
      <w:r>
        <w:rPr/>
        <w:t>采购包1（城市轨道交通智能运输技能提升设备购置项目）：</w:t>
      </w:r>
    </w:p>
    <w:p>
      <w:pPr>
        <w:pStyle w:val="null3"/>
      </w:pPr>
      <w:r>
        <w:rPr/>
        <w:t>1)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广州铁路职业技术学院</w:t>
      </w:r>
    </w:p>
    <w:p>
      <w:pPr>
        <w:pStyle w:val="null3"/>
        <w:ind w:firstLine="480"/>
      </w:pPr>
      <w:r>
        <w:rPr/>
        <w:t xml:space="preserve"> 地址：</w:t>
      </w:r>
      <w:r>
        <w:rPr/>
        <w:t>广州市增城区科德大道198号</w:t>
      </w:r>
    </w:p>
    <w:p>
      <w:pPr>
        <w:pStyle w:val="null3"/>
        <w:ind w:firstLine="480"/>
      </w:pPr>
      <w:r>
        <w:rPr/>
        <w:t xml:space="preserve"> 联系方式：</w:t>
      </w:r>
      <w:r>
        <w:rPr/>
        <w:t>020-39713203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020-87554238</w:t>
      </w:r>
    </w:p>
    <w:p>
      <w:pPr>
        <w:pStyle w:val="null3"/>
        <w:outlineLvl w:val="3"/>
      </w:pPr>
      <w:r>
        <w:rPr>
          <w:sz w:val="24"/>
          <w:b/>
        </w:rPr>
        <w:t xml:space="preserve"> 3.项目联系方式</w:t>
      </w:r>
    </w:p>
    <w:p>
      <w:pPr>
        <w:pStyle w:val="null3"/>
        <w:ind w:firstLine="480"/>
      </w:pPr>
      <w:r>
        <w:rPr/>
        <w:t xml:space="preserve"> 项目联系人：</w:t>
      </w:r>
      <w:r>
        <w:rPr/>
        <w:t>潘先生、陈小姐</w:t>
      </w:r>
    </w:p>
    <w:p>
      <w:pPr>
        <w:pStyle w:val="null3"/>
        <w:ind w:firstLine="480"/>
      </w:pPr>
      <w:r>
        <w:rPr/>
        <w:t xml:space="preserve"> 电话：</w:t>
      </w:r>
      <w:r>
        <w:rPr/>
        <w:t>020-87554238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1、说明</w:t>
      </w:r>
    </w:p>
    <w:p>
      <w:pPr>
        <w:pStyle w:val="null3"/>
      </w:pPr>
      <w:r>
        <w:rPr/>
        <w:t>1）投标人须对本项目为单位（有划分包组的，则以包组为单位）的标的物进行整体投标，任何只对其中一部分内容进行的投标都被视为无效投标。</w:t>
      </w:r>
    </w:p>
    <w:p>
      <w:pPr>
        <w:pStyle w:val="null3"/>
      </w:pPr>
      <w:r>
        <w:rPr/>
        <w:t>2）本招标文件中，凡标有“★”的地方，投标人要特别加以注意，必须对此作出一一响应。若有一项带“★”的指标未响应或不满足，将导致其废标或投标无效。</w:t>
      </w:r>
    </w:p>
    <w:p>
      <w:pPr>
        <w:pStyle w:val="null3"/>
      </w:pPr>
      <w:r>
        <w:rPr/>
        <w:t>3）本招标文件中，凡标有“▲”号条款为重要参数（如有），若有部分“▲”条款未响应或不满足，将根据评审要求影响其得分，但不作为无效投标条款。</w:t>
      </w:r>
    </w:p>
    <w:p>
      <w:pPr>
        <w:pStyle w:val="null3"/>
      </w:pPr>
      <w:r>
        <w:rPr/>
        <w:t>4）无论招标文件中是否有具体要求，投标人所投的货物及伴随的服务和工程均应符合国家的强制性标准。同时，所投产品的生产制造商应遵守国家关于生产许可的强制规定。</w:t>
      </w:r>
    </w:p>
    <w:p>
      <w:pPr>
        <w:pStyle w:val="null3"/>
      </w:pPr>
      <w:r>
        <w:rPr/>
        <w:t>5）本项目对应的中小企业划分标准所属行业为：工业。</w:t>
      </w:r>
    </w:p>
    <w:p>
      <w:pPr>
        <w:pStyle w:val="null3"/>
      </w:pPr>
      <w:r>
        <w:rPr/>
        <w:t>6）落实政府采购政策需满足的资格要求：本项目属于整体专门面向中小企业采购，投标人须提供中小企业声明函。所有货物由符合货物（采购标的）所属行业（工业）政策划分标准的中小微企业生产且使用该中小微企业商号或注册商标，投标人应按规定提供《中小企业声明函》。</w:t>
      </w:r>
    </w:p>
    <w:p>
      <w:pPr>
        <w:pStyle w:val="null3"/>
      </w:pPr>
      <w:r>
        <w:rPr/>
        <w:t>7）★本次采购产品为非进口产品（进口产品指通过中国海关报关验放进入中国境内且产自关境外的产品）。</w:t>
      </w:r>
    </w:p>
    <w:p>
      <w:pPr>
        <w:pStyle w:val="null3"/>
      </w:pPr>
      <w:r>
        <w:rPr/>
        <w:t>8）★凡属于《中华人民共和国实施强制性产品认证的产品目录》的产品，请投标人在投标文件中承诺在交货时提供该产品的“中国强制性产品认证”（CCC认证）证书。</w:t>
      </w:r>
    </w:p>
    <w:p>
      <w:pPr>
        <w:pStyle w:val="null3"/>
      </w:pPr>
      <w:r>
        <w:rPr/>
        <w:t>9）本项目核心产品为：道岔实训平台。投标人应在响应文件中清晰列明“货物名称、品牌”。注：若存在多项核心产品，当不同供应商提供的任意一项核心产品的品牌相同，则视同其是所响应核心产品品牌相同供应商。</w:t>
      </w:r>
    </w:p>
    <w:p>
      <w:pPr>
        <w:pStyle w:val="null3"/>
      </w:pPr>
      <w:r>
        <w:rPr/>
        <w:t>10）演示要求：本项目需求内容有现场视频演示要求，建议提供演示的投标人在提交投标文件截止时间到达采购代理机构等候现场视频演示。演示开始时间由评标委员会确定，如投标人未在评标委员会进行演示评审期间到达演示地点等候进行演示，评标委员会有权视其放弃演示。等候地点：广州市天河区龙怡路117号银汇大厦五楼。</w:t>
      </w:r>
    </w:p>
    <w:p>
      <w:pPr>
        <w:pStyle w:val="null3"/>
      </w:pPr>
      <w:r>
        <w:rPr/>
        <w:t>注：1）本项目由通过资格、符合性审查的有效投标人于评标过程中进行现场视频演示，请投标人自行准备相关文件、资料、设备，演示顺序按投标人在智慧云平台上的投标人排序为准。2）授权委托代理人须凭身份证原件参加现场视频演示，参加人数不超过2人（含授权委托代理人在内）。3）如演示过程中需要用到其他专业设备，请投标人自带，评标现场采购代理机构仅提供电源和投影设备（HDMI接口）。4）演示时间不超过15分钟（不含投标人连接设备以及专家提问的时间，采购代理机构确认后开始计时）。5）演示的内容为：详见采购需求及评审办法载明的演示内容。</w:t>
      </w:r>
    </w:p>
    <w:p>
      <w:pPr>
        <w:pStyle w:val="null3"/>
      </w:pPr>
      <w:r>
        <w:rPr/>
        <w:t>采购包1（城市轨道交通智能运输技能提升设备购置项目）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自合同签订之日起20日历天内。</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1期：支付比例30%,合同签订后收到中标人开具的正式发票后5个工作日内，采购人预付合同总价的30%；</w:t>
            </w:r>
          </w:p>
          <w:p>
            <w:pPr>
              <w:pStyle w:val="null3"/>
            </w:pPr>
            <w:r>
              <w:rPr/>
              <w:t>2期：支付比例70%,安装调试完成并通过签字验收后5个工作日内办理支付手续，10个工作日内完成资金支付，支付合同总价的70%。 注：1）款项支付前，中标人需向采购人提供相应金额的正式发票。2）上述付款时间规定为采购人向政府采购支付部门提出支付申请的时间（不含政府财政支付部门审查的时间），采购人在规定时间内提起申请的即视为采购人已履行付款义务。</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中标供应商项目完成后，认为达到项目要求的，应向采购人提出书面验收申请，采购人收到供应商验收申请后7日内组织履约验收。采购人组成验收小组按国家有关规定、规范进行验收，必要时邀请相关的专业人员或机构参与验收。货物若有国家标准按照国家标准验收，若无国家标准按行业标准验收；货物为原制造商制造的全新产品，整机无污染，无侵权行为、表面无划损、无任何缺陷隐患，在中国境内可依常规安全合法使用。 2.因货物质量问题发生争议时，由本地质量技术监督部门鉴定。货物符合质量技术标准的，鉴定费由采购人承担；否则鉴定费由中标人承担。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采购设备整体说明</w:t>
            </w:r>
          </w:p>
        </w:tc>
        <w:tc>
          <w:tcPr>
            <w:tcW w:type="dxa" w:w="2076"/>
          </w:tcPr>
          <w:p>
            <w:pPr>
              <w:pStyle w:val="null3"/>
              <w:jc w:val="left"/>
            </w:pPr>
            <w:r>
              <w:rPr/>
              <w:t>本实训室建设对接国家专业教学标准,对接专业人才培养方案及相关专业课程标准,能够满足城市轨道交通运营管理、城市轨道交通信号技术等专业相关课程的理论教学、实践教学、实习实训、技能培训及鉴定的需要。每套实训设备应由智慧城轨运营、智慧城轨信号组成。满足车站和调度正常行车组织下的列车运行、非正常情况下的行车组织、突发事件应急处置、信号设备安装与调试、信号设备故障分析处置与维护等作业内容。系统应通过对学员设备操作和系统状态的自动采集和智能分析,完成对考核内容自动评价，具体见技术标准与要求。 总体要求： 1、智慧城轨运营、智慧城轨信号两部分组成。应采用三维建模技术、语音识别技术、虚拟机器人技术以及任务情景显示等先进技术，具有效果逼真、考评智能的特点。 2、车站控制室实训平台应包含车站ATS仿真系统、车站虚拟IBP盘、车站ISCS仿真系统、车站虚拟CCTV仿真系统、有线和无线通信系统、车站火灾及大客流组织虚拟仿真系统。 3、调度中心实训平台，应包含中心ATS仿真系统、中心ISCS仿真系统、有线和无线通信系统。 4、虚拟车站仿真系统，应包含站台门仿真系统、车站火灾及大客流组织虚拟仿真系统。虚拟车站终端主要是采用三维虚拟技术以及计算机信息技术，模拟车站站厅、站台等工作环境，并在不同的任务中进行作业场景切换。 5、实物道岔转辙机应包含实物ZD6转辙机、模拟道岔装置、行车备品等。 6、信号设备安装与调试实训设备应包含实物ZYJ7转辙机、实物组合柜、实物电缆盒、备品工具等，通过该模块设备可以完成转辙机电缆盒（万可端子）至转辙机之间的配线和焊线操作，并进行导通测试。 7、故障分析处置与维护虚拟仿真终端应包含：检修作业虚拟仿真系统和维修作业虚拟仿真系统。虚拟设备维护终端，可以通过软件展现室内外信号设备，可清晰直观的观察和操作当前检修的设备，可对设备放大、缩小、平移等。 项目实施后，可按照真实的工作场景、真实的作业流程构建智慧运营及智慧信号相结合的实训场地，进一步提升城轨运营管理专业教学水平，提升我校学生的技术能力，并针对企业员工、教科研人员等不同层次提供服务。</w:t>
            </w:r>
          </w:p>
        </w:tc>
      </w:tr>
      <w:tr>
        <w:tc>
          <w:tcPr>
            <w:tcW w:type="dxa" w:w="2076"/>
          </w:tcPr>
          <w:p/>
        </w:tc>
        <w:tc>
          <w:tcPr>
            <w:tcW w:type="dxa" w:w="2076"/>
          </w:tcPr>
          <w:p>
            <w:pPr>
              <w:pStyle w:val="null3"/>
              <w:jc w:val="center"/>
            </w:pPr>
            <w:r>
              <w:rPr/>
              <w:t>2</w:t>
            </w:r>
          </w:p>
        </w:tc>
        <w:tc>
          <w:tcPr>
            <w:tcW w:type="dxa" w:w="2076"/>
          </w:tcPr>
          <w:p>
            <w:pPr>
              <w:pStyle w:val="null3"/>
              <w:jc w:val="left"/>
            </w:pPr>
            <w:r>
              <w:rPr/>
              <w:t>包装、保险及发运、保管要求</w:t>
            </w:r>
          </w:p>
        </w:tc>
        <w:tc>
          <w:tcPr>
            <w:tcW w:type="dxa" w:w="2076"/>
          </w:tcPr>
          <w:p>
            <w:pPr>
              <w:pStyle w:val="null3"/>
              <w:jc w:val="left"/>
            </w:pPr>
            <w:r>
              <w:rPr/>
              <w:t>1.设备材料的包装必须是制造商原厂包装，其包装均应有良好的防湿、防锈、防潮、防雨、防腐及防碰撞的措施。凡由于包装不良造成的损失和由此产生的费用均由中标人承担。 2.中标人负责将设备材料货到现场过程中的全部运输，包括装卸车、货物现场的搬运。 3.各种设备必须提供装箱清单，按装箱清单验收货物。 4.货物在现场的保管由中标人负责，直至项目安装、验收完毕。 5.货物在系统安装调试验收合格前的保险由中标人负责，中标人负责其派出的现场服务人员人身意外保险。 6.设备至采购人指定的使用现场的包装、保险及发运等环节和费用均由中标人负责。</w:t>
            </w:r>
          </w:p>
        </w:tc>
      </w:tr>
      <w:tr>
        <w:tc>
          <w:tcPr>
            <w:tcW w:type="dxa" w:w="2076"/>
          </w:tcPr>
          <w:p/>
        </w:tc>
        <w:tc>
          <w:tcPr>
            <w:tcW w:type="dxa" w:w="2076"/>
          </w:tcPr>
          <w:p>
            <w:pPr>
              <w:pStyle w:val="null3"/>
              <w:jc w:val="center"/>
            </w:pPr>
            <w:r>
              <w:rPr/>
              <w:t>3</w:t>
            </w:r>
          </w:p>
        </w:tc>
        <w:tc>
          <w:tcPr>
            <w:tcW w:type="dxa" w:w="2076"/>
          </w:tcPr>
          <w:p>
            <w:pPr>
              <w:pStyle w:val="null3"/>
              <w:jc w:val="left"/>
            </w:pPr>
            <w:r>
              <w:rPr/>
              <w:t>质保期及售后服务要求</w:t>
            </w:r>
          </w:p>
        </w:tc>
        <w:tc>
          <w:tcPr>
            <w:tcW w:type="dxa" w:w="2076"/>
          </w:tcPr>
          <w:p>
            <w:pPr>
              <w:pStyle w:val="null3"/>
              <w:jc w:val="left"/>
            </w:pPr>
            <w:r>
              <w:rPr/>
              <w:t>1.质量保证期（简称“质保期”）为 2 年，质保期内中标人对所供货物实行包修、包换、包退、包维护保养，期满后可同时提供终身(免费/有偿)维修保养服务。 2.质保期内，如设备或零部件因非人为因素出现故障而造成短期停用时，则质保期和免费维修期相应顺延。如停用时间累计超过60天则质保期重新计算。 3.对采购人的服务通知，中标人在接报后1小时内响应，4小时内到达现场，48小时内处理完毕。若在48小时内仍未能有效解决，中标人须免费提供同等档次的设备予采购人临时使用。</w:t>
            </w:r>
          </w:p>
        </w:tc>
      </w:tr>
      <w:tr>
        <w:tc>
          <w:tcPr>
            <w:tcW w:type="dxa" w:w="2076"/>
          </w:tcPr>
          <w:p/>
        </w:tc>
        <w:tc>
          <w:tcPr>
            <w:tcW w:type="dxa" w:w="2076"/>
          </w:tcPr>
          <w:p>
            <w:pPr>
              <w:pStyle w:val="null3"/>
              <w:jc w:val="center"/>
            </w:pPr>
            <w:r>
              <w:rPr/>
              <w:t>4</w:t>
            </w:r>
          </w:p>
        </w:tc>
        <w:tc>
          <w:tcPr>
            <w:tcW w:type="dxa" w:w="2076"/>
          </w:tcPr>
          <w:p>
            <w:pPr>
              <w:pStyle w:val="null3"/>
              <w:jc w:val="left"/>
            </w:pPr>
            <w:r>
              <w:rPr/>
              <w:t>安装、调试</w:t>
            </w:r>
          </w:p>
        </w:tc>
        <w:tc>
          <w:tcPr>
            <w:tcW w:type="dxa" w:w="2076"/>
          </w:tcPr>
          <w:p>
            <w:pPr>
              <w:pStyle w:val="null3"/>
              <w:jc w:val="left"/>
            </w:pPr>
            <w:r>
              <w:rPr/>
              <w:t>1.中标人必须依照招标文件的要求和投标文件的承诺，将设备、系统安装并调试至正常运行的最佳状态。 2.货物为原厂商未启封全新包装，具出厂合格证，序列号、包装箱号与出厂批号一致，并可追索查阅。所有随设备的附件必须齐全。 3.中标人应将关键主机设备的用户手册、保修手册、有关单证资料及配备件、随机工具等交付给采购人，使用操作及安全须知等重要资料应附有中文说明。</w:t>
            </w:r>
          </w:p>
        </w:tc>
      </w:tr>
      <w:tr>
        <w:tc>
          <w:tcPr>
            <w:tcW w:type="dxa" w:w="2076"/>
          </w:tcPr>
          <w:p/>
        </w:tc>
        <w:tc>
          <w:tcPr>
            <w:tcW w:type="dxa" w:w="2076"/>
          </w:tcPr>
          <w:p>
            <w:pPr>
              <w:pStyle w:val="null3"/>
              <w:jc w:val="center"/>
            </w:pPr>
            <w:r>
              <w:rPr/>
              <w:t>5</w:t>
            </w:r>
          </w:p>
        </w:tc>
        <w:tc>
          <w:tcPr>
            <w:tcW w:type="dxa" w:w="2076"/>
          </w:tcPr>
          <w:p>
            <w:pPr>
              <w:pStyle w:val="null3"/>
              <w:jc w:val="left"/>
            </w:pPr>
            <w:r>
              <w:rPr/>
              <w:t>服务要求</w:t>
            </w:r>
          </w:p>
        </w:tc>
        <w:tc>
          <w:tcPr>
            <w:tcW w:type="dxa" w:w="2076"/>
          </w:tcPr>
          <w:p>
            <w:pPr>
              <w:pStyle w:val="null3"/>
              <w:jc w:val="left"/>
            </w:pPr>
            <w:r>
              <w:rPr/>
              <w:t>1.中标人负责完成设备安装与实训场地布置。 2. 中标人应对采购人进行设备免费培训不低于3天。 3. 中标人应提供设备所有图纸、说明书及相关软件。</w:t>
            </w:r>
          </w:p>
        </w:tc>
      </w:tr>
      <w:tr>
        <w:tc>
          <w:tcPr>
            <w:tcW w:type="dxa" w:w="2076"/>
          </w:tcPr>
          <w:p/>
        </w:tc>
        <w:tc>
          <w:tcPr>
            <w:tcW w:type="dxa" w:w="2076"/>
          </w:tcPr>
          <w:p>
            <w:pPr>
              <w:pStyle w:val="null3"/>
              <w:jc w:val="center"/>
            </w:pPr>
            <w:r>
              <w:rPr/>
              <w:t>6</w:t>
            </w:r>
          </w:p>
        </w:tc>
        <w:tc>
          <w:tcPr>
            <w:tcW w:type="dxa" w:w="2076"/>
          </w:tcPr>
          <w:p>
            <w:pPr>
              <w:pStyle w:val="null3"/>
              <w:jc w:val="left"/>
            </w:pPr>
            <w:r>
              <w:rPr/>
              <w:t>人员要求</w:t>
            </w:r>
          </w:p>
        </w:tc>
        <w:tc>
          <w:tcPr>
            <w:tcW w:type="dxa" w:w="2076"/>
          </w:tcPr>
          <w:p>
            <w:pPr>
              <w:pStyle w:val="null3"/>
              <w:jc w:val="left"/>
            </w:pPr>
            <w:r>
              <w:rPr/>
              <w:t>1.项目经理具有信息系统项目管理师（高级）或以上资格证书。 2.其他技术人员（不含项目经理）具备软件或机电类相关中级或以上职称。 3.售后服务人员资质情况（项目经理、其他技术人员除外）具备电气工程师或电子工程师或软件设计师职称或资格证书。</w:t>
            </w:r>
          </w:p>
        </w:tc>
      </w:tr>
      <w:tr>
        <w:tc>
          <w:tcPr>
            <w:tcW w:type="dxa" w:w="2076"/>
          </w:tcPr>
          <w:p/>
        </w:tc>
        <w:tc>
          <w:tcPr>
            <w:tcW w:type="dxa" w:w="2076"/>
          </w:tcPr>
          <w:p>
            <w:pPr>
              <w:pStyle w:val="null3"/>
              <w:jc w:val="center"/>
            </w:pPr>
            <w:r>
              <w:rPr/>
              <w:t>7</w:t>
            </w:r>
          </w:p>
        </w:tc>
        <w:tc>
          <w:tcPr>
            <w:tcW w:type="dxa" w:w="2076"/>
          </w:tcPr>
          <w:p>
            <w:pPr>
              <w:pStyle w:val="null3"/>
              <w:jc w:val="left"/>
            </w:pPr>
            <w:r>
              <w:rPr/>
              <w:t>报价要求</w:t>
            </w:r>
          </w:p>
        </w:tc>
        <w:tc>
          <w:tcPr>
            <w:tcW w:type="dxa" w:w="2076"/>
          </w:tcPr>
          <w:p>
            <w:pPr>
              <w:pStyle w:val="null3"/>
              <w:jc w:val="left"/>
            </w:pPr>
            <w:r>
              <w:rPr/>
              <w:t>投标报价应为人民币报价，报价应包括：设备、材料费、运输费、装卸费、保险、安装、调试、培训费、售后服务保修、税费、其他不可预见费等完成本招标内容所需的一切费用。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应用软件</w:t>
            </w:r>
          </w:p>
        </w:tc>
        <w:tc>
          <w:tcPr>
            <w:tcW w:type="dxa" w:w="831"/>
          </w:tcPr>
          <w:p>
            <w:pPr>
              <w:pStyle w:val="null3"/>
              <w:jc w:val="left"/>
            </w:pPr>
            <w:r>
              <w:rPr/>
              <w:t>虚拟车站仿真系统</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应用软件</w:t>
            </w:r>
          </w:p>
        </w:tc>
        <w:tc>
          <w:tcPr>
            <w:tcW w:type="dxa" w:w="831"/>
          </w:tcPr>
          <w:p>
            <w:pPr>
              <w:pStyle w:val="null3"/>
              <w:jc w:val="left"/>
            </w:pPr>
            <w:r>
              <w:rPr/>
              <w:t>智慧城轨运营组织考评系统</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pPr>
              <w:pStyle w:val="null3"/>
              <w:jc w:val="center"/>
            </w:pPr>
            <w:r>
              <w:rPr/>
              <w:t>△</w:t>
            </w:r>
          </w:p>
        </w:tc>
        <w:tc>
          <w:tcPr>
            <w:tcW w:type="dxa" w:w="831"/>
          </w:tcPr>
          <w:p>
            <w:pPr>
              <w:pStyle w:val="null3"/>
              <w:jc w:val="left"/>
            </w:pPr>
            <w:r>
              <w:rPr/>
              <w:t>其他铁路运输设备</w:t>
            </w:r>
          </w:p>
        </w:tc>
        <w:tc>
          <w:tcPr>
            <w:tcW w:type="dxa" w:w="831"/>
          </w:tcPr>
          <w:p>
            <w:pPr>
              <w:pStyle w:val="null3"/>
              <w:jc w:val="left"/>
            </w:pPr>
            <w:r>
              <w:rPr/>
              <w:t>道岔实训平台</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调度中心实训平台</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教学仪器</w:t>
            </w:r>
          </w:p>
        </w:tc>
        <w:tc>
          <w:tcPr>
            <w:tcW w:type="dxa" w:w="831"/>
          </w:tcPr>
          <w:p>
            <w:pPr>
              <w:pStyle w:val="null3"/>
              <w:jc w:val="left"/>
            </w:pPr>
            <w:r>
              <w:rPr/>
              <w:t>车站控制室实训平台</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其他机械设备</w:t>
            </w:r>
          </w:p>
        </w:tc>
        <w:tc>
          <w:tcPr>
            <w:tcW w:type="dxa" w:w="831"/>
          </w:tcPr>
          <w:p>
            <w:pPr>
              <w:pStyle w:val="null3"/>
              <w:jc w:val="left"/>
            </w:pPr>
            <w:r>
              <w:rPr/>
              <w:t>实训工具</w:t>
            </w:r>
          </w:p>
        </w:tc>
        <w:tc>
          <w:tcPr>
            <w:tcW w:type="dxa" w:w="831"/>
          </w:tcPr>
          <w:p>
            <w:pPr>
              <w:pStyle w:val="null3"/>
              <w:jc w:val="left"/>
            </w:pPr>
            <w:r>
              <w:rPr/>
              <w:t>套</w:t>
            </w:r>
          </w:p>
        </w:tc>
        <w:tc>
          <w:tcPr>
            <w:tcW w:type="dxa" w:w="831"/>
          </w:tcPr>
          <w:p>
            <w:pPr>
              <w:pStyle w:val="null3"/>
              <w:jc w:val="right"/>
            </w:pPr>
            <w:r>
              <w:rPr/>
              <w:t>10.00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电工、电子生产设备零部件</w:t>
            </w:r>
          </w:p>
        </w:tc>
        <w:tc>
          <w:tcPr>
            <w:tcW w:type="dxa" w:w="831"/>
          </w:tcPr>
          <w:p>
            <w:pPr>
              <w:pStyle w:val="null3"/>
              <w:jc w:val="left"/>
            </w:pPr>
            <w:r>
              <w:rPr/>
              <w:t>实训耗材</w:t>
            </w:r>
          </w:p>
        </w:tc>
        <w:tc>
          <w:tcPr>
            <w:tcW w:type="dxa" w:w="831"/>
          </w:tcPr>
          <w:p>
            <w:pPr>
              <w:pStyle w:val="null3"/>
              <w:jc w:val="left"/>
            </w:pPr>
            <w:r>
              <w:rPr/>
              <w:t>套</w:t>
            </w:r>
          </w:p>
        </w:tc>
        <w:tc>
          <w:tcPr>
            <w:tcW w:type="dxa" w:w="831"/>
          </w:tcPr>
          <w:p>
            <w:pPr>
              <w:pStyle w:val="null3"/>
              <w:jc w:val="right"/>
            </w:pPr>
            <w:r>
              <w:rPr/>
              <w:t>20.00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教学仪器</w:t>
            </w:r>
          </w:p>
        </w:tc>
        <w:tc>
          <w:tcPr>
            <w:tcW w:type="dxa" w:w="831"/>
          </w:tcPr>
          <w:p>
            <w:pPr>
              <w:pStyle w:val="null3"/>
              <w:jc w:val="left"/>
            </w:pPr>
            <w:r>
              <w:rPr/>
              <w:t>虚拟信号设备故障处理和检修作业实训平台</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其他铁路运输设备</w:t>
            </w:r>
          </w:p>
        </w:tc>
        <w:tc>
          <w:tcPr>
            <w:tcW w:type="dxa" w:w="831"/>
          </w:tcPr>
          <w:p>
            <w:pPr>
              <w:pStyle w:val="null3"/>
              <w:jc w:val="left"/>
            </w:pPr>
            <w:r>
              <w:rPr/>
              <w:t>城市轨道交通信号系统实训与考核平台</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应用软件</w:t>
            </w:r>
          </w:p>
        </w:tc>
        <w:tc>
          <w:tcPr>
            <w:tcW w:type="dxa" w:w="831"/>
          </w:tcPr>
          <w:p>
            <w:pPr>
              <w:pStyle w:val="null3"/>
              <w:jc w:val="left"/>
            </w:pPr>
            <w:r>
              <w:rPr/>
              <w:t>智慧城轨通信信号考评系统</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详见附表十</w:t>
            </w:r>
          </w:p>
        </w:tc>
      </w:tr>
    </w:tbl>
    <w:p>
      <w:pPr>
        <w:pStyle w:val="null3"/>
      </w:pPr>
      <w:r>
        <w:rPr>
          <w:b/>
        </w:rPr>
        <w:t>附表</w:t>
      </w:r>
      <w:r>
        <w:rPr>
          <w:b/>
        </w:rPr>
        <w:t>一</w:t>
      </w:r>
      <w:r>
        <w:rPr>
          <w:b/>
        </w:rPr>
        <w:t>：</w:t>
      </w:r>
      <w:r>
        <w:rPr>
          <w:b/>
        </w:rPr>
        <w:t>虚拟车站仿真系统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t>1、虚拟车站仿真系统，采用三维虚拟技术以及计算机信息技术，模拟车站站厅、站台等工作环境，并在不同的任务中进行作业场景切换。</w:t>
            </w:r>
            <w:r>
              <w:br/>
            </w:r>
            <w:r>
              <w:rPr/>
              <w:t xml:space="preserve"> 主要功能包括：</w:t>
            </w:r>
            <w:r>
              <w:br/>
            </w:r>
            <w:r>
              <w:rPr/>
              <w:t xml:space="preserve"> （1）在站台门任务中可观看站台门开和关、列车的到站、离站，通过点击界面进行应急情况下的站台门操作，并且虚拟三维视景与实物站台门控制设备进行互联。</w:t>
            </w:r>
            <w:r>
              <w:br/>
            </w:r>
            <w:r>
              <w:rPr/>
              <w:t xml:space="preserve"> （2）▲当虚拟列车进站后可在监控中实时查看位置同步显示，查看日志中实时更新列车位置的三维坐标信息时间间隔，选取一定时间段内时间间隔的平均值作为更新频率平均值，虚拟列车三维坐标信息更新频率的平均响应时间不大于82.09毫秒。（注：提供具有“CMA”标识的关于“虚拟列车三维坐标信息更新频率的平均响应时间”第三方检测报告/测试报告并加盖投标人公章；为方便评审，请在相关的参数上请作明确标记。）</w:t>
            </w:r>
            <w:r>
              <w:br/>
            </w:r>
            <w:r>
              <w:rPr/>
              <w:t xml:space="preserve"> （3）在车站火灾和票务故障处置任务中，可以通过车站站台、站厅、出入口等场景的切换，完成相关任务的处置作业。</w:t>
            </w:r>
            <w:r>
              <w:br/>
            </w:r>
            <w:r>
              <w:rPr/>
              <w:t xml:space="preserve"> 2、主要硬件参数要求：</w:t>
            </w:r>
            <w:r>
              <w:br/>
            </w:r>
            <w:r>
              <w:rPr/>
              <w:t xml:space="preserve"> 操作终端1套：采用工控机，工控机配置：不低于I7处理器，≥16G内存，≥256G固态硬盘，含显示设备；</w:t>
            </w:r>
            <w:r>
              <w:br/>
            </w:r>
            <w:r>
              <w:rPr/>
              <w:t xml:space="preserve"> 3、总体功能要求：</w:t>
            </w:r>
            <w:r>
              <w:br/>
            </w:r>
            <w:r>
              <w:rPr/>
              <w:t xml:space="preserve"> 软、硬件规格、功能、操作界面及控制逻辑等各项指标需满足城轨智能运输赛项规程对相关设备的要求。</w:t>
            </w:r>
          </w:p>
          <w:p>
            <w:pPr>
              <w:pStyle w:val="null3"/>
            </w:pPr>
            <w:r>
              <w:rPr/>
              <w:t>4、供应商应提供虚拟车站仿真系统中站台门故障现场视频演示：</w:t>
            </w:r>
          </w:p>
          <w:p>
            <w:pPr>
              <w:pStyle w:val="null3"/>
            </w:pPr>
            <w:r>
              <w:rPr/>
              <w:t>1）具备“站台整侧滑动门开门故障处置”功能;</w:t>
            </w:r>
          </w:p>
          <w:p>
            <w:pPr>
              <w:pStyle w:val="null3"/>
            </w:pPr>
            <w:r>
              <w:rPr/>
              <w:t>2）具备“全自动运行线路站台门/车门夹人应急处置”功能;</w:t>
            </w:r>
          </w:p>
          <w:p>
            <w:pPr>
              <w:pStyle w:val="null3"/>
            </w:pPr>
            <w:r>
              <w:rPr/>
              <w:t>3）具备“全自动运行线路站台门滑动门破碎(下轨行区)应急处置”功能。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智慧城轨运营组织考评系统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t>1、系统包括终端管理、终端监控、任务管理、试卷管理、成绩管理等功能。能够查看考试信息、考试成绩、操作记录，并可以对信息进行输出、支持外接打印设备。</w:t>
            </w:r>
            <w:r>
              <w:br/>
            </w:r>
            <w:r>
              <w:rPr/>
              <w:t xml:space="preserve"> 考评系统包含以下考核内容：</w:t>
            </w:r>
            <w:r>
              <w:br/>
            </w:r>
            <w:r>
              <w:rPr/>
              <w:t xml:space="preserve"> (1)运营工作准备；</w:t>
            </w:r>
            <w:r>
              <w:br/>
            </w:r>
            <w:r>
              <w:rPr/>
              <w:t xml:space="preserve"> (2)正常行车组织工作；</w:t>
            </w:r>
            <w:r>
              <w:br/>
            </w:r>
            <w:r>
              <w:rPr/>
              <w:t xml:space="preserve"> (3)ATS信号系统操作及故障处置（满足城轨智能运输赛项规程要求的道岔单锁/道岔单解、计轴故障应急处置、信号重开处置、区段故障锁闭应急处置、扣车和取消扣车操作、设置和取消轨道临时限速、道岔单独操作）；</w:t>
            </w:r>
            <w:r>
              <w:br/>
            </w:r>
            <w:r>
              <w:rPr/>
              <w:t xml:space="preserve"> (4)电话闭塞法（某一联锁区联锁站电话闭塞法下完成首列车接发车工作）；</w:t>
            </w:r>
            <w:r>
              <w:br/>
            </w:r>
            <w:r>
              <w:rPr/>
              <w:t xml:space="preserve"> (5)突发事件应急处置-站台门（满足城轨智能运输赛项规程要求的站台单档滑动门关门故障处置、站台单档滑动门开门故障处置、站台多档滑动门关门故障处置、站台多档滑动门开门故障处置、站台整侧滑动门关门故障处置、站台整侧滑动门开门故障处置）；</w:t>
            </w:r>
            <w:r>
              <w:br/>
            </w:r>
            <w:r>
              <w:rPr/>
              <w:t xml:space="preserve"> (6)突发事件应急处置-全自动运行线路站台门（满足城轨智能运输赛项规程要求的全自动运行线路站台门整侧滑动门不能关门情况下发车处置、全自动运行线路站台门/车门夹人应急处置、全自动运行线路站台门滑动门破碎（下轨行区）应急处置等随机抽取3选1个场景）；</w:t>
            </w:r>
            <w:r>
              <w:br/>
            </w:r>
            <w:r>
              <w:rPr/>
              <w:t xml:space="preserve"> (7)车站火灾（满足城轨智能运输赛项规程要求的车站站台（垃圾桶）发生火灾事故应急处置、车站站厅（商铺）发生火灾事故应急处置、车站站台（扶梯）发生火灾事故应急处置、车站站厅（书报架）发生火灾事故应急处置）；</w:t>
            </w:r>
            <w:r>
              <w:br/>
            </w:r>
            <w:r>
              <w:rPr/>
              <w:t xml:space="preserve"> (8)车站大客流应急处置。</w:t>
            </w:r>
            <w:r>
              <w:br/>
            </w:r>
            <w:r>
              <w:rPr/>
              <w:t xml:space="preserve"> 各项评分内容及打分权重与城轨智能运输赛项规程计算机评分/人工评分的要求。</w:t>
            </w:r>
            <w:r>
              <w:br/>
            </w:r>
            <w:r>
              <w:rPr/>
              <w:t xml:space="preserve"> 2、▲保证实训项目处置流程的合理性与完整性，任务处置流程中应包含作业内容、配分及评分标准。（注：提供承诺函，格式自拟）</w:t>
            </w:r>
          </w:p>
          <w:p>
            <w:pPr>
              <w:pStyle w:val="null3"/>
            </w:pPr>
            <w:r>
              <w:rPr/>
              <w:t>3、供应商应提供智慧城轨运营组织考评系统中的流程操作、操作步骤查看、结果自动评价现场视频演示：</w:t>
            </w:r>
          </w:p>
          <w:p>
            <w:pPr>
              <w:pStyle w:val="null3"/>
            </w:pPr>
            <w:r>
              <w:rPr/>
              <w:t>1）总成绩单功能，详细试卷中可对总成绩单、计算机评分总成绩单、语音识别总成绩单、人工评分总成绩单、时间统计和各个任务的计算机评分表及语音识别评分表；试卷显示界面显示当前最近的20个试卷成绩，可对试卷进行详细信息查询。</w:t>
            </w:r>
          </w:p>
          <w:p>
            <w:pPr>
              <w:pStyle w:val="null3"/>
            </w:pPr>
            <w:r>
              <w:rPr/>
              <w:t>2）成绩单界面应具备打印功能，可以对总成绩单、各个分项成绩单、操作记录及提交记录进行打印；</w:t>
            </w:r>
          </w:p>
          <w:p>
            <w:pPr>
              <w:pStyle w:val="null3"/>
            </w:pPr>
            <w:r>
              <w:rPr/>
              <w:t>3）试卷编辑功能，可以对试卷进行添加和删除操作，还可以对编辑好的试卷进行重新编辑。试卷编辑过程中可根据业务分类对任务模块进行不同分数的配比。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三</w:t>
      </w:r>
      <w:r>
        <w:rPr>
          <w:b/>
        </w:rPr>
        <w:t>：</w:t>
      </w:r>
      <w:r>
        <w:rPr>
          <w:b/>
        </w:rPr>
        <w:t>道岔实训平台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t>1、实物ZD6转辙机：</w:t>
            </w:r>
            <w:r>
              <w:br/>
            </w:r>
            <w:r>
              <w:rPr/>
              <w:t xml:space="preserve"> 采用ZD6真实电动转辙机，主要由电动机、减速器、自动开闭器、主轴、动作杆、表示杆、移位接触器、底壳及机盖等组成；底壳由灰铸铁铸成，机盖采用≥3mm厚钢板压制、焊接而成，具有抗压强度和良好的防水、防尘性能。</w:t>
            </w:r>
            <w:r>
              <w:br/>
            </w:r>
            <w:r>
              <w:rPr/>
              <w:t xml:space="preserve"> 2、模拟道岔装置：</w:t>
            </w:r>
            <w:r>
              <w:br/>
            </w:r>
            <w:r>
              <w:rPr/>
              <w:t xml:space="preserve"> 采用≥15kg/m钢轨单开转辙器一组含尖轨、基本轨；长度≥2400mm，宽度≥1350mm，配备滑床板、垫板、扣件等配套设备，均按标准设计组装，扣件位置正确、齐全，各部螺栓扭力矩在规定范围内，尖轨操动灵活、贴靠。配备安装底座，台面采用面油漆板，铝型材框架，满足单开转辙器安装承载需求。</w:t>
            </w:r>
            <w:r>
              <w:br/>
            </w:r>
            <w:r>
              <w:rPr/>
              <w:t xml:space="preserve"> 3、行车备品、消防备品及文件柜：</w:t>
            </w:r>
            <w:r>
              <w:br/>
            </w:r>
            <w:r>
              <w:rPr/>
              <w:t xml:space="preserve"> 文件柜尺寸≥1800*850*390mm，备品备件包括：①1个工具包：≥20英寸、尼龙材质；②1个手持信号灯、四色（红黄绿白）；③1个红闪灯、双面方位灯；④2件反光背心：铁路专用；⑤2个铜锁：铁路专用；⑥3部对讲机；⑦1套消防服。</w:t>
            </w:r>
            <w:r>
              <w:br/>
            </w:r>
            <w:r>
              <w:rPr/>
              <w:t xml:space="preserve"> 4、总体要求：软、硬件规格、功能、操作界面及控制逻辑等各项指标需满足城轨智能运输赛项规程对相关设备的要求要求。</w:t>
            </w:r>
          </w:p>
          <w:p>
            <w:pPr>
              <w:pStyle w:val="null3"/>
              <w:jc w:val="left"/>
            </w:pPr>
            <w:r>
              <w:rPr/>
              <w:t>5、▲供应商提供的轨道实训系统及配套设备技术具备技术可行性、先进成熟性且满足要求。（注：提供承诺函，格式自拟）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四</w:t>
      </w:r>
      <w:r>
        <w:rPr>
          <w:b/>
        </w:rPr>
        <w:t>：</w:t>
      </w:r>
      <w:r>
        <w:rPr>
          <w:b/>
        </w:rPr>
        <w:t>调度中心实训平台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1、调度仿真系统实现与车站控制室仿真系统的联动，可通过它监视全线轨道线路图，以及虚拟列车的实时运行情况，包括：</w:t>
            </w:r>
            <w:r>
              <w:br/>
            </w:r>
            <w:r>
              <w:rPr/>
              <w:t xml:space="preserve"> （1）中心ATS仿真系统</w:t>
            </w:r>
            <w:r>
              <w:br/>
            </w:r>
            <w:r>
              <w:rPr/>
              <w:t xml:space="preserve"> （2）中心ISCS仿真系统</w:t>
            </w:r>
            <w:r>
              <w:br/>
            </w:r>
            <w:r>
              <w:rPr/>
              <w:t xml:space="preserve"> （3）有线和无线通信系统</w:t>
            </w:r>
            <w:r>
              <w:br/>
            </w:r>
            <w:r>
              <w:rPr/>
              <w:t xml:space="preserve"> （4）▲所提供的系统可靠稳定运行，满足教学实训需求。（注：提供承诺函，格式自拟）</w:t>
            </w:r>
            <w:r>
              <w:br/>
            </w:r>
            <w:r>
              <w:rPr/>
              <w:t xml:space="preserve"> 2、主要硬件参数要求：</w:t>
            </w:r>
            <w:r>
              <w:br/>
            </w:r>
            <w:r>
              <w:rPr/>
              <w:t xml:space="preserve"> （1）操作终端1套：采用工控机，工控机配置：不低于I7处理器，≥16G内存，≥256G固态硬盘，含显示设备；</w:t>
            </w:r>
            <w:r>
              <w:br/>
            </w:r>
            <w:r>
              <w:rPr/>
              <w:t xml:space="preserve"> （2）办公台1套：钢木结构环保办公桌，办公座椅；办公桌尺寸≥1800mm*900mm*750mm（到台面），办公座椅尺寸≥950mm*520mm*500mm。</w:t>
            </w:r>
            <w:r>
              <w:br/>
            </w:r>
            <w:r>
              <w:rPr/>
              <w:t xml:space="preserve"> 3、总体功能要求：软、硬件规格、功能、操作界面及控制逻辑等各项指标需满足城轨智能运输赛项规程对调度中心的要求。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五</w:t>
      </w:r>
      <w:r>
        <w:rPr>
          <w:b/>
        </w:rPr>
        <w:t>：</w:t>
      </w:r>
      <w:r>
        <w:rPr>
          <w:b/>
        </w:rPr>
        <w:t>车站控制室实训平台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t>1、车站控制室仿真系统包括操作终端和配套软件系统，模拟车站接发列车，软件系统包括：</w:t>
            </w:r>
            <w:r>
              <w:br/>
            </w:r>
            <w:r>
              <w:rPr/>
              <w:t xml:space="preserve"> （1）车站ATS仿真系统；</w:t>
            </w:r>
            <w:r>
              <w:br/>
            </w:r>
            <w:r>
              <w:rPr/>
              <w:t xml:space="preserve"> （2）车站虚拟IBP盘仿真系统；</w:t>
            </w:r>
            <w:r>
              <w:br/>
            </w:r>
            <w:r>
              <w:rPr/>
              <w:t xml:space="preserve"> （3）车站ISCS仿真系统；</w:t>
            </w:r>
            <w:r>
              <w:br/>
            </w:r>
            <w:r>
              <w:rPr/>
              <w:t xml:space="preserve"> （4）车站虚拟CCTV仿真系统；</w:t>
            </w:r>
            <w:r>
              <w:br/>
            </w:r>
            <w:r>
              <w:rPr/>
              <w:t xml:space="preserve"> （5）有线及无线通信系统；</w:t>
            </w:r>
          </w:p>
          <w:p>
            <w:pPr>
              <w:pStyle w:val="null3"/>
            </w:pPr>
            <w:r>
              <w:rPr/>
              <w:t>（6）▲投标人保证系统的稳定性，满足实训需求。（注：提供承诺函，格式自拟）</w:t>
            </w:r>
            <w:r>
              <w:br/>
            </w:r>
            <w:r>
              <w:rPr/>
              <w:t xml:space="preserve"> 2、主要硬件参数要求：</w:t>
            </w:r>
            <w:r>
              <w:br/>
            </w:r>
            <w:r>
              <w:rPr/>
              <w:t xml:space="preserve"> （1）操作终端1套：采用工控机，工控机配置：不低于I7处理器，≥16G内存，≥256G固态硬盘，含显示设备；</w:t>
            </w:r>
            <w:r>
              <w:br/>
            </w:r>
            <w:r>
              <w:rPr/>
              <w:t xml:space="preserve"> 办公台1套：钢木结构环保办公桌，办公座椅；办公桌尺寸≥1400mm*900mm*750mm，办公座椅尺寸≥950mm*52mm0*500mm。</w:t>
            </w:r>
            <w:r>
              <w:br/>
            </w:r>
            <w:r>
              <w:rPr/>
              <w:t xml:space="preserve"> 3、总体功能要求：软、硬件规格、功能、操作界面及控制逻辑等各项指标需满足城轨智能运输赛项规程对车站控制室的要求。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六</w:t>
      </w:r>
      <w:r>
        <w:rPr>
          <w:b/>
        </w:rPr>
        <w:t>：</w:t>
      </w:r>
      <w:r>
        <w:rPr>
          <w:b/>
        </w:rPr>
        <w:t>实训工具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1、包含转辙机组合焊接及配线工具，放置在专用工具柜内。专用工具柜尺寸≥1800*850*390mm，专用工具如下：</w:t>
            </w:r>
            <w:r>
              <w:br/>
            </w:r>
            <w:r>
              <w:rPr/>
              <w:t xml:space="preserve"> （1）焊接平口烙铁及支架，1套；</w:t>
            </w:r>
            <w:r>
              <w:br/>
            </w:r>
            <w:r>
              <w:rPr/>
              <w:t xml:space="preserve"> （2）焊锡丝，1卷；</w:t>
            </w:r>
            <w:r>
              <w:br/>
            </w:r>
            <w:r>
              <w:rPr/>
              <w:t xml:space="preserve"> （3）钢丝钳，1把；</w:t>
            </w:r>
            <w:r>
              <w:br/>
            </w:r>
            <w:r>
              <w:rPr/>
              <w:t xml:space="preserve"> （4）自动剥线钳，1把；</w:t>
            </w:r>
            <w:r>
              <w:br/>
            </w:r>
            <w:r>
              <w:rPr/>
              <w:t xml:space="preserve"> （5）7寸剥线钳，1把；</w:t>
            </w:r>
            <w:r>
              <w:br/>
            </w:r>
            <w:r>
              <w:rPr/>
              <w:t xml:space="preserve"> （6）斜口钳，1把；</w:t>
            </w:r>
            <w:r>
              <w:br/>
            </w:r>
            <w:r>
              <w:rPr/>
              <w:t xml:space="preserve"> （7）鹰嘴钳，1把；</w:t>
            </w:r>
            <w:r>
              <w:br/>
            </w:r>
            <w:r>
              <w:rPr/>
              <w:t xml:space="preserve"> （8）两用双开口扳手，1把；</w:t>
            </w:r>
            <w:r>
              <w:br/>
            </w:r>
            <w:r>
              <w:rPr/>
              <w:t xml:space="preserve"> （9）手摇把，1把；</w:t>
            </w:r>
            <w:r>
              <w:br/>
            </w:r>
            <w:r>
              <w:rPr/>
              <w:t xml:space="preserve"> （10）内五角扳手，1把；</w:t>
            </w:r>
            <w:r>
              <w:br/>
            </w:r>
            <w:r>
              <w:rPr/>
              <w:t xml:space="preserve"> （11）数字万用表，1个；</w:t>
            </w:r>
            <w:r>
              <w:br/>
            </w:r>
            <w:r>
              <w:rPr/>
              <w:t xml:space="preserve"> （12）WAGO端子插接工具，1把；</w:t>
            </w:r>
            <w:r>
              <w:br/>
            </w:r>
            <w:r>
              <w:rPr/>
              <w:t xml:space="preserve"> （13）工具包，1个；</w:t>
            </w:r>
            <w:r>
              <w:br/>
            </w:r>
            <w:r>
              <w:rPr/>
              <w:t xml:space="preserve"> （14）一字螺丝刀，1把；</w:t>
            </w:r>
            <w:r>
              <w:br/>
            </w:r>
            <w:r>
              <w:rPr/>
              <w:t xml:space="preserve"> （15）十字螺丝刀，1把；</w:t>
            </w:r>
            <w:r>
              <w:br/>
            </w:r>
            <w:r>
              <w:rPr/>
              <w:t xml:space="preserve"> （16）压线钳，2把；</w:t>
            </w:r>
            <w:r>
              <w:br/>
            </w:r>
            <w:r>
              <w:rPr/>
              <w:t xml:space="preserve"> （17）剪刀，1把；</w:t>
            </w:r>
            <w:r>
              <w:br/>
            </w:r>
            <w:r>
              <w:rPr/>
              <w:t xml:space="preserve"> （18）内六角套筒，1套；</w:t>
            </w:r>
            <w:r>
              <w:br/>
            </w:r>
            <w:r>
              <w:rPr/>
              <w:t xml:space="preserve"> （19）反光衣、棉布手套及安全帽，1套；</w:t>
            </w:r>
            <w:r>
              <w:br/>
            </w:r>
            <w:r>
              <w:rPr/>
              <w:t xml:space="preserve"> 2、工具种类、型号、规格满足城轨智能运输实训考核规程的全部要求。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七</w:t>
      </w:r>
      <w:r>
        <w:rPr>
          <w:b/>
        </w:rPr>
        <w:t>：</w:t>
      </w:r>
      <w:r>
        <w:rPr>
          <w:b/>
        </w:rPr>
        <w:t>实训耗材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1、主要包含：</w:t>
            </w:r>
            <w:r>
              <w:br/>
            </w:r>
            <w:r>
              <w:rPr/>
              <w:t xml:space="preserve"> （1）1.6mm镀锌铁丝20米；</w:t>
            </w:r>
            <w:r>
              <w:br/>
            </w:r>
            <w:r>
              <w:rPr/>
              <w:t xml:space="preserve"> （2）尼龙扎带5包；</w:t>
            </w:r>
            <w:r>
              <w:br/>
            </w:r>
            <w:r>
              <w:rPr/>
              <w:t xml:space="preserve"> （3）4mm的线号管1卷；</w:t>
            </w:r>
            <w:r>
              <w:br/>
            </w:r>
            <w:r>
              <w:rPr/>
              <w:t xml:space="preserve"> （4）焊锡丝2卷；</w:t>
            </w:r>
            <w:r>
              <w:br/>
            </w:r>
            <w:r>
              <w:rPr/>
              <w:t xml:space="preserve"> （5）蓝色1.5平方，7*0.52多股铜芯软线4盘；</w:t>
            </w:r>
            <w:r>
              <w:br/>
            </w:r>
            <w:r>
              <w:rPr/>
              <w:t xml:space="preserve"> （6）蓝色0.5平方软线4盘；</w:t>
            </w:r>
            <w:r>
              <w:br/>
            </w:r>
            <w:r>
              <w:rPr/>
              <w:t xml:space="preserve"> （7）绝缘套管10米；</w:t>
            </w:r>
            <w:r>
              <w:br/>
            </w:r>
            <w:r>
              <w:rPr/>
              <w:t xml:space="preserve"> （8）管型接线端子(E1508)1包；</w:t>
            </w:r>
            <w:r>
              <w:br/>
            </w:r>
            <w:r>
              <w:rPr/>
              <w:t xml:space="preserve"> （9）管型接线端子(E0508)1包；</w:t>
            </w:r>
            <w:r>
              <w:br/>
            </w:r>
            <w:r>
              <w:rPr/>
              <w:t xml:space="preserve"> （10）绝缘胶带2卷；</w:t>
            </w:r>
            <w:r>
              <w:br/>
            </w:r>
            <w:r>
              <w:rPr/>
              <w:t xml:space="preserve"> （11）O型接线端子1包；</w:t>
            </w:r>
            <w:r>
              <w:br/>
            </w:r>
            <w:r>
              <w:rPr/>
              <w:t xml:space="preserve"> （12）电阻二极管1个；</w:t>
            </w:r>
            <w:r>
              <w:br/>
            </w:r>
            <w:r>
              <w:rPr/>
              <w:t xml:space="preserve"> （13）侧面端子2个；</w:t>
            </w:r>
            <w:r>
              <w:br/>
            </w:r>
            <w:r>
              <w:rPr/>
              <w:t xml:space="preserve"> 2、耗材种类、型号、规格满足城轨智能运输实训考核规程的全部要求。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八</w:t>
      </w:r>
      <w:r>
        <w:rPr>
          <w:b/>
        </w:rPr>
        <w:t>：</w:t>
      </w:r>
      <w:r>
        <w:rPr>
          <w:b/>
        </w:rPr>
        <w:t>虚拟信号设备故障处理和检修作业实训平台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虚拟信号设备故障处理和检修作业仿真系统，采用三维虚拟技术以及计算机信息技术，模拟车站室内外信号设备和作业人员工作环境，并在不同的任务中进行作业场景切换。三维仿真信号设备的组成和结构按照真实地铁车站设备进行1:1仿真，设备的外观、形状、布局与实际一致，主要的操作、发光、发声、报警、显示等设备的功能、内容、动作方式、控制方式、操作方式等属性与实际一致，并且按照实际的逻辑关系实时响应，响应的方式及结果与实际相同。</w:t>
            </w:r>
            <w:r>
              <w:br/>
            </w:r>
            <w:r>
              <w:rPr/>
              <w:t xml:space="preserve"> 1、主要功能：</w:t>
            </w:r>
            <w:r>
              <w:br/>
            </w:r>
            <w:r>
              <w:rPr/>
              <w:t xml:space="preserve"> （1）在信号设备检修模块中可以观察联锁设备、ATS设备、车载信号设备，通过检修工器具完成信号设备的标准化检修作业；</w:t>
            </w:r>
            <w:r>
              <w:br/>
            </w:r>
            <w:r>
              <w:rPr/>
              <w:t xml:space="preserve"> （2）在故障处理模块中对系统预设的转辙机故障进行故障处置。转辙机的电路逻辑和电气测量参数与实际保持一致，同时转辙机的继电器组合、室外道岔的动态变化以及ATS上的道岔状态显示相互联动。</w:t>
            </w:r>
            <w:r>
              <w:br/>
            </w:r>
            <w:r>
              <w:rPr/>
              <w:t xml:space="preserve"> 2、主要硬件参数要求：</w:t>
            </w:r>
            <w:r>
              <w:br/>
            </w:r>
            <w:r>
              <w:rPr/>
              <w:t xml:space="preserve"> 操作终端1套：</w:t>
            </w:r>
            <w:r>
              <w:br/>
            </w:r>
            <w:r>
              <w:rPr/>
              <w:t xml:space="preserve"> 应采用工控机，工控机配置：不低于I7处理器，≥16G内存，≥512G固态硬盘，含显示设备；</w:t>
            </w:r>
          </w:p>
          <w:p>
            <w:pPr>
              <w:pStyle w:val="null3"/>
            </w:pPr>
            <w:r>
              <w:rPr/>
              <w:t>3、▲故障处理模块中对系统预设的虚拟ZDJ9型转辙机故障进行故障处置。转辙机的电路逻辑和电气测量参数与实际保持一致，同时转辙机的继电器组合、室外道岔的动态变化以及ATS上的道岔状态显示相互联动。供应商确保系统可靠稳定运行，满足教学实训需求。（注：提供承诺函，格式自拟）</w:t>
            </w:r>
          </w:p>
          <w:p>
            <w:pPr>
              <w:pStyle w:val="null3"/>
            </w:pPr>
            <w:r>
              <w:rPr/>
              <w:t>4、供应商应提供虚拟信号设备故障处理和检修作业实训平台中信号故障处理现场视频演示：</w:t>
            </w:r>
          </w:p>
          <w:p>
            <w:pPr>
              <w:pStyle w:val="null3"/>
            </w:pPr>
            <w:r>
              <w:rPr/>
              <w:t>1）具备“ZDJ9道岔转辙机励磁电路回路”功能；</w:t>
            </w:r>
          </w:p>
          <w:p>
            <w:pPr>
              <w:pStyle w:val="null3"/>
            </w:pPr>
            <w:r>
              <w:rPr/>
              <w:t>2）具备“转极电路回路”功能；</w:t>
            </w:r>
          </w:p>
          <w:p>
            <w:pPr>
              <w:pStyle w:val="null3"/>
            </w:pPr>
            <w:r>
              <w:rPr/>
              <w:t>3）具备“表示电路回路”功能。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九</w:t>
      </w:r>
      <w:r>
        <w:rPr>
          <w:b/>
        </w:rPr>
        <w:t>：</w:t>
      </w:r>
      <w:r>
        <w:rPr>
          <w:b/>
        </w:rPr>
        <w:t>城市轨道交通信号系统实训与考核平台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1、练功操作台</w:t>
            </w:r>
            <w:r>
              <w:br/>
            </w:r>
            <w:r>
              <w:rPr/>
              <w:t xml:space="preserve"> 包含操作台、继电器组合层架、转辙机继电器组合、零层接线端子，操作台尺寸≥1600*650*1600mm，满足转辙机组合内部焊接配线的功能要求。</w:t>
            </w:r>
            <w:r>
              <w:br/>
            </w:r>
            <w:r>
              <w:rPr/>
              <w:t xml:space="preserve"> 2、室外信号设备</w:t>
            </w:r>
            <w:r>
              <w:br/>
            </w:r>
            <w:r>
              <w:rPr/>
              <w:t xml:space="preserve"> 包含电动转辙机、电缆终端盒，满足室外配线要求，并配合操作台完成转辙机安装调试作业。</w:t>
            </w:r>
            <w:r>
              <w:br/>
            </w:r>
            <w:r>
              <w:rPr/>
              <w:t xml:space="preserve"> 3、包含车站ATS仿真系统、导通测试验证系统。</w:t>
            </w:r>
            <w:r>
              <w:br/>
            </w:r>
            <w:r>
              <w:rPr/>
              <w:t xml:space="preserve"> 4、▲研究与开发的轨道交通信号综合仿真实训系统应确保技术可行性、先进成熟性且满足要求。（注：提供承诺函，格式自拟）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十</w:t>
      </w:r>
      <w:r>
        <w:rPr>
          <w:b/>
        </w:rPr>
        <w:t>：</w:t>
      </w:r>
      <w:r>
        <w:rPr>
          <w:b/>
        </w:rPr>
        <w:t>智慧城轨通信信号考评系统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1、系统通过自动设置故障、学员设备操作和系统状态的自动采集和智能分析，完成对考核内容自动评价。并包含以下考核内容：</w:t>
            </w:r>
            <w:r>
              <w:br/>
            </w:r>
            <w:r>
              <w:rPr/>
              <w:t xml:space="preserve"> (1)信号设备安装调试，包括：组合焊接、施工配线、导通测试；</w:t>
            </w:r>
            <w:r>
              <w:br/>
            </w:r>
            <w:r>
              <w:rPr/>
              <w:t xml:space="preserve"> (2)信号设备故障处理，包括：完成交流道岔转辙机故障的排查与处理；</w:t>
            </w:r>
            <w:r>
              <w:br/>
            </w:r>
            <w:r>
              <w:rPr/>
              <w:t xml:space="preserve"> (3)信号设备维护，包括：ATS设备维护、联锁设备、车载设备的维护。</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广州铁路职业技术学院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按如下标准和规定缴纳招标代理服务费：（1）以项目预算金额作为招标代理服务费的计算基数；（2）招标代理服务费采用差额定率累进法进行计算，按照以下标准计算后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 进行核实，未能在网站查询到供应商信用评价分的，以信用评价基准分计算】。 二、履约评价，采购人负责对成交供应商的履约行为进行评价。采购人在合同备案后可通过广东政府采购智慧云平台-诚信管理-评价管理进行评价。评价结果会影响供应商的综合信用得分。 三、关于提供前期服务的供应商，为采购项目提供整体设计、规范编制或者项目管理、监理、检测等服务的供应商，不得再参加该采购项目的其他采购活动。 四、其他说明，中标（成交）通知书与发票送达：中标（成交）通知书、服务费（标书款）发票现场领取或邮寄，中标（成交）通知书、我司可通过快递方式送达给中标（成交）人，服务费（标书款）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城市轨道交通智能运输技能提升设备购置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采购包1（城市轨道交通智能运输技能提升设备购置项目）：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 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 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采购包1（城市轨道交通智能运输技能提升设备购置项目）：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提供签署及盖章合格的投标函。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截止时间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函相关承诺要求内容。</w:t>
            </w:r>
          </w:p>
        </w:tc>
      </w:tr>
      <w:tr>
        <w:tc>
          <w:tcPr>
            <w:tcW w:type="dxa" w:w="890"/>
          </w:tcPr>
          <w:p>
            <w:pPr>
              <w:pStyle w:val="null3"/>
            </w:pPr>
            <w:r>
              <w:rPr/>
              <w:t>8</w:t>
            </w:r>
          </w:p>
        </w:tc>
        <w:tc>
          <w:tcPr>
            <w:tcW w:type="dxa" w:w="3178"/>
          </w:tcPr>
          <w:p>
            <w:pPr>
              <w:pStyle w:val="null3"/>
            </w:pPr>
            <w:r>
              <w:rPr/>
              <w:t>本采购包不接受联合体投标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整体专门面向中小企业采购，投标人须提供中小企业声明函。所有货物由符合货物（采购标的）所属行业（工业）政策划分标准的中小微企业生产且使用该中小微企业商号或注册商标，投标人应按规定提供《中小企业声明函》。</w:t>
            </w:r>
          </w:p>
        </w:tc>
      </w:tr>
    </w:tbl>
    <w:p>
      <w:pPr>
        <w:pStyle w:val="null3"/>
        <w:ind w:firstLine="480"/>
      </w:pPr>
      <w:r>
        <w:rPr/>
        <w:t>表二符合性审查表：</w:t>
      </w:r>
    </w:p>
    <w:p>
      <w:pPr>
        <w:pStyle w:val="null3"/>
      </w:pPr>
      <w:r>
        <w:rPr/>
        <w:t>采购包1（城市轨道交通智能运输技能提升设备购置项目）：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采购包1(城市轨道交通智能运输技能提升设备购置项目):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重要技术指标响应情况 (14.0分)</w:t>
            </w:r>
          </w:p>
        </w:tc>
        <w:tc>
          <w:tcPr>
            <w:tcW w:type="dxa" w:w="5076"/>
          </w:tcPr>
          <w:p>
            <w:pPr>
              <w:pStyle w:val="null3"/>
              <w:jc w:val="left"/>
            </w:pPr>
            <w:r>
              <w:rPr/>
              <w:t>根据投标人对采购需求的具体技术（参数）要求中标注“▲”的重要技术参数（共7项）的响应情况进行评审：每有一项标注“▲”的重要技术参数响应为“无偏离”或者“正偏离”的，得2分，最高得14分；响应为“负偏离”的，该项不得分。 注：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一般条款的响应情况 (5.0分)</w:t>
            </w:r>
          </w:p>
        </w:tc>
        <w:tc>
          <w:tcPr>
            <w:tcW w:type="dxa" w:w="5076"/>
          </w:tcPr>
          <w:p>
            <w:pPr>
              <w:pStyle w:val="null3"/>
              <w:jc w:val="left"/>
            </w:pPr>
            <w:r>
              <w:rPr/>
              <w:t>根据投标人对采购需求——技术标准与要求中一般技术参数（非“★”和非“▲”和非“演示项”技术参数）全部响应为“正偏离”或“无偏离”的得5分，有负偏离情况按以下要求得分： （1）有1项（含本数 ）条款为负偏离的，得4分； （2）有2项（含本数）条款为负偏离的，得3分； （3）有3项（含本数）条款为负偏离的，得2分； （4）有4项（含本数）条款为负偏离的，得1分； （5）有5项（含本数）以上条款为负偏离的，得0 分。 注：如采购需求的具体技术（参数）要求有要求提供证明材料的，则以具体技术（参数）要求中的为准。否则以投标人投标文件《技术和服务要求响应表》中的响应情况为准。不按要求提供或提供不符的视为负偏离。</w:t>
            </w:r>
          </w:p>
        </w:tc>
      </w:tr>
      <w:tr>
        <w:tc>
          <w:tcPr>
            <w:tcW w:type="dxa" w:w="922"/>
            <w:gridSpan w:val="2"/>
            <w:vMerge/>
          </w:tcPr>
          <w:p/>
        </w:tc>
        <w:tc>
          <w:tcPr>
            <w:tcW w:type="dxa" w:w="2307"/>
          </w:tcPr>
          <w:p>
            <w:pPr>
              <w:pStyle w:val="null3"/>
              <w:jc w:val="left"/>
            </w:pPr>
            <w:r>
              <w:rPr/>
              <w:t>现场视频演示 (15.0分)</w:t>
            </w:r>
          </w:p>
        </w:tc>
        <w:tc>
          <w:tcPr>
            <w:tcW w:type="dxa" w:w="5076"/>
          </w:tcPr>
          <w:p>
            <w:pPr>
              <w:pStyle w:val="null3"/>
              <w:jc w:val="left"/>
            </w:pPr>
            <w:r>
              <w:rPr/>
              <w:t>投标人须提供现场演示视频，应按要求演示以下功能： 1.虚拟车站仿真系统： 提供虚拟车站仿真系统中站台门故障现场视频演示： 1）具备“站台整侧滑动门开门故障处置”功能; 2）具备“全自动运行线路站台门/车门夹人应急处置”功能; 3）具备“全自动运行线路站台门滑动门破碎(下轨行区)应急处置”功能。 每满足一项得2分，不满足不得分，共3项，满分6分。 2.智慧城轨运营组织考评系统： 提供智慧城轨运营组织考评系统中的流程操作、操作步骤查看、结果自动评价现场视频演示： 1）总成绩单功能，详细试卷中可对总成绩单、计算机评分总成绩单、语音识别总成绩单、人工评分总成绩单、时间统计和各个任务的计算机评分表及语音识别评分表；试卷显示界面显示当前最近的20个试卷成绩，可对试卷进行详细信息查询。 2）成绩单界面应具备打印功能，可以对总成绩单、各个分项成绩单、操作记录及提交记录进行打印； 3）试卷编辑功能，可以对试卷进行添加和删除操作，还可以对编辑好的试卷进行重新编辑。试卷编辑过程中可根据业务分类对任务模块进行不同分数的配比。 每满足一项得2分，不满足不得分，共3项，满分6分。 3.虚拟信号设备故障处理和检修作业实训平台： 提供虚拟信号设备故障处理和检修作业实训平台中信号故障处理现场视频演示： 1）具备“ZDJ9道岔转辙机励磁电路回路”功能； 2）具备“转极电路回路”功能； 3）具备“表示电路回路”功能。 每满足一项得1分，不满足不得分，共3项，满分3分。 注：演示时间不超过15分钟。提供现场视频演示，未提供演示或演示项不满足要求或不完整不得分。</w:t>
            </w:r>
          </w:p>
        </w:tc>
      </w:tr>
      <w:tr>
        <w:tc>
          <w:tcPr>
            <w:tcW w:type="dxa" w:w="922"/>
            <w:gridSpan w:val="2"/>
            <w:vMerge/>
          </w:tcPr>
          <w:p/>
        </w:tc>
        <w:tc>
          <w:tcPr>
            <w:tcW w:type="dxa" w:w="2307"/>
          </w:tcPr>
          <w:p>
            <w:pPr>
              <w:pStyle w:val="null3"/>
              <w:jc w:val="left"/>
            </w:pPr>
            <w:r>
              <w:rPr/>
              <w:t>总体技术方案 (6.0分)</w:t>
            </w:r>
          </w:p>
        </w:tc>
        <w:tc>
          <w:tcPr>
            <w:tcW w:type="dxa" w:w="5076"/>
          </w:tcPr>
          <w:p>
            <w:pPr>
              <w:pStyle w:val="null3"/>
              <w:jc w:val="left"/>
            </w:pPr>
            <w:r>
              <w:rPr/>
              <w:t>根据投标人提供的总体技术方案（包括但不限于以下内容：①工作思路流程；②产品运输、安装调试；③人员培训等）进行评分： （1）总体技术方案完整详细、针对性强、合理性高、可行性高，得6分； （2）总体技术方案较完整详细、针对性较强、合理性较高、可行性较高，得4分； （3）总体技术方案基本完整详细、针对性一般、合理性一般、可行性一般，得2分； （4）总体技术方案不够完整详细、针对性欠缺、合理性欠缺、可行性欠缺，得1分； （5）未提供方案的，得0分。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根据投标人提供的售后服务方案（包括但不限于以下内容：①维修响应时间；②维修方式；③备品备件；④质保期后维修服务的项目及费用承诺等）进行评分： （1）售后服务方案完整详细、针对性强、合理性高、可行性高，得6分； （2）售后服务方案较完整详细、针对性较强、合理性较高、可行性较高，得4分； （3）售后服务方案基本完整详细、针对性一般、合理性一般、可行性一般，得2分； （4）售后服务方案不够完整详细、针对性欠缺、合理性欠缺、可行性欠缺，得1分； （5）未提供方案的，得0分。</w:t>
            </w:r>
          </w:p>
        </w:tc>
      </w:tr>
      <w:tr>
        <w:tc>
          <w:tcPr>
            <w:tcW w:type="dxa" w:w="922"/>
            <w:gridSpan w:val="2"/>
            <w:vMerge/>
          </w:tcPr>
          <w:p/>
        </w:tc>
        <w:tc>
          <w:tcPr>
            <w:tcW w:type="dxa" w:w="2307"/>
          </w:tcPr>
          <w:p>
            <w:pPr>
              <w:pStyle w:val="null3"/>
              <w:jc w:val="left"/>
            </w:pPr>
            <w:r>
              <w:rPr/>
              <w:t>质量保证方案 (4.0分)</w:t>
            </w:r>
          </w:p>
        </w:tc>
        <w:tc>
          <w:tcPr>
            <w:tcW w:type="dxa" w:w="5076"/>
          </w:tcPr>
          <w:p>
            <w:pPr>
              <w:pStyle w:val="null3"/>
              <w:jc w:val="left"/>
            </w:pPr>
            <w:r>
              <w:rPr/>
              <w:t>根据投标人提供的质量保证方案（包括但不限于以下内容：①质量监控及安全措施供货方案；②质量保证措施、③质量承诺等）进行评分： （1）质量保证方案完整详细、针对性强、合理性高、可行性高，得4分； （2）质量保证方案较完整详细、针对性较强、合理性较高、可行性较高，得3分； （3）质量保证方案基本完整详细、针对性一般、合理性一般、可行性一般，得2分； （4）质量保证方案不够完整详细、针对性欠缺、合理性欠缺、可行性欠缺，得1分； （5）未提供方案的，得0分。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(3.0分)</w:t>
            </w:r>
          </w:p>
        </w:tc>
        <w:tc>
          <w:tcPr>
            <w:tcW w:type="dxa" w:w="5076"/>
          </w:tcPr>
          <w:p>
            <w:pPr>
              <w:pStyle w:val="null3"/>
              <w:jc w:val="left"/>
            </w:pPr>
            <w:r>
              <w:rPr/>
              <w:t>投标人自2022年1月1日以来（以合同签订时间为准）具有同类项目业绩，每提供一份得1分，最高得3分。注：需提供合同关键页（含签订合同双方的单位名称、合同项目名称、项目金额与含签订合同双方的落款盖章、签订日期的关键页）扫描件作为证明材料，未按要求提供材料的不得分。</w:t>
            </w:r>
          </w:p>
        </w:tc>
      </w:tr>
      <w:tr>
        <w:tc>
          <w:tcPr>
            <w:tcW w:type="dxa" w:w="922"/>
            <w:gridSpan w:val="2"/>
            <w:vMerge/>
          </w:tcPr>
          <w:p/>
        </w:tc>
        <w:tc>
          <w:tcPr>
            <w:tcW w:type="dxa" w:w="2307"/>
          </w:tcPr>
          <w:p>
            <w:pPr>
              <w:pStyle w:val="null3"/>
              <w:jc w:val="left"/>
            </w:pPr>
            <w:r>
              <w:rPr/>
              <w:t>体系认证 (6.0分)</w:t>
            </w:r>
          </w:p>
        </w:tc>
        <w:tc>
          <w:tcPr>
            <w:tcW w:type="dxa" w:w="5076"/>
          </w:tcPr>
          <w:p>
            <w:pPr>
              <w:pStyle w:val="null3"/>
              <w:jc w:val="left"/>
            </w:pPr>
            <w:r>
              <w:rPr/>
              <w:t>投标人具有以下有效期内的认证证书： （1）质量管理体系认证证书 ； （2）环境管理体系认证证书； （3）职业健康安全管理体系认证证书； 每具有一个得2分，最多得6分。 注：①提供认证证书复印件和打印网站公布的链接信息资料【以http://www.cnca.gov.cn/网站公布为准，证书必须处于“有效”状态】, 同时提供上述认证证书复印件和打印网站公布的链接信息资料。公开信息中无法查询或与公开信息不一致的，供应商必须提供发证机构出具的证明函。 无或缺项或未按要求递交证明材料的不得分。 ②上述证书如因投标人成立时间不足3个月的原因未能获得的，视可对应得分。</w:t>
            </w:r>
          </w:p>
        </w:tc>
      </w:tr>
      <w:tr>
        <w:tc>
          <w:tcPr>
            <w:tcW w:type="dxa" w:w="922"/>
            <w:gridSpan w:val="2"/>
            <w:vMerge/>
          </w:tcPr>
          <w:p/>
        </w:tc>
        <w:tc>
          <w:tcPr>
            <w:tcW w:type="dxa" w:w="2307"/>
          </w:tcPr>
          <w:p>
            <w:pPr>
              <w:pStyle w:val="null3"/>
              <w:jc w:val="left"/>
            </w:pPr>
            <w:r>
              <w:rPr/>
              <w:t>本项目技术人员技术实力情况 (6.0分)</w:t>
            </w:r>
          </w:p>
        </w:tc>
        <w:tc>
          <w:tcPr>
            <w:tcW w:type="dxa" w:w="5076"/>
          </w:tcPr>
          <w:p>
            <w:pPr>
              <w:pStyle w:val="null3"/>
              <w:jc w:val="left"/>
            </w:pPr>
            <w:r>
              <w:rPr/>
              <w:t>1.项目经理资质情况：供应商拟投入本项目的项目经理具有信息系统项目管理师（高级）或以上资格证书，得2分，不提供不得分。 2.其他技术人员（不含项目经理）要求软件或机电类相关中级或以上职称的每提供一个满足以上要求的人员的得1分，最高得3分。 3.售后服务人员资质情况（项目经理、其他技术人员除外）：供应商拟投入本项目的售后服务人员具备电气工程师或电子工程师或软件设计师职称或资格证书，每提供一个满足以上要求的人员的得1分，最高得1分，不提供不得分。 注：以上人员不得兼任。须提供以上资质证明材料复印件及以上人员在供应商单位服务的外部证明材料扫描件，如投标截止日之前三个月以内任意一个月的个税税单或参加社会保险的《投保单》或《社会保险参保人员证明》等。</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center"/>
      </w:pPr>
      <w:r>
        <w:rPr>
          <w:sz w:val="48"/>
          <w:b/>
        </w:rPr>
        <w:t>广东省政府采购</w:t>
      </w:r>
    </w:p>
    <w:p>
      <w:pPr>
        <w:pStyle w:val="null3"/>
        <w:jc w:val="both"/>
      </w:pPr>
      <w:r>
        <w:rPr>
          <w:b/>
        </w:rPr>
        <w:t xml:space="preserve"> </w:t>
      </w:r>
    </w:p>
    <w:p>
      <w:pPr>
        <w:pStyle w:val="null3"/>
        <w:jc w:val="center"/>
      </w:pPr>
      <w:r>
        <w:rPr>
          <w:sz w:val="48"/>
          <w:b/>
        </w:rPr>
        <w:t>合　同　书</w:t>
      </w:r>
    </w:p>
    <w:p>
      <w:pPr>
        <w:pStyle w:val="null3"/>
        <w:jc w:val="center"/>
      </w:pPr>
      <w:r>
        <w:rPr>
          <w:sz w:val="24"/>
        </w:rPr>
        <w:t>（本合同为中小企业预留合同）</w:t>
      </w:r>
    </w:p>
    <w:p>
      <w:pPr>
        <w:pStyle w:val="null3"/>
        <w:jc w:val="center"/>
      </w:pPr>
      <w:r>
        <w:br/>
      </w:r>
      <w:r>
        <w:br/>
      </w:r>
      <w:r>
        <w:br/>
      </w:r>
      <w:r>
        <w:br/>
      </w:r>
      <w:r>
        <w:br/>
      </w:r>
      <w:r>
        <w:rPr>
          <w:shd w:fill="FFFFFF" w:val="clear"/>
        </w:rPr>
        <w:t xml:space="preserve">  </w:t>
      </w:r>
    </w:p>
    <w:p>
      <w:pPr>
        <w:pStyle w:val="null3"/>
        <w:jc w:val="both"/>
      </w:pPr>
      <w:r>
        <w:rPr>
          <w:sz w:val="28"/>
          <w:color w:val="222222"/>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8"/>
          <w:color w:val="222222"/>
          <w:shd w:fill="FFFFFF" w:val="clear"/>
        </w:rPr>
        <w:t>项目编号：</w:t>
      </w:r>
      <w:r>
        <w:rPr>
          <w:u w:val="single"/>
          <w:shd w:fill="FFFFFF" w:val="clear"/>
        </w:rPr>
        <w:t xml:space="preserve">                              </w:t>
      </w:r>
    </w:p>
    <w:p>
      <w:pPr>
        <w:pStyle w:val="null3"/>
        <w:spacing w:before="150" w:after="150"/>
        <w:jc w:val="both"/>
      </w:pPr>
      <w:r>
        <w:rPr>
          <w:sz w:val="28"/>
          <w:color w:val="222222"/>
          <w:shd w:fill="FFFFFF" w:val="clear"/>
        </w:rPr>
        <w:t>项目名称：</w:t>
      </w:r>
      <w:r>
        <w:rPr>
          <w:u w:val="single"/>
          <w:shd w:fill="FFFFFF" w:val="clear"/>
        </w:rPr>
        <w:t xml:space="preserve">                              </w:t>
      </w:r>
    </w:p>
    <w:p>
      <w:pPr>
        <w:pStyle w:val="null3"/>
        <w:jc w:val="center"/>
      </w:pPr>
      <w:r>
        <w:br/>
      </w:r>
    </w:p>
    <w:p>
      <w:pPr>
        <w:pStyle w:val="null3"/>
        <w:jc w:val="center"/>
      </w:pPr>
      <w:r>
        <w:br/>
      </w:r>
    </w:p>
    <w:p>
      <w:pPr>
        <w:pStyle w:val="null3"/>
        <w:jc w:val="center"/>
      </w:pPr>
      <w:r>
        <w:br/>
      </w:r>
    </w:p>
    <w:p>
      <w:pPr>
        <w:pStyle w:val="null3"/>
        <w:jc w:val="both"/>
      </w:pPr>
      <w:r>
        <w:rPr/>
        <w:t xml:space="preserve"> </w:t>
      </w:r>
    </w:p>
    <w:p>
      <w:pPr>
        <w:pStyle w:val="null3"/>
        <w:jc w:val="center"/>
      </w:pPr>
      <w:r>
        <w:rPr>
          <w:sz w:val="20"/>
          <w:b/>
        </w:rPr>
        <w:t>一、总</w:t>
      </w:r>
      <w:r>
        <w:rPr>
          <w:sz w:val="20"/>
          <w:b/>
        </w:rPr>
        <w:t xml:space="preserve">    </w:t>
      </w:r>
      <w:r>
        <w:rPr>
          <w:sz w:val="20"/>
          <w:b/>
        </w:rPr>
        <w:t>则</w:t>
      </w:r>
    </w:p>
    <w:p>
      <w:pPr>
        <w:pStyle w:val="null3"/>
      </w:pPr>
      <w:r>
        <w:rPr>
          <w:sz w:val="20"/>
          <w:b/>
          <w:color w:val="000000"/>
        </w:rPr>
        <w:t>第一条</w:t>
      </w:r>
      <w:r>
        <w:rPr>
          <w:sz w:val="20"/>
          <w:color w:val="000000"/>
        </w:rPr>
        <w:t xml:space="preserve">  </w:t>
      </w:r>
      <w:r>
        <w:rPr>
          <w:sz w:val="20"/>
          <w:color w:val="000000"/>
        </w:rPr>
        <w:t>合同当事人</w:t>
      </w:r>
    </w:p>
    <w:p>
      <w:pPr>
        <w:pStyle w:val="null3"/>
      </w:pPr>
      <w:r>
        <w:rPr>
          <w:sz w:val="20"/>
          <w:color w:val="000000"/>
        </w:rPr>
        <w:t>甲方（采购人）：</w:t>
      </w:r>
    </w:p>
    <w:p>
      <w:pPr>
        <w:pStyle w:val="null3"/>
      </w:pPr>
      <w:r>
        <w:rPr>
          <w:sz w:val="20"/>
          <w:color w:val="000000"/>
        </w:rPr>
        <w:t>乙方（中标人）：</w:t>
      </w:r>
    </w:p>
    <w:p>
      <w:pPr>
        <w:pStyle w:val="null3"/>
        <w:ind w:firstLine="400"/>
      </w:pPr>
      <w:r>
        <w:rPr>
          <w:sz w:val="20"/>
          <w:color w:val="000000"/>
        </w:rPr>
        <w:t>根据</w:t>
      </w:r>
      <w:r>
        <w:rPr>
          <w:sz w:val="20"/>
        </w:rPr>
        <w:t>《中华人民共和国民法典》</w:t>
      </w:r>
      <w:r>
        <w:rPr>
          <w:sz w:val="20"/>
          <w:color w:val="000000"/>
        </w:rPr>
        <w:t>、《中华人民共和国政府采购法》</w:t>
      </w:r>
      <w:r>
        <w:rPr>
          <w:sz w:val="20"/>
        </w:rPr>
        <w:t>及其实施条例</w:t>
      </w:r>
      <w:r>
        <w:rPr>
          <w:sz w:val="20"/>
          <w:color w:val="000000"/>
        </w:rPr>
        <w:t>、</w:t>
      </w:r>
      <w:r>
        <w:rPr>
          <w:sz w:val="20"/>
          <w:color w:val="000000"/>
        </w:rPr>
        <w:t>“城市轨道交通智能运输技能提升设备购置项目”</w:t>
      </w:r>
      <w:r>
        <w:rPr>
          <w:sz w:val="20"/>
          <w:color w:val="000000"/>
        </w:rPr>
        <w:t>（项目编号：</w:t>
      </w:r>
      <w:r>
        <w:rPr>
          <w:sz w:val="20"/>
          <w:color w:val="000000"/>
        </w:rPr>
        <w:t>ZZ0250730</w:t>
      </w:r>
      <w:r>
        <w:rPr>
          <w:sz w:val="20"/>
          <w:color w:val="000000"/>
        </w:rPr>
        <w:t>）招标文件的要求和招标结果，经甲乙双方协商一致，签订本合同。双方共同遵守如下条款（技术说明及其他有关合同项目的特定信息由合同附件予以说明，合同附件及本项目的招标文件、投标文件、中标通知书、在实施过程中双方共同签署的补充文件等均为本合同不可分割之一部分）。</w:t>
      </w:r>
    </w:p>
    <w:p>
      <w:pPr>
        <w:pStyle w:val="null3"/>
      </w:pPr>
      <w:r>
        <w:rPr>
          <w:sz w:val="20"/>
          <w:b/>
          <w:color w:val="000000"/>
        </w:rPr>
        <w:t>第二条</w:t>
      </w:r>
      <w:r>
        <w:rPr>
          <w:sz w:val="20"/>
          <w:color w:val="000000"/>
        </w:rPr>
        <w:t xml:space="preserve">  </w:t>
      </w:r>
      <w:r>
        <w:rPr>
          <w:sz w:val="20"/>
          <w:color w:val="000000"/>
        </w:rPr>
        <w:t>乙方提供货物的受益人为甲方，甲乙双方均应对履行本合同承担相应的责任。</w:t>
      </w:r>
    </w:p>
    <w:p>
      <w:pPr>
        <w:pStyle w:val="null3"/>
        <w:ind w:left="450"/>
        <w:jc w:val="center"/>
      </w:pPr>
      <w:r>
        <w:rPr>
          <w:sz w:val="20"/>
          <w:b/>
          <w:color w:val="000000"/>
        </w:rPr>
        <w:t>二、采购内容及</w:t>
      </w:r>
      <w:r>
        <w:rPr>
          <w:sz w:val="20"/>
          <w:b/>
          <w:color w:val="000000"/>
        </w:rPr>
        <w:t>采购设备整体说明</w:t>
      </w:r>
    </w:p>
    <w:p>
      <w:pPr>
        <w:pStyle w:val="null3"/>
      </w:pPr>
      <w:r>
        <w:rPr>
          <w:sz w:val="20"/>
          <w:b/>
          <w:color w:val="000000"/>
        </w:rPr>
        <w:t>第三条</w:t>
      </w:r>
      <w:r>
        <w:rPr>
          <w:sz w:val="20"/>
          <w:color w:val="000000"/>
        </w:rPr>
        <w:t xml:space="preserve">  </w:t>
      </w:r>
      <w:r>
        <w:rPr>
          <w:sz w:val="20"/>
          <w:color w:val="000000"/>
        </w:rPr>
        <w:t>采购内容</w:t>
      </w:r>
    </w:p>
    <w:p>
      <w:pPr>
        <w:pStyle w:val="null3"/>
        <w:ind w:left="420"/>
        <w:jc w:val="left"/>
      </w:pPr>
      <w:r>
        <w:rPr>
          <w:sz w:val="20"/>
          <w:color w:val="000000"/>
        </w:rPr>
        <w:t>乙方根据甲方要求提供以下货物：</w:t>
      </w:r>
    </w:p>
    <w:tbl>
      <w:tblPr>
        <w:tblW w:w="0" w:type="auto"/>
        <w:tblBorders>
          <w:top w:val="none" w:color="000000" w:sz="4"/>
          <w:left w:val="none" w:color="000000" w:sz="4"/>
          <w:bottom w:val="none" w:color="000000" w:sz="4"/>
          <w:right w:val="none" w:color="000000" w:sz="4"/>
          <w:insideH w:val="none"/>
          <w:insideV w:val="none"/>
        </w:tblBorders>
      </w:tblPr>
      <w:tblGrid>
        <w:gridCol w:w="1095"/>
        <w:gridCol w:w="1095"/>
        <w:gridCol w:w="1211"/>
        <w:gridCol w:w="576"/>
        <w:gridCol w:w="865"/>
        <w:gridCol w:w="865"/>
        <w:gridCol w:w="1153"/>
        <w:gridCol w:w="1442"/>
      </w:tblGrid>
      <w:tr>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货物品名</w:t>
            </w:r>
          </w:p>
        </w:tc>
        <w:tc>
          <w:tcPr>
            <w:tcW w:type="dxa" w:w="1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品牌规格型号</w:t>
            </w:r>
          </w:p>
        </w:tc>
        <w:tc>
          <w:tcPr>
            <w:tcW w:type="dxa" w:w="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c>
          <w:tcPr>
            <w:tcW w:type="dxa" w:w="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20"/>
            </w:pPr>
            <w:r>
              <w:rPr>
                <w:sz w:val="20"/>
              </w:rPr>
              <w:t>数量</w:t>
            </w:r>
          </w:p>
        </w:tc>
        <w:tc>
          <w:tcPr>
            <w:tcW w:type="dxa" w:w="8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单价</w:t>
            </w:r>
          </w:p>
        </w:tc>
        <w:tc>
          <w:tcPr>
            <w:tcW w:type="dxa" w:w="1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总价</w:t>
            </w:r>
          </w:p>
        </w:tc>
        <w:tc>
          <w:tcPr>
            <w:tcW w:type="dxa" w:w="1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随机配件</w:t>
            </w: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0"/>
          <w:b/>
          <w:color w:val="000000"/>
        </w:rPr>
        <w:t>第四条</w:t>
      </w:r>
      <w:r>
        <w:rPr>
          <w:sz w:val="20"/>
          <w:b/>
          <w:color w:val="000000"/>
        </w:rPr>
        <w:t xml:space="preserve">  </w:t>
      </w:r>
      <w:r>
        <w:rPr>
          <w:sz w:val="20"/>
          <w:color w:val="000000"/>
        </w:rPr>
        <w:t>采购设备整体说明</w:t>
      </w:r>
    </w:p>
    <w:p>
      <w:pPr>
        <w:pStyle w:val="null3"/>
        <w:ind w:firstLine="482"/>
        <w:jc w:val="both"/>
      </w:pPr>
      <w:r>
        <w:rPr>
          <w:sz w:val="20"/>
        </w:rPr>
        <w:t>本实训室建设对接国家专业教学标准</w:t>
      </w:r>
      <w:r>
        <w:rPr>
          <w:sz w:val="20"/>
        </w:rPr>
        <w:t>,对接专业人才培养方案及相关专业课程标准,能够满足城市轨道交通运营管理、城市轨道交通信号技术等专业相关课程的理论教学、实践教学、实习实训、技能培训及鉴定的需要。每套实训设备应由智慧城轨运营、智慧城轨信号组成。满足车站和调度正常行车组织下的列车运行、非正常情况下的行车组织、突发事件应急处置、信号设备安装与调试、信号设备故障分析处置与维护等作业内容。系统应通过对学员设备操作和系统状态的自动采集和智能分析,完成对考核内容自动评价，具体见技术标准与要求。</w:t>
      </w:r>
    </w:p>
    <w:p>
      <w:pPr>
        <w:pStyle w:val="null3"/>
        <w:ind w:firstLine="482"/>
        <w:jc w:val="both"/>
      </w:pPr>
      <w:r>
        <w:rPr>
          <w:sz w:val="20"/>
        </w:rPr>
        <w:t>总体要求：</w:t>
      </w:r>
    </w:p>
    <w:p>
      <w:pPr>
        <w:pStyle w:val="null3"/>
        <w:ind w:firstLine="482"/>
        <w:jc w:val="both"/>
      </w:pPr>
      <w:r>
        <w:rPr>
          <w:sz w:val="20"/>
        </w:rPr>
        <w:t>1、智慧城轨运营、智慧城轨信号两部分组成。应采用三维建模技术、语音识别技术、虚拟机器人技术以及任务情景显示等先进技术，具有效果逼真、考评智能的特点。</w:t>
      </w:r>
    </w:p>
    <w:p>
      <w:pPr>
        <w:pStyle w:val="null3"/>
        <w:ind w:firstLine="482"/>
        <w:jc w:val="both"/>
      </w:pPr>
      <w:r>
        <w:rPr>
          <w:sz w:val="20"/>
        </w:rPr>
        <w:t>2、车站控制室实训平台应包含车站ATS仿真系统、车站虚拟IBP盘、车站ISCS仿真系统、车站虚拟CCTV仿真系统、有线和无线通信系统、车站火灾及大客流组织虚拟仿真系统。</w:t>
      </w:r>
    </w:p>
    <w:p>
      <w:pPr>
        <w:pStyle w:val="null3"/>
        <w:ind w:firstLine="482"/>
        <w:jc w:val="both"/>
      </w:pPr>
      <w:r>
        <w:rPr>
          <w:sz w:val="20"/>
        </w:rPr>
        <w:t>3、调度中心实训平台，应包含中心ATS仿真系统、中心ISCS仿真系统、有线和无线通信系统。</w:t>
      </w:r>
    </w:p>
    <w:p>
      <w:pPr>
        <w:pStyle w:val="null3"/>
        <w:ind w:firstLine="482"/>
        <w:jc w:val="both"/>
      </w:pPr>
      <w:r>
        <w:rPr>
          <w:sz w:val="20"/>
        </w:rPr>
        <w:t>4、虚拟车站仿真系统，应包含站台门仿真系统、车站火灾及大客流组织虚拟仿真系统。虚拟车站终端主要是采用三维虚拟技术以及计算机信息技术，模拟车站站厅、站台等工作环境，并在不同的任务中进行作业场景切换。</w:t>
      </w:r>
    </w:p>
    <w:p>
      <w:pPr>
        <w:pStyle w:val="null3"/>
        <w:ind w:firstLine="482"/>
        <w:jc w:val="both"/>
      </w:pPr>
      <w:r>
        <w:rPr>
          <w:sz w:val="20"/>
        </w:rPr>
        <w:t>5、实物道岔转辙机应包含实物ZD6转辙机、模拟道岔装置、行车备品等。</w:t>
      </w:r>
    </w:p>
    <w:p>
      <w:pPr>
        <w:pStyle w:val="null3"/>
        <w:ind w:firstLine="482"/>
        <w:jc w:val="both"/>
      </w:pPr>
      <w:r>
        <w:rPr>
          <w:sz w:val="20"/>
        </w:rPr>
        <w:t>6、信号设备安装与调试实训设备应包含实物ZYJ7转辙机、实物组合柜、实物电缆盒、备品工具等，通过该模块设备可以完成转辙机电缆盒（万可端子）至转辙机之间的配线和焊线操作，并进行导通测试。</w:t>
      </w:r>
    </w:p>
    <w:p>
      <w:pPr>
        <w:pStyle w:val="null3"/>
        <w:ind w:firstLine="482"/>
        <w:jc w:val="both"/>
      </w:pPr>
      <w:r>
        <w:rPr>
          <w:sz w:val="20"/>
        </w:rPr>
        <w:t>7、故障分析处置与维护虚拟仿真终端应包含：检修作业虚拟仿真系统和维修作业虚拟仿真系统。虚拟设备维护终端，可以通过软件展现室内外信号设备，可清晰直观的观察和操作当前检修的设备，可对设备放大、缩小、平移等。</w:t>
      </w:r>
    </w:p>
    <w:p>
      <w:pPr>
        <w:pStyle w:val="null3"/>
        <w:ind w:firstLine="482"/>
        <w:jc w:val="both"/>
      </w:pPr>
      <w:r>
        <w:rPr>
          <w:sz w:val="20"/>
        </w:rPr>
        <w:t>项目实施后，可按照真实的工作场景、真实的作业流程构建智慧运营及智慧信号相结合的实训场地，进一步提升城轨运营管理专业教学水平，提升我校学生的技术能力，并针对企业员工、教科研人员等不同层次提供服务。</w:t>
      </w:r>
    </w:p>
    <w:p>
      <w:pPr>
        <w:pStyle w:val="null3"/>
        <w:ind w:left="450"/>
        <w:jc w:val="center"/>
      </w:pPr>
      <w:r>
        <w:rPr>
          <w:sz w:val="20"/>
          <w:b/>
          <w:color w:val="000000"/>
        </w:rPr>
        <w:t>三、合同总价及付款方式</w:t>
      </w:r>
    </w:p>
    <w:p>
      <w:pPr>
        <w:pStyle w:val="null3"/>
      </w:pPr>
      <w:r>
        <w:rPr>
          <w:sz w:val="20"/>
          <w:b/>
          <w:color w:val="000000"/>
        </w:rPr>
        <w:t>第五条</w:t>
      </w:r>
      <w:r>
        <w:rPr>
          <w:sz w:val="20"/>
          <w:color w:val="000000"/>
        </w:rPr>
        <w:t xml:space="preserve">  </w:t>
      </w:r>
      <w:r>
        <w:rPr>
          <w:sz w:val="20"/>
          <w:color w:val="000000"/>
        </w:rPr>
        <w:t>合同总价为人民币（大写）：</w:t>
      </w:r>
      <w:r>
        <w:rPr>
          <w:u w:val="single"/>
        </w:rPr>
        <w:t xml:space="preserve">              </w:t>
      </w:r>
      <w:r>
        <w:rPr>
          <w:sz w:val="20"/>
          <w:color w:val="000000"/>
        </w:rPr>
        <w:t>，即￥</w:t>
      </w:r>
      <w:r>
        <w:rPr>
          <w:u w:val="single"/>
        </w:rPr>
        <w:t xml:space="preserve">            </w:t>
      </w:r>
      <w:r>
        <w:rPr>
          <w:sz w:val="20"/>
          <w:color w:val="000000"/>
        </w:rPr>
        <w:t>。该合同总价是货物设计、</w:t>
      </w:r>
      <w:r>
        <w:rPr>
          <w:sz w:val="20"/>
        </w:rPr>
        <w:t>制造、包装、运输、安装调试、检测及验收合格之前及质保期内服务及备品备件发生的所有含税费用。本合同执行期间合同总价不变</w:t>
      </w:r>
      <w:r>
        <w:rPr>
          <w:sz w:val="20"/>
          <w:color w:val="000000"/>
        </w:rPr>
        <w:t>。</w:t>
      </w:r>
    </w:p>
    <w:p>
      <w:pPr>
        <w:pStyle w:val="null3"/>
      </w:pPr>
      <w:r>
        <w:rPr>
          <w:sz w:val="20"/>
          <w:b/>
          <w:color w:val="000000"/>
        </w:rPr>
        <w:t>第六条</w:t>
      </w:r>
      <w:r>
        <w:rPr>
          <w:sz w:val="20"/>
          <w:color w:val="000000"/>
        </w:rPr>
        <w:t xml:space="preserve">  </w:t>
      </w:r>
      <w:r>
        <w:rPr>
          <w:sz w:val="20"/>
          <w:color w:val="000000"/>
        </w:rPr>
        <w:t>付款方式</w:t>
      </w:r>
    </w:p>
    <w:p>
      <w:pPr>
        <w:pStyle w:val="null3"/>
        <w:ind w:firstLine="405"/>
      </w:pPr>
      <w:r>
        <w:rPr>
          <w:sz w:val="20"/>
          <w:color w:val="000000"/>
        </w:rPr>
        <w:t>第</w:t>
      </w:r>
      <w:r>
        <w:rPr>
          <w:sz w:val="20"/>
          <w:color w:val="000000"/>
        </w:rPr>
        <w:t>1</w:t>
      </w:r>
      <w:r>
        <w:rPr>
          <w:sz w:val="20"/>
          <w:color w:val="000000"/>
        </w:rPr>
        <w:t>期为</w:t>
      </w:r>
      <w:r>
        <w:rPr>
          <w:sz w:val="20"/>
          <w:color w:val="000000"/>
        </w:rPr>
        <w:t>(</w:t>
      </w:r>
      <w:r>
        <w:rPr>
          <w:sz w:val="20"/>
          <w:color w:val="000000"/>
        </w:rPr>
        <w:t>预付款</w:t>
      </w:r>
      <w:r>
        <w:rPr>
          <w:sz w:val="20"/>
          <w:color w:val="000000"/>
        </w:rPr>
        <w:t>)</w:t>
      </w:r>
      <w:r>
        <w:rPr>
          <w:sz w:val="20"/>
          <w:color w:val="000000"/>
        </w:rPr>
        <w:t>： 合同签订后收到乙方开具的正式发票后</w:t>
      </w:r>
      <w:r>
        <w:rPr>
          <w:sz w:val="20"/>
          <w:color w:val="000000"/>
        </w:rPr>
        <w:t>5</w:t>
      </w:r>
      <w:r>
        <w:rPr>
          <w:sz w:val="20"/>
          <w:color w:val="000000"/>
        </w:rPr>
        <w:t>个工作日内，甲方预付合同总价的</w:t>
      </w:r>
      <w:r>
        <w:rPr>
          <w:sz w:val="20"/>
          <w:color w:val="000000"/>
        </w:rPr>
        <w:t>30%</w:t>
      </w:r>
      <w:r>
        <w:rPr>
          <w:sz w:val="20"/>
          <w:color w:val="000000"/>
        </w:rPr>
        <w:t>；</w:t>
      </w:r>
    </w:p>
    <w:p>
      <w:pPr>
        <w:pStyle w:val="null3"/>
        <w:ind w:firstLine="405"/>
      </w:pPr>
      <w:r>
        <w:rPr>
          <w:sz w:val="20"/>
          <w:color w:val="000000"/>
        </w:rPr>
        <w:t>第</w:t>
      </w:r>
      <w:r>
        <w:rPr>
          <w:sz w:val="20"/>
          <w:color w:val="000000"/>
        </w:rPr>
        <w:t>2</w:t>
      </w:r>
      <w:r>
        <w:rPr>
          <w:sz w:val="20"/>
          <w:color w:val="000000"/>
        </w:rPr>
        <w:t>期为</w:t>
      </w:r>
      <w:r>
        <w:rPr>
          <w:sz w:val="20"/>
          <w:color w:val="000000"/>
        </w:rPr>
        <w:t>(</w:t>
      </w:r>
      <w:r>
        <w:rPr>
          <w:sz w:val="20"/>
          <w:color w:val="000000"/>
        </w:rPr>
        <w:t>尾款</w:t>
      </w:r>
      <w:r>
        <w:rPr>
          <w:sz w:val="20"/>
          <w:color w:val="000000"/>
        </w:rPr>
        <w:t>)</w:t>
      </w:r>
      <w:r>
        <w:rPr>
          <w:sz w:val="20"/>
          <w:color w:val="000000"/>
        </w:rPr>
        <w:t>：安装调试完成并通过签字验收后</w:t>
      </w:r>
      <w:r>
        <w:rPr>
          <w:sz w:val="20"/>
          <w:color w:val="000000"/>
        </w:rPr>
        <w:t>5</w:t>
      </w:r>
      <w:r>
        <w:rPr>
          <w:sz w:val="20"/>
          <w:color w:val="000000"/>
        </w:rPr>
        <w:t>个工作日内办理支付手续，</w:t>
      </w:r>
      <w:r>
        <w:rPr>
          <w:sz w:val="20"/>
          <w:color w:val="000000"/>
        </w:rPr>
        <w:t>10</w:t>
      </w:r>
      <w:r>
        <w:rPr>
          <w:sz w:val="20"/>
          <w:color w:val="000000"/>
        </w:rPr>
        <w:t>个工作日内完成资金支付，支付合同总价的</w:t>
      </w:r>
      <w:r>
        <w:rPr>
          <w:sz w:val="20"/>
          <w:color w:val="000000"/>
        </w:rPr>
        <w:t>70%</w:t>
      </w:r>
      <w:r>
        <w:rPr>
          <w:sz w:val="20"/>
          <w:color w:val="000000"/>
        </w:rPr>
        <w:t>。</w:t>
      </w:r>
    </w:p>
    <w:p>
      <w:pPr>
        <w:pStyle w:val="null3"/>
        <w:ind w:firstLine="405"/>
      </w:pPr>
      <w:r>
        <w:rPr>
          <w:sz w:val="20"/>
          <w:color w:val="000000"/>
        </w:rPr>
        <w:t>注：</w:t>
      </w:r>
      <w:r>
        <w:rPr>
          <w:sz w:val="20"/>
          <w:color w:val="000000"/>
        </w:rPr>
        <w:t>1</w:t>
      </w:r>
      <w:r>
        <w:rPr>
          <w:sz w:val="20"/>
          <w:color w:val="000000"/>
        </w:rPr>
        <w:t>）款项支付前，乙方需向甲方提供相应金额的正式发票。</w:t>
      </w:r>
      <w:r>
        <w:rPr>
          <w:sz w:val="20"/>
          <w:color w:val="000000"/>
        </w:rPr>
        <w:t>2</w:t>
      </w:r>
      <w:r>
        <w:rPr>
          <w:sz w:val="20"/>
          <w:color w:val="000000"/>
        </w:rPr>
        <w:t>）上述付款时间规定为甲方向政府采购支付部门提出支付申请的时间（不含政府财政支付部门审查的时间），甲方在规定时间内提起申请的即视为甲方已履行付款义务。</w:t>
      </w:r>
    </w:p>
    <w:p>
      <w:pPr>
        <w:pStyle w:val="null3"/>
        <w:ind w:left="450"/>
        <w:jc w:val="center"/>
      </w:pPr>
      <w:r>
        <w:rPr>
          <w:sz w:val="20"/>
          <w:b/>
          <w:color w:val="000000"/>
        </w:rPr>
        <w:t>四、交货及验收</w:t>
      </w:r>
    </w:p>
    <w:p>
      <w:pPr>
        <w:pStyle w:val="null3"/>
      </w:pPr>
      <w:r>
        <w:rPr>
          <w:sz w:val="20"/>
          <w:b/>
          <w:color w:val="000000"/>
        </w:rPr>
        <w:t>第七条</w:t>
      </w:r>
      <w:r>
        <w:rPr/>
        <w:t xml:space="preserve">  </w:t>
      </w:r>
      <w:r>
        <w:rPr>
          <w:sz w:val="20"/>
          <w:color w:val="000000"/>
        </w:rPr>
        <w:t>自合同签订之日起</w:t>
      </w:r>
      <w:r>
        <w:rPr>
          <w:sz w:val="20"/>
          <w:color w:val="000000"/>
        </w:rPr>
        <w:t>20</w:t>
      </w:r>
      <w:r>
        <w:rPr>
          <w:sz w:val="20"/>
          <w:color w:val="000000"/>
        </w:rPr>
        <w:t>日历天内</w:t>
      </w:r>
      <w:r>
        <w:rPr>
          <w:sz w:val="20"/>
        </w:rPr>
        <w:t>。</w:t>
      </w:r>
    </w:p>
    <w:p>
      <w:pPr>
        <w:pStyle w:val="null3"/>
      </w:pPr>
      <w:r>
        <w:rPr>
          <w:sz w:val="20"/>
          <w:b/>
          <w:color w:val="000000"/>
        </w:rPr>
        <w:t>第</w:t>
      </w:r>
      <w:r>
        <w:rPr>
          <w:sz w:val="20"/>
          <w:b/>
        </w:rPr>
        <w:t>八</w:t>
      </w:r>
      <w:r>
        <w:rPr>
          <w:sz w:val="20"/>
          <w:b/>
          <w:color w:val="000000"/>
        </w:rPr>
        <w:t>条</w:t>
      </w:r>
      <w:r>
        <w:rPr>
          <w:sz w:val="20"/>
          <w:color w:val="000000"/>
        </w:rPr>
        <w:t xml:space="preserve">  </w:t>
      </w:r>
      <w:r>
        <w:rPr>
          <w:sz w:val="20"/>
          <w:color w:val="000000"/>
        </w:rPr>
        <w:t>交货地点</w:t>
      </w:r>
      <w:r>
        <w:rPr>
          <w:sz w:val="20"/>
        </w:rPr>
        <w:t>：甲方指定地点。</w:t>
      </w:r>
    </w:p>
    <w:p>
      <w:pPr>
        <w:pStyle w:val="null3"/>
      </w:pPr>
      <w:r>
        <w:rPr>
          <w:sz w:val="20"/>
          <w:b/>
        </w:rPr>
        <w:t>第九条</w:t>
      </w:r>
      <w:r>
        <w:rPr/>
        <w:t xml:space="preserve">  </w:t>
      </w:r>
      <w:r>
        <w:rPr>
          <w:sz w:val="20"/>
        </w:rPr>
        <w:t>验收：乙方项目完成后，认为达到项目要求的，应向甲方提出书面验收申请，甲方收到供应商验收申请后</w:t>
      </w:r>
      <w:r>
        <w:rPr>
          <w:sz w:val="20"/>
        </w:rPr>
        <w:t>7</w:t>
      </w:r>
      <w:r>
        <w:rPr>
          <w:sz w:val="20"/>
        </w:rPr>
        <w:t>日内组织履约验收。甲方组成验收小组按国家有关规定、规范进行验收，必要时邀请相关的专业人员或机构参与验收。货物若有国家标准按照国家标准验收，若无国家标准按行业标准验收；货物为原制造商制造的全新产品，整机无污染，无侵权行为、表面无划损、无任何缺陷隐患，在中国境内可依常规安全合法使用。</w:t>
      </w:r>
    </w:p>
    <w:p>
      <w:pPr>
        <w:pStyle w:val="null3"/>
      </w:pPr>
      <w:r>
        <w:rPr>
          <w:sz w:val="20"/>
          <w:b/>
        </w:rPr>
        <w:t>第十条</w:t>
      </w:r>
      <w:r>
        <w:rPr>
          <w:sz w:val="20"/>
        </w:rPr>
        <w:t xml:space="preserve"> </w:t>
      </w:r>
      <w:r>
        <w:rPr>
          <w:sz w:val="20"/>
        </w:rPr>
        <w:t>因货物质量问题发生争议时，由本地质量技术监督部门鉴定。货物符合质量技术标准的，鉴定费由甲方承担；否则鉴定费由乙方承担。</w:t>
      </w:r>
    </w:p>
    <w:p>
      <w:pPr>
        <w:pStyle w:val="null3"/>
        <w:ind w:left="450"/>
        <w:jc w:val="center"/>
      </w:pPr>
      <w:r>
        <w:rPr>
          <w:sz w:val="20"/>
          <w:b/>
          <w:color w:val="000000"/>
        </w:rPr>
        <w:t>五、</w:t>
      </w:r>
      <w:r>
        <w:rPr>
          <w:sz w:val="20"/>
          <w:b/>
          <w:color w:val="000000"/>
        </w:rPr>
        <w:t>质保期及</w:t>
      </w:r>
      <w:r>
        <w:rPr>
          <w:sz w:val="20"/>
          <w:b/>
          <w:color w:val="000000"/>
        </w:rPr>
        <w:t>售后服务</w:t>
      </w:r>
    </w:p>
    <w:p>
      <w:pPr>
        <w:pStyle w:val="null3"/>
        <w:jc w:val="both"/>
      </w:pPr>
      <w:r>
        <w:rPr>
          <w:sz w:val="20"/>
          <w:b/>
          <w:color w:val="000000"/>
        </w:rPr>
        <w:t>第十一条</w:t>
      </w:r>
      <w:r>
        <w:rPr>
          <w:sz w:val="20"/>
          <w:b/>
          <w:color w:val="000000"/>
        </w:rPr>
        <w:t xml:space="preserve">  </w:t>
      </w:r>
      <w:r>
        <w:rPr>
          <w:sz w:val="20"/>
        </w:rPr>
        <w:t>质量保证期（简称</w:t>
      </w:r>
      <w:r>
        <w:rPr>
          <w:sz w:val="20"/>
        </w:rPr>
        <w:t>“质保期”）为 2 年，质保期内乙方对所供货物实行包修、包换、包退、包维护保养，期满后可同时提供终身(免费/有偿)维修保养服务。</w:t>
      </w:r>
    </w:p>
    <w:p>
      <w:pPr>
        <w:pStyle w:val="null3"/>
        <w:jc w:val="both"/>
      </w:pPr>
      <w:r>
        <w:rPr>
          <w:sz w:val="20"/>
          <w:b/>
        </w:rPr>
        <w:t>第十</w:t>
      </w:r>
      <w:r>
        <w:rPr>
          <w:sz w:val="20"/>
          <w:b/>
          <w:color w:val="000000"/>
        </w:rPr>
        <w:t>二</w:t>
      </w:r>
      <w:r>
        <w:rPr>
          <w:sz w:val="20"/>
          <w:b/>
        </w:rPr>
        <w:t>条</w:t>
      </w:r>
      <w:r>
        <w:rPr>
          <w:sz w:val="21"/>
        </w:rPr>
        <w:t xml:space="preserve">  </w:t>
      </w:r>
      <w:r>
        <w:rPr>
          <w:sz w:val="20"/>
        </w:rPr>
        <w:t>质保期内，如设备或零部件因非人为因素出现故障而造成短期停用时，则质保期和免费维修期相应顺延。如停用时间累计超过</w:t>
      </w:r>
      <w:r>
        <w:rPr>
          <w:sz w:val="20"/>
        </w:rPr>
        <w:t>60天则质保期重新计算。</w:t>
      </w:r>
    </w:p>
    <w:p>
      <w:pPr>
        <w:pStyle w:val="null3"/>
        <w:jc w:val="both"/>
      </w:pPr>
      <w:r>
        <w:rPr>
          <w:sz w:val="20"/>
          <w:b/>
        </w:rPr>
        <w:t>第十三条</w:t>
      </w:r>
      <w:r>
        <w:rPr>
          <w:sz w:val="21"/>
        </w:rPr>
        <w:t xml:space="preserve">  </w:t>
      </w:r>
      <w:r>
        <w:rPr>
          <w:sz w:val="20"/>
        </w:rPr>
        <w:t>对甲方的服务通知，乙方在接报后</w:t>
      </w:r>
      <w:r>
        <w:rPr>
          <w:sz w:val="20"/>
        </w:rPr>
        <w:t>1小时内响应，4小时内到达现场，48小时内处理完毕。若在48小时内仍未能有效解决，乙方须免费提供同等档次的设备予甲方临时使用。</w:t>
      </w:r>
    </w:p>
    <w:p>
      <w:pPr>
        <w:pStyle w:val="null3"/>
        <w:ind w:left="450"/>
        <w:jc w:val="center"/>
      </w:pPr>
      <w:r>
        <w:rPr>
          <w:sz w:val="20"/>
          <w:b/>
          <w:color w:val="000000"/>
        </w:rPr>
        <w:t>六、</w:t>
      </w:r>
      <w:r>
        <w:rPr>
          <w:sz w:val="20"/>
          <w:b/>
          <w:color w:val="000000"/>
        </w:rPr>
        <w:t>包装、保险及发运、保管</w:t>
      </w:r>
    </w:p>
    <w:p>
      <w:pPr>
        <w:pStyle w:val="null3"/>
        <w:jc w:val="both"/>
      </w:pPr>
      <w:r>
        <w:rPr>
          <w:sz w:val="20"/>
          <w:b/>
          <w:color w:val="000000"/>
        </w:rPr>
        <w:t>第十四条</w:t>
      </w:r>
      <w:r>
        <w:rPr>
          <w:sz w:val="20"/>
          <w:b/>
          <w:color w:val="000000"/>
        </w:rPr>
        <w:t xml:space="preserve">  </w:t>
      </w:r>
      <w:r>
        <w:rPr>
          <w:sz w:val="20"/>
        </w:rPr>
        <w:t>1.</w:t>
      </w:r>
      <w:r>
        <w:rPr>
          <w:sz w:val="20"/>
        </w:rPr>
        <w:t>设备材料的包装必须是制造商原厂包装，其包装均应有良好的防湿、防锈、防潮、防雨、防腐及防碰撞的措施。凡由于包装不良造成的损失和由此产生的费用均由乙方承担。</w:t>
      </w:r>
      <w:r>
        <w:rPr>
          <w:sz w:val="20"/>
        </w:rPr>
        <w:t>2.</w:t>
      </w:r>
      <w:r>
        <w:rPr>
          <w:sz w:val="20"/>
        </w:rPr>
        <w:t>乙方负责将设备材料货到现场过程中的全部运输，包括装卸车、货物现场的搬运。</w:t>
      </w:r>
      <w:r>
        <w:rPr>
          <w:sz w:val="20"/>
        </w:rPr>
        <w:t>3.</w:t>
      </w:r>
      <w:r>
        <w:rPr>
          <w:sz w:val="20"/>
        </w:rPr>
        <w:t>各种设备必须提供装箱清单，按装箱清单验收货物。</w:t>
      </w:r>
      <w:r>
        <w:rPr>
          <w:sz w:val="20"/>
        </w:rPr>
        <w:t>4.</w:t>
      </w:r>
      <w:r>
        <w:rPr>
          <w:sz w:val="20"/>
        </w:rPr>
        <w:t>货物在现场的保管由乙方负责，直至项目安装、验收完毕。</w:t>
      </w:r>
      <w:r>
        <w:rPr>
          <w:sz w:val="20"/>
        </w:rPr>
        <w:t>5.</w:t>
      </w:r>
      <w:r>
        <w:rPr>
          <w:sz w:val="20"/>
        </w:rPr>
        <w:t>货物在系统安装调试验收合格前的保险由乙方负责，乙方负责其派出的现场服务人员人身意外保险。</w:t>
      </w:r>
      <w:r>
        <w:rPr>
          <w:sz w:val="20"/>
        </w:rPr>
        <w:t>6.</w:t>
      </w:r>
      <w:r>
        <w:rPr>
          <w:sz w:val="20"/>
        </w:rPr>
        <w:t>设备至甲方指定的使用现场的包装、保险及发运等环节和费用均由乙方负责。</w:t>
      </w:r>
    </w:p>
    <w:p>
      <w:pPr>
        <w:pStyle w:val="null3"/>
        <w:ind w:left="450"/>
        <w:jc w:val="center"/>
      </w:pPr>
      <w:r>
        <w:rPr>
          <w:sz w:val="20"/>
          <w:b/>
          <w:color w:val="000000"/>
        </w:rPr>
        <w:t>七、安装、调试</w:t>
      </w:r>
    </w:p>
    <w:p>
      <w:pPr>
        <w:pStyle w:val="null3"/>
        <w:jc w:val="both"/>
      </w:pPr>
      <w:r>
        <w:rPr>
          <w:sz w:val="20"/>
          <w:b/>
          <w:color w:val="000000"/>
        </w:rPr>
        <w:t>第十五条</w:t>
      </w:r>
      <w:r>
        <w:rPr>
          <w:sz w:val="20"/>
          <w:b/>
          <w:color w:val="000000"/>
        </w:rPr>
        <w:t xml:space="preserve">  </w:t>
      </w:r>
      <w:r>
        <w:rPr>
          <w:sz w:val="20"/>
        </w:rPr>
        <w:t>1.乙方必须依照招标文件的要求和投标文件的承诺，将设备、系统安装并调试至正常运行的最佳状态。2.货物为原厂商未启封全新包装，具出厂合格证，序列号、包装箱号与出厂批号一致，并可追索查阅。所有随设备的附件必须齐全。3.乙方应将关键主机设备的用户手册、保修手册、有关单证资料及配备件、随机工具等交付给甲方，使用操作及安全须知等重要资料应附有中文说明。</w:t>
      </w:r>
    </w:p>
    <w:p>
      <w:pPr>
        <w:pStyle w:val="null3"/>
        <w:ind w:left="450"/>
        <w:jc w:val="center"/>
      </w:pPr>
      <w:r>
        <w:rPr>
          <w:sz w:val="20"/>
          <w:b/>
          <w:color w:val="000000"/>
        </w:rPr>
        <w:t>八、服务要求</w:t>
      </w:r>
    </w:p>
    <w:p>
      <w:pPr>
        <w:pStyle w:val="null3"/>
        <w:jc w:val="both"/>
      </w:pPr>
      <w:r>
        <w:rPr>
          <w:sz w:val="20"/>
          <w:b/>
          <w:color w:val="000000"/>
        </w:rPr>
        <w:t>第十六条</w:t>
      </w:r>
      <w:r>
        <w:rPr>
          <w:sz w:val="20"/>
          <w:b/>
          <w:color w:val="000000"/>
        </w:rPr>
        <w:t xml:space="preserve">  </w:t>
      </w:r>
      <w:r>
        <w:rPr>
          <w:sz w:val="20"/>
        </w:rPr>
        <w:t>1.</w:t>
      </w:r>
      <w:r>
        <w:rPr>
          <w:sz w:val="20"/>
        </w:rPr>
        <w:t>乙方负责完成设备安装与实训场地布置。</w:t>
      </w:r>
      <w:r>
        <w:rPr>
          <w:sz w:val="20"/>
        </w:rPr>
        <w:t>2.</w:t>
      </w:r>
      <w:r>
        <w:rPr>
          <w:sz w:val="20"/>
        </w:rPr>
        <w:t xml:space="preserve"> </w:t>
      </w:r>
      <w:r>
        <w:rPr>
          <w:sz w:val="20"/>
        </w:rPr>
        <w:t>乙方应对甲方进行设备免费培训不低于</w:t>
      </w:r>
      <w:r>
        <w:rPr>
          <w:sz w:val="20"/>
        </w:rPr>
        <w:t>3天。</w:t>
      </w:r>
      <w:r>
        <w:rPr>
          <w:sz w:val="20"/>
        </w:rPr>
        <w:t>3.</w:t>
      </w:r>
      <w:r>
        <w:rPr>
          <w:sz w:val="20"/>
        </w:rPr>
        <w:t xml:space="preserve"> </w:t>
      </w:r>
      <w:r>
        <w:rPr>
          <w:sz w:val="20"/>
        </w:rPr>
        <w:t>乙方应提供设备所有图纸、说明书及相关软件。</w:t>
      </w:r>
    </w:p>
    <w:p>
      <w:pPr>
        <w:pStyle w:val="null3"/>
        <w:ind w:left="450"/>
        <w:jc w:val="center"/>
      </w:pPr>
      <w:r>
        <w:rPr>
          <w:sz w:val="20"/>
          <w:b/>
          <w:color w:val="000000"/>
        </w:rPr>
        <w:t>九、</w:t>
      </w:r>
      <w:r>
        <w:rPr>
          <w:sz w:val="20"/>
          <w:b/>
          <w:color w:val="000000"/>
        </w:rPr>
        <w:t>违约责任</w:t>
      </w:r>
    </w:p>
    <w:p>
      <w:pPr>
        <w:pStyle w:val="null3"/>
        <w:jc w:val="left"/>
      </w:pPr>
      <w:r>
        <w:rPr>
          <w:sz w:val="20"/>
          <w:b/>
          <w:color w:val="000000"/>
        </w:rPr>
        <w:t>第十</w:t>
      </w:r>
      <w:r>
        <w:rPr>
          <w:sz w:val="20"/>
          <w:b/>
          <w:color w:val="000000"/>
        </w:rPr>
        <w:t>七</w:t>
      </w:r>
      <w:r>
        <w:rPr>
          <w:sz w:val="20"/>
          <w:b/>
          <w:color w:val="000000"/>
        </w:rPr>
        <w:t>条</w:t>
      </w:r>
      <w:r>
        <w:rPr/>
        <w:t xml:space="preserve">  </w:t>
      </w:r>
      <w:r>
        <w:rPr>
          <w:sz w:val="20"/>
        </w:rPr>
        <w:t>甲方无正当理由拒收货物、拒付货款的，由甲方向乙方偿付合同总价的</w:t>
      </w:r>
      <w:r>
        <w:rPr>
          <w:sz w:val="20"/>
        </w:rPr>
        <w:t>5%</w:t>
      </w:r>
      <w:r>
        <w:rPr>
          <w:sz w:val="20"/>
        </w:rPr>
        <w:t>违约金</w:t>
      </w:r>
      <w:r>
        <w:rPr>
          <w:sz w:val="20"/>
          <w:color w:val="000000"/>
        </w:rPr>
        <w:t>。因甲方原因导致变更、中止或者终止本合同的，甲方应当对乙方受到的损失予以赔偿或补偿。</w:t>
      </w:r>
    </w:p>
    <w:p>
      <w:pPr>
        <w:pStyle w:val="null3"/>
        <w:jc w:val="left"/>
      </w:pPr>
      <w:r>
        <w:rPr>
          <w:sz w:val="20"/>
          <w:b/>
          <w:color w:val="000000"/>
        </w:rPr>
        <w:t>第十</w:t>
      </w:r>
      <w:r>
        <w:rPr>
          <w:sz w:val="20"/>
          <w:b/>
          <w:color w:val="000000"/>
        </w:rPr>
        <w:t>八</w:t>
      </w:r>
      <w:r>
        <w:rPr>
          <w:sz w:val="20"/>
          <w:b/>
          <w:color w:val="000000"/>
        </w:rPr>
        <w:t>条</w:t>
      </w:r>
      <w:r>
        <w:rPr/>
        <w:t xml:space="preserve">  </w:t>
      </w:r>
      <w:r>
        <w:rPr>
          <w:sz w:val="20"/>
        </w:rPr>
        <w:t>甲方应在合同规定时间内向乙方支付货款，每逾期</w:t>
      </w:r>
      <w:r>
        <w:rPr>
          <w:sz w:val="20"/>
        </w:rPr>
        <w:t>1</w:t>
      </w:r>
      <w:r>
        <w:rPr>
          <w:sz w:val="20"/>
        </w:rPr>
        <w:t>天甲方向乙方偿付欠款总额的</w:t>
      </w:r>
      <w:r>
        <w:rPr>
          <w:sz w:val="20"/>
        </w:rPr>
        <w:t>5‰</w:t>
      </w:r>
      <w:r>
        <w:rPr>
          <w:sz w:val="20"/>
        </w:rPr>
        <w:t>违约金，累计不超过欠款总额的</w:t>
      </w:r>
      <w:r>
        <w:rPr>
          <w:sz w:val="20"/>
        </w:rPr>
        <w:t>5%</w:t>
      </w:r>
      <w:r>
        <w:rPr>
          <w:sz w:val="20"/>
          <w:color w:val="000000"/>
        </w:rPr>
        <w:t>。</w:t>
      </w:r>
    </w:p>
    <w:p>
      <w:pPr>
        <w:pStyle w:val="null3"/>
      </w:pPr>
      <w:r>
        <w:rPr>
          <w:sz w:val="20"/>
          <w:b/>
          <w:color w:val="000000"/>
        </w:rPr>
        <w:t>第</w:t>
      </w:r>
      <w:r>
        <w:rPr>
          <w:sz w:val="20"/>
          <w:b/>
          <w:color w:val="000000"/>
        </w:rPr>
        <w:t>十九</w:t>
      </w:r>
      <w:r>
        <w:rPr>
          <w:sz w:val="20"/>
          <w:b/>
          <w:color w:val="000000"/>
        </w:rPr>
        <w:t>条</w:t>
      </w:r>
      <w:r>
        <w:rPr/>
        <w:t xml:space="preserve">  </w:t>
      </w:r>
      <w:r>
        <w:rPr>
          <w:sz w:val="20"/>
        </w:rPr>
        <w:t>乙方逾期</w:t>
      </w:r>
      <w:r>
        <w:rPr>
          <w:sz w:val="20"/>
        </w:rPr>
        <w:t>15</w:t>
      </w:r>
      <w:r>
        <w:rPr>
          <w:sz w:val="20"/>
        </w:rPr>
        <w:t>天未交付货物视为乙方不能交付货物。乙方不能交付货物，则由乙方向甲方支付合同总价的</w:t>
      </w:r>
      <w:r>
        <w:rPr>
          <w:sz w:val="20"/>
        </w:rPr>
        <w:t>5%</w:t>
      </w:r>
      <w:r>
        <w:rPr>
          <w:sz w:val="20"/>
        </w:rPr>
        <w:t>的违约金</w:t>
      </w:r>
      <w:r>
        <w:rPr>
          <w:sz w:val="20"/>
          <w:color w:val="000000"/>
        </w:rPr>
        <w:t>。</w:t>
      </w:r>
    </w:p>
    <w:p>
      <w:pPr>
        <w:pStyle w:val="null3"/>
      </w:pPr>
      <w:r>
        <w:rPr>
          <w:sz w:val="20"/>
          <w:b/>
          <w:color w:val="000000"/>
        </w:rPr>
        <w:t>第二十条</w:t>
      </w:r>
      <w:r>
        <w:rPr/>
        <w:t xml:space="preserve">  </w:t>
      </w:r>
      <w:r>
        <w:rPr>
          <w:sz w:val="20"/>
        </w:rPr>
        <w:t>乙方逾期交付货物的，每逾期</w:t>
      </w:r>
      <w:r>
        <w:rPr>
          <w:sz w:val="20"/>
        </w:rPr>
        <w:t>1</w:t>
      </w:r>
      <w:r>
        <w:rPr>
          <w:sz w:val="20"/>
        </w:rPr>
        <w:t>天，乙方向甲方偿付逾期交货部分货款总额的</w:t>
      </w:r>
      <w:r>
        <w:rPr>
          <w:sz w:val="20"/>
        </w:rPr>
        <w:t>5‰</w:t>
      </w:r>
      <w:r>
        <w:rPr>
          <w:sz w:val="20"/>
        </w:rPr>
        <w:t>的违约金，累计不超过逾期交货部分货款总额的</w:t>
      </w:r>
      <w:r>
        <w:rPr>
          <w:sz w:val="20"/>
        </w:rPr>
        <w:t>5%</w:t>
      </w:r>
      <w:r>
        <w:rPr>
          <w:sz w:val="20"/>
        </w:rPr>
        <w:t>，逾期交货超过</w:t>
      </w:r>
      <w:r>
        <w:rPr>
          <w:sz w:val="20"/>
        </w:rPr>
        <w:t>15</w:t>
      </w:r>
      <w:r>
        <w:rPr>
          <w:sz w:val="20"/>
        </w:rPr>
        <w:t>天，甲方有权终止合同，并追究违约责任</w:t>
      </w:r>
    </w:p>
    <w:p>
      <w:pPr>
        <w:pStyle w:val="null3"/>
      </w:pPr>
      <w:r>
        <w:rPr>
          <w:sz w:val="20"/>
          <w:b/>
        </w:rPr>
        <w:t>第二十</w:t>
      </w:r>
      <w:r>
        <w:rPr>
          <w:sz w:val="20"/>
          <w:b/>
        </w:rPr>
        <w:t>一</w:t>
      </w:r>
      <w:r>
        <w:rPr>
          <w:sz w:val="20"/>
          <w:b/>
        </w:rPr>
        <w:t>条</w:t>
      </w:r>
      <w:r>
        <w:rPr>
          <w:sz w:val="20"/>
        </w:rPr>
        <w:t xml:space="preserve">  </w:t>
      </w:r>
      <w:r>
        <w:rPr>
          <w:sz w:val="20"/>
        </w:rPr>
        <w:t>乙方所交的货物、型号、规格不符合合同规定的，甲方有权拒收。乙方向甲方支付货款总额的</w:t>
      </w:r>
      <w:r>
        <w:rPr>
          <w:sz w:val="20"/>
        </w:rPr>
        <w:t>5%</w:t>
      </w:r>
      <w:r>
        <w:rPr>
          <w:sz w:val="20"/>
        </w:rPr>
        <w:t>违约金</w:t>
      </w:r>
    </w:p>
    <w:p>
      <w:pPr>
        <w:pStyle w:val="null3"/>
      </w:pPr>
      <w:r>
        <w:rPr>
          <w:sz w:val="20"/>
          <w:b/>
        </w:rPr>
        <w:t>第二十</w:t>
      </w:r>
      <w:r>
        <w:rPr>
          <w:sz w:val="20"/>
          <w:b/>
        </w:rPr>
        <w:t>二</w:t>
      </w:r>
      <w:r>
        <w:rPr>
          <w:sz w:val="20"/>
          <w:b/>
        </w:rPr>
        <w:t>条</w:t>
      </w:r>
      <w:r>
        <w:rPr>
          <w:sz w:val="20"/>
        </w:rPr>
        <w:t xml:space="preserve">  </w:t>
      </w:r>
      <w:r>
        <w:rPr>
          <w:sz w:val="20"/>
        </w:rPr>
        <w:t>如经乙方两次维修，货物仍不能达到合同约定质量标准，甲方有权退货，要求乙方退回全部货款，并赔偿甲方因此遭受的损失。</w:t>
      </w:r>
    </w:p>
    <w:p>
      <w:pPr>
        <w:pStyle w:val="null3"/>
      </w:pPr>
      <w:r>
        <w:rPr>
          <w:sz w:val="20"/>
          <w:b/>
          <w:color w:val="000000"/>
        </w:rPr>
        <w:t>第二十</w:t>
      </w:r>
      <w:r>
        <w:rPr>
          <w:sz w:val="20"/>
          <w:b/>
          <w:color w:val="000000"/>
        </w:rPr>
        <w:t>三</w:t>
      </w:r>
      <w:r>
        <w:rPr>
          <w:sz w:val="20"/>
          <w:b/>
          <w:color w:val="000000"/>
        </w:rPr>
        <w:t>条</w:t>
      </w:r>
      <w:r>
        <w:rPr/>
        <w:t xml:space="preserve">  </w:t>
      </w:r>
      <w:r>
        <w:rPr>
          <w:sz w:val="20"/>
        </w:rPr>
        <w:t>乙方所供货物必须权属清楚，不得侵害他人的知识产权，否则构成对甲方违约，并承担相应的赔偿责任。</w:t>
      </w:r>
    </w:p>
    <w:p>
      <w:pPr>
        <w:pStyle w:val="null3"/>
        <w:ind w:left="450"/>
        <w:jc w:val="center"/>
      </w:pPr>
      <w:r>
        <w:rPr>
          <w:sz w:val="20"/>
          <w:b/>
          <w:color w:val="000000"/>
        </w:rPr>
        <w:t>七、不可抗力</w:t>
      </w:r>
    </w:p>
    <w:p>
      <w:pPr>
        <w:pStyle w:val="null3"/>
      </w:pPr>
      <w:r>
        <w:rPr>
          <w:sz w:val="20"/>
          <w:b/>
          <w:color w:val="000000"/>
        </w:rPr>
        <w:t>第二十</w:t>
      </w:r>
      <w:r>
        <w:rPr>
          <w:sz w:val="20"/>
          <w:b/>
          <w:color w:val="000000"/>
        </w:rPr>
        <w:t>四</w:t>
      </w:r>
      <w:r>
        <w:rPr>
          <w:sz w:val="20"/>
          <w:b/>
          <w:color w:val="000000"/>
        </w:rPr>
        <w:t>条</w:t>
      </w:r>
      <w:r>
        <w:rPr>
          <w:sz w:val="20"/>
          <w:color w:val="000000"/>
        </w:rPr>
        <w:t xml:space="preserve">  </w:t>
      </w:r>
      <w:r>
        <w:rPr>
          <w:sz w:val="20"/>
          <w:color w:val="000000"/>
        </w:rPr>
        <w:t>由于不可预见、不可避免、不可克服等不可抗力的原因，一方不能履行合同义务的，应当在不可抗力发生之日起</w:t>
      </w:r>
      <w:r>
        <w:rPr>
          <w:u w:val="single"/>
        </w:rPr>
        <w:t xml:space="preserve">     </w:t>
      </w:r>
      <w:r>
        <w:rPr>
          <w:sz w:val="20"/>
          <w:color w:val="000000"/>
        </w:rPr>
        <w:t>天内以书面形式通知对方，证明不可抗力事件的存在。</w:t>
      </w:r>
    </w:p>
    <w:p>
      <w:pPr>
        <w:pStyle w:val="null3"/>
      </w:pPr>
      <w:r>
        <w:rPr>
          <w:sz w:val="20"/>
          <w:b/>
          <w:color w:val="000000"/>
        </w:rPr>
        <w:t>第二十</w:t>
      </w:r>
      <w:r>
        <w:rPr>
          <w:sz w:val="20"/>
          <w:b/>
          <w:color w:val="000000"/>
        </w:rPr>
        <w:t>五</w:t>
      </w:r>
      <w:r>
        <w:rPr>
          <w:sz w:val="20"/>
          <w:b/>
          <w:color w:val="000000"/>
        </w:rPr>
        <w:t>条</w:t>
      </w:r>
      <w:r>
        <w:rPr>
          <w:sz w:val="20"/>
          <w:color w:val="000000"/>
        </w:rPr>
        <w:t xml:space="preserve">  </w:t>
      </w:r>
      <w:r>
        <w:rPr>
          <w:sz w:val="20"/>
          <w:color w:val="000000"/>
        </w:rPr>
        <w:t>不可抗力事件发生后，甲方和乙方应当积极寻求以合理的方式履行本合同。如不可抗力无法消除，致使合同目的无法实现的，双方均有权解除合同，且均不互相索赔。</w:t>
      </w:r>
    </w:p>
    <w:p>
      <w:pPr>
        <w:pStyle w:val="null3"/>
        <w:ind w:left="450"/>
        <w:jc w:val="center"/>
      </w:pPr>
      <w:r>
        <w:rPr>
          <w:sz w:val="20"/>
          <w:b/>
          <w:color w:val="000000"/>
        </w:rPr>
        <w:t>八、争议及解决办法</w:t>
      </w:r>
    </w:p>
    <w:p>
      <w:pPr>
        <w:pStyle w:val="null3"/>
      </w:pPr>
      <w:r>
        <w:rPr>
          <w:sz w:val="20"/>
          <w:b/>
          <w:color w:val="000000"/>
        </w:rPr>
        <w:t>第二十</w:t>
      </w:r>
      <w:r>
        <w:rPr>
          <w:sz w:val="20"/>
          <w:b/>
          <w:color w:val="000000"/>
        </w:rPr>
        <w:t>六</w:t>
      </w:r>
      <w:r>
        <w:rPr>
          <w:sz w:val="20"/>
          <w:b/>
          <w:color w:val="000000"/>
        </w:rPr>
        <w:t>条</w:t>
      </w:r>
      <w:r>
        <w:rPr/>
        <w:t xml:space="preserve">  </w:t>
      </w:r>
      <w:r>
        <w:rPr>
          <w:sz w:val="20"/>
        </w:rPr>
        <w:t>因货物的质量问题发生争议，由广州市市场监督管理局或其指定的质量鉴定单位进行质量鉴定。货物符合质量标准的，鉴定费由甲方承担；货物不符合质量标准的，鉴定费由乙方承担。</w:t>
      </w:r>
    </w:p>
    <w:p>
      <w:pPr>
        <w:pStyle w:val="null3"/>
      </w:pPr>
      <w:r>
        <w:rPr>
          <w:sz w:val="20"/>
          <w:b/>
        </w:rPr>
        <w:t>第二十</w:t>
      </w:r>
      <w:r>
        <w:rPr>
          <w:sz w:val="20"/>
          <w:b/>
        </w:rPr>
        <w:t>七</w:t>
      </w:r>
      <w:r>
        <w:rPr>
          <w:sz w:val="20"/>
          <w:b/>
        </w:rPr>
        <w:t>条</w:t>
      </w:r>
      <w:r>
        <w:rPr>
          <w:sz w:val="20"/>
        </w:rPr>
        <w:t>本合同发生争议，由双方协商或由政府采购监管部门调解解决，协商或调解不成时按以下第</w:t>
      </w:r>
      <w:r>
        <w:rPr>
          <w:u w:val="single"/>
        </w:rPr>
        <w:t xml:space="preserve">     </w:t>
      </w:r>
      <w:r>
        <w:rPr>
          <w:sz w:val="20"/>
        </w:rPr>
        <w:t>种方式解决：</w:t>
      </w:r>
    </w:p>
    <w:p>
      <w:pPr>
        <w:pStyle w:val="null3"/>
        <w:ind w:firstLine="674"/>
      </w:pPr>
      <w:r>
        <w:rPr>
          <w:sz w:val="20"/>
        </w:rPr>
        <w:t xml:space="preserve">1. </w:t>
      </w:r>
      <w:r>
        <w:rPr>
          <w:sz w:val="20"/>
        </w:rPr>
        <w:t>中国广州仲裁委员会仲裁；</w:t>
      </w:r>
    </w:p>
    <w:p>
      <w:pPr>
        <w:pStyle w:val="null3"/>
        <w:ind w:firstLine="674"/>
      </w:pPr>
      <w:r>
        <w:rPr>
          <w:sz w:val="20"/>
        </w:rPr>
        <w:t xml:space="preserve">2. </w:t>
      </w:r>
      <w:r>
        <w:rPr>
          <w:sz w:val="20"/>
        </w:rPr>
        <w:t>向甲方所在地人民法院提起诉讼。</w:t>
      </w:r>
    </w:p>
    <w:p>
      <w:pPr>
        <w:pStyle w:val="null3"/>
        <w:jc w:val="center"/>
      </w:pPr>
      <w:r>
        <w:rPr>
          <w:sz w:val="20"/>
          <w:b/>
          <w:color w:val="000000"/>
        </w:rPr>
        <w:t>九、其</w:t>
      </w:r>
      <w:r>
        <w:rPr>
          <w:sz w:val="20"/>
          <w:b/>
          <w:color w:val="000000"/>
        </w:rPr>
        <w:t xml:space="preserve">   </w:t>
      </w:r>
      <w:r>
        <w:rPr>
          <w:sz w:val="20"/>
          <w:b/>
          <w:color w:val="000000"/>
        </w:rPr>
        <w:t>他</w:t>
      </w:r>
    </w:p>
    <w:p>
      <w:pPr>
        <w:pStyle w:val="null3"/>
      </w:pPr>
      <w:r>
        <w:rPr>
          <w:sz w:val="20"/>
          <w:b/>
        </w:rPr>
        <w:t>第二十</w:t>
      </w:r>
      <w:r>
        <w:rPr>
          <w:sz w:val="20"/>
          <w:b/>
        </w:rPr>
        <w:t>八</w:t>
      </w:r>
      <w:r>
        <w:rPr>
          <w:sz w:val="20"/>
          <w:b/>
        </w:rPr>
        <w:t>条</w:t>
      </w:r>
      <w:r>
        <w:rPr>
          <w:sz w:val="20"/>
        </w:rPr>
        <w:t xml:space="preserve">  </w:t>
      </w:r>
      <w:r>
        <w:rPr>
          <w:sz w:val="20"/>
        </w:rPr>
        <w:t>本合同一式</w:t>
      </w:r>
      <w:r>
        <w:rPr>
          <w:u w:val="single"/>
        </w:rPr>
        <w:t xml:space="preserve">  </w:t>
      </w:r>
      <w:r>
        <w:rPr>
          <w:sz w:val="20"/>
        </w:rPr>
        <w:t>份，具有同等效力，甲、乙双方各执</w:t>
      </w:r>
      <w:r>
        <w:rPr>
          <w:u w:val="single"/>
        </w:rPr>
        <w:t xml:space="preserve">   </w:t>
      </w:r>
      <w:r>
        <w:rPr>
          <w:sz w:val="20"/>
        </w:rPr>
        <w:t>份。合同自双方签字盖章之日起生效。</w:t>
      </w:r>
    </w:p>
    <w:p>
      <w:pPr>
        <w:pStyle w:val="null3"/>
      </w:pPr>
      <w:r>
        <w:rPr>
          <w:sz w:val="20"/>
          <w:b/>
        </w:rPr>
        <w:t>第</w:t>
      </w:r>
      <w:r>
        <w:rPr>
          <w:sz w:val="20"/>
          <w:b/>
        </w:rPr>
        <w:t>二十九</w:t>
      </w:r>
      <w:r>
        <w:rPr>
          <w:sz w:val="20"/>
          <w:b/>
        </w:rPr>
        <w:t>条</w:t>
      </w:r>
      <w:r>
        <w:rPr>
          <w:sz w:val="20"/>
        </w:rPr>
        <w:t xml:space="preserve">  </w:t>
      </w:r>
      <w:r>
        <w:rPr>
          <w:sz w:val="20"/>
        </w:rPr>
        <w:t>本合同未尽事宜，由双方协商处理。</w:t>
      </w:r>
    </w:p>
    <w:tbl>
      <w:tblPr>
        <w:tblW w:w="0" w:type="auto"/>
        <w:tblBorders>
          <w:top w:val="none" w:color="000000" w:sz="4"/>
          <w:left w:val="none" w:color="000000" w:sz="4"/>
          <w:bottom w:val="none" w:color="000000" w:sz="4"/>
          <w:right w:val="none" w:color="000000" w:sz="4"/>
          <w:insideH w:val="none"/>
          <w:insideV w:val="none"/>
        </w:tblBorders>
      </w:tblPr>
      <w:tblGrid>
        <w:gridCol w:w="1271"/>
        <w:gridCol w:w="2881"/>
        <w:gridCol w:w="1271"/>
        <w:gridCol w:w="2881"/>
      </w:tblGrid>
      <w:tr>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甲方：</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0"/>
              </w:rPr>
              <w:t>（盖章）</w:t>
            </w:r>
          </w:p>
        </w:tc>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乙方：</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right"/>
            </w:pPr>
            <w:r>
              <w:rPr>
                <w:sz w:val="20"/>
              </w:rPr>
              <w:t>（盖章）</w:t>
            </w:r>
          </w:p>
        </w:tc>
      </w:tr>
      <w:tr>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签约代表：</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签约代表：</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地</w:t>
            </w:r>
            <w:r>
              <w:rPr>
                <w:sz w:val="20"/>
                <w:b/>
              </w:rPr>
              <w:t xml:space="preserve">    </w:t>
            </w:r>
            <w:r>
              <w:rPr>
                <w:sz w:val="20"/>
                <w:b/>
              </w:rPr>
              <w:t>址：</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地</w:t>
            </w:r>
            <w:r>
              <w:rPr>
                <w:sz w:val="20"/>
                <w:b/>
              </w:rPr>
              <w:t xml:space="preserve">    </w:t>
            </w:r>
            <w:r>
              <w:rPr>
                <w:sz w:val="20"/>
                <w:b/>
              </w:rPr>
              <w:t>址：</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电</w:t>
            </w:r>
            <w:r>
              <w:rPr>
                <w:sz w:val="20"/>
                <w:b/>
              </w:rPr>
              <w:t xml:space="preserve">    </w:t>
            </w:r>
            <w:r>
              <w:rPr>
                <w:sz w:val="20"/>
                <w:b/>
              </w:rPr>
              <w:t>话：</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电</w:t>
            </w:r>
            <w:r>
              <w:rPr>
                <w:sz w:val="20"/>
                <w:b/>
              </w:rPr>
              <w:t xml:space="preserve">    </w:t>
            </w:r>
            <w:r>
              <w:rPr>
                <w:sz w:val="20"/>
                <w:b/>
              </w:rPr>
              <w:t>话：</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传</w:t>
            </w:r>
            <w:r>
              <w:rPr>
                <w:sz w:val="20"/>
                <w:b/>
              </w:rPr>
              <w:t xml:space="preserve">    </w:t>
            </w:r>
            <w:r>
              <w:rPr>
                <w:sz w:val="20"/>
                <w:b/>
              </w:rPr>
              <w:t>真：</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传</w:t>
            </w:r>
            <w:r>
              <w:rPr>
                <w:sz w:val="20"/>
                <w:b/>
              </w:rPr>
              <w:t xml:space="preserve">    </w:t>
            </w:r>
            <w:r>
              <w:rPr>
                <w:sz w:val="20"/>
                <w:b/>
              </w:rPr>
              <w:t>真：</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p>
        </w:tc>
      </w:tr>
      <w:tr>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签约日期：</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00"/>
            </w:pPr>
            <w:r>
              <w:rPr>
                <w:sz w:val="20"/>
              </w:rPr>
              <w:t xml:space="preserve">  </w:t>
            </w:r>
            <w:r>
              <w:rPr>
                <w:sz w:val="20"/>
              </w:rPr>
              <w:t>年</w:t>
            </w:r>
            <w:r>
              <w:rPr>
                <w:sz w:val="20"/>
              </w:rPr>
              <w:t xml:space="preserve">   </w:t>
            </w:r>
            <w:r>
              <w:rPr>
                <w:sz w:val="20"/>
              </w:rPr>
              <w:t>月</w:t>
            </w:r>
            <w:r>
              <w:rPr>
                <w:sz w:val="20"/>
              </w:rPr>
              <w:t xml:space="preserve">   </w:t>
            </w:r>
            <w:r>
              <w:rPr>
                <w:sz w:val="20"/>
              </w:rPr>
              <w:t>日</w:t>
            </w:r>
          </w:p>
        </w:tc>
        <w:tc>
          <w:tcPr>
            <w:tcW w:type="dxa" w:w="127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0"/>
                <w:b/>
              </w:rPr>
              <w:t>签约日期：</w:t>
            </w:r>
          </w:p>
        </w:tc>
        <w:tc>
          <w:tcPr>
            <w:tcW w:type="dxa" w:w="288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00"/>
            </w:pPr>
            <w:r>
              <w:rPr>
                <w:sz w:val="20"/>
              </w:rPr>
              <w:t xml:space="preserve">  </w:t>
            </w:r>
            <w:r>
              <w:rPr>
                <w:sz w:val="20"/>
              </w:rPr>
              <w:t>年</w:t>
            </w:r>
            <w:r>
              <w:rPr>
                <w:sz w:val="20"/>
              </w:rPr>
              <w:t xml:space="preserve">   </w:t>
            </w:r>
            <w:r>
              <w:rPr>
                <w:sz w:val="20"/>
              </w:rPr>
              <w:t>月</w:t>
            </w:r>
            <w:r>
              <w:rPr>
                <w:sz w:val="20"/>
              </w:rPr>
              <w:t xml:space="preserve">   </w:t>
            </w:r>
            <w:r>
              <w:rPr>
                <w:sz w:val="20"/>
              </w:rPr>
              <w:t>日</w:t>
            </w:r>
          </w:p>
        </w:tc>
      </w:tr>
    </w:tbl>
    <w:p>
      <w:pPr>
        <w:pStyle w:val="null3"/>
      </w:pPr>
      <w:r>
        <w:rPr/>
        <w:t xml:space="preserve">  </w:t>
      </w:r>
    </w:p>
    <w:p>
      <w:pPr>
        <w:pStyle w:val="null3"/>
        <w:jc w:val="left"/>
      </w:pPr>
      <w:r>
        <w:rPr>
          <w:sz w:val="20"/>
        </w:rPr>
        <w:t>乙方规模：中型企业</w:t>
      </w:r>
      <w:r>
        <w:rPr>
          <w:sz w:val="20"/>
        </w:rPr>
        <w:t>/</w:t>
      </w:r>
      <w:r>
        <w:rPr>
          <w:sz w:val="20"/>
        </w:rPr>
        <w:t>小型企业</w:t>
      </w:r>
      <w:r>
        <w:rPr>
          <w:sz w:val="20"/>
        </w:rPr>
        <w:t>/</w:t>
      </w:r>
      <w:r>
        <w:rPr>
          <w:sz w:val="20"/>
        </w:rPr>
        <w:t>微型企业</w:t>
      </w:r>
      <w:r>
        <w:rPr>
          <w:sz w:val="20"/>
        </w:rPr>
        <w:t>/</w:t>
      </w:r>
      <w:r>
        <w:rPr>
          <w:sz w:val="20"/>
        </w:rPr>
        <w:t>其他</w:t>
      </w:r>
    </w:p>
    <w:p>
      <w:pPr>
        <w:pStyle w:val="null3"/>
        <w:jc w:val="both"/>
      </w:pPr>
      <w:r>
        <w:rPr>
          <w:sz w:val="20"/>
        </w:rPr>
        <w:t>乙方特殊性质：监狱企业</w:t>
      </w:r>
      <w:r>
        <w:rPr>
          <w:sz w:val="20"/>
        </w:rPr>
        <w:t>/</w:t>
      </w:r>
      <w:r>
        <w:rPr>
          <w:sz w:val="20"/>
        </w:rPr>
        <w:t>残疾人福利性单位</w:t>
      </w:r>
      <w:r>
        <w:rPr>
          <w:sz w:val="20"/>
        </w:rPr>
        <w:t>/</w:t>
      </w:r>
      <w:r>
        <w:rPr>
          <w:sz w:val="20"/>
        </w:rPr>
        <w:t>其他</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440101-2025-19257</w:t>
      </w:r>
    </w:p>
    <w:p>
      <w:pPr>
        <w:pStyle w:val="null3"/>
        <w:jc w:val="center"/>
        <w:outlineLvl w:val="3"/>
      </w:pPr>
      <w:r>
        <w:rPr>
          <w:sz w:val="24"/>
          <w:b/>
        </w:rPr>
        <w:t>采购项目编号：</w:t>
      </w:r>
      <w:r>
        <w:rPr>
          <w:sz w:val="24"/>
          <w:b/>
        </w:rPr>
        <w:t>ZZ0250730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城市轨道交通智能运输技能提升设备购置项目</w:t>
      </w:r>
      <w:r>
        <w:rPr>
          <w:u w:val="single"/>
        </w:rPr>
        <w:t>”</w:t>
      </w:r>
      <w:r>
        <w:rPr/>
        <w:t>项目的招标[采购项目编号为：</w:t>
      </w:r>
      <w:r>
        <w:rPr>
          <w:u w:val="single"/>
        </w:rPr>
        <w:t>ZZ0250730</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城市轨道交通智能运输技能提升设备购置项目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城市轨道交通智能运输技能提升设备购置项目</w:t>
      </w:r>
      <w:r>
        <w:rPr/>
        <w:t>”项目采购[采购项目编号为</w:t>
      </w:r>
      <w:r>
        <w:rPr/>
        <w:t>ZZ0250730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广州铁路职业技术学院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城市轨道交通智能运输技能提升设备购置项目</w:t>
      </w:r>
      <w:r>
        <w:rPr/>
        <w:t>招标中获中标（采购项目编号：</w:t>
      </w:r>
      <w:r>
        <w:rPr/>
        <w:t>ZZ0250730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