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440001-2025-42836</w:t>
      </w:r>
    </w:p>
    <w:p>
      <w:pPr>
        <w:pStyle w:val="null3"/>
        <w:jc w:val="center"/>
        <w:outlineLvl w:val="3"/>
      </w:pPr>
      <w:r>
        <w:rPr>
          <w:sz w:val="24"/>
          <w:b/>
        </w:rPr>
        <w:t>采购项目编号：</w:t>
      </w:r>
      <w:r>
        <w:rPr>
          <w:sz w:val="24"/>
          <w:b/>
        </w:rPr>
        <w:t>ZZ0250665</w:t>
      </w:r>
    </w:p>
    <w:p>
      <w:pPr>
        <w:pStyle w:val="null3"/>
        <w:jc w:val="center"/>
        <w:outlineLvl w:val="3"/>
      </w:pPr>
      <w:r>
        <w:rPr>
          <w:sz w:val="24"/>
          <w:b/>
        </w:rPr>
        <w:t>项目名称：</w:t>
      </w:r>
      <w:r>
        <w:rPr>
          <w:sz w:val="24"/>
          <w:b/>
        </w:rPr>
        <w:t>虚拟现实资源开发大模型平台</w:t>
      </w:r>
    </w:p>
    <w:p>
      <w:pPr>
        <w:pStyle w:val="null3"/>
        <w:jc w:val="center"/>
        <w:outlineLvl w:val="3"/>
      </w:pPr>
      <w:r>
        <w:rPr>
          <w:sz w:val="24"/>
          <w:b/>
        </w:rPr>
        <w:t>采购人：</w:t>
      </w:r>
      <w:r>
        <w:rPr>
          <w:sz w:val="24"/>
          <w:b/>
        </w:rPr>
        <w:t>广东科学技术职业学院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广东科学技术职业学院</w:t>
      </w:r>
      <w:r>
        <w:rPr/>
        <w:t>的委托，采用</w:t>
      </w:r>
      <w:r>
        <w:rPr/>
        <w:t>公开招标</w:t>
      </w:r>
      <w:r>
        <w:rPr/>
        <w:t>方式组织采购</w:t>
      </w:r>
      <w:r>
        <w:rPr/>
        <w:t>虚拟现实资源开发大模型平台</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虚拟现实资源开发大模型平台</w:t>
      </w:r>
    </w:p>
    <w:p>
      <w:pPr>
        <w:pStyle w:val="null3"/>
        <w:ind w:firstLine="480"/>
      </w:pPr>
      <w:r>
        <w:rPr/>
        <w:t>采购计划编号：</w:t>
      </w:r>
      <w:r>
        <w:rPr/>
        <w:t>440001-2025-42836</w:t>
      </w:r>
    </w:p>
    <w:p>
      <w:pPr>
        <w:pStyle w:val="null3"/>
        <w:ind w:firstLine="480"/>
      </w:pPr>
      <w:r>
        <w:rPr/>
        <w:t>采购项目编号：</w:t>
      </w:r>
      <w:r>
        <w:rPr/>
        <w:t>ZZ0250665</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采购包1(采购包1):</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应用软件</w:t>
            </w:r>
          </w:p>
        </w:tc>
        <w:tc>
          <w:tcPr>
            <w:tcW w:type="dxa" w:w="2052"/>
          </w:tcPr>
          <w:p>
            <w:pPr>
              <w:pStyle w:val="null3"/>
            </w:pPr>
            <w:r>
              <w:rPr/>
              <w:t>虚拟现实资源开发管理平台</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800,000.00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应用软件</w:t>
            </w:r>
          </w:p>
        </w:tc>
        <w:tc>
          <w:tcPr>
            <w:tcW w:type="dxa" w:w="2052"/>
          </w:tcPr>
          <w:p>
            <w:pPr>
              <w:pStyle w:val="null3"/>
            </w:pPr>
            <w:r>
              <w:rPr/>
              <w:t>虚拟现实资源开发大模型一体机</w:t>
            </w:r>
          </w:p>
        </w:tc>
        <w:tc>
          <w:tcPr>
            <w:tcW w:type="dxa" w:w="977"/>
          </w:tcPr>
          <w:p>
            <w:pPr>
              <w:pStyle w:val="null3"/>
            </w:pPr>
            <w:r>
              <w:rPr/>
              <w:t>4(套)</w:t>
            </w:r>
          </w:p>
        </w:tc>
        <w:tc>
          <w:tcPr>
            <w:tcW w:type="dxa" w:w="977"/>
          </w:tcPr>
          <w:p>
            <w:pPr>
              <w:pStyle w:val="null3"/>
            </w:pPr>
            <w:r>
              <w:rPr/>
              <w:t>详见第二章</w:t>
            </w:r>
          </w:p>
        </w:tc>
        <w:tc>
          <w:tcPr>
            <w:tcW w:type="dxa" w:w="977"/>
          </w:tcPr>
          <w:p>
            <w:pPr>
              <w:pStyle w:val="null3"/>
            </w:pPr>
            <w:r>
              <w:rPr/>
              <w:t>2,200,000.00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合同履行期限：合同签订之日至质保期满之日止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2023年度财务状况报告或2024年度财务状况报告或投标截止日前6个月内任意1个月的财务报表复印件；或银行出具的资信证明材料复印件）。</w:t>
      </w:r>
    </w:p>
    <w:p>
      <w:pPr>
        <w:pStyle w:val="null3"/>
      </w:pPr>
      <w:r>
        <w:rPr/>
        <w:t>4）履行合同所必需的设备和专业技术能力：按投标（响应）文件格式填报设备及专业技术能力情况（格式自拟）。</w:t>
      </w:r>
    </w:p>
    <w:p>
      <w:pPr>
        <w:pStyle w:val="null3"/>
      </w:pPr>
      <w:r>
        <w:rPr/>
        <w:t>5）参加采购活动前3年内，在经营活动中没有重大违法记录：参照投标（报价）函相关承诺格式内容（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采购包1（采购包1）：</w:t>
      </w:r>
      <w:r>
        <w:rPr/>
        <w:t>依照《政府采购促进中小企业发展管理办法》（财库〔2020〕46号）规定，本项目符合“因确需使用不可替代的专利、专有技术，基础设施限制，或者提供特定公共服务等原因，只能从中小企业之外的供应商处采购的”的情形，为非专门面向中小企业预留采购份额的项目。 本项目中小企业划分标准所属行业为：软件和信息技术服务业。监狱企业、残疾人福利单位视同小型、微型企业。注：中小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采购包1（采购包1）：</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提交投标文件截止当天在“信用中国”网站（www.creditchina.gov.cn）及中国政府采购网(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格式自拟）。</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广东志正招标有限公司官网（www.zztender.com）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广东科学技术职业学院</w:t>
      </w:r>
    </w:p>
    <w:p>
      <w:pPr>
        <w:pStyle w:val="null3"/>
        <w:ind w:firstLine="480"/>
      </w:pPr>
      <w:r>
        <w:rPr/>
        <w:t xml:space="preserve"> 地址：</w:t>
      </w:r>
      <w:r>
        <w:rPr/>
        <w:t>珠海市金湾区珠海大道南侧</w:t>
      </w:r>
    </w:p>
    <w:p>
      <w:pPr>
        <w:pStyle w:val="null3"/>
        <w:ind w:firstLine="480"/>
      </w:pPr>
      <w:r>
        <w:rPr/>
        <w:t xml:space="preserve"> 联系方式：</w:t>
      </w:r>
      <w:r>
        <w:rPr/>
        <w:t>0756-7796133</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020-87554038</w:t>
      </w:r>
    </w:p>
    <w:p>
      <w:pPr>
        <w:pStyle w:val="null3"/>
        <w:outlineLvl w:val="3"/>
      </w:pPr>
      <w:r>
        <w:rPr>
          <w:sz w:val="24"/>
          <w:b/>
        </w:rPr>
        <w:t xml:space="preserve"> 3.项目联系方式</w:t>
      </w:r>
    </w:p>
    <w:p>
      <w:pPr>
        <w:pStyle w:val="null3"/>
        <w:ind w:firstLine="480"/>
      </w:pPr>
      <w:r>
        <w:rPr/>
        <w:t xml:space="preserve"> 项目联系人：</w:t>
      </w:r>
      <w:r>
        <w:rPr/>
        <w:t>何小姐、魏先生</w:t>
      </w:r>
    </w:p>
    <w:p>
      <w:pPr>
        <w:pStyle w:val="null3"/>
        <w:ind w:firstLine="480"/>
      </w:pPr>
      <w:r>
        <w:rPr/>
        <w:t xml:space="preserve"> 电话：</w:t>
      </w:r>
      <w:r>
        <w:rPr/>
        <w:t>020-87554038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shd w:fill="FFFFFF" w:val="clear"/>
        </w:rPr>
        <w:t>一、项目概况：</w:t>
      </w:r>
    </w:p>
    <w:p>
      <w:pPr>
        <w:pStyle w:val="null3"/>
        <w:ind w:firstLine="420"/>
        <w:jc w:val="both"/>
      </w:pPr>
      <w:r>
        <w:rPr>
          <w:sz w:val="21"/>
          <w:shd w:fill="FFFFFF" w:val="clear"/>
        </w:rPr>
        <w:t>1、投标人须对本项目为单位（有划分包组的，则以包组为单位）的标的物进行整体投标，任何只对其中一部分内容进行的投标都被视为无效投标。</w:t>
      </w:r>
    </w:p>
    <w:p>
      <w:pPr>
        <w:pStyle w:val="null3"/>
        <w:ind w:firstLine="420"/>
        <w:jc w:val="both"/>
      </w:pPr>
      <w:r>
        <w:rPr>
          <w:sz w:val="21"/>
          <w:shd w:fill="FFFFFF" w:val="clear"/>
        </w:rPr>
        <w:t>2、本采购文件中，凡标有“★”的地方，投标人要特别加以注意，必须对此作出一一响应。若有一项带“★”的指标未响应或不满足，将导致其废标或投标无效。</w:t>
      </w:r>
    </w:p>
    <w:p>
      <w:pPr>
        <w:pStyle w:val="null3"/>
        <w:ind w:firstLine="420"/>
        <w:jc w:val="both"/>
      </w:pPr>
      <w:r>
        <w:rPr>
          <w:sz w:val="21"/>
          <w:shd w:fill="FFFFFF" w:val="clear"/>
        </w:rPr>
        <w:t>3、无论采购文件中是否有具体要求，投标人所投的货物及伴随的服务和工程均应符合国家的强制性标准。同时，所投产品的生产制造商应遵守国家关于生产许可的强制规定。</w:t>
      </w:r>
    </w:p>
    <w:p>
      <w:pPr>
        <w:pStyle w:val="null3"/>
        <w:ind w:firstLine="420"/>
        <w:jc w:val="both"/>
      </w:pPr>
      <w:r>
        <w:rPr>
          <w:sz w:val="21"/>
          <w:shd w:fill="FFFFFF" w:val="clear"/>
        </w:rPr>
        <w:t>4、本项目核心产品为：</w:t>
      </w:r>
      <w:r>
        <w:rPr>
          <w:sz w:val="21"/>
          <w:u w:val="single"/>
        </w:rPr>
        <w:t>虚拟现实资源开发管理平台</w:t>
      </w:r>
      <w:r>
        <w:rPr>
          <w:sz w:val="21"/>
          <w:shd w:fill="FFFFFF" w:val="clear"/>
        </w:rPr>
        <w:t>。投标人应在响应文件中清晰列明</w:t>
      </w:r>
      <w:r>
        <w:rPr>
          <w:sz w:val="21"/>
          <w:shd w:fill="FFFFFF" w:val="clear"/>
        </w:rPr>
        <w:t>“货物名称、品牌”。注：若存在多项核心产品，当不同供应商提供的任意一项核心产品的品牌相同，则视同其是所响应核心产品品牌相同供应商。</w:t>
      </w:r>
    </w:p>
    <w:p>
      <w:pPr>
        <w:pStyle w:val="null3"/>
        <w:ind w:firstLine="420"/>
        <w:jc w:val="both"/>
      </w:pPr>
      <w:r>
        <w:rPr>
          <w:sz w:val="21"/>
          <w:shd w:fill="FFFFFF" w:val="clear"/>
        </w:rPr>
        <w:t>5</w:t>
      </w:r>
      <w:r>
        <w:rPr>
          <w:sz w:val="21"/>
          <w:shd w:fill="FFFFFF" w:val="clear"/>
        </w:rPr>
        <w:t>、落实政府采购政策需满足的资格要求：</w:t>
      </w:r>
      <w:r>
        <w:rPr>
          <w:sz w:val="21"/>
          <w:b/>
          <w:u w:val="single"/>
          <w:shd w:fill="FFFFFF" w:val="clear"/>
        </w:rPr>
        <w:t>本项目</w:t>
      </w:r>
      <w:r>
        <w:rPr>
          <w:sz w:val="21"/>
          <w:b/>
          <w:u w:val="single"/>
          <w:shd w:fill="FFFFFF" w:val="clear"/>
        </w:rPr>
        <w:t>不</w:t>
      </w:r>
      <w:r>
        <w:rPr>
          <w:sz w:val="21"/>
          <w:b/>
          <w:u w:val="single"/>
          <w:shd w:fill="FFFFFF" w:val="clear"/>
        </w:rPr>
        <w:t>属于专门面向</w:t>
      </w:r>
      <w:r>
        <w:rPr>
          <w:sz w:val="21"/>
          <w:b/>
          <w:u w:val="single"/>
          <w:shd w:fill="FFFFFF" w:val="clear"/>
        </w:rPr>
        <w:t>中小</w:t>
      </w:r>
      <w:r>
        <w:rPr>
          <w:sz w:val="21"/>
          <w:b/>
          <w:u w:val="single"/>
          <w:shd w:fill="FFFFFF" w:val="clear"/>
        </w:rPr>
        <w:t>企业采购的项目。</w:t>
      </w:r>
      <w:r>
        <w:rPr>
          <w:sz w:val="21"/>
          <w:shd w:fill="FFFFFF" w:val="clear"/>
        </w:rPr>
        <w:t>依照《政府采购促进中小企业发展管理办法》（财库〔</w:t>
      </w:r>
      <w:r>
        <w:rPr>
          <w:sz w:val="21"/>
          <w:shd w:fill="FFFFFF" w:val="clear"/>
        </w:rPr>
        <w:t>2020〕46号）规定，本项目符合“</w:t>
      </w:r>
      <w:r>
        <w:rPr/>
        <w:t>因确需使用不可替代的专利、专有技术，基础设施限制，或者提供特定公共服务等原因，只能从中小企业之外的供应商处采购的</w:t>
      </w:r>
      <w:r>
        <w:rPr>
          <w:sz w:val="21"/>
          <w:shd w:fill="FFFFFF" w:val="clear"/>
        </w:rPr>
        <w:t>”的情形，为非专门面向中小企业预留采购份额的项目。</w:t>
      </w:r>
    </w:p>
    <w:p>
      <w:pPr>
        <w:pStyle w:val="null3"/>
        <w:ind w:firstLine="420"/>
        <w:jc w:val="both"/>
      </w:pPr>
      <w:r>
        <w:rPr>
          <w:sz w:val="21"/>
          <w:shd w:fill="FFFFFF" w:val="clear"/>
        </w:rPr>
        <w:t>6</w:t>
      </w:r>
      <w:r>
        <w:rPr>
          <w:sz w:val="21"/>
          <w:shd w:fill="FFFFFF" w:val="clear"/>
        </w:rPr>
        <w:t>、本项目对应的中小企业划分标准所属行业为：</w:t>
      </w:r>
      <w:r>
        <w:rPr>
          <w:sz w:val="21"/>
          <w:b/>
          <w:u w:val="single"/>
          <w:shd w:fill="FFFFFF" w:val="clear"/>
        </w:rPr>
        <w:t>软件和信息技术服务业</w:t>
      </w:r>
      <w:r>
        <w:rPr>
          <w:sz w:val="21"/>
          <w:shd w:fill="FFFFFF" w:val="clear"/>
        </w:rPr>
        <w:t>。监狱企业、残疾人福利单位视同小型、微型企业。注：中小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p>
      <w:pPr>
        <w:pStyle w:val="null3"/>
        <w:ind w:firstLine="420"/>
        <w:jc w:val="both"/>
      </w:pPr>
      <w:r>
        <w:rPr>
          <w:sz w:val="21"/>
          <w:shd w:fill="FFFFFF" w:val="clear"/>
        </w:rPr>
        <w:t>7、项目属性：货物类。</w:t>
      </w:r>
    </w:p>
    <w:p>
      <w:pPr>
        <w:pStyle w:val="null3"/>
        <w:jc w:val="both"/>
      </w:pPr>
      <w:r>
        <w:rPr>
          <w:sz w:val="24"/>
          <w:b/>
          <w:shd w:fill="FFFFFF" w:val="clear"/>
        </w:rPr>
        <w:t>二、采购内容</w:t>
      </w:r>
    </w:p>
    <w:tbl>
      <w:tblPr>
        <w:tblW w:w="0" w:type="auto"/>
        <w:tblBorders>
          <w:top w:val="none" w:color="000000" w:sz="4"/>
          <w:left w:val="none" w:color="000000" w:sz="4"/>
          <w:bottom w:val="none" w:color="000000" w:sz="4"/>
          <w:right w:val="none" w:color="000000" w:sz="4"/>
          <w:insideH w:val="none"/>
          <w:insideV w:val="none"/>
        </w:tblBorders>
      </w:tblPr>
      <w:tblGrid>
        <w:gridCol w:w="901"/>
        <w:gridCol w:w="2431"/>
        <w:gridCol w:w="1597"/>
        <w:gridCol w:w="920"/>
        <w:gridCol w:w="1193"/>
        <w:gridCol w:w="1261"/>
      </w:tblGrid>
      <w:tr>
        <w:tc>
          <w:tcPr>
            <w:tcW w:type="dxa" w:w="9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采购内容</w:t>
            </w:r>
          </w:p>
        </w:tc>
        <w:tc>
          <w:tcPr>
            <w:tcW w:type="dxa" w:w="1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预算金额（元）</w:t>
            </w:r>
          </w:p>
        </w:tc>
        <w:tc>
          <w:tcPr>
            <w:tcW w:type="dxa" w:w="9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预算总价（元）</w:t>
            </w:r>
          </w:p>
        </w:tc>
      </w:tr>
      <w:tr>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w:t>
            </w:r>
          </w:p>
        </w:tc>
        <w:tc>
          <w:tcPr>
            <w:tcW w:type="dxa" w:w="2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虚拟现实资源开发管理平台</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800000</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800000</w:t>
            </w:r>
          </w:p>
        </w:tc>
      </w:tr>
      <w:tr>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虚拟现实资源开发大模型一体机</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550000</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2200000</w:t>
            </w:r>
          </w:p>
        </w:tc>
      </w:tr>
    </w:tbl>
    <w:p>
      <w:pPr>
        <w:pStyle w:val="null3"/>
      </w:pPr>
      <w:r>
        <w:rPr>
          <w:sz w:val="21"/>
          <w:shd w:fill="FFFFFF" w:val="clear"/>
        </w:rPr>
        <w:t>项目概述：</w:t>
      </w:r>
    </w:p>
    <w:p>
      <w:pPr>
        <w:pStyle w:val="null3"/>
        <w:ind w:firstLine="420"/>
        <w:jc w:val="both"/>
      </w:pPr>
      <w:r>
        <w:rPr>
          <w:sz w:val="21"/>
          <w:shd w:fill="FFFFFF" w:val="clear"/>
        </w:rPr>
        <w:t>虚拟现实资源开发大模型平台为产业数字化虚拟仿真综合实训基地的虚拟仿真研创中心重点建设内容，也是双高任务</w:t>
      </w:r>
      <w:r>
        <w:rPr>
          <w:sz w:val="21"/>
          <w:shd w:fill="FFFFFF" w:val="clear"/>
        </w:rPr>
        <w:t>8-1云智一体，推动专业群智能化升级模块建设任务之一。通过设备更新升级，依托教育部软件工程应用技术协同创新中心的师生团队开展社会服务、技术培训，支撑产业数字化虚拟仿真综合实训基地的人才培养。该项目依据数字金融、智能制造、智能交通、智慧物流、数字商贸等从传统产业向数字产业转型的技术能力需求，根据学校软件技术、工业机器人、电子商务、新能源汽车、建筑工程技术、艺术设计等专业实践教学需要，建设以AIGC技术快速构建数字教学资源及企业生产过程的数字模拟场景的开发平台。</w:t>
      </w:r>
    </w:p>
    <w:p>
      <w:pPr>
        <w:pStyle w:val="null3"/>
        <w:ind w:firstLine="420"/>
        <w:jc w:val="both"/>
      </w:pPr>
      <w:r>
        <w:rPr>
          <w:sz w:val="21"/>
          <w:shd w:fill="FFFFFF" w:val="clear"/>
        </w:rPr>
        <w:t>虚拟现实资源开发大模型平台由虚拟现实资源开发管理平台及资源开发大模型一体机构成。虚拟现实资源开发管理平台集成软件、算力、数据、大模型等资源管理功能于一体，是虚拟现实资源智能化构建的管理系统。虚拟现实资源开发管理平台，具备如下基本功能：数据源集成、分布式查询引擎、可视化探索分析、交互式分析、数字仪表盘、嵌入式分析、即时归因分析等，提供了智能化虚拟现实资源应用的构建系统，不仅可以实现企业生产过程的数字模拟场景及数字教学资源的快速构建，还能够提升学生的数字化实战能力。产品私有化部署，软件产品为自研，预置部分虚拟现实大模型应用，开箱即用，具备场景中进行智能问答、智能交互、智能问数的能力。</w:t>
      </w:r>
    </w:p>
    <w:p>
      <w:pPr>
        <w:pStyle w:val="null3"/>
        <w:ind w:firstLine="420"/>
        <w:jc w:val="both"/>
      </w:pPr>
      <w:r>
        <w:rPr>
          <w:sz w:val="21"/>
          <w:shd w:fill="FFFFFF" w:val="clear"/>
        </w:rPr>
        <w:t>虚拟现实资源开发大模型一体机是用于开发、部署和测试虚拟现实资源应用的开发一体机。虚拟现实资源开发大模型一体机，基于虚拟现实资源开发管理平台完成三维模型上传、虚拟现实场景搭建、效果调整、交互配置、数字孪生专题应用构建、大模型应用搭建等。系统内置智慧城市、智慧园区、智慧工厂等行业模版应用，支持学生实训，开箱即用。智慧城市场景包括，城市三维模型，城市总览、安防、民生、城市治理等专题应用；智慧园区场景包含，建筑园区三维模型，园区总览、智慧停车、能源管理、智能告警等专题应用；智慧工厂数字场景，包含工厂三维模型，内置工厂运行态势、设备监测、能源管理、安全等专题应用。</w:t>
      </w:r>
    </w:p>
    <w:p>
      <w:pPr>
        <w:pStyle w:val="null3"/>
      </w:pPr>
      <w:r>
        <w:rPr/>
        <w:t>采购包1（采购包1）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合同签订后270天内完成货物安装及软件部署调试</w:t>
            </w:r>
          </w:p>
        </w:tc>
      </w:tr>
      <w:tr>
        <w:tc>
          <w:tcPr>
            <w:tcW w:type="dxa" w:w="4153"/>
          </w:tcPr>
          <w:p>
            <w:pPr>
              <w:pStyle w:val="null3"/>
            </w:pPr>
            <w:r>
              <w:rPr/>
              <w:t>标的提供的地点</w:t>
            </w:r>
          </w:p>
        </w:tc>
        <w:tc>
          <w:tcPr>
            <w:tcW w:type="dxa" w:w="4153"/>
          </w:tcPr>
          <w:p>
            <w:pPr>
              <w:pStyle w:val="null3"/>
            </w:pPr>
            <w:r>
              <w:rPr/>
              <w:t>广东科学技术职业学院珠海校区实训楼3-501</w:t>
            </w:r>
          </w:p>
        </w:tc>
      </w:tr>
      <w:tr>
        <w:tc>
          <w:tcPr>
            <w:tcW w:type="dxa" w:w="4153"/>
          </w:tcPr>
          <w:p>
            <w:pPr>
              <w:pStyle w:val="null3"/>
            </w:pPr>
            <w:r>
              <w:rPr/>
              <w:t>付款方式</w:t>
            </w:r>
          </w:p>
        </w:tc>
        <w:tc>
          <w:tcPr>
            <w:tcW w:type="dxa" w:w="4153"/>
          </w:tcPr>
          <w:p>
            <w:pPr>
              <w:pStyle w:val="null3"/>
            </w:pPr>
            <w:r>
              <w:rPr/>
              <w:t>1期：支付比例40%,支付比例40%，双方合同签署生效，收到中标人提供的合同总金额40%的等额增值税专用发票后，10个工作日内采购人向中标人支付预付款。如为中小企业中标本项目的，采购人收到中标人开具与预付款等额正式发票(增值税专用发票)的5个工作日内，采购人向中标人支付合同总金额的40%作为预付款。</w:t>
            </w:r>
          </w:p>
          <w:p>
            <w:pPr>
              <w:pStyle w:val="null3"/>
            </w:pPr>
            <w:r>
              <w:rPr/>
              <w:t>2期：支付比例40%,支付比例40%，中标人①完成“虚拟现实资源开发管理平台”安装部署，②将“虚拟现实资源开发大模型一体机”中的硬件货物全部运抵采购人指定地点并完成软件资源中除实训项目库外其余部分的安装部署后，经二级学院预验收合格且收到中标人提供的合同总金额40%的等额增值税专用发票后，10个工作日内采购人向中标人支付预验收款。如为中小企业中标本项目的，采购人收到中标人开具与预付款等额正式发票(增值税专用发票)的5个工作日内，采购人向中标人支付合同总金额的40%作为预验收款。</w:t>
            </w:r>
          </w:p>
          <w:p>
            <w:pPr>
              <w:pStyle w:val="null3"/>
            </w:pPr>
            <w:r>
              <w:rPr/>
              <w:t>3期：支付比例20%,支付比例20%，中标人完成“虚拟现实资源开发大模型一体机”的软件资源中实训项目库的安装部署，整体项目经学校验收合格且收到中标人提供的合同总金额20%的等额增值税专用发票后，10个工作日内采购人向中标人支付验收款。如为中小企业中标本项目的，在采购人收到中标人开具的正式发票(增值税专用发票)后的15日内支付合同总金额的20%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完成所有货物交付、安装、调试及部署后，采购人于收到中标人验收申请后20个工作日内（如为中小企业中标本项目的，采购人于收到中标人验收申请后7日内）组织整体项目验收，双方就货物质量、规格和型号进行检验，因货物的质量问题发生争议，采购人有权要求有关部门进行检验（由广东或项目所在地商检部门进行质量鉴定）。货物符合质量标准的，鉴定费采购人承担；货物不符合质量标准的，鉴定费由中标人承担，并赔偿采购人损失。 2.验收按国家有关规定、规范进行。验收时如发现所交付的货物有短装、次品、损坏或其它不符合本合同规定之情形者，采购人应做出详尽的现场记录，或由双方签署备忘录。此现场记录或备忘录可用作补充缺失和更换损坏部件的有效证据，因补充缺失或更换损坏部件等产生的相关费用由中标人承担。不能修理或不能调换损坏部件的，均按不能交货处理。 3.对货物的硬件及软件配置标准必须与国家有关政策相符合。否则，出现的一切责任都由中标人负责。</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账号：4400 1646 6350 5030 2251</w:t>
            </w:r>
          </w:p>
          <w:p>
            <w:pPr>
              <w:pStyle w:val="null3"/>
            </w:pPr>
            <w:r>
              <w:rPr/>
              <w:t>户名：广东科学技术职业学院珠海校区</w:t>
            </w:r>
          </w:p>
          <w:p>
            <w:pPr>
              <w:pStyle w:val="null3"/>
            </w:pPr>
            <w:r>
              <w:rPr/>
              <w:t>开户行：建设银行珠海金湾支行</w:t>
            </w:r>
          </w:p>
          <w:p>
            <w:pPr>
              <w:pStyle w:val="null3"/>
            </w:pPr>
            <w:r>
              <w:rPr/>
              <w:t>支票提交方式：非现金提交方式</w:t>
            </w:r>
          </w:p>
          <w:p>
            <w:pPr>
              <w:pStyle w:val="null3"/>
            </w:pPr>
            <w:r>
              <w:rPr/>
              <w:t>汇票、本票提交方式：非现金提交方式</w:t>
            </w:r>
          </w:p>
          <w:p>
            <w:pPr>
              <w:pStyle w:val="null3"/>
            </w:pPr>
            <w:r>
              <w:rPr/>
              <w:t>说明：1.合同签订后5个工作日内，中标人付合同总金额的10%作为履约保证金至采购人账户，如为中小企业，则付5%的履约保证金。（该保证金不计利息，以支票、汇票、本票、保函等非现金形式缴纳，履约保证金支付请中标人注意备注项目名称），若中标人没有违约行为，履约保证金在验收合格后30日内由采购人以非现金形式无息退还中标人。 2.下列任何情况发生时，履约保证金将不予退还： （1）在合同有效期内，中标供应商将本项目转包给他人，或者未经采购人同意，将项目分包给他人的，履约保证金不予退还。 （2）在合同有效期内，凡因供应商责任，使采购人解除本项目合同的，履约保证金不予退还。 （3）履约期内供应商无条件退出的，履约保证金不予退还。 （4）出现其他违反有关法律法规的规定及合同约定不予退还履约保证金的条款。 3.中标人违约导致保证金不予退还的，若给采购人造成的损失超过保证金金额，采购人有权进一步追究赔偿责任。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付款方式，1.中标人凭以下有效文件与采购人结算：（1）合同（2）支付申请（3）中标人开具的正式发票(增值税专用发票)（4）采购人验收报告(验收表)（5）中标通知书。 2.说明： 采购人向中标人指定账户汇出款项后，即视为已履行付款义务。在汇款过程中，因中标人账户的原因(包括但不限于账号被注销、被冻结等)导致其无法收取款项的，由中标人承担相应后果，本项目如执行国库支付的，采购人在验收合格后10个工作日内办理财政集中支付申请手续，付款按照财政部门国库集中支付的有关规定办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包装运输</w:t>
            </w:r>
          </w:p>
        </w:tc>
        <w:tc>
          <w:tcPr>
            <w:tcW w:type="dxa" w:w="2076"/>
          </w:tcPr>
          <w:p>
            <w:pPr>
              <w:pStyle w:val="null3"/>
              <w:jc w:val="left"/>
            </w:pPr>
            <w:r>
              <w:rPr/>
              <w:t>中标人必须保证货物的包装有良好的防湿、防锈、防潮、防雨、防腐及防碰撞的措施。凡由于包装不良造成的损失和由此产生的费用均由中标人承担。如果货物在运输和安装调试过程中出现货物短缺、损坏，中标人应及时补缺和安排换装，保证合同货物安装调试的成功完成，补缺或换货的相关费用由中标人承担。</w:t>
            </w:r>
          </w:p>
        </w:tc>
      </w:tr>
      <w:tr>
        <w:tc>
          <w:tcPr>
            <w:tcW w:type="dxa" w:w="2076"/>
          </w:tcPr>
          <w:p/>
        </w:tc>
        <w:tc>
          <w:tcPr>
            <w:tcW w:type="dxa" w:w="2076"/>
          </w:tcPr>
          <w:p>
            <w:pPr>
              <w:pStyle w:val="null3"/>
              <w:jc w:val="center"/>
            </w:pPr>
            <w:r>
              <w:rPr/>
              <w:t>2</w:t>
            </w:r>
          </w:p>
        </w:tc>
        <w:tc>
          <w:tcPr>
            <w:tcW w:type="dxa" w:w="2076"/>
          </w:tcPr>
          <w:p>
            <w:pPr>
              <w:pStyle w:val="null3"/>
              <w:jc w:val="left"/>
            </w:pPr>
            <w:r>
              <w:rPr/>
              <w:t>货物质量的要求</w:t>
            </w:r>
          </w:p>
        </w:tc>
        <w:tc>
          <w:tcPr>
            <w:tcW w:type="dxa" w:w="2076"/>
          </w:tcPr>
          <w:p>
            <w:pPr>
              <w:pStyle w:val="null3"/>
              <w:jc w:val="left"/>
            </w:pPr>
            <w:r>
              <w:rPr/>
              <w:t>1.中标人提供的货物必须是全新的，符合国家及行业的有关质量标准，所提供的货物的性能应达到或超过指标表中所列技术指标。 2.中标人必须保证全部货物的型号、规格、数量、外观质量、货物包装及资料、文件（如装箱单、保修单、随箱介质等）与合同要求一致。在货物抵达交货目的地后，中标人负责在项目验收前将货物的全部有关产品说明书、用户手册、装箱清单、原厂保修卡、随机资料、货物配件及随机工具等（并开具清单）交付给采购人。 3.中标人必须保证货物来源正当、合法，因货物来源问题产生纠纷，中标人承担一切责任。</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1.本项目质保期3年，中标人提供3年不限于上门/在线保修服务和系统维护，中标人不再收取任何费用，质保期自项目验收合格之日起计算。 2.在质保期内，中标人提供平台运行状态主动监控与定期健康检查服务，提前发现潜在风险，提供优化建议。 3.在质保期内，中标人负责对其提供的平台进行定期升级和系统维护，根据行业发展和技术进步，及时更新平台中的模型、数据、资源和功能模块。 4.在质保期内，中标人应及时响应并处理系统故障，对于硬件故障，协调相关供应商进行维修或更换；对于软件故障，及时安排技术人员进行排查和修复，减少系统故障对采购人的影响。 5.故障报修的响应时间为12小时，且在24小时内处理完毕。规定时间内未处理完毕的，中标人在48小时内提供不低于同等档次系统平台供用户使用至故障恢复正常为止。</w:t>
            </w:r>
          </w:p>
        </w:tc>
      </w:tr>
      <w:tr>
        <w:tc>
          <w:tcPr>
            <w:tcW w:type="dxa" w:w="2076"/>
          </w:tcPr>
          <w:p/>
        </w:tc>
        <w:tc>
          <w:tcPr>
            <w:tcW w:type="dxa" w:w="2076"/>
          </w:tcPr>
          <w:p>
            <w:pPr>
              <w:pStyle w:val="null3"/>
              <w:jc w:val="center"/>
            </w:pPr>
            <w:r>
              <w:rPr/>
              <w:t>4</w:t>
            </w:r>
          </w:p>
        </w:tc>
        <w:tc>
          <w:tcPr>
            <w:tcW w:type="dxa" w:w="2076"/>
          </w:tcPr>
          <w:p>
            <w:pPr>
              <w:pStyle w:val="null3"/>
              <w:jc w:val="left"/>
            </w:pPr>
            <w:r>
              <w:rPr/>
              <w:t>安装、调试、培训要求</w:t>
            </w:r>
          </w:p>
        </w:tc>
        <w:tc>
          <w:tcPr>
            <w:tcW w:type="dxa" w:w="2076"/>
          </w:tcPr>
          <w:p>
            <w:pPr>
              <w:pStyle w:val="null3"/>
              <w:jc w:val="left"/>
            </w:pPr>
            <w:r>
              <w:rPr/>
              <w:t>1.货物的安装、调试：中标人负责货物在采购人场地的安装调试并调试至正常运行的最佳状态，一切费用由中标人负责。 2.技术培训要求：在验收前，中标人应针对采购人员工开展本项目标的物使用培训。培训地点在采购人校内，相关费用已包含在合同总价里。培训人数不少于3人，培训时长不少于3天。</w:t>
            </w:r>
          </w:p>
        </w:tc>
      </w:tr>
      <w:tr>
        <w:tc>
          <w:tcPr>
            <w:tcW w:type="dxa" w:w="2076"/>
          </w:tcPr>
          <w:p/>
        </w:tc>
        <w:tc>
          <w:tcPr>
            <w:tcW w:type="dxa" w:w="2076"/>
          </w:tcPr>
          <w:p>
            <w:pPr>
              <w:pStyle w:val="null3"/>
              <w:jc w:val="center"/>
            </w:pPr>
            <w:r>
              <w:rPr/>
              <w:t>5</w:t>
            </w:r>
          </w:p>
        </w:tc>
        <w:tc>
          <w:tcPr>
            <w:tcW w:type="dxa" w:w="2076"/>
          </w:tcPr>
          <w:p>
            <w:pPr>
              <w:pStyle w:val="null3"/>
              <w:jc w:val="left"/>
            </w:pPr>
            <w:r>
              <w:rPr/>
              <w:t>方案要求</w:t>
            </w:r>
          </w:p>
        </w:tc>
        <w:tc>
          <w:tcPr>
            <w:tcW w:type="dxa" w:w="2076"/>
          </w:tcPr>
          <w:p>
            <w:pPr>
              <w:pStyle w:val="null3"/>
              <w:jc w:val="left"/>
            </w:pPr>
            <w:r>
              <w:rPr/>
              <w:t>投标人应根据项目情况提供方案：①售后服务方案（包括但不限于售后服务响应时间、修复时间、故障解决办法、紧急响应方案等）；②技术培训方案（包括但不限于：服务实施计划、服务能力、培训范围、人员安排、交付使用时间、质保期、响应时间、维护方案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应用软件</w:t>
            </w:r>
          </w:p>
        </w:tc>
        <w:tc>
          <w:tcPr>
            <w:tcW w:type="dxa" w:w="831"/>
          </w:tcPr>
          <w:p>
            <w:pPr>
              <w:pStyle w:val="null3"/>
              <w:jc w:val="left"/>
            </w:pPr>
            <w:r>
              <w:rPr/>
              <w:t>虚拟现实资源开发管理平台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jc w:val="right"/>
            </w:pPr>
            <w:r>
              <w:rPr/>
              <w:t>800,000.00</w:t>
            </w:r>
          </w:p>
        </w:tc>
        <w:tc>
          <w:tcPr>
            <w:tcW w:type="dxa" w:w="831"/>
          </w:tcPr>
          <w:p>
            <w:pPr>
              <w:pStyle w:val="null3"/>
            </w:pPr>
            <w:r>
              <w:rPr/>
              <w:t>软件和信息技术服务业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应用软件</w:t>
            </w:r>
          </w:p>
        </w:tc>
        <w:tc>
          <w:tcPr>
            <w:tcW w:type="dxa" w:w="831"/>
          </w:tcPr>
          <w:p>
            <w:pPr>
              <w:pStyle w:val="null3"/>
              <w:jc w:val="left"/>
            </w:pPr>
            <w:r>
              <w:rPr/>
              <w:t>虚拟现实资源开发大模型一体机</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550,000.00</w:t>
            </w:r>
          </w:p>
        </w:tc>
        <w:tc>
          <w:tcPr>
            <w:tcW w:type="dxa" w:w="831"/>
          </w:tcPr>
          <w:p>
            <w:pPr>
              <w:pStyle w:val="null3"/>
              <w:jc w:val="right"/>
            </w:pPr>
            <w:r>
              <w:rPr/>
              <w:t>2,200,000.00</w:t>
            </w:r>
          </w:p>
        </w:tc>
        <w:tc>
          <w:tcPr>
            <w:tcW w:type="dxa" w:w="831"/>
          </w:tcPr>
          <w:p>
            <w:pPr>
              <w:pStyle w:val="null3"/>
            </w:pPr>
            <w:r>
              <w:rPr/>
              <w:t>软件和信息技术服务业</w:t>
            </w:r>
          </w:p>
        </w:tc>
        <w:tc>
          <w:tcPr>
            <w:tcW w:type="dxa" w:w="831"/>
          </w:tcPr>
          <w:p>
            <w:pPr>
              <w:pStyle w:val="null3"/>
            </w:pPr>
            <w:r>
              <w:rPr/>
              <w:t>详见附表二</w:t>
            </w:r>
          </w:p>
        </w:tc>
      </w:tr>
    </w:tbl>
    <w:p>
      <w:pPr>
        <w:pStyle w:val="null3"/>
      </w:pPr>
      <w:r>
        <w:rPr>
          <w:b/>
        </w:rPr>
        <w:t>附表</w:t>
      </w:r>
      <w:r>
        <w:rPr>
          <w:b/>
        </w:rPr>
        <w:t>一</w:t>
      </w:r>
      <w:r>
        <w:rPr>
          <w:b/>
        </w:rPr>
        <w:t>：</w:t>
      </w:r>
      <w:r>
        <w:rPr>
          <w:b/>
        </w:rPr>
        <w:t>虚拟现实资源开发管理平台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01"/>
              <w:gridCol w:w="581"/>
              <w:gridCol w:w="3411"/>
              <w:gridCol w:w="401"/>
              <w:gridCol w:w="401"/>
              <w:gridCol w:w="401"/>
            </w:tblGrid>
            <w:tr>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w:t>
                  </w:r>
                </w:p>
                <w:p>
                  <w:pPr>
                    <w:pStyle w:val="null3"/>
                    <w:jc w:val="center"/>
                  </w:pPr>
                  <w:r>
                    <w:rPr>
                      <w:sz w:val="21"/>
                      <w:b/>
                    </w:rPr>
                    <w:t>名称</w:t>
                  </w:r>
                </w:p>
              </w:tc>
              <w:tc>
                <w:tcPr>
                  <w:tcW w:type="dxa" w:w="3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技术规格、参数及要求</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虚拟现实资源开发管理平台</w:t>
                  </w:r>
                </w:p>
              </w:tc>
              <w:tc>
                <w:tcPr>
                  <w:tcW w:type="dxa" w:w="3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b/>
                    </w:rPr>
                    <w:t>1. 基础功能</w:t>
                  </w:r>
                </w:p>
                <w:p>
                  <w:pPr>
                    <w:pStyle w:val="null3"/>
                    <w:jc w:val="both"/>
                  </w:pPr>
                  <w:r>
                    <w:rPr>
                      <w:sz w:val="19"/>
                    </w:rPr>
                    <w:t>1.1 支持40+种数据源接入：包括Hive、MySQL、PostgreSQL、Clickhouse、Greenplum、Kafka等，以及巨量引擎/千川、抖音短视频、内容管理平台、飞书电子表格和多维表格、</w:t>
                  </w:r>
                  <w:r>
                    <w:rPr>
                      <w:sz w:val="19"/>
                    </w:rPr>
                    <w:t>微信公众号、</w:t>
                  </w:r>
                  <w:r>
                    <w:rPr>
                      <w:sz w:val="19"/>
                    </w:rPr>
                    <w:t>公共星座与日历数据等。</w:t>
                  </w:r>
                </w:p>
                <w:p>
                  <w:pPr>
                    <w:pStyle w:val="null3"/>
                    <w:jc w:val="both"/>
                  </w:pPr>
                  <w:r>
                    <w:rPr>
                      <w:sz w:val="19"/>
                    </w:rPr>
                    <w:t>▲</w:t>
                  </w:r>
                  <w:r>
                    <w:rPr>
                      <w:sz w:val="19"/>
                    </w:rPr>
                    <w:t>1.2 自研OLAP加速引擎，单表条数支持数十亿级；亿级数据量查询性能5S以内；分析引擎支持按需横向扩容。</w:t>
                  </w:r>
                  <w:r>
                    <w:rPr>
                      <w:sz w:val="19"/>
                      <w:b/>
                    </w:rPr>
                    <w:t>（</w:t>
                  </w:r>
                  <w:r>
                    <w:rPr>
                      <w:sz w:val="19"/>
                      <w:b/>
                    </w:rPr>
                    <w:t>提供截图证明，并加盖公章</w:t>
                  </w:r>
                  <w:r>
                    <w:rPr>
                      <w:sz w:val="19"/>
                      <w:b/>
                    </w:rPr>
                    <w:t>）</w:t>
                  </w:r>
                </w:p>
                <w:p>
                  <w:pPr>
                    <w:pStyle w:val="null3"/>
                    <w:jc w:val="both"/>
                  </w:pPr>
                  <w:r>
                    <w:rPr>
                      <w:sz w:val="19"/>
                    </w:rPr>
                    <w:t>▲</w:t>
                  </w:r>
                  <w:r>
                    <w:rPr>
                      <w:sz w:val="19"/>
                    </w:rPr>
                    <w:t>1.3 可视化建模能力较强，40+算子；支持输入到输出全链路的节点数据预览与探查，AI算子一键调用，零代码即可实现数据的深度加工。常用算子能力包括但不限于：数据清洗、字段设置、合并行、聚合运算、补充缺失值、行列转换（高表宽表转换）、去重等。AI建模算子包括但不限于：特征工程、机器学习、自然语言处理等。</w:t>
                  </w:r>
                  <w:r>
                    <w:rPr>
                      <w:sz w:val="19"/>
                      <w:b/>
                    </w:rPr>
                    <w:t>（</w:t>
                  </w:r>
                  <w:r>
                    <w:rPr>
                      <w:sz w:val="19"/>
                      <w:b/>
                    </w:rPr>
                    <w:t>提供截图证明，并加盖公章</w:t>
                  </w:r>
                  <w:r>
                    <w:rPr>
                      <w:sz w:val="19"/>
                      <w:b/>
                    </w:rPr>
                    <w:t>）</w:t>
                  </w:r>
                </w:p>
                <w:p>
                  <w:pPr>
                    <w:pStyle w:val="null3"/>
                    <w:jc w:val="both"/>
                  </w:pPr>
                  <w:r>
                    <w:rPr>
                      <w:sz w:val="19"/>
                    </w:rPr>
                    <w:t>1.4 支持图表/看板设置监控报警、订阅推送、指标播报等。</w:t>
                  </w:r>
                </w:p>
                <w:p>
                  <w:pPr>
                    <w:pStyle w:val="null3"/>
                    <w:jc w:val="both"/>
                  </w:pPr>
                  <w:r>
                    <w:rPr>
                      <w:sz w:val="19"/>
                    </w:rPr>
                    <w:t>1.5 支持柱状图、折线图、饼图、漏斗图、地图、雷达图、词云图、桑基图、瀑布度、仪表图、迷你图等；支持图表下钻、联动、筛选、排序；支持常用计算函数、自定义函数；支持用户自助生成图表；支持自定义配色方案，设置条件格式等；支持解析文本，将图片、视频等素材链接在线预览；支持通过官方仪表盘模板创建自有仪表盘。</w:t>
                  </w:r>
                  <w:r>
                    <w:rPr>
                      <w:sz w:val="19"/>
                      <w:b/>
                    </w:rPr>
                    <w:t>（须提供所投产品中获取指标数据的方法等相关发明专利并提供专利证书扫描件和国家知识产权局专利检索及分析平台的有效查询截图）</w:t>
                  </w:r>
                </w:p>
                <w:p>
                  <w:pPr>
                    <w:pStyle w:val="null3"/>
                    <w:jc w:val="both"/>
                  </w:pPr>
                  <w:r>
                    <w:rPr>
                      <w:sz w:val="19"/>
                    </w:rPr>
                    <w:t>1.6 支持仪表盘的图表中做数据标注，支持在仪表盘的图表上做数据评论、插入图片</w:t>
                  </w:r>
                  <w:r>
                    <w:rPr>
                      <w:sz w:val="19"/>
                    </w:rPr>
                    <w:t>等</w:t>
                  </w:r>
                  <w:r>
                    <w:rPr>
                      <w:sz w:val="19"/>
                    </w:rPr>
                    <w:t>，并可以进行对话式备注。</w:t>
                  </w:r>
                </w:p>
                <w:p>
                  <w:pPr>
                    <w:pStyle w:val="null3"/>
                    <w:jc w:val="both"/>
                  </w:pPr>
                  <w:r>
                    <w:rPr>
                      <w:sz w:val="19"/>
                    </w:rPr>
                    <w:t>1.7 支持企业各行政级别的分级权限管控（项目-组别-用户-角色权限控制）；支持企业各业务线、各部门不同项目的分级授权管理。支持数据行列权限控制，并支持权限模拟验证。</w:t>
                  </w:r>
                </w:p>
                <w:p>
                  <w:pPr>
                    <w:pStyle w:val="null3"/>
                    <w:jc w:val="both"/>
                  </w:pPr>
                  <w:r>
                    <w:rPr>
                      <w:sz w:val="19"/>
                    </w:rPr>
                    <w:t>1.8 支持设置密码强度和更新周期，支持水印，支持复制和下载通知。</w:t>
                  </w:r>
                </w:p>
                <w:p>
                  <w:pPr>
                    <w:pStyle w:val="null3"/>
                    <w:jc w:val="both"/>
                  </w:pPr>
                  <w:r>
                    <w:rPr>
                      <w:sz w:val="19"/>
                    </w:rPr>
                    <w:t>1.9 支持绑定飞书、企业微信、钉钉集成，通过监控订阅、同步推送等方式快速获取数据动态，同时移动端适配协助便捷阅览报表，实现数据零距离。</w:t>
                  </w:r>
                </w:p>
                <w:p>
                  <w:pPr>
                    <w:pStyle w:val="null3"/>
                    <w:jc w:val="both"/>
                  </w:pPr>
                  <w:r>
                    <w:rPr>
                      <w:sz w:val="19"/>
                    </w:rPr>
                    <w:t>1.10 提供基础功能使用文档不少于1份。</w:t>
                  </w:r>
                </w:p>
                <w:p>
                  <w:pPr>
                    <w:pStyle w:val="null3"/>
                    <w:jc w:val="both"/>
                  </w:pPr>
                  <w:r>
                    <w:rPr>
                      <w:sz w:val="19"/>
                      <w:b/>
                    </w:rPr>
                    <w:t>2. 数字大屏</w:t>
                  </w:r>
                </w:p>
                <w:p>
                  <w:pPr>
                    <w:pStyle w:val="null3"/>
                    <w:jc w:val="both"/>
                  </w:pPr>
                  <w:r>
                    <w:rPr>
                      <w:sz w:val="19"/>
                    </w:rPr>
                    <w:t>2.1 大屏列表支持通过列表完整展示已创建的大屏，大屏文件夹、大屏预览截图以网格状展示，支持在不同层级下新建大屏和文件夹，以保证对于不同部门、不同活动的资源各自管理支持。</w:t>
                  </w:r>
                </w:p>
                <w:p>
                  <w:pPr>
                    <w:pStyle w:val="null3"/>
                    <w:jc w:val="both"/>
                  </w:pPr>
                  <w:r>
                    <w:rPr>
                      <w:sz w:val="19"/>
                    </w:rPr>
                    <w:t>2.2 支持10层以上文件夹嵌套，在访问多嵌套层级文件夹时可以直接跳转到任意层级或直接返回首页列表。</w:t>
                  </w:r>
                </w:p>
                <w:p>
                  <w:pPr>
                    <w:pStyle w:val="null3"/>
                    <w:jc w:val="both"/>
                  </w:pPr>
                  <w:r>
                    <w:rPr>
                      <w:sz w:val="19"/>
                    </w:rPr>
                    <w:t>2.3 支持在同一个大屏文件里配置多个页面，提高大屏样式和页面间交互配置效率。</w:t>
                  </w:r>
                </w:p>
                <w:p>
                  <w:pPr>
                    <w:pStyle w:val="null3"/>
                    <w:jc w:val="both"/>
                  </w:pPr>
                  <w:r>
                    <w:rPr>
                      <w:sz w:val="19"/>
                    </w:rPr>
                    <w:t>2.4具备编解组功能，即为将若干个元素进行整合满足一起移动、一起变更尺寸的批量编辑需求。当组内元素不再应当以组整合时，对其进行解组操作后便可使其内部元素选中元素后即可对选中的元素进行编组操作。当选中的元素中有组时解组相应也可以操作，解组后原有组内元素会被选中，以执行进一步操作</w:t>
                  </w:r>
                  <w:r>
                    <w:rPr>
                      <w:sz w:val="19"/>
                    </w:rPr>
                    <w:t>。</w:t>
                  </w:r>
                  <w:r>
                    <w:rPr>
                      <w:sz w:val="19"/>
                      <w:b/>
                    </w:rPr>
                    <w:t>（须提供所投产品中物化视图构建方法等相关发明专利并提供专利证书扫描件和国家知识产权局专利检索及分析平台的有效查询截图）</w:t>
                  </w:r>
                </w:p>
                <w:p>
                  <w:pPr>
                    <w:pStyle w:val="null3"/>
                    <w:jc w:val="both"/>
                  </w:pPr>
                  <w:r>
                    <w:rPr>
                      <w:sz w:val="19"/>
                    </w:rPr>
                    <w:t>2.5 支持对编辑完的大屏进行发布，可选择公开发布和加密发布两种方式，公开发布支持用户通过链接访问大屏；私部发布支持密码访问和token加密2种方式。</w:t>
                  </w:r>
                </w:p>
                <w:p>
                  <w:pPr>
                    <w:pStyle w:val="null3"/>
                    <w:jc w:val="both"/>
                  </w:pPr>
                  <w:r>
                    <w:rPr>
                      <w:sz w:val="19"/>
                    </w:rPr>
                    <w:t>2.6 支持进行历史版本回溯，切换回历史版本大屏。</w:t>
                  </w:r>
                </w:p>
                <w:p>
                  <w:pPr>
                    <w:pStyle w:val="null3"/>
                    <w:jc w:val="both"/>
                  </w:pPr>
                  <w:r>
                    <w:rPr>
                      <w:sz w:val="19"/>
                    </w:rPr>
                    <w:t>2.7支持定义全局变量，能够通过事件进行改写，并能够在事件系统等能够使用表达式功能的地方进行消费。</w:t>
                  </w:r>
                </w:p>
                <w:p>
                  <w:pPr>
                    <w:pStyle w:val="null3"/>
                    <w:jc w:val="both"/>
                  </w:pPr>
                  <w:r>
                    <w:rPr>
                      <w:sz w:val="19"/>
                    </w:rPr>
                    <w:t>2.8可视化大屏数据及交互面板支持数据分析能力，可以针对指标进行格式编辑、筛选、排序、TopN功能；支持数据筛选功能；有交互场景的元素支持事件相应，例如放置一个按钮，点击后希望切换标签页表现，则通过事件系统对该元素的点击事件作出响应，变更某一标签页的状态。</w:t>
                  </w:r>
                  <w:r>
                    <w:rPr>
                      <w:sz w:val="19"/>
                      <w:b/>
                    </w:rPr>
                    <w:t>（须提供所投产品中</w:t>
                  </w:r>
                  <w:r>
                    <w:rPr>
                      <w:sz w:val="19"/>
                      <w:b/>
                    </w:rPr>
                    <w:t>SQL补全方法等相关发明专利并提供专利证书扫描件和国家知识产权局专利检索及分析平台的有效查询截图）</w:t>
                  </w:r>
                </w:p>
                <w:p>
                  <w:pPr>
                    <w:pStyle w:val="null3"/>
                    <w:jc w:val="both"/>
                  </w:pPr>
                  <w:r>
                    <w:rPr>
                      <w:sz w:val="19"/>
                    </w:rPr>
                    <w:t>▲</w:t>
                  </w:r>
                  <w:r>
                    <w:rPr>
                      <w:sz w:val="19"/>
                    </w:rPr>
                    <w:t>2.9支持配置响应生效条件，能够在一个事件触发时根据不同条件触发不同响应；支持表达式语法，提供内置函数和变量，事件系统支持基于运行时信息、业务数据做条件判断。</w:t>
                  </w:r>
                  <w:r>
                    <w:rPr>
                      <w:sz w:val="19"/>
                      <w:b/>
                    </w:rPr>
                    <w:t>（</w:t>
                  </w:r>
                  <w:r>
                    <w:rPr>
                      <w:sz w:val="19"/>
                      <w:b/>
                    </w:rPr>
                    <w:t>提供截图证明，并加盖公章</w:t>
                  </w:r>
                  <w:r>
                    <w:rPr>
                      <w:sz w:val="19"/>
                      <w:b/>
                    </w:rPr>
                    <w:t>）</w:t>
                  </w:r>
                </w:p>
                <w:p>
                  <w:pPr>
                    <w:pStyle w:val="null3"/>
                    <w:jc w:val="both"/>
                  </w:pPr>
                  <w:r>
                    <w:rPr>
                      <w:sz w:val="19"/>
                    </w:rPr>
                    <w:t>2.10具备语法计算，大屏支持针对变更进行表达式书写，在进行事件配置时，需要改变的值可能是一个需要计算的值，而非某个确切的值。比如希望在标签页切换到最后的时候换回第一个。</w:t>
                  </w:r>
                </w:p>
                <w:p>
                  <w:pPr>
                    <w:pStyle w:val="null3"/>
                    <w:jc w:val="both"/>
                  </w:pPr>
                  <w:r>
                    <w:rPr>
                      <w:sz w:val="19"/>
                    </w:rPr>
                    <w:t>2.11支持将大屏设置为模板，支持配置模板的名称、封面、可见范围（公开、部分项目、不公开）和数据脱敏，支持对模板信息修改。项目内所有用户可共享可见范围为公开/给本项目开放的模板，创建者和管理员可看到不公开模板。用户可在新建大屏时，选择可用的模板进行复用。</w:t>
                  </w:r>
                </w:p>
                <w:p>
                  <w:pPr>
                    <w:pStyle w:val="null3"/>
                    <w:jc w:val="both"/>
                  </w:pPr>
                  <w:r>
                    <w:rPr>
                      <w:sz w:val="19"/>
                    </w:rPr>
                    <w:t>2.12支持按照大屏的规范开发组件并在大屏中接入使用，满足用户对大屏组件的多样性定制化需求。自定义组件管理模块，支持对自定义组件进行在大屏的接入和移除操作。</w:t>
                  </w:r>
                </w:p>
                <w:p>
                  <w:pPr>
                    <w:pStyle w:val="null3"/>
                    <w:jc w:val="both"/>
                  </w:pPr>
                  <w:r>
                    <w:rPr>
                      <w:sz w:val="19"/>
                    </w:rPr>
                    <w:t>2.13 提供不少于10种默认组件，包括但不限于标题、文本、图片、视频、网页、时间、日期等。</w:t>
                  </w:r>
                </w:p>
                <w:p>
                  <w:pPr>
                    <w:pStyle w:val="null3"/>
                    <w:jc w:val="both"/>
                  </w:pPr>
                  <w:r>
                    <w:rPr>
                      <w:sz w:val="19"/>
                    </w:rPr>
                    <w:t>2.14 提供不少于10种图表组件，包括但不限于翻牌器、表格、柱状图、条形图、折线图、词云图等。</w:t>
                  </w:r>
                </w:p>
                <w:p>
                  <w:pPr>
                    <w:pStyle w:val="null3"/>
                    <w:jc w:val="both"/>
                  </w:pPr>
                  <w:r>
                    <w:rPr>
                      <w:sz w:val="19"/>
                    </w:rPr>
                    <w:t>2.15 提供不少于4种场景组件，包括但不限于2D中国地图、2D世界地图、3D地图、3D地球等。</w:t>
                  </w:r>
                </w:p>
                <w:p>
                  <w:pPr>
                    <w:pStyle w:val="null3"/>
                    <w:jc w:val="both"/>
                  </w:pPr>
                  <w:r>
                    <w:rPr>
                      <w:sz w:val="19"/>
                    </w:rPr>
                    <w:t>2.16 提供用于对数字大屏进行装饰的素材不少于20种，包括但不限于主标题背景、小标题背景、装饰线、图标等。</w:t>
                  </w:r>
                </w:p>
                <w:p>
                  <w:pPr>
                    <w:pStyle w:val="null3"/>
                    <w:jc w:val="both"/>
                  </w:pPr>
                  <w:r>
                    <w:rPr>
                      <w:sz w:val="19"/>
                    </w:rPr>
                    <w:t>2.17 提供</w:t>
                  </w:r>
                  <w:r>
                    <w:rPr>
                      <w:sz w:val="19"/>
                    </w:rPr>
                    <w:t>数字大屏</w:t>
                  </w:r>
                  <w:r>
                    <w:rPr>
                      <w:sz w:val="19"/>
                    </w:rPr>
                    <w:t>系统使用文档不少于</w:t>
                  </w:r>
                  <w:r>
                    <w:rPr>
                      <w:sz w:val="19"/>
                    </w:rPr>
                    <w:t>1份。</w:t>
                  </w:r>
                </w:p>
                <w:p>
                  <w:pPr>
                    <w:pStyle w:val="null3"/>
                    <w:jc w:val="both"/>
                  </w:pPr>
                  <w:r>
                    <w:rPr>
                      <w:sz w:val="19"/>
                      <w:b/>
                    </w:rPr>
                    <w:t>3. 数字孪生web端场景编辑器</w:t>
                  </w:r>
                </w:p>
                <w:p>
                  <w:pPr>
                    <w:pStyle w:val="null3"/>
                    <w:jc w:val="both"/>
                  </w:pPr>
                  <w:r>
                    <w:rPr>
                      <w:sz w:val="19"/>
                    </w:rPr>
                    <w:t>3.1 基于完全自研渲染引擎，支持基于网页端在线搭建三维场景，提高三维场景的搭建效率。</w:t>
                  </w:r>
                  <w:r>
                    <w:rPr>
                      <w:sz w:val="19"/>
                      <w:b/>
                    </w:rPr>
                    <w:t>（须提供所投产品中表格渲染方法等相关发明专利并提供专利证书扫描件和国家知识产权局专利检索及分析平台的有效查询截图）</w:t>
                  </w:r>
                </w:p>
                <w:p>
                  <w:pPr>
                    <w:pStyle w:val="null3"/>
                    <w:jc w:val="both"/>
                  </w:pPr>
                  <w:r>
                    <w:rPr>
                      <w:sz w:val="19"/>
                    </w:rPr>
                    <w:t>3.2支持通过</w:t>
                  </w:r>
                  <w:r>
                    <w:rPr>
                      <w:sz w:val="19"/>
                    </w:rPr>
                    <w:t>“</w:t>
                  </w:r>
                  <w:r>
                    <w:rPr>
                      <w:sz w:val="19"/>
                    </w:rPr>
                    <w:t>新建应用</w:t>
                  </w:r>
                  <w:r>
                    <w:rPr>
                      <w:sz w:val="19"/>
                    </w:rPr>
                    <w:t>”</w:t>
                  </w:r>
                  <w:r>
                    <w:rPr>
                      <w:sz w:val="19"/>
                    </w:rPr>
                    <w:t>按钮新建一个</w:t>
                  </w:r>
                  <w:r>
                    <w:rPr>
                      <w:sz w:val="19"/>
                    </w:rPr>
                    <w:t>3D场景，支持设置应用名称、上传应用封面，方便多场景的标识和识别。应用被创建后，支持对应用进行重命名、复制、删除等操作。</w:t>
                  </w:r>
                </w:p>
                <w:p>
                  <w:pPr>
                    <w:pStyle w:val="null3"/>
                    <w:jc w:val="both"/>
                  </w:pPr>
                  <w:r>
                    <w:rPr>
                      <w:sz w:val="19"/>
                    </w:rPr>
                    <w:t>3.3产品提供丰富的编辑器功能，支持调试基础场景环境参数，支持对模型进行移动、旋转、二次编辑等操作，支持嵌入大屏用于可视化应用构建，支持对3</w:t>
                  </w:r>
                  <w:r>
                    <w:rPr>
                      <w:sz w:val="19"/>
                    </w:rPr>
                    <w:t>D</w:t>
                  </w:r>
                  <w:r>
                    <w:rPr>
                      <w:sz w:val="19"/>
                    </w:rPr>
                    <w:t>元素进行交互配置和数据配置。</w:t>
                  </w:r>
                </w:p>
                <w:p>
                  <w:pPr>
                    <w:pStyle w:val="null3"/>
                    <w:jc w:val="both"/>
                  </w:pPr>
                  <w:r>
                    <w:rPr>
                      <w:sz w:val="19"/>
                    </w:rPr>
                    <w:t>3.4 支持基于地理数据驱动的POI点位展示，与城市自动化生成功能结合使用展示POI的分布及信息，通过hover交互展示POI详细信息。</w:t>
                  </w:r>
                </w:p>
                <w:p>
                  <w:pPr>
                    <w:pStyle w:val="null3"/>
                    <w:jc w:val="both"/>
                  </w:pPr>
                  <w:r>
                    <w:rPr>
                      <w:sz w:val="19"/>
                    </w:rPr>
                    <w:t>▲</w:t>
                  </w:r>
                  <w:r>
                    <w:rPr>
                      <w:sz w:val="19"/>
                    </w:rPr>
                    <w:t>3.5场景内的交互逻辑配置由状态 + 事件组合构成。编辑器支持为场景元素存储多个状态，每个状态记录一组场景元素的属性配置。支持配置通过“点击模型”等交互事件驱动场景元素在多个状态之间切换的动画。</w:t>
                  </w:r>
                  <w:r>
                    <w:rPr>
                      <w:sz w:val="19"/>
                      <w:b/>
                    </w:rPr>
                    <w:t>（</w:t>
                  </w:r>
                  <w:r>
                    <w:rPr>
                      <w:sz w:val="19"/>
                      <w:b/>
                    </w:rPr>
                    <w:t>提供截图证明，并加盖公章</w:t>
                  </w:r>
                  <w:r>
                    <w:rPr>
                      <w:sz w:val="19"/>
                      <w:b/>
                    </w:rPr>
                    <w:t>）</w:t>
                  </w:r>
                </w:p>
                <w:p>
                  <w:pPr>
                    <w:pStyle w:val="null3"/>
                    <w:jc w:val="both"/>
                  </w:pPr>
                  <w:r>
                    <w:rPr>
                      <w:sz w:val="19"/>
                    </w:rPr>
                    <w:t>3.6 系统资产库为平台默认提供给用户搭建场景所需的常见模型和材质，可在此处预览、搜索，也可在场景编辑中直接使用。我的资产库包括用户已上传的模型库，以及上传入口，在这里，用户可以上传并管理自己的模型。</w:t>
                  </w:r>
                </w:p>
                <w:p>
                  <w:pPr>
                    <w:pStyle w:val="null3"/>
                    <w:jc w:val="both"/>
                  </w:pPr>
                  <w:r>
                    <w:rPr>
                      <w:sz w:val="19"/>
                    </w:rPr>
                    <w:t>3.</w:t>
                  </w:r>
                  <w:r>
                    <w:rPr>
                      <w:sz w:val="19"/>
                    </w:rPr>
                    <w:t>7</w:t>
                  </w:r>
                  <w:r>
                    <w:rPr>
                      <w:sz w:val="19"/>
                    </w:rPr>
                    <w:t xml:space="preserve"> </w:t>
                  </w:r>
                  <w:r>
                    <w:rPr>
                      <w:sz w:val="19"/>
                    </w:rPr>
                    <w:t>支持上传</w:t>
                  </w:r>
                  <w:r>
                    <w:rPr>
                      <w:sz w:val="19"/>
                    </w:rPr>
                    <w:t>geojson格式的业务数据。</w:t>
                  </w:r>
                </w:p>
                <w:p>
                  <w:pPr>
                    <w:pStyle w:val="null3"/>
                    <w:jc w:val="both"/>
                  </w:pPr>
                  <w:r>
                    <w:rPr>
                      <w:sz w:val="19"/>
                    </w:rPr>
                    <w:t>3.</w:t>
                  </w:r>
                  <w:r>
                    <w:rPr>
                      <w:sz w:val="19"/>
                    </w:rPr>
                    <w:t>8</w:t>
                  </w:r>
                  <w:r>
                    <w:rPr>
                      <w:sz w:val="19"/>
                    </w:rPr>
                    <w:t xml:space="preserve"> </w:t>
                  </w:r>
                  <w:r>
                    <w:rPr>
                      <w:sz w:val="19"/>
                    </w:rPr>
                    <w:t>支持上传</w:t>
                  </w:r>
                  <w:r>
                    <w:rPr>
                      <w:sz w:val="19"/>
                    </w:rPr>
                    <w:t>glb\gltf格式</w:t>
                  </w:r>
                  <w:r>
                    <w:rPr>
                      <w:sz w:val="19"/>
                    </w:rPr>
                    <w:t>的</w:t>
                  </w:r>
                  <w:r>
                    <w:rPr>
                      <w:sz w:val="19"/>
                    </w:rPr>
                    <w:t>模型，并支持设置模型的名称、封面、标签等信息。</w:t>
                  </w:r>
                </w:p>
                <w:p>
                  <w:pPr>
                    <w:pStyle w:val="null3"/>
                    <w:jc w:val="both"/>
                  </w:pPr>
                  <w:r>
                    <w:rPr>
                      <w:sz w:val="19"/>
                    </w:rPr>
                    <w:t>3.</w:t>
                  </w:r>
                  <w:r>
                    <w:rPr>
                      <w:sz w:val="19"/>
                    </w:rPr>
                    <w:t>9</w:t>
                  </w:r>
                  <w:r>
                    <w:rPr>
                      <w:sz w:val="19"/>
                    </w:rPr>
                    <w:t xml:space="preserve"> </w:t>
                  </w:r>
                  <w:r>
                    <w:rPr>
                      <w:sz w:val="19"/>
                    </w:rPr>
                    <w:t>支持采用</w:t>
                  </w:r>
                  <w:r>
                    <w:rPr>
                      <w:sz w:val="19"/>
                    </w:rPr>
                    <w:t>PBR材质通道，支持对模型的材质进行编辑，可编辑的要素</w:t>
                  </w:r>
                  <w:r>
                    <w:rPr>
                      <w:sz w:val="19"/>
                    </w:rPr>
                    <w:t>不少于</w:t>
                  </w:r>
                  <w:r>
                    <w:rPr>
                      <w:sz w:val="19"/>
                    </w:rPr>
                    <w:t>10种，</w:t>
                  </w:r>
                  <w:r>
                    <w:rPr>
                      <w:sz w:val="19"/>
                    </w:rPr>
                    <w:t>包括</w:t>
                  </w:r>
                  <w:r>
                    <w:rPr>
                      <w:sz w:val="19"/>
                    </w:rPr>
                    <w:t>但不限于</w:t>
                  </w:r>
                  <w:r>
                    <w:rPr>
                      <w:sz w:val="19"/>
                    </w:rPr>
                    <w:t>UV缩放、基础色、基础色贴图、金属度、粗糙度、金属度和粗糙度贴图、法线贴图、环境光遮蔽强度、自发光等。</w:t>
                  </w:r>
                </w:p>
                <w:p>
                  <w:pPr>
                    <w:pStyle w:val="null3"/>
                    <w:jc w:val="both"/>
                  </w:pPr>
                  <w:r>
                    <w:rPr>
                      <w:sz w:val="19"/>
                    </w:rPr>
                    <w:t xml:space="preserve">3.10 </w:t>
                  </w:r>
                  <w:r>
                    <w:rPr>
                      <w:sz w:val="19"/>
                    </w:rPr>
                    <w:t>系统资产库</w:t>
                  </w:r>
                  <w:r>
                    <w:rPr>
                      <w:sz w:val="19"/>
                    </w:rPr>
                    <w:t>中提供不少于</w:t>
                  </w:r>
                  <w:r>
                    <w:rPr>
                      <w:sz w:val="19"/>
                    </w:rPr>
                    <w:t>30个模型资产。</w:t>
                  </w:r>
                </w:p>
                <w:p>
                  <w:pPr>
                    <w:pStyle w:val="null3"/>
                    <w:jc w:val="both"/>
                  </w:pPr>
                  <w:r>
                    <w:rPr>
                      <w:sz w:val="19"/>
                    </w:rPr>
                    <w:t xml:space="preserve">3.11 </w:t>
                  </w:r>
                  <w:r>
                    <w:rPr>
                      <w:sz w:val="19"/>
                    </w:rPr>
                    <w:t>系统资产库</w:t>
                  </w:r>
                  <w:r>
                    <w:rPr>
                      <w:sz w:val="19"/>
                    </w:rPr>
                    <w:t>中提供不少于</w:t>
                  </w:r>
                  <w:r>
                    <w:rPr>
                      <w:sz w:val="19"/>
                    </w:rPr>
                    <w:t>30个材质资产。</w:t>
                  </w:r>
                </w:p>
                <w:p>
                  <w:pPr>
                    <w:pStyle w:val="null3"/>
                    <w:jc w:val="both"/>
                  </w:pPr>
                  <w:r>
                    <w:rPr>
                      <w:sz w:val="19"/>
                    </w:rPr>
                    <w:t>3.12 提供</w:t>
                  </w:r>
                  <w:r>
                    <w:rPr>
                      <w:sz w:val="19"/>
                    </w:rPr>
                    <w:t>数字孪生</w:t>
                  </w:r>
                  <w:r>
                    <w:rPr>
                      <w:sz w:val="19"/>
                    </w:rPr>
                    <w:t>web端场景编辑器</w:t>
                  </w:r>
                  <w:r>
                    <w:rPr>
                      <w:sz w:val="19"/>
                    </w:rPr>
                    <w:t>使用文档不少于</w:t>
                  </w:r>
                  <w:r>
                    <w:rPr>
                      <w:sz w:val="19"/>
                    </w:rPr>
                    <w:t>1份。</w:t>
                  </w:r>
                </w:p>
                <w:p>
                  <w:pPr>
                    <w:pStyle w:val="null3"/>
                    <w:jc w:val="both"/>
                  </w:pPr>
                  <w:r>
                    <w:rPr>
                      <w:sz w:val="19"/>
                      <w:b/>
                    </w:rPr>
                    <w:t>4.三维城市自动化构建系统</w:t>
                  </w:r>
                </w:p>
                <w:p>
                  <w:pPr>
                    <w:pStyle w:val="null3"/>
                    <w:jc w:val="both"/>
                  </w:pPr>
                  <w:r>
                    <w:rPr>
                      <w:sz w:val="19"/>
                    </w:rPr>
                    <w:t xml:space="preserve">4.1 </w:t>
                  </w:r>
                  <w:r>
                    <w:rPr>
                      <w:sz w:val="19"/>
                    </w:rPr>
                    <w:t>内置</w:t>
                  </w:r>
                  <w:r>
                    <w:rPr>
                      <w:sz w:val="19"/>
                    </w:rPr>
                    <w:t>40+种自动化建模算法，实现自动构建L1-L2级别全要素城市三维模型，包括世界生成器、数据映射算法库。</w:t>
                  </w:r>
                  <w:r>
                    <w:rPr>
                      <w:sz w:val="19"/>
                      <w:b/>
                    </w:rPr>
                    <w:t>（</w:t>
                  </w:r>
                  <w:r>
                    <w:rPr>
                      <w:sz w:val="19"/>
                      <w:b/>
                    </w:rPr>
                    <w:t>提供</w:t>
                  </w:r>
                  <w:r>
                    <w:rPr>
                      <w:sz w:val="19"/>
                      <w:b/>
                    </w:rPr>
                    <w:t>产品演示）</w:t>
                  </w:r>
                </w:p>
                <w:p>
                  <w:pPr>
                    <w:pStyle w:val="null3"/>
                    <w:jc w:val="both"/>
                  </w:pPr>
                  <w:r>
                    <w:rPr>
                      <w:sz w:val="19"/>
                    </w:rPr>
                    <w:t xml:space="preserve">4.2 </w:t>
                  </w:r>
                  <w:r>
                    <w:rPr>
                      <w:sz w:val="19"/>
                    </w:rPr>
                    <w:t>世界生成器</w:t>
                  </w:r>
                  <w:r>
                    <w:rPr>
                      <w:sz w:val="19"/>
                    </w:rPr>
                    <w:t>提供不少于</w:t>
                  </w:r>
                  <w:r>
                    <w:rPr>
                      <w:sz w:val="19"/>
                    </w:rPr>
                    <w:t>20种三维孪生体自动生成算法</w:t>
                  </w:r>
                  <w:r>
                    <w:rPr>
                      <w:sz w:val="19"/>
                    </w:rPr>
                    <w:t>，</w:t>
                  </w:r>
                  <w:r>
                    <w:rPr>
                      <w:sz w:val="19"/>
                    </w:rPr>
                    <w:t>负责大规模自动化构建城市数字孪生的基础设施，包括建筑、道路、水体、地形</w:t>
                  </w:r>
                  <w:r>
                    <w:rPr>
                      <w:sz w:val="19"/>
                    </w:rPr>
                    <w:t>、</w:t>
                  </w:r>
                  <w:r>
                    <w:rPr>
                      <w:sz w:val="19"/>
                    </w:rPr>
                    <w:t>绿地、行政区划</w:t>
                  </w:r>
                  <w:r>
                    <w:rPr>
                      <w:sz w:val="19"/>
                    </w:rPr>
                    <w:t>等</w:t>
                  </w:r>
                  <w:r>
                    <w:rPr>
                      <w:sz w:val="19"/>
                    </w:rPr>
                    <w:t>。</w:t>
                  </w:r>
                </w:p>
                <w:p>
                  <w:pPr>
                    <w:pStyle w:val="null3"/>
                    <w:jc w:val="both"/>
                  </w:pPr>
                  <w:r>
                    <w:rPr>
                      <w:sz w:val="19"/>
                    </w:rPr>
                    <w:t xml:space="preserve">4.3 </w:t>
                  </w:r>
                  <w:r>
                    <w:rPr>
                      <w:sz w:val="19"/>
                    </w:rPr>
                    <w:t>数据映射算法库</w:t>
                  </w:r>
                  <w:r>
                    <w:rPr>
                      <w:sz w:val="19"/>
                    </w:rPr>
                    <w:t>提供</w:t>
                  </w:r>
                  <w:r>
                    <w:rPr>
                      <w:sz w:val="19"/>
                    </w:rPr>
                    <w:t>不少于</w:t>
                  </w:r>
                  <w:r>
                    <w:rPr>
                      <w:sz w:val="19"/>
                    </w:rPr>
                    <w:t>20种三维可视化</w:t>
                  </w:r>
                  <w:r>
                    <w:rPr>
                      <w:sz w:val="19"/>
                    </w:rPr>
                    <w:t>映射算法</w:t>
                  </w:r>
                  <w:r>
                    <w:rPr>
                      <w:sz w:val="19"/>
                    </w:rPr>
                    <w:t>，</w:t>
                  </w:r>
                  <w:r>
                    <w:rPr>
                      <w:sz w:val="19"/>
                    </w:rPr>
                    <w:t>将带有地理坐标的业务数据通过可视化编码</w:t>
                  </w:r>
                  <w:r>
                    <w:rPr>
                      <w:sz w:val="19"/>
                    </w:rPr>
                    <w:t>，</w:t>
                  </w:r>
                  <w:r>
                    <w:rPr>
                      <w:sz w:val="19"/>
                    </w:rPr>
                    <w:t>映射到三维场景中的几何体</w:t>
                  </w:r>
                  <w:r>
                    <w:rPr>
                      <w:sz w:val="19"/>
                    </w:rPr>
                    <w:t>。</w:t>
                  </w:r>
                </w:p>
                <w:p>
                  <w:pPr>
                    <w:pStyle w:val="null3"/>
                    <w:jc w:val="both"/>
                  </w:pPr>
                  <w:r>
                    <w:rPr>
                      <w:sz w:val="19"/>
                    </w:rPr>
                    <w:t xml:space="preserve">4.4 </w:t>
                  </w:r>
                  <w:r>
                    <w:rPr>
                      <w:sz w:val="19"/>
                    </w:rPr>
                    <w:t>天气与时间仿真</w:t>
                  </w:r>
                  <w:r>
                    <w:rPr>
                      <w:sz w:val="19"/>
                    </w:rPr>
                    <w:t>功能，提供</w:t>
                  </w:r>
                  <w:r>
                    <w:rPr>
                      <w:sz w:val="19"/>
                    </w:rPr>
                    <w:t>不少于</w:t>
                  </w:r>
                  <w:r>
                    <w:rPr>
                      <w:sz w:val="19"/>
                    </w:rPr>
                    <w:t>10</w:t>
                  </w:r>
                  <w:r>
                    <w:rPr>
                      <w:sz w:val="19"/>
                    </w:rPr>
                    <w:t>种天气类型效果模拟，包括雨雪等；支持</w:t>
                  </w:r>
                  <w:r>
                    <w:rPr>
                      <w:sz w:val="19"/>
                    </w:rPr>
                    <w:t>0-24小时时间效果模拟。</w:t>
                  </w:r>
                </w:p>
                <w:p>
                  <w:pPr>
                    <w:pStyle w:val="null3"/>
                    <w:jc w:val="both"/>
                  </w:pPr>
                  <w:r>
                    <w:rPr>
                      <w:sz w:val="19"/>
                    </w:rPr>
                    <w:t>4.5 提供三维城市自动化构建系统使用文档不少于1份。</w:t>
                  </w:r>
                </w:p>
                <w:p>
                  <w:pPr>
                    <w:pStyle w:val="null3"/>
                    <w:jc w:val="both"/>
                  </w:pPr>
                  <w:r>
                    <w:rPr>
                      <w:sz w:val="19"/>
                      <w:b/>
                    </w:rPr>
                    <w:t>5. 孪生大模型应用</w:t>
                  </w:r>
                </w:p>
                <w:p>
                  <w:pPr>
                    <w:pStyle w:val="null3"/>
                    <w:jc w:val="both"/>
                  </w:pPr>
                  <w:r>
                    <w:rPr>
                      <w:sz w:val="19"/>
                    </w:rPr>
                    <w:t>5.1</w:t>
                  </w:r>
                  <w:r>
                    <w:rPr>
                      <w:sz w:val="19"/>
                    </w:rPr>
                    <w:t xml:space="preserve"> </w:t>
                  </w:r>
                  <w:r>
                    <w:rPr>
                      <w:sz w:val="19"/>
                    </w:rPr>
                    <w:t>智能问答：基于</w:t>
                  </w:r>
                  <w:r>
                    <w:rPr>
                      <w:sz w:val="19"/>
                    </w:rPr>
                    <w:t>LLM自身知识库，支持在可视化大屏场景中与LLM进行交互式对话，以简要的自然文本回答用户提出的问题。</w:t>
                  </w:r>
                </w:p>
                <w:p>
                  <w:pPr>
                    <w:pStyle w:val="null3"/>
                    <w:jc w:val="both"/>
                  </w:pPr>
                  <w:r>
                    <w:rPr>
                      <w:sz w:val="19"/>
                    </w:rPr>
                    <w:t>▲</w:t>
                  </w:r>
                  <w:r>
                    <w:rPr>
                      <w:sz w:val="19"/>
                    </w:rPr>
                    <w:t>5.2 智能交互：支持基于已搭建的可视化大屏，通过LLM实现大屏的交互控制，具体包括专题切换、GIS下钻、下拉菜单选择、Tab页切换。</w:t>
                  </w:r>
                  <w:r>
                    <w:rPr>
                      <w:sz w:val="19"/>
                      <w:b/>
                    </w:rPr>
                    <w:t>（</w:t>
                  </w:r>
                  <w:r>
                    <w:rPr>
                      <w:sz w:val="19"/>
                      <w:b/>
                    </w:rPr>
                    <w:t>提供截图证明，并加盖公章</w:t>
                  </w:r>
                  <w:r>
                    <w:rPr>
                      <w:sz w:val="19"/>
                      <w:b/>
                    </w:rPr>
                    <w:t>）</w:t>
                  </w:r>
                </w:p>
                <w:p>
                  <w:pPr>
                    <w:pStyle w:val="null3"/>
                    <w:jc w:val="both"/>
                  </w:pPr>
                  <w:r>
                    <w:rPr>
                      <w:sz w:val="19"/>
                    </w:rPr>
                    <w:t>5.3 智能问数：基于大模型技术，支持对接入系统的数据集通过自然语言实现数据查询（问数），支持以图表的方式呈现问数结果，支持将问数的结果导出。</w:t>
                  </w:r>
                  <w:r>
                    <w:rPr>
                      <w:sz w:val="19"/>
                      <w:b/>
                    </w:rPr>
                    <w:t>（须提供所投产品中确定提示词的方法等相关发明专利并提供专利证书扫描件和国家知识产权局专利检索及分析平台的有效查询截图）</w:t>
                  </w:r>
                </w:p>
                <w:p>
                  <w:pPr>
                    <w:pStyle w:val="null3"/>
                    <w:jc w:val="both"/>
                  </w:pPr>
                  <w:r>
                    <w:rPr>
                      <w:sz w:val="19"/>
                    </w:rPr>
                    <w:t>▲</w:t>
                  </w:r>
                  <w:r>
                    <w:rPr>
                      <w:sz w:val="19"/>
                    </w:rPr>
                    <w:t>5.4 解读分析：支持对常规图表的数据解读和分析，包含明细解读和归因分析，具体内容包括：数据描述、异常值解读、单图表数据的同环比分析、最大值、最小值分析、指标异动的归因分析。</w:t>
                  </w:r>
                  <w:r>
                    <w:rPr>
                      <w:sz w:val="19"/>
                      <w:b/>
                    </w:rPr>
                    <w:t>（</w:t>
                  </w:r>
                  <w:r>
                    <w:rPr>
                      <w:sz w:val="19"/>
                      <w:b/>
                    </w:rPr>
                    <w:t>提供截图证明，并加盖公章</w:t>
                  </w:r>
                  <w:r>
                    <w:rPr>
                      <w:sz w:val="19"/>
                      <w:b/>
                    </w:rPr>
                    <w:t>）</w:t>
                  </w:r>
                </w:p>
                <w:p>
                  <w:pPr>
                    <w:pStyle w:val="null3"/>
                    <w:jc w:val="both"/>
                  </w:pPr>
                  <w:r>
                    <w:rPr>
                      <w:sz w:val="19"/>
                    </w:rPr>
                    <w:t xml:space="preserve">5.5 </w:t>
                  </w:r>
                  <w:r>
                    <w:rPr>
                      <w:sz w:val="20"/>
                    </w:rPr>
                    <w:t>对于行业领域的专有名词、术语和指标，支持进行指标术语配置，包括名称、描述、依赖字段、别名等。</w:t>
                  </w:r>
                </w:p>
                <w:p>
                  <w:pPr>
                    <w:pStyle w:val="null3"/>
                    <w:jc w:val="both"/>
                  </w:pPr>
                  <w:r>
                    <w:rPr>
                      <w:sz w:val="19"/>
                    </w:rPr>
                    <w:t>5.</w:t>
                  </w:r>
                  <w:r>
                    <w:rPr>
                      <w:sz w:val="19"/>
                    </w:rPr>
                    <w:t>6</w:t>
                  </w:r>
                  <w:r>
                    <w:rPr>
                      <w:sz w:val="19"/>
                    </w:rPr>
                    <w:t xml:space="preserve"> </w:t>
                  </w:r>
                  <w:r>
                    <w:rPr>
                      <w:sz w:val="19"/>
                    </w:rPr>
                    <w:t>支持</w:t>
                  </w:r>
                  <w:r>
                    <w:rPr>
                      <w:sz w:val="19"/>
                    </w:rPr>
                    <w:t>展示大模型查询问数的思考过程和计算逻辑，支持流式输出。</w:t>
                  </w:r>
                </w:p>
                <w:p>
                  <w:pPr>
                    <w:pStyle w:val="null3"/>
                    <w:jc w:val="both"/>
                  </w:pPr>
                  <w:r>
                    <w:rPr>
                      <w:sz w:val="19"/>
                    </w:rPr>
                    <w:t>5.7 提供孪生大模型应用使用文档不少于1份。</w:t>
                  </w:r>
                </w:p>
                <w:p>
                  <w:pPr>
                    <w:pStyle w:val="null3"/>
                    <w:jc w:val="both"/>
                  </w:pPr>
                  <w:r>
                    <w:rPr>
                      <w:sz w:val="19"/>
                    </w:rPr>
                    <w:t>6</w:t>
                  </w:r>
                  <w:r>
                    <w:rPr>
                      <w:sz w:val="19"/>
                    </w:rPr>
                    <w:t>. 支持</w:t>
                  </w:r>
                  <w:r>
                    <w:rPr>
                      <w:sz w:val="19"/>
                    </w:rPr>
                    <w:t>不少于</w:t>
                  </w:r>
                  <w:r>
                    <w:rPr>
                      <w:sz w:val="19"/>
                    </w:rPr>
                    <w:t>50个实训开发终端接入平台访问。</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虚拟现实资源开发大模型一体机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01"/>
              <w:gridCol w:w="581"/>
              <w:gridCol w:w="3411"/>
              <w:gridCol w:w="401"/>
              <w:gridCol w:w="401"/>
              <w:gridCol w:w="401"/>
            </w:tblGrid>
            <w:tr>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w:t>
                  </w:r>
                </w:p>
                <w:p>
                  <w:pPr>
                    <w:pStyle w:val="null3"/>
                    <w:jc w:val="center"/>
                  </w:pPr>
                  <w:r>
                    <w:rPr>
                      <w:sz w:val="21"/>
                      <w:b/>
                    </w:rPr>
                    <w:t>名称</w:t>
                  </w:r>
                </w:p>
              </w:tc>
              <w:tc>
                <w:tcPr>
                  <w:tcW w:type="dxa" w:w="3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技术规格、参数及要求</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虚拟现实资源开发大模型一体机</w:t>
                  </w:r>
                </w:p>
              </w:tc>
              <w:tc>
                <w:tcPr>
                  <w:tcW w:type="dxa" w:w="3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一、一体机设备规格</w:t>
                  </w:r>
                </w:p>
                <w:p>
                  <w:pPr>
                    <w:pStyle w:val="null3"/>
                    <w:jc w:val="both"/>
                  </w:pPr>
                  <w:r>
                    <w:rPr>
                      <w:sz w:val="19"/>
                    </w:rPr>
                    <w:t>详见附表三</w:t>
                  </w:r>
                </w:p>
                <w:p>
                  <w:pPr>
                    <w:pStyle w:val="null3"/>
                    <w:jc w:val="both"/>
                  </w:pPr>
                  <w:r>
                    <w:rPr>
                      <w:sz w:val="19"/>
                    </w:rPr>
                    <w:t>二、</w:t>
                  </w:r>
                  <w:r>
                    <w:rPr>
                      <w:sz w:val="19"/>
                    </w:rPr>
                    <w:t>软件</w:t>
                  </w:r>
                  <w:r>
                    <w:rPr>
                      <w:sz w:val="19"/>
                    </w:rPr>
                    <w:t>资源</w:t>
                  </w:r>
                </w:p>
                <w:p>
                  <w:pPr>
                    <w:pStyle w:val="null3"/>
                    <w:jc w:val="both"/>
                  </w:pPr>
                  <w:r>
                    <w:rPr>
                      <w:sz w:val="19"/>
                    </w:rPr>
                    <w:t>1. 实训项目库</w:t>
                  </w:r>
                </w:p>
                <w:p>
                  <w:pPr>
                    <w:pStyle w:val="null3"/>
                    <w:jc w:val="both"/>
                  </w:pPr>
                  <w:r>
                    <w:rPr>
                      <w:sz w:val="19"/>
                    </w:rPr>
                    <w:t>▲</w:t>
                  </w:r>
                  <w:r>
                    <w:rPr>
                      <w:sz w:val="19"/>
                    </w:rPr>
                    <w:t>1</w:t>
                  </w:r>
                  <w:r>
                    <w:rPr>
                      <w:sz w:val="19"/>
                    </w:rPr>
                    <w:t>.</w:t>
                  </w:r>
                  <w:r>
                    <w:rPr>
                      <w:sz w:val="19"/>
                    </w:rPr>
                    <w:t>1 基础技能实训，包括数据连接、数据集、可视化建模、可视化查询、仪表盘、权限管理</w:t>
                  </w:r>
                  <w:r>
                    <w:rPr>
                      <w:sz w:val="19"/>
                    </w:rPr>
                    <w:t>、</w:t>
                  </w:r>
                  <w:r>
                    <w:rPr>
                      <w:sz w:val="19"/>
                    </w:rPr>
                    <w:t>可视化查询进阶</w:t>
                  </w:r>
                  <w:r>
                    <w:rPr>
                      <w:sz w:val="19"/>
                    </w:rPr>
                    <w:t>、</w:t>
                  </w:r>
                  <w:r>
                    <w:rPr>
                      <w:sz w:val="19"/>
                    </w:rPr>
                    <w:t>函数专项</w:t>
                  </w:r>
                  <w:r>
                    <w:rPr>
                      <w:sz w:val="19"/>
                    </w:rPr>
                    <w:t>、</w:t>
                  </w:r>
                  <w:r>
                    <w:rPr>
                      <w:sz w:val="19"/>
                    </w:rPr>
                    <w:t>智能体搭建、数字大屏</w:t>
                  </w:r>
                  <w:r>
                    <w:rPr>
                      <w:sz w:val="19"/>
                    </w:rPr>
                    <w:t>，共</w:t>
                  </w:r>
                  <w:r>
                    <w:rPr>
                      <w:sz w:val="19"/>
                    </w:rPr>
                    <w:t>10个基础项目。</w:t>
                  </w:r>
                  <w:r>
                    <w:rPr>
                      <w:sz w:val="19"/>
                    </w:rPr>
                    <w:t>每个</w:t>
                  </w:r>
                  <w:r>
                    <w:rPr>
                      <w:sz w:val="19"/>
                    </w:rPr>
                    <w:t>项目</w:t>
                  </w:r>
                  <w:r>
                    <w:rPr>
                      <w:sz w:val="19"/>
                    </w:rPr>
                    <w:t>需包含以下</w:t>
                  </w:r>
                  <w:r>
                    <w:rPr>
                      <w:sz w:val="19"/>
                    </w:rPr>
                    <w:t>资源</w:t>
                  </w:r>
                  <w:r>
                    <w:rPr>
                      <w:sz w:val="19"/>
                    </w:rPr>
                    <w:t>：技术文档页数不少于</w:t>
                  </w:r>
                  <w:r>
                    <w:rPr>
                      <w:sz w:val="19"/>
                    </w:rPr>
                    <w:t>3</w:t>
                  </w:r>
                  <w:r>
                    <w:rPr>
                      <w:sz w:val="19"/>
                    </w:rPr>
                    <w:t>0</w:t>
                  </w:r>
                  <w:r>
                    <w:rPr>
                      <w:sz w:val="19"/>
                    </w:rPr>
                    <w:t>页，</w:t>
                  </w:r>
                  <w:r>
                    <w:rPr>
                      <w:sz w:val="19"/>
                    </w:rPr>
                    <w:t>操作</w:t>
                  </w:r>
                  <w:r>
                    <w:rPr>
                      <w:sz w:val="19"/>
                    </w:rPr>
                    <w:t>视频时长不少于</w:t>
                  </w:r>
                  <w:r>
                    <w:rPr>
                      <w:sz w:val="19"/>
                    </w:rPr>
                    <w:t>15</w:t>
                  </w:r>
                  <w:r>
                    <w:rPr>
                      <w:sz w:val="19"/>
                    </w:rPr>
                    <w:t>分钟，项目素材文件</w:t>
                  </w:r>
                  <w:r>
                    <w:rPr>
                      <w:sz w:val="19"/>
                    </w:rPr>
                    <w:t>1套（数据、图片等）。</w:t>
                  </w:r>
                </w:p>
                <w:p>
                  <w:pPr>
                    <w:pStyle w:val="null3"/>
                    <w:jc w:val="both"/>
                  </w:pPr>
                  <w:r>
                    <w:rPr>
                      <w:sz w:val="19"/>
                    </w:rPr>
                    <w:t>▲</w:t>
                  </w:r>
                  <w:r>
                    <w:rPr>
                      <w:sz w:val="19"/>
                    </w:rPr>
                    <w:t>1</w:t>
                  </w:r>
                  <w:r>
                    <w:rPr>
                      <w:sz w:val="19"/>
                    </w:rPr>
                    <w:t>.</w:t>
                  </w:r>
                  <w:r>
                    <w:rPr>
                      <w:sz w:val="19"/>
                    </w:rPr>
                    <w:t>2</w:t>
                  </w:r>
                  <w:r>
                    <w:rPr>
                      <w:sz w:val="19"/>
                    </w:rPr>
                    <w:t xml:space="preserve"> </w:t>
                  </w:r>
                  <w:r>
                    <w:rPr>
                      <w:sz w:val="19"/>
                    </w:rPr>
                    <w:t>行业应用实训，包括汽车销售、新能源汽车驾驶舱、金融业务运营平台、电商直播平台、新零售消费可视化</w:t>
                  </w:r>
                  <w:r>
                    <w:rPr>
                      <w:sz w:val="19"/>
                    </w:rPr>
                    <w:t>、</w:t>
                  </w:r>
                  <w:r>
                    <w:rPr>
                      <w:sz w:val="19"/>
                    </w:rPr>
                    <w:t>智慧旅游平台</w:t>
                  </w:r>
                  <w:r>
                    <w:rPr>
                      <w:sz w:val="19"/>
                    </w:rPr>
                    <w:t>，共</w:t>
                  </w:r>
                  <w:r>
                    <w:rPr>
                      <w:sz w:val="19"/>
                    </w:rPr>
                    <w:t>6个</w:t>
                  </w:r>
                  <w:r>
                    <w:rPr>
                      <w:sz w:val="19"/>
                    </w:rPr>
                    <w:t>行业应用</w:t>
                  </w:r>
                  <w:r>
                    <w:rPr>
                      <w:sz w:val="19"/>
                    </w:rPr>
                    <w:t>实训</w:t>
                  </w:r>
                  <w:r>
                    <w:rPr>
                      <w:sz w:val="19"/>
                    </w:rPr>
                    <w:t>项目</w:t>
                  </w:r>
                  <w:r>
                    <w:rPr>
                      <w:sz w:val="19"/>
                    </w:rPr>
                    <w:t>。</w:t>
                  </w:r>
                  <w:r>
                    <w:rPr>
                      <w:sz w:val="19"/>
                    </w:rPr>
                    <w:t>每个项目需包含以下资源：技术文档页数不少于</w:t>
                  </w:r>
                  <w:r>
                    <w:rPr>
                      <w:sz w:val="19"/>
                    </w:rPr>
                    <w:t>30</w:t>
                  </w:r>
                  <w:r>
                    <w:rPr>
                      <w:sz w:val="19"/>
                    </w:rPr>
                    <w:t>页，操作视频时长不少于</w:t>
                  </w:r>
                  <w:r>
                    <w:rPr>
                      <w:sz w:val="19"/>
                    </w:rPr>
                    <w:t>15</w:t>
                  </w:r>
                  <w:r>
                    <w:rPr>
                      <w:sz w:val="19"/>
                    </w:rPr>
                    <w:t>分钟，项目素材文件</w:t>
                  </w:r>
                  <w:r>
                    <w:rPr>
                      <w:sz w:val="19"/>
                    </w:rPr>
                    <w:t>1套（数据、图片等）。</w:t>
                  </w:r>
                </w:p>
                <w:p>
                  <w:pPr>
                    <w:pStyle w:val="null3"/>
                    <w:jc w:val="both"/>
                  </w:pPr>
                  <w:r>
                    <w:rPr>
                      <w:sz w:val="19"/>
                    </w:rPr>
                    <w:t>▲</w:t>
                  </w:r>
                  <w:r>
                    <w:rPr>
                      <w:sz w:val="19"/>
                    </w:rPr>
                    <w:t>1</w:t>
                  </w:r>
                  <w:r>
                    <w:rPr>
                      <w:sz w:val="19"/>
                    </w:rPr>
                    <w:t>.</w:t>
                  </w:r>
                  <w:r>
                    <w:rPr>
                      <w:sz w:val="19"/>
                    </w:rPr>
                    <w:t>3</w:t>
                  </w:r>
                  <w:r>
                    <w:rPr>
                      <w:sz w:val="19"/>
                    </w:rPr>
                    <w:t xml:space="preserve"> </w:t>
                  </w:r>
                  <w:r>
                    <w:rPr>
                      <w:sz w:val="19"/>
                    </w:rPr>
                    <w:t>综合创新项目，包括智慧城市数字孪生项目（包含城市三维模型，城市总览、安防、民生、城市治理等专题应用</w:t>
                  </w:r>
                  <w:r>
                    <w:rPr>
                      <w:sz w:val="19"/>
                    </w:rPr>
                    <w:t>，</w:t>
                  </w:r>
                  <w:r>
                    <w:rPr>
                      <w:sz w:val="19"/>
                    </w:rPr>
                    <w:t>支持展示城市运行综合指标、支持展示不同类型的安防设备数据、支持展示区域内的民生数据、支持展示区域内的城市治理事件数据</w:t>
                  </w:r>
                  <w:r>
                    <w:rPr>
                      <w:sz w:val="19"/>
                    </w:rPr>
                    <w:t>）、智慧园区数字孪生项目（包含建筑园区三维模型，园区总览、智慧停车、能源管理、智能告警等专题应用）、智慧工厂数字孪生应用项目（包含工厂三维模型，内置工厂运行态势、设备监测、能源管理、安全等专题应用），共</w:t>
                  </w:r>
                  <w:r>
                    <w:rPr>
                      <w:sz w:val="19"/>
                    </w:rPr>
                    <w:t>3个完整数字孪生解决方案实训项目</w:t>
                  </w:r>
                  <w:r>
                    <w:rPr>
                      <w:sz w:val="19"/>
                    </w:rPr>
                    <w:t>。</w:t>
                  </w:r>
                  <w:r>
                    <w:rPr>
                      <w:sz w:val="19"/>
                    </w:rPr>
                    <w:t>每个专题应用需包含以下资源：技术文档页数不少于</w:t>
                  </w:r>
                  <w:r>
                    <w:rPr>
                      <w:sz w:val="19"/>
                    </w:rPr>
                    <w:t>30</w:t>
                  </w:r>
                  <w:r>
                    <w:rPr>
                      <w:sz w:val="19"/>
                    </w:rPr>
                    <w:t>页，操作视频时长不少于</w:t>
                  </w:r>
                  <w:r>
                    <w:rPr>
                      <w:sz w:val="19"/>
                    </w:rPr>
                    <w:t>15</w:t>
                  </w:r>
                  <w:r>
                    <w:rPr>
                      <w:sz w:val="19"/>
                    </w:rPr>
                    <w:t>分钟，项目素材文件</w:t>
                  </w:r>
                  <w:r>
                    <w:rPr>
                      <w:sz w:val="19"/>
                    </w:rPr>
                    <w:t>1套（三维模型</w:t>
                  </w:r>
                  <w:r>
                    <w:rPr>
                      <w:sz w:val="19"/>
                    </w:rPr>
                    <w:t>、</w:t>
                  </w:r>
                  <w:r>
                    <w:rPr>
                      <w:sz w:val="19"/>
                    </w:rPr>
                    <w:t>数据等）。</w:t>
                  </w:r>
                </w:p>
                <w:p>
                  <w:pPr>
                    <w:pStyle w:val="null3"/>
                    <w:jc w:val="both"/>
                  </w:pPr>
                  <w:r>
                    <w:rPr>
                      <w:sz w:val="19"/>
                    </w:rPr>
                    <w:t>2. 配套教学资料</w:t>
                  </w:r>
                </w:p>
                <w:p>
                  <w:pPr>
                    <w:pStyle w:val="null3"/>
                    <w:jc w:val="both"/>
                  </w:pPr>
                  <w:r>
                    <w:rPr>
                      <w:sz w:val="19"/>
                    </w:rPr>
                    <w:t>2</w:t>
                  </w:r>
                  <w:r>
                    <w:rPr>
                      <w:sz w:val="19"/>
                    </w:rPr>
                    <w:t>.</w:t>
                  </w:r>
                  <w:r>
                    <w:rPr>
                      <w:sz w:val="19"/>
                    </w:rPr>
                    <w:t>1 操作手册（含80+图文教程），内容包括：</w:t>
                  </w:r>
                </w:p>
                <w:p>
                  <w:pPr>
                    <w:pStyle w:val="null3"/>
                    <w:jc w:val="both"/>
                  </w:pPr>
                  <w:r>
                    <w:rPr>
                      <w:sz w:val="19"/>
                    </w:rPr>
                    <w:t>（</w:t>
                  </w:r>
                  <w:r>
                    <w:rPr>
                      <w:sz w:val="19"/>
                    </w:rPr>
                    <w:t>1）数据准备：数据连接、数据集、可视化建模、SQL查询</w:t>
                  </w:r>
                </w:p>
                <w:p>
                  <w:pPr>
                    <w:pStyle w:val="null3"/>
                    <w:jc w:val="both"/>
                  </w:pPr>
                  <w:r>
                    <w:rPr>
                      <w:sz w:val="19"/>
                    </w:rPr>
                    <w:t>（</w:t>
                  </w:r>
                  <w:r>
                    <w:rPr>
                      <w:sz w:val="19"/>
                    </w:rPr>
                    <w:t>2）可视化查询与分析：概述、字段列表、图表介绍、图表配置、分析配置、字段配置、筛选配置、整体配置、函数</w:t>
                  </w:r>
                </w:p>
                <w:p>
                  <w:pPr>
                    <w:pStyle w:val="null3"/>
                    <w:jc w:val="both"/>
                  </w:pPr>
                  <w:r>
                    <w:rPr>
                      <w:sz w:val="19"/>
                    </w:rPr>
                    <w:t>（</w:t>
                  </w:r>
                  <w:r>
                    <w:rPr>
                      <w:sz w:val="19"/>
                    </w:rPr>
                    <w:t>3）仪表盘构建与查看：概述、仪表盘编辑、网页仪表盘、仪表盘模版、仪表盘列表操作、仪表盘阅览操作、仪表盘版本管理、上钻下钻、图表联动、图表跳转、智能归因、交互事件、分享协同</w:t>
                  </w:r>
                </w:p>
                <w:p>
                  <w:pPr>
                    <w:pStyle w:val="null3"/>
                    <w:jc w:val="both"/>
                  </w:pPr>
                  <w:r>
                    <w:rPr>
                      <w:sz w:val="19"/>
                    </w:rPr>
                    <w:t>（</w:t>
                  </w:r>
                  <w:r>
                    <w:rPr>
                      <w:sz w:val="19"/>
                    </w:rPr>
                    <w:t>4）数字大屏：概述、数字大屏效果、数字大屏编辑快捷键、可视化组件、数据来源、事件交互、搭建技巧、数字大屏管理、数字大屏搭建助手、数字大屏自定义模版、数字大屏演播厅、数字大屏发布功能、数字大屏资源管理</w:t>
                  </w:r>
                </w:p>
                <w:p>
                  <w:pPr>
                    <w:pStyle w:val="null3"/>
                    <w:jc w:val="both"/>
                  </w:pPr>
                  <w:r>
                    <w:rPr>
                      <w:sz w:val="19"/>
                    </w:rPr>
                    <w:t>（</w:t>
                  </w:r>
                  <w:r>
                    <w:rPr>
                      <w:sz w:val="19"/>
                    </w:rPr>
                    <w:t>5）管理与运维：项目中心、权限指南</w:t>
                  </w:r>
                </w:p>
                <w:p>
                  <w:pPr>
                    <w:pStyle w:val="null3"/>
                    <w:jc w:val="both"/>
                  </w:pPr>
                  <w:r>
                    <w:rPr>
                      <w:sz w:val="19"/>
                    </w:rPr>
                    <w:t>（</w:t>
                  </w:r>
                  <w:r>
                    <w:rPr>
                      <w:sz w:val="19"/>
                    </w:rPr>
                    <w:t>6）开放与集成：概述、办公软件集成、嵌入式分析、Open API、自定义可视化</w:t>
                  </w:r>
                </w:p>
                <w:p>
                  <w:pPr>
                    <w:pStyle w:val="null3"/>
                    <w:jc w:val="both"/>
                  </w:pPr>
                  <w:r>
                    <w:rPr>
                      <w:sz w:val="19"/>
                    </w:rPr>
                    <w:t>（</w:t>
                  </w:r>
                  <w:r>
                    <w:rPr>
                      <w:sz w:val="19"/>
                    </w:rPr>
                    <w:t>7）最佳实践：可视化查询最佳实践、仪表盘最佳实践、管理运维最佳实践、开放与集成最佳实践</w:t>
                  </w:r>
                </w:p>
                <w:p>
                  <w:pPr>
                    <w:pStyle w:val="null3"/>
                    <w:jc w:val="both"/>
                  </w:pPr>
                  <w:r>
                    <w:rPr>
                      <w:sz w:val="19"/>
                    </w:rPr>
                    <w:t>2</w:t>
                  </w:r>
                  <w:r>
                    <w:rPr>
                      <w:sz w:val="19"/>
                    </w:rPr>
                    <w:t>.</w:t>
                  </w:r>
                  <w:r>
                    <w:rPr>
                      <w:sz w:val="19"/>
                    </w:rPr>
                    <w:t>2 视频课程（≥46课时微课资源</w:t>
                  </w:r>
                  <w:r>
                    <w:rPr>
                      <w:sz w:val="19"/>
                    </w:rPr>
                    <w:t>，</w:t>
                  </w:r>
                  <w:r>
                    <w:rPr>
                      <w:sz w:val="19"/>
                    </w:rPr>
                    <w:t>1课时</w:t>
                  </w:r>
                  <w:r>
                    <w:rPr>
                      <w:sz w:val="19"/>
                    </w:rPr>
                    <w:t>≥</w:t>
                  </w:r>
                  <w:r>
                    <w:rPr>
                      <w:sz w:val="19"/>
                    </w:rPr>
                    <w:t>30分钟</w:t>
                  </w:r>
                  <w:r>
                    <w:rPr>
                      <w:sz w:val="19"/>
                    </w:rPr>
                    <w:t>）</w:t>
                  </w:r>
                </w:p>
                <w:p>
                  <w:pPr>
                    <w:pStyle w:val="null3"/>
                    <w:jc w:val="both"/>
                  </w:pPr>
                  <w:r>
                    <w:rPr>
                      <w:sz w:val="19"/>
                    </w:rPr>
                    <w:t>（</w:t>
                  </w:r>
                  <w:r>
                    <w:rPr>
                      <w:sz w:val="19"/>
                    </w:rPr>
                    <w:t>1）整体概览：≥1课时</w:t>
                  </w:r>
                </w:p>
                <w:p>
                  <w:pPr>
                    <w:pStyle w:val="null3"/>
                    <w:jc w:val="both"/>
                  </w:pPr>
                  <w:r>
                    <w:rPr>
                      <w:sz w:val="19"/>
                    </w:rPr>
                    <w:t>（</w:t>
                  </w:r>
                  <w:r>
                    <w:rPr>
                      <w:sz w:val="19"/>
                    </w:rPr>
                    <w:t>2）数据连接：≥1课时</w:t>
                  </w:r>
                </w:p>
                <w:p>
                  <w:pPr>
                    <w:pStyle w:val="null3"/>
                    <w:jc w:val="both"/>
                  </w:pPr>
                  <w:r>
                    <w:rPr>
                      <w:sz w:val="19"/>
                    </w:rPr>
                    <w:t>（</w:t>
                  </w:r>
                  <w:r>
                    <w:rPr>
                      <w:sz w:val="19"/>
                    </w:rPr>
                    <w:t>3）数据集：≥3课时</w:t>
                  </w:r>
                </w:p>
                <w:p>
                  <w:pPr>
                    <w:pStyle w:val="null3"/>
                    <w:jc w:val="both"/>
                  </w:pPr>
                  <w:r>
                    <w:rPr>
                      <w:sz w:val="19"/>
                    </w:rPr>
                    <w:t>（</w:t>
                  </w:r>
                  <w:r>
                    <w:rPr>
                      <w:sz w:val="19"/>
                    </w:rPr>
                    <w:t>4）可视化建模：≥6课时</w:t>
                  </w:r>
                </w:p>
                <w:p>
                  <w:pPr>
                    <w:pStyle w:val="null3"/>
                    <w:jc w:val="both"/>
                  </w:pPr>
                  <w:r>
                    <w:rPr>
                      <w:sz w:val="19"/>
                    </w:rPr>
                    <w:t>（</w:t>
                  </w:r>
                  <w:r>
                    <w:rPr>
                      <w:sz w:val="19"/>
                    </w:rPr>
                    <w:t>5）可视化查询：≥4课时</w:t>
                  </w:r>
                </w:p>
                <w:p>
                  <w:pPr>
                    <w:pStyle w:val="null3"/>
                    <w:jc w:val="both"/>
                  </w:pPr>
                  <w:r>
                    <w:rPr>
                      <w:sz w:val="19"/>
                    </w:rPr>
                    <w:t>（</w:t>
                  </w:r>
                  <w:r>
                    <w:rPr>
                      <w:sz w:val="19"/>
                    </w:rPr>
                    <w:t>6）仪表盘：≥5课时</w:t>
                  </w:r>
                </w:p>
                <w:p>
                  <w:pPr>
                    <w:pStyle w:val="null3"/>
                    <w:jc w:val="both"/>
                  </w:pPr>
                  <w:r>
                    <w:rPr>
                      <w:sz w:val="19"/>
                    </w:rPr>
                    <w:t>（</w:t>
                  </w:r>
                  <w:r>
                    <w:rPr>
                      <w:sz w:val="19"/>
                    </w:rPr>
                    <w:t>7）权限管理：≥1课时</w:t>
                  </w:r>
                </w:p>
                <w:p>
                  <w:pPr>
                    <w:pStyle w:val="null3"/>
                    <w:jc w:val="both"/>
                  </w:pPr>
                  <w:r>
                    <w:rPr>
                      <w:sz w:val="19"/>
                    </w:rPr>
                    <w:t>（</w:t>
                  </w:r>
                  <w:r>
                    <w:rPr>
                      <w:sz w:val="19"/>
                    </w:rPr>
                    <w:t>8）可视化查询进阶：≥1课时</w:t>
                  </w:r>
                </w:p>
                <w:p>
                  <w:pPr>
                    <w:pStyle w:val="null3"/>
                    <w:jc w:val="both"/>
                  </w:pPr>
                  <w:r>
                    <w:rPr>
                      <w:sz w:val="19"/>
                    </w:rPr>
                    <w:t>（</w:t>
                  </w:r>
                  <w:r>
                    <w:rPr>
                      <w:sz w:val="19"/>
                    </w:rPr>
                    <w:t>9）函数专项：≥9课时</w:t>
                  </w:r>
                </w:p>
                <w:p>
                  <w:pPr>
                    <w:pStyle w:val="null3"/>
                    <w:jc w:val="both"/>
                  </w:pPr>
                  <w:r>
                    <w:rPr>
                      <w:sz w:val="19"/>
                    </w:rPr>
                    <w:t>（</w:t>
                  </w:r>
                  <w:r>
                    <w:rPr>
                      <w:sz w:val="19"/>
                    </w:rPr>
                    <w:t>10）数字大屏：≥5课时</w:t>
                  </w:r>
                </w:p>
                <w:p>
                  <w:pPr>
                    <w:pStyle w:val="null3"/>
                    <w:jc w:val="both"/>
                  </w:pPr>
                  <w:r>
                    <w:rPr>
                      <w:sz w:val="19"/>
                    </w:rPr>
                    <w:t>（</w:t>
                  </w:r>
                  <w:r>
                    <w:rPr>
                      <w:sz w:val="19"/>
                    </w:rPr>
                    <w:t>11）数字孪生web端场景编辑器：≥5课时</w:t>
                  </w:r>
                </w:p>
                <w:p>
                  <w:pPr>
                    <w:pStyle w:val="null3"/>
                    <w:jc w:val="both"/>
                  </w:pPr>
                  <w:r>
                    <w:rPr>
                      <w:sz w:val="19"/>
                    </w:rPr>
                    <w:t>（</w:t>
                  </w:r>
                  <w:r>
                    <w:rPr>
                      <w:sz w:val="19"/>
                    </w:rPr>
                    <w:t>12）三维城市自动化构建系统：≥5课时</w:t>
                  </w:r>
                </w:p>
                <w:p>
                  <w:pPr>
                    <w:pStyle w:val="null3"/>
                    <w:jc w:val="both"/>
                  </w:pPr>
                  <w:r>
                    <w:rPr>
                      <w:sz w:val="19"/>
                    </w:rPr>
                    <w:t>3. 虚拟现实就业创业数智化生态系统</w:t>
                  </w:r>
                </w:p>
                <w:p>
                  <w:pPr>
                    <w:pStyle w:val="null3"/>
                    <w:jc w:val="both"/>
                  </w:pPr>
                  <w:r>
                    <w:rPr>
                      <w:sz w:val="19"/>
                    </w:rPr>
                    <w:t>3.1 项目管理模块：包括项目申报、项目审批、项目进展跟踪、项目结项等功能。</w:t>
                  </w:r>
                </w:p>
                <w:p>
                  <w:pPr>
                    <w:pStyle w:val="null3"/>
                    <w:jc w:val="both"/>
                  </w:pPr>
                  <w:r>
                    <w:rPr>
                      <w:sz w:val="19"/>
                    </w:rPr>
                    <w:t>3.2 竞赛管理模块：包括竞赛发布、竞赛报名、竞赛评审、竞赛结果公布等功能。</w:t>
                  </w:r>
                  <w:r>
                    <w:rPr>
                      <w:sz w:val="19"/>
                      <w:b/>
                    </w:rPr>
                    <w:t>（</w:t>
                  </w:r>
                  <w:r>
                    <w:rPr>
                      <w:sz w:val="19"/>
                      <w:b/>
                    </w:rPr>
                    <w:t>提供</w:t>
                  </w:r>
                  <w:r>
                    <w:rPr>
                      <w:sz w:val="19"/>
                      <w:b/>
                    </w:rPr>
                    <w:t>产品演示</w:t>
                  </w:r>
                  <w:r>
                    <w:rPr>
                      <w:sz w:val="19"/>
                      <w:b/>
                    </w:rPr>
                    <w:t>)</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tc>
        <w:tc>
          <w:tcPr>
            <w:tcW w:type="dxa" w:w="415"/>
          </w:tcPr>
          <w:p>
            <w:pPr>
              <w:pStyle w:val="null3"/>
            </w:pPr>
            <w:r>
              <w:rPr/>
              <w:t>2</w:t>
            </w:r>
          </w:p>
        </w:tc>
        <w:tc>
          <w:tcPr>
            <w:tcW w:type="dxa" w:w="5814"/>
          </w:tcPr>
          <w:p>
            <w:pPr>
              <w:pStyle w:val="null3"/>
            </w:pPr>
            <w:r>
              <w:rPr>
                <w:b/>
              </w:rPr>
              <w:t>附表</w:t>
            </w:r>
            <w:r>
              <w:rPr>
                <w:b/>
              </w:rPr>
              <w:t>三</w:t>
            </w:r>
            <w:r>
              <w:rPr>
                <w:b/>
              </w:rPr>
              <w:t>：</w:t>
            </w:r>
            <w:r>
              <w:rPr>
                <w:b/>
              </w:rPr>
              <w:t>一体机设备规格</w:t>
            </w:r>
          </w:p>
          <w:p>
            <w:pPr>
              <w:pStyle w:val="null3"/>
            </w:pPr>
            <w:r>
              <w:rPr/>
              <w:t>供应商对</w:t>
            </w:r>
            <w:r>
              <w:rPr/>
              <w:t>“一体机设备规格”中的“二级指标”列带“★”号的所有参数须作出承诺，承诺是否满足参数，无负偏离或不满足的，视为供应商已满足相关参数要求。如有一项带“★”号参数承诺不满足或负偏离的，其投标无效。</w:t>
            </w:r>
          </w:p>
          <w:tbl>
            <w:tblPr>
              <w:tblBorders>
                <w:top w:val="none" w:color="000000" w:sz="4"/>
                <w:left w:val="none" w:color="000000" w:sz="4"/>
                <w:bottom w:val="none" w:color="000000" w:sz="4"/>
                <w:right w:val="none" w:color="000000" w:sz="4"/>
                <w:insideH w:val="none"/>
                <w:insideV w:val="none"/>
              </w:tblBorders>
            </w:tblPr>
            <w:tblGrid>
              <w:gridCol w:w="271"/>
              <w:gridCol w:w="626"/>
              <w:gridCol w:w="584"/>
              <w:gridCol w:w="1067"/>
              <w:gridCol w:w="2463"/>
              <w:gridCol w:w="584"/>
            </w:tblGrid>
            <w:tr>
              <w:tc>
                <w:tcPr>
                  <w:tcW w:type="dxa" w:w="27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序号</w:t>
                  </w:r>
                </w:p>
              </w:tc>
              <w:tc>
                <w:tcPr>
                  <w:tcW w:type="dxa" w:w="62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指标分类</w:t>
                  </w:r>
                </w:p>
              </w:tc>
              <w:tc>
                <w:tcPr>
                  <w:tcW w:type="dxa" w:w="58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一级指标</w:t>
                  </w:r>
                </w:p>
              </w:tc>
              <w:tc>
                <w:tcPr>
                  <w:tcW w:type="dxa" w:w="106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二级指标</w:t>
                  </w:r>
                </w:p>
              </w:tc>
              <w:tc>
                <w:tcPr>
                  <w:tcW w:type="dxa" w:w="24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指标要求</w:t>
                  </w:r>
                </w:p>
              </w:tc>
              <w:tc>
                <w:tcPr>
                  <w:tcW w:type="dxa" w:w="58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是否要求证明材料</w:t>
                  </w: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★CPU规格</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★CPU 信息</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内核数</w:t>
                  </w:r>
                  <w:r>
                    <w:rPr>
                      <w:sz w:val="20"/>
                    </w:rPr>
                    <w:t>≥24，线程≥32，基础主频≥2.4GHz，最大睿频≥4.0GHz，缓存≥36MB</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★内存规格</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★内存配置容量</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≥128GB</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★内存类型</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支持</w:t>
                  </w:r>
                  <w:r>
                    <w:rPr>
                      <w:sz w:val="20"/>
                    </w:rPr>
                    <w:t>DDR4及以上内存类型</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★内存条配置数量（板载内存不涉及）</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≥4</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★主板规格</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★主板集成模块</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主板集成芯片组，集成资源扩展模块、计算处理模块、音频扩展模块等</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★主板支持的CPU和内存情况</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支持的</w:t>
                  </w:r>
                  <w:r>
                    <w:rPr>
                      <w:sz w:val="20"/>
                    </w:rPr>
                    <w:t>CPU与供应商提供的CPU相匹配，≥1颗；支持DDR4及以上内存类型，支持≥128GB内存，≥4个DIMM插槽</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主板内置</w:t>
                  </w:r>
                  <w:r>
                    <w:rPr>
                      <w:sz w:val="20"/>
                    </w:rPr>
                    <w:t>PCIe 插槽数量</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支持数量</w:t>
                  </w:r>
                  <w:r>
                    <w:rPr>
                      <w:sz w:val="20"/>
                    </w:rPr>
                    <w:t>≥2，≥1个PCIE x16槽位、≥1个PCIE x8槽位</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特殊孔位及接口</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a）前置接口：支持数量≥2个USB接口； b）后置接口：支持数量≥4个USB接口，≥2个音频接口，≥1个HDMI、≥1个DP接口</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9.</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★主板其他内置接口</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支持</w:t>
                  </w:r>
                  <w:r>
                    <w:rPr>
                      <w:sz w:val="20"/>
                    </w:rPr>
                    <w:t>M.2 SSD、M.2 WIFI、SATA、USB接口</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★单内存插槽最大可支持容量（板载内存不涉及）</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≥32GB</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11.</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★主板规格</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★内存插槽满配时提供的最高内存总容量</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≥128GB</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12.</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★存储设备规格</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★固态盘数量</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≥1个</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13.</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★固态存储容量</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≥1TB</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14.</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★机械硬盘数量</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≥1个</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15.</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★机械硬盘总容量</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≥1TB</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16.</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★机械硬盘转速</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≥7200rpm</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17.</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机械硬盘接口协议</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支持</w:t>
                  </w:r>
                  <w:r>
                    <w:rPr>
                      <w:sz w:val="20"/>
                    </w:rPr>
                    <w:t>SATA3.0 及以上接口</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18.</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机械硬盘形态</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≥3.5 英寸</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19.</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固态存储接口协议</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PCIe/NVMe/M.2 等类型接口协议</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20.</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★固态存储形态</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采用插卡形态，插卡形态符合</w:t>
                  </w:r>
                  <w:r>
                    <w:rPr>
                      <w:sz w:val="20"/>
                    </w:rPr>
                    <w:t>M.2标准尺寸和接口定义</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21.</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存储设备扩展盘位</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≥0</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22.</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★存储设备其他参数要求</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a）固态盘应符合 SJ/T 11654 相关规定；b）机械硬盘准备时间应不大于30s；侧面固定螺丝孔数量可为 4 孔或 6 孔；工作状态环境温度应满足 5℃~55℃ ;其它参数应符合GB/T 12628 的相关规定</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23.</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★显卡规格</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★显卡类型</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独立显卡</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24.</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★独立显卡显存类型</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GDDR6或以上显存类型</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25.</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★独立显卡显存位宽</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显存位宽</w:t>
                  </w:r>
                  <w:r>
                    <w:rPr>
                      <w:sz w:val="20"/>
                    </w:rPr>
                    <w:t>≥256位</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26.</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★独立显卡显存容量</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显存容量</w:t>
                  </w:r>
                  <w:r>
                    <w:rPr>
                      <w:sz w:val="20"/>
                    </w:rPr>
                    <w:t>≥16GB</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27.</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独立显卡接口协议</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支持</w:t>
                  </w:r>
                  <w:r>
                    <w:rPr>
                      <w:sz w:val="20"/>
                    </w:rPr>
                    <w:t>PCIE 4.0或以上接口协议</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28.</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★显示设备规格</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★显示屏屏占比</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≥80%</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29.</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★显示屏分辨率</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≥2560×1440</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30.</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显示屏像素密度</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≥120 像素/英寸</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31.</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显示屏可视角度</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水平</w:t>
                  </w:r>
                  <w:r>
                    <w:rPr>
                      <w:sz w:val="20"/>
                    </w:rPr>
                    <w:t>≥170 °</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32.</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★显示屏尺寸</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≥23 英寸</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33.</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★显示屏屏幕比例</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≥16:9/16:10</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34.</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★显示器外观颜色</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黑色</w:t>
                  </w:r>
                  <w:r>
                    <w:rPr>
                      <w:sz w:val="20"/>
                    </w:rPr>
                    <w:t>/白色/银色等商务色系</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35.</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★显示屏防蓝光</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支持防蓝光模式，蓝光加权辐射亮度比应</w:t>
                  </w:r>
                  <w:r>
                    <w:rPr>
                      <w:sz w:val="20"/>
                    </w:rPr>
                    <w:t>≤0.0012W/( ·cd ·sr)（瓦每坎特拉每球面度）</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36.</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★显示屏低频闪</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显示屏应支持低频闪</w:t>
                  </w:r>
                  <w:r>
                    <w:rPr>
                      <w:sz w:val="20"/>
                    </w:rPr>
                    <w:t>≤-35dB</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37.</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★显示屏防炫目</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显示屏镜面反射率</w:t>
                  </w:r>
                  <w:r>
                    <w:rPr>
                      <w:sz w:val="20"/>
                    </w:rPr>
                    <w:t>≤10%</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38.</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★外设规格</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传声器数量</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39.</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扬声器数量</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40.</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★鼠标数量</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≥1个</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41.</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★键盘数量</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≥1个</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42.</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★摄像头数量</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≥1个</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43.</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光驱数量</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44.</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★键盘按键数目</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≥104 键</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45.</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★摄像头像素</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≥50 万</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46.</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★摄像头分辨率</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≥800×600</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47.</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★扬声器功率</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 瓦/个</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48.</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★扬声器频率范围</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不低于（</w:t>
                  </w:r>
                  <w:r>
                    <w:rPr>
                      <w:sz w:val="20"/>
                    </w:rPr>
                    <w:t>100Hz-8kHz）范围</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49.</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扬声器总谐波失真</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50.</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扬声器最大声压级</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51.</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★键盘连接方式</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USB有线</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52.</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★键盘键程</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2.3mm ~ 4.0mm</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53.</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★键盘按键压力</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按键压力应在</w:t>
                  </w:r>
                  <w:r>
                    <w:rPr>
                      <w:sz w:val="20"/>
                    </w:rPr>
                    <w:t>0.54 N±0.14N</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54.</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★有线键盘连接线</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≥1.5 米</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55.</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★键盘颜色</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黑色</w:t>
                  </w:r>
                  <w:r>
                    <w:rPr>
                      <w:sz w:val="20"/>
                    </w:rPr>
                    <w:t>/银色/白色等商务色系</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56.</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★键盘其他要求</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键盘外观结构、连接方式、主要功能、安全、电磁兼容性、可靠性应符合</w:t>
                  </w:r>
                  <w:r>
                    <w:rPr>
                      <w:sz w:val="20"/>
                    </w:rPr>
                    <w:t>GB/T 14081的相关规定</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57.</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★鼠标连接方式</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有线</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58.</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★有线鼠标连接线</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≥1.5 米</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59.</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★鼠标DPI 分辨率</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≥800</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60.</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鼠标颜色</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黑色</w:t>
                  </w:r>
                  <w:r>
                    <w:rPr>
                      <w:sz w:val="20"/>
                    </w:rPr>
                    <w:t>/银色/白色等商务色系</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61.</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★鼠标其他要求</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符合</w:t>
                  </w:r>
                  <w:r>
                    <w:rPr>
                      <w:sz w:val="20"/>
                    </w:rPr>
                    <w:t>GB/T 26245的相关规定</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62.</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内置光驱</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63.</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★网络设备规格</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★有线网卡数量</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64.</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无线网卡及天线数量</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65.</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单无线网卡天线数量</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66.</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★外部接口规格</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★USB 接口数量</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≥8，机箱前板至少包括 2 个 USB3.0 及 以上接口</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67.</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USB 母座接口要求</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68.</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★视频接口数量</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≥2</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69.</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★音频接口数量</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70.</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存储卡接口数量</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71.</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★整机基础规格</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★整机外观</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a) 产品表面不应有凹痕、划伤、裂缝、变形和污染等。表面涂层均匀，不应起泡、龟裂、脱落和磨损，金属零部件无锈蚀及其它机械损伤； b) 产品表面说明功能的文字、符号、标志，应清晰、端正、牢固； c) 宜在产品显著位置提供运行状态指示功能，并由生产厂商提供详细参数</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72.</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★整机结构</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 xml:space="preserve"> </w:t>
                  </w:r>
                  <w:r>
                    <w:rPr>
                      <w:sz w:val="20"/>
                    </w:rPr>
                    <w:t>a) 机箱应符合 GB/T 4208、GB/T 26246的相关规定； b) 产品内部结构应符合通用部件的安装需要； c) 所有输入输出接口应符合相关国家或行业标准； d) 产品零部件应紧固无松动，可插拔部件应可靠连接，开关、按钮和其它控制部件应灵活可靠，布局应方便使用； e) 所有 I/O 连接器及需插接线缆的部位应预留用户操作空间，方便插拔解锁与插拔线缆； f) 可插拔板卡插槽部位应预留安装、拆卸或更换板卡空间； g) 拆装可能接触到的金属剪口或金属尖角部位应做防划伤处理，以保证安全； h) 整机内部走线应规整，固线结构和位置要合理可靠并做防割线处理，需便于理线和插拔操作，走线应不影响系统各主要部件组装和拆卸； i) 如需通过孔走线，过线孔应做防割线处理； j) 各插头位置和插拔方向应合理，应做到插拔无障碍设计，具备防呆设计，有效避免误操作； k) 各主要部件拆装无障碍，使用常规工具拆装，无特殊拆装工具需求； l) 各主要部件拆装步骤要少，各自拆装需避免相互干扰； m) 对于整机或零部件外表面为高亮面的，应粘贴保护膜，保护膜需粘贴牢固，运输、组装等过程不易脱落，撕下无残留； n) 其它要求应符合 GB/T 9813.1 的相关规定</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73.</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★机箱防护要求</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机箱应符合</w:t>
                  </w:r>
                  <w:r>
                    <w:rPr>
                      <w:sz w:val="20"/>
                    </w:rPr>
                    <w:t>GB/T 4208 中 IP20 防护要求</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74.</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★整机噪音</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产品工作在空闲状态下，产品的声功率级应不超过</w:t>
                  </w:r>
                  <w:r>
                    <w:rPr>
                      <w:sz w:val="20"/>
                    </w:rPr>
                    <w:t>4.5 Bel</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75.</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★整机散热</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在环境温度</w:t>
                  </w:r>
                  <w:r>
                    <w:rPr>
                      <w:sz w:val="20"/>
                    </w:rPr>
                    <w:t>25℃及处理器满载情况下，产品表面温度应符合下列要求： a) 出风口在机箱后面板情况下，出风口温度不高于55℃ ;b) 可触及面温度小于45℃ ;</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76.</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c) 显示器表面温度：显示屏温度不高于 38℃ , 显示屏上下灯带位置温度（如涉及）不高于40℃ , 出风口温度不高于 45℃</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77.</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★整机能效限定值</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产品能效限定值应达到</w:t>
                  </w:r>
                  <w:r>
                    <w:rPr>
                      <w:sz w:val="20"/>
                    </w:rPr>
                    <w:t>GB 28380-2012标准中能效等级 2 级及以上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78.</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机身材质</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金属</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79.</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★机身颜色</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灰色</w:t>
                  </w:r>
                  <w:r>
                    <w:rPr>
                      <w:sz w:val="20"/>
                    </w:rPr>
                    <w:t>/黑色等商务色系</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80.</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产品规格</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★机箱尺寸容量</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机箱体积应不大于</w:t>
                  </w:r>
                  <w:r>
                    <w:rPr>
                      <w:sz w:val="20"/>
                    </w:rPr>
                    <w:t>40L</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81.</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性能要求</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★CPU性能</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★CPU 物理核数</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核数</w:t>
                  </w:r>
                  <w:r>
                    <w:rPr>
                      <w:sz w:val="20"/>
                    </w:rPr>
                    <w:t>≥24，线程数≥32</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82.</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性能要求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★CPU 主频</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≥2.4GHz</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83.</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性能要求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★CPU 末级缓存容量</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≥36MB</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84.</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性能要求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★CPU 支持的内存最高速率</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≥3200MT/s</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85.</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性能要求</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★内存性能</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★内存读写速率</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≥3200MT/s</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86.</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性能要求</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★显卡性能</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★显示分辨率</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≥4096x2160</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87.</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性能要求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★显卡显示芯片核心频率</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≥1400MHz（基础频率）</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88.</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性能要求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★显存等效频率</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≥2800MT/s</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89.</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性能要求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★显卡可支持多屏同时显示数量</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支持</w:t>
                  </w:r>
                  <w:r>
                    <w:rPr>
                      <w:sz w:val="20"/>
                    </w:rPr>
                    <w:t>2 块屏幕同时显示，分辨率应不低于 2560×1440</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90.</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性能要求</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★显示设备性能</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★显示屏刷新率</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≥60Hz</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91.</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性能要求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★显示屏位深</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≥8 位</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92.</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性能要求</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★显示屏色域</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≥99% sRGB</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93.</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性能要求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★显示屏色准</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△E ≤ 3</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94.</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性能要求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★显示屏响应时间</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≤6ms</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95.</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性能要求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★显示屏亮度</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≥300 尼特</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96.</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性能要求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★显示屏亮度一致性</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≥70%</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97.</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性能要求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★显示屏对比度</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≥500：1</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98.</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性能要求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★显示屏其他参数</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其它参数应符合</w:t>
                  </w:r>
                  <w:r>
                    <w:rPr>
                      <w:sz w:val="20"/>
                    </w:rPr>
                    <w:t>SJ/T 11292 的相关规定</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99.</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性能要求</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★网络设备性能</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★有线网卡速率</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最高速率应不低于</w:t>
                  </w:r>
                  <w:r>
                    <w:rPr>
                      <w:sz w:val="20"/>
                    </w:rPr>
                    <w:t>1000Mbps，应支持10Mbps、100Mbps、1000Mbps 速率自适应</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100.</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性能要求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支持无线网络通信技术协议</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101.</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性能要求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无线网卡频宽</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102.</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★主板功能</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★内存扩展接口(板载内存不涉及)</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≥4</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103.</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存储扩展接口</w:t>
                  </w:r>
                  <w:r>
                    <w:rPr>
                      <w:sz w:val="20"/>
                    </w:rPr>
                    <w:t>(板载存储不涉及)</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支持存储设备扩展接口</w:t>
                  </w:r>
                  <w:r>
                    <w:rPr>
                      <w:sz w:val="20"/>
                    </w:rPr>
                    <w:t>≥2 个，如 SATA3.0、M.2 等接口类型</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104.</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★主板USB 瞬间过流保护</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支持瞬间过流保护功能</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105.</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★主板防静电保护</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支持防静电保护功能</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106.</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★I/O 接口功能</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提供基于标准</w:t>
                  </w:r>
                  <w:r>
                    <w:rPr>
                      <w:sz w:val="20"/>
                    </w:rPr>
                    <w:t>USB 接口外设连接功能、基于音频输入输出接口的音频扩展功能、基于 PCIe 接口板卡扩展功能、基于 HDMI/VGA/Type-C/DVI/DP 等接口外接显示器扩展功能、基于存储接口对产品进行增容功能等。工作站 I/O 接口应</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107.</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具备外接标准</w:t>
                  </w:r>
                  <w:r>
                    <w:rPr>
                      <w:sz w:val="20"/>
                    </w:rPr>
                    <w:t>USB 设备、显示器、音频设备等内外部设备能力</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108.</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★显卡功能</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★显卡外接显示接口</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显卡至少支持</w:t>
                  </w:r>
                  <w:r>
                    <w:rPr>
                      <w:sz w:val="20"/>
                    </w:rPr>
                    <w:t>VGA、HDMI、DVI、DP、Type-C 中 1 种显示接口，并与显示器接口相匹配</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109.</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独立显卡数量</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110.</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★显示设备功能</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★显示器接口</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显示器应与显卡外接显示接口匹配</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111.</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★显示器支架</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显示器应提供显示器支架，宜支持屏幕旋转、支架可升降等</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112.</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★显示器参数调节</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 xml:space="preserve"> </w:t>
                  </w:r>
                  <w:r>
                    <w:rPr>
                      <w:sz w:val="20"/>
                    </w:rPr>
                    <w:t>a) 提供 OSD 选单按钮用于调节色彩、模式等； b) 支持色温、亮度、对比度调节</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113.</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外设功能</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摄像头物理隐私保护开关</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114.</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传声器降噪</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115.</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键盘背光</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116.</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光驱功能</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117.</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★存储功能</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★存储功能</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支持通过</w:t>
                  </w:r>
                  <w:r>
                    <w:rPr>
                      <w:sz w:val="20"/>
                    </w:rPr>
                    <w:t>PCIe 固态存储/SATA 硬磁盘等存储部件提供存储功</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118.</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内置控制器固态存储加密</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119.</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sz w:val="20"/>
                    </w:rPr>
                    <w:t>★网络设备功能</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★网络功能</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a）支持网络连接、网络开启/关闭功能； b）支持访问网络和数据交换功能</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120.</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non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无线网卡频段</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121.</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non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物理开关</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122.</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non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★数据传输</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支持持数据传输能力，并提供数据流量和异常日志记录功能</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123.</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non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蓝牙协议</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124.</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non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★有线网卡接口类型</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支持</w:t>
                  </w:r>
                  <w:r>
                    <w:rPr>
                      <w:sz w:val="20"/>
                    </w:rPr>
                    <w:t>RJ45 接口</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125.</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non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无线网卡标准</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126.</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non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★网络设备拆装</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127.</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★外部接口功能</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★音频接口类型</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支持</w:t>
                  </w:r>
                  <w:r>
                    <w:rPr>
                      <w:sz w:val="20"/>
                    </w:rPr>
                    <w:t>3.5mm 孔径 3 段式或 4 段式接口</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128.</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★视频接口类型</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提供</w:t>
                  </w:r>
                  <w:r>
                    <w:rPr>
                      <w:sz w:val="20"/>
                    </w:rPr>
                    <w:t>1个HDMI +1个 DP显示接口</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129.</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★HDMI、DP、Type-C显示接口要求</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HDMI或DP作为显示接口，应支持音频和视频同步输出</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130.</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其他接口</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131.</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存储卡接口类型</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132.</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★电源功能</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★电源线适配能力</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电源适配器电线组件应符合</w:t>
                  </w:r>
                  <w:r>
                    <w:rPr>
                      <w:sz w:val="20"/>
                    </w:rPr>
                    <w:t>GB/T 15934的要求</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133.</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sz w:val="20"/>
                    </w:rPr>
                    <w:t>★操作系统及软件功能</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★中文信息处理要求</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符合</w:t>
                  </w:r>
                  <w:r>
                    <w:rPr>
                      <w:sz w:val="20"/>
                    </w:rPr>
                    <w:t>GB 18030 的相关规定</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134.</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non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★操作系统备份及还原功能</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支持操作系统备份及还原功能</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135.</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non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★固件备份还原能力</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支持备份及还原固件的功能</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136.</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non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★操作系统及驱动升级</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支持通过网络、闪存盘等方式对操作系统、驱动进行升级</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137.</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non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固件升级</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支持通过网络、闪存盘等方式对固件进行升级</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138.</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non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★BIOS 支持关闭通讯接口</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支持</w:t>
                  </w:r>
                  <w:r>
                    <w:rPr>
                      <w:sz w:val="20"/>
                    </w:rPr>
                    <w:t>BIOS 关闭以太网及 USB 接口功能</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139.</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non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★固件查看信息</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支持查看固件版本、内存信息、主板信息、处理器信息和系统时间信息等功能</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140.</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non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★固件设置启动顺序</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支持设置启动顺序功能，并按照设置的启动顺序启动</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141.</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non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★固件设置口令</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支持设置口令、修改口令、验证口令功能</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142.</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non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★固件设置网络引导</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支持网络引导启动和关闭功能</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143.</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生物识别功能</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指纹识别</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144.</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人脸识别</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145.</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静脉识别</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146.</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硬件加速功能</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NPU/GPU等 A I 加速模块</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147.</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视频编解码加速模块</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148.</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功能要求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影像处理加速模块</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149.</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可靠性要求</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★存储设备可靠性</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★固态存储寿命</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TBW≥80TB</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150.</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可靠性要求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★机械硬盘寿命</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通电时间</w:t>
                  </w:r>
                  <w:r>
                    <w:rPr>
                      <w:sz w:val="20"/>
                    </w:rPr>
                    <w:t>≥5 万小时</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151.</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可靠性要求</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★显示设备可靠性</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★显示屏屏幕失效点</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符合</w:t>
                  </w:r>
                  <w:r>
                    <w:rPr>
                      <w:sz w:val="20"/>
                    </w:rPr>
                    <w:t>GB/T 9813.2 的要求</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152.</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可靠性要求</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★外设可靠性</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★键盘按键寿命</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≥1000 万次</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153.</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可靠性要求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★鼠标按键寿命</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≥500 万次</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154.</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可靠性要求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★键盘鼠标线材寿命</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键盘鼠标所用线材经</w:t>
                  </w:r>
                  <w:r>
                    <w:rPr>
                      <w:sz w:val="20"/>
                    </w:rPr>
                    <w:t>±60 °弯折不低于 3000 次，功能、外观完好</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155.</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可靠性要求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★风扇寿命</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≥4 万小时</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156.</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可靠性要求</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★整机可靠性要求</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★电磁兼容性要求的抗扰度</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符合</w:t>
                  </w:r>
                  <w:r>
                    <w:rPr>
                      <w:sz w:val="20"/>
                    </w:rPr>
                    <w:t>GB/T 9254.2 的规定</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157.</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可靠性要求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★环境条件要求的气候环境适应性</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符合</w:t>
                  </w:r>
                  <w:r>
                    <w:rPr>
                      <w:sz w:val="20"/>
                    </w:rPr>
                    <w:t>GB/T 9813.1 中规定</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158.</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可靠性要求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★环境条件要求的振动适应性</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符合</w:t>
                  </w:r>
                  <w:r>
                    <w:rPr>
                      <w:sz w:val="20"/>
                    </w:rPr>
                    <w:t>GB/T 9813.1 中规定</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159.</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可靠性要求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★环境条件要求的冲击适应性</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符合</w:t>
                  </w:r>
                  <w:r>
                    <w:rPr>
                      <w:sz w:val="20"/>
                    </w:rPr>
                    <w:t>GB/T 9813.1 中规定</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160.</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可靠性要求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★环境条件要求的碰撞适应性</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符合</w:t>
                  </w:r>
                  <w:r>
                    <w:rPr>
                      <w:sz w:val="20"/>
                    </w:rPr>
                    <w:t>GB/T 9813.1 中规定</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161.</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可靠性要求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★环境条件要求的运输包装件跌落适应性</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符合</w:t>
                  </w:r>
                  <w:r>
                    <w:rPr>
                      <w:sz w:val="20"/>
                    </w:rPr>
                    <w:t>GB/T 9813.1 中规定</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162.</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可靠性要求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★MTBF 测试</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MTBF(m1)≥3 万小时</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163.</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兼容要求</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★兼容要求</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★常用软件兼容</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应支持流式软件、版式软件、浏览器、邮件客户端、解压软件、多媒体、图形图像处理等常用软件</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164.</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兼容要求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★数据库兼容</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兼容</w:t>
                  </w:r>
                  <w:r>
                    <w:rPr>
                      <w:sz w:val="20"/>
                    </w:rPr>
                    <w:t>3 个及以上厂商的数据库产品</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165.</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兼容要求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★中间件兼容</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兼容</w:t>
                  </w:r>
                  <w:r>
                    <w:rPr>
                      <w:sz w:val="20"/>
                    </w:rPr>
                    <w:t>3 个及以上厂商中间件产品</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166.</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兼容要求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★平台软件兼容</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兼容</w:t>
                  </w:r>
                  <w:r>
                    <w:rPr>
                      <w:sz w:val="20"/>
                    </w:rPr>
                    <w:t>3 个及以上厂商云计算及大数据平台</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167.</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包装及运输要求</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★包装及运输要求</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★标志、包装、运输和贮存</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符合</w:t>
                  </w:r>
                  <w:r>
                    <w:rPr>
                      <w:sz w:val="20"/>
                    </w:rPr>
                    <w:t>GB/T 9813.1 和商品包装政府采购需求标准的相关规定</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168.</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服务要求</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★服务要求</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★配置检查工具</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供应商提供经自检测试工具</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169.</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服务要求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★服务响应</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a）提供产品3 年维保及上门服务（满足同城4 小时、异地 12 小时响应要求）；b）提供政企专线 7*24 在线服务；c）现场保障技术服务团队员，国内上门服务地级市覆盖率达 100%</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170.</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服务要求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★服务周期</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支持产品延保</w:t>
                  </w:r>
                  <w:r>
                    <w:rPr>
                      <w:sz w:val="20"/>
                    </w:rPr>
                    <w:t>≥3 年提供每年延保服务报价提供备件服务能力≥6 年（自购买之日起）</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171.</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服务要求</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★预装操作系统</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预装符合桌面操作系统政府采购需求标准的正版操作系统</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172.</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服务要求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★培训服务</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供应商提供培训材料、产品手册、培训视频等培训相关内容</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173.</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服务要求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★典型问题解决手册</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供应商提供典型问题解决说明文档或视频</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174.</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服务要求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★厂家升级软件与扩容服务</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供应商提供上门升级部件</w:t>
                  </w:r>
                  <w:r>
                    <w:rPr>
                      <w:sz w:val="20"/>
                    </w:rPr>
                    <w:t>/软件的增值服务</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175.</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服务要求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★整机质量服务要求</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服务周期（含换件和维修）应不小于</w:t>
                  </w:r>
                  <w:r>
                    <w:rPr>
                      <w:sz w:val="20"/>
                    </w:rPr>
                    <w:t>3 年</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176.</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服务要求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★合格证书要求</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供应商提供产品合格证</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177.</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服务要求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★开箱组装/使用指导要求</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供应商提供开箱组装</w:t>
                  </w:r>
                  <w:r>
                    <w:rPr>
                      <w:sz w:val="20"/>
                    </w:rPr>
                    <w:t>/使用指导</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178.</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服务要求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★驱动下载服务要求</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供应商提供驱动光盘或下载方式</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179.</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服务要求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★兼容适配软件下载服务要求</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供应商提供兼容适配软件下载渠道（光盘、网站）</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180.</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服务要求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跨架构平台应用兼容</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181.</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供应保障要求</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★供应链合规性</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★产品部件保障</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保障产品主要部件提供</w:t>
                  </w:r>
                  <w:r>
                    <w:rPr>
                      <w:sz w:val="20"/>
                    </w:rPr>
                    <w:t>6 年的备件服务能力(自购买之日起)，或提供可兼容原设备的升级换代产品</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182.</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供应保障要求</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供应链质量</w:t>
                  </w:r>
                  <w:r>
                    <w:rPr>
                      <w:sz w:val="20"/>
                    </w:rPr>
                    <w:t>★</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★抗干扰性</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当产品部件出现供应风险时，供应商应通知采购人并提供风险应对方案确保产品的服务保障</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183.</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供应保障要求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★供应能力证明</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供应商提供供应链稳定承诺书，确保产品的部件在产品服务周期内稳定供货</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184.</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安全要求</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★关键部件安全要求</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★关键部件安全要求3</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185.</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安全要求</w:t>
                  </w:r>
                </w:p>
              </w:tc>
              <w:tc>
                <w:tcPr>
                  <w:tcW w:type="dxa" w:w="5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★整机安全性要求</w:t>
                  </w: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★密码算法实现</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186.</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安全要求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USB 端口管控</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187.</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安全要求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安全物理锁</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188.</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安全要求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★信息安全基本要求</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189.</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安全要求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★固件安全启动</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190.</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安全要求</w:t>
                  </w:r>
                </w:p>
              </w:tc>
              <w:tc>
                <w:tcPr>
                  <w:tcW w:type="dxa" w:w="584"/>
                  <w:vMerge/>
                  <w:tcBorders>
                    <w:top w:val="non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★限用物质的限量要求</w:t>
                  </w:r>
                </w:p>
              </w:tc>
              <w:tc>
                <w:tcPr>
                  <w:tcW w:type="dxa" w:w="24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本项目不涉及</w:t>
                  </w:r>
                </w:p>
              </w:tc>
              <w:tc>
                <w:tcPr>
                  <w:tcW w:type="dxa" w:w="5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广东科学技术职业学院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 中标人须向采购代理机构按如下标准和规定缴纳采购代理服务费（含税）： （1）以项目预算金额作为采购代理服务费的计算基数； （2）采购代理服务费按差额定率累进法计算。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投标文件的递交与开标：1.各投标供应商可以通过“中国邮政”、“EMS”、“顺丰快递”等快递方式，按照采购文件要求在规定的投标截止时间前将《投标文件》送达到开标地点，快递单上应清晰写明如下信息： 1）收件地址：广州市天河区龙怡路117号银汇大厦5楼 2）收件人：广东志正招标有限公司前台 杨小姐 3）注明采购项目编号、包组号。需现场陈述的项目，请供应商派代表参与。 2.通过快递方式递交《投标文件》的，递交时间为送达我司由我司前台人员签收的时间，请投标供应商预留邮寄所需的时间。建议投标供应商在邮递之后，主动在投标截止时间前及时与我司联系，核实投标文件是否在规定的时间内送达。 3.通过快递方式递交《投标文件》的，寄错地址、逾期送达、未按照采购文件要求密封或者邮寄过程导致包装密封出现破损的，我司将拒绝接收，由投标供应商自行承担相应责任与后果，我司不承担责任。 4.投标供应商未参加现场开标的，视同认可开标结果。 二、中标（成交）通知书与发票送达：中标（成交）通知书，我司将通过快递或邮件方式送达给中标（成交）人，服务费（标书款）发票以邮件方式发送电子发票。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广东志正招标有限公司官网（www.zztender.com）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广东志正招标有限公司官网（www.zztender.com）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p>
    <w:p>
      <w:pPr>
        <w:pStyle w:val="null3"/>
        <w:ind w:firstLine="480"/>
      </w:pPr>
      <w:r>
        <w:rPr/>
        <w:t>电话：</w:t>
      </w:r>
    </w:p>
    <w:p>
      <w:pPr>
        <w:pStyle w:val="null3"/>
        <w:ind w:firstLine="480"/>
      </w:pPr>
      <w:r>
        <w:rPr/>
        <w:t>传真：</w:t>
      </w:r>
    </w:p>
    <w:p>
      <w:pPr>
        <w:pStyle w:val="null3"/>
        <w:ind w:firstLine="480"/>
      </w:pPr>
      <w:r>
        <w:rPr/>
        <w:t>邮箱：</w:t>
      </w:r>
    </w:p>
    <w:p>
      <w:pPr>
        <w:pStyle w:val="null3"/>
        <w:ind w:firstLine="480"/>
      </w:pPr>
      <w:r>
        <w:rPr/>
        <w:t>地址：</w:t>
      </w:r>
    </w:p>
    <w:p>
      <w:pPr>
        <w:pStyle w:val="null3"/>
        <w:ind w:firstLine="480"/>
      </w:pPr>
      <w:r>
        <w:rPr/>
        <w:t>邮编：</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采购包1(采购包1)：综合评分法,是指投标文件满足招标文件全部实质性要求，且按照评审因素的量化指标评审得分最高的投标人为中标候选人的评标方法。（最低报价不是中标的唯一依据。）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采购包1（采购包1）：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采购包1（采购包1）：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供应商必须具有良好的商业信誉和健全的财务会计制度（提供2023年度财务状况报告或2024年度财务状况报告或投标截止日前6个月内任意1个月的财务报表复印件；或银行出具的资信证明材料复印件）。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提交投标文件截止当天在“信用中国”网站（www.creditchina.gov.cn）及中国政府采购网(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格式自拟）。</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本项目不属于专门面向中小企业采购的项目。</w:t>
            </w:r>
          </w:p>
        </w:tc>
        <w:tc>
          <w:tcPr>
            <w:tcW w:type="dxa" w:w="4238"/>
          </w:tcPr>
          <w:p>
            <w:pPr>
              <w:pStyle w:val="null3"/>
            </w:pPr>
            <w:r>
              <w:rPr/>
              <w:t>依照《政府采购促进中小企业发展管理办法》（财库〔2020〕46号）规定，本项目符合“因确需使用不可替代的专利、专有技术，基础设施限制，或者提供特定公共服务等原因，只能从中小企业之外的供应商处采购的”的情形，为非专门面向中小企业预留采购份额的项目。 本项目中小企业划分标准所属行业为：软件和信息技术服务业。监狱企业、残疾人福利单位视同小型、微型企业。注：中小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采购包1（采购包1）：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投标文件按照采购文件规定要求签署、盖章</w:t>
            </w:r>
          </w:p>
        </w:tc>
        <w:tc>
          <w:tcPr>
            <w:tcW w:type="dxa" w:w="4238"/>
          </w:tcPr>
          <w:p>
            <w:pPr>
              <w:pStyle w:val="null3"/>
            </w:pPr>
            <w:r>
              <w:rPr/>
              <w:t>投标文件按照采购文件规定要求签署、盖章，包含：①投标函；②法定代表人证明书或法定代表人授权书；③开标一览表；④分项报价表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投标报价没有超出预算金额或最高限价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完全满足采购文件中标注“★”的条款</w:t>
            </w:r>
          </w:p>
        </w:tc>
      </w:tr>
      <w:tr>
        <w:tc>
          <w:tcPr>
            <w:tcW w:type="dxa" w:w="890"/>
          </w:tcPr>
          <w:p>
            <w:pPr>
              <w:pStyle w:val="null3"/>
            </w:pPr>
            <w:r>
              <w:rPr/>
              <w:t>5</w:t>
            </w:r>
          </w:p>
        </w:tc>
        <w:tc>
          <w:tcPr>
            <w:tcW w:type="dxa" w:w="3178"/>
          </w:tcPr>
          <w:p>
            <w:pPr>
              <w:pStyle w:val="null3"/>
            </w:pPr>
            <w:r>
              <w:rPr/>
              <w:t>未出现有关法律、法规、规章或采购文件规定的属于投标无效的情形</w:t>
            </w:r>
          </w:p>
        </w:tc>
        <w:tc>
          <w:tcPr>
            <w:tcW w:type="dxa" w:w="4238"/>
          </w:tcPr>
          <w:p>
            <w:pPr>
              <w:pStyle w:val="null3"/>
            </w:pPr>
            <w:r>
              <w:rPr/>
              <w:t>未出现有关法律、法规、规章或采购文件规定的属于投标无效的情形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采购包1(采购包1):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(18.0分)</w:t>
            </w:r>
          </w:p>
        </w:tc>
        <w:tc>
          <w:tcPr>
            <w:tcW w:type="dxa" w:w="5076"/>
          </w:tcPr>
          <w:p>
            <w:pPr>
              <w:pStyle w:val="null3"/>
              <w:jc w:val="left"/>
            </w:pPr>
            <w:r>
              <w:rPr/>
              <w:t>根据供应商对招标文件“具体技术(参数)要求”中带▲号参数（本项目共9个带▲号技术参数）的响应情况进行评审：完全满足，得18分；每满足1项得2分。 注：技术(参数)中有明确要求提供证明材料的，以技术(参数)要求提供的材料为准；技术(参数)中未要求提供证明材料的，以供应商响应情况为准（响应为“负偏离”的，该项不得分）。</w:t>
            </w:r>
          </w:p>
        </w:tc>
      </w:tr>
      <w:tr>
        <w:tc>
          <w:tcPr>
            <w:tcW w:type="dxa" w:w="922"/>
            <w:gridSpan w:val="2"/>
            <w:vMerge/>
          </w:tcPr>
          <w:p/>
        </w:tc>
        <w:tc>
          <w:tcPr>
            <w:tcW w:type="dxa" w:w="2307"/>
          </w:tcPr>
          <w:p>
            <w:pPr>
              <w:pStyle w:val="null3"/>
              <w:jc w:val="left"/>
            </w:pPr>
            <w:r>
              <w:rPr/>
              <w:t>一般参数响应程度 (14.0分)</w:t>
            </w:r>
          </w:p>
        </w:tc>
        <w:tc>
          <w:tcPr>
            <w:tcW w:type="dxa" w:w="5076"/>
          </w:tcPr>
          <w:p>
            <w:pPr>
              <w:pStyle w:val="null3"/>
              <w:jc w:val="left"/>
            </w:pPr>
            <w:r>
              <w:rPr/>
              <w:t>根据供应商对招标文件“具体技术(参数)要求”中不带▲号参数（除▲、★参数、“知识产权”评审项和“产品演示”评审项外）的响应情况进行评审： 1.完全响应或满足要求（无偏离或正偏离）的，得14分； 2.有1-3项负偏离或不满足要求的，得12分； 3.有4-6项负偏离或不满足要求的，得10分； 4.有7-9项负偏离或不满足要求的，得8分； 5.有10-12项负偏离或不满足要求的，得6分； 6.有13-15项负偏离或不满足要求的，得4分； 7.有16-18项负偏离或不满足要求的，得2分； 8.有19项或以上负偏离或不满足要求的，得0分。 注：以最细一级条款作为单项条款，含有下一级条款且本身仅作为标题的不计入条款数量；技术(参数)中有明确要求提供证明材料的，以技术(参数)要求提供的材料为准；技术(参数)中未要求提供证明材料的，以供应商响应情况为准。</w:t>
            </w:r>
          </w:p>
        </w:tc>
      </w:tr>
      <w:tr>
        <w:tc>
          <w:tcPr>
            <w:tcW w:type="dxa" w:w="922"/>
            <w:gridSpan w:val="2"/>
            <w:vMerge/>
          </w:tcPr>
          <w:p/>
        </w:tc>
        <w:tc>
          <w:tcPr>
            <w:tcW w:type="dxa" w:w="2307"/>
          </w:tcPr>
          <w:p>
            <w:pPr>
              <w:pStyle w:val="null3"/>
              <w:jc w:val="left"/>
            </w:pPr>
            <w:r>
              <w:rPr/>
              <w:t>所投产品质量情况 (5.0分)</w:t>
            </w:r>
          </w:p>
        </w:tc>
        <w:tc>
          <w:tcPr>
            <w:tcW w:type="dxa" w:w="5076"/>
          </w:tcPr>
          <w:p>
            <w:pPr>
              <w:pStyle w:val="null3"/>
              <w:jc w:val="left"/>
            </w:pPr>
            <w:r>
              <w:rPr/>
              <w:t>根据供应商所投产品质量情况说明（包括但不限于技术水平证明、参数说明、性能介绍等）进行评审： 1.产品参数说明、性能介绍完整详细，有提供产品技术水平证明材料（如CNAS或CMA认可的第三方检测机构检测证书、认证、检测报告等，下同），可充分证明产品质量可靠性高得5分； 2.有产品参数说明、性能介绍和产品技术水平证明材料，但较为简单，可证明产品质量得3分； 3.有产品参数说明、性能介绍，但未提供产品技术水平证明材料得1分； 4.未提供产品参数说明、性能介绍得0分。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根据供应商针对本项目制定的售后服务方案（包括但不限于售后服务响应时间、修复时间、故障解决办法、紧急响应方案等）进行综合评审： 1.售后服务方案，详细具体、具有针对性、可操作性强，得5分； 2.售后服务方案，较具体、针对性较强、操作性较强，得3分； 3.售后服务方案一般、针对性一般、可操作性一般，得1分。 4.不提供或其他情况不得分。</w:t>
            </w:r>
          </w:p>
        </w:tc>
      </w:tr>
      <w:tr>
        <w:tc>
          <w:tcPr>
            <w:tcW w:type="dxa" w:w="922"/>
            <w:gridSpan w:val="2"/>
            <w:vMerge/>
          </w:tcPr>
          <w:p/>
        </w:tc>
        <w:tc>
          <w:tcPr>
            <w:tcW w:type="dxa" w:w="2307"/>
          </w:tcPr>
          <w:p>
            <w:pPr>
              <w:pStyle w:val="null3"/>
              <w:jc w:val="left"/>
            </w:pPr>
            <w:r>
              <w:rPr/>
              <w:t>知识产权 (7.0分)</w:t>
            </w:r>
          </w:p>
        </w:tc>
        <w:tc>
          <w:tcPr>
            <w:tcW w:type="dxa" w:w="5076"/>
          </w:tcPr>
          <w:p>
            <w:pPr>
              <w:pStyle w:val="null3"/>
              <w:jc w:val="left"/>
            </w:pPr>
            <w:r>
              <w:rPr/>
              <w:t>根据供应商所投产品所具备技术知识产权情况（具体技术(参数)要求）中要求进行评审： 1.根据供应商对招标文件“具体技术(参数)要求”中有要求提供相关发明专利情况进行评审：完全满足，得5分；每提供1项得1分；不提供得0分，本小项最高分为5分； 2.供应商所投产品具备有数据大模型或数字孪生等相关软件著作权证书，提供证书复印件，每提供一个得1分，不提供不得分。本小项最高为2分。</w:t>
            </w:r>
          </w:p>
        </w:tc>
      </w:tr>
      <w:tr>
        <w:tc>
          <w:tcPr>
            <w:tcW w:type="dxa" w:w="922"/>
            <w:gridSpan w:val="2"/>
            <w:vMerge/>
          </w:tcPr>
          <w:p/>
        </w:tc>
        <w:tc>
          <w:tcPr>
            <w:tcW w:type="dxa" w:w="2307"/>
          </w:tcPr>
          <w:p>
            <w:pPr>
              <w:pStyle w:val="null3"/>
              <w:jc w:val="left"/>
            </w:pPr>
            <w:r>
              <w:rPr/>
              <w:t>产品演示 (6.0分)</w:t>
            </w:r>
          </w:p>
        </w:tc>
        <w:tc>
          <w:tcPr>
            <w:tcW w:type="dxa" w:w="5076"/>
          </w:tcPr>
          <w:p>
            <w:pPr>
              <w:pStyle w:val="null3"/>
              <w:jc w:val="left"/>
            </w:pPr>
            <w:r>
              <w:rPr/>
              <w:t>供应商需对①“虚拟现实资源开发管理平台”中内容4“三维城市自动化构建系统”的第4.1项和②“虚拟现实资源开发大模型一体机”中内容3“虚拟现实就业创业数智化生态系统”的第3.2项参数做功能的完整演示，具体依据现场演示情况进行评审： 注：每满足1项得3分。1.通过资格、符合性审查的供应商派代表就所投项目进行演示。陈述演示的先后顺序将按系统《开标一览表》先后顺序排序，供应商逐一演示及答辩。每个单位只有一次演示及答辩机会，演示时间不超过15分钟，参与演示及答辩人员不多于2人。采购代理机构提供投影仪，其他相关机器或专业播放设备请各供应商自带。无演示或演示不满足或者达不到招标文件要求的，不得分。 2.投标人可以通过系统原型演示或将演示内容做成视频文件载入U盘（要求能在windows系统自带软件播放，若演示时，出现U盘无法打开或视频文件无法正常打开，采购人和采购代理机构不承担相应责任。</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供应商自2022年1月1日至今，完成同类业绩项目情况，每提供一项得1.5分，最高得3分。 注：以合同签订时间为准，提供合同关键页复印件（合同关键页须包含签订时间、项目名称、设备清单、双方签字盖章页等），否则不得分。</w:t>
            </w:r>
          </w:p>
        </w:tc>
      </w:tr>
      <w:tr>
        <w:tc>
          <w:tcPr>
            <w:tcW w:type="dxa" w:w="922"/>
            <w:gridSpan w:val="2"/>
            <w:vMerge/>
          </w:tcPr>
          <w:p/>
        </w:tc>
        <w:tc>
          <w:tcPr>
            <w:tcW w:type="dxa" w:w="2307"/>
          </w:tcPr>
          <w:p>
            <w:pPr>
              <w:pStyle w:val="null3"/>
              <w:jc w:val="left"/>
            </w:pPr>
            <w:r>
              <w:rPr/>
              <w:t>满意度评价 (3.0分)</w:t>
            </w:r>
          </w:p>
        </w:tc>
        <w:tc>
          <w:tcPr>
            <w:tcW w:type="dxa" w:w="5076"/>
          </w:tcPr>
          <w:p>
            <w:pPr>
              <w:pStyle w:val="null3"/>
              <w:jc w:val="left"/>
            </w:pPr>
            <w:r>
              <w:rPr/>
              <w:t>2022年以来获得客户满意度评价为满意或优或百分制得分为90分（及以上）或同等评价的，每提供一个得1.5分，最高得3分。 注：证明材料需为上述“同类项目业绩”有效得分的项目，提供客户满意度评价证明材料（须含甲方盖章），不提供不得分。</w:t>
            </w:r>
          </w:p>
        </w:tc>
      </w:tr>
      <w:tr>
        <w:tc>
          <w:tcPr>
            <w:tcW w:type="dxa" w:w="922"/>
            <w:gridSpan w:val="2"/>
            <w:vMerge/>
          </w:tcPr>
          <w:p/>
        </w:tc>
        <w:tc>
          <w:tcPr>
            <w:tcW w:type="dxa" w:w="2307"/>
          </w:tcPr>
          <w:p>
            <w:pPr>
              <w:pStyle w:val="null3"/>
              <w:jc w:val="left"/>
            </w:pPr>
            <w:r>
              <w:rPr/>
              <w:t>技术培训方案 (9.0分)</w:t>
            </w:r>
          </w:p>
        </w:tc>
        <w:tc>
          <w:tcPr>
            <w:tcW w:type="dxa" w:w="5076"/>
          </w:tcPr>
          <w:p>
            <w:pPr>
              <w:pStyle w:val="null3"/>
              <w:jc w:val="left"/>
            </w:pPr>
            <w:r>
              <w:rPr/>
              <w:t>供应商针对本项目的技术培训（包括但不限于：服务实施计划、服务能力、培训范围、人员安排、交付使用时间、质保期、响应时间、维护方案等）制定相关方案： 1.方案内容完整、详细、表述清晰、科学合理、切实可行，得9分； 2.方案内容比较完整、详细、表述比较清晰、合理、可行，得6分； 3.方案内容基本完整、表述基本清晰基本合理可行，得3分； 4.其他或无响应，得0分。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shd w:fill="FFFFFF" w:val="clear"/>
        </w:rPr>
        <w:t>虚拟现实资源开发大模型平台</w:t>
      </w:r>
    </w:p>
    <w:p>
      <w:pPr>
        <w:pStyle w:val="null3"/>
        <w:jc w:val="center"/>
      </w:pPr>
      <w:r>
        <w:rPr/>
        <w:t xml:space="preserve"> </w:t>
      </w:r>
    </w:p>
    <w:p>
      <w:pPr>
        <w:pStyle w:val="null3"/>
        <w:jc w:val="center"/>
      </w:pPr>
      <w:r>
        <w:rPr/>
        <w:t xml:space="preserve"> </w:t>
      </w:r>
    </w:p>
    <w:p>
      <w:pPr>
        <w:pStyle w:val="null3"/>
        <w:jc w:val="center"/>
      </w:pPr>
      <w:r>
        <w:rPr>
          <w:sz w:val="44"/>
          <w:b/>
          <w:shd w:fill="FFFFFF" w:val="clear"/>
        </w:rPr>
        <w:t>合同书</w:t>
      </w:r>
    </w:p>
    <w:p>
      <w:pPr>
        <w:pStyle w:val="null3"/>
        <w:ind w:firstLine="480"/>
        <w:jc w:val="center"/>
      </w:pPr>
      <w:r>
        <w:rPr/>
        <w:t xml:space="preserve"> </w:t>
      </w:r>
    </w:p>
    <w:p>
      <w:pPr>
        <w:pStyle w:val="null3"/>
        <w:ind w:left="1530" w:firstLine="480"/>
        <w:jc w:val="both"/>
      </w:pPr>
      <w:r>
        <w:rPr>
          <w:b/>
        </w:rPr>
        <w:t xml:space="preserve"> </w:t>
      </w:r>
    </w:p>
    <w:p>
      <w:pPr>
        <w:pStyle w:val="null3"/>
        <w:ind w:left="1530" w:firstLine="480"/>
        <w:jc w:val="both"/>
      </w:pPr>
      <w:r>
        <w:rPr>
          <w:b/>
          <w:shd w:fill="FFFFFF" w:val="clear"/>
        </w:rPr>
        <w:t>项目名称：</w:t>
      </w:r>
      <w:r>
        <w:rPr>
          <w:b/>
          <w:shd w:fill="FFFFFF" w:val="clear"/>
        </w:rPr>
        <w:t xml:space="preserve">                          </w:t>
      </w:r>
    </w:p>
    <w:p>
      <w:pPr>
        <w:pStyle w:val="null3"/>
        <w:ind w:left="1530" w:firstLine="480"/>
        <w:jc w:val="both"/>
      </w:pPr>
      <w:r>
        <w:rPr>
          <w:b/>
          <w:shd w:fill="FFFFFF" w:val="clear"/>
        </w:rPr>
        <w:t>合同编号：</w:t>
      </w:r>
      <w:r>
        <w:rPr>
          <w:b/>
          <w:u w:val="single"/>
        </w:rPr>
        <w:t xml:space="preserve">                          </w:t>
      </w:r>
    </w:p>
    <w:p>
      <w:pPr>
        <w:pStyle w:val="null3"/>
        <w:ind w:left="1530" w:firstLine="480"/>
        <w:jc w:val="both"/>
      </w:pPr>
      <w:r>
        <w:rPr>
          <w:b/>
          <w:shd w:fill="FFFFFF" w:val="clear"/>
        </w:rPr>
        <w:t>签约地点：</w:t>
      </w:r>
      <w:r>
        <w:rPr>
          <w:b/>
          <w:u w:val="single"/>
        </w:rPr>
        <w:t xml:space="preserve">                          </w:t>
      </w:r>
    </w:p>
    <w:p>
      <w:pPr>
        <w:pStyle w:val="null3"/>
        <w:ind w:left="1530" w:firstLine="480"/>
        <w:jc w:val="both"/>
      </w:pPr>
      <w:r>
        <w:rPr>
          <w:b/>
          <w:shd w:fill="FFFFFF" w:val="clear"/>
        </w:rPr>
        <w:t>签订日期：</w:t>
      </w:r>
      <w:r>
        <w:rPr>
          <w:b/>
          <w:shd w:fill="FFFFFF" w:val="clear"/>
        </w:rPr>
        <w:t xml:space="preserve">       </w:t>
      </w:r>
      <w:r>
        <w:rPr>
          <w:b/>
          <w:shd w:fill="FFFFFF" w:val="clear"/>
        </w:rPr>
        <w:t>年</w:t>
      </w:r>
      <w:r>
        <w:rPr>
          <w:b/>
          <w:shd w:fill="FFFFFF" w:val="clear"/>
        </w:rPr>
        <w:t xml:space="preserve">    </w:t>
      </w:r>
      <w:r>
        <w:rPr>
          <w:b/>
          <w:shd w:fill="FFFFFF" w:val="clear"/>
        </w:rPr>
        <w:t>月</w:t>
      </w:r>
      <w:r>
        <w:rPr>
          <w:b/>
          <w:shd w:fill="FFFFFF" w:val="clear"/>
        </w:rPr>
        <w:t xml:space="preserve">     </w:t>
      </w:r>
      <w:r>
        <w:rPr>
          <w:b/>
          <w:shd w:fill="FFFFFF" w:val="clear"/>
        </w:rPr>
        <w:t>日</w:t>
      </w:r>
    </w:p>
    <w:p>
      <w:pPr>
        <w:pStyle w:val="null3"/>
      </w:pPr>
      <w:r>
        <w:rPr/>
        <w:t xml:space="preserve"> </w:t>
      </w:r>
    </w:p>
    <w:p>
      <w:pPr>
        <w:pStyle w:val="null3"/>
        <w:jc w:val="both"/>
      </w:pPr>
      <w:r>
        <w:rPr/>
        <w:t xml:space="preserve"> </w:t>
      </w:r>
    </w:p>
    <w:p>
      <w:pPr>
        <w:pStyle w:val="null3"/>
        <w:jc w:val="left"/>
      </w:pPr>
      <w:r>
        <w:rPr>
          <w:sz w:val="21"/>
          <w:b/>
        </w:rPr>
        <w:t>甲方：</w:t>
      </w:r>
      <w:r>
        <w:rPr>
          <w:sz w:val="21"/>
          <w:b/>
        </w:rPr>
        <w:t>广东科学技术职业学院</w:t>
      </w:r>
    </w:p>
    <w:p>
      <w:pPr>
        <w:pStyle w:val="null3"/>
        <w:jc w:val="left"/>
      </w:pPr>
      <w:r>
        <w:rPr>
          <w:sz w:val="21"/>
          <w:b/>
        </w:rPr>
        <w:t>乙方：</w:t>
      </w:r>
      <w:r>
        <w:rPr>
          <w:sz w:val="21"/>
          <w:b/>
        </w:rPr>
        <w:t xml:space="preserve">                 </w:t>
      </w:r>
    </w:p>
    <w:p>
      <w:pPr>
        <w:pStyle w:val="null3"/>
        <w:jc w:val="left"/>
      </w:pPr>
      <w:r>
        <w:rPr>
          <w:sz w:val="21"/>
        </w:rPr>
        <w:t>合同签订所在地：</w:t>
      </w:r>
    </w:p>
    <w:p>
      <w:pPr>
        <w:pStyle w:val="null3"/>
        <w:ind w:firstLine="420"/>
        <w:jc w:val="left"/>
      </w:pPr>
      <w:r>
        <w:rPr>
          <w:sz w:val="21"/>
        </w:rPr>
        <w:t>根据</w:t>
      </w:r>
      <w:r>
        <w:rPr>
          <w:sz w:val="21"/>
          <w:u w:val="single"/>
        </w:rPr>
        <w:t xml:space="preserve">              </w:t>
      </w:r>
      <w:r>
        <w:rPr>
          <w:sz w:val="21"/>
          <w:u w:val="single"/>
        </w:rPr>
        <w:t>项目</w:t>
      </w:r>
      <w:r>
        <w:rPr>
          <w:sz w:val="21"/>
        </w:rPr>
        <w:t>的采购结果</w:t>
      </w:r>
      <w:r>
        <w:rPr>
          <w:sz w:val="21"/>
        </w:rPr>
        <w:t>,按照《中华人民共和国政府采购法》《中华人民共和国民法典》等相关法律法规，经双方协商一致，签订本合同。</w:t>
      </w:r>
    </w:p>
    <w:p>
      <w:pPr>
        <w:pStyle w:val="null3"/>
        <w:ind w:firstLine="420"/>
        <w:jc w:val="left"/>
      </w:pPr>
      <w:r>
        <w:rPr>
          <w:sz w:val="21"/>
          <w:b/>
        </w:rPr>
        <w:t>一、采购物品：</w:t>
      </w:r>
    </w:p>
    <w:tbl>
      <w:tblPr>
        <w:tblW w:w="0" w:type="auto"/>
        <w:tblBorders>
          <w:top w:val="none" w:color="000000" w:sz="4"/>
          <w:left w:val="none" w:color="000000" w:sz="4"/>
          <w:bottom w:val="none" w:color="000000" w:sz="4"/>
          <w:right w:val="none" w:color="000000" w:sz="4"/>
          <w:insideH w:val="none"/>
          <w:insideV w:val="none"/>
        </w:tblBorders>
      </w:tblPr>
      <w:tblGrid>
        <w:gridCol w:w="475"/>
        <w:gridCol w:w="1967"/>
        <w:gridCol w:w="1729"/>
        <w:gridCol w:w="1402"/>
        <w:gridCol w:w="842"/>
        <w:gridCol w:w="944"/>
        <w:gridCol w:w="944"/>
      </w:tblGrid>
      <w:tr>
        <w:tc>
          <w:tcPr>
            <w:tcW w:type="dxa" w:w="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17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型号规格</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p>
        </w:tc>
        <w:tc>
          <w:tcPr>
            <w:tcW w:type="dxa" w:w="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9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单价（元）</w:t>
            </w:r>
          </w:p>
        </w:tc>
        <w:tc>
          <w:tcPr>
            <w:tcW w:type="dxa" w:w="9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小计（元）</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586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r>
              <w:rPr>
                <w:sz w:val="21"/>
                <w:b/>
              </w:rPr>
              <w:t xml:space="preserve">     </w:t>
            </w:r>
            <w:r>
              <w:rPr>
                <w:sz w:val="21"/>
                <w:b/>
              </w:rPr>
              <w:t>元（人民币</w:t>
            </w:r>
            <w:r>
              <w:rPr>
                <w:sz w:val="21"/>
                <w:b/>
              </w:rPr>
              <w:t xml:space="preserve">   </w:t>
            </w:r>
            <w:r>
              <w:rPr>
                <w:sz w:val="21"/>
                <w:b/>
              </w:rPr>
              <w:t>元）</w:t>
            </w:r>
          </w:p>
        </w:tc>
      </w:tr>
    </w:tbl>
    <w:p>
      <w:pPr>
        <w:pStyle w:val="null3"/>
        <w:ind w:firstLine="420"/>
        <w:jc w:val="both"/>
      </w:pPr>
      <w:r>
        <w:rPr>
          <w:sz w:val="21"/>
        </w:rPr>
        <w:t>二</w:t>
      </w:r>
      <w:r>
        <w:rPr>
          <w:sz w:val="21"/>
          <w:b/>
        </w:rPr>
        <w:t>、</w:t>
      </w:r>
      <w:r>
        <w:rPr>
          <w:sz w:val="21"/>
          <w:b/>
        </w:rPr>
        <w:t>合同总价和货款支付方式：</w:t>
      </w:r>
    </w:p>
    <w:p>
      <w:pPr>
        <w:pStyle w:val="null3"/>
        <w:ind w:firstLine="420"/>
        <w:jc w:val="left"/>
      </w:pPr>
      <w:r>
        <w:rPr>
          <w:sz w:val="21"/>
        </w:rPr>
        <w:t>2.1</w:t>
      </w:r>
      <w:r>
        <w:rPr>
          <w:sz w:val="21"/>
        </w:rPr>
        <w:t>总价为</w:t>
      </w:r>
      <w:r>
        <w:rPr>
          <w:sz w:val="21"/>
          <w:b/>
        </w:rPr>
        <w:t>￥</w:t>
      </w:r>
      <w:r>
        <w:rPr>
          <w:sz w:val="21"/>
          <w:b/>
          <w:u w:val="single"/>
        </w:rPr>
        <w:t xml:space="preserve"> </w:t>
      </w:r>
      <w:r>
        <w:rPr>
          <w:sz w:val="21"/>
          <w:b/>
          <w:u w:val="single"/>
        </w:rPr>
        <w:t xml:space="preserve">        </w:t>
      </w:r>
      <w:r>
        <w:rPr>
          <w:sz w:val="21"/>
          <w:b/>
          <w:u w:val="single"/>
        </w:rPr>
        <w:t xml:space="preserve"> </w:t>
      </w:r>
      <w:r>
        <w:rPr>
          <w:sz w:val="21"/>
          <w:b/>
        </w:rPr>
        <w:t>元（人民币</w:t>
      </w:r>
      <w:r>
        <w:rPr>
          <w:sz w:val="21"/>
          <w:b/>
        </w:rPr>
        <w:t xml:space="preserve">   </w:t>
      </w:r>
      <w:r>
        <w:rPr>
          <w:sz w:val="21"/>
          <w:b/>
        </w:rPr>
        <w:t xml:space="preserve"> </w:t>
      </w:r>
      <w:r>
        <w:rPr>
          <w:sz w:val="21"/>
          <w:b/>
        </w:rPr>
        <w:t>元）</w:t>
      </w:r>
      <w:r>
        <w:rPr>
          <w:sz w:val="21"/>
        </w:rPr>
        <w:t>，</w:t>
      </w:r>
      <w:r>
        <w:rPr>
          <w:sz w:val="21"/>
        </w:rPr>
        <w:t>该合同总金额是设计、设备制造、包装、仓储、运输、安装调试、技术培训及保修期发生的所有含税费用。本合同执行期间合同总金额不变。</w:t>
      </w:r>
    </w:p>
    <w:p>
      <w:pPr>
        <w:pStyle w:val="null3"/>
        <w:ind w:firstLine="420"/>
        <w:jc w:val="left"/>
      </w:pPr>
      <w:r>
        <w:rPr>
          <w:sz w:val="21"/>
        </w:rPr>
        <w:t>2.2货款支付方式：</w:t>
      </w:r>
    </w:p>
    <w:p>
      <w:pPr>
        <w:pStyle w:val="null3"/>
        <w:ind w:firstLine="420"/>
        <w:jc w:val="left"/>
      </w:pPr>
      <w:r>
        <w:rPr>
          <w:sz w:val="21"/>
        </w:rPr>
        <w:t>2.2.1.</w:t>
      </w:r>
      <w:r>
        <w:rPr>
          <w:sz w:val="21"/>
        </w:rPr>
        <w:t>预付款：支付比例</w:t>
      </w:r>
      <w:r>
        <w:rPr>
          <w:sz w:val="21"/>
        </w:rPr>
        <w:t>40%，双方合同签署生效，收到乙方提供的合同总金额40%的等额增值税专用发票后，10个工作日内甲方向乙方支付预付款。如为中小企业中标本项目的，甲方收到乙方开具与预付款等额正式发票(增值税专用发票)的5个工作日内，甲方向乙方支付合同总金额的40%作为预付款。</w:t>
      </w:r>
    </w:p>
    <w:p>
      <w:pPr>
        <w:pStyle w:val="null3"/>
        <w:ind w:firstLine="420"/>
        <w:jc w:val="left"/>
      </w:pPr>
      <w:r>
        <w:rPr>
          <w:sz w:val="21"/>
        </w:rPr>
        <w:t>2.2.2.预验收款：</w:t>
      </w:r>
      <w:r>
        <w:rPr>
          <w:sz w:val="21"/>
        </w:rPr>
        <w:t>支付比例</w:t>
      </w:r>
      <w:r>
        <w:rPr>
          <w:sz w:val="21"/>
        </w:rPr>
        <w:t>40</w:t>
      </w:r>
      <w:r>
        <w:rPr>
          <w:sz w:val="21"/>
        </w:rPr>
        <w:t>%</w:t>
      </w:r>
      <w:r>
        <w:rPr>
          <w:sz w:val="21"/>
        </w:rPr>
        <w:t>，乙方</w:t>
      </w:r>
      <w:r>
        <w:rPr>
          <w:sz w:val="21"/>
        </w:rPr>
        <w:t>①完成“虚拟现实资源开发管理平台”安装部署，②将“虚拟现实资源开发大模型一体机”中的硬件货物全部运抵甲方指定地点并完成软件资源中除实训项目库外其余部分的安装部署后，</w:t>
      </w:r>
      <w:r>
        <w:rPr>
          <w:sz w:val="21"/>
        </w:rPr>
        <w:t>经</w:t>
      </w:r>
      <w:r>
        <w:rPr>
          <w:sz w:val="21"/>
        </w:rPr>
        <w:t>二级</w:t>
      </w:r>
      <w:r>
        <w:rPr>
          <w:sz w:val="21"/>
        </w:rPr>
        <w:t>学院预验收合格</w:t>
      </w:r>
      <w:r>
        <w:rPr>
          <w:sz w:val="21"/>
        </w:rPr>
        <w:t>且</w:t>
      </w:r>
      <w:r>
        <w:rPr>
          <w:sz w:val="21"/>
        </w:rPr>
        <w:t>收到</w:t>
      </w:r>
      <w:r>
        <w:rPr>
          <w:sz w:val="21"/>
        </w:rPr>
        <w:t>乙方提供</w:t>
      </w:r>
      <w:r>
        <w:rPr>
          <w:sz w:val="21"/>
        </w:rPr>
        <w:t>的合同总金额</w:t>
      </w:r>
      <w:r>
        <w:rPr>
          <w:sz w:val="21"/>
        </w:rPr>
        <w:t>4</w:t>
      </w:r>
      <w:r>
        <w:rPr>
          <w:sz w:val="21"/>
        </w:rPr>
        <w:t>0%</w:t>
      </w:r>
      <w:r>
        <w:rPr>
          <w:sz w:val="21"/>
        </w:rPr>
        <w:t>的</w:t>
      </w:r>
      <w:r>
        <w:rPr>
          <w:sz w:val="21"/>
        </w:rPr>
        <w:t>等额</w:t>
      </w:r>
      <w:r>
        <w:rPr>
          <w:sz w:val="21"/>
        </w:rPr>
        <w:t>增值税专用发</w:t>
      </w:r>
      <w:r>
        <w:rPr>
          <w:sz w:val="21"/>
        </w:rPr>
        <w:t>票后</w:t>
      </w:r>
      <w:r>
        <w:rPr>
          <w:sz w:val="21"/>
        </w:rPr>
        <w:t>，</w:t>
      </w:r>
      <w:r>
        <w:rPr>
          <w:sz w:val="21"/>
        </w:rPr>
        <w:t>10个工作日内</w:t>
      </w:r>
      <w:r>
        <w:rPr>
          <w:sz w:val="21"/>
        </w:rPr>
        <w:t>甲方向乙方支付</w:t>
      </w:r>
      <w:r>
        <w:rPr>
          <w:sz w:val="21"/>
        </w:rPr>
        <w:t>预验收款。</w:t>
      </w:r>
      <w:r>
        <w:rPr>
          <w:sz w:val="21"/>
        </w:rPr>
        <w:t>如为中小企业中标本项目的，甲方收到乙方开具与预付款等额正式发票</w:t>
      </w:r>
      <w:r>
        <w:rPr>
          <w:sz w:val="21"/>
        </w:rPr>
        <w:t>(增值税专用发票)的5个工作日内，甲方向乙方支付合同总金额的40%作为预验收款。</w:t>
      </w:r>
    </w:p>
    <w:p>
      <w:pPr>
        <w:pStyle w:val="null3"/>
        <w:ind w:firstLine="420"/>
        <w:jc w:val="left"/>
      </w:pPr>
      <w:r>
        <w:rPr>
          <w:sz w:val="21"/>
        </w:rPr>
        <w:t>2.2.3.验收款：</w:t>
      </w:r>
      <w:r>
        <w:rPr>
          <w:sz w:val="21"/>
        </w:rPr>
        <w:t>支付比例</w:t>
      </w:r>
      <w:r>
        <w:rPr>
          <w:sz w:val="21"/>
        </w:rPr>
        <w:t>20%，乙方完成“虚拟现实资源开发大模型一体机”的软件资源中实训项目库的安装部署，整体项目经学校验收合格且</w:t>
      </w:r>
      <w:r>
        <w:rPr>
          <w:sz w:val="21"/>
        </w:rPr>
        <w:t>收到</w:t>
      </w:r>
      <w:r>
        <w:rPr>
          <w:sz w:val="21"/>
        </w:rPr>
        <w:t>乙方提供</w:t>
      </w:r>
      <w:r>
        <w:rPr>
          <w:sz w:val="21"/>
        </w:rPr>
        <w:t>的合同总金额</w:t>
      </w:r>
      <w:r>
        <w:rPr>
          <w:sz w:val="21"/>
        </w:rPr>
        <w:t>2</w:t>
      </w:r>
      <w:r>
        <w:rPr>
          <w:sz w:val="21"/>
        </w:rPr>
        <w:t>0%</w:t>
      </w:r>
      <w:r>
        <w:rPr>
          <w:sz w:val="21"/>
        </w:rPr>
        <w:t>的</w:t>
      </w:r>
      <w:r>
        <w:rPr>
          <w:sz w:val="21"/>
        </w:rPr>
        <w:t>等额</w:t>
      </w:r>
      <w:r>
        <w:rPr>
          <w:sz w:val="21"/>
        </w:rPr>
        <w:t>增值税专用发</w:t>
      </w:r>
      <w:r>
        <w:rPr>
          <w:sz w:val="21"/>
        </w:rPr>
        <w:t>票后</w:t>
      </w:r>
      <w:r>
        <w:rPr>
          <w:sz w:val="21"/>
        </w:rPr>
        <w:t>，</w:t>
      </w:r>
      <w:r>
        <w:rPr>
          <w:sz w:val="21"/>
        </w:rPr>
        <w:t>10个工作日内</w:t>
      </w:r>
      <w:r>
        <w:rPr>
          <w:sz w:val="21"/>
        </w:rPr>
        <w:t>甲方向乙方支付验收款。如为中小企业中标本项目的，在甲方收到乙方开具的正式发票</w:t>
      </w:r>
      <w:r>
        <w:rPr>
          <w:sz w:val="21"/>
        </w:rPr>
        <w:t>(增值税专用发票)后的15日内支付合同总金额的20%。</w:t>
      </w:r>
    </w:p>
    <w:p>
      <w:pPr>
        <w:pStyle w:val="null3"/>
        <w:ind w:firstLine="420"/>
        <w:jc w:val="left"/>
      </w:pPr>
      <w:r>
        <w:rPr>
          <w:sz w:val="21"/>
        </w:rPr>
        <w:t>2.2.4合同款包含项目实施过程的所有含税费用。</w:t>
      </w:r>
    </w:p>
    <w:p>
      <w:pPr>
        <w:pStyle w:val="null3"/>
        <w:ind w:firstLine="420"/>
        <w:jc w:val="left"/>
      </w:pPr>
      <w:r>
        <w:rPr>
          <w:sz w:val="21"/>
        </w:rPr>
        <w:t>2.2.5付款时间为采购人向政府采购支付部门提出支付申请的时间（不含政府财政支付部门审查的时间）。</w:t>
      </w:r>
    </w:p>
    <w:p>
      <w:pPr>
        <w:pStyle w:val="null3"/>
        <w:ind w:firstLine="420"/>
        <w:jc w:val="left"/>
      </w:pPr>
      <w:r>
        <w:rPr>
          <w:sz w:val="21"/>
        </w:rPr>
        <w:t>2.2.6付款前，乙方需提供符合国家有关财税规定的等额票据。</w:t>
      </w:r>
    </w:p>
    <w:p>
      <w:pPr>
        <w:pStyle w:val="null3"/>
        <w:ind w:firstLine="420"/>
        <w:jc w:val="left"/>
      </w:pPr>
      <w:r>
        <w:rPr>
          <w:sz w:val="21"/>
        </w:rPr>
        <w:t>2.2.7支付形式：采用银行汇（支）票或电汇的形式。</w:t>
      </w:r>
      <w:r>
        <w:rPr>
          <w:sz w:val="21"/>
        </w:rPr>
        <w:t>乙方</w:t>
      </w:r>
      <w:r>
        <w:rPr>
          <w:sz w:val="21"/>
        </w:rPr>
        <w:t>凭以下有效文件与</w:t>
      </w:r>
      <w:r>
        <w:rPr>
          <w:sz w:val="21"/>
        </w:rPr>
        <w:t>甲方</w:t>
      </w:r>
      <w:r>
        <w:rPr>
          <w:sz w:val="21"/>
        </w:rPr>
        <w:t>结算</w:t>
      </w:r>
      <w:r>
        <w:rPr>
          <w:sz w:val="21"/>
        </w:rPr>
        <w:t>：（</w:t>
      </w:r>
      <w:r>
        <w:rPr>
          <w:sz w:val="21"/>
        </w:rPr>
        <w:t>1）</w:t>
      </w:r>
      <w:r>
        <w:rPr>
          <w:sz w:val="21"/>
        </w:rPr>
        <w:t>合同（</w:t>
      </w:r>
      <w:r>
        <w:rPr>
          <w:sz w:val="21"/>
        </w:rPr>
        <w:t>2）支付申请</w:t>
      </w:r>
      <w:r>
        <w:rPr>
          <w:sz w:val="21"/>
        </w:rPr>
        <w:t>（</w:t>
      </w:r>
      <w:r>
        <w:rPr>
          <w:sz w:val="21"/>
        </w:rPr>
        <w:t>3）乙方</w:t>
      </w:r>
      <w:r>
        <w:rPr>
          <w:sz w:val="21"/>
        </w:rPr>
        <w:t>开具的正式发票</w:t>
      </w:r>
      <w:r>
        <w:rPr>
          <w:sz w:val="21"/>
        </w:rPr>
        <w:t>(增值税专用发票)</w:t>
      </w:r>
      <w:r>
        <w:rPr>
          <w:sz w:val="21"/>
        </w:rPr>
        <w:t>（</w:t>
      </w:r>
      <w:r>
        <w:rPr>
          <w:sz w:val="21"/>
        </w:rPr>
        <w:t>4）甲方</w:t>
      </w:r>
      <w:r>
        <w:rPr>
          <w:sz w:val="21"/>
        </w:rPr>
        <w:t>验收报告</w:t>
      </w:r>
      <w:r>
        <w:rPr>
          <w:sz w:val="21"/>
        </w:rPr>
        <w:t>(验收表)</w:t>
      </w:r>
      <w:r>
        <w:rPr>
          <w:sz w:val="21"/>
        </w:rPr>
        <w:t>（</w:t>
      </w:r>
      <w:r>
        <w:rPr>
          <w:sz w:val="21"/>
        </w:rPr>
        <w:t>5）</w:t>
      </w:r>
      <w:r>
        <w:rPr>
          <w:sz w:val="21"/>
        </w:rPr>
        <w:t>中标通知书。</w:t>
      </w:r>
    </w:p>
    <w:p>
      <w:pPr>
        <w:pStyle w:val="null3"/>
        <w:ind w:firstLine="420"/>
        <w:jc w:val="left"/>
      </w:pPr>
      <w:r>
        <w:rPr>
          <w:sz w:val="21"/>
        </w:rPr>
        <w:t>2.2.</w:t>
      </w:r>
      <w:r>
        <w:rPr>
          <w:sz w:val="21"/>
        </w:rPr>
        <w:t>8</w:t>
      </w:r>
      <w:r>
        <w:rPr>
          <w:sz w:val="21"/>
        </w:rPr>
        <w:t>说明</w:t>
      </w:r>
    </w:p>
    <w:p>
      <w:pPr>
        <w:pStyle w:val="null3"/>
        <w:ind w:firstLine="420"/>
        <w:jc w:val="left"/>
      </w:pPr>
      <w:r>
        <w:rPr>
          <w:sz w:val="21"/>
        </w:rPr>
        <w:t>甲方</w:t>
      </w:r>
      <w:r>
        <w:rPr>
          <w:sz w:val="21"/>
        </w:rPr>
        <w:t>向</w:t>
      </w:r>
      <w:r>
        <w:rPr>
          <w:sz w:val="21"/>
        </w:rPr>
        <w:t>乙方</w:t>
      </w:r>
      <w:r>
        <w:rPr>
          <w:sz w:val="21"/>
        </w:rPr>
        <w:t>指定账户汇出款项后，即视为已履行付款义务。在汇款过程中，因</w:t>
      </w:r>
      <w:r>
        <w:rPr>
          <w:sz w:val="21"/>
        </w:rPr>
        <w:t>乙方</w:t>
      </w:r>
      <w:r>
        <w:rPr>
          <w:sz w:val="21"/>
        </w:rPr>
        <w:t>账户的原因</w:t>
      </w:r>
      <w:r>
        <w:rPr>
          <w:sz w:val="21"/>
        </w:rPr>
        <w:t>(包括但不限于账号被注销、被冻结等)导致其无法收取款项的，由</w:t>
      </w:r>
      <w:r>
        <w:rPr>
          <w:sz w:val="21"/>
        </w:rPr>
        <w:t>乙方</w:t>
      </w:r>
      <w:r>
        <w:rPr>
          <w:sz w:val="21"/>
        </w:rPr>
        <w:t>承担相应后果，本项目如执行国库支付的，</w:t>
      </w:r>
      <w:r>
        <w:rPr>
          <w:sz w:val="21"/>
        </w:rPr>
        <w:t>甲方</w:t>
      </w:r>
      <w:r>
        <w:rPr>
          <w:sz w:val="21"/>
        </w:rPr>
        <w:t>在验收合格后</w:t>
      </w:r>
      <w:r>
        <w:rPr>
          <w:sz w:val="21"/>
        </w:rPr>
        <w:t>10个工作日内办理财政集中支付申请手续，付款按照财政部门国库集中支付的有关规定办理。</w:t>
      </w:r>
    </w:p>
    <w:p>
      <w:pPr>
        <w:pStyle w:val="null3"/>
        <w:ind w:firstLine="422"/>
        <w:jc w:val="left"/>
      </w:pPr>
      <w:r>
        <w:rPr>
          <w:sz w:val="21"/>
          <w:b/>
        </w:rPr>
        <w:t>三、货物质量的要求</w:t>
      </w:r>
    </w:p>
    <w:p>
      <w:pPr>
        <w:pStyle w:val="null3"/>
        <w:ind w:firstLine="420"/>
        <w:jc w:val="left"/>
      </w:pPr>
      <w:r>
        <w:rPr>
          <w:sz w:val="21"/>
        </w:rPr>
        <w:t>3.1</w:t>
      </w:r>
      <w:r>
        <w:rPr>
          <w:sz w:val="21"/>
        </w:rPr>
        <w:t>乙方提供的货物必须是全新的，符合国家及行业的有关质量标准，所提供的货物的性能应达到或超过指标表中所列技术指标。</w:t>
      </w:r>
    </w:p>
    <w:p>
      <w:pPr>
        <w:pStyle w:val="null3"/>
        <w:ind w:firstLine="420"/>
        <w:jc w:val="left"/>
      </w:pPr>
      <w:r>
        <w:rPr>
          <w:sz w:val="21"/>
        </w:rPr>
        <w:t>3.2</w:t>
      </w:r>
      <w:r>
        <w:rPr>
          <w:sz w:val="21"/>
        </w:rPr>
        <w:t>乙方必须保证全部货物的型号、规格、数量、外观质量、货物包装及资料、文件（如装箱单、保修单、随箱介质等）与合同要求一致。在货物抵达交货目的地后，乙方负责在项目验收前将货物的全部有关产品说明书、用户手册、装箱清单、原厂保修卡、随机资料、货物配件及随机工具等（并开具清单）交付给甲方。</w:t>
      </w:r>
    </w:p>
    <w:p>
      <w:pPr>
        <w:pStyle w:val="null3"/>
        <w:ind w:firstLine="420"/>
        <w:jc w:val="left"/>
      </w:pPr>
      <w:r>
        <w:rPr>
          <w:sz w:val="21"/>
        </w:rPr>
        <w:t>3.3</w:t>
      </w:r>
      <w:r>
        <w:rPr>
          <w:sz w:val="21"/>
        </w:rPr>
        <w:t>乙方必须保证货物来源正当、合法，因货物来源问题产生纠纷，乙方承担一切责任。</w:t>
      </w:r>
    </w:p>
    <w:p>
      <w:pPr>
        <w:pStyle w:val="null3"/>
        <w:ind w:firstLine="422"/>
        <w:jc w:val="left"/>
      </w:pPr>
      <w:r>
        <w:rPr>
          <w:sz w:val="21"/>
          <w:b/>
        </w:rPr>
        <w:t>四、货物包装、</w:t>
      </w:r>
      <w:r>
        <w:rPr>
          <w:sz w:val="21"/>
          <w:b/>
        </w:rPr>
        <w:t>运输</w:t>
      </w:r>
      <w:r>
        <w:rPr>
          <w:sz w:val="21"/>
          <w:b/>
        </w:rPr>
        <w:t>、安装、调试、培训</w:t>
      </w:r>
      <w:r>
        <w:rPr>
          <w:sz w:val="21"/>
          <w:b/>
        </w:rPr>
        <w:t>要求</w:t>
      </w:r>
      <w:r>
        <w:rPr>
          <w:sz w:val="21"/>
          <w:b/>
        </w:rPr>
        <w:t>：</w:t>
      </w:r>
    </w:p>
    <w:p>
      <w:pPr>
        <w:pStyle w:val="null3"/>
        <w:ind w:firstLine="420"/>
        <w:jc w:val="left"/>
      </w:pPr>
      <w:r>
        <w:rPr>
          <w:sz w:val="21"/>
        </w:rPr>
        <w:t>4.1货物的包装要求：</w:t>
      </w:r>
      <w:r>
        <w:rPr>
          <w:sz w:val="21"/>
        </w:rPr>
        <w:t>乙方</w:t>
      </w:r>
      <w:r>
        <w:rPr>
          <w:sz w:val="21"/>
        </w:rPr>
        <w:t>必须保证货物的包装有良好的防湿、防锈、防潮、防雨、防腐及防碰撞的措施。凡由于包装不良造成的损失和由此产生的费用均由</w:t>
      </w:r>
      <w:r>
        <w:rPr>
          <w:sz w:val="21"/>
        </w:rPr>
        <w:t>乙方</w:t>
      </w:r>
      <w:r>
        <w:rPr>
          <w:sz w:val="21"/>
        </w:rPr>
        <w:t>承担。如果货物在运输和安装调试过程中出现货物短缺、损坏，</w:t>
      </w:r>
      <w:r>
        <w:rPr>
          <w:sz w:val="21"/>
        </w:rPr>
        <w:t>乙方</w:t>
      </w:r>
      <w:r>
        <w:rPr>
          <w:sz w:val="21"/>
        </w:rPr>
        <w:t>应及时补缺和安排换装，保证合同货物安装调试的成功完成，补缺或换货的相关费用由</w:t>
      </w:r>
      <w:r>
        <w:rPr>
          <w:sz w:val="21"/>
        </w:rPr>
        <w:t>乙方</w:t>
      </w:r>
      <w:r>
        <w:rPr>
          <w:sz w:val="21"/>
        </w:rPr>
        <w:t>承担。</w:t>
      </w:r>
    </w:p>
    <w:p>
      <w:pPr>
        <w:pStyle w:val="null3"/>
        <w:ind w:firstLine="420"/>
        <w:jc w:val="left"/>
      </w:pPr>
      <w:r>
        <w:rPr>
          <w:sz w:val="21"/>
        </w:rPr>
        <w:t>4.2履行时间（期限）：</w:t>
      </w:r>
      <w:r>
        <w:rPr>
          <w:sz w:val="21"/>
        </w:rPr>
        <w:t>合同签订后</w:t>
      </w:r>
      <w:r>
        <w:rPr>
          <w:sz w:val="21"/>
        </w:rPr>
        <w:t>270天内完成</w:t>
      </w:r>
      <w:r>
        <w:rPr>
          <w:sz w:val="21"/>
        </w:rPr>
        <w:t>货物安装</w:t>
      </w:r>
      <w:r>
        <w:rPr>
          <w:sz w:val="21"/>
        </w:rPr>
        <w:t>及软件部署</w:t>
      </w:r>
      <w:r>
        <w:rPr>
          <w:sz w:val="21"/>
        </w:rPr>
        <w:t>调试</w:t>
      </w:r>
      <w:r>
        <w:rPr>
          <w:sz w:val="21"/>
        </w:rPr>
        <w:t>。</w:t>
      </w:r>
    </w:p>
    <w:p>
      <w:pPr>
        <w:pStyle w:val="null3"/>
        <w:ind w:firstLine="420"/>
        <w:jc w:val="left"/>
      </w:pPr>
      <w:r>
        <w:rPr>
          <w:sz w:val="21"/>
        </w:rPr>
        <w:t>4.3交货地点：</w:t>
      </w:r>
      <w:r>
        <w:rPr>
          <w:sz w:val="21"/>
        </w:rPr>
        <w:t>广东科学技术职业学院</w:t>
      </w:r>
      <w:r>
        <w:rPr>
          <w:sz w:val="21"/>
        </w:rPr>
        <w:t>珠海校区实训楼</w:t>
      </w:r>
      <w:r>
        <w:rPr>
          <w:sz w:val="21"/>
        </w:rPr>
        <w:t>3-501</w:t>
      </w:r>
      <w:r>
        <w:rPr>
          <w:sz w:val="21"/>
        </w:rPr>
        <w:t>。</w:t>
      </w:r>
    </w:p>
    <w:p>
      <w:pPr>
        <w:pStyle w:val="null3"/>
        <w:ind w:firstLine="420"/>
        <w:jc w:val="left"/>
      </w:pPr>
      <w:r>
        <w:rPr>
          <w:sz w:val="21"/>
        </w:rPr>
        <w:t>双方项目实施联系人及联系方式如下</w:t>
      </w:r>
    </w:p>
    <w:tbl>
      <w:tblPr>
        <w:tblW w:w="0" w:type="auto"/>
        <w:tblBorders>
          <w:top w:val="none" w:color="000000" w:sz="4"/>
          <w:left w:val="none" w:color="000000" w:sz="4"/>
          <w:bottom w:val="none" w:color="000000" w:sz="4"/>
          <w:right w:val="none" w:color="000000" w:sz="4"/>
          <w:insideH w:val="none"/>
          <w:insideV w:val="none"/>
        </w:tblBorders>
      </w:tblPr>
      <w:tblGrid>
        <w:gridCol w:w="1110"/>
        <w:gridCol w:w="1274"/>
        <w:gridCol w:w="2296"/>
        <w:gridCol w:w="3622"/>
      </w:tblGrid>
      <w:tr>
        <w:tc>
          <w:tcPr>
            <w:tcW w:type="dxa" w:w="238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项目实施人</w:t>
            </w:r>
          </w:p>
        </w:tc>
        <w:tc>
          <w:tcPr>
            <w:tcW w:type="dxa" w:w="2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负责人</w:t>
            </w:r>
          </w:p>
        </w:tc>
        <w:tc>
          <w:tcPr>
            <w:tcW w:type="dxa" w:w="3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联系电话</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甲方</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实施</w:t>
            </w:r>
          </w:p>
        </w:tc>
        <w:tc>
          <w:tcPr>
            <w:tcW w:type="dxa" w:w="2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乙方</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实施</w:t>
            </w:r>
          </w:p>
        </w:tc>
        <w:tc>
          <w:tcPr>
            <w:tcW w:type="dxa" w:w="2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10"/>
            <w:vMerge/>
            <w:tcBorders>
              <w:top w:val="none" w:color="000000" w:sz="4"/>
              <w:left w:val="single" w:color="000000" w:sz="4"/>
              <w:bottom w:val="single" w:color="000000" w:sz="4"/>
              <w:right w:val="single" w:color="000000" w:sz="4"/>
            </w:tcBorders>
          </w:tcP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售后</w:t>
            </w:r>
          </w:p>
        </w:tc>
        <w:tc>
          <w:tcPr>
            <w:tcW w:type="dxa" w:w="2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1"/>
        </w:rPr>
        <w:t>4.4货物的安装调试：</w:t>
      </w:r>
      <w:r>
        <w:rPr>
          <w:sz w:val="21"/>
        </w:rPr>
        <w:t>乙方负责货物在甲方场地的安装调试并调试至正常运行的最佳状态，一切费用由乙方负责。</w:t>
      </w:r>
    </w:p>
    <w:p>
      <w:pPr>
        <w:pStyle w:val="null3"/>
        <w:ind w:firstLine="420"/>
        <w:jc w:val="left"/>
      </w:pPr>
      <w:r>
        <w:rPr>
          <w:sz w:val="21"/>
        </w:rPr>
        <w:t>4.5技术培训要求：</w:t>
      </w:r>
      <w:r>
        <w:rPr>
          <w:sz w:val="21"/>
        </w:rPr>
        <w:t>在验收前，乙方应针对甲方员工开展本项目标的物使用培训。培训地点在甲方校内，相关费用已包含在合同总价里。培训人数不少于</w:t>
      </w:r>
      <w:r>
        <w:rPr>
          <w:sz w:val="21"/>
        </w:rPr>
        <w:t>3人，培训时长不少于3天。</w:t>
      </w:r>
    </w:p>
    <w:p>
      <w:pPr>
        <w:pStyle w:val="null3"/>
        <w:ind w:firstLine="422"/>
        <w:jc w:val="left"/>
      </w:pPr>
      <w:r>
        <w:rPr>
          <w:sz w:val="21"/>
          <w:b/>
        </w:rPr>
        <w:t>五、验收</w:t>
      </w:r>
      <w:r>
        <w:rPr>
          <w:sz w:val="21"/>
          <w:b/>
        </w:rPr>
        <w:t>要求</w:t>
      </w:r>
    </w:p>
    <w:p>
      <w:pPr>
        <w:pStyle w:val="null3"/>
        <w:ind w:firstLine="420"/>
        <w:jc w:val="left"/>
      </w:pPr>
      <w:r>
        <w:rPr>
          <w:sz w:val="21"/>
        </w:rPr>
        <w:t>5.1</w:t>
      </w:r>
      <w:r>
        <w:rPr>
          <w:sz w:val="21"/>
        </w:rPr>
        <w:t>完成所有货物交付、安装、调试及部署后，甲方于收到乙方验收申请后</w:t>
      </w:r>
      <w:r>
        <w:rPr>
          <w:sz w:val="21"/>
        </w:rPr>
        <w:t>20个工作日内（如为中小企业中标本项目的，甲方于收到乙方验收申请后7日内）组织整体项目验收，双方就货物质量、规格和型号进行检验，因货物的质量问题发生争议，甲方有权要求有关部门进行检验（由广东或项目所在地商检部门进行质量鉴定）。货物符合质量标准的，鉴定费甲方承担；货物不符合质量标准的，鉴定费由乙方承担，并赔偿甲方损失。</w:t>
      </w:r>
    </w:p>
    <w:p>
      <w:pPr>
        <w:pStyle w:val="null3"/>
        <w:ind w:firstLine="420"/>
        <w:jc w:val="left"/>
      </w:pPr>
      <w:r>
        <w:rPr>
          <w:sz w:val="21"/>
        </w:rPr>
        <w:t>5.2</w:t>
      </w:r>
      <w:r>
        <w:rPr>
          <w:sz w:val="21"/>
        </w:rPr>
        <w:t>验收按国家有关规定、规范进行。验收时如发现所交付的货物有短装、次品、损坏或其它不符合本合同规定之情形者，甲方应做出详尽的现场记录，或由双方签署备忘录。此现场记录或备忘录可用作补充缺失和更换损坏部件的有效证据，因补充缺失或更换损坏部件等产生的相关费用由乙方承担。不能修理或不能调换损坏部件的，均按不能交货处理。</w:t>
      </w:r>
    </w:p>
    <w:p>
      <w:pPr>
        <w:pStyle w:val="null3"/>
        <w:ind w:firstLine="420"/>
        <w:jc w:val="left"/>
      </w:pPr>
      <w:r>
        <w:rPr>
          <w:sz w:val="21"/>
        </w:rPr>
        <w:t>5.3</w:t>
      </w:r>
      <w:r>
        <w:rPr>
          <w:sz w:val="21"/>
        </w:rPr>
        <w:t>对货物的硬件及软件配置标准必须与国家有关政策相符合。否则，出现的一切责任都由乙方负责。</w:t>
      </w:r>
    </w:p>
    <w:p>
      <w:pPr>
        <w:pStyle w:val="null3"/>
        <w:ind w:firstLine="422"/>
        <w:jc w:val="left"/>
      </w:pPr>
      <w:r>
        <w:rPr>
          <w:sz w:val="21"/>
          <w:b/>
        </w:rPr>
        <w:t>六、售后服务</w:t>
      </w:r>
    </w:p>
    <w:p>
      <w:pPr>
        <w:pStyle w:val="null3"/>
        <w:ind w:firstLine="420"/>
        <w:jc w:val="both"/>
      </w:pPr>
      <w:r>
        <w:rPr>
          <w:sz w:val="21"/>
        </w:rPr>
        <w:t>6.1本项目质保期3年，乙方提供3年不限于上门/在线保修服务和系统维护，乙方不再收取任何费用，质保期自项目验收合格之日起计算。</w:t>
      </w:r>
    </w:p>
    <w:p>
      <w:pPr>
        <w:pStyle w:val="null3"/>
        <w:ind w:firstLine="420"/>
        <w:jc w:val="both"/>
      </w:pPr>
      <w:r>
        <w:rPr>
          <w:sz w:val="21"/>
        </w:rPr>
        <w:t>6.2在质保期内，乙方提供平台运行状态主动监控与定期健康检查服务，提前发现潜在风险，提供优化建议。</w:t>
      </w:r>
    </w:p>
    <w:p>
      <w:pPr>
        <w:pStyle w:val="null3"/>
        <w:ind w:firstLine="420"/>
        <w:jc w:val="both"/>
      </w:pPr>
      <w:r>
        <w:rPr>
          <w:sz w:val="21"/>
        </w:rPr>
        <w:t>6.3在质保期内，乙方负责对其提供的平台进行定期升级和系统维护，根据行业发展和技术进步，及时更新平台中的模型、数据、资源和功能模块。</w:t>
      </w:r>
    </w:p>
    <w:p>
      <w:pPr>
        <w:pStyle w:val="null3"/>
        <w:ind w:firstLine="420"/>
        <w:jc w:val="both"/>
      </w:pPr>
      <w:r>
        <w:rPr>
          <w:sz w:val="21"/>
        </w:rPr>
        <w:t>6.4在质保期内，乙方应及时响应并处理系统故障，对于硬件故障，协调相关供应商进行维修或更换；对于软件故障，及时安排技术人员进行排查和修复，减少系统故障对甲方的影响。</w:t>
      </w:r>
    </w:p>
    <w:p>
      <w:pPr>
        <w:pStyle w:val="null3"/>
        <w:ind w:firstLine="420"/>
        <w:jc w:val="both"/>
      </w:pPr>
      <w:r>
        <w:rPr>
          <w:sz w:val="21"/>
        </w:rPr>
        <w:t>6.5故障报修的响应时间为12小时，且在24小时内处理完毕。规定时间内未处理完毕的，乙方在48小时内提供不低于同等档次系统平台供用户使用至故障恢复正常为止。</w:t>
      </w:r>
    </w:p>
    <w:p>
      <w:pPr>
        <w:pStyle w:val="null3"/>
        <w:ind w:firstLine="422"/>
        <w:jc w:val="left"/>
      </w:pPr>
      <w:r>
        <w:rPr>
          <w:sz w:val="21"/>
          <w:b/>
        </w:rPr>
        <w:t>七、履约保证金</w:t>
      </w:r>
    </w:p>
    <w:p>
      <w:pPr>
        <w:pStyle w:val="null3"/>
        <w:ind w:firstLine="420"/>
        <w:jc w:val="left"/>
      </w:pPr>
      <w:r>
        <w:rPr>
          <w:sz w:val="21"/>
        </w:rPr>
        <w:t>7.1合同签订后5个工作日内，乙方付合同总金额的10%作为履约保证金至甲方账户，如为中小企业，则付5%的履约保证金。（该保证金不计利息，以支票、汇票、本票、保函等非现金形式缴纳，履约保证金支付请乙方注意备注项目名称），若乙方没有违约行为，履约保证金在验收合格后30日内由甲方以非现金形式无息退还乙方。</w:t>
      </w:r>
    </w:p>
    <w:p>
      <w:pPr>
        <w:pStyle w:val="null3"/>
        <w:ind w:firstLine="420"/>
        <w:jc w:val="left"/>
      </w:pPr>
      <w:r>
        <w:rPr>
          <w:sz w:val="21"/>
        </w:rPr>
        <w:t>7.2下列任何情况发生时，履约保证金将不予退还：</w:t>
      </w:r>
    </w:p>
    <w:p>
      <w:pPr>
        <w:pStyle w:val="null3"/>
        <w:ind w:firstLine="420"/>
        <w:jc w:val="left"/>
      </w:pPr>
      <w:r>
        <w:rPr>
          <w:sz w:val="21"/>
        </w:rPr>
        <w:t>7.2.1在合同有效期内，乙方将本项目转包给他人，或者未经甲方同意，将项目分包给他人的，履约保证金不予退还。</w:t>
      </w:r>
    </w:p>
    <w:p>
      <w:pPr>
        <w:pStyle w:val="null3"/>
        <w:ind w:firstLine="420"/>
        <w:jc w:val="left"/>
      </w:pPr>
      <w:r>
        <w:rPr>
          <w:sz w:val="21"/>
        </w:rPr>
        <w:t>7.2.2在合同有效期内，凡因乙方责任，使甲方解除本项目合同的，履约保证金不予退还。</w:t>
      </w:r>
    </w:p>
    <w:p>
      <w:pPr>
        <w:pStyle w:val="null3"/>
        <w:ind w:firstLine="420"/>
        <w:jc w:val="left"/>
      </w:pPr>
      <w:r>
        <w:rPr>
          <w:sz w:val="21"/>
        </w:rPr>
        <w:t>7.2.3履约期内乙方无条件退出的，履约保证金不予退还。</w:t>
      </w:r>
    </w:p>
    <w:p>
      <w:pPr>
        <w:pStyle w:val="null3"/>
        <w:ind w:firstLine="420"/>
        <w:jc w:val="left"/>
      </w:pPr>
      <w:r>
        <w:rPr>
          <w:sz w:val="21"/>
        </w:rPr>
        <w:t>7.2.4出现其他违反有关法律法规的规定及合同约定不予退还履约保证金的条款。</w:t>
      </w:r>
    </w:p>
    <w:p>
      <w:pPr>
        <w:pStyle w:val="null3"/>
        <w:ind w:firstLine="420"/>
        <w:jc w:val="left"/>
      </w:pPr>
      <w:r>
        <w:rPr>
          <w:sz w:val="21"/>
        </w:rPr>
        <w:t>7.3乙方违约导致保证金不予退还的，若给甲方造成的损失超过保证金金额，甲方有权进一步追究赔偿责任。</w:t>
      </w:r>
    </w:p>
    <w:p>
      <w:pPr>
        <w:pStyle w:val="null3"/>
        <w:ind w:firstLine="422"/>
        <w:jc w:val="left"/>
      </w:pPr>
      <w:r>
        <w:rPr>
          <w:sz w:val="21"/>
          <w:b/>
        </w:rPr>
        <w:t>八</w:t>
      </w:r>
      <w:r>
        <w:rPr>
          <w:sz w:val="21"/>
          <w:b/>
        </w:rPr>
        <w:t>、知识产权</w:t>
      </w:r>
    </w:p>
    <w:p>
      <w:pPr>
        <w:pStyle w:val="null3"/>
        <w:ind w:firstLine="420"/>
        <w:jc w:val="left"/>
      </w:pPr>
      <w:r>
        <w:rPr>
          <w:sz w:val="21"/>
        </w:rPr>
        <w:t>8</w:t>
      </w:r>
      <w:r>
        <w:rPr>
          <w:sz w:val="21"/>
        </w:rPr>
        <w:t>.1乙方必须保证，甲方在中华人民共和国使用货物或货物的任何一部分时，如有第三方向甲方提出侵犯其专利权、商标权或其它知识产权的主张，该责任全部由乙方承担。</w:t>
      </w:r>
    </w:p>
    <w:p>
      <w:pPr>
        <w:pStyle w:val="null3"/>
        <w:ind w:firstLine="420"/>
        <w:jc w:val="left"/>
      </w:pPr>
      <w:r>
        <w:rPr>
          <w:sz w:val="21"/>
        </w:rPr>
        <w:t>8</w:t>
      </w:r>
      <w:r>
        <w:rPr>
          <w:sz w:val="21"/>
        </w:rPr>
        <w:t>.2乙方报价包含向所有权人支付的专利权、商标权或其它知识产权的有关费用及税费。</w:t>
      </w:r>
    </w:p>
    <w:p>
      <w:pPr>
        <w:pStyle w:val="null3"/>
        <w:ind w:firstLine="422"/>
        <w:jc w:val="left"/>
      </w:pPr>
      <w:r>
        <w:rPr>
          <w:sz w:val="21"/>
          <w:b/>
        </w:rPr>
        <w:t>九</w:t>
      </w:r>
      <w:r>
        <w:rPr>
          <w:sz w:val="21"/>
          <w:b/>
        </w:rPr>
        <w:t>、不可抗力</w:t>
      </w:r>
    </w:p>
    <w:p>
      <w:pPr>
        <w:pStyle w:val="null3"/>
        <w:ind w:firstLine="420"/>
        <w:jc w:val="left"/>
      </w:pPr>
      <w:r>
        <w:rPr>
          <w:sz w:val="21"/>
        </w:rPr>
        <w:t>9</w:t>
      </w:r>
      <w:r>
        <w:rPr>
          <w:sz w:val="21"/>
        </w:rPr>
        <w:t>.1不可抗力按国家法规定义的不可抗力事件（如战争、严重火灾、洪水、地震等）。</w:t>
      </w:r>
    </w:p>
    <w:p>
      <w:pPr>
        <w:pStyle w:val="null3"/>
        <w:ind w:firstLine="420"/>
        <w:jc w:val="left"/>
      </w:pPr>
      <w:r>
        <w:rPr>
          <w:sz w:val="21"/>
        </w:rPr>
        <w:t>9</w:t>
      </w:r>
      <w:r>
        <w:rPr>
          <w:sz w:val="21"/>
        </w:rPr>
        <w:t>.2签约双方中任何一方由于不可抗力影响合同执行时，承受不可抗力一方应尽快将事故通知另一方。 在此情况下，双方应通过友好协商尽快解决本合同的执行问题。</w:t>
      </w:r>
    </w:p>
    <w:p>
      <w:pPr>
        <w:pStyle w:val="null3"/>
        <w:ind w:firstLine="422"/>
        <w:jc w:val="left"/>
      </w:pPr>
      <w:r>
        <w:rPr>
          <w:sz w:val="21"/>
          <w:b/>
        </w:rPr>
        <w:t>十</w:t>
      </w:r>
      <w:r>
        <w:rPr>
          <w:sz w:val="21"/>
          <w:b/>
        </w:rPr>
        <w:t>、索赔</w:t>
      </w:r>
    </w:p>
    <w:p>
      <w:pPr>
        <w:pStyle w:val="null3"/>
        <w:ind w:firstLine="420"/>
        <w:jc w:val="left"/>
      </w:pPr>
      <w:r>
        <w:rPr>
          <w:sz w:val="21"/>
        </w:rPr>
        <w:t>10</w:t>
      </w:r>
      <w:r>
        <w:rPr>
          <w:sz w:val="21"/>
        </w:rPr>
        <w:t>.1在合同执行期间，如果乙方对甲方提出的索赔和差异负有责任，乙方应按照甲方同意的下列一种或多种方式解决索赔事宜：</w:t>
      </w:r>
    </w:p>
    <w:p>
      <w:pPr>
        <w:pStyle w:val="null3"/>
        <w:ind w:firstLine="420"/>
        <w:jc w:val="left"/>
      </w:pPr>
      <w:r>
        <w:rPr>
          <w:sz w:val="21"/>
        </w:rPr>
        <w:t>10</w:t>
      </w:r>
      <w:r>
        <w:rPr>
          <w:sz w:val="21"/>
        </w:rPr>
        <w:t>.1.1乙方同意退货，并按合同规定的同种货币将货款退还给甲方，并承担由此发生的一切损失和费用。</w:t>
      </w:r>
    </w:p>
    <w:p>
      <w:pPr>
        <w:pStyle w:val="null3"/>
        <w:ind w:firstLine="420"/>
        <w:jc w:val="left"/>
      </w:pPr>
      <w:r>
        <w:rPr>
          <w:sz w:val="21"/>
        </w:rPr>
        <w:t>10</w:t>
      </w:r>
      <w:r>
        <w:rPr>
          <w:sz w:val="21"/>
        </w:rPr>
        <w:t>.1.2根据货物低劣程度、损坏程度以及甲方所遭受损失的数额，甲乙双方商定降低货物的价格，差价归还甲方。</w:t>
      </w:r>
    </w:p>
    <w:p>
      <w:pPr>
        <w:pStyle w:val="null3"/>
        <w:ind w:firstLine="420"/>
        <w:jc w:val="left"/>
      </w:pPr>
      <w:r>
        <w:rPr>
          <w:sz w:val="21"/>
        </w:rPr>
        <w:t>10</w:t>
      </w:r>
      <w:r>
        <w:rPr>
          <w:sz w:val="21"/>
        </w:rPr>
        <w:t>.1.3用符合规格、质量和性能要求的新零件、部件或货物来更换有缺陷的部分或修补有缺陷的部分。乙方承担修补和更换的一切费用、风险，并赔偿甲方的一切直接损失，同时，相应延长质量保证期。</w:t>
      </w:r>
    </w:p>
    <w:p>
      <w:pPr>
        <w:pStyle w:val="null3"/>
        <w:ind w:firstLine="420"/>
        <w:jc w:val="left"/>
      </w:pPr>
      <w:r>
        <w:rPr>
          <w:sz w:val="21"/>
        </w:rPr>
        <w:t>10</w:t>
      </w:r>
      <w:r>
        <w:rPr>
          <w:sz w:val="21"/>
        </w:rPr>
        <w:t>.2如果在甲方发出索赔通知后30天内，乙方未作答复，上述索赔应视为已被乙方接受。甲方将从合同款项中扣回索赔金额。如果这些金额不足以补偿索赔金额，甲方有权向乙方提出不足部分的补偿。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firstLine="422"/>
        <w:jc w:val="left"/>
      </w:pPr>
      <w:r>
        <w:rPr>
          <w:sz w:val="21"/>
          <w:b/>
        </w:rPr>
        <w:t>十</w:t>
      </w:r>
      <w:r>
        <w:rPr>
          <w:sz w:val="21"/>
          <w:b/>
        </w:rPr>
        <w:t>一</w:t>
      </w:r>
      <w:r>
        <w:rPr>
          <w:sz w:val="21"/>
          <w:b/>
        </w:rPr>
        <w:t>、违约与处罚</w:t>
      </w:r>
    </w:p>
    <w:p>
      <w:pPr>
        <w:pStyle w:val="null3"/>
        <w:ind w:firstLine="420"/>
        <w:jc w:val="left"/>
      </w:pPr>
      <w:r>
        <w:rPr>
          <w:sz w:val="21"/>
        </w:rPr>
        <w:t>1</w:t>
      </w:r>
      <w:r>
        <w:rPr>
          <w:sz w:val="21"/>
        </w:rPr>
        <w:t>1</w:t>
      </w:r>
      <w:r>
        <w:rPr>
          <w:sz w:val="21"/>
        </w:rPr>
        <w:t>.1乙方逾期交付货物，每拖延一天，须向甲方支付合同金额的3‰的违约金。违约金不超过合同总额的5%。逾期交付超过15天，甲方有权终止合同。</w:t>
      </w:r>
    </w:p>
    <w:p>
      <w:pPr>
        <w:pStyle w:val="null3"/>
        <w:ind w:firstLine="420"/>
        <w:jc w:val="left"/>
      </w:pPr>
      <w:r>
        <w:rPr>
          <w:sz w:val="21"/>
        </w:rPr>
        <w:t>1</w:t>
      </w:r>
      <w:r>
        <w:rPr>
          <w:sz w:val="21"/>
        </w:rPr>
        <w:t>1</w:t>
      </w:r>
      <w:r>
        <w:rPr>
          <w:sz w:val="21"/>
        </w:rPr>
        <w:t>.2甲方未能按时付款，每拖延一天，须向乙方支付合同金额的3‰的违约金。违约金不超过合同总额的5%。</w:t>
      </w:r>
    </w:p>
    <w:p>
      <w:pPr>
        <w:pStyle w:val="null3"/>
        <w:ind w:firstLine="420"/>
        <w:jc w:val="left"/>
      </w:pPr>
      <w:r>
        <w:rPr>
          <w:sz w:val="21"/>
        </w:rPr>
        <w:t>1</w:t>
      </w:r>
      <w:r>
        <w:rPr>
          <w:sz w:val="21"/>
        </w:rPr>
        <w:t>1</w:t>
      </w:r>
      <w:r>
        <w:rPr>
          <w:sz w:val="21"/>
        </w:rPr>
        <w:t>.3乙方交付的货物不符合合同规定的，甲方有权拒收，乙方向甲方支付合同金额的5%的违约金。对品牌参数出现差异及设备参数差异无法更改的，在不影响正常教学使用的情况下，乙方向甲方支付合同金额的5%-10%的违约金。</w:t>
      </w:r>
    </w:p>
    <w:p>
      <w:pPr>
        <w:pStyle w:val="null3"/>
        <w:ind w:firstLine="420"/>
        <w:jc w:val="left"/>
      </w:pPr>
      <w:r>
        <w:rPr>
          <w:sz w:val="21"/>
        </w:rPr>
        <w:t>11.4甲方无正当理由拒收货物的，甲方向乙方支付合同金额的5%的违约金。</w:t>
      </w:r>
    </w:p>
    <w:p>
      <w:pPr>
        <w:pStyle w:val="null3"/>
        <w:ind w:firstLine="422"/>
        <w:jc w:val="left"/>
      </w:pPr>
      <w:r>
        <w:rPr>
          <w:sz w:val="21"/>
          <w:b/>
        </w:rPr>
        <w:t>十</w:t>
      </w:r>
      <w:r>
        <w:rPr>
          <w:sz w:val="21"/>
          <w:b/>
        </w:rPr>
        <w:t>二</w:t>
      </w:r>
      <w:r>
        <w:rPr>
          <w:sz w:val="21"/>
          <w:b/>
        </w:rPr>
        <w:t>、合同终止</w:t>
      </w:r>
    </w:p>
    <w:p>
      <w:pPr>
        <w:pStyle w:val="null3"/>
        <w:ind w:firstLine="420"/>
        <w:jc w:val="left"/>
      </w:pPr>
      <w:r>
        <w:rPr>
          <w:sz w:val="21"/>
        </w:rPr>
        <w:t>如果一方违反合同，并在收到对方违约通知书后，</w:t>
      </w:r>
      <w:r>
        <w:rPr>
          <w:sz w:val="21"/>
        </w:rPr>
        <w:t>30天内仍未能改正的，另一方可立即终止本合同，由此产生的任何费用和造成的任何损失，由违约方承担。</w:t>
      </w:r>
    </w:p>
    <w:p>
      <w:pPr>
        <w:pStyle w:val="null3"/>
        <w:ind w:firstLine="422"/>
        <w:jc w:val="left"/>
      </w:pPr>
      <w:r>
        <w:rPr>
          <w:sz w:val="21"/>
          <w:b/>
        </w:rPr>
        <w:t>十</w:t>
      </w:r>
      <w:r>
        <w:rPr>
          <w:sz w:val="21"/>
          <w:b/>
        </w:rPr>
        <w:t>三</w:t>
      </w:r>
      <w:r>
        <w:rPr>
          <w:sz w:val="21"/>
          <w:b/>
        </w:rPr>
        <w:t>、解决争议的方法</w:t>
      </w:r>
    </w:p>
    <w:p>
      <w:pPr>
        <w:pStyle w:val="null3"/>
        <w:ind w:firstLine="420"/>
        <w:jc w:val="left"/>
      </w:pPr>
      <w:r>
        <w:rPr>
          <w:sz w:val="21"/>
        </w:rPr>
        <w:t>甲乙双方在履约中发生争执和分歧，应通过友好协商解决，若经协商不能达成协议时，由合同原告方所在地人民法院起诉。受理期间，双方应继续执行合同其余部分。</w:t>
      </w:r>
    </w:p>
    <w:p>
      <w:pPr>
        <w:pStyle w:val="null3"/>
        <w:ind w:firstLine="422"/>
        <w:jc w:val="left"/>
      </w:pPr>
      <w:r>
        <w:rPr>
          <w:sz w:val="21"/>
          <w:b/>
        </w:rPr>
        <w:t>十</w:t>
      </w:r>
      <w:r>
        <w:rPr>
          <w:sz w:val="21"/>
          <w:b/>
        </w:rPr>
        <w:t>四</w:t>
      </w:r>
      <w:r>
        <w:rPr>
          <w:sz w:val="21"/>
          <w:b/>
        </w:rPr>
        <w:t>、其它约定条款</w:t>
      </w:r>
    </w:p>
    <w:p>
      <w:pPr>
        <w:pStyle w:val="null3"/>
        <w:ind w:firstLine="420"/>
        <w:jc w:val="left"/>
      </w:pPr>
      <w:r>
        <w:rPr>
          <w:sz w:val="21"/>
        </w:rPr>
        <w:t>1</w:t>
      </w:r>
      <w:r>
        <w:rPr>
          <w:sz w:val="21"/>
        </w:rPr>
        <w:t>4</w:t>
      </w:r>
      <w:r>
        <w:rPr>
          <w:sz w:val="21"/>
        </w:rPr>
        <w:t>.1本合同一式四份，均为正本，具有同等法律效力，甲乙双方各执二份。合同自签字之日起即时生效。</w:t>
      </w:r>
    </w:p>
    <w:p>
      <w:pPr>
        <w:pStyle w:val="null3"/>
        <w:ind w:firstLine="420"/>
        <w:jc w:val="left"/>
      </w:pPr>
      <w:r>
        <w:rPr>
          <w:sz w:val="21"/>
        </w:rPr>
        <w:t>1</w:t>
      </w:r>
      <w:r>
        <w:rPr>
          <w:sz w:val="21"/>
        </w:rPr>
        <w:t>4</w:t>
      </w:r>
      <w:r>
        <w:rPr>
          <w:sz w:val="21"/>
        </w:rPr>
        <w:t>.2本项目的报价文件也为本合同之有效附件。</w:t>
      </w:r>
    </w:p>
    <w:p>
      <w:pPr>
        <w:pStyle w:val="null3"/>
        <w:ind w:firstLine="420"/>
        <w:jc w:val="left"/>
      </w:pPr>
      <w:r>
        <w:rPr>
          <w:sz w:val="21"/>
        </w:rPr>
        <w:t>1</w:t>
      </w:r>
      <w:r>
        <w:rPr>
          <w:sz w:val="21"/>
        </w:rPr>
        <w:t>4</w:t>
      </w:r>
      <w:r>
        <w:rPr>
          <w:sz w:val="21"/>
        </w:rPr>
        <w:t>.3本合同未尽事宜，由双方协商处理。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rPr>
              <w:t>甲方：</w:t>
            </w:r>
            <w:r>
              <w:rPr>
                <w:sz w:val="21"/>
                <w:b/>
              </w:rPr>
              <w:t>广东科学技术职业学院</w:t>
            </w:r>
            <w:r>
              <w:rPr>
                <w:sz w:val="21"/>
                <w:b/>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rPr>
              <w:t>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w:t>
            </w:r>
            <w:r>
              <w:rPr>
                <w:sz w:val="21"/>
                <w:b/>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法定代表人</w:t>
            </w:r>
            <w:r>
              <w:rPr>
                <w:sz w:val="21"/>
              </w:rPr>
              <w:t>(或委托代理人)签名：</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法定代表人</w:t>
            </w:r>
            <w:r>
              <w:rPr>
                <w:sz w:val="21"/>
              </w:rPr>
              <w:t>(或委托代理人)签名：</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开户银行：</w:t>
            </w:r>
            <w:r>
              <w:rPr>
                <w:sz w:val="21"/>
                <w:b/>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帐号：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帐号：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统一社会信用代码：</w:t>
            </w:r>
            <w:r>
              <w:rPr>
                <w:sz w:val="21"/>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统一社会信用代码</w:t>
            </w:r>
            <w:r>
              <w:rPr>
                <w:sz w:val="21"/>
                <w:b/>
              </w:rPr>
              <w:t>：</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签约时间：</w:t>
            </w:r>
            <w:r>
              <w:rPr>
                <w:sz w:val="21"/>
              </w:rPr>
              <w:t>202  年  月   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签约时间：</w:t>
            </w:r>
            <w:r>
              <w:rPr>
                <w:sz w:val="21"/>
              </w:rPr>
              <w:t>202  年  月   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440001-2025-42836</w:t>
      </w:r>
    </w:p>
    <w:p>
      <w:pPr>
        <w:pStyle w:val="null3"/>
        <w:jc w:val="center"/>
        <w:outlineLvl w:val="3"/>
      </w:pPr>
      <w:r>
        <w:rPr>
          <w:sz w:val="24"/>
          <w:b/>
        </w:rPr>
        <w:t>采购项目编号：</w:t>
      </w:r>
      <w:r>
        <w:rPr>
          <w:sz w:val="24"/>
          <w:b/>
        </w:rPr>
        <w:t>ZZ0250665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虚拟现实资源开发大模型平台</w:t>
      </w:r>
      <w:r>
        <w:rPr>
          <w:u w:val="single"/>
        </w:rPr>
        <w:t>”</w:t>
      </w:r>
      <w:r>
        <w:rPr/>
        <w:t>项目的招标[采购项目编号为：</w:t>
      </w:r>
      <w:r>
        <w:rPr>
          <w:u w:val="single"/>
        </w:rPr>
        <w:t>ZZ0250665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虚拟现实资源开发大模型平台</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虚拟现实资源开发大模型平台</w:t>
      </w:r>
      <w:r>
        <w:rPr/>
        <w:t>”项目采购[采购项目编号为</w:t>
      </w:r>
      <w:r>
        <w:rPr/>
        <w:t>ZZ0250665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广东科学技术职业学院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虚拟现实资源开发大模型平台</w:t>
      </w:r>
      <w:r>
        <w:rPr/>
        <w:t>招标中获中标（采购项目编号：</w:t>
      </w:r>
      <w:r>
        <w:rPr/>
        <w:t>ZZ0250665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虚拟现实资源开发大模型平台</w:t>
      </w:r>
      <w:r>
        <w:rPr/>
        <w:t>”项目（采购项目编号：</w:t>
      </w:r>
      <w:r>
        <w:rPr/>
        <w:t>ZZ0250665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