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B5DF">
      <w:pPr>
        <w:pStyle w:val="8"/>
        <w:jc w:val="center"/>
        <w:outlineLvl w:val="3"/>
      </w:pPr>
      <w:r>
        <w:rPr>
          <w:b/>
          <w:sz w:val="24"/>
        </w:rPr>
        <w:t>实质性响应一览表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3382"/>
        <w:gridCol w:w="2076"/>
        <w:gridCol w:w="2076"/>
      </w:tblGrid>
      <w:tr w14:paraId="7D23F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07B726F">
            <w:pPr>
              <w:pStyle w:val="8"/>
              <w:jc w:val="center"/>
              <w:rPr>
                <w:b/>
                <w:bCs/>
              </w:rPr>
            </w:pPr>
            <w:r>
              <w:rPr>
                <w:b/>
                <w:bCs/>
              </w:rPr>
              <w:t>序号</w:t>
            </w:r>
          </w:p>
        </w:tc>
        <w:tc>
          <w:tcPr>
            <w:tcW w:w="3382" w:type="dxa"/>
          </w:tcPr>
          <w:p w14:paraId="60E96D9D">
            <w:pPr>
              <w:pStyle w:val="8"/>
              <w:jc w:val="center"/>
              <w:rPr>
                <w:b/>
                <w:bCs/>
              </w:rPr>
            </w:pPr>
            <w:r>
              <w:rPr>
                <w:b/>
                <w:bCs/>
              </w:rPr>
              <w:t>实质性响应条款</w:t>
            </w:r>
          </w:p>
        </w:tc>
        <w:tc>
          <w:tcPr>
            <w:tcW w:w="2076" w:type="dxa"/>
          </w:tcPr>
          <w:p w14:paraId="3D8BC006">
            <w:pPr>
              <w:pStyle w:val="8"/>
              <w:jc w:val="center"/>
              <w:rPr>
                <w:b/>
                <w:bCs/>
              </w:rPr>
            </w:pPr>
            <w:r>
              <w:rPr>
                <w:b/>
                <w:bCs/>
              </w:rPr>
              <w:t>投标人响应情况</w:t>
            </w:r>
          </w:p>
        </w:tc>
        <w:tc>
          <w:tcPr>
            <w:tcW w:w="2076" w:type="dxa"/>
          </w:tcPr>
          <w:p w14:paraId="758673E4">
            <w:pPr>
              <w:pStyle w:val="8"/>
              <w:jc w:val="center"/>
              <w:rPr>
                <w:b/>
                <w:bCs/>
              </w:rPr>
            </w:pPr>
            <w:r>
              <w:rPr>
                <w:b/>
                <w:bCs/>
              </w:rPr>
              <w:t>差异</w:t>
            </w:r>
          </w:p>
        </w:tc>
      </w:tr>
      <w:tr w14:paraId="0483E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73D4C11">
            <w:pPr>
              <w:pStyle w:val="8"/>
              <w:jc w:val="center"/>
            </w:pPr>
            <w:r>
              <w:t>1</w:t>
            </w:r>
          </w:p>
        </w:tc>
        <w:tc>
          <w:tcPr>
            <w:tcW w:w="3382" w:type="dxa"/>
          </w:tcPr>
          <w:p w14:paraId="7F204A16">
            <w:pPr>
              <w:pStyle w:val="8"/>
              <w:jc w:val="both"/>
            </w:pPr>
            <w:r>
              <w:rPr>
                <w:sz w:val="24"/>
              </w:rPr>
              <w:t>★4.凡属于《中华人民共和国实施强制性产品认证的产品目录》的产品，请投标人在投标文件中承诺在交货时提供该产品的“中国强制性产品认证”（CCC认证）证书。</w:t>
            </w:r>
          </w:p>
        </w:tc>
        <w:tc>
          <w:tcPr>
            <w:tcW w:w="2076" w:type="dxa"/>
          </w:tcPr>
          <w:p w14:paraId="7587DADB">
            <w:pPr>
              <w:pStyle w:val="8"/>
              <w:jc w:val="center"/>
            </w:pPr>
          </w:p>
        </w:tc>
        <w:tc>
          <w:tcPr>
            <w:tcW w:w="2076" w:type="dxa"/>
          </w:tcPr>
          <w:p w14:paraId="37BAF0B2">
            <w:pPr>
              <w:pStyle w:val="8"/>
              <w:jc w:val="center"/>
            </w:pPr>
          </w:p>
        </w:tc>
      </w:tr>
      <w:tr w14:paraId="6F6E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82FD884">
            <w:pPr>
              <w:pStyle w:val="8"/>
              <w:jc w:val="center"/>
            </w:pPr>
            <w:r>
              <w:t>2</w:t>
            </w:r>
          </w:p>
        </w:tc>
        <w:tc>
          <w:tcPr>
            <w:tcW w:w="3382" w:type="dxa"/>
          </w:tcPr>
          <w:p w14:paraId="091066ED">
            <w:pPr>
              <w:pStyle w:val="8"/>
              <w:jc w:val="both"/>
            </w:pPr>
            <w:r>
              <w:rPr>
                <w:sz w:val="24"/>
              </w:rPr>
              <w:t>★5.本项目不允许分包，供应商未提供《分包意向协议书》则视为不采取分包。</w:t>
            </w:r>
          </w:p>
        </w:tc>
        <w:tc>
          <w:tcPr>
            <w:tcW w:w="2076" w:type="dxa"/>
          </w:tcPr>
          <w:p w14:paraId="028CB5A3">
            <w:pPr>
              <w:pStyle w:val="8"/>
              <w:jc w:val="center"/>
            </w:pPr>
          </w:p>
        </w:tc>
        <w:tc>
          <w:tcPr>
            <w:tcW w:w="2076" w:type="dxa"/>
          </w:tcPr>
          <w:p w14:paraId="22AABE56">
            <w:pPr>
              <w:pStyle w:val="8"/>
              <w:jc w:val="center"/>
            </w:pPr>
          </w:p>
        </w:tc>
      </w:tr>
      <w:tr w14:paraId="3AC3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3E24BE70">
            <w:pPr>
              <w:pStyle w:val="8"/>
              <w:jc w:val="center"/>
            </w:pPr>
            <w:r>
              <w:t>3</w:t>
            </w:r>
          </w:p>
        </w:tc>
        <w:tc>
          <w:tcPr>
            <w:tcW w:w="3382" w:type="dxa"/>
          </w:tcPr>
          <w:p w14:paraId="68925F91">
            <w:pPr>
              <w:pStyle w:val="8"/>
              <w:jc w:val="left"/>
            </w:pPr>
            <w:r>
              <w:rPr>
                <w:sz w:val="24"/>
              </w:rPr>
              <w:t>★4.本采购项目分包1和包2两个采购包。各采购包投标总价不得超出各采购包预算金额，各采购包单台设备投标价不得超出各采购包清单中单台设备预算单价，否则视为无效投标。</w:t>
            </w:r>
          </w:p>
        </w:tc>
        <w:tc>
          <w:tcPr>
            <w:tcW w:w="2076" w:type="dxa"/>
          </w:tcPr>
          <w:p w14:paraId="3389887A">
            <w:pPr>
              <w:pStyle w:val="8"/>
              <w:jc w:val="center"/>
            </w:pPr>
          </w:p>
        </w:tc>
        <w:tc>
          <w:tcPr>
            <w:tcW w:w="2076" w:type="dxa"/>
          </w:tcPr>
          <w:p w14:paraId="0A73456F">
            <w:pPr>
              <w:pStyle w:val="8"/>
              <w:jc w:val="center"/>
            </w:pPr>
          </w:p>
        </w:tc>
      </w:tr>
      <w:tr w14:paraId="7019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5C38839">
            <w:pPr>
              <w:pStyle w:val="8"/>
              <w:jc w:val="center"/>
            </w:pPr>
            <w:r>
              <w:t>4</w:t>
            </w:r>
          </w:p>
        </w:tc>
        <w:tc>
          <w:tcPr>
            <w:tcW w:w="3382" w:type="dxa"/>
          </w:tcPr>
          <w:p w14:paraId="1B27D2C6">
            <w:pPr>
              <w:pStyle w:val="8"/>
              <w:jc w:val="left"/>
            </w:pPr>
            <w:r>
              <w:rPr>
                <w:sz w:val="24"/>
              </w:rPr>
              <w:t>安装调试要求</w:t>
            </w:r>
            <w:r>
              <w:rPr>
                <w:rFonts w:hint="eastAsia"/>
                <w:sz w:val="24"/>
                <w:lang w:eastAsia="zh-CN"/>
              </w:rPr>
              <w:t>：</w:t>
            </w:r>
            <w:r>
              <w:rPr>
                <w:sz w:val="24"/>
              </w:rPr>
              <w:t>★1.投标人应承诺对具有国家计量、校准标准或规程的仪器设备，仪器设备安装调试完毕后，验收前需邀请具备资质的第三方计量、校准机构对仪器设备进行现场计量或校准检测，并出具检测报告。检测结论合格将作为验收凭证之一。所产生的相关的费用，已包含在投标价内。</w:t>
            </w:r>
          </w:p>
        </w:tc>
        <w:tc>
          <w:tcPr>
            <w:tcW w:w="2076" w:type="dxa"/>
          </w:tcPr>
          <w:p w14:paraId="3A7FE09D">
            <w:pPr>
              <w:pStyle w:val="8"/>
              <w:jc w:val="center"/>
            </w:pPr>
          </w:p>
        </w:tc>
        <w:tc>
          <w:tcPr>
            <w:tcW w:w="2076" w:type="dxa"/>
          </w:tcPr>
          <w:p w14:paraId="7B2BDC97">
            <w:pPr>
              <w:pStyle w:val="8"/>
              <w:jc w:val="center"/>
            </w:pPr>
          </w:p>
        </w:tc>
      </w:tr>
      <w:tr w14:paraId="697C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228E4DF">
            <w:pPr>
              <w:pStyle w:val="8"/>
              <w:jc w:val="center"/>
              <w:rPr>
                <w:rFonts w:hint="eastAsia"/>
                <w:lang w:eastAsia="zh-CN"/>
              </w:rPr>
            </w:pPr>
            <w:r>
              <w:rPr>
                <w:rFonts w:hint="eastAsia"/>
                <w:lang w:val="en-US" w:eastAsia="zh-CN"/>
              </w:rPr>
              <w:t>5</w:t>
            </w:r>
          </w:p>
        </w:tc>
        <w:tc>
          <w:tcPr>
            <w:tcW w:w="3382" w:type="dxa"/>
          </w:tcPr>
          <w:p w14:paraId="0E41C867">
            <w:pPr>
              <w:pStyle w:val="8"/>
              <w:jc w:val="left"/>
              <w:rPr>
                <w:rFonts w:hint="eastAsia" w:eastAsiaTheme="minorEastAsia"/>
                <w:lang w:eastAsia="zh-CN"/>
              </w:rPr>
            </w:pPr>
            <w:r>
              <w:rPr>
                <w:sz w:val="24"/>
              </w:rPr>
              <w:t>保修及售后服务要求</w:t>
            </w:r>
            <w:r>
              <w:rPr>
                <w:rFonts w:hint="eastAsia"/>
                <w:sz w:val="24"/>
                <w:lang w:eastAsia="zh-CN"/>
              </w:rPr>
              <w:t>：</w:t>
            </w:r>
            <w:r>
              <w:rPr>
                <w:sz w:val="24"/>
              </w:rPr>
              <w:t>★1.所投产品整机质保期3年，质保期从交付验收完成之日起计算。在质保期内投标人应提供设备维修及保养服务，一切维护费用均由中标人负责。质保期内设备本身质量出现问题或由于设备本身质量原因造成的任何损伤或损坏，投标人应及时给予免费维修或免费更换，由此引起的全部费用由投标人负责。</w:t>
            </w:r>
            <w:r>
              <w:rPr>
                <w:b/>
                <w:sz w:val="24"/>
              </w:rPr>
              <w:t>投标时提供承诺函（格式见投标文件格式）。</w:t>
            </w:r>
          </w:p>
        </w:tc>
        <w:tc>
          <w:tcPr>
            <w:tcW w:w="2076" w:type="dxa"/>
          </w:tcPr>
          <w:p w14:paraId="3210A10D">
            <w:pPr>
              <w:pStyle w:val="8"/>
              <w:jc w:val="center"/>
            </w:pPr>
          </w:p>
        </w:tc>
        <w:tc>
          <w:tcPr>
            <w:tcW w:w="2076" w:type="dxa"/>
          </w:tcPr>
          <w:p w14:paraId="48F0A82C">
            <w:pPr>
              <w:pStyle w:val="8"/>
              <w:jc w:val="center"/>
            </w:pPr>
          </w:p>
        </w:tc>
      </w:tr>
      <w:tr w14:paraId="562B6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F0F4AEE">
            <w:pPr>
              <w:pStyle w:val="8"/>
              <w:jc w:val="center"/>
              <w:rPr>
                <w:rFonts w:hint="eastAsia"/>
                <w:lang w:eastAsia="zh-CN"/>
              </w:rPr>
            </w:pPr>
            <w:r>
              <w:rPr>
                <w:rFonts w:hint="eastAsia"/>
                <w:lang w:val="en-US" w:eastAsia="zh-CN"/>
              </w:rPr>
              <w:t>6</w:t>
            </w:r>
          </w:p>
        </w:tc>
        <w:tc>
          <w:tcPr>
            <w:tcW w:w="3382" w:type="dxa"/>
          </w:tcPr>
          <w:p w14:paraId="13D33EBF">
            <w:pPr>
              <w:pStyle w:val="8"/>
              <w:jc w:val="left"/>
              <w:rPr>
                <w:rFonts w:hint="eastAsia" w:eastAsiaTheme="minorEastAsia"/>
                <w:lang w:eastAsia="zh-CN"/>
              </w:rPr>
            </w:pPr>
            <w:r>
              <w:rPr>
                <w:sz w:val="24"/>
              </w:rPr>
              <w:t>合同条款响应</w:t>
            </w:r>
            <w:r>
              <w:rPr>
                <w:rFonts w:hint="eastAsia"/>
                <w:sz w:val="24"/>
                <w:lang w:eastAsia="zh-CN"/>
              </w:rPr>
              <w:t>：</w:t>
            </w:r>
            <w:r>
              <w:rPr>
                <w:sz w:val="24"/>
              </w:rPr>
              <w:t>★1.招标文件第五章中的合同条款均为不可偏离条款，任何负偏离响应将导致投标无效，请投标人谨慎响应。</w:t>
            </w:r>
          </w:p>
        </w:tc>
        <w:tc>
          <w:tcPr>
            <w:tcW w:w="2076" w:type="dxa"/>
          </w:tcPr>
          <w:p w14:paraId="2428D2A5">
            <w:pPr>
              <w:pStyle w:val="8"/>
              <w:jc w:val="center"/>
            </w:pPr>
          </w:p>
        </w:tc>
        <w:tc>
          <w:tcPr>
            <w:tcW w:w="2076" w:type="dxa"/>
          </w:tcPr>
          <w:p w14:paraId="63021E42">
            <w:pPr>
              <w:pStyle w:val="8"/>
              <w:jc w:val="center"/>
            </w:pPr>
          </w:p>
        </w:tc>
      </w:tr>
      <w:tr w14:paraId="7313F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E220685">
            <w:pPr>
              <w:pStyle w:val="8"/>
              <w:jc w:val="center"/>
              <w:rPr>
                <w:rFonts w:hint="default"/>
                <w:lang w:val="en-US" w:eastAsia="zh-CN"/>
              </w:rPr>
            </w:pPr>
            <w:r>
              <w:rPr>
                <w:rFonts w:hint="eastAsia"/>
                <w:lang w:val="en-US" w:eastAsia="zh-CN"/>
              </w:rPr>
              <w:t>7</w:t>
            </w:r>
          </w:p>
        </w:tc>
        <w:tc>
          <w:tcPr>
            <w:tcW w:w="3382" w:type="dxa"/>
          </w:tcPr>
          <w:p w14:paraId="4C4EE622">
            <w:pPr>
              <w:pStyle w:val="8"/>
              <w:jc w:val="left"/>
              <w:rPr>
                <w:rFonts w:hint="default" w:eastAsiaTheme="minorEastAsia"/>
                <w:sz w:val="24"/>
                <w:lang w:val="en-US" w:eastAsia="zh-CN"/>
              </w:rPr>
            </w:pPr>
            <w:r>
              <w:rPr>
                <w:rFonts w:hint="eastAsia"/>
                <w:sz w:val="24"/>
                <w:lang w:val="en-US" w:eastAsia="zh-CN"/>
              </w:rPr>
              <w:t>...</w:t>
            </w:r>
            <w:bookmarkStart w:id="0" w:name="_GoBack"/>
            <w:bookmarkEnd w:id="0"/>
          </w:p>
        </w:tc>
        <w:tc>
          <w:tcPr>
            <w:tcW w:w="2076" w:type="dxa"/>
          </w:tcPr>
          <w:p w14:paraId="700CCA23">
            <w:pPr>
              <w:pStyle w:val="8"/>
              <w:jc w:val="center"/>
            </w:pPr>
          </w:p>
        </w:tc>
        <w:tc>
          <w:tcPr>
            <w:tcW w:w="2076" w:type="dxa"/>
          </w:tcPr>
          <w:p w14:paraId="4E15F761">
            <w:pPr>
              <w:pStyle w:val="8"/>
              <w:jc w:val="center"/>
            </w:pPr>
          </w:p>
        </w:tc>
      </w:tr>
    </w:tbl>
    <w:p w14:paraId="54F4B262">
      <w:pPr>
        <w:pStyle w:val="8"/>
        <w:ind w:firstLine="400" w:firstLineChars="200"/>
      </w:pPr>
      <w:r>
        <w:t>说明：</w:t>
      </w:r>
    </w:p>
    <w:p w14:paraId="0517E632">
      <w:pPr>
        <w:pStyle w:val="8"/>
        <w:ind w:firstLine="400" w:firstLineChars="200"/>
      </w:pPr>
      <w:r>
        <w:t>1.实质性响应条款一览表后续内容请根据第二章采购需求★号条款详细列举</w:t>
      </w:r>
    </w:p>
    <w:p w14:paraId="5823A3D3">
      <w:pPr>
        <w:pStyle w:val="8"/>
        <w:ind w:firstLine="400" w:firstLineChars="200"/>
      </w:pPr>
      <w:r>
        <w:t>2.本表所列条款必须一一予以响应，“投标人响应情况”一栏应填写具体的响应内容，有差异的要具体说明。</w:t>
      </w:r>
    </w:p>
    <w:p w14:paraId="135D067A">
      <w:pPr>
        <w:pStyle w:val="8"/>
        <w:ind w:firstLine="400" w:firstLineChars="200"/>
      </w:pPr>
      <w:r>
        <w:t>3.请投标人认真填写本表内容，如填写错误将可能导致投标无效。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5F41"/>
    <w:rsid w:val="33065F41"/>
    <w:rsid w:val="3CF44A63"/>
    <w:rsid w:val="43FE0E3E"/>
    <w:rsid w:val="5DD67A01"/>
    <w:rsid w:val="6ECD7C5A"/>
    <w:rsid w:val="7336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after="260" w:line="416" w:lineRule="auto"/>
      <w:outlineLvl w:val="1"/>
    </w:pPr>
    <w:rPr>
      <w:rFonts w:asciiTheme="majorAscii" w:hAnsiTheme="majorAscii" w:eastAsiaTheme="majorEastAsia" w:cstheme="majorBidi"/>
      <w:b/>
      <w:bCs/>
      <w:sz w:val="21"/>
      <w:szCs w:val="32"/>
    </w:rPr>
  </w:style>
  <w:style w:type="character" w:default="1" w:styleId="5">
    <w:name w:val="Default Paragraph Font"/>
    <w:autoRedefine/>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annotation reference"/>
    <w:qFormat/>
    <w:uiPriority w:val="0"/>
    <w:rPr>
      <w:sz w:val="21"/>
      <w:szCs w:val="21"/>
    </w:rPr>
  </w:style>
  <w:style w:type="character" w:customStyle="1" w:styleId="7">
    <w:name w:val="标题 2 Char"/>
    <w:basedOn w:val="5"/>
    <w:link w:val="2"/>
    <w:semiHidden/>
    <w:qFormat/>
    <w:uiPriority w:val="9"/>
    <w:rPr>
      <w:rFonts w:asciiTheme="majorAscii" w:hAnsiTheme="majorAscii" w:eastAsiaTheme="majorEastAsia" w:cstheme="majorBidi"/>
      <w:b/>
      <w:bCs/>
      <w:sz w:val="21"/>
      <w:szCs w:val="32"/>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2683</Words>
  <Characters>2833</Characters>
  <Lines>0</Lines>
  <Paragraphs>0</Paragraphs>
  <TotalTime>0</TotalTime>
  <ScaleCrop>false</ScaleCrop>
  <LinksUpToDate>false</LinksUpToDate>
  <CharactersWithSpaces>2860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2025-09-30T08:22:00Z</dcterms:created>
  <dc:creator>小糖</dc:creator>
  <cp:lastModifiedBy>小糖</cp:lastModifiedBy>
  <dcterms:modified xsi:type="dcterms:W3CDTF">2025-11-05T08:19:17Z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72FC04E0BFB94ABBBEE07EC94D6A9451_13</vt:lpwstr>
  </property>
  <property fmtid="{D5CDD505-2E9C-101B-9397-08002B2CF9AE}" pid="4" name="KSOTemplateDocerSaveRecord">
    <vt:lpwstr>eyJoZGlkIjoiM2Q3NTYzNDA5MTZmY2Y2MDIyOGE2ZjFjYjNhNDMzYTciLCJ1c2VySWQiOiIzMjczMzk2ODMifQ==</vt:lpwstr>
  </property>
</Properties>
</file>