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440001-2025-48729</w:t>
      </w:r>
    </w:p>
    <w:p>
      <w:pPr>
        <w:pStyle w:val="null3"/>
        <w:jc w:val="center"/>
        <w:outlineLvl w:val="3"/>
      </w:pPr>
      <w:r>
        <w:rPr>
          <w:sz w:val="24"/>
          <w:b/>
        </w:rPr>
        <w:t>采购项目编号：</w:t>
      </w:r>
      <w:r>
        <w:rPr>
          <w:sz w:val="24"/>
          <w:b/>
        </w:rPr>
        <w:t>ZZ0250746</w:t>
      </w:r>
    </w:p>
    <w:p>
      <w:pPr>
        <w:pStyle w:val="null3"/>
        <w:jc w:val="center"/>
        <w:outlineLvl w:val="3"/>
      </w:pPr>
      <w:r>
        <w:rPr>
          <w:sz w:val="24"/>
          <w:b/>
        </w:rPr>
        <w:t>项目名称：</w:t>
      </w:r>
      <w:r>
        <w:rPr>
          <w:sz w:val="24"/>
          <w:b/>
        </w:rPr>
        <w:t>华南师范大学师德师风智能治理平台建设采购项目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华南师范大学师德师风智能治理平台建设采购项目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华南师范大学师德师风智能治理平台建设采购项目</w:t>
      </w:r>
    </w:p>
    <w:p>
      <w:pPr>
        <w:pStyle w:val="null3"/>
        <w:ind w:firstLine="480"/>
      </w:pPr>
      <w:r>
        <w:rPr/>
        <w:t>采购计划编号：</w:t>
      </w:r>
      <w:r>
        <w:rPr/>
        <w:t>440001-2025-48729</w:t>
      </w:r>
    </w:p>
    <w:p>
      <w:pPr>
        <w:pStyle w:val="null3"/>
        <w:ind w:firstLine="480"/>
      </w:pPr>
      <w:r>
        <w:rPr/>
        <w:t>采购项目编号：</w:t>
      </w:r>
      <w:r>
        <w:rPr/>
        <w:t>ZZ0250746</w:t>
      </w:r>
    </w:p>
    <w:p>
      <w:pPr>
        <w:pStyle w:val="null3"/>
        <w:ind w:firstLine="480"/>
      </w:pPr>
      <w:r>
        <w:rPr/>
        <w:t>采购方式：</w:t>
      </w:r>
      <w:r>
        <w:rPr/>
        <w:t>公开招标</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采购包1(华南师范大学师德师风智能治理平台建设采购项目):</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师德师风智能治理平台建设</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采购包1（华南师范大学师德师风智能治理平台建设采购项目）：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吴老师020-85211082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w:t>
      </w:r>
      <w:r>
        <w:rPr>
          <w:sz w:val="21"/>
          <w:b/>
        </w:rPr>
        <w:t>服务考核验收标准</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526"/>
        <w:gridCol w:w="873"/>
        <w:gridCol w:w="873"/>
        <w:gridCol w:w="1951"/>
        <w:gridCol w:w="4082"/>
      </w:tblGrid>
      <w:tr>
        <w:tc>
          <w:tcPr>
            <w:tcW w:type="dxa" w:w="52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序号</w:t>
            </w:r>
          </w:p>
        </w:tc>
        <w:tc>
          <w:tcPr>
            <w:tcW w:type="dxa" w:w="87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一级指标</w:t>
            </w:r>
          </w:p>
        </w:tc>
        <w:tc>
          <w:tcPr>
            <w:tcW w:type="dxa" w:w="87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二级指标</w:t>
            </w:r>
          </w:p>
        </w:tc>
        <w:tc>
          <w:tcPr>
            <w:tcW w:type="dxa" w:w="19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三级指标</w:t>
            </w:r>
          </w:p>
        </w:tc>
        <w:tc>
          <w:tcPr>
            <w:tcW w:type="dxa" w:w="408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指标说明及测算</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数据生产能力</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业务数据增长度</w:t>
            </w: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新增采集数据</w:t>
            </w:r>
            <w:r>
              <w:rPr>
                <w:sz w:val="21"/>
              </w:rPr>
              <w:t>(条)</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师德师风监测系统年度新增采集舆情数据</w:t>
            </w:r>
            <w:r>
              <w:rPr>
                <w:sz w:val="21"/>
              </w:rPr>
              <w:t>≥</w:t>
            </w:r>
            <w:r>
              <w:rPr>
                <w:sz w:val="21"/>
              </w:rPr>
              <w:t>2000万条</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研判模型数量</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w:t>
            </w:r>
            <w:r>
              <w:rPr>
                <w:sz w:val="21"/>
              </w:rPr>
              <w:t>2个</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安全运行能力</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有效可靠度</w:t>
            </w: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系统查询响应时间</w:t>
            </w:r>
            <w:r>
              <w:rPr>
                <w:sz w:val="21"/>
              </w:rPr>
              <w:t>(秒)</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单记录查询响应时间</w:t>
            </w:r>
            <w:r>
              <w:rPr>
                <w:sz w:val="21"/>
              </w:rPr>
              <w:t>≤</w:t>
            </w:r>
            <w:r>
              <w:rPr>
                <w:sz w:val="21"/>
              </w:rPr>
              <w:t>1.5秒，数据报表平均查询速度</w:t>
            </w:r>
            <w:r>
              <w:rPr>
                <w:sz w:val="21"/>
              </w:rPr>
              <w:t>≤</w:t>
            </w:r>
            <w:r>
              <w:rPr>
                <w:sz w:val="21"/>
              </w:rPr>
              <w:t>3秒</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系统并发数</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支持同时在线用户数</w:t>
            </w:r>
            <w:r>
              <w:rPr>
                <w:sz w:val="21"/>
              </w:rPr>
              <w:t>300人；并发用户数50人</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系统正常运行率</w:t>
            </w:r>
            <w:r>
              <w:rPr>
                <w:sz w:val="21"/>
              </w:rPr>
              <w:t>(%)</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w:t>
            </w:r>
            <w:r>
              <w:rPr>
                <w:sz w:val="21"/>
              </w:rPr>
              <w:t>97%</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系统业务出错率</w:t>
            </w:r>
            <w:r>
              <w:rPr>
                <w:sz w:val="21"/>
              </w:rPr>
              <w:t>(%)</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w:t>
            </w:r>
            <w:r>
              <w:rPr>
                <w:sz w:val="21"/>
              </w:rPr>
              <w:t>0.5%</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系统平均故障恢复时间</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一般</w:t>
            </w:r>
            <w:r>
              <w:rPr>
                <w:sz w:val="21"/>
              </w:rPr>
              <w:t>≤</w:t>
            </w:r>
            <w:r>
              <w:rPr>
                <w:sz w:val="21"/>
              </w:rPr>
              <w:t>2小时，灾难性故障（如数据丢失）</w:t>
            </w:r>
            <w:r>
              <w:rPr>
                <w:sz w:val="21"/>
              </w:rPr>
              <w:t>≤</w:t>
            </w:r>
            <w:r>
              <w:rPr>
                <w:sz w:val="21"/>
              </w:rPr>
              <w:t>24小时</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873"/>
            <w:vMerge/>
            <w:tcBorders>
              <w:top w:val="non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数据质量</w:t>
            </w: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数据项完整性</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系统不存在空值的关键数据项数量</w:t>
            </w:r>
            <w:r>
              <w:rPr>
                <w:sz w:val="21"/>
              </w:rPr>
              <w:t>/关键数据项总数量</w:t>
            </w:r>
            <w:r>
              <w:rPr>
                <w:sz w:val="21"/>
              </w:rPr>
              <w:t>≥</w:t>
            </w:r>
            <w:r>
              <w:rPr>
                <w:sz w:val="21"/>
              </w:rPr>
              <w:t>90%</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9</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数据内容规范性</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系统符合格式规范或符合固有的取值标准的关键数据项数量</w:t>
            </w:r>
            <w:r>
              <w:rPr>
                <w:sz w:val="21"/>
              </w:rPr>
              <w:t>/关键数据项总数量</w:t>
            </w:r>
            <w:r>
              <w:rPr>
                <w:sz w:val="21"/>
              </w:rPr>
              <w:t>≥</w:t>
            </w:r>
            <w:r>
              <w:rPr>
                <w:sz w:val="21"/>
              </w:rPr>
              <w:t>90%</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10</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恢复点目标</w:t>
            </w:r>
            <w:r>
              <w:rPr>
                <w:sz w:val="21"/>
              </w:rPr>
              <w:t>RPO</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w:t>
            </w:r>
            <w:r>
              <w:rPr>
                <w:sz w:val="21"/>
              </w:rPr>
              <w:t>24小时</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售后服务保障</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日常巡检</w:t>
            </w: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功能正常</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每周进行功能巡检，确保功能</w:t>
            </w:r>
            <w:r>
              <w:rPr>
                <w:sz w:val="21"/>
              </w:rPr>
              <w:t>100%可用</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12</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数据正常</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每周进行数据巡检，确保数据正常</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13</w:t>
            </w:r>
          </w:p>
        </w:tc>
        <w:tc>
          <w:tcPr>
            <w:tcW w:type="dxa" w:w="87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需求响应</w:t>
            </w: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小需求响应</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快速响应能够提升工作效率的小需求（开发工作量小于</w:t>
            </w:r>
            <w:r>
              <w:rPr>
                <w:sz w:val="21"/>
              </w:rPr>
              <w:t>7天）</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14</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经济效益</w:t>
            </w:r>
          </w:p>
        </w:tc>
        <w:tc>
          <w:tcPr>
            <w:tcW w:type="dxa" w:w="87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成本控制</w:t>
            </w: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系统建设成本控制率</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控制在预算以内</w:t>
            </w:r>
          </w:p>
        </w:tc>
      </w:tr>
      <w:tr>
        <w:tc>
          <w:tcPr>
            <w:tcW w:type="dxa" w:w="52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c>
          <w:tcPr>
            <w:tcW w:type="dxa" w:w="87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19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系统年度运维成本控制率</w:t>
            </w:r>
          </w:p>
        </w:tc>
        <w:tc>
          <w:tcPr>
            <w:tcW w:type="dxa" w:w="40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首年免运维费，次年及以后运维费不高于建设成本的</w:t>
            </w:r>
            <w:r>
              <w:rPr>
                <w:sz w:val="21"/>
              </w:rPr>
              <w:t>10%</w:t>
            </w:r>
          </w:p>
        </w:tc>
      </w:tr>
    </w:tbl>
    <w:p>
      <w:pPr>
        <w:pStyle w:val="null3"/>
      </w:pPr>
      <w:r>
        <w:rPr/>
        <w:t>采购包1（华南师范大学师德师风智能治理平台建设采购项目）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合同签订后，3个月内完成交付。</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1期：支付比例30%,合同生效后，10个工作日内，采购人向中标人支付合同金额的30%作为首付款；</w:t>
            </w:r>
          </w:p>
          <w:p>
            <w:pPr>
              <w:pStyle w:val="null3"/>
            </w:pPr>
            <w:r>
              <w:rPr/>
              <w:t>2期：支付比例50%,完成需求分析并经双方签字确认，且系统开发完成50%，经采购人初步验收后10个工作日内，采购人向中标人支付合同金额的50%。</w:t>
            </w:r>
          </w:p>
          <w:p>
            <w:pPr>
              <w:pStyle w:val="null3"/>
            </w:pPr>
            <w:r>
              <w:rPr/>
              <w:t>3期：支付比例20%,系统开发完成，上线并通过验收后，通过采购人验收后10个工作日内，甲方向乙方支付合同金额的20%。 付款按照三个阶段进行。每次支付前中标人均需向采购人提供符合税务机关认可的合法有效的等额发票。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1期：1.验收时间：系统安装调试完毕且正常运行不少于1个月后，中标人应备齐采购人要求提供的验收材料，并提出书面验收申请。采购人在收到书面验收申请之日起7 日内将按流程组织验收。 2.验收标准：详见项目概况中的《服务考核验收标准》。 3.其他验收要求： （1）中标人验收时须提交完整的技术文档，包括但不限于项目计划、软件功能需求说明书、系统操作手册、测试计划、测试报告、使用说明书、运行维护手册。 （2）依照合同履约完成，系统部署在学校服务器，验收申请前需完成二级等保要求，保留链接其它系统的端口以备后期系统整合使用。 4.验收程序： （1）进度考核：中标人交付50%建设内容，由采购人确认完成功能并签名。 （2）项目完成后，开始3个月的项目试运行期，试运行期自签发合格的《功能需求确认表》当天起算。试运行期内中标人未收到来自采购人的修理、修复、复检、重新安装、重新调试等请求或者质量异议的，则试运行期满后视项目试运行合格并出具试运行报告。如果试运行期内发生非采购人人为毁损原因所致的质量问题，则试运行期起算时间应以该质量问题得到解决之日重新起算，且合同项下的试运行合格之时间点应整体顺延。 （3）由采购人另行委托第三方测评机构对合同标的物（定作物）进行信息系统安全等级测评，中标人须按测评机构出具的报告进行无条件整改并使合同标的物（定作物）通过测评。（费用包含在投标报价中） （4）完成合同约定的全部建设内容，合同标的物（定作物）达到了本合同所列用户需求和技术要求、成果和技术文档全部交付、安装调试完毕。 1）源代码 2）验收文档齐全完整； 3）项目用户单位签章出具合同验收意见。 （5）在系统试运行的3个月内系统无故障、无影响采购人业务无法开展等重大故障；应用系统功能性能全部达标；双方对未能完成的功能和性能要求达成一致解决意见。按照磋商文件，合同条款、软件工程要求和实际应用效果对项目进行终验，7天内安排完成验收，在验收合格后需安排至少1次上门培训，讲授系统功能及使用方式。 5.验收与责任界定： （1）系统对接完成后，原AI系统及师德治理平台双方供应商应共同进行功能联调测试与验收，验收标准应届时依据《系统对接技术方案》及招标文件执行。 （2）若因中标人接口不稳定、文档不完整或技术支持不到位导致对接失败，中标人应负责限期整改；若因采购人提供资料有误或平台限制导致对接失败，采购人应承担相应责任并协调资源解决。</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账号：3602008109000386071</w:t>
            </w:r>
          </w:p>
          <w:p>
            <w:pPr>
              <w:pStyle w:val="null3"/>
            </w:pPr>
            <w:r>
              <w:rPr/>
              <w:t>户名：华南师范大学</w:t>
            </w:r>
          </w:p>
          <w:p>
            <w:pPr>
              <w:pStyle w:val="null3"/>
            </w:pPr>
            <w:r>
              <w:rPr/>
              <w:t>开户行：工行广州高新技术开发区支行</w:t>
            </w:r>
          </w:p>
          <w:p>
            <w:pPr>
              <w:pStyle w:val="null3"/>
            </w:pPr>
            <w:r>
              <w:rPr/>
              <w:t>支票提交方式：非现金</w:t>
            </w:r>
          </w:p>
          <w:p>
            <w:pPr>
              <w:pStyle w:val="null3"/>
            </w:pPr>
            <w:r>
              <w:rPr/>
              <w:t>汇票、本票提交方式：非现金</w:t>
            </w:r>
          </w:p>
          <w:p>
            <w:pPr>
              <w:pStyle w:val="null3"/>
            </w:pPr>
            <w:r>
              <w:rPr/>
              <w:t>说明：中标人在合同签订后10 日内，以支票、汇票、本票、保函或转账方式向采购人提交合同总额的5%作为履约保证金。项目验收合格1 个月内，合同标的无质量问题，中标人即可凭收据向采购人申请退还，采购人在收到中标人申请单据之日起15 个工作日内无息退还给中标人。履约保证金不予退还的情形：（1）未经采购人同意，中标人将本项目进行分包或转包给他人；（2）在履行合同期间，中标人未经采购人同意提前终止本项目合同；（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一、质量保障措施，1、组建质保团队： 供应商组建不少于5人的专项质保团队，明确分工： （1）1名项目经理：统筹质保服务，对接使用方需求，协调资源解决重大问题；具有计算机技术与软件专业技术资格（水平）考试的信息系统项目管理师或系统规划与管理师（高级），具有与人工智能相关软件系统开发或服务项目工作经验，指担任该类项目的项目经理或技术负责人，负责需求分析或系统设计或核心开发工作累计满 5年及以上。 （2）至少4名技术工程师：负责日常技术支持、故障修复、日志分析及培训执行，确保人员稳定（质保期内团队成员变动需提前7天书面告知使用方，并经采购人确认）。包含： ①开发工程师：具有计算机或软件或自动化或网络等相关专业本科及以上学历且具有3年及以上软件开发经验。 ②解决方案工程师：具有计算机或软件或自动化或网络等相关专业本科及以上学历，且具有5年及以上解决方案设计经验。 ③测试工程师：具有计算机或软件或自动化或网络等相关专业本科及以上学历，具有2年及以上软件测试工作经验。 ④运维工程师：具有计算机或软件或网络等相关专业本科及以上学历，且具有2年及以上项目软件维护和管理工作经验。 2、服务台账管理 建立完整的质保服务台账，记录每一次服务信息，包括： 服务时间、服务类型（故障修复 / 咨询 / 培训等）、问题描述、处理过程、解决方案、使用方确认意见； 台账每月向使用方同步1次，确保服务可追溯、可核查。 3、应急机制 遇特殊情况（如不可抗力导致无法按时响应、系统大规模故障），供应商需： 1小时内书面告知使用方情况及预计恢复时间； 启动应急小组，协调额外技术资源优先处理； 故障解决后3个工作日内提交应急处理总结报告，分析原因并提出预防措施。</w:t>
            </w:r>
          </w:p>
          <w:p>
            <w:pPr>
              <w:pStyle w:val="null3"/>
            </w:pPr>
            <w:r>
              <w:rPr/>
              <w:t>二、售后服务，为使系统管理和维护人员能够独立进行系统的管理和维护工作，中标人须在方案中提供详细的售后维护方案和培训方案，至少提供1年的无条件维护、升级和服务，时间从验收合格之日起。（费用包含在投标报价中） 具体售后服务内容如下： 1、中标人需提供无条件安装调试系统服务，全程跟踪项目实施进度，进行软件功能测试软件部署及软件后期维护工作。（费用包含在投标报价中） 2、在验收合格后，对所提供的系统至少提供1年无条件的售后服务,所有货物质保服务方式均为中标人上门服务，即由中标人派员到货物使用现场维修（中标人人员在现场维修时应当做好签到记录及维修记录，在维修结束后交由采购人保管。），由此产生的一切费用均由中标人承担。同时提供包括但不限于系统升级、7*24电话及线上支持、电子邮件、互联网等多种方式的服务。（费用包含在投标报价中） 3、在无条件售后服务期内，协同辅助学校使用该系统，包括培训、技术咨询等。（费用包含在投标报价中） 4、在售后服务期内，中标人保证及时、积极响应，遇有特殊情况双方协商。 5、在合同服务期内，中标人须承诺本项目交付的其存在的BUG修复、安全漏洞等均提供无条件服务，并提供定期日志检查分析、错误分析及统计。（费用包含在投标报价中）</w:t>
            </w:r>
          </w:p>
          <w:p>
            <w:pPr>
              <w:pStyle w:val="null3"/>
            </w:pPr>
            <w:r>
              <w:rPr/>
              <w:t>三、数据对接及算力要求，1、中标人义务： 中标人须在验收申请前10个工作日内，向采购人提供其系统的完整接口标准文档（包括但不限于API接口规范、数据格式、调用方式、鉴权机制、错误码说明等），并指派具备相关经验的技术人员全程配合完成与采购人现有平台的对接工作。 中标人应确保其提供的接口具备良好的兼容性、稳定性与可扩展性，支持主流开发语言与协议（如RESTful、WebService、JSON、XML等），并承诺在对接过程中提供必要的技术支持与调试服务。 2、采购人义务： 采购人应在合同签订后5个工作日内，向中标人提供其现有平台的完整接口文档（包括对外开放的API列表、调用说明、鉴权方式、数据字典、调用示例等）以及相关源代码（如涉及定制对接逻辑），并确保所提供资料的真实、准确、完整。 若采购人未能按时提供上述资料，导致对接进度延误，中标人不承担由此产生的延期责任。 3、本项目所建设的系统中，涉及数据的系统有师德师风监测系统、师德师风影响力分析系统、师德师风舆情可视化大屏，基于项目性质，师德师风舆情可视化大屏需要进行本地化部署，师德师风监测系统、师德师风影响力分析系统涉及互联网数据采集的，本项目相关的业务数据须存储在我校服务器。项目需通过系统二级等保测评，等保测评相关费用需包括在本项目预算内。 ★4、投标人须出具承诺函（格式自拟）：（1）采购人现有平台名为协同提质AI平台，主要用于协同提质组团院校使用，提供人工智能赋能教学测评与科研创新应用，组团内7所师范院校的师生、地方教师发展机构的教师教育者以及组团协同的地方中小学教师校长，均可申请使用AI平台，平台接入了DeepSeek（满血版），具备数据解析、数据治理、数据存储、零代码开发、智能体应用等功能，支持结构化数据（JSON/XML 格式）和非结构化数据（文本、图像等数据）处理，数据存储于学校私有服务器，接口协议为 RESTful API，投标人中标后需基于该平台现有架构完成对接，费用需包含在本项目预算内；本项目预算包括项目运营过程中大模型算力消耗产生的相关费用。（2）本项目中标人需无条件协助二期系统的对接（费用包含在投标报价中）。（3）对在本项目履约过程中获取的相关数据进行保密。（4）对接实施与费用承担：本项目预算已包含中标人完成系统对接所需的全部费用，包括但不限于接口开发、联调测试、数据迁移、适配改造、人工支持等，中标人不得就对接工作向采购人另行收取费用。若因采购人现有平台接口不满足对接要求，需进行接口调整、升级或二次开发，由此产生的协调事务、技术开发费用、第三方服务费用等，由采购人自行承担，中标人应提供必要的技术协助。（5）大模型算力资源费用说明：本项目预算已明确包含在系统运营期间因使用大模型算力资源（如自然语言处理、智能问答、内容生成等AI能力）所产生的全部费用，包括但不限于API调用费、计算资源租赁费、并发请求费用等。中标人应确保其提供的AI服务在合同期内不限调用次数或设定合理上限，并承诺不就该部分费用向采购人提出追加预算要求，除非采购人提出超出合同约定的功能扩容或性能升级需求。 3、数据对接范围与标准： （1）结构化数据： ①用户信息：字段清单（如用户 ID、姓名、权限等级等）、数据格式（如 JSON/XML）、存储位置（数据库表结构说明） ②业务表单：表单类型（如审批单、需求单）、字段定义（必填项、数据类型）、历史数据量及更新频率 （2）非结构化数据： ①文本数据：编码格式（如 UTF-8）、存储路径、分类标签（如新闻、论文等） ②图像数据：格式（JPG/PNG）、分辨率（如 1920×1080）、标注信息（如目标检测框、分类标签） ③音频数据：格式（MP3/WAV）、采样率（如 44.1kHz）、语音转文字的标注规则 4、数据校验与异常处理： （1）准确率校验：抽样比例（如全量数据校验 / 按 10% 比例抽样）；校验维度（字段完整性、数值一致性、格式合规性）；哈希算法（如 SHA256）、字段级比对规则（完全匹配 / 模糊匹配阈值） （2）异常处理：告警触发条件（如数据格式错误、数值越界、传输超时）；修复方案 SLA（如自动修复需在 1 小时内完成，人工介入需 4 小时内响应）及处理流程（自动修复逻辑 / 人工工单流转） 5、接口数量及来源： （1）接口数量：至少包括5个标准化数据接口（含用户信息接口、业务数据接口、模型接口、舆情数据接口、统计分析接口）； （2）接口来源：涵盖学校现有AI 平台及外部合规舆情数据源； （3）接口标准：支持 RESTful API 协议，接口响应时间≤1 秒”。</w:t>
            </w:r>
          </w:p>
          <w:p>
            <w:pPr>
              <w:pStyle w:val="null3"/>
            </w:pPr>
            <w:r>
              <w:rPr/>
              <w:t>四、知识产权与保密条款，1、本项目相关系统开发完成并确认验收通过后，系统所有权归采购人所有，系统开发过程中涉及的相关产品专利及软件著作权归中标人所有。 2、双方应对在对接过程中获知的对方技术资料、源代码、接口逻辑等敏感信息予以严格保密，未经对方书面同意，不得向第三方披露或用于本项目以外的目的。中标人承诺其提供的接口与相关技术不侵犯任何第三方知识产权，若发生侵权纠纷，由中标人承担全部法律责任。</w:t>
            </w:r>
          </w:p>
          <w:p>
            <w:pPr>
              <w:pStyle w:val="null3"/>
            </w:pPr>
            <w:r>
              <w:rPr/>
              <w:t>五、成果共享，本项目建设成果归采购人所有，后续系统授权对其他高校或科研院所共享，若涉及第三方数据采购或定制开发等额外成本支出，则由共享需求方承担。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师德师风智能治理平台建设</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1,000,000.00</w:t>
            </w:r>
          </w:p>
        </w:tc>
        <w:tc>
          <w:tcPr>
            <w:tcW w:type="dxa" w:w="933"/>
          </w:tcPr>
          <w:p>
            <w:pPr>
              <w:pStyle w:val="null3"/>
              <w:jc w:val="right"/>
            </w:pPr>
            <w:r>
              <w:rPr/>
              <w:t>1,000,000.00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师德师风智能治理平台建设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w:t>
            </w:r>
            <w:r>
              <w:rPr>
                <w:sz w:val="21"/>
                <w:b/>
              </w:rPr>
              <w:t>服务工作对象：</w:t>
            </w:r>
            <w:r>
              <w:rPr>
                <w:sz w:val="21"/>
              </w:rPr>
              <w:t>采购人教师教育学部相关老师、领导，可根据实际情况进行服务对象的调整和变更。</w:t>
            </w:r>
          </w:p>
          <w:p>
            <w:pPr>
              <w:pStyle w:val="null3"/>
              <w:ind w:firstLine="422"/>
              <w:jc w:val="left"/>
            </w:pPr>
            <w:r>
              <w:rPr>
                <w:sz w:val="21"/>
                <w:b/>
              </w:rPr>
              <w:t>二、范围：</w:t>
            </w:r>
          </w:p>
          <w:tbl>
            <w:tblPr>
              <w:tblInd w:type="dxa" w:w="120"/>
              <w:tblBorders>
                <w:top w:val="none" w:color="000000" w:sz="4"/>
                <w:left w:val="none" w:color="000000" w:sz="4"/>
                <w:bottom w:val="none" w:color="000000" w:sz="4"/>
                <w:right w:val="none" w:color="000000" w:sz="4"/>
                <w:insideH w:val="none"/>
                <w:insideV w:val="none"/>
              </w:tblBorders>
            </w:tblPr>
            <w:tblGrid>
              <w:gridCol w:w="586"/>
              <w:gridCol w:w="1454"/>
              <w:gridCol w:w="3558"/>
            </w:tblGrid>
            <w:tr>
              <w:tc>
                <w:tcPr>
                  <w:tcW w:type="dxa" w:w="58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序号</w:t>
                  </w:r>
                </w:p>
              </w:tc>
              <w:tc>
                <w:tcPr>
                  <w:tcW w:type="dxa" w:w="145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服务板块</w:t>
                  </w:r>
                </w:p>
              </w:tc>
              <w:tc>
                <w:tcPr>
                  <w:tcW w:type="dxa" w:w="355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子版块</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454"/>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师风师德舆情数据治理服务</w:t>
                  </w: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数据采集</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数据补录</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数据抽取</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数据清洗</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454"/>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师德师风监测系统</w:t>
                  </w: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监测方案管理</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预警推送</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评论监测</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舆情搜索</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9</w:t>
                  </w:r>
                </w:p>
              </w:tc>
              <w:tc>
                <w:tcPr>
                  <w:tcW w:type="dxa" w:w="1454"/>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师德师风影响力分析系统</w:t>
                  </w: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事件态势感知</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10</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舆情快报分析</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事件数据</w:t>
                  </w:r>
                  <w:r>
                    <w:rPr>
                      <w:sz w:val="21"/>
                    </w:rPr>
                    <w:t>AI分析</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12</w:t>
                  </w:r>
                </w:p>
              </w:tc>
              <w:tc>
                <w:tcPr>
                  <w:tcW w:type="dxa" w:w="1454"/>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师风师德舆情可视化大屏</w:t>
                  </w: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师德事件红黑排行</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13</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舆情分析地图展示</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14</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师德师风热搜榜单</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师德师风舆情分布</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16</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舆情信息智能预警</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17</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舆情智能对话助手</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18</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舆情关注度与态势演变</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19</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舆情关注度与态势演变</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20</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师风师德事件报告呈现</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21</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师风师德事件态势反馈</w:t>
                  </w:r>
                </w:p>
              </w:tc>
            </w:tr>
            <w:tr>
              <w:tc>
                <w:tcPr>
                  <w:tcW w:type="dxa" w:w="58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22</w:t>
                  </w:r>
                </w:p>
              </w:tc>
              <w:tc>
                <w:tcPr>
                  <w:tcW w:type="dxa" w:w="1454"/>
                  <w:vMerge/>
                  <w:tcBorders>
                    <w:top w:val="none" w:color="000000" w:sz="4"/>
                    <w:left w:val="single" w:color="000000" w:sz="4"/>
                    <w:bottom w:val="single" w:color="000000" w:sz="4"/>
                    <w:right w:val="single" w:color="000000" w:sz="4"/>
                  </w:tcBorders>
                </w:tcPr>
                <w:p/>
              </w:tc>
              <w:tc>
                <w:tcPr>
                  <w:tcW w:type="dxa" w:w="35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师风师德案例结构化解析及数字化处理等功能版块</w:t>
                  </w:r>
                </w:p>
              </w:tc>
            </w:tr>
          </w:tbl>
          <w:p>
            <w:pPr>
              <w:pStyle w:val="null3"/>
              <w:spacing w:before="150"/>
              <w:ind w:firstLine="422"/>
              <w:jc w:val="left"/>
            </w:pPr>
            <w:r>
              <w:rPr>
                <w:sz w:val="21"/>
                <w:b/>
              </w:rPr>
              <w:t>三、服务内容和标准明细</w:t>
            </w:r>
          </w:p>
          <w:tbl>
            <w:tblPr>
              <w:tblInd w:type="dxa" w:w="120"/>
              <w:tblBorders>
                <w:top w:val="none" w:color="000000" w:sz="4"/>
                <w:left w:val="none" w:color="000000" w:sz="4"/>
                <w:bottom w:val="none" w:color="000000" w:sz="4"/>
                <w:right w:val="none" w:color="000000" w:sz="4"/>
                <w:insideH w:val="none"/>
                <w:insideV w:val="none"/>
              </w:tblBorders>
            </w:tblPr>
            <w:tblGrid>
              <w:gridCol w:w="377"/>
              <w:gridCol w:w="722"/>
              <w:gridCol w:w="4499"/>
            </w:tblGrid>
            <w:tr>
              <w:tc>
                <w:tcPr>
                  <w:tcW w:type="dxa" w:w="3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序号</w:t>
                  </w:r>
                </w:p>
              </w:tc>
              <w:tc>
                <w:tcPr>
                  <w:tcW w:type="dxa" w:w="72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服务类目</w:t>
                  </w:r>
                </w:p>
              </w:tc>
              <w:tc>
                <w:tcPr>
                  <w:tcW w:type="dxa" w:w="449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服务内容说明</w:t>
                  </w:r>
                </w:p>
              </w:tc>
            </w:tr>
            <w:tr>
              <w:tc>
                <w:tcPr>
                  <w:tcW w:type="dxa" w:w="5598"/>
                  <w:gridSpan w:val="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一</w:t>
                  </w:r>
                  <w:r>
                    <w:rPr>
                      <w:sz w:val="21"/>
                      <w:b/>
                    </w:rPr>
                    <w:t>、</w:t>
                  </w:r>
                  <w:r>
                    <w:rPr>
                      <w:sz w:val="21"/>
                      <w:b/>
                    </w:rPr>
                    <w:t>师德师风舆情数据治理服务</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w:t>
                  </w:r>
                </w:p>
              </w:tc>
              <w:tc>
                <w:tcPr>
                  <w:tcW w:type="dxa" w:w="72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全天候网络信息自动采集</w:t>
                  </w:r>
                </w:p>
              </w:tc>
              <w:tc>
                <w:tcPr>
                  <w:tcW w:type="dxa" w:w="449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对全网重点院校涉师德师风类舆情信息进行标准化、规范化、全天候无间断的监测和采集，及时抓取目标最新更新信息，保证信息不漏采。并对信息进行</w:t>
                  </w:r>
                  <w:r>
                    <w:rPr>
                      <w:sz w:val="21"/>
                    </w:rPr>
                    <w:t>标准化、规范化采集，提供标题、内容摘要、附图、链接及采集时间、信息来源等完整信息要素。</w:t>
                  </w:r>
                </w:p>
                <w:p>
                  <w:pPr>
                    <w:pStyle w:val="null3"/>
                    <w:jc w:val="left"/>
                  </w:pPr>
                  <w:r>
                    <w:rPr>
                      <w:sz w:val="21"/>
                    </w:rPr>
                    <w:t>2.</w:t>
                  </w:r>
                  <w:r>
                    <w:rPr>
                      <w:sz w:val="21"/>
                    </w:rPr>
                    <w:t>采用多模态</w:t>
                  </w:r>
                  <w:r>
                    <w:rPr>
                      <w:sz w:val="21"/>
                    </w:rPr>
                    <w:t>AI 采集模型，支持文本、图像、音频、视频类舆情信息的自动识别与抓取，对教育领域特定术语（如 “师德考核”“学术不端”）的识别准确率≥95%，可自动过滤广告、无关资讯等冗余信息。</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1.2</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数据补录</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精准识别并定位到那些因各种原因而未能成功采集的数据，随后通过人工或自动化的方式，将这些缺失的数据准确地添加到数据库中。</w:t>
                  </w:r>
                </w:p>
                <w:p>
                  <w:pPr>
                    <w:pStyle w:val="null3"/>
                    <w:jc w:val="left"/>
                  </w:pPr>
                  <w:r>
                    <w:rPr>
                      <w:sz w:val="21"/>
                    </w:rPr>
                    <w:t>2.支持在数据空间上传存储PDF、word、图片、视频等，支持在数据空间中创建添加空间，支持创建学校舆情语料库</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1.3</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数据抽取</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从实时采集数据流中将复杂的异构数据转化为单一的或者便于处理的构型，便于数据的分析处理，主要采用全量抽取处理、增量抽取处理、全表比对抽取处理等方式。</w:t>
                  </w:r>
                </w:p>
                <w:p>
                  <w:pPr>
                    <w:pStyle w:val="null3"/>
                    <w:jc w:val="both"/>
                  </w:pPr>
                  <w:r>
                    <w:rPr>
                      <w:sz w:val="21"/>
                    </w:rPr>
                    <w:t>2.支持数据空间文件智能应用：①支持智能解析与处理：支持多模态文件智能解析。②支持一键保存与管理：所有AI对话中上传的文件支持一键保存至数据空间。</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1.4</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数据清洗</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对监测系统采集到的原始数据进行审查和校验，过滤掉没有价值的数据、不相关的数据和产生干扰的数据，从而提升数据的有效性，为后续的数据分析和处理提供可靠的基础。</w:t>
                  </w:r>
                </w:p>
                <w:p>
                  <w:pPr>
                    <w:pStyle w:val="null3"/>
                    <w:jc w:val="left"/>
                  </w:pPr>
                  <w:r>
                    <w:rPr>
                      <w:sz w:val="21"/>
                    </w:rPr>
                    <w:t>2.支持学校数据空间审核机制：①支持文件上传审核：管理员可启用文件上传审核功能，开启后普通用户上传至学校数据空间的文件需经管理员审核。②支持审核流程管理：审核通过后方可在对应空间显示并供同空间的所有用户使用。</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数据转换</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通过数据转换可以将清洗后的数据调整为适合分析或存储的结构与格式，以确保数据的可用性和一致性。</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1.6</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数据加载</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将经过抽取、清洗、转换后的数据，按照既定规则和格式，从临时存储区域或数据源导入到目标存储系统，支持后续分析应用。</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1.7</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数据标注</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对完成数据预处理的舆情数据添加标签或注释，如师德问题分类、地域</w:t>
                  </w:r>
                  <w:r>
                    <w:rPr>
                      <w:sz w:val="21"/>
                    </w:rPr>
                    <w:t>、情感等标签，以赋予数据语义和分类信息，使数据更具可读性和可理解，有助于快速定位和分析特定类型的数据。</w:t>
                  </w:r>
                </w:p>
                <w:p>
                  <w:pPr>
                    <w:pStyle w:val="null3"/>
                    <w:jc w:val="left"/>
                  </w:pPr>
                  <w:r>
                    <w:rPr>
                      <w:sz w:val="21"/>
                    </w:rPr>
                    <w:t>2.支持在数据空间，通过智能检索方式快速查找资料：①支持多维度全局智能搜索：支持通过关键词进行全局检索，可选择按文件名搜索、按文件正文内容搜索或按文件标签进行搜索。②支持精准筛选：支持按文件类型和上传时间范围进行精准筛选。③支持音视频智能检索：针对音视频文件，系统可自动转译文本内容，并将关键词标记对应时段，用户可一键跳转至指定位置播放。</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1.8</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数据入库</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将标注后的数据存储入库，建设包括以各区域院校涉师德师风舆情信息为主的主题库，提供数据查询接口、核验接口、分发等。</w:t>
                  </w:r>
                </w:p>
                <w:p>
                  <w:pPr>
                    <w:pStyle w:val="null3"/>
                    <w:jc w:val="left"/>
                  </w:pPr>
                  <w:r>
                    <w:rPr>
                      <w:sz w:val="21"/>
                    </w:rPr>
                    <w:t>2.数据入库后支持数据空间的文件共享：</w:t>
                  </w:r>
                </w:p>
                <w:p>
                  <w:pPr>
                    <w:pStyle w:val="null3"/>
                    <w:jc w:val="left"/>
                  </w:pPr>
                  <w:r>
                    <w:rPr>
                      <w:sz w:val="21"/>
                    </w:rPr>
                    <w:t>①支持不同空间互享文件：空间A中存储的文件可以通过空间A权限持有者进行主动分享给空间B中的用户进行使用。</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1.9</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空间管理</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1.支持数据空间管理功能：</w:t>
                  </w:r>
                </w:p>
                <w:p>
                  <w:pPr>
                    <w:pStyle w:val="null3"/>
                    <w:jc w:val="left"/>
                  </w:pPr>
                  <w:r>
                    <w:rPr>
                      <w:sz w:val="21"/>
                    </w:rPr>
                    <w:t>①支持空间成员管理：支持对空间成员进行添加、编辑和删除操作，并可基于组织架构进行成员搜索和添加。</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1.10</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数据引用</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支持</w:t>
                  </w:r>
                  <w:r>
                    <w:rPr>
                      <w:sz w:val="21"/>
                    </w:rPr>
                    <w:t>AI对话引用数据空间：支持在任意AI对话中引用数据空间或文件：进入AI对话界面后可以通过背景知识引用关联学校舆情语料库并进行对话。</w:t>
                  </w:r>
                </w:p>
              </w:tc>
            </w:tr>
            <w:tr>
              <w:tc>
                <w:tcPr>
                  <w:tcW w:type="dxa" w:w="5598"/>
                  <w:gridSpan w:val="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二</w:t>
                  </w:r>
                  <w:r>
                    <w:rPr>
                      <w:sz w:val="21"/>
                      <w:b/>
                    </w:rPr>
                    <w:t>、</w:t>
                  </w:r>
                  <w:r>
                    <w:rPr>
                      <w:sz w:val="21"/>
                      <w:b/>
                    </w:rPr>
                    <w:t>师德师风监测系统建设服务</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2.1</w:t>
                  </w:r>
                </w:p>
              </w:tc>
              <w:tc>
                <w:tcPr>
                  <w:tcW w:type="dxa" w:w="72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舆情监测方案</w:t>
                  </w:r>
                </w:p>
              </w:tc>
              <w:tc>
                <w:tcPr>
                  <w:tcW w:type="dxa" w:w="449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以</w:t>
                  </w:r>
                  <w:r>
                    <w:rPr>
                      <w:sz w:val="21"/>
                    </w:rPr>
                    <w:t>AI</w:t>
                  </w:r>
                  <w:r>
                    <w:rPr>
                      <w:sz w:val="21"/>
                    </w:rPr>
                    <w:t>算法分析为核心技术支撑，汇总全网各类涉师德师风舆情数据，对数据分类建库，形成舆情信息矩阵，构建高效稳定的信息服务平台，实现风险舆情智能预警推送。</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2.2</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定向监测</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协助</w:t>
                  </w:r>
                  <w:r>
                    <w:rPr>
                      <w:sz w:val="21"/>
                    </w:rPr>
                    <w:t>采购人</w:t>
                  </w:r>
                  <w:r>
                    <w:rPr>
                      <w:sz w:val="21"/>
                    </w:rPr>
                    <w:t>对列入重点关注的网站、媒体账号进行</w:t>
                  </w:r>
                  <w:r>
                    <w:rPr>
                      <w:sz w:val="21"/>
                    </w:rPr>
                    <w:t>24小时监测，及时将重点关注媒体或账号发布的文章采集到系统内，方便</w:t>
                  </w:r>
                  <w:r>
                    <w:rPr>
                      <w:sz w:val="21"/>
                    </w:rPr>
                    <w:t>采购人</w:t>
                  </w:r>
                  <w:r>
                    <w:rPr>
                      <w:sz w:val="21"/>
                    </w:rPr>
                    <w:t>及时阅览，节省分账号查找的时间。</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2.3</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评论监测</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根据</w:t>
                  </w:r>
                  <w:r>
                    <w:rPr>
                      <w:sz w:val="21"/>
                    </w:rPr>
                    <w:t>采购人</w:t>
                  </w:r>
                  <w:r>
                    <w:rPr>
                      <w:sz w:val="21"/>
                    </w:rPr>
                    <w:t>要求，提供自媒体账号评论区监测功能，聚焦短视频平台、社交平台等重点舆情场域，全面覆盖微博、抖音、快手、小红书、视频号等主流平台的评论区内容。</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2.4</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舆情预警推送</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对于监测过程中的负面</w:t>
                  </w:r>
                  <w:r>
                    <w:rPr>
                      <w:sz w:val="21"/>
                    </w:rPr>
                    <w:t>、敏感等需要重点关注的舆情信息，系统通过语义自动识别，将自动预警并显示在预警推送模块中，并及时发现潜在的舆情风险并提醒我校。</w:t>
                  </w:r>
                </w:p>
                <w:p>
                  <w:pPr>
                    <w:pStyle w:val="null3"/>
                    <w:jc w:val="left"/>
                  </w:pPr>
                  <w:r>
                    <w:rPr>
                      <w:sz w:val="21"/>
                    </w:rPr>
                    <w:t>2.</w:t>
                  </w:r>
                  <w:r>
                    <w:rPr>
                      <w:sz w:val="21"/>
                    </w:rPr>
                    <w:t>搭载</w:t>
                  </w:r>
                  <w:r>
                    <w:rPr>
                      <w:sz w:val="21"/>
                    </w:rPr>
                    <w:t>AI 分级预警</w:t>
                  </w:r>
                  <w:r>
                    <w:rPr>
                      <w:sz w:val="21"/>
                    </w:rPr>
                    <w:t>机制</w:t>
                  </w:r>
                  <w:r>
                    <w:rPr>
                      <w:sz w:val="21"/>
                    </w:rPr>
                    <w:t>，结合舆情传播速度（转发量</w:t>
                  </w:r>
                  <w:r>
                    <w:rPr>
                      <w:sz w:val="21"/>
                    </w:rPr>
                    <w:t>/ 评论量增速）、传播范围（平台覆盖数）、情感强度（负面观点占比）自动判定预警等级（一般 / 重要 / 紧急），紧急预警响应时间≤10 分钟，可同步推送 AI 生成的 “初步应对建议”（如重点监测平台、核心观点摘要）。</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2.5</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智能舆情搜索</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在系统内根据自设的搜索条件查找近期相关的舆情信息，既支持</w:t>
                  </w:r>
                  <w:r>
                    <w:rPr>
                      <w:sz w:val="21"/>
                    </w:rPr>
                    <w:t>采购人</w:t>
                  </w:r>
                  <w:r>
                    <w:rPr>
                      <w:sz w:val="21"/>
                    </w:rPr>
                    <w:t>根据关键词模糊检索，也支持</w:t>
                  </w:r>
                  <w:r>
                    <w:rPr>
                      <w:sz w:val="21"/>
                    </w:rPr>
                    <w:t>采购人</w:t>
                  </w:r>
                  <w:r>
                    <w:rPr>
                      <w:sz w:val="21"/>
                    </w:rPr>
                    <w:t>选定全文、标题、搜索方式、监测时间、媒体类</w:t>
                  </w:r>
                  <w:r>
                    <w:rPr>
                      <w:sz w:val="21"/>
                    </w:rPr>
                    <w:t>型、媒体级别等进行详细检索，满足</w:t>
                  </w:r>
                  <w:r>
                    <w:rPr>
                      <w:sz w:val="21"/>
                    </w:rPr>
                    <w:t>采购人</w:t>
                  </w:r>
                  <w:r>
                    <w:rPr>
                      <w:sz w:val="21"/>
                    </w:rPr>
                    <w:t>对互联网上各种舆情的高密度、高频繁搜索需求。</w:t>
                  </w:r>
                </w:p>
                <w:p>
                  <w:pPr>
                    <w:pStyle w:val="null3"/>
                    <w:jc w:val="left"/>
                  </w:pPr>
                  <w:r>
                    <w:rPr>
                      <w:sz w:val="21"/>
                    </w:rPr>
                    <w:t>2.</w:t>
                  </w:r>
                  <w:r>
                    <w:rPr>
                      <w:sz w:val="21"/>
                    </w:rPr>
                    <w:t>支持</w:t>
                  </w:r>
                  <w:r>
                    <w:rPr>
                      <w:sz w:val="21"/>
                    </w:rPr>
                    <w:t>AI 语义搜索，用户输入核心关键词（如 “教师学术不端”）后，系统自动推荐关联搜索词（如 “论文抄袭”“项目造假”），并基于用户历史搜索习惯优化结果排序。</w:t>
                  </w:r>
                </w:p>
              </w:tc>
            </w:tr>
            <w:tr>
              <w:tc>
                <w:tcPr>
                  <w:tcW w:type="dxa" w:w="5598"/>
                  <w:gridSpan w:val="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三</w:t>
                  </w:r>
                  <w:r>
                    <w:rPr>
                      <w:sz w:val="21"/>
                      <w:b/>
                    </w:rPr>
                    <w:t>、</w:t>
                  </w:r>
                  <w:r>
                    <w:rPr>
                      <w:sz w:val="21"/>
                      <w:b/>
                    </w:rPr>
                    <w:t>师德师风影响力分析系统建设服务</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3.1</w:t>
                  </w:r>
                </w:p>
              </w:tc>
              <w:tc>
                <w:tcPr>
                  <w:tcW w:type="dxa" w:w="72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事件态势感知</w:t>
                  </w:r>
                </w:p>
              </w:tc>
              <w:tc>
                <w:tcPr>
                  <w:tcW w:type="dxa" w:w="449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展示通过专业搜索引擎检索到的事件全局信息总量、转发量、评论量、点赞量和</w:t>
                  </w:r>
                  <w:r>
                    <w:rPr>
                      <w:sz w:val="21"/>
                    </w:rPr>
                    <w:t>阅读数，全面分析师德师风热点事件影响力状况。</w:t>
                  </w:r>
                </w:p>
                <w:p>
                  <w:pPr>
                    <w:pStyle w:val="null3"/>
                    <w:jc w:val="left"/>
                  </w:pPr>
                  <w:r>
                    <w:rPr>
                      <w:sz w:val="21"/>
                    </w:rPr>
                    <w:t>2.</w:t>
                  </w:r>
                  <w:r>
                    <w:rPr>
                      <w:sz w:val="21"/>
                    </w:rPr>
                    <w:t>采用</w:t>
                  </w:r>
                  <w:r>
                    <w:rPr>
                      <w:sz w:val="21"/>
                    </w:rPr>
                    <w:t>AI 态势分析模型，可自动计算 “影响力指数”（综合转发、评论、情感倾向等 10 + 维度），并生成动态趋势图，预测未来 24 小时舆情演变方向（升温 / 平稳 / 降温）</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3.2</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舆情快报分析</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针对关注的专题事件，可以通过影响力分析系统提供舆情快报，为用户阶段性报送相关专题下数据的变化趋势，依据网信</w:t>
                  </w:r>
                  <w:r>
                    <w:rPr>
                      <w:sz w:val="21"/>
                    </w:rPr>
                    <w:t>AI知识库对事件关键信号（话题、热榜、央媒、大V等）识别，及时作出预警通知，并提供AI研判辅助建议，确保舆情事件精准分析研判。</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3.3</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事件数据</w:t>
                  </w:r>
                  <w:r>
                    <w:rPr>
                      <w:sz w:val="21"/>
                    </w:rPr>
                    <w:t>AI分析</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针对各类大众议论场景的信息提供数据收集及AI智能分析功能，通过AI对各议论内容核心观点提炼，解析意见群体和公众情绪，形成网民、主流媒体、政务媒体、网络大V四个模块的正负面观点自动化生成。</w:t>
                  </w:r>
                </w:p>
              </w:tc>
            </w:tr>
            <w:tr>
              <w:tc>
                <w:tcPr>
                  <w:tcW w:type="dxa" w:w="5598"/>
                  <w:gridSpan w:val="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四</w:t>
                  </w:r>
                  <w:r>
                    <w:rPr>
                      <w:sz w:val="21"/>
                      <w:b/>
                    </w:rPr>
                    <w:t>、</w:t>
                  </w:r>
                  <w:r>
                    <w:rPr>
                      <w:sz w:val="21"/>
                      <w:b/>
                    </w:rPr>
                    <w:t>师德师风舆情可视化大屏建设服务</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4.1</w:t>
                  </w:r>
                </w:p>
              </w:tc>
              <w:tc>
                <w:tcPr>
                  <w:tcW w:type="dxa" w:w="72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师德事件红黑排行</w:t>
                  </w:r>
                </w:p>
              </w:tc>
              <w:tc>
                <w:tcPr>
                  <w:tcW w:type="dxa" w:w="449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2"/>
                    </w:rPr>
                    <w:t>▲</w:t>
                  </w:r>
                  <w:r>
                    <w:rPr>
                      <w:sz w:val="21"/>
                    </w:rPr>
                    <w:t>聚焦师德行为正向激励与负面警示，构建双向引导功能。红榜板块用于集中展示师德先进典型相关信息，明确其正向示范属性，为教职工提供学习参照；黑榜板块用于公示违反师德规范的相关行为，凸显其警示惩戒意义，划定职业行为底线。支持按指定维度进行分类呈现与筛选，实现动态更新与管理。</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4.2</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舆情分析地图展示</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基于师德师风监测系统所提供的舆情分级分类数据及各舆情类型所占比例，对全国不同区域范围内师德问题的事件数量、网络热度、发展变化的趋势进行系统的展示。</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4.3</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师德师风热搜榜单</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2"/>
                    </w:rPr>
                    <w:t>▲</w:t>
                  </w:r>
                  <w:r>
                    <w:rPr>
                      <w:sz w:val="21"/>
                    </w:rPr>
                    <w:t>具备师德相关热点话题捕捉与呈现功能。可采集校园内外各类平台中与师德师风相关的讨论内容，筛选高频热议话题形成榜单。明确区分校内与校外热点话题类别，展示话题核心聚焦方向及相关观点倾向，便于管理部门快速掌握师生及社会关注焦点，同时为教职工提供了解行业及校园师德相关动态的渠道，实现热点话题的及时呈现与正向引导。</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4.4</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师德师风舆情分布</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通过采集师德师风热点事件的相关数据，分析不同地域、不同层级、不同人群对事件的看法及意见倾向。</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4.5</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舆情信息智能预警</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按照舆情分级策略对全国师德师风敏感舆情进行实时监测，可实现专题预警，热榜预警，舆情预警，互动数据变化多种类型覆盖，做到秒级感知，秒级预警。</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4.6</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舆情智能对话助手</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w:t>
                  </w:r>
                  <w:r>
                    <w:rPr>
                      <w:sz w:val="21"/>
                    </w:rPr>
                    <w:t>能够根据用户的模糊提问，给出对应舆情事件舆情分析报告。有效提升舆情研判分析的</w:t>
                  </w:r>
                  <w:r>
                    <w:rPr>
                      <w:sz w:val="21"/>
                    </w:rPr>
                    <w:t>智能化水平，为</w:t>
                  </w:r>
                  <w:r>
                    <w:rPr>
                      <w:sz w:val="21"/>
                    </w:rPr>
                    <w:t>采购人</w:t>
                  </w:r>
                  <w:r>
                    <w:rPr>
                      <w:sz w:val="21"/>
                    </w:rPr>
                    <w:t>提供更加便捷、高效的信息咨询与决策支持。</w:t>
                  </w:r>
                </w:p>
                <w:p>
                  <w:pPr>
                    <w:pStyle w:val="null3"/>
                    <w:jc w:val="left"/>
                  </w:pPr>
                  <w:r>
                    <w:rPr>
                      <w:sz w:val="21"/>
                    </w:rPr>
                    <w:t>2.</w:t>
                  </w:r>
                  <w:r>
                    <w:rPr>
                      <w:sz w:val="21"/>
                    </w:rPr>
                    <w:t>基于检索增强生成（</w:t>
                  </w:r>
                  <w:r>
                    <w:rPr>
                      <w:sz w:val="21"/>
                    </w:rPr>
                    <w:t>RAG）技术构建，知识库涵盖近 3 年师德舆情案例、教育政策文件、应对指南，支持自然语言交互（如 “查询近一个月全国学术不端类师德事件趋势”），可自动生成对话摘要。</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4.7</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舆情关注度与态势演变</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2"/>
                    </w:rPr>
                    <w:t>▲</w:t>
                  </w:r>
                  <w:r>
                    <w:rPr>
                      <w:sz w:val="21"/>
                    </w:rPr>
                    <w:t>核心承载师德师风相关舆情动态监测与分析功能。可实时追踪舆情传播态势，包括传播范围、扩散速度等关键信息；具备舆情情感倾向判断功能，区分不同情绪导向占比；设定舆情风险等级评估标准，依据相关维度划分预警层级；提供舆情发展趋势预判功能，辅助把握舆情演变规律。同时支持追溯舆情源头及关键传播节点，为舆情干预与处置提供方向指引，形成从监测、分析到应对的全流程功能支撑。</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4.8</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师德师风事件专题预警</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依托影响力分析系统，全面、系统地展示在不同地理区域、各类网络平台以及多样化媒体渠道中，该师德师风热点事件所引发的社会影响状况。</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4.9</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师德师风事件报告呈现</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展示师德师风影响力分析系统所关注的专题事件信息。包括专题事件的持续时间、事件概述，切换展示专题事件动态快报，可及时呈现事件的最新进展情况。</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4.10</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师德师风事件态势反馈</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融合决策后果树技术与蝴蝶效应仿真模型，构建动态化、可视化的分析框架，详细展示师德事件的发酵过程、对群体的影响及最终的社会反应和修复过程。</w:t>
                  </w:r>
                </w:p>
              </w:tc>
            </w:tr>
            <w:tr>
              <w:tc>
                <w:tcPr>
                  <w:tcW w:type="dxa" w:w="3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4.11</w:t>
                  </w:r>
                </w:p>
              </w:tc>
              <w:tc>
                <w:tcPr>
                  <w:tcW w:type="dxa" w:w="7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师德师风案例结构化解析及数字化处理</w:t>
                  </w:r>
                </w:p>
              </w:tc>
              <w:tc>
                <w:tcPr>
                  <w:tcW w:type="dxa" w:w="449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集中展示师德师风典型案例发生</w:t>
                  </w:r>
                  <w:r>
                    <w:rPr>
                      <w:sz w:val="21"/>
                    </w:rPr>
                    <w:t>—研判—应急—处置—解决的全流程演变情况，梳理案例事件发展脉络，通过可视化时间轴清晰展示从事件识别、舆情研判、应急响应、处置措施到公众反馈和效果评估等关键节点，形成完整的舆情处置闭环管理，为师德师风建设提供可追溯、可分析的案例参考体系。</w:t>
                  </w:r>
                </w:p>
              </w:tc>
            </w:tr>
          </w:tbl>
          <w:p>
            <w:pPr>
              <w:pStyle w:val="null3"/>
              <w:spacing w:before="150"/>
              <w:jc w:val="left"/>
            </w:pPr>
            <w:r>
              <w:rPr>
                <w:sz w:val="21"/>
                <w:b/>
              </w:rPr>
              <w:t>四、</w:t>
            </w:r>
            <w:r>
              <w:rPr>
                <w:sz w:val="21"/>
                <w:b/>
              </w:rPr>
              <w:t>数据范围</w:t>
            </w:r>
          </w:p>
          <w:p>
            <w:pPr>
              <w:pStyle w:val="null3"/>
              <w:jc w:val="both"/>
            </w:pPr>
            <w:r>
              <w:rPr>
                <w:sz w:val="21"/>
              </w:rPr>
              <w:t>本项目数据范围分为两类：教育类的数据包括教育部门的相关数据信息，及各教育平台，主流教育平台网站发布的公开信息，因此供应商需具备外部数据采集能力。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师德师风智能治理平台建设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采购包1（华南师范大学师德师风智能治理平台建设采购项目）：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采购包1（华南师范大学师德师风智能治理平台建设采购项目）：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采购包1（华南师范大学师德师风智能治理平台建设采购项目）：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采购包1(华南师范大学师德师风智能治理平台建设采购项目):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(12.0分)</w:t>
            </w:r>
          </w:p>
        </w:tc>
        <w:tc>
          <w:tcPr>
            <w:tcW w:type="dxa" w:w="5076"/>
          </w:tcPr>
          <w:p>
            <w:pPr>
              <w:pStyle w:val="null3"/>
              <w:jc w:val="left"/>
            </w:pPr>
            <w:r>
              <w:rPr/>
              <w:t>投标人所投产品技术参数全部满足第二章 采购需求附表一“三、服务内容和标准明细”的“服务内容说明”中标注“▲”的重要技术参数的响应情况进行评审（共3项）：每满足一项得4分，最高得12分。 注：如采购需求中有明确提供的证明资料的，则以采购需求中要求的为准；如采购需求无明确要求提供的证明材料，则以投标人提供的响应情况为准，不按要求提供或提供不符的视为负偏离。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(15.0分)</w:t>
            </w:r>
          </w:p>
        </w:tc>
        <w:tc>
          <w:tcPr>
            <w:tcW w:type="dxa" w:w="5076"/>
          </w:tcPr>
          <w:p>
            <w:pPr>
              <w:pStyle w:val="null3"/>
              <w:jc w:val="left"/>
            </w:pPr>
            <w:r>
              <w:rPr/>
              <w:t>投标人所投产品技术参数满足第二章 采购需求附表一“三、服务内容和标准明细”的“服务内容说明”中一般技术参数（非★条款、非▲条款、非演示项）的响应情况进行评审：得分计算公式=（一般技术参数总数-一般技术参数负偏离总数）/一般技术参数总数×15分，结果四舍五入保留两位小数；本项目一般技术参数共36条，最高得15分。 注：如采购需求中有明确提供的证明资料的，则以采购需求中要求的为准；如采购需求无明确要求提供的证明材料，则以投标人提供的响应情况为准，不按要求提供或提供不符的视为负偏离。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项目实施方案 (8.0分)</w:t>
            </w:r>
          </w:p>
        </w:tc>
        <w:tc>
          <w:tcPr>
            <w:tcW w:type="dxa" w:w="5076"/>
          </w:tcPr>
          <w:p>
            <w:pPr>
              <w:pStyle w:val="null3"/>
              <w:jc w:val="left"/>
            </w:pPr>
            <w:r>
              <w:rPr/>
              <w:t>根据投标人提供的建设内容及目标理解（包括但不限于项目需求分析、服务内容、安装调试等）进行评审： 1、供应商对项目需求的理解透彻，服务内容分析全面，得8分； 2、供应商对项目需求的理解完整，服务内容分析基本完善，得5分； 3、供应商对项目需求的理解简略，服务内容分析简单的，得2分。 4、不提供或未能体现上述内容的不得分。</w:t>
            </w:r>
          </w:p>
        </w:tc>
      </w:tr>
      <w:tr>
        <w:tc>
          <w:tcPr>
            <w:tcW w:type="dxa" w:w="922"/>
            <w:gridSpan w:val="2"/>
            <w:vMerge/>
          </w:tcPr>
          <w:p/>
        </w:tc>
        <w:tc>
          <w:tcPr>
            <w:tcW w:type="dxa" w:w="2307"/>
          </w:tcPr>
          <w:p>
            <w:pPr>
              <w:pStyle w:val="null3"/>
              <w:jc w:val="left"/>
            </w:pPr>
            <w:r>
              <w:rPr/>
              <w:t>质量保证措施方案 (8.0分)</w:t>
            </w:r>
          </w:p>
        </w:tc>
        <w:tc>
          <w:tcPr>
            <w:tcW w:type="dxa" w:w="5076"/>
          </w:tcPr>
          <w:p>
            <w:pPr>
              <w:pStyle w:val="null3"/>
              <w:jc w:val="left"/>
            </w:pPr>
            <w:r>
              <w:rPr/>
              <w:t>根据供应商提供的质量保证措施方案（包括但不限于质量管理体系、质量保障措施、应急机制等）进行评审： 1、方案详细齐全，可行性高，得8分； 2、方案较详细齐全，可行性较高，得5分； 3、方案不够详细，可行性欠缺，得2分； 4、不提供或未能体现上述内容的不得分。</w:t>
            </w:r>
          </w:p>
        </w:tc>
      </w:tr>
      <w:tr>
        <w:tc>
          <w:tcPr>
            <w:tcW w:type="dxa" w:w="922"/>
            <w:gridSpan w:val="2"/>
            <w:vMerge/>
          </w:tcPr>
          <w:p/>
        </w:tc>
        <w:tc>
          <w:tcPr>
            <w:tcW w:type="dxa" w:w="2307"/>
          </w:tcPr>
          <w:p>
            <w:pPr>
              <w:pStyle w:val="null3"/>
              <w:jc w:val="left"/>
            </w:pPr>
            <w:r>
              <w:rPr/>
              <w:t>售后服务保障方案 (7.0分)</w:t>
            </w:r>
          </w:p>
        </w:tc>
        <w:tc>
          <w:tcPr>
            <w:tcW w:type="dxa" w:w="5076"/>
          </w:tcPr>
          <w:p>
            <w:pPr>
              <w:pStyle w:val="null3"/>
              <w:jc w:val="left"/>
            </w:pPr>
            <w:r>
              <w:rPr/>
              <w:t>根据供应商提供的售后服务保障方案（包括但不限于质保期内软件后期维护工作、售后服务承诺、技术咨询方案、日志检查分析、错误分析及统计方案，质保期过后的维修服务收费标准等）进行评审： 1、方案详细齐全，可行性高，得7分； 2、方案较详细齐全，可行性较高，得4分； 3、方案不够详细，可行性欠缺，得1分； 4、不提供或未能体现上述内容的不得分。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根据供应商提供的培训方案（包括培训条件、培训安排、培训内容、培训人数等）进行评审： 1、方案详细、具体，针对性强，符合项目实际需要，得7分； 2、方案基本可行，有针对性，基本满足项目需要，得4分； 3、方案不够详细，提供的培训条件、内容一般，得1分； 4、不提供或未能体现上述内容的不得分。</w:t>
            </w:r>
          </w:p>
        </w:tc>
      </w:tr>
      <w:tr>
        <w:tc>
          <w:tcPr>
            <w:tcW w:type="dxa" w:w="922"/>
            <w:gridSpan w:val="2"/>
            <w:vMerge/>
          </w:tcPr>
          <w:p/>
        </w:tc>
        <w:tc>
          <w:tcPr>
            <w:tcW w:type="dxa" w:w="2307"/>
          </w:tcPr>
          <w:p>
            <w:pPr>
              <w:pStyle w:val="null3"/>
              <w:jc w:val="left"/>
            </w:pPr>
            <w:r>
              <w:rPr/>
              <w:t>质保期年限承诺方案 (3.0分)</w:t>
            </w:r>
          </w:p>
        </w:tc>
        <w:tc>
          <w:tcPr>
            <w:tcW w:type="dxa" w:w="5076"/>
          </w:tcPr>
          <w:p>
            <w:pPr>
              <w:pStyle w:val="null3"/>
              <w:jc w:val="left"/>
            </w:pPr>
            <w:r>
              <w:rPr/>
              <w:t>投标人对质保期作出承诺：所有标的在满足质保期（1年）的基本要求上，每增加1年得1.5分，最高得3分。 注：提供承诺，格式自拟，不提供或无法认定不得分。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根据供应商提供的自2022年1月1日（以合同签订时间为准）至今承接的同类人工智能相关软件系统开发或服务项目，每提供1个项目得5分，最高得10分。 注：需提供项目合同关键页（项目合同关键页内容含合同项目名称、合同标的内容、签订合同双方单位名称、双方公章、合同签订日期等）。不提供或无法认定的不得分。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满足上述“同类项目经验”要求的有效业绩，获得客户满意度评价为满意或优或百分制得分为90分（及以上）或同等评价的，每提供一个得1.5分，最高得3分。 注：提供客户满意度评价证明材料（须含甲方盖章），不提供不得分。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投标人拟投入本项目的项目负责人： 1.具有计算机技术与软件专业技术资格（水平）考试的：信息系统项目管理师或系统规划与管理师（高级），得3分；具有信息系统管理工程师或系统集成项目管理工程师（中级），得1分；其他不得分。此项最高得分3分，提供多个证书的仅取最高等级证书，不重复计分。提供证书复印件。 2.具有与人工智能相关软件系统开发或服务项目工作经验，指担任该类项目的项目经理或技术负责人，负责需求分析或系统设计或核心开发工作累计满 5年及以上，得2分。提供人员工作简历（格式自拟，需体现工作经验及年限）。 注：另须提供人员在本单位任职的证明材料（在本单位任职的证明材料（如加盖所在地区政府有关部门印章的缴纳日期在本项目提交投标文件截止日之前六个月以内任一月的《投保单》或《社会保险参保人员证明》，或单位代缴个人所得税税单等。），不提供或无法认定的不得分。</w:t>
            </w:r>
          </w:p>
        </w:tc>
      </w:tr>
      <w:tr>
        <w:tc>
          <w:tcPr>
            <w:tcW w:type="dxa" w:w="922"/>
            <w:gridSpan w:val="2"/>
            <w:vMerge/>
          </w:tcPr>
          <w:p/>
        </w:tc>
        <w:tc>
          <w:tcPr>
            <w:tcW w:type="dxa" w:w="2307"/>
          </w:tcPr>
          <w:p>
            <w:pPr>
              <w:pStyle w:val="null3"/>
              <w:jc w:val="left"/>
            </w:pPr>
            <w:r>
              <w:rPr/>
              <w:t>团队成员 (12.0分)</w:t>
            </w:r>
          </w:p>
        </w:tc>
        <w:tc>
          <w:tcPr>
            <w:tcW w:type="dxa" w:w="5076"/>
          </w:tcPr>
          <w:p>
            <w:pPr>
              <w:pStyle w:val="null3"/>
              <w:jc w:val="left"/>
            </w:pPr>
            <w:r>
              <w:rPr/>
              <w:t>投标人拟投入本项目的技术工程师（项目负责人除外）： 1.开发工程师：具有计算机或软件或自动化或网络等相关专业本科及以上学历，且具有3年及以上软件开发经验，得3分； 2.解决方案工程师：具有计算机或软件或自动化或网络等相关专业本科及以上学历，且具有5年及以上解决方案设计经验，得3分； 3.测试工程师：具有计算机或软件或自动化或网络等相关专业本科及以上学历，具有2年及以上软件测试工作经验，得3分； 4.运维工程师：具有计算机或软件或网络等相关专业本科及以上学历，且具有2年及以上项目软件维护和管理工作经验，得3分。 注：1.须注明上述人员的类别（开发工程师或解决方案工程师或测试工程师或运维工程师），若无法认定的不得分。2.以上人员不可重复计算得分。3.同时提供相关人员的学历证书复印件、工作简历（格式自拟，需体现工作经验及年限）及在本单位任职的证明材料（如加盖所在地区政府有关部门印章的缴纳日期在本项目提交投标文件截止日之前六个月以内任一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56"/>
          <w:b/>
        </w:rPr>
        <w:t>华南师范大学</w:t>
      </w:r>
    </w:p>
    <w:p>
      <w:pPr>
        <w:pStyle w:val="null3"/>
        <w:spacing w:before="315" w:after="150"/>
        <w:jc w:val="center"/>
      </w:pPr>
      <w:r>
        <w:rPr>
          <w:sz w:val="56"/>
          <w:b/>
        </w:rPr>
        <w:t>技术开发（委托）合同</w:t>
      </w:r>
    </w:p>
    <w:p>
      <w:pPr>
        <w:pStyle w:val="null3"/>
        <w:spacing w:before="315" w:after="150"/>
        <w:jc w:val="both"/>
      </w:pPr>
      <w:r>
        <w:rPr>
          <w:sz w:val="28"/>
          <w:b/>
        </w:rPr>
        <w:t>甲方：</w:t>
      </w:r>
      <w:r>
        <w:rPr>
          <w:sz w:val="28"/>
          <w:b/>
          <w:u w:val="single"/>
        </w:rPr>
        <w:t xml:space="preserve">   </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合同编号：</w:t>
      </w:r>
      <w:r>
        <w:rPr>
          <w:sz w:val="28"/>
          <w:b/>
          <w:u w:val="single"/>
        </w:rPr>
        <w:t>（示例：</w:t>
      </w:r>
      <w:r>
        <w:rPr>
          <w:sz w:val="28"/>
          <w:b/>
          <w:u w:val="single"/>
        </w:rPr>
        <w:t>HT2020XXXXX</w:t>
      </w:r>
      <w:r>
        <w:rPr>
          <w:sz w:val="28"/>
          <w:b/>
          <w:u w:val="single"/>
        </w:rPr>
        <w:t>）</w:t>
      </w:r>
    </w:p>
    <w:p>
      <w:pPr>
        <w:pStyle w:val="null3"/>
        <w:ind w:firstLine="1968"/>
        <w:jc w:val="left"/>
      </w:pPr>
      <w:r>
        <w:rPr>
          <w:sz w:val="28"/>
          <w:b/>
        </w:rPr>
        <w:t>采购编号：</w:t>
      </w:r>
      <w:r>
        <w:rPr>
          <w:sz w:val="28"/>
          <w:b/>
          <w:u w:val="single"/>
        </w:rPr>
        <w:t>（</w:t>
      </w:r>
      <w:r>
        <w:rPr>
          <w:sz w:val="28"/>
          <w:b/>
          <w:u w:val="single"/>
        </w:rPr>
        <w:t>原思必得系统产生</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二〇二〇年三月版</w:t>
      </w:r>
    </w:p>
    <w:p>
      <w:pPr>
        <w:pStyle w:val="null3"/>
        <w:jc w:val="both"/>
      </w:pPr>
      <w:r>
        <w:rPr/>
        <w:t xml:space="preserve"> </w:t>
      </w:r>
    </w:p>
    <w:p>
      <w:pPr>
        <w:pStyle w:val="null3"/>
        <w:ind w:firstLine="562"/>
        <w:jc w:val="center"/>
      </w:pPr>
      <w:r>
        <w:rPr>
          <w:sz w:val="28"/>
          <w:b/>
          <w:color w:val="000000"/>
        </w:rPr>
        <w:t>合同使用指引</w:t>
      </w:r>
    </w:p>
    <w:p>
      <w:pPr>
        <w:pStyle w:val="null3"/>
        <w:ind w:firstLine="420"/>
        <w:jc w:val="left"/>
      </w:pPr>
      <w:r>
        <w:rPr>
          <w:sz w:val="21"/>
          <w:color w:val="000000"/>
        </w:rPr>
        <w:t>一、本合同书为华南师范大学</w:t>
      </w:r>
      <w:r>
        <w:rPr>
          <w:sz w:val="21"/>
          <w:b/>
          <w:color w:val="000000"/>
        </w:rPr>
        <w:t>技术开发（委托）</w:t>
      </w:r>
      <w:r>
        <w:rPr>
          <w:sz w:val="21"/>
          <w:color w:val="000000"/>
        </w:rPr>
        <w:t>合同范本。</w:t>
      </w:r>
    </w:p>
    <w:p>
      <w:pPr>
        <w:pStyle w:val="null3"/>
        <w:ind w:firstLine="420"/>
        <w:jc w:val="left"/>
      </w:pPr>
      <w:r>
        <w:rPr>
          <w:sz w:val="21"/>
          <w:color w:val="000000"/>
        </w:rPr>
        <w:t>二、</w:t>
      </w:r>
      <w:r>
        <w:rPr>
          <w:sz w:val="21"/>
          <w:b/>
          <w:color w:val="000000"/>
        </w:rPr>
        <w:t>本合同书原则上不得随意修改、删减</w:t>
      </w:r>
      <w:r>
        <w:rPr>
          <w:sz w:val="21"/>
          <w:color w:val="000000"/>
        </w:rPr>
        <w:t>，如有特殊约定可增加补充条款或附件，但所补充内容不得与已有条款内容相冲突。</w:t>
      </w:r>
    </w:p>
    <w:p>
      <w:pPr>
        <w:pStyle w:val="null3"/>
        <w:ind w:firstLine="420"/>
        <w:jc w:val="left"/>
      </w:pPr>
      <w:r>
        <w:rPr>
          <w:sz w:val="21"/>
          <w:color w:val="000000"/>
        </w:rPr>
        <w:t>三、</w:t>
      </w:r>
      <w:r>
        <w:rPr>
          <w:sz w:val="21"/>
          <w:b/>
          <w:color w:val="000000"/>
        </w:rPr>
        <w:t>画横线处及空格的内容由双方根据实际情况填写，不得留空</w:t>
      </w:r>
      <w:r>
        <w:rPr>
          <w:sz w:val="21"/>
          <w:color w:val="000000"/>
        </w:rPr>
        <w:t>。</w:t>
      </w:r>
    </w:p>
    <w:p>
      <w:pPr>
        <w:pStyle w:val="null3"/>
        <w:ind w:firstLine="420"/>
        <w:jc w:val="left"/>
      </w:pPr>
      <w:r>
        <w:rPr>
          <w:sz w:val="21"/>
          <w:color w:val="000000"/>
        </w:rPr>
        <w:t>四、甲乙双方信息应全部填写完整，合同结尾处的双方签名及签订日期</w:t>
      </w:r>
      <w:r>
        <w:rPr>
          <w:sz w:val="21"/>
          <w:b/>
          <w:color w:val="000000"/>
        </w:rPr>
        <w:t>均应为亲笔签名</w:t>
      </w:r>
      <w:r>
        <w:rPr>
          <w:sz w:val="21"/>
          <w:color w:val="000000"/>
        </w:rPr>
        <w:t>。</w:t>
      </w:r>
    </w:p>
    <w:p>
      <w:pPr>
        <w:pStyle w:val="null3"/>
        <w:ind w:firstLine="420"/>
        <w:jc w:val="left"/>
      </w:pPr>
      <w:r>
        <w:rPr>
          <w:sz w:val="21"/>
          <w:color w:val="000000"/>
        </w:rPr>
        <w:t>五、</w:t>
      </w:r>
      <w:r>
        <w:rPr>
          <w:sz w:val="21"/>
          <w:b/>
          <w:color w:val="000000"/>
        </w:rPr>
        <w:t>本合同书应按规定格式双面打印，大小为</w:t>
      </w:r>
      <w:r>
        <w:rPr>
          <w:sz w:val="21"/>
          <w:b/>
          <w:color w:val="000000"/>
        </w:rPr>
        <w:t>A4幅面，正文内容所用字体应不小于5号字</w:t>
      </w:r>
      <w:r>
        <w:rPr>
          <w:sz w:val="21"/>
          <w:color w:val="000000"/>
        </w:rPr>
        <w:t>。合同附件应与合同书装订在一起，其规格大小应与合同书一致。</w:t>
      </w:r>
    </w:p>
    <w:p>
      <w:pPr>
        <w:pStyle w:val="null3"/>
        <w:ind w:firstLine="420"/>
        <w:jc w:val="left"/>
      </w:pPr>
      <w:r>
        <w:rPr>
          <w:sz w:val="21"/>
          <w:color w:val="000000"/>
        </w:rPr>
        <w:t>六、本合同书经甲乙双方法定代表人或委托代理人签署、加盖单位公章后，送贰份至采购与招投标中心存档备案。</w:t>
      </w:r>
    </w:p>
    <w:p>
      <w:pPr>
        <w:pStyle w:val="null3"/>
        <w:ind w:firstLine="420"/>
        <w:jc w:val="left"/>
      </w:pPr>
      <w:r>
        <w:rPr>
          <w:sz w:val="21"/>
          <w:color w:val="000000"/>
        </w:rPr>
        <w:t>七、甲乙双方应保管好合同书原件。</w:t>
      </w:r>
    </w:p>
    <w:p>
      <w:pPr>
        <w:pStyle w:val="null3"/>
        <w:ind w:firstLine="420"/>
        <w:jc w:val="left"/>
      </w:pPr>
      <w:r>
        <w:rPr>
          <w:sz w:val="21"/>
          <w:color w:val="000000"/>
        </w:rPr>
        <w:t>八、</w:t>
      </w:r>
      <w:r>
        <w:rPr>
          <w:sz w:val="21"/>
          <w:color w:val="000000"/>
        </w:rPr>
        <w:t>如有疑问请与采购中心采购一部联系，联系电话：</w:t>
      </w:r>
      <w:r>
        <w:rPr>
          <w:sz w:val="21"/>
          <w:color w:val="000000"/>
        </w:rPr>
        <w:t>85211082</w:t>
      </w:r>
      <w:r>
        <w:rPr>
          <w:sz w:val="21"/>
          <w:color w:val="000000"/>
        </w:rPr>
        <w:t>。</w:t>
      </w:r>
    </w:p>
    <w:p>
      <w:pPr>
        <w:pStyle w:val="null3"/>
        <w:jc w:val="both"/>
      </w:pPr>
      <w:r>
        <w:rPr/>
        <w:t xml:space="preserve"> </w:t>
      </w:r>
    </w:p>
    <w:p>
      <w:pPr>
        <w:pStyle w:val="null3"/>
        <w:ind w:firstLine="420"/>
        <w:jc w:val="left"/>
      </w:pPr>
      <w:r>
        <w:rPr>
          <w:sz w:val="21"/>
          <w:color w:val="000000"/>
        </w:rPr>
        <w:t>根据《中华人民共和国政府采购法》、《中华人民共和国合同法》等国家法律法规，</w:t>
      </w:r>
      <w:r>
        <w:rPr>
          <w:sz w:val="21"/>
          <w:color w:val="000000"/>
        </w:rPr>
        <w:t>以及甲方委托</w:t>
      </w:r>
      <w:r>
        <w:rPr>
          <w:sz w:val="21"/>
          <w:color w:val="000000"/>
        </w:rPr>
        <w:t>________（代理机构名称）组织的_____项目（项目名称）(采购编号_________)的成交结果，经甲乙双方协商一致，签订本合同，由双方共同恪守如下内容：</w:t>
      </w:r>
    </w:p>
    <w:p>
      <w:pPr>
        <w:pStyle w:val="null3"/>
        <w:ind w:firstLine="422"/>
        <w:jc w:val="left"/>
      </w:pPr>
      <w:r>
        <w:rPr>
          <w:sz w:val="21"/>
          <w:b/>
          <w:color w:val="000000"/>
        </w:rPr>
        <w:t>一、技术委托内容及要求</w:t>
      </w:r>
    </w:p>
    <w:p>
      <w:pPr>
        <w:pStyle w:val="null3"/>
        <w:ind w:firstLine="420"/>
        <w:jc w:val="left"/>
      </w:pPr>
      <w:r>
        <w:rPr>
          <w:sz w:val="21"/>
        </w:rPr>
        <w:t>1</w:t>
      </w:r>
      <w:r>
        <w:rPr>
          <w:sz w:val="21"/>
        </w:rPr>
        <w:t xml:space="preserve">. </w:t>
      </w:r>
      <w:r>
        <w:rPr>
          <w:sz w:val="21"/>
        </w:rPr>
        <w:t>甲方委托乙方开发</w:t>
      </w:r>
      <w:r>
        <w:rPr>
          <w:sz w:val="21"/>
        </w:rPr>
        <w:t>_________</w:t>
      </w:r>
      <w:r>
        <w:rPr>
          <w:sz w:val="21"/>
        </w:rPr>
        <w:t>软件系统</w:t>
      </w:r>
      <w:r>
        <w:rPr>
          <w:sz w:val="21"/>
        </w:rPr>
        <w:t>（以下简称</w:t>
      </w:r>
      <w:r>
        <w:rPr>
          <w:sz w:val="21"/>
        </w:rPr>
        <w:t>“软件系统”）</w:t>
      </w:r>
      <w:r>
        <w:rPr>
          <w:sz w:val="21"/>
        </w:rPr>
        <w:t>，并分为</w:t>
      </w:r>
      <w:r>
        <w:rPr>
          <w:sz w:val="21"/>
          <w:u w:val="single"/>
        </w:rPr>
        <w:t xml:space="preserve">    </w:t>
      </w:r>
      <w:r>
        <w:rPr>
          <w:sz w:val="21"/>
        </w:rPr>
        <w:t>个功能模块，</w:t>
      </w:r>
      <w:r>
        <w:rPr>
          <w:sz w:val="21"/>
        </w:rPr>
        <w:t>具体</w:t>
      </w:r>
      <w:r>
        <w:rPr>
          <w:sz w:val="21"/>
        </w:rPr>
        <w:t>包括：</w:t>
      </w:r>
    </w:p>
    <w:p>
      <w:pPr>
        <w:pStyle w:val="null3"/>
        <w:ind w:firstLine="420"/>
        <w:jc w:val="left"/>
      </w:pPr>
      <w:r>
        <w:rPr>
          <w:sz w:val="21"/>
        </w:rPr>
        <w:t>（</w:t>
      </w:r>
      <w:r>
        <w:rPr>
          <w:sz w:val="21"/>
        </w:rPr>
        <w:t>1</w:t>
      </w:r>
      <w:r>
        <w:rPr>
          <w:sz w:val="21"/>
        </w:rPr>
        <w:t>）</w:t>
      </w:r>
      <w:r>
        <w:rPr>
          <w:sz w:val="21"/>
        </w:rPr>
        <w:t>_________</w:t>
      </w:r>
      <w:r>
        <w:rPr>
          <w:sz w:val="21"/>
        </w:rPr>
        <w:t>；</w:t>
      </w:r>
    </w:p>
    <w:p>
      <w:pPr>
        <w:pStyle w:val="null3"/>
        <w:ind w:firstLine="420"/>
        <w:jc w:val="left"/>
      </w:pPr>
      <w:r>
        <w:rPr>
          <w:sz w:val="21"/>
        </w:rPr>
        <w:t>（</w:t>
      </w:r>
      <w:r>
        <w:rPr>
          <w:sz w:val="21"/>
        </w:rPr>
        <w:t>2</w:t>
      </w:r>
      <w:r>
        <w:rPr>
          <w:sz w:val="21"/>
        </w:rPr>
        <w:t>）</w:t>
      </w:r>
      <w:r>
        <w:rPr>
          <w:sz w:val="21"/>
        </w:rPr>
        <w:t>_________</w:t>
      </w:r>
      <w:r>
        <w:rPr>
          <w:sz w:val="21"/>
        </w:rPr>
        <w:t>；</w:t>
      </w:r>
    </w:p>
    <w:p>
      <w:pPr>
        <w:pStyle w:val="null3"/>
        <w:ind w:firstLine="420"/>
        <w:jc w:val="left"/>
      </w:pPr>
      <w:r>
        <w:rPr>
          <w:sz w:val="21"/>
        </w:rPr>
        <w:t>（</w:t>
      </w:r>
      <w:r>
        <w:rPr>
          <w:sz w:val="21"/>
        </w:rPr>
        <w:t>3</w:t>
      </w:r>
      <w:r>
        <w:rPr>
          <w:sz w:val="21"/>
        </w:rPr>
        <w:t>）</w:t>
      </w:r>
      <w:r>
        <w:rPr>
          <w:sz w:val="21"/>
        </w:rPr>
        <w:t>_________</w:t>
      </w:r>
      <w:r>
        <w:rPr>
          <w:sz w:val="21"/>
        </w:rPr>
        <w:t>。</w:t>
      </w:r>
    </w:p>
    <w:p>
      <w:pPr>
        <w:pStyle w:val="null3"/>
        <w:ind w:firstLine="420"/>
        <w:jc w:val="left"/>
      </w:pPr>
      <w:r>
        <w:rPr>
          <w:sz w:val="21"/>
        </w:rPr>
        <w:t>上述</w:t>
      </w:r>
      <w:r>
        <w:rPr>
          <w:sz w:val="21"/>
        </w:rPr>
        <w:t>功能模块共同构成本合同所规定的软件系统，</w:t>
      </w:r>
      <w:r>
        <w:rPr>
          <w:sz w:val="21"/>
        </w:rPr>
        <w:t>且</w:t>
      </w:r>
      <w:r>
        <w:rPr>
          <w:sz w:val="21"/>
        </w:rPr>
        <w:t>该软件系统的主要技术功能必须达到本合同</w:t>
      </w:r>
      <w:r>
        <w:rPr>
          <w:sz w:val="21"/>
        </w:rPr>
        <w:t>规定</w:t>
      </w:r>
      <w:r>
        <w:rPr>
          <w:sz w:val="21"/>
        </w:rPr>
        <w:t>的详细情况和要求</w:t>
      </w:r>
      <w:r>
        <w:rPr>
          <w:sz w:val="21"/>
        </w:rPr>
        <w:t>，否则甲方有权拒收</w:t>
      </w:r>
      <w:r>
        <w:rPr>
          <w:sz w:val="21"/>
        </w:rPr>
        <w:t>。</w:t>
      </w:r>
    </w:p>
    <w:p>
      <w:pPr>
        <w:pStyle w:val="null3"/>
        <w:ind w:firstLine="420"/>
        <w:jc w:val="left"/>
      </w:pPr>
      <w:r>
        <w:rPr>
          <w:sz w:val="21"/>
        </w:rPr>
        <w:t>2</w:t>
      </w:r>
      <w:r>
        <w:rPr>
          <w:sz w:val="21"/>
        </w:rPr>
        <w:t>.</w:t>
      </w:r>
      <w:r>
        <w:rPr>
          <w:sz w:val="21"/>
        </w:rPr>
        <w:t xml:space="preserve"> </w:t>
      </w:r>
      <w:r>
        <w:rPr>
          <w:sz w:val="21"/>
        </w:rPr>
        <w:t>软件系统是甲方为</w:t>
      </w:r>
      <w:r>
        <w:rPr>
          <w:sz w:val="21"/>
        </w:rPr>
        <w:t xml:space="preserve"> _______</w:t>
      </w:r>
      <w:r>
        <w:rPr>
          <w:sz w:val="21"/>
        </w:rPr>
        <w:t>而建设开发的软件，该软件处理的对象是</w:t>
      </w:r>
      <w:r>
        <w:rPr>
          <w:sz w:val="21"/>
        </w:rPr>
        <w:t xml:space="preserve">_________ </w:t>
      </w:r>
      <w:r>
        <w:rPr>
          <w:sz w:val="21"/>
        </w:rPr>
        <w:t>等，同时为甲方进行内部以及对外的人、财、物综合管理提供数据接口。</w:t>
      </w:r>
    </w:p>
    <w:p>
      <w:pPr>
        <w:pStyle w:val="null3"/>
        <w:ind w:firstLine="420"/>
        <w:jc w:val="left"/>
      </w:pPr>
      <w:r>
        <w:rPr>
          <w:sz w:val="21"/>
        </w:rPr>
        <w:t>3</w:t>
      </w:r>
      <w:r>
        <w:rPr>
          <w:sz w:val="21"/>
        </w:rPr>
        <w:t>.</w:t>
      </w:r>
      <w:r>
        <w:rPr>
          <w:sz w:val="21"/>
        </w:rPr>
        <w:t xml:space="preserve"> </w:t>
      </w:r>
      <w:r>
        <w:rPr>
          <w:sz w:val="21"/>
        </w:rPr>
        <w:t>软件系统的整体功能应符合招投标文件所描述的要求，并实现标准规范、正确性、兼容性、高效率、安全性、可靠性、开放性、实用性、可扩展性等的技术指标，达到构建完整</w:t>
      </w:r>
      <w:r>
        <w:rPr>
          <w:sz w:val="21"/>
          <w:u w:val="single"/>
        </w:rPr>
        <w:t xml:space="preserve">    </w:t>
      </w:r>
      <w:r>
        <w:rPr>
          <w:sz w:val="21"/>
        </w:rPr>
        <w:t>____</w:t>
      </w:r>
      <w:r>
        <w:rPr>
          <w:sz w:val="21"/>
        </w:rPr>
        <w:t>的目标。</w:t>
      </w:r>
    </w:p>
    <w:p>
      <w:pPr>
        <w:pStyle w:val="null3"/>
        <w:ind w:firstLine="422"/>
        <w:jc w:val="left"/>
      </w:pPr>
      <w:r>
        <w:rPr>
          <w:sz w:val="21"/>
          <w:b/>
          <w:color w:val="000000"/>
        </w:rPr>
        <w:t>二、开发时间要求</w:t>
      </w:r>
    </w:p>
    <w:p>
      <w:pPr>
        <w:pStyle w:val="null3"/>
        <w:ind w:firstLine="420"/>
        <w:jc w:val="left"/>
      </w:pPr>
      <w:r>
        <w:rPr>
          <w:sz w:val="21"/>
        </w:rPr>
        <w:t>软件系统</w:t>
      </w:r>
      <w:r>
        <w:rPr>
          <w:sz w:val="21"/>
          <w:color w:val="000000"/>
        </w:rPr>
        <w:t>应在</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日前交付甲方试用，否则视为乙方迟延交付，乙方应承担由此给甲方造成的损失及违约责任。</w:t>
      </w:r>
    </w:p>
    <w:p>
      <w:pPr>
        <w:pStyle w:val="null3"/>
        <w:ind w:firstLine="422"/>
        <w:jc w:val="left"/>
      </w:pPr>
      <w:r>
        <w:rPr>
          <w:sz w:val="21"/>
          <w:b/>
          <w:color w:val="000000"/>
        </w:rPr>
        <w:t>三、软件系统试运行</w:t>
      </w:r>
    </w:p>
    <w:p>
      <w:pPr>
        <w:pStyle w:val="null3"/>
        <w:ind w:firstLine="420"/>
        <w:jc w:val="left"/>
      </w:pPr>
      <w:r>
        <w:rPr>
          <w:sz w:val="21"/>
          <w:color w:val="000000"/>
        </w:rPr>
        <w:t xml:space="preserve">1. </w:t>
      </w:r>
      <w:r>
        <w:rPr>
          <w:sz w:val="21"/>
          <w:color w:val="000000"/>
        </w:rPr>
        <w:t>自软件系统交付甲方试用之日起，甲方拥有至少</w:t>
      </w:r>
      <w:r>
        <w:rPr>
          <w:sz w:val="21"/>
          <w:u w:val="single"/>
        </w:rPr>
        <w:t xml:space="preserve">     </w:t>
      </w:r>
      <w:r>
        <w:rPr>
          <w:sz w:val="21"/>
          <w:color w:val="000000"/>
        </w:rPr>
        <w:t>个工作日的试运行权利。</w:t>
      </w:r>
    </w:p>
    <w:p>
      <w:pPr>
        <w:pStyle w:val="null3"/>
        <w:ind w:firstLine="420"/>
        <w:jc w:val="left"/>
      </w:pPr>
      <w:r>
        <w:rPr>
          <w:sz w:val="21"/>
          <w:color w:val="000000"/>
        </w:rPr>
        <w:t xml:space="preserve">2. </w:t>
      </w:r>
      <w:r>
        <w:rPr>
          <w:sz w:val="21"/>
          <w:color w:val="000000"/>
        </w:rPr>
        <w:t>如软件在试运行期间出现非人为故障或问题，乙方应在</w:t>
      </w:r>
      <w:r>
        <w:rPr>
          <w:sz w:val="21"/>
          <w:u w:val="single"/>
        </w:rPr>
        <w:t xml:space="preserve">   </w:t>
      </w:r>
      <w:r>
        <w:rPr>
          <w:sz w:val="21"/>
          <w:color w:val="000000"/>
        </w:rPr>
        <w:t>个工作日内排除故障、解决问题，由此引起的相关费用由乙方承担。如乙方在前述时间内无法排除故障、解决问题，影响软件系统基本功能和目标的实现，则视为乙方迟延交付，乙方应承担由此给甲方造成的损失及违约责任，除非上述故障和问题是由甲方引起的。</w:t>
      </w:r>
    </w:p>
    <w:p>
      <w:pPr>
        <w:pStyle w:val="null3"/>
        <w:ind w:firstLine="422"/>
        <w:jc w:val="left"/>
      </w:pPr>
      <w:r>
        <w:rPr>
          <w:sz w:val="21"/>
          <w:b/>
          <w:color w:val="000000"/>
        </w:rPr>
        <w:t>四、软件系统最终验收</w:t>
      </w:r>
    </w:p>
    <w:p>
      <w:pPr>
        <w:pStyle w:val="null3"/>
        <w:ind w:firstLine="420"/>
        <w:jc w:val="left"/>
      </w:pPr>
      <w:r>
        <w:rPr>
          <w:sz w:val="21"/>
          <w:color w:val="000000"/>
        </w:rPr>
        <w:t>1.</w:t>
      </w:r>
      <w:r>
        <w:rPr>
          <w:sz w:val="21"/>
        </w:rPr>
        <w:t xml:space="preserve"> </w:t>
      </w:r>
      <w:r>
        <w:rPr>
          <w:sz w:val="21"/>
        </w:rPr>
        <w:t>软件系统</w:t>
      </w:r>
      <w:r>
        <w:rPr>
          <w:sz w:val="21"/>
          <w:color w:val="000000"/>
        </w:rPr>
        <w:t>试运行完成后，乙方应以书面形式向甲方递交验收申请书，甲方根据内部流程安排验收。</w:t>
      </w:r>
      <w:r>
        <w:rPr>
          <w:sz w:val="21"/>
          <w:color w:val="000000"/>
        </w:rPr>
        <w:t>项目文件及测试均验收合格后，甲方将出具华南师范大学采购物资验收报告给乙方。验收合格之日为甲方签署华南师范大学采购物资验收报告的日期。</w:t>
      </w:r>
    </w:p>
    <w:p>
      <w:pPr>
        <w:pStyle w:val="null3"/>
        <w:ind w:firstLine="420"/>
        <w:jc w:val="left"/>
      </w:pPr>
      <w:r>
        <w:rPr>
          <w:sz w:val="21"/>
          <w:color w:val="000000"/>
        </w:rPr>
        <w:t xml:space="preserve">2. </w:t>
      </w:r>
      <w:r>
        <w:rPr>
          <w:sz w:val="21"/>
          <w:color w:val="000000"/>
        </w:rPr>
        <w:t>如由于乙方提供的软件系统不符合甲方要求导致未能通过验收，乙方应根据甲方要求在限期内整改、排除故障，并承担由此产生的费用，同时延长试运行期限</w:t>
      </w:r>
      <w:r>
        <w:rPr>
          <w:sz w:val="21"/>
          <w:u w:val="single"/>
        </w:rPr>
        <w:t xml:space="preserve">    </w:t>
      </w:r>
      <w:r>
        <w:rPr>
          <w:sz w:val="21"/>
          <w:color w:val="000000"/>
        </w:rPr>
        <w:t>个工作日，直至软件系统完全符合甲方的验收标准。</w:t>
      </w:r>
    </w:p>
    <w:p>
      <w:pPr>
        <w:pStyle w:val="null3"/>
        <w:ind w:firstLine="420"/>
        <w:jc w:val="left"/>
      </w:pPr>
      <w:r>
        <w:rPr>
          <w:sz w:val="21"/>
          <w:color w:val="000000"/>
        </w:rPr>
        <w:t xml:space="preserve">3. </w:t>
      </w:r>
      <w:r>
        <w:rPr>
          <w:sz w:val="21"/>
          <w:color w:val="000000"/>
        </w:rPr>
        <w:t>如由于甲方原因致使软件系统未通过验收，甲方应在合理时间内排除故障，再进行验收。</w:t>
      </w:r>
    </w:p>
    <w:p>
      <w:pPr>
        <w:pStyle w:val="null3"/>
        <w:ind w:firstLine="420"/>
        <w:jc w:val="left"/>
      </w:pPr>
      <w:r>
        <w:rPr>
          <w:sz w:val="21"/>
          <w:color w:val="000000"/>
        </w:rPr>
        <w:t>4</w:t>
      </w:r>
      <w:r>
        <w:rPr>
          <w:sz w:val="21"/>
          <w:color w:val="000000"/>
        </w:rPr>
        <w:t>.</w:t>
      </w:r>
      <w:r>
        <w:rPr>
          <w:sz w:val="21"/>
          <w:color w:val="000000"/>
        </w:rPr>
        <w:t xml:space="preserve"> </w:t>
      </w:r>
      <w:r>
        <w:rPr>
          <w:sz w:val="21"/>
          <w:color w:val="000000"/>
        </w:rPr>
        <w:t>验收合格后，乙方应将各阶段产生的文档资料汇编成册交付给甲方，并且提供明确的交付清单。乙方交付的文档资料应包含各种技术文档（含：开发环境配置说明、软件工具清单、需求分析说明、变更说明、系统设计说明、用户手册、测试用例、测试结果、系统维护说明、系统培训资料及有关系统接口的技术说明等）、管理文档等。</w:t>
      </w:r>
    </w:p>
    <w:p>
      <w:pPr>
        <w:pStyle w:val="null3"/>
        <w:ind w:firstLine="422"/>
        <w:jc w:val="left"/>
      </w:pPr>
      <w:r>
        <w:rPr>
          <w:sz w:val="21"/>
          <w:b/>
          <w:color w:val="000000"/>
        </w:rPr>
        <w:t>五、知识产权和使用权</w:t>
      </w:r>
    </w:p>
    <w:p>
      <w:pPr>
        <w:pStyle w:val="null3"/>
        <w:ind w:firstLine="420"/>
        <w:jc w:val="left"/>
      </w:pPr>
      <w:r>
        <w:rPr>
          <w:sz w:val="21"/>
          <w:color w:val="000000"/>
        </w:rPr>
        <w:t xml:space="preserve">1. </w:t>
      </w:r>
      <w:r>
        <w:rPr>
          <w:sz w:val="21"/>
          <w:color w:val="000000"/>
        </w:rPr>
        <w:t>乙方应保证，甲方在使用本合同项目开发的软件和数据的任何一部分时，如受第三方提出的侵犯其知识产权、肖像权、技术秘密、商业秘密或其他任何权益的起诉，由乙方承担一切责任。</w:t>
      </w:r>
    </w:p>
    <w:p>
      <w:pPr>
        <w:pStyle w:val="null3"/>
        <w:ind w:firstLine="420"/>
        <w:jc w:val="left"/>
      </w:pPr>
      <w:r>
        <w:rPr>
          <w:sz w:val="21"/>
          <w:color w:val="000000"/>
        </w:rPr>
        <w:t>2</w:t>
      </w:r>
      <w:r>
        <w:rPr>
          <w:sz w:val="21"/>
          <w:color w:val="000000"/>
        </w:rPr>
        <w:t xml:space="preserve">. </w:t>
      </w:r>
      <w:r>
        <w:rPr>
          <w:sz w:val="21"/>
          <w:color w:val="000000"/>
        </w:rPr>
        <w:t>软件系统开发完毕后，系统中原属于乙方的技术和功能模块甲方具有永久使用权；乙方结合甲方功能需求新开发的功能模块、具有新特色的系统所产生的知识产权归甲乙双方共同所有。</w:t>
      </w:r>
    </w:p>
    <w:p>
      <w:pPr>
        <w:pStyle w:val="null3"/>
        <w:ind w:firstLine="420"/>
        <w:jc w:val="left"/>
      </w:pPr>
      <w:r>
        <w:rPr>
          <w:sz w:val="21"/>
          <w:color w:val="000000"/>
        </w:rPr>
        <w:t>双方共同所有的知识产权，未经甲乙双方共同的书面许可，任何一方不得以任何方式向第三方披露、转让和许可有关的技术成果、计算机软件、技术诀窍、秘密信息、技术资料和文件等；除本研发项目或者工作需要之外，未得到甲乙双方共同的书面许可，甲乙双方不得以任何方式商业性地利用上述资料、技术及信息。如违反本条规定，除应立即停止违约行为外，违约方还应向守约方支付合同总价</w:t>
      </w:r>
      <w:r>
        <w:rPr>
          <w:sz w:val="21"/>
          <w:color w:val="000000"/>
        </w:rPr>
        <w:t>2</w:t>
      </w:r>
      <w:r>
        <w:rPr>
          <w:sz w:val="21"/>
          <w:color w:val="000000"/>
        </w:rPr>
        <w:t>0%</w:t>
      </w:r>
      <w:r>
        <w:rPr>
          <w:sz w:val="21"/>
          <w:color w:val="000000"/>
        </w:rPr>
        <w:t>的违约金以及赔偿守约方的损失。</w:t>
      </w:r>
    </w:p>
    <w:p>
      <w:pPr>
        <w:pStyle w:val="null3"/>
        <w:ind w:firstLine="420"/>
        <w:jc w:val="left"/>
      </w:pPr>
      <w:r>
        <w:rPr>
          <w:sz w:val="21"/>
          <w:color w:val="000000"/>
        </w:rPr>
        <w:t>3.</w:t>
      </w:r>
      <w:r>
        <w:rPr>
          <w:sz w:val="21"/>
        </w:rPr>
        <w:t xml:space="preserve"> </w:t>
      </w:r>
      <w:r>
        <w:rPr>
          <w:sz w:val="21"/>
          <w:color w:val="000000"/>
        </w:rPr>
        <w:t>甲方对本合同项目的软件系统和数据具有永久使用权。</w:t>
      </w:r>
    </w:p>
    <w:p>
      <w:pPr>
        <w:pStyle w:val="null3"/>
        <w:ind w:firstLine="420"/>
        <w:jc w:val="left"/>
      </w:pPr>
      <w:r>
        <w:rPr>
          <w:sz w:val="21"/>
          <w:color w:val="000000"/>
        </w:rPr>
        <w:t>4</w:t>
      </w:r>
      <w:r>
        <w:rPr>
          <w:sz w:val="21"/>
          <w:color w:val="000000"/>
        </w:rPr>
        <w:t xml:space="preserve">. </w:t>
      </w:r>
      <w:r>
        <w:rPr>
          <w:sz w:val="21"/>
          <w:color w:val="000000"/>
        </w:rPr>
        <w:t>除本合同另有规定外，甲方对乙方所许可使用的软件没有向第三方许可使用的权利。</w:t>
      </w:r>
    </w:p>
    <w:p>
      <w:pPr>
        <w:pStyle w:val="null3"/>
        <w:ind w:firstLine="420"/>
        <w:jc w:val="left"/>
      </w:pPr>
      <w:r>
        <w:rPr>
          <w:sz w:val="21"/>
          <w:color w:val="000000"/>
        </w:rPr>
        <w:t>5</w:t>
      </w:r>
      <w:r>
        <w:rPr>
          <w:sz w:val="21"/>
          <w:color w:val="000000"/>
        </w:rPr>
        <w:t xml:space="preserve">. </w:t>
      </w:r>
      <w:r>
        <w:rPr>
          <w:sz w:val="21"/>
          <w:color w:val="000000"/>
        </w:rPr>
        <w:t>甲方在使用乙方提供的第三方软件时，应当遵守乙方与第三方对该软件使用的约定。乙方应事先将该约定的复印件交甲方参阅、保存。</w:t>
      </w:r>
    </w:p>
    <w:p>
      <w:pPr>
        <w:pStyle w:val="null3"/>
        <w:ind w:firstLine="422"/>
        <w:jc w:val="left"/>
      </w:pPr>
      <w:r>
        <w:rPr>
          <w:sz w:val="21"/>
          <w:b/>
          <w:color w:val="000000"/>
        </w:rPr>
        <w:t>六、</w:t>
      </w:r>
      <w:r>
        <w:rPr>
          <w:sz w:val="21"/>
          <w:b/>
          <w:color w:val="000000"/>
        </w:rPr>
        <w:t>付款</w:t>
      </w:r>
    </w:p>
    <w:p>
      <w:pPr>
        <w:pStyle w:val="null3"/>
        <w:ind w:firstLine="420"/>
        <w:jc w:val="left"/>
      </w:pPr>
      <w:r>
        <w:rPr>
          <w:sz w:val="21"/>
        </w:rPr>
        <w:t>1</w:t>
      </w:r>
      <w:r>
        <w:rPr>
          <w:sz w:val="21"/>
        </w:rPr>
        <w:t>.</w:t>
      </w:r>
      <w:r>
        <w:rPr>
          <w:sz w:val="21"/>
          <w:color w:val="000000"/>
        </w:rPr>
        <w:t xml:space="preserve"> </w:t>
      </w:r>
      <w:r>
        <w:rPr>
          <w:sz w:val="21"/>
          <w:color w:val="000000"/>
        </w:rPr>
        <w:t>服务期限内的服务费用共计为</w:t>
      </w:r>
      <w:r>
        <w:rPr>
          <w:sz w:val="21"/>
          <w:color w:val="000000"/>
        </w:rPr>
        <w:t>CNY</w:t>
      </w:r>
      <w:r>
        <w:rPr>
          <w:sz w:val="21"/>
          <w:color w:val="000000"/>
        </w:rPr>
        <w:t>￥</w:t>
      </w:r>
      <w:r>
        <w:rPr>
          <w:sz w:val="21"/>
          <w:color w:val="000000"/>
        </w:rPr>
        <w:t>_________</w:t>
      </w:r>
      <w:r>
        <w:rPr>
          <w:sz w:val="21"/>
          <w:color w:val="000000"/>
        </w:rPr>
        <w:t>元，人民币（大写）：</w:t>
      </w:r>
      <w:r>
        <w:rPr>
          <w:sz w:val="21"/>
          <w:color w:val="000000"/>
        </w:rPr>
        <w:t>_________</w:t>
      </w:r>
      <w:r>
        <w:rPr>
          <w:sz w:val="21"/>
          <w:color w:val="000000"/>
        </w:rPr>
        <w:t>元整。价格明细及计算标准为：</w:t>
      </w:r>
      <w:r>
        <w:rPr>
          <w:sz w:val="21"/>
        </w:rPr>
        <w:t xml:space="preserve"> </w:t>
      </w:r>
      <w:r>
        <w:rPr>
          <w:sz w:val="21"/>
          <w:color w:val="000000"/>
        </w:rPr>
        <w:t>_</w:t>
      </w:r>
      <w:r>
        <w:rPr>
          <w:sz w:val="21"/>
          <w:color w:val="000000"/>
        </w:rPr>
        <w:t>______________</w:t>
      </w:r>
      <w:r>
        <w:rPr>
          <w:sz w:val="21"/>
          <w:color w:val="000000"/>
        </w:rPr>
        <w:t>。</w:t>
      </w:r>
    </w:p>
    <w:p>
      <w:pPr>
        <w:pStyle w:val="null3"/>
        <w:ind w:firstLine="420"/>
        <w:jc w:val="left"/>
      </w:pPr>
      <w:r>
        <w:rPr>
          <w:sz w:val="21"/>
          <w:color w:val="000000"/>
        </w:rPr>
        <w:t>2</w:t>
      </w:r>
      <w:r>
        <w:rPr>
          <w:sz w:val="21"/>
          <w:color w:val="000000"/>
        </w:rPr>
        <w:t xml:space="preserve">. </w:t>
      </w:r>
      <w:r>
        <w:rPr>
          <w:sz w:val="21"/>
          <w:color w:val="000000"/>
        </w:rPr>
        <w:t>本合同所指的服务费用，为乙方按照招投标文件及本合同约定提供技术开发服务所需的一切含税费用</w:t>
      </w:r>
      <w:r>
        <w:rPr>
          <w:sz w:val="21"/>
          <w:color w:val="000000"/>
        </w:rPr>
        <w:t>，</w:t>
      </w:r>
      <w:r>
        <w:rPr>
          <w:sz w:val="21"/>
          <w:color w:val="000000"/>
        </w:rPr>
        <w:t>对乙方投标文件中因漏项、错项、错算等引起的差异视为已包含在投标总报价中</w:t>
      </w:r>
      <w:r>
        <w:rPr>
          <w:sz w:val="21"/>
          <w:color w:val="000000"/>
        </w:rPr>
        <w:t>。</w:t>
      </w:r>
      <w:r>
        <w:rPr>
          <w:sz w:val="21"/>
          <w:color w:val="000000"/>
        </w:rPr>
        <w:t>除本合同明确约定的费用外，甲方无需支付任何额外费用和承担任何额外义务。</w:t>
      </w:r>
    </w:p>
    <w:p>
      <w:pPr>
        <w:pStyle w:val="null3"/>
        <w:ind w:firstLine="420"/>
        <w:jc w:val="left"/>
      </w:pPr>
      <w:r>
        <w:rPr>
          <w:sz w:val="21"/>
          <w:color w:val="000000"/>
        </w:rPr>
        <w:t xml:space="preserve">3. </w:t>
      </w:r>
      <w:r>
        <w:rPr>
          <w:sz w:val="21"/>
          <w:color w:val="000000"/>
        </w:rPr>
        <w:t>付款方式：</w:t>
      </w:r>
      <w:r>
        <w:rPr>
          <w:sz w:val="21"/>
          <w:color w:val="000000"/>
        </w:rPr>
        <w:t>_</w:t>
      </w:r>
      <w:r>
        <w:rPr>
          <w:sz w:val="21"/>
          <w:color w:val="000000"/>
        </w:rPr>
        <w:t>______________</w:t>
      </w:r>
      <w:r>
        <w:rPr>
          <w:sz w:val="21"/>
          <w:color w:val="000000"/>
        </w:rPr>
        <w:t>。（甲方纳税人识别号</w:t>
      </w:r>
      <w:r>
        <w:rPr>
          <w:sz w:val="21"/>
          <w:color w:val="000000"/>
        </w:rPr>
        <w:t>: 124400004558589190</w:t>
      </w:r>
      <w:r>
        <w:rPr>
          <w:sz w:val="21"/>
          <w:color w:val="000000"/>
        </w:rPr>
        <w:t>）</w:t>
      </w:r>
    </w:p>
    <w:p>
      <w:pPr>
        <w:pStyle w:val="null3"/>
        <w:ind w:firstLine="420"/>
        <w:jc w:val="left"/>
      </w:pPr>
      <w:r>
        <w:rPr>
          <w:sz w:val="21"/>
          <w:color w:val="000000"/>
        </w:rPr>
        <w:t xml:space="preserve">4. </w:t>
      </w:r>
      <w:r>
        <w:rPr>
          <w:sz w:val="21"/>
          <w:color w:val="000000"/>
        </w:rPr>
        <w:t>每项款项支付前，乙方须先提供合法有效的等额发票，否则甲方有权顺延付款。</w:t>
      </w:r>
    </w:p>
    <w:p>
      <w:pPr>
        <w:pStyle w:val="null3"/>
        <w:ind w:firstLine="420"/>
        <w:jc w:val="left"/>
      </w:pPr>
      <w:r>
        <w:rPr>
          <w:sz w:val="21"/>
          <w:color w:val="000000"/>
        </w:rPr>
        <w:t xml:space="preserve">5. </w:t>
      </w:r>
      <w:r>
        <w:rPr>
          <w:sz w:val="21"/>
          <w:color w:val="000000"/>
        </w:rPr>
        <w:t>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color w:val="000000"/>
        </w:rPr>
        <w:t xml:space="preserve">6. </w:t>
      </w:r>
      <w:r>
        <w:rPr>
          <w:sz w:val="21"/>
          <w:color w:val="000000"/>
        </w:rPr>
        <w:t>本项目如执行国库支付的，甲方在验收合格后十五个工作日内办理财政集中支付申请手续，付款按照财政部门国库集中支付的有关规定办理。付款时间为甲方向政府采购支付部门提出支付申请的时间（不含政府财政支付部门审查的时间）。</w:t>
      </w:r>
    </w:p>
    <w:p>
      <w:pPr>
        <w:pStyle w:val="null3"/>
        <w:ind w:firstLine="420"/>
        <w:jc w:val="left"/>
      </w:pPr>
      <w:r>
        <w:rPr>
          <w:sz w:val="21"/>
          <w:color w:val="000000"/>
        </w:rPr>
        <w:t>7.</w:t>
      </w:r>
      <w:r>
        <w:rPr>
          <w:sz w:val="21"/>
          <w:color w:val="000000"/>
        </w:rPr>
        <w:t xml:space="preserve"> </w:t>
      </w:r>
      <w:r>
        <w:rPr>
          <w:sz w:val="21"/>
          <w:color w:val="000000"/>
        </w:rPr>
        <w:t>付款时间如遇甲方寒暑假，甲方有权将付款时间顺延至假期结束之后。</w:t>
      </w:r>
    </w:p>
    <w:p>
      <w:pPr>
        <w:pStyle w:val="null3"/>
        <w:ind w:firstLine="422"/>
        <w:jc w:val="left"/>
      </w:pPr>
      <w:r>
        <w:rPr>
          <w:sz w:val="21"/>
          <w:b/>
          <w:color w:val="000000"/>
        </w:rPr>
        <w:t>七、</w:t>
      </w:r>
      <w:r>
        <w:rPr>
          <w:sz w:val="21"/>
          <w:b/>
          <w:color w:val="000000"/>
        </w:rPr>
        <w:t>售后服务要求</w:t>
      </w:r>
    </w:p>
    <w:p>
      <w:pPr>
        <w:pStyle w:val="null3"/>
        <w:ind w:firstLine="420"/>
        <w:jc w:val="left"/>
      </w:pPr>
      <w:r>
        <w:rPr>
          <w:sz w:val="21"/>
          <w:color w:val="000000"/>
        </w:rPr>
        <w:t>1</w:t>
      </w:r>
      <w:r>
        <w:rPr>
          <w:sz w:val="21"/>
          <w:color w:val="000000"/>
        </w:rPr>
        <w:t xml:space="preserve">. </w:t>
      </w:r>
      <w:r>
        <w:rPr>
          <w:sz w:val="21"/>
          <w:color w:val="000000"/>
        </w:rPr>
        <w:t>本项目质量保证期为</w:t>
      </w:r>
      <w:r>
        <w:rPr>
          <w:sz w:val="21"/>
          <w:color w:val="000000"/>
        </w:rPr>
        <w:t>_</w:t>
      </w:r>
      <w:r>
        <w:rPr>
          <w:sz w:val="21"/>
          <w:color w:val="000000"/>
        </w:rPr>
        <w:t>___</w:t>
      </w:r>
      <w:r>
        <w:rPr>
          <w:sz w:val="21"/>
          <w:color w:val="000000"/>
        </w:rPr>
        <w:t>年，自验收合格之日起计算。乙方承诺向甲方提供软件系统及数据的维护和支持服务，不再向甲方收取任何费用。</w:t>
      </w:r>
    </w:p>
    <w:p>
      <w:pPr>
        <w:pStyle w:val="null3"/>
        <w:ind w:firstLine="420"/>
        <w:jc w:val="left"/>
      </w:pPr>
      <w:r>
        <w:rPr>
          <w:sz w:val="21"/>
          <w:color w:val="000000"/>
        </w:rPr>
        <w:t>2</w:t>
      </w:r>
      <w:r>
        <w:rPr>
          <w:sz w:val="21"/>
          <w:color w:val="000000"/>
        </w:rPr>
        <w:t xml:space="preserve">. </w:t>
      </w:r>
      <w:r>
        <w:rPr>
          <w:sz w:val="21"/>
          <w:color w:val="000000"/>
        </w:rPr>
        <w:t>在质量保证期内，乙方负责对其提供的软件系统进行维修或维护</w:t>
      </w:r>
      <w:r>
        <w:rPr>
          <w:sz w:val="21"/>
          <w:color w:val="000000"/>
        </w:rPr>
        <w:t>,</w:t>
      </w:r>
      <w:r>
        <w:rPr>
          <w:sz w:val="21"/>
          <w:color w:val="000000"/>
        </w:rPr>
        <w:t>提供电话和</w:t>
      </w:r>
      <w:r>
        <w:rPr>
          <w:sz w:val="21"/>
          <w:color w:val="000000"/>
        </w:rPr>
        <w:t>Email</w:t>
      </w:r>
      <w:r>
        <w:rPr>
          <w:sz w:val="21"/>
          <w:color w:val="000000"/>
        </w:rPr>
        <w:t>等技术热线服务。在接到故障或问题告知后</w:t>
      </w:r>
      <w:r>
        <w:rPr>
          <w:sz w:val="21"/>
        </w:rPr>
        <w:t>(7</w:t>
      </w:r>
      <w:r>
        <w:rPr>
          <w:sz w:val="21"/>
        </w:rPr>
        <w:t>天</w:t>
      </w:r>
      <w:r>
        <w:rPr>
          <w:sz w:val="21"/>
        </w:rPr>
        <w:t>×24</w:t>
      </w:r>
      <w:r>
        <w:rPr>
          <w:sz w:val="21"/>
        </w:rPr>
        <w:t>小时热线电话</w:t>
      </w:r>
      <w:r>
        <w:rPr>
          <w:sz w:val="21"/>
        </w:rPr>
        <w:t>:__)</w:t>
      </w:r>
      <w:r>
        <w:rPr>
          <w:sz w:val="21"/>
          <w:color w:val="000000"/>
        </w:rPr>
        <w:t>，应在</w:t>
      </w:r>
      <w:r>
        <w:rPr>
          <w:sz w:val="21"/>
          <w:u w:val="single"/>
        </w:rPr>
        <w:t xml:space="preserve">    </w:t>
      </w:r>
      <w:r>
        <w:rPr>
          <w:sz w:val="21"/>
          <w:color w:val="000000"/>
        </w:rPr>
        <w:t>小时内响应，系统严重故障需现场处理的，到达现场不超过</w:t>
      </w:r>
      <w:r>
        <w:rPr>
          <w:sz w:val="21"/>
          <w:u w:val="single"/>
        </w:rPr>
        <w:t xml:space="preserve">   </w:t>
      </w:r>
      <w:r>
        <w:rPr>
          <w:sz w:val="21"/>
          <w:color w:val="000000"/>
        </w:rPr>
        <w:t>小时，</w:t>
      </w:r>
      <w:r>
        <w:rPr>
          <w:sz w:val="21"/>
        </w:rPr>
        <w:t>并在</w:t>
      </w:r>
      <w:r>
        <w:rPr>
          <w:sz w:val="21"/>
        </w:rPr>
        <w:t>___</w:t>
      </w:r>
      <w:r>
        <w:rPr>
          <w:sz w:val="21"/>
        </w:rPr>
        <w:t>小时内（前述响应及到达现场时间已包含计算在内）解决问题。如果线路故障在前述限定时间内仍无法排除</w:t>
      </w:r>
      <w:r>
        <w:rPr>
          <w:sz w:val="21"/>
          <w:color w:val="000000"/>
        </w:rPr>
        <w:t>，乙方应承担由此产生的费用和责任。</w:t>
      </w:r>
    </w:p>
    <w:p>
      <w:pPr>
        <w:pStyle w:val="null3"/>
        <w:ind w:firstLine="420"/>
        <w:jc w:val="left"/>
      </w:pPr>
      <w:r>
        <w:rPr>
          <w:sz w:val="21"/>
          <w:color w:val="000000"/>
        </w:rPr>
        <w:t>3</w:t>
      </w:r>
      <w:r>
        <w:rPr>
          <w:sz w:val="21"/>
          <w:color w:val="000000"/>
        </w:rPr>
        <w:t xml:space="preserve">. </w:t>
      </w:r>
      <w:r>
        <w:rPr>
          <w:sz w:val="21"/>
          <w:color w:val="000000"/>
        </w:rPr>
        <w:t>乙方承诺对于甲方因业务规则的变化导致的非功能模块功能需求变更，或者因性能要求提升导致的部署结构变化，向甲方提供不限次数的免费支持和修订服务。</w:t>
      </w:r>
    </w:p>
    <w:p>
      <w:pPr>
        <w:pStyle w:val="null3"/>
        <w:ind w:firstLine="420"/>
        <w:jc w:val="left"/>
      </w:pPr>
      <w:r>
        <w:rPr>
          <w:sz w:val="21"/>
          <w:color w:val="000000"/>
        </w:rPr>
        <w:t>4</w:t>
      </w:r>
      <w:r>
        <w:rPr>
          <w:sz w:val="21"/>
          <w:color w:val="000000"/>
        </w:rPr>
        <w:t xml:space="preserve">. </w:t>
      </w:r>
      <w:r>
        <w:rPr>
          <w:sz w:val="21"/>
          <w:color w:val="000000"/>
        </w:rPr>
        <w:t>质量保证期满后，乙方可根据甲方实际需要另行签订合同继续提供维护服务，维护服务只收取成本费，具体费用由双方另行磋商后确定，但不得超过本合同总价的</w:t>
      </w:r>
      <w:r>
        <w:rPr>
          <w:sz w:val="21"/>
          <w:color w:val="000000"/>
        </w:rPr>
        <w:t>10%</w:t>
      </w:r>
      <w:r>
        <w:rPr>
          <w:sz w:val="21"/>
          <w:color w:val="000000"/>
        </w:rPr>
        <w:t>。</w:t>
      </w:r>
    </w:p>
    <w:p>
      <w:pPr>
        <w:pStyle w:val="null3"/>
        <w:ind w:firstLine="422"/>
        <w:jc w:val="left"/>
      </w:pPr>
      <w:r>
        <w:rPr>
          <w:sz w:val="21"/>
          <w:b/>
          <w:color w:val="000000"/>
        </w:rPr>
        <w:t>八、培训</w:t>
      </w:r>
    </w:p>
    <w:p>
      <w:pPr>
        <w:pStyle w:val="null3"/>
        <w:ind w:firstLine="420"/>
        <w:jc w:val="left"/>
      </w:pPr>
      <w:r>
        <w:rPr>
          <w:sz w:val="21"/>
          <w:color w:val="000000"/>
        </w:rPr>
        <w:t>培训应贯穿于整个项目的实施过程，包括项目的准备、研发、运行及维护等的全过程，乙方应采用课堂讲解、主机操作及实际工作参与等方式。软件系统安装调试完毕后，乙方应及时对甲方人员进行培训，培训时间不少于</w:t>
      </w:r>
      <w:r>
        <w:rPr>
          <w:sz w:val="21"/>
          <w:u w:val="single"/>
        </w:rPr>
        <w:t xml:space="preserve">    </w:t>
      </w:r>
      <w:r>
        <w:rPr>
          <w:sz w:val="21"/>
          <w:color w:val="000000"/>
        </w:rPr>
        <w:t>个工作日，甲方受训人数不限。培训目标为受训者能独立熟练使用和自主维护软件系统，并实现本合同规定的目标和功能。</w:t>
      </w:r>
    </w:p>
    <w:p>
      <w:pPr>
        <w:pStyle w:val="null3"/>
        <w:ind w:firstLine="422"/>
        <w:jc w:val="left"/>
      </w:pPr>
      <w:r>
        <w:rPr>
          <w:sz w:val="21"/>
          <w:b/>
          <w:color w:val="000000"/>
        </w:rPr>
        <w:t>九</w:t>
      </w:r>
      <w:r>
        <w:rPr>
          <w:sz w:val="21"/>
          <w:b/>
        </w:rPr>
        <w:t>、违约责任</w:t>
      </w:r>
    </w:p>
    <w:p>
      <w:pPr>
        <w:pStyle w:val="null3"/>
        <w:ind w:firstLine="420"/>
        <w:jc w:val="left"/>
      </w:pPr>
      <w:r>
        <w:rPr>
          <w:sz w:val="21"/>
        </w:rPr>
        <w:t xml:space="preserve">1. </w:t>
      </w:r>
      <w:r>
        <w:rPr>
          <w:sz w:val="21"/>
          <w:color w:val="000000"/>
        </w:rPr>
        <w:t>乙方提供的服务不符合合同规定的，甲方有权拒收，乙方需向甲方支付合同总价</w:t>
      </w:r>
      <w:r>
        <w:rPr>
          <w:sz w:val="21"/>
          <w:color w:val="000000"/>
        </w:rPr>
        <w:t>10%</w:t>
      </w:r>
      <w:r>
        <w:rPr>
          <w:sz w:val="21"/>
          <w:color w:val="000000"/>
        </w:rPr>
        <w:t>的违约金。</w:t>
      </w:r>
    </w:p>
    <w:p>
      <w:pPr>
        <w:pStyle w:val="null3"/>
        <w:ind w:firstLine="420"/>
        <w:jc w:val="left"/>
      </w:pPr>
      <w:r>
        <w:rPr>
          <w:sz w:val="21"/>
        </w:rPr>
        <w:t xml:space="preserve">2. </w:t>
      </w:r>
      <w:r>
        <w:rPr>
          <w:sz w:val="21"/>
          <w:color w:val="000000"/>
        </w:rPr>
        <w:t>乙方迟延提供服务的，每逾期一日，按合同总价的</w:t>
      </w:r>
      <w:r>
        <w:rPr>
          <w:sz w:val="21"/>
          <w:color w:val="000000"/>
        </w:rPr>
        <w:t>0.8‰</w:t>
      </w:r>
      <w:r>
        <w:rPr>
          <w:sz w:val="21"/>
          <w:color w:val="000000"/>
        </w:rPr>
        <w:t>向甲方支付违约金，甲方有权直接从应付给乙方的合同款项中扣除该违约金，且甲方有权要求乙方继续提供服务直至符合</w:t>
      </w:r>
      <w:r>
        <w:rPr>
          <w:sz w:val="21"/>
          <w:color w:val="000000"/>
        </w:rPr>
        <w:t>甲方</w:t>
      </w:r>
      <w:r>
        <w:rPr>
          <w:sz w:val="21"/>
          <w:color w:val="000000"/>
        </w:rPr>
        <w:t>要求。当逾期违约金累计总额超过合同款总额的百分之五时，甲方有权解除合同，如按上述办法计算的违约金仍不足以补偿因乙方违约造成的损失，甲方有权进一步向乙方提出索赔。</w:t>
      </w:r>
    </w:p>
    <w:p>
      <w:pPr>
        <w:pStyle w:val="null3"/>
        <w:ind w:firstLine="420"/>
        <w:jc w:val="left"/>
      </w:pPr>
      <w:r>
        <w:rPr>
          <w:sz w:val="21"/>
        </w:rPr>
        <w:t xml:space="preserve">3. </w:t>
      </w:r>
      <w:r>
        <w:rPr>
          <w:sz w:val="21"/>
        </w:rPr>
        <w:t>若乙方未按本合同的约定提供售后服务，甲方有权自行委托第三方提供甲方所需要的技术支持和售后服务，由此造成的包括但不限于第三方维保费用、甲方其他经济损失等均由乙方承担赔偿。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 xml:space="preserve">4. </w:t>
      </w:r>
      <w:r>
        <w:rPr>
          <w:sz w:val="21"/>
        </w:rPr>
        <w:t>乙方有以下情形之一的，甲方有权解除合同，乙方需退还甲方已支付的所有款项，并按合同总价的</w:t>
      </w:r>
      <w:r>
        <w:rPr>
          <w:sz w:val="21"/>
        </w:rPr>
        <w:t>10%</w:t>
      </w:r>
      <w:r>
        <w:rPr>
          <w:sz w:val="21"/>
        </w:rPr>
        <w:t>向甲方支付违约金，违约金不足以弥补甲方损失的，乙方应另行</w:t>
      </w:r>
      <w:r>
        <w:rPr>
          <w:sz w:val="21"/>
        </w:rPr>
        <w:t>赔偿</w:t>
      </w:r>
      <w:r>
        <w:rPr>
          <w:sz w:val="21"/>
        </w:rPr>
        <w:t>：</w:t>
      </w:r>
    </w:p>
    <w:p>
      <w:pPr>
        <w:pStyle w:val="null3"/>
        <w:ind w:firstLine="420"/>
        <w:jc w:val="left"/>
      </w:pPr>
      <w:r>
        <w:rPr>
          <w:sz w:val="21"/>
        </w:rPr>
        <w:t>（</w:t>
      </w:r>
      <w:r>
        <w:rPr>
          <w:sz w:val="21"/>
        </w:rPr>
        <w:t>1</w:t>
      </w:r>
      <w:r>
        <w:rPr>
          <w:sz w:val="21"/>
        </w:rPr>
        <w:t>）乙方提供的</w:t>
      </w:r>
      <w:r>
        <w:rPr>
          <w:sz w:val="21"/>
        </w:rPr>
        <w:t>软件系统</w:t>
      </w:r>
      <w:r>
        <w:rPr>
          <w:sz w:val="21"/>
        </w:rPr>
        <w:t>存在侵犯他人知识产权、肖像权、技术秘密、商业秘密或其他任何权益的；</w:t>
      </w:r>
    </w:p>
    <w:p>
      <w:pPr>
        <w:pStyle w:val="null3"/>
        <w:ind w:firstLine="420"/>
        <w:jc w:val="left"/>
      </w:pPr>
      <w:r>
        <w:rPr>
          <w:sz w:val="21"/>
        </w:rPr>
        <w:t>（</w:t>
      </w:r>
      <w:r>
        <w:rPr>
          <w:sz w:val="21"/>
        </w:rPr>
        <w:t>2</w:t>
      </w:r>
      <w:r>
        <w:rPr>
          <w:sz w:val="21"/>
        </w:rPr>
        <w:t>）乙方履行义务不符合约定，经甲方提出后在合理期限内仍未改正的；</w:t>
      </w:r>
    </w:p>
    <w:p>
      <w:pPr>
        <w:pStyle w:val="null3"/>
        <w:ind w:firstLine="420"/>
        <w:jc w:val="left"/>
      </w:pPr>
      <w:r>
        <w:rPr>
          <w:sz w:val="21"/>
        </w:rPr>
        <w:t>（</w:t>
      </w:r>
      <w:r>
        <w:rPr>
          <w:sz w:val="21"/>
        </w:rPr>
        <w:t>3</w:t>
      </w:r>
      <w:r>
        <w:rPr>
          <w:sz w:val="21"/>
        </w:rPr>
        <w:t>）未经甲方书面同意，乙方</w:t>
      </w:r>
      <w:r>
        <w:rPr>
          <w:sz w:val="21"/>
        </w:rPr>
        <w:t>擅自</w:t>
      </w:r>
      <w:r>
        <w:rPr>
          <w:sz w:val="21"/>
        </w:rPr>
        <w:t>将本合同项下的权利或义务转让，或将本合同项下服务转包或分包的；</w:t>
      </w:r>
    </w:p>
    <w:p>
      <w:pPr>
        <w:pStyle w:val="null3"/>
        <w:ind w:firstLine="420"/>
        <w:jc w:val="left"/>
      </w:pPr>
      <w:r>
        <w:rPr>
          <w:sz w:val="21"/>
        </w:rPr>
        <w:t>（</w:t>
      </w:r>
      <w:r>
        <w:rPr>
          <w:sz w:val="21"/>
        </w:rPr>
        <w:t>4</w:t>
      </w:r>
      <w:r>
        <w:rPr>
          <w:sz w:val="21"/>
        </w:rPr>
        <w:t>）国家法律规定的其他合同解除情形。</w:t>
      </w:r>
    </w:p>
    <w:p>
      <w:pPr>
        <w:pStyle w:val="null3"/>
        <w:ind w:firstLine="420"/>
        <w:jc w:val="left"/>
      </w:pPr>
      <w:r>
        <w:rPr>
          <w:sz w:val="21"/>
        </w:rPr>
        <w:t xml:space="preserve">5. </w:t>
      </w:r>
      <w:r>
        <w:rPr>
          <w:sz w:val="21"/>
        </w:rPr>
        <w:t>甲方逾期支付货款，经乙方催告后无正当理由仍不支付的，自催告后每逾期一日，应按逾期付款金额每日</w:t>
      </w:r>
      <w:r>
        <w:rPr>
          <w:sz w:val="21"/>
        </w:rPr>
        <w:t>0.8‰</w:t>
      </w:r>
      <w:r>
        <w:rPr>
          <w:sz w:val="21"/>
        </w:rPr>
        <w:t>向乙方支付违约金。</w:t>
      </w:r>
    </w:p>
    <w:p>
      <w:pPr>
        <w:pStyle w:val="null3"/>
        <w:ind w:firstLine="420"/>
        <w:jc w:val="left"/>
      </w:pPr>
      <w:r>
        <w:rPr>
          <w:sz w:val="21"/>
        </w:rPr>
        <w:t xml:space="preserve">6. </w:t>
      </w:r>
      <w:r>
        <w:rPr>
          <w:sz w:val="21"/>
        </w:rPr>
        <w:t>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十一、不可抗力</w:t>
      </w:r>
    </w:p>
    <w:p>
      <w:pPr>
        <w:pStyle w:val="null3"/>
        <w:ind w:firstLine="420"/>
        <w:jc w:val="left"/>
      </w:pPr>
      <w:r>
        <w:rPr>
          <w:sz w:val="21"/>
        </w:rPr>
        <w:t>一方由于不能预见、不能避免并不能克服的客观情况（也即法定不可抗力事由），且该情况是在合同生效后发生的，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color w:val="000000"/>
        </w:rPr>
        <w:t>十二、法律适用与争议解决</w:t>
      </w:r>
    </w:p>
    <w:p>
      <w:pPr>
        <w:pStyle w:val="null3"/>
        <w:ind w:firstLine="420"/>
        <w:jc w:val="left"/>
      </w:pPr>
      <w:r>
        <w:rPr>
          <w:sz w:val="21"/>
          <w:color w:val="000000"/>
        </w:rPr>
        <w:t xml:space="preserve">1. </w:t>
      </w:r>
      <w:r>
        <w:rPr>
          <w:sz w:val="21"/>
          <w:color w:val="000000"/>
        </w:rPr>
        <w:t>本合同的成立、有效性、解释、履行、签署、修订和终止以及争议的解决等均应适用中华人民共和国法律。</w:t>
      </w:r>
    </w:p>
    <w:p>
      <w:pPr>
        <w:pStyle w:val="null3"/>
        <w:ind w:firstLine="420"/>
        <w:jc w:val="left"/>
      </w:pPr>
      <w:r>
        <w:rPr>
          <w:sz w:val="21"/>
          <w:color w:val="000000"/>
        </w:rPr>
        <w:t xml:space="preserve">2. </w:t>
      </w:r>
      <w:r>
        <w:rPr>
          <w:sz w:val="21"/>
          <w:color w:val="000000"/>
        </w:rPr>
        <w:t>甲乙双方在履行本合同时发生的争议，都应首先由双方通过友好协商解决。双方通过协商仍不能解决争议，双方一致同意向甲方所在地（即广州市天河区）人民法院提起诉讼。</w:t>
      </w:r>
    </w:p>
    <w:p>
      <w:pPr>
        <w:pStyle w:val="null3"/>
        <w:ind w:firstLine="422"/>
        <w:jc w:val="left"/>
      </w:pPr>
      <w:r>
        <w:rPr>
          <w:sz w:val="21"/>
          <w:b/>
          <w:color w:val="000000"/>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w:t>
      </w:r>
      <w:r>
        <w:rPr>
          <w:sz w:val="21"/>
        </w:rPr>
        <w:t>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both"/>
      </w:pPr>
      <w:r>
        <w:rPr>
          <w:sz w:val="21"/>
        </w:rPr>
        <w:t xml:space="preserve">1. </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both"/>
      </w:pPr>
      <w:r>
        <w:rPr>
          <w:sz w:val="21"/>
        </w:rPr>
        <w:t xml:space="preserve">2. </w:t>
      </w:r>
      <w:r>
        <w:rPr>
          <w:sz w:val="21"/>
        </w:rPr>
        <w:t>组成本合同的材料包括</w:t>
      </w:r>
      <w:r>
        <w:rPr>
          <w:sz w:val="21"/>
        </w:rPr>
        <w:t>_______采购项目(</w:t>
      </w:r>
      <w:r>
        <w:rPr>
          <w:sz w:val="21"/>
          <w:color w:val="000000"/>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both"/>
      </w:pPr>
      <w:r>
        <w:rPr>
          <w:sz w:val="21"/>
        </w:rPr>
        <w:t xml:space="preserve">3. </w:t>
      </w:r>
      <w:r>
        <w:rPr>
          <w:sz w:val="21"/>
        </w:rPr>
        <w:t>本合同经甲乙双方签字盖章后正式生效。</w:t>
      </w:r>
      <w:r>
        <w:rPr>
          <w:sz w:val="21"/>
          <w:color w:val="000000"/>
        </w:rPr>
        <w:t>一式</w:t>
      </w:r>
      <w:r>
        <w:rPr>
          <w:sz w:val="21"/>
          <w:color w:val="000000"/>
        </w:rPr>
        <w:t>6</w:t>
      </w:r>
      <w:r>
        <w:rPr>
          <w:sz w:val="21"/>
          <w:color w:val="000000"/>
        </w:rPr>
        <w:t>份，甲方持</w:t>
      </w:r>
      <w:r>
        <w:rPr>
          <w:sz w:val="21"/>
          <w:color w:val="000000"/>
        </w:rPr>
        <w:t>4</w:t>
      </w:r>
      <w:r>
        <w:rPr>
          <w:sz w:val="21"/>
          <w:color w:val="000000"/>
        </w:rPr>
        <w:t>份，乙方持</w:t>
      </w:r>
      <w:r>
        <w:rPr>
          <w:sz w:val="21"/>
          <w:color w:val="000000"/>
        </w:rPr>
        <w:t>2</w:t>
      </w:r>
      <w:r>
        <w:rPr>
          <w:sz w:val="21"/>
          <w:color w:val="000000"/>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2"/>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780"/>
        <w:gridCol w:w="1107"/>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p>
          <w:p>
            <w:pPr>
              <w:pStyle w:val="null3"/>
              <w:jc w:val="center"/>
            </w:pP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p>
          <w:p>
            <w:pPr>
              <w:pStyle w:val="null3"/>
              <w:jc w:val="center"/>
            </w:pPr>
            <w:r>
              <w:rPr>
                <w:sz w:val="18"/>
              </w:rPr>
              <w:t>名称</w:t>
            </w:r>
          </w:p>
        </w:tc>
        <w:tc>
          <w:tcPr>
            <w:tcW w:type="dxa" w:w="3478"/>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p>
          <w:p>
            <w:pPr>
              <w:pStyle w:val="null3"/>
              <w:jc w:val="center"/>
            </w:pP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p>
          <w:p>
            <w:pPr>
              <w:pStyle w:val="null3"/>
              <w:jc w:val="center"/>
            </w:pPr>
            <w:r>
              <w:rPr>
                <w:sz w:val="18"/>
              </w:rPr>
              <w:t>地址</w:t>
            </w:r>
          </w:p>
        </w:tc>
        <w:tc>
          <w:tcPr>
            <w:tcW w:type="dxa" w:w="3478"/>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107"/>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107"/>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p>
          <w:p>
            <w:pPr>
              <w:pStyle w:val="null3"/>
              <w:jc w:val="center"/>
            </w:pP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p>
          <w:p>
            <w:pPr>
              <w:pStyle w:val="null3"/>
              <w:jc w:val="center"/>
            </w:pPr>
            <w:r>
              <w:rPr>
                <w:sz w:val="18"/>
              </w:rPr>
              <w:t>银行</w:t>
            </w:r>
          </w:p>
        </w:tc>
        <w:tc>
          <w:tcPr>
            <w:tcW w:type="dxa" w:w="3478"/>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p>
          <w:p>
            <w:pPr>
              <w:pStyle w:val="null3"/>
              <w:jc w:val="center"/>
            </w:pP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p>
          <w:p>
            <w:pPr>
              <w:pStyle w:val="null3"/>
              <w:jc w:val="center"/>
            </w:pPr>
            <w:r>
              <w:rPr>
                <w:sz w:val="18"/>
              </w:rPr>
              <w:t>帐号</w:t>
            </w:r>
          </w:p>
        </w:tc>
        <w:tc>
          <w:tcPr>
            <w:tcW w:type="dxa" w:w="3478"/>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78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w:t>
            </w:r>
            <w:r>
              <w:rPr>
                <w:sz w:val="18"/>
              </w:rPr>
              <w:t>委托代理人</w:t>
            </w:r>
          </w:p>
        </w:tc>
        <w:tc>
          <w:tcPr>
            <w:tcW w:type="dxa" w:w="3478"/>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780"/>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478"/>
            <w:gridSpan w:val="3"/>
            <w:vMerge/>
            <w:tcBorders>
              <w:top w:val="single" w:color="000000" w:sz="4"/>
              <w:left w:val="single" w:color="000000" w:sz="4"/>
              <w:bottom w:val="single" w:color="000000" w:sz="4"/>
              <w:right w:val="single" w:color="000000" w:sz="4"/>
            </w:tcBorders>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440001-2025-48729</w:t>
      </w:r>
    </w:p>
    <w:p>
      <w:pPr>
        <w:pStyle w:val="null3"/>
        <w:jc w:val="center"/>
        <w:outlineLvl w:val="3"/>
      </w:pPr>
      <w:r>
        <w:rPr>
          <w:sz w:val="24"/>
          <w:b/>
        </w:rPr>
        <w:t>采购项目编号：</w:t>
      </w:r>
      <w:r>
        <w:rPr>
          <w:sz w:val="24"/>
          <w:b/>
        </w:rPr>
        <w:t>ZZ0250746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华南师范大学师德师风智能治理平台建设采购项目</w:t>
      </w:r>
      <w:r>
        <w:rPr>
          <w:u w:val="single"/>
        </w:rPr>
        <w:t>”</w:t>
      </w:r>
      <w:r>
        <w:rPr/>
        <w:t>项目的招标[采购项目编号为：</w:t>
      </w:r>
      <w:r>
        <w:rPr>
          <w:u w:val="single"/>
        </w:rPr>
        <w:t>ZZ0250746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华南师范大学师德师风智能治理平台建设采购项目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华南师范大学师德师风智能治理平台建设采购项目</w:t>
      </w:r>
      <w:r>
        <w:rPr/>
        <w:t>”项目采购[采购项目编号为</w:t>
      </w:r>
      <w:r>
        <w:rPr/>
        <w:t>ZZ0250746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华南师范大学师德师风智能治理平台建设采购项目</w:t>
      </w:r>
      <w:r>
        <w:rPr/>
        <w:t>招标中获中标（采购项目编号：</w:t>
      </w:r>
      <w:r>
        <w:rPr/>
        <w:t>ZZ0250746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华南师范大学师德师风智能治理平台建设采购项目</w:t>
      </w:r>
      <w:r>
        <w:rPr/>
        <w:t>”项目（采购项目编号：</w:t>
      </w:r>
      <w:r>
        <w:rPr/>
        <w:t>ZZ0250746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