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440001-2025-48570</w:t>
      </w:r>
    </w:p>
    <w:p>
      <w:pPr>
        <w:pStyle w:val="null3"/>
        <w:jc w:val="center"/>
        <w:outlineLvl w:val="3"/>
      </w:pPr>
      <w:r>
        <w:rPr>
          <w:sz w:val="24"/>
          <w:b/>
        </w:rPr>
        <w:t>采购项目编号：</w:t>
      </w:r>
      <w:r>
        <w:rPr>
          <w:sz w:val="24"/>
          <w:b/>
        </w:rPr>
        <w:t>ZZ0250749</w:t>
      </w:r>
    </w:p>
    <w:p>
      <w:pPr>
        <w:pStyle w:val="null3"/>
        <w:jc w:val="center"/>
        <w:outlineLvl w:val="3"/>
      </w:pPr>
      <w:r>
        <w:rPr>
          <w:sz w:val="24"/>
          <w:b/>
        </w:rPr>
        <w:t>项目名称：</w:t>
      </w:r>
      <w:r>
        <w:rPr>
          <w:sz w:val="24"/>
          <w:b/>
        </w:rPr>
        <w:t>省市场监管局智慧决策中心运营服务（2025年）项目</w:t>
      </w:r>
    </w:p>
    <w:p>
      <w:pPr>
        <w:pStyle w:val="null3"/>
        <w:jc w:val="center"/>
        <w:outlineLvl w:val="3"/>
      </w:pPr>
      <w:r>
        <w:rPr>
          <w:sz w:val="24"/>
          <w:b/>
        </w:rPr>
        <w:t>采购人：</w:t>
      </w:r>
      <w:r>
        <w:rPr>
          <w:sz w:val="24"/>
          <w:b/>
        </w:rPr>
        <w:t>广东省市场监督管理局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广东省市场监督管理局</w:t>
      </w:r>
      <w:r>
        <w:rPr/>
        <w:t>的委托，采用</w:t>
      </w:r>
      <w:r>
        <w:rPr/>
        <w:t>公开招标</w:t>
      </w:r>
      <w:r>
        <w:rPr/>
        <w:t>方式组织采购</w:t>
      </w:r>
      <w:r>
        <w:rPr/>
        <w:t>省市场监管局智慧决策中心运营服务（2025年）项目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省市场监管局智慧决策中心运营服务（2025年）项目</w:t>
      </w:r>
    </w:p>
    <w:p>
      <w:pPr>
        <w:pStyle w:val="null3"/>
        <w:ind w:firstLine="480"/>
      </w:pPr>
      <w:r>
        <w:rPr/>
        <w:t>采购计划编号：</w:t>
      </w:r>
      <w:r>
        <w:rPr/>
        <w:t>440001-2025-48570</w:t>
      </w:r>
    </w:p>
    <w:p>
      <w:pPr>
        <w:pStyle w:val="null3"/>
        <w:ind w:firstLine="480"/>
      </w:pPr>
      <w:r>
        <w:rPr/>
        <w:t>采购项目编号：</w:t>
      </w:r>
      <w:r>
        <w:rPr/>
        <w:t>ZZ0250749</w:t>
      </w:r>
    </w:p>
    <w:p>
      <w:pPr>
        <w:pStyle w:val="null3"/>
        <w:ind w:firstLine="480"/>
      </w:pPr>
      <w:r>
        <w:rPr/>
        <w:t>采购方式：</w:t>
      </w:r>
      <w:r>
        <w:rPr/>
        <w:t>公开招标</w:t>
      </w:r>
    </w:p>
    <w:p>
      <w:pPr>
        <w:pStyle w:val="null3"/>
        <w:ind w:firstLine="480"/>
      </w:pPr>
      <w:r>
        <w:rPr/>
        <w:t>预算金额：</w:t>
      </w:r>
      <w:r>
        <w:rPr/>
        <w:t>1,278,530.00</w:t>
      </w:r>
      <w:r>
        <w:rPr/>
        <w:t>元</w:t>
      </w:r>
    </w:p>
    <w:p>
      <w:pPr>
        <w:pStyle w:val="null3"/>
        <w:outlineLvl w:val="3"/>
      </w:pPr>
      <w:r>
        <w:rPr>
          <w:sz w:val="24"/>
          <w:b/>
        </w:rPr>
        <w:t>2.项目内容及需求情况（采购项目技术规格、参数及要求）</w:t>
      </w:r>
    </w:p>
    <w:p>
      <w:pPr>
        <w:pStyle w:val="null3"/>
      </w:pPr>
      <w:r>
        <w:rPr/>
        <w:t>采购包1(省市场监管局智慧决策中心运营服务（2025年）项目):</w:t>
      </w:r>
    </w:p>
    <w:p>
      <w:pPr>
        <w:pStyle w:val="null3"/>
      </w:pPr>
      <w:r>
        <w:rPr/>
        <w:t>采购包预算金额：1,278,530.00元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其他运营服务</w:t>
            </w:r>
          </w:p>
        </w:tc>
        <w:tc>
          <w:tcPr>
            <w:tcW w:type="dxa" w:w="2136"/>
          </w:tcPr>
          <w:p>
            <w:pPr>
              <w:pStyle w:val="null3"/>
            </w:pPr>
            <w:r>
              <w:rPr/>
              <w:t>省市场监管局智慧决策中心运营服务（2025年）项目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合同履行期限：自合同签订之日起12个月（具体开始时间以合同为准）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2024年度财务状况报告或投标截止日前6个月内任意1个月的财务报表复印件；或银行出具的资信证明材料复印件）。</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采购包1（省市场监管局智慧决策中心运营服务（2025年）项目）：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广东省市场监督管理局</w:t>
      </w:r>
    </w:p>
    <w:p>
      <w:pPr>
        <w:pStyle w:val="null3"/>
        <w:ind w:firstLine="480"/>
      </w:pPr>
      <w:r>
        <w:rPr/>
        <w:t xml:space="preserve"> 地址：</w:t>
      </w:r>
      <w:r>
        <w:rPr/>
        <w:t>广州市天河区黄埔大道西363号</w:t>
      </w:r>
    </w:p>
    <w:p>
      <w:pPr>
        <w:pStyle w:val="null3"/>
        <w:ind w:firstLine="480"/>
      </w:pPr>
      <w:r>
        <w:rPr/>
        <w:t xml:space="preserve"> 联系方式：</w:t>
      </w:r>
      <w:r>
        <w:rPr/>
        <w:t>020-38835407</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shd w:fill="FFFFFF" w:val="clear"/>
        </w:rPr>
        <w:t>说明：</w:t>
      </w:r>
    </w:p>
    <w:p>
      <w:pPr>
        <w:pStyle w:val="null3"/>
        <w:ind w:firstLine="420"/>
        <w:jc w:val="both"/>
      </w:pPr>
      <w:r>
        <w:rPr>
          <w:sz w:val="21"/>
          <w:shd w:fill="FFFFFF" w:val="clear"/>
        </w:rPr>
        <w:t>1</w:t>
      </w:r>
      <w:r>
        <w:rPr>
          <w:sz w:val="21"/>
          <w:shd w:fill="FFFFFF" w:val="clear"/>
        </w:rPr>
        <w:t>、投标人须对本项目为单位（有划分包组的，则以包组为单位）的标的物进行整体投标，任何只对其中一部分内容进行的投标都被视为无效投标。</w:t>
      </w:r>
    </w:p>
    <w:p>
      <w:pPr>
        <w:pStyle w:val="null3"/>
        <w:ind w:firstLine="420"/>
        <w:jc w:val="both"/>
      </w:pPr>
      <w:r>
        <w:rPr>
          <w:sz w:val="21"/>
          <w:shd w:fill="FFFFFF" w:val="clear"/>
        </w:rPr>
        <w:t>2</w:t>
      </w:r>
      <w:r>
        <w:rPr>
          <w:sz w:val="21"/>
          <w:shd w:fill="FFFFFF" w:val="clear"/>
        </w:rPr>
        <w:t>、本招标文件中，凡标有“★”的地方，投标人要特别加以注意，必须对此作出一一响应。若有一项带“★”的指标未响应或不满足，将导致其废标或投标无效。</w:t>
      </w:r>
    </w:p>
    <w:p>
      <w:pPr>
        <w:pStyle w:val="null3"/>
        <w:jc w:val="both"/>
      </w:pPr>
      <w:r>
        <w:rPr>
          <w:sz w:val="21"/>
          <w:b/>
          <w:shd w:fill="FFFFFF" w:val="clear"/>
        </w:rPr>
        <w:t>二、项目总体目标</w:t>
      </w:r>
    </w:p>
    <w:p>
      <w:pPr>
        <w:pStyle w:val="null3"/>
        <w:ind w:firstLine="422"/>
        <w:jc w:val="both"/>
      </w:pPr>
      <w:r>
        <w:rPr>
          <w:sz w:val="21"/>
          <w:shd w:fill="FFFFFF" w:val="clear"/>
        </w:rPr>
        <w:t>为全面掌握全省市场监管业务开展情况，在智慧决策中心开发及业务运营现有建设基础上，进一步提升智慧监管智能化水平，开创智慧市场监管新局面。本期具体建设目标如下：</w:t>
      </w:r>
    </w:p>
    <w:p>
      <w:pPr>
        <w:pStyle w:val="null3"/>
        <w:ind w:firstLine="422"/>
        <w:jc w:val="both"/>
      </w:pPr>
      <w:r>
        <w:rPr>
          <w:sz w:val="21"/>
          <w:shd w:fill="FFFFFF" w:val="clear"/>
        </w:rPr>
        <w:t>构建全省市场监管数字大脑，主要涵盖经营主体、市场监测、安全监管、知识产权、质量发展、红色党建几大领域的可视化分析，提升全省市场监管决策分析能力；构建全省市场监管贯通省、市、区、基层的四级驾驶舱体系，为不同层级的领导提供有效的领导决策分析能力；扎实做好贯穿省市数据资源汇聚等数据处理运营服务工作，推动数据资源统一采集、统一治理、统一存储、统一融合分析和统一服务，为决策者指导大市场监管机制改革创新、提升智慧化治理能力提供有效支撑。</w:t>
      </w:r>
    </w:p>
    <w:p>
      <w:pPr>
        <w:pStyle w:val="null3"/>
        <w:ind w:firstLine="422"/>
        <w:jc w:val="both"/>
      </w:pPr>
      <w:r>
        <w:rPr>
          <w:sz w:val="21"/>
          <w:b/>
          <w:shd w:fill="FFFFFF" w:val="clear"/>
        </w:rPr>
        <w:t>三、项目背景</w:t>
      </w:r>
    </w:p>
    <w:p>
      <w:pPr>
        <w:pStyle w:val="null3"/>
        <w:ind w:firstLine="422"/>
        <w:jc w:val="both"/>
      </w:pPr>
      <w:r>
        <w:rPr>
          <w:sz w:val="21"/>
          <w:shd w:fill="FFFFFF" w:val="clear"/>
        </w:rPr>
        <w:t>智慧决策中心于2022年7月开始建设，基于市场监管大数据专区和人工统计数据，从业务系统、多报表、年报、统计手册等电子文件和纸质文件摘取，人工整理成结构化数据，再通过分类、清洗后入库，部分数据进行二次加工计算最终生成可视化页面的展示数据。</w:t>
      </w:r>
    </w:p>
    <w:p>
      <w:pPr>
        <w:pStyle w:val="null3"/>
      </w:pPr>
      <w:r>
        <w:rPr/>
        <w:t>采购包1（省市场监管局智慧决策中心运营服务（2025年）项目）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自合同签订之日起12个月（具体开始时间以合同为准）</w:t>
            </w:r>
          </w:p>
        </w:tc>
      </w:tr>
      <w:tr>
        <w:tc>
          <w:tcPr>
            <w:tcW w:type="dxa" w:w="4153"/>
          </w:tcPr>
          <w:p>
            <w:pPr>
              <w:pStyle w:val="null3"/>
            </w:pPr>
            <w:r>
              <w:rPr/>
              <w:t>标的提供的地点</w:t>
            </w:r>
          </w:p>
        </w:tc>
        <w:tc>
          <w:tcPr>
            <w:tcW w:type="dxa" w:w="4153"/>
          </w:tcPr>
          <w:p>
            <w:pPr>
              <w:pStyle w:val="null3"/>
            </w:pPr>
            <w:r>
              <w:rPr/>
              <w:t>广东省市场监督管理局指定的地点。</w:t>
            </w:r>
          </w:p>
        </w:tc>
      </w:tr>
      <w:tr>
        <w:tc>
          <w:tcPr>
            <w:tcW w:type="dxa" w:w="4153"/>
          </w:tcPr>
          <w:p>
            <w:pPr>
              <w:pStyle w:val="null3"/>
            </w:pPr>
            <w:r>
              <w:rPr/>
              <w:t>付款方式</w:t>
            </w:r>
          </w:p>
        </w:tc>
        <w:tc>
          <w:tcPr>
            <w:tcW w:type="dxa" w:w="4153"/>
          </w:tcPr>
          <w:p>
            <w:pPr>
              <w:pStyle w:val="null3"/>
            </w:pPr>
            <w:r>
              <w:rPr/>
              <w:t>1期：支付比例20%,签订合同后 10 个工作日内，中标人书面提出支付申请函及拟支付金额等额的符合采购人财务管理要求的相应发票，采购人确认后启动首期款支付流程，占运营服务总金额的20%。</w:t>
            </w:r>
          </w:p>
          <w:p>
            <w:pPr>
              <w:pStyle w:val="null3"/>
            </w:pPr>
            <w:r>
              <w:rPr/>
              <w:t>2期：支付比例50%,项目通过中期验收后的 10 个工作日内，采购人根据运营服务的考核情况对投标人的运营服务质量打分，并根据评价结果确定项目运营进度款的支付金额。中标人书面提出支付申请函及拟支付金额等额的符合采购人财务管理要求的相应发票，采购人确认后启动运营进度款支付流程，占运营服务金额的50%。</w:t>
            </w:r>
          </w:p>
          <w:p>
            <w:pPr>
              <w:pStyle w:val="null3"/>
            </w:pPr>
            <w:r>
              <w:rPr/>
              <w:t>3期：支付比例30%,项目通过最终验收后 10 个工作日内，采购人根据运营服务的考核情况对投标人的服务质量打分，并根据评价结果确定项目运营服务最终验收款支付金额。中标人书面提出支付申请函及拟支付金额等额的符合采购人财务管理要求的相应发票，采购人确认后启动尾款支付流程，占运营服务总金额的30 %。 项目实际支付总金额按采购成交总金额计算，项目支付计划按合同约定执行，对于满足合同约定支付条件的，采购人应当自收到发票后10个工作日内将资金支付到合同约定的中标人账户，不得以机构变动、人员更替、政策调整等为由延迟付款，不得将采购文件和合同中未规定的义务作为向中标人付款的条件。</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1期：中期验收标准： 在项目服务期满9个月后，中标人需收集、整理并打印提交相关过程材料。在经采购人和监理方审核通过后，采购人根据中标人的项目建设情况组织运营服务中期验收。</w:t>
            </w:r>
          </w:p>
          <w:p>
            <w:pPr>
              <w:pStyle w:val="null3"/>
            </w:pPr>
            <w:r>
              <w:rPr/>
              <w:t>2期：交付验收标准： 在中标人完成本项目约定的项目运营服务后，中标人提交交付验收方案并按验收文档清单提交对应的文档，采购人根据中标人的项目建设情况组织运营服务交付验收。</w:t>
            </w:r>
          </w:p>
          <w:p>
            <w:pPr>
              <w:pStyle w:val="null3"/>
            </w:pPr>
            <w:r>
              <w:rPr/>
              <w:t>3期：最终验收标准： 1.根据省政数局关于项目验收前符合性审查的相关规定及投标人的项目建设情况，采购人组织项目最终验收。 2.中标人应在项目完成时，将项目所有文档、资料汇集成册交付给采购人，所有文件要求用中文书写或有完整的中文注释。验收后，中标人按国家、省以及采购人档案管理要求，向采购人提供装订成册的纸质文档和电子文档，其中纸质文档不少于2套，电子文档（U盘)不少于1套。 备注： 1.本项目所有验收会议产生的所有费用，由中标人承担。 2.验收活动组织按采购人项目验收管理工作要求执行，投标人应无条件配合采购人的验收工作，并按采购人要求的形式提供相应的验收材料。</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其他运营服务</w:t>
            </w:r>
          </w:p>
        </w:tc>
        <w:tc>
          <w:tcPr>
            <w:tcW w:type="dxa" w:w="933"/>
          </w:tcPr>
          <w:p>
            <w:pPr>
              <w:pStyle w:val="null3"/>
              <w:jc w:val="left"/>
            </w:pPr>
            <w:r>
              <w:rPr/>
              <w:t>省市场监管局智慧决策中心运营服务（2025年）项目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1,278,530.00</w:t>
            </w:r>
          </w:p>
        </w:tc>
        <w:tc>
          <w:tcPr>
            <w:tcW w:type="dxa" w:w="933"/>
          </w:tcPr>
          <w:p>
            <w:pPr>
              <w:pStyle w:val="null3"/>
              <w:jc w:val="right"/>
            </w:pPr>
            <w:r>
              <w:rPr/>
              <w:t>1,278,530.00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省市场监管局智慧决策中心运营服务（2025年）项目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服务内容</w:t>
            </w:r>
          </w:p>
          <w:p>
            <w:pPr>
              <w:pStyle w:val="null3"/>
              <w:jc w:val="both"/>
            </w:pPr>
            <w:r>
              <w:rPr>
                <w:sz w:val="21"/>
              </w:rPr>
              <w:t>1.1.</w:t>
            </w:r>
            <w:r>
              <w:rPr>
                <w:sz w:val="21"/>
              </w:rPr>
              <w:t>系统业务运营服务</w:t>
            </w:r>
          </w:p>
          <w:p>
            <w:pPr>
              <w:pStyle w:val="null3"/>
              <w:jc w:val="both"/>
            </w:pPr>
            <w:r>
              <w:rPr>
                <w:sz w:val="21"/>
              </w:rPr>
              <w:t>1.1.1.</w:t>
            </w:r>
            <w:r>
              <w:rPr>
                <w:sz w:val="21"/>
              </w:rPr>
              <w:t>业务管理运营服务</w:t>
            </w:r>
          </w:p>
          <w:p>
            <w:pPr>
              <w:pStyle w:val="null3"/>
              <w:ind w:firstLine="420"/>
            </w:pPr>
            <w:r>
              <w:rPr>
                <w:sz w:val="21"/>
              </w:rPr>
              <w:t>咨询与投诉处理服务：每日汇总微信群、电话渠道的意见及问题，对共性、重点、关键问题归纳总结，构建决策中心应用业务知识管理体系，实现问题关键词快速检索定位解决方案，提升知识答疑效率与准确度。针对常见问题及复杂流程编制专项操作指引，定期梳理更新系统常见问题库，推动常见问题系统化赋能，以提高咨询投诉处理效率，减轻人工服务压力。</w:t>
            </w:r>
          </w:p>
          <w:p>
            <w:pPr>
              <w:pStyle w:val="null3"/>
              <w:ind w:firstLine="420"/>
            </w:pPr>
            <w:r>
              <w:rPr>
                <w:sz w:val="21"/>
              </w:rPr>
              <w:t>决策中心赋能策划调研服务：包含确定调研目标、制定调研计划、建设思路梳理、评估现有决策中心能力、需求分析与规划、提供解决方案，并将调研过程结果整理为会议纪要供建设参考。</w:t>
            </w:r>
          </w:p>
          <w:p>
            <w:pPr>
              <w:pStyle w:val="null3"/>
              <w:ind w:firstLine="420"/>
            </w:pPr>
            <w:r>
              <w:rPr>
                <w:sz w:val="21"/>
              </w:rPr>
              <w:t>决策中心框架设计及优化服务：包含理解需求和目标、框架设计、技术选型、框架实现、测试和调优、文档和培训、持续支持和优化、安全和保密等。</w:t>
            </w:r>
          </w:p>
          <w:p>
            <w:pPr>
              <w:pStyle w:val="null3"/>
              <w:ind w:firstLine="420"/>
            </w:pPr>
            <w:r>
              <w:rPr>
                <w:sz w:val="21"/>
              </w:rPr>
              <w:t>交付物：业务运营周报52份，月报12份，年报1份，咨询服务知识库手册1份；调研服务记录不低于36份；决策中心原型设计稿不低于4版。</w:t>
            </w:r>
          </w:p>
          <w:p>
            <w:pPr>
              <w:pStyle w:val="null3"/>
              <w:jc w:val="both"/>
            </w:pPr>
            <w:r>
              <w:rPr>
                <w:sz w:val="21"/>
              </w:rPr>
              <w:t>1.1.2.</w:t>
            </w:r>
            <w:r>
              <w:rPr>
                <w:sz w:val="21"/>
              </w:rPr>
              <w:t>数据处理运营服务</w:t>
            </w:r>
          </w:p>
          <w:p>
            <w:pPr>
              <w:pStyle w:val="null3"/>
              <w:jc w:val="both"/>
            </w:pPr>
            <w:r>
              <w:rPr>
                <w:sz w:val="21"/>
              </w:rPr>
              <w:t>1.1.2.1.</w:t>
            </w:r>
            <w:r>
              <w:rPr>
                <w:sz w:val="21"/>
              </w:rPr>
              <w:t>数据加载运营服务</w:t>
            </w:r>
          </w:p>
          <w:p>
            <w:pPr>
              <w:pStyle w:val="null3"/>
              <w:ind w:firstLine="420"/>
            </w:pPr>
            <w:r>
              <w:rPr>
                <w:sz w:val="21"/>
              </w:rPr>
              <w:t>根据智慧决策中心的数据模型，为经济数据主题、市场准入主题、行政许可主题、信用监管主题、执法办案主题、价格竞争主题、反垄断主题、广告监管主题、网络监管主题、投诉举报主题、知识产权主题、质量发展主题、食品安全主题、产品安全主题、特种设备安全主题等14类业务专题提供数据加载运营服务。</w:t>
            </w:r>
          </w:p>
          <w:p>
            <w:pPr>
              <w:pStyle w:val="null3"/>
              <w:ind w:firstLine="420"/>
            </w:pPr>
            <w:r>
              <w:rPr>
                <w:sz w:val="21"/>
              </w:rPr>
              <w:t>数据加载运营服务主要包括数据填报录入服务和数据格式化导入服务。</w:t>
            </w:r>
          </w:p>
          <w:p>
            <w:pPr>
              <w:pStyle w:val="null3"/>
              <w:jc w:val="both"/>
            </w:pPr>
            <w:r>
              <w:rPr>
                <w:sz w:val="21"/>
              </w:rPr>
              <w:t>（1）数据填报录入服务</w:t>
            </w:r>
          </w:p>
          <w:p>
            <w:pPr>
              <w:pStyle w:val="null3"/>
              <w:ind w:firstLine="420"/>
            </w:pPr>
            <w:r>
              <w:rPr>
                <w:sz w:val="21"/>
              </w:rPr>
              <w:t>通过数据填报录入运营服务，各业务处室可实现其涉及的14类业务中的各项数据指标的收集、分析梳理、格式化录入以及持续运营更新和修正等，并将数据进行持久化存储，开放至智慧指挥中心进行分析展示。</w:t>
            </w:r>
          </w:p>
          <w:p>
            <w:pPr>
              <w:pStyle w:val="null3"/>
              <w:jc w:val="both"/>
            </w:pPr>
            <w:r>
              <w:rPr>
                <w:sz w:val="21"/>
              </w:rPr>
              <w:t>（2）数据填报格式校验服务</w:t>
            </w:r>
          </w:p>
          <w:p>
            <w:pPr>
              <w:pStyle w:val="null3"/>
              <w:ind w:firstLine="420"/>
            </w:pPr>
            <w:r>
              <w:rPr>
                <w:sz w:val="21"/>
              </w:rPr>
              <w:t>在处室进行数据填报时，对填报的数据内容进行格式校验和数据合法性提示，主要包括数据非空校验、数据0值异常提醒、数据格式校验。</w:t>
            </w:r>
          </w:p>
          <w:p>
            <w:pPr>
              <w:pStyle w:val="null3"/>
              <w:jc w:val="both"/>
            </w:pPr>
            <w:r>
              <w:rPr>
                <w:sz w:val="21"/>
              </w:rPr>
              <w:t>（3）数据修订服务</w:t>
            </w:r>
          </w:p>
          <w:p>
            <w:pPr>
              <w:pStyle w:val="null3"/>
              <w:ind w:firstLine="420"/>
            </w:pPr>
            <w:r>
              <w:rPr>
                <w:sz w:val="21"/>
              </w:rPr>
              <w:t>为已填报数据内容提供进行在线编辑修订功能。</w:t>
            </w:r>
          </w:p>
          <w:p>
            <w:pPr>
              <w:pStyle w:val="null3"/>
              <w:jc w:val="both"/>
            </w:pPr>
            <w:r>
              <w:rPr>
                <w:sz w:val="21"/>
              </w:rPr>
              <w:t>（4）专题数据指标化加载导入服务</w:t>
            </w:r>
          </w:p>
          <w:p>
            <w:pPr>
              <w:pStyle w:val="null3"/>
              <w:ind w:firstLine="420"/>
            </w:pPr>
            <w:r>
              <w:rPr>
                <w:sz w:val="21"/>
              </w:rPr>
              <w:t>分析收集业务处室提供的简报（格式包括excel、pdf、word）、报告等统计材料，提供专题数据指标加载导入服务，可自动从结构化文件将涉及智慧决策中心的数据指标化入库存储。</w:t>
            </w:r>
          </w:p>
          <w:p>
            <w:pPr>
              <w:pStyle w:val="null3"/>
              <w:jc w:val="both"/>
            </w:pPr>
            <w:r>
              <w:rPr>
                <w:sz w:val="21"/>
              </w:rPr>
              <w:t>1.1.2.2.</w:t>
            </w:r>
            <w:r>
              <w:rPr>
                <w:sz w:val="21"/>
              </w:rPr>
              <w:t>数据计算运营服务</w:t>
            </w:r>
          </w:p>
          <w:p>
            <w:pPr>
              <w:pStyle w:val="null3"/>
              <w:ind w:firstLine="420"/>
            </w:pPr>
            <w:r>
              <w:rPr>
                <w:sz w:val="21"/>
              </w:rPr>
              <w:t>按照业务专题指标要求，进行计算、加工、汇总处理，目前按照模块、处室、敏感指标重新分类。</w:t>
            </w:r>
          </w:p>
          <w:p>
            <w:pPr>
              <w:pStyle w:val="null3"/>
              <w:ind w:firstLine="420"/>
            </w:pPr>
            <w:r>
              <w:rPr>
                <w:sz w:val="21"/>
              </w:rPr>
              <w:t>数据计算运营服务主要是按照智慧决策中心的数据指标要求，基于大数据资源中心和业务处室挂接提供的数据资源，编制数据计算运营脚本，对现有数据资源进行数据计算、加工处理、数据校核。</w:t>
            </w:r>
          </w:p>
          <w:p>
            <w:pPr>
              <w:pStyle w:val="null3"/>
              <w:jc w:val="both"/>
            </w:pPr>
            <w:r>
              <w:rPr>
                <w:sz w:val="21"/>
              </w:rPr>
              <w:t>1.1.2.3.</w:t>
            </w:r>
            <w:r>
              <w:rPr>
                <w:sz w:val="21"/>
              </w:rPr>
              <w:t>交付物</w:t>
            </w:r>
          </w:p>
          <w:p>
            <w:pPr>
              <w:pStyle w:val="null3"/>
              <w:ind w:firstLine="420"/>
            </w:pPr>
            <w:r>
              <w:rPr>
                <w:sz w:val="21"/>
              </w:rPr>
              <w:t>1</w:t>
            </w:r>
            <w:r>
              <w:rPr>
                <w:sz w:val="21"/>
              </w:rPr>
              <w:t>份《数据采集规范》、1份《数据采集清单》、1份《数据标准规范》、1份《数据治理服务报告》</w:t>
            </w:r>
          </w:p>
          <w:p>
            <w:pPr>
              <w:pStyle w:val="null3"/>
              <w:jc w:val="both"/>
            </w:pPr>
            <w:r>
              <w:rPr>
                <w:sz w:val="21"/>
              </w:rPr>
              <w:t>1.1.3.</w:t>
            </w:r>
            <w:r>
              <w:rPr>
                <w:sz w:val="21"/>
              </w:rPr>
              <w:t>其他业务运营服务</w:t>
            </w:r>
          </w:p>
          <w:p>
            <w:pPr>
              <w:pStyle w:val="null3"/>
              <w:jc w:val="both"/>
            </w:pPr>
            <w:r>
              <w:rPr>
                <w:sz w:val="21"/>
              </w:rPr>
              <w:t>1.1.3.1.</w:t>
            </w:r>
            <w:r>
              <w:rPr>
                <w:sz w:val="21"/>
              </w:rPr>
              <w:t>数据可视化服务</w:t>
            </w:r>
          </w:p>
          <w:p>
            <w:pPr>
              <w:pStyle w:val="null3"/>
              <w:jc w:val="both"/>
            </w:pPr>
            <w:r>
              <w:rPr>
                <w:sz w:val="21"/>
              </w:rPr>
              <w:t>1.1.3.1.1.</w:t>
            </w:r>
            <w:r>
              <w:rPr>
                <w:sz w:val="21"/>
              </w:rPr>
              <w:t>数字化总览</w:t>
            </w:r>
          </w:p>
          <w:p>
            <w:pPr>
              <w:pStyle w:val="null3"/>
              <w:ind w:firstLine="420"/>
            </w:pPr>
            <w:r>
              <w:rPr>
                <w:sz w:val="21"/>
              </w:rPr>
              <w:t>建设数字化总览，包含融合应用、数字赋能、领域导航与三级贯通驾驶舱等模块。</w:t>
            </w:r>
          </w:p>
          <w:p>
            <w:pPr>
              <w:pStyle w:val="null3"/>
              <w:ind w:firstLine="420"/>
            </w:pPr>
            <w:r>
              <w:rPr>
                <w:sz w:val="21"/>
              </w:rPr>
              <w:t>大屏建设要遵循智慧决策中心大屏界面设计规范，满足领导层业务决策、态势分析的应用需要；中屏建设要遵循桌面端PC界面设计规范，满足各部门各处室的决策分析需求；小屏建设要遵循主流移动终端界面设计规范，满足各级领导与工作人员决策分析移动应用需求。</w:t>
            </w:r>
          </w:p>
          <w:p>
            <w:pPr>
              <w:pStyle w:val="null3"/>
              <w:ind w:firstLine="420"/>
            </w:pPr>
            <w:r>
              <w:rPr>
                <w:sz w:val="21"/>
              </w:rPr>
              <w:t>根据用户持续优化要求，迭代设计UI与系统可视化页面。</w:t>
            </w:r>
          </w:p>
          <w:p>
            <w:pPr>
              <w:pStyle w:val="null3"/>
              <w:jc w:val="both"/>
            </w:pPr>
            <w:r>
              <w:rPr>
                <w:sz w:val="21"/>
              </w:rPr>
              <w:t>1.1.3.1.2.</w:t>
            </w:r>
            <w:r>
              <w:rPr>
                <w:sz w:val="21"/>
              </w:rPr>
              <w:t>融合应用</w:t>
            </w:r>
          </w:p>
          <w:p>
            <w:pPr>
              <w:pStyle w:val="null3"/>
              <w:jc w:val="both"/>
            </w:pPr>
            <w:r>
              <w:rPr>
                <w:sz w:val="21"/>
              </w:rPr>
              <w:t>1.1.3.1.2.1.</w:t>
            </w:r>
            <w:r>
              <w:rPr>
                <w:sz w:val="21"/>
              </w:rPr>
              <w:t>应用融合</w:t>
            </w:r>
          </w:p>
          <w:p>
            <w:pPr>
              <w:pStyle w:val="null3"/>
              <w:ind w:firstLine="420"/>
            </w:pPr>
            <w:r>
              <w:rPr>
                <w:sz w:val="21"/>
              </w:rPr>
              <w:t>应用融合可视化页面融合各类业务应用数据分析可视化入口，各类业务领域主要指标可视化功能，以及业务领域导航功能。</w:t>
            </w:r>
          </w:p>
          <w:p>
            <w:pPr>
              <w:pStyle w:val="null3"/>
              <w:ind w:firstLine="420"/>
            </w:pPr>
            <w:r>
              <w:rPr>
                <w:sz w:val="21"/>
              </w:rPr>
              <w:t>建设大屏可视化应用。大屏建设要遵循智慧决策中心大屏界面设计规范，满足领导层业务决策、态势分析的应用需要。</w:t>
            </w:r>
          </w:p>
          <w:p>
            <w:pPr>
              <w:pStyle w:val="null3"/>
              <w:jc w:val="both"/>
            </w:pPr>
            <w:r>
              <w:rPr>
                <w:sz w:val="21"/>
              </w:rPr>
              <w:t>1.1.3.1.2.2.</w:t>
            </w:r>
            <w:r>
              <w:rPr>
                <w:sz w:val="21"/>
              </w:rPr>
              <w:t>应用清单</w:t>
            </w:r>
          </w:p>
          <w:p>
            <w:pPr>
              <w:pStyle w:val="null3"/>
              <w:ind w:firstLine="420"/>
            </w:pPr>
            <w:r>
              <w:rPr>
                <w:sz w:val="21"/>
              </w:rPr>
              <w:t>提供应用列表可视化功能，应用清单包括准入准营通、数字执法通、信用粤企通、公平竞争通、应急指挥通、食品安全通、特设平安通、质监粤品通、知识创新通、质量发展通、计量管理通、标准服务通、认证监管通、数字政务、智慧党建（名称可根据实际调整），以缩略图列表的形式进行版面布局，通过合理设计，清单内容铺满全屏，可通过钻取应用实现业务详细指标可视化。提供全省各地市市场监管特色应用导航，实现特色应用决策可视化分析。</w:t>
            </w:r>
          </w:p>
          <w:p>
            <w:pPr>
              <w:pStyle w:val="null3"/>
              <w:ind w:firstLine="420"/>
            </w:pPr>
            <w:r>
              <w:rPr>
                <w:sz w:val="21"/>
              </w:rPr>
              <w:t>建设大屏可视化应用。大屏建设要遵循智慧决策中心大屏界面设计规范，满足领导层业务决策、态势分析的应用需要。</w:t>
            </w:r>
          </w:p>
          <w:p>
            <w:pPr>
              <w:pStyle w:val="null3"/>
              <w:jc w:val="both"/>
            </w:pPr>
            <w:r>
              <w:rPr>
                <w:sz w:val="21"/>
              </w:rPr>
              <w:t>1.1.3.1.2.3.</w:t>
            </w:r>
            <w:r>
              <w:rPr>
                <w:sz w:val="21"/>
              </w:rPr>
              <w:t>应用接入</w:t>
            </w:r>
          </w:p>
          <w:p>
            <w:pPr>
              <w:pStyle w:val="null3"/>
              <w:ind w:firstLine="420"/>
            </w:pPr>
            <w:r>
              <w:rPr>
                <w:sz w:val="21"/>
              </w:rPr>
              <w:t>接入准入准营通、数字执法通、信用粤企通、公平竞争通、应急指挥通、食品安全通、特设平安通、质监粤品通、知识创新通、质量发展通、计量管理通、标准服务通、认证监管通等业务综合分析可视化页面（名称可根据实际调整）。</w:t>
            </w:r>
          </w:p>
          <w:p>
            <w:pPr>
              <w:pStyle w:val="null3"/>
              <w:jc w:val="both"/>
            </w:pPr>
            <w:r>
              <w:rPr>
                <w:sz w:val="21"/>
              </w:rPr>
              <w:t>1.1.3.1.2.4.</w:t>
            </w:r>
            <w:r>
              <w:rPr>
                <w:sz w:val="21"/>
              </w:rPr>
              <w:t>可视化优化迭代服务</w:t>
            </w:r>
          </w:p>
          <w:p>
            <w:pPr>
              <w:pStyle w:val="null3"/>
              <w:ind w:firstLine="420"/>
            </w:pPr>
            <w:r>
              <w:rPr>
                <w:sz w:val="21"/>
              </w:rPr>
              <w:t>根据用户持续优化要求，迭代设计UI与系统可视化页面。</w:t>
            </w:r>
          </w:p>
          <w:p>
            <w:pPr>
              <w:pStyle w:val="null3"/>
              <w:jc w:val="both"/>
            </w:pPr>
            <w:r>
              <w:rPr>
                <w:sz w:val="21"/>
              </w:rPr>
              <w:t>1.1.3.1.3.</w:t>
            </w:r>
            <w:r>
              <w:rPr>
                <w:sz w:val="21"/>
              </w:rPr>
              <w:t>领域导航</w:t>
            </w:r>
          </w:p>
          <w:p>
            <w:pPr>
              <w:pStyle w:val="null3"/>
              <w:jc w:val="both"/>
            </w:pPr>
            <w:r>
              <w:rPr>
                <w:sz w:val="21"/>
              </w:rPr>
              <w:t>1.1.3.1.3.1.</w:t>
            </w:r>
            <w:r>
              <w:rPr>
                <w:sz w:val="21"/>
              </w:rPr>
              <w:t>智慧党建</w:t>
            </w:r>
          </w:p>
          <w:p>
            <w:pPr>
              <w:pStyle w:val="null3"/>
              <w:ind w:firstLine="420"/>
            </w:pPr>
            <w:r>
              <w:rPr>
                <w:sz w:val="21"/>
              </w:rPr>
              <w:t>建设适合“智慧党建”业务可视化，让数据得以更加充分地利用。“智慧党建”业务综合分析与可视化内容主要为：党组建设情况、党支部建设情况、党组活动情况等。</w:t>
            </w:r>
          </w:p>
          <w:p>
            <w:pPr>
              <w:pStyle w:val="null3"/>
              <w:ind w:firstLine="420"/>
            </w:pPr>
            <w:r>
              <w:rPr>
                <w:sz w:val="21"/>
              </w:rPr>
              <w:t>建设大中小屏可视化应用。大屏建设要遵循智慧决策中心大屏界面设计规范，满足领导层业务决策、态势分析的应用需要；中屏建设要遵循桌面端PC界面设计规范，满足各部门各处室的决策分析需求；小屏建设要遵循主流移动终端界面设计规范，满足各级领导与工作人员决策分析移动应用需求。</w:t>
            </w:r>
          </w:p>
          <w:p>
            <w:pPr>
              <w:pStyle w:val="null3"/>
              <w:jc w:val="both"/>
            </w:pPr>
            <w:r>
              <w:rPr>
                <w:sz w:val="21"/>
              </w:rPr>
              <w:t>1.1.3.1.3.2.</w:t>
            </w:r>
            <w:r>
              <w:rPr>
                <w:sz w:val="21"/>
              </w:rPr>
              <w:t>经营主体</w:t>
            </w:r>
          </w:p>
          <w:p>
            <w:pPr>
              <w:pStyle w:val="null3"/>
              <w:ind w:firstLine="420"/>
            </w:pPr>
            <w:r>
              <w:rPr>
                <w:sz w:val="21"/>
              </w:rPr>
              <w:t>充分解析经营主体领域涵盖的准入准营通系列业务系统，包括市场准入信息系统、企业档案电子化系统、电子营业执照系统、市场主体全程电子化登记管理系统、企业注销网上服务专区、行政许可审批管理系统、广东省证照分离一窗通系统等（具体系统以省市场局各类业务系统实际建设情况为准），规划业务基础指标与综合分析指标，基于业务指标围绕领导决策进行可视化设计。</w:t>
            </w:r>
          </w:p>
          <w:p>
            <w:pPr>
              <w:pStyle w:val="null3"/>
              <w:ind w:firstLine="420"/>
            </w:pPr>
            <w:r>
              <w:rPr>
                <w:sz w:val="21"/>
              </w:rPr>
              <w:t>建设大中小屏可视化应用。大屏建设要遵循智慧决策中心大屏界面设计规范，满足领导层业务决策、态势分析的应用需要；中屏建设要遵循桌面端PC界面设计规范，满足各部门各处室的决策分析需求；小屏建设要遵循主流移动终端界面设计规范，满足各级领导与工作人员决策分析移动应用需求。</w:t>
            </w:r>
          </w:p>
          <w:p>
            <w:pPr>
              <w:pStyle w:val="null3"/>
              <w:jc w:val="both"/>
            </w:pPr>
            <w:r>
              <w:rPr>
                <w:sz w:val="21"/>
              </w:rPr>
              <w:t>1.1.3.1.3.3.</w:t>
            </w:r>
            <w:r>
              <w:rPr>
                <w:sz w:val="21"/>
              </w:rPr>
              <w:t>市场监测</w:t>
            </w:r>
          </w:p>
          <w:p>
            <w:pPr>
              <w:pStyle w:val="null3"/>
              <w:jc w:val="both"/>
            </w:pPr>
            <w:r>
              <w:rPr>
                <w:sz w:val="21"/>
              </w:rPr>
              <w:t>1.1.3.1.3.3.1.</w:t>
            </w:r>
            <w:r>
              <w:rPr>
                <w:sz w:val="21"/>
              </w:rPr>
              <w:t>领域融合</w:t>
            </w:r>
          </w:p>
          <w:p>
            <w:pPr>
              <w:pStyle w:val="null3"/>
              <w:ind w:firstLine="420"/>
            </w:pPr>
            <w:r>
              <w:rPr>
                <w:sz w:val="21"/>
              </w:rPr>
              <w:t>充分解析市场监测领域涵盖的数字执法通、信用粤企通、公平竞争通系列业务系统，包括食品经营风险分级管理信息化系统、食品生产日常监管系统、特种设备电子监管系统、行政执法信息平台和行政执法监督网络平台（行政执法“两平台”）、“双随机、一公开”综合监管平台、企业风险信用分析系统、国家企业信用信息公示系统、广告行业统计分析系统、公益广告作品库信息管理系统、直销企业数字化监管监测平台系统、电子商务经营行为监测平台、商品交易市场监管信息系统、举报处置智慧监管平台（具体系统以省市场局各类业务系统实际建设情况为准），规划业务基础指标与综合分析指标，基于业务指标围绕领导决策进行可视化设计。从执法办案、信用监管、广告监管、网络监管、反不正当竞争、反垄断以及投诉举报等对全省的市场环境进行综合分析。对全省市场环境监测的整体情况及发展趋势进行全面地解析及展示。依据相应业务需求、数据标准，并贴合本省市场环境、经济以及产业发展特点，构建具有本地业务特色的数据分析模型，数据分析结果将以多种图表形式进行可视化。</w:t>
            </w:r>
          </w:p>
          <w:p>
            <w:pPr>
              <w:pStyle w:val="null3"/>
              <w:ind w:firstLine="420"/>
            </w:pPr>
            <w:r>
              <w:rPr>
                <w:sz w:val="21"/>
              </w:rPr>
              <w:t>建设大中小屏可视化应用。大屏建设要遵循智慧决策中心大屏界面设计规范，满足领导层业务决策、态势分析的应用需要；中屏建设要遵循桌面端PC界面设计规范，满足各部门各处室的决策分析需求；小屏建设要遵循主流移动终端界面设计规范，满足各级领导与工作人员决策分析移动应用需求。</w:t>
            </w:r>
          </w:p>
          <w:p>
            <w:pPr>
              <w:pStyle w:val="null3"/>
              <w:jc w:val="both"/>
            </w:pPr>
            <w:r>
              <w:rPr>
                <w:sz w:val="21"/>
              </w:rPr>
              <w:t>1.1.3.1.3.3.2.</w:t>
            </w:r>
            <w:r>
              <w:rPr>
                <w:sz w:val="21"/>
              </w:rPr>
              <w:t>领域清单</w:t>
            </w:r>
          </w:p>
          <w:p>
            <w:pPr>
              <w:pStyle w:val="null3"/>
              <w:ind w:firstLine="420"/>
            </w:pPr>
            <w:r>
              <w:rPr>
                <w:sz w:val="21"/>
              </w:rPr>
              <w:t>根据省局对业务领域、粤系列业务的具体划分，提供领域清单可视化导航，可通过树型组织结构方式进行展示，一级为业务领域，二级为粤系列业务，三级为粤系列业务覆盖的具体业务线。市场环境监测领域包括数字执法通、信用粤企通、公平竞争通；数字执法通主要包括行政执法“两平台”；信用粤企通包括“双随机、一公开”综合监管平台、企业风险信用分析系统、国家企业信用信息公示系统；公平竞争通包括广告行业统计分析系统、公益广告作品库信息管理系统、直销企业数字化监管监测平台系统、电子商务经营行为监测平台、商品交易市场监管信息系统、举报处置智慧监管平台。领域清单具体视省局各类业务系统实际建设情况而定。</w:t>
            </w:r>
          </w:p>
          <w:p>
            <w:pPr>
              <w:pStyle w:val="null3"/>
              <w:ind w:firstLine="420"/>
            </w:pPr>
            <w:r>
              <w:rPr>
                <w:sz w:val="21"/>
              </w:rPr>
              <w:t>大屏、中屏建设要遵循智慧决策中心大屏界面设计规范，满足领导层业务决策、态势分析的应用需要。</w:t>
            </w:r>
          </w:p>
          <w:p>
            <w:pPr>
              <w:pStyle w:val="null3"/>
              <w:jc w:val="both"/>
            </w:pPr>
            <w:r>
              <w:rPr>
                <w:sz w:val="21"/>
              </w:rPr>
              <w:t>1.1.3.1.3.4.</w:t>
            </w:r>
            <w:r>
              <w:rPr>
                <w:sz w:val="21"/>
              </w:rPr>
              <w:t>安全监管</w:t>
            </w:r>
          </w:p>
          <w:p>
            <w:pPr>
              <w:pStyle w:val="null3"/>
              <w:jc w:val="both"/>
            </w:pPr>
            <w:r>
              <w:rPr>
                <w:sz w:val="21"/>
              </w:rPr>
              <w:t>1.1.3.1.3.4.1.</w:t>
            </w:r>
            <w:r>
              <w:rPr>
                <w:sz w:val="21"/>
              </w:rPr>
              <w:t>领域融合</w:t>
            </w:r>
          </w:p>
          <w:p>
            <w:pPr>
              <w:pStyle w:val="null3"/>
              <w:ind w:firstLine="420"/>
            </w:pPr>
            <w:r>
              <w:rPr>
                <w:sz w:val="21"/>
              </w:rPr>
              <w:t>充分解析安全监管领域涵盖的应急指挥通、食品安全通、特设平安通、质监粤品通系列业务系统，包括省市场监管局应急实时调度指挥系统、省学校食堂明厨亮灶智慧监管平台、食用农产品市场销售质量安全监管系统、食品经营监管信息公示系统、特殊食品电子追溯系统、食品生产日常监管系统、食品经营风险分级管理信息化系统、食品安全管理人员培训考试平台、食品从业人员健康证明信息管理平台、冷藏冷冻食品质量安全追溯系统、食品安全考核验收评价信息系统、食品安全抽检监测数据统计分析系统、特种设备电子监管系统、产品质量监管系统、产品伤害监测数据分析系统等（具体系统以省市场局各类业务系统实际建设情况为准），规划业务基础指标与综合分析指标，基于业务指标围绕领导决策进行可视化设计。从食品监管、特种设备监管、产品质量监管等对全省的安全监管进行综合分析。对全省安全监管的整体情况及发展趋势进行全面地解析及展示。依据相应业务需求、数据标准，并贴合本省市场环境、经济以及产业发展特点，构建具有本地业务特色的数据分析模型，数据分析结果将以多种图表形式进行可视化。</w:t>
            </w:r>
          </w:p>
          <w:p>
            <w:pPr>
              <w:pStyle w:val="null3"/>
              <w:ind w:firstLine="420"/>
            </w:pPr>
            <w:r>
              <w:rPr>
                <w:sz w:val="21"/>
              </w:rPr>
              <w:t>建设大中小屏可视化应用。大屏建设要遵循智慧决策中心大屏界面设计规范，满足领导层业务决策、态势分析的应用需要；中屏建设要遵循桌面端PC界面设计规范，满足各部门各处室的决策分析需求；小屏建设要遵循主流移动终端界面设计规范，满足各级领导与工作人员决策分析移动应用需求。</w:t>
            </w:r>
          </w:p>
          <w:p>
            <w:pPr>
              <w:pStyle w:val="null3"/>
              <w:jc w:val="both"/>
            </w:pPr>
            <w:r>
              <w:rPr>
                <w:sz w:val="21"/>
              </w:rPr>
              <w:t>1.1.3.1.3.4.2.</w:t>
            </w:r>
            <w:r>
              <w:rPr>
                <w:sz w:val="21"/>
              </w:rPr>
              <w:t>领域清单</w:t>
            </w:r>
          </w:p>
          <w:p>
            <w:pPr>
              <w:pStyle w:val="null3"/>
              <w:ind w:firstLine="420"/>
            </w:pPr>
            <w:r>
              <w:rPr>
                <w:sz w:val="21"/>
              </w:rPr>
              <w:t>根据省局对业务领域、粤系列业务的具体划分，提供领域清单可视化导航，可通过树型组织结构方式进行展示，一级为业务领域，二级为粤系列业务，三级为粤系列业务覆盖的具体业务线。安全监管领域包括应急指挥通、食品安全通、特设平安通、质监粤品通；应急指挥通包括省市场监管局应急实时调度指挥系统；食品安全通包括省学校食堂明厨亮灶智慧监管平台、食用农产品市场销售质量安全监管系统、食品经营监管信息公示系统、特殊食品电子追溯系统、食品生产日常监管系统、食品经营风险分级管理信息化系统、食品安全管理人员培训考试平台、食品从业人员健康证明信息管理平台、冷藏冷冻食品质量安全追溯系统、食品安全考核验收评价信息系统、食品安全抽检监测数据统计分析系统；特设平安通包括特种设备电子监管系统；质监粤品通包括产品质量监管系统、产品伤害监测数据分析系统。领域清单具体视省局各类业务系统实际建设情况而定。</w:t>
            </w:r>
          </w:p>
          <w:p>
            <w:pPr>
              <w:pStyle w:val="null3"/>
              <w:ind w:firstLine="420"/>
            </w:pPr>
            <w:r>
              <w:rPr>
                <w:sz w:val="21"/>
              </w:rPr>
              <w:t>大屏、中屏建设要遵循智慧决策中心大屏界面设计规范，满足领导层业务决策、态势分析的应用需要。</w:t>
            </w:r>
          </w:p>
          <w:p>
            <w:pPr>
              <w:pStyle w:val="null3"/>
              <w:jc w:val="both"/>
            </w:pPr>
            <w:r>
              <w:rPr>
                <w:sz w:val="21"/>
              </w:rPr>
              <w:t>1.1.3.1.3.5.</w:t>
            </w:r>
            <w:r>
              <w:rPr>
                <w:sz w:val="21"/>
              </w:rPr>
              <w:t>知识产权</w:t>
            </w:r>
          </w:p>
          <w:p>
            <w:pPr>
              <w:pStyle w:val="null3"/>
              <w:ind w:firstLine="420"/>
            </w:pPr>
            <w:r>
              <w:rPr>
                <w:sz w:val="21"/>
              </w:rPr>
              <w:t>充分解析知识产权领域涵盖的知识创新通系列业务系统，包括知识产权业务管理阳光政务平台、粤港澳知识产权大数据综合服务平台等，规划业务基础指标与综合分析指标，基于业务指标围绕领导决策进行可视化设计。从知识产权创造、知识产权管理、知识产权运用、知识产权保护、知识产权服务等对全省的知识产权进行综合分析，清晰展现广东省知识产权的整体情况及发展趋势，加强广东省的知识产权保护及知产管理。对全省知识产权的整体情况及发展趋势进行全面的解析及展示。依据相应业务需求、数据标准，并贴合本省市场环境、经济以及产业发展特点，构建具有本地业务特色的数据分析模型，数据分析结果将以多种图表形式进行可视化。</w:t>
            </w:r>
          </w:p>
          <w:p>
            <w:pPr>
              <w:pStyle w:val="null3"/>
              <w:ind w:firstLine="420"/>
            </w:pPr>
            <w:r>
              <w:rPr>
                <w:sz w:val="21"/>
              </w:rPr>
              <w:t>建设大中小屏可视化应用。大屏建设要遵循智慧决策中心大屏界面设计规范，满足领导层业务决策、态势分析的应用需要；中屏建设要遵循桌面端PC界面设计规范，满足各部门各处室的决策分析需求；小屏建设要遵循主流移动终端界面设计规范，满足各级领导与工作人员决策分析移动应用需求。</w:t>
            </w:r>
          </w:p>
          <w:p>
            <w:pPr>
              <w:pStyle w:val="null3"/>
              <w:jc w:val="both"/>
            </w:pPr>
            <w:r>
              <w:rPr>
                <w:sz w:val="21"/>
              </w:rPr>
              <w:t>1.1.3.1.3.6.</w:t>
            </w:r>
            <w:r>
              <w:rPr>
                <w:sz w:val="21"/>
              </w:rPr>
              <w:t>质量发展</w:t>
            </w:r>
          </w:p>
          <w:p>
            <w:pPr>
              <w:pStyle w:val="null3"/>
              <w:jc w:val="both"/>
            </w:pPr>
            <w:r>
              <w:rPr>
                <w:sz w:val="21"/>
              </w:rPr>
              <w:t>1.1.3.1.3.6.1.</w:t>
            </w:r>
            <w:r>
              <w:rPr>
                <w:sz w:val="21"/>
              </w:rPr>
              <w:t>领域融合</w:t>
            </w:r>
          </w:p>
          <w:p>
            <w:pPr>
              <w:pStyle w:val="null3"/>
              <w:ind w:firstLine="420"/>
            </w:pPr>
            <w:r>
              <w:rPr>
                <w:sz w:val="21"/>
              </w:rPr>
              <w:t>充分解析质量发展领域涵盖的质量发展通、计量管理通、标准服务通、认证监管通系列业务系统，包括“质量广东”信息系统、企业首席质量官网络培训系统、政府质量奖评审管理系统、政府质量工作考核信息系统、计量管理平台、标准化业务综合管理系统、检验检测认证机构监管信息系统（具体系统以省市场局各类业务系统实际建设情况为准），规划业务基础指标与综合分析指标，基于业务指标围绕领导决策进行可视化设计。从计量、标准、认证、检验检测、质量奖、科研创新等对全省的质量发展进行综合分析，对质量基础设施建设情况进行综合分析及可视化展示全省质量发展与提升的现状、问题及发展趋势，为不断完善和规范质量基础发展的道路，为促进协调发展提供决策辅助。对全省质量发展的整体情况及发展趋势进行全面的解析及展示。依据相应业务需求、数据标准，并贴合本省市场环境、经济以及产业发展特点，构建具有本地业务特色的数据分析模型，数据分析结果将以多种图表形式进行可视化。</w:t>
            </w:r>
          </w:p>
          <w:p>
            <w:pPr>
              <w:pStyle w:val="null3"/>
              <w:ind w:firstLine="420"/>
            </w:pPr>
            <w:r>
              <w:rPr>
                <w:sz w:val="21"/>
              </w:rPr>
              <w:t>建设大中小屏可视化应用。大屏建设要遵循智慧决策中心大屏界面设计规范，满足领导层业务决策、态势分析的应用需要；中屏建设要遵循桌面端PC界面设计规范，满足各部门各处室的决策分析需求；小屏建设要遵循主流移动终端界面设计规范，满足各级领导与工作人员决策分析移动应用需求。</w:t>
            </w:r>
          </w:p>
          <w:p>
            <w:pPr>
              <w:pStyle w:val="null3"/>
              <w:jc w:val="both"/>
            </w:pPr>
            <w:r>
              <w:rPr>
                <w:sz w:val="21"/>
              </w:rPr>
              <w:t>1.1.3.1.3.6.2.</w:t>
            </w:r>
            <w:r>
              <w:rPr>
                <w:sz w:val="21"/>
              </w:rPr>
              <w:t>领域清单</w:t>
            </w:r>
          </w:p>
          <w:p>
            <w:pPr>
              <w:pStyle w:val="null3"/>
              <w:ind w:firstLine="420"/>
            </w:pPr>
            <w:r>
              <w:rPr>
                <w:sz w:val="21"/>
              </w:rPr>
              <w:t>根据省局对业务领域、粤系列业务的具体划分，提供领域清单可视化导航，可通过树型组织结构方式进行展示，一级为业务领域，二级为粤系列业务，三级为粤系列业务覆盖的具体业务线。质量发展领域包括质量发展通、计量管理通、标准服务通、认证监管通；质量发展通主要为“质量广东”信息系统、企业首席质量官网络培训系统、政府质量奖评审管理系统、政府质量工作考核信息系统；计量管理通主要为计量管理平台；标准服务通主要为标准化业务综合管理系统；认证监管通主要为检验检测认证机构监管信息系统。领域清单具体视省局各类业务系统实际建设情况而定。</w:t>
            </w:r>
          </w:p>
          <w:p>
            <w:pPr>
              <w:pStyle w:val="null3"/>
              <w:ind w:firstLine="420"/>
            </w:pPr>
            <w:r>
              <w:rPr>
                <w:sz w:val="21"/>
              </w:rPr>
              <w:t>大屏、中屏建设要遵循智慧决策中心大屏界面设计规范，满足领导层业务决策、态势分析的应用需要。</w:t>
            </w:r>
          </w:p>
          <w:p>
            <w:pPr>
              <w:pStyle w:val="null3"/>
              <w:jc w:val="both"/>
            </w:pPr>
            <w:r>
              <w:rPr>
                <w:sz w:val="21"/>
              </w:rPr>
              <w:t>1.1.3.1.3.7.</w:t>
            </w:r>
            <w:r>
              <w:rPr>
                <w:sz w:val="21"/>
              </w:rPr>
              <w:t>可视化优化迭代服务</w:t>
            </w:r>
          </w:p>
          <w:p>
            <w:pPr>
              <w:pStyle w:val="null3"/>
              <w:ind w:firstLine="420"/>
            </w:pPr>
            <w:r>
              <w:rPr>
                <w:sz w:val="21"/>
              </w:rPr>
              <w:t>领域导航数据可视化服务在决策中心框架设计与优化服务的基础上，根据用户持续优化要求，迭代设计UI与系统可视化页面。</w:t>
            </w:r>
          </w:p>
          <w:p>
            <w:pPr>
              <w:pStyle w:val="null3"/>
              <w:jc w:val="both"/>
            </w:pPr>
            <w:r>
              <w:rPr>
                <w:sz w:val="24"/>
              </w:rPr>
              <w:t xml:space="preserve"> </w:t>
            </w:r>
          </w:p>
          <w:p>
            <w:pPr>
              <w:pStyle w:val="null3"/>
              <w:jc w:val="both"/>
            </w:pPr>
            <w:r>
              <w:rPr>
                <w:sz w:val="21"/>
              </w:rPr>
              <w:t>1.1.3.1.4.</w:t>
            </w:r>
            <w:r>
              <w:rPr>
                <w:sz w:val="21"/>
              </w:rPr>
              <w:t>数字湾区</w:t>
            </w:r>
          </w:p>
          <w:p>
            <w:pPr>
              <w:pStyle w:val="null3"/>
              <w:ind w:firstLine="420"/>
            </w:pPr>
            <w:r>
              <w:rPr>
                <w:sz w:val="21"/>
              </w:rPr>
              <w:t>实现对大湾区市场监管态势的总体把控，涵盖经营主体、市场监测、安全监管、知识产权、质量发展多个业务领域的指标可视化效果及动态交互，同时结合地图将市场监管业务指标及趋势分析信息动态、实时、直观地展示给决策者，辅助决策者把握市场监管总体趋势。实现经营主体、市场监测、安全监管、知识产权、质量发展各业务领域下钻分析能力，实现横向与纵向综合分析大湾区在各业务领域取得的成绩。</w:t>
            </w:r>
          </w:p>
          <w:p>
            <w:pPr>
              <w:pStyle w:val="null3"/>
              <w:ind w:firstLine="420"/>
            </w:pPr>
            <w:r>
              <w:rPr>
                <w:sz w:val="21"/>
              </w:rPr>
              <w:t>建设大中小屏可视化应用。大屏建设要遵循智慧决策中心大屏界面设计规范，满足领导层业务决策、态势分析的应用需要；中屏建设要遵循桌面端PC界面设计规范，满足各部门各处室的决策分析需求；小屏建设要遵循主流移动终端界面设计规范，满足各级领导与工作人员决策分析移动应用需求。</w:t>
            </w:r>
          </w:p>
          <w:p>
            <w:pPr>
              <w:pStyle w:val="null3"/>
              <w:ind w:firstLine="420"/>
            </w:pPr>
            <w:r>
              <w:rPr>
                <w:sz w:val="21"/>
              </w:rPr>
              <w:t>可视化优化迭代服务：数字湾区数据可视化服务在决策中心框架设计与优化服务的基础上，根据用户持续优化要求，迭代设计UI与系统可视化页面。</w:t>
            </w:r>
          </w:p>
          <w:p>
            <w:pPr>
              <w:pStyle w:val="null3"/>
              <w:jc w:val="both"/>
            </w:pPr>
            <w:r>
              <w:rPr>
                <w:sz w:val="21"/>
              </w:rPr>
              <w:t>1.1.3.1.5.</w:t>
            </w:r>
            <w:r>
              <w:rPr>
                <w:sz w:val="21"/>
              </w:rPr>
              <w:t>三级贯通</w:t>
            </w:r>
          </w:p>
          <w:p>
            <w:pPr>
              <w:pStyle w:val="null3"/>
              <w:jc w:val="both"/>
            </w:pPr>
            <w:r>
              <w:rPr>
                <w:sz w:val="21"/>
              </w:rPr>
              <w:t>1.1.3.1.5.1.</w:t>
            </w:r>
            <w:r>
              <w:rPr>
                <w:sz w:val="21"/>
              </w:rPr>
              <w:t>省级业务领域</w:t>
            </w:r>
          </w:p>
          <w:p>
            <w:pPr>
              <w:pStyle w:val="null3"/>
              <w:ind w:firstLine="420"/>
            </w:pPr>
            <w:r>
              <w:rPr>
                <w:sz w:val="21"/>
              </w:rPr>
              <w:t>建设涵盖经营主体、市场监测、安全监管、知识产权、质量发展、智慧党建等领域业务指标的可视化应用，概览全省市场监督管理业务发展态势与市场各类风险信息，聚焦为领导科学决策提供数据支撑。</w:t>
            </w:r>
          </w:p>
          <w:p>
            <w:pPr>
              <w:pStyle w:val="null3"/>
              <w:ind w:firstLine="420"/>
            </w:pPr>
            <w:r>
              <w:rPr>
                <w:sz w:val="21"/>
              </w:rPr>
              <w:t>建设大中小屏可视化应用。大屏建设要遵循智慧决策中心大屏界面设计规范，满足领导层业务决策、态势分析的应用需要；中屏建设要遵循桌面端PC界面设计规范，满足各部门各处室的决策分析需求；小屏建设要遵循主流移动终端界面设计规范，满足各级领导与工作人员决策分析移动应用需求。</w:t>
            </w:r>
          </w:p>
          <w:p>
            <w:pPr>
              <w:pStyle w:val="null3"/>
              <w:jc w:val="both"/>
            </w:pPr>
            <w:r>
              <w:rPr>
                <w:sz w:val="21"/>
              </w:rPr>
              <w:t>1.1.3.1.5.2.</w:t>
            </w:r>
            <w:r>
              <w:rPr>
                <w:sz w:val="21"/>
              </w:rPr>
              <w:t>市级业务领域</w:t>
            </w:r>
          </w:p>
          <w:p>
            <w:pPr>
              <w:pStyle w:val="null3"/>
              <w:ind w:firstLine="420"/>
            </w:pPr>
            <w:r>
              <w:rPr>
                <w:sz w:val="21"/>
              </w:rPr>
              <w:t>在面向省局可视化指标主题、大屏可视化的基础建设成果上，建设适合地市级的可视化大屏应用，涵盖经营主体、市场监测、安全监管、知识产权、质量发展等领域应用。</w:t>
            </w:r>
          </w:p>
          <w:p>
            <w:pPr>
              <w:pStyle w:val="null3"/>
              <w:ind w:firstLine="420"/>
            </w:pPr>
            <w:r>
              <w:rPr>
                <w:sz w:val="21"/>
              </w:rPr>
              <w:t>建设大中小屏可视化应用。大屏建设要遵循智慧决策中心大屏界面设计规范，满足领导层业务决策、态势分析的应用需要；中屏建设要遵循桌面端PC界面设计规范，满足各部门各处室的决策分析需求；小屏建设要遵循主流移动终端界面设计规范，满足各级领导与工作人员决策分析移动应用需求。</w:t>
            </w:r>
          </w:p>
          <w:p>
            <w:pPr>
              <w:pStyle w:val="null3"/>
              <w:jc w:val="both"/>
            </w:pPr>
            <w:r>
              <w:rPr>
                <w:sz w:val="21"/>
              </w:rPr>
              <w:t>1.1.3.1.5.3.</w:t>
            </w:r>
            <w:r>
              <w:rPr>
                <w:sz w:val="21"/>
              </w:rPr>
              <w:t>区县业务领域</w:t>
            </w:r>
          </w:p>
          <w:p>
            <w:pPr>
              <w:pStyle w:val="null3"/>
              <w:ind w:firstLine="420"/>
            </w:pPr>
            <w:r>
              <w:rPr>
                <w:sz w:val="21"/>
              </w:rPr>
              <w:t>在面向省局可视化指标主题、大屏可视化的基础建设成果上，建设适合区县级的可视化大屏应用，涵盖经营主体、市场监测、安全监管、知识产权、质量发展等领域应用。</w:t>
            </w:r>
          </w:p>
          <w:p>
            <w:pPr>
              <w:pStyle w:val="null3"/>
              <w:ind w:firstLine="420"/>
            </w:pPr>
            <w:r>
              <w:rPr>
                <w:sz w:val="21"/>
              </w:rPr>
              <w:t>建设大中小屏可视化应用。大屏建设要遵循智慧决策中心大屏界面设计规范，满足领导层业务决策、态势分析的应用需要；中屏建设要遵循桌面端PC界面设计规范，满足各部门各处室的决策分析需求；小屏建设要遵循主流移动终端界面设计规范，满足各级领导与工作人员决策分析移动应用需求。</w:t>
            </w:r>
          </w:p>
          <w:p>
            <w:pPr>
              <w:pStyle w:val="null3"/>
              <w:jc w:val="both"/>
            </w:pPr>
            <w:r>
              <w:rPr>
                <w:sz w:val="21"/>
              </w:rPr>
              <w:t>1.1.3.1.5.4.</w:t>
            </w:r>
            <w:r>
              <w:rPr>
                <w:sz w:val="21"/>
              </w:rPr>
              <w:t>可视化优化迭代服务</w:t>
            </w:r>
          </w:p>
          <w:p>
            <w:pPr>
              <w:pStyle w:val="null3"/>
              <w:ind w:firstLine="420"/>
            </w:pPr>
            <w:r>
              <w:rPr>
                <w:sz w:val="21"/>
              </w:rPr>
              <w:t>数据可视化服务在决策中心框架设计与优化服务的基础上，根据用户持续优化要求，迭代设计UI与系统可视化页面。</w:t>
            </w:r>
          </w:p>
          <w:p>
            <w:pPr>
              <w:pStyle w:val="null3"/>
              <w:jc w:val="both"/>
            </w:pPr>
            <w:r>
              <w:rPr>
                <w:sz w:val="21"/>
              </w:rPr>
              <w:t>1.1.3.1.6.</w:t>
            </w:r>
            <w:r>
              <w:rPr>
                <w:sz w:val="21"/>
              </w:rPr>
              <w:t>数字赋能</w:t>
            </w:r>
          </w:p>
          <w:p>
            <w:pPr>
              <w:pStyle w:val="null3"/>
              <w:jc w:val="both"/>
            </w:pPr>
            <w:r>
              <w:rPr>
                <w:sz w:val="21"/>
              </w:rPr>
              <w:t>1.1.3.1.6.1.</w:t>
            </w:r>
            <w:r>
              <w:rPr>
                <w:sz w:val="21"/>
              </w:rPr>
              <w:t>智慧服务</w:t>
            </w:r>
          </w:p>
          <w:p>
            <w:pPr>
              <w:pStyle w:val="null3"/>
              <w:ind w:firstLine="420"/>
            </w:pPr>
            <w:r>
              <w:rPr>
                <w:sz w:val="21"/>
              </w:rPr>
              <w:t>建设智慧服务清单大屏可视化展示功能，服务清单包括粤商通、知识产权粤港澳、计量强检一览图、投诉举报专题、消费维权专题。通过服务清单接入，在大屏上可快速提供相关智慧服务。</w:t>
            </w:r>
          </w:p>
          <w:p>
            <w:pPr>
              <w:pStyle w:val="null3"/>
              <w:jc w:val="both"/>
            </w:pPr>
            <w:r>
              <w:rPr>
                <w:sz w:val="21"/>
              </w:rPr>
              <w:t>1.1.3.1.6.2.</w:t>
            </w:r>
            <w:r>
              <w:rPr>
                <w:sz w:val="21"/>
              </w:rPr>
              <w:t>智慧监测</w:t>
            </w:r>
          </w:p>
          <w:p>
            <w:pPr>
              <w:pStyle w:val="null3"/>
              <w:ind w:firstLine="420"/>
            </w:pPr>
            <w:r>
              <w:rPr>
                <w:sz w:val="21"/>
              </w:rPr>
              <w:t>视频监测：在大屏上展示视频监控接入情况，包括学校食堂视频监控、集中配餐单位视频监控、婴幼儿配方食品生产企业视频接入情况。</w:t>
            </w:r>
          </w:p>
          <w:p>
            <w:pPr>
              <w:pStyle w:val="null3"/>
              <w:ind w:firstLine="420"/>
            </w:pPr>
            <w:r>
              <w:rPr>
                <w:sz w:val="21"/>
              </w:rPr>
              <w:t>直播电商监测：大屏可视化接入直播电商监测，通过缩略图可快速打开直播电商监测应用，实现直播间监测与违法线索趋势分析、违法类型分布展示等。</w:t>
            </w:r>
          </w:p>
          <w:p>
            <w:pPr>
              <w:pStyle w:val="null3"/>
              <w:jc w:val="both"/>
            </w:pPr>
            <w:r>
              <w:rPr>
                <w:sz w:val="21"/>
              </w:rPr>
              <w:t>1.1.3.1.6.3.</w:t>
            </w:r>
            <w:r>
              <w:rPr>
                <w:sz w:val="21"/>
              </w:rPr>
              <w:t>智慧大脑</w:t>
            </w:r>
          </w:p>
          <w:p>
            <w:pPr>
              <w:pStyle w:val="null3"/>
              <w:jc w:val="both"/>
            </w:pPr>
            <w:r>
              <w:rPr>
                <w:sz w:val="21"/>
              </w:rPr>
              <w:t>1.1.3.1.6.3.1.</w:t>
            </w:r>
            <w:r>
              <w:rPr>
                <w:sz w:val="21"/>
              </w:rPr>
              <w:t>应用融合</w:t>
            </w:r>
          </w:p>
          <w:p>
            <w:pPr>
              <w:pStyle w:val="null3"/>
              <w:ind w:firstLine="420"/>
            </w:pPr>
            <w:r>
              <w:rPr>
                <w:sz w:val="21"/>
              </w:rPr>
              <w:t>构建智慧大脑融合驾驶舱：选择提取业务模型分析、风险预警分析中重点分析内容展示。</w:t>
            </w:r>
          </w:p>
          <w:p>
            <w:pPr>
              <w:pStyle w:val="null3"/>
              <w:ind w:firstLine="420"/>
            </w:pPr>
            <w:r>
              <w:rPr>
                <w:sz w:val="21"/>
              </w:rPr>
              <w:t>接入企业活跃度分析平台：实现企业活跃度分析平台，实现企业活跃度趋势分析、行业活跃度趋势分析等。</w:t>
            </w:r>
          </w:p>
          <w:p>
            <w:pPr>
              <w:pStyle w:val="null3"/>
              <w:ind w:firstLine="420"/>
            </w:pPr>
            <w:r>
              <w:rPr>
                <w:sz w:val="21"/>
              </w:rPr>
              <w:t>业务模型预警分析：包含虚增经营主体预警、证照过期企业预警、企业迁徙预警模型分析等。</w:t>
            </w:r>
          </w:p>
          <w:p>
            <w:pPr>
              <w:pStyle w:val="null3"/>
              <w:ind w:firstLine="420"/>
            </w:pPr>
            <w:r>
              <w:rPr>
                <w:sz w:val="21"/>
              </w:rPr>
              <w:t>风险预警分析：优化风险预警指标，综合各类型各层级风险预警指标，适应数字赋能区智慧大脑建设可视化布局要求，在已有风险预警能力的基础上进一步提升智慧大脑对风险的感知能力与展示能力。</w:t>
            </w:r>
          </w:p>
          <w:p>
            <w:pPr>
              <w:pStyle w:val="null3"/>
              <w:jc w:val="both"/>
            </w:pPr>
            <w:r>
              <w:rPr>
                <w:sz w:val="21"/>
              </w:rPr>
              <w:t>1.1.3.1.6.3.2.</w:t>
            </w:r>
            <w:r>
              <w:rPr>
                <w:sz w:val="21"/>
              </w:rPr>
              <w:t>应用清单</w:t>
            </w:r>
          </w:p>
          <w:p>
            <w:pPr>
              <w:pStyle w:val="null3"/>
              <w:ind w:firstLine="420"/>
            </w:pPr>
            <w:r>
              <w:rPr>
                <w:sz w:val="21"/>
              </w:rPr>
              <w:t>提供智慧大脑应用列表可视化功能，应用清单包括各类业务模型预警分析、风险预警分析等风险大数据挖掘应用，以缩略图列表的形式进行版面布局，通过合理设计，清单内容铺满全屏，可通过钻取应用实现业务详细指标可视化分析。</w:t>
            </w:r>
          </w:p>
          <w:p>
            <w:pPr>
              <w:pStyle w:val="null3"/>
              <w:jc w:val="both"/>
            </w:pPr>
            <w:r>
              <w:rPr>
                <w:sz w:val="21"/>
              </w:rPr>
              <w:t>1.1.3.1.6.4.</w:t>
            </w:r>
            <w:r>
              <w:rPr>
                <w:sz w:val="21"/>
              </w:rPr>
              <w:t>重大任务协同</w:t>
            </w:r>
          </w:p>
          <w:p>
            <w:pPr>
              <w:pStyle w:val="null3"/>
              <w:ind w:firstLine="420"/>
            </w:pPr>
            <w:r>
              <w:rPr>
                <w:sz w:val="21"/>
              </w:rPr>
              <w:t>对全省重大任务的发布、执行、完成的整体情况及发展趋势进行全面的解析及展示。依据相应业务需求、数据标准，并贴合本省“重大任务协同”业务特点，构建具有本地业务特色的数据分析模型，数据分析结果将以图形化、动态化方式在大屏中实时展示，实现挂图作战的能力。</w:t>
            </w:r>
          </w:p>
          <w:p>
            <w:pPr>
              <w:pStyle w:val="null3"/>
              <w:ind w:firstLine="420"/>
            </w:pPr>
            <w:r>
              <w:rPr>
                <w:sz w:val="21"/>
              </w:rPr>
              <w:t>建设大中小屏可视化应用。大屏建设要遵循智慧决策中心大屏界面设计规范，满足领导层业务决策、态势分析的应用需要；中屏建设要遵循桌面端PC界面设计规范，满足各部门各处室的决策分析需求；小屏建设要遵循主流移动终端界面设计规范，满足各级领导与工作人员决策分析移动应用需求。</w:t>
            </w:r>
          </w:p>
          <w:p>
            <w:pPr>
              <w:pStyle w:val="null3"/>
              <w:jc w:val="both"/>
            </w:pPr>
            <w:r>
              <w:rPr>
                <w:sz w:val="21"/>
              </w:rPr>
              <w:t>1.1.3.1.6.5.</w:t>
            </w:r>
            <w:r>
              <w:rPr>
                <w:sz w:val="21"/>
              </w:rPr>
              <w:t>可视化优化迭代服务</w:t>
            </w:r>
          </w:p>
          <w:p>
            <w:pPr>
              <w:pStyle w:val="null3"/>
              <w:ind w:firstLine="420"/>
            </w:pPr>
            <w:r>
              <w:rPr>
                <w:sz w:val="21"/>
              </w:rPr>
              <w:t>数字赋能数据可视化服务在决策中心框架设计与优化服务的基础上，根据用户持续优化要求，迭代设计UI与系统可视化页面。</w:t>
            </w:r>
          </w:p>
          <w:p>
            <w:pPr>
              <w:pStyle w:val="null3"/>
              <w:jc w:val="both"/>
            </w:pPr>
            <w:r>
              <w:rPr>
                <w:sz w:val="21"/>
              </w:rPr>
              <w:t>1.1.3.1.7.</w:t>
            </w:r>
            <w:r>
              <w:rPr>
                <w:sz w:val="21"/>
              </w:rPr>
              <w:t>品牌矩阵</w:t>
            </w:r>
          </w:p>
          <w:p>
            <w:pPr>
              <w:pStyle w:val="null3"/>
              <w:ind w:firstLine="420"/>
            </w:pPr>
            <w:r>
              <w:rPr>
                <w:sz w:val="21"/>
              </w:rPr>
              <w:t>实现对广东质量展品牌建设发展态势的总体把控，涵盖产品品牌、企业品牌、产业品牌、区域品牌多个业务领域的指标可视化效果及动态交互，同时结合地图将品牌矩阵指标及趋势分析信息动态、实时、直观地展示给决策者，辅助决策者把握牌矩阵总体趋势。实现产品品牌、企业品牌、产业品牌、区域品牌业务下钻分析能力，查看品牌矩阵对应具体的经营主体与品牌详情。</w:t>
            </w:r>
          </w:p>
          <w:p>
            <w:pPr>
              <w:pStyle w:val="null3"/>
              <w:ind w:firstLine="420"/>
            </w:pPr>
            <w:r>
              <w:rPr>
                <w:sz w:val="21"/>
              </w:rPr>
              <w:t>建设大中小屏可视化应用。大屏建设要遵循智慧决策中心大屏界面设计规范，满足领导层业务决策、态势分析的应用需要；中屏建设要遵循桌面端PC界面设计规范，满足各部门各处室的决策分析需求；小屏建设要遵循主流移动终端界面设计规范，满足各级领导与工作人员决策分析移动应用需求。</w:t>
            </w:r>
          </w:p>
          <w:p>
            <w:pPr>
              <w:pStyle w:val="null3"/>
              <w:ind w:firstLine="420"/>
            </w:pPr>
            <w:r>
              <w:rPr>
                <w:sz w:val="21"/>
              </w:rPr>
              <w:t>可视化优化迭代服务。品牌矩阵数据可视化服务根据用户持续优化要求，迭代设计UI与系统可视化页面。</w:t>
            </w:r>
          </w:p>
          <w:p>
            <w:pPr>
              <w:pStyle w:val="null3"/>
              <w:jc w:val="both"/>
            </w:pPr>
            <w:r>
              <w:rPr>
                <w:sz w:val="21"/>
              </w:rPr>
              <w:t>1.1.3.1.8.</w:t>
            </w:r>
            <w:r>
              <w:rPr>
                <w:sz w:val="21"/>
              </w:rPr>
              <w:t>服务交付物</w:t>
            </w:r>
          </w:p>
          <w:p>
            <w:pPr>
              <w:pStyle w:val="null3"/>
              <w:ind w:firstLine="420"/>
            </w:pPr>
            <w:r>
              <w:rPr>
                <w:sz w:val="21"/>
              </w:rPr>
              <w:t>数据可视化服务的交付物包含数字化总览、融合应用、领域导航、数字湾区、三级贯通、数字赋能大屏、中屏、小屏展示界面。</w:t>
            </w:r>
          </w:p>
          <w:p>
            <w:pPr>
              <w:pStyle w:val="null3"/>
            </w:pPr>
            <w:r>
              <w:rPr>
                <w:sz w:val="21"/>
              </w:rPr>
              <w:t>根据数据可视化服务以往经验，数据可视化迭代优化服务在实际服务过程中占有较大比重，交付物包含不低于3个版本以上的产品设计UI、不低于3个版本以上的系统页面。</w:t>
            </w:r>
          </w:p>
        </w:tc>
      </w:tr>
      <w:tr>
        <w:tc>
          <w:tcPr>
            <w:tcW w:type="dxa" w:w="2076"/>
          </w:tcPr>
          <w:p/>
        </w:tc>
        <w:tc>
          <w:tcPr>
            <w:tcW w:type="dxa" w:w="415"/>
          </w:tcPr>
          <w:p>
            <w:pPr>
              <w:pStyle w:val="null3"/>
            </w:pPr>
            <w:r>
              <w:rPr/>
              <w:t>2</w:t>
            </w:r>
          </w:p>
        </w:tc>
        <w:tc>
          <w:tcPr>
            <w:tcW w:type="dxa" w:w="5814"/>
          </w:tcPr>
          <w:p>
            <w:pPr>
              <w:pStyle w:val="null3"/>
              <w:jc w:val="both"/>
            </w:pPr>
            <w:r>
              <w:rPr>
                <w:sz w:val="21"/>
              </w:rPr>
              <w:t>2.</w:t>
            </w:r>
            <w:r>
              <w:rPr>
                <w:sz w:val="21"/>
              </w:rPr>
              <w:t>服务要求</w:t>
            </w:r>
          </w:p>
          <w:p>
            <w:pPr>
              <w:pStyle w:val="null3"/>
              <w:jc w:val="both"/>
            </w:pPr>
            <w:r>
              <w:rPr>
                <w:sz w:val="21"/>
              </w:rPr>
              <w:t>2.1.</w:t>
            </w:r>
            <w:r>
              <w:rPr>
                <w:sz w:val="21"/>
              </w:rPr>
              <w:t>项目质量管理要求</w:t>
            </w:r>
          </w:p>
          <w:p>
            <w:pPr>
              <w:pStyle w:val="null3"/>
              <w:jc w:val="both"/>
            </w:pPr>
            <w:r>
              <w:rPr>
                <w:sz w:val="21"/>
              </w:rPr>
              <w:t>2.1.1.</w:t>
            </w:r>
            <w:r>
              <w:rPr>
                <w:sz w:val="21"/>
              </w:rPr>
              <w:t>项目管理制度清单</w:t>
            </w:r>
          </w:p>
          <w:p>
            <w:pPr>
              <w:pStyle w:val="null3"/>
              <w:ind w:firstLine="420"/>
            </w:pPr>
            <w:r>
              <w:rPr>
                <w:sz w:val="21"/>
              </w:rPr>
              <w:t>本项目需严格遵循《广东省市场监督管理局机关信息化项目建设管理办法》的规定。</w:t>
            </w:r>
          </w:p>
          <w:p>
            <w:pPr>
              <w:pStyle w:val="null3"/>
              <w:jc w:val="both"/>
            </w:pPr>
            <w:r>
              <w:rPr>
                <w:sz w:val="21"/>
              </w:rPr>
              <w:t>2.1.2.</w:t>
            </w:r>
            <w:r>
              <w:rPr>
                <w:sz w:val="21"/>
              </w:rPr>
              <w:t>服务团队岗位职责清单</w:t>
            </w:r>
          </w:p>
          <w:tbl>
            <w:tblPr>
              <w:tblBorders>
                <w:top w:val="none" w:color="000000" w:sz="4"/>
                <w:left w:val="none" w:color="000000" w:sz="4"/>
                <w:bottom w:val="none" w:color="000000" w:sz="4"/>
                <w:right w:val="none" w:color="000000" w:sz="4"/>
                <w:insideH w:val="none"/>
                <w:insideV w:val="none"/>
              </w:tblBorders>
            </w:tblPr>
            <w:tblGrid>
              <w:gridCol w:w="286"/>
              <w:gridCol w:w="457"/>
              <w:gridCol w:w="628"/>
              <w:gridCol w:w="1257"/>
              <w:gridCol w:w="2970"/>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085"/>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岗位名称</w:t>
                  </w:r>
                </w:p>
              </w:tc>
              <w:tc>
                <w:tcPr>
                  <w:tcW w:type="dxa" w:w="12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人数</w:t>
                  </w:r>
                </w:p>
              </w:tc>
              <w:tc>
                <w:tcPr>
                  <w:tcW w:type="dxa" w:w="29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岗位具体职责</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0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项目经理</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负责整个项目的管控与协调，对项目过程整体管理，负责项目进度跟踪和建设范围管控。</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0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技术经理</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系统研发管理，包括前后端开发管理</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4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团队成员</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开发工程师</w:t>
                  </w:r>
                </w:p>
              </w:tc>
              <w:tc>
                <w:tcPr>
                  <w:tcW w:type="dxa" w:w="12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不少于5人，其中包含驻场运营成员不得少于3人</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系统前后端功能开发、功能测试等</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457"/>
                  <w:vMerge/>
                  <w:tcBorders>
                    <w:top w:val="none" w:color="000000" w:sz="4"/>
                    <w:left w:val="none" w:color="000000" w:sz="4"/>
                    <w:bottom w:val="single" w:color="000000" w:sz="4"/>
                    <w:right w:val="single" w:color="000000" w:sz="4"/>
                  </w:tcBorders>
                </w:tc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数据分析师</w:t>
                  </w:r>
                </w:p>
              </w:tc>
              <w:tc>
                <w:tcPr>
                  <w:tcW w:type="dxa" w:w="1257"/>
                  <w:vMerge/>
                  <w:tcBorders>
                    <w:top w:val="none" w:color="000000" w:sz="4"/>
                    <w:left w:val="none" w:color="000000" w:sz="4"/>
                    <w:bottom w:val="singl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负责数据分析模型的优化、定制化分析服务等工作。</w:t>
                  </w:r>
                </w:p>
              </w:tc>
            </w:tr>
          </w:tbl>
          <w:p>
            <w:pPr>
              <w:pStyle w:val="null3"/>
              <w:jc w:val="both"/>
            </w:pPr>
            <w:r>
              <w:rPr>
                <w:sz w:val="21"/>
              </w:rPr>
              <w:t xml:space="preserve"> 2.2.</w:t>
            </w:r>
            <w:r>
              <w:rPr>
                <w:sz w:val="21"/>
              </w:rPr>
              <w:t>管理要求</w:t>
            </w:r>
          </w:p>
          <w:p>
            <w:pPr>
              <w:pStyle w:val="null3"/>
              <w:jc w:val="both"/>
            </w:pPr>
            <w:r>
              <w:rPr>
                <w:sz w:val="21"/>
              </w:rPr>
              <w:t>2.2.1.</w:t>
            </w:r>
            <w:r>
              <w:rPr>
                <w:sz w:val="21"/>
              </w:rPr>
              <w:t>服务人员</w:t>
            </w:r>
          </w:p>
          <w:p>
            <w:pPr>
              <w:pStyle w:val="null3"/>
              <w:ind w:firstLine="420"/>
            </w:pPr>
            <w:r>
              <w:rPr>
                <w:sz w:val="21"/>
              </w:rPr>
              <w:t>投标人须书面承诺，如在项目实际执行过程中发生项目经理不能按采购文件要求胜任相关工作的，采购人有权要求更换项目经理，投标人必须在两周内调整为符合采购文件要求且能胜任相关工作的项目经理并到位开展工作，否则采购人有权终止合同并报相关管理部门进行处理。</w:t>
            </w:r>
          </w:p>
          <w:p>
            <w:pPr>
              <w:pStyle w:val="null3"/>
              <w:jc w:val="both"/>
            </w:pPr>
            <w:r>
              <w:rPr>
                <w:sz w:val="21"/>
              </w:rPr>
              <w:t>投标人承诺的项目经理和开发实施的主要人员未经用户同意不得调整；投标人如中途更换项目经理和主要开发技术人员，应征得用户同意，否则采购人有权终止合同。</w:t>
            </w:r>
          </w:p>
          <w:p>
            <w:pPr>
              <w:pStyle w:val="null3"/>
              <w:ind w:firstLine="420"/>
            </w:pPr>
            <w:r>
              <w:rPr>
                <w:sz w:val="21"/>
              </w:rPr>
              <w:t>服务商应指派固定的团队为本项目提供专业服务，服务团队成员不得少于7人。</w:t>
            </w:r>
          </w:p>
          <w:p>
            <w:pPr>
              <w:pStyle w:val="null3"/>
              <w:ind w:firstLine="420"/>
            </w:pPr>
            <w:r>
              <w:rPr>
                <w:sz w:val="21"/>
              </w:rPr>
              <w:t>项目经理1人，应具备5年以上信息化工作服务经验。应具备系统架构设计师证书、信息系统项目管理师证书、数据库系统工程师证书。</w:t>
            </w:r>
          </w:p>
          <w:p>
            <w:pPr>
              <w:pStyle w:val="null3"/>
              <w:ind w:firstLine="420"/>
            </w:pPr>
            <w:r>
              <w:rPr>
                <w:sz w:val="21"/>
              </w:rPr>
              <w:t>项目技术负责人1人（与项目经理不为同一人），应具备软件评测师证书、信息安全工程师证书或信息安全保障人员（安全软件）认证、网络工程师证书。</w:t>
            </w:r>
          </w:p>
          <w:p>
            <w:pPr>
              <w:pStyle w:val="null3"/>
              <w:ind w:firstLine="420"/>
            </w:pPr>
            <w:r>
              <w:rPr>
                <w:sz w:val="21"/>
              </w:rPr>
              <w:t>至少提供5名为本项目服务的团队成员（不含项目经理、项目技术负责人），其中包含驻场运营成员不得少于3人。团队成员应具备中级或以上的计算机技术与软件专业技术资格证书。</w:t>
            </w:r>
          </w:p>
          <w:p>
            <w:pPr>
              <w:pStyle w:val="null3"/>
              <w:ind w:firstLine="420"/>
            </w:pPr>
            <w:r>
              <w:rPr>
                <w:sz w:val="21"/>
              </w:rPr>
              <w:t>如需调整服务团队成员，须书面向采购人提出申请，说明申请理由，经采购人书面同意方可调整团队人员，调入人员的资历和从业经验不低于调出人员，否则视为违约行为，采购人有权终止服务合同。</w:t>
            </w:r>
          </w:p>
          <w:p>
            <w:pPr>
              <w:pStyle w:val="null3"/>
              <w:ind w:firstLine="422"/>
            </w:pPr>
            <w:r>
              <w:rPr>
                <w:sz w:val="21"/>
                <w:b/>
              </w:rPr>
              <w:t>★本项目含3人驻场服务，投标人须承诺驻场人员为本单位员工，并明确驻场人员姓名及提供驻场人员在投标人单位任职的证明材料（如劳动合同、加盖所在地区政府有关部门印章的缴纳日期在本采购包投标截止日之前六个月以内任一月的《投保单》或《社会保险参保人员证明》等）</w:t>
            </w:r>
          </w:p>
          <w:p>
            <w:pPr>
              <w:pStyle w:val="null3"/>
              <w:jc w:val="both"/>
            </w:pPr>
            <w:r>
              <w:rPr>
                <w:sz w:val="21"/>
              </w:rPr>
              <w:t>2.2.2.</w:t>
            </w:r>
            <w:r>
              <w:rPr>
                <w:sz w:val="21"/>
              </w:rPr>
              <w:t>进度要求</w:t>
            </w:r>
          </w:p>
          <w:p>
            <w:pPr>
              <w:pStyle w:val="null3"/>
              <w:ind w:firstLine="420"/>
            </w:pPr>
            <w:r>
              <w:rPr>
                <w:sz w:val="21"/>
              </w:rPr>
              <w:t>本期项目服务周期为12个月。项目里程碑计划严格按照本服务项目的建设任务和进度要求，通过关键节点、里程碑事件的监控，来控制项目工作的进展和保证实现总目标。本服务项目里程碑计划如下：（T表示项目合同签订日期）</w:t>
            </w:r>
          </w:p>
          <w:tbl>
            <w:tblPr>
              <w:tblBorders>
                <w:top w:val="none" w:color="000000" w:sz="4"/>
                <w:left w:val="none" w:color="000000" w:sz="4"/>
                <w:bottom w:val="none" w:color="000000" w:sz="4"/>
                <w:right w:val="none" w:color="000000" w:sz="4"/>
                <w:insideH w:val="none"/>
                <w:insideV w:val="none"/>
              </w:tblBorders>
            </w:tblPr>
            <w:tblGrid>
              <w:gridCol w:w="571"/>
              <w:gridCol w:w="1485"/>
              <w:gridCol w:w="2114"/>
              <w:gridCol w:w="1428"/>
            </w:tblGrid>
            <w:tr>
              <w:tc>
                <w:tcPr>
                  <w:tcW w:type="dxa" w:w="571"/>
                  <w:tcBorders>
                    <w:top w:val="single" w:color="000000" w:sz="4"/>
                    <w:left w:val="single" w:color="000000" w:sz="4"/>
                    <w:bottom w:val="single" w:color="000000" w:sz="4"/>
                    <w:right w:val="single" w:color="000000" w:sz="4"/>
                  </w:tcBorders>
                  <w:tcMar>
                    <w:top w:type="dxa" w:w="30"/>
                    <w:left w:type="dxa" w:w="105"/>
                    <w:bottom w:type="dxa" w:w="30"/>
                    <w:right w:type="dxa" w:w="105"/>
                  </w:tcMar>
                </w:tcPr>
                <w:p>
                  <w:pPr>
                    <w:pStyle w:val="null3"/>
                    <w:jc w:val="both"/>
                  </w:pPr>
                  <w:r>
                    <w:rPr>
                      <w:sz w:val="21"/>
                    </w:rPr>
                    <w:t>序号</w:t>
                  </w:r>
                </w:p>
              </w:tc>
              <w:tc>
                <w:tcPr>
                  <w:tcW w:type="dxa" w:w="1485"/>
                  <w:tcBorders>
                    <w:top w:val="single" w:color="000000" w:sz="4"/>
                    <w:left w:val="none" w:color="000000" w:sz="4"/>
                    <w:bottom w:val="single" w:color="000000" w:sz="4"/>
                    <w:right w:val="single" w:color="000000" w:sz="4"/>
                  </w:tcBorders>
                  <w:tcMar>
                    <w:top w:type="dxa" w:w="30"/>
                    <w:left w:type="dxa" w:w="105"/>
                    <w:bottom w:type="dxa" w:w="30"/>
                    <w:right w:type="dxa" w:w="105"/>
                  </w:tcMar>
                </w:tcPr>
                <w:p>
                  <w:pPr>
                    <w:pStyle w:val="null3"/>
                    <w:jc w:val="both"/>
                  </w:pPr>
                  <w:r>
                    <w:rPr>
                      <w:sz w:val="21"/>
                    </w:rPr>
                    <w:t>工作内容</w:t>
                  </w:r>
                </w:p>
              </w:tc>
              <w:tc>
                <w:tcPr>
                  <w:tcW w:type="dxa" w:w="2114"/>
                  <w:tcBorders>
                    <w:top w:val="single" w:color="000000" w:sz="4"/>
                    <w:left w:val="none" w:color="000000" w:sz="4"/>
                    <w:bottom w:val="single" w:color="000000" w:sz="4"/>
                    <w:right w:val="single" w:color="000000" w:sz="4"/>
                  </w:tcBorders>
                  <w:tcMar>
                    <w:top w:type="dxa" w:w="30"/>
                    <w:left w:type="dxa" w:w="105"/>
                    <w:bottom w:type="dxa" w:w="30"/>
                    <w:right w:type="dxa" w:w="105"/>
                  </w:tcMar>
                </w:tcPr>
                <w:p>
                  <w:pPr>
                    <w:pStyle w:val="null3"/>
                    <w:jc w:val="both"/>
                  </w:pPr>
                  <w:r>
                    <w:rPr>
                      <w:sz w:val="21"/>
                    </w:rPr>
                    <w:t>里程碑事件</w:t>
                  </w:r>
                </w:p>
              </w:tc>
              <w:tc>
                <w:tcPr>
                  <w:tcW w:type="dxa" w:w="1428"/>
                  <w:tcBorders>
                    <w:top w:val="single" w:color="000000" w:sz="4"/>
                    <w:left w:val="none" w:color="000000" w:sz="4"/>
                    <w:bottom w:val="single" w:color="000000" w:sz="4"/>
                    <w:right w:val="single" w:color="000000" w:sz="4"/>
                  </w:tcBorders>
                  <w:tcMar>
                    <w:top w:type="dxa" w:w="30"/>
                    <w:left w:type="dxa" w:w="105"/>
                    <w:bottom w:type="dxa" w:w="30"/>
                    <w:right w:type="dxa" w:w="105"/>
                  </w:tcMar>
                </w:tcPr>
                <w:p>
                  <w:pPr>
                    <w:pStyle w:val="null3"/>
                    <w:jc w:val="both"/>
                  </w:pPr>
                  <w:r>
                    <w:rPr>
                      <w:sz w:val="21"/>
                    </w:rPr>
                    <w:t>时间</w:t>
                  </w:r>
                </w:p>
              </w:tc>
            </w:tr>
            <w:tr>
              <w:tc>
                <w:tcPr>
                  <w:tcW w:type="dxa" w:w="571"/>
                  <w:tcBorders>
                    <w:top w:val="none" w:color="000000" w:sz="4"/>
                    <w:left w:val="single" w:color="000000" w:sz="4"/>
                    <w:bottom w:val="single" w:color="000000" w:sz="4"/>
                    <w:right w:val="single" w:color="000000" w:sz="4"/>
                  </w:tcBorders>
                  <w:tcMar>
                    <w:top w:type="dxa" w:w="30"/>
                    <w:left w:type="dxa" w:w="105"/>
                    <w:bottom w:type="dxa" w:w="30"/>
                    <w:right w:type="dxa" w:w="105"/>
                  </w:tcMar>
                </w:tcPr>
                <w:p>
                  <w:pPr>
                    <w:pStyle w:val="null3"/>
                    <w:jc w:val="both"/>
                  </w:pPr>
                  <w:r>
                    <w:rPr>
                      <w:sz w:val="21"/>
                    </w:rPr>
                    <w:t>1</w:t>
                  </w:r>
                </w:p>
              </w:tc>
              <w:tc>
                <w:tcPr>
                  <w:tcW w:type="dxa" w:w="1485"/>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jc w:val="both"/>
                  </w:pPr>
                  <w:r>
                    <w:rPr>
                      <w:sz w:val="21"/>
                    </w:rPr>
                    <w:t>项目启动</w:t>
                  </w:r>
                </w:p>
              </w:tc>
              <w:tc>
                <w:tcPr>
                  <w:tcW w:type="dxa" w:w="2114"/>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jc w:val="both"/>
                  </w:pPr>
                  <w:r>
                    <w:rPr>
                      <w:sz w:val="21"/>
                    </w:rPr>
                    <w:t>项目正式启动</w:t>
                  </w:r>
                </w:p>
              </w:tc>
              <w:tc>
                <w:tcPr>
                  <w:tcW w:type="dxa" w:w="1428"/>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jc w:val="both"/>
                  </w:pPr>
                  <w:r>
                    <w:rPr>
                      <w:sz w:val="21"/>
                    </w:rPr>
                    <w:t>T+0</w:t>
                  </w:r>
                </w:p>
              </w:tc>
            </w:tr>
            <w:tr>
              <w:tc>
                <w:tcPr>
                  <w:tcW w:type="dxa" w:w="571"/>
                  <w:tcBorders>
                    <w:top w:val="none" w:color="000000" w:sz="4"/>
                    <w:left w:val="single" w:color="000000" w:sz="4"/>
                    <w:bottom w:val="single" w:color="000000" w:sz="4"/>
                    <w:right w:val="single" w:color="000000" w:sz="4"/>
                  </w:tcBorders>
                  <w:tcMar>
                    <w:top w:type="dxa" w:w="30"/>
                    <w:left w:type="dxa" w:w="105"/>
                    <w:bottom w:type="dxa" w:w="30"/>
                    <w:right w:type="dxa" w:w="105"/>
                  </w:tcMar>
                </w:tcPr>
                <w:p>
                  <w:pPr>
                    <w:pStyle w:val="null3"/>
                    <w:jc w:val="both"/>
                  </w:pPr>
                  <w:r>
                    <w:rPr>
                      <w:sz w:val="21"/>
                    </w:rPr>
                    <w:t>2</w:t>
                  </w:r>
                </w:p>
              </w:tc>
              <w:tc>
                <w:tcPr>
                  <w:tcW w:type="dxa" w:w="1485"/>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jc w:val="both"/>
                  </w:pPr>
                  <w:r>
                    <w:rPr>
                      <w:sz w:val="21"/>
                    </w:rPr>
                    <w:t>开展系统业务运营工作</w:t>
                  </w:r>
                </w:p>
              </w:tc>
              <w:tc>
                <w:tcPr>
                  <w:tcW w:type="dxa" w:w="2114"/>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jc w:val="both"/>
                  </w:pPr>
                  <w:r>
                    <w:rPr>
                      <w:sz w:val="21"/>
                    </w:rPr>
                    <w:t>按需/定时开展业务运营服务</w:t>
                  </w:r>
                </w:p>
              </w:tc>
              <w:tc>
                <w:tcPr>
                  <w:tcW w:type="dxa" w:w="1428"/>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jc w:val="both"/>
                  </w:pPr>
                  <w:r>
                    <w:rPr>
                      <w:sz w:val="21"/>
                    </w:rPr>
                    <w:t>T+1</w:t>
                  </w:r>
                  <w:r>
                    <w:rPr>
                      <w:sz w:val="21"/>
                    </w:rPr>
                    <w:t>天</w:t>
                  </w:r>
                </w:p>
              </w:tc>
            </w:tr>
            <w:tr>
              <w:tc>
                <w:tcPr>
                  <w:tcW w:type="dxa" w:w="571"/>
                  <w:tcBorders>
                    <w:top w:val="none" w:color="000000" w:sz="4"/>
                    <w:left w:val="single" w:color="000000" w:sz="4"/>
                    <w:bottom w:val="single" w:color="000000" w:sz="4"/>
                    <w:right w:val="single" w:color="000000" w:sz="4"/>
                  </w:tcBorders>
                  <w:tcMar>
                    <w:top w:type="dxa" w:w="30"/>
                    <w:left w:type="dxa" w:w="105"/>
                    <w:bottom w:type="dxa" w:w="30"/>
                    <w:right w:type="dxa" w:w="105"/>
                  </w:tcMar>
                </w:tcPr>
                <w:p>
                  <w:pPr>
                    <w:pStyle w:val="null3"/>
                    <w:jc w:val="both"/>
                  </w:pPr>
                  <w:r>
                    <w:rPr>
                      <w:sz w:val="21"/>
                    </w:rPr>
                    <w:t>3</w:t>
                  </w:r>
                </w:p>
              </w:tc>
              <w:tc>
                <w:tcPr>
                  <w:tcW w:type="dxa" w:w="1485"/>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jc w:val="both"/>
                  </w:pPr>
                  <w:r>
                    <w:rPr>
                      <w:sz w:val="21"/>
                    </w:rPr>
                    <w:t>项目交付验收</w:t>
                  </w:r>
                </w:p>
              </w:tc>
              <w:tc>
                <w:tcPr>
                  <w:tcW w:type="dxa" w:w="2114"/>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jc w:val="both"/>
                  </w:pPr>
                  <w:r>
                    <w:rPr>
                      <w:sz w:val="21"/>
                    </w:rPr>
                    <w:t>服务交付100%</w:t>
                  </w:r>
                </w:p>
              </w:tc>
              <w:tc>
                <w:tcPr>
                  <w:tcW w:type="dxa" w:w="1428"/>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jc w:val="both"/>
                  </w:pPr>
                  <w:r>
                    <w:rPr>
                      <w:sz w:val="21"/>
                    </w:rPr>
                    <w:t>T+365</w:t>
                  </w:r>
                  <w:r>
                    <w:rPr>
                      <w:sz w:val="21"/>
                    </w:rPr>
                    <w:t>天</w:t>
                  </w:r>
                </w:p>
              </w:tc>
            </w:tr>
          </w:tbl>
          <w:p>
            <w:pPr>
              <w:pStyle w:val="null3"/>
              <w:jc w:val="both"/>
            </w:pPr>
            <w:r>
              <w:rPr>
                <w:sz w:val="21"/>
              </w:rPr>
              <w:t>2.2.3.</w:t>
            </w:r>
            <w:r>
              <w:rPr>
                <w:sz w:val="21"/>
              </w:rPr>
              <w:t>组织实施要求</w:t>
            </w:r>
          </w:p>
          <w:p>
            <w:pPr>
              <w:pStyle w:val="null3"/>
              <w:ind w:firstLine="420"/>
            </w:pPr>
            <w:r>
              <w:rPr>
                <w:sz w:val="21"/>
              </w:rPr>
              <w:t>为使项目按质、按量、按时及有序实施，投标人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p>
            <w:pPr>
              <w:pStyle w:val="null3"/>
              <w:jc w:val="both"/>
            </w:pPr>
            <w:r>
              <w:rPr>
                <w:sz w:val="21"/>
              </w:rPr>
              <w:t>2.2.4.</w:t>
            </w:r>
            <w:r>
              <w:rPr>
                <w:sz w:val="21"/>
              </w:rPr>
              <w:t>质量保证要求</w:t>
            </w:r>
          </w:p>
          <w:p>
            <w:pPr>
              <w:pStyle w:val="null3"/>
              <w:ind w:firstLine="420"/>
            </w:pPr>
            <w:r>
              <w:rPr>
                <w:sz w:val="21"/>
              </w:rPr>
              <w:t>中标人须按采购人制定的项目质量管理要求开展服务，无条件接受采购人对项目质量管理要求落实情况的监督考核。包括但不限于：根据采购人提出的项目需重点解决问题清单合理制定解决方案，在项目实施过程中将问题予以解决，确保项目服务质量；根据采购人提出的项目管理制度清单，编制相应的项目管理制度文件，进一步规范项目实施过程；根据采购人提出服务团队岗位职责清单，制定岗位职责手册，定岗定人，确保各核心岗位均指派能胜任的专人提供服务。</w:t>
            </w:r>
          </w:p>
          <w:p>
            <w:pPr>
              <w:pStyle w:val="null3"/>
              <w:ind w:firstLine="420"/>
            </w:pPr>
            <w:r>
              <w:rPr>
                <w:sz w:val="21"/>
              </w:rPr>
              <w:t>为保证本项目能按时高质量的顺利完成，规避项目风险或将风险降至最低程度，中标人应建立项目质量管理体系，包括但不限于质量目标、质量指标、岗位责任、问题处理计划、质量评价、整改完善等内容，并建立团队内部奖惩制度。</w:t>
            </w:r>
          </w:p>
          <w:p>
            <w:pPr>
              <w:pStyle w:val="null3"/>
              <w:jc w:val="both"/>
            </w:pPr>
            <w:r>
              <w:rPr>
                <w:sz w:val="21"/>
              </w:rPr>
              <w:t>2.2.5.</w:t>
            </w:r>
            <w:r>
              <w:rPr>
                <w:sz w:val="21"/>
              </w:rPr>
              <w:t>文档管理要求</w:t>
            </w:r>
          </w:p>
          <w:p>
            <w:pPr>
              <w:pStyle w:val="null3"/>
              <w:ind w:firstLine="420"/>
            </w:pPr>
            <w:r>
              <w:rPr>
                <w:sz w:val="21"/>
              </w:rPr>
              <w:t>投标人应在项目完成时，将本项目所有文档、资料汇集成册交付给采购人，所有文件要求用中文书写或有完整的中文注释。验收后，投标人按国家、省以及采购人档案管理要求，向采购人提供装订成册的纸质文档至少2套，电子文档1套。</w:t>
            </w:r>
          </w:p>
          <w:p>
            <w:pPr>
              <w:pStyle w:val="null3"/>
              <w:jc w:val="both"/>
            </w:pPr>
            <w:r>
              <w:rPr>
                <w:sz w:val="21"/>
              </w:rPr>
              <w:t>2.3.</w:t>
            </w:r>
            <w:r>
              <w:rPr>
                <w:sz w:val="21"/>
              </w:rPr>
              <w:t>其他要求</w:t>
            </w:r>
          </w:p>
          <w:p>
            <w:pPr>
              <w:pStyle w:val="null3"/>
              <w:jc w:val="both"/>
            </w:pPr>
            <w:r>
              <w:rPr>
                <w:sz w:val="21"/>
              </w:rPr>
              <w:t>2.3.1.</w:t>
            </w:r>
            <w:r>
              <w:rPr>
                <w:sz w:val="21"/>
              </w:rPr>
              <w:t>服务响应要求</w:t>
            </w:r>
          </w:p>
          <w:p>
            <w:pPr>
              <w:pStyle w:val="null3"/>
              <w:ind w:firstLine="420"/>
            </w:pPr>
            <w:r>
              <w:rPr>
                <w:sz w:val="21"/>
              </w:rPr>
              <w:t>1.</w:t>
            </w:r>
            <w:r>
              <w:rPr>
                <w:sz w:val="21"/>
              </w:rPr>
              <w:t>对严重故障提供7*24小时的现场支援，较严重故障提供5*8小时的现场支援，一般性故障提供远程支援；</w:t>
            </w:r>
          </w:p>
          <w:p>
            <w:pPr>
              <w:pStyle w:val="null3"/>
              <w:ind w:firstLine="420"/>
            </w:pPr>
            <w:r>
              <w:rPr>
                <w:sz w:val="21"/>
              </w:rPr>
              <w:t>2.</w:t>
            </w:r>
            <w:r>
              <w:rPr>
                <w:sz w:val="21"/>
              </w:rPr>
              <w:t>故障服务的快速响应并到达现场时间小于3小时；</w:t>
            </w:r>
          </w:p>
          <w:p>
            <w:pPr>
              <w:pStyle w:val="null3"/>
              <w:ind w:firstLine="420"/>
            </w:pPr>
            <w:r>
              <w:rPr>
                <w:sz w:val="21"/>
              </w:rPr>
              <w:t>3.</w:t>
            </w:r>
            <w:r>
              <w:rPr>
                <w:sz w:val="21"/>
              </w:rPr>
              <w:t>收到故障起2小时内启动故障解决流程，普通故障及时解决。</w:t>
            </w:r>
          </w:p>
          <w:p>
            <w:pPr>
              <w:pStyle w:val="null3"/>
              <w:jc w:val="both"/>
            </w:pPr>
            <w:r>
              <w:rPr>
                <w:sz w:val="21"/>
              </w:rPr>
              <w:t>2.3.2.</w:t>
            </w:r>
            <w:r>
              <w:rPr>
                <w:sz w:val="21"/>
              </w:rPr>
              <w:t>资产权属</w:t>
            </w:r>
          </w:p>
          <w:p>
            <w:pPr>
              <w:pStyle w:val="null3"/>
              <w:ind w:firstLine="420"/>
            </w:pPr>
            <w:r>
              <w:rPr>
                <w:sz w:val="21"/>
              </w:rPr>
              <w:t>1.</w:t>
            </w:r>
            <w:r>
              <w:rPr>
                <w:sz w:val="21"/>
              </w:rPr>
              <w:t>本合同不会引起任何已申请、登记的知识产权所有权的转移。</w:t>
            </w:r>
          </w:p>
          <w:p>
            <w:pPr>
              <w:pStyle w:val="null3"/>
              <w:ind w:firstLine="420"/>
            </w:pPr>
            <w:r>
              <w:rPr>
                <w:sz w:val="21"/>
              </w:rPr>
              <w:t>2.</w:t>
            </w:r>
            <w:r>
              <w:rPr>
                <w:sz w:val="21"/>
              </w:rPr>
              <w:t>中标人为履行本合同义务所形成的服务成果的知识产权归采购人所有。</w:t>
            </w:r>
          </w:p>
          <w:p>
            <w:pPr>
              <w:pStyle w:val="null3"/>
              <w:ind w:firstLine="420"/>
            </w:pPr>
            <w:r>
              <w:rPr>
                <w:sz w:val="21"/>
              </w:rPr>
              <w:t>3.</w:t>
            </w:r>
            <w:r>
              <w:rPr>
                <w:sz w:val="21"/>
              </w:rPr>
              <w:t>本合同所涉及的数据所有权归政府所有。中标人只能用于履行本合同之义务。</w:t>
            </w:r>
          </w:p>
          <w:p>
            <w:pPr>
              <w:pStyle w:val="null3"/>
              <w:ind w:firstLine="420"/>
            </w:pPr>
            <w:r>
              <w:rPr>
                <w:sz w:val="21"/>
              </w:rPr>
              <w:t>4.</w:t>
            </w:r>
            <w:r>
              <w:rPr>
                <w:sz w:val="21"/>
              </w:rPr>
              <w:t>中标人提供的相关软件应是自行开发的产品或具备合法、合规授权，满足知识产权、网络安全等级保护等方面的有关规定和要求。</w:t>
            </w:r>
          </w:p>
          <w:p>
            <w:pPr>
              <w:pStyle w:val="null3"/>
              <w:ind w:firstLine="420"/>
            </w:pPr>
            <w:r>
              <w:rPr>
                <w:sz w:val="21"/>
              </w:rPr>
              <w:t>5.</w:t>
            </w:r>
            <w:r>
              <w:rPr>
                <w:sz w:val="21"/>
              </w:rPr>
              <w:t>中标人保证向采购人提供的服务成果是其独立实施完成，不存在任何侵犯第三方专利权、商标权、著作权等合法权益。如因中标人提供的服务成果侵犯任何第三方的合法权益，导致该第三方追究采购人责任的，中标人应负责解决并赔偿因此给采购人造成的全部损失。</w:t>
            </w:r>
          </w:p>
          <w:p>
            <w:pPr>
              <w:pStyle w:val="null3"/>
              <w:jc w:val="both"/>
            </w:pPr>
            <w:r>
              <w:rPr>
                <w:sz w:val="21"/>
              </w:rPr>
              <w:t>2.3.3.</w:t>
            </w:r>
            <w:r>
              <w:rPr>
                <w:sz w:val="21"/>
              </w:rPr>
              <w:t>保密要求</w:t>
            </w:r>
          </w:p>
          <w:p>
            <w:pPr>
              <w:pStyle w:val="null3"/>
              <w:ind w:firstLine="420"/>
            </w:pPr>
            <w:r>
              <w:rPr>
                <w:sz w:val="21"/>
              </w:rPr>
              <w:t>1.</w:t>
            </w:r>
            <w:r>
              <w:rPr>
                <w:sz w:val="21"/>
              </w:rPr>
              <w:t>中标人应签订保密承诺书，对其因身份、职务、职业或技术关系而知悉的采购人商业秘密和党政机关保密信息应严格保守，保证不被披露或使用，包括意外或过失。</w:t>
            </w:r>
          </w:p>
          <w:p>
            <w:pPr>
              <w:pStyle w:val="null3"/>
              <w:ind w:firstLine="420"/>
            </w:pPr>
            <w:r>
              <w:rPr>
                <w:sz w:val="21"/>
              </w:rPr>
              <w:t>2.</w:t>
            </w:r>
            <w:r>
              <w:rPr>
                <w:sz w:val="21"/>
              </w:rPr>
              <w:t>中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中标人在从事政府项目时，不得擅自记录、复制、拍摄、摘抄、收藏在工作中涉及的保密信息，严禁将涉及政府项目的任何资料、数据透露或以其他方式提供给项目以外的其他方或中标人内部与该项目无关的任何人员。</w:t>
            </w:r>
          </w:p>
          <w:p>
            <w:pPr>
              <w:pStyle w:val="null3"/>
              <w:ind w:firstLine="420"/>
            </w:pPr>
            <w:r>
              <w:rPr>
                <w:sz w:val="21"/>
              </w:rPr>
              <w:t>3.</w:t>
            </w:r>
            <w:r>
              <w:rPr>
                <w:sz w:val="21"/>
              </w:rPr>
              <w:t>中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20"/>
            </w:pPr>
            <w:r>
              <w:rPr>
                <w:sz w:val="21"/>
              </w:rPr>
              <w:t>4.</w:t>
            </w:r>
            <w:r>
              <w:rPr>
                <w:sz w:val="21"/>
              </w:rPr>
              <w:t xml:space="preserve">严禁泄露在工作中接触到的政府机关科技研究、发明、装备器材及其技术资料和政府工作信息。  </w:t>
            </w:r>
          </w:p>
          <w:p>
            <w:pPr>
              <w:pStyle w:val="null3"/>
              <w:jc w:val="both"/>
            </w:pPr>
            <w:r>
              <w:rPr>
                <w:sz w:val="21"/>
              </w:rPr>
              <w:t>2.3.4.</w:t>
            </w:r>
            <w:r>
              <w:rPr>
                <w:sz w:val="21"/>
              </w:rPr>
              <w:t>监理要求</w:t>
            </w:r>
          </w:p>
          <w:p>
            <w:pPr>
              <w:pStyle w:val="null3"/>
              <w:ind w:firstLine="420"/>
            </w:pPr>
            <w:r>
              <w:rPr>
                <w:sz w:val="21"/>
              </w:rPr>
              <w:t>中标人在项目开展过程中接受采购人指定的监理机构的监理。</w:t>
            </w:r>
          </w:p>
          <w:p>
            <w:pPr>
              <w:pStyle w:val="null3"/>
              <w:jc w:val="both"/>
            </w:pPr>
            <w:r>
              <w:rPr>
                <w:sz w:val="21"/>
              </w:rPr>
              <w:t>2.3.5.</w:t>
            </w:r>
            <w:r>
              <w:rPr>
                <w:sz w:val="21"/>
              </w:rPr>
              <w:t>考核评价要求</w:t>
            </w:r>
          </w:p>
          <w:p>
            <w:pPr>
              <w:pStyle w:val="null3"/>
              <w:jc w:val="both"/>
            </w:pPr>
            <w:r>
              <w:rPr>
                <w:sz w:val="21"/>
              </w:rPr>
              <w:t>考核制度如下：</w:t>
            </w:r>
          </w:p>
          <w:tbl>
            <w:tblGrid>
              <w:gridCol w:w="404"/>
              <w:gridCol w:w="289"/>
              <w:gridCol w:w="519"/>
              <w:gridCol w:w="3694"/>
              <w:gridCol w:w="346"/>
              <w:gridCol w:w="346"/>
            </w:tblGrid>
            <w:tr>
              <w:tc>
                <w:tcPr>
                  <w:tcW w:type="dxa" w:w="404"/>
                  <w:tcBorders>
                    <w:top w:val="single" w:color="000000" w:sz="4"/>
                    <w:left w:val="single" w:color="000000" w:sz="4"/>
                    <w:bottom w:val="single" w:color="000000" w:sz="4"/>
                    <w:right w:val="single" w:color="000000" w:sz="4"/>
                  </w:tcBorders>
                  <w:shd w:fill="DCD8C2"/>
                  <w:tcMar>
                    <w:top w:type="dxa" w:w="0"/>
                    <w:left w:type="dxa" w:w="105"/>
                    <w:bottom w:type="dxa" w:w="0"/>
                    <w:right w:type="dxa" w:w="105"/>
                  </w:tcMar>
                </w:tcPr>
                <w:p>
                  <w:pPr>
                    <w:pStyle w:val="null3"/>
                    <w:jc w:val="both"/>
                  </w:pPr>
                  <w:r>
                    <w:rPr>
                      <w:sz w:val="21"/>
                    </w:rPr>
                    <w:t>序号</w:t>
                  </w:r>
                </w:p>
              </w:tc>
              <w:tc>
                <w:tcPr>
                  <w:tcW w:type="dxa" w:w="808"/>
                  <w:gridSpan w:val="2"/>
                  <w:tcBorders>
                    <w:top w:val="single" w:color="000000" w:sz="4"/>
                    <w:left w:val="none" w:color="000000" w:sz="4"/>
                    <w:bottom w:val="single" w:color="000000" w:sz="4"/>
                    <w:right w:val="single" w:color="000000" w:sz="4"/>
                  </w:tcBorders>
                  <w:shd w:fill="DCD8C2"/>
                  <w:tcMar>
                    <w:top w:type="dxa" w:w="0"/>
                    <w:left w:type="dxa" w:w="105"/>
                    <w:bottom w:type="dxa" w:w="0"/>
                    <w:right w:type="dxa" w:w="105"/>
                  </w:tcMar>
                </w:tcPr>
                <w:p>
                  <w:pPr>
                    <w:pStyle w:val="null3"/>
                    <w:jc w:val="both"/>
                  </w:pPr>
                  <w:r>
                    <w:rPr>
                      <w:sz w:val="21"/>
                    </w:rPr>
                    <w:t>考核指标</w:t>
                  </w:r>
                </w:p>
              </w:tc>
              <w:tc>
                <w:tcPr>
                  <w:tcW w:type="dxa" w:w="3694"/>
                  <w:tcBorders>
                    <w:top w:val="single" w:color="000000" w:sz="4"/>
                    <w:left w:val="none" w:color="000000" w:sz="4"/>
                    <w:bottom w:val="single" w:color="000000" w:sz="4"/>
                    <w:right w:val="single" w:color="000000" w:sz="4"/>
                  </w:tcBorders>
                  <w:shd w:fill="DCD8C2"/>
                  <w:tcMar>
                    <w:top w:type="dxa" w:w="0"/>
                    <w:left w:type="dxa" w:w="105"/>
                    <w:bottom w:type="dxa" w:w="0"/>
                    <w:right w:type="dxa" w:w="105"/>
                  </w:tcMar>
                </w:tcPr>
                <w:p>
                  <w:pPr>
                    <w:pStyle w:val="null3"/>
                    <w:jc w:val="both"/>
                  </w:pPr>
                  <w:r>
                    <w:rPr>
                      <w:sz w:val="21"/>
                    </w:rPr>
                    <w:t>评分标准</w:t>
                  </w:r>
                </w:p>
              </w:tc>
              <w:tc>
                <w:tcPr>
                  <w:tcW w:type="dxa" w:w="346"/>
                  <w:tcBorders>
                    <w:top w:val="single" w:color="000000" w:sz="4"/>
                    <w:left w:val="none" w:color="000000" w:sz="4"/>
                    <w:bottom w:val="single" w:color="000000" w:sz="4"/>
                    <w:right w:val="single" w:color="000000" w:sz="4"/>
                  </w:tcBorders>
                  <w:shd w:fill="DCD8C2"/>
                  <w:tcMar>
                    <w:top w:type="dxa" w:w="0"/>
                    <w:left w:type="dxa" w:w="105"/>
                    <w:bottom w:type="dxa" w:w="0"/>
                    <w:right w:type="dxa" w:w="105"/>
                  </w:tcMar>
                </w:tcPr>
                <w:p>
                  <w:pPr>
                    <w:pStyle w:val="null3"/>
                    <w:jc w:val="both"/>
                  </w:pPr>
                  <w:r>
                    <w:rPr>
                      <w:sz w:val="21"/>
                    </w:rPr>
                    <w:t>扣分上限</w:t>
                  </w:r>
                </w:p>
              </w:tc>
              <w:tc>
                <w:tcPr>
                  <w:tcW w:type="dxa" w:w="346"/>
                  <w:tcBorders>
                    <w:top w:val="single" w:color="000000" w:sz="4"/>
                    <w:left w:val="none" w:color="000000" w:sz="4"/>
                    <w:bottom w:val="single" w:color="000000" w:sz="4"/>
                    <w:right w:val="single" w:color="000000" w:sz="4"/>
                  </w:tcBorders>
                  <w:shd w:fill="DCD8C2"/>
                  <w:tcMar>
                    <w:top w:type="dxa" w:w="0"/>
                    <w:left w:type="dxa" w:w="105"/>
                    <w:bottom w:type="dxa" w:w="0"/>
                    <w:right w:type="dxa" w:w="105"/>
                  </w:tcMar>
                </w:tcPr>
                <w:p>
                  <w:pPr>
                    <w:pStyle w:val="null3"/>
                    <w:jc w:val="both"/>
                  </w:pPr>
                  <w:r>
                    <w:rPr>
                      <w:sz w:val="21"/>
                    </w:rPr>
                    <w:t>扣分值</w:t>
                  </w: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2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数 据 质 量 情 况</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数据完整性</w:t>
                  </w: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数据完整，包含所有必要的信息，没有任何缺失或空值，不扣分。</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4"/>
                  <w:vMerge/>
                  <w:tcBorders>
                    <w:top w:val="none" w:color="000000" w:sz="4"/>
                    <w:left w:val="singl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数据有一定程度的缺失，缺失的信息不会对整体数据的解释产生重大影响，扣1-4分。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数据缺失严重，缺失的信息严重影响整体数据的使用，扣5-10分。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289"/>
                  <w:vMerge/>
                  <w:tcBorders>
                    <w:top w:val="none" w:color="000000" w:sz="4"/>
                    <w:left w:val="none" w:color="000000" w:sz="4"/>
                    <w:bottom w:val="single" w:color="000000" w:sz="4"/>
                    <w:right w:val="single" w:color="000000" w:sz="4"/>
                  </w:tcBorders>
                </w:tcP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数据准确性</w:t>
                  </w: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数据准确无误，与实际情况完全一致，不扣分。</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4"/>
                  <w:vMerge/>
                  <w:tcBorders>
                    <w:top w:val="none" w:color="000000" w:sz="4"/>
                    <w:left w:val="singl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数据存在一定程度的错误或不一致，但不影响整体数据的使用，扣1-4分。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数据错误严重，严重影响整体数据的使用，扣5-10分。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p>
              </w:tc>
              <w:tc>
                <w:tcPr>
                  <w:tcW w:type="dxa" w:w="289"/>
                  <w:vMerge/>
                  <w:tcBorders>
                    <w:top w:val="none" w:color="000000" w:sz="4"/>
                    <w:left w:val="none" w:color="000000" w:sz="4"/>
                    <w:bottom w:val="single" w:color="000000" w:sz="4"/>
                    <w:right w:val="single" w:color="000000" w:sz="4"/>
                  </w:tcBorders>
                </w:tcP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数据时效性</w:t>
                  </w: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数据及时更新，能够反映当前的情况，更新频率高，满足实际使用需求，不扣分。</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4"/>
                  <w:vMerge/>
                  <w:tcBorders>
                    <w:top w:val="none" w:color="000000" w:sz="4"/>
                    <w:left w:val="singl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数据更新有一定延迟，不能完全反映当前情况，但不影响整体数据的使用，扣1-4分。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数据更新严重滞后，不能反映当前情况，严重影响数据的使用，扣5-10分。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p>
              </w:tc>
              <w:tc>
                <w:tcPr>
                  <w:tcW w:type="dxa" w:w="2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项 目 实 施 情 况</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实施进度</w:t>
                  </w: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实施进度符合合同服务期要求，未出现项目延期情况的，不扣分。</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4"/>
                  <w:vMerge/>
                  <w:tcBorders>
                    <w:top w:val="none" w:color="000000" w:sz="4"/>
                    <w:left w:val="singl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实施进度未符合合同服务期要求，延期小于3个月的，扣1分。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实施进度未符合合同服务期要求，延期时间介于3-6个月的（含3个月），扣2分。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r>
                    <w:rPr>
                      <w:sz w:val="21"/>
                    </w:rPr>
                    <w:t>实施进度未符合合同服务期要求，延期时间介于6-12个月的（含6个月），扣4分。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r>
                    <w:rPr>
                      <w:sz w:val="21"/>
                    </w:rPr>
                    <w:t>实施进度未符合合同服务期要求，延期时间达到12个月及以上的，扣10分。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p>
              </w:tc>
              <w:tc>
                <w:tcPr>
                  <w:tcW w:type="dxa" w:w="289"/>
                  <w:vMerge/>
                  <w:tcBorders>
                    <w:top w:val="none" w:color="000000" w:sz="4"/>
                    <w:left w:val="none" w:color="000000" w:sz="4"/>
                    <w:bottom w:val="single" w:color="000000" w:sz="4"/>
                    <w:right w:val="single" w:color="000000" w:sz="4"/>
                  </w:tcBorders>
                </w:tcP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文档管理</w:t>
                  </w: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未能按双方商议规定的时间内提交文档的，扣0.5分/次。</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4"/>
                  <w:vMerge/>
                  <w:tcBorders>
                    <w:top w:val="none" w:color="000000" w:sz="4"/>
                    <w:left w:val="singl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文档中存在的问题未能按要求进行整改的，扣0.5分/次。</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文档存在内容缺失或不完整或数据有误的，扣0.5分/次。</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p>
              </w:tc>
              <w:tc>
                <w:tcPr>
                  <w:tcW w:type="dxa" w:w="289"/>
                  <w:vMerge/>
                  <w:tcBorders>
                    <w:top w:val="none" w:color="000000" w:sz="4"/>
                    <w:left w:val="none" w:color="000000" w:sz="4"/>
                    <w:bottom w:val="single" w:color="000000" w:sz="4"/>
                    <w:right w:val="single" w:color="000000" w:sz="4"/>
                  </w:tcBorders>
                </w:tcP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需求分析</w:t>
                  </w: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需求理解能力较好，能清晰理解用户业务需求的，不扣分。</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4"/>
                  <w:vMerge/>
                  <w:tcBorders>
                    <w:top w:val="none" w:color="000000" w:sz="4"/>
                    <w:left w:val="singl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需求理解能力一般，能基本理解用户业务需求的，扣1-4分。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需求理解能力较差，无法理解用户业务需求的，扣5-10分。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7</w:t>
                  </w:r>
                </w:p>
              </w:tc>
              <w:tc>
                <w:tcPr>
                  <w:tcW w:type="dxa" w:w="289"/>
                  <w:vMerge/>
                  <w:tcBorders>
                    <w:top w:val="none" w:color="000000" w:sz="4"/>
                    <w:left w:val="none" w:color="000000" w:sz="4"/>
                    <w:bottom w:val="single" w:color="000000" w:sz="4"/>
                    <w:right w:val="single" w:color="000000" w:sz="4"/>
                  </w:tcBorders>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问题处理</w:t>
                  </w: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系统存在问题未能在用户要求时限内有效解决的，扣0.5分/次。</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8</w:t>
                  </w:r>
                </w:p>
              </w:tc>
              <w:tc>
                <w:tcPr>
                  <w:tcW w:type="dxa" w:w="289"/>
                  <w:vMerge/>
                  <w:tcBorders>
                    <w:top w:val="none" w:color="000000" w:sz="4"/>
                    <w:left w:val="none" w:color="000000" w:sz="4"/>
                    <w:bottom w:val="single" w:color="000000" w:sz="4"/>
                    <w:right w:val="single" w:color="000000" w:sz="4"/>
                  </w:tcBorders>
                </w:tcP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培训工作</w:t>
                  </w: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经回访，用户满意度高，培训效果好，使参加者能够更好地应用系统，提高工作效率和质量，不扣分。</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4"/>
                  <w:vMerge/>
                  <w:tcBorders>
                    <w:top w:val="none" w:color="000000" w:sz="4"/>
                    <w:left w:val="singl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经回访，用户满意度一般，培训效果普通，参加者能基本理解系统操作使用流程，扣1-3分。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经回访，用户满意度低，培训效果较差，参加者对培训成效评价较低的，扣4-5分。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9</w:t>
                  </w:r>
                </w:p>
              </w:tc>
              <w:tc>
                <w:tcPr>
                  <w:tcW w:type="dxa" w:w="2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团 队 服 务 情 况</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项目经理能力</w:t>
                  </w: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项目经理能较好的掌握项目进展，主动、清晰地向用户汇报实施情况，并积极有效协调各方解决存在问题的，不扣分。</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4"/>
                  <w:vMerge/>
                  <w:tcBorders>
                    <w:top w:val="none" w:color="000000" w:sz="4"/>
                    <w:left w:val="singl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项目经理未能掌握项目进展，且未能定期向用户汇报实施情况的，扣1-2分。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项目经理对项目进展掌握程度较低，无法有效地向用户汇报实施情况，且对存在问题解决能力较弱的，扣3-5分。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p>
              </w:tc>
              <w:tc>
                <w:tcPr>
                  <w:tcW w:type="dxa" w:w="289"/>
                  <w:vMerge/>
                  <w:tcBorders>
                    <w:top w:val="none" w:color="000000" w:sz="4"/>
                    <w:left w:val="none" w:color="000000" w:sz="4"/>
                    <w:bottom w:val="single" w:color="000000" w:sz="4"/>
                    <w:right w:val="single" w:color="000000" w:sz="4"/>
                  </w:tcBorders>
                </w:tcP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团队专业能力</w:t>
                  </w: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团队人员专业领域业务、知识掌握程度较高的，不扣分。</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4"/>
                  <w:vMerge/>
                  <w:tcBorders>
                    <w:top w:val="none" w:color="000000" w:sz="4"/>
                    <w:left w:val="singl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团队人员专业领域业务、知识掌握程度一般的，扣1-5分。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团队人员专业领域业务、知识掌握程度较差的，扣6-10分。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11</w:t>
                  </w:r>
                </w:p>
              </w:tc>
              <w:tc>
                <w:tcPr>
                  <w:tcW w:type="dxa" w:w="289"/>
                  <w:vMerge/>
                  <w:tcBorders>
                    <w:top w:val="none" w:color="000000" w:sz="4"/>
                    <w:left w:val="none" w:color="000000" w:sz="4"/>
                    <w:bottom w:val="single" w:color="000000" w:sz="4"/>
                    <w:right w:val="single" w:color="000000" w:sz="4"/>
                  </w:tcBorders>
                </w:tcP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团队服务态度</w:t>
                  </w: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服务态度良好，积极回应用户需求，解决问题及时，不扣分。</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4"/>
                  <w:vMerge/>
                  <w:tcBorders>
                    <w:top w:val="none" w:color="000000" w:sz="4"/>
                    <w:left w:val="singl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服务态度一般，但能回应用户需求，解决问题较及时，扣1-2分。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服务态度较差，回应用户需求不积极，解决问题不及时，扣3-5分。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12</w:t>
                  </w:r>
                </w:p>
              </w:tc>
              <w:tc>
                <w:tcPr>
                  <w:tcW w:type="dxa" w:w="289"/>
                  <w:vMerge/>
                  <w:tcBorders>
                    <w:top w:val="none" w:color="000000" w:sz="4"/>
                    <w:left w:val="none" w:color="000000" w:sz="4"/>
                    <w:bottom w:val="single" w:color="000000" w:sz="4"/>
                    <w:right w:val="single" w:color="000000" w:sz="4"/>
                  </w:tcBorders>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团队稳定性</w:t>
                  </w: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项目经理和核心技术人员在实施过程中发生更换的，扣1分/次。</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13</w:t>
                  </w:r>
                </w:p>
              </w:tc>
              <w:tc>
                <w:tcPr>
                  <w:tcW w:type="dxa" w:w="289"/>
                  <w:vMerge/>
                  <w:tcBorders>
                    <w:top w:val="none" w:color="000000" w:sz="4"/>
                    <w:left w:val="none" w:color="000000" w:sz="4"/>
                    <w:bottom w:val="single" w:color="000000" w:sz="4"/>
                    <w:right w:val="single" w:color="000000" w:sz="4"/>
                  </w:tcBorders>
                </w:tcP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团队协作</w:t>
                  </w: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团队协作良好，各个单位/部门之间沟通顺畅，协作高效，不扣分。</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4"/>
                  <w:vMerge/>
                  <w:tcBorders>
                    <w:top w:val="none" w:color="000000" w:sz="4"/>
                    <w:left w:val="singl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团队协作较好，各单位/部门之间沟通基本顺畅，协作效率较高，扣1-3分。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团队协作较差，各单位/部门之间沟通不畅，协作效率低下，扣4-5分。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14</w:t>
                  </w:r>
                </w:p>
              </w:tc>
              <w:tc>
                <w:tcPr>
                  <w:tcW w:type="dxa" w:w="808"/>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扣分项</w:t>
                  </w: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根据以下情况的情节轻重，扣10-100分：</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4"/>
                  <w:vMerge/>
                  <w:tcBorders>
                    <w:top w:val="none" w:color="000000" w:sz="4"/>
                    <w:left w:val="single" w:color="000000" w:sz="4"/>
                    <w:bottom w:val="single" w:color="000000" w:sz="4"/>
                    <w:right w:val="single" w:color="000000" w:sz="4"/>
                  </w:tcBorders>
                </w:tcPr>
                <w:p/>
              </w:tc>
              <w:tc>
                <w:tcPr>
                  <w:tcW w:type="dxa" w:w="808"/>
                  <w:gridSpan w:val="2"/>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开发商擅自泄露、拷贝、传播局方数据的。</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808"/>
                  <w:gridSpan w:val="2"/>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由于系统漏洞问题导致数据泄露事故发生的。</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808"/>
                  <w:gridSpan w:val="2"/>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由于系统设计问题，导致在用户使用、网络传输等过程中出现数据泄露的。</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808"/>
                  <w:gridSpan w:val="2"/>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r>
                    <w:rPr>
                      <w:sz w:val="21"/>
                    </w:rPr>
                    <w:t>由于开发人员操作失误导致系统故障或数据泄露的。</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15</w:t>
                  </w:r>
                </w:p>
              </w:tc>
              <w:tc>
                <w:tcPr>
                  <w:tcW w:type="dxa" w:w="808"/>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加分项</w:t>
                  </w: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能积极配合用户完成日常业务工作的，加1-5分。</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4"/>
                  <w:vMerge/>
                  <w:tcBorders>
                    <w:top w:val="none" w:color="000000" w:sz="4"/>
                    <w:left w:val="single" w:color="000000" w:sz="4"/>
                    <w:bottom w:val="single" w:color="000000" w:sz="4"/>
                    <w:right w:val="single" w:color="000000" w:sz="4"/>
                  </w:tcBorders>
                </w:tcPr>
                <w:p/>
              </w:tc>
              <w:tc>
                <w:tcPr>
                  <w:tcW w:type="dxa" w:w="808"/>
                  <w:gridSpan w:val="2"/>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实施过程中，能提出创新性建议，提升项目执行效率与质量的，加2-3分。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808"/>
                  <w:gridSpan w:val="2"/>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能根据系统业务情况，做好系统安全性设计工作，能有效防止未经授权的访问和数据泄露，加2-4分。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808"/>
                  <w:gridSpan w:val="2"/>
                  <w:vMerge/>
                  <w:tcBorders>
                    <w:top w:val="none" w:color="000000" w:sz="4"/>
                    <w:left w:val="none" w:color="000000" w:sz="4"/>
                    <w:bottom w:val="single" w:color="000000" w:sz="4"/>
                    <w:right w:val="single" w:color="000000" w:sz="4"/>
                  </w:tcBorders>
                </w:tcPr>
                <w:p/>
              </w:tc>
              <w:tc>
                <w:tcPr>
                  <w:tcW w:type="dxa" w:w="3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r>
                    <w:rPr>
                      <w:sz w:val="21"/>
                    </w:rPr>
                    <w:t>实施过程中获得用户书面表彰的，加5分。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559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考核单位：（盖章）</w:t>
                  </w:r>
                  <w:r>
                    <w:br/>
                  </w:r>
                  <w:r>
                    <w:rPr>
                      <w:sz w:val="21"/>
                    </w:rPr>
                    <w:t xml:space="preserve"> 考核得分：</w:t>
                  </w:r>
                  <w:r>
                    <w:br/>
                  </w:r>
                  <w:r>
                    <w:rPr>
                      <w:sz w:val="21"/>
                    </w:rPr>
                    <w:t xml:space="preserve"> 考 核 人：</w:t>
                  </w:r>
                  <w:r>
                    <w:br/>
                  </w:r>
                  <w:r>
                    <w:rPr>
                      <w:sz w:val="21"/>
                    </w:rPr>
                    <w:t xml:space="preserve"> 考核时间：</w:t>
                  </w:r>
                </w:p>
              </w:tc>
            </w:tr>
            <w:tr>
              <w:tc>
                <w:tcPr>
                  <w:tcW w:type="dxa" w:w="5598"/>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、考核时间</w:t>
                  </w:r>
                  <w:r>
                    <w:br/>
                  </w:r>
                  <w:r>
                    <w:rPr>
                      <w:sz w:val="21"/>
                    </w:rPr>
                    <w:t xml:space="preserve"> 中期验收和最终验收后10个工作日内。</w:t>
                  </w:r>
                  <w:r>
                    <w:br/>
                  </w:r>
                  <w:r>
                    <w:rPr>
                      <w:sz w:val="21"/>
                    </w:rPr>
                    <w:t xml:space="preserve"> 2、评分标准</w:t>
                  </w:r>
                  <w:r>
                    <w:br/>
                  </w:r>
                  <w:r>
                    <w:rPr>
                      <w:sz w:val="21"/>
                    </w:rPr>
                    <w:t xml:space="preserve"> （1）总评分满分为100分。</w:t>
                  </w:r>
                  <w:r>
                    <w:br/>
                  </w:r>
                  <w:r>
                    <w:rPr>
                      <w:sz w:val="21"/>
                    </w:rPr>
                    <w:t xml:space="preserve"> （2）总评分=100-各项指标扣分累计-扣分项+加分项。</w:t>
                  </w:r>
                  <w:r>
                    <w:br/>
                  </w:r>
                  <w:r>
                    <w:rPr>
                      <w:sz w:val="21"/>
                    </w:rPr>
                    <w:t xml:space="preserve"> （3）若项目服务内容未涵盖相应的考核指标项，则不扣分。</w:t>
                  </w:r>
                  <w:r>
                    <w:br/>
                  </w:r>
                  <w:r>
                    <w:rPr>
                      <w:sz w:val="21"/>
                    </w:rPr>
                    <w:t xml:space="preserve"> 3、综合得分计算：</w:t>
                  </w:r>
                  <w:r>
                    <w:br/>
                  </w:r>
                  <w:r>
                    <w:rPr>
                      <w:sz w:val="21"/>
                    </w:rPr>
                    <w:t xml:space="preserve"> 综合得分计算公式为：业务处室考核得分70% + 监理考核得分30%。</w:t>
                  </w:r>
                  <w:r>
                    <w:br/>
                  </w:r>
                  <w:r>
                    <w:rPr>
                      <w:sz w:val="21"/>
                    </w:rPr>
                    <w:t xml:space="preserve"> 4、结算方法：</w:t>
                  </w:r>
                  <w:r>
                    <w:br/>
                  </w:r>
                  <w:r>
                    <w:rPr>
                      <w:sz w:val="21"/>
                    </w:rPr>
                    <w:t xml:space="preserve"> （1）若综合得分达到或超过80分，则不扣款。</w:t>
                  </w:r>
                  <w:r>
                    <w:br/>
                  </w:r>
                  <w:r>
                    <w:rPr>
                      <w:sz w:val="21"/>
                    </w:rPr>
                    <w:t xml:space="preserve"> （2）若综合得分在60分至80分之间（含60分），则按照线性考核比例支付，即结算款 = 考核款 * (综合得分 / 80)。</w:t>
                  </w:r>
                  <w:r>
                    <w:br/>
                  </w:r>
                  <w:r>
                    <w:rPr>
                      <w:sz w:val="21"/>
                    </w:rPr>
                    <w:t xml:space="preserve"> （3）若综合得分低于60分，则支付考核款的一半，即结算款 = 考核款 / 2。</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广东省市场监督管理局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 （1）以项目预算金额作为招标代理服务费的计算基数； （2）招标代理服务费采用差额定率累进法进行计算，按照以下标准计取：100万元以下的部分，按照1.5%计取；100-500万元的部分，按照0.8%计取；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一、便利化措施（本招标文件其他条款与本条不一致的，以本条为准），投标文件的递交与开标 1.各投标供应商可以通过“中国邮政”、“EMS”、“顺丰快递”等快递方式，按照采购文件要求在规定的投标截止时间前将《投标文件》及相关样品（如有）送达到开标地点，快递单上应清晰写明如下信息：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w:t>
            </w:r>
          </w:p>
          <w:p>
            <w:pPr>
              <w:pStyle w:val="null3"/>
              <w:jc w:val="left"/>
            </w:pPr>
            <w:r>
              <w:rPr/>
              <w:t>中标（成交）通知书与发票送达：，中标（成交）通知书、服务费（标书款）发票现场领取或邮寄，中标（成交）通知书、我司可通过快递方式送达给中标（成交）人，服务费（标书款）发票以邮件方式发送电子发票。</w:t>
            </w:r>
          </w:p>
          <w:p>
            <w:pPr>
              <w:pStyle w:val="null3"/>
              <w:jc w:val="left"/>
            </w:pPr>
            <w:r>
              <w:rPr/>
              <w:t>采购合同送达：，中标（成交）人可采用邮寄方式将签订的合同或现场递交我司。1）收件地址：广州市天河区龙怡路117号银汇大厦5楼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省市场监管局智慧决策中心运营服务（2025年）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采购包1（省市场监管局智慧决策中心运营服务（2025年）项目）：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1、服务由小微企业承接，即提供服务的人员为小微企业依照《中华人民共和国劳动合同法》订立劳动合同的从业人员时，给予价格扣除（K1的取值为10%），即：评标价＝修正后的报价*（1-K1）； 2、本条款所称小型或微型企业应当符合以下条件：符合《工业和信息化部、国家统计局、国家发展和改革委员会、财政部关于印发中小企业划型标准规定的通知》（工信部联企业[2011]300号）规定的对小型或微型企业的划分标准； 3、参加政府采购活动的中小企业应当提供《中小企业声明函》。符合残疾人福利性单位认定条件的，应当提供《残疾人福利性单位声明函》（详见第五部分 响应文件格式第四章）。符合监狱企业单位认定条件的，应当提供由省级以上监狱管理局、戒毒管理局(含新疆生产建设兵团)出具的属于监狱企业的证明文件； 4、监狱企业、残疾人福利性单位视同小型、微型企业，享受以上价格扣除政策； 5、监狱企业、残疾人福利性单位本身属于小型、微型企业的，不重复享受政策。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采购包1（省市场监管局智慧决策中心运营服务（2025年）项目）：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采购包1（省市场监管局智慧决策中心运营服务（2025年）项目）：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采购包1(省市场监管局智慧决策中心运营服务（2025年）项目):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 (10.0分)</w:t>
            </w:r>
          </w:p>
        </w:tc>
        <w:tc>
          <w:tcPr>
            <w:tcW w:type="dxa" w:w="5076"/>
          </w:tcPr>
          <w:p>
            <w:pPr>
              <w:pStyle w:val="null3"/>
              <w:jc w:val="left"/>
            </w:pPr>
            <w:r>
              <w:rPr/>
              <w:t>根据投标人充分了解项目背景及需求后，提供的针对项目原因分析、影响评估、前景预测、市场监管局业务的熟悉程度等情况的理解程度进行综合评审： 1.了解充分，对项目原因分析、影响评估、前景预测、市场监管局业务的熟悉程度等情况理解全面的，完全满足或优于需求的，得10分； 2.了解比较充分，对项目原因分析、影响评估、前景预测、市场监管局业务的熟悉程度等情况有认识较全面的，较能满足需求的，得6分； 3.基本了解，对项目原因分析、影响评估、前景预测、市场监管局业务的熟悉程度等情况有基本认识，基本满足需求的，得2分； 4.其他情况或无相关内容不得分。</w:t>
            </w:r>
          </w:p>
        </w:tc>
      </w:tr>
      <w:tr>
        <w:tc>
          <w:tcPr>
            <w:tcW w:type="dxa" w:w="922"/>
            <w:gridSpan w:val="2"/>
            <w:vMerge/>
          </w:tcPr>
          <w:p/>
        </w:tc>
        <w:tc>
          <w:tcPr>
            <w:tcW w:type="dxa" w:w="2307"/>
          </w:tcPr>
          <w:p>
            <w:pPr>
              <w:pStyle w:val="null3"/>
              <w:jc w:val="left"/>
            </w:pPr>
            <w:r>
              <w:rPr/>
              <w:t>项目实施方案 (12.0分)</w:t>
            </w:r>
          </w:p>
        </w:tc>
        <w:tc>
          <w:tcPr>
            <w:tcW w:type="dxa" w:w="5076"/>
          </w:tcPr>
          <w:p>
            <w:pPr>
              <w:pStyle w:val="null3"/>
              <w:jc w:val="left"/>
            </w:pPr>
            <w:r>
              <w:rPr/>
              <w:t>投标人针对本项目提供实施方案（包括但不限于项目管理计划、项目进度安排等）： 1.方案内容完善、科学合理、可操作性强，得12分； 2.方案内容较完善、较科学合理、可操作性较强，得8分； 3.方案内容基本完善、基本科学合理、可操作性欠缺，得4分； 4.其他情况或无相关内容不得分。</w:t>
            </w:r>
          </w:p>
        </w:tc>
      </w:tr>
      <w:tr>
        <w:tc>
          <w:tcPr>
            <w:tcW w:type="dxa" w:w="922"/>
            <w:gridSpan w:val="2"/>
            <w:vMerge/>
          </w:tcPr>
          <w:p/>
        </w:tc>
        <w:tc>
          <w:tcPr>
            <w:tcW w:type="dxa" w:w="2307"/>
          </w:tcPr>
          <w:p>
            <w:pPr>
              <w:pStyle w:val="null3"/>
              <w:jc w:val="left"/>
            </w:pPr>
            <w:r>
              <w:rPr/>
              <w:t>数据可视化服务方案 (13.0分)</w:t>
            </w:r>
          </w:p>
        </w:tc>
        <w:tc>
          <w:tcPr>
            <w:tcW w:type="dxa" w:w="5076"/>
          </w:tcPr>
          <w:p>
            <w:pPr>
              <w:pStyle w:val="null3"/>
              <w:jc w:val="left"/>
            </w:pPr>
            <w:r>
              <w:rPr/>
              <w:t>根据投标人提供的数据可视化方案内容 （主要包括：数字化总览、融合应用、领域导航、数字湾区、三级贯通、数字赋能、品牌矩阵）进行综合评审： 1.服务方案合理可行、描述清晰、符合实际情形的，得13分； 2.服务方案较合理可行、描述较清晰、较符合实际情形的，得8分； 3.服务方案基本合理可行、描述基本清晰、基本符合实际情形的，得3分； 4.其他情况或无相关内容不得分。</w:t>
            </w:r>
          </w:p>
        </w:tc>
      </w:tr>
      <w:tr>
        <w:tc>
          <w:tcPr>
            <w:tcW w:type="dxa" w:w="922"/>
            <w:gridSpan w:val="2"/>
            <w:vMerge/>
          </w:tcPr>
          <w:p/>
        </w:tc>
        <w:tc>
          <w:tcPr>
            <w:tcW w:type="dxa" w:w="2307"/>
          </w:tcPr>
          <w:p>
            <w:pPr>
              <w:pStyle w:val="null3"/>
              <w:jc w:val="left"/>
            </w:pPr>
            <w:r>
              <w:rPr/>
              <w:t>数据处理运营服务方案 (10.0分)</w:t>
            </w:r>
          </w:p>
        </w:tc>
        <w:tc>
          <w:tcPr>
            <w:tcW w:type="dxa" w:w="5076"/>
          </w:tcPr>
          <w:p>
            <w:pPr>
              <w:pStyle w:val="null3"/>
              <w:jc w:val="left"/>
            </w:pPr>
            <w:r>
              <w:rPr/>
              <w:t>根据投标人提供的数据处理运营服务方案 （包括但不限于数据加载运营、数据计算运营的服务方案）进行综合评审： 1.数据处理运营服务方案完整、数据来源分析与数据处理流程逻辑合理可行、描述清晰、符合实际情形的，得10分； 2.数据处理运营服务方案较完整、数据来源分析与数据处理流程逻辑较合理可行、描述较清晰、较符合实际情形的，得6分； 3.数据处理运营服务方案基本完整、数据来源分析与数据处理流程逻辑基本合理可行、描述基本清晰、基本符合实际情形的，得2分； 4.其他情况或无相关内容不得分。</w:t>
            </w:r>
          </w:p>
        </w:tc>
      </w:tr>
      <w:tr>
        <w:tc>
          <w:tcPr>
            <w:tcW w:type="dxa" w:w="922"/>
            <w:gridSpan w:val="2"/>
            <w:vMerge/>
          </w:tcPr>
          <w:p/>
        </w:tc>
        <w:tc>
          <w:tcPr>
            <w:tcW w:type="dxa" w:w="2307"/>
          </w:tcPr>
          <w:p>
            <w:pPr>
              <w:pStyle w:val="null3"/>
              <w:jc w:val="left"/>
            </w:pPr>
            <w:r>
              <w:rPr/>
              <w:t>服务支撑能力 (10.0分)</w:t>
            </w:r>
          </w:p>
        </w:tc>
        <w:tc>
          <w:tcPr>
            <w:tcW w:type="dxa" w:w="5076"/>
          </w:tcPr>
          <w:p>
            <w:pPr>
              <w:pStyle w:val="null3"/>
              <w:jc w:val="left"/>
            </w:pPr>
            <w:r>
              <w:rPr/>
              <w:t>投标人具有稳定且能快速响应的技术服务人员，投标人能在接到采购人服务通知后: 1、1小时内(含)响应并到达服务现场的，得10分； 2、超过1小时不超过2小时(含) 响应并到达服务现场的的，得6分； 3、超过2小时不超过3小时(含) 响应并到达服务现场的的，得2分； 4、其余得0分。 注:需提供承诺函（格式自拟）加盖公章，最高得10分，未提供者不得分，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同类项目案例 (10.0分)</w:t>
            </w:r>
          </w:p>
        </w:tc>
        <w:tc>
          <w:tcPr>
            <w:tcW w:type="dxa" w:w="5076"/>
          </w:tcPr>
          <w:p>
            <w:pPr>
              <w:pStyle w:val="null3"/>
              <w:jc w:val="left"/>
            </w:pPr>
            <w:r>
              <w:rPr/>
              <w:t>投标人自2022年1月1日至投标截止之日止（以合同签订时间为准）具备的智慧决策中心或数据统计分析或风险信用分析类相关项目（合同名称或合同建设内容包含智慧决策中心或数据统计分析或风险信用分析等关键内容）运营或开发经验： 每提供1个有效的同类项目经验证明材料的得2.5分；最高得10分。未提供或其他不得分。 注：须提供合同关键页（不限于签订合同双方的单位名称、合同名称、合同标的内容、合同签订页等）复印件作为证明材料，不提供不得分。未按要求提供材料或提供的材料不清晰的不得分。</w:t>
            </w:r>
          </w:p>
        </w:tc>
      </w:tr>
      <w:tr>
        <w:tc>
          <w:tcPr>
            <w:tcW w:type="dxa" w:w="922"/>
            <w:gridSpan w:val="2"/>
            <w:vMerge/>
          </w:tcPr>
          <w:p/>
        </w:tc>
        <w:tc>
          <w:tcPr>
            <w:tcW w:type="dxa" w:w="2307"/>
          </w:tcPr>
          <w:p>
            <w:pPr>
              <w:pStyle w:val="null3"/>
              <w:jc w:val="left"/>
            </w:pPr>
            <w:r>
              <w:rPr/>
              <w:t>满意度评价 (3.0分)</w:t>
            </w:r>
          </w:p>
        </w:tc>
        <w:tc>
          <w:tcPr>
            <w:tcW w:type="dxa" w:w="5076"/>
          </w:tcPr>
          <w:p>
            <w:pPr>
              <w:pStyle w:val="null3"/>
              <w:jc w:val="left"/>
            </w:pPr>
            <w:r>
              <w:rPr/>
              <w:t>满足上述“同类项目案例”的有效同类项目经验，具有客户满意度评价为“满意”或“优”或百分制得分为90分（及以上）或同等评价的，每提供一项得1.5分，最高得3分。 注：提供满意度评价证明材料，不提供不得分。</w:t>
            </w:r>
          </w:p>
        </w:tc>
      </w:tr>
      <w:tr>
        <w:tc>
          <w:tcPr>
            <w:tcW w:type="dxa" w:w="922"/>
            <w:gridSpan w:val="2"/>
            <w:vMerge/>
          </w:tcPr>
          <w:p/>
        </w:tc>
        <w:tc>
          <w:tcPr>
            <w:tcW w:type="dxa" w:w="2307"/>
          </w:tcPr>
          <w:p>
            <w:pPr>
              <w:pStyle w:val="null3"/>
              <w:jc w:val="left"/>
            </w:pPr>
            <w:r>
              <w:rPr/>
              <w:t>投标人综合实力 (3.0分)</w:t>
            </w:r>
          </w:p>
        </w:tc>
        <w:tc>
          <w:tcPr>
            <w:tcW w:type="dxa" w:w="5076"/>
          </w:tcPr>
          <w:p>
            <w:pPr>
              <w:pStyle w:val="null3"/>
              <w:jc w:val="left"/>
            </w:pPr>
            <w:r>
              <w:rPr/>
              <w:t>根据投标人所提供的以下资质情况进行评分：投标人具有有效的质量管理体系认证（认证范围须与电子政务信息化系统研发及建设相关），得3分，不符合不得分。 注：同时提供有效期内的证书复印件和打印网站公布的信息资料【网址以http://www.cnca.gov.cn/网站公布为准】,已失效或撤销或暂停的不得分，未同时提供以上材料的不得分。公开信息中无法查询或与公开信息不一致的，投标人必须提供发证机构出具的证明函。</w:t>
            </w:r>
          </w:p>
        </w:tc>
      </w:tr>
      <w:tr>
        <w:tc>
          <w:tcPr>
            <w:tcW w:type="dxa" w:w="922"/>
            <w:gridSpan w:val="2"/>
            <w:vMerge/>
          </w:tcPr>
          <w:p/>
        </w:tc>
        <w:tc>
          <w:tcPr>
            <w:tcW w:type="dxa" w:w="2307"/>
          </w:tcPr>
          <w:p>
            <w:pPr>
              <w:pStyle w:val="null3"/>
              <w:jc w:val="left"/>
            </w:pPr>
            <w:r>
              <w:rPr/>
              <w:t>投入人员要求（项目经理） (8.0分)</w:t>
            </w:r>
          </w:p>
        </w:tc>
        <w:tc>
          <w:tcPr>
            <w:tcW w:type="dxa" w:w="5076"/>
          </w:tcPr>
          <w:p>
            <w:pPr>
              <w:pStyle w:val="null3"/>
              <w:jc w:val="left"/>
            </w:pPr>
            <w:r>
              <w:rPr/>
              <w:t>投标人需为本项目配备1名项目经理，根据项目经理资质情况进行评分： 1.具备系统架构设计师证书（计算机技术与软件专业技术资格），得3分； 2.具备信息系统项目管理师证书（计算机技术与软件专业技术资格），得3分； 3.具备数据库系统工程师证书（计算机技术与软件专业技术资格），得2分； 注：提供有效证明文件复印件及在本单位任职的证明材料（如加盖所在地区政府有关部门印章的缴纳日期在本项目提交响应文件截止日之前六个月任意一个月的《投保单》或《社会保险参保人员证明》，或单位代缴个人所得税税单等。），不提供不得分。</w:t>
            </w:r>
          </w:p>
        </w:tc>
      </w:tr>
      <w:tr>
        <w:tc>
          <w:tcPr>
            <w:tcW w:type="dxa" w:w="922"/>
            <w:gridSpan w:val="2"/>
            <w:vMerge/>
          </w:tcPr>
          <w:p/>
        </w:tc>
        <w:tc>
          <w:tcPr>
            <w:tcW w:type="dxa" w:w="2307"/>
          </w:tcPr>
          <w:p>
            <w:pPr>
              <w:pStyle w:val="null3"/>
              <w:jc w:val="left"/>
            </w:pPr>
            <w:r>
              <w:rPr/>
              <w:t>投入人员要求（项目技术负责人） (6.0分)</w:t>
            </w:r>
          </w:p>
        </w:tc>
        <w:tc>
          <w:tcPr>
            <w:tcW w:type="dxa" w:w="5076"/>
          </w:tcPr>
          <w:p>
            <w:pPr>
              <w:pStyle w:val="null3"/>
              <w:jc w:val="left"/>
            </w:pPr>
            <w:r>
              <w:rPr/>
              <w:t>投标人需为本项目配备1名项目技术负责人（与项目经理不为同一人），根据项目技术负责人资质情况进行评分： 1.具备软件评测师证书（计算机技术与软件专业技术资格），得2分； 2.具备信息安全工程师证书（计算机技术与软件专业技术资格））或信息安全保障人员（安全软件）认证证书或注册信息安全专业人员证书，得2分； 3.具备网络工程师证书（计算机技术与软件专业技术资格），得2分； 注：提供有效证明文件复印件及在本单位任职的证明材料（如加盖所在地区政府有关部门印章的缴纳日期在本项目提交响应文件截止日之前六个月任意一个月的《投保单》或《社会保险参保人员证明》，或单位代缴个人所得税税单等。不提供不得分。</w:t>
            </w:r>
          </w:p>
        </w:tc>
      </w:tr>
      <w:tr>
        <w:tc>
          <w:tcPr>
            <w:tcW w:type="dxa" w:w="922"/>
            <w:gridSpan w:val="2"/>
            <w:vMerge/>
          </w:tcPr>
          <w:p/>
        </w:tc>
        <w:tc>
          <w:tcPr>
            <w:tcW w:type="dxa" w:w="2307"/>
          </w:tcPr>
          <w:p>
            <w:pPr>
              <w:pStyle w:val="null3"/>
              <w:jc w:val="left"/>
            </w:pPr>
            <w:r>
              <w:rPr/>
              <w:t>投入人员要求（不含项目经理、项目技术负责人） (5.0分)</w:t>
            </w:r>
          </w:p>
        </w:tc>
        <w:tc>
          <w:tcPr>
            <w:tcW w:type="dxa" w:w="5076"/>
          </w:tcPr>
          <w:p>
            <w:pPr>
              <w:pStyle w:val="null3"/>
              <w:jc w:val="left"/>
            </w:pPr>
            <w:r>
              <w:rPr/>
              <w:t>投标人需至少提供5名为本项目服务的团队成员（不含项目经理、项目技术负责人），根据团队成员资质情况进行评分： 服务团队每配备1名具备中级或以上的计算机技术与软件专业技术资格证书且提供有对应证明材料的人员，得1分；本小项最高得5分。同一人具有多个证书不累计得分。 注：提供有效证明文件复印件及在本单位任职的证明材料（如加盖所在地区政府有关部门印章的打印日期在本项目提交响应文件截止日之前六个月任意一个月的《投保单》或《社会保险参保人员证明》，或单位代缴个人所得税税单等。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rPr>
        <w:t>合同编号：</w:t>
      </w:r>
    </w:p>
    <w:p>
      <w:pPr>
        <w:pStyle w:val="null3"/>
        <w:jc w:val="both"/>
      </w:pPr>
      <w:r>
        <w:rPr>
          <w:sz w:val="55"/>
          <w:b/>
        </w:rPr>
        <w:t>省级政务信息化项目</w:t>
      </w:r>
    </w:p>
    <w:p>
      <w:pPr>
        <w:pStyle w:val="null3"/>
        <w:jc w:val="both"/>
      </w:pPr>
      <w:r>
        <w:rPr>
          <w:sz w:val="55"/>
          <w:b/>
        </w:rPr>
        <w:t>运营合同书</w:t>
      </w:r>
    </w:p>
    <w:p>
      <w:pPr>
        <w:pStyle w:val="null3"/>
        <w:jc w:val="both"/>
      </w:pPr>
      <w:r>
        <w:rPr>
          <w:sz w:val="19"/>
        </w:rPr>
        <w:t>项</w:t>
      </w:r>
      <w:r>
        <w:rPr>
          <w:sz w:val="19"/>
        </w:rPr>
        <w:t xml:space="preserve">  </w:t>
      </w:r>
      <w:r>
        <w:rPr>
          <w:sz w:val="19"/>
        </w:rPr>
        <w:t>目</w:t>
      </w:r>
      <w:r>
        <w:rPr>
          <w:sz w:val="19"/>
        </w:rPr>
        <w:t xml:space="preserve">  </w:t>
      </w:r>
      <w:r>
        <w:rPr>
          <w:sz w:val="19"/>
        </w:rPr>
        <w:t>名</w:t>
      </w:r>
      <w:r>
        <w:rPr>
          <w:sz w:val="19"/>
        </w:rPr>
        <w:t xml:space="preserve">  </w:t>
      </w:r>
      <w:r>
        <w:rPr>
          <w:sz w:val="19"/>
        </w:rPr>
        <w:t>称</w:t>
      </w:r>
      <w:r>
        <w:rPr>
          <w:sz w:val="19"/>
        </w:rPr>
        <w:t xml:space="preserve"> </w:t>
      </w:r>
      <w:r>
        <w:rPr>
          <w:sz w:val="19"/>
        </w:rPr>
        <w:t>：</w:t>
      </w:r>
      <w:r>
        <w:rPr>
          <w:sz w:val="19"/>
        </w:rPr>
        <w:t>_____________________________</w:t>
      </w:r>
    </w:p>
    <w:p>
      <w:pPr>
        <w:pStyle w:val="null3"/>
        <w:spacing w:before="300"/>
        <w:ind w:left="645"/>
        <w:jc w:val="left"/>
      </w:pPr>
      <w:r>
        <w:rPr>
          <w:sz w:val="19"/>
        </w:rPr>
        <w:t>委托方（甲方</w:t>
      </w:r>
      <w:r>
        <w:rPr>
          <w:sz w:val="19"/>
        </w:rPr>
        <w:t>）</w:t>
      </w:r>
      <w:r>
        <w:rPr>
          <w:sz w:val="19"/>
        </w:rPr>
        <w:t xml:space="preserve"> </w:t>
      </w:r>
      <w:r>
        <w:rPr>
          <w:sz w:val="19"/>
        </w:rPr>
        <w:t>：</w:t>
      </w:r>
      <w:r>
        <w:rPr>
          <w:sz w:val="19"/>
        </w:rPr>
        <w:t>_____________________________</w:t>
      </w:r>
    </w:p>
    <w:p>
      <w:pPr>
        <w:pStyle w:val="null3"/>
        <w:spacing w:before="300"/>
        <w:ind w:left="645" w:right="480" w:firstLine="6"/>
        <w:jc w:val="left"/>
      </w:pPr>
      <w:r>
        <w:rPr>
          <w:sz w:val="19"/>
        </w:rPr>
        <w:t>受托方（乙方</w:t>
      </w:r>
      <w:r>
        <w:rPr>
          <w:sz w:val="19"/>
        </w:rPr>
        <w:t>）</w:t>
      </w:r>
      <w:r>
        <w:rPr>
          <w:sz w:val="19"/>
        </w:rPr>
        <w:t xml:space="preserve"> </w:t>
      </w:r>
      <w:r>
        <w:rPr>
          <w:sz w:val="19"/>
        </w:rPr>
        <w:t>：</w:t>
      </w:r>
      <w:r>
        <w:rPr>
          <w:sz w:val="19"/>
        </w:rPr>
        <w:t>_______________________</w:t>
      </w:r>
      <w:r>
        <w:rPr>
          <w:sz w:val="19"/>
        </w:rPr>
        <w:t>______</w:t>
      </w:r>
      <w:r>
        <w:rPr>
          <w:sz w:val="19"/>
        </w:rPr>
        <w:t>签</w:t>
      </w:r>
      <w:r>
        <w:rPr>
          <w:sz w:val="19"/>
        </w:rPr>
        <w:t xml:space="preserve">  </w:t>
      </w:r>
      <w:r>
        <w:rPr>
          <w:sz w:val="19"/>
        </w:rPr>
        <w:t>订</w:t>
      </w:r>
      <w:r>
        <w:rPr>
          <w:sz w:val="19"/>
        </w:rPr>
        <w:t xml:space="preserve">  </w:t>
      </w:r>
      <w:r>
        <w:rPr>
          <w:sz w:val="19"/>
        </w:rPr>
        <w:t>日</w:t>
      </w:r>
      <w:r>
        <w:rPr>
          <w:sz w:val="19"/>
        </w:rPr>
        <w:t xml:space="preserve">  </w:t>
      </w:r>
      <w:r>
        <w:rPr>
          <w:sz w:val="19"/>
        </w:rPr>
        <w:t>期</w:t>
      </w:r>
      <w:r>
        <w:rPr>
          <w:sz w:val="19"/>
        </w:rPr>
        <w:t xml:space="preserve"> </w:t>
      </w:r>
      <w:r>
        <w:rPr>
          <w:sz w:val="19"/>
        </w:rPr>
        <w:t>：</w:t>
      </w:r>
      <w:r>
        <w:rPr>
          <w:sz w:val="19"/>
        </w:rPr>
        <w:t>________</w:t>
      </w:r>
      <w:r>
        <w:rPr>
          <w:sz w:val="19"/>
        </w:rPr>
        <w:t>年</w:t>
      </w:r>
      <w:r>
        <w:rPr>
          <w:sz w:val="19"/>
        </w:rPr>
        <w:t>_______</w:t>
      </w:r>
      <w:r>
        <w:rPr>
          <w:sz w:val="19"/>
        </w:rPr>
        <w:t>月</w:t>
      </w:r>
      <w:r>
        <w:rPr>
          <w:sz w:val="19"/>
        </w:rPr>
        <w:t>_____</w:t>
      </w:r>
      <w:r>
        <w:rPr>
          <w:sz w:val="19"/>
        </w:rPr>
        <w:t>____</w:t>
      </w:r>
    </w:p>
    <w:p>
      <w:pPr>
        <w:pStyle w:val="null3"/>
        <w:ind w:left="645"/>
        <w:jc w:val="left"/>
      </w:pPr>
      <w:r>
        <w:rPr>
          <w:sz w:val="19"/>
        </w:rPr>
        <w:t>签</w:t>
      </w:r>
      <w:r>
        <w:rPr>
          <w:sz w:val="19"/>
        </w:rPr>
        <w:t xml:space="preserve">  </w:t>
      </w:r>
      <w:r>
        <w:rPr>
          <w:sz w:val="19"/>
        </w:rPr>
        <w:t>订</w:t>
      </w:r>
      <w:r>
        <w:rPr>
          <w:sz w:val="19"/>
        </w:rPr>
        <w:t xml:space="preserve">  </w:t>
      </w:r>
      <w:r>
        <w:rPr>
          <w:sz w:val="19"/>
        </w:rPr>
        <w:t>地</w:t>
      </w:r>
      <w:r>
        <w:rPr>
          <w:sz w:val="19"/>
        </w:rPr>
        <w:t xml:space="preserve">  </w:t>
      </w:r>
      <w:r>
        <w:rPr>
          <w:sz w:val="19"/>
        </w:rPr>
        <w:t>点</w:t>
      </w:r>
      <w:r>
        <w:rPr>
          <w:sz w:val="19"/>
        </w:rPr>
        <w:t xml:space="preserve"> </w:t>
      </w:r>
      <w:r>
        <w:rPr>
          <w:sz w:val="19"/>
        </w:rPr>
        <w:t>：</w:t>
      </w:r>
      <w:r>
        <w:rPr>
          <w:sz w:val="19"/>
        </w:rPr>
        <w:t>______</w:t>
      </w:r>
      <w:r>
        <w:rPr>
          <w:sz w:val="19"/>
        </w:rPr>
        <w:t>省</w:t>
      </w:r>
      <w:r>
        <w:rPr>
          <w:sz w:val="19"/>
        </w:rPr>
        <w:t>______</w:t>
      </w:r>
      <w:r>
        <w:rPr>
          <w:sz w:val="19"/>
        </w:rPr>
        <w:t>市</w:t>
      </w:r>
      <w:r>
        <w:rPr>
          <w:sz w:val="19"/>
        </w:rPr>
        <w:t>______</w:t>
      </w:r>
      <w:r>
        <w:rPr>
          <w:sz w:val="19"/>
        </w:rPr>
        <w:t xml:space="preserve"> </w:t>
      </w:r>
      <w:r>
        <w:rPr>
          <w:sz w:val="19"/>
        </w:rPr>
        <w:t>区</w:t>
      </w:r>
    </w:p>
    <w:p>
      <w:pPr>
        <w:pStyle w:val="null3"/>
        <w:jc w:val="both"/>
      </w:pPr>
      <w:r>
        <w:rPr>
          <w:sz w:val="30"/>
        </w:rPr>
        <w:t>广东省政务服务和数据管理局印制</w:t>
      </w:r>
    </w:p>
    <w:p>
      <w:pPr>
        <w:pStyle w:val="null3"/>
      </w:pPr>
      <w:r>
        <w:rPr>
          <w:sz w:val="35"/>
          <w:b/>
        </w:rPr>
        <w:t>填</w:t>
      </w:r>
      <w:r>
        <w:rPr>
          <w:sz w:val="19"/>
        </w:rPr>
        <w:t xml:space="preserve"> </w:t>
      </w:r>
      <w:r>
        <w:rPr>
          <w:sz w:val="35"/>
          <w:b/>
        </w:rPr>
        <w:t>写</w:t>
      </w:r>
      <w:r>
        <w:rPr>
          <w:sz w:val="19"/>
        </w:rPr>
        <w:t xml:space="preserve"> </w:t>
      </w:r>
      <w:r>
        <w:rPr>
          <w:sz w:val="35"/>
          <w:b/>
        </w:rPr>
        <w:t>说</w:t>
      </w:r>
      <w:r>
        <w:rPr>
          <w:sz w:val="19"/>
        </w:rPr>
        <w:t xml:space="preserve"> </w:t>
      </w:r>
      <w:r>
        <w:rPr>
          <w:sz w:val="35"/>
          <w:b/>
        </w:rPr>
        <w:t>明</w:t>
      </w:r>
    </w:p>
    <w:p>
      <w:pPr>
        <w:pStyle w:val="null3"/>
        <w:jc w:val="both"/>
      </w:pPr>
      <w:r>
        <w:rPr>
          <w:sz w:val="24"/>
        </w:rPr>
        <w:t>一、本合同为广东省政务服务数据管理局印制的项目服务合同示范文本</w:t>
      </w:r>
      <w:r>
        <w:rPr>
          <w:sz w:val="24"/>
        </w:rPr>
        <w:t>，省各</w:t>
      </w:r>
      <w:r>
        <w:rPr>
          <w:sz w:val="24"/>
        </w:rPr>
        <w:t>有关单位可参照使用。</w:t>
      </w:r>
    </w:p>
    <w:p>
      <w:pPr>
        <w:pStyle w:val="null3"/>
        <w:jc w:val="both"/>
      </w:pPr>
      <w:r>
        <w:rPr>
          <w:sz w:val="24"/>
        </w:rPr>
        <w:t>二、本合同书适用于一方当事人（受托方）为另一方（委托方）提供省级政务</w:t>
      </w:r>
      <w:r>
        <w:rPr>
          <w:sz w:val="24"/>
        </w:rPr>
        <w:t>信息化服务（运营服务）所订立的合同。</w:t>
      </w:r>
    </w:p>
    <w:p>
      <w:pPr>
        <w:pStyle w:val="null3"/>
        <w:jc w:val="both"/>
      </w:pPr>
      <w:r>
        <w:rPr>
          <w:sz w:val="24"/>
        </w:rPr>
        <w:t>三、签约一方为多个当事人的，可按各自在合同关系中的作用等，在</w:t>
      </w:r>
      <w:r>
        <w:rPr>
          <w:sz w:val="24"/>
        </w:rPr>
        <w:t>“</w:t>
      </w:r>
      <w:r>
        <w:rPr>
          <w:sz w:val="24"/>
        </w:rPr>
        <w:t>委托方</w:t>
      </w:r>
      <w:r>
        <w:rPr>
          <w:sz w:val="24"/>
        </w:rPr>
        <w:t>”</w:t>
      </w:r>
      <w:r>
        <w:rPr>
          <w:sz w:val="24"/>
        </w:rPr>
        <w:t>、</w:t>
      </w:r>
      <w:r>
        <w:rPr>
          <w:sz w:val="24"/>
        </w:rPr>
        <w:t xml:space="preserve"> </w:t>
      </w:r>
      <w:r>
        <w:rPr>
          <w:sz w:val="24"/>
        </w:rPr>
        <w:t>“</w:t>
      </w:r>
      <w:r>
        <w:rPr>
          <w:sz w:val="24"/>
        </w:rPr>
        <w:t>受托方</w:t>
      </w:r>
      <w:r>
        <w:rPr>
          <w:sz w:val="24"/>
        </w:rPr>
        <w:t>”</w:t>
      </w:r>
      <w:r>
        <w:rPr>
          <w:sz w:val="24"/>
        </w:rPr>
        <w:t>项下（增页）分别排列为共同委托人或共同受托人。</w:t>
      </w:r>
    </w:p>
    <w:p>
      <w:pPr>
        <w:pStyle w:val="null3"/>
        <w:jc w:val="both"/>
      </w:pPr>
      <w:r>
        <w:rPr>
          <w:sz w:val="24"/>
        </w:rPr>
        <w:t>四、本合同书未尽事项，可由当事人附页另行约定，并作为本合同</w:t>
      </w:r>
      <w:r>
        <w:rPr>
          <w:sz w:val="24"/>
        </w:rPr>
        <w:t>的组成部分。</w:t>
      </w:r>
    </w:p>
    <w:p>
      <w:pPr>
        <w:pStyle w:val="null3"/>
        <w:jc w:val="both"/>
      </w:pPr>
      <w:r>
        <w:rPr>
          <w:sz w:val="24"/>
        </w:rPr>
        <w:t>五、当事人使用本合同书时约定无需填写的条款，应在该条款处注明</w:t>
      </w:r>
      <w:r>
        <w:rPr>
          <w:sz w:val="24"/>
        </w:rPr>
        <w:t>“</w:t>
      </w:r>
      <w:r>
        <w:rPr>
          <w:sz w:val="24"/>
        </w:rPr>
        <w:t>无</w:t>
      </w:r>
      <w:r>
        <w:rPr>
          <w:sz w:val="24"/>
        </w:rPr>
        <w:t>”</w:t>
      </w:r>
      <w:r>
        <w:rPr>
          <w:sz w:val="24"/>
        </w:rPr>
        <w:t>等字样。</w:t>
      </w:r>
    </w:p>
    <w:p>
      <w:pPr>
        <w:pStyle w:val="null3"/>
      </w:pPr>
      <w:r>
        <w:rPr>
          <w:sz w:val="20"/>
        </w:rPr>
        <w:t>根据《中华人民共和国民法典》及其他相关法律法规的规定，就</w:t>
      </w:r>
      <w:r>
        <w:rPr>
          <w:sz w:val="20"/>
        </w:rPr>
        <w:t>______________</w:t>
      </w:r>
      <w:r>
        <w:rPr>
          <w:sz w:val="20"/>
        </w:rPr>
        <w:t>（以</w:t>
      </w:r>
      <w:r>
        <w:rPr>
          <w:sz w:val="20"/>
        </w:rPr>
        <w:t>下简</w:t>
      </w:r>
      <w:r>
        <w:rPr>
          <w:sz w:val="20"/>
        </w:rPr>
        <w:t>称</w:t>
      </w:r>
      <w:r>
        <w:rPr>
          <w:sz w:val="20"/>
        </w:rPr>
        <w:t>“</w:t>
      </w:r>
      <w:r>
        <w:rPr>
          <w:sz w:val="20"/>
        </w:rPr>
        <w:t>乙方</w:t>
      </w:r>
      <w:r>
        <w:rPr>
          <w:sz w:val="20"/>
        </w:rPr>
        <w:t>”</w:t>
      </w:r>
      <w:r>
        <w:rPr>
          <w:sz w:val="20"/>
        </w:rPr>
        <w:t>）向</w:t>
      </w:r>
      <w:r>
        <w:rPr>
          <w:sz w:val="20"/>
        </w:rPr>
        <w:t>________________</w:t>
      </w:r>
      <w:r>
        <w:rPr>
          <w:sz w:val="20"/>
        </w:rPr>
        <w:t>（以下简称</w:t>
      </w:r>
      <w:r>
        <w:rPr>
          <w:sz w:val="20"/>
        </w:rPr>
        <w:t>“</w:t>
      </w:r>
      <w:r>
        <w:rPr>
          <w:sz w:val="20"/>
        </w:rPr>
        <w:t>甲方</w:t>
      </w:r>
      <w:r>
        <w:rPr>
          <w:sz w:val="20"/>
        </w:rPr>
        <w:t>”</w:t>
      </w:r>
      <w:r>
        <w:rPr>
          <w:sz w:val="20"/>
        </w:rPr>
        <w:t>）提供运营服务（以下简称</w:t>
      </w:r>
      <w:r>
        <w:rPr>
          <w:sz w:val="20"/>
        </w:rPr>
        <w:t>“</w:t>
      </w:r>
      <w:r>
        <w:rPr>
          <w:sz w:val="20"/>
        </w:rPr>
        <w:t>服</w:t>
      </w:r>
      <w:r>
        <w:rPr>
          <w:sz w:val="20"/>
        </w:rPr>
        <w:t>务</w:t>
      </w:r>
      <w:r>
        <w:rPr>
          <w:sz w:val="20"/>
        </w:rPr>
        <w:t>”</w:t>
      </w:r>
      <w:r>
        <w:rPr>
          <w:sz w:val="20"/>
        </w:rPr>
        <w:t>）事宜，经</w:t>
      </w:r>
      <w:r>
        <w:rPr>
          <w:sz w:val="20"/>
        </w:rPr>
        <w:t>甲乙双方共同协商，一致达成如下各条款，以资共同遵照协议。</w:t>
      </w:r>
    </w:p>
    <w:p>
      <w:pPr>
        <w:pStyle w:val="null3"/>
        <w:spacing w:before="15"/>
        <w:ind w:left="435"/>
        <w:jc w:val="left"/>
      </w:pPr>
      <w:r>
        <w:rPr>
          <w:sz w:val="20"/>
        </w:rPr>
        <w:t>1.</w:t>
      </w:r>
      <w:r>
        <w:rPr>
          <w:sz w:val="20"/>
        </w:rPr>
        <w:t>相关术语的定义和解释</w:t>
      </w:r>
    </w:p>
    <w:p>
      <w:pPr>
        <w:pStyle w:val="null3"/>
        <w:spacing w:before="165"/>
        <w:ind w:left="675"/>
        <w:jc w:val="left"/>
      </w:pPr>
      <w:r>
        <w:rPr>
          <w:sz w:val="20"/>
        </w:rPr>
        <w:t>1.1</w:t>
      </w:r>
      <w:r>
        <w:rPr>
          <w:sz w:val="20"/>
        </w:rPr>
        <w:t>.定义</w:t>
      </w:r>
    </w:p>
    <w:p>
      <w:pPr>
        <w:pStyle w:val="null3"/>
        <w:spacing w:before="165"/>
        <w:ind w:left="465"/>
        <w:jc w:val="left"/>
      </w:pPr>
      <w:r>
        <w:rPr>
          <w:sz w:val="20"/>
        </w:rPr>
        <w:t>1.</w:t>
      </w:r>
      <w:r>
        <w:rPr>
          <w:sz w:val="19"/>
        </w:rPr>
        <w:t xml:space="preserve"> </w:t>
      </w:r>
      <w:r>
        <w:rPr>
          <w:sz w:val="20"/>
        </w:rPr>
        <w:t>1.</w:t>
      </w:r>
      <w:r>
        <w:rPr>
          <w:sz w:val="19"/>
        </w:rPr>
        <w:t xml:space="preserve"> </w:t>
      </w:r>
      <w:r>
        <w:rPr>
          <w:sz w:val="20"/>
        </w:rPr>
        <w:t>1.</w:t>
      </w:r>
      <w:r>
        <w:rPr>
          <w:sz w:val="20"/>
        </w:rPr>
        <w:t>本项目：</w:t>
      </w:r>
      <w:r>
        <w:rPr>
          <w:sz w:val="20"/>
        </w:rPr>
        <w:t>_____________________________</w:t>
      </w:r>
      <w:r>
        <w:rPr>
          <w:sz w:val="20"/>
        </w:rPr>
        <w:t>__________</w:t>
      </w:r>
      <w:r>
        <w:rPr>
          <w:sz w:val="20"/>
        </w:rPr>
        <w:t>（采购项目编号</w:t>
      </w:r>
      <w:r>
        <w:rPr>
          <w:sz w:val="20"/>
        </w:rPr>
        <w:t>：</w:t>
      </w:r>
      <w:r>
        <w:rPr>
          <w:sz w:val="19"/>
        </w:rPr>
        <w:t xml:space="preserve">         </w:t>
      </w:r>
      <w:r>
        <w:rPr>
          <w:sz w:val="20"/>
        </w:rPr>
        <w:t>）</w:t>
      </w:r>
      <w:r>
        <w:rPr>
          <w:sz w:val="20"/>
        </w:rPr>
        <w:t>。</w:t>
      </w:r>
    </w:p>
    <w:p>
      <w:pPr>
        <w:pStyle w:val="null3"/>
        <w:spacing w:before="165"/>
        <w:ind w:left="465"/>
        <w:jc w:val="left"/>
      </w:pPr>
      <w:r>
        <w:rPr>
          <w:sz w:val="20"/>
        </w:rPr>
        <w:t>1.</w:t>
      </w:r>
      <w:r>
        <w:rPr>
          <w:sz w:val="19"/>
        </w:rPr>
        <w:t xml:space="preserve"> </w:t>
      </w:r>
      <w:r>
        <w:rPr>
          <w:sz w:val="20"/>
        </w:rPr>
        <w:t>1.2.</w:t>
      </w:r>
      <w:r>
        <w:rPr>
          <w:sz w:val="20"/>
        </w:rPr>
        <w:t>委托方</w:t>
      </w:r>
      <w:r>
        <w:rPr>
          <w:sz w:val="20"/>
        </w:rPr>
        <w:t>/</w:t>
      </w:r>
      <w:r>
        <w:rPr>
          <w:sz w:val="20"/>
        </w:rPr>
        <w:t>甲方：本项目采购人。</w:t>
      </w:r>
    </w:p>
    <w:p>
      <w:pPr>
        <w:pStyle w:val="null3"/>
        <w:spacing w:before="165"/>
        <w:ind w:left="465"/>
        <w:jc w:val="left"/>
      </w:pPr>
      <w:r>
        <w:rPr>
          <w:sz w:val="20"/>
        </w:rPr>
        <w:t>1.</w:t>
      </w:r>
      <w:r>
        <w:rPr>
          <w:sz w:val="19"/>
        </w:rPr>
        <w:t xml:space="preserve"> </w:t>
      </w:r>
      <w:r>
        <w:rPr>
          <w:sz w:val="20"/>
        </w:rPr>
        <w:t>1.3.</w:t>
      </w:r>
      <w:r>
        <w:rPr>
          <w:sz w:val="20"/>
        </w:rPr>
        <w:t>受托方</w:t>
      </w:r>
      <w:r>
        <w:rPr>
          <w:sz w:val="20"/>
        </w:rPr>
        <w:t>/</w:t>
      </w:r>
      <w:r>
        <w:rPr>
          <w:sz w:val="20"/>
        </w:rPr>
        <w:t>乙方：本项目成交供应商。</w:t>
      </w:r>
    </w:p>
    <w:p>
      <w:pPr>
        <w:pStyle w:val="null3"/>
        <w:spacing w:before="165"/>
        <w:ind w:left="465"/>
        <w:jc w:val="left"/>
      </w:pPr>
      <w:r>
        <w:rPr>
          <w:sz w:val="20"/>
        </w:rPr>
        <w:t>1.</w:t>
      </w:r>
      <w:r>
        <w:rPr>
          <w:sz w:val="19"/>
        </w:rPr>
        <w:t xml:space="preserve"> </w:t>
      </w:r>
      <w:r>
        <w:rPr>
          <w:sz w:val="20"/>
        </w:rPr>
        <w:t>1.4.</w:t>
      </w:r>
      <w:r>
        <w:rPr>
          <w:sz w:val="20"/>
        </w:rPr>
        <w:t>咨询、监理单位：受甲方委托对本项目进行第三方咨询、监理的单位。</w:t>
      </w:r>
    </w:p>
    <w:p>
      <w:pPr>
        <w:pStyle w:val="null3"/>
        <w:spacing w:before="165"/>
        <w:ind w:left="15" w:right="45" w:firstLine="436"/>
        <w:jc w:val="left"/>
      </w:pPr>
      <w:r>
        <w:rPr>
          <w:sz w:val="20"/>
        </w:rPr>
        <w:t>1.</w:t>
      </w:r>
      <w:r>
        <w:rPr>
          <w:sz w:val="19"/>
        </w:rPr>
        <w:t xml:space="preserve"> </w:t>
      </w:r>
      <w:r>
        <w:rPr>
          <w:sz w:val="20"/>
        </w:rPr>
        <w:t>1.5.</w:t>
      </w:r>
      <w:r>
        <w:rPr>
          <w:sz w:val="20"/>
        </w:rPr>
        <w:t>省各有关单位：经广东省机构编制委员会批准设立的广东省行政事</w:t>
      </w:r>
      <w:r>
        <w:rPr>
          <w:sz w:val="20"/>
        </w:rPr>
        <w:t>业单位，主要包</w:t>
      </w:r>
      <w:r>
        <w:rPr>
          <w:sz w:val="20"/>
        </w:rPr>
        <w:t>括省政府办公厅、省政府组成部门、省政府直属特设机构、省政府直属机构、部门管</w:t>
      </w:r>
      <w:r>
        <w:rPr>
          <w:sz w:val="20"/>
        </w:rPr>
        <w:t>理机构、其他机构、省政府直属事业单位、其他。</w:t>
      </w:r>
    </w:p>
    <w:p>
      <w:pPr>
        <w:pStyle w:val="null3"/>
        <w:spacing w:before="165"/>
        <w:ind w:left="30" w:firstLine="435"/>
        <w:jc w:val="left"/>
      </w:pPr>
      <w:r>
        <w:rPr>
          <w:sz w:val="20"/>
        </w:rPr>
        <w:t>1.</w:t>
      </w:r>
      <w:r>
        <w:rPr>
          <w:sz w:val="19"/>
        </w:rPr>
        <w:t xml:space="preserve"> </w:t>
      </w:r>
      <w:r>
        <w:rPr>
          <w:sz w:val="20"/>
        </w:rPr>
        <w:t>1.6.</w:t>
      </w:r>
      <w:r>
        <w:rPr>
          <w:sz w:val="20"/>
        </w:rPr>
        <w:t>适用法律：指所有适用的中华人民共和国法律、法规、部门规章、</w:t>
      </w:r>
      <w:r>
        <w:rPr>
          <w:sz w:val="20"/>
        </w:rPr>
        <w:t>地方性法规、司</w:t>
      </w:r>
      <w:r>
        <w:rPr>
          <w:sz w:val="20"/>
        </w:rPr>
        <w:t>法解释、政府部门颁布的标准、规范或其他适用的强制性要求、有法律约束力的规范性文</w:t>
      </w:r>
      <w:r>
        <w:rPr>
          <w:sz w:val="20"/>
        </w:rPr>
        <w:t>件等。</w:t>
      </w:r>
      <w:r>
        <w:rPr>
          <w:sz w:val="20"/>
        </w:rPr>
        <w:t>除非另有特别约定或文意另有所指，本合同中提及的</w:t>
      </w:r>
      <w:r>
        <w:rPr>
          <w:sz w:val="20"/>
        </w:rPr>
        <w:t>“</w:t>
      </w:r>
      <w:r>
        <w:rPr>
          <w:sz w:val="20"/>
        </w:rPr>
        <w:t>法律</w:t>
      </w:r>
      <w:r>
        <w:rPr>
          <w:sz w:val="20"/>
        </w:rPr>
        <w:t>”</w:t>
      </w:r>
      <w:r>
        <w:rPr>
          <w:sz w:val="20"/>
        </w:rPr>
        <w:t>均包括适用法律的全部定义内容。</w:t>
      </w:r>
    </w:p>
    <w:p>
      <w:pPr>
        <w:pStyle w:val="null3"/>
        <w:spacing w:before="165"/>
        <w:ind w:left="45" w:right="165" w:firstLine="415"/>
        <w:jc w:val="left"/>
      </w:pPr>
      <w:r>
        <w:rPr>
          <w:sz w:val="20"/>
        </w:rPr>
        <w:t>1.</w:t>
      </w:r>
      <w:r>
        <w:rPr>
          <w:sz w:val="19"/>
        </w:rPr>
        <w:t xml:space="preserve"> </w:t>
      </w:r>
      <w:r>
        <w:rPr>
          <w:sz w:val="20"/>
        </w:rPr>
        <w:t>1.7.</w:t>
      </w:r>
      <w:r>
        <w:rPr>
          <w:sz w:val="20"/>
        </w:rPr>
        <w:t>法律变更：指在生效日后颁布、修订、废止或重新解释的任何适用</w:t>
      </w:r>
      <w:r>
        <w:rPr>
          <w:sz w:val="20"/>
        </w:rPr>
        <w:t>法律导致甲方或</w:t>
      </w:r>
      <w:r>
        <w:rPr>
          <w:sz w:val="20"/>
        </w:rPr>
        <w:t>乙方在本合同项下的权利义务发生实质性变化。</w:t>
      </w:r>
    </w:p>
    <w:p>
      <w:pPr>
        <w:pStyle w:val="null3"/>
        <w:spacing w:before="165"/>
        <w:ind w:left="30" w:right="15" w:firstLine="430"/>
        <w:jc w:val="left"/>
      </w:pPr>
      <w:r>
        <w:rPr>
          <w:sz w:val="20"/>
        </w:rPr>
        <w:t>1.</w:t>
      </w:r>
      <w:r>
        <w:rPr>
          <w:sz w:val="19"/>
        </w:rPr>
        <w:t xml:space="preserve"> </w:t>
      </w:r>
      <w:r>
        <w:rPr>
          <w:sz w:val="20"/>
        </w:rPr>
        <w:t>1.8.</w:t>
      </w:r>
      <w:r>
        <w:rPr>
          <w:sz w:val="20"/>
        </w:rPr>
        <w:t>批准：指为了使乙方能够履行其在本</w:t>
      </w:r>
      <w:r>
        <w:rPr>
          <w:sz w:val="20"/>
        </w:rPr>
        <w:t>合同项下的义务和行使其在本合同项下的权利，</w:t>
      </w:r>
      <w:r>
        <w:rPr>
          <w:sz w:val="20"/>
        </w:rPr>
        <w:t>乙方必须从甲方或省各有关单位依法获得的为乙方的建设、运营、运维所需要的任何许可、同</w:t>
      </w:r>
      <w:r>
        <w:rPr>
          <w:sz w:val="20"/>
        </w:rPr>
        <w:t>意、授权等。</w:t>
      </w:r>
    </w:p>
    <w:p>
      <w:pPr>
        <w:pStyle w:val="null3"/>
        <w:spacing w:before="165"/>
        <w:ind w:left="30" w:right="165" w:firstLine="429"/>
        <w:jc w:val="left"/>
      </w:pPr>
      <w:r>
        <w:rPr>
          <w:sz w:val="20"/>
        </w:rPr>
        <w:t>1.</w:t>
      </w:r>
      <w:r>
        <w:rPr>
          <w:sz w:val="19"/>
        </w:rPr>
        <w:t xml:space="preserve"> </w:t>
      </w:r>
      <w:r>
        <w:rPr>
          <w:sz w:val="20"/>
        </w:rPr>
        <w:t>1.9.</w:t>
      </w:r>
      <w:r>
        <w:rPr>
          <w:sz w:val="20"/>
        </w:rPr>
        <w:t>生效日：指本合同甲乙双方盖章并由双方法定代表人或授权代表人</w:t>
      </w:r>
      <w:r>
        <w:rPr>
          <w:sz w:val="20"/>
        </w:rPr>
        <w:t>签字之日。如依</w:t>
      </w:r>
      <w:r>
        <w:rPr>
          <w:sz w:val="20"/>
        </w:rPr>
        <w:t>照适用法律需要履行审批程序的，则在有权部门审批后生</w:t>
      </w:r>
      <w:r>
        <w:rPr>
          <w:sz w:val="20"/>
        </w:rPr>
        <w:t>效。</w:t>
      </w:r>
    </w:p>
    <w:p>
      <w:pPr>
        <w:pStyle w:val="null3"/>
        <w:spacing w:before="165"/>
        <w:ind w:left="30" w:right="75" w:firstLine="434"/>
        <w:jc w:val="left"/>
      </w:pPr>
      <w:r>
        <w:rPr>
          <w:sz w:val="20"/>
        </w:rPr>
        <w:t>1.</w:t>
      </w:r>
      <w:r>
        <w:rPr>
          <w:sz w:val="19"/>
        </w:rPr>
        <w:t xml:space="preserve"> </w:t>
      </w:r>
      <w:r>
        <w:rPr>
          <w:sz w:val="20"/>
        </w:rPr>
        <w:t>1.10.</w:t>
      </w:r>
      <w:r>
        <w:rPr>
          <w:sz w:val="20"/>
        </w:rPr>
        <w:t>服务实施：指乙方根据本合同开展服务实</w:t>
      </w:r>
      <w:r>
        <w:rPr>
          <w:sz w:val="20"/>
        </w:rPr>
        <w:t>施准备、执行、收尾等为实现服务交付开</w:t>
      </w:r>
      <w:r>
        <w:rPr>
          <w:sz w:val="20"/>
        </w:rPr>
        <w:t>展的工作。</w:t>
      </w:r>
    </w:p>
    <w:p>
      <w:pPr>
        <w:pStyle w:val="null3"/>
        <w:spacing w:before="165"/>
        <w:ind w:left="45" w:right="75" w:firstLine="419"/>
        <w:jc w:val="left"/>
      </w:pPr>
      <w:r>
        <w:rPr>
          <w:sz w:val="20"/>
        </w:rPr>
        <w:t>1.</w:t>
      </w:r>
      <w:r>
        <w:rPr>
          <w:sz w:val="19"/>
        </w:rPr>
        <w:t xml:space="preserve"> </w:t>
      </w:r>
      <w:r>
        <w:rPr>
          <w:sz w:val="20"/>
        </w:rPr>
        <w:t>1.</w:t>
      </w:r>
      <w:r>
        <w:rPr>
          <w:sz w:val="19"/>
        </w:rPr>
        <w:t xml:space="preserve"> </w:t>
      </w:r>
      <w:r>
        <w:rPr>
          <w:sz w:val="20"/>
        </w:rPr>
        <w:t>11.</w:t>
      </w:r>
      <w:r>
        <w:rPr>
          <w:sz w:val="20"/>
        </w:rPr>
        <w:t>服务交付：指乙方根据本合同提交交付验收申请，经甲方组织验收后确认服务交付</w:t>
      </w:r>
      <w:r>
        <w:rPr>
          <w:sz w:val="20"/>
        </w:rPr>
        <w:t>的过程。</w:t>
      </w:r>
    </w:p>
    <w:p>
      <w:pPr>
        <w:pStyle w:val="null3"/>
        <w:spacing w:before="165"/>
        <w:ind w:left="465"/>
        <w:jc w:val="left"/>
      </w:pPr>
      <w:r>
        <w:rPr>
          <w:sz w:val="20"/>
        </w:rPr>
        <w:t>1.</w:t>
      </w:r>
      <w:r>
        <w:rPr>
          <w:sz w:val="19"/>
        </w:rPr>
        <w:t xml:space="preserve"> </w:t>
      </w:r>
      <w:r>
        <w:rPr>
          <w:sz w:val="20"/>
        </w:rPr>
        <w:t>1.</w:t>
      </w:r>
      <w:r>
        <w:rPr>
          <w:sz w:val="19"/>
        </w:rPr>
        <w:t xml:space="preserve"> </w:t>
      </w:r>
      <w:r>
        <w:rPr>
          <w:sz w:val="20"/>
        </w:rPr>
        <w:t>12.</w:t>
      </w:r>
      <w:r>
        <w:rPr>
          <w:sz w:val="20"/>
        </w:rPr>
        <w:t>最终验收：对项目整体服务的验收。</w:t>
      </w:r>
    </w:p>
    <w:p>
      <w:pPr>
        <w:pStyle w:val="null3"/>
        <w:spacing w:before="165"/>
        <w:ind w:left="465"/>
        <w:jc w:val="left"/>
      </w:pPr>
      <w:r>
        <w:rPr>
          <w:sz w:val="20"/>
        </w:rPr>
        <w:t>1.</w:t>
      </w:r>
      <w:r>
        <w:rPr>
          <w:sz w:val="19"/>
        </w:rPr>
        <w:t xml:space="preserve"> </w:t>
      </w:r>
      <w:r>
        <w:rPr>
          <w:sz w:val="20"/>
        </w:rPr>
        <w:t>1.13.</w:t>
      </w:r>
      <w:r>
        <w:rPr>
          <w:sz w:val="20"/>
        </w:rPr>
        <w:t>服务期限：指本项目周期、期限。</w:t>
      </w:r>
    </w:p>
    <w:p>
      <w:pPr>
        <w:pStyle w:val="null3"/>
        <w:spacing w:before="165"/>
        <w:ind w:left="465"/>
        <w:jc w:val="left"/>
      </w:pPr>
      <w:r>
        <w:rPr>
          <w:sz w:val="20"/>
        </w:rPr>
        <w:t>1.</w:t>
      </w:r>
      <w:r>
        <w:rPr>
          <w:sz w:val="19"/>
        </w:rPr>
        <w:t xml:space="preserve"> </w:t>
      </w:r>
      <w:r>
        <w:rPr>
          <w:sz w:val="20"/>
        </w:rPr>
        <w:t>1.</w:t>
      </w:r>
      <w:r>
        <w:rPr>
          <w:sz w:val="19"/>
        </w:rPr>
        <w:t xml:space="preserve"> </w:t>
      </w:r>
      <w:r>
        <w:rPr>
          <w:sz w:val="20"/>
        </w:rPr>
        <w:t>14.</w:t>
      </w:r>
      <w:r>
        <w:rPr>
          <w:sz w:val="20"/>
        </w:rPr>
        <w:t>其他在本合同及相关附件中涉及的有关名词和技术术语，其</w:t>
      </w:r>
      <w:r>
        <w:rPr>
          <w:sz w:val="20"/>
        </w:rPr>
        <w:t>定义和解释如下：</w:t>
      </w:r>
    </w:p>
    <w:p>
      <w:pPr>
        <w:pStyle w:val="null3"/>
        <w:spacing w:before="165"/>
        <w:ind w:left="450"/>
        <w:jc w:val="left"/>
      </w:pPr>
      <w:r>
        <w:rPr>
          <w:sz w:val="20"/>
        </w:rPr>
        <w:t>（</w:t>
      </w:r>
      <w:r>
        <w:rPr>
          <w:sz w:val="20"/>
        </w:rPr>
        <w:t>1</w:t>
      </w:r>
      <w:r>
        <w:rPr>
          <w:sz w:val="20"/>
        </w:rPr>
        <w:t>）</w:t>
      </w:r>
      <w:r>
        <w:rPr>
          <w:sz w:val="20"/>
        </w:rPr>
        <w:t>____________________</w:t>
      </w:r>
      <w:r>
        <w:rPr>
          <w:sz w:val="20"/>
        </w:rPr>
        <w:t>______________________________________________</w:t>
      </w:r>
      <w:r>
        <w:rPr>
          <w:sz w:val="20"/>
        </w:rPr>
        <w:t>；</w:t>
      </w:r>
    </w:p>
    <w:p>
      <w:pPr>
        <w:pStyle w:val="null3"/>
        <w:spacing w:before="165"/>
        <w:ind w:left="450"/>
        <w:jc w:val="left"/>
      </w:pPr>
      <w:r>
        <w:rPr>
          <w:sz w:val="20"/>
        </w:rPr>
        <w:t>（</w:t>
      </w:r>
      <w:r>
        <w:rPr>
          <w:sz w:val="20"/>
        </w:rPr>
        <w:t>2</w:t>
      </w:r>
      <w:r>
        <w:rPr>
          <w:sz w:val="20"/>
        </w:rPr>
        <w:t>）</w:t>
      </w:r>
      <w:r>
        <w:rPr>
          <w:sz w:val="20"/>
        </w:rPr>
        <w:t>____________________</w:t>
      </w:r>
      <w:r>
        <w:rPr>
          <w:sz w:val="20"/>
        </w:rPr>
        <w:t>______________________________________________</w:t>
      </w:r>
      <w:r>
        <w:rPr>
          <w:sz w:val="20"/>
        </w:rPr>
        <w:t>。</w:t>
      </w:r>
    </w:p>
    <w:p>
      <w:pPr>
        <w:pStyle w:val="null3"/>
        <w:jc w:val="both"/>
      </w:pPr>
      <w:r>
        <w:rPr>
          <w:sz w:val="20"/>
          <w:b/>
        </w:rPr>
        <w:t>1.2.</w:t>
      </w:r>
      <w:r>
        <w:rPr>
          <w:sz w:val="19"/>
          <w:b/>
        </w:rPr>
        <w:t xml:space="preserve">  </w:t>
      </w:r>
      <w:r>
        <w:rPr>
          <w:sz w:val="20"/>
          <w:b/>
        </w:rPr>
        <w:t>解释</w:t>
      </w:r>
    </w:p>
    <w:p>
      <w:pPr>
        <w:pStyle w:val="null3"/>
        <w:jc w:val="both"/>
      </w:pPr>
      <w:r>
        <w:rPr>
          <w:sz w:val="20"/>
        </w:rPr>
        <w:t>1.2.</w:t>
      </w:r>
      <w:r>
        <w:rPr>
          <w:sz w:val="19"/>
        </w:rPr>
        <w:t xml:space="preserve"> </w:t>
      </w:r>
      <w:r>
        <w:rPr>
          <w:sz w:val="20"/>
        </w:rPr>
        <w:t>1.“</w:t>
      </w:r>
      <w:r>
        <w:rPr>
          <w:sz w:val="20"/>
        </w:rPr>
        <w:t>工作日</w:t>
      </w:r>
      <w:r>
        <w:rPr>
          <w:sz w:val="20"/>
        </w:rPr>
        <w:t>”</w:t>
      </w:r>
      <w:r>
        <w:rPr>
          <w:sz w:val="20"/>
        </w:rPr>
        <w:t>是指国家所规定的节假日之外的所有的</w:t>
      </w:r>
      <w:r>
        <w:rPr>
          <w:sz w:val="20"/>
        </w:rPr>
        <w:t>工作日，凡本合同所约定的工作日均</w:t>
      </w:r>
      <w:r>
        <w:rPr>
          <w:sz w:val="20"/>
        </w:rPr>
        <w:t>指工作日，未指明工作日的日期指自然顺延的日</w:t>
      </w:r>
      <w:r>
        <w:rPr>
          <w:sz w:val="20"/>
        </w:rPr>
        <w:t>期。</w:t>
      </w:r>
    </w:p>
    <w:p>
      <w:pPr>
        <w:pStyle w:val="null3"/>
        <w:spacing w:before="165"/>
        <w:ind w:left="45" w:right="165" w:firstLine="436"/>
        <w:jc w:val="left"/>
      </w:pPr>
      <w:r>
        <w:rPr>
          <w:sz w:val="20"/>
        </w:rPr>
        <w:t>1.2.2.</w:t>
      </w:r>
      <w:r>
        <w:rPr>
          <w:sz w:val="20"/>
        </w:rPr>
        <w:t>所指的日、月和年均指公历的日、月和年，其中一年以三百六十五日计，一个月以</w:t>
      </w:r>
      <w:r>
        <w:rPr>
          <w:sz w:val="20"/>
        </w:rPr>
        <w:t>三十日计。</w:t>
      </w:r>
    </w:p>
    <w:p>
      <w:pPr>
        <w:pStyle w:val="null3"/>
        <w:spacing w:before="165"/>
        <w:ind w:left="45" w:right="75" w:firstLine="432"/>
        <w:jc w:val="left"/>
      </w:pPr>
      <w:r>
        <w:rPr>
          <w:sz w:val="20"/>
        </w:rPr>
        <w:t>1.2.3.“</w:t>
      </w:r>
      <w:r>
        <w:rPr>
          <w:sz w:val="20"/>
        </w:rPr>
        <w:t>不可抗力</w:t>
      </w:r>
      <w:r>
        <w:rPr>
          <w:sz w:val="20"/>
        </w:rPr>
        <w:t>”</w:t>
      </w:r>
      <w:r>
        <w:rPr>
          <w:sz w:val="20"/>
        </w:rPr>
        <w:t>是指任何一方由于出现不可抗力事件使该方无法全部或部分履行其本合同项下的义务致使合同目的不能实现时，该方应有权中止履行本合同项下的义务，但应及时通知对方，</w:t>
      </w:r>
      <w:r>
        <w:rPr>
          <w:sz w:val="19"/>
        </w:rPr>
        <w:t xml:space="preserve"> </w:t>
      </w:r>
      <w:r>
        <w:rPr>
          <w:sz w:val="20"/>
        </w:rPr>
        <w:t>以减轻可能给对方造成的损失，并应在合理期限内向对方提供不可抗力的证明。</w:t>
      </w:r>
    </w:p>
    <w:p>
      <w:pPr>
        <w:pStyle w:val="null3"/>
        <w:spacing w:before="165"/>
        <w:ind w:left="480"/>
        <w:jc w:val="left"/>
      </w:pPr>
      <w:r>
        <w:rPr>
          <w:sz w:val="20"/>
        </w:rPr>
        <w:t>1.2.4.“</w:t>
      </w:r>
      <w:r>
        <w:rPr>
          <w:sz w:val="20"/>
        </w:rPr>
        <w:t>元</w:t>
      </w:r>
      <w:r>
        <w:rPr>
          <w:sz w:val="20"/>
        </w:rPr>
        <w:t>”</w:t>
      </w:r>
      <w:r>
        <w:rPr>
          <w:sz w:val="20"/>
        </w:rPr>
        <w:t>是指人民币元。</w:t>
      </w:r>
    </w:p>
    <w:p>
      <w:pPr>
        <w:pStyle w:val="null3"/>
        <w:spacing w:before="165"/>
        <w:ind w:left="480"/>
        <w:jc w:val="left"/>
      </w:pPr>
      <w:r>
        <w:rPr>
          <w:sz w:val="20"/>
        </w:rPr>
        <w:t>1.2.5.</w:t>
      </w:r>
      <w:r>
        <w:rPr>
          <w:sz w:val="20"/>
        </w:rPr>
        <w:t>条款或附件：指本合同的条款或附件。</w:t>
      </w:r>
    </w:p>
    <w:p>
      <w:pPr>
        <w:pStyle w:val="null3"/>
        <w:spacing w:before="165"/>
        <w:ind w:left="495" w:firstLine="481"/>
        <w:jc w:val="left"/>
      </w:pPr>
      <w:r>
        <w:rPr>
          <w:sz w:val="20"/>
        </w:rPr>
        <w:t>1.2.6.</w:t>
      </w:r>
      <w:r>
        <w:rPr>
          <w:sz w:val="19"/>
        </w:rPr>
        <w:t xml:space="preserve"> </w:t>
      </w:r>
      <w:r>
        <w:rPr>
          <w:sz w:val="20"/>
        </w:rPr>
        <w:t>除非本合同另有明确约定，</w:t>
      </w:r>
      <w:r>
        <w:rPr>
          <w:sz w:val="20"/>
        </w:rPr>
        <w:t>“</w:t>
      </w:r>
      <w:r>
        <w:rPr>
          <w:sz w:val="20"/>
        </w:rPr>
        <w:t>包括</w:t>
      </w:r>
      <w:r>
        <w:rPr>
          <w:sz w:val="20"/>
        </w:rPr>
        <w:t>”</w:t>
      </w:r>
      <w:r>
        <w:rPr>
          <w:sz w:val="20"/>
        </w:rPr>
        <w:t>指包括但不限于；除本合同另有明确约定，</w:t>
      </w:r>
      <w:r>
        <w:rPr>
          <w:sz w:val="20"/>
        </w:rPr>
        <w:t>“</w:t>
      </w:r>
      <w:r>
        <w:rPr>
          <w:sz w:val="20"/>
        </w:rPr>
        <w:t>以上</w:t>
      </w:r>
      <w:r>
        <w:rPr>
          <w:sz w:val="20"/>
        </w:rPr>
        <w:t>”</w:t>
      </w:r>
      <w:r>
        <w:rPr>
          <w:sz w:val="20"/>
        </w:rPr>
        <w:t>、</w:t>
      </w:r>
      <w:r>
        <w:rPr>
          <w:sz w:val="19"/>
        </w:rPr>
        <w:t xml:space="preserve"> </w:t>
      </w:r>
      <w:r>
        <w:rPr>
          <w:sz w:val="20"/>
        </w:rPr>
        <w:t>“</w:t>
      </w:r>
      <w:r>
        <w:rPr>
          <w:sz w:val="20"/>
        </w:rPr>
        <w:t>以下</w:t>
      </w:r>
      <w:r>
        <w:rPr>
          <w:sz w:val="20"/>
        </w:rPr>
        <w:t>”</w:t>
      </w:r>
      <w:r>
        <w:rPr>
          <w:sz w:val="19"/>
        </w:rPr>
        <w:t xml:space="preserve"> </w:t>
      </w:r>
      <w:r>
        <w:rPr>
          <w:sz w:val="20"/>
        </w:rPr>
        <w:t>、</w:t>
      </w:r>
      <w:r>
        <w:rPr>
          <w:sz w:val="20"/>
        </w:rPr>
        <w:t>“</w:t>
      </w:r>
      <w:r>
        <w:rPr>
          <w:sz w:val="20"/>
        </w:rPr>
        <w:t>以内</w:t>
      </w:r>
      <w:r>
        <w:rPr>
          <w:sz w:val="20"/>
        </w:rPr>
        <w:t>”</w:t>
      </w:r>
      <w:r>
        <w:rPr>
          <w:sz w:val="20"/>
        </w:rPr>
        <w:t>或</w:t>
      </w:r>
      <w:r>
        <w:rPr>
          <w:sz w:val="20"/>
        </w:rPr>
        <w:t>“</w:t>
      </w:r>
      <w:r>
        <w:rPr>
          <w:sz w:val="20"/>
        </w:rPr>
        <w:t>内</w:t>
      </w:r>
      <w:r>
        <w:rPr>
          <w:sz w:val="20"/>
        </w:rPr>
        <w:t>”</w:t>
      </w:r>
      <w:r>
        <w:rPr>
          <w:sz w:val="20"/>
        </w:rPr>
        <w:t>均含本数，</w:t>
      </w:r>
      <w:r>
        <w:rPr>
          <w:sz w:val="20"/>
        </w:rPr>
        <w:t>“</w:t>
      </w:r>
      <w:r>
        <w:rPr>
          <w:sz w:val="20"/>
        </w:rPr>
        <w:t>超过</w:t>
      </w:r>
      <w:r>
        <w:rPr>
          <w:sz w:val="20"/>
        </w:rPr>
        <w:t>”</w:t>
      </w:r>
      <w:r>
        <w:rPr>
          <w:sz w:val="19"/>
        </w:rPr>
        <w:t xml:space="preserve"> </w:t>
      </w:r>
      <w:r>
        <w:rPr>
          <w:sz w:val="20"/>
        </w:rPr>
        <w:t>、</w:t>
      </w:r>
      <w:r>
        <w:rPr>
          <w:sz w:val="20"/>
        </w:rPr>
        <w:t>“</w:t>
      </w:r>
      <w:r>
        <w:rPr>
          <w:sz w:val="20"/>
        </w:rPr>
        <w:t>以外</w:t>
      </w:r>
      <w:r>
        <w:rPr>
          <w:sz w:val="20"/>
        </w:rPr>
        <w:t>”</w:t>
      </w:r>
      <w:r>
        <w:rPr>
          <w:sz w:val="20"/>
        </w:rPr>
        <w:t>不含本数。</w:t>
      </w:r>
    </w:p>
    <w:p>
      <w:pPr>
        <w:pStyle w:val="null3"/>
        <w:jc w:val="both"/>
      </w:pPr>
      <w:r>
        <w:rPr>
          <w:sz w:val="20"/>
        </w:rPr>
        <w:t xml:space="preserve">2.  </w:t>
      </w:r>
      <w:r>
        <w:rPr>
          <w:sz w:val="20"/>
          <w:b/>
        </w:rPr>
        <w:t>服务实施和验收</w:t>
      </w:r>
    </w:p>
    <w:p>
      <w:pPr>
        <w:pStyle w:val="null3"/>
        <w:jc w:val="both"/>
      </w:pPr>
      <w:r>
        <w:rPr>
          <w:sz w:val="20"/>
          <w:b/>
        </w:rPr>
        <w:t xml:space="preserve">2.1.  </w:t>
      </w:r>
      <w:r>
        <w:rPr>
          <w:sz w:val="20"/>
          <w:b/>
        </w:rPr>
        <w:t>服务内容</w:t>
      </w:r>
    </w:p>
    <w:p>
      <w:pPr>
        <w:pStyle w:val="null3"/>
        <w:jc w:val="both"/>
      </w:pPr>
      <w:r>
        <w:rPr>
          <w:sz w:val="20"/>
        </w:rPr>
        <w:t>2.</w:t>
      </w:r>
      <w:r>
        <w:rPr>
          <w:sz w:val="19"/>
        </w:rPr>
        <w:t xml:space="preserve"> </w:t>
      </w:r>
      <w:r>
        <w:rPr>
          <w:sz w:val="20"/>
        </w:rPr>
        <w:t>1.</w:t>
      </w:r>
      <w:r>
        <w:rPr>
          <w:sz w:val="19"/>
        </w:rPr>
        <w:t xml:space="preserve"> </w:t>
      </w:r>
      <w:r>
        <w:rPr>
          <w:sz w:val="20"/>
        </w:rPr>
        <w:t>1.</w:t>
      </w:r>
      <w:r>
        <w:rPr>
          <w:sz w:val="20"/>
        </w:rPr>
        <w:t>本项目包括</w:t>
      </w:r>
      <w:r>
        <w:rPr>
          <w:sz w:val="20"/>
        </w:rPr>
        <w:t>_____________</w:t>
      </w:r>
      <w:r>
        <w:rPr>
          <w:sz w:val="20"/>
        </w:rPr>
        <w:t>___________________________________</w:t>
      </w:r>
      <w:r>
        <w:rPr>
          <w:sz w:val="20"/>
        </w:rPr>
        <w:t>服务内容。其他详</w:t>
      </w:r>
      <w:r>
        <w:rPr>
          <w:sz w:val="20"/>
        </w:rPr>
        <w:t>细内容见附件《运营服务说明书》。</w:t>
      </w:r>
    </w:p>
    <w:p>
      <w:pPr>
        <w:pStyle w:val="null3"/>
        <w:spacing w:before="225"/>
        <w:ind w:left="45" w:right="75" w:firstLine="477"/>
        <w:jc w:val="left"/>
      </w:pPr>
      <w:r>
        <w:rPr>
          <w:sz w:val="20"/>
        </w:rPr>
        <w:t>2.</w:t>
      </w:r>
      <w:r>
        <w:rPr>
          <w:sz w:val="19"/>
        </w:rPr>
        <w:t xml:space="preserve"> </w:t>
      </w:r>
      <w:r>
        <w:rPr>
          <w:sz w:val="20"/>
        </w:rPr>
        <w:t>1.2.</w:t>
      </w:r>
      <w:r>
        <w:rPr>
          <w:sz w:val="19"/>
        </w:rPr>
        <w:t xml:space="preserve"> </w:t>
      </w:r>
      <w:r>
        <w:rPr>
          <w:sz w:val="20"/>
        </w:rPr>
        <w:t>乙方应按本合同及《运营服务</w:t>
      </w:r>
      <w:r>
        <w:rPr>
          <w:sz w:val="20"/>
        </w:rPr>
        <w:t>说明书》</w:t>
      </w:r>
      <w:r>
        <w:rPr>
          <w:sz w:val="19"/>
        </w:rPr>
        <w:t xml:space="preserve"> </w:t>
      </w:r>
      <w:r>
        <w:rPr>
          <w:sz w:val="20"/>
        </w:rPr>
        <w:t>中的相关约定，向甲方提供相应的技术服务</w:t>
      </w:r>
      <w:r>
        <w:rPr>
          <w:sz w:val="20"/>
        </w:rPr>
        <w:t>和</w:t>
      </w:r>
      <w:r>
        <w:rPr>
          <w:sz w:val="20"/>
        </w:rPr>
        <w:t>/</w:t>
      </w:r>
      <w:r>
        <w:rPr>
          <w:sz w:val="20"/>
        </w:rPr>
        <w:t>或可交付成果物。项目的内容以《运营服务说明书》中的约定为准。</w:t>
      </w:r>
    </w:p>
    <w:p>
      <w:pPr>
        <w:pStyle w:val="null3"/>
        <w:jc w:val="both"/>
      </w:pPr>
      <w:r>
        <w:rPr>
          <w:sz w:val="20"/>
          <w:b/>
        </w:rPr>
        <w:t xml:space="preserve">2.2.  </w:t>
      </w:r>
      <w:r>
        <w:rPr>
          <w:sz w:val="20"/>
          <w:b/>
        </w:rPr>
        <w:t>服务期限</w:t>
      </w:r>
    </w:p>
    <w:p>
      <w:pPr>
        <w:pStyle w:val="null3"/>
        <w:jc w:val="both"/>
      </w:pPr>
      <w:r>
        <w:rPr>
          <w:sz w:val="20"/>
        </w:rPr>
        <w:t>本项目委托服务期限采用以下第</w:t>
      </w:r>
      <w:r>
        <w:rPr>
          <w:sz w:val="20"/>
        </w:rPr>
        <w:t>____</w:t>
      </w:r>
      <w:r>
        <w:rPr>
          <w:sz w:val="20"/>
        </w:rPr>
        <w:t>种方式计算：</w:t>
      </w:r>
    </w:p>
    <w:p>
      <w:pPr>
        <w:pStyle w:val="null3"/>
        <w:spacing w:before="225"/>
        <w:ind w:left="480"/>
        <w:jc w:val="left"/>
      </w:pPr>
      <w:r>
        <w:rPr>
          <w:sz w:val="20"/>
        </w:rPr>
        <w:t>（</w:t>
      </w:r>
      <w:r>
        <w:rPr>
          <w:sz w:val="20"/>
        </w:rPr>
        <w:t>1</w:t>
      </w:r>
      <w:r>
        <w:rPr>
          <w:sz w:val="20"/>
        </w:rPr>
        <w:t>）</w:t>
      </w:r>
      <w:r>
        <w:rPr>
          <w:sz w:val="19"/>
        </w:rPr>
        <w:t xml:space="preserve"> </w:t>
      </w:r>
      <w:r>
        <w:rPr>
          <w:sz w:val="20"/>
        </w:rPr>
        <w:t>以合同签订之日为服务起始时间，服务期为</w:t>
      </w:r>
      <w:r>
        <w:rPr>
          <w:sz w:val="20"/>
        </w:rPr>
        <w:t>___</w:t>
      </w:r>
      <w:r>
        <w:rPr>
          <w:sz w:val="20"/>
        </w:rPr>
        <w:t>个月。</w:t>
      </w:r>
    </w:p>
    <w:p>
      <w:pPr>
        <w:pStyle w:val="null3"/>
        <w:spacing w:before="225"/>
        <w:ind w:left="480"/>
        <w:jc w:val="left"/>
      </w:pPr>
      <w:r>
        <w:rPr>
          <w:sz w:val="20"/>
        </w:rPr>
        <w:t>（</w:t>
      </w:r>
      <w:r>
        <w:rPr>
          <w:sz w:val="20"/>
        </w:rPr>
        <w:t>2</w:t>
      </w:r>
      <w:r>
        <w:rPr>
          <w:sz w:val="20"/>
        </w:rPr>
        <w:t>）服务期自</w:t>
      </w:r>
      <w:r>
        <w:rPr>
          <w:sz w:val="20"/>
        </w:rPr>
        <w:t>___</w:t>
      </w:r>
      <w:r>
        <w:rPr>
          <w:sz w:val="20"/>
        </w:rPr>
        <w:t>年</w:t>
      </w:r>
      <w:r>
        <w:rPr>
          <w:sz w:val="20"/>
        </w:rPr>
        <w:t>___</w:t>
      </w:r>
      <w:r>
        <w:rPr>
          <w:sz w:val="20"/>
        </w:rPr>
        <w:t>月</w:t>
      </w:r>
      <w:r>
        <w:rPr>
          <w:sz w:val="20"/>
        </w:rPr>
        <w:t>___</w:t>
      </w:r>
      <w:r>
        <w:rPr>
          <w:sz w:val="19"/>
        </w:rPr>
        <w:t xml:space="preserve"> </w:t>
      </w:r>
      <w:r>
        <w:rPr>
          <w:sz w:val="20"/>
        </w:rPr>
        <w:t>日至</w:t>
      </w:r>
      <w:r>
        <w:rPr>
          <w:sz w:val="20"/>
        </w:rPr>
        <w:t>___</w:t>
      </w:r>
      <w:r>
        <w:rPr>
          <w:sz w:val="20"/>
        </w:rPr>
        <w:t>年</w:t>
      </w:r>
      <w:r>
        <w:rPr>
          <w:sz w:val="20"/>
        </w:rPr>
        <w:t>___</w:t>
      </w:r>
      <w:r>
        <w:rPr>
          <w:sz w:val="20"/>
        </w:rPr>
        <w:t>月</w:t>
      </w:r>
      <w:r>
        <w:rPr>
          <w:sz w:val="20"/>
        </w:rPr>
        <w:t>___</w:t>
      </w:r>
      <w:r>
        <w:rPr>
          <w:sz w:val="19"/>
        </w:rPr>
        <w:t xml:space="preserve"> </w:t>
      </w:r>
      <w:r>
        <w:rPr>
          <w:sz w:val="20"/>
        </w:rPr>
        <w:t>日止。</w:t>
      </w:r>
    </w:p>
    <w:p>
      <w:pPr>
        <w:pStyle w:val="null3"/>
        <w:spacing w:before="225"/>
        <w:ind w:left="480"/>
        <w:jc w:val="left"/>
      </w:pPr>
      <w:r>
        <w:rPr>
          <w:sz w:val="20"/>
        </w:rPr>
        <w:t>（</w:t>
      </w:r>
      <w:r>
        <w:rPr>
          <w:sz w:val="20"/>
        </w:rPr>
        <w:t>3</w:t>
      </w:r>
      <w:r>
        <w:rPr>
          <w:sz w:val="20"/>
        </w:rPr>
        <w:t>）</w:t>
      </w:r>
      <w:r>
        <w:rPr>
          <w:sz w:val="19"/>
        </w:rPr>
        <w:t xml:space="preserve"> </w:t>
      </w:r>
      <w:r>
        <w:rPr>
          <w:sz w:val="20"/>
        </w:rPr>
        <w:t>以甲方确认的服务启动报审备案时间为服务起始时间，服务期为</w:t>
      </w:r>
      <w:r>
        <w:rPr>
          <w:sz w:val="20"/>
        </w:rPr>
        <w:t>___</w:t>
      </w:r>
      <w:r>
        <w:rPr>
          <w:sz w:val="20"/>
        </w:rPr>
        <w:t>个月。</w:t>
      </w:r>
    </w:p>
    <w:p>
      <w:pPr>
        <w:pStyle w:val="null3"/>
        <w:jc w:val="both"/>
      </w:pPr>
      <w:r>
        <w:rPr>
          <w:sz w:val="20"/>
          <w:b/>
        </w:rPr>
        <w:t xml:space="preserve">2.3.  </w:t>
      </w:r>
      <w:r>
        <w:rPr>
          <w:sz w:val="20"/>
          <w:b/>
        </w:rPr>
        <w:t>最终验收</w:t>
      </w:r>
    </w:p>
    <w:p>
      <w:pPr>
        <w:pStyle w:val="null3"/>
        <w:jc w:val="both"/>
      </w:pPr>
      <w:r>
        <w:rPr>
          <w:sz w:val="20"/>
        </w:rPr>
        <w:t>2.3.</w:t>
      </w:r>
      <w:r>
        <w:rPr>
          <w:sz w:val="19"/>
        </w:rPr>
        <w:t xml:space="preserve"> </w:t>
      </w:r>
      <w:r>
        <w:rPr>
          <w:sz w:val="20"/>
        </w:rPr>
        <w:t>1.</w:t>
      </w:r>
      <w:r>
        <w:rPr>
          <w:sz w:val="20"/>
        </w:rPr>
        <w:t>验收标准和验收方式以附件《验收要求》中的约定为准。</w:t>
      </w:r>
    </w:p>
    <w:p>
      <w:pPr>
        <w:pStyle w:val="null3"/>
        <w:spacing w:before="225"/>
        <w:ind w:left="60" w:right="75" w:firstLine="405"/>
        <w:jc w:val="left"/>
      </w:pPr>
      <w:r>
        <w:rPr>
          <w:sz w:val="20"/>
        </w:rPr>
        <w:t>2.3.2.</w:t>
      </w:r>
      <w:r>
        <w:rPr>
          <w:sz w:val="19"/>
        </w:rPr>
        <w:t xml:space="preserve"> </w:t>
      </w:r>
      <w:r>
        <w:rPr>
          <w:sz w:val="20"/>
        </w:rPr>
        <w:t>乙方应按本合同约定及时申请验收，</w:t>
      </w:r>
      <w:r>
        <w:rPr>
          <w:sz w:val="19"/>
        </w:rPr>
        <w:t xml:space="preserve"> </w:t>
      </w:r>
      <w:r>
        <w:rPr>
          <w:sz w:val="20"/>
        </w:rPr>
        <w:t>甲方收到乙方验收申请后，应及时审核，并在审核通过后内按本合同约定及时组织验收，并出</w:t>
      </w:r>
      <w:r>
        <w:rPr>
          <w:sz w:val="20"/>
        </w:rPr>
        <w:t>具验收报告。</w:t>
      </w:r>
    </w:p>
    <w:p>
      <w:pPr>
        <w:pStyle w:val="null3"/>
        <w:spacing w:before="225"/>
        <w:ind w:left="45" w:right="75" w:firstLine="415"/>
        <w:jc w:val="left"/>
      </w:pPr>
      <w:r>
        <w:rPr>
          <w:sz w:val="20"/>
        </w:rPr>
        <w:t>2.3.3.</w:t>
      </w:r>
      <w:r>
        <w:rPr>
          <w:sz w:val="20"/>
        </w:rPr>
        <w:t>验收活动组织按甲方项目验收管理工作要求执行，乙方应无条件配合甲方的验收工</w:t>
      </w:r>
      <w:r>
        <w:rPr>
          <w:sz w:val="20"/>
        </w:rPr>
        <w:t>作，并按甲方要求的形式提供相应的验收材</w:t>
      </w:r>
      <w:r>
        <w:rPr>
          <w:sz w:val="20"/>
        </w:rPr>
        <w:t>料。</w:t>
      </w:r>
    </w:p>
    <w:p>
      <w:pPr>
        <w:pStyle w:val="null3"/>
        <w:spacing w:before="135"/>
        <w:ind w:left="15"/>
        <w:jc w:val="left"/>
      </w:pPr>
      <w:r>
        <w:rPr>
          <w:sz w:val="20"/>
        </w:rPr>
        <w:t xml:space="preserve">3.  </w:t>
      </w:r>
      <w:r>
        <w:rPr>
          <w:sz w:val="20"/>
          <w:b/>
        </w:rPr>
        <w:t>双方权利义务</w:t>
      </w:r>
    </w:p>
    <w:p>
      <w:pPr>
        <w:pStyle w:val="null3"/>
        <w:jc w:val="both"/>
      </w:pPr>
      <w:r>
        <w:rPr>
          <w:sz w:val="20"/>
          <w:b/>
        </w:rPr>
        <w:t>3.1.</w:t>
      </w:r>
      <w:r>
        <w:rPr>
          <w:sz w:val="19"/>
          <w:b/>
        </w:rPr>
        <w:t xml:space="preserve">  </w:t>
      </w:r>
      <w:r>
        <w:rPr>
          <w:sz w:val="20"/>
          <w:b/>
        </w:rPr>
        <w:t>甲方权利义务</w:t>
      </w:r>
    </w:p>
    <w:p>
      <w:pPr>
        <w:pStyle w:val="null3"/>
        <w:jc w:val="both"/>
      </w:pPr>
      <w:r>
        <w:rPr>
          <w:sz w:val="20"/>
        </w:rPr>
        <w:t>3.</w:t>
      </w:r>
      <w:r>
        <w:rPr>
          <w:sz w:val="19"/>
        </w:rPr>
        <w:t xml:space="preserve"> </w:t>
      </w:r>
      <w:r>
        <w:rPr>
          <w:sz w:val="20"/>
        </w:rPr>
        <w:t>1.</w:t>
      </w:r>
      <w:r>
        <w:rPr>
          <w:sz w:val="19"/>
        </w:rPr>
        <w:t xml:space="preserve"> </w:t>
      </w:r>
      <w:r>
        <w:rPr>
          <w:sz w:val="20"/>
        </w:rPr>
        <w:t>1.</w:t>
      </w:r>
      <w:r>
        <w:rPr>
          <w:sz w:val="19"/>
        </w:rPr>
        <w:t xml:space="preserve"> </w:t>
      </w:r>
      <w:r>
        <w:rPr>
          <w:sz w:val="20"/>
        </w:rPr>
        <w:t>乙方因自身原因导致合同无法继续履行，则视为</w:t>
      </w:r>
      <w:r>
        <w:rPr>
          <w:sz w:val="20"/>
        </w:rPr>
        <w:t>乙方违约，甲方有权单方解除合同，</w:t>
      </w:r>
      <w:r>
        <w:rPr>
          <w:sz w:val="20"/>
        </w:rPr>
        <w:t>并向乙方追偿损失。</w:t>
      </w:r>
    </w:p>
    <w:p>
      <w:pPr>
        <w:pStyle w:val="null3"/>
        <w:spacing w:before="225"/>
        <w:ind w:left="30" w:right="75" w:firstLine="419"/>
        <w:jc w:val="left"/>
      </w:pPr>
      <w:r>
        <w:rPr>
          <w:sz w:val="20"/>
        </w:rPr>
        <w:t>3.</w:t>
      </w:r>
      <w:r>
        <w:rPr>
          <w:sz w:val="19"/>
        </w:rPr>
        <w:t xml:space="preserve"> </w:t>
      </w:r>
      <w:r>
        <w:rPr>
          <w:sz w:val="20"/>
        </w:rPr>
        <w:t>1.2.</w:t>
      </w:r>
      <w:r>
        <w:rPr>
          <w:sz w:val="20"/>
        </w:rPr>
        <w:t>如因乙方原因导致甲方被行政处分或行政处罚，</w:t>
      </w:r>
      <w:r>
        <w:rPr>
          <w:sz w:val="19"/>
        </w:rPr>
        <w:t xml:space="preserve"> </w:t>
      </w:r>
      <w:r>
        <w:rPr>
          <w:sz w:val="20"/>
        </w:rPr>
        <w:t>甲方保留向乙方追究法律责任、经</w:t>
      </w:r>
      <w:r>
        <w:rPr>
          <w:sz w:val="20"/>
        </w:rPr>
        <w:t>济责任的权利。</w:t>
      </w:r>
    </w:p>
    <w:p>
      <w:pPr>
        <w:pStyle w:val="null3"/>
        <w:spacing w:before="225"/>
        <w:ind w:left="30" w:right="75" w:firstLine="418"/>
        <w:jc w:val="left"/>
      </w:pPr>
      <w:r>
        <w:rPr>
          <w:sz w:val="20"/>
        </w:rPr>
        <w:t>3.</w:t>
      </w:r>
      <w:r>
        <w:rPr>
          <w:sz w:val="19"/>
        </w:rPr>
        <w:t xml:space="preserve"> </w:t>
      </w:r>
      <w:r>
        <w:rPr>
          <w:sz w:val="20"/>
        </w:rPr>
        <w:t>1.3.</w:t>
      </w:r>
      <w:r>
        <w:rPr>
          <w:sz w:val="19"/>
        </w:rPr>
        <w:t xml:space="preserve"> </w:t>
      </w:r>
      <w:r>
        <w:rPr>
          <w:sz w:val="20"/>
        </w:rPr>
        <w:t>甲方有权要求乙方撤换任何不称职的服务人</w:t>
      </w:r>
      <w:r>
        <w:rPr>
          <w:sz w:val="20"/>
        </w:rPr>
        <w:t>员，乙方需在甲方要求的时间内完成替换，替换人员须具有与原人员能力相当或更高的资质和能力。</w:t>
      </w:r>
    </w:p>
    <w:p>
      <w:pPr>
        <w:pStyle w:val="null3"/>
        <w:spacing w:before="225"/>
        <w:ind w:left="15" w:right="75" w:firstLine="421"/>
        <w:jc w:val="left"/>
      </w:pPr>
      <w:r>
        <w:rPr>
          <w:sz w:val="20"/>
        </w:rPr>
        <w:t>3.</w:t>
      </w:r>
      <w:r>
        <w:rPr>
          <w:sz w:val="19"/>
        </w:rPr>
        <w:t xml:space="preserve"> </w:t>
      </w:r>
      <w:r>
        <w:rPr>
          <w:sz w:val="20"/>
        </w:rPr>
        <w:t>1.4.</w:t>
      </w:r>
      <w:r>
        <w:rPr>
          <w:sz w:val="19"/>
        </w:rPr>
        <w:t xml:space="preserve"> </w:t>
      </w:r>
      <w:r>
        <w:rPr>
          <w:sz w:val="20"/>
        </w:rPr>
        <w:t>甲方应依照《运营服务说明书》</w:t>
      </w:r>
      <w:r>
        <w:rPr>
          <w:sz w:val="19"/>
        </w:rPr>
        <w:t xml:space="preserve"> </w:t>
      </w:r>
      <w:r>
        <w:rPr>
          <w:sz w:val="20"/>
        </w:rPr>
        <w:t>中的约定</w:t>
      </w:r>
      <w:r>
        <w:rPr>
          <w:sz w:val="20"/>
        </w:rPr>
        <w:t>，向乙方提供技术服务所必需的信息、数据、资料，并负责为乙方提供必要的设备、工作场地、后勤设施等。如因甲方未能按时提供工作条件或技术资料，或甲方未及时协调需其他相关方配合的资源，经甲乙双方协商并书面确认后，乙方可顺延运营服务工作的完成期限。</w:t>
      </w:r>
    </w:p>
    <w:p>
      <w:pPr>
        <w:pStyle w:val="null3"/>
        <w:spacing w:before="225"/>
        <w:ind w:left="30" w:right="75" w:firstLine="419"/>
        <w:jc w:val="left"/>
      </w:pPr>
      <w:r>
        <w:rPr>
          <w:sz w:val="20"/>
        </w:rPr>
        <w:t>3.</w:t>
      </w:r>
      <w:r>
        <w:rPr>
          <w:sz w:val="19"/>
        </w:rPr>
        <w:t xml:space="preserve"> </w:t>
      </w:r>
      <w:r>
        <w:rPr>
          <w:sz w:val="20"/>
        </w:rPr>
        <w:t>1.5.</w:t>
      </w:r>
      <w:r>
        <w:rPr>
          <w:sz w:val="19"/>
        </w:rPr>
        <w:t xml:space="preserve"> </w:t>
      </w:r>
      <w:r>
        <w:rPr>
          <w:sz w:val="20"/>
        </w:rPr>
        <w:t>甲方应在项目小组指派一名甲方人员作为项</w:t>
      </w:r>
      <w:r>
        <w:rPr>
          <w:sz w:val="20"/>
        </w:rPr>
        <w:t>目负责人，负责对乙方服务进行协调、</w:t>
      </w:r>
      <w:r>
        <w:rPr>
          <w:sz w:val="20"/>
        </w:rPr>
        <w:t>监督，项目负责人应定期向甲方汇报，与乙方项目负责人沟通，并负</w:t>
      </w:r>
      <w:r>
        <w:rPr>
          <w:sz w:val="20"/>
        </w:rPr>
        <w:t>责本合同项下服务和</w:t>
      </w:r>
      <w:r>
        <w:rPr>
          <w:sz w:val="20"/>
        </w:rPr>
        <w:t>/</w:t>
      </w:r>
      <w:r>
        <w:rPr>
          <w:sz w:val="20"/>
        </w:rPr>
        <w:t>或</w:t>
      </w:r>
      <w:r>
        <w:rPr>
          <w:sz w:val="20"/>
        </w:rPr>
        <w:t>可交付成果物的验收组织工作。如乙方提供的服务达不到甲方要求的，甲方应及时将不符合要求的内容和原因通知乙方。</w:t>
      </w:r>
    </w:p>
    <w:p>
      <w:pPr>
        <w:pStyle w:val="null3"/>
        <w:spacing w:before="225"/>
        <w:ind w:left="495"/>
        <w:jc w:val="right"/>
      </w:pPr>
      <w:r>
        <w:rPr>
          <w:sz w:val="20"/>
        </w:rPr>
        <w:t>3.</w:t>
      </w:r>
      <w:r>
        <w:rPr>
          <w:sz w:val="19"/>
        </w:rPr>
        <w:t xml:space="preserve"> </w:t>
      </w:r>
      <w:r>
        <w:rPr>
          <w:sz w:val="20"/>
        </w:rPr>
        <w:t>1.6.</w:t>
      </w:r>
      <w:r>
        <w:rPr>
          <w:sz w:val="19"/>
        </w:rPr>
        <w:t xml:space="preserve"> </w:t>
      </w:r>
      <w:r>
        <w:rPr>
          <w:sz w:val="20"/>
        </w:rPr>
        <w:t>甲方应及时组织验收，对乙方</w:t>
      </w:r>
      <w:r>
        <w:rPr>
          <w:sz w:val="20"/>
        </w:rPr>
        <w:t>提交的符合本合同约定的运营服务成果进行书面确认。</w:t>
      </w:r>
    </w:p>
    <w:p>
      <w:pPr>
        <w:pStyle w:val="null3"/>
        <w:spacing w:before="225"/>
        <w:ind w:left="30" w:right="75" w:firstLine="419"/>
        <w:jc w:val="left"/>
      </w:pPr>
      <w:r>
        <w:rPr>
          <w:sz w:val="20"/>
        </w:rPr>
        <w:t>3.</w:t>
      </w:r>
      <w:r>
        <w:rPr>
          <w:sz w:val="19"/>
        </w:rPr>
        <w:t xml:space="preserve"> </w:t>
      </w:r>
      <w:r>
        <w:rPr>
          <w:sz w:val="20"/>
        </w:rPr>
        <w:t>1.7.</w:t>
      </w:r>
      <w:r>
        <w:rPr>
          <w:sz w:val="20"/>
        </w:rPr>
        <w:t>按照本合同的约定向乙方支付合同金额，</w:t>
      </w:r>
      <w:r>
        <w:rPr>
          <w:sz w:val="19"/>
        </w:rPr>
        <w:t xml:space="preserve"> </w:t>
      </w:r>
      <w:r>
        <w:rPr>
          <w:sz w:val="20"/>
        </w:rPr>
        <w:t>甲方有权直接在应付款项中扣除乙方应承</w:t>
      </w:r>
      <w:r>
        <w:rPr>
          <w:sz w:val="20"/>
        </w:rPr>
        <w:t>担的违约金或赔偿金等对应款项。</w:t>
      </w:r>
    </w:p>
    <w:p>
      <w:pPr>
        <w:pStyle w:val="null3"/>
        <w:spacing w:before="225"/>
        <w:ind w:left="15" w:right="75" w:firstLine="421"/>
        <w:jc w:val="left"/>
      </w:pPr>
      <w:r>
        <w:rPr>
          <w:sz w:val="20"/>
        </w:rPr>
        <w:t>3.</w:t>
      </w:r>
      <w:r>
        <w:rPr>
          <w:sz w:val="19"/>
        </w:rPr>
        <w:t xml:space="preserve"> </w:t>
      </w:r>
      <w:r>
        <w:rPr>
          <w:sz w:val="20"/>
        </w:rPr>
        <w:t>1.8.</w:t>
      </w:r>
      <w:r>
        <w:rPr>
          <w:sz w:val="20"/>
        </w:rPr>
        <w:t>若甲方在其他合同中为本项目指定监理单位，</w:t>
      </w:r>
      <w:r>
        <w:rPr>
          <w:sz w:val="19"/>
        </w:rPr>
        <w:t xml:space="preserve"> </w:t>
      </w:r>
      <w:r>
        <w:rPr>
          <w:sz w:val="20"/>
        </w:rPr>
        <w:t>甲方应当将授予监理单位的监理权利</w:t>
      </w:r>
      <w:r>
        <w:rPr>
          <w:sz w:val="20"/>
        </w:rPr>
        <w:t>及时通知乙方。</w:t>
      </w:r>
    </w:p>
    <w:p>
      <w:pPr>
        <w:pStyle w:val="null3"/>
        <w:spacing w:before="225"/>
        <w:ind w:left="435"/>
        <w:jc w:val="left"/>
      </w:pPr>
      <w:r>
        <w:rPr>
          <w:sz w:val="20"/>
        </w:rPr>
        <w:t>3.</w:t>
      </w:r>
      <w:r>
        <w:rPr>
          <w:sz w:val="19"/>
        </w:rPr>
        <w:t xml:space="preserve"> </w:t>
      </w:r>
      <w:r>
        <w:rPr>
          <w:sz w:val="20"/>
        </w:rPr>
        <w:t>1.9.</w:t>
      </w:r>
      <w:r>
        <w:rPr>
          <w:sz w:val="20"/>
        </w:rPr>
        <w:t>法律、法规规定的以及本合同项下的其他权利义务。</w:t>
      </w:r>
    </w:p>
    <w:p>
      <w:pPr>
        <w:pStyle w:val="null3"/>
        <w:jc w:val="both"/>
      </w:pPr>
      <w:r>
        <w:rPr>
          <w:sz w:val="20"/>
          <w:b/>
        </w:rPr>
        <w:t>3.2.</w:t>
      </w:r>
      <w:r>
        <w:rPr>
          <w:sz w:val="19"/>
          <w:b/>
        </w:rPr>
        <w:t xml:space="preserve">  </w:t>
      </w:r>
      <w:r>
        <w:rPr>
          <w:sz w:val="20"/>
          <w:b/>
        </w:rPr>
        <w:t>乙方权利义务</w:t>
      </w:r>
    </w:p>
    <w:p>
      <w:pPr>
        <w:pStyle w:val="null3"/>
        <w:jc w:val="both"/>
      </w:pPr>
      <w:r>
        <w:rPr>
          <w:sz w:val="20"/>
        </w:rPr>
        <w:t>3.2.</w:t>
      </w:r>
      <w:r>
        <w:rPr>
          <w:sz w:val="19"/>
        </w:rPr>
        <w:t xml:space="preserve"> </w:t>
      </w:r>
      <w:r>
        <w:rPr>
          <w:sz w:val="20"/>
        </w:rPr>
        <w:t>1.</w:t>
      </w:r>
      <w:r>
        <w:rPr>
          <w:sz w:val="20"/>
        </w:rPr>
        <w:t>要求甲方按本合同的约定支付合同金额</w:t>
      </w:r>
      <w:r>
        <w:rPr>
          <w:sz w:val="20"/>
        </w:rPr>
        <w:t>的权利。</w:t>
      </w:r>
    </w:p>
    <w:p>
      <w:pPr>
        <w:pStyle w:val="null3"/>
        <w:spacing w:before="225"/>
        <w:ind w:left="15" w:right="75" w:firstLine="422"/>
        <w:jc w:val="left"/>
      </w:pPr>
      <w:r>
        <w:rPr>
          <w:sz w:val="20"/>
        </w:rPr>
        <w:t>3.2.2.</w:t>
      </w:r>
      <w:r>
        <w:rPr>
          <w:sz w:val="20"/>
        </w:rPr>
        <w:t>如果因不可归责于乙方的原因导致乙方不能履约的，则乙方有权和甲方就有关事宜</w:t>
      </w:r>
      <w:r>
        <w:rPr>
          <w:sz w:val="20"/>
        </w:rPr>
        <w:t>进行沟通，如经甲方确认确属不可归责于乙方的原因，且乙方已为避免此种情形采取必要的措施，则甲方出具相应的书面文件，确认不得以此作为对乙方考核不达标的依据，并不得追究乙</w:t>
      </w:r>
      <w:r>
        <w:rPr>
          <w:sz w:val="20"/>
        </w:rPr>
        <w:t>方的违约责任。</w:t>
      </w:r>
    </w:p>
    <w:p>
      <w:pPr>
        <w:pStyle w:val="null3"/>
        <w:spacing w:before="225"/>
        <w:ind w:left="15" w:firstLine="420"/>
        <w:jc w:val="left"/>
      </w:pPr>
      <w:r>
        <w:rPr>
          <w:sz w:val="20"/>
        </w:rPr>
        <w:t>3.2.3.</w:t>
      </w:r>
      <w:r>
        <w:rPr>
          <w:sz w:val="19"/>
        </w:rPr>
        <w:t xml:space="preserve"> </w:t>
      </w:r>
      <w:r>
        <w:rPr>
          <w:sz w:val="20"/>
        </w:rPr>
        <w:t>乙方应加强项目相关人员管理。向甲方书面提交本合同项目具体的人力资源计划及</w:t>
      </w:r>
      <w:r>
        <w:rPr>
          <w:sz w:val="20"/>
        </w:rPr>
        <w:t>岗位职责手册（包括但不限于：本合同项目的管理、运营等服务人员的名单、岗位责任、组织</w:t>
      </w:r>
      <w:r>
        <w:rPr>
          <w:sz w:val="20"/>
        </w:rPr>
        <w:t>架构等</w:t>
      </w:r>
      <w:r>
        <w:rPr>
          <w:sz w:val="20"/>
        </w:rPr>
        <w:t>），</w:t>
      </w:r>
      <w:r>
        <w:rPr>
          <w:sz w:val="20"/>
        </w:rPr>
        <w:t>如有变化乙方应及时更新，核心骨干人员（一般为项目经理、技术负责人）变化须</w:t>
      </w:r>
      <w:r>
        <w:rPr>
          <w:sz w:val="20"/>
        </w:rPr>
        <w:t>提前征得甲方事先同意，甲方认为乙方派出的人员不足以按期保质完成服务任务，乙方应按甲方要求更换，更换人员须经过甲方面试同意。如仍不能符合项目服务质量要求，采购人有权责令停止服务并整改或解除合同，乙方应对由此造成的损失负责。与本项目有关的制度规章以及服务过程有关资料，乙方应书面报甲方备案，并接受甲方定期不定期的检查。应加强对驻场人</w:t>
      </w:r>
      <w:r>
        <w:rPr>
          <w:sz w:val="20"/>
        </w:rPr>
        <w:t>员管理，遵守甲方工作管理要求，接受工作指导和统一安排。</w:t>
      </w:r>
    </w:p>
    <w:p>
      <w:pPr>
        <w:pStyle w:val="null3"/>
        <w:spacing w:before="225"/>
        <w:ind w:left="15" w:firstLine="420"/>
        <w:jc w:val="left"/>
      </w:pPr>
      <w:r>
        <w:rPr>
          <w:sz w:val="20"/>
        </w:rPr>
        <w:t>3.2.4.</w:t>
      </w:r>
      <w:r>
        <w:rPr>
          <w:sz w:val="19"/>
        </w:rPr>
        <w:t xml:space="preserve"> </w:t>
      </w:r>
      <w:r>
        <w:rPr>
          <w:sz w:val="20"/>
        </w:rPr>
        <w:t>乙方应尽勤勉义务，严格执行项目服务计划，依照《运营服务说明书》</w:t>
      </w:r>
      <w:r>
        <w:rPr>
          <w:sz w:val="19"/>
        </w:rPr>
        <w:t xml:space="preserve"> </w:t>
      </w:r>
      <w:r>
        <w:rPr>
          <w:sz w:val="20"/>
        </w:rPr>
        <w:t>的约定交付</w:t>
      </w:r>
      <w:r>
        <w:rPr>
          <w:sz w:val="20"/>
        </w:rPr>
        <w:t>服务和</w:t>
      </w:r>
      <w:r>
        <w:rPr>
          <w:sz w:val="20"/>
        </w:rPr>
        <w:t>/</w:t>
      </w:r>
      <w:r>
        <w:rPr>
          <w:sz w:val="20"/>
        </w:rPr>
        <w:t>或可交付成果。</w:t>
      </w:r>
    </w:p>
    <w:p>
      <w:pPr>
        <w:pStyle w:val="null3"/>
        <w:spacing w:before="225"/>
        <w:ind w:left="15" w:firstLine="421"/>
        <w:jc w:val="left"/>
      </w:pPr>
      <w:r>
        <w:rPr>
          <w:sz w:val="20"/>
        </w:rPr>
        <w:t>3.2.5.</w:t>
      </w:r>
      <w:r>
        <w:rPr>
          <w:sz w:val="20"/>
        </w:rPr>
        <w:t>若乙方履行本合同确需甲方配合或协调的，应事先向甲方提出书面说明并清晰、完</w:t>
      </w:r>
      <w:r>
        <w:rPr>
          <w:sz w:val="20"/>
        </w:rPr>
        <w:t>整地列明甲方需配合的事项及时间要求等内容，经甲乙双方协商确认后，甲方依约定完成配合或协调事项；否则，甲方无须向乙方提供任何配合或协助，乙方亦不能以此为由要求甲方承担任何责任或主张减轻或免除自己任何责任。</w:t>
      </w:r>
    </w:p>
    <w:p>
      <w:pPr>
        <w:pStyle w:val="null3"/>
        <w:spacing w:before="225"/>
        <w:ind w:left="30" w:firstLine="414"/>
        <w:jc w:val="left"/>
      </w:pPr>
      <w:r>
        <w:rPr>
          <w:sz w:val="20"/>
        </w:rPr>
        <w:t>3.2.6.</w:t>
      </w:r>
      <w:r>
        <w:rPr>
          <w:sz w:val="19"/>
        </w:rPr>
        <w:t xml:space="preserve"> </w:t>
      </w:r>
      <w:r>
        <w:rPr>
          <w:sz w:val="20"/>
        </w:rPr>
        <w:t>乙方收到甲方提供的资料信息应进行书面签收。对前述资料信息有异议的，应在收</w:t>
      </w:r>
      <w:r>
        <w:rPr>
          <w:sz w:val="20"/>
        </w:rPr>
        <w:t>到之日起</w:t>
      </w:r>
      <w:r>
        <w:rPr>
          <w:sz w:val="19"/>
        </w:rPr>
        <w:t xml:space="preserve"> </w:t>
      </w:r>
      <w:r>
        <w:rPr>
          <w:sz w:val="20"/>
        </w:rPr>
        <w:t xml:space="preserve">2 </w:t>
      </w:r>
      <w:r>
        <w:rPr>
          <w:sz w:val="20"/>
        </w:rPr>
        <w:t>个工作日内向甲方书面提出，否则视为乙方认可甲</w:t>
      </w:r>
      <w:r>
        <w:rPr>
          <w:sz w:val="20"/>
        </w:rPr>
        <w:t>方提供的资料信息，乙方不得以</w:t>
      </w:r>
      <w:r>
        <w:rPr>
          <w:sz w:val="20"/>
        </w:rPr>
        <w:t>甲方未按需提供技术资料为由主张顺延运营服务工作的完成期限。未提出书面异议而因资料信</w:t>
      </w:r>
      <w:r>
        <w:rPr>
          <w:sz w:val="20"/>
        </w:rPr>
        <w:t>息错误或者缺陷等导致的一切后果由乙方自行承担，给甲方造成损失的，乙方应予以赔偿。</w:t>
      </w:r>
    </w:p>
    <w:p>
      <w:pPr>
        <w:pStyle w:val="null3"/>
        <w:spacing w:before="225"/>
        <w:ind w:left="30" w:right="45" w:firstLine="419"/>
        <w:jc w:val="left"/>
      </w:pPr>
      <w:r>
        <w:rPr>
          <w:sz w:val="20"/>
        </w:rPr>
        <w:t>3.2.7.</w:t>
      </w:r>
      <w:r>
        <w:rPr>
          <w:sz w:val="19"/>
        </w:rPr>
        <w:t xml:space="preserve"> </w:t>
      </w:r>
      <w:r>
        <w:rPr>
          <w:sz w:val="20"/>
        </w:rPr>
        <w:t>乙方应为本项目配备相关资质和能力与执行项目运营服务工作相匹配的服务人员，驻场人员应遵守甲方各项工作管理要求，接受统一安排。</w:t>
      </w:r>
    </w:p>
    <w:p>
      <w:pPr>
        <w:pStyle w:val="null3"/>
        <w:spacing w:before="225"/>
        <w:ind w:left="30" w:firstLine="419"/>
        <w:jc w:val="left"/>
      </w:pPr>
      <w:r>
        <w:rPr>
          <w:sz w:val="20"/>
        </w:rPr>
        <w:t>3.2.8.</w:t>
      </w:r>
      <w:r>
        <w:rPr>
          <w:sz w:val="20"/>
        </w:rPr>
        <w:t>未经双方项目负责人书面确认或者甲方书面同意，乙方不得延迟运营工作的完成期</w:t>
      </w:r>
      <w:r>
        <w:rPr>
          <w:sz w:val="20"/>
        </w:rPr>
        <w:t>限或对运营工作进行内容上的变更。如果乙方在提供技术服务的过程中发现影响计划执行的不</w:t>
      </w:r>
      <w:r>
        <w:rPr>
          <w:sz w:val="20"/>
        </w:rPr>
        <w:t>利因素的，乙方应及时以书面形式通报给甲</w:t>
      </w:r>
      <w:r>
        <w:rPr>
          <w:sz w:val="20"/>
        </w:rPr>
        <w:t>方。</w:t>
      </w:r>
    </w:p>
    <w:p>
      <w:pPr>
        <w:pStyle w:val="null3"/>
        <w:spacing w:before="225"/>
        <w:ind w:left="435"/>
        <w:jc w:val="left"/>
      </w:pPr>
      <w:r>
        <w:rPr>
          <w:sz w:val="20"/>
        </w:rPr>
        <w:t>3.2.9.</w:t>
      </w:r>
      <w:r>
        <w:rPr>
          <w:sz w:val="19"/>
        </w:rPr>
        <w:t xml:space="preserve"> </w:t>
      </w:r>
      <w:r>
        <w:rPr>
          <w:sz w:val="20"/>
        </w:rPr>
        <w:t>甲方告知不符合服务要求的内容和原因后，乙方应</w:t>
      </w:r>
      <w:r>
        <w:rPr>
          <w:sz w:val="20"/>
        </w:rPr>
        <w:t>在甲方指定期限内完成整改。</w:t>
      </w:r>
    </w:p>
    <w:p>
      <w:pPr>
        <w:pStyle w:val="null3"/>
        <w:spacing w:before="225"/>
        <w:ind w:left="435"/>
        <w:jc w:val="left"/>
      </w:pPr>
      <w:r>
        <w:rPr>
          <w:sz w:val="20"/>
        </w:rPr>
        <w:t>3.2.10.</w:t>
      </w:r>
      <w:r>
        <w:rPr>
          <w:sz w:val="19"/>
        </w:rPr>
        <w:t xml:space="preserve"> </w:t>
      </w:r>
      <w:r>
        <w:rPr>
          <w:sz w:val="20"/>
        </w:rPr>
        <w:t>乙方应及时参加甲方组织的</w:t>
      </w:r>
      <w:r>
        <w:rPr>
          <w:sz w:val="20"/>
        </w:rPr>
        <w:t>例会、专题会议等。</w:t>
      </w:r>
    </w:p>
    <w:p>
      <w:pPr>
        <w:pStyle w:val="null3"/>
        <w:spacing w:before="225"/>
        <w:ind w:left="30" w:firstLine="419"/>
        <w:jc w:val="left"/>
      </w:pPr>
      <w:r>
        <w:rPr>
          <w:sz w:val="20"/>
        </w:rPr>
        <w:t>3.2.</w:t>
      </w:r>
      <w:r>
        <w:rPr>
          <w:sz w:val="19"/>
        </w:rPr>
        <w:t xml:space="preserve"> </w:t>
      </w:r>
      <w:r>
        <w:rPr>
          <w:sz w:val="20"/>
        </w:rPr>
        <w:t>11.</w:t>
      </w:r>
      <w:r>
        <w:rPr>
          <w:sz w:val="20"/>
        </w:rPr>
        <w:t>如政府审计部门或政府审计部门委托的第三方审计单位需对涉及本合同</w:t>
      </w:r>
      <w:r>
        <w:rPr>
          <w:sz w:val="20"/>
        </w:rPr>
        <w:t>的事项进</w:t>
      </w:r>
      <w:r>
        <w:rPr>
          <w:sz w:val="20"/>
        </w:rPr>
        <w:t>行审计时，乙方应按照政府审计有关法律法规和政策要求，支持、协助审计部门或其委托的跟</w:t>
      </w:r>
      <w:r>
        <w:rPr>
          <w:sz w:val="20"/>
        </w:rPr>
        <w:t>踪审计单位开展工作。</w:t>
      </w:r>
    </w:p>
    <w:p>
      <w:pPr>
        <w:pStyle w:val="null3"/>
        <w:spacing w:before="135"/>
        <w:ind w:left="15" w:right="150" w:firstLine="5"/>
        <w:jc w:val="both"/>
      </w:pPr>
      <w:r>
        <w:rPr>
          <w:sz w:val="20"/>
        </w:rPr>
        <w:t>3.2.</w:t>
      </w:r>
      <w:r>
        <w:rPr>
          <w:sz w:val="19"/>
        </w:rPr>
        <w:t xml:space="preserve"> </w:t>
      </w:r>
      <w:r>
        <w:rPr>
          <w:sz w:val="20"/>
        </w:rPr>
        <w:t>12.</w:t>
      </w:r>
      <w:r>
        <w:rPr>
          <w:sz w:val="19"/>
        </w:rPr>
        <w:t xml:space="preserve"> </w:t>
      </w:r>
      <w:r>
        <w:rPr>
          <w:sz w:val="20"/>
        </w:rPr>
        <w:t>乙方应保证所提供的产品或服务没有侵害任何第三方的知识产权或其他正当权益。</w:t>
      </w:r>
      <w:r>
        <w:rPr>
          <w:sz w:val="20"/>
        </w:rPr>
        <w:t>如有第三方指控甲方接受乙方提供的产品或服务侵犯了该方的知识产权或其他合法权利，乙方应自费就上述指控为甲方辩护或进行妥善处理，并承担给甲方及第三方造成的一切损失（包括</w:t>
      </w:r>
      <w:r>
        <w:rPr>
          <w:sz w:val="20"/>
        </w:rPr>
        <w:t>但不限于赔偿金、律师费、诉讼费等）。如乙方不为甲方辩护或不进行妥善处理，</w:t>
      </w:r>
      <w:r>
        <w:rPr>
          <w:sz w:val="19"/>
        </w:rPr>
        <w:t xml:space="preserve"> </w:t>
      </w:r>
      <w:r>
        <w:rPr>
          <w:sz w:val="20"/>
        </w:rPr>
        <w:t>甲方可自行</w:t>
      </w:r>
      <w:r>
        <w:rPr>
          <w:sz w:val="20"/>
        </w:rPr>
        <w:t>处理，对于甲方与第三方达成的和解协议或法院、仲裁机构作出的生效法律文书确定由甲方承担的责任和费用，及甲方自行处理所支出的合理费用（包括但不限于律师费、案件受理费、执</w:t>
      </w:r>
      <w:r>
        <w:rPr>
          <w:sz w:val="20"/>
        </w:rPr>
        <w:t>行费、差旅费等</w:t>
      </w:r>
      <w:r>
        <w:rPr>
          <w:sz w:val="20"/>
        </w:rPr>
        <w:t>），</w:t>
      </w:r>
      <w:r>
        <w:rPr>
          <w:sz w:val="20"/>
        </w:rPr>
        <w:t>乙方同意全部承担，</w:t>
      </w:r>
      <w:r>
        <w:rPr>
          <w:sz w:val="19"/>
        </w:rPr>
        <w:t xml:space="preserve"> </w:t>
      </w:r>
      <w:r>
        <w:rPr>
          <w:sz w:val="20"/>
        </w:rPr>
        <w:t>甲方有权在应付乙方的合同款项中直接扣减相应</w:t>
      </w:r>
      <w:r>
        <w:rPr>
          <w:sz w:val="20"/>
        </w:rPr>
        <w:t>金额或另行向乙方进行追偿。</w:t>
      </w:r>
    </w:p>
    <w:p>
      <w:pPr>
        <w:pStyle w:val="null3"/>
        <w:ind w:left="15" w:right="90" w:firstLine="421"/>
        <w:jc w:val="left"/>
      </w:pPr>
      <w:r>
        <w:rPr>
          <w:sz w:val="20"/>
        </w:rPr>
        <w:t>3.2.13.</w:t>
      </w:r>
      <w:r>
        <w:rPr>
          <w:sz w:val="20"/>
        </w:rPr>
        <w:t>本合同的签订在双方（包括但不限于乙方指派人员）之间并不产生任何劳动、雇佣、</w:t>
      </w:r>
      <w:r>
        <w:rPr>
          <w:sz w:val="20"/>
        </w:rPr>
        <w:t>代理关系。乙方指派人员在履行本合同过程中遭受人身、财产损害或者造成他人人身财产损害的，乙方应承担全部责任。给甲方造成损失的（包括但不限于赔偿金、补偿金、律师费、诉讼</w:t>
      </w:r>
      <w:r>
        <w:rPr>
          <w:sz w:val="20"/>
        </w:rPr>
        <w:t>费用</w:t>
      </w:r>
      <w:r>
        <w:rPr>
          <w:sz w:val="20"/>
        </w:rPr>
        <w:t>），</w:t>
      </w:r>
      <w:r>
        <w:rPr>
          <w:sz w:val="20"/>
        </w:rPr>
        <w:t>乙方应当向甲方赔偿；若甲方因此承担了责任，</w:t>
      </w:r>
      <w:r>
        <w:rPr>
          <w:sz w:val="19"/>
        </w:rPr>
        <w:t xml:space="preserve"> </w:t>
      </w:r>
      <w:r>
        <w:rPr>
          <w:sz w:val="20"/>
        </w:rPr>
        <w:t>甲方有权从应付乙方的合</w:t>
      </w:r>
      <w:r>
        <w:rPr>
          <w:sz w:val="20"/>
        </w:rPr>
        <w:t>同款项中直接扣减相应金额或者另行向乙方进行追偿。</w:t>
      </w:r>
    </w:p>
    <w:p>
      <w:pPr>
        <w:pStyle w:val="null3"/>
        <w:spacing w:before="225"/>
        <w:ind w:left="15" w:right="135" w:firstLine="420"/>
        <w:jc w:val="left"/>
      </w:pPr>
      <w:r>
        <w:rPr>
          <w:sz w:val="20"/>
        </w:rPr>
        <w:t>3.2.</w:t>
      </w:r>
      <w:r>
        <w:rPr>
          <w:sz w:val="19"/>
        </w:rPr>
        <w:t xml:space="preserve"> </w:t>
      </w:r>
      <w:r>
        <w:rPr>
          <w:sz w:val="20"/>
        </w:rPr>
        <w:t>14.</w:t>
      </w:r>
      <w:r>
        <w:rPr>
          <w:sz w:val="19"/>
        </w:rPr>
        <w:t xml:space="preserve"> </w:t>
      </w:r>
      <w:r>
        <w:rPr>
          <w:sz w:val="20"/>
        </w:rPr>
        <w:t>乙方应当按照合同约定履行义务，完成中标项目。除甲方在采购文件明确允许以分</w:t>
      </w:r>
      <w:r>
        <w:rPr>
          <w:sz w:val="20"/>
        </w:rPr>
        <w:t>包形式履行，且乙方在投标环节已签订分包意向协议的服务内容外，乙方不得将合同服务内容</w:t>
      </w:r>
      <w:r>
        <w:rPr>
          <w:sz w:val="20"/>
        </w:rPr>
        <w:t>以任何形式进行分包，不得向他人转让中标项目，也不得将中标项目肢解后分别向他</w:t>
      </w:r>
      <w:r>
        <w:rPr>
          <w:sz w:val="20"/>
        </w:rPr>
        <w:t>人转让。</w:t>
      </w:r>
    </w:p>
    <w:p>
      <w:pPr>
        <w:pStyle w:val="null3"/>
        <w:spacing w:before="225"/>
        <w:ind w:left="30" w:right="150" w:firstLine="419"/>
        <w:jc w:val="left"/>
      </w:pPr>
      <w:r>
        <w:rPr>
          <w:sz w:val="20"/>
        </w:rPr>
        <w:t>3.2.15.</w:t>
      </w:r>
      <w:r>
        <w:rPr>
          <w:sz w:val="20"/>
        </w:rPr>
        <w:t>若甲方在其他合同中为本项目指定</w:t>
      </w:r>
      <w:r>
        <w:rPr>
          <w:sz w:val="20"/>
        </w:rPr>
        <w:t>监理单位，乙方应无条件接受甲方或甲方指定的</w:t>
      </w:r>
      <w:r>
        <w:rPr>
          <w:sz w:val="20"/>
        </w:rPr>
        <w:t>监理单位的统一管理和监督检查，并按要求完成相关配合工作。</w:t>
      </w:r>
    </w:p>
    <w:p>
      <w:pPr>
        <w:pStyle w:val="null3"/>
        <w:spacing w:before="225"/>
        <w:ind w:left="30" w:firstLine="419"/>
        <w:jc w:val="left"/>
      </w:pPr>
      <w:r>
        <w:rPr>
          <w:sz w:val="20"/>
        </w:rPr>
        <w:t>3.2.16.</w:t>
      </w:r>
      <w:r>
        <w:rPr>
          <w:sz w:val="19"/>
        </w:rPr>
        <w:t xml:space="preserve"> </w:t>
      </w:r>
      <w:r>
        <w:rPr>
          <w:sz w:val="20"/>
        </w:rPr>
        <w:t>乙方应对其履行本合同所雇佣、安排的全部人员的安全事故承担责任。由</w:t>
      </w:r>
      <w:r>
        <w:rPr>
          <w:sz w:val="20"/>
        </w:rPr>
        <w:t>于乙方或乙方人员原因在甲方办公场所内及其毗邻造成的第三者人身伤亡和财产损失，由乙方负责赔偿，若造成甲方实际损失的，</w:t>
      </w:r>
      <w:r>
        <w:rPr>
          <w:sz w:val="19"/>
        </w:rPr>
        <w:t xml:space="preserve"> </w:t>
      </w:r>
      <w:r>
        <w:rPr>
          <w:sz w:val="20"/>
        </w:rPr>
        <w:t>甲方有权向乙方全额追索。</w:t>
      </w:r>
    </w:p>
    <w:p>
      <w:pPr>
        <w:pStyle w:val="null3"/>
        <w:spacing w:before="225"/>
        <w:ind w:left="15" w:right="150" w:firstLine="421"/>
        <w:jc w:val="left"/>
      </w:pPr>
      <w:r>
        <w:rPr>
          <w:sz w:val="20"/>
        </w:rPr>
        <w:t>3.2.17.</w:t>
      </w:r>
      <w:r>
        <w:rPr>
          <w:sz w:val="19"/>
        </w:rPr>
        <w:t xml:space="preserve"> </w:t>
      </w:r>
      <w:r>
        <w:rPr>
          <w:sz w:val="20"/>
        </w:rPr>
        <w:t>乙方须承诺依据系统工程要求开展工作，按甲方要求提交系统工程设计书</w:t>
      </w:r>
      <w:r>
        <w:rPr>
          <w:sz w:val="20"/>
        </w:rPr>
        <w:t>和系统工</w:t>
      </w:r>
      <w:r>
        <w:rPr>
          <w:sz w:val="20"/>
        </w:rPr>
        <w:t>程验收报告，指派项目技术负责人并按甲方要求接受相关的系统工程能力考核。</w:t>
      </w:r>
    </w:p>
    <w:p>
      <w:pPr>
        <w:pStyle w:val="null3"/>
        <w:spacing w:before="225"/>
        <w:ind w:left="435"/>
        <w:jc w:val="left"/>
      </w:pPr>
      <w:r>
        <w:rPr>
          <w:sz w:val="20"/>
        </w:rPr>
        <w:t>3.2.18.</w:t>
      </w:r>
      <w:r>
        <w:rPr>
          <w:sz w:val="19"/>
        </w:rPr>
        <w:t xml:space="preserve"> </w:t>
      </w:r>
      <w:r>
        <w:rPr>
          <w:sz w:val="20"/>
        </w:rPr>
        <w:t>乙方须按甲方要求移交系统超级管理员和其他重要权限。</w:t>
      </w:r>
    </w:p>
    <w:p>
      <w:pPr>
        <w:pStyle w:val="null3"/>
        <w:spacing w:before="225"/>
        <w:ind w:left="15" w:right="150" w:firstLine="421"/>
        <w:jc w:val="left"/>
      </w:pPr>
      <w:r>
        <w:rPr>
          <w:sz w:val="20"/>
        </w:rPr>
        <w:t>3.2.19.</w:t>
      </w:r>
      <w:r>
        <w:rPr>
          <w:sz w:val="20"/>
        </w:rPr>
        <w:t>未经甲方同意，乙方不得擅自调整</w:t>
      </w:r>
      <w:r>
        <w:rPr>
          <w:sz w:val="20"/>
        </w:rPr>
        <w:t>本项目所涉及系统功能，或实施与其他业务系统</w:t>
      </w:r>
      <w:r>
        <w:rPr>
          <w:sz w:val="20"/>
        </w:rPr>
        <w:t>对接等工作。</w:t>
      </w:r>
    </w:p>
    <w:p>
      <w:pPr>
        <w:pStyle w:val="null3"/>
        <w:spacing w:before="135"/>
        <w:ind w:left="15" w:right="30" w:firstLine="421"/>
        <w:jc w:val="left"/>
      </w:pPr>
      <w:r>
        <w:rPr>
          <w:sz w:val="20"/>
        </w:rPr>
        <w:t>3.2.20.</w:t>
      </w:r>
      <w:r>
        <w:rPr>
          <w:sz w:val="19"/>
        </w:rPr>
        <w:t xml:space="preserve"> </w:t>
      </w:r>
      <w:r>
        <w:rPr>
          <w:sz w:val="20"/>
        </w:rPr>
        <w:t>乙方按甲方要求，配合完成本项目关联系统的数据资产、数字化资产建档</w:t>
      </w:r>
      <w:r>
        <w:rPr>
          <w:sz w:val="20"/>
        </w:rPr>
        <w:t>建卡，包</w:t>
      </w:r>
      <w:r>
        <w:rPr>
          <w:sz w:val="20"/>
        </w:rPr>
        <w:t>括但不限于：系统登记、资产清查盘点、建立并完善资产信息卡等工作。具体建档建卡要素和</w:t>
      </w:r>
      <w:r>
        <w:rPr>
          <w:sz w:val="20"/>
        </w:rPr>
        <w:t>格式须符合财政部《关于加强行政事业单位数据资产管理的通知》（财资〔</w:t>
      </w:r>
      <w:r>
        <w:rPr>
          <w:sz w:val="20"/>
        </w:rPr>
        <w:t>20</w:t>
      </w:r>
      <w:r>
        <w:rPr>
          <w:sz w:val="20"/>
        </w:rPr>
        <w:t>24</w:t>
      </w:r>
      <w:r>
        <w:rPr>
          <w:sz w:val="20"/>
        </w:rPr>
        <w:t>〕</w:t>
      </w:r>
      <w:r>
        <w:rPr>
          <w:sz w:val="20"/>
        </w:rPr>
        <w:t>1</w:t>
      </w:r>
      <w:r>
        <w:rPr>
          <w:sz w:val="19"/>
        </w:rPr>
        <w:t xml:space="preserve"> </w:t>
      </w:r>
      <w:r>
        <w:rPr>
          <w:sz w:val="20"/>
        </w:rPr>
        <w:t>号）、《固</w:t>
      </w:r>
      <w:r>
        <w:rPr>
          <w:sz w:val="20"/>
        </w:rPr>
        <w:t>定资产等资产基础分类与代码》（</w:t>
      </w:r>
      <w:r>
        <w:rPr>
          <w:sz w:val="20"/>
        </w:rPr>
        <w:t>GB</w:t>
      </w:r>
      <w:r>
        <w:rPr>
          <w:sz w:val="20"/>
        </w:rPr>
        <w:t>/T</w:t>
      </w:r>
      <w:r>
        <w:rPr>
          <w:sz w:val="19"/>
        </w:rPr>
        <w:t xml:space="preserve"> </w:t>
      </w:r>
      <w:r>
        <w:rPr>
          <w:sz w:val="20"/>
        </w:rPr>
        <w:t>14885-2022</w:t>
      </w:r>
      <w:r>
        <w:rPr>
          <w:sz w:val="20"/>
        </w:rPr>
        <w:t>）等国家和广东省相关政策，以及甲方内控</w:t>
      </w:r>
      <w:r>
        <w:rPr>
          <w:sz w:val="20"/>
        </w:rPr>
        <w:t>制度的要求。乙方需保证其交付工作即数据资产信息的齐全性、准确性和真实性。</w:t>
      </w:r>
      <w:r>
        <w:rPr>
          <w:sz w:val="20"/>
        </w:rPr>
        <w:t>3.2.21.</w:t>
      </w:r>
      <w:r>
        <w:rPr>
          <w:sz w:val="19"/>
        </w:rPr>
        <w:t xml:space="preserve"> </w:t>
      </w:r>
      <w:r>
        <w:rPr>
          <w:sz w:val="20"/>
        </w:rPr>
        <w:t>乙方须按甲方制定的项目质量管理要求开展服务，无条件接受甲方对项目</w:t>
      </w:r>
      <w:r>
        <w:rPr>
          <w:sz w:val="20"/>
        </w:rPr>
        <w:t>质量管理</w:t>
      </w:r>
      <w:r>
        <w:rPr>
          <w:sz w:val="20"/>
        </w:rPr>
        <w:t>要求落实情况的监督考核。包括但不限于：根据甲方提出的项目需重点解决问题清单合理制定解决方案，在项目实施过程中将问题予以解决，确保项目服务质量；根据甲方提出的项目管理制度清单，编制相应的项目管理制度文件，进一步规范项目实施过程；根据采甲方提出服务团队岗位职责清单，制定岗位职责手册，定岗定人，确保各核心岗位均指派能胜任的专人提供服</w:t>
      </w:r>
      <w:r>
        <w:rPr>
          <w:sz w:val="20"/>
        </w:rPr>
        <w:t>务。</w:t>
      </w:r>
    </w:p>
    <w:p>
      <w:pPr>
        <w:pStyle w:val="null3"/>
        <w:spacing w:before="225"/>
        <w:ind w:left="435"/>
        <w:jc w:val="left"/>
      </w:pPr>
      <w:r>
        <w:rPr>
          <w:sz w:val="20"/>
        </w:rPr>
        <w:t>3.2.22.</w:t>
      </w:r>
      <w:r>
        <w:rPr>
          <w:sz w:val="20"/>
        </w:rPr>
        <w:t>法律、法规规定的以及本合同项下的其</w:t>
      </w:r>
      <w:r>
        <w:rPr>
          <w:sz w:val="20"/>
        </w:rPr>
        <w:t>他权利义务。</w:t>
      </w:r>
    </w:p>
    <w:p>
      <w:pPr>
        <w:pStyle w:val="null3"/>
        <w:jc w:val="both"/>
      </w:pPr>
      <w:r>
        <w:rPr>
          <w:sz w:val="20"/>
        </w:rPr>
        <w:t xml:space="preserve">4.  </w:t>
      </w:r>
      <w:r>
        <w:rPr>
          <w:sz w:val="20"/>
          <w:b/>
        </w:rPr>
        <w:t>合同金额与结算方式</w:t>
      </w:r>
    </w:p>
    <w:p>
      <w:pPr>
        <w:pStyle w:val="null3"/>
        <w:jc w:val="both"/>
      </w:pPr>
      <w:r>
        <w:rPr>
          <w:sz w:val="20"/>
          <w:b/>
        </w:rPr>
        <w:t xml:space="preserve">4.1.  </w:t>
      </w:r>
      <w:r>
        <w:rPr>
          <w:sz w:val="20"/>
          <w:b/>
        </w:rPr>
        <w:t>合同金额</w:t>
      </w:r>
    </w:p>
    <w:p>
      <w:pPr>
        <w:pStyle w:val="null3"/>
        <w:jc w:val="both"/>
      </w:pPr>
      <w:r>
        <w:rPr>
          <w:sz w:val="20"/>
        </w:rPr>
        <w:t>合同总金额为（大写）</w:t>
      </w:r>
      <w:r>
        <w:rPr>
          <w:sz w:val="20"/>
        </w:rPr>
        <w:t>:</w:t>
      </w:r>
      <w:r>
        <w:rPr>
          <w:sz w:val="20"/>
        </w:rPr>
        <w:t>人民币</w:t>
      </w:r>
      <w:r>
        <w:rPr>
          <w:sz w:val="20"/>
        </w:rPr>
        <w:t>______________</w:t>
      </w:r>
      <w:r>
        <w:rPr>
          <w:sz w:val="20"/>
        </w:rPr>
        <w:t>_</w:t>
      </w:r>
      <w:r>
        <w:rPr>
          <w:sz w:val="20"/>
        </w:rPr>
        <w:t>元整</w:t>
      </w:r>
      <w:r>
        <w:rPr>
          <w:sz w:val="20"/>
        </w:rPr>
        <w:t xml:space="preserve"> (</w:t>
      </w:r>
      <w:r>
        <w:rPr>
          <w:sz w:val="20"/>
        </w:rPr>
        <w:t>¥________________</w:t>
      </w:r>
      <w:r>
        <w:rPr>
          <w:sz w:val="20"/>
        </w:rPr>
        <w:t>元</w:t>
      </w:r>
      <w:r>
        <w:rPr>
          <w:sz w:val="20"/>
        </w:rPr>
        <w:t>），</w:t>
      </w:r>
      <w:r>
        <w:rPr>
          <w:sz w:val="20"/>
        </w:rPr>
        <w:t>本合同总金</w:t>
      </w:r>
      <w:r>
        <w:rPr>
          <w:sz w:val="20"/>
        </w:rPr>
        <w:t>额为乙方按照合同约定完成合同全部义务后所适用的含税总价格。</w:t>
      </w:r>
    </w:p>
    <w:p>
      <w:pPr>
        <w:pStyle w:val="null3"/>
        <w:spacing w:before="285"/>
        <w:ind w:left="15"/>
        <w:jc w:val="left"/>
      </w:pPr>
      <w:r>
        <w:rPr>
          <w:sz w:val="20"/>
          <w:b/>
        </w:rPr>
        <w:t>4.2.</w:t>
      </w:r>
      <w:r>
        <w:rPr>
          <w:sz w:val="19"/>
          <w:b/>
        </w:rPr>
        <w:t xml:space="preserve">  </w:t>
      </w:r>
      <w:r>
        <w:rPr>
          <w:sz w:val="20"/>
          <w:b/>
        </w:rPr>
        <w:t>费用结算方式</w:t>
      </w:r>
    </w:p>
    <w:p>
      <w:pPr>
        <w:pStyle w:val="null3"/>
        <w:jc w:val="both"/>
      </w:pPr>
      <w:r>
        <w:rPr>
          <w:sz w:val="20"/>
        </w:rPr>
        <w:t>4.2.</w:t>
      </w:r>
      <w:r>
        <w:rPr>
          <w:sz w:val="19"/>
        </w:rPr>
        <w:t xml:space="preserve"> </w:t>
      </w:r>
      <w:r>
        <w:rPr>
          <w:sz w:val="20"/>
        </w:rPr>
        <w:t>1.</w:t>
      </w:r>
      <w:r>
        <w:rPr>
          <w:sz w:val="20"/>
        </w:rPr>
        <w:t>合同款由甲方分期支付给乙方，原则上合同约定的资金支付条件与验收成果挂钩，</w:t>
      </w:r>
      <w:r>
        <w:rPr>
          <w:sz w:val="20"/>
        </w:rPr>
        <w:t>具体支付方式如下：</w:t>
      </w:r>
    </w:p>
    <w:p>
      <w:pPr>
        <w:pStyle w:val="null3"/>
        <w:spacing w:before="135"/>
        <w:ind w:left="15" w:firstLine="416"/>
        <w:jc w:val="left"/>
      </w:pPr>
      <w:r>
        <w:rPr>
          <w:sz w:val="20"/>
        </w:rPr>
        <w:t>按采购文件</w:t>
      </w:r>
    </w:p>
    <w:p>
      <w:pPr>
        <w:pStyle w:val="null3"/>
        <w:spacing w:before="135"/>
        <w:ind w:left="15" w:firstLine="416"/>
        <w:jc w:val="left"/>
      </w:pPr>
      <w:r>
        <w:rPr>
          <w:sz w:val="20"/>
        </w:rPr>
        <w:t>4.2.2.</w:t>
      </w:r>
      <w:r>
        <w:rPr>
          <w:sz w:val="20"/>
        </w:rPr>
        <w:t>对于满足合同约定支付条件的，甲方应当自收到发票后</w:t>
      </w:r>
      <w:r>
        <w:rPr>
          <w:sz w:val="19"/>
        </w:rPr>
        <w:t xml:space="preserve"> </w:t>
      </w:r>
      <w:r>
        <w:rPr>
          <w:sz w:val="20"/>
        </w:rPr>
        <w:t xml:space="preserve">10 </w:t>
      </w:r>
      <w:r>
        <w:rPr>
          <w:sz w:val="20"/>
        </w:rPr>
        <w:t>个</w:t>
      </w:r>
      <w:r>
        <w:rPr>
          <w:sz w:val="20"/>
        </w:rPr>
        <w:t>工作日内将资金支付到</w:t>
      </w:r>
      <w:r>
        <w:rPr>
          <w:sz w:val="20"/>
        </w:rPr>
        <w:t>合同约定的乙方账户，不得以机构变动、人员更替、政策调整等为由延迟付款，不得将采购文</w:t>
      </w:r>
      <w:r>
        <w:rPr>
          <w:sz w:val="20"/>
        </w:rPr>
        <w:t>件和合同中未规定的义务作为向乙方付款的条件。</w:t>
      </w:r>
    </w:p>
    <w:p>
      <w:pPr>
        <w:pStyle w:val="null3"/>
        <w:spacing w:before="225"/>
        <w:ind w:left="30" w:firstLine="412"/>
        <w:jc w:val="left"/>
      </w:pPr>
      <w:r>
        <w:rPr>
          <w:sz w:val="20"/>
        </w:rPr>
        <w:t>4.2.3.</w:t>
      </w:r>
      <w:r>
        <w:rPr>
          <w:sz w:val="20"/>
        </w:rPr>
        <w:t>如乙方未按照约定提供上述任一所需文件，则甲方有权顺延付款时间且不承担违约</w:t>
      </w:r>
      <w:r>
        <w:rPr>
          <w:sz w:val="20"/>
        </w:rPr>
        <w:t>责任，同时乙方应履行义务的期限不予顺延。</w:t>
      </w:r>
    </w:p>
    <w:p>
      <w:pPr>
        <w:pStyle w:val="null3"/>
        <w:jc w:val="both"/>
      </w:pPr>
      <w:r>
        <w:rPr>
          <w:sz w:val="20"/>
          <w:b/>
        </w:rPr>
        <w:t>4.3.</w:t>
      </w:r>
      <w:r>
        <w:rPr>
          <w:sz w:val="19"/>
          <w:b/>
        </w:rPr>
        <w:t xml:space="preserve">  </w:t>
      </w:r>
      <w:r>
        <w:rPr>
          <w:sz w:val="20"/>
          <w:b/>
        </w:rPr>
        <w:t>乙方账号信息</w:t>
      </w:r>
    </w:p>
    <w:p>
      <w:pPr>
        <w:pStyle w:val="null3"/>
        <w:jc w:val="both"/>
      </w:pPr>
      <w:r>
        <w:rPr>
          <w:sz w:val="20"/>
        </w:rPr>
        <w:t>开户名称：</w:t>
      </w:r>
      <w:r>
        <w:rPr>
          <w:sz w:val="20"/>
        </w:rPr>
        <w:t>____________________________________________</w:t>
      </w:r>
    </w:p>
    <w:p>
      <w:pPr>
        <w:pStyle w:val="null3"/>
        <w:spacing w:before="225"/>
        <w:ind w:left="450"/>
        <w:jc w:val="left"/>
      </w:pPr>
      <w:r>
        <w:rPr>
          <w:sz w:val="20"/>
        </w:rPr>
        <w:t>开户银行：</w:t>
      </w:r>
      <w:r>
        <w:rPr>
          <w:sz w:val="20"/>
        </w:rPr>
        <w:t>____________________________________________</w:t>
      </w:r>
    </w:p>
    <w:p>
      <w:pPr>
        <w:pStyle w:val="null3"/>
        <w:spacing w:before="225"/>
        <w:ind w:left="450"/>
        <w:jc w:val="left"/>
      </w:pPr>
      <w:r>
        <w:rPr>
          <w:sz w:val="20"/>
        </w:rPr>
        <w:t>银行账号：</w:t>
      </w:r>
      <w:r>
        <w:rPr>
          <w:sz w:val="20"/>
        </w:rPr>
        <w:t>_____________________________________________</w:t>
      </w:r>
    </w:p>
    <w:p>
      <w:pPr>
        <w:pStyle w:val="null3"/>
        <w:spacing w:before="225"/>
        <w:ind w:left="30" w:firstLine="446"/>
        <w:jc w:val="left"/>
      </w:pPr>
      <w:r>
        <w:rPr>
          <w:sz w:val="20"/>
        </w:rPr>
        <w:t>甲方向上述账户汇出款项后，即视为甲方已履行付款义务，在汇款过程中因乙方账户原因</w:t>
      </w:r>
      <w:r>
        <w:rPr>
          <w:sz w:val="20"/>
        </w:rPr>
        <w:t>（包括但不限于账号被注销、被冻结等）导致其无法收取款项的，由乙方承担相应后果。甲方</w:t>
      </w:r>
      <w:r>
        <w:rPr>
          <w:sz w:val="20"/>
        </w:rPr>
        <w:t>有权直接在应付款项中扣除乙方应承担的违约金或赔偿金等对应款项。</w:t>
      </w:r>
    </w:p>
    <w:p>
      <w:pPr>
        <w:pStyle w:val="null3"/>
        <w:spacing w:before="255"/>
        <w:ind w:left="15"/>
        <w:jc w:val="left"/>
      </w:pPr>
      <w:r>
        <w:rPr>
          <w:sz w:val="20"/>
          <w:b/>
        </w:rPr>
        <w:t>4.4.</w:t>
      </w:r>
      <w:r>
        <w:rPr>
          <w:sz w:val="19"/>
          <w:b/>
        </w:rPr>
        <w:t xml:space="preserve">  </w:t>
      </w:r>
      <w:r>
        <w:rPr>
          <w:sz w:val="20"/>
          <w:b/>
        </w:rPr>
        <w:t>其他</w:t>
      </w:r>
    </w:p>
    <w:p>
      <w:pPr>
        <w:pStyle w:val="null3"/>
        <w:jc w:val="both"/>
      </w:pPr>
      <w:r>
        <w:rPr>
          <w:sz w:val="20"/>
        </w:rPr>
        <w:t>除本合同明确约定的费用外，甲方无需对乙方支付任何额外费用和承担任</w:t>
      </w:r>
      <w:r>
        <w:rPr>
          <w:sz w:val="20"/>
        </w:rPr>
        <w:t>何额外义务。在</w:t>
      </w:r>
      <w:r>
        <w:rPr>
          <w:sz w:val="20"/>
        </w:rPr>
        <w:t>实际合同履行过程中，如果乙方未完全履行合同义务或履行的合同义务不符合约定的，则未履</w:t>
      </w:r>
      <w:r>
        <w:rPr>
          <w:sz w:val="20"/>
        </w:rPr>
        <w:t>行或履行不符合合同约定的内容所对应的价款由甲方直接从上述约定的合同金额中扣除。</w:t>
      </w:r>
    </w:p>
    <w:p>
      <w:pPr>
        <w:pStyle w:val="null3"/>
        <w:jc w:val="both"/>
      </w:pPr>
      <w:r>
        <w:rPr>
          <w:sz w:val="20"/>
        </w:rPr>
        <w:t>5.</w:t>
      </w:r>
      <w:r>
        <w:rPr>
          <w:sz w:val="19"/>
        </w:rPr>
        <w:t xml:space="preserve">  </w:t>
      </w:r>
      <w:r>
        <w:rPr>
          <w:sz w:val="20"/>
          <w:b/>
        </w:rPr>
        <w:t>保密</w:t>
      </w:r>
    </w:p>
    <w:p>
      <w:pPr>
        <w:pStyle w:val="null3"/>
        <w:jc w:val="both"/>
      </w:pPr>
      <w:r>
        <w:rPr>
          <w:sz w:val="20"/>
          <w:b/>
        </w:rPr>
        <w:t xml:space="preserve">5.1.  </w:t>
      </w:r>
      <w:r>
        <w:rPr>
          <w:sz w:val="20"/>
          <w:b/>
        </w:rPr>
        <w:t>保密信息范围</w:t>
      </w:r>
    </w:p>
    <w:p>
      <w:pPr>
        <w:pStyle w:val="null3"/>
        <w:jc w:val="both"/>
      </w:pPr>
      <w:r>
        <w:rPr>
          <w:sz w:val="20"/>
        </w:rPr>
        <w:t>5.</w:t>
      </w:r>
      <w:r>
        <w:rPr>
          <w:sz w:val="19"/>
        </w:rPr>
        <w:t xml:space="preserve"> </w:t>
      </w:r>
      <w:r>
        <w:rPr>
          <w:sz w:val="20"/>
        </w:rPr>
        <w:t>1.</w:t>
      </w:r>
      <w:r>
        <w:rPr>
          <w:sz w:val="19"/>
        </w:rPr>
        <w:t xml:space="preserve"> </w:t>
      </w:r>
      <w:r>
        <w:rPr>
          <w:sz w:val="20"/>
        </w:rPr>
        <w:t>1.</w:t>
      </w:r>
      <w:r>
        <w:rPr>
          <w:sz w:val="20"/>
        </w:rPr>
        <w:t>在本合同执行过程中乙方接触的甲方所有业务信息（包括但不限于合同、文档、</w:t>
      </w:r>
      <w:r>
        <w:rPr>
          <w:sz w:val="20"/>
        </w:rPr>
        <w:t>方案、图纸、数据等）。</w:t>
      </w:r>
    </w:p>
    <w:p>
      <w:pPr>
        <w:pStyle w:val="null3"/>
        <w:spacing w:before="225"/>
        <w:ind w:left="225" w:firstLine="422"/>
        <w:jc w:val="left"/>
      </w:pPr>
      <w:r>
        <w:rPr>
          <w:sz w:val="20"/>
        </w:rPr>
        <w:t>5.</w:t>
      </w:r>
      <w:r>
        <w:rPr>
          <w:sz w:val="19"/>
        </w:rPr>
        <w:t xml:space="preserve"> </w:t>
      </w:r>
      <w:r>
        <w:rPr>
          <w:sz w:val="20"/>
        </w:rPr>
        <w:t>1.2.</w:t>
      </w:r>
      <w:r>
        <w:rPr>
          <w:sz w:val="20"/>
        </w:rPr>
        <w:t>在本合同执行过程中接触的政</w:t>
      </w:r>
      <w:r>
        <w:rPr>
          <w:sz w:val="20"/>
        </w:rPr>
        <w:t>府机关文件（包括但不限于内部发文、各类通知及</w:t>
      </w:r>
      <w:r>
        <w:rPr>
          <w:sz w:val="20"/>
        </w:rPr>
        <w:t>会议记录等）。</w:t>
      </w:r>
    </w:p>
    <w:p>
      <w:pPr>
        <w:pStyle w:val="null3"/>
        <w:spacing w:before="135"/>
        <w:ind w:left="15"/>
        <w:jc w:val="left"/>
      </w:pPr>
      <w:r>
        <w:rPr>
          <w:sz w:val="20"/>
        </w:rPr>
        <w:t>5.</w:t>
      </w:r>
      <w:r>
        <w:rPr>
          <w:sz w:val="19"/>
        </w:rPr>
        <w:t xml:space="preserve"> </w:t>
      </w:r>
      <w:r>
        <w:rPr>
          <w:sz w:val="20"/>
        </w:rPr>
        <w:t>1.3.</w:t>
      </w:r>
      <w:r>
        <w:rPr>
          <w:sz w:val="20"/>
        </w:rPr>
        <w:t>其他详细保密条款内容见附件。</w:t>
      </w:r>
    </w:p>
    <w:p>
      <w:pPr>
        <w:pStyle w:val="null3"/>
        <w:spacing w:before="135"/>
        <w:ind w:left="15"/>
        <w:jc w:val="left"/>
      </w:pPr>
      <w:r>
        <w:rPr>
          <w:sz w:val="20"/>
          <w:b/>
        </w:rPr>
        <w:t xml:space="preserve">5.2.  </w:t>
      </w:r>
      <w:r>
        <w:rPr>
          <w:sz w:val="20"/>
          <w:b/>
        </w:rPr>
        <w:t>保密责任</w:t>
      </w:r>
    </w:p>
    <w:p>
      <w:pPr>
        <w:pStyle w:val="null3"/>
        <w:jc w:val="both"/>
      </w:pPr>
      <w:r>
        <w:rPr>
          <w:sz w:val="20"/>
        </w:rPr>
        <w:t>5.2.</w:t>
      </w:r>
      <w:r>
        <w:rPr>
          <w:sz w:val="19"/>
        </w:rPr>
        <w:t xml:space="preserve"> </w:t>
      </w:r>
      <w:r>
        <w:rPr>
          <w:sz w:val="20"/>
        </w:rPr>
        <w:t>1.</w:t>
      </w:r>
      <w:r>
        <w:rPr>
          <w:sz w:val="19"/>
        </w:rPr>
        <w:t xml:space="preserve"> </w:t>
      </w:r>
      <w:r>
        <w:rPr>
          <w:sz w:val="20"/>
        </w:rPr>
        <w:t>乙方对其因身份、职务、职业或技</w:t>
      </w:r>
      <w:r>
        <w:rPr>
          <w:sz w:val="20"/>
        </w:rPr>
        <w:t>术关系而知悉的甲方商业秘密和党政机关保密</w:t>
      </w:r>
      <w:r>
        <w:rPr>
          <w:sz w:val="20"/>
        </w:rPr>
        <w:t>信息应严格保守，保证不被披露或使用，包括意外或过失。</w:t>
      </w:r>
    </w:p>
    <w:p>
      <w:pPr>
        <w:pStyle w:val="null3"/>
        <w:spacing w:before="165"/>
        <w:ind w:left="225" w:right="150" w:firstLine="421"/>
        <w:jc w:val="left"/>
      </w:pPr>
      <w:r>
        <w:rPr>
          <w:sz w:val="20"/>
        </w:rPr>
        <w:t>5.2.2.</w:t>
      </w:r>
      <w:r>
        <w:rPr>
          <w:sz w:val="19"/>
        </w:rPr>
        <w:t xml:space="preserve"> </w:t>
      </w:r>
      <w:r>
        <w:rPr>
          <w:sz w:val="20"/>
        </w:rPr>
        <w:t>乙方不得以竞争为目的或出于私利或为第三人谋利而擅自保存、复制、披露、使</w:t>
      </w:r>
      <w:r>
        <w:rPr>
          <w:sz w:val="20"/>
        </w:rPr>
        <w:t>用甲方商业秘密和党政机关保密信息；不得直接或间接地向无关人员泄露甲方的商业秘密和党政机关保密信息；不得向不承担保密义务的任何第三人披露甲方的商业秘密和党政机关保密信息。</w:t>
      </w:r>
      <w:r>
        <w:rPr>
          <w:sz w:val="19"/>
        </w:rPr>
        <w:t xml:space="preserve"> </w:t>
      </w:r>
      <w:r>
        <w:rPr>
          <w:sz w:val="20"/>
        </w:rPr>
        <w:t>由此造成甲方损失的，乙方应负责赔偿。</w:t>
      </w:r>
    </w:p>
    <w:p>
      <w:pPr>
        <w:pStyle w:val="null3"/>
        <w:spacing w:before="165"/>
        <w:ind w:left="225" w:right="150" w:firstLine="421"/>
        <w:jc w:val="left"/>
      </w:pPr>
      <w:r>
        <w:rPr>
          <w:sz w:val="20"/>
        </w:rPr>
        <w:t>5.2.3.</w:t>
      </w:r>
      <w:r>
        <w:rPr>
          <w:sz w:val="19"/>
        </w:rPr>
        <w:t xml:space="preserve"> </w:t>
      </w:r>
      <w:r>
        <w:rPr>
          <w:sz w:val="20"/>
        </w:rPr>
        <w:t>乙方在从事政府项目时，不得擅自记录、复制、拍摄、摘抄、收藏在工作中涉及</w:t>
      </w:r>
      <w:r>
        <w:rPr>
          <w:sz w:val="20"/>
        </w:rPr>
        <w:t>的保密信息，严禁将涉及政府项目的任何资料、数据透露或以其他方式提供给本项目以外的</w:t>
      </w:r>
      <w:r>
        <w:rPr>
          <w:sz w:val="20"/>
        </w:rPr>
        <w:t>其他方或乙方内部与本项目无关的任何人员。由此造成甲方损失的，乙方应负责赔偿。</w:t>
      </w:r>
    </w:p>
    <w:p>
      <w:pPr>
        <w:pStyle w:val="null3"/>
        <w:spacing w:before="165"/>
        <w:ind w:left="225" w:firstLine="422"/>
        <w:jc w:val="left"/>
      </w:pPr>
      <w:r>
        <w:rPr>
          <w:sz w:val="20"/>
        </w:rPr>
        <w:t>5.2.4.</w:t>
      </w:r>
      <w:r>
        <w:rPr>
          <w:sz w:val="19"/>
        </w:rPr>
        <w:t xml:space="preserve"> </w:t>
      </w:r>
      <w:r>
        <w:rPr>
          <w:sz w:val="20"/>
        </w:rPr>
        <w:t>乙方对于工作期间知悉甲方的商业秘密和党政机关保密信</w:t>
      </w:r>
      <w:r>
        <w:rPr>
          <w:sz w:val="20"/>
        </w:rPr>
        <w:t>息（包括业务信息在内）</w:t>
      </w:r>
      <w:r>
        <w:rPr>
          <w:sz w:val="20"/>
        </w:rPr>
        <w:t>或工作过程中接触到的政府机关文件（包括内部发文、各类通知及会议记录等）的内容，同样承担保密责任，严禁将政府机关内部会议、谈话内容泄露给无关人员；不得翻阅与工作无</w:t>
      </w:r>
      <w:r>
        <w:rPr>
          <w:sz w:val="20"/>
        </w:rPr>
        <w:t>关的文件和资料。乙方应当在完成委托事项或本合同终止或解除时将资料原件全部返还甲方，</w:t>
      </w:r>
      <w:r>
        <w:rPr>
          <w:sz w:val="20"/>
        </w:rPr>
        <w:t>并销毁所有复制件。</w:t>
      </w:r>
    </w:p>
    <w:p>
      <w:pPr>
        <w:pStyle w:val="null3"/>
        <w:spacing w:before="165"/>
        <w:ind w:left="225" w:right="225" w:firstLine="422"/>
        <w:jc w:val="left"/>
      </w:pPr>
      <w:r>
        <w:rPr>
          <w:sz w:val="20"/>
        </w:rPr>
        <w:t>5.2.5.</w:t>
      </w:r>
      <w:r>
        <w:rPr>
          <w:sz w:val="20"/>
        </w:rPr>
        <w:t>严禁泄露在工作中接触到的政府机关科技研究、发明、装备</w:t>
      </w:r>
      <w:r>
        <w:rPr>
          <w:sz w:val="20"/>
        </w:rPr>
        <w:t>器材及其技术资料和</w:t>
      </w:r>
      <w:r>
        <w:rPr>
          <w:sz w:val="20"/>
        </w:rPr>
        <w:t>政府工作信息。</w:t>
      </w:r>
    </w:p>
    <w:p>
      <w:pPr>
        <w:pStyle w:val="null3"/>
        <w:spacing w:before="165"/>
        <w:ind w:left="240" w:right="225" w:firstLine="419"/>
        <w:jc w:val="left"/>
      </w:pPr>
      <w:r>
        <w:rPr>
          <w:sz w:val="20"/>
        </w:rPr>
        <w:t>5.2.6.</w:t>
      </w:r>
      <w:r>
        <w:rPr>
          <w:sz w:val="20"/>
        </w:rPr>
        <w:t>未经甲方书面同意，乙方不得带领无关人员进入甲方办公场</w:t>
      </w:r>
      <w:r>
        <w:rPr>
          <w:sz w:val="20"/>
        </w:rPr>
        <w:t>所，若从事政府项目</w:t>
      </w:r>
      <w:r>
        <w:rPr>
          <w:sz w:val="20"/>
        </w:rPr>
        <w:t>工作，未经政府机关工作人员允许，不得进入与项目服务无关的政府机关其他办公场所。</w:t>
      </w:r>
    </w:p>
    <w:p>
      <w:pPr>
        <w:pStyle w:val="null3"/>
        <w:spacing w:before="165"/>
        <w:ind w:left="225" w:right="225" w:firstLine="421"/>
        <w:jc w:val="left"/>
      </w:pPr>
      <w:r>
        <w:rPr>
          <w:sz w:val="20"/>
        </w:rPr>
        <w:t>5.2.7.</w:t>
      </w:r>
      <w:r>
        <w:rPr>
          <w:sz w:val="19"/>
        </w:rPr>
        <w:t xml:space="preserve"> </w:t>
      </w:r>
      <w:r>
        <w:rPr>
          <w:sz w:val="20"/>
        </w:rPr>
        <w:t>乙方的保密义务延及乙方聘用的员工、工作人员，如因其员工、工作人员导致本合同保密义务的违反或商业秘密的泄露，</w:t>
      </w:r>
      <w:r>
        <w:rPr>
          <w:sz w:val="19"/>
        </w:rPr>
        <w:t xml:space="preserve"> </w:t>
      </w:r>
      <w:r>
        <w:rPr>
          <w:sz w:val="20"/>
        </w:rPr>
        <w:t>由乙方承担全部违</w:t>
      </w:r>
      <w:r>
        <w:rPr>
          <w:sz w:val="20"/>
        </w:rPr>
        <w:t>约责任。</w:t>
      </w:r>
    </w:p>
    <w:p>
      <w:pPr>
        <w:pStyle w:val="null3"/>
        <w:spacing w:before="165"/>
        <w:ind w:left="240" w:right="225" w:firstLine="417"/>
        <w:jc w:val="left"/>
      </w:pPr>
      <w:r>
        <w:rPr>
          <w:sz w:val="20"/>
        </w:rPr>
        <w:t>5.2.8.</w:t>
      </w:r>
      <w:r>
        <w:rPr>
          <w:sz w:val="20"/>
        </w:rPr>
        <w:t>涉及政府机关项目的保密内容可根据政府机关意见，相应增</w:t>
      </w:r>
      <w:r>
        <w:rPr>
          <w:sz w:val="20"/>
        </w:rPr>
        <w:t>加修改，乙方予以接受并同意履行相应保密责任。</w:t>
      </w:r>
    </w:p>
    <w:p>
      <w:pPr>
        <w:pStyle w:val="null3"/>
        <w:jc w:val="both"/>
      </w:pPr>
      <w:r>
        <w:rPr>
          <w:sz w:val="20"/>
          <w:b/>
        </w:rPr>
        <w:t xml:space="preserve">5.3.  </w:t>
      </w:r>
      <w:r>
        <w:rPr>
          <w:sz w:val="20"/>
          <w:b/>
        </w:rPr>
        <w:t>保密违约责任</w:t>
      </w:r>
    </w:p>
    <w:p>
      <w:pPr>
        <w:pStyle w:val="null3"/>
        <w:jc w:val="both"/>
      </w:pPr>
      <w:r>
        <w:rPr>
          <w:sz w:val="20"/>
        </w:rPr>
        <w:t>乙方违反本合同保密条款的，应承担违约责任。如果给甲方造成经济损失，乙方应赔偿甲方的直接经济损失及承担甲方因此而支出的一切合理费用（包括但不限于律师费、案件受理费、执行费、差旅费等）；如果因乙方恶意泄露信息资料，给甲方造成严重后果的，除应赔偿甲方的直接经济损失及承担甲方因此而支出的一切合理费用外，甲方将通过法律手段追究乙方责任。</w:t>
      </w:r>
    </w:p>
    <w:p>
      <w:pPr>
        <w:pStyle w:val="null3"/>
        <w:spacing w:before="135"/>
        <w:ind w:left="30"/>
        <w:jc w:val="left"/>
      </w:pPr>
      <w:r>
        <w:rPr>
          <w:sz w:val="20"/>
        </w:rPr>
        <w:t xml:space="preserve">6.  </w:t>
      </w:r>
      <w:r>
        <w:rPr>
          <w:sz w:val="20"/>
          <w:b/>
        </w:rPr>
        <w:t>违约赔偿责任</w:t>
      </w:r>
    </w:p>
    <w:p>
      <w:pPr>
        <w:pStyle w:val="null3"/>
        <w:jc w:val="both"/>
      </w:pPr>
      <w:r>
        <w:rPr>
          <w:sz w:val="20"/>
        </w:rPr>
        <w:t>6.1.除不可抗力情形外，签订本合同的任一方不履行本合同的任一条款，均视为该方违约。</w:t>
      </w:r>
    </w:p>
    <w:p>
      <w:pPr>
        <w:pStyle w:val="null3"/>
        <w:spacing w:before="135"/>
        <w:ind w:left="30" w:firstLine="436"/>
        <w:jc w:val="left"/>
      </w:pPr>
      <w:r>
        <w:rPr>
          <w:sz w:val="20"/>
        </w:rPr>
        <w:t>6.2.甲方未按照本合同约定，及时足额向乙方支付相应的合同金额，则乙方有权向甲方发出书面催告，如甲方在收到书面催告通知后的_30_日内仍未能支付的，则甲方除应支付应付未付的合同金额外，还应自收到书面催告通知后第_6__日起每日按照应付未付金额 3_‰的数额向乙方支付违约金。但因政府财政支付管理流程导致的支付延期，甲方不承担责任。</w:t>
      </w:r>
    </w:p>
    <w:p>
      <w:pPr>
        <w:pStyle w:val="null3"/>
        <w:spacing w:before="135"/>
        <w:ind w:left="30" w:firstLine="436"/>
        <w:jc w:val="left"/>
      </w:pPr>
      <w:r>
        <w:rPr>
          <w:sz w:val="20"/>
        </w:rPr>
        <w:t>6.3.乙方无正当理由未能够按《运营服务说明书》的约定交付服务成果的，乙方应从逾期之日起每日按对应服务总价的3‰的数额向甲方支付违约金，并向甲方出具书面文件说明延误原因，承诺加大投入以追赶项目进度。如乙方延误交付符合《运营服务说明书》约定的服务成果达_50% 以上，甲方有权单方解除合同，乙方除应向甲方退还所有已经支付的款项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 5 %。</w:t>
      </w:r>
    </w:p>
    <w:p>
      <w:pPr>
        <w:pStyle w:val="null3"/>
        <w:spacing w:before="135"/>
        <w:ind w:left="30" w:firstLine="436"/>
        <w:jc w:val="left"/>
      </w:pPr>
      <w:r>
        <w:rPr>
          <w:sz w:val="20"/>
        </w:rPr>
        <w:t>6.4.乙方服务期限内须严格遵守服务质量承诺及相关管理规定确保服务质量，对于违反服务质量承诺和服务水平约定造成服务质量下降的，乙方应向甲方承担相应的违约责任。</w:t>
      </w:r>
    </w:p>
    <w:p>
      <w:pPr>
        <w:pStyle w:val="null3"/>
        <w:spacing w:before="135"/>
        <w:ind w:left="30" w:firstLine="436"/>
        <w:jc w:val="left"/>
      </w:pPr>
      <w:r>
        <w:rPr>
          <w:sz w:val="20"/>
        </w:rPr>
        <w:t>6.5.乙方交付的产品或服务不能满足甲方书面要求，甲方有权要求乙方整改，并由乙方承担由此产生的费用。乙方在甲方指定期限内拒绝整改或整改后仍不符合要求的，甲方有权解除合同，乙方除向甲方退还对应</w:t>
      </w:r>
      <w:r>
        <w:rPr>
          <w:sz w:val="20"/>
        </w:rPr>
        <w:t>产品或服务的合同金额</w:t>
      </w:r>
      <w:r>
        <w:rPr>
          <w:sz w:val="20"/>
        </w:rPr>
        <w:t>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sz w:val="20"/>
        </w:rPr>
        <w:t>5 %。</w:t>
      </w:r>
    </w:p>
    <w:p>
      <w:pPr>
        <w:pStyle w:val="null3"/>
        <w:spacing w:before="135"/>
        <w:ind w:left="30" w:firstLine="436"/>
        <w:jc w:val="left"/>
      </w:pPr>
      <w:r>
        <w:rPr>
          <w:sz w:val="20"/>
        </w:rPr>
        <w:t>6.6项目实施过程中，甲方聘请的监理单位有权在监理权限范围内向乙方发出整改通知单，乙方收到整改通知单，除按要求整改外，还应承担相应违约金，具体如下：乙方自收到</w:t>
      </w:r>
      <w:r>
        <w:rPr>
          <w:sz w:val="20"/>
        </w:rPr>
        <w:t>第</w:t>
      </w:r>
      <w:r>
        <w:rPr>
          <w:sz w:val="20"/>
        </w:rPr>
        <w:t>2份</w:t>
      </w:r>
      <w:r>
        <w:rPr>
          <w:sz w:val="20"/>
        </w:rPr>
        <w:t>整改通知单起，乙方应承担的违约金为占合同总金额</w:t>
      </w:r>
      <w:r>
        <w:rPr>
          <w:sz w:val="20"/>
        </w:rPr>
        <w:t>0.5%/份；当收到的整改通知单数量达5份（含）以上时，乙方应承担的违约金为占合同总金额1%/份。以上违约金经甲方确认后，甲方有权从合同尾款中直接扣除，若违约金累计超过尾款金额，则甲方有权就差额部分向乙方追索。</w:t>
      </w:r>
    </w:p>
    <w:p>
      <w:pPr>
        <w:pStyle w:val="null3"/>
        <w:spacing w:before="135"/>
        <w:ind w:left="30" w:firstLine="436"/>
        <w:jc w:val="left"/>
      </w:pPr>
      <w:r>
        <w:rPr>
          <w:sz w:val="20"/>
        </w:rPr>
        <w:t>6.7.乙方将本合同全部或肢解后转包的，一经发现，甲方有权单方解除合同，并上报政府采购监管部门。甲方有权要求乙方按照对应转包的产品或服务合同金额予以赔偿外，若由此造成甲方其他直接损失的，乙方仍应予以赔偿。</w:t>
      </w:r>
    </w:p>
    <w:p>
      <w:pPr>
        <w:pStyle w:val="null3"/>
        <w:spacing w:before="135"/>
        <w:ind w:left="30" w:firstLine="436"/>
        <w:jc w:val="left"/>
      </w:pPr>
      <w:r>
        <w:rPr>
          <w:sz w:val="20"/>
        </w:rPr>
        <w:t>6.8.除甲方在采购文件明确允许以分包形式履行，且乙方在投标环节已签订分包意向协议的情形外，将本合同项下服务内容进行分包的，甲方有权要求乙方支付违约金，违约金应不低于合同总金额的 5 %，而且甲方有权将违约金直接在剩余合同款项中予以扣减，并保留向政府采购监管部门进行投诉的权利。</w:t>
      </w:r>
    </w:p>
    <w:p>
      <w:pPr>
        <w:pStyle w:val="null3"/>
        <w:spacing w:before="225"/>
        <w:ind w:left="450"/>
        <w:jc w:val="left"/>
      </w:pPr>
      <w:r>
        <w:rPr>
          <w:sz w:val="20"/>
        </w:rPr>
        <w:t>6.9.任何一方向对方支付的违约金和赔偿金总额不超过本合同金额的</w:t>
      </w:r>
      <w:r>
        <w:rPr>
          <w:sz w:val="19"/>
          <w:u w:val="single"/>
        </w:rPr>
        <w:t xml:space="preserve"> </w:t>
      </w:r>
      <w:r>
        <w:rPr>
          <w:sz w:val="20"/>
          <w:u w:val="single"/>
        </w:rPr>
        <w:t>20 _</w:t>
      </w:r>
      <w:r>
        <w:rPr>
          <w:sz w:val="20"/>
        </w:rPr>
        <w:t>%。</w:t>
      </w:r>
    </w:p>
    <w:p>
      <w:pPr>
        <w:pStyle w:val="null3"/>
        <w:spacing w:before="225"/>
        <w:ind w:left="450"/>
        <w:jc w:val="left"/>
      </w:pPr>
      <w:r>
        <w:rPr>
          <w:sz w:val="20"/>
        </w:rPr>
        <w:t>6.10.其他违约责任按《中华人民共和</w:t>
      </w:r>
      <w:r>
        <w:rPr>
          <w:sz w:val="20"/>
        </w:rPr>
        <w:t>国民法典》及其他相关法律法规处理。</w:t>
      </w:r>
    </w:p>
    <w:p>
      <w:pPr>
        <w:pStyle w:val="null3"/>
        <w:jc w:val="both"/>
      </w:pPr>
      <w:r>
        <w:rPr>
          <w:sz w:val="20"/>
        </w:rPr>
        <w:t>7.</w:t>
      </w:r>
      <w:r>
        <w:rPr>
          <w:sz w:val="19"/>
        </w:rPr>
        <w:t xml:space="preserve">  </w:t>
      </w:r>
      <w:r>
        <w:rPr>
          <w:sz w:val="20"/>
          <w:b/>
        </w:rPr>
        <w:t>争议解决</w:t>
      </w:r>
    </w:p>
    <w:p>
      <w:pPr>
        <w:pStyle w:val="null3"/>
        <w:jc w:val="both"/>
      </w:pPr>
      <w:r>
        <w:rPr>
          <w:sz w:val="20"/>
        </w:rPr>
        <w:t>7.</w:t>
      </w:r>
      <w:r>
        <w:rPr>
          <w:sz w:val="19"/>
        </w:rPr>
        <w:t xml:space="preserve"> </w:t>
      </w:r>
      <w:r>
        <w:rPr>
          <w:sz w:val="20"/>
        </w:rPr>
        <w:t>1.</w:t>
      </w:r>
      <w:r>
        <w:rPr>
          <w:sz w:val="19"/>
        </w:rPr>
        <w:t xml:space="preserve"> </w:t>
      </w:r>
      <w:r>
        <w:rPr>
          <w:sz w:val="20"/>
        </w:rPr>
        <w:t>因履行合同所发生的一切争议，双方应友好协商解决，协商不成的，按下列第（</w:t>
      </w:r>
      <w:r>
        <w:rPr>
          <w:sz w:val="20"/>
        </w:rPr>
        <w:t>2</w:t>
      </w:r>
      <w:r>
        <w:rPr>
          <w:sz w:val="20"/>
        </w:rPr>
        <w:t>）种</w:t>
      </w:r>
      <w:r>
        <w:rPr>
          <w:sz w:val="20"/>
        </w:rPr>
        <w:t>方式解决：</w:t>
      </w:r>
    </w:p>
    <w:p>
      <w:pPr>
        <w:pStyle w:val="null3"/>
        <w:ind w:left="450"/>
        <w:jc w:val="left"/>
      </w:pPr>
      <w:r>
        <w:rPr>
          <w:sz w:val="20"/>
        </w:rPr>
        <w:t>（</w:t>
      </w:r>
      <w:r>
        <w:rPr>
          <w:sz w:val="20"/>
        </w:rPr>
        <w:t>1</w:t>
      </w:r>
      <w:r>
        <w:rPr>
          <w:sz w:val="20"/>
        </w:rPr>
        <w:t>）提交中国广州仲裁委员会仲裁，仲裁裁决为终局裁决；</w:t>
      </w:r>
    </w:p>
    <w:p>
      <w:pPr>
        <w:pStyle w:val="null3"/>
        <w:spacing w:before="225"/>
        <w:ind w:left="450"/>
        <w:jc w:val="left"/>
      </w:pPr>
      <w:r>
        <w:rPr>
          <w:sz w:val="20"/>
        </w:rPr>
        <w:t>（</w:t>
      </w:r>
      <w:r>
        <w:rPr>
          <w:sz w:val="20"/>
        </w:rPr>
        <w:t>2</w:t>
      </w:r>
      <w:r>
        <w:rPr>
          <w:sz w:val="20"/>
        </w:rPr>
        <w:t>）双方均同意向甲方所在地人民法院提起诉讼，律师代理费用等均由败诉方承担。</w:t>
      </w:r>
    </w:p>
    <w:p>
      <w:pPr>
        <w:pStyle w:val="null3"/>
        <w:spacing w:before="225"/>
        <w:ind w:left="30" w:right="120" w:firstLine="416"/>
        <w:jc w:val="left"/>
      </w:pPr>
      <w:r>
        <w:rPr>
          <w:sz w:val="20"/>
        </w:rPr>
        <w:t>7.2.</w:t>
      </w:r>
      <w:r>
        <w:rPr>
          <w:sz w:val="20"/>
        </w:rPr>
        <w:t>在仲裁、诉讼进行过程中，双方将继续履行本合同未涉诉的其他部分（合同被解除或</w:t>
      </w:r>
      <w:r>
        <w:rPr>
          <w:sz w:val="20"/>
        </w:rPr>
        <w:t>终止的除外）。</w:t>
      </w:r>
    </w:p>
    <w:p>
      <w:pPr>
        <w:pStyle w:val="null3"/>
        <w:spacing w:before="225"/>
        <w:ind w:left="15" w:right="60" w:firstLine="419"/>
        <w:jc w:val="left"/>
      </w:pPr>
      <w:r>
        <w:rPr>
          <w:sz w:val="20"/>
        </w:rPr>
        <w:t>7.3.</w:t>
      </w:r>
      <w:r>
        <w:rPr>
          <w:sz w:val="20"/>
        </w:rPr>
        <w:t>双方对于合同履行期间难以确定过错</w:t>
      </w:r>
      <w:r>
        <w:rPr>
          <w:sz w:val="20"/>
        </w:rPr>
        <w:t>归属的，可以向双方认可的第三方机构申请鉴定，</w:t>
      </w:r>
      <w:r>
        <w:rPr>
          <w:sz w:val="20"/>
        </w:rPr>
        <w:t>确认责任。鉴定费用由主张对方存在过错的</w:t>
      </w:r>
      <w:r>
        <w:rPr>
          <w:sz w:val="20"/>
        </w:rPr>
        <w:t>一方先行垫付，最终由鉴定存在过错的一方承担。</w:t>
      </w:r>
    </w:p>
    <w:p>
      <w:pPr>
        <w:pStyle w:val="null3"/>
        <w:jc w:val="both"/>
      </w:pPr>
      <w:r>
        <w:rPr>
          <w:sz w:val="20"/>
        </w:rPr>
        <w:t>8.</w:t>
      </w:r>
      <w:r>
        <w:rPr>
          <w:sz w:val="19"/>
        </w:rPr>
        <w:t xml:space="preserve">  </w:t>
      </w:r>
      <w:r>
        <w:rPr>
          <w:sz w:val="20"/>
          <w:b/>
        </w:rPr>
        <w:t>不可抗力</w:t>
      </w:r>
    </w:p>
    <w:p>
      <w:pPr>
        <w:pStyle w:val="null3"/>
        <w:jc w:val="both"/>
      </w:pPr>
      <w:r>
        <w:rPr>
          <w:sz w:val="20"/>
        </w:rPr>
        <w:t>8.</w:t>
      </w:r>
      <w:r>
        <w:rPr>
          <w:sz w:val="19"/>
        </w:rPr>
        <w:t xml:space="preserve"> </w:t>
      </w:r>
      <w:r>
        <w:rPr>
          <w:sz w:val="20"/>
        </w:rPr>
        <w:t>1.</w:t>
      </w:r>
      <w:r>
        <w:rPr>
          <w:sz w:val="20"/>
        </w:rPr>
        <w:t>不可抗力指任何一方无法预见、控制且经合理努力仍无法避免或克服的、导致其无法</w:t>
      </w:r>
      <w:r>
        <w:rPr>
          <w:sz w:val="20"/>
        </w:rPr>
        <w:t>履行合同项下的义务的情形，包括但不限于：台风、地震、洪水等自然灾害；战争、罢工、骚乱等社会异常现象；征收征用等政府行为；以及甲乙双方不能合理预见和控制的任何其他客观</w:t>
      </w:r>
      <w:r>
        <w:rPr>
          <w:sz w:val="20"/>
        </w:rPr>
        <w:t>情形。</w:t>
      </w:r>
    </w:p>
    <w:p>
      <w:pPr>
        <w:pStyle w:val="null3"/>
        <w:spacing w:before="225"/>
        <w:ind w:left="15" w:right="120" w:firstLine="424"/>
        <w:jc w:val="left"/>
      </w:pPr>
      <w:r>
        <w:rPr>
          <w:sz w:val="20"/>
        </w:rPr>
        <w:t>8.2.</w:t>
      </w:r>
      <w:r>
        <w:rPr>
          <w:sz w:val="20"/>
        </w:rPr>
        <w:t>合同生效后，</w:t>
      </w:r>
      <w:r>
        <w:rPr>
          <w:sz w:val="19"/>
        </w:rPr>
        <w:t xml:space="preserve"> </w:t>
      </w:r>
      <w:r>
        <w:rPr>
          <w:sz w:val="20"/>
        </w:rPr>
        <w:t>由上述不可抗力因素造成的乙方服务期延误，则此类延误将被视为不可抗力，乙方不承担违约责任，但必须及时通知甲方。</w:t>
      </w:r>
    </w:p>
    <w:p>
      <w:pPr>
        <w:pStyle w:val="null3"/>
        <w:spacing w:before="225"/>
        <w:ind w:left="45" w:firstLine="397"/>
        <w:jc w:val="left"/>
      </w:pPr>
      <w:r>
        <w:rPr>
          <w:sz w:val="20"/>
        </w:rPr>
        <w:t>8.3.</w:t>
      </w:r>
      <w:r>
        <w:rPr>
          <w:sz w:val="20"/>
        </w:rPr>
        <w:t>不可抗力因素致使甲方无法继续履行本协议或不能及时提供相应支</w:t>
      </w:r>
      <w:r>
        <w:rPr>
          <w:sz w:val="20"/>
        </w:rPr>
        <w:t>援而致使项目延误，甲方不承担违约责任，但必须及时通知乙方。</w:t>
      </w:r>
    </w:p>
    <w:p>
      <w:pPr>
        <w:pStyle w:val="null3"/>
        <w:spacing w:before="135"/>
        <w:ind w:left="30" w:right="75" w:firstLine="423"/>
        <w:jc w:val="left"/>
      </w:pPr>
      <w:r>
        <w:rPr>
          <w:sz w:val="20"/>
        </w:rPr>
        <w:t>8.4.</w:t>
      </w:r>
      <w:r>
        <w:rPr>
          <w:sz w:val="20"/>
        </w:rPr>
        <w:t>在不可抗力事件结束后十个工作日内，受不可抗力影响一方应以挂号或传真的方式将</w:t>
      </w:r>
      <w:r>
        <w:rPr>
          <w:sz w:val="20"/>
        </w:rPr>
        <w:t>有关部门出具的证明送达对方，否则对方可不予承认其遭受不可抗力影响，并要求其承担违约</w:t>
      </w:r>
      <w:r>
        <w:rPr>
          <w:sz w:val="20"/>
        </w:rPr>
        <w:t>责任。</w:t>
      </w:r>
    </w:p>
    <w:p>
      <w:pPr>
        <w:pStyle w:val="null3"/>
        <w:spacing w:before="225"/>
        <w:ind w:left="450"/>
        <w:jc w:val="left"/>
      </w:pPr>
      <w:r>
        <w:rPr>
          <w:sz w:val="20"/>
        </w:rPr>
        <w:t>8.5.</w:t>
      </w:r>
      <w:r>
        <w:rPr>
          <w:sz w:val="20"/>
        </w:rPr>
        <w:t>如不可抗力事故连续六十天以上时，双方应通过友好协商</w:t>
      </w:r>
      <w:r>
        <w:rPr>
          <w:sz w:val="20"/>
        </w:rPr>
        <w:t>解决本协议履行的问题。</w:t>
      </w:r>
    </w:p>
    <w:p>
      <w:pPr>
        <w:pStyle w:val="null3"/>
        <w:spacing w:before="225"/>
        <w:ind w:left="30" w:right="75" w:firstLine="421"/>
        <w:jc w:val="left"/>
      </w:pPr>
      <w:r>
        <w:rPr>
          <w:sz w:val="20"/>
        </w:rPr>
        <w:t>8.6.</w:t>
      </w:r>
      <w:r>
        <w:rPr>
          <w:sz w:val="19"/>
        </w:rPr>
        <w:t xml:space="preserve"> </w:t>
      </w:r>
      <w:r>
        <w:rPr>
          <w:sz w:val="20"/>
        </w:rPr>
        <w:t>乙方无权将下述情况视作不可抗力事件而终止、中止履行本合同或不完全履行本合同</w:t>
      </w:r>
      <w:r>
        <w:rPr>
          <w:sz w:val="20"/>
        </w:rPr>
        <w:t>项下义务：</w:t>
      </w:r>
    </w:p>
    <w:p>
      <w:pPr>
        <w:pStyle w:val="null3"/>
        <w:spacing w:before="225"/>
        <w:ind w:left="450"/>
        <w:jc w:val="left"/>
      </w:pPr>
      <w:r>
        <w:rPr>
          <w:sz w:val="20"/>
        </w:rPr>
        <w:t>（</w:t>
      </w:r>
      <w:r>
        <w:rPr>
          <w:sz w:val="20"/>
        </w:rPr>
        <w:t>1</w:t>
      </w:r>
      <w:r>
        <w:rPr>
          <w:sz w:val="20"/>
        </w:rPr>
        <w:t>）其他与乙方建立合同关系的第三方在履行合同</w:t>
      </w:r>
      <w:r>
        <w:rPr>
          <w:sz w:val="20"/>
        </w:rPr>
        <w:t>方面发生延误；</w:t>
      </w:r>
    </w:p>
    <w:p>
      <w:pPr>
        <w:pStyle w:val="null3"/>
        <w:spacing w:before="225"/>
        <w:ind w:left="450"/>
        <w:jc w:val="left"/>
      </w:pPr>
      <w:r>
        <w:rPr>
          <w:sz w:val="20"/>
        </w:rPr>
        <w:t>（</w:t>
      </w:r>
      <w:r>
        <w:rPr>
          <w:sz w:val="20"/>
        </w:rPr>
        <w:t>2</w:t>
      </w:r>
      <w:r>
        <w:rPr>
          <w:sz w:val="20"/>
        </w:rPr>
        <w:t>）乙方提供服务的设施发生故障或正常磨损。</w:t>
      </w:r>
    </w:p>
    <w:p>
      <w:pPr>
        <w:pStyle w:val="null3"/>
        <w:spacing w:before="225"/>
        <w:ind w:left="30" w:right="75" w:firstLine="422"/>
        <w:jc w:val="left"/>
      </w:pPr>
      <w:r>
        <w:rPr>
          <w:sz w:val="20"/>
        </w:rPr>
        <w:t>8.7.</w:t>
      </w:r>
      <w:r>
        <w:rPr>
          <w:sz w:val="19"/>
        </w:rPr>
        <w:t xml:space="preserve"> </w:t>
      </w:r>
      <w:r>
        <w:rPr>
          <w:sz w:val="20"/>
        </w:rPr>
        <w:t>甲方无权将下述情况视作不可抗力事件而终止、中止履行或不完全履行本合同项下义</w:t>
      </w:r>
      <w:r>
        <w:rPr>
          <w:sz w:val="20"/>
        </w:rPr>
        <w:t>务：</w:t>
      </w:r>
      <w:r>
        <w:rPr>
          <w:sz w:val="19"/>
        </w:rPr>
        <w:t xml:space="preserve"> </w:t>
      </w:r>
      <w:r>
        <w:rPr>
          <w:sz w:val="20"/>
        </w:rPr>
        <w:t>甲方因机构改革发生变更。</w:t>
      </w:r>
    </w:p>
    <w:p>
      <w:pPr>
        <w:pStyle w:val="null3"/>
        <w:jc w:val="both"/>
      </w:pPr>
      <w:r>
        <w:rPr>
          <w:sz w:val="20"/>
        </w:rPr>
        <w:t xml:space="preserve">9.  </w:t>
      </w:r>
      <w:r>
        <w:rPr>
          <w:sz w:val="20"/>
          <w:b/>
        </w:rPr>
        <w:t>项目资产权属</w:t>
      </w:r>
    </w:p>
    <w:p>
      <w:pPr>
        <w:pStyle w:val="null3"/>
        <w:jc w:val="both"/>
      </w:pPr>
      <w:r>
        <w:rPr>
          <w:sz w:val="20"/>
        </w:rPr>
        <w:t>9.</w:t>
      </w:r>
      <w:r>
        <w:rPr>
          <w:sz w:val="19"/>
        </w:rPr>
        <w:t xml:space="preserve"> </w:t>
      </w:r>
      <w:r>
        <w:rPr>
          <w:sz w:val="20"/>
        </w:rPr>
        <w:t>1.</w:t>
      </w:r>
      <w:r>
        <w:rPr>
          <w:sz w:val="20"/>
        </w:rPr>
        <w:t>本合同不会引起任何已申请、登记的</w:t>
      </w:r>
      <w:r>
        <w:rPr>
          <w:sz w:val="20"/>
        </w:rPr>
        <w:t>知识产权所有权的转移。</w:t>
      </w:r>
    </w:p>
    <w:p>
      <w:pPr>
        <w:pStyle w:val="null3"/>
        <w:spacing w:before="225"/>
        <w:ind w:left="435"/>
        <w:jc w:val="left"/>
      </w:pPr>
      <w:r>
        <w:rPr>
          <w:sz w:val="20"/>
        </w:rPr>
        <w:t>9.2.</w:t>
      </w:r>
      <w:r>
        <w:rPr>
          <w:sz w:val="20"/>
        </w:rPr>
        <w:t>本项目所涉服务成果的知识产权包括</w:t>
      </w:r>
      <w:r>
        <w:rPr>
          <w:sz w:val="19"/>
        </w:rPr>
        <w:t xml:space="preserve"> </w:t>
      </w:r>
      <w:r>
        <w:rPr>
          <w:sz w:val="19"/>
          <w:u w:val="single"/>
        </w:rPr>
        <w:t xml:space="preserve">        </w:t>
      </w:r>
      <w:r>
        <w:rPr>
          <w:sz w:val="20"/>
        </w:rPr>
        <w:t>：</w:t>
      </w:r>
    </w:p>
    <w:p>
      <w:pPr>
        <w:pStyle w:val="null3"/>
        <w:spacing w:before="225"/>
        <w:ind w:left="450"/>
        <w:jc w:val="left"/>
      </w:pPr>
      <w:r>
        <w:rPr>
          <w:sz w:val="20"/>
        </w:rPr>
        <w:t>（</w:t>
      </w:r>
      <w:r>
        <w:rPr>
          <w:sz w:val="20"/>
        </w:rPr>
        <w:t>1</w:t>
      </w:r>
      <w:r>
        <w:rPr>
          <w:sz w:val="20"/>
        </w:rPr>
        <w:t>）商标权；</w:t>
      </w:r>
    </w:p>
    <w:p>
      <w:pPr>
        <w:pStyle w:val="null3"/>
        <w:spacing w:before="225"/>
        <w:ind w:left="450"/>
        <w:jc w:val="left"/>
      </w:pPr>
      <w:r>
        <w:rPr>
          <w:sz w:val="20"/>
        </w:rPr>
        <w:t>（</w:t>
      </w:r>
      <w:r>
        <w:rPr>
          <w:sz w:val="20"/>
        </w:rPr>
        <w:t>2</w:t>
      </w:r>
      <w:r>
        <w:rPr>
          <w:sz w:val="20"/>
        </w:rPr>
        <w:t>）专利权；</w:t>
      </w:r>
    </w:p>
    <w:p>
      <w:pPr>
        <w:pStyle w:val="null3"/>
        <w:spacing w:before="225"/>
        <w:ind w:left="450"/>
        <w:jc w:val="left"/>
      </w:pPr>
      <w:r>
        <w:rPr>
          <w:sz w:val="20"/>
        </w:rPr>
        <w:t>（</w:t>
      </w:r>
      <w:r>
        <w:rPr>
          <w:sz w:val="20"/>
        </w:rPr>
        <w:t>3</w:t>
      </w:r>
      <w:r>
        <w:rPr>
          <w:sz w:val="20"/>
        </w:rPr>
        <w:t>）作品著作权；</w:t>
      </w:r>
    </w:p>
    <w:p>
      <w:pPr>
        <w:pStyle w:val="null3"/>
        <w:spacing w:before="225"/>
        <w:ind w:left="450"/>
        <w:jc w:val="left"/>
      </w:pPr>
      <w:r>
        <w:rPr>
          <w:sz w:val="20"/>
        </w:rPr>
        <w:t>（</w:t>
      </w:r>
      <w:r>
        <w:rPr>
          <w:sz w:val="20"/>
        </w:rPr>
        <w:t>4</w:t>
      </w:r>
      <w:r>
        <w:rPr>
          <w:sz w:val="20"/>
        </w:rPr>
        <w:t>）其他：</w:t>
      </w:r>
      <w:r>
        <w:rPr>
          <w:sz w:val="19"/>
          <w:u w:val="single"/>
        </w:rPr>
        <w:t xml:space="preserve">                       </w:t>
      </w:r>
      <w:r>
        <w:rPr>
          <w:sz w:val="20"/>
        </w:rPr>
        <w:t>。</w:t>
      </w:r>
    </w:p>
    <w:p>
      <w:pPr>
        <w:pStyle w:val="null3"/>
        <w:spacing w:before="225"/>
        <w:ind w:left="15" w:right="75" w:firstLine="421"/>
        <w:jc w:val="left"/>
      </w:pPr>
      <w:r>
        <w:rPr>
          <w:sz w:val="20"/>
        </w:rPr>
        <w:t>9.3.</w:t>
      </w:r>
      <w:r>
        <w:rPr>
          <w:sz w:val="19"/>
        </w:rPr>
        <w:t xml:space="preserve"> </w:t>
      </w:r>
      <w:r>
        <w:rPr>
          <w:sz w:val="20"/>
        </w:rPr>
        <w:t>乙方为履行本合同义务所形成的所有服务成果的知识产权归甲方单独所有。乙方不得</w:t>
      </w:r>
      <w:r>
        <w:rPr>
          <w:sz w:val="20"/>
        </w:rPr>
        <w:t>在未征求甲方书面同意的情况下使用或者授权他人使用本合同项下的成果及相关信息，否则相关收益归甲方所有，乙方应另向甲方承担相应责任，并赔偿甲方全部损失。在确保用户隐私和数据安全的前提下，甲方授权乙方代为办理知识产权的登记、申报、备案、变更、领取知识产权文件等手续。因办理著作权登记手续产生的各项费用（如申请费、登记费、服务费）等，均已包含在本合同价款内，乙方不再额外收取甲方任何费用。（知识产权命名方式：知识产权名</w:t>
      </w:r>
      <w:r>
        <w:rPr>
          <w:sz w:val="20"/>
        </w:rPr>
        <w:t>称</w:t>
      </w:r>
      <w:r>
        <w:rPr>
          <w:sz w:val="20"/>
        </w:rPr>
        <w:t>+</w:t>
      </w:r>
      <w:r>
        <w:rPr>
          <w:sz w:val="20"/>
        </w:rPr>
        <w:t>版本号</w:t>
      </w:r>
      <w:r>
        <w:rPr>
          <w:sz w:val="20"/>
          <w:u w:val="single"/>
        </w:rPr>
        <w:t>[</w:t>
      </w:r>
      <w:r>
        <w:rPr>
          <w:sz w:val="20"/>
          <w:u w:val="single"/>
        </w:rPr>
        <w:t>简称：</w:t>
      </w:r>
      <w:r>
        <w:rPr>
          <w:sz w:val="20"/>
          <w:u w:val="single"/>
        </w:rPr>
        <w:t>xx</w:t>
      </w:r>
      <w:r>
        <w:rPr>
          <w:sz w:val="20"/>
          <w:u w:val="single"/>
        </w:rPr>
        <w:t>]</w:t>
      </w:r>
      <w:r>
        <w:rPr>
          <w:sz w:val="20"/>
        </w:rPr>
        <w:t>【名称以甲方确认为准】</w:t>
      </w:r>
      <w:r>
        <w:rPr>
          <w:sz w:val="20"/>
        </w:rPr>
        <w:t>）（</w:t>
      </w:r>
      <w:r>
        <w:rPr>
          <w:sz w:val="20"/>
        </w:rPr>
        <w:t>建议在合同签订时明确知识产权名称）</w:t>
      </w:r>
    </w:p>
    <w:p>
      <w:pPr>
        <w:pStyle w:val="null3"/>
        <w:spacing w:before="225"/>
        <w:ind w:left="435"/>
        <w:jc w:val="left"/>
      </w:pPr>
      <w:r>
        <w:rPr>
          <w:sz w:val="20"/>
        </w:rPr>
        <w:t>9.4.</w:t>
      </w:r>
      <w:r>
        <w:rPr>
          <w:sz w:val="20"/>
        </w:rPr>
        <w:t>本合同所涉及的数据所有权归政府</w:t>
      </w:r>
      <w:r>
        <w:rPr>
          <w:sz w:val="20"/>
        </w:rPr>
        <w:t>所有。</w:t>
      </w:r>
    </w:p>
    <w:p>
      <w:pPr>
        <w:pStyle w:val="null3"/>
        <w:spacing w:before="225"/>
        <w:ind w:left="495"/>
        <w:jc w:val="right"/>
      </w:pPr>
      <w:r>
        <w:rPr>
          <w:sz w:val="20"/>
        </w:rPr>
        <w:t>9.5.</w:t>
      </w:r>
      <w:r>
        <w:rPr>
          <w:sz w:val="19"/>
        </w:rPr>
        <w:t xml:space="preserve"> </w:t>
      </w:r>
      <w:r>
        <w:rPr>
          <w:sz w:val="20"/>
        </w:rPr>
        <w:t>乙方提供的相关软件应具备合法、合规授权，满足知识产权等方面的有关规定和要求。</w:t>
      </w:r>
    </w:p>
    <w:p>
      <w:pPr>
        <w:pStyle w:val="null3"/>
        <w:spacing w:before="135"/>
        <w:ind w:left="30"/>
        <w:jc w:val="left"/>
      </w:pPr>
      <w:r>
        <w:rPr>
          <w:sz w:val="20"/>
        </w:rPr>
        <w:t>9.6.</w:t>
      </w:r>
      <w:r>
        <w:rPr>
          <w:sz w:val="19"/>
        </w:rPr>
        <w:t xml:space="preserve"> </w:t>
      </w:r>
      <w:r>
        <w:rPr>
          <w:sz w:val="20"/>
        </w:rPr>
        <w:t>乙方保证向甲方提供的服务成果不存在任何侵犯第三方专利权、商标权、著作权等合</w:t>
      </w:r>
      <w:r>
        <w:rPr>
          <w:sz w:val="20"/>
        </w:rPr>
        <w:t>法权益的情形。如因乙方提供的服务成果侵犯任何第三方的合法权益，导致该第三方追究甲方</w:t>
      </w:r>
      <w:r>
        <w:rPr>
          <w:sz w:val="20"/>
        </w:rPr>
        <w:t>责任的，乙方应负责解决并赔偿因此给甲方造成的全部损</w:t>
      </w:r>
      <w:r>
        <w:rPr>
          <w:sz w:val="20"/>
        </w:rPr>
        <w:t>失。</w:t>
      </w:r>
    </w:p>
    <w:p>
      <w:pPr>
        <w:pStyle w:val="null3"/>
        <w:jc w:val="both"/>
      </w:pPr>
      <w:r>
        <w:rPr>
          <w:sz w:val="20"/>
        </w:rPr>
        <w:t>10.</w:t>
      </w:r>
      <w:r>
        <w:rPr>
          <w:sz w:val="19"/>
        </w:rPr>
        <w:t xml:space="preserve">  </w:t>
      </w:r>
      <w:r>
        <w:rPr>
          <w:sz w:val="20"/>
          <w:b/>
        </w:rPr>
        <w:t>其他约定</w:t>
      </w:r>
    </w:p>
    <w:p>
      <w:pPr>
        <w:pStyle w:val="null3"/>
        <w:jc w:val="both"/>
      </w:pPr>
      <w:r>
        <w:rPr>
          <w:sz w:val="20"/>
          <w:b/>
        </w:rPr>
        <w:t xml:space="preserve">10.1.  </w:t>
      </w:r>
      <w:r>
        <w:rPr>
          <w:sz w:val="20"/>
          <w:b/>
        </w:rPr>
        <w:t>合同构成</w:t>
      </w:r>
    </w:p>
    <w:p>
      <w:pPr>
        <w:pStyle w:val="null3"/>
        <w:jc w:val="both"/>
      </w:pPr>
      <w:r>
        <w:rPr>
          <w:sz w:val="20"/>
        </w:rPr>
        <w:t>下列文件均为本合同不可分割的组成部分，具有同等法律效力：</w:t>
      </w:r>
    </w:p>
    <w:p>
      <w:pPr>
        <w:pStyle w:val="null3"/>
        <w:spacing w:before="165"/>
        <w:ind w:left="450"/>
        <w:jc w:val="left"/>
      </w:pPr>
      <w:r>
        <w:rPr>
          <w:sz w:val="20"/>
        </w:rPr>
        <w:t>（</w:t>
      </w:r>
      <w:r>
        <w:rPr>
          <w:sz w:val="20"/>
        </w:rPr>
        <w:t>1</w:t>
      </w:r>
      <w:r>
        <w:rPr>
          <w:sz w:val="20"/>
        </w:rPr>
        <w:t>）中标通知书；</w:t>
      </w:r>
    </w:p>
    <w:p>
      <w:pPr>
        <w:pStyle w:val="null3"/>
        <w:spacing w:before="165"/>
        <w:ind w:left="450"/>
        <w:jc w:val="left"/>
      </w:pPr>
      <w:r>
        <w:rPr>
          <w:sz w:val="20"/>
        </w:rPr>
        <w:t>（</w:t>
      </w:r>
      <w:r>
        <w:rPr>
          <w:sz w:val="20"/>
        </w:rPr>
        <w:t>2</w:t>
      </w:r>
      <w:r>
        <w:rPr>
          <w:sz w:val="20"/>
        </w:rPr>
        <w:t>）采购文件；</w:t>
      </w:r>
    </w:p>
    <w:p>
      <w:pPr>
        <w:pStyle w:val="null3"/>
        <w:spacing w:before="165"/>
        <w:ind w:left="450"/>
        <w:jc w:val="left"/>
      </w:pPr>
      <w:r>
        <w:rPr>
          <w:sz w:val="20"/>
        </w:rPr>
        <w:t>（</w:t>
      </w:r>
      <w:r>
        <w:rPr>
          <w:sz w:val="20"/>
        </w:rPr>
        <w:t>3</w:t>
      </w:r>
      <w:r>
        <w:rPr>
          <w:sz w:val="20"/>
        </w:rPr>
        <w:t>）乙方中标的投标文件；</w:t>
      </w:r>
    </w:p>
    <w:p>
      <w:pPr>
        <w:pStyle w:val="null3"/>
        <w:spacing w:before="165"/>
        <w:ind w:left="450"/>
        <w:jc w:val="left"/>
      </w:pPr>
      <w:r>
        <w:rPr>
          <w:sz w:val="20"/>
        </w:rPr>
        <w:t>（</w:t>
      </w:r>
      <w:r>
        <w:rPr>
          <w:sz w:val="20"/>
        </w:rPr>
        <w:t>4</w:t>
      </w:r>
      <w:r>
        <w:rPr>
          <w:sz w:val="20"/>
        </w:rPr>
        <w:t>）在合同实施过程中双方共同签署的补充协议（若有</w:t>
      </w:r>
      <w:r>
        <w:rPr>
          <w:sz w:val="20"/>
        </w:rPr>
        <w:t>）；</w:t>
      </w:r>
    </w:p>
    <w:p>
      <w:pPr>
        <w:pStyle w:val="null3"/>
        <w:spacing w:before="165"/>
        <w:ind w:left="450"/>
        <w:jc w:val="left"/>
      </w:pPr>
      <w:r>
        <w:rPr>
          <w:sz w:val="20"/>
        </w:rPr>
        <w:t>（</w:t>
      </w:r>
      <w:r>
        <w:rPr>
          <w:sz w:val="20"/>
        </w:rPr>
        <w:t>5</w:t>
      </w:r>
      <w:r>
        <w:rPr>
          <w:sz w:val="20"/>
        </w:rPr>
        <w:t>）分包意向协议（若有</w:t>
      </w:r>
      <w:r>
        <w:rPr>
          <w:sz w:val="20"/>
        </w:rPr>
        <w:t>）；</w:t>
      </w:r>
    </w:p>
    <w:p>
      <w:pPr>
        <w:pStyle w:val="null3"/>
        <w:spacing w:before="165"/>
        <w:ind w:left="450"/>
        <w:jc w:val="left"/>
      </w:pPr>
      <w:r>
        <w:rPr>
          <w:sz w:val="20"/>
        </w:rPr>
        <w:t>（</w:t>
      </w:r>
      <w:r>
        <w:rPr>
          <w:sz w:val="20"/>
        </w:rPr>
        <w:t>6</w:t>
      </w:r>
      <w:r>
        <w:rPr>
          <w:sz w:val="20"/>
        </w:rPr>
        <w:t>）附件。</w:t>
      </w:r>
    </w:p>
    <w:p>
      <w:pPr>
        <w:pStyle w:val="null3"/>
        <w:spacing w:before="165"/>
        <w:ind w:left="45" w:firstLine="405"/>
        <w:jc w:val="both"/>
      </w:pPr>
      <w:r>
        <w:rPr>
          <w:sz w:val="20"/>
        </w:rPr>
        <w:t>上述文件先后解释顺序为：在合同实施过程中双方共同签署的补充协议、本合同书、合同</w:t>
      </w:r>
      <w:r>
        <w:rPr>
          <w:sz w:val="20"/>
        </w:rPr>
        <w:t>附件、分包意向协议、中标通知书、采购文件、乙方中标的投标文件。补充协议之间如有冲突，</w:t>
      </w:r>
      <w:r>
        <w:rPr>
          <w:sz w:val="20"/>
        </w:rPr>
        <w:t>以对乙方要求较高或对甲方更有利的条款为准。</w:t>
      </w:r>
    </w:p>
    <w:p>
      <w:pPr>
        <w:pStyle w:val="null3"/>
        <w:jc w:val="both"/>
      </w:pPr>
      <w:r>
        <w:rPr>
          <w:sz w:val="20"/>
          <w:b/>
        </w:rPr>
        <w:t xml:space="preserve">10.2.  </w:t>
      </w:r>
      <w:r>
        <w:rPr>
          <w:sz w:val="20"/>
          <w:b/>
        </w:rPr>
        <w:t>合同适用法律</w:t>
      </w:r>
    </w:p>
    <w:p>
      <w:pPr>
        <w:pStyle w:val="null3"/>
        <w:jc w:val="both"/>
      </w:pPr>
      <w:r>
        <w:rPr>
          <w:sz w:val="20"/>
        </w:rPr>
        <w:t>本合同的成立、有效性、解释、履行、签署、修订和终止以及争议的解决适用中华人民共</w:t>
      </w:r>
      <w:r>
        <w:rPr>
          <w:sz w:val="20"/>
        </w:rPr>
        <w:t>和国法律。</w:t>
      </w:r>
    </w:p>
    <w:p>
      <w:pPr>
        <w:pStyle w:val="null3"/>
        <w:spacing w:before="255"/>
        <w:ind w:left="30"/>
        <w:jc w:val="left"/>
      </w:pPr>
      <w:r>
        <w:rPr>
          <w:sz w:val="20"/>
          <w:b/>
        </w:rPr>
        <w:t xml:space="preserve">10.3.  </w:t>
      </w:r>
      <w:r>
        <w:rPr>
          <w:sz w:val="20"/>
          <w:b/>
        </w:rPr>
        <w:t>合同生效条件</w:t>
      </w:r>
    </w:p>
    <w:p>
      <w:pPr>
        <w:pStyle w:val="null3"/>
        <w:jc w:val="both"/>
      </w:pPr>
      <w:r>
        <w:rPr>
          <w:sz w:val="20"/>
        </w:rPr>
        <w:t>本合同经甲乙双方法定代表人或授权委托代理人签字，并盖章后生效。</w:t>
      </w:r>
    </w:p>
    <w:p>
      <w:pPr>
        <w:pStyle w:val="null3"/>
        <w:jc w:val="both"/>
      </w:pPr>
      <w:r>
        <w:rPr>
          <w:sz w:val="20"/>
          <w:b/>
        </w:rPr>
        <w:t xml:space="preserve">10.4.  </w:t>
      </w:r>
      <w:r>
        <w:rPr>
          <w:sz w:val="20"/>
          <w:b/>
        </w:rPr>
        <w:t>合同变更与修订</w:t>
      </w:r>
    </w:p>
    <w:p>
      <w:pPr>
        <w:pStyle w:val="null3"/>
        <w:jc w:val="both"/>
      </w:pPr>
      <w:r>
        <w:rPr>
          <w:sz w:val="20"/>
        </w:rPr>
        <w:t>10.4.1.</w:t>
      </w:r>
      <w:r>
        <w:rPr>
          <w:sz w:val="20"/>
        </w:rPr>
        <w:t>除另有约定，本合同任何修改、补充或变更必须经双方协商一致，并书面签订补充</w:t>
      </w:r>
      <w:r>
        <w:rPr>
          <w:sz w:val="20"/>
        </w:rPr>
        <w:t>协议。</w:t>
      </w:r>
    </w:p>
    <w:p>
      <w:pPr>
        <w:pStyle w:val="null3"/>
        <w:spacing w:before="165"/>
        <w:ind w:left="465"/>
        <w:jc w:val="left"/>
      </w:pPr>
      <w:r>
        <w:rPr>
          <w:sz w:val="20"/>
        </w:rPr>
        <w:t>10.4.2.</w:t>
      </w:r>
      <w:r>
        <w:rPr>
          <w:sz w:val="20"/>
        </w:rPr>
        <w:t>如果本合同的任何条款不合法、无效或不能执行，则：</w:t>
      </w:r>
    </w:p>
    <w:p>
      <w:pPr>
        <w:pStyle w:val="null3"/>
        <w:spacing w:before="165"/>
        <w:ind w:left="450"/>
        <w:jc w:val="left"/>
      </w:pPr>
      <w:r>
        <w:rPr>
          <w:sz w:val="20"/>
        </w:rPr>
        <w:t>（</w:t>
      </w:r>
      <w:r>
        <w:rPr>
          <w:sz w:val="20"/>
        </w:rPr>
        <w:t>1</w:t>
      </w:r>
      <w:r>
        <w:rPr>
          <w:sz w:val="20"/>
        </w:rPr>
        <w:t>）并不影响其他条款的效力和执行；</w:t>
      </w:r>
    </w:p>
    <w:p>
      <w:pPr>
        <w:pStyle w:val="null3"/>
        <w:spacing w:before="255"/>
        <w:ind w:left="15" w:firstLine="430"/>
        <w:jc w:val="left"/>
      </w:pPr>
      <w:r>
        <w:rPr>
          <w:sz w:val="20"/>
        </w:rPr>
        <w:t>（</w:t>
      </w:r>
      <w:r>
        <w:rPr>
          <w:sz w:val="20"/>
        </w:rPr>
        <w:t>2</w:t>
      </w:r>
      <w:r>
        <w:rPr>
          <w:sz w:val="20"/>
        </w:rPr>
        <w:t>）双方应商定对不合法、无效或不能执</w:t>
      </w:r>
      <w:r>
        <w:rPr>
          <w:sz w:val="20"/>
        </w:rPr>
        <w:t>行的条款进行修改，使之合法、有效并可执行；</w:t>
      </w:r>
      <w:r>
        <w:rPr>
          <w:sz w:val="20"/>
        </w:rPr>
        <w:t>修改或更改应尽可能平衡双方之间的利益。</w:t>
      </w:r>
    </w:p>
    <w:p>
      <w:pPr>
        <w:pStyle w:val="null3"/>
        <w:spacing w:before="60"/>
        <w:ind w:left="450"/>
        <w:jc w:val="left"/>
      </w:pPr>
      <w:r>
        <w:rPr>
          <w:sz w:val="20"/>
        </w:rPr>
        <w:t>10.4.3.项目变更时为确保效率，如无涉及项目合同金额变动且甲方认为没有必要的，服务项目可按照甲乙双方共同确认的往来文件立即实施。如涉及项目合同金额变动或甲方认为确有必要的，双方必须就相关变更事项签订补充协议。</w:t>
      </w:r>
    </w:p>
    <w:p>
      <w:pPr>
        <w:pStyle w:val="null3"/>
        <w:spacing w:before="255"/>
        <w:ind w:left="30"/>
        <w:jc w:val="left"/>
      </w:pPr>
      <w:r>
        <w:rPr>
          <w:sz w:val="20"/>
          <w:b/>
        </w:rPr>
        <w:t>10.5.</w:t>
      </w:r>
      <w:r>
        <w:rPr>
          <w:sz w:val="19"/>
          <w:b/>
        </w:rPr>
        <w:t xml:space="preserve">  </w:t>
      </w:r>
      <w:r>
        <w:rPr>
          <w:sz w:val="20"/>
          <w:b/>
        </w:rPr>
        <w:t>不弃权</w:t>
      </w:r>
    </w:p>
    <w:p>
      <w:pPr>
        <w:pStyle w:val="null3"/>
        <w:jc w:val="both"/>
      </w:pPr>
      <w:r>
        <w:rPr>
          <w:sz w:val="20"/>
        </w:rPr>
        <w:t>除非另有规定，一方未行使或迟延行使本合同</w:t>
      </w:r>
      <w:r>
        <w:rPr>
          <w:sz w:val="20"/>
        </w:rPr>
        <w:t>项下的权利、权力并不构成放弃这些权利、</w:t>
      </w:r>
      <w:r>
        <w:rPr>
          <w:sz w:val="20"/>
        </w:rPr>
        <w:t>权力，而单一或部分行使这些权利、权力并不排斥行使任何其他权利、权力。</w:t>
      </w:r>
    </w:p>
    <w:p>
      <w:pPr>
        <w:pStyle w:val="null3"/>
        <w:spacing w:before="255"/>
        <w:ind w:left="30"/>
        <w:jc w:val="left"/>
      </w:pPr>
      <w:r>
        <w:rPr>
          <w:sz w:val="20"/>
          <w:b/>
        </w:rPr>
        <w:t>10.6.</w:t>
      </w:r>
      <w:r>
        <w:rPr>
          <w:sz w:val="19"/>
          <w:b/>
        </w:rPr>
        <w:t xml:space="preserve">  </w:t>
      </w:r>
      <w:r>
        <w:rPr>
          <w:sz w:val="20"/>
          <w:b/>
        </w:rPr>
        <w:t>通知</w:t>
      </w:r>
    </w:p>
    <w:p>
      <w:pPr>
        <w:pStyle w:val="null3"/>
        <w:jc w:val="both"/>
      </w:pPr>
      <w:r>
        <w:rPr>
          <w:sz w:val="20"/>
        </w:rPr>
        <w:t>10.6.1.</w:t>
      </w:r>
      <w:r>
        <w:rPr>
          <w:sz w:val="20"/>
        </w:rPr>
        <w:t>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w:t>
      </w:r>
      <w:r>
        <w:rPr>
          <w:sz w:val="20"/>
        </w:rPr>
        <w:t>前三日书面通知对方。双方发生争议后，甚至进入诉讼程序，该联系地址、联系方式仍为</w:t>
      </w:r>
      <w:r>
        <w:rPr>
          <w:sz w:val="20"/>
        </w:rPr>
        <w:t>有效。</w:t>
      </w:r>
    </w:p>
    <w:p>
      <w:pPr>
        <w:pStyle w:val="null3"/>
        <w:spacing w:before="225"/>
        <w:ind w:left="15" w:right="75" w:firstLine="437"/>
        <w:jc w:val="left"/>
      </w:pPr>
      <w:r>
        <w:rPr>
          <w:sz w:val="20"/>
        </w:rPr>
        <w:t>10.6.2.</w:t>
      </w:r>
      <w:r>
        <w:rPr>
          <w:sz w:val="20"/>
        </w:rPr>
        <w:t>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w:t>
      </w:r>
      <w:r>
        <w:rPr>
          <w:sz w:val="20"/>
        </w:rPr>
        <w:t>按原地址邮寄相关材料即视为已履行送达义务。</w:t>
      </w:r>
    </w:p>
    <w:p>
      <w:pPr>
        <w:pStyle w:val="null3"/>
        <w:jc w:val="both"/>
      </w:pPr>
      <w:r>
        <w:rPr>
          <w:sz w:val="20"/>
          <w:b/>
        </w:rPr>
        <w:t xml:space="preserve">10.7.  </w:t>
      </w:r>
      <w:r>
        <w:rPr>
          <w:sz w:val="20"/>
          <w:b/>
        </w:rPr>
        <w:t>合同解除条件</w:t>
      </w:r>
    </w:p>
    <w:p>
      <w:pPr>
        <w:pStyle w:val="null3"/>
        <w:jc w:val="both"/>
      </w:pPr>
      <w:r>
        <w:rPr>
          <w:sz w:val="20"/>
        </w:rPr>
        <w:t>如果发生以下情况，可以视为合同解除或终止，有关责任方承担相应的责任：</w:t>
      </w:r>
    </w:p>
    <w:p>
      <w:pPr>
        <w:pStyle w:val="null3"/>
        <w:spacing w:before="165"/>
        <w:ind w:left="660"/>
        <w:jc w:val="left"/>
      </w:pPr>
      <w:r>
        <w:rPr>
          <w:sz w:val="20"/>
        </w:rPr>
        <w:t>（</w:t>
      </w:r>
      <w:r>
        <w:rPr>
          <w:sz w:val="20"/>
        </w:rPr>
        <w:t>1</w:t>
      </w:r>
      <w:r>
        <w:rPr>
          <w:sz w:val="20"/>
        </w:rPr>
        <w:t>）一方进入解散或清算阶段；</w:t>
      </w:r>
    </w:p>
    <w:p>
      <w:pPr>
        <w:pStyle w:val="null3"/>
        <w:spacing w:before="165"/>
        <w:ind w:left="660"/>
        <w:jc w:val="left"/>
      </w:pPr>
      <w:r>
        <w:rPr>
          <w:sz w:val="20"/>
        </w:rPr>
        <w:t>（</w:t>
      </w:r>
      <w:r>
        <w:rPr>
          <w:sz w:val="20"/>
        </w:rPr>
        <w:t>2</w:t>
      </w:r>
      <w:r>
        <w:rPr>
          <w:sz w:val="20"/>
        </w:rPr>
        <w:t>）一方被宣告破产或其他原因致使资不抵债；</w:t>
      </w:r>
    </w:p>
    <w:p>
      <w:pPr>
        <w:pStyle w:val="null3"/>
        <w:spacing w:before="165"/>
        <w:ind w:left="660"/>
        <w:jc w:val="left"/>
      </w:pPr>
      <w:r>
        <w:rPr>
          <w:sz w:val="20"/>
        </w:rPr>
        <w:t>（</w:t>
      </w:r>
      <w:r>
        <w:rPr>
          <w:sz w:val="20"/>
        </w:rPr>
        <w:t>3</w:t>
      </w:r>
      <w:r>
        <w:rPr>
          <w:sz w:val="20"/>
        </w:rPr>
        <w:t>）本合同已有效、适当、全面得到履行；</w:t>
      </w:r>
    </w:p>
    <w:p>
      <w:pPr>
        <w:pStyle w:val="null3"/>
        <w:spacing w:before="165"/>
        <w:ind w:left="660"/>
        <w:jc w:val="left"/>
      </w:pPr>
      <w:r>
        <w:rPr>
          <w:sz w:val="20"/>
        </w:rPr>
        <w:t>（</w:t>
      </w:r>
      <w:r>
        <w:rPr>
          <w:sz w:val="20"/>
        </w:rPr>
        <w:t>4</w:t>
      </w:r>
      <w:r>
        <w:rPr>
          <w:sz w:val="20"/>
        </w:rPr>
        <w:t>）双方共同同意以书面文件提前解除合同；</w:t>
      </w:r>
    </w:p>
    <w:p>
      <w:pPr>
        <w:pStyle w:val="null3"/>
        <w:spacing w:before="165"/>
        <w:ind w:left="660"/>
        <w:jc w:val="left"/>
      </w:pPr>
      <w:r>
        <w:rPr>
          <w:sz w:val="20"/>
        </w:rPr>
        <w:t>（</w:t>
      </w:r>
      <w:r>
        <w:rPr>
          <w:sz w:val="20"/>
        </w:rPr>
        <w:t>5</w:t>
      </w:r>
      <w:r>
        <w:rPr>
          <w:sz w:val="20"/>
        </w:rPr>
        <w:t>）根据仲裁机构或司法机关作出的生效法律文书，本合同解除或终</w:t>
      </w:r>
      <w:r>
        <w:rPr>
          <w:sz w:val="20"/>
        </w:rPr>
        <w:t>止。</w:t>
      </w:r>
    </w:p>
    <w:p>
      <w:pPr>
        <w:pStyle w:val="null3"/>
        <w:jc w:val="both"/>
      </w:pPr>
      <w:r>
        <w:rPr>
          <w:sz w:val="20"/>
          <w:b/>
        </w:rPr>
        <w:t xml:space="preserve">10.8.  </w:t>
      </w:r>
      <w:r>
        <w:rPr>
          <w:sz w:val="20"/>
          <w:b/>
        </w:rPr>
        <w:t>合同份数</w:t>
      </w:r>
    </w:p>
    <w:p>
      <w:pPr>
        <w:pStyle w:val="null3"/>
        <w:jc w:val="both"/>
      </w:pPr>
      <w:r>
        <w:rPr>
          <w:sz w:val="20"/>
        </w:rPr>
        <w:t>本合同一式</w:t>
      </w:r>
      <w:r>
        <w:rPr>
          <w:sz w:val="20"/>
        </w:rPr>
        <w:t>__</w:t>
      </w:r>
      <w:r>
        <w:rPr>
          <w:sz w:val="20"/>
        </w:rPr>
        <w:t>份，</w:t>
      </w:r>
      <w:r>
        <w:rPr>
          <w:sz w:val="19"/>
        </w:rPr>
        <w:t xml:space="preserve"> </w:t>
      </w:r>
      <w:r>
        <w:rPr>
          <w:sz w:val="20"/>
        </w:rPr>
        <w:t>甲方执</w:t>
      </w:r>
      <w:r>
        <w:rPr>
          <w:sz w:val="20"/>
        </w:rPr>
        <w:t>__</w:t>
      </w:r>
      <w:r>
        <w:rPr>
          <w:sz w:val="20"/>
        </w:rPr>
        <w:t>份，乙方执</w:t>
      </w:r>
      <w:r>
        <w:rPr>
          <w:sz w:val="20"/>
        </w:rPr>
        <w:t>__</w:t>
      </w:r>
      <w:r>
        <w:rPr>
          <w:sz w:val="20"/>
        </w:rPr>
        <w:t>份（含采购代理机构备案壹份</w:t>
      </w:r>
      <w:r>
        <w:rPr>
          <w:sz w:val="20"/>
        </w:rPr>
        <w:t>），</w:t>
      </w:r>
      <w:r>
        <w:rPr>
          <w:sz w:val="20"/>
        </w:rPr>
        <w:t>具有同等法律</w:t>
      </w:r>
      <w:r>
        <w:rPr>
          <w:sz w:val="20"/>
        </w:rPr>
        <w:t>效力。</w:t>
      </w:r>
    </w:p>
    <w:p>
      <w:pPr>
        <w:pStyle w:val="null3"/>
        <w:spacing w:before="135"/>
        <w:ind w:left="165"/>
        <w:jc w:val="left"/>
      </w:pPr>
      <w:r>
        <w:rPr>
          <w:sz w:val="20"/>
          <w:b/>
        </w:rPr>
        <w:t xml:space="preserve">10.9.  </w:t>
      </w:r>
      <w:r>
        <w:rPr>
          <w:sz w:val="20"/>
          <w:b/>
        </w:rPr>
        <w:t>合同页数</w:t>
      </w:r>
    </w:p>
    <w:p>
      <w:pPr>
        <w:pStyle w:val="null3"/>
        <w:jc w:val="both"/>
      </w:pPr>
      <w:r>
        <w:rPr>
          <w:sz w:val="20"/>
        </w:rPr>
        <w:t>本合同正文（不含封面、编写说明及签署页）合计</w:t>
      </w:r>
      <w:r>
        <w:rPr>
          <w:sz w:val="20"/>
        </w:rPr>
        <w:t>__</w:t>
      </w:r>
      <w:r>
        <w:rPr>
          <w:sz w:val="20"/>
        </w:rPr>
        <w:t>页</w:t>
      </w:r>
      <w:r>
        <w:rPr>
          <w:sz w:val="19"/>
        </w:rPr>
        <w:t xml:space="preserve"> </w:t>
      </w:r>
      <w:r>
        <w:rPr>
          <w:sz w:val="20"/>
        </w:rPr>
        <w:t xml:space="preserve">A4 </w:t>
      </w:r>
      <w:r>
        <w:rPr>
          <w:sz w:val="20"/>
        </w:rPr>
        <w:t>纸张，附件</w:t>
      </w:r>
      <w:r>
        <w:rPr>
          <w:sz w:val="20"/>
        </w:rPr>
        <w:t>__</w:t>
      </w:r>
      <w:r>
        <w:rPr>
          <w:sz w:val="20"/>
        </w:rPr>
        <w:t>份共</w:t>
      </w:r>
      <w:r>
        <w:rPr>
          <w:sz w:val="20"/>
        </w:rPr>
        <w:t>__</w:t>
      </w:r>
      <w:r>
        <w:rPr>
          <w:sz w:val="20"/>
        </w:rPr>
        <w:t>页</w:t>
      </w:r>
      <w:r>
        <w:rPr>
          <w:sz w:val="19"/>
        </w:rPr>
        <w:t xml:space="preserve"> </w:t>
      </w:r>
      <w:r>
        <w:rPr>
          <w:sz w:val="20"/>
        </w:rPr>
        <w:t xml:space="preserve">A4 </w:t>
      </w:r>
      <w:r>
        <w:rPr>
          <w:sz w:val="20"/>
        </w:rPr>
        <w:t>纸</w:t>
      </w:r>
      <w:r>
        <w:rPr>
          <w:sz w:val="20"/>
        </w:rPr>
        <w:t>张。缺页之合同为无效合同。</w:t>
      </w:r>
    </w:p>
    <w:p>
      <w:pPr>
        <w:pStyle w:val="null3"/>
        <w:jc w:val="both"/>
      </w:pPr>
      <w:r>
        <w:rPr>
          <w:sz w:val="20"/>
        </w:rPr>
        <w:t>附件：</w:t>
      </w:r>
    </w:p>
    <w:p>
      <w:pPr>
        <w:pStyle w:val="null3"/>
        <w:spacing w:before="225"/>
        <w:ind w:left="465"/>
        <w:jc w:val="left"/>
      </w:pPr>
      <w:r>
        <w:rPr>
          <w:sz w:val="20"/>
        </w:rPr>
        <w:t>1.</w:t>
      </w:r>
      <w:r>
        <w:rPr>
          <w:sz w:val="20"/>
        </w:rPr>
        <w:t>运营服务说明书</w:t>
      </w:r>
    </w:p>
    <w:p>
      <w:pPr>
        <w:pStyle w:val="null3"/>
        <w:spacing w:before="225"/>
        <w:ind w:left="435"/>
        <w:jc w:val="left"/>
      </w:pPr>
      <w:r>
        <w:rPr>
          <w:sz w:val="20"/>
        </w:rPr>
        <w:t>2.</w:t>
      </w:r>
      <w:r>
        <w:rPr>
          <w:sz w:val="20"/>
        </w:rPr>
        <w:t>验收要求</w:t>
      </w:r>
    </w:p>
    <w:p>
      <w:pPr>
        <w:pStyle w:val="null3"/>
        <w:spacing w:before="225"/>
        <w:ind w:left="435"/>
        <w:jc w:val="left"/>
      </w:pPr>
      <w:r>
        <w:rPr>
          <w:sz w:val="20"/>
        </w:rPr>
        <w:t>3.</w:t>
      </w:r>
      <w:r>
        <w:rPr>
          <w:sz w:val="19"/>
        </w:rPr>
        <w:t xml:space="preserve"> </w:t>
      </w:r>
      <w:r>
        <w:rPr>
          <w:sz w:val="20"/>
        </w:rPr>
        <w:t>乙方团队人员清单</w:t>
      </w:r>
    </w:p>
    <w:p>
      <w:pPr>
        <w:pStyle w:val="null3"/>
        <w:spacing w:before="225"/>
        <w:ind w:left="435"/>
        <w:jc w:val="left"/>
      </w:pPr>
      <w:r>
        <w:rPr>
          <w:sz w:val="20"/>
        </w:rPr>
        <w:t>4.</w:t>
      </w:r>
      <w:r>
        <w:rPr>
          <w:sz w:val="20"/>
        </w:rPr>
        <w:t>服务价格明细（若有）</w:t>
      </w:r>
    </w:p>
    <w:p>
      <w:pPr>
        <w:pStyle w:val="null3"/>
        <w:spacing w:before="225"/>
        <w:ind w:left="450"/>
        <w:jc w:val="left"/>
      </w:pPr>
      <w:r>
        <w:rPr>
          <w:sz w:val="20"/>
        </w:rPr>
        <w:t>5.</w:t>
      </w:r>
      <w:r>
        <w:rPr>
          <w:sz w:val="20"/>
        </w:rPr>
        <w:t>保密承诺书</w:t>
      </w:r>
    </w:p>
    <w:p>
      <w:pPr>
        <w:pStyle w:val="null3"/>
        <w:spacing w:before="225"/>
        <w:ind w:left="450"/>
        <w:jc w:val="left"/>
      </w:pPr>
      <w:r>
        <w:rPr>
          <w:sz w:val="20"/>
        </w:rPr>
        <w:t>6.</w:t>
      </w:r>
      <w:r>
        <w:rPr>
          <w:sz w:val="20"/>
        </w:rPr>
        <w:t>反商业贿赂协议</w:t>
      </w:r>
    </w:p>
    <w:p>
      <w:pPr>
        <w:pStyle w:val="null3"/>
        <w:jc w:val="both"/>
      </w:pPr>
      <w:r>
        <w:rPr>
          <w:sz w:val="20"/>
        </w:rPr>
        <w:t>（以下无合同正文）</w:t>
      </w:r>
    </w:p>
    <w:p>
      <w:pPr>
        <w:pStyle w:val="null3"/>
      </w:pPr>
      <w:r>
        <w:rPr>
          <w:sz w:val="20"/>
        </w:rPr>
        <w:t>（签署页）</w:t>
      </w:r>
    </w:p>
    <w:p>
      <w:pPr>
        <w:pStyle w:val="null3"/>
        <w:jc w:val="both"/>
      </w:pPr>
      <w:r>
        <w:rPr>
          <w:sz w:val="20"/>
          <w:b/>
        </w:rPr>
        <w:t>委托方（甲方</w:t>
      </w:r>
      <w:r>
        <w:rPr>
          <w:sz w:val="20"/>
          <w:b/>
        </w:rPr>
        <w:t>）：</w:t>
      </w:r>
      <w:r>
        <w:rPr>
          <w:sz w:val="19"/>
        </w:rPr>
        <w:t xml:space="preserve"> </w:t>
      </w:r>
      <w:r>
        <w:rPr>
          <w:sz w:val="19"/>
          <w:u w:val="single"/>
        </w:rPr>
        <w:t xml:space="preserve">                                 </w:t>
      </w:r>
      <w:r>
        <w:rPr>
          <w:sz w:val="19"/>
          <w:u w:val="single"/>
        </w:rPr>
        <w:t xml:space="preserve">                           </w:t>
      </w:r>
      <w:r>
        <w:rPr>
          <w:sz w:val="20"/>
          <w:u w:val="single"/>
        </w:rPr>
        <w:t>（</w:t>
      </w:r>
      <w:r>
        <w:rPr>
          <w:sz w:val="20"/>
          <w:u w:val="single"/>
        </w:rPr>
        <w:t>盖章）</w:t>
      </w:r>
    </w:p>
    <w:p>
      <w:pPr>
        <w:pStyle w:val="null3"/>
        <w:jc w:val="both"/>
      </w:pPr>
      <w:r>
        <w:rPr>
          <w:sz w:val="20"/>
        </w:rPr>
        <w:t>住</w:t>
      </w:r>
      <w:r>
        <w:rPr>
          <w:sz w:val="19"/>
        </w:rPr>
        <w:t xml:space="preserve">  </w:t>
      </w:r>
      <w:r>
        <w:rPr>
          <w:sz w:val="20"/>
        </w:rPr>
        <w:t>所</w:t>
      </w:r>
      <w:r>
        <w:rPr>
          <w:sz w:val="19"/>
        </w:rPr>
        <w:t xml:space="preserve">  </w:t>
      </w:r>
      <w:r>
        <w:rPr>
          <w:sz w:val="20"/>
        </w:rPr>
        <w:t>地</w:t>
      </w:r>
      <w:r>
        <w:rPr>
          <w:sz w:val="19"/>
        </w:rPr>
        <w:t xml:space="preserve"> </w:t>
      </w:r>
      <w:r>
        <w:rPr>
          <w:sz w:val="20"/>
        </w:rPr>
        <w:t>：</w:t>
      </w:r>
      <w:r>
        <w:rPr>
          <w:sz w:val="19"/>
          <w:u w:val="single"/>
        </w:rPr>
        <w:t xml:space="preserve">                                                                        </w:t>
      </w:r>
    </w:p>
    <w:p>
      <w:pPr>
        <w:pStyle w:val="null3"/>
        <w:jc w:val="both"/>
      </w:pPr>
      <w:r>
        <w:rPr>
          <w:sz w:val="20"/>
        </w:rPr>
        <w:t>法定代表人</w:t>
      </w:r>
      <w:r>
        <w:rPr>
          <w:sz w:val="20"/>
        </w:rPr>
        <w:t>/</w:t>
      </w:r>
      <w:r>
        <w:rPr>
          <w:sz w:val="20"/>
        </w:rPr>
        <w:t>委托代理人</w:t>
      </w:r>
      <w:r>
        <w:rPr>
          <w:sz w:val="20"/>
        </w:rPr>
        <w:t>：</w:t>
      </w:r>
      <w:r>
        <w:rPr>
          <w:sz w:val="19"/>
          <w:u w:val="single"/>
        </w:rPr>
        <w:t xml:space="preserve">                                    </w:t>
      </w:r>
      <w:r>
        <w:rPr>
          <w:sz w:val="19"/>
          <w:u w:val="single"/>
        </w:rPr>
        <w:t xml:space="preserve">            </w:t>
      </w:r>
      <w:r>
        <w:rPr>
          <w:sz w:val="20"/>
          <w:u w:val="single"/>
        </w:rPr>
        <w:t>（</w:t>
      </w:r>
      <w:r>
        <w:rPr>
          <w:sz w:val="20"/>
          <w:u w:val="single"/>
        </w:rPr>
        <w:t>签名</w:t>
      </w:r>
      <w:r>
        <w:rPr>
          <w:sz w:val="20"/>
          <w:u w:val="single"/>
        </w:rPr>
        <w:t>/</w:t>
      </w:r>
      <w:r>
        <w:rPr>
          <w:sz w:val="20"/>
          <w:u w:val="single"/>
        </w:rPr>
        <w:t>章）</w:t>
      </w:r>
    </w:p>
    <w:p>
      <w:pPr>
        <w:pStyle w:val="null3"/>
        <w:jc w:val="both"/>
      </w:pPr>
      <w:r>
        <w:rPr>
          <w:sz w:val="20"/>
        </w:rPr>
        <w:t>项目联系人：</w:t>
      </w:r>
      <w:r>
        <w:rPr>
          <w:sz w:val="20"/>
        </w:rPr>
        <w:t>______________________________________________________________________</w:t>
      </w:r>
      <w:r>
        <w:rPr>
          <w:sz w:val="20"/>
        </w:rPr>
        <w:t>联系方式：</w:t>
      </w:r>
      <w:r>
        <w:rPr>
          <w:sz w:val="20"/>
        </w:rPr>
        <w:t>________________________________________________________________________</w:t>
      </w:r>
    </w:p>
    <w:p>
      <w:pPr>
        <w:pStyle w:val="null3"/>
        <w:spacing w:before="30"/>
        <w:ind w:left="225"/>
        <w:jc w:val="left"/>
      </w:pPr>
      <w:r>
        <w:rPr>
          <w:sz w:val="20"/>
        </w:rPr>
        <w:t>通讯地址：</w:t>
      </w:r>
      <w:r>
        <w:rPr>
          <w:sz w:val="20"/>
        </w:rPr>
        <w:t>________________________________________________________________________</w:t>
      </w:r>
    </w:p>
    <w:p>
      <w:pPr>
        <w:pStyle w:val="null3"/>
        <w:jc w:val="both"/>
      </w:pPr>
      <w:r>
        <w:rPr>
          <w:sz w:val="20"/>
        </w:rPr>
        <w:t>电</w:t>
      </w:r>
      <w:r>
        <w:rPr>
          <w:sz w:val="20"/>
        </w:rPr>
        <w:t xml:space="preserve">    </w:t>
      </w:r>
      <w:r>
        <w:rPr>
          <w:sz w:val="20"/>
        </w:rPr>
        <w:t>话：</w:t>
      </w:r>
      <w:r>
        <w:rPr>
          <w:sz w:val="20"/>
        </w:rPr>
        <w:t>________________________________________________________</w:t>
      </w:r>
      <w:r>
        <w:rPr>
          <w:sz w:val="20"/>
        </w:rPr>
        <w:t>________________</w:t>
      </w:r>
    </w:p>
    <w:p>
      <w:pPr>
        <w:pStyle w:val="null3"/>
        <w:jc w:val="both"/>
      </w:pPr>
      <w:r>
        <w:rPr>
          <w:sz w:val="20"/>
        </w:rPr>
        <w:t>传</w:t>
      </w:r>
      <w:r>
        <w:rPr>
          <w:sz w:val="20"/>
        </w:rPr>
        <w:t xml:space="preserve">    </w:t>
      </w:r>
      <w:r>
        <w:rPr>
          <w:sz w:val="20"/>
        </w:rPr>
        <w:t>真：</w:t>
      </w:r>
      <w:r>
        <w:rPr>
          <w:sz w:val="20"/>
        </w:rPr>
        <w:t>________________________________________________________________________</w:t>
      </w:r>
    </w:p>
    <w:p>
      <w:pPr>
        <w:pStyle w:val="null3"/>
        <w:jc w:val="both"/>
      </w:pPr>
      <w:r>
        <w:rPr>
          <w:sz w:val="20"/>
        </w:rPr>
        <w:t>电子信箱：</w:t>
      </w:r>
      <w:r>
        <w:rPr>
          <w:sz w:val="20"/>
        </w:rPr>
        <w:t>__________________________________________________________</w:t>
      </w:r>
      <w:r>
        <w:rPr>
          <w:sz w:val="20"/>
        </w:rPr>
        <w:t>______________</w:t>
      </w:r>
    </w:p>
    <w:p>
      <w:pPr>
        <w:pStyle w:val="null3"/>
        <w:jc w:val="both"/>
      </w:pPr>
      <w:r>
        <w:rPr>
          <w:sz w:val="20"/>
        </w:rPr>
        <w:t>年</w:t>
      </w:r>
      <w:r>
        <w:rPr>
          <w:sz w:val="19"/>
        </w:rPr>
        <w:t xml:space="preserve">     </w:t>
      </w:r>
      <w:r>
        <w:rPr>
          <w:sz w:val="20"/>
        </w:rPr>
        <w:t>月</w:t>
      </w:r>
      <w:r>
        <w:rPr>
          <w:sz w:val="19"/>
        </w:rPr>
        <w:t xml:space="preserve">     </w:t>
      </w:r>
      <w:r>
        <w:rPr>
          <w:sz w:val="20"/>
        </w:rPr>
        <w:t>日</w:t>
      </w:r>
    </w:p>
    <w:p>
      <w:pPr>
        <w:pStyle w:val="null3"/>
        <w:jc w:val="both"/>
      </w:pPr>
      <w:r>
        <w:rPr>
          <w:sz w:val="20"/>
          <w:b/>
        </w:rPr>
        <w:t>受托方（乙方</w:t>
      </w:r>
      <w:r>
        <w:rPr>
          <w:sz w:val="20"/>
          <w:b/>
        </w:rPr>
        <w:t>）：</w:t>
      </w:r>
      <w:r>
        <w:rPr>
          <w:sz w:val="19"/>
        </w:rPr>
        <w:t xml:space="preserve"> </w:t>
      </w:r>
      <w:r>
        <w:rPr>
          <w:sz w:val="19"/>
          <w:u w:val="single"/>
        </w:rPr>
        <w:t xml:space="preserve">                                 </w:t>
      </w:r>
      <w:r>
        <w:rPr>
          <w:sz w:val="19"/>
          <w:u w:val="single"/>
        </w:rPr>
        <w:t xml:space="preserve">                           </w:t>
      </w:r>
      <w:r>
        <w:rPr>
          <w:sz w:val="20"/>
          <w:u w:val="single"/>
        </w:rPr>
        <w:t>（</w:t>
      </w:r>
      <w:r>
        <w:rPr>
          <w:sz w:val="20"/>
          <w:u w:val="single"/>
        </w:rPr>
        <w:t>盖章）</w:t>
      </w:r>
    </w:p>
    <w:p>
      <w:pPr>
        <w:pStyle w:val="null3"/>
        <w:jc w:val="both"/>
      </w:pPr>
      <w:r>
        <w:rPr>
          <w:sz w:val="20"/>
        </w:rPr>
        <w:t>住</w:t>
      </w:r>
      <w:r>
        <w:rPr>
          <w:sz w:val="20"/>
        </w:rPr>
        <w:t xml:space="preserve">  </w:t>
      </w:r>
      <w:r>
        <w:rPr>
          <w:sz w:val="20"/>
        </w:rPr>
        <w:t>所</w:t>
      </w:r>
      <w:r>
        <w:rPr>
          <w:sz w:val="20"/>
        </w:rPr>
        <w:t xml:space="preserve">  </w:t>
      </w:r>
      <w:r>
        <w:rPr>
          <w:sz w:val="20"/>
        </w:rPr>
        <w:t>地：</w:t>
      </w:r>
      <w:r>
        <w:rPr>
          <w:sz w:val="20"/>
        </w:rPr>
        <w:t>______________________________________________________________________</w:t>
      </w:r>
      <w:r>
        <w:rPr>
          <w:sz w:val="20"/>
        </w:rPr>
        <w:t>法定代表人</w:t>
      </w:r>
      <w:r>
        <w:rPr>
          <w:sz w:val="20"/>
        </w:rPr>
        <w:t>/</w:t>
      </w:r>
      <w:r>
        <w:rPr>
          <w:sz w:val="20"/>
        </w:rPr>
        <w:t>委托代理人</w:t>
      </w:r>
      <w:r>
        <w:rPr>
          <w:sz w:val="20"/>
        </w:rPr>
        <w:t>：</w:t>
      </w:r>
      <w:r>
        <w:rPr>
          <w:sz w:val="19"/>
          <w:u w:val="single"/>
        </w:rPr>
        <w:t xml:space="preserve">                                       </w:t>
      </w:r>
      <w:r>
        <w:rPr>
          <w:sz w:val="19"/>
          <w:u w:val="single"/>
        </w:rPr>
        <w:t xml:space="preserve">          </w:t>
      </w:r>
      <w:r>
        <w:rPr>
          <w:sz w:val="20"/>
          <w:u w:val="single"/>
        </w:rPr>
        <w:t>（</w:t>
      </w:r>
      <w:r>
        <w:rPr>
          <w:sz w:val="20"/>
          <w:u w:val="single"/>
        </w:rPr>
        <w:t>签名</w:t>
      </w:r>
      <w:r>
        <w:rPr>
          <w:sz w:val="20"/>
          <w:u w:val="single"/>
        </w:rPr>
        <w:t>/</w:t>
      </w:r>
      <w:r>
        <w:rPr>
          <w:sz w:val="20"/>
          <w:u w:val="single"/>
        </w:rPr>
        <w:t>章）</w:t>
      </w:r>
    </w:p>
    <w:p>
      <w:pPr>
        <w:pStyle w:val="null3"/>
        <w:spacing w:before="30"/>
        <w:ind w:left="225" w:right="60" w:firstLine="2"/>
        <w:jc w:val="left"/>
      </w:pPr>
      <w:r>
        <w:rPr>
          <w:sz w:val="20"/>
        </w:rPr>
        <w:t>项目联系人：</w:t>
      </w:r>
      <w:r>
        <w:rPr>
          <w:sz w:val="20"/>
        </w:rPr>
        <w:t>_____________________</w:t>
      </w:r>
      <w:r>
        <w:rPr>
          <w:sz w:val="20"/>
        </w:rPr>
        <w:t>__________________________________________________</w:t>
      </w:r>
      <w:r>
        <w:rPr>
          <w:sz w:val="20"/>
        </w:rPr>
        <w:t>联系方式：</w:t>
      </w:r>
      <w:r>
        <w:rPr>
          <w:sz w:val="20"/>
        </w:rPr>
        <w:t>__________________________________________________________________________</w:t>
      </w:r>
    </w:p>
    <w:p>
      <w:pPr>
        <w:pStyle w:val="null3"/>
        <w:spacing w:before="30"/>
        <w:ind w:left="225"/>
        <w:jc w:val="left"/>
      </w:pPr>
      <w:r>
        <w:rPr>
          <w:sz w:val="20"/>
        </w:rPr>
        <w:t>通讯地址：</w:t>
      </w:r>
      <w:r>
        <w:rPr>
          <w:sz w:val="20"/>
        </w:rPr>
        <w:t>__________________________________________________________________________</w:t>
      </w:r>
    </w:p>
    <w:p>
      <w:pPr>
        <w:pStyle w:val="null3"/>
        <w:jc w:val="both"/>
      </w:pPr>
      <w:r>
        <w:rPr>
          <w:sz w:val="20"/>
        </w:rPr>
        <w:t>电</w:t>
      </w:r>
      <w:r>
        <w:rPr>
          <w:sz w:val="20"/>
        </w:rPr>
        <w:t xml:space="preserve">    </w:t>
      </w:r>
      <w:r>
        <w:rPr>
          <w:sz w:val="20"/>
        </w:rPr>
        <w:t>话：</w:t>
      </w:r>
      <w:r>
        <w:rPr>
          <w:sz w:val="20"/>
        </w:rPr>
        <w:t>_____________________________________________________________</w:t>
      </w:r>
      <w:r>
        <w:rPr>
          <w:sz w:val="20"/>
        </w:rPr>
        <w:t>_____________</w:t>
      </w:r>
    </w:p>
    <w:p>
      <w:pPr>
        <w:pStyle w:val="null3"/>
        <w:jc w:val="both"/>
      </w:pPr>
      <w:r>
        <w:rPr>
          <w:sz w:val="20"/>
        </w:rPr>
        <w:t>传</w:t>
      </w:r>
      <w:r>
        <w:rPr>
          <w:sz w:val="20"/>
        </w:rPr>
        <w:t xml:space="preserve">    </w:t>
      </w:r>
      <w:r>
        <w:rPr>
          <w:sz w:val="20"/>
        </w:rPr>
        <w:t>真：</w:t>
      </w:r>
      <w:r>
        <w:rPr>
          <w:sz w:val="20"/>
        </w:rPr>
        <w:t>__________________________________________________________________________</w:t>
      </w:r>
    </w:p>
    <w:p>
      <w:pPr>
        <w:pStyle w:val="null3"/>
        <w:jc w:val="both"/>
      </w:pPr>
      <w:r>
        <w:rPr>
          <w:sz w:val="20"/>
        </w:rPr>
        <w:t>电子信箱：</w:t>
      </w:r>
      <w:r>
        <w:rPr>
          <w:sz w:val="20"/>
        </w:rPr>
        <w:t>___________________________________________________________</w:t>
      </w:r>
      <w:r>
        <w:rPr>
          <w:sz w:val="20"/>
        </w:rPr>
        <w:t>_______________</w:t>
      </w:r>
    </w:p>
    <w:p>
      <w:pPr>
        <w:pStyle w:val="null3"/>
        <w:jc w:val="both"/>
      </w:pPr>
      <w:r>
        <w:rPr>
          <w:sz w:val="20"/>
        </w:rPr>
        <w:t>年</w:t>
      </w:r>
      <w:r>
        <w:rPr>
          <w:sz w:val="19"/>
        </w:rPr>
        <w:t xml:space="preserve">     </w:t>
      </w:r>
      <w:r>
        <w:rPr>
          <w:sz w:val="20"/>
        </w:rPr>
        <w:t>月</w:t>
      </w:r>
      <w:r>
        <w:rPr>
          <w:sz w:val="19"/>
        </w:rPr>
        <w:t xml:space="preserve">     </w:t>
      </w:r>
      <w:r>
        <w:rPr>
          <w:sz w:val="20"/>
        </w:rPr>
        <w:t>日</w:t>
      </w:r>
    </w:p>
    <w:p>
      <w:pPr>
        <w:pStyle w:val="null3"/>
      </w:pPr>
      <w:r>
        <w:rPr>
          <w:sz w:val="20"/>
          <w:b/>
        </w:rPr>
        <w:t>附件</w:t>
      </w:r>
      <w:r>
        <w:rPr>
          <w:sz w:val="19"/>
        </w:rPr>
        <w:t xml:space="preserve"> </w:t>
      </w:r>
      <w:r>
        <w:rPr>
          <w:sz w:val="20"/>
          <w:b/>
        </w:rPr>
        <w:t>1.</w:t>
      </w:r>
      <w:r>
        <w:rPr>
          <w:sz w:val="20"/>
          <w:b/>
        </w:rPr>
        <w:t>运营服务说明书</w:t>
      </w:r>
    </w:p>
    <w:p>
      <w:pPr>
        <w:pStyle w:val="null3"/>
        <w:spacing w:before="120"/>
        <w:ind w:left="255" w:firstLine="418"/>
        <w:jc w:val="both"/>
      </w:pPr>
      <w:r>
        <w:rPr>
          <w:sz w:val="21"/>
          <w:i/>
          <w:color w:val="7F7F7F"/>
        </w:rPr>
        <w:t>运营服务说明书需列出系统业务运营服务的类型及内容、服务交付等，如数据治理的对象、数量、加工要求等，采购数据服务的质量要求、更新频率等，应用系统操作要求、运营</w:t>
      </w:r>
      <w:r>
        <w:rPr>
          <w:sz w:val="21"/>
          <w:i/>
          <w:color w:val="7F7F7F"/>
        </w:rPr>
        <w:t>人员要求等。包括但不限于以下内容：</w:t>
      </w:r>
    </w:p>
    <w:p>
      <w:pPr>
        <w:pStyle w:val="null3"/>
        <w:ind w:left="660"/>
        <w:jc w:val="left"/>
      </w:pPr>
      <w:r>
        <w:rPr>
          <w:sz w:val="20"/>
          <w:i/>
          <w:color w:val="7F7F7F"/>
        </w:rPr>
        <w:t>1.</w:t>
      </w:r>
      <w:r>
        <w:rPr>
          <w:sz w:val="19"/>
          <w:i/>
        </w:rPr>
        <w:t xml:space="preserve"> </w:t>
      </w:r>
      <w:r>
        <w:rPr>
          <w:sz w:val="21"/>
          <w:i/>
          <w:color w:val="7F7F7F"/>
        </w:rPr>
        <w:t>服务目标</w:t>
      </w:r>
    </w:p>
    <w:p>
      <w:pPr>
        <w:pStyle w:val="null3"/>
        <w:spacing w:before="165"/>
        <w:ind w:left="645"/>
        <w:jc w:val="left"/>
      </w:pPr>
      <w:r>
        <w:rPr>
          <w:sz w:val="20"/>
          <w:i/>
          <w:color w:val="7F7F7F"/>
        </w:rPr>
        <w:t>2.</w:t>
      </w:r>
      <w:r>
        <w:rPr>
          <w:sz w:val="19"/>
          <w:i/>
        </w:rPr>
        <w:t xml:space="preserve"> </w:t>
      </w:r>
      <w:r>
        <w:rPr>
          <w:sz w:val="21"/>
          <w:i/>
          <w:color w:val="7F7F7F"/>
        </w:rPr>
        <w:t>服务的内容和范围</w:t>
      </w:r>
    </w:p>
    <w:p>
      <w:pPr>
        <w:pStyle w:val="null3"/>
        <w:spacing w:before="165"/>
        <w:ind w:left="645"/>
        <w:jc w:val="left"/>
      </w:pPr>
      <w:r>
        <w:rPr>
          <w:sz w:val="20"/>
          <w:i/>
          <w:color w:val="7F7F7F"/>
        </w:rPr>
        <w:t>3.</w:t>
      </w:r>
      <w:r>
        <w:rPr>
          <w:sz w:val="19"/>
          <w:i/>
        </w:rPr>
        <w:t xml:space="preserve"> </w:t>
      </w:r>
      <w:r>
        <w:rPr>
          <w:sz w:val="21"/>
          <w:i/>
          <w:color w:val="7F7F7F"/>
        </w:rPr>
        <w:t>服务标准和原则</w:t>
      </w:r>
    </w:p>
    <w:p>
      <w:pPr>
        <w:pStyle w:val="null3"/>
        <w:spacing w:before="165"/>
        <w:ind w:left="645"/>
        <w:jc w:val="left"/>
      </w:pPr>
      <w:r>
        <w:rPr>
          <w:sz w:val="20"/>
          <w:i/>
          <w:color w:val="7F7F7F"/>
        </w:rPr>
        <w:t>4.</w:t>
      </w:r>
      <w:r>
        <w:rPr>
          <w:sz w:val="19"/>
          <w:i/>
        </w:rPr>
        <w:t xml:space="preserve"> </w:t>
      </w:r>
      <w:r>
        <w:rPr>
          <w:sz w:val="21"/>
          <w:i/>
          <w:color w:val="7F7F7F"/>
        </w:rPr>
        <w:t>服务质量保证</w:t>
      </w:r>
    </w:p>
    <w:p>
      <w:pPr>
        <w:pStyle w:val="null3"/>
        <w:spacing w:before="165"/>
        <w:ind w:left="645"/>
        <w:jc w:val="left"/>
      </w:pPr>
      <w:r>
        <w:rPr>
          <w:sz w:val="20"/>
          <w:i/>
          <w:color w:val="7F7F7F"/>
        </w:rPr>
        <w:t>5.</w:t>
      </w:r>
      <w:r>
        <w:rPr>
          <w:sz w:val="19"/>
          <w:i/>
        </w:rPr>
        <w:t xml:space="preserve"> </w:t>
      </w:r>
      <w:r>
        <w:rPr>
          <w:sz w:val="21"/>
          <w:i/>
          <w:color w:val="7F7F7F"/>
        </w:rPr>
        <w:t>服务交付物及交付计划</w:t>
      </w:r>
    </w:p>
    <w:p>
      <w:pPr>
        <w:pStyle w:val="null3"/>
      </w:pPr>
      <w:r>
        <w:rPr>
          <w:sz w:val="20"/>
          <w:b/>
        </w:rPr>
        <w:t>附件</w:t>
      </w:r>
      <w:r>
        <w:rPr>
          <w:sz w:val="19"/>
        </w:rPr>
        <w:t xml:space="preserve"> </w:t>
      </w:r>
      <w:r>
        <w:rPr>
          <w:sz w:val="20"/>
          <w:b/>
        </w:rPr>
        <w:t>2.</w:t>
      </w:r>
      <w:r>
        <w:rPr>
          <w:sz w:val="20"/>
          <w:b/>
        </w:rPr>
        <w:t>验收要求</w:t>
      </w:r>
    </w:p>
    <w:p>
      <w:pPr>
        <w:pStyle w:val="null3"/>
        <w:spacing w:before="120"/>
        <w:ind w:left="255" w:firstLine="422"/>
        <w:jc w:val="left"/>
      </w:pPr>
      <w:r>
        <w:rPr>
          <w:sz w:val="21"/>
          <w:i/>
        </w:rPr>
        <w:t>参照省政务信息化项目验收相关规范开展验收工作。按照《广东省政务服务数据管理局</w:t>
      </w:r>
      <w:r>
        <w:rPr>
          <w:sz w:val="21"/>
          <w:i/>
        </w:rPr>
        <w:t>政务信息化项目验收管理工作指引》开展验收工作（若有更新则以验收时最新印发版本为准）。</w:t>
      </w:r>
    </w:p>
    <w:p>
      <w:pPr>
        <w:pStyle w:val="null3"/>
        <w:jc w:val="both"/>
      </w:pPr>
      <w:r>
        <w:rPr>
          <w:sz w:val="21"/>
          <w:i/>
          <w:color w:val="7F7F7F"/>
        </w:rPr>
        <w:t>提出阶段性服务确认、最终验收成果及要求。</w:t>
      </w:r>
    </w:p>
    <w:p>
      <w:pPr>
        <w:pStyle w:val="null3"/>
        <w:spacing w:before="165"/>
        <w:ind w:left="675"/>
        <w:jc w:val="left"/>
      </w:pPr>
      <w:r>
        <w:rPr>
          <w:sz w:val="21"/>
          <w:i/>
          <w:color w:val="7F7F7F"/>
        </w:rPr>
        <w:t>验收要求包括但不限于服务交付、最终验收标准、验收方法、验收进</w:t>
      </w:r>
      <w:r>
        <w:rPr>
          <w:sz w:val="21"/>
          <w:i/>
          <w:color w:val="7F7F7F"/>
        </w:rPr>
        <w:t>度计划等。</w:t>
      </w:r>
    </w:p>
    <w:p>
      <w:pPr>
        <w:pStyle w:val="null3"/>
      </w:pPr>
      <w:r>
        <w:rPr>
          <w:sz w:val="20"/>
          <w:b/>
        </w:rPr>
        <w:t>附件</w:t>
      </w:r>
      <w:r>
        <w:rPr>
          <w:sz w:val="19"/>
        </w:rPr>
        <w:t xml:space="preserve"> </w:t>
      </w:r>
      <w:r>
        <w:rPr>
          <w:sz w:val="20"/>
          <w:b/>
        </w:rPr>
        <w:t>3.</w:t>
      </w:r>
      <w:r>
        <w:rPr>
          <w:sz w:val="19"/>
          <w:b/>
        </w:rPr>
        <w:t xml:space="preserve"> </w:t>
      </w:r>
      <w:r>
        <w:rPr>
          <w:sz w:val="20"/>
          <w:b/>
        </w:rPr>
        <w:t>乙方团队人员清单</w:t>
      </w:r>
    </w:p>
    <w:p>
      <w:pPr>
        <w:pStyle w:val="null3"/>
        <w:spacing w:before="120"/>
        <w:ind w:left="675"/>
        <w:jc w:val="left"/>
      </w:pPr>
      <w:r>
        <w:rPr>
          <w:sz w:val="21"/>
          <w:i/>
          <w:color w:val="7F7F7F"/>
        </w:rPr>
        <w:t>提出乙方拟投入的团队人员名单，及各角色职责与分工。</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759"/>
        <w:gridCol w:w="817"/>
        <w:gridCol w:w="671"/>
        <w:gridCol w:w="671"/>
        <w:gridCol w:w="671"/>
        <w:gridCol w:w="802"/>
        <w:gridCol w:w="671"/>
        <w:gridCol w:w="1328"/>
        <w:gridCol w:w="1883"/>
      </w:tblGrid>
      <w:tr>
        <w:tc>
          <w:tcPr>
            <w:tcW w:type="dxa" w:w="7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0"/>
              </w:rPr>
              <w:t>姓名</w:t>
            </w:r>
          </w:p>
        </w:tc>
        <w:tc>
          <w:tcPr>
            <w:tcW w:type="dxa" w:w="8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0"/>
              </w:rPr>
              <w:t>性别</w:t>
            </w:r>
          </w:p>
        </w:tc>
        <w:tc>
          <w:tcPr>
            <w:tcW w:type="dxa" w:w="6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0"/>
              </w:rPr>
              <w:t>年龄</w:t>
            </w:r>
          </w:p>
        </w:tc>
        <w:tc>
          <w:tcPr>
            <w:tcW w:type="dxa" w:w="6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0"/>
              </w:rPr>
              <w:t>学历</w:t>
            </w:r>
          </w:p>
        </w:tc>
        <w:tc>
          <w:tcPr>
            <w:tcW w:type="dxa" w:w="6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0"/>
              </w:rPr>
              <w:t>职称</w:t>
            </w:r>
          </w:p>
        </w:tc>
        <w:tc>
          <w:tcPr>
            <w:tcW w:type="dxa" w:w="8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25"/>
              <w:jc w:val="both"/>
            </w:pPr>
            <w:r>
              <w:rPr>
                <w:sz w:val="20"/>
              </w:rPr>
              <w:t>同类</w:t>
            </w:r>
          </w:p>
          <w:p>
            <w:pPr>
              <w:pStyle w:val="null3"/>
              <w:spacing w:before="120"/>
              <w:ind w:left="210"/>
              <w:jc w:val="both"/>
            </w:pPr>
            <w:r>
              <w:rPr>
                <w:sz w:val="20"/>
              </w:rPr>
              <w:t>工作</w:t>
            </w:r>
          </w:p>
          <w:p>
            <w:pPr>
              <w:pStyle w:val="null3"/>
              <w:spacing w:before="105"/>
              <w:ind w:left="210"/>
              <w:jc w:val="both"/>
            </w:pPr>
            <w:r>
              <w:rPr>
                <w:sz w:val="20"/>
              </w:rPr>
              <w:t>年限</w:t>
            </w:r>
          </w:p>
        </w:tc>
        <w:tc>
          <w:tcPr>
            <w:tcW w:type="dxa" w:w="6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50" w:right="135" w:firstLine="5"/>
              <w:jc w:val="both"/>
            </w:pPr>
            <w:r>
              <w:rPr>
                <w:sz w:val="20"/>
              </w:rPr>
              <w:t>公司</w:t>
            </w:r>
            <w:r>
              <w:rPr>
                <w:sz w:val="20"/>
              </w:rPr>
              <w:t>职务</w:t>
            </w:r>
          </w:p>
        </w:tc>
        <w:tc>
          <w:tcPr>
            <w:tcW w:type="dxa" w:w="13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0"/>
              </w:rPr>
              <w:t>本项目角色</w:t>
            </w:r>
          </w:p>
        </w:tc>
        <w:tc>
          <w:tcPr>
            <w:tcW w:type="dxa" w:w="18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0"/>
              </w:rPr>
              <w:t>承担工作</w:t>
            </w:r>
          </w:p>
        </w:tc>
      </w:tr>
      <w:tr>
        <w:tc>
          <w:tcPr>
            <w:tcW w:type="dxa" w:w="7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8273"/>
            <w:gridSpan w:val="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0"/>
              </w:rPr>
              <w:t>项目主要人员简历（毕业院校、</w:t>
            </w:r>
            <w:r>
              <w:rPr>
                <w:sz w:val="24"/>
              </w:rPr>
              <w:t xml:space="preserve"> </w:t>
            </w:r>
            <w:r>
              <w:rPr>
                <w:sz w:val="20"/>
              </w:rPr>
              <w:t>曾任职、专长、承担同类项目历</w:t>
            </w:r>
            <w:r>
              <w:rPr>
                <w:sz w:val="20"/>
              </w:rPr>
              <w:t>史情况）</w:t>
            </w:r>
          </w:p>
        </w:tc>
      </w:tr>
    </w:tbl>
    <w:p>
      <w:pPr>
        <w:pStyle w:val="null3"/>
        <w:jc w:val="both"/>
      </w:pPr>
      <w:r>
        <w:rPr>
          <w:sz w:val="20"/>
          <w:b/>
        </w:rPr>
        <w:t>附件</w:t>
      </w:r>
      <w:r>
        <w:rPr>
          <w:sz w:val="19"/>
        </w:rPr>
        <w:t xml:space="preserve"> </w:t>
      </w:r>
      <w:r>
        <w:rPr>
          <w:sz w:val="20"/>
          <w:b/>
        </w:rPr>
        <w:t>4.</w:t>
      </w:r>
      <w:r>
        <w:rPr>
          <w:sz w:val="20"/>
          <w:b/>
        </w:rPr>
        <w:t>服务价格明细（若有）</w:t>
      </w:r>
    </w:p>
    <w:p>
      <w:pPr>
        <w:pStyle w:val="null3"/>
        <w:spacing w:before="120"/>
        <w:ind w:left="675"/>
        <w:jc w:val="left"/>
      </w:pPr>
      <w:r>
        <w:rPr>
          <w:sz w:val="21"/>
          <w:i/>
          <w:color w:val="7F7F7F"/>
        </w:rPr>
        <w:t>提出乙方服务价格构成及分项明细表。</w:t>
      </w:r>
    </w:p>
    <w:p>
      <w:pPr>
        <w:pStyle w:val="null3"/>
      </w:pPr>
      <w:r>
        <w:rPr>
          <w:sz w:val="20"/>
          <w:b/>
        </w:rPr>
        <w:t>附件</w:t>
      </w:r>
      <w:r>
        <w:rPr>
          <w:sz w:val="19"/>
        </w:rPr>
        <w:t xml:space="preserve"> </w:t>
      </w:r>
      <w:r>
        <w:rPr>
          <w:sz w:val="20"/>
          <w:b/>
        </w:rPr>
        <w:t>5.</w:t>
      </w:r>
      <w:r>
        <w:rPr>
          <w:sz w:val="20"/>
          <w:b/>
        </w:rPr>
        <w:t>保密承诺书</w:t>
      </w:r>
    </w:p>
    <w:p>
      <w:pPr>
        <w:pStyle w:val="null3"/>
        <w:spacing w:before="225"/>
        <w:ind w:left="3765"/>
        <w:jc w:val="left"/>
      </w:pPr>
      <w:r>
        <w:rPr>
          <w:sz w:val="20"/>
          <w:b/>
        </w:rPr>
        <w:t>保密承诺书</w:t>
      </w:r>
    </w:p>
    <w:p>
      <w:pPr>
        <w:pStyle w:val="null3"/>
        <w:jc w:val="both"/>
      </w:pPr>
      <w:r>
        <w:rPr>
          <w:sz w:val="20"/>
        </w:rPr>
        <w:t>致：</w:t>
      </w:r>
      <w:r>
        <w:rPr>
          <w:sz w:val="20"/>
        </w:rPr>
        <w:t>___________________________</w:t>
      </w:r>
    </w:p>
    <w:p>
      <w:pPr>
        <w:pStyle w:val="null3"/>
        <w:spacing w:before="225"/>
        <w:ind w:left="30" w:right="75" w:firstLine="420"/>
        <w:jc w:val="left"/>
      </w:pPr>
      <w:r>
        <w:rPr>
          <w:sz w:val="20"/>
        </w:rPr>
        <w:t>为保护合作方甲方的合法利益，保证合作双方实现顺利合作，避免因信息泄露而给甲方造</w:t>
      </w:r>
      <w:r>
        <w:rPr>
          <w:sz w:val="20"/>
        </w:rPr>
        <w:t>成损失，本项目的服务方</w:t>
      </w:r>
      <w:r>
        <w:rPr>
          <w:sz w:val="20"/>
        </w:rPr>
        <w:t>_______________</w:t>
      </w:r>
      <w:r>
        <w:rPr>
          <w:sz w:val="19"/>
        </w:rPr>
        <w:t xml:space="preserve"> </w:t>
      </w:r>
      <w:r>
        <w:rPr>
          <w:sz w:val="20"/>
        </w:rPr>
        <w:t>以及参与本项目的所有员工承诺遵守本保密承诺书内</w:t>
      </w:r>
      <w:r>
        <w:rPr>
          <w:sz w:val="20"/>
        </w:rPr>
        <w:t>容。</w:t>
      </w:r>
    </w:p>
    <w:p>
      <w:pPr>
        <w:pStyle w:val="null3"/>
        <w:spacing w:before="15"/>
        <w:ind w:left="450"/>
        <w:jc w:val="left"/>
      </w:pPr>
      <w:r>
        <w:rPr>
          <w:sz w:val="20"/>
        </w:rPr>
        <w:t>一、保密信息定义</w:t>
      </w:r>
    </w:p>
    <w:p>
      <w:pPr>
        <w:pStyle w:val="null3"/>
        <w:spacing w:before="225"/>
        <w:ind w:left="30" w:right="75" w:firstLine="419"/>
        <w:jc w:val="both"/>
      </w:pPr>
      <w:r>
        <w:rPr>
          <w:sz w:val="20"/>
        </w:rPr>
        <w:t>本承诺书所称的</w:t>
      </w:r>
      <w:r>
        <w:rPr>
          <w:sz w:val="20"/>
        </w:rPr>
        <w:t>“</w:t>
      </w:r>
      <w:r>
        <w:rPr>
          <w:sz w:val="20"/>
        </w:rPr>
        <w:t>保密信息</w:t>
      </w:r>
      <w:r>
        <w:rPr>
          <w:sz w:val="20"/>
        </w:rPr>
        <w:t>”</w:t>
      </w:r>
      <w:r>
        <w:rPr>
          <w:sz w:val="20"/>
        </w:rPr>
        <w:t>是指所有涉密</w:t>
      </w:r>
      <w:r>
        <w:rPr>
          <w:sz w:val="20"/>
        </w:rPr>
        <w:t>信息、商业秘密、技术秘密、通信或与该项目相关的其他信息，无论是书面的、口头的、图形的、电磁的或其他任何形式的信息，包括（但不</w:t>
      </w:r>
      <w:r>
        <w:rPr>
          <w:sz w:val="20"/>
        </w:rPr>
        <w:t>限于）数据、用户名、</w:t>
      </w:r>
      <w:r>
        <w:rPr>
          <w:sz w:val="19"/>
        </w:rPr>
        <w:t xml:space="preserve"> </w:t>
      </w:r>
      <w:r>
        <w:rPr>
          <w:sz w:val="20"/>
        </w:rPr>
        <w:t>口令、产品、文件、规划、方案、技术、方法、仪器设备和其他信息及</w:t>
      </w:r>
      <w:r>
        <w:rPr>
          <w:sz w:val="20"/>
        </w:rPr>
        <w:t>文档等，上述信息在本项目以如下形式确定：</w:t>
      </w:r>
    </w:p>
    <w:p>
      <w:pPr>
        <w:pStyle w:val="null3"/>
        <w:ind w:left="30" w:right="75" w:firstLine="434"/>
        <w:jc w:val="left"/>
      </w:pPr>
      <w:r>
        <w:rPr>
          <w:sz w:val="20"/>
        </w:rPr>
        <w:t>1.</w:t>
      </w:r>
      <w:r>
        <w:rPr>
          <w:sz w:val="19"/>
        </w:rPr>
        <w:t xml:space="preserve"> </w:t>
      </w:r>
      <w:r>
        <w:rPr>
          <w:sz w:val="20"/>
        </w:rPr>
        <w:t>甲方在项目实施中为乙方及乙方工作人员提供必要的数据、程序、用户名</w:t>
      </w:r>
      <w:r>
        <w:rPr>
          <w:sz w:val="20"/>
        </w:rPr>
        <w:t>、</w:t>
      </w:r>
      <w:r>
        <w:rPr>
          <w:sz w:val="19"/>
        </w:rPr>
        <w:t xml:space="preserve"> </w:t>
      </w:r>
      <w:r>
        <w:rPr>
          <w:sz w:val="20"/>
        </w:rPr>
        <w:t>口令和资料</w:t>
      </w:r>
      <w:r>
        <w:rPr>
          <w:sz w:val="20"/>
        </w:rPr>
        <w:t>等；</w:t>
      </w:r>
    </w:p>
    <w:p>
      <w:pPr>
        <w:pStyle w:val="null3"/>
        <w:spacing w:before="225"/>
        <w:ind w:left="30" w:firstLine="414"/>
        <w:jc w:val="left"/>
      </w:pPr>
      <w:r>
        <w:rPr>
          <w:sz w:val="20"/>
        </w:rPr>
        <w:t>2.</w:t>
      </w:r>
      <w:r>
        <w:rPr>
          <w:sz w:val="20"/>
        </w:rPr>
        <w:t>在对甲方提供服务工作中涉及的业务及技术文档，包括政策、方案设计细节、</w:t>
      </w:r>
      <w:r>
        <w:rPr>
          <w:sz w:val="20"/>
        </w:rPr>
        <w:t>程序文件、</w:t>
      </w:r>
      <w:r>
        <w:rPr>
          <w:sz w:val="20"/>
        </w:rPr>
        <w:t>数据结构，以及相关业务系统的硬软件、文档，测试和测试产生的数据等；</w:t>
      </w:r>
    </w:p>
    <w:p>
      <w:pPr>
        <w:pStyle w:val="null3"/>
        <w:spacing w:before="225"/>
        <w:ind w:left="435"/>
        <w:jc w:val="left"/>
      </w:pPr>
      <w:r>
        <w:rPr>
          <w:sz w:val="20"/>
        </w:rPr>
        <w:t>3.</w:t>
      </w:r>
      <w:r>
        <w:rPr>
          <w:sz w:val="20"/>
        </w:rPr>
        <w:t>服务过程中产生的所有成果为保密的内容；</w:t>
      </w:r>
    </w:p>
    <w:p>
      <w:pPr>
        <w:pStyle w:val="null3"/>
        <w:spacing w:before="225"/>
        <w:ind w:left="435"/>
        <w:jc w:val="left"/>
      </w:pPr>
      <w:r>
        <w:rPr>
          <w:sz w:val="20"/>
        </w:rPr>
        <w:t>4.</w:t>
      </w:r>
      <w:r>
        <w:rPr>
          <w:sz w:val="20"/>
        </w:rPr>
        <w:t>其他甲方合理认为并申明属于保密信息的内容。</w:t>
      </w:r>
    </w:p>
    <w:p>
      <w:pPr>
        <w:pStyle w:val="null3"/>
        <w:spacing w:before="225"/>
        <w:ind w:left="450"/>
        <w:jc w:val="left"/>
      </w:pPr>
      <w:r>
        <w:rPr>
          <w:sz w:val="20"/>
        </w:rPr>
        <w:t>二、保密要求</w:t>
      </w:r>
    </w:p>
    <w:p>
      <w:pPr>
        <w:pStyle w:val="null3"/>
        <w:spacing w:before="225"/>
        <w:ind w:left="15" w:right="75" w:firstLine="422"/>
        <w:jc w:val="both"/>
      </w:pPr>
      <w:r>
        <w:rPr>
          <w:sz w:val="20"/>
        </w:rPr>
        <w:t>我公司在国家相关法律法规、规章政策所规定的前提下，全力限制</w:t>
      </w:r>
      <w:r>
        <w:rPr>
          <w:sz w:val="20"/>
        </w:rPr>
        <w:t>“</w:t>
      </w:r>
      <w:r>
        <w:rPr>
          <w:sz w:val="20"/>
        </w:rPr>
        <w:t>保密信息</w:t>
      </w:r>
      <w:r>
        <w:rPr>
          <w:sz w:val="20"/>
        </w:rPr>
        <w:t>”</w:t>
      </w:r>
      <w:r>
        <w:rPr>
          <w:sz w:val="20"/>
        </w:rPr>
        <w:t>的使用范围以利保密防范，并仅用于为甲方提供服务。在未经甲方书面形式授权下，我公司不会直接或间</w:t>
      </w:r>
      <w:r>
        <w:rPr>
          <w:sz w:val="20"/>
        </w:rPr>
        <w:t>接使用</w:t>
      </w:r>
      <w:r>
        <w:rPr>
          <w:sz w:val="20"/>
        </w:rPr>
        <w:t>“</w:t>
      </w:r>
      <w:r>
        <w:rPr>
          <w:sz w:val="20"/>
        </w:rPr>
        <w:t>项目资料</w:t>
      </w:r>
      <w:r>
        <w:rPr>
          <w:sz w:val="20"/>
        </w:rPr>
        <w:t>”</w:t>
      </w:r>
      <w:r>
        <w:rPr>
          <w:sz w:val="20"/>
        </w:rPr>
        <w:t>的利益或目的性的任何专有信息，</w:t>
      </w:r>
      <w:r>
        <w:rPr>
          <w:sz w:val="20"/>
        </w:rPr>
        <w:t>亦不会把任何专用信息披露给他人，我公</w:t>
      </w:r>
      <w:r>
        <w:rPr>
          <w:sz w:val="20"/>
        </w:rPr>
        <w:t>司的所有员工均有义务受约束，并负有保密的义务。</w:t>
      </w:r>
    </w:p>
    <w:p>
      <w:pPr>
        <w:pStyle w:val="null3"/>
        <w:ind w:left="30" w:right="75" w:firstLine="430"/>
        <w:jc w:val="left"/>
      </w:pPr>
      <w:r>
        <w:rPr>
          <w:sz w:val="20"/>
        </w:rPr>
        <w:t>1.</w:t>
      </w:r>
      <w:r>
        <w:rPr>
          <w:sz w:val="20"/>
        </w:rPr>
        <w:t>承诺人始终对保密资料保密，不在项目之外使用甲方提供的保密</w:t>
      </w:r>
      <w:r>
        <w:rPr>
          <w:sz w:val="20"/>
        </w:rPr>
        <w:t>信息及因履行本项目而</w:t>
      </w:r>
      <w:r>
        <w:rPr>
          <w:sz w:val="20"/>
        </w:rPr>
        <w:t>掌握的保密信息。</w:t>
      </w:r>
    </w:p>
    <w:p>
      <w:pPr>
        <w:pStyle w:val="null3"/>
        <w:spacing w:before="225"/>
        <w:ind w:left="15" w:right="105" w:firstLine="416"/>
        <w:jc w:val="left"/>
      </w:pPr>
      <w:r>
        <w:rPr>
          <w:sz w:val="20"/>
        </w:rPr>
        <w:t>2.</w:t>
      </w:r>
      <w:r>
        <w:rPr>
          <w:sz w:val="20"/>
        </w:rPr>
        <w:t>未经甲方书面同意，不向任何第三方提供保密信息以及可以接触上述保密信息的手段，</w:t>
      </w:r>
      <w:r>
        <w:rPr>
          <w:sz w:val="20"/>
        </w:rPr>
        <w:t>包括在公开场合展览，公开对外宣传，作为文章、讯息、参考数据发表等。</w:t>
      </w:r>
    </w:p>
    <w:p>
      <w:pPr>
        <w:pStyle w:val="null3"/>
        <w:spacing w:before="225"/>
        <w:ind w:left="30" w:right="75" w:firstLine="419"/>
        <w:jc w:val="left"/>
      </w:pPr>
      <w:r>
        <w:rPr>
          <w:sz w:val="20"/>
        </w:rPr>
        <w:t>3.</w:t>
      </w:r>
      <w:r>
        <w:rPr>
          <w:sz w:val="20"/>
        </w:rPr>
        <w:t>只向项目相关人员（包括各自的领导﹑</w:t>
      </w:r>
      <w:r>
        <w:rPr>
          <w:sz w:val="19"/>
        </w:rPr>
        <w:t xml:space="preserve"> </w:t>
      </w:r>
      <w:r>
        <w:rPr>
          <w:sz w:val="20"/>
        </w:rPr>
        <w:t>同事和雇员等）为商讨合作项目而有需要知悉保</w:t>
      </w:r>
      <w:r>
        <w:rPr>
          <w:sz w:val="20"/>
        </w:rPr>
        <w:t>密信息的人士披露保密信息；并保证上述各相关人员的行为将会符合本守则的规定。</w:t>
      </w:r>
    </w:p>
    <w:p>
      <w:pPr>
        <w:pStyle w:val="null3"/>
        <w:spacing w:before="225"/>
        <w:ind w:left="435"/>
        <w:jc w:val="left"/>
      </w:pPr>
      <w:r>
        <w:rPr>
          <w:sz w:val="20"/>
        </w:rPr>
        <w:t>4.</w:t>
      </w:r>
      <w:r>
        <w:rPr>
          <w:sz w:val="20"/>
        </w:rPr>
        <w:t>在商讨合作项目的过程中，若需向第三方披露甲方的保密信息，应取得甲方书面许可，并要求该第三方不得向任何其他人士泄露保</w:t>
      </w:r>
      <w:r>
        <w:rPr>
          <w:sz w:val="20"/>
        </w:rPr>
        <w:t>密信息。</w:t>
      </w:r>
    </w:p>
    <w:p>
      <w:pPr>
        <w:pStyle w:val="null3"/>
        <w:spacing w:before="225"/>
        <w:ind w:left="450"/>
        <w:jc w:val="left"/>
      </w:pPr>
      <w:r>
        <w:rPr>
          <w:sz w:val="20"/>
        </w:rPr>
        <w:t>5.</w:t>
      </w:r>
      <w:r>
        <w:rPr>
          <w:sz w:val="20"/>
        </w:rPr>
        <w:t>有关保密的内容和义务，未经甲方解封则长期有效。</w:t>
      </w:r>
    </w:p>
    <w:p>
      <w:pPr>
        <w:pStyle w:val="null3"/>
        <w:jc w:val="both"/>
      </w:pPr>
      <w:r>
        <w:rPr>
          <w:sz w:val="20"/>
        </w:rPr>
        <w:t>承诺人：</w:t>
      </w:r>
    </w:p>
    <w:p>
      <w:pPr>
        <w:pStyle w:val="null3"/>
        <w:spacing w:before="225"/>
        <w:ind w:left="4260"/>
        <w:jc w:val="left"/>
      </w:pPr>
      <w:r>
        <w:rPr>
          <w:sz w:val="20"/>
        </w:rPr>
        <w:t>（法定代表人或委托代理人签字</w:t>
      </w:r>
      <w:r>
        <w:rPr>
          <w:sz w:val="20"/>
        </w:rPr>
        <w:t>/</w:t>
      </w:r>
      <w:r>
        <w:rPr>
          <w:sz w:val="20"/>
        </w:rPr>
        <w:t>章并盖单位公章）</w:t>
      </w:r>
      <w:r>
        <w:rPr>
          <w:sz w:val="20"/>
        </w:rPr>
        <w:t>日</w:t>
      </w:r>
      <w:r>
        <w:rPr>
          <w:sz w:val="19"/>
        </w:rPr>
        <w:t xml:space="preserve">  </w:t>
      </w:r>
      <w:r>
        <w:rPr>
          <w:sz w:val="20"/>
        </w:rPr>
        <w:t>期：</w:t>
      </w:r>
    </w:p>
    <w:p>
      <w:pPr>
        <w:pStyle w:val="null3"/>
      </w:pPr>
      <w:r>
        <w:rPr>
          <w:sz w:val="20"/>
          <w:b/>
        </w:rPr>
        <w:t>附件</w:t>
      </w:r>
      <w:r>
        <w:rPr>
          <w:sz w:val="19"/>
        </w:rPr>
        <w:t xml:space="preserve"> </w:t>
      </w:r>
      <w:r>
        <w:rPr>
          <w:sz w:val="20"/>
          <w:b/>
        </w:rPr>
        <w:t>6.</w:t>
      </w:r>
      <w:r>
        <w:rPr>
          <w:sz w:val="20"/>
          <w:b/>
        </w:rPr>
        <w:t>反商业贿赂协议</w:t>
      </w:r>
    </w:p>
    <w:p>
      <w:pPr>
        <w:pStyle w:val="null3"/>
        <w:jc w:val="both"/>
      </w:pPr>
      <w:r>
        <w:rPr>
          <w:sz w:val="20"/>
          <w:b/>
        </w:rPr>
        <w:t>反商业贿赂协议</w:t>
      </w:r>
    </w:p>
    <w:p>
      <w:pPr>
        <w:pStyle w:val="null3"/>
        <w:spacing w:before="225"/>
        <w:ind w:left="30" w:firstLine="418"/>
        <w:jc w:val="both"/>
      </w:pPr>
      <w:r>
        <w:rPr>
          <w:sz w:val="20"/>
        </w:rPr>
        <w:t>根据《关于开展治理商业贿赂专项工作的意见》（中办发〔</w:t>
      </w:r>
      <w:r>
        <w:rPr>
          <w:sz w:val="20"/>
        </w:rPr>
        <w:t>2006</w:t>
      </w:r>
      <w:r>
        <w:rPr>
          <w:sz w:val="20"/>
        </w:rPr>
        <w:t>〕</w:t>
      </w:r>
      <w:r>
        <w:rPr>
          <w:sz w:val="20"/>
        </w:rPr>
        <w:t>9</w:t>
      </w:r>
      <w:r>
        <w:rPr>
          <w:sz w:val="19"/>
        </w:rPr>
        <w:t xml:space="preserve"> </w:t>
      </w:r>
      <w:r>
        <w:rPr>
          <w:sz w:val="20"/>
        </w:rPr>
        <w:t>号）</w:t>
      </w:r>
      <w:r>
        <w:rPr>
          <w:sz w:val="19"/>
        </w:rPr>
        <w:t xml:space="preserve"> </w:t>
      </w:r>
      <w:r>
        <w:rPr>
          <w:sz w:val="20"/>
        </w:rPr>
        <w:t>以及有关项目服</w:t>
      </w:r>
      <w:r>
        <w:rPr>
          <w:sz w:val="20"/>
        </w:rPr>
        <w:t>务、廉政建设的规定，为做好项目服务中的反商业贿赂工作，建立起责任机制、督查机制和保障机制，保证项目服务高效优质，保证建设资金的安全和有效使用以及投资效益，本项目甲方</w:t>
      </w:r>
      <w:r>
        <w:rPr>
          <w:sz w:val="20"/>
        </w:rPr>
        <w:t>与乙方特订立如下协议。</w:t>
      </w:r>
    </w:p>
    <w:p>
      <w:pPr>
        <w:pStyle w:val="null3"/>
        <w:ind w:left="450"/>
        <w:jc w:val="left"/>
      </w:pPr>
      <w:r>
        <w:rPr>
          <w:sz w:val="20"/>
        </w:rPr>
        <w:t>一、</w:t>
      </w:r>
      <w:r>
        <w:rPr>
          <w:sz w:val="19"/>
        </w:rPr>
        <w:t xml:space="preserve"> </w:t>
      </w:r>
      <w:r>
        <w:rPr>
          <w:sz w:val="20"/>
        </w:rPr>
        <w:t>甲乙双方的权利和义务</w:t>
      </w:r>
    </w:p>
    <w:p>
      <w:pPr>
        <w:pStyle w:val="null3"/>
        <w:spacing w:before="225"/>
        <w:ind w:left="30" w:firstLine="435"/>
        <w:jc w:val="left"/>
      </w:pPr>
      <w:r>
        <w:rPr>
          <w:sz w:val="20"/>
        </w:rPr>
        <w:t>1.</w:t>
      </w:r>
      <w:r>
        <w:rPr>
          <w:sz w:val="20"/>
        </w:rPr>
        <w:t>严格遵守党的政策规定和国家有关法律法规及广东省委、省政府关</w:t>
      </w:r>
      <w:r>
        <w:rPr>
          <w:sz w:val="20"/>
        </w:rPr>
        <w:t>于反商业贿赂和加强党风廉政建设的有关规定。</w:t>
      </w:r>
    </w:p>
    <w:p>
      <w:pPr>
        <w:pStyle w:val="null3"/>
        <w:spacing w:before="225"/>
        <w:ind w:left="435"/>
        <w:jc w:val="left"/>
      </w:pPr>
      <w:r>
        <w:rPr>
          <w:sz w:val="20"/>
        </w:rPr>
        <w:t>2.</w:t>
      </w:r>
      <w:r>
        <w:rPr>
          <w:sz w:val="20"/>
        </w:rPr>
        <w:t>严格执行本项目的合同文件，</w:t>
      </w:r>
      <w:r>
        <w:rPr>
          <w:sz w:val="19"/>
        </w:rPr>
        <w:t xml:space="preserve"> </w:t>
      </w:r>
      <w:r>
        <w:rPr>
          <w:sz w:val="20"/>
        </w:rPr>
        <w:t>自觉按合同办事。</w:t>
      </w:r>
    </w:p>
    <w:p>
      <w:pPr>
        <w:pStyle w:val="null3"/>
        <w:spacing w:before="225"/>
        <w:ind w:left="30" w:firstLine="415"/>
        <w:jc w:val="left"/>
      </w:pPr>
      <w:r>
        <w:rPr>
          <w:sz w:val="20"/>
        </w:rPr>
        <w:t>3.</w:t>
      </w:r>
      <w:r>
        <w:rPr>
          <w:sz w:val="20"/>
        </w:rPr>
        <w:t>双方的业务活动坚持公开、公正、诚信、透明的原则（法律认定的商业秘密和合同文件另有规定除外</w:t>
      </w:r>
      <w:r>
        <w:rPr>
          <w:sz w:val="20"/>
        </w:rPr>
        <w:t>），</w:t>
      </w:r>
      <w:r>
        <w:rPr>
          <w:sz w:val="20"/>
        </w:rPr>
        <w:t>不得损害国家和集体利益，违反</w:t>
      </w:r>
      <w:r>
        <w:rPr>
          <w:sz w:val="20"/>
        </w:rPr>
        <w:t>项目管理规章制度。</w:t>
      </w:r>
    </w:p>
    <w:p>
      <w:pPr>
        <w:pStyle w:val="null3"/>
        <w:spacing w:before="225"/>
        <w:ind w:left="15" w:firstLine="415"/>
        <w:jc w:val="left"/>
      </w:pPr>
      <w:r>
        <w:rPr>
          <w:sz w:val="20"/>
        </w:rPr>
        <w:t>4.</w:t>
      </w:r>
      <w:r>
        <w:rPr>
          <w:sz w:val="20"/>
        </w:rPr>
        <w:t>建立健全反商业贿赂和廉政制度，开展相关教育，设立反商业贿赂和廉政告示牌。公布</w:t>
      </w:r>
      <w:r>
        <w:rPr>
          <w:sz w:val="20"/>
        </w:rPr>
        <w:t>举报电话，监督并认真查处违法违纪行为。</w:t>
      </w:r>
    </w:p>
    <w:p>
      <w:pPr>
        <w:pStyle w:val="null3"/>
        <w:spacing w:before="225"/>
        <w:ind w:left="30" w:firstLine="421"/>
        <w:jc w:val="left"/>
      </w:pPr>
      <w:r>
        <w:rPr>
          <w:sz w:val="20"/>
        </w:rPr>
        <w:t>5.</w:t>
      </w:r>
      <w:r>
        <w:rPr>
          <w:sz w:val="20"/>
        </w:rPr>
        <w:t>发现对方在业务活动中有违反商业贿赂和廉政规定的行为，有及时提醒对方纠正的权利</w:t>
      </w:r>
      <w:r>
        <w:rPr>
          <w:sz w:val="20"/>
        </w:rPr>
        <w:t>和义务。</w:t>
      </w:r>
    </w:p>
    <w:p>
      <w:pPr>
        <w:pStyle w:val="null3"/>
        <w:spacing w:before="225"/>
        <w:ind w:left="30" w:firstLine="419"/>
        <w:jc w:val="left"/>
      </w:pPr>
      <w:r>
        <w:rPr>
          <w:sz w:val="20"/>
        </w:rPr>
        <w:t>6.</w:t>
      </w:r>
      <w:r>
        <w:rPr>
          <w:sz w:val="20"/>
        </w:rPr>
        <w:t>发现对方严重违反合同义务条款的行为，有向其上级有关部门举报、建议给予处理并要</w:t>
      </w:r>
      <w:r>
        <w:rPr>
          <w:sz w:val="20"/>
        </w:rPr>
        <w:t>求告知处理结果的权利。</w:t>
      </w:r>
    </w:p>
    <w:p>
      <w:pPr>
        <w:pStyle w:val="null3"/>
        <w:spacing w:before="225"/>
        <w:ind w:left="30" w:firstLine="418"/>
        <w:jc w:val="left"/>
      </w:pPr>
      <w:r>
        <w:rPr>
          <w:sz w:val="20"/>
        </w:rPr>
        <w:t>7.</w:t>
      </w:r>
      <w:r>
        <w:rPr>
          <w:sz w:val="20"/>
        </w:rPr>
        <w:t>双方或双方与系统设计、软件开发、系统集成、设备材料供应等相关单位不得串通、弄虚作假谋取不正当利益或降低服务质量等损害国家利益。</w:t>
      </w:r>
    </w:p>
    <w:p>
      <w:pPr>
        <w:pStyle w:val="null3"/>
        <w:spacing w:before="225"/>
        <w:ind w:left="450"/>
        <w:jc w:val="left"/>
      </w:pPr>
      <w:r>
        <w:rPr>
          <w:sz w:val="20"/>
        </w:rPr>
        <w:t>8.</w:t>
      </w:r>
      <w:r>
        <w:rPr>
          <w:sz w:val="19"/>
        </w:rPr>
        <w:t xml:space="preserve"> </w:t>
      </w:r>
      <w:r>
        <w:rPr>
          <w:sz w:val="20"/>
        </w:rPr>
        <w:t>乙方遵守《反商业贿赂协议》情况纳入甲方对乙方的绩效考评范</w:t>
      </w:r>
      <w:r>
        <w:rPr>
          <w:sz w:val="20"/>
        </w:rPr>
        <w:t>围。</w:t>
      </w:r>
    </w:p>
    <w:p>
      <w:pPr>
        <w:pStyle w:val="null3"/>
        <w:spacing w:before="225"/>
        <w:ind w:left="450"/>
        <w:jc w:val="left"/>
      </w:pPr>
      <w:r>
        <w:rPr>
          <w:sz w:val="20"/>
        </w:rPr>
        <w:t>二、</w:t>
      </w:r>
      <w:r>
        <w:rPr>
          <w:sz w:val="19"/>
        </w:rPr>
        <w:t xml:space="preserve"> </w:t>
      </w:r>
      <w:r>
        <w:rPr>
          <w:sz w:val="20"/>
        </w:rPr>
        <w:t>甲方的义务</w:t>
      </w:r>
    </w:p>
    <w:p>
      <w:pPr>
        <w:pStyle w:val="null3"/>
        <w:spacing w:before="225"/>
        <w:ind w:left="30" w:firstLine="432"/>
        <w:jc w:val="left"/>
      </w:pPr>
      <w:r>
        <w:rPr>
          <w:sz w:val="20"/>
        </w:rPr>
        <w:t>1.</w:t>
      </w:r>
      <w:r>
        <w:rPr>
          <w:sz w:val="19"/>
        </w:rPr>
        <w:t xml:space="preserve"> </w:t>
      </w:r>
      <w:r>
        <w:rPr>
          <w:sz w:val="20"/>
        </w:rPr>
        <w:t>甲方及其工作人员不索要或接受乙方的礼金、有价证券和贵重物品，不得在乙方</w:t>
      </w:r>
      <w:r>
        <w:rPr>
          <w:sz w:val="20"/>
        </w:rPr>
        <w:t>报销任</w:t>
      </w:r>
      <w:r>
        <w:rPr>
          <w:sz w:val="20"/>
        </w:rPr>
        <w:t>何应由甲方或甲方工作人员个人支付的费用等。</w:t>
      </w:r>
    </w:p>
    <w:p>
      <w:pPr>
        <w:pStyle w:val="null3"/>
        <w:spacing w:before="225"/>
        <w:ind w:left="30" w:firstLine="412"/>
        <w:jc w:val="left"/>
      </w:pPr>
      <w:r>
        <w:rPr>
          <w:sz w:val="20"/>
        </w:rPr>
        <w:t>2.</w:t>
      </w:r>
      <w:r>
        <w:rPr>
          <w:sz w:val="19"/>
        </w:rPr>
        <w:t xml:space="preserve"> </w:t>
      </w:r>
      <w:r>
        <w:rPr>
          <w:sz w:val="20"/>
        </w:rPr>
        <w:t>甲方工作人员不得参加乙方安排的超标准宴请和娱乐活动；不得接受乙方提供的通讯工具、交通工具和高档办公用品等。</w:t>
      </w:r>
    </w:p>
    <w:p>
      <w:pPr>
        <w:pStyle w:val="null3"/>
        <w:spacing w:before="225"/>
        <w:ind w:left="30" w:firstLine="419"/>
        <w:jc w:val="left"/>
      </w:pPr>
      <w:r>
        <w:rPr>
          <w:sz w:val="20"/>
        </w:rPr>
        <w:t>3.</w:t>
      </w:r>
      <w:r>
        <w:rPr>
          <w:sz w:val="19"/>
        </w:rPr>
        <w:t xml:space="preserve"> </w:t>
      </w:r>
      <w:r>
        <w:rPr>
          <w:sz w:val="20"/>
        </w:rPr>
        <w:t>甲方及其工作人员不得要求或者接受乙方为其住房装修、婚丧嫁娶活动、配偶子女的工作安排以及出国出境、旅游等提供方便等。</w:t>
      </w:r>
    </w:p>
    <w:p>
      <w:pPr>
        <w:pStyle w:val="null3"/>
        <w:spacing w:before="225"/>
        <w:ind w:left="30" w:firstLine="419"/>
        <w:jc w:val="left"/>
      </w:pPr>
      <w:r>
        <w:rPr>
          <w:sz w:val="20"/>
        </w:rPr>
        <w:t>4. 甲方工作人员及其配偶、子女不得从事与项目有关的材料设备供应、服务承包、劳务活</w:t>
      </w:r>
      <w:r>
        <w:rPr>
          <w:sz w:val="20"/>
        </w:rPr>
        <w:t>动等。</w:t>
      </w:r>
    </w:p>
    <w:p>
      <w:pPr>
        <w:pStyle w:val="null3"/>
        <w:spacing w:before="225"/>
        <w:ind w:left="15" w:right="60" w:firstLine="421"/>
        <w:jc w:val="left"/>
      </w:pPr>
      <w:r>
        <w:rPr>
          <w:sz w:val="20"/>
        </w:rPr>
        <w:t>5.</w:t>
      </w:r>
      <w:r>
        <w:rPr>
          <w:sz w:val="19"/>
        </w:rPr>
        <w:t xml:space="preserve"> </w:t>
      </w:r>
      <w:r>
        <w:rPr>
          <w:sz w:val="20"/>
        </w:rPr>
        <w:t>甲方及其工作人员不得利用职权插手项目活动谋求不正当利益，不得以任何理由向乙方</w:t>
      </w:r>
      <w:r>
        <w:rPr>
          <w:sz w:val="20"/>
        </w:rPr>
        <w:t>推荐项目建设相关单位或推销材料，不得要求乙方购买合同规定外的材料和设备。</w:t>
      </w:r>
    </w:p>
    <w:p>
      <w:pPr>
        <w:pStyle w:val="null3"/>
        <w:spacing w:before="225"/>
        <w:ind w:left="30" w:right="60" w:firstLine="416"/>
        <w:jc w:val="left"/>
      </w:pPr>
      <w:r>
        <w:rPr>
          <w:sz w:val="20"/>
        </w:rPr>
        <w:t>6.</w:t>
      </w:r>
      <w:r>
        <w:rPr>
          <w:sz w:val="19"/>
        </w:rPr>
        <w:t xml:space="preserve"> </w:t>
      </w:r>
      <w:r>
        <w:rPr>
          <w:sz w:val="20"/>
        </w:rPr>
        <w:t>甲方工作人员要秉公办事，不准营私舞弊，不准利用职权从事各种个人有偿中介活动和</w:t>
      </w:r>
      <w:r>
        <w:rPr>
          <w:sz w:val="20"/>
        </w:rPr>
        <w:t>安排介绍服务团队。</w:t>
      </w:r>
    </w:p>
    <w:p>
      <w:pPr>
        <w:pStyle w:val="null3"/>
        <w:spacing w:before="225"/>
        <w:ind w:left="435"/>
        <w:jc w:val="left"/>
      </w:pPr>
      <w:r>
        <w:rPr>
          <w:sz w:val="20"/>
        </w:rPr>
        <w:t>三、乙方义务</w:t>
      </w:r>
    </w:p>
    <w:p>
      <w:pPr>
        <w:pStyle w:val="null3"/>
        <w:spacing w:before="225"/>
        <w:ind w:left="30" w:right="60" w:firstLine="432"/>
        <w:jc w:val="left"/>
      </w:pPr>
      <w:r>
        <w:rPr>
          <w:sz w:val="20"/>
        </w:rPr>
        <w:t>1.</w:t>
      </w:r>
      <w:r>
        <w:rPr>
          <w:sz w:val="19"/>
        </w:rPr>
        <w:t xml:space="preserve"> </w:t>
      </w:r>
      <w:r>
        <w:rPr>
          <w:sz w:val="20"/>
        </w:rPr>
        <w:t>乙方不得以任何理由向甲方及其工作人员、服务单位行贿或馈赠礼金、有价证券、贵重</w:t>
      </w:r>
      <w:r>
        <w:rPr>
          <w:sz w:val="20"/>
        </w:rPr>
        <w:t>礼品。</w:t>
      </w:r>
    </w:p>
    <w:p>
      <w:pPr>
        <w:pStyle w:val="null3"/>
        <w:spacing w:before="225"/>
        <w:ind w:left="435"/>
        <w:jc w:val="left"/>
      </w:pPr>
      <w:r>
        <w:rPr>
          <w:sz w:val="20"/>
        </w:rPr>
        <w:t>2.</w:t>
      </w:r>
      <w:r>
        <w:rPr>
          <w:sz w:val="19"/>
        </w:rPr>
        <w:t xml:space="preserve"> </w:t>
      </w:r>
      <w:r>
        <w:rPr>
          <w:sz w:val="20"/>
        </w:rPr>
        <w:t>乙方不得以任何名义为甲方及其工作人</w:t>
      </w:r>
      <w:r>
        <w:rPr>
          <w:sz w:val="20"/>
        </w:rPr>
        <w:t>员报销应由甲方单位或个人支付的任何费用。</w:t>
      </w:r>
    </w:p>
    <w:p>
      <w:pPr>
        <w:pStyle w:val="null3"/>
        <w:spacing w:before="225"/>
        <w:ind w:left="435"/>
        <w:jc w:val="left"/>
      </w:pPr>
      <w:r>
        <w:rPr>
          <w:sz w:val="20"/>
        </w:rPr>
        <w:t>3.</w:t>
      </w:r>
      <w:r>
        <w:rPr>
          <w:sz w:val="19"/>
        </w:rPr>
        <w:t xml:space="preserve"> </w:t>
      </w:r>
      <w:r>
        <w:rPr>
          <w:sz w:val="20"/>
        </w:rPr>
        <w:t>乙方不得以任何理由安排甲方工作人员参加超标准宴请及娱乐活动。</w:t>
      </w:r>
    </w:p>
    <w:p>
      <w:pPr>
        <w:pStyle w:val="null3"/>
        <w:spacing w:before="225"/>
        <w:ind w:left="435"/>
        <w:jc w:val="left"/>
      </w:pPr>
      <w:r>
        <w:rPr>
          <w:sz w:val="20"/>
        </w:rPr>
        <w:t>4.</w:t>
      </w:r>
      <w:r>
        <w:rPr>
          <w:sz w:val="19"/>
        </w:rPr>
        <w:t xml:space="preserve"> </w:t>
      </w:r>
      <w:r>
        <w:rPr>
          <w:sz w:val="20"/>
        </w:rPr>
        <w:t>乙方不得为甲方单位和个人购置或提供通讯工具、交通工具和高档办公用品等。</w:t>
      </w:r>
    </w:p>
    <w:p>
      <w:pPr>
        <w:pStyle w:val="null3"/>
        <w:spacing w:before="225"/>
        <w:ind w:left="465"/>
        <w:jc w:val="left"/>
      </w:pPr>
      <w:r>
        <w:rPr>
          <w:sz w:val="20"/>
        </w:rPr>
        <w:t>四、违约责任</w:t>
      </w:r>
    </w:p>
    <w:p>
      <w:pPr>
        <w:pStyle w:val="null3"/>
        <w:spacing w:before="225"/>
        <w:ind w:left="15" w:right="60" w:firstLine="436"/>
        <w:jc w:val="left"/>
      </w:pPr>
      <w:r>
        <w:rPr>
          <w:sz w:val="20"/>
        </w:rPr>
        <w:t>1.</w:t>
      </w:r>
      <w:r>
        <w:rPr>
          <w:sz w:val="19"/>
        </w:rPr>
        <w:t xml:space="preserve"> </w:t>
      </w:r>
      <w:r>
        <w:rPr>
          <w:sz w:val="20"/>
        </w:rPr>
        <w:t>甲方及其工作人员违反本合同第一、二条，按管理权限，依据有关规定给予党纪</w:t>
      </w:r>
      <w:r>
        <w:rPr>
          <w:sz w:val="20"/>
        </w:rPr>
        <w:t>、政纪</w:t>
      </w:r>
      <w:r>
        <w:rPr>
          <w:sz w:val="20"/>
        </w:rPr>
        <w:t>或组织处理；涉嫌犯罪的，移交司法机关追究刑事责任；给乙方单位造成经济损失的，应予以</w:t>
      </w:r>
      <w:r>
        <w:rPr>
          <w:sz w:val="20"/>
        </w:rPr>
        <w:t>赔偿。</w:t>
      </w:r>
    </w:p>
    <w:p>
      <w:pPr>
        <w:pStyle w:val="null3"/>
        <w:spacing w:before="225"/>
        <w:ind w:left="30" w:right="60" w:firstLine="415"/>
        <w:jc w:val="left"/>
      </w:pPr>
      <w:r>
        <w:rPr>
          <w:sz w:val="20"/>
        </w:rPr>
        <w:t>2.</w:t>
      </w:r>
      <w:r>
        <w:rPr>
          <w:sz w:val="19"/>
        </w:rPr>
        <w:t xml:space="preserve"> </w:t>
      </w:r>
      <w:r>
        <w:rPr>
          <w:sz w:val="20"/>
        </w:rPr>
        <w:t>乙方及其工作人员违反本合同第一、三条，按合同金</w:t>
      </w:r>
      <w:r>
        <w:rPr>
          <w:sz w:val="20"/>
        </w:rPr>
        <w:t>额的</w:t>
      </w:r>
      <w:r>
        <w:rPr>
          <w:sz w:val="19"/>
        </w:rPr>
        <w:t xml:space="preserve"> </w:t>
      </w:r>
      <w:r>
        <w:rPr>
          <w:sz w:val="20"/>
        </w:rPr>
        <w:t>50%</w:t>
      </w:r>
      <w:r>
        <w:rPr>
          <w:sz w:val="20"/>
        </w:rPr>
        <w:t>向甲方支付违约金，同时</w:t>
      </w:r>
      <w:r>
        <w:rPr>
          <w:sz w:val="20"/>
        </w:rPr>
        <w:t>按管理权限，依据有关规定给予党纪、政纪组织处理；给甲方单位造成经济损失的，应予以经</w:t>
      </w:r>
      <w:r>
        <w:rPr>
          <w:sz w:val="20"/>
        </w:rPr>
        <w:t>济赔偿。</w:t>
      </w:r>
    </w:p>
    <w:p>
      <w:pPr>
        <w:pStyle w:val="null3"/>
        <w:spacing w:before="225"/>
        <w:ind w:left="450"/>
        <w:jc w:val="left"/>
      </w:pPr>
      <w:r>
        <w:rPr>
          <w:sz w:val="20"/>
        </w:rPr>
        <w:t>五、双方约定，双方有义务对合同执行情况开展自查自纠，并自觉接受有关部门监督。</w:t>
      </w:r>
    </w:p>
    <w:p>
      <w:pPr>
        <w:pStyle w:val="null3"/>
        <w:spacing w:before="225"/>
        <w:ind w:left="450"/>
        <w:jc w:val="left"/>
      </w:pPr>
      <w:r>
        <w:rPr>
          <w:sz w:val="20"/>
        </w:rPr>
        <w:t>六、本协议有效期为甲乙双方签署之日起至该项目运营期满止。</w:t>
      </w:r>
    </w:p>
    <w:p>
      <w:pPr>
        <w:pStyle w:val="null3"/>
        <w:spacing w:before="225"/>
        <w:ind w:left="30" w:firstLine="417"/>
        <w:jc w:val="left"/>
      </w:pPr>
      <w:r>
        <w:rPr>
          <w:sz w:val="20"/>
        </w:rPr>
        <w:t>七、本协议作为</w:t>
      </w:r>
      <w:r>
        <w:rPr>
          <w:sz w:val="20"/>
        </w:rPr>
        <w:t>____________</w:t>
      </w:r>
      <w:r>
        <w:rPr>
          <w:sz w:val="20"/>
        </w:rPr>
        <w:t>_____________</w:t>
      </w:r>
      <w:r>
        <w:rPr>
          <w:sz w:val="20"/>
        </w:rPr>
        <w:t>合同的附件，与上述合同具有同等的法律效力，</w:t>
      </w:r>
      <w:r>
        <w:rPr>
          <w:sz w:val="20"/>
        </w:rPr>
        <w:t>经合同双方签署后生效。</w:t>
      </w:r>
    </w:p>
    <w:p>
      <w:pPr>
        <w:pStyle w:val="null3"/>
        <w:jc w:val="both"/>
      </w:pPr>
      <w:r>
        <w:rPr>
          <w:sz w:val="20"/>
        </w:rPr>
        <w:t>委托方（甲方</w:t>
      </w:r>
      <w:r>
        <w:rPr>
          <w:sz w:val="20"/>
        </w:rPr>
        <w:t>）：</w:t>
      </w:r>
      <w:r>
        <w:rPr>
          <w:sz w:val="19"/>
        </w:rPr>
        <w:t xml:space="preserve">                 </w:t>
      </w:r>
      <w:r>
        <w:rPr>
          <w:sz w:val="20"/>
        </w:rPr>
        <w:t>（</w:t>
      </w:r>
      <w:r>
        <w:rPr>
          <w:sz w:val="20"/>
        </w:rPr>
        <w:t>盖章）</w:t>
      </w:r>
      <w:r>
        <w:rPr>
          <w:sz w:val="19"/>
        </w:rPr>
        <w:t xml:space="preserve"> </w:t>
      </w:r>
      <w:r>
        <w:rPr>
          <w:sz w:val="20"/>
        </w:rPr>
        <w:t>受托方（乙方</w:t>
      </w:r>
      <w:r>
        <w:rPr>
          <w:sz w:val="20"/>
        </w:rPr>
        <w:t>）：</w:t>
      </w:r>
      <w:r>
        <w:rPr>
          <w:sz w:val="19"/>
        </w:rPr>
        <w:t xml:space="preserve">               </w:t>
      </w:r>
      <w:r>
        <w:rPr>
          <w:sz w:val="20"/>
        </w:rPr>
        <w:t>（</w:t>
      </w:r>
      <w:r>
        <w:rPr>
          <w:sz w:val="20"/>
        </w:rPr>
        <w:t>盖公章）</w:t>
      </w:r>
    </w:p>
    <w:p>
      <w:pPr>
        <w:pStyle w:val="null3"/>
        <w:spacing w:before="225"/>
        <w:ind w:left="30"/>
        <w:jc w:val="left"/>
      </w:pPr>
      <w:r>
        <w:rPr>
          <w:sz w:val="20"/>
        </w:rPr>
        <w:t>法定代表人</w:t>
      </w:r>
      <w:r>
        <w:rPr>
          <w:sz w:val="20"/>
        </w:rPr>
        <w:t xml:space="preserve">                               </w:t>
      </w:r>
      <w:r>
        <w:rPr>
          <w:sz w:val="20"/>
        </w:rPr>
        <w:t>法定代表人</w:t>
      </w:r>
    </w:p>
    <w:p>
      <w:pPr>
        <w:pStyle w:val="null3"/>
        <w:spacing w:before="225"/>
        <w:ind w:left="30"/>
        <w:jc w:val="left"/>
      </w:pPr>
      <w:r>
        <w:rPr>
          <w:sz w:val="20"/>
        </w:rPr>
        <w:t>或其委托代理人（签名</w:t>
      </w:r>
      <w:r>
        <w:rPr>
          <w:sz w:val="20"/>
        </w:rPr>
        <w:t>/</w:t>
      </w:r>
      <w:r>
        <w:rPr>
          <w:sz w:val="20"/>
        </w:rPr>
        <w:t>章</w:t>
      </w:r>
      <w:r>
        <w:rPr>
          <w:sz w:val="20"/>
        </w:rPr>
        <w:t>）：</w:t>
      </w:r>
      <w:r>
        <w:rPr>
          <w:sz w:val="19"/>
        </w:rPr>
        <w:t xml:space="preserve">                </w:t>
      </w:r>
      <w:r>
        <w:rPr>
          <w:sz w:val="20"/>
        </w:rPr>
        <w:t>或其委托代理人（签名</w:t>
      </w:r>
      <w:r>
        <w:rPr>
          <w:sz w:val="20"/>
        </w:rPr>
        <w:t>/</w:t>
      </w:r>
      <w:r>
        <w:rPr>
          <w:sz w:val="20"/>
        </w:rPr>
        <w:t>章</w:t>
      </w:r>
      <w:r>
        <w:rPr>
          <w:sz w:val="20"/>
        </w:rPr>
        <w:t>）：</w:t>
      </w:r>
    </w:p>
    <w:p>
      <w:pPr>
        <w:pStyle w:val="null3"/>
        <w:spacing w:before="225"/>
        <w:ind w:left="60"/>
        <w:jc w:val="left"/>
      </w:pPr>
      <w:r>
        <w:rPr>
          <w:sz w:val="20"/>
        </w:rPr>
        <w:t>日</w:t>
      </w:r>
      <w:r>
        <w:rPr>
          <w:sz w:val="19"/>
        </w:rPr>
        <w:t xml:space="preserve">  </w:t>
      </w:r>
      <w:r>
        <w:rPr>
          <w:sz w:val="20"/>
        </w:rPr>
        <w:t>期</w:t>
      </w:r>
      <w:r>
        <w:rPr>
          <w:sz w:val="19"/>
        </w:rPr>
        <w:t xml:space="preserve"> </w:t>
      </w:r>
      <w:r>
        <w:rPr>
          <w:sz w:val="20"/>
        </w:rPr>
        <w:t>：</w:t>
      </w:r>
      <w:r>
        <w:rPr>
          <w:sz w:val="19"/>
        </w:rPr>
        <w:t xml:space="preserve">                                  </w:t>
      </w:r>
      <w:r>
        <w:rPr>
          <w:sz w:val="20"/>
        </w:rPr>
        <w:t>日</w:t>
      </w:r>
      <w:r>
        <w:rPr>
          <w:sz w:val="19"/>
        </w:rPr>
        <w:t xml:space="preserve">  </w:t>
      </w:r>
      <w:r>
        <w:rPr>
          <w:sz w:val="20"/>
        </w:rPr>
        <w:t>期：</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440001-2025-48570</w:t>
      </w:r>
    </w:p>
    <w:p>
      <w:pPr>
        <w:pStyle w:val="null3"/>
        <w:jc w:val="center"/>
        <w:outlineLvl w:val="3"/>
      </w:pPr>
      <w:r>
        <w:rPr>
          <w:sz w:val="24"/>
          <w:b/>
        </w:rPr>
        <w:t>采购项目编号：</w:t>
      </w:r>
      <w:r>
        <w:rPr>
          <w:sz w:val="24"/>
          <w:b/>
        </w:rPr>
        <w:t>ZZ0250749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省市场监管局智慧决策中心运营服务（2025年）项目</w:t>
      </w:r>
      <w:r>
        <w:rPr>
          <w:u w:val="single"/>
        </w:rPr>
        <w:t>”</w:t>
      </w:r>
      <w:r>
        <w:rPr/>
        <w:t>项目的招标[采购项目编号为：</w:t>
      </w:r>
      <w:r>
        <w:rPr>
          <w:u w:val="single"/>
        </w:rPr>
        <w:t>ZZ0250749</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省市场监管局智慧决策中心运营服务（2025年）项目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省市场监管局智慧决策中心运营服务（2025年）项目</w:t>
      </w:r>
      <w:r>
        <w:rPr/>
        <w:t>”项目采购[采购项目编号为</w:t>
      </w:r>
      <w:r>
        <w:rPr/>
        <w:t>ZZ0250749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广东省市场监督管理局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省市场监管局智慧决策中心运营服务（2025年）项目</w:t>
      </w:r>
      <w:r>
        <w:rPr/>
        <w:t>招标中获中标（采购项目编号：</w:t>
      </w:r>
      <w:r>
        <w:rPr/>
        <w:t>ZZ0250749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省市场监管局智慧决策中心运营服务（2025年）项目</w:t>
      </w:r>
      <w:r>
        <w:rPr/>
        <w:t>”项目（采购项目编号：</w:t>
      </w:r>
      <w:r>
        <w:rPr/>
        <w:t>ZZ0250749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