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440001-2025-39721</w:t>
      </w:r>
    </w:p>
    <w:p>
      <w:pPr>
        <w:pStyle w:val="null3"/>
        <w:jc w:val="center"/>
        <w:outlineLvl w:val="3"/>
      </w:pPr>
      <w:r>
        <w:rPr>
          <w:sz w:val="24"/>
          <w:b/>
        </w:rPr>
        <w:t>采购项目编号：</w:t>
      </w:r>
      <w:r>
        <w:rPr>
          <w:sz w:val="24"/>
          <w:b/>
        </w:rPr>
        <w:t>ZZ0250608</w:t>
      </w:r>
    </w:p>
    <w:p>
      <w:pPr>
        <w:pStyle w:val="null3"/>
        <w:jc w:val="center"/>
        <w:outlineLvl w:val="3"/>
      </w:pPr>
      <w:r>
        <w:rPr>
          <w:sz w:val="24"/>
          <w:b/>
        </w:rPr>
        <w:t>项目名称：</w:t>
      </w:r>
      <w:r>
        <w:rPr>
          <w:sz w:val="24"/>
          <w:b/>
        </w:rPr>
        <w:t>华南师范大学匀胶热板显影一体机采购项目</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华南师范大学匀胶热板显影一体机采购项目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华南师范大学匀胶热板显影一体机采购项目</w:t>
      </w:r>
    </w:p>
    <w:p>
      <w:pPr>
        <w:pStyle w:val="null3"/>
        <w:ind w:firstLine="480"/>
      </w:pPr>
      <w:r>
        <w:rPr/>
        <w:t>采购计划编号：</w:t>
      </w:r>
      <w:r>
        <w:rPr/>
        <w:t>440001-2025-39721</w:t>
      </w:r>
    </w:p>
    <w:p>
      <w:pPr>
        <w:pStyle w:val="null3"/>
        <w:ind w:firstLine="480"/>
      </w:pPr>
      <w:r>
        <w:rPr/>
        <w:t>采购项目编号：</w:t>
      </w:r>
      <w:r>
        <w:rPr/>
        <w:t>ZZ0250608</w:t>
      </w:r>
    </w:p>
    <w:p>
      <w:pPr>
        <w:pStyle w:val="null3"/>
        <w:ind w:firstLine="480"/>
      </w:pPr>
      <w:r>
        <w:rPr/>
        <w:t>采购方式：</w:t>
      </w:r>
      <w:r>
        <w:rPr/>
        <w:t>公开招标</w:t>
      </w:r>
    </w:p>
    <w:p>
      <w:pPr>
        <w:pStyle w:val="null3"/>
        <w:ind w:firstLine="480"/>
      </w:pPr>
      <w:r>
        <w:rPr/>
        <w:t>预算金额：</w:t>
      </w:r>
      <w:r>
        <w:rPr/>
        <w:t>3,300,000.00</w:t>
      </w:r>
      <w:r>
        <w:rPr/>
        <w:t>元</w:t>
      </w:r>
    </w:p>
    <w:p>
      <w:pPr>
        <w:pStyle w:val="null3"/>
        <w:outlineLvl w:val="3"/>
      </w:pPr>
      <w:r>
        <w:rPr>
          <w:sz w:val="24"/>
          <w:b/>
        </w:rPr>
        <w:t>2.项目内容及需求情况（采购项目技术规格、参数及要求）</w:t>
      </w:r>
    </w:p>
    <w:p>
      <w:pPr>
        <w:pStyle w:val="null3"/>
      </w:pPr>
      <w:r>
        <w:rPr/>
        <w:t>采购包1(匀胶热板显影一体机):</w:t>
      </w:r>
    </w:p>
    <w:p>
      <w:pPr>
        <w:pStyle w:val="null3"/>
      </w:pPr>
      <w:r>
        <w:rPr/>
        <w:t>采购包预算金额：3,300,000.00元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其他试验机</w:t>
            </w:r>
          </w:p>
        </w:tc>
        <w:tc>
          <w:tcPr>
            <w:tcW w:type="dxa" w:w="2136"/>
          </w:tcPr>
          <w:p>
            <w:pPr>
              <w:pStyle w:val="null3"/>
            </w:pPr>
            <w:r>
              <w:rPr/>
              <w:t>匀胶热板显影一体机</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合同履行期限：合同签订后，1个月内完成交付。</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采购包1（匀胶热板显影一体机）：</w:t>
      </w: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采购包1（匀胶热板显影一体机）：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020-85210903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、投标人须对所投项目为单位的标的物进行整体投标，任何只对其中一部分内容进行的投标都被视为无效投标。</w:t>
      </w:r>
    </w:p>
    <w:p>
      <w:pPr>
        <w:pStyle w:val="null3"/>
        <w:jc w:val="both"/>
      </w:pPr>
      <w:r>
        <w:rPr>
          <w:sz w:val="21"/>
          <w:b/>
        </w:rPr>
        <w:t>2</w:t>
      </w:r>
      <w:r>
        <w:rPr>
          <w:sz w:val="21"/>
          <w:b/>
        </w:rPr>
        <w:t>、</w:t>
      </w:r>
      <w:r>
        <w:rPr>
          <w:sz w:val="21"/>
          <w:b/>
        </w:rPr>
        <w:t>本招标文件中，凡标有“★”的地方，投标人要特别加以注意，必须对此作出一一响应。若有一项带“★”的指标未响应或不满足，将导致其投标无效。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、本项目核心产品为：匀胶热板显影一体机。投标人应在响应文件中清晰列明“货物名称、品牌”。</w:t>
      </w:r>
    </w:p>
    <w:p>
      <w:pPr>
        <w:pStyle w:val="null3"/>
      </w:pPr>
      <w:r>
        <w:rPr/>
        <w:t>采购包1（匀胶热板显影一体机）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合同签订后，1个月内完成交付。</w:t>
            </w:r>
          </w:p>
        </w:tc>
      </w:tr>
      <w:tr>
        <w:tc>
          <w:tcPr>
            <w:tcW w:type="dxa" w:w="4153"/>
          </w:tcPr>
          <w:p>
            <w:pPr>
              <w:pStyle w:val="null3"/>
            </w:pPr>
            <w:r>
              <w:rPr/>
              <w:t>标的提供的地点</w:t>
            </w:r>
          </w:p>
        </w:tc>
        <w:tc>
          <w:tcPr>
            <w:tcW w:type="dxa" w:w="4153"/>
          </w:tcPr>
          <w:p>
            <w:pPr>
              <w:pStyle w:val="null3"/>
            </w:pPr>
            <w:r>
              <w:rPr/>
              <w:t>华南师范大学指定交付地点。</w:t>
            </w:r>
          </w:p>
        </w:tc>
      </w:tr>
      <w:tr>
        <w:tc>
          <w:tcPr>
            <w:tcW w:type="dxa" w:w="4153"/>
          </w:tcPr>
          <w:p>
            <w:pPr>
              <w:pStyle w:val="null3"/>
            </w:pPr>
            <w:r>
              <w:rPr/>
              <w:t>付款方式</w:t>
            </w:r>
          </w:p>
        </w:tc>
        <w:tc>
          <w:tcPr>
            <w:tcW w:type="dxa" w:w="4153"/>
          </w:tcPr>
          <w:p>
            <w:pPr>
              <w:pStyle w:val="null3"/>
            </w:pPr>
            <w:r>
              <w:rPr/>
              <w:t>1期：支付比例30%,合同签订后5个工作日内，支付合同总价的30%。（中标人须提供等额增值税专用发票）。</w:t>
            </w:r>
          </w:p>
          <w:p>
            <w:pPr>
              <w:pStyle w:val="null3"/>
            </w:pPr>
            <w:r>
              <w:rPr/>
              <w:t>2期：支付比例70%,待所有货物到达交货地点，采购人组织验收。验收合格且采购人收到发票中标人须提供等额增值税专用发票后10个工作日内采购人支付合同总价的70%，付清货款。 （说明：采购人向中标人指定账户汇出款项后，即视为已履行付款义务。在汇款过程中，因中标人账户的原因（包括但不限于账号被注销、被冻结等）导致其无法收取款项的，由中标人承担相应后果。 本项目如执行国库支付的，采购人在验收合格后10个工作日内办理财政集中支付申请手续，付款按照财政部门国库集中支付的有关规定办理。付款时间为采购人向政府财政支付部门提出支付申请的时间（不含政府财政支付部门审查的时间）。 如项目履行过程中，采购人采取融资支付或其他支付方式，中标人应配合采购人签订补充协议。</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时间：货物安装调试完毕且正常运行7天后，中标人应备齐采购人要求提供的验收文件，并提出书面验收申请。收到中标人验收申请后7日内，采购人将按流程进行验收，并出具采购物资验收报告给中标人。货物验收合格之日为采购人签署采购物资验收报告的日期。 2.货物验收标准：以招投标文件和合同项下所述的标准和要求进行验收，如招投标文件与合同的标准和要求有冲突的，以招投标文件为准。 3.经采购人对中标人提供的货物进行验收，若发现中标人提供的货物不符合招投标文件及合同规定的质量要求，采购人有权拒收该货物，中标人应无条件更换被拒绝的货物，或者免费进行必要的修改以满足规定的要求；采购人也有权选择解除合同并要求中标人承担违约责任。 4.采购人在货物到达交货地点后对货物进行检验、测试及必要时拒绝接受货物的权利将不会因为货物在中标人或其分包人的驻地已通过了采购人或其代表的检验、测试和认可而受到限制或放弃。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包装运输，包装及运输要求：中标人提供的货物必须是制造厂商全新的原厂原装产品（含零部件、配件、随机工具、技术文件等），包装外观完好、表面无划损、破损，无任何缺陷及隐患，每台设备上均应钉有铭牌（内容包括：制造商,设备名称、型号规格、序列号等并附有产品质量检验合格标志，且进货渠道合法，在中国境内可依常规安全合法使用。并应使用产品标准出厂包装，适合于空运、海运、陆运等长途运输方式及气候变化，防潮、防震、防雨、防锈、防冻等（若需特殊包装方式如冷冻等，请列明）。如因包装造成的一切损失（包括但不限于商品损坏、损失、锈蚀、费用增长等），一概由中标人负责赔偿。包装材料具有一定的缓冲性能,能够吸收外部冲击力,避免设备受损。包装以纸箱为主，内有泡沫或气泡膜填充进行隔振缓冲。运输过程，选择优质服务的物流公司，如：顺丰物流；运输过程需要对于仪器货物进行适当的固定，避免运输过程中发生碰撞。中标人承担货物运抵指定交货地点的运输费、保险费、包装费等，上述费用包含在货物的最终成交总额中。设备的包装均应有良好的防湿、防锈、防潮、防雨、防腐及防碰撞等的措施，符合《商品包装政府采购需求标准（试行）》及《快递包装政府采购需求标准（试行）》的要求。</w:t>
            </w:r>
          </w:p>
          <w:p>
            <w:pPr>
              <w:pStyle w:val="null3"/>
            </w:pPr>
            <w:r>
              <w:rPr/>
              <w:t>二、质保方案，所有货物提供至少【1】年质保，质保期内提供无条件上门服务（含部件、人力、上门等），质保期自货物验收之日起计算，保修费用计入投标报价。并承诺质保期满后中标人继续提供维修服务，并优惠收费。质保期内，如设备或零部件因非人为因素出现故障而造成短期停用时，则质保期相应延长。如停用时间累计超过60天则质保期重新计算。中标人应提供满足货物质保期内正常使用的备品备件（如有），其费用应包括在报价价格之内。中标人必须在采购人所在地或附近地区有专业的售后服务力量。提供售后服务联系电话及联系人。质保期内，接到报障电话【8】小时内派技术人员上门维修,且在【24】小时（连同前面时间计算）内处理完毕。规定时间内未处理完毕的，中标人提供不低于同等档次货物供采购人使用至故障货物能正常使用为止。如果需要更换配件的，要求更换的配件跟被更换的品牌、类型相一致或者是同等档次的替代品，后者需征得采购人管理人员同意。如须增加非中标人的货物和配件，中标人应协助解决。质保期内因采购人使用、管理不当所造成的损失由采购人承担，中标人提供有偿服务。</w:t>
            </w:r>
          </w:p>
          <w:p>
            <w:pPr>
              <w:pStyle w:val="null3"/>
            </w:pPr>
            <w:r>
              <w:rPr/>
              <w:t>三、后期运行的维护、维修，1.维护要求： 质保期内每年无条件进行设备维护，保持设备处于良好运行状态，质保期后每两年提供一次设备维护，维护费用按市场价8折收取。常规耗材更换按市场价8折提供。 2.维修保障： 质保期外提供5年以上维修保障，单次维修费用透明化，上门维修免人工费（非人为损坏），更换主要部件或模块按市场价8折收取。</w:t>
            </w:r>
          </w:p>
          <w:p>
            <w:pPr>
              <w:pStyle w:val="null3"/>
            </w:pPr>
            <w:r>
              <w:rPr/>
              <w:t>四、培训，中标人负责提供合同标的现场操作、运行、维护、修理的培训方案及必需的培训资料，并对采购人受训人员进行现场培训直至能熟练操作为止，培训次数不少于__3____次，每次培训应配置不少于___3___个工程师，培训天数应不少于__5____天，培训期间工程师的食宿由中标人负责。培训内容应至少包括：设备的操作使用和保养；设备安全注意事项；设备简易故障排除等。在后期使用过程中，如需增加培训环节，中标人负责根据采购人需要提供培训服务。以上相关费用已包含在投标报价中。</w:t>
            </w:r>
          </w:p>
          <w:p>
            <w:pPr>
              <w:pStyle w:val="null3"/>
            </w:pPr>
            <w:r>
              <w:rPr/>
              <w:t>五、项目方案及措施，投标人应根据本项目内容制定以下方案及措施 1.总体实施方案（包括但不限于项目实施计划、供货方案、安装调试方案等）； 2.质量保证措施（包括但不限于质量管理体系，保修、包换、包退服务方案等）； 3.售后服务方案（包含但不限于培训方案、售后服务承诺等）。</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其他试验机</w:t>
            </w:r>
          </w:p>
        </w:tc>
        <w:tc>
          <w:tcPr>
            <w:tcW w:type="dxa" w:w="831"/>
          </w:tcPr>
          <w:p>
            <w:pPr>
              <w:pStyle w:val="null3"/>
              <w:jc w:val="left"/>
            </w:pPr>
            <w:r>
              <w:rPr/>
              <w:t>匀胶热板显影一体机</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3,300,000.00</w:t>
            </w:r>
          </w:p>
        </w:tc>
        <w:tc>
          <w:tcPr>
            <w:tcW w:type="dxa" w:w="831"/>
          </w:tcPr>
          <w:p>
            <w:pPr>
              <w:pStyle w:val="null3"/>
              <w:jc w:val="right"/>
            </w:pPr>
            <w:r>
              <w:rPr/>
              <w:t>3,300,000.00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匀胶热板显影一体机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技术参数：</w:t>
            </w:r>
          </w:p>
          <w:p>
            <w:pPr>
              <w:pStyle w:val="null3"/>
              <w:jc w:val="left"/>
            </w:pPr>
            <w:r>
              <w:rPr>
                <w:sz w:val="21"/>
              </w:rPr>
              <w:t>1.片盒单元：</w:t>
            </w:r>
          </w:p>
          <w:p>
            <w:pPr>
              <w:pStyle w:val="null3"/>
              <w:jc w:val="left"/>
            </w:pPr>
            <w:r>
              <w:rPr>
                <w:sz w:val="21"/>
                <w:b/>
              </w:rPr>
              <w:t>★1.1样品兼容尺寸：兼容从120×150mm到200*250mm方片，基板误差范围±1mm；（提供产品制造商官方的用户使用手册或产品宣传彩页的截图或复印件或第三方检测报告或出厂报告作为证明材料）</w:t>
            </w:r>
          </w:p>
          <w:p>
            <w:pPr>
              <w:pStyle w:val="null3"/>
              <w:jc w:val="left"/>
            </w:pPr>
            <w:r>
              <w:rPr>
                <w:sz w:val="21"/>
              </w:rPr>
              <w:t>1.2厚度：0.5～0.7mm，材质：玻璃；</w:t>
            </w:r>
          </w:p>
          <w:p>
            <w:pPr>
              <w:pStyle w:val="null3"/>
              <w:jc w:val="left"/>
            </w:pPr>
            <w:r>
              <w:rPr>
                <w:sz w:val="21"/>
              </w:rPr>
              <w:t>1.3盒站数量：≥2个；</w:t>
            </w:r>
          </w:p>
          <w:p>
            <w:pPr>
              <w:pStyle w:val="null3"/>
              <w:jc w:val="left"/>
            </w:pPr>
            <w:r>
              <w:rPr>
                <w:sz w:val="21"/>
              </w:rPr>
              <w:t>1.4盒站检测：传感器检测；</w:t>
            </w:r>
          </w:p>
          <w:p>
            <w:pPr>
              <w:pStyle w:val="null3"/>
              <w:jc w:val="left"/>
            </w:pPr>
            <w:r>
              <w:rPr>
                <w:sz w:val="21"/>
              </w:rPr>
              <w:t>1.5静电消除器：离子风棒；</w:t>
            </w:r>
          </w:p>
          <w:p>
            <w:pPr>
              <w:pStyle w:val="null3"/>
              <w:jc w:val="left"/>
            </w:pPr>
            <w:r>
              <w:rPr>
                <w:sz w:val="21"/>
              </w:rPr>
              <w:t>2.机器人：</w:t>
            </w:r>
          </w:p>
          <w:p>
            <w:pPr>
              <w:pStyle w:val="null3"/>
              <w:jc w:val="left"/>
            </w:pPr>
            <w:r>
              <w:rPr>
                <w:sz w:val="21"/>
              </w:rPr>
              <w:t>2.1机器人类型：双臂真空吸附机器人；</w:t>
            </w:r>
          </w:p>
          <w:p>
            <w:pPr>
              <w:pStyle w:val="null3"/>
              <w:jc w:val="left"/>
            </w:pPr>
            <w:r>
              <w:rPr>
                <w:sz w:val="21"/>
              </w:rPr>
              <w:t>2.2机器人自由度：≥4轴（R1、R2、Z、T）；</w:t>
            </w:r>
          </w:p>
          <w:p>
            <w:pPr>
              <w:pStyle w:val="null3"/>
              <w:jc w:val="left"/>
            </w:pPr>
            <w:r>
              <w:rPr>
                <w:sz w:val="21"/>
              </w:rPr>
              <w:t>2.3插指材质：基片接触点为非金属材料；</w:t>
            </w:r>
          </w:p>
          <w:p>
            <w:pPr>
              <w:pStyle w:val="null3"/>
              <w:jc w:val="left"/>
            </w:pPr>
            <w:r>
              <w:rPr>
                <w:sz w:val="21"/>
              </w:rPr>
              <w:t>2.4基片固定方式：真空吸附方式；</w:t>
            </w:r>
          </w:p>
          <w:p>
            <w:pPr>
              <w:pStyle w:val="null3"/>
              <w:jc w:val="left"/>
            </w:pPr>
            <w:r>
              <w:rPr>
                <w:sz w:val="21"/>
              </w:rPr>
              <w:t>2.5机器人定位精度：≤0.1mm；</w:t>
            </w:r>
          </w:p>
          <w:p>
            <w:pPr>
              <w:pStyle w:val="null3"/>
              <w:jc w:val="left"/>
            </w:pPr>
            <w:r>
              <w:rPr>
                <w:sz w:val="21"/>
              </w:rPr>
              <w:t>2.6对中数量：≥1套；</w:t>
            </w:r>
          </w:p>
          <w:p>
            <w:pPr>
              <w:pStyle w:val="null3"/>
              <w:jc w:val="left"/>
            </w:pPr>
            <w:r>
              <w:rPr>
                <w:sz w:val="21"/>
              </w:rPr>
              <w:t>2.7对中方式：机械对中；</w:t>
            </w:r>
          </w:p>
          <w:p>
            <w:pPr>
              <w:pStyle w:val="null3"/>
              <w:jc w:val="left"/>
            </w:pPr>
            <w:r>
              <w:rPr>
                <w:sz w:val="21"/>
              </w:rPr>
              <w:t>2.8对中精度：≤0.2mm；</w:t>
            </w:r>
          </w:p>
          <w:p>
            <w:pPr>
              <w:pStyle w:val="null3"/>
              <w:jc w:val="left"/>
            </w:pPr>
            <w:r>
              <w:rPr>
                <w:sz w:val="21"/>
              </w:rPr>
              <w:t>3.匀胶单元：</w:t>
            </w:r>
          </w:p>
          <w:p>
            <w:pPr>
              <w:pStyle w:val="null3"/>
              <w:jc w:val="left"/>
            </w:pPr>
            <w:r>
              <w:rPr>
                <w:sz w:val="21"/>
              </w:rPr>
              <w:t>3.1腔体材质：聚丙烯，排风具有数字式压力传感器；</w:t>
            </w:r>
          </w:p>
          <w:p>
            <w:pPr>
              <w:pStyle w:val="null3"/>
              <w:jc w:val="left"/>
            </w:pPr>
            <w:r>
              <w:rPr>
                <w:sz w:val="21"/>
              </w:rPr>
              <w:t>▲3.2主轴旋转速度：0～3000rpm（可正反转）；</w:t>
            </w:r>
            <w:r>
              <w:rPr>
                <w:sz w:val="21"/>
                <w:b/>
              </w:rPr>
              <w:t>（提供产品制造商官方的用户使用手册或产品宣传彩页的截图或复印件或第三方检测报告或出厂报告作为证明材料）</w:t>
            </w:r>
          </w:p>
          <w:p>
            <w:pPr>
              <w:pStyle w:val="null3"/>
              <w:jc w:val="left"/>
            </w:pPr>
            <w:r>
              <w:rPr>
                <w:sz w:val="21"/>
              </w:rPr>
              <w:t>▲3.3主轴旋转精度：≤1rpm（在50rpm～3000rpm范围内）；</w:t>
            </w:r>
            <w:r>
              <w:rPr>
                <w:sz w:val="21"/>
                <w:b/>
              </w:rPr>
              <w:t>（提供产品制造商官方的用户使用手册或产品宣传彩页的截图或复印件或第三方检测报告或出厂报告作为证明材料）</w:t>
            </w:r>
          </w:p>
          <w:p>
            <w:pPr>
              <w:pStyle w:val="null3"/>
              <w:jc w:val="left"/>
            </w:pPr>
            <w:r>
              <w:rPr>
                <w:sz w:val="21"/>
              </w:rPr>
              <w:t>3.4主轴旋转速度最小调节量：≤1rpm；</w:t>
            </w:r>
          </w:p>
          <w:p>
            <w:pPr>
              <w:pStyle w:val="null3"/>
              <w:jc w:val="left"/>
            </w:pPr>
            <w:r>
              <w:rPr>
                <w:sz w:val="21"/>
              </w:rPr>
              <w:t>3.5主轴旋转最大加速度：≥10000rpm/s；</w:t>
            </w:r>
          </w:p>
          <w:p>
            <w:pPr>
              <w:pStyle w:val="null3"/>
              <w:jc w:val="left"/>
            </w:pPr>
            <w:r>
              <w:rPr>
                <w:sz w:val="21"/>
              </w:rPr>
              <w:t>3.6电机温度控制功能：有，恒温循环水冷却；</w:t>
            </w:r>
          </w:p>
          <w:p>
            <w:pPr>
              <w:pStyle w:val="null3"/>
              <w:jc w:val="left"/>
            </w:pPr>
            <w:r>
              <w:rPr>
                <w:sz w:val="21"/>
              </w:rPr>
              <w:t>3.7滴胶水摆臂数量：≥1套滑台胶臂；</w:t>
            </w:r>
          </w:p>
          <w:p>
            <w:pPr>
              <w:pStyle w:val="null3"/>
              <w:jc w:val="left"/>
            </w:pPr>
            <w:r>
              <w:rPr>
                <w:sz w:val="21"/>
              </w:rPr>
              <w:t>3.8光刻胶管路：≥3路；</w:t>
            </w:r>
          </w:p>
          <w:p>
            <w:pPr>
              <w:pStyle w:val="null3"/>
              <w:jc w:val="left"/>
            </w:pPr>
            <w:r>
              <w:rPr>
                <w:sz w:val="21"/>
              </w:rPr>
              <w:t>▲3.9光刻胶粘度：1路≤50cp，2路≤100cp，3路≤1000cp；</w:t>
            </w:r>
            <w:r>
              <w:rPr>
                <w:sz w:val="21"/>
                <w:b/>
              </w:rPr>
              <w:t>（提供产品制造商官方的用户使用手册或产品宣传彩页的截图或复印件或第三方检测报告或出厂报告作为证明材料）</w:t>
            </w:r>
          </w:p>
          <w:p>
            <w:pPr>
              <w:pStyle w:val="null3"/>
              <w:jc w:val="left"/>
            </w:pPr>
            <w:r>
              <w:rPr>
                <w:sz w:val="21"/>
              </w:rPr>
              <w:t>3.10滴胶方式：中心滴胶、扫描滴胶，具有预清洗胶嘴、胶嘴保湿功能；具有缓冲器。</w:t>
            </w:r>
          </w:p>
          <w:p>
            <w:pPr>
              <w:pStyle w:val="null3"/>
              <w:jc w:val="left"/>
            </w:pPr>
            <w:r>
              <w:rPr>
                <w:sz w:val="21"/>
              </w:rPr>
              <w:t>3.11排除光刻胶中的气泡；</w:t>
            </w:r>
          </w:p>
          <w:p>
            <w:pPr>
              <w:pStyle w:val="null3"/>
              <w:jc w:val="left"/>
            </w:pPr>
            <w:r>
              <w:rPr>
                <w:sz w:val="21"/>
              </w:rPr>
              <w:t>3.12基板固定方式：真空吸附；</w:t>
            </w:r>
          </w:p>
          <w:p>
            <w:pPr>
              <w:pStyle w:val="null3"/>
              <w:jc w:val="left"/>
            </w:pPr>
            <w:r>
              <w:rPr>
                <w:sz w:val="21"/>
              </w:rPr>
              <w:t>3.13卡盘材质：聚笨硫醚。</w:t>
            </w:r>
          </w:p>
          <w:p>
            <w:pPr>
              <w:pStyle w:val="null3"/>
              <w:jc w:val="left"/>
            </w:pPr>
            <w:r>
              <w:rPr>
                <w:sz w:val="21"/>
              </w:rPr>
              <w:t>4.去边单元：</w:t>
            </w:r>
          </w:p>
          <w:p>
            <w:pPr>
              <w:pStyle w:val="null3"/>
              <w:jc w:val="left"/>
            </w:pPr>
            <w:r>
              <w:rPr>
                <w:sz w:val="21"/>
              </w:rPr>
              <w:t>4.1腔体：≥1套，可兼容从120×150mm到200×250mm，基板误差范围±1mm，材质：玻璃；</w:t>
            </w:r>
          </w:p>
          <w:p>
            <w:pPr>
              <w:pStyle w:val="null3"/>
              <w:jc w:val="left"/>
            </w:pPr>
            <w:r>
              <w:rPr>
                <w:sz w:val="21"/>
              </w:rPr>
              <w:t>4.2工作台旋转范围：0～90°；</w:t>
            </w:r>
          </w:p>
          <w:p>
            <w:pPr>
              <w:pStyle w:val="null3"/>
              <w:jc w:val="left"/>
            </w:pPr>
            <w:r>
              <w:rPr>
                <w:sz w:val="21"/>
              </w:rPr>
              <w:t>4.3工作台旋转精度：≤0.2°，具有位移传感器修正角度功能；</w:t>
            </w:r>
          </w:p>
          <w:p>
            <w:pPr>
              <w:pStyle w:val="null3"/>
              <w:jc w:val="left"/>
            </w:pPr>
            <w:r>
              <w:rPr>
                <w:sz w:val="21"/>
              </w:rPr>
              <w:t>4.4去边清洗范围：基片边缘开始，1～5mm，基片侧面，基片背面距离边≥20mm区域，去边误差≤1mm。</w:t>
            </w:r>
          </w:p>
          <w:p>
            <w:pPr>
              <w:pStyle w:val="null3"/>
              <w:jc w:val="left"/>
            </w:pPr>
            <w:r>
              <w:rPr>
                <w:sz w:val="21"/>
              </w:rPr>
              <w:t>5.VCD（真空腔体干燥）干燥单元：真空干燥腔采用密封结构，工艺初次压力达到≥500Pa（绝对压力值），后续压力达到≥120Pa（绝对压力值）。</w:t>
            </w:r>
          </w:p>
          <w:p>
            <w:pPr>
              <w:pStyle w:val="null3"/>
              <w:jc w:val="left"/>
            </w:pPr>
            <w:r>
              <w:rPr>
                <w:sz w:val="21"/>
              </w:rPr>
              <w:t>6.热板单元：</w:t>
            </w:r>
          </w:p>
          <w:p>
            <w:pPr>
              <w:pStyle w:val="null3"/>
              <w:jc w:val="left"/>
            </w:pPr>
            <w:r>
              <w:rPr>
                <w:sz w:val="21"/>
              </w:rPr>
              <w:t>6.1温度范围：50~250℃；</w:t>
            </w:r>
          </w:p>
          <w:p>
            <w:pPr>
              <w:pStyle w:val="null3"/>
              <w:jc w:val="left"/>
            </w:pPr>
            <w:r>
              <w:rPr>
                <w:sz w:val="21"/>
              </w:rPr>
              <w:t>6.2温度均匀性：</w:t>
            </w:r>
          </w:p>
          <w:p>
            <w:pPr>
              <w:pStyle w:val="null3"/>
              <w:jc w:val="left"/>
            </w:pPr>
            <w:r>
              <w:rPr>
                <w:sz w:val="21"/>
              </w:rPr>
              <w:t>50～120℃：R≤1.2℃；</w:t>
            </w:r>
          </w:p>
          <w:p>
            <w:pPr>
              <w:pStyle w:val="null3"/>
              <w:jc w:val="left"/>
            </w:pPr>
            <w:r>
              <w:rPr>
                <w:sz w:val="21"/>
              </w:rPr>
              <w:t>120.1℃～180℃：R≤2.4℃；</w:t>
            </w:r>
          </w:p>
          <w:p>
            <w:pPr>
              <w:pStyle w:val="null3"/>
              <w:jc w:val="left"/>
            </w:pPr>
            <w:r>
              <w:rPr>
                <w:sz w:val="21"/>
              </w:rPr>
              <w:t>180.1℃～250℃：R≤4℃；</w:t>
            </w:r>
          </w:p>
          <w:p>
            <w:pPr>
              <w:pStyle w:val="null3"/>
              <w:jc w:val="left"/>
            </w:pPr>
            <w:r>
              <w:rPr>
                <w:sz w:val="21"/>
              </w:rPr>
              <w:t>6.3最小调整量：≤0.1℃。</w:t>
            </w:r>
          </w:p>
          <w:p>
            <w:pPr>
              <w:pStyle w:val="null3"/>
              <w:jc w:val="left"/>
            </w:pPr>
            <w:r>
              <w:rPr>
                <w:sz w:val="21"/>
              </w:rPr>
              <w:t>7.冷板单元：</w:t>
            </w:r>
          </w:p>
          <w:p>
            <w:pPr>
              <w:pStyle w:val="null3"/>
              <w:jc w:val="left"/>
            </w:pPr>
            <w:r>
              <w:rPr>
                <w:sz w:val="21"/>
              </w:rPr>
              <w:t>7.1温度范围：20℃～23℃：R≤0.4℃；</w:t>
            </w:r>
          </w:p>
          <w:p>
            <w:pPr>
              <w:pStyle w:val="null3"/>
              <w:jc w:val="left"/>
            </w:pPr>
            <w:r>
              <w:rPr>
                <w:sz w:val="21"/>
              </w:rPr>
              <w:t>7.2最小调整量：≤0.1℃。</w:t>
            </w:r>
          </w:p>
          <w:p>
            <w:pPr>
              <w:pStyle w:val="null3"/>
              <w:jc w:val="left"/>
            </w:pPr>
            <w:r>
              <w:rPr>
                <w:sz w:val="21"/>
              </w:rPr>
              <w:t>8.台式扫描电镜：</w:t>
            </w:r>
          </w:p>
          <w:p>
            <w:pPr>
              <w:pStyle w:val="null3"/>
              <w:jc w:val="left"/>
            </w:pPr>
            <w:r>
              <w:rPr>
                <w:sz w:val="21"/>
              </w:rPr>
              <w:t>8.1放大倍率：内置集成彩色光学显微镜，光学放大≥25倍，电子放大≥150000倍；</w:t>
            </w:r>
          </w:p>
          <w:p>
            <w:pPr>
              <w:pStyle w:val="null3"/>
              <w:jc w:val="left"/>
            </w:pPr>
            <w:r>
              <w:rPr>
                <w:sz w:val="21"/>
              </w:rPr>
              <w:t>8.2分辨率：高灵敏度背散射电子探测器分辨率≤12nm，高真空二次电子探测器分辨率≤10nm；</w:t>
            </w:r>
          </w:p>
          <w:p>
            <w:pPr>
              <w:pStyle w:val="null3"/>
              <w:jc w:val="left"/>
            </w:pPr>
            <w:r>
              <w:rPr>
                <w:sz w:val="21"/>
              </w:rPr>
              <w:t>8.3加速电压：5～10kV；</w:t>
            </w:r>
          </w:p>
          <w:p>
            <w:pPr>
              <w:pStyle w:val="null3"/>
              <w:jc w:val="left"/>
            </w:pPr>
            <w:r>
              <w:rPr>
                <w:sz w:val="21"/>
              </w:rPr>
              <w:t>★8.4灯丝材料：采用单晶灯丝；单根灯丝寿命：≥1500h；灯丝仓与电子仓、样品仓三仓真空分离；</w:t>
            </w:r>
            <w:r>
              <w:rPr>
                <w:sz w:val="21"/>
                <w:b/>
              </w:rPr>
              <w:t>（提供产品制造商官方的用户使用手册或产品宣传彩页的截图或复印件或第三方检测报告或出厂报告作为证明材料）</w:t>
            </w:r>
          </w:p>
          <w:p>
            <w:pPr>
              <w:pStyle w:val="null3"/>
              <w:jc w:val="left"/>
            </w:pPr>
            <w:r>
              <w:rPr>
                <w:sz w:val="21"/>
              </w:rPr>
              <w:t>▲8.5抽真空时间：≤15s；</w:t>
            </w:r>
            <w:r>
              <w:rPr>
                <w:sz w:val="21"/>
                <w:b/>
              </w:rPr>
              <w:t>（提供产品制造商官方的用户使用手册或产品宣传彩页的截图或复印件或第三方检测报告或出厂报告作为证明材料）</w:t>
            </w:r>
          </w:p>
          <w:p>
            <w:pPr>
              <w:pStyle w:val="null3"/>
              <w:jc w:val="left"/>
            </w:pPr>
            <w:r>
              <w:rPr>
                <w:sz w:val="21"/>
              </w:rPr>
              <w:t>8.6真空技术：配有无油隔膜泵，涡轮分子泵，实现灯丝仓与电子仓、样品仓三仓分离，低真空观测样品不影响灯丝寿命；</w:t>
            </w:r>
          </w:p>
          <w:p>
            <w:pPr>
              <w:pStyle w:val="null3"/>
              <w:jc w:val="left"/>
            </w:pPr>
            <w:r>
              <w:rPr>
                <w:sz w:val="21"/>
              </w:rPr>
              <w:t>8.7样品台控制方式：全自动马达样品台控制，配有光学显微镜导航，实现跟随鼠标移动；XY方向移动范围大于≥15mm；</w:t>
            </w:r>
          </w:p>
          <w:p>
            <w:pPr>
              <w:pStyle w:val="null3"/>
              <w:jc w:val="left"/>
            </w:pPr>
            <w:r>
              <w:rPr>
                <w:sz w:val="21"/>
              </w:rPr>
              <w:t>8.8样品台定位回溯功能：自动样品台控制，通过记录位置X、Y坐标，可实现位置回溯功能。针对已保存图片，选中保存图片，可一键还原图片拍摄位置；</w:t>
            </w:r>
          </w:p>
          <w:p>
            <w:pPr>
              <w:pStyle w:val="null3"/>
              <w:jc w:val="left"/>
            </w:pPr>
            <w:r>
              <w:rPr>
                <w:sz w:val="21"/>
              </w:rPr>
              <w:t>8.9防呆设计：可装载进入电镜的样品，不会撞击探测器；</w:t>
            </w:r>
          </w:p>
          <w:p>
            <w:pPr>
              <w:pStyle w:val="null3"/>
              <w:jc w:val="left"/>
            </w:pPr>
            <w:r>
              <w:rPr>
                <w:sz w:val="21"/>
              </w:rPr>
              <w:t>8.10观察模式：背散射全面模式(形貌和成份)、背散射形貌模式（Topo）、二次电子模式、背散射与二次电子混合模式；</w:t>
            </w:r>
          </w:p>
          <w:p>
            <w:pPr>
              <w:pStyle w:val="null3"/>
              <w:jc w:val="left"/>
            </w:pPr>
            <w:r>
              <w:rPr>
                <w:sz w:val="21"/>
              </w:rPr>
              <w:t>8.11图像分辨率：960x600、1920x1200、3840x2400和7680x4800像素，可保存的图像格式：jpg，tiff，png；</w:t>
            </w:r>
          </w:p>
          <w:p>
            <w:pPr>
              <w:pStyle w:val="null3"/>
              <w:jc w:val="left"/>
            </w:pPr>
            <w:r>
              <w:rPr>
                <w:sz w:val="21"/>
              </w:rPr>
              <w:t>8.12防震设计：可移动，具有防震设计，无需建立专用的抗震实验室或独立的抗震台来摆放，无需减震装置就能放置在二楼以上楼层；</w:t>
            </w:r>
          </w:p>
          <w:p>
            <w:pPr>
              <w:pStyle w:val="null3"/>
              <w:jc w:val="left"/>
            </w:pPr>
            <w:r>
              <w:rPr>
                <w:sz w:val="21"/>
              </w:rPr>
              <w:t>8.13   3D粗糙度成像模块：</w:t>
            </w:r>
          </w:p>
          <w:p>
            <w:pPr>
              <w:pStyle w:val="null3"/>
              <w:jc w:val="left"/>
            </w:pPr>
            <w:r>
              <w:rPr>
                <w:sz w:val="21"/>
              </w:rPr>
              <w:t>8.13.1 可根据电镜提供BSE信号，自动重构微观2D/3D图像；</w:t>
            </w:r>
          </w:p>
          <w:p>
            <w:pPr>
              <w:pStyle w:val="null3"/>
              <w:jc w:val="left"/>
            </w:pPr>
            <w:r>
              <w:rPr>
                <w:sz w:val="21"/>
              </w:rPr>
              <w:t>8.13.2 可根据生成3D图像，测量相应高度信息；</w:t>
            </w:r>
          </w:p>
          <w:p>
            <w:pPr>
              <w:pStyle w:val="null3"/>
              <w:jc w:val="left"/>
            </w:pPr>
            <w:r>
              <w:rPr>
                <w:sz w:val="21"/>
              </w:rPr>
              <w:t>8.13.3 可根据生成3D图像，做位置识别；</w:t>
            </w:r>
          </w:p>
          <w:p>
            <w:pPr>
              <w:pStyle w:val="null3"/>
              <w:jc w:val="left"/>
            </w:pPr>
            <w:r>
              <w:rPr>
                <w:sz w:val="21"/>
              </w:rPr>
              <w:t>8.13.4 CSV格式-自动生成统计信息；</w:t>
            </w:r>
          </w:p>
          <w:p>
            <w:pPr>
              <w:pStyle w:val="null3"/>
              <w:jc w:val="left"/>
            </w:pPr>
            <w:r>
              <w:rPr>
                <w:sz w:val="21"/>
              </w:rPr>
              <w:t>8.13.5 数秒之内完成快速3D重建；</w:t>
            </w:r>
          </w:p>
          <w:p>
            <w:pPr>
              <w:pStyle w:val="null3"/>
              <w:jc w:val="left"/>
            </w:pPr>
            <w:r>
              <w:rPr>
                <w:sz w:val="21"/>
              </w:rPr>
              <w:t>8.13.6 可输出：高度曲线。</w:t>
            </w:r>
          </w:p>
          <w:p>
            <w:pPr>
              <w:pStyle w:val="null3"/>
              <w:jc w:val="left"/>
            </w:pPr>
            <w:r>
              <w:rPr>
                <w:sz w:val="21"/>
              </w:rPr>
              <w:t>8.14能谱EDS：</w:t>
            </w:r>
          </w:p>
          <w:p>
            <w:pPr>
              <w:pStyle w:val="null3"/>
              <w:jc w:val="left"/>
            </w:pPr>
            <w:r>
              <w:rPr>
                <w:sz w:val="21"/>
              </w:rPr>
              <w:t>8.14.1能谱集成在电镜主机内，非外插式，电镜与能谱可以在同一个显示屏以及同一个操作软件界面显示操作；</w:t>
            </w:r>
          </w:p>
          <w:p>
            <w:pPr>
              <w:pStyle w:val="null3"/>
              <w:jc w:val="left"/>
            </w:pPr>
            <w:r>
              <w:rPr>
                <w:sz w:val="21"/>
              </w:rPr>
              <w:t>8.14.2探测器类型：硅漂移探测器（SDD）；</w:t>
            </w:r>
          </w:p>
          <w:p>
            <w:pPr>
              <w:pStyle w:val="null3"/>
              <w:jc w:val="left"/>
            </w:pPr>
            <w:r>
              <w:rPr>
                <w:sz w:val="21"/>
              </w:rPr>
              <w:t>8.14.3冷却方式：无液氮Peltier（珀耳帖）效应制冷；</w:t>
            </w:r>
          </w:p>
          <w:p>
            <w:pPr>
              <w:pStyle w:val="null3"/>
              <w:jc w:val="left"/>
            </w:pPr>
            <w:r>
              <w:rPr>
                <w:sz w:val="21"/>
              </w:rPr>
              <w:t>8.14.4能量分辨率：126eV(Mn-Kα)；</w:t>
            </w:r>
          </w:p>
          <w:p>
            <w:pPr>
              <w:pStyle w:val="null3"/>
              <w:jc w:val="left"/>
            </w:pPr>
            <w:r>
              <w:rPr>
                <w:sz w:val="21"/>
              </w:rPr>
              <w:t>8.14.5元素探测范围：B(5)-Cf(98)；</w:t>
            </w:r>
          </w:p>
          <w:p>
            <w:pPr>
              <w:pStyle w:val="null3"/>
              <w:jc w:val="left"/>
            </w:pPr>
            <w:r>
              <w:rPr>
                <w:sz w:val="21"/>
              </w:rPr>
              <w:t>8.14.6元素分析：自动和手动元素确认；</w:t>
            </w:r>
          </w:p>
          <w:p>
            <w:pPr>
              <w:pStyle w:val="null3"/>
              <w:jc w:val="left"/>
            </w:pPr>
            <w:r>
              <w:rPr>
                <w:sz w:val="21"/>
              </w:rPr>
              <w:t>8.14.7能谱谱线拟合方式：反卷积拟合方式；</w:t>
            </w:r>
          </w:p>
          <w:p>
            <w:pPr>
              <w:pStyle w:val="null3"/>
              <w:jc w:val="left"/>
            </w:pPr>
            <w:r>
              <w:rPr>
                <w:sz w:val="21"/>
              </w:rPr>
              <w:t>8.14.8实时成分彩色面分布：EDS能谱仪在电镜工作时始终在后台收集成分数据，利用算法同时处理BSE（背散射电子）和EDS信号，从而可以实时显示样品的形态和定量元素结果。</w:t>
            </w:r>
          </w:p>
          <w:p>
            <w:pPr>
              <w:pStyle w:val="null3"/>
              <w:jc w:val="left"/>
            </w:pPr>
            <w:r>
              <w:rPr>
                <w:sz w:val="21"/>
              </w:rPr>
              <w:t>8.15具备电子束光刻功能（EBL），可实现≤200nm线宽结构的精密加工。</w:t>
            </w:r>
          </w:p>
          <w:p>
            <w:pPr>
              <w:pStyle w:val="null3"/>
              <w:jc w:val="left"/>
            </w:pPr>
            <w:r>
              <w:rPr>
                <w:sz w:val="21"/>
              </w:rPr>
              <w:t>9.无掩模版紫外光刻机：</w:t>
            </w:r>
          </w:p>
          <w:p>
            <w:pPr>
              <w:pStyle w:val="null3"/>
              <w:jc w:val="left"/>
            </w:pPr>
            <w:r>
              <w:rPr>
                <w:sz w:val="21"/>
              </w:rPr>
              <w:t>★9.1光刻精度：至少支持四个光刻镜头：光刻镜头1：最小线宽≤6μm，工作距离≥30mm；光刻镜头2：最小线宽≤1.5μm，工作距离≥19mm；光刻镜头3：最小线宽≤0.8μm，工作距离≥12mm；光刻镜头4：最小线宽≤0.4μm，工作距离≥2mm；</w:t>
            </w:r>
            <w:r>
              <w:rPr>
                <w:sz w:val="21"/>
                <w:b/>
              </w:rPr>
              <w:t>（提供产品制造商官方的用户使用手册或产品宣传彩页的截图或复印件或第三方检测报告或出厂报告作为证明材料）</w:t>
            </w:r>
          </w:p>
          <w:p>
            <w:pPr>
              <w:pStyle w:val="null3"/>
              <w:jc w:val="left"/>
            </w:pPr>
            <w:r>
              <w:rPr>
                <w:sz w:val="21"/>
              </w:rPr>
              <w:t>9.2具备交互式套刻指引功能；</w:t>
            </w:r>
          </w:p>
          <w:p>
            <w:pPr>
              <w:pStyle w:val="null3"/>
              <w:jc w:val="left"/>
            </w:pPr>
            <w:r>
              <w:rPr>
                <w:sz w:val="21"/>
              </w:rPr>
              <w:t>9.3具备光学主动对焦功能；</w:t>
            </w:r>
          </w:p>
          <w:p>
            <w:pPr>
              <w:pStyle w:val="null3"/>
              <w:jc w:val="left"/>
            </w:pPr>
            <w:r>
              <w:rPr>
                <w:sz w:val="21"/>
              </w:rPr>
              <w:t>9.4支持光刻镜头电动切换；</w:t>
            </w:r>
          </w:p>
          <w:p>
            <w:pPr>
              <w:pStyle w:val="null3"/>
              <w:jc w:val="left"/>
            </w:pPr>
            <w:r>
              <w:rPr>
                <w:sz w:val="21"/>
              </w:rPr>
              <w:t>▲9.5曝光波长：405nm；</w:t>
            </w:r>
            <w:r>
              <w:rPr>
                <w:sz w:val="21"/>
                <w:b/>
              </w:rPr>
              <w:t>（提供产品制造商官方的用户使用手册或产品宣传彩页的截图或复印件或第三方检测报告或出厂报告作为证明材料）</w:t>
            </w:r>
          </w:p>
          <w:p>
            <w:pPr>
              <w:pStyle w:val="null3"/>
              <w:jc w:val="left"/>
            </w:pPr>
            <w:r>
              <w:rPr>
                <w:sz w:val="21"/>
              </w:rPr>
              <w:t>9.6数字掩模分辨率：≥1920×1080，微镜尺寸≤7.6um；</w:t>
            </w:r>
          </w:p>
          <w:p>
            <w:pPr>
              <w:pStyle w:val="null3"/>
              <w:jc w:val="left"/>
            </w:pPr>
            <w:r>
              <w:rPr>
                <w:sz w:val="21"/>
              </w:rPr>
              <w:t>9.7显微观测：支持显微观测且不会引起光刻胶变性；</w:t>
            </w:r>
          </w:p>
          <w:p>
            <w:pPr>
              <w:pStyle w:val="null3"/>
              <w:jc w:val="left"/>
            </w:pPr>
            <w:r>
              <w:rPr>
                <w:sz w:val="21"/>
              </w:rPr>
              <w:t>9.8支持最大样品厚度：≥8mm；</w:t>
            </w:r>
          </w:p>
          <w:p>
            <w:pPr>
              <w:pStyle w:val="null3"/>
              <w:jc w:val="left"/>
            </w:pPr>
            <w:r>
              <w:rPr>
                <w:sz w:val="21"/>
              </w:rPr>
              <w:t>9.9支持最大样品尺寸：≥130mm×130mm；</w:t>
            </w:r>
          </w:p>
          <w:p>
            <w:pPr>
              <w:pStyle w:val="null3"/>
              <w:jc w:val="left"/>
            </w:pPr>
            <w:r>
              <w:rPr>
                <w:sz w:val="21"/>
              </w:rPr>
              <w:t>9.10支持样品台具有电动旋转；</w:t>
            </w:r>
          </w:p>
          <w:p>
            <w:pPr>
              <w:pStyle w:val="null3"/>
              <w:jc w:val="left"/>
            </w:pPr>
            <w:r>
              <w:rPr>
                <w:sz w:val="21"/>
              </w:rPr>
              <w:t>9.11样品吸附：支持样品吸附；</w:t>
            </w:r>
          </w:p>
          <w:p>
            <w:pPr>
              <w:pStyle w:val="null3"/>
              <w:jc w:val="left"/>
            </w:pPr>
            <w:r>
              <w:rPr>
                <w:sz w:val="21"/>
              </w:rPr>
              <w:t>9.12设备软件：原位光绘功能、物像绑定功能、成像拼接功能、畸变矫正功能；</w:t>
            </w:r>
          </w:p>
          <w:p>
            <w:pPr>
              <w:pStyle w:val="null3"/>
            </w:pPr>
            <w:r>
              <w:rPr>
                <w:sz w:val="21"/>
              </w:rPr>
              <w:t>9.13画图软件：支持阵列画图、套刻画图。</w:t>
            </w:r>
          </w:p>
        </w:tc>
      </w:tr>
      <w:tr>
        <w:tc>
          <w:tcPr>
            <w:tcW w:type="dxa" w:w="2076"/>
          </w:tcPr>
          <w:p/>
        </w:tc>
        <w:tc>
          <w:tcPr>
            <w:tcW w:type="dxa" w:w="415"/>
          </w:tcPr>
          <w:p>
            <w:pPr>
              <w:pStyle w:val="null3"/>
            </w:pPr>
            <w:r>
              <w:rPr/>
              <w:t>2</w:t>
            </w:r>
          </w:p>
        </w:tc>
        <w:tc>
          <w:tcPr>
            <w:tcW w:type="dxa" w:w="5814"/>
          </w:tcPr>
          <w:p>
            <w:pPr>
              <w:pStyle w:val="null3"/>
              <w:jc w:val="left"/>
            </w:pPr>
            <w:r>
              <w:rPr>
                <w:sz w:val="21"/>
              </w:rPr>
              <w:t>软件及其功能指标：</w:t>
            </w:r>
          </w:p>
          <w:p>
            <w:pPr>
              <w:pStyle w:val="null3"/>
              <w:jc w:val="left"/>
            </w:pPr>
            <w:r>
              <w:rPr>
                <w:sz w:val="21"/>
              </w:rPr>
              <w:t>1.全套最新版本软件，适用于3种或以上常用图形文件格式；数据处理系统包括储存、检索写好图形的文档，灰度数据处理功能包，多层套刻文档管理系统。刻写绘图控制及处理软件包终身无条件使用，无条件升级；</w:t>
            </w:r>
          </w:p>
          <w:p>
            <w:pPr>
              <w:pStyle w:val="null3"/>
              <w:jc w:val="left"/>
            </w:pPr>
            <w:r>
              <w:rPr>
                <w:sz w:val="21"/>
              </w:rPr>
              <w:t>2.不少于七种刻写模式：波束扫描模式、载物台扫描模式、矢量模式、轮廓模式、闪光模式、散射扫描模式、手动模式；</w:t>
            </w:r>
          </w:p>
          <w:p>
            <w:pPr>
              <w:pStyle w:val="null3"/>
              <w:jc w:val="left"/>
            </w:pPr>
            <w:r>
              <w:rPr>
                <w:sz w:val="21"/>
              </w:rPr>
              <w:t>3.操作系统：电镜主机要求使用不易受病毒影响的系统，操作平台要求使用常用正版桌面操作系统；</w:t>
            </w:r>
          </w:p>
          <w:p>
            <w:pPr>
              <w:pStyle w:val="null3"/>
              <w:jc w:val="left"/>
            </w:pPr>
            <w:r>
              <w:rPr>
                <w:sz w:val="21"/>
              </w:rPr>
              <w:t>4.设备软件：原位光绘功能、物像绑定功能、成像拼接功能、畸变矫正功能；</w:t>
            </w:r>
          </w:p>
          <w:p>
            <w:pPr>
              <w:pStyle w:val="null3"/>
            </w:pPr>
            <w:r>
              <w:rPr>
                <w:sz w:val="21"/>
              </w:rPr>
              <w:t>5.画图软件：支持阵列画图、套刻画图。</w:t>
            </w:r>
          </w:p>
        </w:tc>
      </w:tr>
      <w:tr>
        <w:tc>
          <w:tcPr>
            <w:tcW w:type="dxa" w:w="2076"/>
          </w:tcPr>
          <w:p/>
        </w:tc>
        <w:tc>
          <w:tcPr>
            <w:tcW w:type="dxa" w:w="415"/>
          </w:tcPr>
          <w:p>
            <w:pPr>
              <w:pStyle w:val="null3"/>
            </w:pPr>
            <w:r>
              <w:rPr/>
              <w:t>3</w:t>
            </w:r>
          </w:p>
        </w:tc>
        <w:tc>
          <w:tcPr>
            <w:tcW w:type="dxa" w:w="5814"/>
          </w:tcPr>
          <w:p>
            <w:pPr>
              <w:pStyle w:val="null3"/>
              <w:jc w:val="left"/>
            </w:pPr>
            <w:r>
              <w:rPr>
                <w:sz w:val="21"/>
              </w:rPr>
              <w:t>配置清单：</w:t>
            </w:r>
          </w:p>
          <w:p>
            <w:pPr>
              <w:pStyle w:val="null3"/>
              <w:jc w:val="left"/>
            </w:pPr>
            <w:r>
              <w:rPr>
                <w:sz w:val="21"/>
              </w:rPr>
              <w:t>1.匀胶热板显影机一体机主机1台；</w:t>
            </w:r>
          </w:p>
          <w:p>
            <w:pPr>
              <w:pStyle w:val="null3"/>
              <w:jc w:val="left"/>
            </w:pPr>
            <w:r>
              <w:rPr>
                <w:sz w:val="21"/>
              </w:rPr>
              <w:t>2.无掩模版紫外光刻机1台，配置如下：刻写程序控制及绘图单元系统控制器1套（配置不低于以下配置：CPU：8核心；8线程；频率：3GHz，内存：≥16GB，硬盘：≥1TB，显示器：≥19英寸宽屏液晶彩色显示器，网卡、DVD刻录机，运行平台：常用正版桌面操作系统）。</w:t>
            </w:r>
          </w:p>
          <w:p>
            <w:pPr>
              <w:pStyle w:val="null3"/>
              <w:jc w:val="left"/>
            </w:pPr>
            <w:r>
              <w:rPr>
                <w:sz w:val="21"/>
              </w:rPr>
              <w:t>3.台式扫描电镜1台，需求配置如下：电镜主机1台，≥24寸显示器1台；无油隔膜泵1个；三级分流涡轮分子泵1台；标准样品杯1个；XY电动马达样品台1个；光学显微镜导航系统1套；全景拼接软件1套；背散射电子探测器≥1个，二次电子探测器≥1个，能谱探测器≥1个。</w:t>
            </w:r>
          </w:p>
          <w:p>
            <w:pPr>
              <w:pStyle w:val="null3"/>
            </w:pPr>
            <w:r>
              <w:rPr>
                <w:sz w:val="21"/>
              </w:rPr>
              <w:t>4.常用耗材清单：旋涂机硅胶管≥3用3备；真空吸盘6寸和10寸各不少于一套；无掩膜光刻机系统紫外光源≥1用1备；CeB6或LaB6单晶体灯丝≥1个。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采购包1：保证金人民币33000.0元整</w:t>
            </w:r>
          </w:p>
          <w:p>
            <w:pPr>
              <w:pStyle w:val="null3"/>
            </w:pPr>
            <w:r>
              <w:rPr/>
              <w:t>缴费渠道：</w:t>
            </w:r>
            <w:r>
              <w:rPr/>
              <w:t>电子保函（保险）</w:t>
            </w:r>
            <w:r>
              <w:rPr/>
              <w:t>、支票（本票、汇票）</w:t>
            </w:r>
            <w:r>
              <w:rPr/>
              <w:t>、其他</w:t>
            </w:r>
          </w:p>
          <w:p>
            <w:pPr>
              <w:pStyle w:val="null3"/>
            </w:pPr>
            <w:r>
              <w:rPr/>
              <w:t>开户单位：广东志正招标有限公司</w:t>
            </w:r>
          </w:p>
          <w:p>
            <w:pPr>
              <w:pStyle w:val="null3"/>
            </w:pPr>
            <w:r>
              <w:rPr/>
              <w:t>开户账号：800201177509011</w:t>
            </w:r>
          </w:p>
          <w:p>
            <w:pPr>
              <w:pStyle w:val="null3"/>
            </w:pPr>
            <w:r>
              <w:rPr/>
              <w:t>开户银行：广州银行股份有限公司龙口西支行</w:t>
            </w:r>
          </w:p>
          <w:p>
            <w:pPr>
              <w:pStyle w:val="null3"/>
            </w:pPr>
            <w:r>
              <w:rPr/>
              <w:t>支票提交方式：保证金相关事宜联系人：廖小姐 联系电话：020-87554268</w:t>
            </w:r>
          </w:p>
          <w:p>
            <w:pPr>
              <w:pStyle w:val="null3"/>
            </w:pPr>
            <w:r>
              <w:rPr/>
              <w:t>汇票、本票提交方式：保证金相关事宜联系人：廖小姐 联系电话：020-87554268</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采购包1(匀胶热板显影一体机)：综合评分法,是指投标文件满足招标文件全部实质性要求，且按照评审因素的量化指标评审得分最高的投标人为中标候选人的评标方法。（最低报价不是中标的唯一依据。）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属于专门面向中小企业采购的项目。所有货物的制造商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采购包1(匀胶热板显影一体机):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(15.0分)</w:t>
            </w:r>
          </w:p>
        </w:tc>
        <w:tc>
          <w:tcPr>
            <w:tcW w:type="dxa" w:w="5076"/>
          </w:tcPr>
          <w:p>
            <w:pPr>
              <w:pStyle w:val="null3"/>
              <w:jc w:val="left"/>
            </w:pPr>
            <w:r>
              <w:rPr/>
              <w:t>投标人所投产品技术参数全部满足第二章 采购需求附表中“具体技术(参数)要求”中标注“▲”的重要技术参数的响应情况进行评审（共5项）：每满足一项得3分，最高得15分。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一般技术参数响应情况 (13.0分)</w:t>
            </w:r>
          </w:p>
        </w:tc>
        <w:tc>
          <w:tcPr>
            <w:tcW w:type="dxa" w:w="5076"/>
          </w:tcPr>
          <w:p>
            <w:pPr>
              <w:pStyle w:val="null3"/>
              <w:jc w:val="left"/>
            </w:pPr>
            <w:r>
              <w:rPr/>
              <w:t>投标人所投产品技术参数满足第二章 采购需求附表中“具体技术(参数)要求”中一般技术参数（非★、▲条款）的响应情况进行评审：得分计算公式=（一般技术参数总数-一般技术参数负偏离总数）/一般技术参数总数×13分，结果四舍五入保留两位小数；本项目一般技术参数共77条，最高得13分。 注：如“具体技术(参数)要求”中有明确提供的证明资料的，则以“具体技术(参数)要求”中要求的为准;如“具体技术(参数)要求”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总体实施方案 (10.0分)</w:t>
            </w:r>
          </w:p>
        </w:tc>
        <w:tc>
          <w:tcPr>
            <w:tcW w:type="dxa" w:w="5076"/>
          </w:tcPr>
          <w:p>
            <w:pPr>
              <w:pStyle w:val="null3"/>
              <w:jc w:val="left"/>
            </w:pPr>
            <w:r>
              <w:rPr/>
              <w:t>对投标人提供的总体实施方案（包括但不限于项目实施计划、供货方案、安装调试方案等）进行评审： （1）方案内容完善，科学合理，可操作性强，得10分； （2）方案内容较完善，较科学合理，可操作性较强，得6分； （3）方案内容基本完善，基本科学合理，可操作性欠缺，得2分； （4）不提供不得分。</w:t>
            </w:r>
          </w:p>
        </w:tc>
      </w:tr>
      <w:tr>
        <w:tc>
          <w:tcPr>
            <w:tcW w:type="dxa" w:w="922"/>
            <w:gridSpan w:val="2"/>
            <w:vMerge/>
          </w:tcPr>
          <w:p/>
        </w:tc>
        <w:tc>
          <w:tcPr>
            <w:tcW w:type="dxa" w:w="2307"/>
          </w:tcPr>
          <w:p>
            <w:pPr>
              <w:pStyle w:val="null3"/>
              <w:jc w:val="left"/>
            </w:pPr>
            <w:r>
              <w:rPr/>
              <w:t>质量保证措施 (9.0分)</w:t>
            </w:r>
          </w:p>
        </w:tc>
        <w:tc>
          <w:tcPr>
            <w:tcW w:type="dxa" w:w="5076"/>
          </w:tcPr>
          <w:p>
            <w:pPr>
              <w:pStyle w:val="null3"/>
              <w:jc w:val="left"/>
            </w:pPr>
            <w:r>
              <w:rPr/>
              <w:t>根据投标人提供的质量保证措施（包括但不限于质量管理体系，保修、包换、包退服务方案等）进行评审： （1）方案内容完善，科学合理，可操作性强，得9分； （2）方案内容较完善，较科学合理，可操作性较强，得5分； （3）方案内容基本完善，基本科学合理，可操作性欠缺，得1分； （4）不提供不得分。</w:t>
            </w:r>
          </w:p>
        </w:tc>
      </w:tr>
      <w:tr>
        <w:tc>
          <w:tcPr>
            <w:tcW w:type="dxa" w:w="922"/>
            <w:gridSpan w:val="2"/>
            <w:vMerge/>
          </w:tcPr>
          <w:p/>
        </w:tc>
        <w:tc>
          <w:tcPr>
            <w:tcW w:type="dxa" w:w="2307"/>
          </w:tcPr>
          <w:p>
            <w:pPr>
              <w:pStyle w:val="null3"/>
              <w:jc w:val="left"/>
            </w:pPr>
            <w:r>
              <w:rPr/>
              <w:t>售后服务方案 (9.0分)</w:t>
            </w:r>
          </w:p>
        </w:tc>
        <w:tc>
          <w:tcPr>
            <w:tcW w:type="dxa" w:w="5076"/>
          </w:tcPr>
          <w:p>
            <w:pPr>
              <w:pStyle w:val="null3"/>
              <w:jc w:val="left"/>
            </w:pPr>
            <w:r>
              <w:rPr/>
              <w:t>根据投标人提供的售后服务方案（包含但不限于培训方案、售后服务承诺等）进行评审： （1）方案内容完善，科学合理，可操作性强，得9分； （2）方案内容较完善，较科学合理，可操作性较强，得5分； （3）方案内容基本完善，基本科学合理，可操作性欠缺，得1分； （4）不提供不得分。</w:t>
            </w:r>
          </w:p>
        </w:tc>
      </w:tr>
      <w:tr>
        <w:tc>
          <w:tcPr>
            <w:tcW w:type="dxa" w:w="922"/>
            <w:gridSpan w:val="2"/>
            <w:vMerge/>
          </w:tcPr>
          <w:p/>
        </w:tc>
        <w:tc>
          <w:tcPr>
            <w:tcW w:type="dxa" w:w="2307"/>
          </w:tcPr>
          <w:p>
            <w:pPr>
              <w:pStyle w:val="null3"/>
              <w:jc w:val="left"/>
            </w:pPr>
            <w:r>
              <w:rPr/>
              <w:t>质保期 (4.0分)</w:t>
            </w:r>
          </w:p>
        </w:tc>
        <w:tc>
          <w:tcPr>
            <w:tcW w:type="dxa" w:w="5076"/>
          </w:tcPr>
          <w:p>
            <w:pPr>
              <w:pStyle w:val="null3"/>
              <w:jc w:val="left"/>
            </w:pPr>
            <w:r>
              <w:rPr/>
              <w:t>投标人对质保期作出承诺：所有货物在质保期（1年）基本要求上，每增加1年得2分，最高得4分。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投标人自2022年1月1日至今已完成的同类项目（货物清单包含核心产品类似货物），每提供一个得1分，最多得5分。 注：须提供合同复印件，以合同签订时间为准，不提供或无法认定不得分。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满足上述“同类项目业绩”要求的有效业绩，获得客户满意度评价为满意或优或百分制得分为90分（及以上）或同等评价的，每提供一个得1分，最高得5分。 注：提供客户满意度评价证明材料（须含甲方或甲方项目主管部门盖章），不提供不得分。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注：本合同仅为合同的参考文本，合同签订双方可根据项目的具体要求进行修订。</w:t>
      </w:r>
    </w:p>
    <w:p>
      <w:pPr>
        <w:pStyle w:val="null3"/>
        <w:jc w:val="both"/>
      </w:pPr>
      <w:r>
        <w:rPr>
          <w:sz w:val="56"/>
          <w:b/>
        </w:rPr>
        <w:t>华南师范大学货物采购合同书</w:t>
      </w:r>
    </w:p>
    <w:p>
      <w:pPr>
        <w:pStyle w:val="null3"/>
        <w:spacing w:before="315" w:after="150"/>
        <w:jc w:val="center"/>
      </w:pPr>
      <w:r>
        <w:rPr>
          <w:sz w:val="28"/>
          <w:b/>
        </w:rPr>
        <w:t>甲方：</w:t>
      </w:r>
      <w:r>
        <w:rPr>
          <w:sz w:val="28"/>
          <w:b/>
          <w:u w:val="single"/>
        </w:rPr>
        <w:t>华南师范大学</w:t>
      </w:r>
    </w:p>
    <w:p>
      <w:pPr>
        <w:pStyle w:val="null3"/>
        <w:ind w:firstLine="1968"/>
        <w:jc w:val="left"/>
      </w:pPr>
      <w:r>
        <w:rPr>
          <w:sz w:val="28"/>
          <w:b/>
        </w:rPr>
        <w:t>乙方：</w:t>
      </w:r>
      <w:r>
        <w:rPr>
          <w:sz w:val="28"/>
          <w:b/>
          <w:u w:val="single"/>
        </w:rPr>
        <w:t>（必填项）</w:t>
      </w:r>
    </w:p>
    <w:p>
      <w:pPr>
        <w:pStyle w:val="null3"/>
        <w:ind w:firstLine="1968"/>
        <w:jc w:val="left"/>
      </w:pPr>
      <w:r>
        <w:rPr>
          <w:sz w:val="28"/>
          <w:b/>
        </w:rPr>
        <w:t>签订地点：</w:t>
      </w:r>
      <w:r>
        <w:rPr>
          <w:sz w:val="28"/>
          <w:b/>
          <w:u w:val="single"/>
        </w:rPr>
        <w:t xml:space="preserve">  </w:t>
      </w:r>
      <w:r>
        <w:rPr>
          <w:sz w:val="28"/>
          <w:b/>
          <w:u w:val="single"/>
        </w:rPr>
        <w:t>广州市</w:t>
      </w:r>
      <w:r>
        <w:rPr>
          <w:sz w:val="28"/>
          <w:b/>
          <w:u w:val="single"/>
        </w:rPr>
        <w:t>天河区</w:t>
      </w:r>
      <w:r>
        <w:rPr>
          <w:sz w:val="28"/>
          <w:b/>
          <w:u w:val="single"/>
        </w:rPr>
        <w:t xml:space="preserve">   </w:t>
      </w:r>
    </w:p>
    <w:p>
      <w:pPr>
        <w:pStyle w:val="null3"/>
        <w:ind w:firstLine="1968"/>
        <w:jc w:val="left"/>
      </w:pPr>
      <w:r>
        <w:rPr>
          <w:sz w:val="28"/>
          <w:b/>
        </w:rPr>
        <w:t>合同名称：</w:t>
      </w:r>
      <w:r>
        <w:rPr>
          <w:sz w:val="28"/>
          <w:b/>
          <w:u w:val="single"/>
        </w:rPr>
        <w:t>华南师范大学</w:t>
      </w:r>
      <w:r>
        <w:rPr>
          <w:sz w:val="28"/>
          <w:b/>
          <w:u w:val="single"/>
        </w:rPr>
        <w:t>+二级单位名称+采购+货物名称</w:t>
      </w:r>
    </w:p>
    <w:p>
      <w:pPr>
        <w:pStyle w:val="null3"/>
        <w:ind w:firstLine="1925"/>
        <w:jc w:val="left"/>
      </w:pPr>
      <w:r>
        <w:rPr>
          <w:sz w:val="28"/>
          <w:b/>
        </w:rPr>
        <w:t>合同编号：</w:t>
      </w:r>
      <w:r>
        <w:rPr>
          <w:sz w:val="28"/>
          <w:b/>
          <w:u w:val="single"/>
        </w:rPr>
        <w:t>（示例：</w:t>
      </w:r>
      <w:r>
        <w:rPr>
          <w:sz w:val="28"/>
          <w:b/>
          <w:u w:val="single"/>
        </w:rPr>
        <w:t>HT202</w:t>
      </w:r>
      <w:r>
        <w:rPr>
          <w:sz w:val="28"/>
          <w:b/>
          <w:u w:val="single"/>
        </w:rPr>
        <w:t>4A</w:t>
      </w:r>
      <w:r>
        <w:rPr>
          <w:sz w:val="28"/>
          <w:b/>
          <w:u w:val="single"/>
        </w:rPr>
        <w:t>XXXX</w:t>
      </w:r>
      <w:r>
        <w:rPr>
          <w:sz w:val="28"/>
          <w:b/>
          <w:u w:val="single"/>
        </w:rPr>
        <w:t>）</w:t>
      </w:r>
    </w:p>
    <w:p>
      <w:pPr>
        <w:pStyle w:val="null3"/>
        <w:ind w:firstLine="1968"/>
        <w:jc w:val="left"/>
      </w:pPr>
      <w:r>
        <w:rPr>
          <w:sz w:val="28"/>
          <w:b/>
        </w:rPr>
        <w:t>采购编号：</w:t>
      </w:r>
      <w:r>
        <w:rPr>
          <w:sz w:val="28"/>
          <w:b/>
          <w:u w:val="single"/>
        </w:rPr>
        <w:t>（</w:t>
      </w:r>
      <w:r>
        <w:rPr>
          <w:sz w:val="28"/>
          <w:b/>
          <w:u w:val="single"/>
        </w:rPr>
        <w:t>填写招标文件上的编号</w:t>
      </w:r>
      <w:r>
        <w:rPr>
          <w:sz w:val="28"/>
          <w:b/>
          <w:u w:val="single"/>
        </w:rPr>
        <w:t>）</w:t>
      </w:r>
    </w:p>
    <w:p>
      <w:pPr>
        <w:pStyle w:val="null3"/>
        <w:ind w:firstLine="2168"/>
        <w:jc w:val="left"/>
      </w:pPr>
      <w:r>
        <w:rPr>
          <w:sz w:val="28"/>
          <w:b/>
        </w:rPr>
        <w:t>华南师范大学采购与招投标中心拟制</w:t>
      </w:r>
    </w:p>
    <w:p>
      <w:pPr>
        <w:pStyle w:val="null3"/>
        <w:jc w:val="center"/>
      </w:pPr>
      <w:r>
        <w:rPr>
          <w:sz w:val="28"/>
          <w:b/>
        </w:rPr>
        <w:t>二〇二四年十一月版</w:t>
      </w:r>
    </w:p>
    <w:p>
      <w:pPr>
        <w:pStyle w:val="null3"/>
        <w:jc w:val="left"/>
      </w:pPr>
      <w:r>
        <w:rPr/>
        <w:t xml:space="preserve"> </w:t>
      </w:r>
    </w:p>
    <w:p>
      <w:pPr>
        <w:pStyle w:val="null3"/>
        <w:ind w:firstLine="562"/>
        <w:jc w:val="center"/>
      </w:pPr>
      <w:r>
        <w:rPr>
          <w:sz w:val="28"/>
          <w:b/>
        </w:rPr>
        <w:t>合同使用指引</w:t>
      </w:r>
    </w:p>
    <w:p>
      <w:pPr>
        <w:pStyle w:val="null3"/>
        <w:ind w:firstLine="420"/>
        <w:jc w:val="left"/>
      </w:pPr>
      <w:r>
        <w:rPr>
          <w:sz w:val="21"/>
        </w:rPr>
        <w:t>一、本合同书为华南师范大学</w:t>
      </w:r>
      <w:r>
        <w:rPr>
          <w:sz w:val="21"/>
          <w:b/>
        </w:rPr>
        <w:t>国内</w:t>
      </w:r>
      <w:r>
        <w:rPr>
          <w:sz w:val="21"/>
        </w:rPr>
        <w:t>货物采购合同范本，</w:t>
      </w:r>
      <w:r>
        <w:rPr>
          <w:sz w:val="21"/>
          <w:b/>
        </w:rPr>
        <w:t>适用于公开招标、邀请招标、单一来源、竞争性谈判、竞争性磋商、询价等采购方式产生的合同</w:t>
      </w:r>
      <w:r>
        <w:rPr>
          <w:sz w:val="21"/>
        </w:rPr>
        <w:t>。</w:t>
      </w:r>
    </w:p>
    <w:p>
      <w:pPr>
        <w:pStyle w:val="null3"/>
        <w:ind w:firstLine="420"/>
        <w:jc w:val="left"/>
      </w:pPr>
      <w:r>
        <w:rPr>
          <w:sz w:val="21"/>
        </w:rPr>
        <w:t>二、</w:t>
      </w:r>
      <w:r>
        <w:rPr>
          <w:sz w:val="21"/>
          <w:b/>
        </w:rPr>
        <w:t>本合同书原则上不得随意修改、删减</w:t>
      </w:r>
      <w:r>
        <w:rPr>
          <w:sz w:val="21"/>
        </w:rPr>
        <w:t>，如有特殊约定可增加补充条款或附件，但所补充内容不得与已有条款内容相冲突。</w:t>
      </w:r>
    </w:p>
    <w:p>
      <w:pPr>
        <w:pStyle w:val="null3"/>
        <w:ind w:firstLine="420"/>
        <w:jc w:val="left"/>
      </w:pPr>
      <w:r>
        <w:rPr>
          <w:sz w:val="21"/>
        </w:rPr>
        <w:t>三、在使用本合同书时，</w:t>
      </w:r>
      <w:r>
        <w:rPr>
          <w:sz w:val="21"/>
          <w:b/>
        </w:rPr>
        <w:t>应当结合具体情况正确选择文本中所提供的选择项条款；画横线处及空格的内容则由双方根据实际情况填写</w:t>
      </w:r>
      <w:r>
        <w:rPr>
          <w:sz w:val="21"/>
        </w:rPr>
        <w:t>。对于无需填写的条款，应根据文本提示在该条款处注明</w:t>
      </w:r>
      <w:r>
        <w:rPr>
          <w:sz w:val="21"/>
        </w:rPr>
        <w:t>“无”字样。</w:t>
      </w:r>
    </w:p>
    <w:p>
      <w:pPr>
        <w:pStyle w:val="null3"/>
        <w:ind w:firstLine="420"/>
        <w:jc w:val="left"/>
      </w:pPr>
      <w:r>
        <w:rPr>
          <w:sz w:val="21"/>
        </w:rPr>
        <w:t>四、甲乙双方信息应全部填写完整，合同结尾处的双方签名及签订日期</w:t>
      </w:r>
      <w:r>
        <w:rPr>
          <w:sz w:val="21"/>
          <w:b/>
        </w:rPr>
        <w:t>均应为亲笔签名</w:t>
      </w:r>
      <w:r>
        <w:rPr>
          <w:sz w:val="21"/>
        </w:rPr>
        <w:t>。</w:t>
      </w:r>
    </w:p>
    <w:p>
      <w:pPr>
        <w:pStyle w:val="null3"/>
        <w:ind w:firstLine="420"/>
        <w:jc w:val="left"/>
      </w:pPr>
      <w:r>
        <w:rPr>
          <w:sz w:val="21"/>
        </w:rPr>
        <w:t>五、</w:t>
      </w:r>
      <w:r>
        <w:rPr>
          <w:sz w:val="21"/>
          <w:b/>
        </w:rPr>
        <w:t>本合同书应按规定格式双面打印，大小为</w:t>
      </w:r>
      <w:r>
        <w:rPr>
          <w:sz w:val="21"/>
          <w:b/>
        </w:rPr>
        <w:t>A4幅面，正文内容所用字体应不小于5号字</w:t>
      </w:r>
      <w:r>
        <w:rPr>
          <w:sz w:val="21"/>
        </w:rPr>
        <w:t>。合同附件应与合同书装订在一起，其规格大小应与合同书一致。</w:t>
      </w:r>
    </w:p>
    <w:p>
      <w:pPr>
        <w:pStyle w:val="null3"/>
        <w:ind w:firstLine="420"/>
        <w:jc w:val="left"/>
      </w:pPr>
      <w:r>
        <w:rPr>
          <w:sz w:val="21"/>
        </w:rPr>
        <w:t>六、本合同书经甲乙双方法定代表人或委托代理人签署、加盖单位公章后，送贰份至采购与招投标中心存档备案。</w:t>
      </w:r>
    </w:p>
    <w:p>
      <w:pPr>
        <w:pStyle w:val="null3"/>
        <w:ind w:firstLine="420"/>
        <w:jc w:val="left"/>
      </w:pPr>
      <w:r>
        <w:rPr>
          <w:sz w:val="21"/>
        </w:rPr>
        <w:t>七、甲乙双方应保管好合同书原件。</w:t>
      </w:r>
    </w:p>
    <w:p>
      <w:pPr>
        <w:pStyle w:val="null3"/>
        <w:ind w:firstLine="420"/>
        <w:jc w:val="left"/>
      </w:pPr>
      <w:r>
        <w:rPr>
          <w:sz w:val="21"/>
        </w:rPr>
        <w:t>根据《中华人民共和国政府采购法》、《中华人民共和国招标投标法》、《中华人民共和国民法典》等法律法规，以及甲方委托</w:t>
      </w:r>
      <w:r>
        <w:rPr>
          <w:sz w:val="21"/>
        </w:rPr>
        <w:t>__________（代理机构名称）组织的_____项目（项目名称）(采购编号_________)的成交结果，经甲乙双方协商一致，签订本合同，由双方共同恪守如下内容：</w:t>
      </w:r>
    </w:p>
    <w:p>
      <w:pPr>
        <w:pStyle w:val="null3"/>
        <w:ind w:firstLine="422"/>
        <w:jc w:val="left"/>
      </w:pPr>
      <w:r>
        <w:rPr>
          <w:sz w:val="21"/>
          <w:b/>
        </w:rPr>
        <w:t>一、合同标的</w:t>
      </w:r>
    </w:p>
    <w:p>
      <w:pPr>
        <w:pStyle w:val="null3"/>
        <w:ind w:firstLine="420"/>
        <w:jc w:val="left"/>
      </w:pPr>
      <w:r>
        <w:rPr>
          <w:sz w:val="21"/>
        </w:rPr>
        <w:t>1．</w:t>
      </w:r>
      <w:r>
        <w:rPr>
          <w:sz w:val="21"/>
        </w:rPr>
        <w:t>标的物明细</w:t>
      </w:r>
    </w:p>
    <w:p>
      <w:pPr>
        <w:pStyle w:val="null3"/>
        <w:ind w:firstLine="420"/>
        <w:jc w:val="left"/>
      </w:pPr>
      <w:r>
        <w:rPr>
          <w:sz w:val="21"/>
        </w:rPr>
        <w:t>本合同标的为</w:t>
      </w:r>
      <w:r>
        <w:rPr>
          <w:sz w:val="21"/>
        </w:rPr>
        <w:t>___________（货物名称），包括设计、货物供货、安装、调试、培训、验收、技术服务、质保期保障等的全部内容，详细内容见下表：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08"/>
        <w:gridCol w:w="508"/>
        <w:gridCol w:w="825"/>
        <w:gridCol w:w="921"/>
        <w:gridCol w:w="673"/>
        <w:gridCol w:w="2117"/>
        <w:gridCol w:w="646"/>
        <w:gridCol w:w="646"/>
        <w:gridCol w:w="701"/>
        <w:gridCol w:w="715"/>
      </w:tblGrid>
      <w:tr>
        <w:tc>
          <w:tcPr>
            <w:tcW w:type="dxa" w:w="508"/>
            <w:tcBorders>
              <w:top w:val="outset"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项数</w:t>
            </w:r>
          </w:p>
        </w:tc>
        <w:tc>
          <w:tcPr>
            <w:tcW w:type="dxa" w:w="508"/>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货物</w:t>
            </w:r>
            <w:r>
              <w:rPr>
                <w:sz w:val="21"/>
              </w:rPr>
              <w:t>名称</w:t>
            </w:r>
          </w:p>
        </w:tc>
        <w:tc>
          <w:tcPr>
            <w:tcW w:type="dxa" w:w="82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品牌</w:t>
            </w:r>
          </w:p>
        </w:tc>
        <w:tc>
          <w:tcPr>
            <w:tcW w:type="dxa" w:w="92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型号</w:t>
            </w:r>
          </w:p>
        </w:tc>
        <w:tc>
          <w:tcPr>
            <w:tcW w:type="dxa" w:w="673"/>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产地</w:t>
            </w:r>
          </w:p>
        </w:tc>
        <w:tc>
          <w:tcPr>
            <w:tcW w:type="dxa" w:w="2117"/>
            <w:tcBorders>
              <w:top w:val="outset"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ind w:firstLine="420"/>
              <w:jc w:val="center"/>
            </w:pPr>
            <w:r>
              <w:rPr>
                <w:sz w:val="21"/>
              </w:rPr>
              <w:t>详细</w:t>
            </w:r>
            <w:r>
              <w:rPr>
                <w:sz w:val="21"/>
              </w:rPr>
              <w:t>配置</w:t>
            </w:r>
            <w:r>
              <w:rPr>
                <w:sz w:val="21"/>
              </w:rPr>
              <w:t>清单</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单位</w:t>
            </w:r>
          </w:p>
        </w:tc>
        <w:tc>
          <w:tcPr>
            <w:tcW w:type="dxa" w:w="646"/>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数量</w:t>
            </w:r>
          </w:p>
        </w:tc>
        <w:tc>
          <w:tcPr>
            <w:tcW w:type="dxa" w:w="701"/>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单价</w:t>
            </w:r>
          </w:p>
        </w:tc>
        <w:tc>
          <w:tcPr>
            <w:tcW w:type="dxa" w:w="715"/>
            <w:tcBorders>
              <w:top w:val="outset"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jc w:val="center"/>
            </w:pPr>
            <w:r>
              <w:rPr>
                <w:sz w:val="21"/>
              </w:rPr>
              <w:t>总价</w:t>
            </w:r>
          </w:p>
        </w:tc>
      </w:tr>
      <w:tr>
        <w:tc>
          <w:tcPr>
            <w:tcW w:type="dxa" w:w="508"/>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ind w:firstLine="210"/>
              <w:jc w:val="left"/>
            </w:pPr>
            <w:r>
              <w:rPr>
                <w:sz w:val="21"/>
              </w:rPr>
              <w:t>1</w:t>
            </w:r>
          </w:p>
        </w:tc>
        <w:tc>
          <w:tcPr>
            <w:tcW w:type="dxa" w:w="508"/>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82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92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673"/>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tc>
        <w:tc>
          <w:tcPr>
            <w:tcW w:type="dxa" w:w="2117"/>
            <w:tcBorders>
              <w:top w:val="none" w:color="000000" w:sz="4"/>
              <w:left w:val="single"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请选择填写方式：</w:t>
            </w:r>
            <w:r>
              <w:rPr>
                <w:sz w:val="21"/>
              </w:rPr>
              <w:t>____(</w:t>
            </w:r>
            <w:r>
              <w:rPr>
                <w:sz w:val="21"/>
              </w:rPr>
              <w:t>1.</w:t>
            </w:r>
            <w:r>
              <w:rPr>
                <w:sz w:val="21"/>
              </w:rPr>
              <w:t>在表格中填写；</w:t>
            </w:r>
            <w:r>
              <w:rPr>
                <w:sz w:val="21"/>
              </w:rPr>
              <w:t>2</w:t>
            </w:r>
            <w:r>
              <w:rPr>
                <w:sz w:val="21"/>
              </w:rPr>
              <w:t>.</w:t>
            </w:r>
            <w:r>
              <w:rPr>
                <w:sz w:val="21"/>
              </w:rPr>
              <w:t>在合同附件</w:t>
            </w:r>
            <w:r>
              <w:rPr>
                <w:sz w:val="21"/>
              </w:rPr>
              <w:t>1</w:t>
            </w:r>
            <w:r>
              <w:rPr>
                <w:sz w:val="21"/>
              </w:rPr>
              <w:t>里填写）</w:t>
            </w: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pPr>
              <w:pStyle w:val="null3"/>
              <w:ind w:firstLine="420"/>
              <w:jc w:val="left"/>
            </w:pPr>
          </w:p>
        </w:tc>
        <w:tc>
          <w:tcPr>
            <w:tcW w:type="dxa" w:w="646"/>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01"/>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c>
          <w:tcPr>
            <w:tcW w:type="dxa" w:w="715"/>
            <w:tcBorders>
              <w:top w:val="none" w:color="000000" w:sz="4"/>
              <w:left w:val="none" w:color="000000" w:sz="4"/>
              <w:bottom w:val="outset" w:color="000000" w:sz="4"/>
              <w:right w:val="outset" w:color="000000" w:sz="4"/>
            </w:tcBorders>
            <w:tcMar>
              <w:top w:type="dxa" w:w="15"/>
              <w:left w:type="dxa" w:w="15"/>
              <w:bottom w:type="dxa" w:w="15"/>
              <w:right w:type="dxa" w:w="15"/>
            </w:tcMar>
            <w:vAlign w:val="top"/>
          </w:tcPr>
          <w:p/>
        </w:tc>
      </w:tr>
      <w:tr>
        <w:tc>
          <w:tcPr>
            <w:tcW w:type="dxa" w:w="8260"/>
            <w:gridSpan w:val="10"/>
            <w:tcBorders>
              <w:top w:val="none" w:color="000000" w:sz="4"/>
              <w:left w:val="outset" w:color="000000" w:sz="4"/>
              <w:bottom w:val="outset" w:color="000000" w:sz="4"/>
              <w:right w:val="outset" w:color="000000" w:sz="4"/>
            </w:tcBorders>
            <w:tcMar>
              <w:top w:type="dxa" w:w="15"/>
              <w:left w:type="dxa" w:w="15"/>
              <w:bottom w:type="dxa" w:w="15"/>
              <w:right w:type="dxa" w:w="15"/>
            </w:tcMar>
            <w:vAlign w:val="top"/>
          </w:tcPr>
          <w:p>
            <w:pPr>
              <w:pStyle w:val="null3"/>
              <w:jc w:val="left"/>
            </w:pPr>
            <w:r>
              <w:rPr>
                <w:sz w:val="21"/>
              </w:rPr>
              <w:t>合同总价（人民币）：</w:t>
            </w:r>
            <w:r>
              <w:rPr>
                <w:sz w:val="21"/>
              </w:rPr>
              <w:t xml:space="preserve">  </w:t>
            </w:r>
            <w:r>
              <w:rPr>
                <w:sz w:val="21"/>
              </w:rPr>
              <w:t>佰</w:t>
            </w:r>
            <w:r>
              <w:rPr>
                <w:sz w:val="21"/>
              </w:rPr>
              <w:t xml:space="preserve">  </w:t>
            </w:r>
            <w:r>
              <w:rPr>
                <w:sz w:val="21"/>
              </w:rPr>
              <w:t>拾</w:t>
            </w:r>
            <w:r>
              <w:rPr>
                <w:sz w:val="21"/>
              </w:rPr>
              <w:t xml:space="preserve">  </w:t>
            </w:r>
            <w:r>
              <w:rPr>
                <w:sz w:val="21"/>
              </w:rPr>
              <w:t>万</w:t>
            </w:r>
            <w:r>
              <w:rPr>
                <w:sz w:val="21"/>
              </w:rPr>
              <w:t xml:space="preserve">  </w:t>
            </w:r>
            <w:r>
              <w:rPr>
                <w:sz w:val="21"/>
              </w:rPr>
              <w:t>仟</w:t>
            </w:r>
            <w:r>
              <w:rPr>
                <w:sz w:val="21"/>
              </w:rPr>
              <w:t xml:space="preserve">  </w:t>
            </w:r>
            <w:r>
              <w:rPr>
                <w:sz w:val="21"/>
              </w:rPr>
              <w:t>佰</w:t>
            </w:r>
            <w:r>
              <w:rPr>
                <w:sz w:val="21"/>
              </w:rPr>
              <w:t xml:space="preserve">  </w:t>
            </w:r>
            <w:r>
              <w:rPr>
                <w:sz w:val="21"/>
              </w:rPr>
              <w:t>拾</w:t>
            </w:r>
            <w:r>
              <w:rPr>
                <w:sz w:val="21"/>
              </w:rPr>
              <w:t xml:space="preserve">  </w:t>
            </w:r>
            <w:r>
              <w:rPr>
                <w:sz w:val="21"/>
              </w:rPr>
              <w:t>元</w:t>
            </w:r>
            <w:r>
              <w:rPr>
                <w:sz w:val="21"/>
              </w:rPr>
              <w:t xml:space="preserve">  </w:t>
            </w:r>
            <w:r>
              <w:rPr>
                <w:sz w:val="21"/>
              </w:rPr>
              <w:t>角</w:t>
            </w:r>
            <w:r>
              <w:rPr>
                <w:sz w:val="21"/>
              </w:rPr>
              <w:t xml:space="preserve">  </w:t>
            </w:r>
            <w:r>
              <w:rPr>
                <w:sz w:val="21"/>
              </w:rPr>
              <w:t>分</w:t>
            </w:r>
            <w:r>
              <w:rPr>
                <w:sz w:val="21"/>
              </w:rPr>
              <w:t>（￥</w:t>
            </w:r>
            <w:r>
              <w:rPr>
                <w:sz w:val="21"/>
              </w:rPr>
              <w:t xml:space="preserve">           </w:t>
            </w:r>
            <w:r>
              <w:rPr>
                <w:sz w:val="21"/>
              </w:rPr>
              <w:t>）</w:t>
            </w:r>
          </w:p>
        </w:tc>
      </w:tr>
    </w:tbl>
    <w:p>
      <w:pPr>
        <w:pStyle w:val="null3"/>
        <w:ind w:firstLine="420"/>
        <w:jc w:val="left"/>
      </w:pPr>
      <w:r>
        <w:rPr>
          <w:sz w:val="21"/>
        </w:rPr>
        <w:t>2．</w:t>
      </w:r>
      <w:r>
        <w:rPr>
          <w:sz w:val="21"/>
        </w:rPr>
        <w:t>上述合同总价为乙方按照合同约定完成合同全部义务后所适用的总价格，包括但不限于货物（包括备品备件）的设计、制造、包装、仓储、运输、保险、货物运输至最终目的地保险费、装卸费、安装、调试、试运行、验收、培训、技术服务（包括技术资料、图纸的提供）、质保期保障服务等的全部含税费用。除本合同明确约定的费用外，甲方无需支付任何额外费用和承担任何额外义务。</w:t>
      </w:r>
    </w:p>
    <w:p>
      <w:pPr>
        <w:pStyle w:val="null3"/>
        <w:ind w:firstLine="422"/>
        <w:jc w:val="left"/>
      </w:pPr>
      <w:r>
        <w:rPr>
          <w:sz w:val="21"/>
          <w:b/>
        </w:rPr>
        <w:t>二、货物要求</w:t>
      </w:r>
    </w:p>
    <w:p>
      <w:pPr>
        <w:pStyle w:val="null3"/>
        <w:ind w:firstLine="420"/>
        <w:jc w:val="left"/>
      </w:pPr>
      <w:r>
        <w:rPr>
          <w:sz w:val="21"/>
        </w:rPr>
        <w:t>1. 质量要求：乙方提供的货物必须符合（1）中华人民共和国国家标准；（2）行业标准；（3）地方标准；（4）货物生产商的产品质量标准；（5）其他标准：</w:t>
      </w:r>
      <w:r>
        <w:rPr>
          <w:sz w:val="21"/>
          <w:u w:val="single"/>
        </w:rPr>
        <w:t>（如有请补充，否则请填无）</w:t>
      </w:r>
      <w:r>
        <w:rPr>
          <w:sz w:val="21"/>
        </w:rPr>
        <w:t>等质量标准，否则甲方有权作退货处理。</w:t>
      </w:r>
    </w:p>
    <w:p>
      <w:pPr>
        <w:pStyle w:val="null3"/>
        <w:ind w:firstLine="420"/>
        <w:jc w:val="left"/>
      </w:pPr>
      <w:r>
        <w:rPr>
          <w:sz w:val="21"/>
        </w:rPr>
        <w:t>2</w:t>
      </w:r>
      <w:r>
        <w:rPr>
          <w:sz w:val="21"/>
        </w:rPr>
        <w:t>．</w:t>
      </w:r>
      <w:r>
        <w:rPr>
          <w:sz w:val="21"/>
        </w:rPr>
        <w:t>技术要求：乙方承诺提供的货物完全符合招投标文件中作出的承诺，否则甲方有权作退货处理。</w:t>
      </w:r>
    </w:p>
    <w:p>
      <w:pPr>
        <w:pStyle w:val="null3"/>
        <w:ind w:firstLine="420"/>
        <w:jc w:val="left"/>
      </w:pPr>
      <w:r>
        <w:rPr>
          <w:sz w:val="21"/>
        </w:rPr>
        <w:t>3．</w:t>
      </w:r>
      <w:r>
        <w:rPr>
          <w:sz w:val="21"/>
        </w:rPr>
        <w:t>包装及运输要求：乙方提供的货物必须是制造厂商全新的原厂原装产品（含零部件、配件、随机工具、技术文件等），包装外观完好、表面无划损、破损，无任何缺陷及隐患，每台设备上均应钉有铭牌</w:t>
      </w:r>
      <w:r>
        <w:rPr>
          <w:sz w:val="21"/>
        </w:rPr>
        <w:t>(</w:t>
      </w:r>
      <w:r>
        <w:rPr>
          <w:sz w:val="21"/>
        </w:rPr>
        <w:t>内容包括：制造商</w:t>
      </w:r>
      <w:r>
        <w:rPr>
          <w:sz w:val="21"/>
        </w:rPr>
        <w:t>,</w:t>
      </w:r>
      <w:r>
        <w:rPr>
          <w:sz w:val="21"/>
        </w:rPr>
        <w:t>设备名称、型号规格、序列号）等并附有产品质量检验合格标志，且进货渠道合法，在中国境内可依常规安全合法使用。并应使用产品标准出厂包装，适合于空运、海运、陆运等长途运输方式及气候变化，防潮、防震、防雨、防锈、防冻等。如因包装造成的一切损失（包括但不限于商品损坏、损失、锈蚀、费用增长等），一概由乙方负责赔偿。包装材料具有一定的缓冲性能，能够吸收外部冲击力，避免设备受损。包装以纸箱为主，内有泡沫或气泡膜填充进行隔振缓冲。运输过程，选择优质服务的物流公司。运输过程需要对于仪器货物进行适当的固定，避免运输过程中发生碰撞。乙方承担货物运抵指定交货地点的运输费、保险费、包装费等，上述费用包含在货物的最终成交总额中。设备的包装均应有良好的防湿、防锈、防潮、防雨、防腐及防碰撞等措施，符合《商品包装政府采购需求标准（试行）》及《快递包装政府采购需求标准（试行）》的要求。</w:t>
      </w:r>
    </w:p>
    <w:p>
      <w:pPr>
        <w:pStyle w:val="null3"/>
        <w:ind w:firstLine="420"/>
        <w:jc w:val="left"/>
      </w:pPr>
      <w:r>
        <w:rPr>
          <w:sz w:val="21"/>
        </w:rPr>
        <w:t>4．</w:t>
      </w:r>
      <w:r>
        <w:rPr>
          <w:sz w:val="21"/>
        </w:rPr>
        <w:t>乙方应免费提供中文的产品正式说明书，场地准备书，使用手册及维护手册等，以及所有有关本合同执行的技术文件。如果项目必需但合同又未作规定的，需要乙方才能提供的技术文件，乙方也应及时向甲方提供。技术文件可以是手册、图纸或其他形式的文件资料。上述技术文件应包含保证甲方能够正确进行安装、操作、检查、维修、维护、测试、调试、验收和运作的需要的所有内容。</w:t>
      </w:r>
    </w:p>
    <w:p>
      <w:pPr>
        <w:pStyle w:val="null3"/>
        <w:ind w:firstLine="422"/>
        <w:jc w:val="left"/>
      </w:pPr>
      <w:r>
        <w:rPr>
          <w:sz w:val="21"/>
          <w:b/>
        </w:rPr>
        <w:t>三、货物交付</w:t>
      </w:r>
    </w:p>
    <w:p>
      <w:pPr>
        <w:pStyle w:val="null3"/>
        <w:ind w:firstLine="420"/>
        <w:jc w:val="left"/>
      </w:pPr>
      <w:r>
        <w:rPr>
          <w:sz w:val="21"/>
        </w:rPr>
        <w:t>1．</w:t>
      </w:r>
      <w:r>
        <w:rPr>
          <w:sz w:val="21"/>
        </w:rPr>
        <w:t>交货地点：甲方指定交付地点。（联系人：</w:t>
      </w:r>
      <w:r>
        <w:rPr>
          <w:sz w:val="21"/>
        </w:rPr>
        <w:t>__________电话：______________）；</w:t>
      </w:r>
    </w:p>
    <w:p>
      <w:pPr>
        <w:pStyle w:val="null3"/>
        <w:ind w:firstLine="420"/>
        <w:jc w:val="left"/>
      </w:pPr>
      <w:r>
        <w:rPr>
          <w:sz w:val="21"/>
        </w:rPr>
        <w:t>2</w:t>
      </w:r>
      <w:r>
        <w:rPr>
          <w:sz w:val="21"/>
        </w:rPr>
        <w:t>．交货时间：</w:t>
      </w:r>
      <w:r>
        <w:rPr>
          <w:sz w:val="21"/>
        </w:rPr>
        <w:t>__________。</w:t>
      </w:r>
    </w:p>
    <w:p>
      <w:pPr>
        <w:pStyle w:val="null3"/>
        <w:ind w:firstLine="422"/>
        <w:jc w:val="left"/>
      </w:pPr>
      <w:r>
        <w:rPr>
          <w:sz w:val="21"/>
          <w:b/>
        </w:rPr>
        <w:t>四、货物安装及验收</w:t>
      </w:r>
    </w:p>
    <w:p>
      <w:pPr>
        <w:pStyle w:val="null3"/>
        <w:ind w:firstLine="420"/>
        <w:jc w:val="left"/>
      </w:pPr>
      <w:r>
        <w:rPr>
          <w:sz w:val="21"/>
        </w:rPr>
        <w:t xml:space="preserve">1. </w:t>
      </w:r>
      <w:r>
        <w:rPr>
          <w:sz w:val="21"/>
        </w:rPr>
        <w:t>乙方应在签订合同后</w:t>
      </w:r>
      <w:r>
        <w:rPr>
          <w:sz w:val="21"/>
          <w:u w:val="single"/>
        </w:rPr>
        <w:t xml:space="preserve">     </w:t>
      </w:r>
      <w:r>
        <w:rPr>
          <w:sz w:val="21"/>
        </w:rPr>
        <w:t>天内向甲方提出产品安装、调试应准备的条件。乙方必须在货物测试与验收前，向甲方提供按本合同的技术规格、技术规范的要求进行的测试与验收方案。</w:t>
      </w:r>
    </w:p>
    <w:p>
      <w:pPr>
        <w:pStyle w:val="null3"/>
        <w:ind w:firstLine="420"/>
        <w:jc w:val="left"/>
      </w:pPr>
      <w:r>
        <w:rPr>
          <w:sz w:val="21"/>
        </w:rPr>
        <w:t xml:space="preserve">2. </w:t>
      </w:r>
      <w:r>
        <w:rPr>
          <w:sz w:val="21"/>
        </w:rPr>
        <w:t>货物交付甲方后，甲乙双方商定日期，双方一起开箱验货，不得单方面</w:t>
      </w:r>
      <w:r>
        <w:rPr>
          <w:sz w:val="21"/>
        </w:rPr>
        <w:t>开箱。甲方对货物的外观品质、数量、规格、型号、备件、随机资料等进行初步验收，</w:t>
      </w:r>
      <w:r>
        <w:rPr>
          <w:sz w:val="21"/>
        </w:rPr>
        <w:t>由乙方免费现场安装调试。</w:t>
      </w:r>
    </w:p>
    <w:p>
      <w:pPr>
        <w:pStyle w:val="null3"/>
        <w:ind w:firstLine="420"/>
        <w:jc w:val="left"/>
      </w:pPr>
      <w:r>
        <w:rPr>
          <w:sz w:val="21"/>
        </w:rPr>
        <w:t>3．</w:t>
      </w:r>
      <w:r>
        <w:rPr>
          <w:sz w:val="21"/>
        </w:rPr>
        <w:t>甲方在开箱验货中如发现货物不符合合同的约定，有权拒绝接受货物，经各方确认后，乙方应于</w:t>
      </w:r>
      <w:r>
        <w:rPr>
          <w:sz w:val="21"/>
          <w:u w:val="single"/>
        </w:rPr>
        <w:t xml:space="preserve">     </w:t>
      </w:r>
      <w:r>
        <w:rPr>
          <w:sz w:val="21"/>
        </w:rPr>
        <w:t>天内重新提供符合合同约定的货物，否则，视为乙方逾期交货。</w:t>
      </w:r>
    </w:p>
    <w:p>
      <w:pPr>
        <w:pStyle w:val="null3"/>
        <w:ind w:firstLine="420"/>
        <w:jc w:val="left"/>
      </w:pPr>
      <w:r>
        <w:rPr>
          <w:sz w:val="21"/>
        </w:rPr>
        <w:t>4</w:t>
      </w:r>
      <w:r>
        <w:rPr>
          <w:sz w:val="21"/>
        </w:rPr>
        <w:t>．乙方应于</w:t>
      </w:r>
      <w:r>
        <w:rPr>
          <w:sz w:val="21"/>
        </w:rPr>
        <w:t>货到甲方指定交货地点之日起</w:t>
      </w:r>
      <w:r>
        <w:rPr>
          <w:sz w:val="21"/>
          <w:u w:val="single"/>
        </w:rPr>
        <w:t xml:space="preserve">    </w:t>
      </w:r>
      <w:r>
        <w:rPr>
          <w:sz w:val="21"/>
        </w:rPr>
        <w:t>天</w:t>
      </w:r>
      <w:r>
        <w:rPr>
          <w:sz w:val="21"/>
        </w:rPr>
        <w:t>内完成安装调试</w:t>
      </w:r>
      <w:r>
        <w:rPr>
          <w:sz w:val="21"/>
        </w:rPr>
        <w:t>。</w:t>
      </w:r>
      <w:r>
        <w:rPr>
          <w:sz w:val="21"/>
        </w:rPr>
        <w:t>货物安装调试完毕</w:t>
      </w:r>
      <w:r>
        <w:rPr>
          <w:sz w:val="21"/>
        </w:rPr>
        <w:t>且</w:t>
      </w:r>
      <w:r>
        <w:rPr>
          <w:sz w:val="21"/>
        </w:rPr>
        <w:t>正常运行</w:t>
      </w:r>
      <w:r>
        <w:rPr>
          <w:sz w:val="21"/>
        </w:rPr>
        <w:t>不少于</w:t>
      </w:r>
      <w:r>
        <w:rPr>
          <w:sz w:val="21"/>
          <w:u w:val="single"/>
        </w:rPr>
        <w:t xml:space="preserve">     </w:t>
      </w:r>
      <w:r>
        <w:rPr>
          <w:sz w:val="21"/>
        </w:rPr>
        <w:t>个月</w:t>
      </w:r>
      <w:r>
        <w:rPr>
          <w:sz w:val="21"/>
        </w:rPr>
        <w:t>后，乙方应备齐甲方要求提供的验收文件，并提出</w:t>
      </w:r>
      <w:r>
        <w:rPr>
          <w:sz w:val="21"/>
        </w:rPr>
        <w:t>书面</w:t>
      </w:r>
      <w:r>
        <w:rPr>
          <w:sz w:val="21"/>
        </w:rPr>
        <w:t>验收申请。甲方</w:t>
      </w:r>
      <w:r>
        <w:rPr>
          <w:sz w:val="21"/>
        </w:rPr>
        <w:t>将按流程进行验收</w:t>
      </w:r>
      <w:r>
        <w:rPr>
          <w:sz w:val="21"/>
        </w:rPr>
        <w:t>，</w:t>
      </w:r>
      <w:r>
        <w:rPr>
          <w:sz w:val="21"/>
        </w:rPr>
        <w:t>并</w:t>
      </w:r>
      <w:r>
        <w:rPr>
          <w:sz w:val="21"/>
        </w:rPr>
        <w:t>出具采购物资验收报告给乙方。</w:t>
      </w:r>
      <w:r>
        <w:rPr>
          <w:sz w:val="21"/>
        </w:rPr>
        <w:t>货物</w:t>
      </w:r>
      <w:r>
        <w:rPr>
          <w:sz w:val="21"/>
        </w:rPr>
        <w:t>验收合格之日为甲方签署采购物资验收报告的日期。</w:t>
      </w:r>
    </w:p>
    <w:p>
      <w:pPr>
        <w:pStyle w:val="null3"/>
        <w:ind w:firstLine="420"/>
        <w:jc w:val="left"/>
      </w:pPr>
      <w:r>
        <w:rPr>
          <w:sz w:val="21"/>
        </w:rPr>
        <w:t>5</w:t>
      </w:r>
      <w:r>
        <w:rPr>
          <w:sz w:val="21"/>
        </w:rPr>
        <w:t>．</w:t>
      </w:r>
      <w:r>
        <w:rPr>
          <w:sz w:val="21"/>
        </w:rPr>
        <w:t>货物验收标准：</w:t>
      </w:r>
      <w:r>
        <w:rPr>
          <w:sz w:val="21"/>
        </w:rPr>
        <w:t>以招</w:t>
      </w:r>
      <w:r>
        <w:rPr>
          <w:sz w:val="21"/>
        </w:rPr>
        <w:t>投</w:t>
      </w:r>
      <w:r>
        <w:rPr>
          <w:sz w:val="21"/>
        </w:rPr>
        <w:t>标文件和合同项下所述的标准和要求进行验收，如招</w:t>
      </w:r>
      <w:r>
        <w:rPr>
          <w:sz w:val="21"/>
        </w:rPr>
        <w:t>投</w:t>
      </w:r>
      <w:r>
        <w:rPr>
          <w:sz w:val="21"/>
        </w:rPr>
        <w:t>标文件与合同的标准和要求有冲突的，以招</w:t>
      </w:r>
      <w:r>
        <w:rPr>
          <w:sz w:val="21"/>
        </w:rPr>
        <w:t>投</w:t>
      </w:r>
      <w:r>
        <w:rPr>
          <w:sz w:val="21"/>
        </w:rPr>
        <w:t>标文件为准。</w:t>
      </w:r>
    </w:p>
    <w:p>
      <w:pPr>
        <w:pStyle w:val="null3"/>
        <w:ind w:firstLine="420"/>
        <w:jc w:val="both"/>
      </w:pPr>
      <w:r>
        <w:rPr>
          <w:sz w:val="21"/>
        </w:rPr>
        <w:t>6.</w:t>
      </w:r>
      <w:r>
        <w:rPr>
          <w:sz w:val="21"/>
        </w:rPr>
        <w:t xml:space="preserve"> </w:t>
      </w:r>
      <w:r>
        <w:rPr>
          <w:sz w:val="21"/>
        </w:rPr>
        <w:t>乙方在合同签订后</w:t>
      </w:r>
      <w:r>
        <w:rPr>
          <w:sz w:val="21"/>
          <w:u w:val="single"/>
        </w:rPr>
        <w:t xml:space="preserve">    </w:t>
      </w:r>
      <w:r>
        <w:rPr>
          <w:sz w:val="21"/>
        </w:rPr>
        <w:t>日内，以支票、汇票、本票、保函或转账方式向甲方提交合同总额的</w:t>
      </w:r>
      <w:r>
        <w:rPr>
          <w:sz w:val="21"/>
          <w:u w:val="single"/>
        </w:rPr>
        <w:t xml:space="preserve">    </w:t>
      </w:r>
      <w:r>
        <w:rPr>
          <w:sz w:val="21"/>
          <w:u w:val="single"/>
        </w:rPr>
        <w:t>%</w:t>
      </w:r>
      <w:r>
        <w:rPr>
          <w:sz w:val="21"/>
        </w:rPr>
        <w:t>作为履约保证金。项目验收合格</w:t>
      </w:r>
      <w:r>
        <w:rPr>
          <w:sz w:val="21"/>
          <w:u w:val="single"/>
        </w:rPr>
        <w:t xml:space="preserve">    </w:t>
      </w:r>
      <w:r>
        <w:rPr>
          <w:sz w:val="21"/>
        </w:rPr>
        <w:t>个月内，合同标的无质量问题，乙方凭收据向甲方申请退还，甲方在收到乙方申请单据之日起</w:t>
      </w:r>
      <w:r>
        <w:rPr>
          <w:sz w:val="21"/>
        </w:rPr>
        <w:t>15</w:t>
      </w:r>
      <w:r>
        <w:rPr>
          <w:sz w:val="21"/>
        </w:rPr>
        <w:t>个工作日内无息退还给乙方。履约保证金不予退还的情形：（</w:t>
      </w:r>
      <w:r>
        <w:rPr>
          <w:sz w:val="21"/>
        </w:rPr>
        <w:t>1</w:t>
      </w:r>
      <w:r>
        <w:rPr>
          <w:sz w:val="21"/>
        </w:rPr>
        <w:t>）未经甲方同意，乙方将本项目进行分包或转包给他人；（</w:t>
      </w:r>
      <w:r>
        <w:rPr>
          <w:sz w:val="21"/>
        </w:rPr>
        <w:t>2</w:t>
      </w:r>
      <w:r>
        <w:rPr>
          <w:sz w:val="21"/>
        </w:rPr>
        <w:t>）在履行合同期间，乙方未经甲方同意提前终止本项目合同；（</w:t>
      </w:r>
      <w:r>
        <w:rPr>
          <w:sz w:val="21"/>
        </w:rPr>
        <w:t>3</w:t>
      </w:r>
      <w:r>
        <w:rPr>
          <w:sz w:val="21"/>
        </w:rPr>
        <w:t>）在履行合同期间，乙方因在经营活动中存在违法被吊销营业执照或相关许可，导致本项目合同无法继续履行的。</w:t>
      </w:r>
    </w:p>
    <w:p>
      <w:pPr>
        <w:pStyle w:val="null3"/>
        <w:ind w:firstLine="420"/>
        <w:jc w:val="left"/>
      </w:pPr>
      <w:r>
        <w:rPr>
          <w:sz w:val="21"/>
        </w:rPr>
        <w:t>7. 经甲方对乙方提供的货物进行验收，若发现乙方提供的货物不符合招投标文件及合同规定的质量要求，甲方有权拒收该货物，乙方应无条件更换被拒绝的货物，或者免费进行必要的修改以满足规定的要求；甲方也有权选择解除合同并要求乙方承担违约责任。</w:t>
      </w:r>
    </w:p>
    <w:p>
      <w:pPr>
        <w:pStyle w:val="null3"/>
        <w:ind w:firstLine="420"/>
        <w:jc w:val="left"/>
      </w:pPr>
      <w:r>
        <w:rPr>
          <w:sz w:val="21"/>
        </w:rPr>
        <w:t>8. 甲方在货物到达交货地点后对货物进行检验、测试及必要时拒绝接受货物的权利将不会因为货物在乙方或其分包人的驻地已通过了甲方或其代表的检验、测试和认可而受到限制或放弃。</w:t>
      </w:r>
    </w:p>
    <w:p>
      <w:pPr>
        <w:pStyle w:val="null3"/>
        <w:ind w:firstLine="422"/>
        <w:jc w:val="left"/>
      </w:pPr>
      <w:r>
        <w:rPr>
          <w:sz w:val="21"/>
          <w:b/>
        </w:rPr>
        <w:t>五、付款</w:t>
      </w:r>
    </w:p>
    <w:p>
      <w:pPr>
        <w:pStyle w:val="null3"/>
        <w:ind w:firstLine="420"/>
        <w:jc w:val="left"/>
      </w:pPr>
      <w:r>
        <w:rPr>
          <w:sz w:val="21"/>
        </w:rPr>
        <w:t>1. 本合同采用以下第____种付款方式：</w:t>
      </w:r>
    </w:p>
    <w:p>
      <w:pPr>
        <w:pStyle w:val="null3"/>
        <w:ind w:firstLine="420"/>
        <w:jc w:val="left"/>
      </w:pPr>
      <w:r>
        <w:rPr>
          <w:sz w:val="21"/>
        </w:rPr>
        <w:t>A. 一次性结算</w:t>
      </w:r>
    </w:p>
    <w:p>
      <w:pPr>
        <w:pStyle w:val="null3"/>
        <w:ind w:firstLine="420"/>
        <w:jc w:val="left"/>
      </w:pPr>
      <w:r>
        <w:rPr>
          <w:sz w:val="21"/>
        </w:rPr>
        <w:t>货到交货地点、验收合格后</w:t>
      </w:r>
      <w:r>
        <w:rPr>
          <w:sz w:val="21"/>
          <w:u w:val="single"/>
        </w:rPr>
        <w:t xml:space="preserve">      </w:t>
      </w:r>
      <w:r>
        <w:rPr>
          <w:sz w:val="21"/>
        </w:rPr>
        <w:t>个工作日内一次付清货款。</w:t>
      </w:r>
    </w:p>
    <w:p>
      <w:pPr>
        <w:pStyle w:val="null3"/>
        <w:ind w:firstLine="420"/>
        <w:jc w:val="left"/>
      </w:pPr>
      <w:r>
        <w:rPr>
          <w:sz w:val="21"/>
        </w:rPr>
        <w:t>B.分期结算</w:t>
      </w:r>
    </w:p>
    <w:p>
      <w:pPr>
        <w:pStyle w:val="null3"/>
        <w:ind w:firstLine="420"/>
        <w:jc w:val="left"/>
      </w:pPr>
      <w:r>
        <w:rPr>
          <w:sz w:val="21"/>
        </w:rPr>
        <w:t>本合同总金额为￥</w:t>
      </w:r>
      <w:r>
        <w:rPr>
          <w:sz w:val="21"/>
        </w:rPr>
        <w:t>____________，分</w:t>
      </w:r>
      <w:r>
        <w:rPr>
          <w:sz w:val="21"/>
          <w:u w:val="single"/>
        </w:rPr>
        <w:t xml:space="preserve">     </w:t>
      </w:r>
      <w:r>
        <w:rPr>
          <w:sz w:val="21"/>
        </w:rPr>
        <w:t>次结算。</w:t>
      </w:r>
    </w:p>
    <w:p>
      <w:pPr>
        <w:pStyle w:val="null3"/>
        <w:ind w:firstLine="420"/>
        <w:jc w:val="left"/>
      </w:pPr>
      <w:r>
        <w:rPr>
          <w:sz w:val="21"/>
        </w:rPr>
        <w:t>第一期：签订合同后</w:t>
      </w:r>
      <w:r>
        <w:rPr>
          <w:sz w:val="21"/>
        </w:rPr>
        <w:t>___个工作日内支付￥______（即合同总金额的____％）（注：第一期付款金额一般不得超过合同总金额的30%）。</w:t>
      </w:r>
    </w:p>
    <w:p>
      <w:pPr>
        <w:pStyle w:val="null3"/>
        <w:ind w:firstLine="420"/>
        <w:jc w:val="left"/>
      </w:pPr>
      <w:r>
        <w:rPr>
          <w:sz w:val="21"/>
        </w:rPr>
        <w:t>第二期：货到交货地点、安装调试、验收合格后</w:t>
      </w:r>
      <w:r>
        <w:rPr>
          <w:sz w:val="21"/>
        </w:rPr>
        <w:t>___个工作日内支付￥______（即合同总金额的____％）。</w:t>
      </w:r>
    </w:p>
    <w:p>
      <w:pPr>
        <w:pStyle w:val="null3"/>
        <w:ind w:firstLine="420"/>
        <w:jc w:val="left"/>
      </w:pPr>
      <w:r>
        <w:rPr>
          <w:sz w:val="21"/>
        </w:rPr>
        <w:t>C.分期结算+银行保函（仅适用大规模设备更新项目）</w:t>
      </w:r>
    </w:p>
    <w:p>
      <w:pPr>
        <w:pStyle w:val="null3"/>
        <w:ind w:firstLine="420"/>
        <w:jc w:val="left"/>
      </w:pPr>
      <w:r>
        <w:rPr>
          <w:sz w:val="21"/>
        </w:rPr>
        <w:t>第一期：支付比例</w:t>
      </w:r>
      <w:r>
        <w:rPr>
          <w:sz w:val="21"/>
          <w:u w:val="single"/>
        </w:rPr>
        <w:t xml:space="preserve">    </w:t>
      </w:r>
      <w:r>
        <w:rPr>
          <w:sz w:val="21"/>
        </w:rPr>
        <w:t>%。合同签订后，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%等额的银行保函，甲方支付</w:t>
      </w:r>
      <w:r>
        <w:rPr>
          <w:sz w:val="21"/>
          <w:u w:val="single"/>
        </w:rPr>
        <w:t xml:space="preserve">    </w:t>
      </w:r>
      <w:r>
        <w:rPr>
          <w:sz w:val="21"/>
        </w:rPr>
        <w:t>%合同金额至乙方指定账户。（如乙方为中小微企业的，则合同签订后</w:t>
      </w:r>
      <w:r>
        <w:rPr>
          <w:sz w:val="21"/>
          <w:u w:val="single"/>
        </w:rPr>
        <w:t xml:space="preserve">    </w:t>
      </w:r>
      <w:r>
        <w:rPr>
          <w:sz w:val="21"/>
        </w:rPr>
        <w:t>个工作日内，甲方通过银行转账方式支付合同金额的</w:t>
      </w:r>
      <w:r>
        <w:rPr>
          <w:sz w:val="21"/>
          <w:u w:val="single"/>
        </w:rPr>
        <w:t xml:space="preserve">   </w:t>
      </w:r>
      <w:r>
        <w:rPr>
          <w:sz w:val="21"/>
        </w:rPr>
        <w:t>%给乙方作为预付款；</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日前，乙方务必供货到甲方指定地点或提供与合同金额</w:t>
      </w:r>
      <w:r>
        <w:rPr>
          <w:sz w:val="21"/>
          <w:u w:val="single"/>
        </w:rPr>
        <w:t xml:space="preserve">   </w:t>
      </w:r>
      <w:r>
        <w:rPr>
          <w:sz w:val="21"/>
        </w:rPr>
        <w:t>%等额的银行保函，支付合同金额的</w:t>
      </w:r>
      <w:r>
        <w:rPr>
          <w:sz w:val="21"/>
          <w:u w:val="single"/>
        </w:rPr>
        <w:t xml:space="preserve">     </w:t>
      </w:r>
      <w:r>
        <w:rPr>
          <w:sz w:val="21"/>
        </w:rPr>
        <w:t>%。）</w:t>
      </w:r>
    </w:p>
    <w:p>
      <w:pPr>
        <w:pStyle w:val="null3"/>
        <w:ind w:firstLine="420"/>
        <w:jc w:val="left"/>
      </w:pPr>
      <w:r>
        <w:rPr>
          <w:sz w:val="21"/>
        </w:rPr>
        <w:t>第二期：支付比例</w:t>
      </w:r>
      <w:r>
        <w:rPr>
          <w:sz w:val="21"/>
          <w:u w:val="single"/>
        </w:rPr>
        <w:t xml:space="preserve">     </w:t>
      </w:r>
      <w:r>
        <w:rPr>
          <w:sz w:val="21"/>
        </w:rPr>
        <w:t>%。待甲方验收合格后，支付合同金额的</w:t>
      </w:r>
      <w:r>
        <w:rPr>
          <w:sz w:val="21"/>
          <w:u w:val="single"/>
        </w:rPr>
        <w:t xml:space="preserve">    </w:t>
      </w:r>
      <w:r>
        <w:rPr>
          <w:sz w:val="21"/>
        </w:rPr>
        <w:t>%。</w:t>
      </w:r>
    </w:p>
    <w:p>
      <w:pPr>
        <w:pStyle w:val="null3"/>
        <w:ind w:firstLine="420"/>
        <w:jc w:val="left"/>
      </w:pPr>
      <w:r>
        <w:rPr>
          <w:sz w:val="21"/>
        </w:rPr>
        <w:t>（甲方纳税人识别号</w:t>
      </w:r>
      <w:r>
        <w:rPr>
          <w:sz w:val="21"/>
        </w:rPr>
        <w:t>: 124400004558589190）</w:t>
      </w:r>
    </w:p>
    <w:p>
      <w:pPr>
        <w:pStyle w:val="null3"/>
        <w:ind w:firstLine="420"/>
        <w:jc w:val="left"/>
      </w:pPr>
      <w:r>
        <w:rPr>
          <w:sz w:val="21"/>
        </w:rPr>
        <w:t>2.甲方每次支付前，乙方应提供等额增值税专用发票。</w:t>
      </w:r>
    </w:p>
    <w:p>
      <w:pPr>
        <w:pStyle w:val="null3"/>
        <w:ind w:firstLine="420"/>
        <w:jc w:val="left"/>
      </w:pPr>
      <w:r>
        <w:rPr>
          <w:sz w:val="21"/>
        </w:rPr>
        <w:t>3．甲方向乙方指定账户汇出款项后，即视为已履行付款义务。在汇款过程中，因乙方账户的原因（包括但不限于账号被注销、被冻结等）导致其无法收取款项的，由乙方承担相应后果。</w:t>
      </w:r>
    </w:p>
    <w:p>
      <w:pPr>
        <w:pStyle w:val="null3"/>
        <w:ind w:firstLine="420"/>
        <w:jc w:val="left"/>
      </w:pPr>
      <w:r>
        <w:rPr>
          <w:sz w:val="21"/>
        </w:rPr>
        <w:t>4．</w:t>
      </w:r>
      <w:r>
        <w:rPr>
          <w:sz w:val="21"/>
        </w:rPr>
        <w:t>本项目如执行国库支付的，甲方在验收合格后</w:t>
      </w:r>
      <w:r>
        <w:rPr>
          <w:sz w:val="21"/>
          <w:u w:val="single"/>
        </w:rPr>
        <w:t xml:space="preserve">    </w:t>
      </w:r>
      <w:r>
        <w:rPr>
          <w:sz w:val="21"/>
        </w:rPr>
        <w:t>个工作日内办理财政集中支付申请手续，付款按照财政部门国库集中支付的有关规定办理。付款时间为甲方向政府财政支付部门提出支付申请的时间（不含政府财政支付部门审查的时间</w:t>
      </w:r>
      <w:r>
        <w:rPr>
          <w:sz w:val="21"/>
        </w:rPr>
        <w:t>)。</w:t>
      </w:r>
    </w:p>
    <w:p>
      <w:pPr>
        <w:pStyle w:val="null3"/>
        <w:ind w:firstLine="420"/>
        <w:jc w:val="left"/>
      </w:pPr>
      <w:r>
        <w:rPr>
          <w:sz w:val="21"/>
        </w:rPr>
        <w:t>5.如项目履行过程中，甲方采取融资支付或其他支付方式，乙方应配合甲方签订补充协议。</w:t>
      </w:r>
    </w:p>
    <w:p>
      <w:pPr>
        <w:pStyle w:val="null3"/>
        <w:ind w:firstLine="422"/>
        <w:jc w:val="left"/>
      </w:pPr>
      <w:r>
        <w:rPr>
          <w:sz w:val="21"/>
          <w:b/>
        </w:rPr>
        <w:t>六、质保期保障服务</w:t>
      </w:r>
    </w:p>
    <w:p>
      <w:pPr>
        <w:pStyle w:val="null3"/>
        <w:ind w:firstLine="420"/>
        <w:jc w:val="left"/>
      </w:pPr>
      <w:r>
        <w:rPr>
          <w:sz w:val="21"/>
        </w:rPr>
        <w:t>1.质保期：乙方对本合同标的提供______年质保期（费用包含在投标报价中），对由于设计、制造工艺、材料和安装所造成的质量缺陷或质量问题负责，并进行修理、更换零部件或退换，并须对设备出现的有关技术性问题或安全问题负责处理、解决，同时乙方应相应延长被更换货物的质保期，软件提供终身升级，质保期自货物验收合格之日起计算。质保期内提供现场保修、包换或包退服务，由此产生的一切费用均由乙方承担。乙方不能修复、调换或不能退货的，应退回相应货款，并承担相应违约责任。</w:t>
      </w:r>
    </w:p>
    <w:p>
      <w:pPr>
        <w:pStyle w:val="null3"/>
        <w:ind w:firstLine="420"/>
        <w:jc w:val="left"/>
      </w:pPr>
      <w:r>
        <w:rPr>
          <w:sz w:val="21"/>
        </w:rPr>
        <w:t xml:space="preserve">2.乙方应有专职工程师负责对所售产品安装，调试，培训，维修和处理。质保期内，在接到系统故障或问题告知后，乙方响应时间不得超过______小时，到达现场时间不得超过______小时，并应在______小时（前述响应及到达现场时间已包含计算在内）内排除故障。否则视为乙方不能修复货物。如果需要更换配件的，乙方须在______个工作日内完成配件更换服务，且更换的配件跟被更换的品牌、类型相一致或者是同类档次相当或更高的替代品，后者需征得甲方管理人员同意。如果故障在前述时间内仍无法排除，乙方应无条件在______个工作日内提供不低于故障设备规格型号档次的备用设备供甲方使用，直至故障设备修复。  </w:t>
      </w:r>
    </w:p>
    <w:p>
      <w:pPr>
        <w:pStyle w:val="null3"/>
        <w:ind w:firstLine="420"/>
        <w:jc w:val="left"/>
      </w:pPr>
      <w:r>
        <w:rPr>
          <w:sz w:val="21"/>
        </w:rPr>
        <w:t xml:space="preserve"> </w:t>
      </w:r>
      <w:r>
        <w:rPr>
          <w:sz w:val="21"/>
        </w:rPr>
        <w:t>3.质保期内，同一硬件一个月内连续2次出现同一故障，乙方应无条件更换性能指标不低于原规格型号的新部件。严重影响教学工作的，乙方无条件提供不低于该档次的设备给甲方使用。</w:t>
      </w:r>
    </w:p>
    <w:p>
      <w:pPr>
        <w:pStyle w:val="null3"/>
        <w:ind w:firstLine="630"/>
        <w:jc w:val="left"/>
      </w:pPr>
      <w:r>
        <w:rPr>
          <w:sz w:val="21"/>
        </w:rPr>
        <w:t>4.质保期满后设备维修仅收取配件成本费，不收取上门费及人工费。</w:t>
      </w:r>
    </w:p>
    <w:p>
      <w:pPr>
        <w:pStyle w:val="null3"/>
        <w:ind w:firstLine="630"/>
        <w:jc w:val="left"/>
      </w:pPr>
      <w:r>
        <w:rPr>
          <w:sz w:val="21"/>
        </w:rPr>
        <w:t>5.其他条款以乙方投标文件为准。</w:t>
      </w:r>
    </w:p>
    <w:p>
      <w:pPr>
        <w:pStyle w:val="null3"/>
        <w:ind w:firstLine="422"/>
        <w:jc w:val="left"/>
      </w:pPr>
      <w:r>
        <w:rPr>
          <w:sz w:val="21"/>
          <w:b/>
        </w:rPr>
        <w:t>七、培训</w:t>
      </w:r>
    </w:p>
    <w:p>
      <w:pPr>
        <w:pStyle w:val="null3"/>
        <w:ind w:firstLine="420"/>
        <w:jc w:val="left"/>
      </w:pPr>
      <w:r>
        <w:rPr>
          <w:sz w:val="21"/>
        </w:rPr>
        <w:t>乙方负责提供合同标的现场操作、运行、维护、修理的培训方案及必需的培训资料，并对甲方受训人员进行现场培训直至能熟练操作为止，培训次数不少于</w:t>
      </w:r>
      <w:r>
        <w:rPr>
          <w:sz w:val="21"/>
        </w:rPr>
        <w:t>______次，每次培训应配置不少于______个工程师，培训天数应不少于______天，培训期间工程师的食宿由乙方负责。培训内容应至少包括：设备的操作使用和保养；设备安全注意事项；设备简易故障排除等。在后期使用过程中，如需增加培训环节，乙方负责根据甲方需要提供培训服务。以上相关费用已包含在投标报价中。</w:t>
      </w:r>
    </w:p>
    <w:p>
      <w:pPr>
        <w:pStyle w:val="null3"/>
        <w:ind w:firstLine="422"/>
        <w:jc w:val="left"/>
      </w:pPr>
      <w:r>
        <w:rPr>
          <w:sz w:val="21"/>
          <w:b/>
        </w:rPr>
        <w:t>八、知识产权、风险转移</w:t>
      </w:r>
    </w:p>
    <w:p>
      <w:pPr>
        <w:pStyle w:val="null3"/>
        <w:ind w:firstLine="420"/>
        <w:jc w:val="left"/>
      </w:pPr>
      <w:r>
        <w:rPr>
          <w:sz w:val="21"/>
        </w:rPr>
        <w:t>1</w:t>
      </w:r>
      <w:r>
        <w:rPr>
          <w:sz w:val="21"/>
        </w:rPr>
        <w:t>．</w:t>
      </w:r>
      <w:r>
        <w:rPr>
          <w:sz w:val="21"/>
        </w:rPr>
        <w:t>乙方保证，甲方在中华人民共和国使用该货物或货物的任何一部分时，如受第三方提出的侵犯其</w:t>
      </w:r>
      <w:r>
        <w:rPr>
          <w:sz w:val="21"/>
        </w:rPr>
        <w:t>知识产权、肖像权、技术秘密、商业秘密或其他任何权益</w:t>
      </w:r>
      <w:r>
        <w:rPr>
          <w:sz w:val="21"/>
        </w:rPr>
        <w:t>的起诉，由乙方承担一切责任。</w:t>
      </w:r>
    </w:p>
    <w:p>
      <w:pPr>
        <w:pStyle w:val="null3"/>
        <w:ind w:firstLine="420"/>
        <w:jc w:val="left"/>
      </w:pPr>
      <w:r>
        <w:rPr>
          <w:sz w:val="21"/>
        </w:rPr>
        <w:t>2</w:t>
      </w:r>
      <w:r>
        <w:rPr>
          <w:sz w:val="21"/>
        </w:rPr>
        <w:t>．乙方为执行本合同而提供的技术资料、软件的使用权归甲方所有。</w:t>
      </w:r>
    </w:p>
    <w:p>
      <w:pPr>
        <w:pStyle w:val="null3"/>
        <w:ind w:firstLine="420"/>
        <w:jc w:val="left"/>
      </w:pPr>
      <w:r>
        <w:rPr>
          <w:sz w:val="21"/>
        </w:rPr>
        <w:t>3</w:t>
      </w:r>
      <w:r>
        <w:rPr>
          <w:sz w:val="21"/>
        </w:rPr>
        <w:t>．乙方交由承运人运输的在途货物，毁损、灭失的风险由乙方承担。货物的产权，损坏、灭失的风险，在货物通过甲方验收合格交付使用时起，由乙方转移至甲方。</w:t>
      </w:r>
    </w:p>
    <w:p>
      <w:pPr>
        <w:pStyle w:val="null3"/>
        <w:ind w:firstLine="420"/>
        <w:jc w:val="left"/>
      </w:pPr>
      <w:r>
        <w:rPr>
          <w:sz w:val="21"/>
        </w:rPr>
        <w:t>4</w:t>
      </w:r>
      <w:r>
        <w:rPr>
          <w:sz w:val="21"/>
        </w:rPr>
        <w:t>．因货物验收不合格甲方拒收，或者双方解除合同的，合同标的物毁损、丢失的风险由乙方承担。</w:t>
      </w:r>
    </w:p>
    <w:p>
      <w:pPr>
        <w:pStyle w:val="null3"/>
        <w:ind w:firstLine="420"/>
        <w:jc w:val="left"/>
      </w:pPr>
      <w:r>
        <w:rPr>
          <w:sz w:val="21"/>
        </w:rPr>
        <w:t>5</w:t>
      </w:r>
      <w:r>
        <w:rPr>
          <w:sz w:val="21"/>
        </w:rPr>
        <w:t>．产权和风险的转移，不影响因乙方履行合同义务不符合约定，甲方要求其承担违约责任的权利。</w:t>
      </w:r>
    </w:p>
    <w:p>
      <w:pPr>
        <w:pStyle w:val="null3"/>
        <w:ind w:firstLine="422"/>
        <w:jc w:val="left"/>
      </w:pPr>
      <w:r>
        <w:rPr>
          <w:sz w:val="21"/>
          <w:b/>
        </w:rPr>
        <w:t>九、保密责任</w:t>
      </w:r>
    </w:p>
    <w:p>
      <w:pPr>
        <w:pStyle w:val="null3"/>
        <w:ind w:firstLine="420"/>
        <w:jc w:val="left"/>
      </w:pPr>
      <w:r>
        <w:rPr>
          <w:sz w:val="21"/>
        </w:rPr>
        <w:t>双方应保守通过签订和履行本合同而获取的对方之商业及技术秘密，包括本合同文本，相关技术文件、相关数据，以及其他有关信息。任何一方违反上述约定的，应赔偿合同守约方的损失。本保密条款及保密责任不因合同的解除或终止而消失。</w:t>
      </w:r>
    </w:p>
    <w:p>
      <w:pPr>
        <w:pStyle w:val="null3"/>
        <w:ind w:firstLine="422"/>
        <w:jc w:val="left"/>
      </w:pPr>
      <w:r>
        <w:rPr>
          <w:sz w:val="21"/>
          <w:b/>
        </w:rPr>
        <w:t>十、违约责任</w:t>
      </w:r>
    </w:p>
    <w:p>
      <w:pPr>
        <w:pStyle w:val="null3"/>
        <w:ind w:firstLine="420"/>
        <w:jc w:val="left"/>
      </w:pPr>
      <w:r>
        <w:rPr>
          <w:sz w:val="21"/>
        </w:rPr>
        <w:t>1</w:t>
      </w:r>
      <w:r>
        <w:rPr>
          <w:sz w:val="21"/>
        </w:rPr>
        <w:t>．乙方交付的货物不符合合同规定的，甲方有权拒收并解除合同，乙方需向甲方支付合同总价</w:t>
      </w:r>
      <w:r>
        <w:rPr>
          <w:sz w:val="21"/>
        </w:rPr>
        <w:t>10%的违约金。如甲方同意更换的，乙方应于</w:t>
      </w:r>
      <w:r>
        <w:rPr>
          <w:sz w:val="21"/>
        </w:rPr>
        <w:t>5天内重新提供符合合同约定的货物，乙方未能按期调换的，按逾期交付货物处理，逾期时点自最初约定的交付日期起计。</w:t>
      </w:r>
    </w:p>
    <w:p>
      <w:pPr>
        <w:pStyle w:val="null3"/>
        <w:ind w:firstLine="420"/>
        <w:jc w:val="left"/>
      </w:pPr>
      <w:r>
        <w:rPr>
          <w:sz w:val="21"/>
        </w:rPr>
        <w:t>2</w:t>
      </w:r>
      <w:r>
        <w:rPr>
          <w:sz w:val="21"/>
        </w:rPr>
        <w:t>．乙方逾期交付货物的，每逾期一天，按合同总价的</w:t>
      </w:r>
      <w:r>
        <w:rPr>
          <w:sz w:val="21"/>
        </w:rPr>
        <w:t>0.8</w:t>
      </w:r>
      <w:r>
        <w:rPr>
          <w:sz w:val="21"/>
        </w:rPr>
        <w:t>‰向甲方支付违约金，甲方有权直接从应付给乙方的合同款项中扣除该违约金，且甲方有权要求乙方继续向甲方交付直至符合要求。</w:t>
      </w:r>
      <w:r>
        <w:rPr>
          <w:sz w:val="21"/>
        </w:rPr>
        <w:t>误期超过</w:t>
      </w:r>
      <w:r>
        <w:rPr>
          <w:sz w:val="21"/>
        </w:rPr>
        <w:t>15</w:t>
      </w:r>
      <w:r>
        <w:rPr>
          <w:sz w:val="21"/>
        </w:rPr>
        <w:t>天，甲方有权解除合同，乙方需退还甲方已支付的所有款项，并按合同总价的</w:t>
      </w:r>
      <w:r>
        <w:rPr>
          <w:sz w:val="21"/>
        </w:rPr>
        <w:t>10%向甲方支付违约金，违约金不足以弥补甲方损失的，乙方应另行赔偿。</w:t>
      </w:r>
    </w:p>
    <w:p>
      <w:pPr>
        <w:pStyle w:val="null3"/>
        <w:ind w:firstLine="420"/>
        <w:jc w:val="left"/>
      </w:pPr>
      <w:r>
        <w:rPr>
          <w:sz w:val="21"/>
        </w:rPr>
        <w:t>3</w:t>
      </w:r>
      <w:r>
        <w:rPr>
          <w:sz w:val="21"/>
        </w:rPr>
        <w:t>．若乙方未按本合同的约定提供质保期保障服务，甲方有权自行委托第三方提供甲方所需要的技术支持和售后服务，由此造成的包括但不限于第三方维保费用、甲方其他经济损失等均由乙方承担赔偿。</w:t>
      </w:r>
    </w:p>
    <w:p>
      <w:pPr>
        <w:pStyle w:val="null3"/>
        <w:ind w:firstLine="420"/>
        <w:jc w:val="left"/>
      </w:pPr>
      <w:r>
        <w:rPr>
          <w:sz w:val="21"/>
        </w:rPr>
        <w:t>4. 乙方有以下情形之一的，甲方有权解除合同，乙方需退还甲方已支付的所有款项，并按合同总价的10%向甲方支付违约金，违约金不足以弥补甲方损失的，乙方应另行赔偿，具体情形如下：</w:t>
      </w:r>
    </w:p>
    <w:p>
      <w:pPr>
        <w:pStyle w:val="null3"/>
        <w:ind w:firstLine="420"/>
        <w:jc w:val="left"/>
      </w:pPr>
      <w:r>
        <w:rPr>
          <w:sz w:val="21"/>
        </w:rPr>
        <w:t>（</w:t>
      </w:r>
      <w:r>
        <w:rPr>
          <w:sz w:val="21"/>
        </w:rPr>
        <w:t>1）乙方交付的货物存在侵犯他人知识产权、肖像权、技术秘密、商业秘密或其他任何权益的；</w:t>
      </w:r>
    </w:p>
    <w:p>
      <w:pPr>
        <w:pStyle w:val="null3"/>
        <w:ind w:firstLine="420"/>
        <w:jc w:val="left"/>
      </w:pPr>
      <w:r>
        <w:rPr>
          <w:sz w:val="21"/>
        </w:rPr>
        <w:t>（</w:t>
      </w:r>
      <w:r>
        <w:rPr>
          <w:sz w:val="21"/>
        </w:rPr>
        <w:t>2）乙方履行义务不符合约定，经甲方提出后在合理期限内仍未改正的；</w:t>
      </w:r>
    </w:p>
    <w:p>
      <w:pPr>
        <w:pStyle w:val="null3"/>
        <w:ind w:firstLine="420"/>
        <w:jc w:val="left"/>
      </w:pPr>
      <w:r>
        <w:rPr>
          <w:sz w:val="21"/>
        </w:rPr>
        <w:t>（</w:t>
      </w:r>
      <w:r>
        <w:rPr>
          <w:sz w:val="21"/>
        </w:rPr>
        <w:t>3）未经甲方书面同意，乙方将本合同项下的权利或义务转让，或将本合同项下服务转包或分包的；</w:t>
      </w:r>
    </w:p>
    <w:p>
      <w:pPr>
        <w:pStyle w:val="null3"/>
        <w:ind w:firstLine="420"/>
        <w:jc w:val="left"/>
      </w:pPr>
      <w:r>
        <w:rPr>
          <w:sz w:val="21"/>
        </w:rPr>
        <w:t>（</w:t>
      </w:r>
      <w:r>
        <w:rPr>
          <w:sz w:val="21"/>
        </w:rPr>
        <w:t>4）乙方无正当理由逾期交货超过15日的；</w:t>
      </w:r>
    </w:p>
    <w:p>
      <w:pPr>
        <w:pStyle w:val="null3"/>
        <w:ind w:firstLine="420"/>
        <w:jc w:val="left"/>
      </w:pPr>
      <w:r>
        <w:rPr>
          <w:sz w:val="21"/>
        </w:rPr>
        <w:t>（</w:t>
      </w:r>
      <w:r>
        <w:rPr>
          <w:sz w:val="21"/>
        </w:rPr>
        <w:t>5）国家法律规定的其他合同解除情形。</w:t>
      </w:r>
    </w:p>
    <w:p>
      <w:pPr>
        <w:pStyle w:val="null3"/>
        <w:ind w:firstLine="420"/>
        <w:jc w:val="left"/>
      </w:pPr>
      <w:r>
        <w:rPr>
          <w:sz w:val="21"/>
        </w:rPr>
        <w:t>5. 甲方逾期支付货款，经乙方催告后无正当理由仍不支付的，自催告后每逾期一日，应按逾期付款金额每日0.8‰向乙方支付违约金。违约金累计总额不超过欠款总额的10%。</w:t>
      </w:r>
    </w:p>
    <w:p>
      <w:pPr>
        <w:pStyle w:val="null3"/>
        <w:ind w:firstLine="420"/>
        <w:jc w:val="left"/>
      </w:pPr>
      <w:r>
        <w:rPr>
          <w:sz w:val="21"/>
        </w:rPr>
        <w:t>6. 本合同所称之损失，包括守约方的直接经济损失和合同履行后可以获得的利益及合理的调查费、评估费、公证费、诉讼费、交通费、律师费等相关法律费用。</w:t>
      </w:r>
    </w:p>
    <w:p>
      <w:pPr>
        <w:pStyle w:val="null3"/>
        <w:ind w:firstLine="422"/>
        <w:jc w:val="left"/>
      </w:pPr>
      <w:r>
        <w:rPr>
          <w:sz w:val="21"/>
          <w:b/>
        </w:rPr>
        <w:t>十一、不可抗力</w:t>
      </w:r>
    </w:p>
    <w:p>
      <w:pPr>
        <w:pStyle w:val="null3"/>
        <w:ind w:firstLine="420"/>
        <w:jc w:val="left"/>
      </w:pPr>
      <w:r>
        <w:rPr>
          <w:sz w:val="21"/>
        </w:rPr>
        <w:t>一方由于</w:t>
      </w:r>
      <w:r>
        <w:rPr>
          <w:sz w:val="21"/>
          <w:shd w:fill="FFFFFF" w:val="clear"/>
        </w:rPr>
        <w:t>不能预见、不能避免并不能克服的客观情况（也即法定不可抗力事由），且该情况是在合同生效后发生的，</w:t>
      </w:r>
      <w:r>
        <w:rPr>
          <w:sz w:val="21"/>
        </w:rPr>
        <w:t>导致不能或暂时不能全部或部分履行本合同，该方可以免责。但是，受不可抗力事件影响的一方须尽快将事件发生状况通知另一方，并在不可抗力事件影响消除之日起</w:t>
      </w:r>
      <w:r>
        <w:rPr>
          <w:sz w:val="21"/>
        </w:rPr>
        <w:t>10</w:t>
      </w:r>
      <w:r>
        <w:rPr>
          <w:sz w:val="21"/>
        </w:rPr>
        <w:t>日内将有关机构出具的不可抗力事件证明寄交对方。逾期未提供以上证明的，不能免除违约责任。</w:t>
      </w:r>
    </w:p>
    <w:p>
      <w:pPr>
        <w:pStyle w:val="null3"/>
        <w:ind w:firstLine="422"/>
        <w:jc w:val="left"/>
      </w:pPr>
      <w:r>
        <w:rPr>
          <w:sz w:val="21"/>
          <w:b/>
        </w:rPr>
        <w:t>十二、法律适用与争议解决</w:t>
      </w:r>
    </w:p>
    <w:p>
      <w:pPr>
        <w:pStyle w:val="null3"/>
        <w:ind w:firstLine="420"/>
        <w:jc w:val="left"/>
      </w:pPr>
      <w:r>
        <w:rPr>
          <w:sz w:val="21"/>
        </w:rPr>
        <w:t>1</w:t>
      </w:r>
      <w:r>
        <w:rPr>
          <w:sz w:val="21"/>
        </w:rPr>
        <w:t>．本合同的成立、有效性、解释、履行、签署、修订和终止以及争议的解决等均应适用中华人民共和国法律。</w:t>
      </w:r>
    </w:p>
    <w:p>
      <w:pPr>
        <w:pStyle w:val="null3"/>
        <w:ind w:firstLine="420"/>
        <w:jc w:val="left"/>
      </w:pPr>
      <w:r>
        <w:rPr>
          <w:sz w:val="21"/>
        </w:rPr>
        <w:t>2</w:t>
      </w:r>
      <w:r>
        <w:rPr>
          <w:sz w:val="21"/>
        </w:rPr>
        <w:t>．</w:t>
      </w:r>
      <w:r>
        <w:rPr>
          <w:sz w:val="21"/>
        </w:rPr>
        <w:t>甲乙双方在履行本合同时发生的争议</w:t>
      </w:r>
      <w:r>
        <w:rPr>
          <w:sz w:val="21"/>
        </w:rPr>
        <w:t>，都应首先由双方通过友好协商解决。双方通过协商仍不能解决争议，双方一致同意向广州仲裁委员会提起仲裁。</w:t>
      </w:r>
    </w:p>
    <w:p>
      <w:pPr>
        <w:pStyle w:val="null3"/>
        <w:ind w:firstLine="422"/>
        <w:jc w:val="left"/>
      </w:pPr>
      <w:r>
        <w:rPr>
          <w:sz w:val="21"/>
          <w:b/>
        </w:rPr>
        <w:t>十三、通知与送达</w:t>
      </w:r>
    </w:p>
    <w:p>
      <w:pPr>
        <w:pStyle w:val="null3"/>
        <w:ind w:firstLine="420"/>
        <w:jc w:val="left"/>
      </w:pPr>
      <w:r>
        <w:rPr>
          <w:sz w:val="21"/>
        </w:rPr>
        <w:t>一方在本合同履行过程中向对方发出或者提供的所有通知、文件、文书、资料等，均以本合同所列明的地址送达。一方如果迁址、变更电话，应当在变更之日起</w:t>
      </w:r>
      <w:r>
        <w:rPr>
          <w:sz w:val="21"/>
        </w:rPr>
        <w:t>5日内书面通知对方，未履行书面通知义务的，一方按原地址邮寄相关材料或通知相关信息即视为已履行送达义务。当面交付上述材料的，在交付之时视为送达；以邮寄方式交付的，寄出、发出或者投邮后即视为送达。</w:t>
      </w:r>
    </w:p>
    <w:p>
      <w:pPr>
        <w:pStyle w:val="null3"/>
        <w:ind w:firstLine="422"/>
        <w:jc w:val="left"/>
      </w:pPr>
      <w:r>
        <w:rPr>
          <w:sz w:val="21"/>
          <w:b/>
        </w:rPr>
        <w:t>十四、其他约定</w:t>
      </w:r>
    </w:p>
    <w:p>
      <w:pPr>
        <w:pStyle w:val="null3"/>
        <w:ind w:firstLine="420"/>
        <w:jc w:val="left"/>
      </w:pPr>
      <w:r>
        <w:rPr>
          <w:sz w:val="21"/>
        </w:rPr>
        <w:t>1</w:t>
      </w:r>
      <w:r>
        <w:rPr>
          <w:sz w:val="21"/>
        </w:rPr>
        <w:t>．</w:t>
      </w:r>
      <w:r>
        <w:rPr>
          <w:sz w:val="21"/>
        </w:rPr>
        <w:t>本合同其他未尽事宜，以项目招投标文件为准；文件未作规定的，应由双方友好协商解决。如需对本合同及其附件作任何修改或补充，须由双方以书面形式做出，并经双方签字盖章后方为有效。修改或补充文件与本合同有不一致的，以修改或补充文件为准。</w:t>
      </w:r>
    </w:p>
    <w:p>
      <w:pPr>
        <w:pStyle w:val="null3"/>
        <w:ind w:firstLine="420"/>
        <w:jc w:val="left"/>
      </w:pPr>
      <w:r>
        <w:rPr>
          <w:sz w:val="21"/>
        </w:rPr>
        <w:t xml:space="preserve">2. </w:t>
      </w:r>
      <w:r>
        <w:rPr>
          <w:sz w:val="21"/>
        </w:rPr>
        <w:t>组成本合同的材料包括</w:t>
      </w:r>
      <w:r>
        <w:rPr>
          <w:sz w:val="21"/>
        </w:rPr>
        <w:t>_______采购项目(</w:t>
      </w:r>
      <w:r>
        <w:rPr>
          <w:sz w:val="21"/>
        </w:rPr>
        <w:t>采购编号</w:t>
      </w:r>
      <w:r>
        <w:rPr>
          <w:sz w:val="21"/>
        </w:rPr>
        <w:t>：</w:t>
      </w:r>
      <w:r>
        <w:rPr>
          <w:sz w:val="21"/>
        </w:rPr>
        <w:t>_______）的招标文件、乙方投标文件、承诺以及本项目经双方确认的相关材料</w:t>
      </w:r>
      <w:r>
        <w:rPr>
          <w:sz w:val="21"/>
        </w:rPr>
        <w:t>，合同附件为本合同不可分割的部分。若附件与合同正文有任何不一致，以合同正文为准。</w:t>
      </w:r>
    </w:p>
    <w:p>
      <w:pPr>
        <w:pStyle w:val="null3"/>
        <w:ind w:firstLine="420"/>
        <w:jc w:val="left"/>
      </w:pPr>
      <w:r>
        <w:rPr>
          <w:sz w:val="21"/>
        </w:rPr>
        <w:t>3. 本合同经甲乙双方签字盖章后正式生效。一式</w:t>
      </w:r>
      <w:r>
        <w:rPr>
          <w:sz w:val="21"/>
        </w:rPr>
        <w:t>6</w:t>
      </w:r>
      <w:r>
        <w:rPr>
          <w:sz w:val="21"/>
        </w:rPr>
        <w:t>份，甲方持</w:t>
      </w:r>
      <w:r>
        <w:rPr>
          <w:sz w:val="21"/>
        </w:rPr>
        <w:t>4</w:t>
      </w:r>
      <w:r>
        <w:rPr>
          <w:sz w:val="21"/>
        </w:rPr>
        <w:t>份，乙方持</w:t>
      </w:r>
      <w:r>
        <w:rPr>
          <w:sz w:val="21"/>
        </w:rPr>
        <w:t>2</w:t>
      </w:r>
      <w:r>
        <w:rPr>
          <w:sz w:val="21"/>
        </w:rPr>
        <w:t>份，均为正本，具有同等法律效力。</w:t>
      </w:r>
    </w:p>
    <w:p>
      <w:pPr>
        <w:pStyle w:val="null3"/>
        <w:ind w:firstLine="422"/>
        <w:jc w:val="both"/>
      </w:pPr>
      <w:r>
        <w:rPr>
          <w:sz w:val="21"/>
          <w:b/>
        </w:rPr>
        <w:t>甲乙双方在此确认，本合同为甲乙双方合法之授权代表于广州市天河区签订。</w:t>
      </w:r>
    </w:p>
    <w:p>
      <w:pPr>
        <w:pStyle w:val="null3"/>
        <w:ind w:left="420"/>
        <w:jc w:val="left"/>
      </w:pPr>
      <w:r>
        <w:rPr>
          <w:sz w:val="24"/>
          <w:b/>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795"/>
        <w:gridCol w:w="1206"/>
        <w:gridCol w:w="780"/>
        <w:gridCol w:w="1206"/>
        <w:gridCol w:w="667"/>
        <w:gridCol w:w="1235"/>
        <w:gridCol w:w="866"/>
        <w:gridCol w:w="1505"/>
      </w:tblGrid>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甲方</w:t>
            </w:r>
            <w:r>
              <w:br/>
            </w:r>
            <w:r>
              <w:rPr>
                <w:sz w:val="18"/>
              </w:rPr>
              <w:t>名称</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华南师范大学</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乙方</w:t>
            </w:r>
            <w:r>
              <w:br/>
            </w:r>
            <w:r>
              <w:rPr>
                <w:sz w:val="18"/>
              </w:rPr>
              <w:t>名称</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广州市中山大道西</w:t>
            </w:r>
            <w:r>
              <w:rPr>
                <w:sz w:val="18"/>
              </w:rPr>
              <w:t>55</w:t>
            </w:r>
            <w:r>
              <w:rPr>
                <w:sz w:val="18"/>
              </w:rPr>
              <w:t>号</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单位</w:t>
            </w:r>
            <w:r>
              <w:br/>
            </w:r>
            <w:r>
              <w:rPr>
                <w:sz w:val="18"/>
              </w:rPr>
              <w:t>地址</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电话</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联系人</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电话</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06"/>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780"/>
            <w:tcBorders>
              <w:top w:val="single" w:color="000000" w:sz="4"/>
              <w:left w:val="non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邮编</w:t>
            </w:r>
          </w:p>
        </w:tc>
        <w:tc>
          <w:tcPr>
            <w:tcW w:type="dxa" w:w="1206"/>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传真</w:t>
            </w:r>
          </w:p>
        </w:tc>
        <w:tc>
          <w:tcPr>
            <w:tcW w:type="dxa" w:w="1235"/>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c>
          <w:tcPr>
            <w:tcW w:type="dxa" w:w="866"/>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90"/>
              <w:jc w:val="left"/>
            </w:pPr>
            <w:r>
              <w:rPr>
                <w:sz w:val="18"/>
              </w:rPr>
              <w:t>邮编</w:t>
            </w:r>
          </w:p>
        </w:tc>
        <w:tc>
          <w:tcPr>
            <w:tcW w:type="dxa" w:w="1505"/>
            <w:tcBorders>
              <w:top w:val="single" w:color="000000" w:sz="4"/>
              <w:left w:val="none" w:color="000000" w:sz="4"/>
              <w:bottom w:val="none" w:color="000000" w:sz="4"/>
              <w:right w:val="single" w:color="000000" w:sz="4"/>
            </w:tcBorders>
            <w:tcMar>
              <w:top w:type="dxa" w:w="0"/>
              <w:left w:type="dxa" w:w="0"/>
              <w:bottom w:type="dxa" w:w="0"/>
              <w:right w:type="dxa" w:w="0"/>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br/>
            </w:r>
            <w:r>
              <w:rPr>
                <w:sz w:val="18"/>
              </w:rPr>
              <w:t>银行</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工商银行广州市高新区支行</w:t>
            </w:r>
            <w:r>
              <w:rPr>
                <w:sz w:val="21"/>
              </w:rPr>
              <w:t xml:space="preserve">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开户</w:t>
            </w:r>
            <w:r>
              <w:rPr>
                <w:sz w:val="21"/>
              </w:rPr>
              <w:t xml:space="preserve"> </w:t>
            </w:r>
            <w:r>
              <w:br/>
            </w:r>
            <w:r>
              <w:rPr>
                <w:sz w:val="18"/>
              </w:rPr>
              <w:t>银行</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br/>
            </w:r>
            <w:r>
              <w:rPr>
                <w:sz w:val="18"/>
              </w:rPr>
              <w:t>帐号</w:t>
            </w:r>
          </w:p>
        </w:tc>
        <w:tc>
          <w:tcPr>
            <w:tcW w:type="dxa" w:w="3192"/>
            <w:gridSpan w:val="3"/>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ind w:firstLine="90"/>
              <w:jc w:val="left"/>
            </w:pPr>
            <w:r>
              <w:rPr>
                <w:sz w:val="18"/>
              </w:rPr>
              <w:t xml:space="preserve">3602008109000386071  </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银行</w:t>
            </w:r>
            <w:r>
              <w:rPr>
                <w:sz w:val="21"/>
              </w:rPr>
              <w:t xml:space="preserve"> </w:t>
            </w:r>
            <w:r>
              <w:br/>
            </w:r>
            <w:r>
              <w:rPr>
                <w:sz w:val="18"/>
              </w:rPr>
              <w:t>帐号</w:t>
            </w:r>
          </w:p>
        </w:tc>
        <w:tc>
          <w:tcPr>
            <w:tcW w:type="dxa" w:w="3606"/>
            <w:gridSpan w:val="3"/>
            <w:tcBorders>
              <w:top w:val="single" w:color="000000" w:sz="4"/>
              <w:left w:val="single" w:color="000000" w:sz="4"/>
              <w:bottom w:val="none" w:color="000000" w:sz="4"/>
              <w:right w:val="single" w:color="000000" w:sz="4"/>
            </w:tcBorders>
            <w:tcMar>
              <w:top w:type="dxa" w:w="15"/>
              <w:left w:type="dxa" w:w="15"/>
              <w:bottom w:type="dxa" w:w="15"/>
              <w:right w:type="dxa" w:w="15"/>
            </w:tcMar>
            <w:vAlign w:val="top"/>
          </w:tcPr>
          <w:p>
            <w:pPr>
              <w:pStyle w:val="null3"/>
              <w:ind w:firstLine="105"/>
              <w:jc w:val="left"/>
            </w:pPr>
            <w:r>
              <w:rPr>
                <w:sz w:val="21"/>
              </w:rPr>
              <w:t>（必填项）</w:t>
            </w:r>
          </w:p>
        </w:tc>
      </w:tr>
      <w:tr>
        <w:tc>
          <w:tcPr>
            <w:tcW w:type="dxa" w:w="795"/>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192"/>
            <w:gridSpan w:val="3"/>
            <w:vMerge w:val="restart"/>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c>
          <w:tcPr>
            <w:tcW w:type="dxa" w:w="667"/>
            <w:tcBorders>
              <w:top w:val="single" w:color="000000" w:sz="4"/>
              <w:left w:val="single" w:color="000000" w:sz="4"/>
              <w:bottom w:val="none" w:color="000000" w:sz="4"/>
              <w:right w:val="none" w:color="000000" w:sz="4"/>
            </w:tcBorders>
            <w:tcMar>
              <w:top w:type="dxa" w:w="15"/>
              <w:left w:type="dxa" w:w="15"/>
              <w:bottom w:type="dxa" w:w="15"/>
              <w:right w:type="dxa" w:w="15"/>
            </w:tcMar>
            <w:vAlign w:val="top"/>
          </w:tcPr>
          <w:p>
            <w:pPr>
              <w:pStyle w:val="null3"/>
              <w:jc w:val="center"/>
            </w:pPr>
            <w:r>
              <w:rPr>
                <w:sz w:val="18"/>
              </w:rPr>
              <w:t>法定代表人</w:t>
            </w:r>
            <w:r>
              <w:rPr>
                <w:sz w:val="18"/>
              </w:rPr>
              <w:t>/委托代理人</w:t>
            </w:r>
          </w:p>
        </w:tc>
        <w:tc>
          <w:tcPr>
            <w:tcW w:type="dxa" w:w="3606"/>
            <w:gridSpan w:val="3"/>
            <w:vMerge w:val="restart"/>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sz w:val="21"/>
              </w:rPr>
              <w:t xml:space="preserve"> </w:t>
            </w:r>
            <w:r>
              <w:rPr>
                <w:sz w:val="21"/>
              </w:rPr>
              <w:t>（必填项）</w:t>
            </w:r>
          </w:p>
        </w:tc>
      </w:tr>
      <w:tr>
        <w:tc>
          <w:tcPr>
            <w:tcW w:type="dxa" w:w="795"/>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签订日期、甲方盖章</w:t>
            </w:r>
          </w:p>
        </w:tc>
        <w:tc>
          <w:tcPr>
            <w:tcW w:type="dxa" w:w="3192"/>
            <w:gridSpan w:val="3"/>
            <w:vMerge/>
            <w:tcBorders>
              <w:top w:val="single" w:color="000000" w:sz="4"/>
              <w:left w:val="single" w:color="000000" w:sz="4"/>
              <w:bottom w:val="single" w:color="000000" w:sz="4"/>
              <w:right w:val="none" w:color="000000" w:sz="4"/>
            </w:tcBorders>
          </w:tcPr>
          <w:p/>
        </w:tc>
        <w:tc>
          <w:tcPr>
            <w:tcW w:type="dxa" w:w="667"/>
            <w:tcBorders>
              <w:top w:val="single" w:color="000000" w:sz="4"/>
              <w:left w:val="single" w:color="000000" w:sz="4"/>
              <w:bottom w:val="single" w:color="000000" w:sz="4"/>
              <w:right w:val="none" w:color="000000" w:sz="4"/>
            </w:tcBorders>
            <w:tcMar>
              <w:top w:type="dxa" w:w="15"/>
              <w:left w:type="dxa" w:w="15"/>
              <w:bottom w:type="dxa" w:w="15"/>
              <w:right w:type="dxa" w:w="15"/>
            </w:tcMar>
            <w:vAlign w:val="top"/>
          </w:tcPr>
          <w:p>
            <w:pPr>
              <w:pStyle w:val="null3"/>
              <w:jc w:val="center"/>
            </w:pPr>
            <w:r>
              <w:rPr>
                <w:sz w:val="18"/>
              </w:rPr>
              <w:t>签订日期、乙方盖章</w:t>
            </w:r>
          </w:p>
        </w:tc>
        <w:tc>
          <w:tcPr>
            <w:tcW w:type="dxa" w:w="3606"/>
            <w:gridSpan w:val="3"/>
            <w:vMerge/>
            <w:tcBorders>
              <w:top w:val="single" w:color="000000" w:sz="4"/>
              <w:left w:val="single" w:color="000000" w:sz="4"/>
              <w:bottom w:val="single" w:color="000000" w:sz="4"/>
              <w:right w:val="single" w:color="000000" w:sz="4"/>
            </w:tcBorders>
          </w:tcPr>
          <w:p/>
        </w:tc>
      </w:tr>
    </w:tbl>
    <w:p>
      <w:pPr>
        <w:pStyle w:val="null3"/>
        <w:jc w:val="left"/>
      </w:pPr>
      <w:r>
        <w:rPr>
          <w:sz w:val="21"/>
        </w:rPr>
        <w:t>附件</w:t>
      </w:r>
      <w:r>
        <w:rPr>
          <w:sz w:val="21"/>
        </w:rPr>
        <w:t>1</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097"/>
        <w:gridCol w:w="2017"/>
        <w:gridCol w:w="5161"/>
      </w:tblGrid>
      <w:tr>
        <w:tc>
          <w:tcPr>
            <w:tcW w:type="dxa" w:w="10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项数</w:t>
            </w:r>
          </w:p>
        </w:tc>
        <w:tc>
          <w:tcPr>
            <w:tcW w:type="dxa" w:w="2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w:t>
            </w:r>
            <w:r>
              <w:rPr>
                <w:sz w:val="21"/>
              </w:rPr>
              <w:t>名称</w:t>
            </w:r>
          </w:p>
        </w:tc>
        <w:tc>
          <w:tcPr>
            <w:tcW w:type="dxa" w:w="5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详细配置清单</w:t>
            </w:r>
          </w:p>
        </w:tc>
      </w:tr>
      <w:tr>
        <w:tc>
          <w:tcPr>
            <w:tcW w:type="dxa" w:w="10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440001-2025-39721</w:t>
      </w:r>
    </w:p>
    <w:p>
      <w:pPr>
        <w:pStyle w:val="null3"/>
        <w:jc w:val="center"/>
        <w:outlineLvl w:val="3"/>
      </w:pPr>
      <w:r>
        <w:rPr>
          <w:sz w:val="24"/>
          <w:b/>
        </w:rPr>
        <w:t>采购项目编号：</w:t>
      </w:r>
      <w:r>
        <w:rPr>
          <w:sz w:val="24"/>
          <w:b/>
        </w:rPr>
        <w:t>ZZ0250608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华南师范大学匀胶热板显影一体机采购项目</w:t>
      </w:r>
      <w:r>
        <w:rPr>
          <w:u w:val="single"/>
        </w:rPr>
        <w:t>”</w:t>
      </w:r>
      <w:r>
        <w:rPr/>
        <w:t>项目的招标[采购项目编号为：</w:t>
      </w:r>
      <w:r>
        <w:rPr>
          <w:u w:val="single"/>
        </w:rPr>
        <w:t>ZZ0250608</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华南师范大学匀胶热板显影一体机采购项目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华南师范大学匀胶热板显影一体机采购项目</w:t>
      </w:r>
      <w:r>
        <w:rPr/>
        <w:t>”项目采购[采购项目编号为</w:t>
      </w:r>
      <w:r>
        <w:rPr/>
        <w:t>ZZ0250608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华南师范大学匀胶热板显影一体机采购项目</w:t>
      </w:r>
      <w:r>
        <w:rPr/>
        <w:t>招标中获中标（采购项目编号：</w:t>
      </w:r>
      <w:r>
        <w:rPr/>
        <w:t>ZZ0250608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华南师范大学匀胶热板显影一体机采购项目</w:t>
      </w:r>
      <w:r>
        <w:rPr/>
        <w:t>”项目（采购项目编号：</w:t>
      </w:r>
      <w:r>
        <w:rPr/>
        <w:t>ZZ0250608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