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440701-2024-02242</w:t>
      </w:r>
    </w:p>
    <w:p>
      <w:pPr>
        <w:pStyle w:val="null3"/>
        <w:jc w:val="center"/>
        <w:outlineLvl w:val="3"/>
      </w:pPr>
      <w:r>
        <w:rPr>
          <w:sz w:val="24"/>
          <w:b/>
        </w:rPr>
        <w:t>采购项目编号：</w:t>
      </w:r>
      <w:r>
        <w:rPr>
          <w:sz w:val="24"/>
          <w:b/>
        </w:rPr>
        <w:t>ZZ0240515</w:t>
      </w:r>
    </w:p>
    <w:p>
      <w:pPr>
        <w:pStyle w:val="null3"/>
        <w:jc w:val="center"/>
        <w:outlineLvl w:val="3"/>
      </w:pPr>
      <w:r>
        <w:rPr>
          <w:sz w:val="24"/>
          <w:b/>
        </w:rPr>
        <w:t>项目名称：</w:t>
      </w:r>
      <w:r>
        <w:rPr>
          <w:sz w:val="24"/>
          <w:b/>
        </w:rPr>
        <w:t>五邑大学教学软件升级采购项目</w:t>
      </w:r>
    </w:p>
    <w:p>
      <w:pPr>
        <w:pStyle w:val="null3"/>
        <w:jc w:val="center"/>
        <w:outlineLvl w:val="3"/>
      </w:pPr>
      <w:r>
        <w:rPr>
          <w:sz w:val="24"/>
          <w:b/>
        </w:rPr>
        <w:t>采购人：</w:t>
      </w:r>
      <w:r>
        <w:rPr>
          <w:sz w:val="24"/>
          <w:b/>
        </w:rPr>
        <w:t>五邑大学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五邑大学</w:t>
      </w:r>
      <w:r>
        <w:rPr/>
        <w:t>的委托，采用</w:t>
      </w:r>
      <w:r>
        <w:rPr/>
        <w:t>公开招标</w:t>
      </w:r>
      <w:r>
        <w:rPr/>
        <w:t>方式组织采购</w:t>
      </w:r>
      <w:r>
        <w:rPr/>
        <w:t>五邑大学教学软件升级采购项目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五邑大学教学软件升级采购项目</w:t>
      </w:r>
    </w:p>
    <w:p>
      <w:pPr>
        <w:pStyle w:val="null3"/>
        <w:ind w:firstLine="480"/>
      </w:pPr>
      <w:r>
        <w:rPr/>
        <w:t>采购计划编号：</w:t>
      </w:r>
      <w:r>
        <w:rPr/>
        <w:t>440701-2024-02242</w:t>
      </w:r>
    </w:p>
    <w:p>
      <w:pPr>
        <w:pStyle w:val="null3"/>
        <w:ind w:firstLine="480"/>
      </w:pPr>
      <w:r>
        <w:rPr/>
        <w:t>采购项目编号：</w:t>
      </w:r>
      <w:r>
        <w:rPr/>
        <w:t>ZZ0240515</w:t>
      </w:r>
    </w:p>
    <w:p>
      <w:pPr>
        <w:pStyle w:val="null3"/>
        <w:ind w:firstLine="480"/>
      </w:pPr>
      <w:r>
        <w:rPr/>
        <w:t>采购方式：</w:t>
      </w:r>
      <w:r>
        <w:rPr/>
        <w:t>公开招标</w:t>
      </w:r>
    </w:p>
    <w:p>
      <w:pPr>
        <w:pStyle w:val="null3"/>
        <w:ind w:firstLine="480"/>
      </w:pPr>
      <w:r>
        <w:rPr/>
        <w:t>预算金额：</w:t>
      </w:r>
      <w:r>
        <w:rPr/>
        <w:t>1,365,900.00</w:t>
      </w:r>
      <w:r>
        <w:rPr/>
        <w:t>元</w:t>
      </w:r>
    </w:p>
    <w:p>
      <w:pPr>
        <w:pStyle w:val="null3"/>
        <w:outlineLvl w:val="3"/>
      </w:pPr>
      <w:r>
        <w:rPr>
          <w:sz w:val="24"/>
          <w:b/>
        </w:rPr>
        <w:t>2.项目内容及需求情况（采购项目技术规格、参数及要求）</w:t>
      </w:r>
    </w:p>
    <w:p>
      <w:pPr>
        <w:pStyle w:val="null3"/>
      </w:pPr>
      <w:r>
        <w:rPr/>
        <w:t>采购包1(教学软件升级采购项目——教育教学质量数据监测信息化平台):</w:t>
      </w:r>
    </w:p>
    <w:p>
      <w:pPr>
        <w:pStyle w:val="null3"/>
      </w:pPr>
      <w:r>
        <w:rPr/>
        <w:t>采购包预算金额：500,000.00元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应用软件</w:t>
            </w:r>
          </w:p>
        </w:tc>
        <w:tc>
          <w:tcPr>
            <w:tcW w:type="dxa" w:w="2136"/>
          </w:tcPr>
          <w:p>
            <w:pPr>
              <w:pStyle w:val="null3"/>
            </w:pPr>
            <w:r>
              <w:rPr/>
              <w:t>综合统计管理平台</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中标人必须在合同签订生效之日起20个日历日内完成所投产品的交货、安装及调试，包括向采购人职能部门提交认可的完整的验收申请资料。货物须为原厂商未启封的全新包装，具有出厂合格证，序列号、包装箱号与出厂批号一致，并可追溯查阅。</w:t>
      </w:r>
    </w:p>
    <w:p>
      <w:pPr>
        <w:pStyle w:val="null3"/>
      </w:pPr>
      <w:r>
        <w:rPr/>
        <w:t>采购包2(教学软件升级采购项目——工程管理专业实验室):</w:t>
      </w:r>
    </w:p>
    <w:p>
      <w:pPr>
        <w:pStyle w:val="null3"/>
      </w:pPr>
      <w:r>
        <w:rPr/>
        <w:t>采购包预算金额：570,000.00元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应用软件</w:t>
            </w:r>
          </w:p>
        </w:tc>
        <w:tc>
          <w:tcPr>
            <w:tcW w:type="dxa" w:w="2136"/>
          </w:tcPr>
          <w:p>
            <w:pPr>
              <w:pStyle w:val="null3"/>
            </w:pPr>
            <w:r>
              <w:rPr/>
              <w:t>工程项目管理实验教学平台</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应用软件</w:t>
            </w:r>
          </w:p>
        </w:tc>
        <w:tc>
          <w:tcPr>
            <w:tcW w:type="dxa" w:w="2136"/>
          </w:tcPr>
          <w:p>
            <w:pPr>
              <w:pStyle w:val="null3"/>
            </w:pPr>
            <w:r>
              <w:rPr/>
              <w:t>装配式智慧学堂（PCIS）</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中标人必须在合同签订生效之日起20个日历日内完成所投产品的交货、安装及调试，包括向采购人职能部门提交认可的完整的验收申请资料。货物须为原厂商未启封的全新包装，具有出厂合格证，序列号、包装箱号与出厂批号一致，并可追溯查阅。</w:t>
      </w:r>
    </w:p>
    <w:p>
      <w:pPr>
        <w:pStyle w:val="null3"/>
      </w:pPr>
      <w:r>
        <w:rPr/>
        <w:t>采购包3(教学软件升级采购项目——智能学情分析系统):</w:t>
      </w:r>
    </w:p>
    <w:p>
      <w:pPr>
        <w:pStyle w:val="null3"/>
      </w:pPr>
      <w:r>
        <w:rPr/>
        <w:t>采购包预算金额：295,900.00元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信息化设备零部件</w:t>
            </w:r>
          </w:p>
        </w:tc>
        <w:tc>
          <w:tcPr>
            <w:tcW w:type="dxa" w:w="2136"/>
          </w:tcPr>
          <w:p>
            <w:pPr>
              <w:pStyle w:val="null3"/>
            </w:pPr>
            <w:r>
              <w:rPr/>
              <w:t>高清智能摄像机</w:t>
            </w:r>
          </w:p>
        </w:tc>
        <w:tc>
          <w:tcPr>
            <w:tcW w:type="dxa" w:w="1187"/>
          </w:tcPr>
          <w:p>
            <w:pPr>
              <w:pStyle w:val="null3"/>
            </w:pPr>
            <w:r>
              <w:rPr/>
              <w:t>10(台)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3-2</w:t>
            </w:r>
          </w:p>
        </w:tc>
        <w:tc>
          <w:tcPr>
            <w:tcW w:type="dxa" w:w="1424"/>
          </w:tcPr>
          <w:p>
            <w:pPr>
              <w:pStyle w:val="null3"/>
            </w:pPr>
            <w:r>
              <w:rPr/>
              <w:t>应用软件</w:t>
            </w:r>
          </w:p>
        </w:tc>
        <w:tc>
          <w:tcPr>
            <w:tcW w:type="dxa" w:w="2136"/>
          </w:tcPr>
          <w:p>
            <w:pPr>
              <w:pStyle w:val="null3"/>
            </w:pPr>
            <w:r>
              <w:rPr/>
              <w:t>智能学情分析系统</w:t>
            </w:r>
          </w:p>
        </w:tc>
        <w:tc>
          <w:tcPr>
            <w:tcW w:type="dxa" w:w="1187"/>
          </w:tcPr>
          <w:p>
            <w:pPr>
              <w:pStyle w:val="null3"/>
            </w:pPr>
            <w:r>
              <w:rPr/>
              <w:t>100(路)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3-3</w:t>
            </w:r>
          </w:p>
        </w:tc>
        <w:tc>
          <w:tcPr>
            <w:tcW w:type="dxa" w:w="1424"/>
          </w:tcPr>
          <w:p>
            <w:pPr>
              <w:pStyle w:val="null3"/>
            </w:pPr>
            <w:r>
              <w:rPr/>
              <w:t>信息化设备零部件</w:t>
            </w:r>
          </w:p>
        </w:tc>
        <w:tc>
          <w:tcPr>
            <w:tcW w:type="dxa" w:w="2136"/>
          </w:tcPr>
          <w:p>
            <w:pPr>
              <w:pStyle w:val="null3"/>
            </w:pPr>
            <w:r>
              <w:rPr/>
              <w:t>机架</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3-4</w:t>
            </w:r>
          </w:p>
        </w:tc>
        <w:tc>
          <w:tcPr>
            <w:tcW w:type="dxa" w:w="1424"/>
          </w:tcPr>
          <w:p>
            <w:pPr>
              <w:pStyle w:val="null3"/>
            </w:pPr>
            <w:r>
              <w:rPr/>
              <w:t>信息化设备零部件</w:t>
            </w:r>
          </w:p>
        </w:tc>
        <w:tc>
          <w:tcPr>
            <w:tcW w:type="dxa" w:w="2136"/>
          </w:tcPr>
          <w:p>
            <w:pPr>
              <w:pStyle w:val="null3"/>
            </w:pPr>
            <w:r>
              <w:rPr/>
              <w:t>CPU</w:t>
            </w:r>
          </w:p>
        </w:tc>
        <w:tc>
          <w:tcPr>
            <w:tcW w:type="dxa" w:w="1187"/>
          </w:tcPr>
          <w:p>
            <w:pPr>
              <w:pStyle w:val="null3"/>
            </w:pPr>
            <w:r>
              <w:rPr/>
              <w:t>2(块)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3-5</w:t>
            </w:r>
          </w:p>
        </w:tc>
        <w:tc>
          <w:tcPr>
            <w:tcW w:type="dxa" w:w="1424"/>
          </w:tcPr>
          <w:p>
            <w:pPr>
              <w:pStyle w:val="null3"/>
            </w:pPr>
            <w:r>
              <w:rPr/>
              <w:t>信息化设备零部件</w:t>
            </w:r>
          </w:p>
        </w:tc>
        <w:tc>
          <w:tcPr>
            <w:tcW w:type="dxa" w:w="2136"/>
          </w:tcPr>
          <w:p>
            <w:pPr>
              <w:pStyle w:val="null3"/>
            </w:pPr>
            <w:r>
              <w:rPr/>
              <w:t>GPU加速卡</w:t>
            </w:r>
          </w:p>
        </w:tc>
        <w:tc>
          <w:tcPr>
            <w:tcW w:type="dxa" w:w="1187"/>
          </w:tcPr>
          <w:p>
            <w:pPr>
              <w:pStyle w:val="null3"/>
            </w:pPr>
            <w:r>
              <w:rPr/>
              <w:t>2(块)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中标人必须在合同签订生效之日起20个日历日内完成所投产品的交货、安装及调试，包括向采购人职能部门提交认可的完整的验收申请资料。货物须为原厂商未启封的全新包装，具有出厂合格证，序列号、包装箱号与出厂批号一致，并可追溯查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年度财务状况报告或投标截止日前6个月内任意1个月的财务报表复印件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采购包1（教学软件升级采购项目——教育教学质量数据监测信息化平台）：</w:t>
      </w:r>
      <w:r>
        <w:rPr/>
        <w:t>本采购包属于整体专门面向中小企业采购，投标人须提供中小企业声明函（即本采购包所有产品的制造商（或生产商）须是“软件和信息技术服务业”中的中小微企业）。属于监狱企业的，提供由省级以上监狱管理局、戒毒管理局(含新疆生产建设兵团)出具的属于监狱企业的证明文件；属于残疾人福利性单位的，提供《残疾人福利性单位声明函》。为确保声明函的准确性，建议利用以下小程序进行自测。（中小企业规模类型自测小程序：https://baosong.miit.gov.cn/ScaleTest）</w:t>
      </w:r>
    </w:p>
    <w:p>
      <w:pPr>
        <w:pStyle w:val="null3"/>
        <w:jc w:val="left"/>
      </w:pPr>
      <w:r>
        <w:rPr/>
        <w:t>采购包2（教学软件升级采购项目——工程管理专业实验室）：</w:t>
      </w:r>
      <w:r>
        <w:rPr/>
        <w:t>本采购包属于整体专门面向中小企业采购，投标人须提供中小企业声明函（即本采购包所有产品的制造商（或生产商）须是“软件和信息技术服务业”中的中小微企业）。属于监狱企业的，提供由省级以上监狱管理局、戒毒管理局(含新疆生产建设兵团)出具的属于监狱企业的证明文件；属于残疾人福利性单位的，提供《残疾人福利性单位声明函》。为确保声明函的准确性，建议利用以下小程序进行自测。（中小企业规模类型自测小程序：https://baosong.miit.gov.cn/ScaleTest）</w:t>
      </w:r>
    </w:p>
    <w:p>
      <w:pPr>
        <w:pStyle w:val="null3"/>
        <w:jc w:val="left"/>
      </w:pPr>
      <w:r>
        <w:rPr/>
        <w:t>采购包3（教学软件升级采购项目——智能学情分析系统）：</w:t>
      </w:r>
      <w:r>
        <w:rPr/>
        <w:t>本采购包属于整体专门面向中小企业采购，投标人须提供中小企业声明函（即本采购包所有产品的制造商（或生产商）须是“工业”中的中小微企业）。属于监狱企业的，提供由省级以上监狱管理局、戒毒管理局(含新疆生产建设兵团)出具的属于监狱企业的证明文件；属于残疾人福利性单位的，提供《残疾人福利性单位声明函》。为确保声明函的准确性，建议利用以下小程序进行自测。（中小企业规模类型自测小程序：https://baosong.miit.gov.cn/ScaleTest）</w:t>
      </w:r>
    </w:p>
    <w:p>
      <w:pPr>
        <w:pStyle w:val="null3"/>
        <w:outlineLvl w:val="3"/>
      </w:pPr>
      <w:r>
        <w:rPr>
          <w:sz w:val="24"/>
          <w:b/>
        </w:rPr>
        <w:t>3.本项目特定的资格要求：</w:t>
      </w:r>
    </w:p>
    <w:p>
      <w:pPr>
        <w:pStyle w:val="null3"/>
      </w:pPr>
      <w:r>
        <w:rPr/>
        <w:t>采购包1（教学软件升级采购项目——教育教学质量数据监测信息化平台）：</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采购包2（教学软件升级采购项目——工程管理专业实验室）：</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采购包3（教学软件升级采购项目——智能学情分析系统）：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五邑大学</w:t>
      </w:r>
    </w:p>
    <w:p>
      <w:pPr>
        <w:pStyle w:val="null3"/>
        <w:ind w:firstLine="480"/>
      </w:pPr>
      <w:r>
        <w:rPr/>
        <w:t xml:space="preserve"> 地址：</w:t>
      </w:r>
      <w:r>
        <w:rPr/>
        <w:t>江门市蓬江区东成村22号</w:t>
      </w:r>
    </w:p>
    <w:p>
      <w:pPr>
        <w:pStyle w:val="null3"/>
        <w:ind w:firstLine="480"/>
      </w:pPr>
      <w:r>
        <w:rPr/>
        <w:t xml:space="preserve"> 联系方式：</w:t>
      </w:r>
      <w:r>
        <w:rPr/>
        <w:t>0750-3296151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1、投标人须对本项目为单位（有划分采购包的，则以</w:t>
      </w:r>
      <w:r>
        <w:rPr>
          <w:sz w:val="21"/>
          <w:b/>
        </w:rPr>
        <w:t>采购包</w:t>
      </w:r>
      <w:r>
        <w:rPr>
          <w:sz w:val="21"/>
          <w:b/>
        </w:rPr>
        <w:t>为单位）的标的物进行整体投标，任何只对其中一部分内容进行的投标都被视为无效投标。</w:t>
      </w:r>
      <w:r>
        <w:rPr>
          <w:sz w:val="21"/>
          <w:b/>
        </w:rPr>
        <w:t>本项目各</w:t>
      </w:r>
      <w:r>
        <w:rPr>
          <w:sz w:val="21"/>
          <w:b/>
        </w:rPr>
        <w:t>采购包</w:t>
      </w:r>
      <w:r>
        <w:rPr>
          <w:sz w:val="21"/>
          <w:b/>
        </w:rPr>
        <w:t>以总价形式报价，采购需求中的分项预算单价及分项预算总价仅供参考，不作为限价。</w:t>
      </w:r>
    </w:p>
    <w:p>
      <w:pPr>
        <w:pStyle w:val="null3"/>
        <w:jc w:val="both"/>
      </w:pPr>
      <w:r>
        <w:rPr>
          <w:sz w:val="21"/>
          <w:b/>
        </w:rPr>
        <w:t>2</w:t>
      </w:r>
      <w:r>
        <w:rPr>
          <w:sz w:val="21"/>
          <w:b/>
        </w:rPr>
        <w:t>、本招标文件中，凡标有“★”的地方，投标人要特别加以注意，必须对此作出一一响应。若有一项带“★”的指标未响应或不满足，将导致其废标或投标无效。</w:t>
      </w:r>
    </w:p>
    <w:p>
      <w:pPr>
        <w:pStyle w:val="null3"/>
        <w:jc w:val="both"/>
      </w:pPr>
      <w:r>
        <w:rPr>
          <w:sz w:val="21"/>
          <w:b/>
        </w:rPr>
        <w:t>3</w:t>
      </w:r>
      <w:r>
        <w:rPr>
          <w:sz w:val="21"/>
          <w:b/>
        </w:rPr>
        <w:t>、本项目核心产品为：</w:t>
      </w:r>
      <w:r>
        <w:rPr>
          <w:sz w:val="21"/>
          <w:b/>
          <w:u w:val="single"/>
        </w:rPr>
        <w:t>采购包</w:t>
      </w:r>
      <w:r>
        <w:rPr>
          <w:sz w:val="21"/>
          <w:b/>
          <w:u w:val="single"/>
        </w:rPr>
        <w:t>1</w:t>
      </w:r>
      <w:r>
        <w:rPr>
          <w:sz w:val="21"/>
          <w:b/>
          <w:u w:val="single"/>
        </w:rPr>
        <w:t>：综合统计管理平台</w:t>
      </w:r>
    </w:p>
    <w:p>
      <w:pPr>
        <w:pStyle w:val="null3"/>
        <w:ind w:firstLine="2214"/>
        <w:jc w:val="both"/>
      </w:pPr>
      <w:r>
        <w:rPr>
          <w:sz w:val="21"/>
          <w:b/>
          <w:u w:val="single"/>
        </w:rPr>
        <w:t>采购包</w:t>
      </w:r>
      <w:r>
        <w:rPr>
          <w:sz w:val="21"/>
          <w:b/>
          <w:u w:val="single"/>
        </w:rPr>
        <w:t>2</w:t>
      </w:r>
      <w:r>
        <w:rPr>
          <w:sz w:val="21"/>
          <w:b/>
          <w:u w:val="single"/>
        </w:rPr>
        <w:t>：工程项目管理实验教学平台</w:t>
      </w:r>
    </w:p>
    <w:p>
      <w:pPr>
        <w:pStyle w:val="null3"/>
        <w:ind w:firstLine="2214"/>
        <w:jc w:val="both"/>
      </w:pPr>
      <w:r>
        <w:rPr>
          <w:sz w:val="21"/>
          <w:b/>
          <w:u w:val="single"/>
        </w:rPr>
        <w:t>采购包</w:t>
      </w:r>
      <w:r>
        <w:rPr>
          <w:sz w:val="21"/>
          <w:b/>
          <w:u w:val="single"/>
        </w:rPr>
        <w:t>3</w:t>
      </w:r>
      <w:r>
        <w:rPr>
          <w:sz w:val="21"/>
          <w:b/>
          <w:u w:val="single"/>
        </w:rPr>
        <w:t>：智能学情分析系统</w:t>
      </w:r>
    </w:p>
    <w:p>
      <w:pPr>
        <w:pStyle w:val="null3"/>
        <w:jc w:val="both"/>
      </w:pPr>
      <w:r>
        <w:rPr>
          <w:sz w:val="21"/>
          <w:b/>
        </w:rPr>
        <w:t>投标人应在响应文件中清晰列明“货物名称、品牌”。注：若存在多项核心产品，当不同供应商提供的任意一项核心产品的品牌相同，则视同其是所响应核心产品品牌相同供应商。</w:t>
      </w:r>
    </w:p>
    <w:p>
      <w:pPr>
        <w:pStyle w:val="null3"/>
        <w:jc w:val="both"/>
      </w:pPr>
      <w:r>
        <w:rPr>
          <w:sz w:val="21"/>
          <w:b/>
        </w:rPr>
        <w:t>4</w:t>
      </w:r>
      <w:r>
        <w:rPr>
          <w:sz w:val="21"/>
          <w:b/>
        </w:rPr>
        <w:t>、本项目对应的中小企业划分标准所属行业为：</w:t>
      </w:r>
      <w:r>
        <w:rPr>
          <w:sz w:val="21"/>
          <w:b/>
          <w:u w:val="single"/>
        </w:rPr>
        <w:t>采购包1：软件和信息技术服务业</w:t>
      </w:r>
    </w:p>
    <w:p>
      <w:pPr>
        <w:pStyle w:val="null3"/>
        <w:ind w:firstLine="4533"/>
        <w:jc w:val="both"/>
      </w:pPr>
      <w:r>
        <w:rPr>
          <w:sz w:val="21"/>
          <w:b/>
          <w:u w:val="single"/>
        </w:rPr>
        <w:t>采购包2：软件和信息技术服务业</w:t>
      </w:r>
    </w:p>
    <w:p>
      <w:pPr>
        <w:pStyle w:val="null3"/>
        <w:ind w:firstLine="4533"/>
        <w:jc w:val="both"/>
      </w:pPr>
      <w:r>
        <w:rPr>
          <w:sz w:val="21"/>
          <w:b/>
          <w:u w:val="single"/>
        </w:rPr>
        <w:t>采购包3：工业</w:t>
      </w:r>
    </w:p>
    <w:p>
      <w:pPr>
        <w:pStyle w:val="null3"/>
        <w:jc w:val="both"/>
      </w:pPr>
      <w:r>
        <w:rPr>
          <w:sz w:val="21"/>
          <w:b/>
        </w:rPr>
        <w:t>5</w:t>
      </w:r>
      <w:r>
        <w:rPr>
          <w:sz w:val="21"/>
          <w:b/>
        </w:rPr>
        <w:t>、对接五邑大学教学平台和督导评教平台的技术要求：</w:t>
      </w:r>
    </w:p>
    <w:p>
      <w:pPr>
        <w:pStyle w:val="null3"/>
        <w:ind w:left="420"/>
      </w:pPr>
      <w:r>
        <w:rPr/>
        <w:t>（1）运行环境：</w:t>
      </w:r>
    </w:p>
    <w:p>
      <w:pPr>
        <w:pStyle w:val="null3"/>
        <w:ind w:left="420"/>
      </w:pPr>
      <w:r>
        <w:rPr/>
        <w:t>系统运行环境：windows server 2012</w:t>
      </w:r>
    </w:p>
    <w:p>
      <w:pPr>
        <w:pStyle w:val="null3"/>
        <w:ind w:left="420"/>
      </w:pPr>
      <w:r>
        <w:rPr/>
        <w:t>（2）系统配置：</w:t>
      </w:r>
    </w:p>
    <w:p>
      <w:pPr>
        <w:pStyle w:val="null3"/>
        <w:ind w:left="420"/>
      </w:pPr>
      <w:r>
        <w:rPr/>
        <w:t>CPU</w:t>
      </w:r>
      <w:r>
        <w:rPr/>
        <w:t>：2颗10核至强4210；2.4G以上，内存：64G，网口：≥1000M，硬盘：≥2T</w:t>
      </w:r>
    </w:p>
    <w:p>
      <w:pPr>
        <w:pStyle w:val="null3"/>
        <w:ind w:left="420"/>
      </w:pPr>
      <w:r>
        <w:rPr/>
        <w:t>（3）系统架构：</w:t>
      </w:r>
    </w:p>
    <w:p>
      <w:pPr>
        <w:pStyle w:val="null3"/>
        <w:ind w:left="420"/>
      </w:pPr>
      <w:r>
        <w:rPr/>
        <w:t>①系统架构：基于SOA技术架构。</w:t>
      </w:r>
    </w:p>
    <w:p>
      <w:pPr>
        <w:pStyle w:val="null3"/>
        <w:ind w:left="420"/>
      </w:pPr>
      <w:r>
        <w:rPr/>
        <w:t>②技术体系：J2EE技术。同时开发模式采用JSP+Servlet+JavaBean,</w:t>
      </w:r>
    </w:p>
    <w:p>
      <w:pPr>
        <w:pStyle w:val="null3"/>
        <w:ind w:left="420"/>
      </w:pPr>
      <w:r>
        <w:rPr/>
        <w:t>开发系统使用工具Eclipse，编译该代码的操作系统windows、运行环境是tomcat。</w:t>
      </w:r>
    </w:p>
    <w:p>
      <w:pPr>
        <w:pStyle w:val="null3"/>
        <w:ind w:left="420"/>
      </w:pPr>
      <w:r>
        <w:rPr/>
        <w:t>③XML标准</w:t>
      </w:r>
    </w:p>
    <w:p>
      <w:pPr>
        <w:pStyle w:val="null3"/>
        <w:ind w:left="420"/>
      </w:pPr>
      <w:r>
        <w:rPr/>
        <w:t>系统内部的数据交换全部采用XML标准。</w:t>
      </w:r>
    </w:p>
    <w:p>
      <w:pPr>
        <w:pStyle w:val="null3"/>
        <w:ind w:left="420"/>
      </w:pPr>
      <w:r>
        <w:rPr/>
        <w:t>④Web Service接口</w:t>
      </w:r>
    </w:p>
    <w:p>
      <w:pPr>
        <w:pStyle w:val="null3"/>
        <w:ind w:left="420"/>
      </w:pPr>
      <w:r>
        <w:rPr/>
        <w:t>系统除了提供一般的接口以外还提供Web Service的接口。</w:t>
      </w:r>
    </w:p>
    <w:p>
      <w:pPr>
        <w:pStyle w:val="null3"/>
        <w:ind w:left="420"/>
      </w:pPr>
      <w:r>
        <w:rPr/>
        <w:t>⑤采用组件化的设计方法</w:t>
      </w:r>
    </w:p>
    <w:p>
      <w:pPr>
        <w:pStyle w:val="null3"/>
        <w:ind w:left="420"/>
      </w:pPr>
      <w:r>
        <w:rPr/>
        <w:t>（4）对接直录播</w:t>
      </w:r>
    </w:p>
    <w:p>
      <w:pPr>
        <w:pStyle w:val="null3"/>
        <w:ind w:left="420"/>
      </w:pPr>
      <w:r>
        <w:rPr/>
        <w:t>教学平台依据自己平台策略进行课堂教学直录播或按照排课表将每节课的视频录制下来；（根据排课表节次的开始及结束时间录制对应课堂）</w:t>
      </w:r>
    </w:p>
    <w:p>
      <w:pPr>
        <w:pStyle w:val="null3"/>
        <w:ind w:left="420"/>
      </w:pPr>
      <w:r>
        <w:rPr/>
        <w:t>①获取直播：</w:t>
      </w:r>
    </w:p>
    <w:p>
      <w:pPr>
        <w:pStyle w:val="null3"/>
        <w:ind w:left="420"/>
      </w:pPr>
      <w:r>
        <w:rPr/>
        <w:t>根据教室号（教室内有录播设备），能获取当前正在进行直播的推流地址（需要hls、flv或mp4的码流）</w:t>
      </w:r>
    </w:p>
    <w:p>
      <w:pPr>
        <w:pStyle w:val="null3"/>
        <w:ind w:left="420"/>
      </w:pPr>
      <w:r>
        <w:rPr/>
        <w:t>②获取录播：</w:t>
      </w:r>
    </w:p>
    <w:p>
      <w:pPr>
        <w:pStyle w:val="null3"/>
        <w:ind w:left="420"/>
      </w:pPr>
      <w:r>
        <w:rPr/>
        <w:t>根据教室编号+开始和结束时间，获取教室设备某个时间段内的回放地址（需要hls、flv或mp4的码流）</w:t>
      </w:r>
    </w:p>
    <w:p>
      <w:pPr>
        <w:pStyle w:val="null3"/>
        <w:ind w:left="420"/>
      </w:pPr>
      <w:r>
        <w:rPr/>
        <w:t>（5）对接摄像机</w:t>
      </w:r>
    </w:p>
    <w:p>
      <w:pPr>
        <w:pStyle w:val="null3"/>
        <w:ind w:left="420"/>
      </w:pPr>
      <w:r>
        <w:rPr/>
        <w:t>通过SDK包进行对接。</w:t>
      </w:r>
    </w:p>
    <w:p>
      <w:pPr>
        <w:pStyle w:val="null3"/>
      </w:pPr>
      <w:r>
        <w:rPr/>
        <w:t>采购包1（教学软件升级采购项目——教育教学质量数据监测信息化平台）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必须在合同签订生效之日起20个日历日内完成所投产品的交货、安装及调试，包括向采购人职能部门提交认可的完整的验收申请资料。货物须为原厂商未启封的全新包装，具有出厂合格证，序列号、包装箱号与出厂批号一致，并可追溯查阅。</w:t>
            </w:r>
          </w:p>
        </w:tc>
      </w:tr>
      <w:tr>
        <w:tc>
          <w:tcPr>
            <w:tcW w:type="dxa" w:w="4153"/>
          </w:tcPr>
          <w:p>
            <w:pPr>
              <w:pStyle w:val="null3"/>
            </w:pPr>
            <w:r>
              <w:rPr/>
              <w:t>标的提供的地点</w:t>
            </w:r>
          </w:p>
        </w:tc>
        <w:tc>
          <w:tcPr>
            <w:tcW w:type="dxa" w:w="4153"/>
          </w:tcPr>
          <w:p>
            <w:pPr>
              <w:pStyle w:val="null3"/>
            </w:pPr>
            <w:r>
              <w:rPr/>
              <w:t>五邑大学内指定地点</w:t>
            </w:r>
          </w:p>
        </w:tc>
      </w:tr>
      <w:tr>
        <w:tc>
          <w:tcPr>
            <w:tcW w:type="dxa" w:w="4153"/>
          </w:tcPr>
          <w:p>
            <w:pPr>
              <w:pStyle w:val="null3"/>
            </w:pPr>
            <w:r>
              <w:rPr/>
              <w:t>付款方式</w:t>
            </w:r>
          </w:p>
        </w:tc>
        <w:tc>
          <w:tcPr>
            <w:tcW w:type="dxa" w:w="4153"/>
          </w:tcPr>
          <w:p>
            <w:pPr>
              <w:pStyle w:val="null3"/>
            </w:pPr>
            <w:r>
              <w:rPr/>
              <w:t>1期：支付比例30%,合同签订生效后5个工作日内（不含审批时间）采购人完成办理合同总金额30%的货款支付手续。</w:t>
            </w:r>
          </w:p>
          <w:p>
            <w:pPr>
              <w:pStyle w:val="null3"/>
            </w:pPr>
            <w:r>
              <w:rPr/>
              <w:t>2期：支付比例70%,1.验收合格后，中标人按合同总金额向采购人开具符合合同类型要求的增值税专用发票和提供由采购人认可的验收报告。货物验收合格和采购人收到前述发票、验收报告后10个工作日（不含审批时间）内采购人完成办理合同总金额70%的货款的支付手续。 2.结算方式：银行转账。</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1期：（一）货物交付 中标人必须在合同签订生效之日起20个日历日内完成所投产品的交货、安装及调试，包括向采购人职能部门提交认可的完整的验收申请资料。货物须为原厂商未启封的全新包装，具有出厂合格证，序列号、包装箱号与出厂批号一致，并可追溯查阅。 （二）货物验收 1.开箱验收： 全部货物送到采购人指定场地后，采购人、中标人双方同时在场才能开封验货，现场安装。如果发现货物的包装损坏、不符合包装要求或货物的质量、型号、规格和数量等与合同不符，采购人有权拒收货物，中标人应在合同约定的交货时间内按照合同要求及时进行第二次交货处理并通过验收，否则按违约处理，采购人有权解除采购合同并上报主管部门，相关损失由中标人自行承担。 2.功能性验收： （1）系统上线调试运行30个日历日后，所有性能达到技术规范书和验收规范要求，并经初步培训，采购人用户已熟悉系统的具体使用操作后，且收到中标人验收申请后7日内，由采购人报请学校主管部门组织验收组，会同中标人进行验收。 （2）验收细则以中标人在投标书中提供的设备技术资料及双方签订的合同条款为准（验收时需要对每一条参数进行逐一验证，并提供验证佐证材料作为验收资料）。 （三）违约处置 1.出现以下任何情形之一的，采购人有权单方面解除合同并向中标人收取合同总价10%的违约金，若因此造成采购人损失的，中标人还应当向采购人承担相应的损失： （1）中标人拒绝供货或逾期15日交付货物； （2）中标人交付的货物不符合合同规定，且采购人拒收的； （3）中标人交付的货物经两次及以上验收仍不合格的； （4）中标人交付的货物经有关部门鉴定为不合格产品的； （5）中标人提供的货物涉及侵犯他人知识产权、肖像权、技术秘密、商业秘密或其他权益纠纷; （6）中标人利用本合同实施损害采购人合法权益行为的； （7）中标人不按合同约定履行义务，经采购人提出后，在合理期限内仍不改正的； （8）中标人所交货的货物验收不合格，或经维修、退换后仍无法正常使用的，或虽可正常使用但无法达到本合同约定的参数及要求的。 2. 中标人逾期交付货物的，则每逾期一日采购人有权在合同价款中直接扣除合同总价的0.3‰作为违约金，直到交付验收合格货物时止。 3. 采购人逾期付款的，则每逾期一日中标人有权要求采购人按合同总价0.3‰偿付违约金，采购人支付的违约金总额不超过合同总价的3%；在履行合同过程中，因相关部门审核导致的支付延误，采购人无须承担违约责任。</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供货要求</w:t>
            </w:r>
          </w:p>
        </w:tc>
        <w:tc>
          <w:tcPr>
            <w:tcW w:type="dxa" w:w="2076"/>
          </w:tcPr>
          <w:p>
            <w:pPr>
              <w:pStyle w:val="null3"/>
              <w:jc w:val="left"/>
            </w:pPr>
            <w:r>
              <w:rPr/>
              <w:t>1.投标人所投报的产品必须是本国产品，本项目不接受所投报产品为进口产品的投标（本招标文件中所称进口产品是指通过中国海关报关验放进入中国境内且产自关境外的产品）。 2.安全责任：本项目安全措施由投标人制定方案及组织实施，并承担全部安全责任，采购人不负责任何投标人人员伤亡、投标人人员劳保福利以及施工中材料/工具器械等被盗、毁损灭失等责任。投标人制定的安全措施方案中标后提交一份至采购人留存备案，且采购人有权监督投标人组织实施情况。（投标人需提供承诺函） 3.投标人应当按照采购人要求及其他资料对设备进行设计、制作、安装和调试，所提供的设备在生产、安装和调试时应能满足国家相应的标准要求。投标人在设备采购、运输、安装、调试、维护、保修的过程中必须负责一切安全责任。 4.投标人必须保证所投报货物为在售设备，投标前应自行做好充分的市场调查，中标后不得以笔误等情况为由，提出更改中标设备参数或更换中标设备。更改设备参数或更换设备需由采购人职能部门组织专家组确认后再批准。如无法确认，采购人有权拒收且不承担任何违约责任，同时采购人有权追究投标人相应违约责任。 5.知识产权和专利权 投标人提供的货物必须是无知识产权争议，且全新的产品（含零部件、配件、随机工具等），表面无划损、无碰撞、无任何缺陷隐患、无其他侵权行为，在中国境内可依常规安全合法使用。 投标人应保证采购人在中华人民共和国使用货物或其任何一部分时，如有第三方向采购人提出侵犯专利权、商标权或者其他知识产权的主张，因此产生的法律责任、赔偿责任由投标人承担；因此给采购人造成损失的，投标人应赔偿采购人全部损失。 投标人应于售出货物前向所有权人支付专利权、商标权或其他知识产权的有关费用及税费。</w:t>
            </w:r>
          </w:p>
        </w:tc>
      </w:tr>
      <w:tr>
        <w:tc>
          <w:tcPr>
            <w:tcW w:type="dxa" w:w="2076"/>
          </w:tcPr>
          <w:p/>
        </w:tc>
        <w:tc>
          <w:tcPr>
            <w:tcW w:type="dxa" w:w="2076"/>
          </w:tcPr>
          <w:p>
            <w:pPr>
              <w:pStyle w:val="null3"/>
              <w:jc w:val="center"/>
            </w:pPr>
            <w:r>
              <w:rPr/>
              <w:t>2</w:t>
            </w:r>
          </w:p>
        </w:tc>
        <w:tc>
          <w:tcPr>
            <w:tcW w:type="dxa" w:w="2076"/>
          </w:tcPr>
          <w:p>
            <w:pPr>
              <w:pStyle w:val="null3"/>
              <w:jc w:val="left"/>
            </w:pPr>
            <w:r>
              <w:rPr/>
              <w:t>采购包1售后服务要求</w:t>
            </w:r>
          </w:p>
        </w:tc>
        <w:tc>
          <w:tcPr>
            <w:tcW w:type="dxa" w:w="2076"/>
          </w:tcPr>
          <w:p>
            <w:pPr>
              <w:pStyle w:val="null3"/>
              <w:jc w:val="left"/>
            </w:pPr>
            <w:r>
              <w:rPr/>
              <w:t>采购包1：教学软件升级采购项目——教育教学质量数据监测信息化平台 1.本项目全部产品质量保证期 5 年（自验收合格之日起计），提供3年数据填报指导与数据分析报告解读服务。中标人所提供产品使用的数据库、操作系统均由中标人负责日常维护与升级，中标人有义务保障所维护系统的安全和稳定。 2.项目实施期间，须安排不少于1名驻点开发人员进场开发。遇到故障，需保证在12小时内对采购人所提出的维护要求做出响应，并在做出响应24小时内派出工作人员进行故障排除，主要包括所投产品在运行中的故障排错，数据备份及恢复，平台及数据库系统适配调整等工作，从而保证软件系统正常运作。如遇紧急情况严重影响平台使用，需在4小时内响应并处置完成，若涉及关键安全漏洞需要立即处置的，应在30分钟内完成应急处置。 3.依据每年教育部状态数据内涵变化生成院校多维度数据分析报告为基础，中标人需为学校各部门解读高等教育质量监测国家数据平台、教育事业统计数据表的数据填报内涵，指导各部门完成数据的纠正和调整，提高全校数据填报的准确性和全面性，能明确区分与教育部填报指南的不同，并在教育部填报指南的基础上解释的更清晰、更容易理解，更有利于各部门填报。 4.中标人解读学校数据分析报告数据问题，提出调整建议，分析数据成因和潜隐问题，挖掘数据的管理价值。提供数据解读报告及配套文档，解读报告要包括至少以下详细指标：定位与目标、师资队伍、教学资源、培养过程、学生发展、质量保障等，有合理的调整方法和调整建议，提供能满足学校特定约束条件下有学校自己特色的优化调整方案。 5.中标供应商需提供高等教育质量监测国家数据平台、教育事业统计数据采集平台与填报的培训、咨询、个性化指导服务；填报数据前对相关部门进行培训，全程辅导数据填报，为填报部门人员提供填报指标内涵、统计口径、数据校验关系、数据问题等培训，安排专门技术人员全程在线及时解答各部门人员采集、统计、填报、纠错、分析过程中遇到的问题，使数据填报部门及人员明确数据项的填报目的及填报策略，提高数据填报的准确性和时效率。 6.质保期内中标人负责所有因货物质量问题而产生的费用。</w:t>
            </w:r>
          </w:p>
        </w:tc>
      </w:tr>
      <w:tr>
        <w:tc>
          <w:tcPr>
            <w:tcW w:type="dxa" w:w="2076"/>
          </w:tcPr>
          <w:p/>
        </w:tc>
        <w:tc>
          <w:tcPr>
            <w:tcW w:type="dxa" w:w="2076"/>
          </w:tcPr>
          <w:p>
            <w:pPr>
              <w:pStyle w:val="null3"/>
              <w:jc w:val="center"/>
            </w:pPr>
            <w:r>
              <w:rPr/>
              <w:t>3</w:t>
            </w:r>
          </w:p>
        </w:tc>
        <w:tc>
          <w:tcPr>
            <w:tcW w:type="dxa" w:w="2076"/>
          </w:tcPr>
          <w:p>
            <w:pPr>
              <w:pStyle w:val="null3"/>
              <w:jc w:val="left"/>
            </w:pPr>
            <w:r>
              <w:rPr/>
              <w:t>信息安全保障</w:t>
            </w:r>
          </w:p>
        </w:tc>
        <w:tc>
          <w:tcPr>
            <w:tcW w:type="dxa" w:w="2076"/>
          </w:tcPr>
          <w:p>
            <w:pPr>
              <w:pStyle w:val="null3"/>
              <w:jc w:val="left"/>
            </w:pPr>
            <w:r>
              <w:rPr/>
              <w:t>代码安全部分进行源代码扫描，部署环境安全会进行漏洞扫描和配合学校进行等保测试，配合学校实现二级等保的备案和测评。运维人员安全方面会与学校签署保密协议。需要保密的信息，采用密码技术进行加解密处理，防止信息的非授权泄漏，确保涉密信息在产生、存储、传递和处理过程中的保密。数据网上传输采用符合国家安全标准的加密方式。具有安全日志、数据备份还原机制等。对所有用户操作保留记录，存储操作日志。</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应用软件</w:t>
            </w:r>
          </w:p>
        </w:tc>
        <w:tc>
          <w:tcPr>
            <w:tcW w:type="dxa" w:w="831"/>
          </w:tcPr>
          <w:p>
            <w:pPr>
              <w:pStyle w:val="null3"/>
              <w:jc w:val="left"/>
            </w:pPr>
            <w:r>
              <w:rPr/>
              <w:t>综合统计管理平台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jc w:val="right"/>
            </w:pPr>
            <w:r>
              <w:rPr/>
              <w:t>500,000.00</w:t>
            </w:r>
          </w:p>
        </w:tc>
        <w:tc>
          <w:tcPr>
            <w:tcW w:type="dxa" w:w="831"/>
          </w:tcPr>
          <w:p>
            <w:pPr>
              <w:pStyle w:val="null3"/>
            </w:pPr>
            <w:r>
              <w:rPr/>
              <w:t>软件和信息技术服务业</w:t>
            </w:r>
          </w:p>
        </w:tc>
        <w:tc>
          <w:tcPr>
            <w:tcW w:type="dxa" w:w="831"/>
          </w:tcPr>
          <w:p>
            <w:pPr>
              <w:pStyle w:val="null3"/>
            </w:pPr>
            <w:r>
              <w:rPr/>
              <w:t>详见附表一</w:t>
            </w:r>
          </w:p>
        </w:tc>
      </w:tr>
    </w:tbl>
    <w:p>
      <w:pPr>
        <w:pStyle w:val="null3"/>
      </w:pPr>
      <w:r>
        <w:rPr>
          <w:b/>
        </w:rPr>
        <w:t>附表</w:t>
      </w:r>
      <w:r>
        <w:rPr>
          <w:b/>
        </w:rPr>
        <w:t>一</w:t>
      </w:r>
      <w:r>
        <w:rPr>
          <w:b/>
        </w:rPr>
        <w:t>：</w:t>
      </w:r>
      <w:r>
        <w:rPr>
          <w:b/>
        </w:rPr>
        <w:t>综合统计管理平台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105" w:firstLine="384"/>
            </w:pPr>
            <w:r>
              <w:rPr>
                <w:sz w:val="21"/>
              </w:rPr>
              <w:t xml:space="preserve">1.1.   </w:t>
            </w:r>
            <w:r>
              <w:rPr>
                <w:sz w:val="21"/>
              </w:rPr>
              <w:t>项目总体要求：</w:t>
            </w:r>
          </w:p>
          <w:p>
            <w:pPr>
              <w:pStyle w:val="null3"/>
              <w:ind w:left="105" w:firstLine="384"/>
            </w:pPr>
            <w:r>
              <w:rPr>
                <w:sz w:val="21"/>
              </w:rPr>
              <w:t xml:space="preserve">1.1.1. </w:t>
            </w:r>
            <w:r>
              <w:rPr>
                <w:sz w:val="21"/>
              </w:rPr>
              <w:t>本项目包含的各业务系统要求为统一平台，功能界面风格和操作流程一致，各业务系统共享基础数据信息，遵循相同的数据标准；</w:t>
            </w:r>
          </w:p>
          <w:p>
            <w:pPr>
              <w:pStyle w:val="null3"/>
              <w:ind w:left="105" w:firstLine="384"/>
            </w:pPr>
            <w:r>
              <w:rPr>
                <w:sz w:val="21"/>
              </w:rPr>
              <w:t xml:space="preserve">1.1.2. </w:t>
            </w:r>
            <w:r>
              <w:rPr>
                <w:sz w:val="21"/>
              </w:rPr>
              <w:t>系统采用B/S架构，操作平台使用国产化操作系统等，兼容当前主流的不同浏览器，平台需支持本地部署；</w:t>
            </w:r>
          </w:p>
          <w:p>
            <w:pPr>
              <w:pStyle w:val="null3"/>
              <w:ind w:left="105" w:firstLine="384"/>
            </w:pPr>
            <w:r>
              <w:rPr>
                <w:sz w:val="21"/>
              </w:rPr>
              <w:t xml:space="preserve">1.1.3. </w:t>
            </w:r>
            <w:r>
              <w:rPr>
                <w:sz w:val="21"/>
              </w:rPr>
              <w:t>系统必须遵循学校的统一信息标准，开放系统数据接口；</w:t>
            </w:r>
          </w:p>
          <w:p>
            <w:pPr>
              <w:pStyle w:val="null3"/>
              <w:ind w:left="105" w:firstLine="384"/>
            </w:pPr>
            <w:r>
              <w:rPr>
                <w:sz w:val="21"/>
              </w:rPr>
              <w:t xml:space="preserve">1.2.   </w:t>
            </w:r>
            <w:r>
              <w:rPr>
                <w:sz w:val="21"/>
              </w:rPr>
              <w:t>填报及指标模块：</w:t>
            </w:r>
          </w:p>
          <w:p>
            <w:pPr>
              <w:pStyle w:val="null3"/>
              <w:ind w:left="105" w:firstLine="384"/>
            </w:pPr>
            <w:r>
              <w:rPr>
                <w:sz w:val="21"/>
              </w:rPr>
              <w:t xml:space="preserve">1.2.1. </w:t>
            </w:r>
            <w:r>
              <w:rPr>
                <w:sz w:val="21"/>
              </w:rPr>
              <w:t>通过模拟高等教育质量监测国家数据平台和教育事业统计数据（教基数据）采集平台的填报规则，提供数据填报任务的指派、审核、退回、修订、查询监控等全程工作流管理功能，内置最新的表单、指标、校验、算法等，支持学校在校内预先开展和提前完成高等教育质量监测国家数据、教基数据的采集工作；</w:t>
            </w:r>
          </w:p>
          <w:p>
            <w:pPr>
              <w:pStyle w:val="null3"/>
              <w:ind w:left="105" w:firstLine="384"/>
            </w:pPr>
            <w:r>
              <w:rPr>
                <w:sz w:val="21"/>
              </w:rPr>
              <w:t xml:space="preserve">1.2.2. </w:t>
            </w:r>
            <w:r>
              <w:rPr>
                <w:sz w:val="21"/>
              </w:rPr>
              <w:t>支持高等教育质量监测国家数据与教基数据的合并采集，只需建立一个采集任务，相同数据只需录入一次，避免数据重复采集；</w:t>
            </w:r>
          </w:p>
          <w:p>
            <w:pPr>
              <w:pStyle w:val="null3"/>
              <w:ind w:left="105" w:firstLine="384"/>
            </w:pPr>
            <w:r>
              <w:rPr>
                <w:sz w:val="21"/>
              </w:rPr>
              <w:t xml:space="preserve">1.2.3. </w:t>
            </w:r>
            <w:r>
              <w:rPr>
                <w:sz w:val="21"/>
              </w:rPr>
              <w:t>采集完成后，相关数据表能够一键下载，自动区分高等教育质量监测国家数据与教基数据，无需修改即可上传至对应的国家平台；</w:t>
            </w:r>
          </w:p>
          <w:p>
            <w:pPr>
              <w:pStyle w:val="null3"/>
              <w:ind w:left="105" w:firstLine="384"/>
            </w:pPr>
            <w:r>
              <w:rPr>
                <w:sz w:val="21"/>
              </w:rPr>
              <w:t xml:space="preserve">1.2.4. </w:t>
            </w:r>
            <w:r>
              <w:rPr>
                <w:sz w:val="21"/>
              </w:rPr>
              <w:t>将Excel文件作为填报模板导入。系统自动识别Excel样式并在Web页面上形成填报模板。Web页面上的填报模板效果和Excel文件中的定义完全一致（包括：合并单元格、背景色、Excel计算公式等），并支持教基数据表可直接上传并通过我校本科高等教育质量监测国家数据平台与评估系统的校验规则；</w:t>
            </w:r>
          </w:p>
          <w:p>
            <w:pPr>
              <w:pStyle w:val="null3"/>
              <w:ind w:left="105" w:firstLine="384"/>
            </w:pPr>
            <w:r>
              <w:rPr>
                <w:sz w:val="21"/>
              </w:rPr>
              <w:t xml:space="preserve">1.2.5. </w:t>
            </w:r>
            <w:r>
              <w:rPr>
                <w:sz w:val="21"/>
              </w:rPr>
              <w:t>自由划定表单区域,用于控制填写授权和计算逻辑。支持按整行、整列、起始行、起始列、自由单元格范围等方式灵活划分表格区域，并将区域指派给不同的填报用户和审核用户。区域类型包括：</w:t>
            </w:r>
          </w:p>
          <w:p>
            <w:pPr>
              <w:pStyle w:val="null3"/>
              <w:ind w:left="105" w:firstLine="384"/>
            </w:pPr>
            <w:r>
              <w:rPr>
                <w:sz w:val="21"/>
              </w:rPr>
              <w:t>（1）锁定区域：仅可查看，不能修改</w:t>
            </w:r>
          </w:p>
          <w:p>
            <w:pPr>
              <w:pStyle w:val="null3"/>
              <w:ind w:left="105" w:firstLine="384"/>
            </w:pPr>
            <w:r>
              <w:rPr>
                <w:sz w:val="21"/>
              </w:rPr>
              <w:t>（2）</w:t>
            </w:r>
            <w:r>
              <w:rPr>
                <w:sz w:val="21"/>
              </w:rPr>
              <w:t>填写区域：用于填报数据，可自动关联去年填报数据作为初始值</w:t>
            </w:r>
          </w:p>
          <w:p>
            <w:pPr>
              <w:pStyle w:val="null3"/>
              <w:ind w:left="105" w:firstLine="384"/>
            </w:pPr>
            <w:r>
              <w:rPr>
                <w:sz w:val="21"/>
              </w:rPr>
              <w:t>（3）</w:t>
            </w:r>
            <w:r>
              <w:rPr>
                <w:sz w:val="21"/>
              </w:rPr>
              <w:t>公式区域：按Excel公式语法定义计算公式，实现表内数据自动计算</w:t>
            </w:r>
          </w:p>
          <w:p>
            <w:pPr>
              <w:pStyle w:val="null3"/>
              <w:ind w:left="105" w:firstLine="384"/>
            </w:pPr>
            <w:r>
              <w:rPr>
                <w:sz w:val="21"/>
              </w:rPr>
              <w:t>（4）</w:t>
            </w:r>
            <w:r>
              <w:rPr>
                <w:sz w:val="21"/>
              </w:rPr>
              <w:t>计算区域：实现跨校区、跨表的数据计算。不同类型区域应使用不同背景色标识；</w:t>
            </w:r>
          </w:p>
          <w:p>
            <w:pPr>
              <w:pStyle w:val="null3"/>
              <w:ind w:left="105" w:firstLine="384"/>
            </w:pPr>
            <w:r>
              <w:rPr>
                <w:sz w:val="21"/>
              </w:rPr>
              <w:t xml:space="preserve">1.2.6. </w:t>
            </w:r>
            <w:r>
              <w:rPr>
                <w:sz w:val="21"/>
              </w:rPr>
              <w:t>支持在网页上模拟Excel操作方式填报数据；</w:t>
            </w:r>
          </w:p>
          <w:p>
            <w:pPr>
              <w:pStyle w:val="null3"/>
              <w:ind w:left="105" w:firstLine="384"/>
            </w:pPr>
            <w:r>
              <w:rPr>
                <w:sz w:val="21"/>
              </w:rPr>
              <w:t xml:space="preserve">1.2.7. </w:t>
            </w:r>
            <w:r>
              <w:rPr>
                <w:sz w:val="21"/>
              </w:rPr>
              <w:t>内置国标填报指南，并具体到每一个统计项。填报时可在线查看每张表的填报指南；</w:t>
            </w:r>
          </w:p>
          <w:p>
            <w:pPr>
              <w:pStyle w:val="null3"/>
              <w:ind w:left="105" w:firstLine="384"/>
            </w:pPr>
            <w:r>
              <w:rPr>
                <w:sz w:val="21"/>
              </w:rPr>
              <w:t xml:space="preserve">1.2.8. </w:t>
            </w:r>
            <w:r>
              <w:rPr>
                <w:sz w:val="21"/>
              </w:rPr>
              <w:t>支持数据的自动模糊匹对。填写专业名称等核心字典数据时，可模糊匹配提供校内专业供下拉选择。选择具体的校内专业名称后，系统可自动填写该校内专业对应的国标专业代码和名称；</w:t>
            </w:r>
          </w:p>
          <w:p>
            <w:pPr>
              <w:pStyle w:val="null3"/>
              <w:ind w:left="105" w:firstLine="384"/>
            </w:pPr>
            <w:r>
              <w:rPr>
                <w:sz w:val="21"/>
              </w:rPr>
              <w:t xml:space="preserve">1.2.9. </w:t>
            </w:r>
            <w:r>
              <w:rPr>
                <w:sz w:val="21"/>
              </w:rPr>
              <w:t>内置国标要求的逻辑校验和经验校验，并支持自定义扩展。对校验规则实现分类别、分范围、分级别管理。分类别包括：逻辑校验、经验校验等。分范围包括：表内校验、表间校验、整体汇总校验。分级别包括：错误级、警告级，具体如下：1警告数据：需填写解释说明并提供解释材料后提交2错误数据：不可提交。以上校验应能动态配置和调整，而不需重启系统；</w:t>
            </w:r>
          </w:p>
          <w:p>
            <w:pPr>
              <w:pStyle w:val="null3"/>
              <w:ind w:left="105" w:firstLine="384"/>
            </w:pPr>
            <w:r>
              <w:rPr>
                <w:sz w:val="21"/>
              </w:rPr>
              <w:t xml:space="preserve">1.2.10. </w:t>
            </w:r>
            <w:r>
              <w:rPr>
                <w:sz w:val="21"/>
              </w:rPr>
              <w:t>自动填入初始值。数据采集开始时，系统在各单元格中自动填入去年教基数据作为今年的初始值。用户可以直接修订去年数据形成今年填报值，也可随时将表单数据重置为去年的初始值；</w:t>
            </w:r>
          </w:p>
          <w:p>
            <w:pPr>
              <w:pStyle w:val="null3"/>
              <w:ind w:left="105" w:firstLine="384"/>
            </w:pPr>
            <w:r>
              <w:rPr>
                <w:sz w:val="21"/>
              </w:rPr>
              <w:t xml:space="preserve">1.2.11. </w:t>
            </w:r>
            <w:r>
              <w:rPr>
                <w:sz w:val="21"/>
              </w:rPr>
              <w:t>实时对比监测。在数据采集的过程中（无需等待数据采集完成），系统可自动计算每张表每个数据项与上一年填报的数据之间的差值及变动比率，并在单元格中实时显示提醒。支持设置预警阈值，对浮动变化较大的数据进行预警提示；</w:t>
            </w:r>
          </w:p>
          <w:p>
            <w:pPr>
              <w:pStyle w:val="null3"/>
              <w:ind w:left="105" w:firstLine="384"/>
            </w:pPr>
            <w:r>
              <w:rPr>
                <w:sz w:val="21"/>
              </w:rPr>
              <w:t xml:space="preserve">1.2.12. </w:t>
            </w:r>
            <w:r>
              <w:rPr>
                <w:sz w:val="21"/>
              </w:rPr>
              <w:t>提供直观的错误提示。具体包括：1分类提示：按原因对错误自动归类，点击错误原因则高亮显示关联的错误数据单元格。2悬浮提示：在错误单元格上悬浮提示该单元格的具体错误原因，双击单元格即可修正数据；</w:t>
            </w:r>
          </w:p>
          <w:p>
            <w:pPr>
              <w:pStyle w:val="null3"/>
              <w:ind w:left="105" w:firstLine="384"/>
            </w:pPr>
            <w:r>
              <w:rPr>
                <w:sz w:val="21"/>
              </w:rPr>
              <w:t xml:space="preserve">1.2.13. </w:t>
            </w:r>
            <w:r>
              <w:rPr>
                <w:sz w:val="21"/>
              </w:rPr>
              <w:t>支持催填、催审功能。可查看各表单的填报和审核用户以及填报状态，并可通过按钮一键发送催填、催审消息；</w:t>
            </w:r>
          </w:p>
          <w:p>
            <w:pPr>
              <w:pStyle w:val="null3"/>
              <w:ind w:left="105" w:firstLine="384"/>
            </w:pPr>
            <w:r>
              <w:rPr>
                <w:sz w:val="21"/>
              </w:rPr>
              <w:t xml:space="preserve">1.2.14. </w:t>
            </w:r>
            <w:r>
              <w:rPr>
                <w:sz w:val="21"/>
              </w:rPr>
              <w:t>分解审核功能。当一张表（主表）分解到多个用户进行数据采集（子表）时，应能通过依赖关系查看每个子表，包括查看子表的填报用户、数据、填报审核状态等，并能对子表单独进行回退等流程操作而不影响其他用户，也支持对主表直接进行审核回退，此时通过依赖关系连带退回所有关联子表；</w:t>
            </w:r>
          </w:p>
          <w:p>
            <w:pPr>
              <w:pStyle w:val="null3"/>
              <w:ind w:left="105" w:firstLine="384"/>
            </w:pPr>
            <w:r>
              <w:rPr>
                <w:sz w:val="21"/>
              </w:rPr>
              <w:t xml:space="preserve">1.2.15. </w:t>
            </w:r>
            <w:r>
              <w:rPr>
                <w:sz w:val="21"/>
              </w:rPr>
              <w:t>整体汇总校验。数据采集完成后，可在主任务层面进行整体的跨表校验，并汇总校验结果、统一提示任务中的各种表间逻辑错误和警告。此时，还支持再次退回到填写人员修正数据后重新提交；</w:t>
            </w:r>
          </w:p>
          <w:p>
            <w:pPr>
              <w:pStyle w:val="null3"/>
              <w:ind w:left="105" w:firstLine="384"/>
            </w:pPr>
            <w:r>
              <w:rPr>
                <w:sz w:val="21"/>
              </w:rPr>
              <w:t xml:space="preserve">1.3.   </w:t>
            </w:r>
            <w:r>
              <w:rPr>
                <w:sz w:val="21"/>
              </w:rPr>
              <w:t>报告及仪表盘模块：</w:t>
            </w:r>
          </w:p>
          <w:p>
            <w:pPr>
              <w:pStyle w:val="null3"/>
              <w:ind w:left="105" w:firstLine="384"/>
            </w:pPr>
            <w:r>
              <w:rPr>
                <w:sz w:val="21"/>
                <w:b/>
              </w:rPr>
              <w:t xml:space="preserve">1.3.1. </w:t>
            </w:r>
            <w:r>
              <w:rPr>
                <w:sz w:val="21"/>
                <w:b/>
              </w:rPr>
              <w:t>▲一键导出Excel版本数据及一键生成Word版本分析报告。采集完成后，系统可一键导出高等教育质量监测国家数据、教育事业统计数据全校的统计表，并能一键生成多套内置报告，包括：《普通高等学校本科教学工作状态数据分析报告（第二类）》 《本科教学质量报告》《校级发展报告》 《院系维度数据分析报告》 《学院发展报告》 《专业维度数据分析报告》 《专业发展报告》 《教育事业核心指标对标报告》（对标参照2004年办学条件文件及其后续调整文件） 《高等教育事业数据统计简报》 《教育事业数据综合分析报告》等；（投标人需提供承诺函）</w:t>
            </w:r>
          </w:p>
          <w:p>
            <w:pPr>
              <w:pStyle w:val="null3"/>
              <w:ind w:left="105" w:firstLine="384"/>
            </w:pPr>
            <w:r>
              <w:rPr>
                <w:sz w:val="21"/>
              </w:rPr>
              <w:t xml:space="preserve">1.3.2. </w:t>
            </w:r>
            <w:r>
              <w:rPr>
                <w:sz w:val="21"/>
              </w:rPr>
              <w:t>可以通过图表、仪表盘、地图等方式，展示教育教学质量的各项指标、趋势、比较、关联等信息，为教育教学管理和改进提供参考；</w:t>
            </w:r>
          </w:p>
          <w:p>
            <w:pPr>
              <w:pStyle w:val="null3"/>
              <w:ind w:left="105" w:firstLine="384"/>
            </w:pPr>
            <w:r>
              <w:rPr>
                <w:sz w:val="21"/>
              </w:rPr>
              <w:t xml:space="preserve">1.3.3. </w:t>
            </w:r>
            <w:r>
              <w:rPr>
                <w:sz w:val="21"/>
              </w:rPr>
              <w:t>基于明细清单数据的自动汇总。支持导入学生清单、教师清单等明细数据，由系统自动生成对应的汇总填报数据，而无需手动汇总；</w:t>
            </w:r>
          </w:p>
          <w:p>
            <w:pPr>
              <w:pStyle w:val="null3"/>
              <w:ind w:left="105" w:firstLine="384"/>
            </w:pPr>
            <w:r>
              <w:rPr>
                <w:sz w:val="21"/>
              </w:rPr>
              <w:t xml:space="preserve">1.4.   </w:t>
            </w:r>
            <w:r>
              <w:rPr>
                <w:sz w:val="21"/>
              </w:rPr>
              <w:t>资源中心模块：</w:t>
            </w:r>
          </w:p>
          <w:p>
            <w:pPr>
              <w:pStyle w:val="null3"/>
              <w:ind w:left="105" w:firstLine="384"/>
            </w:pPr>
            <w:r>
              <w:rPr>
                <w:sz w:val="21"/>
              </w:rPr>
              <w:t xml:space="preserve">1.4.1. </w:t>
            </w:r>
            <w:r>
              <w:rPr>
                <w:sz w:val="21"/>
              </w:rPr>
              <w:t>提供完善的资源浏览、资源搜索、资源权限管理功能；</w:t>
            </w:r>
          </w:p>
          <w:p>
            <w:pPr>
              <w:pStyle w:val="null3"/>
              <w:ind w:left="105" w:firstLine="384"/>
            </w:pPr>
            <w:r>
              <w:rPr>
                <w:sz w:val="21"/>
                <w:b/>
              </w:rPr>
              <w:t xml:space="preserve">1.4.2. </w:t>
            </w:r>
            <w:r>
              <w:rPr>
                <w:sz w:val="21"/>
                <w:b/>
              </w:rPr>
              <w:t>▲支持灵活可配置的历史年度高等教育质量监测国家数据、教基数据建模功能。支持历史年度（至少5年）的高等教育质量监测国家数据、教基数据一键入库到我校本科高等教育质量监测国家数据平台与评估系统，并实现历史年度字段自动对齐、历史数据自动合并。以上功能应作为高等教育质量监测国家数据平台、教基分析报告中历史数据追踪分析的数据基础，即：可一次性导入、查询至少5年的历史高等教育质量监测国家数据、教基数据；（投标人需提供承诺函）</w:t>
            </w:r>
          </w:p>
          <w:p>
            <w:pPr>
              <w:pStyle w:val="null3"/>
              <w:ind w:left="105" w:firstLine="384"/>
            </w:pPr>
            <w:r>
              <w:rPr>
                <w:sz w:val="21"/>
              </w:rPr>
              <w:t xml:space="preserve">1.4.3. </w:t>
            </w:r>
            <w:r>
              <w:rPr>
                <w:sz w:val="21"/>
              </w:rPr>
              <w:t>系统具备审计日志功能。审计日志应包含详细的操作记录，包括：用户账号、操作模块、操作类型、浏览器信息、操作系统、操作的URL地址、操作IP地址、操作时间等；</w:t>
            </w:r>
          </w:p>
          <w:p>
            <w:pPr>
              <w:pStyle w:val="null3"/>
              <w:ind w:left="105" w:firstLine="384"/>
            </w:pPr>
            <w:r>
              <w:rPr>
                <w:sz w:val="21"/>
              </w:rPr>
              <w:t xml:space="preserve">1.5.   </w:t>
            </w:r>
            <w:r>
              <w:rPr>
                <w:sz w:val="21"/>
              </w:rPr>
              <w:t>系统管理模块：</w:t>
            </w:r>
          </w:p>
          <w:p>
            <w:pPr>
              <w:pStyle w:val="null3"/>
              <w:ind w:left="105" w:firstLine="384"/>
            </w:pPr>
            <w:r>
              <w:rPr>
                <w:sz w:val="21"/>
              </w:rPr>
              <w:t xml:space="preserve">1.5.1. </w:t>
            </w:r>
            <w:r>
              <w:rPr>
                <w:sz w:val="21"/>
              </w:rPr>
              <w:t>提供完善的用户及菜单的配置功能，包括用户管理、用户组管理、角色管理等，基础数据配置，包括学科、院系、专业、课程等；</w:t>
            </w:r>
          </w:p>
          <w:p>
            <w:pPr>
              <w:pStyle w:val="null3"/>
              <w:ind w:left="105" w:firstLine="384"/>
            </w:pPr>
            <w:r>
              <w:rPr>
                <w:sz w:val="21"/>
              </w:rPr>
              <w:t xml:space="preserve">1.5.2. </w:t>
            </w:r>
            <w:r>
              <w:rPr>
                <w:sz w:val="21"/>
              </w:rPr>
              <w:t>提供完善的任务角色和工作流功能。可为采集任务设置监管员、采集人员、审核人员、查阅人员等不同角色，并基于上述角色提供完善的任务填报、审核、退回、确认入库、整体修订等工作流功能；</w:t>
            </w:r>
          </w:p>
          <w:p>
            <w:pPr>
              <w:pStyle w:val="null3"/>
              <w:ind w:left="105" w:firstLine="384"/>
            </w:pPr>
            <w:r>
              <w:rPr>
                <w:sz w:val="21"/>
              </w:rPr>
              <w:t xml:space="preserve">1.5.3. </w:t>
            </w:r>
            <w:r>
              <w:rPr>
                <w:sz w:val="21"/>
              </w:rPr>
              <w:t>管理员账号支持代理登录功能。管理员主账号可一键自动登录各部门分账号。</w:t>
            </w:r>
          </w:p>
          <w:p>
            <w:pPr>
              <w:pStyle w:val="null3"/>
            </w:pPr>
            <w:r>
              <w:rPr>
                <w:sz w:val="21"/>
              </w:rPr>
              <w:t xml:space="preserve">1.5.4.  </w:t>
            </w:r>
            <w:r>
              <w:rPr>
                <w:sz w:val="21"/>
              </w:rPr>
              <w:t>支持公告功能。各用户登录后，可在主界面显眼位置看到公告内容。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采购包2（教学软件升级采购项目——工程管理专业实验室）</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必须在合同签订生效之日起20个日历日内完成所投产品的交货、安装及调试，包括向采购人职能部门提交认可的完整的验收申请资料。货物须为原厂商未启封的全新包装，具有出厂合格证，序列号、包装箱号与出厂批号一致，并可追溯查阅。</w:t>
            </w:r>
          </w:p>
        </w:tc>
      </w:tr>
      <w:tr>
        <w:tc>
          <w:tcPr>
            <w:tcW w:type="dxa" w:w="4153"/>
          </w:tcPr>
          <w:p>
            <w:pPr>
              <w:pStyle w:val="null3"/>
            </w:pPr>
            <w:r>
              <w:rPr/>
              <w:t>标的提供的地点</w:t>
            </w:r>
          </w:p>
        </w:tc>
        <w:tc>
          <w:tcPr>
            <w:tcW w:type="dxa" w:w="4153"/>
          </w:tcPr>
          <w:p>
            <w:pPr>
              <w:pStyle w:val="null3"/>
            </w:pPr>
            <w:r>
              <w:rPr/>
              <w:t>五邑大学内指定地点</w:t>
            </w:r>
          </w:p>
        </w:tc>
      </w:tr>
      <w:tr>
        <w:tc>
          <w:tcPr>
            <w:tcW w:type="dxa" w:w="4153"/>
          </w:tcPr>
          <w:p>
            <w:pPr>
              <w:pStyle w:val="null3"/>
            </w:pPr>
            <w:r>
              <w:rPr/>
              <w:t>付款方式</w:t>
            </w:r>
          </w:p>
        </w:tc>
        <w:tc>
          <w:tcPr>
            <w:tcW w:type="dxa" w:w="4153"/>
          </w:tcPr>
          <w:p>
            <w:pPr>
              <w:pStyle w:val="null3"/>
            </w:pPr>
            <w:r>
              <w:rPr/>
              <w:t>1期：支付比例30%,合同签订生效后5个工作日内（不含审批时间）采购人完成办理合同总金额30%的货款支付手续。</w:t>
            </w:r>
          </w:p>
          <w:p>
            <w:pPr>
              <w:pStyle w:val="null3"/>
            </w:pPr>
            <w:r>
              <w:rPr/>
              <w:t>2期：支付比例70%,1.验收合格后，中标人按合同总金额向采购人开具符合合同类型要求的增值税专用发票和提供由采购人认可的验收报告。货物验收合格和采购人收到前述发票、验收报告后10个工作日（不含审批时间）内采购人完成办理合同总金额70%的货款的支付手续。 2.结算方式：银行转账。</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1期：（一）货物交付 中标人必须在合同签订生效之日起20个日历日内完成所投产品的交货、安装及调试，包括向采购人职能部门提交认可的完整的验收申请资料。货物须为原厂商未启封的全新包装，具有出厂合格证，序列号、包装箱号与出厂批号一致，并可追溯查阅。 （二）货物验收 1.开箱验收： 全部货物送到采购人指定场地后，采购人、中标人双方同时在场才能开封验货，现场安装。如果发现货物的包装损坏、不符合包装要求或货物的质量、型号、规格和数量等与合同不符，采购人有权拒收货物，中标人应在合同约定的交货时间内按照合同要求及时进行第二次交货处理并通过验收，否则按违约处理，采购人有权解除采购合同并上报主管部门，相关损失由中标人自行承担。 2.功能性验收： （1）系统上线调试运行30个日历日后，所有性能达到技术规范书和验收规范要求，并经初步培训，采购人用户已熟悉系统的具体使用操作后，且收到中标人验收申请后7日内，由采购人报请学校主管部门组织验收组，会同中标人进行验收。 （2）验收细则以中标人在投标书中提供的设备技术资料及双方签订的合同条款为准（验收时需要对每一条参数进行逐一验证，并提供验证佐证材料作为验收资料）。 （三）违约处置 1.出现以下任何情形之一的，采购人有权单方面解除合同并向中标人收取合同总价10%的违约金，若因此造成采购人损失的，中标人还应当向采购人承担相应的损失： （1）中标人拒绝供货或逾期15日交付货物； （2）中标人交付的货物不符合合同规定，且采购人拒收的； （3）中标人交付的货物经两次及以上验收仍不合格的； （4）中标人交付的货物经有关部门鉴定为不合格产品的； （5）中标人提供的货物涉及侵犯他人知识产权、肖像权、技术秘密、商业秘密或其他权益纠纷; （6）中标人利用本合同实施损害采购人合法权益行为的； （7）中标人不按合同约定履行义务，经采购人提出后，在合理期限内仍不改正的； （8）中标人所交货的货物验收不合格，或经维修、退换后仍无法正常使用的，或虽可正常使用但无法达到本合同约定的参数及要求的。 2. 中标人逾期交付货物的，则每逾期一日采购人有权在合同价款中直接扣除合同总价的0.3‰作为违约金，直到交付验收合格货物时止。 3. 采购人逾期付款的，则每逾期一日中标人有权要求采购人按合同总价0.3‰偿付违约金，采购人支付的违约金总额不超过合同总价的3%；在履行合同过程中，因相关部门审核导致的支付延误，采购人无须承担违约责任。</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供货要求</w:t>
            </w:r>
          </w:p>
        </w:tc>
        <w:tc>
          <w:tcPr>
            <w:tcW w:type="dxa" w:w="2076"/>
          </w:tcPr>
          <w:p>
            <w:pPr>
              <w:pStyle w:val="null3"/>
              <w:jc w:val="left"/>
            </w:pPr>
            <w:r>
              <w:rPr/>
              <w:t>1.投标人所投报的产品必须是本国产品，本项目不接受所投报产品为进口产品的投标（本招标文件中所称进口产品是指通过中国海关报关验放进入中国境内且产自关境外的产品）。 2.安全责任：本项目安全措施由投标人制定方案及组织实施，并承担全部安全责任，采购人不负责任何投标人人员伤亡、投标人人员劳保福利以及施工中材料/工具器械等被盗、毁损灭失等责任。投标人制定的安全措施方案中标后提交一份至采购人留存备案，且采购人有权监督投标人组织实施情况。（投标人需提供承诺函） 3.投标人应当按照采购人要求及其他资料对设备进行设计、制作、安装和调试，所提供的设备在生产、安装和调试时应能满足国家相应的标准要求。投标人在设备采购、运输、安装、调试、维护、保修的过程中必须负责一切安全责任。 4.投标人必须保证所投报货物为在售设备，投标前应自行做好充分的市场调查，中标后不得以笔误等情况为由，提出更改中标设备参数或更换中标设备。更改设备参数或更换设备需由采购人职能部门组织专家组确认后再批准。如无法确认，采购人有权拒收且不承担任何违约责任，同时采购人有权追究投标人相应违约责任。 5.知识产权和专利权 投标人提供的货物必须是无知识产权争议，且全新的产品（含零部件、配件、随机工具等），表面无划损、无碰撞、无任何缺陷隐患、无其他侵权行为，在中国境内可依常规安全合法使用。 投标人应保证采购人在中华人民共和国使用货物或其任何一部分时，如有第三方向采购人提出侵犯专利权、商标权或者其他知识产权的主张，因此产生的法律责任、赔偿责任由投标人承担；因此给采购人造成损失的，投标人应赔偿采购人全部损失。 投标人应于售出货物前向所有权人支付专利权、商标权或其他知识产权的有关费用及税费。</w:t>
            </w:r>
          </w:p>
        </w:tc>
      </w:tr>
      <w:tr>
        <w:tc>
          <w:tcPr>
            <w:tcW w:type="dxa" w:w="2076"/>
          </w:tcPr>
          <w:p/>
        </w:tc>
        <w:tc>
          <w:tcPr>
            <w:tcW w:type="dxa" w:w="2076"/>
          </w:tcPr>
          <w:p>
            <w:pPr>
              <w:pStyle w:val="null3"/>
              <w:jc w:val="center"/>
            </w:pPr>
            <w:r>
              <w:rPr/>
              <w:t>2</w:t>
            </w:r>
          </w:p>
        </w:tc>
        <w:tc>
          <w:tcPr>
            <w:tcW w:type="dxa" w:w="2076"/>
          </w:tcPr>
          <w:p>
            <w:pPr>
              <w:pStyle w:val="null3"/>
              <w:jc w:val="left"/>
            </w:pPr>
            <w:r>
              <w:rPr/>
              <w:t>采购包2售后服务要求</w:t>
            </w:r>
          </w:p>
        </w:tc>
        <w:tc>
          <w:tcPr>
            <w:tcW w:type="dxa" w:w="2076"/>
          </w:tcPr>
          <w:p>
            <w:pPr>
              <w:pStyle w:val="null3"/>
              <w:jc w:val="left"/>
            </w:pPr>
            <w:r>
              <w:rPr/>
              <w:t>采购包2：教学软件升级采购项目——工程管理专业实验室 1.本项目全部产品质量保证期 5年（自验收合格之日起计），软件版本永久授权，质保期内提供的服务内容和方式包括：平台软件升级、提供技术指导、功能优化与满足服务等内容，服务方式应包括网络满足与现场服务等。中标人所提供产品使用的数据库、操作系统均由中标人负责日常维护与升级，中标人有义务保障所维护系统的安全和稳定。 2.项目实施期间，须安排不少于1名驻点开发人员进场开发。遇到故障，需保证在12小时内对采购人所提出的维护要求做出响应，并在做出响应24小时内派出工作人员进行故障排除，主要包括所投产品在运行中的故障排错，数据备份及恢复，平台及数据库系统适配调整等工作，从而保证软件系统正常运作。如遇紧急情况严重影响平台使用，需在4小时内响应并处置完成，若涉及关键安全漏洞需要立即处置的，应在30分钟内完成应急处置。 3.质保期内中标人负责所有因货物质量问题而产生的费用。</w:t>
            </w:r>
          </w:p>
        </w:tc>
      </w:tr>
      <w:tr>
        <w:tc>
          <w:tcPr>
            <w:tcW w:type="dxa" w:w="2076"/>
          </w:tcPr>
          <w:p/>
        </w:tc>
        <w:tc>
          <w:tcPr>
            <w:tcW w:type="dxa" w:w="2076"/>
          </w:tcPr>
          <w:p>
            <w:pPr>
              <w:pStyle w:val="null3"/>
              <w:jc w:val="center"/>
            </w:pPr>
            <w:r>
              <w:rPr/>
              <w:t>3</w:t>
            </w:r>
          </w:p>
        </w:tc>
        <w:tc>
          <w:tcPr>
            <w:tcW w:type="dxa" w:w="2076"/>
          </w:tcPr>
          <w:p>
            <w:pPr>
              <w:pStyle w:val="null3"/>
              <w:jc w:val="left"/>
            </w:pPr>
            <w:r>
              <w:rPr/>
              <w:t>信息安全保障</w:t>
            </w:r>
          </w:p>
        </w:tc>
        <w:tc>
          <w:tcPr>
            <w:tcW w:type="dxa" w:w="2076"/>
          </w:tcPr>
          <w:p>
            <w:pPr>
              <w:pStyle w:val="null3"/>
              <w:jc w:val="left"/>
            </w:pPr>
            <w:r>
              <w:rPr/>
              <w:t>代码安全部分进行源代码扫描，部署环境安全会进行漏洞扫描和配合学校进行等保测试，配合学校实现二级等保的备案和测评。运维人员安全方面会与学校签署保密协议。需要保密的信息，采用密码技术进行加解密处理，防止信息的非授权泄漏，确保涉密信息在产生、存储、传递和处理过程中的保密。数据网上传输采用符合国家安全标准的加密方式。具有安全日志、数据备份还原机制等。对所有用户操作保留记录，存储操作日志。</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应用软件</w:t>
            </w:r>
          </w:p>
        </w:tc>
        <w:tc>
          <w:tcPr>
            <w:tcW w:type="dxa" w:w="831"/>
          </w:tcPr>
          <w:p>
            <w:pPr>
              <w:pStyle w:val="null3"/>
              <w:jc w:val="left"/>
            </w:pPr>
            <w:r>
              <w:rPr/>
              <w:t>工程项目管理实验教学平台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270,000.00</w:t>
            </w:r>
          </w:p>
        </w:tc>
        <w:tc>
          <w:tcPr>
            <w:tcW w:type="dxa" w:w="831"/>
          </w:tcPr>
          <w:p>
            <w:pPr>
              <w:pStyle w:val="null3"/>
              <w:jc w:val="right"/>
            </w:pPr>
            <w:r>
              <w:rPr/>
              <w:t>270,000.00</w:t>
            </w:r>
          </w:p>
        </w:tc>
        <w:tc>
          <w:tcPr>
            <w:tcW w:type="dxa" w:w="831"/>
          </w:tcPr>
          <w:p>
            <w:pPr>
              <w:pStyle w:val="null3"/>
            </w:pPr>
            <w:r>
              <w:rPr/>
              <w:t>软件和信息技术服务业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应用软件</w:t>
            </w:r>
          </w:p>
        </w:tc>
        <w:tc>
          <w:tcPr>
            <w:tcW w:type="dxa" w:w="831"/>
          </w:tcPr>
          <w:p>
            <w:pPr>
              <w:pStyle w:val="null3"/>
              <w:jc w:val="left"/>
            </w:pPr>
            <w:r>
              <w:rPr/>
              <w:t>装配式智慧学堂（PCIS）</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jc w:val="right"/>
            </w:pPr>
            <w:r>
              <w:rPr/>
              <w:t>300,000.00</w:t>
            </w:r>
          </w:p>
        </w:tc>
        <w:tc>
          <w:tcPr>
            <w:tcW w:type="dxa" w:w="831"/>
          </w:tcPr>
          <w:p>
            <w:pPr>
              <w:pStyle w:val="null3"/>
            </w:pPr>
            <w:r>
              <w:rPr/>
              <w:t>软件和信息技术服务业</w:t>
            </w:r>
          </w:p>
        </w:tc>
        <w:tc>
          <w:tcPr>
            <w:tcW w:type="dxa" w:w="831"/>
          </w:tcPr>
          <w:p>
            <w:pPr>
              <w:pStyle w:val="null3"/>
            </w:pPr>
            <w:r>
              <w:rPr/>
              <w:t>详见附表二</w:t>
            </w:r>
          </w:p>
        </w:tc>
      </w:tr>
    </w:tbl>
    <w:p>
      <w:pPr>
        <w:pStyle w:val="null3"/>
      </w:pPr>
      <w:r>
        <w:rPr>
          <w:b/>
        </w:rPr>
        <w:t>附表</w:t>
      </w:r>
      <w:r>
        <w:rPr>
          <w:b/>
        </w:rPr>
        <w:t>一</w:t>
      </w:r>
      <w:r>
        <w:rPr>
          <w:b/>
        </w:rPr>
        <w:t>：</w:t>
      </w:r>
      <w:r>
        <w:rPr>
          <w:b/>
        </w:rPr>
        <w:t>工程项目管理实验教学平台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t>1</w:t>
            </w:r>
            <w:r>
              <w:rPr/>
              <w:t>、支持多项目架构（具有EPS结构树,EPS–Enterprise Project Structure）；</w:t>
            </w:r>
          </w:p>
          <w:p>
            <w:pPr>
              <w:pStyle w:val="null3"/>
              <w:jc w:val="left"/>
            </w:pPr>
            <w:r>
              <w:rPr/>
              <w:t>2</w:t>
            </w:r>
            <w:r>
              <w:rPr/>
              <w:t>、支持企业级组织结构（具有OBS结构树,OBS–Organization Breakdown Structure），满足多用户；</w:t>
            </w:r>
          </w:p>
          <w:p>
            <w:pPr>
              <w:pStyle w:val="null3"/>
              <w:jc w:val="left"/>
            </w:pPr>
            <w:r>
              <w:rPr/>
              <w:t>3</w:t>
            </w:r>
            <w:r>
              <w:rPr/>
              <w:t>、支持项目多级计划的功能；</w:t>
            </w:r>
          </w:p>
          <w:p>
            <w:pPr>
              <w:pStyle w:val="null3"/>
              <w:jc w:val="left"/>
            </w:pPr>
            <w:r>
              <w:rPr/>
              <w:t>4</w:t>
            </w:r>
            <w:r>
              <w:rPr/>
              <w:t>、支持进度统一量测的度量衡体系；</w:t>
            </w:r>
          </w:p>
          <w:p>
            <w:pPr>
              <w:pStyle w:val="null3"/>
              <w:jc w:val="left"/>
            </w:pPr>
            <w:r>
              <w:rPr/>
              <w:t>5</w:t>
            </w:r>
            <w:r>
              <w:rPr/>
              <w:t>、支持不同类型作业的进度模型设置（要求满足主观判定法、工期百分比法、实物量百分比法、步骤法）；</w:t>
            </w:r>
          </w:p>
          <w:p>
            <w:pPr>
              <w:pStyle w:val="null3"/>
              <w:jc w:val="left"/>
            </w:pPr>
            <w:r>
              <w:rPr/>
              <w:t>6</w:t>
            </w:r>
            <w:r>
              <w:rPr/>
              <w:t>、支持CPM网络计划技术（要求必须满足PDM方法）、满足EVM赢得值管理技术、满足多目标同屏对比分析、满足多级计划进度偏差上滚汇总预警功能、同时满足固定周期和非固定周期反馈模式；</w:t>
            </w:r>
          </w:p>
          <w:p>
            <w:pPr>
              <w:pStyle w:val="null3"/>
              <w:jc w:val="left"/>
            </w:pPr>
            <w:r>
              <w:rPr/>
              <w:t>7</w:t>
            </w:r>
            <w:r>
              <w:rPr/>
              <w:t>、支持保存进度更新的历史数据；</w:t>
            </w:r>
          </w:p>
          <w:p>
            <w:pPr>
              <w:pStyle w:val="null3"/>
              <w:jc w:val="left"/>
            </w:pPr>
            <w:r>
              <w:rPr/>
              <w:t>8</w:t>
            </w:r>
            <w:r>
              <w:rPr/>
              <w:t>、支持量费的查询、分析和报表汇总功能；</w:t>
            </w:r>
          </w:p>
          <w:p>
            <w:pPr>
              <w:pStyle w:val="null3"/>
              <w:jc w:val="left"/>
            </w:pPr>
            <w:r>
              <w:rPr/>
              <w:t>9</w:t>
            </w:r>
            <w:r>
              <w:rPr/>
              <w:t>、实验成果打印功能：软件支持实训结果打印的功能；</w:t>
            </w:r>
          </w:p>
          <w:p>
            <w:pPr>
              <w:pStyle w:val="null3"/>
              <w:jc w:val="left"/>
            </w:pPr>
            <w:r>
              <w:rPr/>
              <w:t>10</w:t>
            </w:r>
            <w:r>
              <w:rPr/>
              <w:t>、实现自动打分功能：当学生提交实验作业后，老师可通过自动评分功能对完成的实训作业进行打分、错误定位及错误分析；</w:t>
            </w:r>
          </w:p>
          <w:p>
            <w:pPr>
              <w:pStyle w:val="null3"/>
            </w:pPr>
            <w:r>
              <w:rPr/>
              <w:t>11、软件具备自检功能：学生在实验过程中还可对实训的作业进行自我检测和错误分析。</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装配式智慧学堂（PCIS）</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t>1</w:t>
            </w:r>
            <w:r>
              <w:rPr/>
              <w:t>、系统支持通用服务器，保证可7*24小时的运行，保证在数据量或应用连接数高峰运行时的系统运行正常，保障持久化的系统运行；</w:t>
            </w:r>
          </w:p>
          <w:p>
            <w:pPr>
              <w:pStyle w:val="null3"/>
              <w:jc w:val="left"/>
            </w:pPr>
            <w:r>
              <w:rPr/>
              <w:t>2</w:t>
            </w:r>
            <w:r>
              <w:rPr/>
              <w:t>、系统支持国产化操作系统的平台部署；</w:t>
            </w:r>
          </w:p>
          <w:p>
            <w:pPr>
              <w:pStyle w:val="null3"/>
              <w:jc w:val="left"/>
            </w:pPr>
            <w:r>
              <w:rPr/>
              <w:t>3</w:t>
            </w:r>
            <w:r>
              <w:rPr/>
              <w:t>、系统能够支持多种服务包括不限于：在线考试、微课学习及资源扩充等；</w:t>
            </w:r>
          </w:p>
          <w:p>
            <w:pPr>
              <w:pStyle w:val="null3"/>
              <w:jc w:val="left"/>
            </w:pPr>
            <w:r>
              <w:rPr/>
              <w:t>4</w:t>
            </w:r>
            <w:r>
              <w:rPr/>
              <w:t>、系统整体包括系统管理平台和仿真实训学习练习平台及装配式考核平台等。支持通过账号+密码的方式登录，管理平台满足通过人员姓名、ID号进行人员精准查找和对应权限管理，包括账号管理、分组管理、考试管理及成绩管理等；</w:t>
            </w:r>
          </w:p>
          <w:p>
            <w:pPr>
              <w:pStyle w:val="null3"/>
              <w:jc w:val="left"/>
            </w:pPr>
            <w:r>
              <w:rPr/>
              <w:t>5</w:t>
            </w:r>
            <w:r>
              <w:rPr/>
              <w:t>、系统支持按照院校、班级等条件进行人员分组管理，使用已经配置好的教师端账号登录，可以设置学生的权限和试卷、考试管理等；可以通过批量导入表格模板进行人员信息的批处理（含注册和删除）；也可以单击修改、删除等按钮对用户信息进行修改和删除；</w:t>
            </w:r>
          </w:p>
          <w:p>
            <w:pPr>
              <w:pStyle w:val="null3"/>
              <w:jc w:val="left"/>
            </w:pPr>
            <w:r>
              <w:rPr/>
              <w:t>6</w:t>
            </w:r>
            <w:r>
              <w:rPr/>
              <w:t>、系统支持实现以下六个模块的学习练习和考核功能：装配式构件构造识图、装配式拆分设计基础知识、装配式预制构件生产和运输、装配式项目施工、安全管理和装配式装饰装修；</w:t>
            </w:r>
          </w:p>
          <w:p>
            <w:pPr>
              <w:pStyle w:val="null3"/>
              <w:jc w:val="left"/>
            </w:pPr>
            <w:r>
              <w:rPr/>
              <w:t>7</w:t>
            </w:r>
            <w:r>
              <w:rPr/>
              <w:t>、各对应模块均有对应知识点的4D微课、3D互动练习和理论试题；各知识点理论试题总数合计不少于300道；</w:t>
            </w:r>
          </w:p>
          <w:p>
            <w:pPr>
              <w:pStyle w:val="null3"/>
              <w:jc w:val="left"/>
            </w:pPr>
            <w:r>
              <w:rPr/>
              <w:t>8</w:t>
            </w:r>
            <w:r>
              <w:rPr/>
              <w:t>、各模块的4D微课满足章节挑选、场景视角自主切换，满足增加临时笔记、添加外部图片、视频等教学资源的使用要求；</w:t>
            </w:r>
          </w:p>
          <w:p>
            <w:pPr>
              <w:pStyle w:val="null3"/>
              <w:jc w:val="left"/>
            </w:pPr>
            <w:r>
              <w:rPr/>
              <w:t>9</w:t>
            </w:r>
            <w:r>
              <w:rPr/>
              <w:t>、装配式构件识图模块包括拆分平面图识读、预制外墙、预制内墙、预制叠合板、预制阳台板、预制空调板、预制楼梯、预制叠合梁、预制柱等9类装配式构件构造与识图知识点，合计微课资源不少于7个，理论试题不少于20道；节点识图子模块包含剪力墙体系和框架体系在内的不少于18类节点的二三维对应信息资源；</w:t>
            </w:r>
          </w:p>
          <w:p>
            <w:pPr>
              <w:pStyle w:val="null3"/>
              <w:jc w:val="left"/>
            </w:pPr>
            <w:r>
              <w:rPr/>
              <w:t>10</w:t>
            </w:r>
            <w:r>
              <w:rPr/>
              <w:t>、装配式混凝土结构设计模块包含拆分设计和深化设计两个子模块，各子模块均有微课教学资源，合计理论试题不少于60道；</w:t>
            </w:r>
          </w:p>
          <w:p>
            <w:pPr>
              <w:pStyle w:val="null3"/>
              <w:jc w:val="left"/>
            </w:pPr>
            <w:r>
              <w:rPr/>
              <w:t>11</w:t>
            </w:r>
            <w:r>
              <w:rPr/>
              <w:t>、构件生产模块包括预制构件制造工艺和构件存放与运输两个子模块。构件制作包括预制外墙、预制内墙、预制叠合板、预制阳台板、预制空调板、预制楼梯、预制柱和预制梁等8类装配式构件的固定模台生产工艺4D微课和3D互动练习以及预制内墙、叠合板的自动生产线生产工艺流程4D微课、3D互动练习资源，合计微课资源不少于11个，3D互动练习资源不少于9个，合计理论试题不少于35道；构件存放与运输子模块包括构件类型与车型选择、临时支架选择、运输车辆堆载和外挂墙板、内隔墙的运输等对应资源，合计微课资源不少于5个，3D互动练习资源不少于3个，理论试题不少于10道；</w:t>
            </w:r>
          </w:p>
          <w:p>
            <w:pPr>
              <w:pStyle w:val="null3"/>
              <w:jc w:val="left"/>
            </w:pPr>
            <w:r>
              <w:rPr/>
              <w:t>12</w:t>
            </w:r>
            <w:r>
              <w:rPr/>
              <w:t>、施工模块包括剪力墙结构施工技术和整体式框架结构施工技术两个子模块。剪力墙结构体系模块包括预制外墙安装与施工控制点、预制内墙安装与施工控制点、灌浆工艺、竖向结构现浇施工、叠合板安装与施工控制要点、预制阳台板安装与施工控制要点、预制空调板安装与施工控制要点、水平结构现浇施工、预制楼梯以及整个楼层的施工流程4D微课、3D互动和理论题资源，合计微课资源不少于10个，3D互动练习资源不少于10个，理论试题不少于115道；框架结构体系包括预制柱、预制梁、叠合梁、外挂墙板、内隔墙等相关构件的施工控制要点对应的4D微课、3D互动训练及理论题资源，合计微课资源不少于8个，3D互动练习资源不少于3个，理论试题不少于25道；</w:t>
            </w:r>
          </w:p>
          <w:p>
            <w:pPr>
              <w:pStyle w:val="null3"/>
              <w:jc w:val="left"/>
            </w:pPr>
            <w:r>
              <w:rPr/>
              <w:t>13</w:t>
            </w:r>
            <w:r>
              <w:rPr/>
              <w:t>、安全管理包括预制构件生产和施工两个子模块的安全管理；每个模块匹配有4D微课和理论试题，合计微课教学资源不少于4个，理论试题不少于10道；</w:t>
            </w:r>
          </w:p>
          <w:p>
            <w:pPr>
              <w:pStyle w:val="null3"/>
              <w:jc w:val="left"/>
            </w:pPr>
            <w:r>
              <w:rPr/>
              <w:t>14</w:t>
            </w:r>
            <w:r>
              <w:rPr/>
              <w:t>、装配式干作业一体化装修模块包含不少于2分钟时长的微课教学资源；</w:t>
            </w:r>
          </w:p>
          <w:p>
            <w:pPr>
              <w:pStyle w:val="null3"/>
            </w:pPr>
            <w:r>
              <w:rPr>
                <w:sz w:val="21"/>
                <w:b/>
              </w:rPr>
              <w:t>▲15、系统有匹配的正规出版社出版的配套教材一套。</w:t>
            </w:r>
            <w:r>
              <w:rPr>
                <w:sz w:val="21"/>
                <w:b/>
              </w:rPr>
              <w:t>（投标人需提供承诺函）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采购包3（教学软件升级采购项目——智能学情分析系统）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必须在合同签订生效之日起20个日历日内完成所投产品的交货、安装及调试，包括向采购人职能部门提交认可的完整的验收申请资料。货物须为原厂商未启封的全新包装，具有出厂合格证，序列号、包装箱号与出厂批号一致，并可追溯查阅。</w:t>
            </w:r>
          </w:p>
        </w:tc>
      </w:tr>
      <w:tr>
        <w:tc>
          <w:tcPr>
            <w:tcW w:type="dxa" w:w="4153"/>
          </w:tcPr>
          <w:p>
            <w:pPr>
              <w:pStyle w:val="null3"/>
            </w:pPr>
            <w:r>
              <w:rPr/>
              <w:t>标的提供的地点</w:t>
            </w:r>
          </w:p>
        </w:tc>
        <w:tc>
          <w:tcPr>
            <w:tcW w:type="dxa" w:w="4153"/>
          </w:tcPr>
          <w:p>
            <w:pPr>
              <w:pStyle w:val="null3"/>
            </w:pPr>
            <w:r>
              <w:rPr/>
              <w:t>五邑大学内指定地点</w:t>
            </w:r>
          </w:p>
        </w:tc>
      </w:tr>
      <w:tr>
        <w:tc>
          <w:tcPr>
            <w:tcW w:type="dxa" w:w="4153"/>
          </w:tcPr>
          <w:p>
            <w:pPr>
              <w:pStyle w:val="null3"/>
            </w:pPr>
            <w:r>
              <w:rPr/>
              <w:t>付款方式</w:t>
            </w:r>
          </w:p>
        </w:tc>
        <w:tc>
          <w:tcPr>
            <w:tcW w:type="dxa" w:w="4153"/>
          </w:tcPr>
          <w:p>
            <w:pPr>
              <w:pStyle w:val="null3"/>
            </w:pPr>
            <w:r>
              <w:rPr/>
              <w:t>1期：支付比例30%,合同签订生效后5个工作日内（不含审批时间）采购人完成办理合同总金额30%的货款支付手续。</w:t>
            </w:r>
          </w:p>
          <w:p>
            <w:pPr>
              <w:pStyle w:val="null3"/>
            </w:pPr>
            <w:r>
              <w:rPr/>
              <w:t>2期：支付比例70%,1.验收合格后，中标人按合同总金额向采购人开具符合合同类型要求的增值税专用发票和提供由采购人认可的验收报告。货物验收合格和采购人收到前述发票、验收报告后10个工作日（不含审批时间）内采购人完成办理合同总金额70%的货款的支付手续。 2.结算方式：银行转账。</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1期：（一）货物交付 中标人必须在合同签订生效之日起20个日历日内完成所投产品的交货、安装及调试，包括向采购人职能部门提交认可的完整的验收申请资料。货物须为原厂商未启封的全新包装，具有出厂合格证，序列号、包装箱号与出厂批号一致，并可追溯查阅。 （二）货物验收 1.开箱验收： 全部货物送到采购人指定场地后，采购人、中标人双方同时在场才能开封验货，现场安装。如果发现货物的包装损坏、不符合包装要求或货物的质量、型号、规格和数量等与合同不符，采购人有权拒收货物，中标人应在合同约定的交货时间内按照合同要求及时进行第二次交货处理并通过验收，否则按违约处理，采购人有权解除采购合同并上报主管部门，相关损失由中标人自行承担。 2.功能性验收： （1）系统上线调试运行30个日历日后，所有性能达到技术规范书和验收规范要求，并经初步培训，采购人用户已熟悉系统的具体使用操作后，且收到中标人验收申请后7日内，由采购人报请学校主管部门组织验收组，会同中标人进行验收。 （2）验收细则以中标人在投标书中提供的设备技术资料及双方签订的合同条款为准（验收时需要对每一条参数进行逐一验证，并提供验证佐证材料作为验收资料）。 （三）违约处置 1.出现以下任何情形之一的，采购人有权单方面解除合同并向中标人收取合同总价10%的违约金，若因此造成采购人损失的，中标人还应当向采购人承担相应的损失： （1）中标人拒绝供货或逾期15日交付货物； （2）中标人交付的货物不符合合同规定，且采购人拒收的； （3）中标人交付的货物经两次及以上验收仍不合格的； （4）中标人交付的货物经有关部门鉴定为不合格产品的； （5）中标人提供的货物涉及侵犯他人知识产权、肖像权、技术秘密、商业秘密或其他权益纠纷; （6）中标人利用本合同实施损害采购人合法权益行为的； （7）中标人不按合同约定履行义务，经采购人提出后，在合理期限内仍不改正的； （8）中标人所交货的货物验收不合格，或经维修、退换后仍无法正常使用的，或虽可正常使用但无法达到本合同约定的参数及要求的。 2. 中标人逾期交付货物的，则每逾期一日采购人有权在合同价款中直接扣除合同总价的0.3‰作为违约金，直到交付验收合格货物时止。 3. 采购人逾期付款的，则每逾期一日中标人有权要求采购人按合同总价0.3‰偿付违约金，采购人支付的违约金总额不超过合同总价的3%；在履行合同过程中，因相关部门审核导致的支付延误，采购人无须承担违约责任。</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供货要求</w:t>
            </w:r>
          </w:p>
        </w:tc>
        <w:tc>
          <w:tcPr>
            <w:tcW w:type="dxa" w:w="2076"/>
          </w:tcPr>
          <w:p>
            <w:pPr>
              <w:pStyle w:val="null3"/>
              <w:jc w:val="left"/>
            </w:pPr>
            <w:r>
              <w:rPr/>
              <w:t>1.投标人所投报的产品必须是本国产品，本项目不接受所投报产品为进口产品的投标（本招标文件中所称进口产品是指通过中国海关报关验放进入中国境内且产自关境外的产品）。 2.安全责任：本项目安全措施由投标人制定方案及组织实施，并承担全部安全责任，采购人不负责任何投标人人员伤亡、投标人人员劳保福利以及施工中材料/工具器械等被盗、毁损灭失等责任。投标人制定的安全措施方案中标后提交一份至采购人留存备案，且采购人有权监督投标人组织实施情况。（投标人需提供承诺函） 3.投标人应当按照采购人要求及其他资料对设备进行设计、制作、安装和调试，所提供的设备在生产、安装和调试时应能满足国家相应的标准要求。投标人在设备采购、运输、安装、调试、维护、保修的过程中必须负责一切安全责任。 4.投标人必须保证所投报货物为在售设备，投标前应自行做好充分的市场调查，中标后不得以笔误等情况为由，提出更改中标设备参数或更换中标设备。更改设备参数或更换设备需由采购人职能部门组织专家组确认后再批准。如无法确认，采购人有权拒收且不承担任何违约责任，同时采购人有权追究投标人相应违约责任。 5.知识产权和专利权 投标人提供的货物必须是无知识产权争议，且全新的产品（含零部件、配件、随机工具等），表面无划损、无碰撞、无任何缺陷隐患、无其他侵权行为，在中国境内可依常规安全合法使用。 投标人应保证采购人在中华人民共和国使用货物或其任何一部分时，如有第三方向采购人提出侵犯专利权、商标权或者其他知识产权的主张，因此产生的法律责任、赔偿责任由投标人承担；因此给采购人造成损失的，投标人应赔偿采购人全部损失。 投标人应于售出货物前向所有权人支付专利权、商标权或其他知识产权的有关费用及税费。</w:t>
            </w:r>
          </w:p>
        </w:tc>
      </w:tr>
      <w:tr>
        <w:tc>
          <w:tcPr>
            <w:tcW w:type="dxa" w:w="2076"/>
          </w:tcPr>
          <w:p/>
        </w:tc>
        <w:tc>
          <w:tcPr>
            <w:tcW w:type="dxa" w:w="2076"/>
          </w:tcPr>
          <w:p>
            <w:pPr>
              <w:pStyle w:val="null3"/>
              <w:jc w:val="center"/>
            </w:pPr>
            <w:r>
              <w:rPr/>
              <w:t>2</w:t>
            </w:r>
          </w:p>
        </w:tc>
        <w:tc>
          <w:tcPr>
            <w:tcW w:type="dxa" w:w="2076"/>
          </w:tcPr>
          <w:p>
            <w:pPr>
              <w:pStyle w:val="null3"/>
              <w:jc w:val="left"/>
            </w:pPr>
            <w:r>
              <w:rPr/>
              <w:t>采购包3售后服务要求</w:t>
            </w:r>
          </w:p>
        </w:tc>
        <w:tc>
          <w:tcPr>
            <w:tcW w:type="dxa" w:w="2076"/>
          </w:tcPr>
          <w:p>
            <w:pPr>
              <w:pStyle w:val="null3"/>
              <w:jc w:val="left"/>
            </w:pPr>
            <w:r>
              <w:rPr/>
              <w:t>采购包3：教学软件升级采购项目——智能学情分析系统 1、本项目全部硬件产品质量保证期 3 年、软件产品质量保证期 5 年（自验收合格之日起计）。质保期内，采购人所购产品发生非人为故障，中标人应上门维修。如不能完全修复，则应更换不低于原规格型号的新产品。维修和更换产生的费用均由中标人承担。 2、质保期内，提供学情数据分析报告解读服务。中标人所提供产品使用的数据库、操作系统均由中标人负责日常维护与升级，中标人有义务保障所维护系统的安全和稳定。 3、项目实施期间，遇到故障，需保证在12小时内对采购人所提出的维护要求做出响应，并在做出响应24小时内派出工作人员进行故障排除，主要包括所投产品在运行中的故障排错，数据备份及恢复，软件系统及数据库系统适配调整等工作，从而保证软件系统正常运作。如遇紧急情况严重影响软件系统使用，需在4小时内响应并处置完成，若涉及关键安全漏洞需要立即处置的，应在30分钟内完成应急处置。 4、质保期内，同一硬件一个月内连续 2 次出现同一故障，中标人须无偿更换同一档次的设备或部件。质保期内发生因产品本身质量问题而维修次数≧ 3 ，则该设备或部件的质量保修期从最后一次维修的日期起算。 5、中标人应指派专人负责与采购人联系售后服务事宜。中标人接到用户报修后，电话即时响应，如电话响应无法解决的在 4 个小时内进行答复，如确定需要来人进行修理，保证在 48 小时内到达现场。如在 24 小时内不能解决问题，中标人应在随后 48 小时内提供不低于故障设备规格型号档次的备用设备供采购人代替使用，直至故障设备修复，确保设备的正常使用（技术要求中有特别要求的以技术要求为主）。 6、质保期内中标人负责所有因货物质量问题而产生的费用。 7、无论质保期内或外，中标人均需提供上门维修服务，即由中标人派遣专门技术人员到采购人产品使用现场维修，对于质保期内由此产生的一切费用均由中标人承担，对于质保期外的产品维修，中标人仅收取损坏部分的成本材料费。 8、质保期内中标人售后服务部门将提供每年不低于四次（含本数）的电话回访和二次现场设备检修服务。质保期后中标人提供终身技术服务，软件产品提供终身升级及永久授权服务。 9、培训要求：提供培训电子资料及视频；中标人为用户培训，至少1名操作人员进行为期至少1天的现场操作培训以及应用培训，保证用户掌握有关设备的使用、维护、管理和应用等工作要求。不定期的提供相关设备应用方面的技术咨询等，中标人承担所产生的相关费用。</w:t>
            </w:r>
          </w:p>
        </w:tc>
      </w:tr>
      <w:tr>
        <w:tc>
          <w:tcPr>
            <w:tcW w:type="dxa" w:w="2076"/>
          </w:tcPr>
          <w:p/>
        </w:tc>
        <w:tc>
          <w:tcPr>
            <w:tcW w:type="dxa" w:w="2076"/>
          </w:tcPr>
          <w:p>
            <w:pPr>
              <w:pStyle w:val="null3"/>
              <w:jc w:val="center"/>
            </w:pPr>
            <w:r>
              <w:rPr/>
              <w:t>3</w:t>
            </w:r>
          </w:p>
        </w:tc>
        <w:tc>
          <w:tcPr>
            <w:tcW w:type="dxa" w:w="2076"/>
          </w:tcPr>
          <w:p>
            <w:pPr>
              <w:pStyle w:val="null3"/>
              <w:jc w:val="left"/>
            </w:pPr>
            <w:r>
              <w:rPr/>
              <w:t>信息安全保障</w:t>
            </w:r>
          </w:p>
        </w:tc>
        <w:tc>
          <w:tcPr>
            <w:tcW w:type="dxa" w:w="2076"/>
          </w:tcPr>
          <w:p>
            <w:pPr>
              <w:pStyle w:val="null3"/>
              <w:jc w:val="left"/>
            </w:pPr>
            <w:r>
              <w:rPr/>
              <w:t>代码安全部分进行源代码扫描，部署环境安全会进行漏洞扫描和配合学校进行等保测试，配合学校实现二级等保的备案和测评。运维人员安全方面会与学校签署保密协议。需要保密的信息，采用密码技术进行加解密处理，防止信息的非授权泄漏，确保涉密信息在产生、存储、传递和处理过程中的保密。数据网上传输采用符合国家安全标准的加密方式。具有安全日志、数据备份还原机制等。对所有用户操作保留记录，存储操作日志。</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信息化设备零部件</w:t>
            </w:r>
          </w:p>
        </w:tc>
        <w:tc>
          <w:tcPr>
            <w:tcW w:type="dxa" w:w="831"/>
          </w:tcPr>
          <w:p>
            <w:pPr>
              <w:pStyle w:val="null3"/>
              <w:jc w:val="left"/>
            </w:pPr>
            <w:r>
              <w:rPr/>
              <w:t>高清智能摄像机</w:t>
            </w:r>
          </w:p>
        </w:tc>
        <w:tc>
          <w:tcPr>
            <w:tcW w:type="dxa" w:w="831"/>
          </w:tcPr>
          <w:p>
            <w:pPr>
              <w:pStyle w:val="null3"/>
              <w:jc w:val="left"/>
            </w:pPr>
            <w:r>
              <w:rPr/>
              <w:t>台</w:t>
            </w:r>
          </w:p>
        </w:tc>
        <w:tc>
          <w:tcPr>
            <w:tcW w:type="dxa" w:w="831"/>
          </w:tcPr>
          <w:p>
            <w:pPr>
              <w:pStyle w:val="null3"/>
              <w:jc w:val="right"/>
            </w:pPr>
            <w:r>
              <w:rPr/>
              <w:t>10.00</w:t>
            </w:r>
          </w:p>
        </w:tc>
        <w:tc>
          <w:tcPr>
            <w:tcW w:type="dxa" w:w="831"/>
          </w:tcPr>
          <w:p>
            <w:pPr>
              <w:pStyle w:val="null3"/>
              <w:jc w:val="right"/>
            </w:pPr>
            <w:r>
              <w:rPr/>
              <w:t>6,200.00</w:t>
            </w:r>
          </w:p>
        </w:tc>
        <w:tc>
          <w:tcPr>
            <w:tcW w:type="dxa" w:w="831"/>
          </w:tcPr>
          <w:p>
            <w:pPr>
              <w:pStyle w:val="null3"/>
              <w:jc w:val="right"/>
            </w:pPr>
            <w:r>
              <w:rPr/>
              <w:t>62,000.00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应用软件</w:t>
            </w:r>
          </w:p>
        </w:tc>
        <w:tc>
          <w:tcPr>
            <w:tcW w:type="dxa" w:w="831"/>
          </w:tcPr>
          <w:p>
            <w:pPr>
              <w:pStyle w:val="null3"/>
              <w:jc w:val="left"/>
            </w:pPr>
            <w:r>
              <w:rPr/>
              <w:t>智能学情分析系统</w:t>
            </w:r>
          </w:p>
        </w:tc>
        <w:tc>
          <w:tcPr>
            <w:tcW w:type="dxa" w:w="831"/>
          </w:tcPr>
          <w:p>
            <w:pPr>
              <w:pStyle w:val="null3"/>
              <w:jc w:val="left"/>
            </w:pPr>
            <w:r>
              <w:rPr/>
              <w:t>路</w:t>
            </w:r>
          </w:p>
        </w:tc>
        <w:tc>
          <w:tcPr>
            <w:tcW w:type="dxa" w:w="831"/>
          </w:tcPr>
          <w:p>
            <w:pPr>
              <w:pStyle w:val="null3"/>
              <w:jc w:val="right"/>
            </w:pPr>
            <w:r>
              <w:rPr/>
              <w:t>100.00</w:t>
            </w:r>
          </w:p>
        </w:tc>
        <w:tc>
          <w:tcPr>
            <w:tcW w:type="dxa" w:w="831"/>
          </w:tcPr>
          <w:p>
            <w:pPr>
              <w:pStyle w:val="null3"/>
              <w:jc w:val="right"/>
            </w:pPr>
            <w:r>
              <w:rPr/>
              <w:t>1,680.00</w:t>
            </w:r>
          </w:p>
        </w:tc>
        <w:tc>
          <w:tcPr>
            <w:tcW w:type="dxa" w:w="831"/>
          </w:tcPr>
          <w:p>
            <w:pPr>
              <w:pStyle w:val="null3"/>
              <w:jc w:val="right"/>
            </w:pPr>
            <w:r>
              <w:rPr/>
              <w:t>168,000.00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信息化设备零部件</w:t>
            </w:r>
          </w:p>
        </w:tc>
        <w:tc>
          <w:tcPr>
            <w:tcW w:type="dxa" w:w="831"/>
          </w:tcPr>
          <w:p>
            <w:pPr>
              <w:pStyle w:val="null3"/>
              <w:jc w:val="left"/>
            </w:pPr>
            <w:r>
              <w:rPr/>
              <w:t>机架</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11,000.00</w:t>
            </w:r>
          </w:p>
        </w:tc>
        <w:tc>
          <w:tcPr>
            <w:tcW w:type="dxa" w:w="831"/>
          </w:tcPr>
          <w:p>
            <w:pPr>
              <w:pStyle w:val="null3"/>
              <w:jc w:val="right"/>
            </w:pPr>
            <w:r>
              <w:rPr/>
              <w:t>11,000.00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信息化设备零部件</w:t>
            </w:r>
          </w:p>
        </w:tc>
        <w:tc>
          <w:tcPr>
            <w:tcW w:type="dxa" w:w="831"/>
          </w:tcPr>
          <w:p>
            <w:pPr>
              <w:pStyle w:val="null3"/>
              <w:jc w:val="left"/>
            </w:pPr>
            <w:r>
              <w:rPr/>
              <w:t>CPU</w:t>
            </w:r>
          </w:p>
        </w:tc>
        <w:tc>
          <w:tcPr>
            <w:tcW w:type="dxa" w:w="831"/>
          </w:tcPr>
          <w:p>
            <w:pPr>
              <w:pStyle w:val="null3"/>
              <w:jc w:val="left"/>
            </w:pPr>
            <w:r>
              <w:rPr/>
              <w:t>块</w:t>
            </w:r>
          </w:p>
        </w:tc>
        <w:tc>
          <w:tcPr>
            <w:tcW w:type="dxa" w:w="831"/>
          </w:tcPr>
          <w:p>
            <w:pPr>
              <w:pStyle w:val="null3"/>
              <w:jc w:val="right"/>
            </w:pPr>
            <w:r>
              <w:rPr/>
              <w:t>2.00</w:t>
            </w:r>
          </w:p>
        </w:tc>
        <w:tc>
          <w:tcPr>
            <w:tcW w:type="dxa" w:w="831"/>
          </w:tcPr>
          <w:p>
            <w:pPr>
              <w:pStyle w:val="null3"/>
              <w:jc w:val="right"/>
            </w:pPr>
            <w:r>
              <w:rPr/>
              <w:t>13,950.00</w:t>
            </w:r>
          </w:p>
        </w:tc>
        <w:tc>
          <w:tcPr>
            <w:tcW w:type="dxa" w:w="831"/>
          </w:tcPr>
          <w:p>
            <w:pPr>
              <w:pStyle w:val="null3"/>
              <w:jc w:val="right"/>
            </w:pPr>
            <w:r>
              <w:rPr/>
              <w:t>27,900.00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信息化设备零部件</w:t>
            </w:r>
          </w:p>
        </w:tc>
        <w:tc>
          <w:tcPr>
            <w:tcW w:type="dxa" w:w="831"/>
          </w:tcPr>
          <w:p>
            <w:pPr>
              <w:pStyle w:val="null3"/>
              <w:jc w:val="left"/>
            </w:pPr>
            <w:r>
              <w:rPr/>
              <w:t>GPU加速卡</w:t>
            </w:r>
          </w:p>
        </w:tc>
        <w:tc>
          <w:tcPr>
            <w:tcW w:type="dxa" w:w="831"/>
          </w:tcPr>
          <w:p>
            <w:pPr>
              <w:pStyle w:val="null3"/>
              <w:jc w:val="left"/>
            </w:pPr>
            <w:r>
              <w:rPr/>
              <w:t>块</w:t>
            </w:r>
          </w:p>
        </w:tc>
        <w:tc>
          <w:tcPr>
            <w:tcW w:type="dxa" w:w="831"/>
          </w:tcPr>
          <w:p>
            <w:pPr>
              <w:pStyle w:val="null3"/>
              <w:jc w:val="right"/>
            </w:pPr>
            <w:r>
              <w:rPr/>
              <w:t>2.00</w:t>
            </w:r>
          </w:p>
        </w:tc>
        <w:tc>
          <w:tcPr>
            <w:tcW w:type="dxa" w:w="831"/>
          </w:tcPr>
          <w:p>
            <w:pPr>
              <w:pStyle w:val="null3"/>
              <w:jc w:val="right"/>
            </w:pPr>
            <w:r>
              <w:rPr/>
              <w:t>13,500.00</w:t>
            </w:r>
          </w:p>
        </w:tc>
        <w:tc>
          <w:tcPr>
            <w:tcW w:type="dxa" w:w="831"/>
          </w:tcPr>
          <w:p>
            <w:pPr>
              <w:pStyle w:val="null3"/>
              <w:jc w:val="right"/>
            </w:pPr>
            <w:r>
              <w:rPr/>
              <w:t>27,000.00</w:t>
            </w:r>
          </w:p>
        </w:tc>
        <w:tc>
          <w:tcPr>
            <w:tcW w:type="dxa" w:w="831"/>
          </w:tcPr>
          <w:p>
            <w:pPr>
              <w:pStyle w:val="null3"/>
            </w:pPr>
            <w:r>
              <w:rPr/>
              <w:t>工业</w:t>
            </w:r>
          </w:p>
        </w:tc>
        <w:tc>
          <w:tcPr>
            <w:tcW w:type="dxa" w:w="831"/>
          </w:tcPr>
          <w:p>
            <w:pPr>
              <w:pStyle w:val="null3"/>
            </w:pPr>
            <w:r>
              <w:rPr/>
              <w:t>详见附表五</w:t>
            </w:r>
          </w:p>
        </w:tc>
      </w:tr>
    </w:tbl>
    <w:p>
      <w:pPr>
        <w:pStyle w:val="null3"/>
      </w:pPr>
      <w:r>
        <w:rPr>
          <w:b/>
        </w:rPr>
        <w:t>附表</w:t>
      </w:r>
      <w:r>
        <w:rPr>
          <w:b/>
        </w:rPr>
        <w:t>一</w:t>
      </w:r>
      <w:r>
        <w:rPr>
          <w:b/>
        </w:rPr>
        <w:t>：</w:t>
      </w:r>
      <w:r>
        <w:rPr>
          <w:b/>
        </w:rPr>
        <w:t>高清智能摄像机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、≥4K高清球机，1/2.5英寸CMOS传感器， 有效像素</w:t>
            </w:r>
            <w:r>
              <w:rPr/>
              <w:t>≥</w:t>
            </w:r>
            <w:r>
              <w:rPr>
                <w:sz w:val="21"/>
              </w:rPr>
              <w:t>851</w:t>
            </w:r>
            <w:r>
              <w:rPr>
                <w:sz w:val="21"/>
              </w:rPr>
              <w:t>万；</w:t>
            </w:r>
          </w:p>
          <w:p>
            <w:pPr>
              <w:pStyle w:val="null3"/>
              <w:jc w:val="both"/>
            </w:pPr>
            <w:r>
              <w:rPr>
                <w:sz w:val="21"/>
              </w:rPr>
              <w:t>2</w:t>
            </w:r>
            <w:r>
              <w:rPr>
                <w:sz w:val="21"/>
              </w:rPr>
              <w:t>、支持3840</w:t>
            </w:r>
            <w:r>
              <w:rPr/>
              <w:t>×</w:t>
            </w:r>
            <w:r>
              <w:rPr>
                <w:sz w:val="21"/>
              </w:rPr>
              <w:t>2160</w:t>
            </w:r>
            <w:r>
              <w:rPr>
                <w:sz w:val="21"/>
              </w:rPr>
              <w:t>、1920</w:t>
            </w:r>
            <w:r>
              <w:rPr/>
              <w:t>×</w:t>
            </w:r>
            <w:r>
              <w:rPr>
                <w:sz w:val="21"/>
              </w:rPr>
              <w:t>1080</w:t>
            </w:r>
            <w:r>
              <w:rPr>
                <w:sz w:val="21"/>
              </w:rPr>
              <w:t>、1280</w:t>
            </w:r>
            <w:r>
              <w:rPr/>
              <w:t>×</w:t>
            </w:r>
            <w:r>
              <w:rPr>
                <w:sz w:val="21"/>
              </w:rPr>
              <w:t>720</w:t>
            </w:r>
            <w:r>
              <w:rPr>
                <w:sz w:val="21"/>
              </w:rPr>
              <w:t>等多种分辨率；</w:t>
            </w:r>
          </w:p>
          <w:p>
            <w:pPr>
              <w:pStyle w:val="null3"/>
              <w:jc w:val="both"/>
            </w:pPr>
            <w:r>
              <w:rPr>
                <w:sz w:val="21"/>
              </w:rPr>
              <w:t>3</w:t>
            </w:r>
            <w:r>
              <w:rPr>
                <w:sz w:val="21"/>
              </w:rPr>
              <w:t>、内置超高信噪比CMOS图像传感器，图像信噪比≥55dB，同时应用2D和3D降噪算法；</w:t>
            </w:r>
          </w:p>
          <w:p>
            <w:pPr>
              <w:pStyle w:val="null3"/>
              <w:jc w:val="both"/>
            </w:pPr>
            <w:r>
              <w:rPr>
                <w:sz w:val="21"/>
              </w:rPr>
              <w:t>4</w:t>
            </w:r>
            <w:r>
              <w:rPr>
                <w:sz w:val="21"/>
              </w:rPr>
              <w:t>、支持</w:t>
            </w:r>
            <w:r>
              <w:rPr/>
              <w:t>≥</w:t>
            </w:r>
            <w:r>
              <w:rPr>
                <w:sz w:val="21"/>
              </w:rPr>
              <w:t>16</w:t>
            </w:r>
            <w:r>
              <w:rPr>
                <w:sz w:val="21"/>
              </w:rPr>
              <w:t>倍数字变焦，镜头焦距4.4mm ~ 52.8mm，光圈F1.8 ~ F2.6；</w:t>
            </w:r>
          </w:p>
          <w:p>
            <w:pPr>
              <w:pStyle w:val="null3"/>
              <w:jc w:val="both"/>
            </w:pPr>
            <w:r>
              <w:rPr>
                <w:sz w:val="21"/>
              </w:rPr>
              <w:t>5</w:t>
            </w:r>
            <w:r>
              <w:rPr>
                <w:sz w:val="21"/>
              </w:rPr>
              <w:t>、10M/100M 自适应以太网；1路Line In音频输入接口，1路RS485控制接口；</w:t>
            </w:r>
          </w:p>
          <w:p>
            <w:pPr>
              <w:pStyle w:val="null3"/>
              <w:jc w:val="both"/>
            </w:pPr>
            <w:r>
              <w:rPr>
                <w:sz w:val="21"/>
              </w:rPr>
              <w:t>6</w:t>
            </w:r>
            <w:r>
              <w:rPr>
                <w:sz w:val="21"/>
              </w:rPr>
              <w:t>、DC12V供电，支持POE+供电；</w:t>
            </w:r>
          </w:p>
          <w:p>
            <w:pPr>
              <w:pStyle w:val="null3"/>
              <w:jc w:val="both"/>
            </w:pPr>
            <w:r>
              <w:rPr>
                <w:sz w:val="21"/>
              </w:rPr>
              <w:t>7</w:t>
            </w:r>
            <w:r>
              <w:rPr>
                <w:sz w:val="21"/>
              </w:rPr>
              <w:t>、视频输出：HDMI或3G-SDI、USB、LAN，可同时输出多路高清数字信号；</w:t>
            </w:r>
          </w:p>
          <w:p>
            <w:pPr>
              <w:pStyle w:val="null3"/>
              <w:jc w:val="both"/>
            </w:pPr>
            <w:r>
              <w:rPr>
                <w:sz w:val="21"/>
              </w:rPr>
              <w:t>8</w:t>
            </w:r>
            <w:r>
              <w:rPr>
                <w:sz w:val="21"/>
              </w:rPr>
              <w:t>、支持图像冻结功能。</w:t>
            </w:r>
          </w:p>
          <w:p>
            <w:pPr>
              <w:pStyle w:val="null3"/>
              <w:jc w:val="both"/>
            </w:pPr>
            <w:r>
              <w:rPr>
                <w:sz w:val="21"/>
              </w:rPr>
              <w:t>9.</w:t>
            </w:r>
            <w:r>
              <w:rPr>
                <w:sz w:val="21"/>
              </w:rPr>
              <w:t>内置视音频编码算法软件：</w:t>
            </w:r>
          </w:p>
          <w:p>
            <w:pPr>
              <w:pStyle w:val="null3"/>
              <w:jc w:val="both"/>
            </w:pPr>
            <w:r>
              <w:rPr>
                <w:sz w:val="21"/>
              </w:rPr>
              <w:t>9.1</w:t>
            </w:r>
            <w:r>
              <w:rPr>
                <w:sz w:val="21"/>
              </w:rPr>
              <w:t>支持H.265/H.264/MJPEG视频编码；</w:t>
            </w:r>
          </w:p>
          <w:p>
            <w:pPr>
              <w:pStyle w:val="null3"/>
              <w:jc w:val="both"/>
            </w:pPr>
            <w:r>
              <w:rPr>
                <w:sz w:val="21"/>
              </w:rPr>
              <w:t>9.2</w:t>
            </w:r>
            <w:r>
              <w:rPr>
                <w:sz w:val="21"/>
              </w:rPr>
              <w:t>码率范围32kbps~51200kbps；</w:t>
            </w:r>
          </w:p>
          <w:p>
            <w:pPr>
              <w:pStyle w:val="null3"/>
              <w:jc w:val="both"/>
            </w:pPr>
            <w:r>
              <w:rPr>
                <w:sz w:val="21"/>
              </w:rPr>
              <w:t>9.3</w:t>
            </w:r>
            <w:r>
              <w:rPr>
                <w:sz w:val="21"/>
              </w:rPr>
              <w:t>支持AAC、G.711音频编码；</w:t>
            </w:r>
          </w:p>
          <w:p>
            <w:pPr>
              <w:pStyle w:val="null3"/>
              <w:jc w:val="both"/>
            </w:pPr>
            <w:r>
              <w:rPr>
                <w:sz w:val="21"/>
              </w:rPr>
              <w:t>9.4</w:t>
            </w:r>
            <w:r>
              <w:rPr>
                <w:sz w:val="21"/>
              </w:rPr>
              <w:t>支持网络双码流输出；</w:t>
            </w:r>
          </w:p>
          <w:p>
            <w:pPr>
              <w:pStyle w:val="null3"/>
            </w:pPr>
            <w:r>
              <w:rPr>
                <w:sz w:val="21"/>
              </w:rPr>
              <w:t>9.5</w:t>
            </w:r>
            <w:r>
              <w:rPr>
                <w:sz w:val="21"/>
              </w:rPr>
              <w:t>支持TCP/IP、HTTP、RTSP、RTMP/RTMPS、Onvif、DHCP、组播等传输协议。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智能学情分析系统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、支持接入网络摄像机的实时视频流，基于视频通过对教室人数、前排人数、学生专注度等学情进行智能分析；</w:t>
            </w:r>
            <w:r>
              <w:br/>
            </w:r>
            <w:r>
              <w:rPr>
                <w:sz w:val="21"/>
              </w:rPr>
              <w:t xml:space="preserve"> 2、支持自定义教室前排区域坐标及前排区域座位总数，灵活设置每间教室的前排区域位置，适配不同布局、不同面积的教室，准确计算前排就座率；支持单画面设置多个区域；</w:t>
            </w:r>
            <w:r>
              <w:br/>
            </w:r>
            <w:r>
              <w:rPr>
                <w:sz w:val="21"/>
              </w:rPr>
              <w:t xml:space="preserve"> 3、支持智能分析教室人数，自动计算学生到课率；支持到课率上传至课程中心与督导平台、教学巡视平台界面，支持统计数据导出报表；</w:t>
            </w:r>
            <w:r>
              <w:br/>
            </w:r>
            <w:r>
              <w:rPr>
                <w:sz w:val="21"/>
              </w:rPr>
              <w:t xml:space="preserve"> 4、支持智能分析前排学生人数，自动计算前排就座率；支持前排就座率上传至课程中心与督导平台、教学巡视平台界面，支持统计数据导出报表；</w:t>
            </w:r>
            <w:r>
              <w:br/>
            </w:r>
            <w:r>
              <w:rPr>
                <w:sz w:val="21"/>
              </w:rPr>
              <w:t xml:space="preserve"> 5、支持智能检测分析学生抬头状态，自动计算课堂抬头率；支持课堂抬头率上传至教学平台与督导平台、教学巡视平台界面，支持统计数据导出报表；</w:t>
            </w:r>
            <w:r>
              <w:rPr>
                <w:sz w:val="21"/>
                <w:b/>
              </w:rPr>
              <w:t>（提供该项要求的功能截图不少于3张）</w:t>
            </w:r>
          </w:p>
          <w:p>
            <w:pPr>
              <w:pStyle w:val="null3"/>
              <w:jc w:val="both"/>
            </w:pPr>
            <w:r>
              <w:rPr>
                <w:sz w:val="21"/>
              </w:rPr>
              <w:t>6</w:t>
            </w:r>
            <w:r>
              <w:rPr>
                <w:sz w:val="21"/>
              </w:rPr>
              <w:t>、支持RTSP协议获取视频流，支持H.264/H.265编码；</w:t>
            </w:r>
            <w:r>
              <w:br/>
            </w:r>
            <w:r>
              <w:rPr>
                <w:sz w:val="21"/>
              </w:rPr>
              <w:t xml:space="preserve"> 7、支持1920</w:t>
            </w:r>
            <w:r>
              <w:rPr/>
              <w:t>×</w:t>
            </w:r>
            <w:r>
              <w:rPr>
                <w:sz w:val="21"/>
              </w:rPr>
              <w:t>1080</w:t>
            </w:r>
            <w:r>
              <w:rPr>
                <w:sz w:val="21"/>
              </w:rPr>
              <w:t>、3840</w:t>
            </w:r>
            <w:r>
              <w:rPr/>
              <w:t>×</w:t>
            </w:r>
            <w:r>
              <w:rPr>
                <w:sz w:val="21"/>
              </w:rPr>
              <w:t>2160</w:t>
            </w:r>
            <w:r>
              <w:rPr>
                <w:sz w:val="21"/>
              </w:rPr>
              <w:t>等视频分辨率；</w:t>
            </w:r>
            <w:r>
              <w:br/>
            </w:r>
            <w:r>
              <w:rPr>
                <w:sz w:val="21"/>
              </w:rPr>
              <w:t xml:space="preserve"> 8、支持可处理</w:t>
            </w:r>
            <w:r>
              <w:rPr/>
              <w:t>≥</w:t>
            </w:r>
            <w:r>
              <w:rPr>
                <w:sz w:val="21"/>
              </w:rPr>
              <w:t>1080P</w:t>
            </w:r>
            <w:r>
              <w:rPr>
                <w:sz w:val="21"/>
              </w:rPr>
              <w:t>的H.264视频，或H.265视频，帧率</w:t>
            </w:r>
            <w:r>
              <w:rPr/>
              <w:t>≥</w:t>
            </w:r>
            <w:r>
              <w:rPr>
                <w:sz w:val="21"/>
              </w:rPr>
              <w:t>25FPS</w:t>
            </w:r>
            <w:r>
              <w:rPr>
                <w:sz w:val="21"/>
              </w:rPr>
              <w:t>；</w:t>
            </w:r>
            <w:r>
              <w:br/>
            </w:r>
            <w:r>
              <w:rPr>
                <w:sz w:val="21"/>
              </w:rPr>
              <w:t xml:space="preserve"> 9、环境要求：照度100lx以上、摄像机水平夹角0~45度，识别目标（头肩组合）分辨率大于20*20，且遮挡小于30%；</w:t>
            </w:r>
            <w:r>
              <w:br/>
            </w:r>
            <w:r>
              <w:rPr>
                <w:sz w:val="21"/>
              </w:rPr>
              <w:t xml:space="preserve"> 10、在标准教室环境下，误报率小于10%，且漏报率小于10%。</w:t>
            </w:r>
            <w:r>
              <w:rPr>
                <w:sz w:val="21"/>
                <w:b/>
              </w:rPr>
              <w:t>（</w:t>
            </w:r>
            <w:r>
              <w:rPr>
                <w:sz w:val="21"/>
                <w:b/>
              </w:rPr>
              <w:t>投标人需提供承诺函</w:t>
            </w:r>
            <w:r>
              <w:rPr>
                <w:sz w:val="21"/>
                <w:b/>
              </w:rPr>
              <w:t>）</w:t>
            </w:r>
          </w:p>
          <w:p>
            <w:pPr>
              <w:pStyle w:val="null3"/>
            </w:pPr>
            <w:r>
              <w:rPr>
                <w:sz w:val="21"/>
                <w:b/>
              </w:rPr>
              <w:t>11</w:t>
            </w:r>
            <w:r>
              <w:rPr>
                <w:sz w:val="21"/>
                <w:b/>
              </w:rPr>
              <w:t>、★本项目的软件系统需开放系统接口与数据，不设技术壁垒，需将分析数据上传至我校现有的教学平台和督导评教平台，实现数据对接、整合与共享。（投标人需提供对接承诺函，对接要求详见“第二章 采购需求”第5点）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机架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、高度：≥2U高度；</w:t>
            </w:r>
            <w:r>
              <w:br/>
            </w:r>
            <w:r>
              <w:rPr>
                <w:sz w:val="21"/>
              </w:rPr>
              <w:t xml:space="preserve"> 2、CPU接口：支持两颗处理器；</w:t>
            </w:r>
            <w:r>
              <w:br/>
            </w:r>
            <w:r>
              <w:rPr>
                <w:sz w:val="21"/>
              </w:rPr>
              <w:t xml:space="preserve"> 3、支持采用DDR4 ECC Register内存；</w:t>
            </w:r>
            <w:r>
              <w:br/>
            </w:r>
            <w:r>
              <w:rPr>
                <w:sz w:val="21"/>
              </w:rPr>
              <w:t xml:space="preserve"> 4、最大支持8个2.5寸/3.5寸SSD/SAS/SATA热插拔硬盘；</w:t>
            </w:r>
          </w:p>
          <w:p>
            <w:pPr>
              <w:pStyle w:val="null3"/>
              <w:jc w:val="both"/>
            </w:pPr>
            <w:r>
              <w:rPr>
                <w:sz w:val="21"/>
              </w:rPr>
              <w:t>5</w:t>
            </w:r>
            <w:r>
              <w:rPr>
                <w:sz w:val="21"/>
              </w:rPr>
              <w:t>、集成双口千兆网卡；</w:t>
            </w:r>
            <w:r>
              <w:br/>
            </w:r>
            <w:r>
              <w:rPr>
                <w:sz w:val="21"/>
              </w:rPr>
              <w:t xml:space="preserve"> 6、支持1个1000M IPMI专用远程管理网口，可实现KVM OVER IP带外管理；</w:t>
            </w:r>
            <w:r>
              <w:br/>
            </w:r>
            <w:r>
              <w:rPr>
                <w:sz w:val="21"/>
              </w:rPr>
              <w:t xml:space="preserve"> 7、电源模块，可选1+0模式，1+1模式，支持550W/800W/1200W铂金电源模块；</w:t>
            </w:r>
            <w:r>
              <w:br/>
            </w:r>
            <w:r>
              <w:rPr>
                <w:sz w:val="21"/>
              </w:rPr>
              <w:t xml:space="preserve"> 8、提供多种PCI-E扩展槽；支持千兆电口OCP网络扩展模块（不占PCI-E槽）；</w:t>
            </w:r>
          </w:p>
          <w:p>
            <w:pPr>
              <w:pStyle w:val="null3"/>
            </w:pPr>
            <w:r>
              <w:rPr>
                <w:sz w:val="21"/>
              </w:rPr>
              <w:t>9</w:t>
            </w:r>
            <w:r>
              <w:rPr>
                <w:sz w:val="21"/>
              </w:rPr>
              <w:t>、提供至少一个</w:t>
            </w:r>
            <w:r>
              <w:rPr>
                <w:sz w:val="21"/>
              </w:rPr>
              <w:t>≥</w:t>
            </w:r>
            <w:r>
              <w:rPr>
                <w:sz w:val="21"/>
              </w:rPr>
              <w:t>550W 1+1</w:t>
            </w:r>
            <w:r>
              <w:rPr>
                <w:sz w:val="21"/>
              </w:rPr>
              <w:t>冗余电源/CRPS模块。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CPU</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、主频：≥2.10 GHz；</w:t>
            </w:r>
          </w:p>
          <w:p>
            <w:pPr>
              <w:pStyle w:val="null3"/>
              <w:jc w:val="both"/>
            </w:pPr>
            <w:r>
              <w:rPr>
                <w:sz w:val="21"/>
              </w:rPr>
              <w:t>2</w:t>
            </w:r>
            <w:r>
              <w:rPr>
                <w:sz w:val="21"/>
              </w:rPr>
              <w:t>、线程：不低于20C/40T；</w:t>
            </w:r>
          </w:p>
          <w:p>
            <w:pPr>
              <w:pStyle w:val="null3"/>
              <w:jc w:val="both"/>
            </w:pPr>
            <w:r>
              <w:rPr>
                <w:sz w:val="21"/>
              </w:rPr>
              <w:t>3</w:t>
            </w:r>
            <w:r>
              <w:rPr>
                <w:sz w:val="21"/>
              </w:rPr>
              <w:t>、TDP功耗：≤125 W；</w:t>
            </w:r>
            <w:r>
              <w:br/>
            </w:r>
            <w:r>
              <w:rPr>
                <w:sz w:val="21"/>
              </w:rPr>
              <w:t xml:space="preserve"> 4、内存类型：不低于DDR4-2933 MHz；</w:t>
            </w:r>
          </w:p>
          <w:p>
            <w:pPr>
              <w:pStyle w:val="null3"/>
            </w:pPr>
            <w:r>
              <w:rPr>
                <w:sz w:val="21"/>
              </w:rPr>
              <w:t>5</w:t>
            </w:r>
            <w:r>
              <w:rPr>
                <w:sz w:val="21"/>
              </w:rPr>
              <w:t>、不低于L3缓存28MB。</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GPU加速卡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、CUDA核心数：≥2560；</w:t>
            </w:r>
          </w:p>
          <w:p>
            <w:pPr>
              <w:pStyle w:val="null3"/>
              <w:jc w:val="both"/>
            </w:pPr>
            <w:r>
              <w:rPr>
                <w:sz w:val="21"/>
              </w:rPr>
              <w:t>2</w:t>
            </w:r>
            <w:r>
              <w:rPr>
                <w:sz w:val="21"/>
              </w:rPr>
              <w:t>、核心频率：≥585MHz（基础频率）/1590MHz（Boost频率）；</w:t>
            </w:r>
          </w:p>
          <w:p>
            <w:pPr>
              <w:pStyle w:val="null3"/>
              <w:jc w:val="both"/>
            </w:pPr>
            <w:r>
              <w:rPr>
                <w:sz w:val="21"/>
              </w:rPr>
              <w:t>3</w:t>
            </w:r>
            <w:r>
              <w:rPr>
                <w:sz w:val="21"/>
              </w:rPr>
              <w:t>、显存容量：不低于16GB GDDR6；</w:t>
            </w:r>
          </w:p>
          <w:p>
            <w:pPr>
              <w:pStyle w:val="null3"/>
              <w:jc w:val="both"/>
            </w:pPr>
            <w:r>
              <w:rPr>
                <w:sz w:val="21"/>
              </w:rPr>
              <w:t>4</w:t>
            </w:r>
            <w:r>
              <w:rPr>
                <w:sz w:val="21"/>
              </w:rPr>
              <w:t>、显存频率：≥1250MHz；</w:t>
            </w:r>
          </w:p>
          <w:p>
            <w:pPr>
              <w:pStyle w:val="null3"/>
              <w:jc w:val="both"/>
            </w:pPr>
            <w:r>
              <w:rPr>
                <w:sz w:val="21"/>
              </w:rPr>
              <w:t>5</w:t>
            </w:r>
            <w:r>
              <w:rPr>
                <w:sz w:val="21"/>
              </w:rPr>
              <w:t>、显存带宽：≥320GB/s；</w:t>
            </w:r>
          </w:p>
          <w:p>
            <w:pPr>
              <w:pStyle w:val="null3"/>
              <w:jc w:val="both"/>
            </w:pPr>
            <w:r>
              <w:rPr>
                <w:sz w:val="21"/>
              </w:rPr>
              <w:t>6</w:t>
            </w:r>
            <w:r>
              <w:rPr>
                <w:sz w:val="21"/>
              </w:rPr>
              <w:t>、单精度：不低于8.141TFLOPS；</w:t>
            </w:r>
          </w:p>
          <w:p>
            <w:pPr>
              <w:pStyle w:val="null3"/>
            </w:pPr>
            <w:r>
              <w:rPr>
                <w:sz w:val="21"/>
              </w:rPr>
              <w:t>7</w:t>
            </w:r>
            <w:r>
              <w:rPr>
                <w:sz w:val="21"/>
              </w:rPr>
              <w:t>、功率：≤70W。</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五邑大学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包组中标人须向采购代理机构按如下标准和规定缴纳招标代理服务费（不含税）：参照《广东省物价局粤价函〔2013〕1233号》规定的货物招标标准费率下浮20%计取。按标准费率下浮20%后计算不足人民币肆仟元的，按最低收费人民币肆仟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 政府采购合同融资，供应商在中标（成交）后需要融资时可以申请政府采购合同融资。详情请见《广东省财政厅广东省地方金融监督管理局中国人民银行广州分行关于开展省级政府采购合 同融资工作的通知》（粤财采购〔2020〕6号）（查询网址：http://www.gdgpo.gov.cn/show/id/40288ba97237aba8017239cc2a020 555.html）。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政府采购监督管理机构名称：江门市财政局</w:t>
      </w:r>
    </w:p>
    <w:p>
      <w:pPr>
        <w:pStyle w:val="null3"/>
      </w:pPr>
      <w:r>
        <w:rPr/>
        <w:t>地 址：江门市蓬江区华园中路21-23号</w:t>
      </w:r>
    </w:p>
    <w:p>
      <w:pPr>
        <w:pStyle w:val="null3"/>
      </w:pPr>
      <w:r>
        <w:rPr/>
        <w:t>电 话：0750-3501936、0750-3501903</w:t>
      </w:r>
    </w:p>
    <w:p>
      <w:pPr>
        <w:pStyle w:val="null3"/>
      </w:pPr>
      <w:r>
        <w:rPr/>
        <w:t>邮 编：529000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教学软件升级采购项目——教育教学质量数据监测信息化平台)：综合评分法,是指投标文件满足招标文件全部实质性要求，且按照评审因素的量化指标评审得分最高的投标人为中标候选人的评标方法。（最低报价不是中标的唯一依据。）</w:t>
      </w:r>
    </w:p>
    <w:p>
      <w:pPr>
        <w:pStyle w:val="null3"/>
      </w:pPr>
      <w:r>
        <w:rPr/>
        <w:t>采购包2(教学软件升级采购项目——工程管理专业实验室)：综合评分法,是指投标文件满足招标文件全部实质性要求，且按照评审因素的量化指标评审得分最高的投标人为中标候选人的评标方法。（最低报价不是中标的唯一依据。）</w:t>
      </w:r>
    </w:p>
    <w:p>
      <w:pPr>
        <w:pStyle w:val="null3"/>
      </w:pPr>
      <w:r>
        <w:rPr/>
        <w:t>采购包3(教学软件升级采购项目——智能学情分析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采购包1（教学软件升级采购项目——教育教学质量数据监测信息化平台）：</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采购包2（教学软件升级采购项目——工程管理专业实验室）：</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采购包3（教学软件升级采购项目——智能学情分析系统）：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采购包1（教学软件升级采购项目——教育教学质量数据监测信息化平台）：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属于整体专门面向中小企业采购，投标人须提供中小企业声明函（即本采购包所有产品的制造商（或生产商）须是“软件和信息技术服务业”中的中小微企业）。属于监狱企业的，提供由省级以上监狱管理局、戒毒管理局(含新疆生产建设兵团)出具的属于监狱企业的证明文件；属于残疾人福利性单位的，提供《残疾人福利性单位声明函》。为确保声明函的准确性，建议利用以下小程序进行自测。（中小企业规模类型自测小程序：https://baosong.miit.gov.cn/ScaleTest）</w:t>
            </w:r>
          </w:p>
        </w:tc>
      </w:tr>
    </w:tbl>
    <w:p>
      <w:pPr>
        <w:pStyle w:val="null3"/>
      </w:pPr>
      <w:r>
        <w:rPr/>
        <w:t>采购包2（教学软件升级采购项目——工程管理专业实验室）：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属于整体专门面向中小企业采购，投标人须提供中小企业声明函（即本采购包所有产品的制造商（或生产商）须是“软件和信息技术服务业”中的中小微企业）。属于监狱企业的，提供由省级以上监狱管理局、戒毒管理局(含新疆生产建设兵团)出具的属于监狱企业的证明文件；属于残疾人福利性单位的，提供《残疾人福利性单位声明函》。为确保声明函的准确性，建议利用以下小程序进行自测。（中小企业规模类型自测小程序：https://baosong.miit.gov.cn/ScaleTest）</w:t>
            </w:r>
          </w:p>
        </w:tc>
      </w:tr>
    </w:tbl>
    <w:p>
      <w:pPr>
        <w:pStyle w:val="null3"/>
      </w:pPr>
      <w:r>
        <w:rPr/>
        <w:t>采购包3（教学软件升级采购项目——智能学情分析系统）：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属于整体专门面向中小企业采购，投标人须提供中小企业声明函（即本采购包所有产品的制造商（或生产商）须是“工业”中的中小微企业）。属于监狱企业的，提供由省级以上监狱管理局、戒毒管理局(含新疆生产建设兵团)出具的属于监狱企业的证明文件；属于残疾人福利性单位的，提供《残疾人福利性单位声明函》。为确保声明函的准确性，建议利用以下小程序进行自测。（中小企业规模类型自测小程序：https://baosong.miit.gov.cn/ScaleTest）</w:t>
            </w:r>
          </w:p>
        </w:tc>
      </w:tr>
    </w:tbl>
    <w:p>
      <w:pPr>
        <w:pStyle w:val="null3"/>
        <w:ind w:firstLine="480"/>
      </w:pPr>
      <w:r>
        <w:rPr/>
        <w:t>表二符合性审查表：</w:t>
      </w:r>
    </w:p>
    <w:p>
      <w:pPr>
        <w:pStyle w:val="null3"/>
      </w:pPr>
      <w:r>
        <w:rPr/>
        <w:t>采购包1（教学软件升级采购项目——教育教学质量数据监测信息化平台）：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采购包2（教学软件升级采购项目——工程管理专业实验室）：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采购包3（教学软件升级采购项目——智能学情分析系统）：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采购包1(教学软件升级采购项目——教育教学质量数据监测信息化平台):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技术参数▲号条款响应情况 (10.0分)</w:t>
            </w:r>
          </w:p>
        </w:tc>
        <w:tc>
          <w:tcPr>
            <w:tcW w:type="dxa" w:w="5076"/>
          </w:tcPr>
          <w:p>
            <w:pPr>
              <w:pStyle w:val="null3"/>
              <w:jc w:val="left"/>
            </w:pPr>
            <w:r>
              <w:rPr/>
              <w:t>根据投标人对“第二章 采购需求”采购包1【具体技术(参数)要求】中带“▲”项的响应情况进行评分。每满足或完全响应或正偏离或无偏离一项得5分，最高得10分；本项目带“▲”号的重要技术要求共2项。 注：如【具体技术(参数)要求】中有明确要求提供证明资料的，以【具体技术(参数)要求】中的要求为准；如【具体技术(参数)要求】中未明确要求提供证明材料的，以投标人响应情况为准。</w:t>
            </w:r>
          </w:p>
        </w:tc>
      </w:tr>
      <w:tr>
        <w:tc>
          <w:tcPr>
            <w:tcW w:type="dxa" w:w="922"/>
            <w:gridSpan w:val="2"/>
            <w:vMerge/>
          </w:tcPr>
          <w:p/>
        </w:tc>
        <w:tc>
          <w:tcPr>
            <w:tcW w:type="dxa" w:w="2307"/>
          </w:tcPr>
          <w:p>
            <w:pPr>
              <w:pStyle w:val="null3"/>
              <w:jc w:val="left"/>
            </w:pPr>
            <w:r>
              <w:rPr/>
              <w:t>一般技术参数的响应情况 (29.0分)</w:t>
            </w:r>
          </w:p>
        </w:tc>
        <w:tc>
          <w:tcPr>
            <w:tcW w:type="dxa" w:w="5076"/>
          </w:tcPr>
          <w:p>
            <w:pPr>
              <w:pStyle w:val="null3"/>
              <w:jc w:val="left"/>
            </w:pPr>
            <w:r>
              <w:rPr/>
              <w:t>根据投标人对“第二章 采购需求” 采购包1【具体技术(参数)要求】中的一般技术参数要求的（不含带“▲”及“★”条款）的响应情况进行评分。每满足或完全响应或正偏离或无偏离一项得1分，最高得29分；本采购包一般技术参数共29条。 注：如【具体技术(参数)要求】中有明确要求提供证明资料的，以【具体技术(参数)要求】中的要求为准；如【具体技术(参数)要求】中未明确要求提供证明材料的，以投标人响应情况为准。</w:t>
            </w:r>
          </w:p>
        </w:tc>
      </w:tr>
      <w:tr>
        <w:tc>
          <w:tcPr>
            <w:tcW w:type="dxa" w:w="922"/>
            <w:gridSpan w:val="2"/>
            <w:vMerge/>
          </w:tcPr>
          <w:p/>
        </w:tc>
        <w:tc>
          <w:tcPr>
            <w:tcW w:type="dxa" w:w="2307"/>
          </w:tcPr>
          <w:p>
            <w:pPr>
              <w:pStyle w:val="null3"/>
              <w:jc w:val="left"/>
            </w:pPr>
            <w:r>
              <w:rPr/>
              <w:t>项目实施方案 (7.0分)</w:t>
            </w:r>
            <w:r>
              <w:rPr/>
              <w:t>，（等次分值选择：</w:t>
            </w:r>
            <w:r>
              <w:rPr/>
              <w:t>0.0;</w:t>
            </w:r>
            <w:r>
              <w:rPr/>
              <w:t>1.0;</w:t>
            </w:r>
            <w:r>
              <w:rPr/>
              <w:t>4.0;</w:t>
            </w:r>
            <w:r>
              <w:rPr/>
              <w:t>7.0;</w:t>
            </w:r>
            <w:r>
              <w:rPr/>
              <w:t>）</w:t>
            </w:r>
          </w:p>
        </w:tc>
        <w:tc>
          <w:tcPr>
            <w:tcW w:type="dxa" w:w="5076"/>
          </w:tcPr>
          <w:p>
            <w:pPr>
              <w:pStyle w:val="null3"/>
              <w:jc w:val="left"/>
            </w:pPr>
            <w:r>
              <w:rPr/>
              <w:t>根据投标人提供的项目实施方案（包括但不限于供货方案、产品培训、实施能力方案）详细内容进行综合评审： （1）项目实施方案对需求响应全面具体、针对项目全部重点难点全面剖析，能针对全部重点难点提出科学合理、可直接执行的实施方案，有效保障本项目实施，有利于实现服务效果，得7分； （2）项目实施方案对需求响应全面具体，针对部分重点难点全面剖析，只针对部分重点难点提出科学合理，具备一定执行性的实施方案，能基本保障本项目服务实施，基本满足服务效果，得4分； （3）项目实施方案对需求响应不全面，只针对部分重点难点剖析，提出方案合理性不足、难以执行的，无法保障本项目服务实施，达不到服务效果，得1分； （4）其他情况或无相关内容不得分。</w:t>
            </w:r>
          </w:p>
        </w:tc>
      </w:tr>
      <w:tr>
        <w:tc>
          <w:tcPr>
            <w:tcW w:type="dxa" w:w="922"/>
            <w:gridSpan w:val="2"/>
            <w:vMerge/>
          </w:tcPr>
          <w:p/>
        </w:tc>
        <w:tc>
          <w:tcPr>
            <w:tcW w:type="dxa" w:w="2307"/>
          </w:tcPr>
          <w:p>
            <w:pPr>
              <w:pStyle w:val="null3"/>
              <w:jc w:val="left"/>
            </w:pPr>
            <w:r>
              <w:rPr/>
              <w:t>售后服务方案 (9.0分)</w:t>
            </w:r>
            <w:r>
              <w:rPr/>
              <w:t>，（等次分值选择：</w:t>
            </w:r>
            <w:r>
              <w:rPr/>
              <w:t>0.0;</w:t>
            </w:r>
            <w:r>
              <w:rPr/>
              <w:t>1.0;</w:t>
            </w:r>
            <w:r>
              <w:rPr/>
              <w:t>5.0;</w:t>
            </w:r>
            <w:r>
              <w:rPr/>
              <w:t>9.0;</w:t>
            </w:r>
            <w:r>
              <w:rPr/>
              <w:t>）</w:t>
            </w:r>
          </w:p>
        </w:tc>
        <w:tc>
          <w:tcPr>
            <w:tcW w:type="dxa" w:w="5076"/>
          </w:tcPr>
          <w:p>
            <w:pPr>
              <w:pStyle w:val="null3"/>
              <w:jc w:val="left"/>
            </w:pPr>
            <w:r>
              <w:rPr/>
              <w:t>根据投标人提供的售后服务方案（包括但不限于维保服务范围、服务能力、服务标准、维护保养及应急维修时间安排、售后服务承诺和技术力量方面等）进行评审： （1）有提供售后服务方案，方案内容完整、详细，服务支持能力全面且专业，应急措施科学合理，有效保障本项目实施，有利于实现服务效果，得9分； （2）有提供售后服务方案，但方案内容有缺漏，服务支持能力有欠缺但具有专业性，应急措施具备一定的可行性，能基本保障本项目服务实施，基本满足服务效果，得5分； （3）有提供售后服务方案，但方案内容不科学或不合理，服务支持能力不专业，应急措施执行难度大，无法保障本项目服务实施，达不到服务效果，得1分； （4）其他情况或无相关内容不得分。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投标人自2021年1月1日至今，完成同类项目业绩情况，每提供一项得2分，最高得10分。 注:须同时提供合同复印件、验收报告复印件(须包含供货清单)作为证明材料，无提供证明材料或评审专家无法认定的不得分。</w:t>
            </w:r>
          </w:p>
        </w:tc>
      </w:tr>
      <w:tr>
        <w:tc>
          <w:tcPr>
            <w:tcW w:type="dxa" w:w="922"/>
            <w:gridSpan w:val="2"/>
            <w:vMerge/>
          </w:tcPr>
          <w:p/>
        </w:tc>
        <w:tc>
          <w:tcPr>
            <w:tcW w:type="dxa" w:w="2307"/>
          </w:tcPr>
          <w:p>
            <w:pPr>
              <w:pStyle w:val="null3"/>
              <w:jc w:val="left"/>
            </w:pPr>
            <w:r>
              <w:rPr/>
              <w:t>满意度评价 (5.0分)</w:t>
            </w:r>
          </w:p>
        </w:tc>
        <w:tc>
          <w:tcPr>
            <w:tcW w:type="dxa" w:w="5076"/>
          </w:tcPr>
          <w:p>
            <w:pPr>
              <w:pStyle w:val="null3"/>
              <w:jc w:val="left"/>
            </w:pPr>
            <w:r>
              <w:rPr/>
              <w:t>满足上述“同类项目业绩”要求的有效业绩，获得客户满意度评价为满意或优或百分制得分为90分（及以上）或同等评价的，每提供一个得1分，最高得5分。 注：提供客户满意度评价证明材料（须含甲方盖章），不提供不得分。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采购包2(教学软件升级采购项目——工程管理专业实验室):</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技术参数▲号条款响应情况 (5.0分)</w:t>
            </w:r>
          </w:p>
        </w:tc>
        <w:tc>
          <w:tcPr>
            <w:tcW w:type="dxa" w:w="5076"/>
          </w:tcPr>
          <w:p>
            <w:pPr>
              <w:pStyle w:val="null3"/>
              <w:jc w:val="left"/>
            </w:pPr>
            <w:r>
              <w:rPr/>
              <w:t>根据投标人对“第二章 采购需求”采购包2【具体技术(参数)要求】中带“▲”项的响应情况进行评分。每满足或完全响应或正偏离或无偏离一项得5分，最高得5分；本项目带“▲”号的重要技术要求共1项。 注：如【具体技术(参数)要求】中有明确要求提供证明资料的，以【具体技术(参数)要求】中的要求为准；如【具体技术(参数)要求】中未明确要求提供证明材料的，以投标人响应情况为准。</w:t>
            </w:r>
          </w:p>
        </w:tc>
      </w:tr>
      <w:tr>
        <w:tc>
          <w:tcPr>
            <w:tcW w:type="dxa" w:w="922"/>
            <w:gridSpan w:val="2"/>
            <w:vMerge/>
          </w:tcPr>
          <w:p/>
        </w:tc>
        <w:tc>
          <w:tcPr>
            <w:tcW w:type="dxa" w:w="2307"/>
          </w:tcPr>
          <w:p>
            <w:pPr>
              <w:pStyle w:val="null3"/>
              <w:jc w:val="left"/>
            </w:pPr>
            <w:r>
              <w:rPr/>
              <w:t>一般技术参数的响应情况 (25.0分)</w:t>
            </w:r>
          </w:p>
        </w:tc>
        <w:tc>
          <w:tcPr>
            <w:tcW w:type="dxa" w:w="5076"/>
          </w:tcPr>
          <w:p>
            <w:pPr>
              <w:pStyle w:val="null3"/>
              <w:jc w:val="left"/>
            </w:pPr>
            <w:r>
              <w:rPr/>
              <w:t>根据投标人对“第二章 采购需求” 采购包2【具体技术(参数)要求】中的一般技术参数要求的（不含带“▲”及“★”条款）的响应情况进行评分。每满足或完全响应或正偏离或无偏离一项得1分，最高得25分；本采购包一般技术参数共25条。 注：如【具体技术(参数)要求】中有明确要求提供证明资料的，以【具体技术(参数)要求】中的要求为准；如【具体技术(参数)要求】中未明确要求提供证明材料的，以投标人响应情况为准。</w:t>
            </w:r>
          </w:p>
        </w:tc>
      </w:tr>
      <w:tr>
        <w:tc>
          <w:tcPr>
            <w:tcW w:type="dxa" w:w="922"/>
            <w:gridSpan w:val="2"/>
            <w:vMerge/>
          </w:tcPr>
          <w:p/>
        </w:tc>
        <w:tc>
          <w:tcPr>
            <w:tcW w:type="dxa" w:w="2307"/>
          </w:tcPr>
          <w:p>
            <w:pPr>
              <w:pStyle w:val="null3"/>
              <w:jc w:val="left"/>
            </w:pPr>
            <w:r>
              <w:rPr/>
              <w:t>项目实施方案 (10.0分)</w:t>
            </w:r>
            <w:r>
              <w:rPr/>
              <w:t>，（等次分值选择：</w:t>
            </w:r>
            <w:r>
              <w:rPr/>
              <w:t>0.0;</w:t>
            </w:r>
            <w:r>
              <w:rPr/>
              <w:t>1.0;</w:t>
            </w:r>
            <w:r>
              <w:rPr/>
              <w:t>5.0;</w:t>
            </w:r>
            <w:r>
              <w:rPr/>
              <w:t>10.0;</w:t>
            </w:r>
            <w:r>
              <w:rPr/>
              <w:t>）</w:t>
            </w:r>
          </w:p>
        </w:tc>
        <w:tc>
          <w:tcPr>
            <w:tcW w:type="dxa" w:w="5076"/>
          </w:tcPr>
          <w:p>
            <w:pPr>
              <w:pStyle w:val="null3"/>
              <w:jc w:val="left"/>
            </w:pPr>
            <w:r>
              <w:rPr/>
              <w:t>根据投标人提供的项目实施方案（包括但不限于供货方案、产品培训、实施能力方案）详细内容进行综合评审： （1）项目实施方案对需求响应全面具体、针对项目全部重点难点全面剖析，能针对全部重点难点提出科学合理、可直接执行的实施方案，有效保障本项目实施，有利于实现服务效果，得10分； （2）项目实施方案对需求响应全面具体，针对部分重点难点全面剖析，只针对部分重点难点提出科学合理，具备一定执行性的实施方案，能基本保障本项目服务实施，基本满足服务效果，得5分； （3）项目实施方案对需求响应不全面，只针对部分重点难点剖析，提出方案合理性不足、难以执行的，无法保障本项目服务实施，达不到服务效果，得1分； （4）其他情况或无相关内容不得分。</w:t>
            </w:r>
          </w:p>
        </w:tc>
      </w:tr>
      <w:tr>
        <w:tc>
          <w:tcPr>
            <w:tcW w:type="dxa" w:w="922"/>
            <w:gridSpan w:val="2"/>
            <w:vMerge/>
          </w:tcPr>
          <w:p/>
        </w:tc>
        <w:tc>
          <w:tcPr>
            <w:tcW w:type="dxa" w:w="2307"/>
          </w:tcPr>
          <w:p>
            <w:pPr>
              <w:pStyle w:val="null3"/>
              <w:jc w:val="left"/>
            </w:pPr>
            <w:r>
              <w:rPr/>
              <w:t>售后服务方案 (15.0分)</w:t>
            </w:r>
            <w:r>
              <w:rPr/>
              <w:t>，（等次分值选择：</w:t>
            </w:r>
            <w:r>
              <w:rPr/>
              <w:t>0.0;</w:t>
            </w:r>
            <w:r>
              <w:rPr/>
              <w:t>1.0;</w:t>
            </w:r>
            <w:r>
              <w:rPr/>
              <w:t>8.0;</w:t>
            </w:r>
            <w:r>
              <w:rPr/>
              <w:t>15.0;</w:t>
            </w:r>
            <w:r>
              <w:rPr/>
              <w:t>）</w:t>
            </w:r>
          </w:p>
        </w:tc>
        <w:tc>
          <w:tcPr>
            <w:tcW w:type="dxa" w:w="5076"/>
          </w:tcPr>
          <w:p>
            <w:pPr>
              <w:pStyle w:val="null3"/>
              <w:jc w:val="left"/>
            </w:pPr>
            <w:r>
              <w:rPr/>
              <w:t>根据投标人提供的售后服务方案（包括但不限于维保服务范围、服务能力、服务标准、维护保养及应急维修时间安排、售后服务承诺和技术力量方面等）进行评审： （1）有提供售后服务方案，方案内容完整、详细，服务支持能力全面且专业，应急措施科学合理，有效保障本项目实施，有利于实现服务效果，得15分； （2）有提供售后服务方案，但方案内容有缺漏，服务支持能力有欠缺但具有专业性，应急措施具备一定的可行性，能基本保障本项目服务实施，基本满足服务效果，得8分； （3）有提供售后服务方案，但方案内容不科学或不合理，服务支持能力不专业，应急措施执行难度大，无法保障本项目服务实施，达不到服务效果，得1分； （4）其他情况或无相关内容不得分。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投标人自2021年1月1日至今，完成同类项目业绩情况，每提供一项得2分，最高得10分。 注:须同时提供合同复印件、验收报告复印件(须包含供货清单)作为证明材料，无提供证明材料或评审专家无法认定的不得分。</w:t>
            </w:r>
          </w:p>
        </w:tc>
      </w:tr>
      <w:tr>
        <w:tc>
          <w:tcPr>
            <w:tcW w:type="dxa" w:w="922"/>
            <w:gridSpan w:val="2"/>
            <w:vMerge/>
          </w:tcPr>
          <w:p/>
        </w:tc>
        <w:tc>
          <w:tcPr>
            <w:tcW w:type="dxa" w:w="2307"/>
          </w:tcPr>
          <w:p>
            <w:pPr>
              <w:pStyle w:val="null3"/>
              <w:jc w:val="left"/>
            </w:pPr>
            <w:r>
              <w:rPr/>
              <w:t>满意度评价 (5.0分)</w:t>
            </w:r>
          </w:p>
        </w:tc>
        <w:tc>
          <w:tcPr>
            <w:tcW w:type="dxa" w:w="5076"/>
          </w:tcPr>
          <w:p>
            <w:pPr>
              <w:pStyle w:val="null3"/>
              <w:jc w:val="left"/>
            </w:pPr>
            <w:r>
              <w:rPr/>
              <w:t>满足上述“同类项目业绩”要求的有效业绩，获得客户满意度评价为满意或优或百分制得分为90分（及以上）或同等评价的，每提供一个得1分，最高得5分。 注：提供客户满意度评价证明材料（须含甲方盖章），不提供不得分。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采购包3(教学软件升级采购项目——智能学情分析系统):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一般技术参数的响应情况 (44.0分)</w:t>
            </w:r>
          </w:p>
        </w:tc>
        <w:tc>
          <w:tcPr>
            <w:tcW w:type="dxa" w:w="5076"/>
          </w:tcPr>
          <w:p>
            <w:pPr>
              <w:pStyle w:val="null3"/>
              <w:jc w:val="left"/>
            </w:pPr>
            <w:r>
              <w:rPr/>
              <w:t>根据投标人对“第二章 采购需求” 采购包3【具体技术(参数)要求】中的一般技术参数要求的（不含带“▲”及“★”条款）的响应情况进行评分。每满足或完全响应或正偏离或无偏离一项得1分，最高得44分；本采购包一般技术参数共44条。 注：如【具体技术(参数)要求】中有明确要求提供证明资料的，以【具体技术(参数)要求】中的要求为准；如【具体技术(参数)要求】中未明确要求提供证明材料的，以投标人响应情况为准。</w:t>
            </w:r>
          </w:p>
        </w:tc>
      </w:tr>
      <w:tr>
        <w:tc>
          <w:tcPr>
            <w:tcW w:type="dxa" w:w="922"/>
            <w:gridSpan w:val="2"/>
            <w:vMerge/>
          </w:tcPr>
          <w:p/>
        </w:tc>
        <w:tc>
          <w:tcPr>
            <w:tcW w:type="dxa" w:w="2307"/>
          </w:tcPr>
          <w:p>
            <w:pPr>
              <w:pStyle w:val="null3"/>
              <w:jc w:val="left"/>
            </w:pPr>
            <w:r>
              <w:rPr/>
              <w:t>项目实施方案 (8.0分)</w:t>
            </w:r>
            <w:r>
              <w:rPr/>
              <w:t>，（等次分值选择：</w:t>
            </w:r>
            <w:r>
              <w:rPr/>
              <w:t>0.0;</w:t>
            </w:r>
            <w:r>
              <w:rPr/>
              <w:t>2.0;</w:t>
            </w:r>
            <w:r>
              <w:rPr/>
              <w:t>5.0;</w:t>
            </w:r>
            <w:r>
              <w:rPr/>
              <w:t>8.0;</w:t>
            </w:r>
            <w:r>
              <w:rPr/>
              <w:t>）</w:t>
            </w:r>
          </w:p>
        </w:tc>
        <w:tc>
          <w:tcPr>
            <w:tcW w:type="dxa" w:w="5076"/>
          </w:tcPr>
          <w:p>
            <w:pPr>
              <w:pStyle w:val="null3"/>
              <w:jc w:val="left"/>
            </w:pPr>
            <w:r>
              <w:rPr/>
              <w:t>根据投标人提供的项目实施方案（包括但不限于供货方案、产品培训、实施能力方案）详细内容进行综合评审： （1）项目实施方案对需求响应全面具体、针对项目全部重点难点全面剖析，能针对全部重点难点提出科学合理、可直接执行的实施方案，有效保障本项目实施，有利于实现服务效果，得8分； （2）项目实施方案对需求响应全面具体，针对部分重点难点全面剖析，只针对部分重点难点提出科学合理，具备一定执行性的实施方案，能基本保障本项目服务实施，基本满足服务效果，得5分； （3）项目实施方案对需求响应不全面，只针对部分重点难点剖析，提出方案合理性不足、难以执行的，无法保障本项目服务实施，达不到服务效果，得2分； （4）其他情况或无相关内容不得分。</w:t>
            </w:r>
          </w:p>
        </w:tc>
      </w:tr>
      <w:tr>
        <w:tc>
          <w:tcPr>
            <w:tcW w:type="dxa" w:w="922"/>
            <w:gridSpan w:val="2"/>
            <w:vMerge/>
          </w:tcPr>
          <w:p/>
        </w:tc>
        <w:tc>
          <w:tcPr>
            <w:tcW w:type="dxa" w:w="2307"/>
          </w:tcPr>
          <w:p>
            <w:pPr>
              <w:pStyle w:val="null3"/>
              <w:jc w:val="left"/>
            </w:pPr>
            <w:r>
              <w:rPr/>
              <w:t>售后服务方案 (8.0分)</w:t>
            </w:r>
            <w:r>
              <w:rPr/>
              <w:t>，（等次分值选择：</w:t>
            </w:r>
            <w:r>
              <w:rPr/>
              <w:t>0.0;</w:t>
            </w:r>
            <w:r>
              <w:rPr/>
              <w:t>2.0;</w:t>
            </w:r>
            <w:r>
              <w:rPr/>
              <w:t>5.0;</w:t>
            </w:r>
            <w:r>
              <w:rPr/>
              <w:t>8.0;</w:t>
            </w:r>
            <w:r>
              <w:rPr/>
              <w:t>）</w:t>
            </w:r>
          </w:p>
        </w:tc>
        <w:tc>
          <w:tcPr>
            <w:tcW w:type="dxa" w:w="5076"/>
          </w:tcPr>
          <w:p>
            <w:pPr>
              <w:pStyle w:val="null3"/>
              <w:jc w:val="left"/>
            </w:pPr>
            <w:r>
              <w:rPr/>
              <w:t>根据投标人提供的售后服务方案（包括但不限于维保服务范围、服务能力、服务标准、维护保养及应急维修时间安排、售后服务承诺和技术力量方面等）进行评审： （1）有提供售后服务方案，方案内容完整、详细，服务支持能力全面且专业，应急措施科学合理，有效保障本项目实施，有利于实现服务效果，得8分； （2）有提供售后服务方案，但方案内容有缺漏，服务支持能力有欠缺但具有专业性，应急措施具备一定的可行性，能基本保障本项目服务实施，基本满足服务效果，得5分； （3）有提供售后服务方案，但方案内容不科学或不合理，服务支持能力不专业，应急措施执行难度大，无法保障本项目服务实施，达不到服务效果，得2分； （4）其他情况或无相关内容不得分。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投标人自2021年1月1日至今，完成同类项目业绩情况，每提供一项得1分，最高得5分。 注:须同时提供合同复印件、验收报告复印件(须包含供货清单)作为证明材料，无提供证明材料或评审专家无法认定的不得分。</w:t>
            </w:r>
          </w:p>
        </w:tc>
      </w:tr>
      <w:tr>
        <w:tc>
          <w:tcPr>
            <w:tcW w:type="dxa" w:w="922"/>
            <w:gridSpan w:val="2"/>
            <w:vMerge/>
          </w:tcPr>
          <w:p/>
        </w:tc>
        <w:tc>
          <w:tcPr>
            <w:tcW w:type="dxa" w:w="2307"/>
          </w:tcPr>
          <w:p>
            <w:pPr>
              <w:pStyle w:val="null3"/>
              <w:jc w:val="left"/>
            </w:pPr>
            <w:r>
              <w:rPr/>
              <w:t>满意度评价 (5.0分)</w:t>
            </w:r>
          </w:p>
        </w:tc>
        <w:tc>
          <w:tcPr>
            <w:tcW w:type="dxa" w:w="5076"/>
          </w:tcPr>
          <w:p>
            <w:pPr>
              <w:pStyle w:val="null3"/>
              <w:jc w:val="left"/>
            </w:pPr>
            <w:r>
              <w:rPr/>
              <w:t>满足上述“同类项目业绩”要求的有效业绩，获得客户满意度评价为满意或优或百分制得分为90分（及以上）或同等评价的，每提供一个得1分，最高得5分。 注：提供客户满意度评价证明材料（须含甲方盖章），不提供不得分。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合同编号：</w:t>
      </w:r>
    </w:p>
    <w:p>
      <w:pPr>
        <w:pStyle w:val="null3"/>
        <w:spacing w:before="405" w:after="405"/>
        <w:jc w:val="center"/>
      </w:pPr>
      <w:r>
        <w:rPr>
          <w:sz w:val="30"/>
          <w:b/>
        </w:rPr>
        <w:t>五邑大学仪器设备政府采购合同</w:t>
      </w:r>
    </w:p>
    <w:p>
      <w:pPr>
        <w:pStyle w:val="null3"/>
        <w:jc w:val="both"/>
      </w:pPr>
      <w:r>
        <w:rPr>
          <w:b/>
        </w:rPr>
        <w:t>甲方：五邑大学</w:t>
      </w:r>
    </w:p>
    <w:p>
      <w:pPr>
        <w:pStyle w:val="null3"/>
        <w:jc w:val="both"/>
      </w:pPr>
      <w:r>
        <w:rPr>
          <w:b/>
        </w:rPr>
        <w:t>乙方：</w:t>
      </w:r>
    </w:p>
    <w:p>
      <w:pPr>
        <w:pStyle w:val="null3"/>
        <w:ind w:firstLine="420"/>
        <w:jc w:val="both"/>
      </w:pPr>
      <w:r>
        <w:rPr/>
        <w:t>甲乙双方根据《中华人民共和国民法典》和《中华人民共和国政府采购法》等有关法律法规的规定，按照五邑大学</w:t>
      </w:r>
      <w:r>
        <w:rPr>
          <w:u w:val="single"/>
        </w:rPr>
        <w:t xml:space="preserve">       </w:t>
      </w:r>
      <w:r>
        <w:rPr/>
        <w:t>项目</w:t>
      </w:r>
      <w:r>
        <w:rPr>
          <w:u w:val="single"/>
        </w:rPr>
        <w:t xml:space="preserve">                          </w:t>
      </w:r>
      <w:r>
        <w:rPr/>
        <w:t>的中标结果、招标文件、中标供应商的投标文件及</w:t>
      </w:r>
      <w:r>
        <w:rPr>
          <w:u w:val="single"/>
        </w:rPr>
        <w:t xml:space="preserve">          </w:t>
      </w:r>
      <w:r>
        <w:rPr/>
        <w:t>发出的中标通知书的要求，经双方协商一致，订立合同如下：</w:t>
      </w:r>
    </w:p>
    <w:p>
      <w:pPr>
        <w:pStyle w:val="null3"/>
        <w:ind w:firstLine="482"/>
        <w:jc w:val="both"/>
      </w:pPr>
      <w:r>
        <w:rPr>
          <w:b/>
        </w:rPr>
        <w:t>第一条  项目的名称、合同总价和项目货物的清单（名称、数量、规格、单价、型号、品牌和技术指标等）</w:t>
      </w:r>
    </w:p>
    <w:p>
      <w:pPr>
        <w:pStyle w:val="null3"/>
        <w:ind w:firstLine="480"/>
      </w:pPr>
      <w:r>
        <w:rPr/>
        <w:t>1.项目名称：</w:t>
      </w:r>
      <w:r>
        <w:rPr>
          <w:u w:val="single"/>
        </w:rPr>
        <w:t xml:space="preserve">     </w:t>
      </w:r>
      <w:r>
        <w:rPr>
          <w:b/>
          <w:u w:val="single"/>
        </w:rPr>
        <w:t xml:space="preserve">     </w:t>
      </w:r>
    </w:p>
    <w:p>
      <w:pPr>
        <w:pStyle w:val="null3"/>
        <w:ind w:firstLine="480"/>
      </w:pPr>
      <w:r>
        <w:rPr/>
        <w:t xml:space="preserve">2.设备名称：          </w:t>
      </w:r>
    </w:p>
    <w:p>
      <w:pPr>
        <w:pStyle w:val="null3"/>
        <w:ind w:left="480"/>
        <w:jc w:val="both"/>
      </w:pPr>
      <w:r>
        <w:rPr/>
        <w:t>3.合同总价为人民币</w:t>
      </w:r>
      <w:r>
        <w:rPr>
          <w:b/>
          <w:u w:val="single"/>
        </w:rPr>
        <w:t xml:space="preserve">¥         </w:t>
      </w:r>
      <w:r>
        <w:rPr/>
        <w:t>元（大写：</w:t>
      </w:r>
      <w:r>
        <w:rPr>
          <w:b/>
          <w:u w:val="single"/>
        </w:rPr>
        <w:t xml:space="preserve">         </w:t>
      </w:r>
      <w:r>
        <w:rPr/>
        <w:t>）</w:t>
      </w:r>
    </w:p>
    <w:p>
      <w:pPr>
        <w:pStyle w:val="null3"/>
        <w:ind w:firstLine="480"/>
        <w:jc w:val="both"/>
      </w:pPr>
      <w:r>
        <w:rPr/>
        <w:t>合同总价是完成项目的含税全包价，包括但不限于货物的设计，制造、包装、仓储、运输、保险以及乙方进行的安装、调试、试运行、验收、培训、技术服务（包括技术资料、图纸的提供）、质保期间保障服务等的全部费用。所有价格变动的风险均由乙方承担。甲方不需再向乙方支付任何其他费用。</w:t>
      </w:r>
    </w:p>
    <w:p>
      <w:pPr>
        <w:pStyle w:val="null3"/>
        <w:ind w:firstLine="480"/>
        <w:jc w:val="both"/>
      </w:pPr>
      <w:r>
        <w:rPr/>
        <w:t>货物清单、主要技术参数、保修服务表和培训计划请见附件1、附件2、附件3和附件4。</w:t>
      </w:r>
    </w:p>
    <w:p>
      <w:pPr>
        <w:pStyle w:val="null3"/>
        <w:ind w:firstLine="480"/>
      </w:pPr>
      <w:r>
        <w:rPr/>
        <w:t>4.安全责任：本项目安全措施由乙方制定方案及组织实施，并承担全部安全责任，甲方不负责任何伤亡、劳保福利以及施工中材料被盗等责任。乙方制定的安全措施方案应提交一份至甲方留存备案，且甲方有权监督乙方组织实施情况。</w:t>
      </w:r>
    </w:p>
    <w:p>
      <w:pPr>
        <w:pStyle w:val="null3"/>
        <w:ind w:firstLine="480"/>
      </w:pPr>
      <w:r>
        <w:rPr/>
        <w:t>5.消防责任：本项目消防措施由乙方制定方案及组织实施，严格按照消防法的规定进行操作，需用的水电由甲方协助提供，需用电源必须由乙方派有资质的电工按规范拉接，不允许乙方的施工人员乱拉乱接。凡在施工期间因乙方过失引起的火灾事故应由乙方负责，所造成的经济损失由乙方负责全额赔偿。乙方制定的消防措施方案应提交一份至甲方留存备案，且甲方有权监督乙方组织实施情况。</w:t>
      </w:r>
    </w:p>
    <w:p>
      <w:pPr>
        <w:pStyle w:val="null3"/>
        <w:ind w:firstLine="480"/>
      </w:pPr>
      <w:r>
        <w:rPr/>
        <w:t>6.本项目由乙方负责第三方检测及办证的有关事宜，合同如未明确则按行业标准或惯例，如涉及费用由乙方进行支付。</w:t>
      </w:r>
    </w:p>
    <w:p>
      <w:pPr>
        <w:pStyle w:val="null3"/>
        <w:ind w:firstLine="482"/>
        <w:jc w:val="both"/>
      </w:pPr>
      <w:r>
        <w:rPr>
          <w:b/>
        </w:rPr>
        <w:t>第二条  货物质量要求及乙方对质量负责的条件和期限</w:t>
      </w:r>
    </w:p>
    <w:p>
      <w:pPr>
        <w:pStyle w:val="null3"/>
        <w:ind w:firstLine="480"/>
      </w:pPr>
      <w:r>
        <w:rPr/>
        <w:t>1.乙方提供的货物必须符合中华人民共和国国家质量、安全、环保等标准（若有国家标准的，以行业最高标准为本合同履行标准）以及该产品的出厂标准。</w:t>
      </w:r>
    </w:p>
    <w:p>
      <w:pPr>
        <w:pStyle w:val="null3"/>
        <w:ind w:firstLine="480"/>
      </w:pPr>
      <w:r>
        <w:rPr/>
        <w:t>2.知识产权和专利权：</w:t>
      </w:r>
    </w:p>
    <w:p>
      <w:pPr>
        <w:pStyle w:val="null3"/>
        <w:ind w:left="480"/>
        <w:jc w:val="both"/>
      </w:pPr>
      <w:r>
        <w:rPr/>
        <w:t>（1）乙方提供的货物必须是无知识产权争议，且全新的产品（含零部件、配件、随机工具等），表面无划损、无碰撞、无任何缺陷隐患、无其他侵权行为，在中国境内可依常规安全合法使用。</w:t>
      </w:r>
    </w:p>
    <w:p>
      <w:pPr>
        <w:pStyle w:val="null3"/>
        <w:ind w:left="480"/>
        <w:jc w:val="both"/>
      </w:pPr>
      <w:r>
        <w:rPr/>
        <w:t>（2）乙方应保证甲方在中华人民共和国使用货物或其任何一部分时，如有第三方向甲方提出侵犯专利权、商标权或者其他知识产权的主张，因此产生的法律责任、赔偿责任由乙方承担；因此给甲方造成损失的，乙方应赔偿甲方全部损失。</w:t>
      </w:r>
    </w:p>
    <w:p>
      <w:pPr>
        <w:pStyle w:val="null3"/>
        <w:ind w:left="480"/>
        <w:jc w:val="both"/>
      </w:pPr>
      <w:r>
        <w:rPr/>
        <w:t>（3）乙方应于售出货物前向所有权人支付专利权、商标权或其他知识产权的有关费用及税费。</w:t>
      </w:r>
    </w:p>
    <w:p>
      <w:pPr>
        <w:pStyle w:val="null3"/>
        <w:ind w:left="480"/>
        <w:jc w:val="both"/>
      </w:pPr>
      <w:r>
        <w:rPr/>
        <w:t>3.保密：</w:t>
      </w:r>
    </w:p>
    <w:p>
      <w:pPr>
        <w:pStyle w:val="null3"/>
        <w:ind w:left="480"/>
        <w:jc w:val="both"/>
      </w:pPr>
      <w:r>
        <w:rPr/>
        <w:t>（1）如甲方向乙方提供图纸、详细资料、样品、模型和所有其他资料，这些均视为保密资料，仅被用于经甲方允许的用途，除非得到甲方的同意，乙方不能向任何第三方泄露以上资料或者利用以上资料牟利。</w:t>
      </w:r>
    </w:p>
    <w:p>
      <w:pPr>
        <w:pStyle w:val="null3"/>
      </w:pPr>
      <w:r>
        <w:rPr/>
        <w:t>（2）如乙方收集甲方单位的个人信息类型应当与实际产品或服务的业务功能有直接关联，并严格按照国家相关法律法规要求对采集到的个人信息进行保护。在本合同期满、解除或者终止后的10个工作日内，乙方根据甲方的要求及时删除采集到的甲方单位的个人信息。</w:t>
      </w:r>
    </w:p>
    <w:p>
      <w:pPr>
        <w:pStyle w:val="null3"/>
        <w:ind w:firstLine="480"/>
      </w:pPr>
      <w:r>
        <w:rPr/>
        <w:t>4.本项目由乙方负责第三方检测及办证的有关事宜，检测和办证标准如未明确则按行业标准或行业惯例，所有费用均由乙方承担。</w:t>
      </w:r>
    </w:p>
    <w:p>
      <w:pPr>
        <w:pStyle w:val="null3"/>
        <w:ind w:firstLine="480"/>
      </w:pPr>
      <w:r>
        <w:rPr/>
        <w:t>5.货物进场后甲方有权提出对存在疑问的货物进行现场抽样送检，检测项目含材料的成分、组分及相关性能指标等，检测费用由乙方承担。</w:t>
      </w:r>
    </w:p>
    <w:p>
      <w:pPr>
        <w:pStyle w:val="null3"/>
        <w:ind w:firstLine="480"/>
      </w:pPr>
      <w:r>
        <w:rPr/>
        <w:t>6.质保期内如货物非因甲方的人为原因而出现的问题由乙方负责包修、包换或包退，并承担维修、更换或退货的所有费用。乙方拒绝或者未在甲方指定期限内维修、更换或退货的，均按违约处理。</w:t>
      </w:r>
    </w:p>
    <w:p>
      <w:pPr>
        <w:pStyle w:val="null3"/>
        <w:ind w:firstLine="482"/>
        <w:jc w:val="both"/>
      </w:pPr>
      <w:r>
        <w:rPr>
          <w:b/>
        </w:rPr>
        <w:t>第三条  货物的交付、开箱检验及验收</w:t>
      </w:r>
    </w:p>
    <w:p>
      <w:pPr>
        <w:pStyle w:val="null3"/>
        <w:ind w:firstLine="480"/>
      </w:pPr>
      <w:r>
        <w:rPr/>
        <w:t>1.交货时间：</w:t>
      </w:r>
      <w:r>
        <w:rPr>
          <w:u w:val="single"/>
        </w:rPr>
        <w:t>合同生效后    日历日内完成交付合格的货物（包括：货物的安装、调试和向甲方职能部门提交认可的完整的验收申请资料）</w:t>
      </w:r>
      <w:r>
        <w:rPr/>
        <w:t>。</w:t>
      </w:r>
    </w:p>
    <w:p>
      <w:pPr>
        <w:pStyle w:val="null3"/>
        <w:ind w:firstLine="480"/>
      </w:pPr>
      <w:r>
        <w:rPr/>
        <w:t>2.国内产品或合资厂的产品必须具备出厂合格证，国外产品必须提供相关材料证明产品系合法进口且已经按照我国相关法律法规缴纳进口税费。</w:t>
      </w:r>
    </w:p>
    <w:p>
      <w:pPr>
        <w:pStyle w:val="null3"/>
        <w:ind w:firstLine="480"/>
      </w:pPr>
      <w:r>
        <w:rPr/>
        <w:t>3.交货地点：</w:t>
      </w:r>
      <w:r>
        <w:rPr>
          <w:u w:val="single"/>
        </w:rPr>
        <w:t>五邑大学内指定地点。</w:t>
      </w:r>
    </w:p>
    <w:p>
      <w:pPr>
        <w:pStyle w:val="null3"/>
        <w:ind w:firstLine="480"/>
      </w:pPr>
      <w:r>
        <w:rPr/>
        <w:t>4.乙方应将关键主机设备的用户手册、保修手册、有关单证资料及配备件、随机工具等一并交付给甲方，使用操作及安全须知等重要资料应附有中文说明。甲方对货物交付有特殊要求的，乙方在交付货物时还应当满足甲方的相应要求。</w:t>
      </w:r>
    </w:p>
    <w:p>
      <w:pPr>
        <w:pStyle w:val="null3"/>
        <w:ind w:firstLine="480"/>
      </w:pPr>
      <w:r>
        <w:rPr/>
        <w:t>5.货物的验收：</w:t>
      </w:r>
    </w:p>
    <w:p>
      <w:pPr>
        <w:pStyle w:val="null3"/>
        <w:ind w:firstLine="480"/>
        <w:jc w:val="both"/>
      </w:pPr>
      <w:r>
        <w:rPr/>
        <w:t>（1）货物为原厂商未启封全新包装，出厂合格证、序列号、包装箱号与出厂批号须一致，并可追索查阅。全部货物送到甲方指定场地后，甲、乙双方同时在场才能开封验货，甲方就货物质量、型号、规格和数量进行初步开箱验收，如果发现货物的包装损坏、不符合包装要求或设备的质量、型号、规格和数量等与合同不符，甲方有权拒收货物，乙方应在合同约定的交货时间内按照合同要求及时进行第二次交货处理并通过验收，否则按违约处理，甲方有权解除采购合同并上报主管部门，相关损失由乙方自行承担。</w:t>
      </w:r>
    </w:p>
    <w:p>
      <w:pPr>
        <w:pStyle w:val="null3"/>
        <w:ind w:firstLine="480"/>
        <w:jc w:val="both"/>
      </w:pPr>
      <w:r>
        <w:rPr/>
        <w:t>（2）设备安装及调试完成后，经初步培训，甲方相关操作人员掌握仪器的具体操作后</w:t>
      </w:r>
      <w:r>
        <w:rPr>
          <w:u w:val="single"/>
        </w:rPr>
        <w:t xml:space="preserve"> ** </w:t>
      </w:r>
      <w:r>
        <w:rPr/>
        <w:t>个工作日内（如遇寒暑假，时间顺延），由甲方组织验收小组进行验收，项目验收合格后，出具有效的验收报告。</w:t>
      </w:r>
    </w:p>
    <w:p>
      <w:pPr>
        <w:pStyle w:val="null3"/>
        <w:ind w:firstLine="480"/>
        <w:jc w:val="both"/>
      </w:pPr>
      <w:r>
        <w:rPr/>
        <w:t>（3）其他验收细则以乙方在投标文件中提供的设备技术资料及双方签订的合同条款为准。（验收时需要对每一条参数进行逐一验证，并提供验证佐证材料作为验收资料）。</w:t>
      </w:r>
    </w:p>
    <w:p>
      <w:pPr>
        <w:pStyle w:val="null3"/>
        <w:ind w:firstLine="482"/>
        <w:jc w:val="both"/>
      </w:pPr>
      <w:r>
        <w:rPr>
          <w:b/>
        </w:rPr>
        <w:t>第四条  付款方式</w:t>
      </w:r>
    </w:p>
    <w:p>
      <w:pPr>
        <w:pStyle w:val="null3"/>
        <w:ind w:left="420"/>
        <w:jc w:val="both"/>
      </w:pPr>
      <w:r>
        <w:rPr/>
        <w:t>（1）合同签订生效后***个工作日内（不含审批时间）甲方完成办理合同总金额30%的货款（人民币大写：</w:t>
      </w:r>
      <w:r>
        <w:rPr>
          <w:u w:val="single"/>
        </w:rPr>
        <w:t xml:space="preserve">           </w:t>
      </w:r>
      <w:r>
        <w:rPr/>
        <w:t>；小写：¥</w:t>
      </w:r>
      <w:r>
        <w:rPr>
          <w:u w:val="single"/>
        </w:rPr>
        <w:t xml:space="preserve">          </w:t>
      </w:r>
      <w:r>
        <w:rPr/>
        <w:t>元）的支付手续。</w:t>
      </w:r>
    </w:p>
    <w:p>
      <w:pPr>
        <w:pStyle w:val="null3"/>
        <w:ind w:left="480"/>
        <w:jc w:val="both"/>
      </w:pPr>
      <w:r>
        <w:rPr/>
        <w:t>（2）验收合格后，乙方按合同总金额向甲方开具符合合同类型要求的增值税专用发票和提供由甲方认可的验收报告。货物验收合格和甲方收到前述发票、验收报告后***个工作日（不含审批时间）内甲方完成办理合同总金额70%的货款（人民币大写：</w:t>
      </w:r>
      <w:r>
        <w:rPr>
          <w:u w:val="single"/>
        </w:rPr>
        <w:t xml:space="preserve">            </w:t>
      </w:r>
      <w:r>
        <w:rPr/>
        <w:t>；小写：¥</w:t>
      </w:r>
      <w:r>
        <w:rPr>
          <w:u w:val="single"/>
        </w:rPr>
        <w:t xml:space="preserve">            </w:t>
      </w:r>
      <w:r>
        <w:rPr/>
        <w:t>元）的支付手续。</w:t>
      </w:r>
    </w:p>
    <w:p>
      <w:pPr>
        <w:pStyle w:val="null3"/>
        <w:ind w:firstLine="480"/>
        <w:jc w:val="both"/>
      </w:pPr>
      <w:r>
        <w:rPr/>
        <w:t>因甲方使用的是财政性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left="480"/>
        <w:jc w:val="both"/>
      </w:pPr>
      <w:r>
        <w:rPr/>
        <w:t>（3）结算方式：银行转账</w:t>
      </w:r>
    </w:p>
    <w:p>
      <w:pPr>
        <w:pStyle w:val="null3"/>
        <w:ind w:right="-60" w:firstLine="480"/>
        <w:jc w:val="both"/>
      </w:pPr>
      <w:r>
        <w:rPr/>
        <w:t>乙方户名：</w:t>
      </w:r>
    </w:p>
    <w:p>
      <w:pPr>
        <w:pStyle w:val="null3"/>
        <w:ind w:right="-60" w:firstLine="480"/>
        <w:jc w:val="both"/>
      </w:pPr>
      <w:r>
        <w:rPr/>
        <w:t>开户银行：</w:t>
      </w:r>
    </w:p>
    <w:p>
      <w:pPr>
        <w:pStyle w:val="null3"/>
        <w:ind w:right="105" w:firstLine="480"/>
        <w:jc w:val="both"/>
      </w:pPr>
      <w:r>
        <w:rPr/>
        <w:t>帐　　号：</w:t>
      </w:r>
    </w:p>
    <w:p>
      <w:pPr>
        <w:pStyle w:val="null3"/>
        <w:ind w:firstLine="482"/>
        <w:jc w:val="both"/>
      </w:pPr>
      <w:r>
        <w:rPr>
          <w:b/>
        </w:rPr>
        <w:t>第五条  货物的保修与售后服务</w:t>
      </w:r>
    </w:p>
    <w:p>
      <w:pPr>
        <w:pStyle w:val="null3"/>
        <w:ind w:left="480"/>
        <w:jc w:val="both"/>
      </w:pPr>
      <w:r>
        <w:rPr>
          <w:b/>
        </w:rPr>
        <w:t>1.......（根据招投标文件内容约定）</w:t>
      </w:r>
    </w:p>
    <w:p>
      <w:pPr>
        <w:pStyle w:val="null3"/>
        <w:ind w:left="480"/>
        <w:jc w:val="both"/>
      </w:pPr>
      <w:r>
        <w:rPr>
          <w:b/>
        </w:rPr>
        <w:t>2.......（根据招投标文件内容约定）</w:t>
      </w:r>
    </w:p>
    <w:p>
      <w:pPr>
        <w:pStyle w:val="null3"/>
        <w:ind w:left="480"/>
        <w:jc w:val="both"/>
      </w:pPr>
      <w:r>
        <w:rPr>
          <w:b/>
        </w:rPr>
        <w:t>3.......（根据招投标文件内容约定）</w:t>
      </w:r>
    </w:p>
    <w:p>
      <w:pPr>
        <w:pStyle w:val="null3"/>
        <w:ind w:left="480"/>
        <w:jc w:val="both"/>
      </w:pPr>
      <w:r>
        <w:rPr>
          <w:b/>
        </w:rPr>
        <w:t>4.......（根据招投标文件内容约定）</w:t>
      </w:r>
    </w:p>
    <w:p>
      <w:pPr>
        <w:pStyle w:val="null3"/>
        <w:ind w:left="480"/>
        <w:jc w:val="both"/>
      </w:pPr>
      <w:r>
        <w:rPr/>
        <w:t>5.质保期内乙方负责所有因货物质量问题而产生的费用。</w:t>
      </w:r>
    </w:p>
    <w:p>
      <w:pPr>
        <w:pStyle w:val="null3"/>
        <w:ind w:left="480"/>
        <w:jc w:val="both"/>
      </w:pPr>
      <w:r>
        <w:rPr/>
        <w:t>6.乙方提供终身售后服务，无论质保期内或质保期外，乙方均需提供上门维修服务，即由乙方派遣专门技术人员到甲方设备使用现场维修。对于质保期内由此产生的一切费用均由乙方承担，对于质保期外的设备维修，乙方仅收取损坏部分的成本材料费。</w:t>
      </w:r>
    </w:p>
    <w:p>
      <w:pPr>
        <w:pStyle w:val="null3"/>
        <w:ind w:left="480"/>
        <w:jc w:val="both"/>
      </w:pPr>
      <w:r>
        <w:rPr/>
        <w:t>7.质保期内乙方售后服务部门将提供每年不低于四次（含本数）的电话回访和二次现场设备检修服务。</w:t>
      </w:r>
    </w:p>
    <w:p>
      <w:pPr>
        <w:pStyle w:val="null3"/>
        <w:ind w:left="480"/>
        <w:jc w:val="both"/>
      </w:pPr>
      <w:r>
        <w:rPr/>
        <w:t>8.质保期后乙方无偿提供终身技术服务，软件产品无偿提供终身升级。</w:t>
      </w:r>
    </w:p>
    <w:p>
      <w:pPr>
        <w:pStyle w:val="null3"/>
        <w:ind w:left="480"/>
        <w:jc w:val="both"/>
      </w:pPr>
      <w:r>
        <w:rPr/>
        <w:t>9.乙方在质保期内提供人员培训和技术服务，乙方需为甲方操作人员提供实地设备操作规程、维护培训等服务，讲解产品的基本结构及工作原理，直至操作人员掌握产品的日常使用、维护保养方法，保证操作人员可正确操作使用，并能排除一般故障。</w:t>
      </w:r>
    </w:p>
    <w:p>
      <w:pPr>
        <w:pStyle w:val="null3"/>
        <w:ind w:left="480"/>
        <w:jc w:val="both"/>
      </w:pPr>
      <w:r>
        <w:rPr/>
        <w:t>10.乙方未按合同约定时间和约定标准提供保修服务的，甲方有权向乙方主张合同总价的10%的违约金，并有权自行委托第三方提供甲方所需要的技术支持和维修服务，由此造成的包括但不限于第三方维保费用、甲方其他经济损失等均由乙方承担。</w:t>
      </w:r>
    </w:p>
    <w:p>
      <w:pPr>
        <w:pStyle w:val="null3"/>
        <w:ind w:left="420"/>
        <w:jc w:val="both"/>
      </w:pPr>
      <w:r>
        <w:rPr/>
        <w:t>11.售后服务：</w:t>
      </w:r>
    </w:p>
    <w:tbl>
      <w:tblPr>
        <w:tblW w:w="0" w:type="auto"/>
        <w:tblInd w:type="dxa" w:w="420"/>
        <w:tblBorders>
          <w:top w:val="none" w:color="000000" w:sz="4"/>
          <w:left w:val="none" w:color="000000" w:sz="4"/>
          <w:bottom w:val="none" w:color="000000" w:sz="4"/>
          <w:right w:val="none" w:color="000000" w:sz="4"/>
          <w:insideH w:val="none"/>
          <w:insideV w:val="none"/>
        </w:tblBorders>
      </w:tblPr>
      <w:tblGrid>
        <w:gridCol w:w="4118"/>
        <w:gridCol w:w="4188"/>
      </w:tblGrid>
      <w:tr>
        <w:tc>
          <w:tcPr>
            <w:tcW w:type="dxa" w:w="4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t>售后服务负责人：</w:t>
            </w:r>
          </w:p>
        </w:tc>
        <w:tc>
          <w:tcPr>
            <w:tcW w:type="dxa" w:w="4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t>联系电话（手机）：</w:t>
            </w:r>
          </w:p>
        </w:tc>
      </w:tr>
      <w:tr>
        <w:tc>
          <w:tcPr>
            <w:tcW w:type="dxa" w:w="4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t>固定电话1：</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t>固定电话2：</w:t>
            </w:r>
          </w:p>
        </w:tc>
      </w:tr>
      <w:tr>
        <w:tc>
          <w:tcPr>
            <w:tcW w:type="dxa" w:w="4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t>微信号：</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t>E-mail：</w:t>
            </w:r>
          </w:p>
        </w:tc>
      </w:tr>
    </w:tbl>
    <w:p>
      <w:pPr>
        <w:pStyle w:val="null3"/>
        <w:ind w:firstLine="482"/>
        <w:jc w:val="both"/>
      </w:pPr>
      <w:r>
        <w:rPr>
          <w:b/>
        </w:rPr>
        <w:t>第六条  违约责任</w:t>
      </w:r>
    </w:p>
    <w:p>
      <w:pPr>
        <w:pStyle w:val="null3"/>
        <w:ind w:left="480"/>
        <w:jc w:val="both"/>
      </w:pPr>
      <w:r>
        <w:rPr/>
        <w:t>1.出现以下任何情形之一的，甲方有权单方面解除本合同，自甲方发出书面解除通知书的第二日起，本合同即可解除，甲方不承担违约责任或赔偿责任，因合同解除而发生的费用由乙方承担。乙方应在合同解除之日起的3日内，一次性退还甲方已支付的所有款项，同时向乙方收取合同总价10%的违约金，违约金不足以弥补甲方损失的（包括但不限于律师费、诉讼费、保全费、担保费、交通费、差旅费、鉴定费等），乙方应另行赔偿：</w:t>
      </w:r>
    </w:p>
    <w:p>
      <w:pPr>
        <w:pStyle w:val="null3"/>
        <w:ind w:firstLine="480"/>
        <w:jc w:val="both"/>
      </w:pPr>
      <w:r>
        <w:rPr/>
        <w:t>（1）乙方拒绝供货或逾期15日交付货物；</w:t>
      </w:r>
    </w:p>
    <w:p>
      <w:pPr>
        <w:pStyle w:val="null3"/>
        <w:ind w:firstLine="480"/>
        <w:jc w:val="both"/>
      </w:pPr>
      <w:r>
        <w:rPr/>
        <w:t>（2）乙方交付的货物不符合合同规定，且甲方拒收的；</w:t>
      </w:r>
    </w:p>
    <w:p>
      <w:pPr>
        <w:pStyle w:val="null3"/>
        <w:ind w:firstLine="480"/>
        <w:jc w:val="both"/>
      </w:pPr>
      <w:r>
        <w:rPr/>
        <w:t>（3）乙方交付的货物经两次及以上验收仍不合格的；</w:t>
      </w:r>
    </w:p>
    <w:p>
      <w:pPr>
        <w:pStyle w:val="null3"/>
        <w:ind w:firstLine="480"/>
        <w:jc w:val="both"/>
      </w:pPr>
      <w:r>
        <w:rPr/>
        <w:t>（4）乙方交付的货物经有关部门鉴定为不合格产品的；</w:t>
      </w:r>
    </w:p>
    <w:p>
      <w:pPr>
        <w:pStyle w:val="null3"/>
        <w:ind w:firstLine="480"/>
        <w:jc w:val="both"/>
      </w:pPr>
      <w:r>
        <w:rPr/>
        <w:t>（5）乙方提供的货物涉及侵犯他人知识产权、肖像权、技术秘密、商业秘密或其他权益纠纷的；</w:t>
      </w:r>
    </w:p>
    <w:p>
      <w:pPr>
        <w:pStyle w:val="null3"/>
        <w:ind w:firstLine="480"/>
        <w:jc w:val="both"/>
      </w:pPr>
      <w:r>
        <w:rPr/>
        <w:t>（6）乙方利用本合同实施损害甲方合法权益行为的。</w:t>
      </w:r>
    </w:p>
    <w:p>
      <w:pPr>
        <w:pStyle w:val="null3"/>
        <w:ind w:firstLine="480"/>
        <w:jc w:val="both"/>
      </w:pPr>
      <w:r>
        <w:rPr/>
        <w:t>（7）乙方不按合同约定履行义务，经甲方提出后，在合理期限内仍不改正的；</w:t>
      </w:r>
    </w:p>
    <w:p>
      <w:pPr>
        <w:pStyle w:val="null3"/>
        <w:ind w:firstLine="480"/>
        <w:jc w:val="both"/>
      </w:pPr>
      <w:r>
        <w:rPr/>
        <w:t>（8）乙方所交货的货物验收不合格，或经维修、退换后仍无法正常使用的，或虽可正常使用但无法达到本合同约定的参数及要求的。</w:t>
      </w:r>
    </w:p>
    <w:p>
      <w:pPr>
        <w:pStyle w:val="null3"/>
        <w:ind w:left="480"/>
        <w:jc w:val="both"/>
      </w:pPr>
      <w:r>
        <w:rPr/>
        <w:t>2.乙方逾期交付货物的，则每逾期一日甲方有权在合同价款中直接扣除合同总价的0.3‰作为违约金，直到交付验收合格货物时止。</w:t>
      </w:r>
    </w:p>
    <w:p>
      <w:pPr>
        <w:pStyle w:val="null3"/>
        <w:ind w:left="480"/>
        <w:jc w:val="both"/>
      </w:pPr>
      <w:r>
        <w:rPr/>
        <w:t>3.甲方逾期付款的，则每逾期一日乙方有权要求甲方按合同总价0.3‰偿付违约金，甲方支付的违约金总额不超过合同总价的5%；在履行合同过程中，因相关部门审核导致的支付延误，甲方无须承担违约责任。</w:t>
      </w:r>
    </w:p>
    <w:p>
      <w:pPr>
        <w:pStyle w:val="null3"/>
        <w:ind w:firstLine="482"/>
        <w:jc w:val="both"/>
      </w:pPr>
      <w:r>
        <w:rPr>
          <w:b/>
        </w:rPr>
        <w:t>第七条  不可抗力</w:t>
      </w:r>
    </w:p>
    <w:p>
      <w:pPr>
        <w:pStyle w:val="null3"/>
        <w:ind w:firstLine="420"/>
        <w:jc w:val="both"/>
      </w:pPr>
      <w:r>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pPr>
        <w:pStyle w:val="null3"/>
        <w:ind w:firstLine="482"/>
        <w:jc w:val="both"/>
      </w:pPr>
      <w:r>
        <w:rPr>
          <w:b/>
        </w:rPr>
        <w:t>第八条  解决争议的办法</w:t>
      </w:r>
    </w:p>
    <w:p>
      <w:pPr>
        <w:pStyle w:val="null3"/>
        <w:ind w:firstLine="360"/>
        <w:jc w:val="both"/>
      </w:pPr>
      <w:r>
        <w:rPr/>
        <w:t>1.本合同在执行期间，如有未尽事宜，由双方另行协商解决，并可以签订补充合同或协议，补充合同或协议与本合同具有同等效力。</w:t>
      </w:r>
    </w:p>
    <w:p>
      <w:pPr>
        <w:pStyle w:val="null3"/>
        <w:ind w:firstLine="360"/>
        <w:jc w:val="both"/>
      </w:pPr>
      <w:r>
        <w:rPr/>
        <w:t>2.若执行本合同的过程中发生纠纷，双方当事人应当及时协商解决；协商不成时，可向甲方所在地有管辖权的人民法院提起诉讼。</w:t>
      </w:r>
    </w:p>
    <w:p>
      <w:pPr>
        <w:pStyle w:val="null3"/>
        <w:ind w:firstLine="360"/>
        <w:jc w:val="both"/>
      </w:pPr>
      <w:r>
        <w:rPr/>
        <w:t>3.甲方为维护本合同合法权益提起诉讼的，乙方应承担甲方为维护权益而支出的律师费、诉讼费、保全费、担保费、执行费等合理费用。</w:t>
      </w:r>
    </w:p>
    <w:p>
      <w:pPr>
        <w:pStyle w:val="null3"/>
        <w:ind w:firstLine="482"/>
        <w:jc w:val="both"/>
      </w:pPr>
      <w:r>
        <w:rPr>
          <w:b/>
        </w:rPr>
        <w:t>第九条  合同生效及终止</w:t>
      </w:r>
    </w:p>
    <w:p>
      <w:pPr>
        <w:pStyle w:val="null3"/>
        <w:ind w:left="480"/>
        <w:jc w:val="both"/>
      </w:pPr>
      <w:r>
        <w:rPr/>
        <w:t>1.本合同自甲乙双方签署之日起生效。本合同</w:t>
      </w:r>
      <w:r>
        <w:rPr>
          <w:u w:val="single"/>
        </w:rPr>
        <w:t>一式陆份，甲方执伍份，乙方执壹份。</w:t>
      </w:r>
    </w:p>
    <w:p>
      <w:pPr>
        <w:pStyle w:val="null3"/>
        <w:ind w:left="480"/>
        <w:jc w:val="both"/>
      </w:pPr>
      <w:r>
        <w:rPr/>
        <w:t>2.本合同所有附件、招标文件（如有）、投标文件（如有）、中标通知书或成交公告（如有）均为合同的有效组成部分，与本合同具有同等法律效力。以上文件约定不一致的，以形成在后的文件约定为准。</w:t>
      </w:r>
    </w:p>
    <w:p>
      <w:pPr>
        <w:pStyle w:val="null3"/>
        <w:ind w:firstLine="482"/>
        <w:jc w:val="both"/>
      </w:pPr>
      <w:r>
        <w:rPr>
          <w:b/>
        </w:rPr>
        <w:t>第十条  监督和管理</w:t>
      </w:r>
    </w:p>
    <w:p>
      <w:pPr>
        <w:pStyle w:val="null3"/>
        <w:ind w:left="420"/>
        <w:jc w:val="both"/>
      </w:pPr>
      <w:r>
        <w:rPr/>
        <w:t>1.双方经协商一致需变更合同实质性条款或订立补充合同的，应先取得政府采购监督管理部门的同意，并送政府采购中心备案。</w:t>
      </w:r>
    </w:p>
    <w:p>
      <w:pPr>
        <w:pStyle w:val="null3"/>
        <w:ind w:left="420"/>
        <w:jc w:val="both"/>
      </w:pPr>
      <w:r>
        <w:rPr/>
        <w:t>2.甲乙双方均应配合政府采购监督管理部门和政府采购中心（校外）采购组织部门（校内）对合同履行情况的监督检查，如实反映情况，提供有关资料。</w:t>
      </w:r>
    </w:p>
    <w:p>
      <w:pPr>
        <w:pStyle w:val="null3"/>
        <w:ind w:firstLine="482"/>
        <w:jc w:val="both"/>
      </w:pPr>
      <w:r>
        <w:rPr>
          <w:b/>
        </w:rPr>
        <w:t>第十一条  其他约定条款</w:t>
      </w:r>
    </w:p>
    <w:p>
      <w:pPr>
        <w:pStyle w:val="null3"/>
        <w:ind w:firstLine="420"/>
        <w:jc w:val="both"/>
      </w:pPr>
      <w:r>
        <w:rPr/>
        <w:t>1.甲乙双方之间据以联系的通知或者信件应当是书面形式，按本合同列明地址通过特快专递邮寄或直接送达的方式送达，以特快专递邮寄方式送达的，自寄出之日起2日后视为有效送达。任何一方更改地址、传真电话须提前七日有效通知对方，否则应承担不能送达的法律责任。</w:t>
      </w:r>
    </w:p>
    <w:p>
      <w:pPr>
        <w:pStyle w:val="null3"/>
        <w:ind w:firstLine="420"/>
        <w:jc w:val="both"/>
      </w:pPr>
      <w:r>
        <w:rPr/>
        <w:t>2.若甲方根据本合同向乙方主张权益时，甲方因此所支付或垫付的所有费用（包括但不限于诉讼费、公证费、律师费）均由乙方承担。</w:t>
      </w:r>
    </w:p>
    <w:p>
      <w:pPr>
        <w:pStyle w:val="null3"/>
        <w:ind w:firstLine="420"/>
        <w:jc w:val="both"/>
      </w:pPr>
      <w:r>
        <w:rPr/>
        <w:t>3.本合同经甲乙双方充分协商确定，在对合同条款出现不一致理解时，应当以履行合同的目的作出合理解释，不能作出有利于任何一方的解释。</w:t>
      </w:r>
    </w:p>
    <w:p>
      <w:pPr>
        <w:pStyle w:val="null3"/>
        <w:ind w:left="495" w:firstLine="482"/>
      </w:pPr>
      <w:r>
        <w:rPr/>
        <w:t>（以下无正文）</w:t>
      </w:r>
    </w:p>
    <w:p>
      <w:pPr>
        <w:pStyle w:val="null3"/>
        <w:ind w:left="495"/>
      </w:pPr>
      <w:r>
        <w:rPr/>
        <w:t xml:space="preserve"> </w:t>
      </w:r>
    </w:p>
    <w:p>
      <w:pPr>
        <w:pStyle w:val="null3"/>
        <w:ind w:left="495"/>
      </w:pPr>
      <w:r>
        <w:rPr/>
        <w:t xml:space="preserve"> </w:t>
      </w:r>
    </w:p>
    <w:p>
      <w:pPr>
        <w:pStyle w:val="null3"/>
        <w:ind w:left="495"/>
      </w:pPr>
      <w:r>
        <w:rPr/>
        <w:t xml:space="preserve"> </w:t>
      </w:r>
    </w:p>
    <w:p>
      <w:pPr>
        <w:pStyle w:val="null3"/>
        <w:ind w:left="495"/>
      </w:pPr>
      <w:r>
        <w:rPr/>
        <w:t xml:space="preserve"> </w:t>
      </w:r>
    </w:p>
    <w:p>
      <w:pPr>
        <w:pStyle w:val="null3"/>
        <w:ind w:left="495"/>
      </w:pPr>
      <w:r>
        <w:rPr/>
        <w:t xml:space="preserve"> </w:t>
      </w:r>
    </w:p>
    <w:p>
      <w:pPr>
        <w:pStyle w:val="null3"/>
        <w:ind w:left="495"/>
      </w:pPr>
      <w:r>
        <w:rPr/>
        <w:t xml:space="preserve"> </w:t>
      </w:r>
    </w:p>
    <w:p>
      <w:pPr>
        <w:pStyle w:val="null3"/>
        <w:ind w:left="495"/>
      </w:pPr>
      <w:r>
        <w:rPr/>
        <w:t xml:space="preserve"> </w:t>
      </w:r>
    </w:p>
    <w:p>
      <w:pPr>
        <w:pStyle w:val="null3"/>
        <w:ind w:left="495"/>
      </w:pPr>
      <w:r>
        <w:rPr/>
        <w:t xml:space="preserve"> </w:t>
      </w:r>
    </w:p>
    <w:p>
      <w:pPr>
        <w:pStyle w:val="null3"/>
        <w:ind w:firstLine="420"/>
        <w:jc w:val="both"/>
      </w:pPr>
      <w:r>
        <w:rPr/>
        <w:t>（本页为甲乙双方《五邑大学仪器设备政府采购合同》签署栏）</w:t>
      </w:r>
    </w:p>
    <w:tbl>
      <w:tblPr>
        <w:tblW w:w="0" w:type="auto"/>
        <w:tblBorders>
          <w:top w:val="single"/>
          <w:left w:val="single"/>
          <w:bottom w:val="single"/>
          <w:right w:val="single"/>
          <w:insideH w:val="single"/>
          <w:insideV w:val="single"/>
        </w:tblBorders>
      </w:tblPr>
      <w:tblGrid>
        <w:gridCol w:w="4153"/>
        <w:gridCol w:w="4153"/>
      </w:tblGrid>
      <w:tr>
        <w:tc>
          <w:tcPr>
            <w:tcW w:type="dxa" w:w="4153"/>
            <w:tcMar>
              <w:top w:type="dxa" w:w="0"/>
              <w:left w:type="dxa" w:w="105"/>
              <w:bottom w:type="dxa" w:w="0"/>
              <w:right w:type="dxa" w:w="105"/>
            </w:tcMar>
            <w:vAlign w:val="top"/>
          </w:tcPr>
          <w:p>
            <w:pPr>
              <w:pStyle w:val="null3"/>
              <w:jc w:val="left"/>
            </w:pPr>
            <w:r>
              <w:rPr/>
              <w:t>甲方（公章）：五邑大学</w:t>
            </w:r>
          </w:p>
        </w:tc>
        <w:tc>
          <w:tcPr>
            <w:tcW w:type="dxa" w:w="4153"/>
            <w:tcMar>
              <w:top w:type="dxa" w:w="0"/>
              <w:left w:type="dxa" w:w="105"/>
              <w:bottom w:type="dxa" w:w="0"/>
              <w:right w:type="dxa" w:w="105"/>
            </w:tcMar>
            <w:vAlign w:val="top"/>
          </w:tcPr>
          <w:p>
            <w:pPr>
              <w:pStyle w:val="null3"/>
              <w:jc w:val="left"/>
            </w:pPr>
            <w:r>
              <w:rPr/>
              <w:t>乙方（公章）：</w:t>
            </w:r>
          </w:p>
        </w:tc>
      </w:tr>
      <w:tr>
        <w:tc>
          <w:tcPr>
            <w:tcW w:type="dxa" w:w="4153"/>
            <w:tcMar>
              <w:top w:type="dxa" w:w="0"/>
              <w:left w:type="dxa" w:w="105"/>
              <w:bottom w:type="dxa" w:w="0"/>
              <w:right w:type="dxa" w:w="105"/>
            </w:tcMar>
            <w:vAlign w:val="top"/>
          </w:tcPr>
          <w:p>
            <w:pPr>
              <w:pStyle w:val="null3"/>
              <w:jc w:val="left"/>
            </w:pPr>
            <w:r>
              <w:rPr/>
              <w:t>法定代表人（或授权人）：</w:t>
            </w:r>
          </w:p>
        </w:tc>
        <w:tc>
          <w:tcPr>
            <w:tcW w:type="dxa" w:w="4153"/>
            <w:tcMar>
              <w:top w:type="dxa" w:w="0"/>
              <w:left w:type="dxa" w:w="105"/>
              <w:bottom w:type="dxa" w:w="0"/>
              <w:right w:type="dxa" w:w="105"/>
            </w:tcMar>
            <w:vAlign w:val="top"/>
          </w:tcPr>
          <w:p>
            <w:pPr>
              <w:pStyle w:val="null3"/>
              <w:jc w:val="left"/>
            </w:pPr>
            <w:r>
              <w:rPr/>
              <w:t>法定代表人（或授权人）：</w:t>
            </w:r>
          </w:p>
        </w:tc>
      </w:tr>
      <w:tr>
        <w:tc>
          <w:tcPr>
            <w:tcW w:type="dxa" w:w="4153"/>
            <w:tcMar>
              <w:top w:type="dxa" w:w="0"/>
              <w:left w:type="dxa" w:w="105"/>
              <w:bottom w:type="dxa" w:w="0"/>
              <w:right w:type="dxa" w:w="105"/>
            </w:tcMar>
            <w:vAlign w:val="top"/>
          </w:tcPr>
          <w:p>
            <w:pPr>
              <w:pStyle w:val="null3"/>
              <w:jc w:val="left"/>
            </w:pPr>
            <w:r>
              <w:rPr/>
              <w:t>地址：广东省江门市蓬江区东成村22号</w:t>
            </w:r>
          </w:p>
        </w:tc>
        <w:tc>
          <w:tcPr>
            <w:tcW w:type="dxa" w:w="4153"/>
            <w:tcMar>
              <w:top w:type="dxa" w:w="0"/>
              <w:left w:type="dxa" w:w="105"/>
              <w:bottom w:type="dxa" w:w="0"/>
              <w:right w:type="dxa" w:w="105"/>
            </w:tcMar>
            <w:vAlign w:val="top"/>
          </w:tcPr>
          <w:p>
            <w:pPr>
              <w:pStyle w:val="null3"/>
              <w:jc w:val="left"/>
            </w:pPr>
            <w:r>
              <w:rPr/>
              <w:t>地址：</w:t>
            </w:r>
          </w:p>
        </w:tc>
      </w:tr>
      <w:tr>
        <w:tc>
          <w:tcPr>
            <w:tcW w:type="dxa" w:w="4153"/>
            <w:tcMar>
              <w:top w:type="dxa" w:w="0"/>
              <w:left w:type="dxa" w:w="105"/>
              <w:bottom w:type="dxa" w:w="0"/>
              <w:right w:type="dxa" w:w="105"/>
            </w:tcMar>
            <w:vAlign w:val="top"/>
          </w:tcPr>
          <w:p>
            <w:pPr>
              <w:pStyle w:val="null3"/>
              <w:jc w:val="left"/>
            </w:pPr>
            <w:r>
              <w:rPr/>
              <w:t>开户银行：中国工商银行股份有限公司江门蓬江支行</w:t>
            </w:r>
          </w:p>
        </w:tc>
        <w:tc>
          <w:tcPr>
            <w:tcW w:type="dxa" w:w="4153"/>
            <w:tcMar>
              <w:top w:type="dxa" w:w="0"/>
              <w:left w:type="dxa" w:w="105"/>
              <w:bottom w:type="dxa" w:w="0"/>
              <w:right w:type="dxa" w:w="105"/>
            </w:tcMar>
            <w:vAlign w:val="top"/>
          </w:tcPr>
          <w:p>
            <w:pPr>
              <w:pStyle w:val="null3"/>
              <w:jc w:val="left"/>
            </w:pPr>
            <w:r>
              <w:rPr/>
              <w:t>开户银行：</w:t>
            </w:r>
          </w:p>
        </w:tc>
      </w:tr>
      <w:tr>
        <w:tc>
          <w:tcPr>
            <w:tcW w:type="dxa" w:w="4153"/>
            <w:tcMar>
              <w:top w:type="dxa" w:w="0"/>
              <w:left w:type="dxa" w:w="105"/>
              <w:bottom w:type="dxa" w:w="0"/>
              <w:right w:type="dxa" w:w="105"/>
            </w:tcMar>
            <w:vAlign w:val="top"/>
          </w:tcPr>
          <w:p>
            <w:pPr>
              <w:pStyle w:val="null3"/>
              <w:jc w:val="left"/>
            </w:pPr>
            <w:r>
              <w:rPr/>
              <w:t>账号：2012006509024900818</w:t>
            </w:r>
          </w:p>
        </w:tc>
        <w:tc>
          <w:tcPr>
            <w:tcW w:type="dxa" w:w="4153"/>
            <w:tcMar>
              <w:top w:type="dxa" w:w="0"/>
              <w:left w:type="dxa" w:w="105"/>
              <w:bottom w:type="dxa" w:w="0"/>
              <w:right w:type="dxa" w:w="105"/>
            </w:tcMar>
            <w:vAlign w:val="top"/>
          </w:tcPr>
          <w:p>
            <w:pPr>
              <w:pStyle w:val="null3"/>
              <w:jc w:val="left"/>
            </w:pPr>
            <w:r>
              <w:rPr/>
              <w:t>账号：</w:t>
            </w:r>
          </w:p>
        </w:tc>
      </w:tr>
      <w:tr>
        <w:tc>
          <w:tcPr>
            <w:tcW w:type="dxa" w:w="4153"/>
            <w:tcMar>
              <w:top w:type="dxa" w:w="0"/>
              <w:left w:type="dxa" w:w="105"/>
              <w:bottom w:type="dxa" w:w="0"/>
              <w:right w:type="dxa" w:w="105"/>
            </w:tcMar>
            <w:vAlign w:val="top"/>
          </w:tcPr>
          <w:p>
            <w:pPr>
              <w:pStyle w:val="null3"/>
              <w:jc w:val="left"/>
            </w:pPr>
            <w:r>
              <w:rPr/>
              <w:t>电话：0750-3296151</w:t>
            </w:r>
          </w:p>
        </w:tc>
        <w:tc>
          <w:tcPr>
            <w:tcW w:type="dxa" w:w="4153"/>
            <w:tcMar>
              <w:top w:type="dxa" w:w="0"/>
              <w:left w:type="dxa" w:w="105"/>
              <w:bottom w:type="dxa" w:w="0"/>
              <w:right w:type="dxa" w:w="105"/>
            </w:tcMar>
            <w:vAlign w:val="top"/>
          </w:tcPr>
          <w:p>
            <w:pPr>
              <w:pStyle w:val="null3"/>
              <w:ind w:right="105"/>
              <w:jc w:val="left"/>
            </w:pPr>
            <w:r>
              <w:rPr/>
              <w:t>电话：</w:t>
            </w:r>
          </w:p>
        </w:tc>
      </w:tr>
      <w:tr>
        <w:tc>
          <w:tcPr>
            <w:tcW w:type="dxa" w:w="4153"/>
            <w:tcMar>
              <w:top w:type="dxa" w:w="0"/>
              <w:left w:type="dxa" w:w="105"/>
              <w:bottom w:type="dxa" w:w="0"/>
              <w:right w:type="dxa" w:w="105"/>
            </w:tcMar>
            <w:vAlign w:val="top"/>
          </w:tcPr>
          <w:p>
            <w:pPr>
              <w:pStyle w:val="null3"/>
              <w:jc w:val="left"/>
            </w:pPr>
            <w:r>
              <w:rPr/>
              <w:t>E-mail：sbc@wyu.edu.cn</w:t>
            </w:r>
          </w:p>
        </w:tc>
        <w:tc>
          <w:tcPr>
            <w:tcW w:type="dxa" w:w="4153"/>
            <w:tcMar>
              <w:top w:type="dxa" w:w="0"/>
              <w:left w:type="dxa" w:w="105"/>
              <w:bottom w:type="dxa" w:w="0"/>
              <w:right w:type="dxa" w:w="105"/>
            </w:tcMar>
            <w:vAlign w:val="top"/>
          </w:tcPr>
          <w:p>
            <w:pPr>
              <w:pStyle w:val="null3"/>
              <w:jc w:val="left"/>
            </w:pPr>
            <w:r>
              <w:rPr/>
              <w:t>E-mail：</w:t>
            </w:r>
          </w:p>
        </w:tc>
      </w:tr>
      <w:tr>
        <w:tc>
          <w:tcPr>
            <w:tcW w:type="dxa" w:w="8306"/>
            <w:gridSpan w:val="2"/>
            <w:tcMar>
              <w:top w:type="dxa" w:w="0"/>
              <w:left w:type="dxa" w:w="105"/>
              <w:bottom w:type="dxa" w:w="0"/>
              <w:right w:type="dxa" w:w="105"/>
            </w:tcMar>
            <w:vAlign w:val="top"/>
          </w:tcPr>
          <w:p>
            <w:pPr>
              <w:pStyle w:val="null3"/>
              <w:ind w:firstLine="2100"/>
              <w:jc w:val="both"/>
            </w:pPr>
            <w:r>
              <w:rPr/>
              <w:t>签订日期：  年  月   日</w:t>
            </w:r>
          </w:p>
        </w:tc>
      </w:tr>
    </w:tbl>
    <w:p>
      <w:pPr>
        <w:pStyle w:val="null3"/>
      </w:pPr>
      <w:r>
        <w:rPr>
          <w:sz w:val="21"/>
          <w:b/>
        </w:rPr>
        <w:t>附件1：货物清单</w:t>
      </w:r>
    </w:p>
    <w:p>
      <w:pPr>
        <w:pStyle w:val="null3"/>
        <w:ind w:left="495" w:firstLine="422"/>
        <w:jc w:val="both"/>
      </w:pPr>
      <w:r>
        <w:rPr>
          <w:sz w:val="21"/>
        </w:rPr>
        <w:t>单位：元</w:t>
      </w:r>
    </w:p>
    <w:tbl>
      <w:tblPr>
        <w:tblW w:w="0" w:type="auto"/>
        <w:tblBorders>
          <w:top w:val="none" w:color="000000" w:sz="4"/>
          <w:left w:val="none" w:color="000000" w:sz="4"/>
          <w:bottom w:val="none" w:color="000000" w:sz="4"/>
          <w:right w:val="none" w:color="000000" w:sz="4"/>
          <w:insideH w:val="none"/>
          <w:insideV w:val="none"/>
        </w:tblBorders>
      </w:tblPr>
      <w:tblGrid>
        <w:gridCol w:w="524"/>
        <w:gridCol w:w="1089"/>
        <w:gridCol w:w="941"/>
        <w:gridCol w:w="914"/>
        <w:gridCol w:w="753"/>
        <w:gridCol w:w="699"/>
        <w:gridCol w:w="632"/>
        <w:gridCol w:w="632"/>
        <w:gridCol w:w="1169"/>
        <w:gridCol w:w="954"/>
      </w:tblGrid>
      <w:tr>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b/>
              </w:rPr>
              <w:t>序号</w:t>
            </w:r>
          </w:p>
        </w:tc>
        <w:tc>
          <w:tcPr>
            <w:tcW w:type="dxa" w:w="10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b/>
              </w:rPr>
              <w:t>货物名称</w:t>
            </w:r>
          </w:p>
        </w:tc>
        <w:tc>
          <w:tcPr>
            <w:tcW w:type="dxa" w:w="9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b/>
              </w:rPr>
              <w:t>品牌</w:t>
            </w:r>
          </w:p>
        </w:tc>
        <w:tc>
          <w:tcPr>
            <w:tcW w:type="dxa" w:w="9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型号</w:t>
            </w:r>
          </w:p>
        </w:tc>
        <w:tc>
          <w:tcPr>
            <w:tcW w:type="dxa" w:w="7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规格</w:t>
            </w: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产地</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单位</w:t>
            </w:r>
          </w:p>
        </w:tc>
        <w:tc>
          <w:tcPr>
            <w:tcW w:type="dxa" w:w="11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单价</w:t>
            </w:r>
          </w:p>
        </w:tc>
        <w:tc>
          <w:tcPr>
            <w:tcW w:type="dxa" w:w="9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总价</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pPr>
            <w:r>
              <w:rPr/>
              <w:t>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t>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b/>
              </w:rPr>
              <w:t>技术服务费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b/>
              </w:rPr>
              <w:t>安装调试费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b/>
              </w:rPr>
              <w:t>培训费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b/>
              </w:rPr>
              <w:t>运输费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b/>
              </w:rPr>
              <w:t>保险费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b/>
              </w:rPr>
              <w:t>其他费用</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无</w:t>
            </w:r>
          </w:p>
        </w:tc>
      </w:tr>
      <w:tr>
        <w:tc>
          <w:tcPr>
            <w:tcW w:type="dxa" w:w="161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b/>
              </w:rPr>
              <w:t>总价（含税）</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b/>
              </w:rPr>
              <w:t>小写：</w:t>
            </w:r>
            <w:r>
              <w:rPr>
                <w:b/>
                <w:u w:val="single"/>
              </w:rPr>
              <w:t xml:space="preserve">¥         </w:t>
            </w:r>
            <w:r>
              <w:rPr>
                <w:b/>
              </w:rPr>
              <w:t>元</w:t>
            </w:r>
          </w:p>
        </w:tc>
      </w:tr>
      <w:tr>
        <w:tc>
          <w:tcPr>
            <w:tcW w:type="dxa" w:w="1613"/>
            <w:gridSpan w:val="2"/>
            <w:vMerge/>
            <w:tcBorders>
              <w:top w:val="none" w:color="000000" w:sz="4"/>
              <w:left w:val="single" w:color="000000" w:sz="4"/>
              <w:bottom w:val="single" w:color="000000" w:sz="4"/>
              <w:right w:val="single" w:color="000000" w:sz="4"/>
            </w:tcBorders>
          </w:tcP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b/>
              </w:rPr>
              <w:t>大写：</w:t>
            </w:r>
            <w:r>
              <w:rPr>
                <w:b/>
                <w:u w:val="single"/>
              </w:rPr>
              <w:t xml:space="preserve">             </w:t>
            </w:r>
          </w:p>
        </w:tc>
      </w:tr>
    </w:tbl>
    <w:p>
      <w:pPr>
        <w:pStyle w:val="null3"/>
        <w:ind w:firstLine="211"/>
        <w:jc w:val="both"/>
      </w:pPr>
      <w:r>
        <w:rPr>
          <w:sz w:val="21"/>
          <w:b/>
        </w:rPr>
        <w:t>乙方如实申报货物名称，品牌、型号、规格、产地、数量、单位、大小写英文，必须与实际供货产品机身铭牌上所标识的完全一致，如有错漏，将无法验收，造成的一切后果由乙方自行承担。</w:t>
      </w:r>
    </w:p>
    <w:p>
      <w:pPr>
        <w:pStyle w:val="null3"/>
        <w:ind w:firstLine="210"/>
        <w:jc w:val="both"/>
      </w:pPr>
      <w:r>
        <w:rPr>
          <w:sz w:val="21"/>
          <w:b/>
        </w:rPr>
        <w:t>附件2：主要技术参数</w:t>
      </w:r>
    </w:p>
    <w:tbl>
      <w:tblPr>
        <w:tblW w:w="0" w:type="auto"/>
        <w:tblBorders>
          <w:top w:val="none" w:color="000000" w:sz="4"/>
          <w:left w:val="none" w:color="000000" w:sz="4"/>
          <w:bottom w:val="none" w:color="000000" w:sz="4"/>
          <w:right w:val="none" w:color="000000" w:sz="4"/>
          <w:insideH w:val="none"/>
          <w:insideV w:val="none"/>
        </w:tblBorders>
      </w:tblPr>
      <w:tblGrid>
        <w:gridCol w:w="1017"/>
        <w:gridCol w:w="1695"/>
        <w:gridCol w:w="1017"/>
        <w:gridCol w:w="1017"/>
        <w:gridCol w:w="1017"/>
        <w:gridCol w:w="2543"/>
      </w:tblGrid>
      <w:tr>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序号</w:t>
            </w:r>
          </w:p>
        </w:tc>
        <w:tc>
          <w:tcPr>
            <w:tcW w:type="dxa" w:w="16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货物名称</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品牌</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型号</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规格</w:t>
            </w:r>
          </w:p>
        </w:tc>
        <w:tc>
          <w:tcPr>
            <w:tcW w:type="dxa" w:w="25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配置/技术参数</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54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54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54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54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543"/>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pPr>
      <w:r>
        <w:rPr/>
        <w:t xml:space="preserve"> </w:t>
      </w:r>
    </w:p>
    <w:p>
      <w:pPr>
        <w:pStyle w:val="null3"/>
        <w:jc w:val="both"/>
      </w:pPr>
      <w:r>
        <w:rPr>
          <w:sz w:val="21"/>
          <w:b/>
        </w:rPr>
        <w:t>附件3：保修服务表</w:t>
      </w:r>
    </w:p>
    <w:tbl>
      <w:tblPr>
        <w:tblW w:w="0" w:type="auto"/>
        <w:tblBorders>
          <w:top w:val="none" w:color="000000" w:sz="4"/>
          <w:left w:val="none" w:color="000000" w:sz="4"/>
          <w:bottom w:val="none" w:color="000000" w:sz="4"/>
          <w:right w:val="none" w:color="000000" w:sz="4"/>
          <w:insideH w:val="none"/>
          <w:insideV w:val="none"/>
        </w:tblBorders>
      </w:tblPr>
      <w:tblGrid>
        <w:gridCol w:w="1014"/>
        <w:gridCol w:w="1417"/>
        <w:gridCol w:w="1059"/>
        <w:gridCol w:w="1596"/>
        <w:gridCol w:w="2326"/>
        <w:gridCol w:w="895"/>
      </w:tblGrid>
      <w:tr>
        <w:tc>
          <w:tcPr>
            <w:tcW w:type="dxa" w:w="1014"/>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b/>
              </w:rPr>
              <w:t>序号</w:t>
            </w:r>
          </w:p>
        </w:tc>
        <w:tc>
          <w:tcPr>
            <w:tcW w:type="dxa" w:w="1417"/>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b/>
              </w:rPr>
              <w:t>货物及</w:t>
            </w:r>
          </w:p>
          <w:p>
            <w:pPr>
              <w:pStyle w:val="null3"/>
              <w:jc w:val="both"/>
            </w:pPr>
            <w:r>
              <w:rPr>
                <w:b/>
              </w:rPr>
              <w:t>配件名称</w:t>
            </w:r>
          </w:p>
        </w:tc>
        <w:tc>
          <w:tcPr>
            <w:tcW w:type="dxa" w:w="1059"/>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b/>
              </w:rPr>
              <w:t>质保期</w:t>
            </w:r>
          </w:p>
        </w:tc>
        <w:tc>
          <w:tcPr>
            <w:tcW w:type="dxa" w:w="159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b/>
              </w:rPr>
              <w:t>保修响应时间</w:t>
            </w:r>
          </w:p>
        </w:tc>
        <w:tc>
          <w:tcPr>
            <w:tcW w:type="dxa" w:w="232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b/>
              </w:rPr>
              <w:t>售后服务网点及电话</w:t>
            </w:r>
          </w:p>
        </w:tc>
        <w:tc>
          <w:tcPr>
            <w:tcW w:type="dxa" w:w="89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b/>
              </w:rPr>
              <w:t>备注</w:t>
            </w:r>
          </w:p>
        </w:tc>
      </w:tr>
      <w:tr>
        <w:tc>
          <w:tcPr>
            <w:tcW w:type="dxa" w:w="10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b/>
              </w:rPr>
              <w:t>1</w:t>
            </w:r>
          </w:p>
        </w:tc>
        <w:tc>
          <w:tcPr>
            <w:tcW w:type="dxa" w:w="141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p>
        </w:tc>
        <w:tc>
          <w:tcPr>
            <w:tcW w:type="dxa" w:w="1059"/>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596"/>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326"/>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89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0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b/>
              </w:rPr>
              <w:t>2</w:t>
            </w:r>
          </w:p>
        </w:tc>
        <w:tc>
          <w:tcPr>
            <w:tcW w:type="dxa" w:w="141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p>
        </w:tc>
        <w:tc>
          <w:tcPr>
            <w:tcW w:type="dxa" w:w="1059"/>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596"/>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326"/>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89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01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b/>
              </w:rPr>
              <w:t>…</w:t>
            </w:r>
          </w:p>
        </w:tc>
        <w:tc>
          <w:tcPr>
            <w:tcW w:type="dxa" w:w="1417"/>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p>
        </w:tc>
        <w:tc>
          <w:tcPr>
            <w:tcW w:type="dxa" w:w="1059"/>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596"/>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326"/>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89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bl>
    <w:p>
      <w:pPr>
        <w:pStyle w:val="null3"/>
        <w:jc w:val="both"/>
      </w:pPr>
      <w:r>
        <w:rPr>
          <w:sz w:val="21"/>
          <w:b/>
        </w:rPr>
        <w:t>附件4：培训计划</w:t>
      </w:r>
    </w:p>
    <w:p>
      <w:pPr>
        <w:pStyle w:val="null3"/>
        <w:ind w:firstLine="422"/>
        <w:jc w:val="both"/>
      </w:pPr>
      <w:r>
        <w:rPr>
          <w:sz w:val="21"/>
          <w:b/>
        </w:rPr>
        <w:t>培训结束后，由甲乙双方技术人员进行验收</w:t>
      </w:r>
    </w:p>
    <w:p>
      <w:pPr>
        <w:pStyle w:val="null3"/>
        <w:jc w:val="both"/>
      </w:pPr>
      <w:r>
        <w:rPr>
          <w:sz w:val="21"/>
        </w:rPr>
        <w:t xml:space="preserve">                                                 </w:t>
      </w:r>
    </w:p>
    <w:p>
      <w:pPr>
        <w:pStyle w:val="null3"/>
        <w:jc w:val="center"/>
      </w:pPr>
      <w:r>
        <w:rPr>
          <w:sz w:val="21"/>
        </w:rPr>
        <w:t xml:space="preserve">                                                         </w:t>
      </w:r>
    </w:p>
    <w:p>
      <w:pPr>
        <w:pStyle w:val="null3"/>
        <w:jc w:val="both"/>
      </w:pPr>
      <w:r>
        <w:rPr>
          <w:sz w:val="21"/>
          <w:b/>
        </w:rPr>
        <w:t>附件5 : 对接五邑大学教学平台和督导评教平台的技术要求</w:t>
      </w:r>
    </w:p>
    <w:p>
      <w:pPr>
        <w:pStyle w:val="null3"/>
        <w:ind w:firstLine="420"/>
        <w:jc w:val="both"/>
      </w:pPr>
      <w:r>
        <w:rPr/>
        <w:t>1、运行环境：</w:t>
      </w:r>
    </w:p>
    <w:p>
      <w:pPr>
        <w:pStyle w:val="null3"/>
        <w:ind w:firstLine="420"/>
        <w:jc w:val="both"/>
      </w:pPr>
      <w:r>
        <w:rPr/>
        <w:t>系统运行环境：windows server 2012</w:t>
      </w:r>
    </w:p>
    <w:p>
      <w:pPr>
        <w:pStyle w:val="null3"/>
        <w:ind w:firstLine="420"/>
        <w:jc w:val="both"/>
      </w:pPr>
      <w:r>
        <w:rPr/>
        <w:t>2、系统配置：</w:t>
      </w:r>
    </w:p>
    <w:p>
      <w:pPr>
        <w:pStyle w:val="null3"/>
        <w:ind w:firstLine="420"/>
        <w:jc w:val="both"/>
      </w:pPr>
      <w:r>
        <w:rPr/>
        <w:t>CPU：2颗10核至强4210；2.4G以上，内存：64G，网口：≥1000M，硬盘：≥2T</w:t>
      </w:r>
    </w:p>
    <w:p>
      <w:pPr>
        <w:pStyle w:val="null3"/>
        <w:ind w:firstLine="420"/>
        <w:jc w:val="both"/>
      </w:pPr>
      <w:r>
        <w:rPr/>
        <w:t>3、系统架构：</w:t>
      </w:r>
    </w:p>
    <w:p>
      <w:pPr>
        <w:pStyle w:val="null3"/>
        <w:ind w:firstLine="420"/>
        <w:jc w:val="both"/>
      </w:pPr>
      <w:r>
        <w:rPr/>
        <w:t>（1）系统架构：基于SOA技术架构。</w:t>
      </w:r>
    </w:p>
    <w:p>
      <w:pPr>
        <w:pStyle w:val="null3"/>
        <w:ind w:firstLine="420"/>
        <w:jc w:val="both"/>
      </w:pPr>
      <w:r>
        <w:rPr/>
        <w:t>（2）技术体系：J2EE技术。同时开发模式采用JSP+Servlet+JavaBean,</w:t>
      </w:r>
    </w:p>
    <w:p>
      <w:pPr>
        <w:pStyle w:val="null3"/>
        <w:ind w:firstLine="420"/>
        <w:jc w:val="both"/>
      </w:pPr>
      <w:r>
        <w:rPr/>
        <w:t>开发系统使用工具Eclipse，编译该代码的操作系统windows、运行环境是tomcat。</w:t>
      </w:r>
    </w:p>
    <w:p>
      <w:pPr>
        <w:pStyle w:val="null3"/>
        <w:ind w:firstLine="420"/>
        <w:jc w:val="both"/>
      </w:pPr>
      <w:r>
        <w:rPr/>
        <w:t>（3）XML标准</w:t>
      </w:r>
    </w:p>
    <w:p>
      <w:pPr>
        <w:pStyle w:val="null3"/>
        <w:ind w:firstLine="420"/>
        <w:jc w:val="both"/>
      </w:pPr>
      <w:r>
        <w:rPr/>
        <w:t>系统内部的数据交换全部采用XML标准。</w:t>
      </w:r>
    </w:p>
    <w:p>
      <w:pPr>
        <w:pStyle w:val="null3"/>
        <w:ind w:firstLine="420"/>
        <w:jc w:val="both"/>
      </w:pPr>
      <w:r>
        <w:rPr/>
        <w:t>（4）Web Service接口</w:t>
      </w:r>
    </w:p>
    <w:p>
      <w:pPr>
        <w:pStyle w:val="null3"/>
        <w:ind w:firstLine="420"/>
        <w:jc w:val="both"/>
      </w:pPr>
      <w:r>
        <w:rPr/>
        <w:t>系统除了提供一般的接口以外还提供Web Service的接口。</w:t>
      </w:r>
    </w:p>
    <w:p>
      <w:pPr>
        <w:pStyle w:val="null3"/>
        <w:ind w:firstLine="420"/>
        <w:jc w:val="both"/>
      </w:pPr>
      <w:r>
        <w:rPr/>
        <w:t>（5）采用组件化的设计方法</w:t>
      </w:r>
    </w:p>
    <w:p>
      <w:pPr>
        <w:pStyle w:val="null3"/>
        <w:ind w:firstLine="420"/>
        <w:jc w:val="both"/>
      </w:pPr>
      <w:r>
        <w:rPr/>
        <w:t>4、对接直录播</w:t>
      </w:r>
    </w:p>
    <w:p>
      <w:pPr>
        <w:pStyle w:val="null3"/>
        <w:ind w:firstLine="420"/>
        <w:jc w:val="both"/>
      </w:pPr>
      <w:r>
        <w:rPr/>
        <w:t>教学平台依据自己平台策略进行课堂教学直录播或按照排课表将每节课的视频录制下来；（根据排课表节次的开始及结束时间录制对应课堂）</w:t>
      </w:r>
    </w:p>
    <w:p>
      <w:pPr>
        <w:pStyle w:val="null3"/>
        <w:ind w:firstLine="420"/>
        <w:jc w:val="both"/>
      </w:pPr>
      <w:r>
        <w:rPr/>
        <w:t>（1）获取直播：</w:t>
      </w:r>
    </w:p>
    <w:p>
      <w:pPr>
        <w:pStyle w:val="null3"/>
        <w:ind w:firstLine="420"/>
        <w:jc w:val="both"/>
      </w:pPr>
      <w:r>
        <w:rPr/>
        <w:t>根据教室号（教室内有录播设备），能获取当前正在进行直播的推流地址（需要hls、flv或mp4的码流）</w:t>
      </w:r>
    </w:p>
    <w:p>
      <w:pPr>
        <w:pStyle w:val="null3"/>
        <w:ind w:firstLine="420"/>
        <w:jc w:val="both"/>
      </w:pPr>
      <w:r>
        <w:rPr/>
        <w:t>（2）获取录播：</w:t>
      </w:r>
    </w:p>
    <w:p>
      <w:pPr>
        <w:pStyle w:val="null3"/>
        <w:ind w:firstLine="420"/>
        <w:jc w:val="both"/>
      </w:pPr>
      <w:r>
        <w:rPr/>
        <w:t>根据教室编号+开始和结束时间，获取教室设备某个时间段内的回放地址（需要hls、flv或mp4的码流）</w:t>
      </w:r>
    </w:p>
    <w:p>
      <w:pPr>
        <w:pStyle w:val="null3"/>
        <w:ind w:firstLine="420"/>
        <w:jc w:val="both"/>
      </w:pPr>
      <w:r>
        <w:rPr/>
        <w:t>5、对接摄像机</w:t>
      </w:r>
    </w:p>
    <w:p>
      <w:pPr>
        <w:pStyle w:val="null3"/>
        <w:ind w:firstLine="420"/>
        <w:jc w:val="both"/>
      </w:pPr>
      <w:r>
        <w:rPr/>
        <w:t>通过SDK包进行对接。</w:t>
      </w:r>
    </w:p>
    <w:p>
      <w:pPr>
        <w:pStyle w:val="null3"/>
      </w:pPr>
      <w:r>
        <w:rPr>
          <w:sz w:val="21"/>
        </w:rPr>
        <w:t xml:space="preserve">                                                   </w:t>
      </w:r>
    </w:p>
    <w:p>
      <w:pPr>
        <w:pStyle w:val="null3"/>
        <w:ind w:left="495" w:firstLine="420"/>
        <w:jc w:val="center"/>
      </w:pPr>
      <w:r>
        <w:rPr>
          <w:sz w:val="21"/>
        </w:rPr>
        <w:t>发展规划处（盖章）</w:t>
      </w:r>
    </w:p>
    <w:p>
      <w:pPr>
        <w:pStyle w:val="null3"/>
        <w:jc w:val="center"/>
      </w:pPr>
      <w:r>
        <w:rPr>
          <w:sz w:val="21"/>
        </w:rPr>
        <w:t xml:space="preserve">                                                         单位负责人（签名）：</w:t>
      </w:r>
    </w:p>
    <w:p>
      <w:pPr>
        <w:pStyle w:val="null3"/>
        <w:jc w:val="right"/>
      </w:pPr>
      <w:r>
        <w:rPr>
          <w:sz w:val="21"/>
        </w:rPr>
        <w:t xml:space="preserve">项目负责人（签字）：                                           </w:t>
      </w:r>
    </w:p>
    <w:p>
      <w:pPr>
        <w:pStyle w:val="null3"/>
        <w:jc w:val="center"/>
      </w:pPr>
      <w:r>
        <w:rPr>
          <w:sz w:val="21"/>
        </w:rPr>
        <w:t xml:space="preserve">                                                   </w:t>
      </w:r>
      <w:r>
        <w:rPr>
          <w:sz w:val="21"/>
        </w:rPr>
        <w:t>教务处（盖章）</w:t>
      </w:r>
    </w:p>
    <w:p>
      <w:pPr>
        <w:pStyle w:val="null3"/>
        <w:jc w:val="center"/>
      </w:pPr>
      <w:r>
        <w:rPr>
          <w:sz w:val="21"/>
        </w:rPr>
        <w:t xml:space="preserve">                                                         </w:t>
      </w:r>
      <w:r>
        <w:rPr>
          <w:sz w:val="21"/>
        </w:rPr>
        <w:t>单位负责人（签名）：</w:t>
      </w:r>
    </w:p>
    <w:p>
      <w:pPr>
        <w:pStyle w:val="null3"/>
        <w:jc w:val="right"/>
      </w:pPr>
      <w:r>
        <w:rPr>
          <w:sz w:val="21"/>
        </w:rPr>
        <w:t xml:space="preserve">                                                         </w:t>
      </w:r>
      <w:r>
        <w:rPr>
          <w:sz w:val="21"/>
        </w:rPr>
        <w:t>土木建筑学院（盖章）</w:t>
      </w:r>
    </w:p>
    <w:p>
      <w:pPr>
        <w:pStyle w:val="null3"/>
        <w:jc w:val="center"/>
      </w:pPr>
      <w:r>
        <w:rPr>
          <w:sz w:val="21"/>
        </w:rPr>
        <w:t xml:space="preserve">                                                         </w:t>
      </w:r>
      <w:r>
        <w:rPr>
          <w:sz w:val="21"/>
        </w:rPr>
        <w:t>单位负责人（签名）：</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440701-2024-02242</w:t>
      </w:r>
    </w:p>
    <w:p>
      <w:pPr>
        <w:pStyle w:val="null3"/>
        <w:jc w:val="center"/>
        <w:outlineLvl w:val="3"/>
      </w:pPr>
      <w:r>
        <w:rPr>
          <w:sz w:val="24"/>
          <w:b/>
        </w:rPr>
        <w:t>采购项目编号：</w:t>
      </w:r>
      <w:r>
        <w:rPr>
          <w:sz w:val="24"/>
          <w:b/>
        </w:rPr>
        <w:t>ZZ0240515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五邑大学教学软件升级采购项目</w:t>
      </w:r>
      <w:r>
        <w:rPr>
          <w:u w:val="single"/>
        </w:rPr>
        <w:t>”</w:t>
      </w:r>
      <w:r>
        <w:rPr/>
        <w:t>项目的招标[采购项目编号为：</w:t>
      </w:r>
      <w:r>
        <w:rPr>
          <w:u w:val="single"/>
        </w:rPr>
        <w:t>ZZ0240515</w:t>
      </w:r>
      <w:r>
        <w:rPr/>
        <w:t>]，我方愿参与投标。</w:t>
      </w:r>
    </w:p>
    <w:p>
      <w:pPr>
        <w:pStyle w:val="null3"/>
        <w:ind w:firstLine="480"/>
      </w:pPr>
      <w:r>
        <w:rPr/>
        <w:t>我方确认收到贵方提供的</w:t>
      </w:r>
      <w:r>
        <w:rPr>
          <w:u w:val="single"/>
        </w:rPr>
        <w:t>“</w:t>
      </w:r>
      <w:r>
        <w:rPr>
          <w:u w:val="single"/>
        </w:rPr>
        <w:t>五邑大学教学软件升级采购项目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五邑大学教学软件升级采购项目</w:t>
      </w:r>
      <w:r>
        <w:rPr/>
        <w:t>”项目采购[采购项目编号为</w:t>
      </w:r>
      <w:r>
        <w:rPr/>
        <w:t>ZZ0240515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五邑大学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五邑大学教学软件升级采购项目</w:t>
      </w:r>
      <w:r>
        <w:rPr/>
        <w:t>招标中获中标（采购项目编号：</w:t>
      </w:r>
      <w:r>
        <w:rPr/>
        <w:t>ZZ0240515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五邑大学教学软件升级采购项目</w:t>
      </w:r>
      <w:r>
        <w:rPr/>
        <w:t>”项目（采购项目编号：</w:t>
      </w:r>
      <w:r>
        <w:rPr/>
        <w:t>ZZ0240515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