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831A">
      <w:pPr>
        <w:widowControl/>
        <w:shd w:val="clear" w:color="auto" w:fill="FFFFFF"/>
        <w:spacing w:line="630" w:lineRule="atLeast"/>
        <w:jc w:val="center"/>
        <w:outlineLvl w:val="5"/>
        <w:rPr>
          <w:rFonts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4"/>
        <w:tblW w:w="4935"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2"/>
        <w:gridCol w:w="5932"/>
        <w:gridCol w:w="1292"/>
        <w:gridCol w:w="749"/>
      </w:tblGrid>
      <w:tr w14:paraId="2DE9BD9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6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6A52F2F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593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1AF74ED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p>
        </w:tc>
        <w:tc>
          <w:tcPr>
            <w:tcW w:w="129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79E77A8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投标人响应情况</w:t>
            </w:r>
          </w:p>
        </w:tc>
        <w:tc>
          <w:tcPr>
            <w:tcW w:w="74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31149635">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24925E8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B4ADEC">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487259B">
            <w:pPr>
              <w:pStyle w:val="11"/>
              <w:jc w:val="left"/>
            </w:pPr>
            <w:r>
              <w:rPr>
                <w:b/>
                <w:sz w:val="21"/>
              </w:rPr>
              <w:t>★1.8配合采购人完成应急类工作</w:t>
            </w:r>
          </w:p>
          <w:p w14:paraId="4D932160">
            <w:pPr>
              <w:pStyle w:val="11"/>
              <w:ind w:firstLine="422"/>
              <w:jc w:val="both"/>
            </w:pPr>
            <w:r>
              <w:rPr>
                <w:b/>
                <w:sz w:val="21"/>
                <w:u w:val="single"/>
              </w:rPr>
              <w:t>1.8.1发生突发水质事故或接到上级部门紧急任务时，中标人必须在1小时内作出响应（组织人员、车辆，出发前往现场），全力协助采购人做好应急检查工作，提供人员、车辆等后勤保障，并依采购人要求进行水质化验分析。周末及节假日均需有应急队伍待命。应急检查工作所发生的一切费用均包含在投标报价中。（投标人须提供承诺函，承诺函格式自定）</w:t>
            </w:r>
          </w:p>
          <w:p w14:paraId="26812306">
            <w:pPr>
              <w:pStyle w:val="11"/>
              <w:ind w:firstLine="422"/>
              <w:jc w:val="both"/>
            </w:pPr>
            <w:r>
              <w:rPr>
                <w:b/>
                <w:sz w:val="21"/>
                <w:u w:val="single"/>
              </w:rPr>
              <w:t>1.8.2中标人需配合采购人配合执法部门开展污染源突击检查执法的取证工作，中标人必须在采购人发出配合执法要求的1小时内组织人员、车辆，出发到达现场，提供采样人员、车辆等后勤保障，并依采购人要求对污染源开展现场取样监测。配合执法工作所发生的一切费用均包含在投标报价中。（投标人须提供承诺函，承诺函格式自定）</w:t>
            </w:r>
          </w:p>
          <w:p w14:paraId="4AEE66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4"/>
                <w:szCs w:val="24"/>
                <w14:textFill>
                  <w14:solidFill>
                    <w14:schemeClr w14:val="tx1"/>
                  </w14:solidFill>
                </w14:textFill>
              </w:rPr>
            </w:pPr>
            <w:r>
              <w:rPr>
                <w:b/>
                <w:sz w:val="21"/>
                <w:u w:val="single"/>
              </w:rPr>
              <w:t>1.8.3中标人需配合采购人对本项目实施的监督检查，即采购人将不定期监督检查中标人的现场检查和抽样工作。若采购人于监督过程中发现异常或错漏之处需复查的，中标人必须依据要求重做现场检查和抽样工作。复查期间所发生的一切费用（包括人工、抽样和检测费以及交通运输等费用）都包含在投标报价中。（投标人须提供承诺函，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E7E0A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D7F3AE">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7A830FA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E675C4B">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93754FD">
            <w:pPr>
              <w:pStyle w:val="11"/>
              <w:jc w:val="left"/>
              <w:rPr>
                <w:rFonts w:hint="eastAsia"/>
                <w:b/>
                <w:sz w:val="21"/>
              </w:rPr>
            </w:pPr>
            <w:r>
              <w:rPr>
                <w:b/>
                <w:sz w:val="21"/>
              </w:rPr>
              <w:t>★中标人需选派项目负责人负责全过程管理，技术负责人（具体负责项目管理，需常驻工作）和6名内业人员进驻采购人指定位置集中办公，并为该7名工作人员配备办公设备（服务期结束后退还），协助采购人完成资料整理、报告编制等工作。该派驻人员的选聘、更替需征得采购人的同意，服从采购人工作安排及实际工作需要，开展考勤考垓管理。（投标时须提供承诺函加盖公章，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4346D5A">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044407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464BAED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0FDFB81">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F42B5C8">
            <w:pPr>
              <w:pStyle w:val="11"/>
              <w:jc w:val="left"/>
              <w:rPr>
                <w:rFonts w:hint="eastAsia"/>
                <w:b/>
                <w:sz w:val="21"/>
              </w:rPr>
            </w:pPr>
            <w:r>
              <w:rPr>
                <w:rFonts w:hint="eastAsia"/>
                <w:b/>
                <w:sz w:val="21"/>
              </w:rPr>
              <w:t>★2.2.1专门用于本项目的采样车不少于6辆（采样车辆须保证在服务期内可正常使用，不受市内限号影响）。投标人需提供车辆相关权属证明（发票证明或租赁合同等）复印件，及车辆所需各类证照齐全、合法营运），不得提供违法或不能正常使用的残破车辆。</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4B05A9D">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6DA359F">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5F8EF85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BF1FE9F">
            <w:pPr>
              <w:widowControl/>
              <w:wordWrap w:val="0"/>
              <w:spacing w:line="480" w:lineRule="atLeas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BFD1CD9">
            <w:pPr>
              <w:pStyle w:val="11"/>
              <w:jc w:val="left"/>
              <w:rPr>
                <w:rFonts w:hint="eastAsia"/>
                <w:b/>
                <w:sz w:val="21"/>
              </w:rPr>
            </w:pPr>
            <w:r>
              <w:rPr>
                <w:rFonts w:hint="eastAsia"/>
                <w:b/>
                <w:sz w:val="21"/>
              </w:rPr>
              <w:t>★2.5.3中标人必须为突击队员全体购买突击检查所需的全过程意外商业保险。并承担不可预见的政策原因费用。（投标时须提供承诺函加盖公章，承诺函格式自定）</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C3BE80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396AC88">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1E992045">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bookmarkStart w:id="0" w:name="_GoBack"/>
      <w:bookmarkEnd w:id="0"/>
      <w:r>
        <w:rPr>
          <w:rFonts w:hint="eastAsia" w:ascii="宋体" w:hAnsi="宋体" w:eastAsia="宋体" w:cs="宋体"/>
          <w:color w:val="000000" w:themeColor="text1"/>
          <w:kern w:val="0"/>
          <w:sz w:val="24"/>
          <w:szCs w:val="24"/>
          <w14:textFill>
            <w14:solidFill>
              <w14:schemeClr w14:val="tx1"/>
            </w14:solidFill>
          </w14:textFill>
        </w:rPr>
        <w:t>说明：</w:t>
      </w:r>
    </w:p>
    <w:p w14:paraId="0BB94DAD">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36E5DFE2">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2.本表所列条款必须一一予以响应，“投标人响应情况”一栏应填写具体的响应内容，有差异的要具体说明。</w:t>
      </w:r>
    </w:p>
    <w:p w14:paraId="2D5975AE">
      <w:pPr>
        <w:widowControl/>
        <w:shd w:val="clear" w:color="auto" w:fill="FFFFFF"/>
        <w:spacing w:line="480" w:lineRule="atLeas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3.请投标人认真填写本表内容，如填写错误将可能导致投标无效。</w:t>
      </w:r>
    </w:p>
    <w:p w14:paraId="2F353F5F">
      <w:pPr>
        <w:rPr>
          <w:rFonts w:hint="eastAsia" w:ascii="宋体" w:hAnsi="宋体" w:eastAsia="宋体" w:cs="宋体"/>
          <w:color w:val="000000" w:themeColor="text1"/>
          <w:sz w:val="24"/>
          <w:szCs w:val="24"/>
          <w14:textFill>
            <w14:solidFill>
              <w14:schemeClr w14:val="tx1"/>
            </w14:solidFill>
          </w14:textFill>
        </w:rPr>
      </w:pPr>
    </w:p>
    <w:p w14:paraId="421EF4FC">
      <w:pPr>
        <w:rPr>
          <w:rFonts w:hint="eastAsia" w:ascii="宋体" w:hAnsi="宋体" w:eastAsia="宋体" w:cs="宋体"/>
          <w:color w:val="000000" w:themeColor="text1"/>
          <w:sz w:val="24"/>
          <w:szCs w:val="24"/>
          <w14:textFill>
            <w14:solidFill>
              <w14:schemeClr w14:val="tx1"/>
            </w14:solidFill>
          </w14:textFill>
        </w:rPr>
      </w:pPr>
    </w:p>
    <w:p w14:paraId="5AF0B79F">
      <w:pPr>
        <w:rPr>
          <w:rFonts w:hint="eastAsia" w:ascii="宋体" w:hAnsi="宋体" w:eastAsia="宋体" w:cs="宋体"/>
          <w:color w:val="000000" w:themeColor="text1"/>
          <w:sz w:val="24"/>
          <w:szCs w:val="24"/>
          <w14:textFill>
            <w14:solidFill>
              <w14:schemeClr w14:val="tx1"/>
            </w14:solidFill>
          </w14:textFill>
        </w:rPr>
      </w:pPr>
    </w:p>
    <w:p w14:paraId="50D783AB">
      <w:pPr>
        <w:rPr>
          <w:rFonts w:hint="eastAsia" w:ascii="宋体" w:hAnsi="宋体" w:eastAsia="宋体" w:cs="宋体"/>
          <w:color w:val="000000" w:themeColor="text1"/>
          <w:sz w:val="24"/>
          <w:szCs w:val="24"/>
          <w14:textFill>
            <w14:solidFill>
              <w14:schemeClr w14:val="tx1"/>
            </w14:solidFill>
          </w14:textFill>
        </w:rPr>
      </w:pPr>
    </w:p>
    <w:p w14:paraId="7F1203E2">
      <w:pPr>
        <w:rPr>
          <w:rFonts w:hint="eastAsia" w:ascii="宋体" w:hAnsi="宋体" w:eastAsia="宋体" w:cs="宋体"/>
          <w:color w:val="000000" w:themeColor="text1"/>
          <w:sz w:val="24"/>
          <w:szCs w:val="24"/>
          <w14:textFill>
            <w14:solidFill>
              <w14:schemeClr w14:val="tx1"/>
            </w14:solidFill>
          </w14:textFill>
        </w:rPr>
      </w:pPr>
    </w:p>
    <w:p w14:paraId="1A943D38">
      <w:pPr>
        <w:rPr>
          <w:rFonts w:hint="eastAsia" w:ascii="宋体" w:hAnsi="宋体" w:eastAsia="宋体" w:cs="宋体"/>
          <w:color w:val="000000" w:themeColor="text1"/>
          <w:sz w:val="24"/>
          <w:szCs w:val="24"/>
          <w14:textFill>
            <w14:solidFill>
              <w14:schemeClr w14:val="tx1"/>
            </w14:solidFill>
          </w14:textFill>
        </w:rPr>
      </w:pPr>
    </w:p>
    <w:p w14:paraId="23FE4877">
      <w:pPr>
        <w:rPr>
          <w:rFonts w:hint="eastAsia" w:ascii="宋体" w:hAnsi="宋体" w:eastAsia="宋体" w:cs="宋体"/>
          <w:color w:val="000000" w:themeColor="text1"/>
          <w:sz w:val="24"/>
          <w:szCs w:val="24"/>
          <w14:textFill>
            <w14:solidFill>
              <w14:schemeClr w14:val="tx1"/>
            </w14:solidFill>
          </w14:textFill>
        </w:rPr>
      </w:pPr>
    </w:p>
    <w:p w14:paraId="79FD888E">
      <w:pPr>
        <w:rPr>
          <w:rFonts w:hint="eastAsia" w:ascii="宋体" w:hAnsi="宋体" w:eastAsia="宋体" w:cs="宋体"/>
          <w:color w:val="000000" w:themeColor="text1"/>
          <w:sz w:val="24"/>
          <w:szCs w:val="24"/>
          <w14:textFill>
            <w14:solidFill>
              <w14:schemeClr w14:val="tx1"/>
            </w14:solidFill>
          </w14:textFill>
        </w:rPr>
      </w:pPr>
    </w:p>
    <w:p w14:paraId="06FA4E9C">
      <w:pPr>
        <w:rPr>
          <w:rFonts w:hint="eastAsia" w:ascii="宋体" w:hAnsi="宋体" w:eastAsia="宋体" w:cs="宋体"/>
          <w:color w:val="000000" w:themeColor="text1"/>
          <w:sz w:val="24"/>
          <w:szCs w:val="24"/>
          <w14:textFill>
            <w14:solidFill>
              <w14:schemeClr w14:val="tx1"/>
            </w14:solidFill>
          </w14:textFill>
        </w:rPr>
      </w:pPr>
    </w:p>
    <w:p w14:paraId="1D3DF9A4">
      <w:pPr>
        <w:rPr>
          <w:rFonts w:hint="eastAsia" w:ascii="宋体" w:hAnsi="宋体" w:eastAsia="宋体" w:cs="宋体"/>
          <w:color w:val="000000" w:themeColor="text1"/>
          <w:sz w:val="24"/>
          <w:szCs w:val="24"/>
          <w14:textFill>
            <w14:solidFill>
              <w14:schemeClr w14:val="tx1"/>
            </w14:solidFill>
          </w14:textFill>
        </w:rPr>
      </w:pPr>
    </w:p>
    <w:p w14:paraId="784F827E">
      <w:pPr>
        <w:rPr>
          <w:rFonts w:hint="eastAsia" w:ascii="宋体" w:hAnsi="宋体" w:eastAsia="宋体" w:cs="宋体"/>
          <w:color w:val="000000" w:themeColor="text1"/>
          <w:sz w:val="24"/>
          <w:szCs w:val="24"/>
          <w14:textFill>
            <w14:solidFill>
              <w14:schemeClr w14:val="tx1"/>
            </w14:solidFill>
          </w14:textFill>
        </w:rPr>
      </w:pPr>
    </w:p>
    <w:p w14:paraId="328204EC">
      <w:pPr>
        <w:rPr>
          <w:rFonts w:hint="eastAsia" w:ascii="宋体" w:hAnsi="宋体" w:eastAsia="宋体" w:cs="宋体"/>
          <w:color w:val="000000" w:themeColor="text1"/>
          <w:sz w:val="24"/>
          <w:szCs w:val="24"/>
          <w14:textFill>
            <w14:solidFill>
              <w14:schemeClr w14:val="tx1"/>
            </w14:solidFill>
          </w14:textFill>
        </w:rPr>
      </w:pPr>
    </w:p>
    <w:p w14:paraId="0144F8CD">
      <w:pPr>
        <w:rPr>
          <w:rFonts w:hint="eastAsia" w:ascii="宋体" w:hAnsi="宋体" w:eastAsia="宋体" w:cs="宋体"/>
          <w:color w:val="000000" w:themeColor="text1"/>
          <w:sz w:val="24"/>
          <w:szCs w:val="24"/>
          <w14:textFill>
            <w14:solidFill>
              <w14:schemeClr w14:val="tx1"/>
            </w14:solidFill>
          </w14:textFill>
        </w:rPr>
      </w:pPr>
    </w:p>
    <w:p w14:paraId="3B46BC0E">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2NGM3NjA5MWYyMWExYjJkOTM2YWMyMzc3ZDUyZjMifQ=="/>
  </w:docVars>
  <w:rsids>
    <w:rsidRoot w:val="003F70C9"/>
    <w:rsid w:val="00122E5B"/>
    <w:rsid w:val="00294317"/>
    <w:rsid w:val="003F70C9"/>
    <w:rsid w:val="004A1696"/>
    <w:rsid w:val="006052A9"/>
    <w:rsid w:val="006960AC"/>
    <w:rsid w:val="00CD7BAD"/>
    <w:rsid w:val="0271221F"/>
    <w:rsid w:val="05587E9B"/>
    <w:rsid w:val="08964B56"/>
    <w:rsid w:val="0AA25A34"/>
    <w:rsid w:val="0AFE6A9B"/>
    <w:rsid w:val="0B7735F3"/>
    <w:rsid w:val="0F113188"/>
    <w:rsid w:val="16F47617"/>
    <w:rsid w:val="17FA4FFA"/>
    <w:rsid w:val="1C8B27CB"/>
    <w:rsid w:val="359A3628"/>
    <w:rsid w:val="35BF4E3C"/>
    <w:rsid w:val="39673821"/>
    <w:rsid w:val="3B157439"/>
    <w:rsid w:val="3D3A72AE"/>
    <w:rsid w:val="40B01F51"/>
    <w:rsid w:val="41894C7C"/>
    <w:rsid w:val="51E657D3"/>
    <w:rsid w:val="57C32112"/>
    <w:rsid w:val="58A04458"/>
    <w:rsid w:val="5C2F5FC8"/>
    <w:rsid w:val="5EAC7C0A"/>
    <w:rsid w:val="5EC04335"/>
    <w:rsid w:val="5F1D47FE"/>
    <w:rsid w:val="5F904FD0"/>
    <w:rsid w:val="629B6165"/>
    <w:rsid w:val="63761131"/>
    <w:rsid w:val="65711400"/>
    <w:rsid w:val="6A453B59"/>
    <w:rsid w:val="6B172125"/>
    <w:rsid w:val="6BA367B4"/>
    <w:rsid w:val="6DE42C1B"/>
    <w:rsid w:val="711517D9"/>
    <w:rsid w:val="71CD6F77"/>
    <w:rsid w:val="73E73C41"/>
    <w:rsid w:val="77470212"/>
    <w:rsid w:val="78D9133E"/>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imes New Roman"/>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spacing w:line="360" w:lineRule="auto"/>
      <w:ind w:left="181" w:firstLine="420"/>
    </w:pPr>
    <w:rPr>
      <w:rFonts w:ascii="Times New Roman" w:hAnsi="Times New Roman"/>
      <w:szCs w:val="20"/>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customStyle="1" w:styleId="6">
    <w:name w:val="正文首行缩进_0_0"/>
    <w:basedOn w:val="7"/>
    <w:autoRedefine/>
    <w:qFormat/>
    <w:uiPriority w:val="0"/>
    <w:pPr>
      <w:spacing w:line="312" w:lineRule="auto"/>
      <w:ind w:firstLine="420"/>
    </w:pPr>
    <w:rPr>
      <w:kern w:val="0"/>
      <w:sz w:val="20"/>
    </w:rPr>
  </w:style>
  <w:style w:type="paragraph" w:customStyle="1" w:styleId="7">
    <w:name w:val="正文文本_0_0"/>
    <w:basedOn w:val="8"/>
    <w:autoRedefine/>
    <w:qFormat/>
    <w:uiPriority w:val="0"/>
    <w:pPr>
      <w:spacing w:after="120"/>
    </w:pPr>
  </w:style>
  <w:style w:type="paragraph" w:customStyle="1" w:styleId="8">
    <w:name w:val="正文_2"/>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next w:val="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标题 2_0"/>
    <w:basedOn w:val="9"/>
    <w:next w:val="9"/>
    <w:autoRedefine/>
    <w:qFormat/>
    <w:uiPriority w:val="0"/>
    <w:pPr>
      <w:keepNext/>
      <w:keepLines/>
      <w:adjustRightInd w:val="0"/>
      <w:spacing w:beforeLines="20" w:afterLines="20" w:line="360" w:lineRule="auto"/>
      <w:outlineLvl w:val="1"/>
    </w:pPr>
    <w:rPr>
      <w:rFonts w:ascii="宋体" w:hAnsi="宋体"/>
      <w:b/>
      <w:kern w:val="0"/>
      <w:sz w:val="30"/>
      <w:szCs w:val="20"/>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240</Words>
  <Characters>243</Characters>
  <Lines>4</Lines>
  <Paragraphs>1</Paragraphs>
  <TotalTime>0</TotalTime>
  <ScaleCrop>false</ScaleCrop>
  <LinksUpToDate>false</LinksUpToDate>
  <CharactersWithSpaces>243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2023-02-28T03:33:00Z</dcterms:created>
  <dc:creator>朱志强</dc:creator>
  <cp:lastModifiedBy>R:KISS</cp:lastModifiedBy>
  <dcterms:modified xsi:type="dcterms:W3CDTF">2024-08-02T10:45:50Z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D68BF584FE454DBB9EFE1D6A3D3E5C24_13</vt:lpwstr>
  </property>
</Properties>
</file>