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440001-2024-26159</w:t>
      </w:r>
    </w:p>
    <w:p>
      <w:pPr>
        <w:pStyle w:val="null3"/>
        <w:jc w:val="center"/>
        <w:outlineLvl w:val="3"/>
      </w:pPr>
      <w:r>
        <w:rPr>
          <w:sz w:val="24"/>
          <w:b/>
        </w:rPr>
        <w:t>采购项目编号：</w:t>
      </w:r>
      <w:r>
        <w:rPr>
          <w:sz w:val="24"/>
          <w:b/>
        </w:rPr>
        <w:t>ZZ0240296</w:t>
      </w:r>
    </w:p>
    <w:p>
      <w:pPr>
        <w:pStyle w:val="null3"/>
        <w:jc w:val="center"/>
        <w:outlineLvl w:val="3"/>
      </w:pPr>
      <w:r>
        <w:rPr>
          <w:sz w:val="24"/>
          <w:b/>
        </w:rPr>
        <w:t>项目名称：</w:t>
      </w:r>
      <w:r>
        <w:rPr>
          <w:sz w:val="24"/>
          <w:b/>
        </w:rPr>
        <w:t>省市场监管局网络安全合规测评服务（2024年）</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广东省市场监督管理局</w:t>
      </w:r>
      <w:r>
        <w:rPr/>
        <w:t>的委托，采用</w:t>
      </w:r>
      <w:r>
        <w:rPr/>
        <w:t>竞争性磋商</w:t>
      </w:r>
      <w:r>
        <w:rPr/>
        <w:t>方式组织采购</w:t>
      </w:r>
      <w:r>
        <w:rPr/>
        <w:t>省市场监管局网络安全合规测评服务（2024年）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省市场监管局网络安全合规测评服务（2024年）</w:t>
      </w:r>
    </w:p>
    <w:p>
      <w:pPr>
        <w:pStyle w:val="null3"/>
        <w:ind w:firstLine="480"/>
      </w:pPr>
      <w:r>
        <w:rPr/>
        <w:t>采购计划编号：</w:t>
      </w:r>
      <w:r>
        <w:rPr/>
        <w:t>440001-2024-26159</w:t>
      </w:r>
    </w:p>
    <w:p>
      <w:pPr>
        <w:pStyle w:val="null3"/>
        <w:ind w:firstLine="480"/>
      </w:pPr>
      <w:r>
        <w:rPr/>
        <w:t>采购项目编号：</w:t>
      </w:r>
      <w:r>
        <w:rPr/>
        <w:t>ZZ0240296</w:t>
      </w:r>
    </w:p>
    <w:p>
      <w:pPr>
        <w:pStyle w:val="null3"/>
        <w:ind w:firstLine="480"/>
      </w:pPr>
      <w:r>
        <w:rPr/>
        <w:t>采购方式：</w:t>
      </w:r>
      <w:r>
        <w:rPr/>
        <w:t>竞争性磋商</w:t>
      </w:r>
    </w:p>
    <w:p>
      <w:pPr>
        <w:pStyle w:val="null3"/>
        <w:ind w:firstLine="480"/>
      </w:pPr>
      <w:r>
        <w:rPr/>
        <w:t>预算金额：</w:t>
      </w:r>
      <w:r>
        <w:rPr/>
        <w:t>1,317,600.00</w:t>
      </w:r>
      <w:r>
        <w:rPr/>
        <w:t>元</w:t>
      </w:r>
    </w:p>
    <w:p>
      <w:pPr>
        <w:pStyle w:val="null3"/>
        <w:outlineLvl w:val="3"/>
      </w:pPr>
      <w:r>
        <w:rPr>
          <w:sz w:val="24"/>
          <w:b/>
        </w:rPr>
        <w:t>2.项目内容及需求情况（采购项目技术规格、参数及要求）</w:t>
      </w:r>
    </w:p>
    <w:p>
      <w:pPr>
        <w:pStyle w:val="null3"/>
      </w:pPr>
      <w:r>
        <w:rPr/>
        <w:t>采购包1(省市场监管局网络安全合规测评服务（2024年）):</w:t>
      </w:r>
    </w:p>
    <w:p>
      <w:pPr>
        <w:pStyle w:val="null3"/>
      </w:pPr>
      <w:r>
        <w:rPr/>
        <w:t>采购包预算金额：1,317,600.00元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测试评估认证服务</w:t>
            </w:r>
          </w:p>
        </w:tc>
        <w:tc>
          <w:tcPr>
            <w:tcW w:type="dxa" w:w="2136"/>
          </w:tcPr>
          <w:p>
            <w:pPr>
              <w:pStyle w:val="null3"/>
            </w:pPr>
            <w:r>
              <w:rPr/>
              <w:t>省市场监管局网络安全合规测评服务（2024年）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合同履行期限：本项目服务期限自合同签订之日至提供的服务内容全部完成之日止。如遇测评数量不满足需求数量，服务期限顺延直至测评信息系统数量符合需求数量为止。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2022年度财务状况报告或2023年度财务状况报告或投标截止日前6个月内任意1个月的财务报表复印件；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采购包1（省市场监管局网络安全合规测评服务（2024年））：</w:t>
      </w:r>
      <w:r>
        <w:rPr/>
        <w:t>本项目为非专门面向中小企业采购的项目，中小企业划分标准所属行业为：信息传输业。</w:t>
      </w:r>
    </w:p>
    <w:p>
      <w:pPr>
        <w:pStyle w:val="null3"/>
        <w:outlineLvl w:val="3"/>
      </w:pPr>
      <w:r>
        <w:rPr>
          <w:sz w:val="24"/>
          <w:b/>
        </w:rPr>
        <w:t>3.本项目特定的资格要求：</w:t>
      </w:r>
    </w:p>
    <w:p>
      <w:pPr>
        <w:pStyle w:val="null3"/>
      </w:pPr>
      <w:r>
        <w:rPr/>
        <w:t>采购包1（省市场监管局网络安全合规测评服务（2024年））：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3)供应商具有有效的“网络安全等级测评与检测评估机构服务认证证书”（公安部第三研究所颁发）或被列入《全国网络安全等级测评与检测评估机构目录》（网络安全等级保护网发布），提供相关证明材料。</w:t>
      </w:r>
    </w:p>
    <w:p>
      <w:pPr>
        <w:pStyle w:val="null3"/>
      </w:pPr>
      <w:r>
        <w:rPr/>
        <w:t>4)供应商为国家密码管理局认定的商用密码应用安全性测评机构试点单位（即：列入国家密码管理局公告（国家密码管理局公告（第42号））明确的《商用密码应用安全性评估试点机构目录》），提供相关证明材料。</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广东省市场监督管理局</w:t>
      </w:r>
    </w:p>
    <w:p>
      <w:pPr>
        <w:pStyle w:val="null3"/>
        <w:ind w:firstLine="480"/>
      </w:pPr>
      <w:r>
        <w:rPr/>
        <w:t>地址：</w:t>
      </w:r>
      <w:r>
        <w:rPr/>
        <w:t>广州市天河区黄埔大道西363号</w:t>
      </w:r>
    </w:p>
    <w:p>
      <w:pPr>
        <w:pStyle w:val="null3"/>
        <w:ind w:firstLine="480"/>
      </w:pPr>
      <w:r>
        <w:rPr/>
        <w:t>联系方式：</w:t>
      </w:r>
      <w:r>
        <w:rPr/>
        <w:t>020-38835154</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w:t>
      </w:r>
      <w:r>
        <w:rPr>
          <w:sz w:val="21"/>
          <w:shd w:fill="FFFFFF" w:val="clear"/>
        </w:rPr>
        <w:t>、供应商须对本项目为单位（有划分包组的，则以包组为单位）的标的物进行整体投标，任何只对其中一部分内容进行的投标都被视为无效投标。</w:t>
      </w:r>
    </w:p>
    <w:p>
      <w:pPr>
        <w:pStyle w:val="null3"/>
        <w:ind w:left="-165" w:firstLine="480"/>
        <w:jc w:val="both"/>
      </w:pPr>
      <w:r>
        <w:rPr>
          <w:sz w:val="21"/>
          <w:shd w:fill="FFFFFF" w:val="clear"/>
        </w:rPr>
        <w:t>2</w:t>
      </w:r>
      <w:r>
        <w:rPr>
          <w:sz w:val="21"/>
          <w:shd w:fill="FFFFFF" w:val="clear"/>
        </w:rPr>
        <w:t>、磋商文件中，凡标有“★”的地方均为实质性响应条款，供应商若有一项带“★”的条款未响应或不满足，将按无效响应处理。</w:t>
      </w:r>
    </w:p>
    <w:p>
      <w:pPr>
        <w:pStyle w:val="null3"/>
        <w:ind w:left="-165" w:firstLine="480"/>
        <w:jc w:val="both"/>
      </w:pPr>
      <w:r>
        <w:rPr>
          <w:sz w:val="21"/>
          <w:shd w:fill="FFFFFF" w:val="clear"/>
        </w:rPr>
        <w:t>3</w:t>
      </w:r>
      <w:r>
        <w:rPr>
          <w:sz w:val="21"/>
          <w:shd w:fill="FFFFFF" w:val="clear"/>
        </w:rPr>
        <w:t>、本项目对应的中小企业划分标准所属行业为：</w:t>
      </w:r>
      <w:r>
        <w:rPr>
          <w:sz w:val="21"/>
          <w:u w:val="single"/>
          <w:shd w:fill="FFFFFF" w:val="clear"/>
        </w:rPr>
        <w:t xml:space="preserve"> 信息传输业 </w:t>
      </w:r>
      <w:r>
        <w:rPr>
          <w:sz w:val="21"/>
          <w:shd w:fill="FFFFFF" w:val="clear"/>
        </w:rPr>
        <w:t>行业。</w:t>
      </w:r>
    </w:p>
    <w:p>
      <w:pPr>
        <w:pStyle w:val="null3"/>
        <w:jc w:val="both"/>
      </w:pPr>
      <w:r>
        <w:rPr>
          <w:sz w:val="26"/>
          <w:b/>
          <w:color w:val="666666"/>
          <w:shd w:fill="FFFFFF" w:val="clear"/>
        </w:rPr>
        <w:t>二、</w:t>
      </w:r>
      <w:r>
        <w:rPr>
          <w:sz w:val="26"/>
          <w:b/>
          <w:color w:val="666666"/>
          <w:shd w:fill="FFFFFF" w:val="clear"/>
        </w:rPr>
        <w:t>项目总体目标</w:t>
      </w:r>
    </w:p>
    <w:p>
      <w:pPr>
        <w:pStyle w:val="null3"/>
        <w:ind w:firstLine="420"/>
        <w:jc w:val="both"/>
      </w:pPr>
      <w:r>
        <w:rPr>
          <w:sz w:val="21"/>
          <w:color w:val="000000"/>
        </w:rPr>
        <w:t>通过等保测评、商用密码测评、验收测评及病毒防护服务，有效提高被测信息化系统建设的整体水平，有利于在信息化建设过程中保障信息安全与信息化建设相协调；有利于为信息化系统安全建设和管理提供系统性、针对性、可行性的指导和服务，有效控制信息安全建设成本；有利于优化信息安全的配置，对信息系统分级实施保护，重点保障基础信息网络和关系国家安全、经济命脉、社会稳定等方面的重要信息系统的安全；有利于明确广东省市场监督管理局信息化项目安全责任，加强信息安全管理，进一步提高系统的安全防护能力。</w:t>
      </w:r>
    </w:p>
    <w:p>
      <w:pPr>
        <w:pStyle w:val="null3"/>
        <w:ind w:firstLine="420"/>
        <w:jc w:val="both"/>
      </w:pPr>
      <w:r>
        <w:rPr>
          <w:sz w:val="26"/>
          <w:b/>
          <w:color w:val="666666"/>
          <w:shd w:fill="FFFFFF" w:val="clear"/>
        </w:rPr>
        <w:t>三、</w:t>
      </w:r>
      <w:r>
        <w:rPr>
          <w:sz w:val="26"/>
          <w:b/>
          <w:color w:val="666666"/>
          <w:shd w:fill="FFFFFF" w:val="clear"/>
        </w:rPr>
        <w:t>服务地点</w:t>
      </w:r>
    </w:p>
    <w:p>
      <w:pPr>
        <w:pStyle w:val="null3"/>
        <w:ind w:firstLine="480"/>
        <w:jc w:val="both"/>
      </w:pPr>
      <w:r>
        <w:rPr>
          <w:sz w:val="21"/>
          <w:shd w:fill="FFFFFF" w:val="clear"/>
        </w:rPr>
        <w:t>广东省市场监督管理局指定地点。</w:t>
      </w:r>
    </w:p>
    <w:p>
      <w:pPr>
        <w:pStyle w:val="null3"/>
        <w:ind w:firstLine="480"/>
        <w:jc w:val="both"/>
      </w:pPr>
      <w:r>
        <w:rPr>
          <w:sz w:val="26"/>
          <w:b/>
          <w:color w:val="666666"/>
          <w:shd w:fill="FFFFFF" w:val="clear"/>
        </w:rPr>
        <w:t>四、项目背景</w:t>
      </w:r>
    </w:p>
    <w:p>
      <w:pPr>
        <w:pStyle w:val="null3"/>
        <w:ind w:firstLine="480"/>
        <w:jc w:val="both"/>
      </w:pPr>
      <w:r>
        <w:rPr>
          <w:sz w:val="21"/>
          <w:shd w:fill="FFFFFF" w:val="clear"/>
        </w:rPr>
        <w:t>网络安全等级保护是国家信息安全保障的基本制度、基本策略、基本方法。开展信息安全等级保护工作是保护信息化发展、维护国家信息安全的根本保障，也是《中华人民共和国网络安全法》的要求。</w:t>
      </w:r>
    </w:p>
    <w:p>
      <w:pPr>
        <w:pStyle w:val="null3"/>
        <w:ind w:firstLine="480"/>
        <w:jc w:val="both"/>
      </w:pPr>
      <w:r>
        <w:rPr>
          <w:sz w:val="21"/>
          <w:shd w:fill="FFFFFF" w:val="clear"/>
        </w:rPr>
        <w:t>随着“数字政府”改革工作的推进，为加强广东省市场监督管理局在公共信息化系统信息安全等方面的管理，规范信息系统安全机制建设，提高信息系统运行环境安全，需要委托具有国家承认测评资质的测评机构对单位所属信息系统展开等级保护测评，找出与国家信息安全等级保护基本要求存在的差距，在此基础上，单位按照国家有关规定和标准规范要求对信息系统进行安全建设整改，并达到国家信息安全等级保护相关要求。切实提高单位的信息安全防护水平，增强信息安全防护能力。</w:t>
      </w:r>
    </w:p>
    <w:p>
      <w:pPr>
        <w:pStyle w:val="null3"/>
        <w:ind w:firstLine="480"/>
        <w:jc w:val="both"/>
      </w:pPr>
      <w:r>
        <w:rPr>
          <w:sz w:val="21"/>
          <w:shd w:fill="FFFFFF" w:val="clear"/>
        </w:rPr>
        <w:t>党和国家高度重视商用密码应用及评估工作，提出“加强以密码技术为基础的信息保护和网络信任体系建设，要建立协调管理机制，规范和加强以身份认证、授权管理、责任认定等为主要内容的网络信任体系建设”。2020年1月1日起《中华人民共和国密码法》正式施行，密码法第二十七条规定“法律、行政法规和国家有关规定要求使用商用密码进行保护的关键信息基础设施，其运营者应当使用商用密码进行保护，自行或者委托商用密码检测机构开展商用密码应用安全性评估。商用密码应用安全性评估应当与关键信息基础设施安全检测评估、网络安全等级测评制度相衔接，避免重复评估、测评”。</w:t>
      </w:r>
    </w:p>
    <w:p>
      <w:pPr>
        <w:pStyle w:val="null3"/>
        <w:ind w:firstLine="480"/>
        <w:jc w:val="both"/>
      </w:pPr>
      <w:r>
        <w:rPr>
          <w:sz w:val="26"/>
          <w:b/>
          <w:color w:val="666666"/>
          <w:shd w:fill="FFFFFF" w:val="clear"/>
        </w:rPr>
        <w:t>五、项目预算</w:t>
      </w:r>
    </w:p>
    <w:p>
      <w:pPr>
        <w:pStyle w:val="null3"/>
        <w:ind w:firstLine="480"/>
        <w:jc w:val="both"/>
      </w:pPr>
      <w:r>
        <w:rPr>
          <w:sz w:val="21"/>
          <w:shd w:fill="FFFFFF" w:val="clear"/>
        </w:rPr>
        <w:t>本项目总预算约131.76万元。</w:t>
      </w:r>
    </w:p>
    <w:p>
      <w:pPr>
        <w:pStyle w:val="null3"/>
        <w:ind w:firstLine="480"/>
        <w:jc w:val="both"/>
      </w:pPr>
      <w:r>
        <w:rPr>
          <w:sz w:val="21"/>
          <w:shd w:fill="FFFFFF" w:val="clear"/>
        </w:rPr>
        <w:t>包含等保测评、商用密码测评、验收测评及病毒防护服务等配套的第三方服务。</w:t>
      </w:r>
    </w:p>
    <w:p>
      <w:pPr>
        <w:pStyle w:val="null3"/>
      </w:pPr>
      <w:r>
        <w:rPr/>
        <w:t>采购包1（省市场监管局网络安全合规测评服务（2024年））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本项目服务期限自合同签订之日至提供的服务内容全部完成之日止。如遇测评数量不满足需求数量，服务期限顺延直至测评信息系统数量符合需求数量为止。</w:t>
            </w:r>
          </w:p>
        </w:tc>
      </w:tr>
      <w:tr>
        <w:tc>
          <w:tcPr>
            <w:tcW w:type="dxa" w:w="4153"/>
          </w:tcPr>
          <w:p>
            <w:pPr>
              <w:pStyle w:val="null3"/>
            </w:pPr>
            <w:r>
              <w:rPr/>
              <w:t>标的提供的地点</w:t>
            </w:r>
          </w:p>
        </w:tc>
        <w:tc>
          <w:tcPr>
            <w:tcW w:type="dxa" w:w="4153"/>
          </w:tcPr>
          <w:p>
            <w:pPr>
              <w:pStyle w:val="null3"/>
            </w:pPr>
            <w:r>
              <w:rPr/>
              <w:t>广东省市场监督管理局指定地点。</w:t>
            </w:r>
          </w:p>
        </w:tc>
      </w:tr>
      <w:tr>
        <w:tc>
          <w:tcPr>
            <w:tcW w:type="dxa" w:w="4153"/>
          </w:tcPr>
          <w:p>
            <w:pPr>
              <w:pStyle w:val="null3"/>
            </w:pPr>
            <w:r>
              <w:rPr/>
              <w:t>付款方式</w:t>
            </w:r>
          </w:p>
        </w:tc>
        <w:tc>
          <w:tcPr>
            <w:tcW w:type="dxa" w:w="4153"/>
          </w:tcPr>
          <w:p>
            <w:pPr>
              <w:pStyle w:val="null3"/>
            </w:pPr>
            <w:r>
              <w:rPr/>
              <w:t>1期：支付比例30%,首期款：项目合同签订后10个工作日内，成交供应商书面提出支付申请函及拟支付金额等额的符合采购人财务管理要求的相应发票，采购人确认后启动支付流程向成交供应商支付合同总金额的30%。</w:t>
            </w:r>
          </w:p>
          <w:p>
            <w:pPr>
              <w:pStyle w:val="null3"/>
            </w:pPr>
            <w:r>
              <w:rPr/>
              <w:t>2期：支付比例40%,进度款：项目合同生效之日起满9个月，成交供应商提交书面支付申请函、阶段性工作报告和向采购人提供相应金额的、符合国家规定且满足采购人服务管理要求的正规发票，采购人在收到成交供应商的申请及发票后10个工作日内，启动进度款支付流程，支付合同总金额的40%。</w:t>
            </w:r>
          </w:p>
          <w:p>
            <w:pPr>
              <w:pStyle w:val="null3"/>
            </w:pPr>
            <w:r>
              <w:rPr/>
              <w:t>3期：支付比例30%,项目通过最终验收后，成交供应商书面提出支付申请函及拟支付金额等额的符合采购人财务管理要求的相应发票，采购人在收到成交供应商的申请及发票后10个工作日内，启动尾款支付流程，支付合同总金额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供应商在服务项目履行结束后由验收人员组织对项目内容的履约结果进行验收，以确认服务内容和质量符合相关要求。验收过程由项目参与人员分别签署验收意见，验收结果不完全符合的，应在限定期限内达到项目内容约定的要求。验收所发生的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知识产权要求，属本项目实施中所产生的所有工作成果（包括但不限于发明、发现及相关技术资料、文档等）的知识产权归广东省市场监督管理局所有。成交供应商保证所提供的服务没有侵害任何第三方的知识产权或其他正当权益。如有第三方指控成交供应商提供给广东省市场监督管理局的服务侵犯了该方的知识产权或其他权利，成交供应商应自费就上述指控为广东省市场监督管理局辩护或进行妥善处理，并承担给广东省市场监督管理局及第三方造成的一切损失（包括但不限于赔偿金、律师费等）。如成交供应商不为广东省市场监督管理局辩护或不进行妥善处理，广东省市场监督管理局可自行处理，广东省市场监督管理局与第三方达成的和解协议或法院生效判决由广东省市场监督管理局承担的责任，及广东省市场监督管理局自行处理所支出的费用（包括但不限于律师费、案件受理费、执行费、差旅费等）由成交供应商承担。</w:t>
            </w:r>
          </w:p>
          <w:p>
            <w:pPr>
              <w:pStyle w:val="null3"/>
            </w:pPr>
            <w:r>
              <w:rPr/>
              <w:t>2.保密要求，2.1在服务期间，成交供应商派驻服务团队须严格遵守采购人制定的各项规章制度、管理流程以及操作规范。如有违反，将追究服务商责任。 2.2不论何时（服务期间或服务期结束后），成交供应商须对安全服务过程中接触的采购人所有信息和数据保密。未经允许不得以任何方式向外界传递或泄露采购人的任何信息或数据，一旦发现，将追究成交供应商法律责任。 2.3对采购人委托运行维护及管理的全部资产（包括全部设备、线路、软件、配套设施、系统产生的各类数据信息及相关文档资料等），成交供应商不得以任何方式对其进行出售、抵押或转移；且在服务期间，成交供应商有责任保证上述资产的完整、安全并处于良好状态，因成交供应商责任而导致的设备损坏或资产损失，由成交供应商承担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测试评估认证服务</w:t>
            </w:r>
          </w:p>
        </w:tc>
        <w:tc>
          <w:tcPr>
            <w:tcW w:type="dxa" w:w="933"/>
          </w:tcPr>
          <w:p>
            <w:pPr>
              <w:pStyle w:val="null3"/>
              <w:jc w:val="left"/>
            </w:pPr>
            <w:r>
              <w:rPr/>
              <w:t>省市场监管局网络安全合规测评服务（2024年）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1,317,600.00</w:t>
            </w:r>
          </w:p>
        </w:tc>
        <w:tc>
          <w:tcPr>
            <w:tcW w:type="dxa" w:w="933"/>
          </w:tcPr>
          <w:p>
            <w:pPr>
              <w:pStyle w:val="null3"/>
              <w:jc w:val="right"/>
            </w:pPr>
            <w:r>
              <w:rPr/>
              <w:t>1,317,600.00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省市场监管局网络安全合规测评服务（2024年）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outlineLvl w:val="2"/>
            </w:pPr>
            <w:r>
              <w:rPr>
                <w:sz w:val="21"/>
                <w:b/>
              </w:rPr>
              <w:t>等级保护测评服务要求：</w:t>
            </w:r>
          </w:p>
          <w:p>
            <w:pPr>
              <w:pStyle w:val="null3"/>
              <w:outlineLvl w:val="3"/>
            </w:pPr>
            <w:r>
              <w:rPr>
                <w:sz w:val="21"/>
                <w:b/>
              </w:rPr>
              <w:t>1.</w:t>
            </w:r>
            <w:r>
              <w:rPr>
                <w:sz w:val="21"/>
                <w:b/>
              </w:rPr>
              <w:t>服务目标</w:t>
            </w:r>
          </w:p>
          <w:p>
            <w:pPr>
              <w:pStyle w:val="null3"/>
              <w:ind w:firstLine="420"/>
              <w:jc w:val="both"/>
            </w:pPr>
            <w:r>
              <w:rPr>
                <w:sz w:val="21"/>
              </w:rPr>
              <w:t>通过本次网络安全信息化专项服务项目，对已建三级系统和新建系统开展安全等保测评和工作，找出与国家安全等级保护标准要求之间的差距，形成整改建议，并在指导下完成安全整改工作，最终形成符合公安机关等监管部门要求的等级保护测评报告。</w:t>
            </w:r>
          </w:p>
          <w:p>
            <w:pPr>
              <w:pStyle w:val="null3"/>
              <w:outlineLvl w:val="3"/>
            </w:pPr>
            <w:r>
              <w:rPr>
                <w:sz w:val="21"/>
                <w:b/>
              </w:rPr>
              <w:t>2.</w:t>
            </w:r>
            <w:r>
              <w:rPr>
                <w:sz w:val="21"/>
                <w:b/>
              </w:rPr>
              <w:t>服务范围、频次</w:t>
            </w:r>
          </w:p>
          <w:p>
            <w:pPr>
              <w:pStyle w:val="null3"/>
              <w:ind w:firstLine="420"/>
              <w:jc w:val="both"/>
            </w:pPr>
            <w:r>
              <w:rPr>
                <w:sz w:val="21"/>
              </w:rPr>
              <w:t>完成广东省市场监督管理局4个等保3级信息系统1次的测评。（下表为参考清单，在系统总数不变的前提条件下以实际需求为准。本项服务在费用不增的情况下，服务方需为招标方提供不超过1个系统数量的弹性需求)</w:t>
            </w:r>
          </w:p>
          <w:tbl>
            <w:tblPr>
              <w:tblBorders>
                <w:top w:val="none" w:color="000000" w:sz="4"/>
                <w:left w:val="none" w:color="000000" w:sz="4"/>
                <w:bottom w:val="none" w:color="000000" w:sz="4"/>
                <w:right w:val="none" w:color="000000" w:sz="4"/>
                <w:insideH w:val="none"/>
                <w:insideV w:val="none"/>
              </w:tblBorders>
            </w:tblPr>
            <w:tblGrid>
              <w:gridCol w:w="679"/>
              <w:gridCol w:w="3789"/>
              <w:gridCol w:w="1131"/>
            </w:tblGrid>
            <w:tr>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37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系统名称</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企业注销网上服务专区系统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省市场监管局企业风险信用分析系统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食品经营风险分级管理信息化系统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省市场监管局应急实时调度指挥系统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bl>
          <w:p>
            <w:pPr>
              <w:pStyle w:val="null3"/>
              <w:ind w:firstLine="420"/>
            </w:pPr>
            <w:r>
              <w:rPr/>
              <w:t>完成广东省市场监督管理局8个等保2级信息系统1次的测评。（下表为参考清单，在系统总数不变的前提条件下以实际需求为准。本项服务在费用不增的情况下，服务方需为招标方提供不超过2个系统数量的弹性需求)</w:t>
            </w:r>
          </w:p>
          <w:tbl>
            <w:tblGrid>
              <w:gridCol w:w="622"/>
              <w:gridCol w:w="3958"/>
              <w:gridCol w:w="1018"/>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序号</w:t>
                  </w:r>
                </w:p>
              </w:tc>
              <w:tc>
                <w:tcPr>
                  <w:tcW w:type="dxa" w:w="39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项目名称</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系统等级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1</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广东省“双随机、一公开”综合监管平台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2</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直销企业数字化监管监测平台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3</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食用农产品市场销售质量安全监管系统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4</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广东省特殊食品电子追溯系统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5</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计量管理平台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6</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广东省知识产权业务管理阳光政务平台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7</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广东省市场监督管理局办公自动化系统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8</w:t>
                  </w:r>
                </w:p>
              </w:tc>
              <w:tc>
                <w:tcPr>
                  <w:tcW w:type="dxa" w:w="3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广东省市场准入信息系统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color w:val="000000"/>
                    </w:rPr>
                    <w:t>二级</w:t>
                  </w:r>
                </w:p>
              </w:tc>
            </w:tr>
          </w:tbl>
          <w:p>
            <w:pPr>
              <w:pStyle w:val="null3"/>
              <w:outlineLvl w:val="3"/>
            </w:pPr>
            <w:r>
              <w:rPr>
                <w:sz w:val="21"/>
                <w:b/>
              </w:rPr>
              <w:t>3.</w:t>
            </w:r>
            <w:r>
              <w:rPr>
                <w:sz w:val="21"/>
                <w:b/>
              </w:rPr>
              <w:t>测评依据</w:t>
            </w:r>
          </w:p>
          <w:p>
            <w:pPr>
              <w:pStyle w:val="null3"/>
            </w:pPr>
            <w:r>
              <w:rPr/>
              <w:t>1.</w:t>
            </w:r>
            <w:r>
              <w:rPr/>
              <w:t>《中华人民共和国网络安全法》</w:t>
            </w:r>
          </w:p>
          <w:p>
            <w:pPr>
              <w:pStyle w:val="null3"/>
            </w:pPr>
            <w:r>
              <w:rPr/>
              <w:t>2.</w:t>
            </w:r>
            <w:r>
              <w:rPr/>
              <w:t>《中华人民共和国计算机信息系统安全保护条例》</w:t>
            </w:r>
          </w:p>
          <w:p>
            <w:pPr>
              <w:pStyle w:val="null3"/>
            </w:pPr>
            <w:r>
              <w:rPr/>
              <w:t>3.</w:t>
            </w:r>
            <w:r>
              <w:rPr/>
              <w:t>《信息安全技术网络安全等级保护基本要求》（GB/T 22239-2019）</w:t>
            </w:r>
          </w:p>
          <w:p>
            <w:pPr>
              <w:pStyle w:val="null3"/>
            </w:pPr>
            <w:r>
              <w:rPr/>
              <w:t>4.</w:t>
            </w:r>
            <w:r>
              <w:rPr/>
              <w:t>《国务院关于大力推进信息化发展和切实保障信息安全的若干意见》</w:t>
            </w:r>
          </w:p>
          <w:p>
            <w:pPr>
              <w:pStyle w:val="null3"/>
            </w:pPr>
            <w:r>
              <w:rPr/>
              <w:t>5.</w:t>
            </w:r>
            <w:r>
              <w:rPr/>
              <w:t>《国家信息化领导小组关于加强信息安全保障工作的意见》</w:t>
            </w:r>
          </w:p>
          <w:p>
            <w:pPr>
              <w:pStyle w:val="null3"/>
            </w:pPr>
            <w:r>
              <w:rPr/>
              <w:t>6.</w:t>
            </w:r>
            <w:r>
              <w:rPr/>
              <w:t>《电子政务网络信息安全等级保护实施指南（试行）》</w:t>
            </w:r>
          </w:p>
          <w:p>
            <w:pPr>
              <w:pStyle w:val="null3"/>
            </w:pPr>
            <w:r>
              <w:rPr/>
              <w:t>7.</w:t>
            </w:r>
            <w:r>
              <w:rPr/>
              <w:t>《信息安全等级保护管理办法》</w:t>
            </w:r>
          </w:p>
          <w:p>
            <w:pPr>
              <w:pStyle w:val="null3"/>
            </w:pPr>
            <w:r>
              <w:rPr/>
              <w:t>8.</w:t>
            </w:r>
            <w:r>
              <w:rPr/>
              <w:t>《国家网络信息安全协调小组关于开展信息安全风险评估工作的意见》</w:t>
            </w:r>
          </w:p>
          <w:p>
            <w:pPr>
              <w:pStyle w:val="null3"/>
            </w:pPr>
            <w:r>
              <w:rPr/>
              <w:t>9.</w:t>
            </w:r>
            <w:r>
              <w:rPr/>
              <w:t>《关于加强信息安全管理体系认证安全管理的通知》</w:t>
            </w:r>
          </w:p>
          <w:p>
            <w:pPr>
              <w:pStyle w:val="null3"/>
              <w:outlineLvl w:val="3"/>
            </w:pPr>
            <w:r>
              <w:rPr>
                <w:sz w:val="21"/>
                <w:b/>
              </w:rPr>
              <w:t>4.</w:t>
            </w:r>
            <w:r>
              <w:rPr>
                <w:sz w:val="21"/>
                <w:b/>
              </w:rPr>
              <w:t>服务内容</w:t>
            </w:r>
          </w:p>
          <w:p>
            <w:pPr>
              <w:pStyle w:val="null3"/>
            </w:pPr>
            <w:r>
              <w:rPr/>
              <w:t>等级保护测评工作方法应该至少使用访谈、文档审查、配置检查、工具测试和实地察看等五种技术手段。</w:t>
            </w:r>
          </w:p>
          <w:p>
            <w:pPr>
              <w:pStyle w:val="null3"/>
            </w:pPr>
            <w:r>
              <w:rPr/>
              <w:t>1.</w:t>
            </w:r>
            <w:r>
              <w:rPr/>
              <w:t>按照等级保护的相关要求，安全测评单位依据《GB/T 22239-2019信息安全技术网络安全等级保护基本要求》、《GB/T 28448-2019信息安全技术网络安全等级保护测评要求》和《GB/T 20984-2022信息安全技术信息安全风险评估规范》等文件，结合广东省政务服务数据管理局信息安全制度与规范的要求，在技术服务期限内完成等保测评服务并出具信息安全等级保护测评及风险评估报告或其它检测机构符合要求的安全测试报告。</w:t>
            </w:r>
          </w:p>
          <w:p>
            <w:pPr>
              <w:pStyle w:val="null3"/>
            </w:pPr>
            <w:r>
              <w:rPr/>
              <w:t>2.</w:t>
            </w:r>
            <w:r>
              <w:rPr/>
              <w:t>安全测评单位严格按照国内现有的信息系统安全测评的有关规范和标准进行测评工作。</w:t>
            </w:r>
          </w:p>
          <w:p>
            <w:pPr>
              <w:pStyle w:val="null3"/>
            </w:pPr>
            <w:r>
              <w:rPr/>
              <w:t>（1）安全测评单位在采购人现场测评时，应遵守采购人的工作纪律，不破坏采购人的工作设备和软、硬件设施。</w:t>
            </w:r>
          </w:p>
          <w:p>
            <w:pPr>
              <w:pStyle w:val="null3"/>
            </w:pPr>
            <w:r>
              <w:rPr/>
              <w:t>（2）等保测评本身也会引入安全风险，须加强测评过程中的风险控制。项目实施前，双方应充分讨论并明确测评对系统可能带来的风险和隐患，确定测评及评估对象、测评方法和工具，并制定应急恢复措施。</w:t>
            </w:r>
          </w:p>
          <w:p>
            <w:pPr>
              <w:pStyle w:val="null3"/>
            </w:pPr>
            <w:r>
              <w:rPr/>
              <w:t>（3）测评操作须遵守现场运行规章制度，确保系统安全稳定运行。如需在线测试，按照相关工作规程，事前申请，并在专责人员的指导和监护下进行。</w:t>
            </w:r>
          </w:p>
          <w:p>
            <w:pPr>
              <w:pStyle w:val="null3"/>
            </w:pPr>
            <w:r>
              <w:rPr/>
              <w:t>（4）重视保密工作，加强测评过程中的保密管理，确保参与测评工作人员的可靠、稳定，防止敏感信息泄漏。</w:t>
            </w:r>
          </w:p>
          <w:p>
            <w:pPr>
              <w:pStyle w:val="null3"/>
            </w:pPr>
            <w:r>
              <w:rPr/>
              <w:t>（5）优先选择备用设备（系统）或临时搭建的模拟环境进行测评，避免影响在线系统运行。</w:t>
            </w:r>
          </w:p>
          <w:p>
            <w:pPr>
              <w:pStyle w:val="null3"/>
            </w:pPr>
            <w:r>
              <w:rPr/>
              <w:t>（6）制定应急预案，根据被测系统情况，在测评实施前制定应急预案，加强系统在线应急处置能力。</w:t>
            </w:r>
          </w:p>
          <w:p>
            <w:pPr>
              <w:pStyle w:val="null3"/>
            </w:pPr>
            <w:r>
              <w:rPr/>
              <w:t>主要工作内容包括：</w:t>
            </w:r>
          </w:p>
          <w:p>
            <w:pPr>
              <w:pStyle w:val="null3"/>
            </w:pPr>
            <w:r>
              <w:rPr/>
              <w:t>1</w:t>
            </w:r>
            <w:r>
              <w:rPr/>
              <w:t>、协助定级备案</w:t>
            </w:r>
          </w:p>
          <w:p>
            <w:pPr>
              <w:pStyle w:val="null3"/>
              <w:ind w:firstLine="420"/>
            </w:pPr>
            <w:r>
              <w:rPr/>
              <w:t>根据国家标准及各个信息系统保护等级需求，对广东省市场监督管理局未定级的信息系统进行定级备案。编写信息系统定级备案表和信息系统定级报告，并协助向公安机关提交定级备案材料，取得信息系统定级备案证明。</w:t>
            </w:r>
          </w:p>
          <w:p>
            <w:pPr>
              <w:pStyle w:val="null3"/>
            </w:pPr>
            <w:r>
              <w:rPr/>
              <w:t>2</w:t>
            </w:r>
            <w:r>
              <w:rPr/>
              <w:t>、差距测评</w:t>
            </w:r>
          </w:p>
          <w:p>
            <w:pPr>
              <w:pStyle w:val="null3"/>
              <w:ind w:firstLine="420"/>
            </w:pPr>
            <w:r>
              <w:rPr/>
              <w:t>根据国家标准，及信息系统的安全保护等级，通过人员访谈、文档审查、实地察看、配置检查、工具检测等方法从安全技术、安全管理等十个方面，判断信息系统现有的安全保护水平与国家信息安全等级保护管理规范和技术标准之间的差距，形成信息系统安全等级保护差距分析报告。</w:t>
            </w:r>
          </w:p>
          <w:p>
            <w:pPr>
              <w:pStyle w:val="null3"/>
            </w:pPr>
            <w:r>
              <w:rPr/>
              <w:t>3</w:t>
            </w:r>
            <w:r>
              <w:rPr/>
              <w:t>、整改建议</w:t>
            </w:r>
          </w:p>
          <w:p>
            <w:pPr>
              <w:pStyle w:val="null3"/>
              <w:ind w:firstLine="420"/>
            </w:pPr>
            <w:r>
              <w:rPr/>
              <w:t>经过信息系统安全等级保护差距测评，在全面地分析和了解目前信息安全建设方面现状基础上，协助信息安全管理人员，特别是的领导层更为全面的理解目前业务所面临的风险尤其是高风险，为规划和实施风险应对措施打下基础。</w:t>
            </w:r>
          </w:p>
          <w:p>
            <w:pPr>
              <w:pStyle w:val="null3"/>
              <w:ind w:firstLine="420"/>
            </w:pPr>
            <w:r>
              <w:rPr/>
              <w:t>以国际信息安全标准为依据，结合自身在信息安全服务方面的丰富行业经验，根据信息安全的现状和需求，为信息安全建设提供改进建议，协助信息安全管理人员进行信息系统安全加固整改建设工作，选择合适的风险处理措施予以实施，将风险控制在可接受的水平上，以提升整体信息安全管理和技术水平。</w:t>
            </w:r>
          </w:p>
          <w:p>
            <w:pPr>
              <w:pStyle w:val="null3"/>
              <w:ind w:firstLine="420"/>
            </w:pPr>
            <w:r>
              <w:rPr/>
              <w:t>最终达到符合国家规定的信息系统安全等级保护对应安全等级的管理和技术要求。</w:t>
            </w:r>
          </w:p>
          <w:p>
            <w:pPr>
              <w:pStyle w:val="null3"/>
            </w:pPr>
            <w:r>
              <w:rPr/>
              <w:t>4</w:t>
            </w:r>
            <w:r>
              <w:rPr/>
              <w:t>、验收测评</w:t>
            </w:r>
          </w:p>
          <w:p>
            <w:pPr>
              <w:pStyle w:val="null3"/>
              <w:ind w:firstLine="420"/>
            </w:pPr>
            <w:r>
              <w:rPr/>
              <w:t>根据国家标准组织开展单位信息系统等级保护验收测评，衡量单位信息系统的安全保护管理措施和技术措施是否符合等级保护基本要求，是否具备了相应的安全保护能力。依据各个信息系统的安全保护等级，通过人员访谈、文档审查、配置检查、工具检测等方法从安全技术、安全管理等十个方面，判断信息系统现有的安全保护水平与国家信息安全等级保护管理规范和技术标准要求项之间的符合情况。</w:t>
            </w:r>
          </w:p>
          <w:p>
            <w:pPr>
              <w:pStyle w:val="null3"/>
              <w:ind w:firstLine="420"/>
            </w:pPr>
            <w:r>
              <w:rPr/>
              <w:t>对信息系统进行整体、全面、公正的评估，对不符合项进行风险分析和风险应对，按照《信息系统安全等级测评报告模版》编写信息系统安全等级保护验收测评报告。</w:t>
            </w:r>
          </w:p>
          <w:p>
            <w:pPr>
              <w:pStyle w:val="null3"/>
            </w:pPr>
            <w:r>
              <w:rPr/>
              <w:t>5</w:t>
            </w:r>
            <w:r>
              <w:rPr/>
              <w:t>、协助验收报告备案</w:t>
            </w:r>
          </w:p>
          <w:p>
            <w:pPr>
              <w:pStyle w:val="null3"/>
              <w:ind w:firstLine="420"/>
            </w:pPr>
            <w:r>
              <w:rPr/>
              <w:t>在完成验收测评工作，按照《信息系统安全等级测评报告》编写信息系统安全等级保护验收测评报告之后，将经双方确认无误的信息系统安全等级保护验收测评报告打印成册,装订盖章一式三份。协助广东省市场监督管理局将装订盖章的信息系统等级保护测评报告提交公安机关，最终完成等级保护测评报告向公安机关备案工作程序。</w:t>
            </w:r>
          </w:p>
          <w:p>
            <w:pPr>
              <w:pStyle w:val="null3"/>
              <w:outlineLvl w:val="3"/>
            </w:pPr>
            <w:r>
              <w:rPr>
                <w:sz w:val="21"/>
                <w:b/>
              </w:rPr>
              <w:t>5.</w:t>
            </w:r>
            <w:r>
              <w:rPr>
                <w:sz w:val="21"/>
                <w:b/>
              </w:rPr>
              <w:t>服务交付物</w:t>
            </w:r>
          </w:p>
          <w:p>
            <w:pPr>
              <w:pStyle w:val="null3"/>
            </w:pPr>
            <w:r>
              <w:rPr/>
              <w:t>包括但不限于以下内容：</w:t>
            </w:r>
          </w:p>
          <w:p>
            <w:pPr>
              <w:pStyle w:val="null3"/>
            </w:pPr>
            <w:r>
              <w:rPr/>
              <w:t>1</w:t>
            </w:r>
            <w:r>
              <w:rPr/>
              <w:t>、《信息系统等级保护测评报告》（每个被测系统一份）</w:t>
            </w:r>
          </w:p>
          <w:p>
            <w:pPr>
              <w:pStyle w:val="null3"/>
            </w:pPr>
            <w:r>
              <w:rPr/>
              <w:t>2</w:t>
            </w:r>
            <w:r>
              <w:rPr/>
              <w:t>、《信息系统等级保护安全测评整改建议》（每个被测系统一份）</w:t>
            </w:r>
          </w:p>
          <w:p>
            <w:pPr>
              <w:pStyle w:val="null3"/>
            </w:pPr>
            <w:r>
              <w:rPr>
                <w:sz w:val="21"/>
              </w:rPr>
              <w:t>报告名称以正式合同规定的服务内容为准。</w:t>
            </w:r>
          </w:p>
        </w:tc>
      </w:tr>
      <w:tr>
        <w:tc>
          <w:tcPr>
            <w:tcW w:type="dxa" w:w="2076"/>
          </w:tcPr>
          <w:p/>
        </w:tc>
        <w:tc>
          <w:tcPr>
            <w:tcW w:type="dxa" w:w="415"/>
          </w:tcPr>
          <w:p>
            <w:pPr>
              <w:pStyle w:val="null3"/>
            </w:pPr>
            <w:r>
              <w:rPr/>
              <w:t>2</w:t>
            </w:r>
          </w:p>
        </w:tc>
        <w:tc>
          <w:tcPr>
            <w:tcW w:type="dxa" w:w="5814"/>
          </w:tcPr>
          <w:p>
            <w:pPr>
              <w:pStyle w:val="null3"/>
              <w:outlineLvl w:val="2"/>
            </w:pPr>
            <w:r>
              <w:rPr>
                <w:sz w:val="21"/>
                <w:b/>
              </w:rPr>
              <w:t>商用密码应用安全性评估服务</w:t>
            </w:r>
            <w:r>
              <w:rPr>
                <w:sz w:val="21"/>
                <w:b/>
              </w:rPr>
              <w:t>要求：</w:t>
            </w:r>
          </w:p>
          <w:p>
            <w:pPr>
              <w:pStyle w:val="null3"/>
              <w:outlineLvl w:val="3"/>
            </w:pPr>
            <w:r>
              <w:rPr>
                <w:sz w:val="21"/>
                <w:b/>
              </w:rPr>
              <w:t>1.</w:t>
            </w:r>
            <w:r>
              <w:rPr>
                <w:sz w:val="21"/>
                <w:b/>
              </w:rPr>
              <w:t>服务目标</w:t>
            </w:r>
          </w:p>
          <w:p>
            <w:pPr>
              <w:pStyle w:val="null3"/>
              <w:ind w:firstLine="420"/>
              <w:jc w:val="both"/>
            </w:pPr>
            <w:r>
              <w:rPr>
                <w:sz w:val="21"/>
              </w:rPr>
              <w:t>通过商用密码应用安全性评估机构对已建系统和新建系统开展信息系统密码安全进行测评，确保信息系统在密码算法、密码技术、密码产品、密码服务等方面均满足相应等级的《信息系统密码应用基本要求》。</w:t>
            </w:r>
          </w:p>
          <w:p>
            <w:pPr>
              <w:pStyle w:val="null3"/>
              <w:outlineLvl w:val="3"/>
            </w:pPr>
            <w:r>
              <w:rPr>
                <w:sz w:val="21"/>
                <w:b/>
              </w:rPr>
              <w:t>2.</w:t>
            </w:r>
            <w:r>
              <w:rPr>
                <w:sz w:val="21"/>
                <w:b/>
              </w:rPr>
              <w:t>测评依据</w:t>
            </w:r>
          </w:p>
          <w:p>
            <w:pPr>
              <w:pStyle w:val="null3"/>
              <w:ind w:firstLine="420"/>
            </w:pPr>
            <w:r>
              <w:rPr/>
              <w:t>根据财政部《关于印发&lt;政务信息系统政府采购管理暂行办法&gt;的通知》（财库[2017]210号）第八条和第十二条“政务信息系统政府采购应当落实密码应用有关政策和标准规范”的要求，信息化项目建设应落实国产密码应用经费。密码应用费用根据系统规模、网络结构、应用范围、数据敏感程度等方面综合进行估算，各系统差异较大，应对每个系统进行调研，制定密码改造方案，再预估改造费用。</w:t>
            </w:r>
          </w:p>
          <w:p>
            <w:pPr>
              <w:pStyle w:val="null3"/>
              <w:ind w:firstLine="420"/>
            </w:pPr>
            <w:r>
              <w:rPr/>
              <w:t>在数据接入、数据传输过程中，采用数据传输加密技术，保障数据接入和数据传输安全。通过安全基础设施的基于国密的传输加密服务，对传输协议、链路进行加密，保障传输安全。</w:t>
            </w:r>
          </w:p>
          <w:p>
            <w:pPr>
              <w:pStyle w:val="null3"/>
              <w:outlineLvl w:val="3"/>
            </w:pPr>
            <w:r>
              <w:rPr>
                <w:sz w:val="21"/>
                <w:b/>
              </w:rPr>
              <w:t>3.</w:t>
            </w:r>
            <w:r>
              <w:rPr>
                <w:sz w:val="21"/>
                <w:b/>
              </w:rPr>
              <w:t>服务范围</w:t>
            </w:r>
          </w:p>
          <w:p>
            <w:pPr>
              <w:pStyle w:val="null3"/>
              <w:ind w:firstLine="420"/>
              <w:jc w:val="both"/>
            </w:pPr>
            <w:r>
              <w:rPr>
                <w:sz w:val="21"/>
              </w:rPr>
              <w:t>完成广东省市场监督管理局4个3级信息系统商用密码的测评（下表为参考清单，在系统总数不变的前提条件下以实际需求为准。本项服务在费用不增的情况下，服务方需为招标方提供不超过1个系统数量的弹性需求）</w:t>
            </w:r>
          </w:p>
          <w:tbl>
            <w:tblPr>
              <w:tblBorders>
                <w:top w:val="none" w:color="000000" w:sz="4"/>
                <w:left w:val="none" w:color="000000" w:sz="4"/>
                <w:bottom w:val="none" w:color="000000" w:sz="4"/>
                <w:right w:val="none" w:color="000000" w:sz="4"/>
                <w:insideH w:val="none"/>
                <w:insideV w:val="none"/>
              </w:tblBorders>
            </w:tblPr>
            <w:tblGrid>
              <w:gridCol w:w="679"/>
              <w:gridCol w:w="3789"/>
              <w:gridCol w:w="1131"/>
            </w:tblGrid>
            <w:tr>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37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系统名称</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企业注销网上服务专区系统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省市场监管局企业风险信用分析系统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食品经营风险分级管理信息化系统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省市场监管局应急实时调度指挥系统</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三级</w:t>
                  </w:r>
                </w:p>
              </w:tc>
            </w:tr>
          </w:tbl>
          <w:p>
            <w:pPr>
              <w:pStyle w:val="null3"/>
              <w:ind w:firstLine="420"/>
              <w:jc w:val="both"/>
            </w:pPr>
            <w:r>
              <w:rPr>
                <w:sz w:val="21"/>
              </w:rPr>
              <w:t>完成广东省市场监督管理局8个2级信息系统商用密码的测评（</w:t>
            </w:r>
            <w:r>
              <w:rPr>
                <w:sz w:val="21"/>
              </w:rPr>
              <w:t>下表为参考清单，在系统总数不变的前提条件下以实际需求为准。本项服务在费用不增的情况下，服务方需为招标方</w:t>
            </w:r>
            <w:r>
              <w:rPr>
                <w:sz w:val="21"/>
              </w:rPr>
              <w:t>提供不超过2个系统数量的弹性需求）</w:t>
            </w:r>
          </w:p>
          <w:tbl>
            <w:tblPr>
              <w:tblBorders>
                <w:top w:val="none" w:color="000000" w:sz="4"/>
                <w:left w:val="none" w:color="000000" w:sz="4"/>
                <w:bottom w:val="none" w:color="000000" w:sz="4"/>
                <w:right w:val="none" w:color="000000" w:sz="4"/>
                <w:insideH w:val="none"/>
                <w:insideV w:val="none"/>
              </w:tblBorders>
            </w:tblPr>
            <w:tblGrid>
              <w:gridCol w:w="509"/>
              <w:gridCol w:w="4071"/>
              <w:gridCol w:w="1018"/>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40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系统名称</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系统等级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广东省“双随机、一公开”综合监管平台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直销企业数字化监管监测平台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食用农产品市场销售质量安全监管系统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广东省特殊食品电子追溯系统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计量管理平台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广东省知识产权业务管理阳光政务平台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广东省市场监督管理局办公自动化系统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广东省市场准入信息系统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二级</w:t>
                  </w:r>
                </w:p>
              </w:tc>
            </w:tr>
          </w:tbl>
          <w:p>
            <w:pPr>
              <w:pStyle w:val="null3"/>
              <w:outlineLvl w:val="3"/>
            </w:pPr>
            <w:r>
              <w:rPr>
                <w:sz w:val="21"/>
                <w:b/>
              </w:rPr>
              <w:t>4.</w:t>
            </w:r>
            <w:r>
              <w:rPr>
                <w:sz w:val="21"/>
                <w:b/>
              </w:rPr>
              <w:t>服务内容</w:t>
            </w:r>
          </w:p>
          <w:p>
            <w:pPr>
              <w:pStyle w:val="null3"/>
              <w:ind w:firstLine="420"/>
            </w:pPr>
            <w:r>
              <w:rPr/>
              <w:t>通过本次网络安全信息化专项服务项目，对已建系统和新建系统开展商用密码测评和工作：（已建系统为系统评估，新建系统含密码应用方案评估、系统评估），最终输出被评估系统的密码应用方案评估报告、密码应用安全性评估报告，满足商用密码应用安全性评估工作的验收要求，具体内容包括：</w:t>
            </w:r>
          </w:p>
          <w:tbl>
            <w:tblPr>
              <w:tblBorders>
                <w:top w:val="none" w:color="000000" w:sz="4"/>
                <w:left w:val="none" w:color="000000" w:sz="4"/>
                <w:bottom w:val="none" w:color="000000" w:sz="4"/>
                <w:right w:val="none" w:color="000000" w:sz="4"/>
                <w:insideH w:val="none"/>
                <w:insideV w:val="none"/>
              </w:tblBorders>
            </w:tblPr>
            <w:tblGrid>
              <w:gridCol w:w="462"/>
              <w:gridCol w:w="1270"/>
              <w:gridCol w:w="1443"/>
              <w:gridCol w:w="2424"/>
            </w:tblGrid>
            <w:tr>
              <w:tc>
                <w:tcPr>
                  <w:tcW w:type="dxa" w:w="462"/>
                  <w:tcBorders>
                    <w:top w:val="single" w:color="000000" w:sz="4"/>
                    <w:left w:val="single" w:color="000000" w:sz="4"/>
                    <w:bottom w:val="single" w:color="000000" w:sz="4"/>
                    <w:right w:val="single" w:color="000000" w:sz="4"/>
                  </w:tcBorders>
                  <w:shd w:fill="D0CECE"/>
                  <w:tcMar>
                    <w:top w:type="dxa" w:w="1"/>
                    <w:left w:type="dxa" w:w="1"/>
                    <w:bottom w:type="dxa" w:w="0"/>
                    <w:right w:type="dxa" w:w="1"/>
                  </w:tcMar>
                </w:tcPr>
                <w:p>
                  <w:pPr>
                    <w:pStyle w:val="null3"/>
                    <w:jc w:val="center"/>
                  </w:pPr>
                  <w:r>
                    <w:rPr/>
                    <w:t>序号</w:t>
                  </w:r>
                </w:p>
              </w:tc>
              <w:tc>
                <w:tcPr>
                  <w:tcW w:type="dxa" w:w="1270"/>
                  <w:tcBorders>
                    <w:top w:val="single" w:color="000000" w:sz="4"/>
                    <w:left w:val="none" w:color="000000" w:sz="4"/>
                    <w:bottom w:val="single" w:color="000000" w:sz="4"/>
                    <w:right w:val="single" w:color="000000" w:sz="4"/>
                  </w:tcBorders>
                  <w:shd w:fill="D0CECE"/>
                  <w:tcMar>
                    <w:top w:type="dxa" w:w="1"/>
                    <w:left w:type="dxa" w:w="1"/>
                    <w:bottom w:type="dxa" w:w="0"/>
                    <w:right w:type="dxa" w:w="1"/>
                  </w:tcMar>
                </w:tcPr>
                <w:p>
                  <w:pPr>
                    <w:pStyle w:val="null3"/>
                    <w:jc w:val="center"/>
                  </w:pPr>
                  <w:r>
                    <w:rPr/>
                    <w:t>服务内容</w:t>
                  </w:r>
                </w:p>
              </w:tc>
              <w:tc>
                <w:tcPr>
                  <w:tcW w:type="dxa" w:w="1443"/>
                  <w:tcBorders>
                    <w:top w:val="single" w:color="000000" w:sz="4"/>
                    <w:left w:val="none" w:color="000000" w:sz="4"/>
                    <w:bottom w:val="single" w:color="000000" w:sz="4"/>
                    <w:right w:val="single" w:color="000000" w:sz="4"/>
                  </w:tcBorders>
                  <w:shd w:fill="D0CECE"/>
                  <w:tcMar>
                    <w:top w:type="dxa" w:w="1"/>
                    <w:left w:type="dxa" w:w="1"/>
                    <w:bottom w:type="dxa" w:w="0"/>
                    <w:right w:type="dxa" w:w="1"/>
                  </w:tcMar>
                </w:tcPr>
                <w:p>
                  <w:pPr>
                    <w:pStyle w:val="null3"/>
                    <w:jc w:val="center"/>
                  </w:pPr>
                  <w:r>
                    <w:rPr/>
                    <w:t>服务内容子项</w:t>
                  </w:r>
                </w:p>
              </w:tc>
              <w:tc>
                <w:tcPr>
                  <w:tcW w:type="dxa" w:w="2424"/>
                  <w:tcBorders>
                    <w:top w:val="single" w:color="000000" w:sz="4"/>
                    <w:left w:val="none" w:color="000000" w:sz="4"/>
                    <w:bottom w:val="single" w:color="000000" w:sz="4"/>
                    <w:right w:val="single" w:color="000000" w:sz="4"/>
                  </w:tcBorders>
                  <w:shd w:fill="D0CECE"/>
                  <w:tcMar>
                    <w:top w:type="dxa" w:w="1"/>
                    <w:left w:type="dxa" w:w="1"/>
                    <w:bottom w:type="dxa" w:w="0"/>
                    <w:right w:type="dxa" w:w="1"/>
                  </w:tcMar>
                </w:tcPr>
                <w:p>
                  <w:pPr>
                    <w:pStyle w:val="null3"/>
                    <w:jc w:val="center"/>
                  </w:pPr>
                  <w:r>
                    <w:rPr/>
                    <w:t>工作内容</w:t>
                  </w:r>
                </w:p>
              </w:tc>
            </w:tr>
            <w:tr>
              <w:tc>
                <w:tcPr>
                  <w:tcW w:type="dxa" w:w="462"/>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t>1</w:t>
                  </w:r>
                </w:p>
              </w:tc>
              <w:tc>
                <w:tcPr>
                  <w:tcW w:type="dxa" w:w="127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需求沟通确认</w:t>
                  </w:r>
                </w:p>
              </w:tc>
              <w:tc>
                <w:tcPr>
                  <w:tcW w:type="dxa" w:w="1443"/>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需求沟通调研和确认工作实施要求</w:t>
                  </w:r>
                </w:p>
              </w:tc>
              <w:tc>
                <w:tcPr>
                  <w:tcW w:type="dxa" w:w="2424"/>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对安全评估的组织实施流程、风险管控效果、时间节点、交付成果、评估方式等基础信息进行沟通核实，确认服务需求和工作要求</w:t>
                  </w:r>
                </w:p>
              </w:tc>
            </w:tr>
            <w:tr>
              <w:tc>
                <w:tcPr>
                  <w:tcW w:type="dxa" w:w="462"/>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t>2</w:t>
                  </w:r>
                </w:p>
              </w:tc>
              <w:tc>
                <w:tcPr>
                  <w:tcW w:type="dxa" w:w="127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基础材料搜集整理和现场沟通采集</w:t>
                  </w:r>
                </w:p>
              </w:tc>
              <w:tc>
                <w:tcPr>
                  <w:tcW w:type="dxa" w:w="1443"/>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按照评估准备实施要求，搜集整理必要素材</w:t>
                  </w:r>
                </w:p>
              </w:tc>
              <w:tc>
                <w:tcPr>
                  <w:tcW w:type="dxa" w:w="2424"/>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通过远程或现场会议方式与业务研发、运维部门技术团队和保障团队沟通评估所需基础素材、文档等必要信息</w:t>
                  </w:r>
                </w:p>
              </w:tc>
            </w:tr>
            <w:tr>
              <w:tc>
                <w:tcPr>
                  <w:tcW w:type="dxa" w:w="462"/>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t>3</w:t>
                  </w:r>
                </w:p>
              </w:tc>
              <w:tc>
                <w:tcPr>
                  <w:tcW w:type="dxa" w:w="127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密码应用方案评估</w:t>
                  </w:r>
                </w:p>
              </w:tc>
              <w:tc>
                <w:tcPr>
                  <w:tcW w:type="dxa" w:w="1443"/>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密码应用方案评估</w:t>
                  </w:r>
                </w:p>
              </w:tc>
              <w:tc>
                <w:tcPr>
                  <w:tcW w:type="dxa" w:w="2424"/>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对委托方制定的密码应用方案进行评估，出具《密码应用方案评估报告》</w:t>
                  </w:r>
                </w:p>
              </w:tc>
            </w:tr>
            <w:tr>
              <w:tc>
                <w:tcPr>
                  <w:tcW w:type="dxa" w:w="462"/>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t>4</w:t>
                  </w:r>
                </w:p>
              </w:tc>
              <w:tc>
                <w:tcPr>
                  <w:tcW w:type="dxa" w:w="127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系统评估</w:t>
                  </w:r>
                </w:p>
              </w:tc>
              <w:tc>
                <w:tcPr>
                  <w:tcW w:type="dxa" w:w="1443"/>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依据GB/T 39786-2021《信息系统密码应用基本要求》等标准进行测评</w:t>
                  </w:r>
                </w:p>
              </w:tc>
              <w:tc>
                <w:tcPr>
                  <w:tcW w:type="dxa" w:w="2424"/>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按照GB/T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462"/>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t>5</w:t>
                  </w:r>
                </w:p>
              </w:tc>
              <w:tc>
                <w:tcPr>
                  <w:tcW w:type="dxa" w:w="1270"/>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报告编制</w:t>
                  </w:r>
                </w:p>
              </w:tc>
              <w:tc>
                <w:tcPr>
                  <w:tcW w:type="dxa" w:w="1443"/>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编制评估报告</w:t>
                  </w:r>
                </w:p>
              </w:tc>
              <w:tc>
                <w:tcPr>
                  <w:tcW w:type="dxa" w:w="2424"/>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pPr>
                  <w:r>
                    <w:rPr/>
                    <w:t>对评估过程中发现的问题进行汇总确认，总结各项评估指标的评估结果，编制评估报告。</w:t>
                  </w:r>
                </w:p>
              </w:tc>
            </w:tr>
          </w:tbl>
          <w:p>
            <w:pPr>
              <w:pStyle w:val="null3"/>
              <w:jc w:val="both"/>
              <w:outlineLvl w:val="3"/>
            </w:pPr>
            <w:r>
              <w:rPr>
                <w:sz w:val="21"/>
                <w:b/>
              </w:rPr>
              <w:t>5.</w:t>
            </w:r>
            <w:r>
              <w:rPr>
                <w:sz w:val="21"/>
                <w:b/>
              </w:rPr>
              <w:t>测评指标</w:t>
            </w:r>
          </w:p>
          <w:p>
            <w:pPr>
              <w:pStyle w:val="null3"/>
              <w:ind w:firstLine="420"/>
            </w:pPr>
            <w:r>
              <w:rPr/>
              <w:t>开展商用密码应用安全性评估，从通用要求、物理和环境、网络和通信、设备和计算、应用和数据、管理制度、人员管理、建设运行、应急处置等方面开展测评，具体测评指标如下（以等级保护第三级信息系统为例）：</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测评层面</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测评单元</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指标要求</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物理和环境安全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身份鉴别</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8.1a</w:t>
                  </w:r>
                  <w:r>
                    <w:rPr/>
                    <w:t>）宜采用密码技术进行物理访问身份鉴别，保证重要区域进入人员身份的真实性。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电子门禁记录数据存储完整性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8.1b</w:t>
                  </w:r>
                  <w:r>
                    <w:rPr/>
                    <w:t>）宜采用密码技术保证电子门禁系统进出记录数据的存储完整性。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视频监控记录数据存储完整性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8.1c</w:t>
                  </w:r>
                  <w:r>
                    <w:rPr/>
                    <w:t>）宜采用密码技术保证视频监控音像记录数据的存储完整性。</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网络和通信安全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身份鉴别</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8.2a)</w:t>
                  </w:r>
                  <w:r>
                    <w:rPr/>
                    <w:t>应采用密码技术对通信实体进行身份鉴别，保证通信实体身份的真实性。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通信数据完整性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8.2b)</w:t>
                  </w:r>
                  <w:r>
                    <w:rPr/>
                    <w:t>宜采用密码技术保证通信过程中数据的完整性。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通信过程中重要数据的机密性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8.2c)</w:t>
                  </w:r>
                  <w:r>
                    <w:rPr/>
                    <w:t>应采用密码技术保证通信过程中重要数据的机密性。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网络边界访问控制信息的完整性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8.2d)</w:t>
                  </w:r>
                  <w:r>
                    <w:rPr/>
                    <w:t>宜采用密码技术保证网络边界访问控制信息的完整性。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安全接入认证</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8.2e)</w:t>
                  </w:r>
                  <w:r>
                    <w:rPr/>
                    <w:t>可采用密码技术对从外部连接到内部网络的设备进行接入认证，确保接入的设备身份真实性。</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设备和计算安全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身份鉴别</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8.3a)</w:t>
                  </w:r>
                  <w:r>
                    <w:rPr/>
                    <w:t>应采用密码技术对登录设备的用户进行身份鉴别，保证用户身份的真实性。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远程管理通道安全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8.3b)</w:t>
                  </w:r>
                  <w:r>
                    <w:rPr/>
                    <w:t>远程管理设备时，应采用密码技术建立安全的信息传输通道。</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系统资源访问控制信息完整性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8.3c)</w:t>
                  </w:r>
                  <w:r>
                    <w:rPr/>
                    <w:t>宜采用密码技术保证系统资源访问控制信息的完整性。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重要信息资源安全标记完整性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8.3d)</w:t>
                  </w:r>
                  <w:r>
                    <w:rPr/>
                    <w:t>宜采用密码技术保证设备中的重要信息资源安全标记的完整性。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日志记录完整性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8.3e)</w:t>
                  </w:r>
                  <w:r>
                    <w:rPr/>
                    <w:t>宜采用密码技术保证日志记录的完整性。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重要可执行程序完整性、重要可执行程序来源真实性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8.3f)</w:t>
                  </w:r>
                  <w:r>
                    <w:rPr/>
                    <w:t>宜采用密码技术对重要可执行程序进行完整性保护，并对其来源进行真实性验证。</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应用和数据安全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身份鉴别</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8.4a)</w:t>
                  </w:r>
                  <w:r>
                    <w:rPr/>
                    <w:t>应采用密码技术对登录用户进行身份鉴别，保证应用系统用户身份的真实性。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访问控制信息完整性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8.4b)</w:t>
                  </w:r>
                  <w:r>
                    <w:rPr/>
                    <w:t>宜采用密码技术保证信息系统应用的访问控制信息的完整性。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重要信息资源安全标记完整性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8.4c)</w:t>
                  </w:r>
                  <w:r>
                    <w:rPr/>
                    <w:t>宜采用密码技术保证信息系统应用的重要信息资源安全标记的完整性；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重要数据传输机密性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8.4d)</w:t>
                  </w:r>
                  <w:r>
                    <w:rPr/>
                    <w:t>应采用密码技术保证信息系统应用的重要数据在传输过程中的机密性。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重要数据存储机密性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8.4e)</w:t>
                  </w:r>
                  <w:r>
                    <w:rPr/>
                    <w:t>应采用密码技术保证信息系统应用的重要数据在存储过程中的机密性。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重要数据传输完整性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8.4f)</w:t>
                  </w:r>
                  <w:r>
                    <w:rPr/>
                    <w:t>宜采用密码技术保证信息系统应用的重要数据在传输过程中的完整性。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重要数据存储完整性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8.4 g) </w:t>
                  </w:r>
                  <w:r>
                    <w:rPr/>
                    <w:t>宜采用密码技术保证信息系统应用的重要数据在存储过程中的完整性；</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不可否认性</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8.4 h)</w:t>
                  </w:r>
                  <w:r>
                    <w:rPr/>
                    <w:t>在可能涉及法律责任认定的应用中，宜采用密码技术提供数据原发证据和数据接收证据，实现数据原发行为的不可否认性和数据接收行为的不可否认性。</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管理制度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具备密码应用安全管理制度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a</w:t>
                  </w:r>
                  <w:r>
                    <w:rPr/>
                    <w:t>）应具备密码应用安全管理制度，包括密码人员管理、密钥管理、建设运行、应急处置、密码软硬件及介质管理等制度；</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密钥管理规则</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b</w:t>
                  </w:r>
                  <w:r>
                    <w:rPr/>
                    <w:t>）应根据密码应用方案建立相应密钥管理规则；</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建立操作规程</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c</w:t>
                  </w:r>
                  <w:r>
                    <w:rPr/>
                    <w:t>）应对管理人员或操作人员执行的日常管理操作建立操作规程；</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定期修订安全管理制度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d</w:t>
                  </w:r>
                  <w:r>
                    <w:rPr/>
                    <w:t>）应定期对密码应用安全管理制度和操作规程的合理性和适用性进行论证和审定，对存在不足或需要改进之处进行修订；</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明确管理制度发布流程</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e</w:t>
                  </w:r>
                  <w:r>
                    <w:rPr/>
                    <w:t>）应明确相关密码应用安全管理制度和操作规程的发布流程并进行版本控制；</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制度执行过程记录留存</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8.5 f</w:t>
                  </w:r>
                  <w:r>
                    <w:rPr/>
                    <w:t>）应具有密码应用操作规程的相关执行记录并妥善保存。</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人员管理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了解并遵守密码相关法律法规和密码管理制度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8.6 a</w:t>
                  </w:r>
                  <w:r>
                    <w:rPr/>
                    <w:t>）相关人员应了解并遵守密码相关法律法规、密码应用安全管理制度；</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建立密码应用岗位责任制度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8.6 b) </w:t>
                  </w:r>
                  <w:r>
                    <w:rPr/>
                    <w:t>应建立密码应用岗位责任制度，明确各岗位在安全系统中的职责和权限：</w:t>
                  </w:r>
                </w:p>
                <w:p>
                  <w:pPr>
                    <w:pStyle w:val="null3"/>
                  </w:pPr>
                  <w:r>
                    <w:rPr/>
                    <w:t xml:space="preserve">1) </w:t>
                  </w:r>
                  <w:r>
                    <w:rPr/>
                    <w:t>根据密码应用的实际情况，设置密钥管理员、密码安全审计员、密码操作员等关键安全岗位；</w:t>
                  </w:r>
                </w:p>
                <w:p>
                  <w:pPr>
                    <w:pStyle w:val="null3"/>
                  </w:pPr>
                  <w:r>
                    <w:rPr/>
                    <w:t xml:space="preserve">2) </w:t>
                  </w:r>
                  <w:r>
                    <w:rPr/>
                    <w:t>对关键岗位建立多人共管机制；</w:t>
                  </w:r>
                </w:p>
                <w:p>
                  <w:pPr>
                    <w:pStyle w:val="null3"/>
                  </w:pPr>
                  <w:r>
                    <w:rPr/>
                    <w:t xml:space="preserve">3) </w:t>
                  </w:r>
                  <w:r>
                    <w:rPr/>
                    <w:t>密钥管理、密码安全审计、密码操作人员职责互相制约互相监督，其中密码安全审计员岗位不可与密钥管理员、密码操作员兼任；</w:t>
                  </w:r>
                </w:p>
                <w:p>
                  <w:pPr>
                    <w:pStyle w:val="null3"/>
                  </w:pPr>
                  <w:r>
                    <w:rPr/>
                    <w:t xml:space="preserve">4) </w:t>
                  </w:r>
                  <w:r>
                    <w:rPr/>
                    <w:t>相关设备与系统的管理和使用账号不得多人共用。</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建立上岗人员培训制度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8.6 c) </w:t>
                  </w:r>
                  <w:r>
                    <w:rPr/>
                    <w:t>应建立上岗人员培训制度，对于涉及密码的操作和管理的人员进行专门培训，确保其具备岗位所需专业技能；</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定期进行安全岗位人员考核</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8.6 d) </w:t>
                  </w:r>
                  <w:r>
                    <w:rPr/>
                    <w:t>应定期对密码应用安全岗位人员进行考核；</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建立关键岗位人员保密制度和调离制度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8.6 e) </w:t>
                  </w:r>
                  <w:r>
                    <w:rPr/>
                    <w:t>应建立关键人员保密制度和调离制度，签订保密合同，承担保密义务。</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建设运行</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制定密码应用方案</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8.7 a</w:t>
                  </w:r>
                  <w:r>
                    <w:rPr/>
                    <w:t>）应依据密码相关标准和密码应用需求，制定密码应用方案；</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制定密钥安全管理策略</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8.7 b</w:t>
                  </w:r>
                  <w:r>
                    <w:rPr/>
                    <w:t>）应根据密码应用方案，确定系统涉及的密钥种类、体系及其生命周期环节，各环节密钥管理要求参照附录B；</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制定实施方案</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8.7 c</w:t>
                  </w:r>
                  <w:r>
                    <w:rPr/>
                    <w:t>）应按照应用方案实施建设；</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投入运行前进行密码应用安全性评估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8.7 d</w:t>
                  </w:r>
                  <w:r>
                    <w:rPr/>
                    <w:t>）投入运行前应进行密码应用安全性评估，评估通过后系统方可正式运行；</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定期开展密码应用安全性评估及攻防对抗演习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8.7 e</w:t>
                  </w:r>
                  <w:r>
                    <w:rPr/>
                    <w:t>）在运行过程中，应严格执行既定的密码应用安全管理制度，应定期开展密码应用安全性评估及攻防对抗演习，并根据评估结果进行整改。</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应急处置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应急策略</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8.8 a</w:t>
                  </w:r>
                  <w:r>
                    <w:rPr/>
                    <w:t>）应制定密码应用应急策略，做好应急资源准备，当密码应用安全事件发生时，应立即启动应急处置措施，结合实际情况及时处置；</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事件处置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8.8 b</w:t>
                  </w:r>
                  <w:r>
                    <w:rPr/>
                    <w:t>）事件发生后，应及时向信息系统主管部门进行报告；</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向有关主管部门上报处置情况</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8.8 c</w:t>
                  </w:r>
                  <w:r>
                    <w:rPr/>
                    <w:t>）事件处置完成后，应及时向信息系统主管部门及归属的密码管理部门报告事件发生情况及处置情况。</w:t>
                  </w:r>
                </w:p>
              </w:tc>
            </w:tr>
          </w:tbl>
          <w:p>
            <w:pPr>
              <w:pStyle w:val="null3"/>
              <w:outlineLvl w:val="3"/>
            </w:pPr>
            <w:r>
              <w:rPr>
                <w:sz w:val="21"/>
                <w:b/>
              </w:rPr>
              <w:t>6.</w:t>
            </w:r>
            <w:r>
              <w:rPr>
                <w:sz w:val="21"/>
                <w:b/>
              </w:rPr>
              <w:t>测评后备案服务</w:t>
            </w:r>
          </w:p>
          <w:p>
            <w:pPr>
              <w:pStyle w:val="null3"/>
              <w:ind w:firstLine="420"/>
              <w:jc w:val="both"/>
            </w:pPr>
            <w:r>
              <w:rPr>
                <w:sz w:val="21"/>
              </w:rPr>
              <w:t>按照有关规定，在密评活动结束30个工作日内，协助采购人将评估结果报省级密码管理部门等部门备案。国密应用安全性评估服务包含在本项目采购范围内。</w:t>
            </w:r>
          </w:p>
          <w:p>
            <w:pPr>
              <w:pStyle w:val="null3"/>
              <w:outlineLvl w:val="3"/>
            </w:pPr>
            <w:r>
              <w:rPr>
                <w:sz w:val="21"/>
                <w:b/>
              </w:rPr>
              <w:t>7.</w:t>
            </w:r>
            <w:r>
              <w:rPr>
                <w:sz w:val="21"/>
                <w:b/>
              </w:rPr>
              <w:t>服务交付物</w:t>
            </w:r>
          </w:p>
          <w:p>
            <w:pPr>
              <w:pStyle w:val="null3"/>
            </w:pPr>
            <w:r>
              <w:rPr/>
              <w:t>7.1《&lt;系统密码应用方案&gt;商用密码应用安全性评估报告》（每</w:t>
            </w:r>
          </w:p>
          <w:p>
            <w:pPr>
              <w:pStyle w:val="null3"/>
            </w:pPr>
            <w:r>
              <w:rPr/>
              <w:t>个被测系统一份）</w:t>
            </w:r>
          </w:p>
          <w:p>
            <w:pPr>
              <w:pStyle w:val="null3"/>
            </w:pPr>
            <w:r>
              <w:rPr/>
              <w:t>7.2《商用密码应用安全性评估报告》（每个被测系统一份）</w:t>
            </w:r>
          </w:p>
          <w:p>
            <w:pPr>
              <w:pStyle w:val="null3"/>
            </w:pPr>
            <w:r>
              <w:rPr>
                <w:sz w:val="21"/>
              </w:rPr>
              <w:t>7.3《商用密码应用安全性评估整改建议》（每个被测系统一份）</w:t>
            </w:r>
          </w:p>
        </w:tc>
      </w:tr>
      <w:tr>
        <w:tc>
          <w:tcPr>
            <w:tcW w:type="dxa" w:w="2076"/>
          </w:tcPr>
          <w:p/>
        </w:tc>
        <w:tc>
          <w:tcPr>
            <w:tcW w:type="dxa" w:w="415"/>
          </w:tcPr>
          <w:p>
            <w:pPr>
              <w:pStyle w:val="null3"/>
            </w:pPr>
            <w:r>
              <w:rPr/>
              <w:t>3</w:t>
            </w:r>
          </w:p>
        </w:tc>
        <w:tc>
          <w:tcPr>
            <w:tcW w:type="dxa" w:w="5814"/>
          </w:tcPr>
          <w:p>
            <w:pPr>
              <w:pStyle w:val="null3"/>
              <w:outlineLvl w:val="2"/>
            </w:pPr>
            <w:r>
              <w:rPr>
                <w:sz w:val="21"/>
                <w:b/>
              </w:rPr>
              <w:t>验收测评服务</w:t>
            </w:r>
            <w:r>
              <w:rPr>
                <w:sz w:val="21"/>
                <w:b/>
              </w:rPr>
              <w:t>：</w:t>
            </w:r>
          </w:p>
          <w:p>
            <w:pPr>
              <w:pStyle w:val="null3"/>
              <w:outlineLvl w:val="3"/>
            </w:pPr>
            <w:r>
              <w:rPr>
                <w:sz w:val="21"/>
                <w:b/>
              </w:rPr>
              <w:t>1.</w:t>
            </w:r>
            <w:r>
              <w:rPr>
                <w:sz w:val="21"/>
                <w:b/>
              </w:rPr>
              <w:t>验收测评服务目标</w:t>
            </w:r>
          </w:p>
          <w:p>
            <w:pPr>
              <w:pStyle w:val="null3"/>
              <w:ind w:firstLine="420"/>
              <w:jc w:val="both"/>
            </w:pPr>
            <w:r>
              <w:rPr>
                <w:sz w:val="21"/>
              </w:rPr>
              <w:t>依据国家标准及系统需求规格说明书的要求，检验系统是否满足用户需求，保证信息系统工程质量、维护用户和系统集成商双方利益的重要手段。通过评估系统的需求符合性，对系统功能、可靠性、效率等方面进行专业的测试，全面保障电子政务系统工程质量，为工程验收提供重要依据。</w:t>
            </w:r>
          </w:p>
          <w:p>
            <w:pPr>
              <w:pStyle w:val="null3"/>
              <w:outlineLvl w:val="3"/>
            </w:pPr>
            <w:r>
              <w:rPr>
                <w:sz w:val="21"/>
                <w:b/>
              </w:rPr>
              <w:t>2.</w:t>
            </w:r>
            <w:r>
              <w:rPr>
                <w:sz w:val="21"/>
                <w:b/>
              </w:rPr>
              <w:t>服务范围</w:t>
            </w:r>
          </w:p>
          <w:p>
            <w:pPr>
              <w:pStyle w:val="null3"/>
              <w:ind w:firstLine="560"/>
              <w:jc w:val="both"/>
            </w:pPr>
            <w:r>
              <w:rPr>
                <w:sz w:val="21"/>
              </w:rPr>
              <w:t>完成广东省市场监督管理局11个信息系统的验收测评。（下表为参考清单，在系统总数不变的前提条件下以实际需求为准。本项服务在费用不增的情况下，服务方需为招标方提供不超过2个系统数量的弹性需求)</w:t>
            </w:r>
          </w:p>
          <w:tbl>
            <w:tblPr>
              <w:tblBorders>
                <w:top w:val="none" w:color="000000" w:sz="4"/>
                <w:left w:val="none" w:color="000000" w:sz="4"/>
                <w:bottom w:val="none" w:color="000000" w:sz="4"/>
                <w:right w:val="none" w:color="000000" w:sz="4"/>
                <w:insideH w:val="none"/>
                <w:insideV w:val="none"/>
              </w:tblBorders>
            </w:tblPr>
            <w:tblGrid>
              <w:gridCol w:w="735"/>
              <w:gridCol w:w="4863"/>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48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系统名称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国家企业信用信息公示系统（广东）</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省市场监管局企业风险信用分析系统</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食品经营风险分级管理信息化系统</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广东省“双随机、一公开”综合监管平台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直销企业数字化监管监测平台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食用农产品市场销售质量安全监管系统</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广东省特殊食品电子追溯系统</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计量管理平台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广东省知识产权业务管理阳光政务平台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广东省市场监督管理局办公自动化系统</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4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广东省市场准入信息系统</w:t>
                  </w:r>
                </w:p>
              </w:tc>
            </w:tr>
          </w:tbl>
          <w:p>
            <w:pPr>
              <w:pStyle w:val="null3"/>
              <w:outlineLvl w:val="3"/>
            </w:pPr>
            <w:r>
              <w:rPr>
                <w:sz w:val="21"/>
                <w:b/>
              </w:rPr>
              <w:t>3.</w:t>
            </w:r>
            <w:r>
              <w:rPr>
                <w:sz w:val="21"/>
                <w:b/>
              </w:rPr>
              <w:t>验收测评服务内容</w:t>
            </w:r>
          </w:p>
          <w:p>
            <w:pPr>
              <w:pStyle w:val="null3"/>
              <w:ind w:firstLine="420"/>
            </w:pPr>
            <w:r>
              <w:rPr/>
              <w:t>成交供应商按照GB/T25000.51-2016《系统与软件工程系统与软件质量要求和评价（SQuaRE）第51部分：就绪可用软件产品（RUSP）的质量要求和测试细则》和GB/T25000.10-2016《系统与软件工程系统与软件质量要求和评价(SQuaRE)第10部分：系统与软件质量模型》的标准要求，对被测系统开展验收测评。</w:t>
            </w:r>
          </w:p>
          <w:p>
            <w:pPr>
              <w:pStyle w:val="null3"/>
              <w:ind w:firstLine="420"/>
              <w:jc w:val="left"/>
            </w:pPr>
            <w:r>
              <w:rPr/>
              <w:t>主要服务内容包括：</w:t>
            </w:r>
          </w:p>
          <w:p>
            <w:pPr>
              <w:pStyle w:val="null3"/>
              <w:ind w:firstLine="420"/>
              <w:jc w:val="left"/>
            </w:pPr>
            <w:r>
              <w:rPr/>
              <w:t>验收测试：依据信息系统工程项目合同、用户需求说明书以及国家相关法律法规、标准和行业规范等对信息系统的功能性、信息安全性、可靠性、易用性进行严格的测试，为系统验收提供依据，对测试中发现的缺陷和不足，提供修改意见，完善系统功能和性能。</w:t>
            </w:r>
          </w:p>
          <w:p>
            <w:pPr>
              <w:pStyle w:val="null3"/>
              <w:ind w:firstLine="420"/>
              <w:jc w:val="left"/>
            </w:pPr>
            <w:r>
              <w:rPr/>
              <w:t>回归测试：对未通过测试的，在修改后再次进行重新测试，以验证原来存在的问题已修改，同时确认所做的修改没有引入新的缺陷。</w:t>
            </w:r>
          </w:p>
          <w:p>
            <w:pPr>
              <w:pStyle w:val="null3"/>
              <w:outlineLvl w:val="3"/>
            </w:pPr>
            <w:r>
              <w:rPr>
                <w:sz w:val="21"/>
                <w:b/>
              </w:rPr>
              <w:t>4.</w:t>
            </w:r>
            <w:r>
              <w:rPr>
                <w:sz w:val="21"/>
                <w:b/>
              </w:rPr>
              <w:t>服务交付物</w:t>
            </w:r>
          </w:p>
          <w:p>
            <w:pPr>
              <w:pStyle w:val="null3"/>
            </w:pPr>
            <w:r>
              <w:rPr>
                <w:sz w:val="21"/>
              </w:rPr>
              <w:t>《信息系统验收测评报告》（每个被测系统一份）</w:t>
            </w:r>
          </w:p>
        </w:tc>
      </w:tr>
      <w:tr>
        <w:tc>
          <w:tcPr>
            <w:tcW w:type="dxa" w:w="2076"/>
          </w:tcPr>
          <w:p/>
        </w:tc>
        <w:tc>
          <w:tcPr>
            <w:tcW w:type="dxa" w:w="415"/>
          </w:tcPr>
          <w:p>
            <w:pPr>
              <w:pStyle w:val="null3"/>
            </w:pPr>
            <w:r>
              <w:rPr/>
              <w:t>4</w:t>
            </w:r>
          </w:p>
        </w:tc>
        <w:tc>
          <w:tcPr>
            <w:tcW w:type="dxa" w:w="5814"/>
          </w:tcPr>
          <w:p>
            <w:pPr>
              <w:pStyle w:val="null3"/>
              <w:jc w:val="both"/>
            </w:pPr>
            <w:r>
              <w:rPr>
                <w:sz w:val="21"/>
                <w:b/>
              </w:rPr>
              <w:t>病毒防护服务：</w:t>
            </w:r>
          </w:p>
          <w:p>
            <w:pPr>
              <w:pStyle w:val="null3"/>
              <w:outlineLvl w:val="3"/>
            </w:pPr>
            <w:r>
              <w:rPr>
                <w:sz w:val="21"/>
                <w:b/>
              </w:rPr>
              <w:t>1.</w:t>
            </w:r>
            <w:r>
              <w:rPr>
                <w:sz w:val="21"/>
                <w:b/>
              </w:rPr>
              <w:t>服务目标</w:t>
            </w:r>
          </w:p>
          <w:p>
            <w:pPr>
              <w:pStyle w:val="null3"/>
              <w:ind w:firstLine="420"/>
              <w:jc w:val="both"/>
            </w:pPr>
            <w:r>
              <w:rPr>
                <w:sz w:val="21"/>
              </w:rPr>
              <w:t>提供网络版病毒控制中心，实现对国产和windows客户端的集中管理，包括终端统一部署、策略配置、任务分发、集中监控、日志报表等终端安全管理功能。支持多引擎协同，可对病毒、木马、恶意软件等进行查杀，提供主动防御功能。支持主流Windows PC和国产客户端操作系统。</w:t>
            </w:r>
          </w:p>
          <w:p>
            <w:pPr>
              <w:pStyle w:val="null3"/>
              <w:ind w:firstLine="420"/>
              <w:jc w:val="both"/>
            </w:pPr>
            <w:r>
              <w:rPr>
                <w:sz w:val="21"/>
              </w:rPr>
              <w:t>对网络版病毒控制中心提供相应的硬件支持，要求网络版病毒控制中心配备国产化超融合一体机，国产化超融合一体机需安装有国产客户端操作系统和虚拟化软件，国产客户端操作系统需提供一年服务，国产化超融合一体机提供整机3年质保（由一体机生产商直接提供，不影响本项目的服务周期与验收）、虚拟化软件需提供3年订阅与保障服务（由软件生产商直接提供，不影响本项目的服务周期与验收），并保障新平台搭建实施。</w:t>
            </w:r>
          </w:p>
          <w:p>
            <w:pPr>
              <w:pStyle w:val="null3"/>
              <w:outlineLvl w:val="3"/>
            </w:pPr>
            <w:r>
              <w:rPr>
                <w:sz w:val="21"/>
                <w:b/>
              </w:rPr>
              <w:t>2.</w:t>
            </w:r>
            <w:r>
              <w:rPr>
                <w:sz w:val="21"/>
                <w:b/>
              </w:rPr>
              <w:t>服务内容</w:t>
            </w:r>
          </w:p>
          <w:p>
            <w:pPr>
              <w:pStyle w:val="null3"/>
              <w:ind w:firstLine="420"/>
            </w:pPr>
            <w:r>
              <w:rPr/>
              <w:t>网络版病毒控制中心授权：提供国产客户端授权数量1000个，windows客户端授权数量500个。</w:t>
            </w:r>
          </w:p>
          <w:p>
            <w:pPr>
              <w:pStyle w:val="null3"/>
              <w:ind w:firstLine="420"/>
            </w:pPr>
            <w:r>
              <w:rPr/>
              <w:t>国产化超融合一体机需安装有国产客户端操作系统和虚拟化软件，国产客户端操作系统需提供一年服务，虚拟化软件需提供3年订阅与保障服务，并保障新平台搭建实施。具体参数及配置如下：</w:t>
            </w:r>
          </w:p>
          <w:p>
            <w:pPr>
              <w:pStyle w:val="null3"/>
            </w:pPr>
            <w:r>
              <w:rPr/>
              <w:t>（1）国产化超融合一体机：</w:t>
            </w:r>
          </w:p>
          <w:p>
            <w:pPr>
              <w:pStyle w:val="null3"/>
            </w:pPr>
            <w:r>
              <w:rPr/>
              <w:t>国产处理器：2 X 920 共64核，原厂自研芯片，非OEM性质</w:t>
            </w:r>
          </w:p>
          <w:p>
            <w:pPr>
              <w:pStyle w:val="null3"/>
            </w:pPr>
            <w:r>
              <w:rPr/>
              <w:t>内存:128GB/DDR4/2400或2666MHz或2933MHz/ECC/REG</w:t>
            </w:r>
          </w:p>
          <w:p>
            <w:pPr>
              <w:pStyle w:val="null3"/>
            </w:pPr>
            <w:r>
              <w:rPr/>
              <w:t>硬盘: 2 X 600G SAS、5 X 2.4T SAS、1X1.6TB SSD NVMe</w:t>
            </w:r>
          </w:p>
          <w:p>
            <w:pPr>
              <w:pStyle w:val="null3"/>
            </w:pPr>
            <w:r>
              <w:rPr/>
              <w:t>RAID:1X SAS/SATA RAID</w:t>
            </w:r>
            <w:r>
              <w:rPr/>
              <w:t>卡-RAID0,1,5,6,10,50,60,240HDD-12Gb/s-2GB Cache带超级电容</w:t>
            </w:r>
          </w:p>
          <w:p>
            <w:pPr>
              <w:pStyle w:val="null3"/>
            </w:pPr>
            <w:r>
              <w:rPr/>
              <w:t>IO/</w:t>
            </w:r>
            <w:r>
              <w:rPr/>
              <w:t>后置模组: 1 X 3*8X RISER卡组件、 1 X4*2.5"后置硬盘背板组件(只支持NVME)、1 X2*2.5"后置硬盘背板组件+1*16 Risercard模组</w:t>
            </w:r>
          </w:p>
          <w:p>
            <w:pPr>
              <w:pStyle w:val="null3"/>
            </w:pPr>
            <w:r>
              <w:rPr/>
              <w:t>网络：配 4 X GE电口、2 X以太网卡-10Gb光口双端口-SFP+(含光模块）</w:t>
            </w:r>
          </w:p>
          <w:p>
            <w:pPr>
              <w:pStyle w:val="null3"/>
            </w:pPr>
            <w:r>
              <w:rPr/>
              <w:t>电源模块: 2 X 900W 以上交流电源模块</w:t>
            </w:r>
          </w:p>
          <w:p>
            <w:pPr>
              <w:pStyle w:val="null3"/>
            </w:pPr>
            <w:r>
              <w:rPr/>
              <w:t>服务器配件: 1 X 2U静态滑轨套件（导轨）</w:t>
            </w:r>
          </w:p>
          <w:p>
            <w:pPr>
              <w:pStyle w:val="null3"/>
            </w:pPr>
            <w:r>
              <w:rPr/>
              <w:t>服务：3年整机质保，7X24小时电话响应支持（由一体机生产商直接提供，不影响本项目的服务周期与验收）</w:t>
            </w:r>
          </w:p>
          <w:p>
            <w:pPr>
              <w:pStyle w:val="null3"/>
            </w:pPr>
            <w:r>
              <w:rPr/>
              <w:t>（2）虚拟化软件：</w:t>
            </w:r>
          </w:p>
          <w:p>
            <w:pPr>
              <w:pStyle w:val="null3"/>
            </w:pPr>
            <w:r>
              <w:rPr/>
              <w:t>配套基础架构软件标准版许可、国产虚拟化套件标准版许可，均为3年订阅与保障服务（由软件生产商直接提供，不影响本项目的服务周期与验收），并保障新平台搭建实施。</w:t>
            </w:r>
          </w:p>
          <w:p>
            <w:pPr>
              <w:pStyle w:val="null3"/>
            </w:pPr>
            <w:r>
              <w:rPr/>
              <w:t>（3）操作系统：服务器国产化操作系统一年服务。</w:t>
            </w:r>
          </w:p>
          <w:p>
            <w:pPr>
              <w:pStyle w:val="null3"/>
              <w:outlineLvl w:val="3"/>
            </w:pPr>
            <w:r>
              <w:rPr>
                <w:sz w:val="21"/>
                <w:b/>
              </w:rPr>
              <w:t>3.</w:t>
            </w:r>
            <w:r>
              <w:rPr>
                <w:sz w:val="21"/>
                <w:b/>
              </w:rPr>
              <w:t>服务范围</w:t>
            </w:r>
          </w:p>
          <w:p>
            <w:pPr>
              <w:pStyle w:val="null3"/>
            </w:pPr>
            <w:r>
              <w:rPr>
                <w:sz w:val="21"/>
              </w:rPr>
              <w:t>省市场监管局指定地点。</w:t>
            </w:r>
          </w:p>
        </w:tc>
      </w:tr>
      <w:tr>
        <w:tc>
          <w:tcPr>
            <w:tcW w:type="dxa" w:w="2076"/>
          </w:tcPr>
          <w:p/>
        </w:tc>
        <w:tc>
          <w:tcPr>
            <w:tcW w:type="dxa" w:w="415"/>
          </w:tcPr>
          <w:p>
            <w:pPr>
              <w:pStyle w:val="null3"/>
            </w:pPr>
            <w:r>
              <w:rPr/>
              <w:t>5</w:t>
            </w:r>
          </w:p>
        </w:tc>
        <w:tc>
          <w:tcPr>
            <w:tcW w:type="dxa" w:w="5814"/>
          </w:tcPr>
          <w:p>
            <w:pPr>
              <w:pStyle w:val="null3"/>
            </w:pPr>
            <w:r>
              <w:rPr>
                <w:b/>
              </w:rPr>
              <w:t>测评工具要求：</w:t>
            </w:r>
          </w:p>
          <w:p>
            <w:pPr>
              <w:pStyle w:val="null3"/>
              <w:ind w:firstLine="420"/>
            </w:pPr>
            <w:r>
              <w:rPr/>
              <w:t>（1）本项目在实施过程中所使用到的专业安全测评工具必须包含漏洞扫描工具、代码分析工具。</w:t>
            </w:r>
          </w:p>
          <w:p>
            <w:pPr>
              <w:pStyle w:val="null3"/>
              <w:ind w:firstLine="480"/>
            </w:pPr>
            <w:r>
              <w:rPr>
                <w:sz w:val="24"/>
              </w:rPr>
              <w:t>★</w:t>
            </w:r>
            <w:r>
              <w:rPr/>
              <w:t>（2）本项目使用的所有测评工具和软件无需本项目采购人购买，均由成交供应商自行提供。成交供应商必须保证所使用的所有工具和软件不会产生所有权和知识产权纠纷；并保证工具和软件的可用性和可靠性。由此产生的一切责任由成交供应商负完全责任。（响应文件中须提供承诺函，格式自拟）。</w:t>
            </w:r>
          </w:p>
          <w:p>
            <w:pPr>
              <w:pStyle w:val="null3"/>
            </w:pPr>
            <w:r>
              <w:rPr>
                <w:sz w:val="21"/>
              </w:rPr>
              <w:t>（3）测评工具软件运行可能需要的硬件平台（如计算机、打印机等）均由成交供应商自行准备，采购人有权按照相关的要求对设备进行必要的处理。成交供应商在测评期间未经采购人许可，不得将设备带离采购人指定的场所，也不得使用任何未经采购人确认的存储设备对测评数据进行复制。</w:t>
            </w:r>
          </w:p>
        </w:tc>
      </w:tr>
      <w:tr>
        <w:tc>
          <w:tcPr>
            <w:tcW w:type="dxa" w:w="2076"/>
          </w:tcPr>
          <w:p/>
        </w:tc>
        <w:tc>
          <w:tcPr>
            <w:tcW w:type="dxa" w:w="415"/>
          </w:tcPr>
          <w:p>
            <w:pPr>
              <w:pStyle w:val="null3"/>
            </w:pPr>
            <w:r>
              <w:rPr/>
              <w:t>6</w:t>
            </w:r>
          </w:p>
        </w:tc>
        <w:tc>
          <w:tcPr>
            <w:tcW w:type="dxa" w:w="5814"/>
          </w:tcPr>
          <w:p>
            <w:pPr>
              <w:pStyle w:val="null3"/>
            </w:pPr>
            <w:r>
              <w:rPr>
                <w:b/>
              </w:rPr>
              <w:t>其他要求</w:t>
            </w:r>
          </w:p>
          <w:p>
            <w:pPr>
              <w:pStyle w:val="null3"/>
            </w:pPr>
            <w:r>
              <w:rPr>
                <w:b/>
              </w:rPr>
              <w:t>1.</w:t>
            </w:r>
            <w:r>
              <w:rPr>
                <w:b/>
              </w:rPr>
              <w:t>项目团队：</w:t>
            </w:r>
          </w:p>
          <w:p>
            <w:pPr>
              <w:pStyle w:val="null3"/>
            </w:pPr>
            <w:r>
              <w:rPr/>
              <w:t>（1）供应商投入的技术团队人员（项目经理除外）：不少于10名具有公安部信息安全等级保护评估中心（或中关村信息安全测评联盟）颁发的高级网络安全等级测评师证书（或高级信息安全等级测评师证书）的；不少于3名具有工业和信息化部教育与考试中心颁发的高级密码安全工程师；不少于2名具有国家信息安全水平证书（NISP）。</w:t>
            </w:r>
          </w:p>
          <w:p>
            <w:pPr>
              <w:pStyle w:val="null3"/>
            </w:pPr>
            <w:r>
              <w:rPr>
                <w:b/>
              </w:rPr>
              <w:t>2.</w:t>
            </w:r>
            <w:r>
              <w:rPr>
                <w:b/>
              </w:rPr>
              <w:t>项目经理：</w:t>
            </w:r>
          </w:p>
          <w:p>
            <w:pPr>
              <w:pStyle w:val="null3"/>
            </w:pPr>
            <w:r>
              <w:rPr/>
              <w:t>（1）具有工业和信息化部教育与考试中心颁发的高级密码安全工程师；</w:t>
            </w:r>
          </w:p>
          <w:p>
            <w:pPr>
              <w:pStyle w:val="null3"/>
            </w:pPr>
            <w:r>
              <w:rPr/>
              <w:t>（2）通过国家密码管理局商用密码检测中心的商用密码应用安全性评估人员测评能力考核证书；</w:t>
            </w:r>
          </w:p>
          <w:p>
            <w:pPr>
              <w:pStyle w:val="null3"/>
            </w:pPr>
            <w:r>
              <w:rPr/>
              <w:t>（3）具有中国信息安全认证中心颁发的CISP证书。</w:t>
            </w:r>
          </w:p>
          <w:p>
            <w:pPr>
              <w:pStyle w:val="null3"/>
            </w:pPr>
            <w:r>
              <w:rPr>
                <w:sz w:val="21"/>
                <w:b/>
              </w:rPr>
              <w:t>3.</w:t>
            </w:r>
            <w:r>
              <w:rPr>
                <w:sz w:val="21"/>
                <w:b/>
              </w:rPr>
              <w:t>服务响应时间：</w:t>
            </w:r>
            <w:r>
              <w:rPr>
                <w:sz w:val="21"/>
              </w:rPr>
              <w:t>能够在2小时（不含）内到场并解决问题。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 （1）以项目预算金额作为采购代理服务费的计算基数； （2）采购代理服务费采用差额定率累进法进行计算，按照以下标准计取：100万元以下的部分，按照1.5%计取；100-500万元的部分，按照0.8%计取。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省市场监管局网络安全合规测评服务（2024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采购包1（省市场监管局网络安全合规测评服务（2024年））：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a)投标人服务全部为小型或微型企业服务时，报价给予K1的价格扣除（K1的取值为10%），即：评标价＝修正后的报价*（1-K1）；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采购包1（省市场监管局网络安全合规测评服务（2024年））：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供应商必须具有良好的商业信誉和健全的财务会计制度（提供2022年度财务状况报告或2023年度财务状况报告或投标截止日前6个月内任意1个月的财务报表复印件；或基本开户行出具的资信证明）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供应商具有有效的“网络安全等级测评与检测评估机构服务认证证书”（公安部第三研究所颁发）或被列入《全国网络安全等级测评与检测评估机构目录》（网络安全等级保护网发布），提供相关证明材料。</w:t>
            </w:r>
          </w:p>
        </w:tc>
      </w:tr>
      <w:tr>
        <w:tc>
          <w:tcPr>
            <w:tcW w:type="dxa" w:w="890"/>
          </w:tcPr>
          <w:p>
            <w:pPr>
              <w:pStyle w:val="null3"/>
            </w:pPr>
            <w:r>
              <w:rPr/>
              <w:t>9</w:t>
            </w:r>
          </w:p>
        </w:tc>
        <w:tc>
          <w:tcPr>
            <w:tcW w:type="dxa" w:w="3178"/>
          </w:tcPr>
          <w:p>
            <w:pPr>
              <w:pStyle w:val="null3"/>
            </w:pPr>
            <w:r>
              <w:rPr/>
              <w:t>特殊资质</w:t>
            </w:r>
          </w:p>
        </w:tc>
        <w:tc>
          <w:tcPr>
            <w:tcW w:type="dxa" w:w="4238"/>
          </w:tcPr>
          <w:p>
            <w:pPr>
              <w:pStyle w:val="null3"/>
            </w:pPr>
            <w:r>
              <w:rPr/>
              <w:t>供应商为国家密码管理局认定的商用密码应用安全性测评机构试点单位（即：列入国家密码管理局公告（国家密码管理局公告（第42号））明确的《商用密码应用安全性评估试点机构目录》），提供相关证明材料。</w:t>
            </w:r>
          </w:p>
        </w:tc>
      </w:tr>
      <w:tr>
        <w:tc>
          <w:tcPr>
            <w:tcW w:type="dxa" w:w="890"/>
          </w:tcPr>
          <w:p>
            <w:pPr>
              <w:pStyle w:val="null3"/>
            </w:pPr>
            <w:r>
              <w:rPr/>
              <w:t>10</w:t>
            </w:r>
          </w:p>
        </w:tc>
        <w:tc>
          <w:tcPr>
            <w:tcW w:type="dxa" w:w="3178"/>
          </w:tcPr>
          <w:p>
            <w:pPr>
              <w:pStyle w:val="null3"/>
            </w:pPr>
            <w:r>
              <w:rPr/>
              <w:t>促进中小企业政策要求</w:t>
            </w:r>
          </w:p>
        </w:tc>
        <w:tc>
          <w:tcPr>
            <w:tcW w:type="dxa" w:w="4238"/>
          </w:tcPr>
          <w:p>
            <w:pPr>
              <w:pStyle w:val="null3"/>
            </w:pPr>
            <w:r>
              <w:rPr/>
              <w:t>本项目为非专门面向中小企业采购的项目，中小企业划分标准所属行业为：信息传输业。</w:t>
            </w:r>
          </w:p>
        </w:tc>
      </w:tr>
    </w:tbl>
    <w:p>
      <w:pPr>
        <w:pStyle w:val="null3"/>
        <w:ind w:firstLine="480"/>
      </w:pPr>
      <w:r>
        <w:rPr/>
        <w:t>表二符合性审查表：</w:t>
      </w:r>
    </w:p>
    <w:p>
      <w:pPr>
        <w:pStyle w:val="null3"/>
      </w:pPr>
      <w:r>
        <w:rPr/>
        <w:t>采购包1（省市场监管局网络安全合规测评服务（2024年））：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采购包1(省市场监管局网络安全合规测评服务（2024年）):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根据供应商提供的服务方案进行评审（包括但不限于等保测评服务、商用密码测评服务、验收测评服务等）： （1）总体服务方案完善、科学、可行，技术手段、管理方式、保障措施全面、详细，对项目内容具有支撑性，得15分； （2）总体服务方案较完善、科学、可行，技术手段、管理方式、保障措施等方面较全面、较详细，对项目内容较有支撑性，得10分； （3）总体服务方案基本完善、科学、合理，基本能支撑项目内容，得5分； （4）总体服务方案较简单，部分方案能支撑项目内容，得1分； （5）其他情况或未提供总体实施方案，不得分。</w:t>
            </w:r>
          </w:p>
        </w:tc>
      </w:tr>
      <w:tr>
        <w:tc>
          <w:tcPr>
            <w:tcW w:type="dxa" w:w="922"/>
            <w:gridSpan w:val="2"/>
            <w:vMerge/>
          </w:tcPr>
          <w:p/>
        </w:tc>
        <w:tc>
          <w:tcPr>
            <w:tcW w:type="dxa" w:w="2307"/>
          </w:tcPr>
          <w:p>
            <w:pPr>
              <w:pStyle w:val="null3"/>
              <w:jc w:val="left"/>
            </w:pPr>
            <w:r>
              <w:rPr/>
              <w:t>测评方法 (8.0分)</w:t>
            </w:r>
            <w:r>
              <w:rPr/>
              <w:t>，（等次分值选择：</w:t>
            </w:r>
            <w:r>
              <w:rPr/>
              <w:t>0.0;</w:t>
            </w:r>
            <w:r>
              <w:rPr/>
              <w:t>2.0;</w:t>
            </w:r>
            <w:r>
              <w:rPr/>
              <w:t>5.0;</w:t>
            </w:r>
            <w:r>
              <w:rPr/>
              <w:t>8.0;</w:t>
            </w:r>
            <w:r>
              <w:rPr/>
              <w:t>）</w:t>
            </w:r>
          </w:p>
        </w:tc>
        <w:tc>
          <w:tcPr>
            <w:tcW w:type="dxa" w:w="5076"/>
          </w:tcPr>
          <w:p>
            <w:pPr>
              <w:pStyle w:val="null3"/>
              <w:jc w:val="left"/>
            </w:pPr>
            <w:r>
              <w:rPr/>
              <w:t>根据供应商提供的测评方法进行评审（测评项包括但不限于等保测评、商用密码测评、验收测评等）： 测评方法科学、先进、可靠，优于测评需求，得8分； 测评方法比较科学、先进、可靠，完全满足测评需求，得5分； 测评方法基本科学、先进、可靠，未能满足测评需求，得2分； 其余情况或不提供不得分。</w:t>
            </w:r>
          </w:p>
        </w:tc>
      </w:tr>
      <w:tr>
        <w:tc>
          <w:tcPr>
            <w:tcW w:type="dxa" w:w="922"/>
            <w:gridSpan w:val="2"/>
            <w:vMerge/>
          </w:tcPr>
          <w:p/>
        </w:tc>
        <w:tc>
          <w:tcPr>
            <w:tcW w:type="dxa" w:w="2307"/>
          </w:tcPr>
          <w:p>
            <w:pPr>
              <w:pStyle w:val="null3"/>
              <w:jc w:val="left"/>
            </w:pPr>
            <w:r>
              <w:rPr/>
              <w:t>测评服务的质量保证体系 (8.0分)</w:t>
            </w:r>
            <w:r>
              <w:rPr/>
              <w:t>，（等次分值选择：</w:t>
            </w:r>
            <w:r>
              <w:rPr/>
              <w:t>0.0;</w:t>
            </w:r>
            <w:r>
              <w:rPr/>
              <w:t>2.0;</w:t>
            </w:r>
            <w:r>
              <w:rPr/>
              <w:t>5.0;</w:t>
            </w:r>
            <w:r>
              <w:rPr/>
              <w:t>8.0;</w:t>
            </w:r>
            <w:r>
              <w:rPr/>
              <w:t>）</w:t>
            </w:r>
          </w:p>
        </w:tc>
        <w:tc>
          <w:tcPr>
            <w:tcW w:type="dxa" w:w="5076"/>
          </w:tcPr>
          <w:p>
            <w:pPr>
              <w:pStyle w:val="null3"/>
              <w:jc w:val="left"/>
            </w:pPr>
            <w:r>
              <w:rPr/>
              <w:t>根据供应商提供的测评服务的质量保证体系方案进行评审（包括但不限于遵守法规标准、保守秘密隐私、对测评人员进行安全保密教育等）： 测评服务的质量保证体系整体方案具体、合理和到位，优于采购需求的，得8分： 测评服务的质量保证体系整体方案比较具体、合理和到位，完全满足采购需求的，得5分： 测评服务的质量保证体系整体方案基本具体、合理和到位，未能满足采购人的需求，得2分。 其余情况或不提供不得分。</w:t>
            </w:r>
          </w:p>
        </w:tc>
      </w:tr>
      <w:tr>
        <w:tc>
          <w:tcPr>
            <w:tcW w:type="dxa" w:w="922"/>
            <w:gridSpan w:val="2"/>
            <w:vMerge/>
          </w:tcPr>
          <w:p/>
        </w:tc>
        <w:tc>
          <w:tcPr>
            <w:tcW w:type="dxa" w:w="2307"/>
          </w:tcPr>
          <w:p>
            <w:pPr>
              <w:pStyle w:val="null3"/>
              <w:jc w:val="left"/>
            </w:pPr>
            <w:r>
              <w:rPr/>
              <w:t>项目管理制度及措施 (7.0分)</w:t>
            </w:r>
            <w:r>
              <w:rPr/>
              <w:t>，（等次分值选择：</w:t>
            </w:r>
            <w:r>
              <w:rPr/>
              <w:t>0.0;</w:t>
            </w:r>
            <w:r>
              <w:rPr/>
              <w:t>1.0;</w:t>
            </w:r>
            <w:r>
              <w:rPr/>
              <w:t>4.0;</w:t>
            </w:r>
            <w:r>
              <w:rPr/>
              <w:t>7.0;</w:t>
            </w:r>
            <w:r>
              <w:rPr/>
              <w:t>）</w:t>
            </w:r>
          </w:p>
        </w:tc>
        <w:tc>
          <w:tcPr>
            <w:tcW w:type="dxa" w:w="5076"/>
          </w:tcPr>
          <w:p>
            <w:pPr>
              <w:pStyle w:val="null3"/>
              <w:jc w:val="left"/>
            </w:pPr>
            <w:r>
              <w:rPr/>
              <w:t>根据供应商提供的项目管理制度及措施进行评审（包括但不限于实施人员要求、项目实施要求、组织实施要求等）： 人员管理制度完善、实施进度安排整体方案具体、合理，优于采购需求的，得7分； 人员管理制度、实施进度安排方案详细、合理，完全满足采购需求的，得4分； 人员管理制度、实施进度安排不够详细，未能满足采购人的需求，得1分。 其余情况或不提供不得分。</w:t>
            </w:r>
          </w:p>
        </w:tc>
      </w:tr>
      <w:tr>
        <w:tc>
          <w:tcPr>
            <w:tcW w:type="dxa" w:w="922"/>
            <w:gridSpan w:val="2"/>
            <w:vMerge/>
          </w:tcPr>
          <w:p/>
        </w:tc>
        <w:tc>
          <w:tcPr>
            <w:tcW w:type="dxa" w:w="2307"/>
          </w:tcPr>
          <w:p>
            <w:pPr>
              <w:pStyle w:val="null3"/>
              <w:jc w:val="left"/>
            </w:pPr>
            <w:r>
              <w:rPr/>
              <w:t>测试工具配备情况 (12.0分)</w:t>
            </w:r>
          </w:p>
        </w:tc>
        <w:tc>
          <w:tcPr>
            <w:tcW w:type="dxa" w:w="5076"/>
          </w:tcPr>
          <w:p>
            <w:pPr>
              <w:pStyle w:val="null3"/>
              <w:jc w:val="left"/>
            </w:pPr>
            <w:r>
              <w:rPr/>
              <w:t>每具有一个以下测试工具的，得2分，最高得12分: 1、网络安全等级保护测评工具： (1)Web应用漏洞扫描工具; (2)深度安全检测系统 2、商用密码应用安全性评估工具： (1)密码基线检测仪; (2)密码设备合规性检测平台: (3)密码模块综合检测分析平台 (4)证书状态查询系统 注:以提供的对应工具采购合同或租赁协议为准，不提供不得分。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项目团队 (15.0分)</w:t>
            </w:r>
          </w:p>
        </w:tc>
        <w:tc>
          <w:tcPr>
            <w:tcW w:type="dxa" w:w="5076"/>
          </w:tcPr>
          <w:p>
            <w:pPr>
              <w:pStyle w:val="null3"/>
              <w:jc w:val="left"/>
            </w:pPr>
            <w:r>
              <w:rPr/>
              <w:t>1.供应商投入的技术团队人员（项目经理除外）具有公安部信息安全等级保护评估中心（或中关村信息安全测评联盟）颁发的高级网络安全等级测评师证书（或高级信息安全等级测评师证书）的，每个得1分，最高得10分。 2.供应商投入的技术团队人员（项目经理除外）具有工业和信息化部教育与考试中心颁发的高级密码安全工程师证书的，每个得1分，最高得3分。 3.供应商投入的技术团队人员（项目经理除外）具有国家信息安全水平证书（NISP）的，每个得1分，最高得2分。 注：一个人具有多个证书的，不可重复计分，需提供上述证书及在供应商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项目经理 (6.0分)</w:t>
            </w:r>
          </w:p>
        </w:tc>
        <w:tc>
          <w:tcPr>
            <w:tcW w:type="dxa" w:w="5076"/>
          </w:tcPr>
          <w:p>
            <w:pPr>
              <w:pStyle w:val="null3"/>
              <w:jc w:val="left"/>
            </w:pPr>
            <w:r>
              <w:rPr/>
              <w:t>供应商项目经理须具有以下资质证书要求： （1）具有工业和信息化部教育与考试中心颁发的高级密码安全工程师，得2分； （2）通过国家密码管理局商用密码检测中心的商用密码应用安全性评估人员测评能力考核证书，得2分； （3）具有中国信息安全认证中心颁发的CISP证书，得2分。 注：需提供上述证书及在供应商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同类项目经验 (15.0分)</w:t>
            </w:r>
          </w:p>
        </w:tc>
        <w:tc>
          <w:tcPr>
            <w:tcW w:type="dxa" w:w="5076"/>
          </w:tcPr>
          <w:p>
            <w:pPr>
              <w:pStyle w:val="null3"/>
              <w:jc w:val="left"/>
            </w:pPr>
            <w:r>
              <w:rPr/>
              <w:t>供应商提供2021年1月1日（以合同签约时间为准）以来完成过的等保测评或商用密码测评或验收测评服务相关的案例，每提供一个得1.5分，最高得15分。 注：以合同关键页（包括双方盖章、合同金额、签约时间、采购内容）扫描件、测评报告为准，每个测评报告视为一个案例。</w:t>
            </w:r>
          </w:p>
        </w:tc>
      </w:tr>
      <w:tr>
        <w:tc>
          <w:tcPr>
            <w:tcW w:type="dxa" w:w="922"/>
            <w:gridSpan w:val="2"/>
            <w:vMerge/>
          </w:tcPr>
          <w:p/>
        </w:tc>
        <w:tc>
          <w:tcPr>
            <w:tcW w:type="dxa" w:w="2307"/>
          </w:tcPr>
          <w:p>
            <w:pPr>
              <w:pStyle w:val="null3"/>
              <w:jc w:val="left"/>
            </w:pPr>
            <w:r>
              <w:rPr/>
              <w:t>服务便利性 (4.0分)</w:t>
            </w:r>
          </w:p>
        </w:tc>
        <w:tc>
          <w:tcPr>
            <w:tcW w:type="dxa" w:w="5076"/>
          </w:tcPr>
          <w:p>
            <w:pPr>
              <w:pStyle w:val="null3"/>
              <w:jc w:val="left"/>
            </w:pPr>
            <w:r>
              <w:rPr/>
              <w:t>投标人承诺的服务响应时间： 1、服务响应时效性强，能够在2小时（不含）内到场并解决问题的，得4分； 2、服务响应时效性较强，能够在2小时（含）-4小时（含）到场并解决问题的，得3分； 3、服务响应时效在4小时（不含）以上到场的，得1分。 注：提供承诺或声明。不提供不得分。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广东省政府采购</w:t>
      </w:r>
    </w:p>
    <w:p>
      <w:pPr>
        <w:pStyle w:val="null3"/>
        <w:ind w:firstLine="480"/>
        <w:jc w:val="center"/>
      </w:pPr>
      <w:r>
        <w:rPr>
          <w:sz w:val="21"/>
          <w:b/>
          <w:shd w:fill="FFFFFF" w:val="clear"/>
        </w:rPr>
        <w:t xml:space="preserve"> </w:t>
      </w:r>
    </w:p>
    <w:p>
      <w:pPr>
        <w:pStyle w:val="null3"/>
        <w:ind w:firstLine="480"/>
        <w:jc w:val="center"/>
      </w:pPr>
      <w:r>
        <w:rPr>
          <w:sz w:val="44"/>
          <w:b/>
          <w:shd w:fill="FFFFFF" w:val="clear"/>
        </w:rPr>
        <w:t>合　同　书</w:t>
      </w:r>
    </w:p>
    <w:p>
      <w:pPr>
        <w:pStyle w:val="null3"/>
        <w:jc w:val="both"/>
      </w:pPr>
      <w:r>
        <w:br/>
      </w:r>
      <w:r>
        <w:rPr/>
        <w:t xml:space="preserve">  </w:t>
      </w:r>
    </w:p>
    <w:p>
      <w:pPr>
        <w:pStyle w:val="null3"/>
        <w:jc w:val="both"/>
      </w:pPr>
      <w:r>
        <w:br/>
      </w:r>
      <w:r>
        <w:rPr>
          <w:sz w:val="21"/>
          <w:b/>
          <w:shd w:fill="FFFFFF" w:val="clear"/>
        </w:rPr>
        <w:t xml:space="preserve">项目名称：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 xml:space="preserve">合同编号：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 xml:space="preserve">签约地点：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签订日期：       年    月     日</w:t>
      </w:r>
    </w:p>
    <w:p>
      <w:pPr>
        <w:pStyle w:val="null3"/>
        <w:ind w:firstLine="480"/>
        <w:jc w:val="center"/>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pPr>
      <w:r>
        <w:rPr>
          <w:sz w:val="21"/>
        </w:rPr>
        <w:t>甲    方：广东省市场监督管理局</w:t>
      </w:r>
    </w:p>
    <w:p>
      <w:pPr>
        <w:pStyle w:val="null3"/>
        <w:jc w:val="both"/>
      </w:pPr>
      <w:r>
        <w:rPr>
          <w:sz w:val="21"/>
        </w:rPr>
        <w:t>电    话：           　   传  真：           地  址：</w:t>
      </w:r>
    </w:p>
    <w:p>
      <w:pPr>
        <w:pStyle w:val="null3"/>
        <w:jc w:val="both"/>
      </w:pPr>
      <w:r>
        <w:rPr>
          <w:sz w:val="21"/>
        </w:rPr>
        <w:t xml:space="preserve">乙    方：                 </w:t>
      </w:r>
      <w:r>
        <w:br/>
      </w:r>
      <w:r>
        <w:rPr>
          <w:sz w:val="21"/>
        </w:rPr>
        <w:t xml:space="preserve"> 电    话：                传  真：           地  址：  </w:t>
      </w:r>
    </w:p>
    <w:p>
      <w:pPr>
        <w:pStyle w:val="null3"/>
        <w:jc w:val="both"/>
      </w:pPr>
      <w:r>
        <w:rPr>
          <w:sz w:val="21"/>
        </w:rPr>
        <w:t>根据</w:t>
      </w:r>
      <w:r>
        <w:rPr>
          <w:sz w:val="21"/>
          <w:u w:val="single"/>
        </w:rPr>
        <w:t xml:space="preserve">  省市场监管局网络安全合规测评服务（2024年）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rPr>
        <w:t>一、合同金额</w:t>
      </w:r>
    </w:p>
    <w:p>
      <w:pPr>
        <w:pStyle w:val="null3"/>
        <w:ind w:firstLine="420"/>
        <w:jc w:val="both"/>
      </w:pPr>
      <w:r>
        <w:rPr>
          <w:sz w:val="21"/>
        </w:rPr>
        <w:t>合同金额为（大写）：</w:t>
      </w:r>
      <w:r>
        <w:rPr>
          <w:sz w:val="21"/>
          <w:u w:val="single"/>
        </w:rPr>
        <w:t xml:space="preserve">             </w:t>
      </w:r>
      <w:r>
        <w:rPr>
          <w:sz w:val="21"/>
        </w:rPr>
        <w:t>元（￥</w:t>
      </w:r>
      <w:r>
        <w:rPr>
          <w:sz w:val="21"/>
          <w:u w:val="single"/>
        </w:rPr>
        <w:t xml:space="preserve">            </w:t>
      </w:r>
      <w:r>
        <w:rPr>
          <w:sz w:val="21"/>
        </w:rPr>
        <w:t xml:space="preserve"> 元）人民币。</w:t>
      </w:r>
    </w:p>
    <w:p>
      <w:pPr>
        <w:pStyle w:val="null3"/>
        <w:jc w:val="both"/>
      </w:pPr>
      <w:r>
        <w:rPr>
          <w:sz w:val="21"/>
        </w:rPr>
        <w:t>二、服务范围</w:t>
      </w:r>
    </w:p>
    <w:p>
      <w:pPr>
        <w:pStyle w:val="null3"/>
        <w:jc w:val="both"/>
      </w:pPr>
      <w:r>
        <w:rPr>
          <w:sz w:val="21"/>
        </w:rPr>
        <w:t>　　（一）甲方聘请乙方提供以下服务：</w:t>
      </w:r>
    </w:p>
    <w:p>
      <w:pPr>
        <w:pStyle w:val="null3"/>
        <w:ind w:firstLine="420"/>
        <w:jc w:val="both"/>
      </w:pPr>
      <w:r>
        <w:rPr>
          <w:sz w:val="21"/>
        </w:rPr>
        <w:t>1.</w:t>
      </w:r>
      <w:r>
        <w:rPr>
          <w:sz w:val="21"/>
        </w:rPr>
        <w:t>乙方提供</w:t>
      </w:r>
      <w:r>
        <w:rPr>
          <w:sz w:val="21"/>
        </w:rPr>
        <w:t>等保测评、商用密码测评、验收测评及病毒防护服务等配套的第三方服务。</w:t>
      </w:r>
    </w:p>
    <w:p>
      <w:pPr>
        <w:pStyle w:val="null3"/>
        <w:ind w:firstLine="420"/>
        <w:jc w:val="both"/>
      </w:pPr>
      <w:r>
        <w:rPr>
          <w:sz w:val="21"/>
        </w:rPr>
        <w:t>2.</w:t>
      </w:r>
      <w:r>
        <w:rPr>
          <w:sz w:val="21"/>
        </w:rPr>
        <w:t>详细需求详见磋商文件及相应文件。</w:t>
      </w:r>
    </w:p>
    <w:p>
      <w:pPr>
        <w:pStyle w:val="null3"/>
        <w:ind w:firstLine="420"/>
        <w:jc w:val="both"/>
      </w:pPr>
      <w:r>
        <w:rPr>
          <w:sz w:val="21"/>
        </w:rPr>
        <w:t>（二）验收方案</w:t>
      </w:r>
    </w:p>
    <w:p>
      <w:pPr>
        <w:pStyle w:val="null3"/>
        <w:ind w:firstLine="420"/>
        <w:jc w:val="both"/>
      </w:pPr>
      <w:r>
        <w:rPr>
          <w:sz w:val="21"/>
        </w:rPr>
        <w:t>乙方在服务项目履行结束后由验收人员组织对项目内容的履约结果进行验收，以确认服务内容和质量符合相关要求。验收过程由项目参与人员分别签署验收意见，验收结果不完全符合的，应在限定期限内达到项目内容约定的要求。验收所发生的费用由乙方承担。</w:t>
      </w:r>
    </w:p>
    <w:p>
      <w:pPr>
        <w:pStyle w:val="null3"/>
        <w:jc w:val="both"/>
      </w:pPr>
      <w:r>
        <w:rPr>
          <w:sz w:val="21"/>
        </w:rPr>
        <w:t>三、甲方乙方的权利和义务</w:t>
      </w:r>
    </w:p>
    <w:p>
      <w:pPr>
        <w:pStyle w:val="null3"/>
        <w:jc w:val="both"/>
      </w:pPr>
      <w:r>
        <w:rPr>
          <w:sz w:val="21"/>
        </w:rPr>
        <w:t xml:space="preserve">        （一）甲方的权利和义务</w:t>
      </w:r>
    </w:p>
    <w:p>
      <w:pPr>
        <w:pStyle w:val="null3"/>
        <w:ind w:firstLine="420"/>
      </w:pPr>
      <w:r>
        <w:rPr>
          <w:sz w:val="21"/>
        </w:rPr>
        <w:t>1.乙方因自身原因导致合同无法继续履行，则视为乙方违约，甲方有权单方解除合同，并向乙方追偿损失。</w:t>
      </w:r>
    </w:p>
    <w:p>
      <w:pPr>
        <w:pStyle w:val="null3"/>
        <w:ind w:firstLine="420"/>
      </w:pPr>
      <w:r>
        <w:rPr>
          <w:sz w:val="21"/>
        </w:rPr>
        <w:t>2.如因乙方原因导致甲方被行政处分或行政处罚，甲方保留向乙方追究法律责任、经济责任的权利。</w:t>
      </w:r>
    </w:p>
    <w:p>
      <w:pPr>
        <w:pStyle w:val="null3"/>
        <w:ind w:firstLine="420"/>
      </w:pPr>
      <w:r>
        <w:rPr>
          <w:sz w:val="21"/>
        </w:rPr>
        <w:t>3.甲方有权要求乙方撤换任何不称职的项目人员，乙方需在甲方要求的时间内完成替换，替换人员须具有与原人员能力相当或更高的资质和能力。</w:t>
      </w:r>
    </w:p>
    <w:p>
      <w:pPr>
        <w:pStyle w:val="null3"/>
        <w:ind w:firstLine="420"/>
      </w:pPr>
      <w:r>
        <w:rPr>
          <w:sz w:val="21"/>
        </w:rPr>
        <w:t>4.甲方应向乙方提供技术服务所必须的信息、数据、资料，并负责为乙方提供必要的设备、工作场地、后勤设施等。如因甲方未能按时提供工作条件或技术资料，或甲方未及时协调需其他相关方配合的资源，经甲方书面确认后，乙方可顺延工作的完成期限。</w:t>
      </w:r>
    </w:p>
    <w:p>
      <w:pPr>
        <w:pStyle w:val="null3"/>
        <w:ind w:firstLine="420"/>
      </w:pPr>
      <w:r>
        <w:rPr>
          <w:sz w:val="21"/>
        </w:rPr>
        <w:t>5.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ind w:firstLine="420"/>
      </w:pPr>
      <w:r>
        <w:rPr>
          <w:sz w:val="21"/>
        </w:rPr>
        <w:t>6.甲方应及时组织验收，对乙方提交的符合本合同约定的服务成果进行书面确认。</w:t>
      </w:r>
    </w:p>
    <w:p>
      <w:pPr>
        <w:pStyle w:val="null3"/>
        <w:ind w:firstLine="420"/>
      </w:pPr>
      <w:r>
        <w:rPr>
          <w:sz w:val="21"/>
        </w:rPr>
        <w:t>7.按照本合同的约定向乙方支付合同金额。</w:t>
      </w:r>
    </w:p>
    <w:p>
      <w:pPr>
        <w:pStyle w:val="null3"/>
        <w:ind w:firstLine="420"/>
      </w:pPr>
      <w:r>
        <w:rPr>
          <w:sz w:val="21"/>
        </w:rPr>
        <w:t>8.为确保项目实施单位遵循方案进行建设，甲方有权要求乙方参与实施项目采购需求编制、技术交底、需求确认、变更审核和验收核查工作，乙方应按甲方的要求出具审核意见。</w:t>
      </w:r>
    </w:p>
    <w:p>
      <w:pPr>
        <w:pStyle w:val="null3"/>
        <w:ind w:firstLine="420"/>
      </w:pPr>
      <w:r>
        <w:rPr>
          <w:sz w:val="21"/>
        </w:rPr>
        <w:t>9.法律、法规规定的以及本合同项下的其他权利义务。</w:t>
      </w:r>
    </w:p>
    <w:p>
      <w:pPr>
        <w:pStyle w:val="null3"/>
        <w:ind w:firstLine="420"/>
      </w:pPr>
      <w:r>
        <w:rPr>
          <w:sz w:val="21"/>
        </w:rPr>
        <w:t>（二）乙方的权利和义务</w:t>
      </w:r>
    </w:p>
    <w:p>
      <w:pPr>
        <w:pStyle w:val="null3"/>
        <w:ind w:firstLine="420"/>
      </w:pPr>
      <w:r>
        <w:rPr/>
        <w:t>1.</w:t>
      </w:r>
      <w:r>
        <w:rPr/>
        <w:t>要求甲方按本合同的约定支付合同金额的权利。</w:t>
      </w:r>
    </w:p>
    <w:p>
      <w:pPr>
        <w:pStyle w:val="null3"/>
        <w:ind w:firstLine="420"/>
      </w:pPr>
      <w:r>
        <w:rPr/>
        <w:t>2.</w:t>
      </w:r>
      <w:r>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420"/>
      </w:pPr>
      <w:r>
        <w:rPr/>
        <w:t>3.</w:t>
      </w:r>
      <w:r>
        <w:rPr/>
        <w:t>乙方应尽勤勉义务，严格执行项目服务计划，交付服务和/或可交付成果，如项目发生变更，应按甲方要求对变更内容协助开展审核评估。</w:t>
      </w:r>
    </w:p>
    <w:p>
      <w:pPr>
        <w:pStyle w:val="null3"/>
        <w:ind w:firstLine="420"/>
      </w:pPr>
      <w:r>
        <w:rPr/>
        <w:t>4.</w:t>
      </w:r>
      <w:r>
        <w:rPr/>
        <w:t>若乙方履行本合同确需甲方配合或协调的，应事先向甲方提出书面说明并清晰、完整地列明甲方需配合的事项及时间要求等内容，经甲方书面同意后，甲方应配合或协调事项；否则，甲方无须向乙方提供任何配合或协助，乙方亦不能以此为由要求甲方承担任何责任或主张减轻或免除自己任何责任。</w:t>
      </w:r>
    </w:p>
    <w:p>
      <w:pPr>
        <w:pStyle w:val="null3"/>
        <w:ind w:firstLine="420"/>
      </w:pPr>
      <w:r>
        <w:rPr/>
        <w:t>5.</w:t>
      </w:r>
      <w:r>
        <w:rPr/>
        <w:t>乙方收到甲方提供的资料信息应进行书面签收。对前述资料信息有异议的，应在收到之日起2个工作日内向甲方书面提出，否则视为乙方认可甲方提供的资料信息，乙方不得以甲方未按需提供技术资料为由主张顺延工作的完成期限。未提出书面异议而因资料信息错误或者缺陷等导致的一切后果由乙方自行承担，给甲方造成损失的，乙方应予以赔偿。</w:t>
      </w:r>
    </w:p>
    <w:p>
      <w:pPr>
        <w:pStyle w:val="null3"/>
        <w:ind w:firstLine="420"/>
      </w:pPr>
      <w:r>
        <w:rPr/>
        <w:t>6.</w:t>
      </w:r>
      <w:r>
        <w:rPr/>
        <w:t>乙方应为本项目配备相关资质和能力与执行项目工作相匹配的人员。</w:t>
      </w:r>
    </w:p>
    <w:p>
      <w:pPr>
        <w:pStyle w:val="null3"/>
        <w:ind w:firstLine="420"/>
      </w:pPr>
      <w:r>
        <w:rPr/>
        <w:t xml:space="preserve">7. </w:t>
      </w:r>
      <w:r>
        <w:rPr/>
        <w:t>未经双方项目负责人书面确认或者甲方书面同意，乙方不得延迟工作的完成期限或对工作进行内容上的变更。如果乙方在提供技术服务的过程中发现影响计划执行的不利因素的，乙方应及时以书面形式通报给甲方。</w:t>
      </w:r>
    </w:p>
    <w:p>
      <w:pPr>
        <w:pStyle w:val="null3"/>
        <w:ind w:firstLine="420"/>
      </w:pPr>
      <w:r>
        <w:rPr/>
        <w:t>8.</w:t>
      </w:r>
      <w:r>
        <w:rPr/>
        <w:t>甲方告知不符合服务要求的内容和原因后，乙方应在甲方指定期限内完成整改。</w:t>
      </w:r>
    </w:p>
    <w:p>
      <w:pPr>
        <w:pStyle w:val="null3"/>
        <w:ind w:firstLine="420"/>
      </w:pPr>
      <w:r>
        <w:rPr/>
        <w:t>9.</w:t>
      </w:r>
      <w:r>
        <w:rPr/>
        <w:t>乙方应及时参加甲方组织的例会、专题会议等。</w:t>
      </w:r>
    </w:p>
    <w:p>
      <w:pPr>
        <w:pStyle w:val="null3"/>
        <w:ind w:firstLine="420"/>
      </w:pPr>
      <w:r>
        <w:rPr/>
        <w:t>10.</w:t>
      </w:r>
      <w:r>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pPr>
      <w:r>
        <w:rPr/>
        <w:t>11.</w:t>
      </w:r>
      <w:r>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pPr>
      <w:r>
        <w:rPr/>
        <w:t>12.</w:t>
      </w:r>
      <w:r>
        <w:rPr/>
        <w:t>乙方不得将本合同项下的权利或义务转让。</w:t>
      </w:r>
    </w:p>
    <w:p>
      <w:pPr>
        <w:pStyle w:val="null3"/>
        <w:ind w:firstLine="420"/>
      </w:pPr>
      <w:r>
        <w:rPr/>
        <w:t>13.</w:t>
      </w:r>
      <w:r>
        <w:rPr/>
        <w:t>乙方应对其履行本合同所雇佣、安排的全部人员的安全事故承担责任。由于乙方或乙方人员原因在甲方办公场所内及其毗邻造成的第三者人身伤亡和财产损失，由乙方负责赔偿。</w:t>
      </w:r>
    </w:p>
    <w:p>
      <w:pPr>
        <w:pStyle w:val="null3"/>
        <w:ind w:firstLine="420"/>
      </w:pPr>
      <w:r>
        <w:rPr/>
        <w:t>14.</w:t>
      </w:r>
      <w:r>
        <w:rPr/>
        <w:t>法律、法规规定的以及本合同项下的其他权利义务。</w:t>
      </w:r>
    </w:p>
    <w:p>
      <w:pPr>
        <w:pStyle w:val="null3"/>
        <w:ind w:left="1140"/>
        <w:jc w:val="both"/>
      </w:pPr>
      <w:r>
        <w:rPr>
          <w:sz w:val="21"/>
        </w:rPr>
        <w:t>四、服务期间（项目完成期限）</w:t>
      </w:r>
    </w:p>
    <w:p>
      <w:pPr>
        <w:pStyle w:val="null3"/>
        <w:ind w:firstLine="435"/>
        <w:jc w:val="both"/>
      </w:pPr>
      <w:r>
        <w:rPr>
          <w:sz w:val="21"/>
        </w:rPr>
        <w:t>本项目服务期限自合同签订之日至提供的服务内容全部完成之日止。如遇测评数量不满足需求数量，服务期限顺延直至测评信息系统数量符合需求数量为止。</w:t>
      </w:r>
    </w:p>
    <w:p>
      <w:pPr>
        <w:pStyle w:val="null3"/>
        <w:jc w:val="both"/>
      </w:pPr>
      <w:r>
        <w:rPr>
          <w:sz w:val="21"/>
        </w:rPr>
        <w:t>五、付款方式</w:t>
      </w:r>
    </w:p>
    <w:p>
      <w:pPr>
        <w:pStyle w:val="null3"/>
        <w:ind w:firstLine="420"/>
        <w:jc w:val="both"/>
      </w:pPr>
      <w:r>
        <w:rPr>
          <w:sz w:val="21"/>
        </w:rPr>
        <w:t>1.</w:t>
      </w:r>
      <w:r>
        <w:rPr>
          <w:sz w:val="21"/>
        </w:rPr>
        <w:t>首期款：项目合同签订后10个工作日内，乙方书面提出支付申请函及拟支付金额等额的符合甲方财务管理要求的相应发票，甲方确认后启动支付流程向乙方支付合同总金额的30%。</w:t>
      </w:r>
    </w:p>
    <w:p>
      <w:pPr>
        <w:pStyle w:val="null3"/>
        <w:ind w:firstLine="420"/>
        <w:jc w:val="both"/>
      </w:pPr>
      <w:r>
        <w:rPr>
          <w:sz w:val="21"/>
        </w:rPr>
        <w:t>2.2</w:t>
      </w:r>
      <w:r>
        <w:rPr>
          <w:sz w:val="21"/>
        </w:rPr>
        <w:t>期：支付比例40%,进度款：项目合同生效之日起满9个月，乙方提交书面提出支付申请函、阶段性工作报告和向甲方提供相应金额的、符合国家规定且满足甲方服务管理要求的正规发票，甲方在收到乙方的申请及发票后10个工作日内，启动进度款支付流程，支付合同总金额的40%。</w:t>
      </w:r>
    </w:p>
    <w:p>
      <w:pPr>
        <w:pStyle w:val="null3"/>
        <w:ind w:firstLine="420"/>
        <w:jc w:val="both"/>
      </w:pPr>
      <w:r>
        <w:rPr>
          <w:sz w:val="21"/>
        </w:rPr>
        <w:t>3.3</w:t>
      </w:r>
      <w:r>
        <w:rPr>
          <w:sz w:val="21"/>
        </w:rPr>
        <w:t>期：支付比例30%,尾款：项目通过最终验收后，乙方书面提出支付申请函及拟支付金额等额的符合甲方财务管理要求的相应发票，甲方在收到乙方的申请及发票后10个工作日内，启动尾款支付流程，支付合同总金额30%。</w:t>
      </w:r>
    </w:p>
    <w:p>
      <w:pPr>
        <w:pStyle w:val="null3"/>
        <w:ind w:firstLine="420"/>
        <w:jc w:val="both"/>
      </w:pPr>
      <w:r>
        <w:rPr>
          <w:sz w:val="21"/>
        </w:rPr>
        <w:t>4.</w:t>
      </w:r>
      <w:r>
        <w:rPr>
          <w:sz w:val="21"/>
        </w:rPr>
        <w:t>以上款项支付进度均需在甲方具备财政支付条件的情况下进行，如因甲方不具备财政支付条件导致的延后支付，甲方不需承担责任；以上支付不得违反甲方财政主管部门的相关规定。</w:t>
      </w:r>
    </w:p>
    <w:p>
      <w:pPr>
        <w:pStyle w:val="null3"/>
        <w:ind w:firstLine="420"/>
        <w:jc w:val="both"/>
      </w:pPr>
      <w:r>
        <w:rPr>
          <w:sz w:val="21"/>
        </w:rPr>
        <w:t>5.</w:t>
      </w: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rPr>
        <w:t>六、知识产权产权归属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rPr>
        <w:t>七、保密</w:t>
      </w:r>
    </w:p>
    <w:p>
      <w:pPr>
        <w:pStyle w:val="null3"/>
        <w:ind w:firstLine="420"/>
        <w:jc w:val="both"/>
      </w:pPr>
      <w:r>
        <w:rPr>
          <w:sz w:val="21"/>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rPr>
        <w:t>八、违约责任与赔偿损失</w:t>
      </w:r>
    </w:p>
    <w:p>
      <w:pPr>
        <w:pStyle w:val="null3"/>
        <w:ind w:firstLine="420"/>
        <w:jc w:val="both"/>
      </w:pPr>
      <w:r>
        <w:rPr>
          <w:sz w:val="21"/>
        </w:rPr>
        <w:t xml:space="preserve">1) </w:t>
      </w:r>
      <w:r>
        <w:rPr>
          <w:sz w:val="21"/>
        </w:rPr>
        <w:t>乙方提供的服务不符合采购文件、投标文件或本合同规定的，甲方有权拒收，并且乙方须向甲方方支付本合同总价5%的违约金。</w:t>
      </w:r>
    </w:p>
    <w:p>
      <w:pPr>
        <w:pStyle w:val="null3"/>
        <w:ind w:firstLine="420"/>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 xml:space="preserve">3) </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 xml:space="preserve">4) </w:t>
      </w:r>
      <w:r>
        <w:rPr>
          <w:sz w:val="21"/>
        </w:rPr>
        <w:t>其它违约责任按《中华人民共和国民法典》第三编　合同处理。</w:t>
      </w:r>
    </w:p>
    <w:p>
      <w:pPr>
        <w:pStyle w:val="null3"/>
        <w:jc w:val="both"/>
      </w:pPr>
      <w:r>
        <w:rPr>
          <w:sz w:val="21"/>
        </w:rPr>
        <w:t>九、争端的解决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rPr>
        <w:t>十、不可抗力</w:t>
      </w:r>
    </w:p>
    <w:p>
      <w:pPr>
        <w:pStyle w:val="null3"/>
        <w:ind w:firstLine="412"/>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十一、税费</w:t>
      </w:r>
    </w:p>
    <w:p>
      <w:pPr>
        <w:pStyle w:val="null3"/>
        <w:ind w:firstLine="412"/>
        <w:jc w:val="both"/>
      </w:pPr>
      <w:r>
        <w:rPr>
          <w:sz w:val="21"/>
        </w:rPr>
        <w:t>在中国境内、外发生的与本合同执行有关的一切税费均由乙方负担。</w:t>
      </w:r>
    </w:p>
    <w:p>
      <w:pPr>
        <w:pStyle w:val="null3"/>
        <w:jc w:val="both"/>
      </w:pPr>
      <w:r>
        <w:rPr>
          <w:sz w:val="21"/>
        </w:rPr>
        <w:t>十二、其它</w:t>
      </w:r>
    </w:p>
    <w:p>
      <w:pPr>
        <w:pStyle w:val="null3"/>
        <w:ind w:firstLine="412"/>
        <w:jc w:val="both"/>
      </w:pPr>
      <w:r>
        <w:rPr>
          <w:sz w:val="21"/>
        </w:rPr>
        <w:t xml:space="preserve">1) </w:t>
      </w:r>
      <w:r>
        <w:rPr>
          <w:sz w:val="21"/>
        </w:rPr>
        <w:t>本合同所有附件、采购文件、投标文件、中标通知书通知书均为合同的有效组成部分，与本合同具有同等法律效力。</w:t>
      </w:r>
    </w:p>
    <w:p>
      <w:pPr>
        <w:pStyle w:val="null3"/>
        <w:ind w:firstLine="412"/>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firstLine="412"/>
        <w:jc w:val="both"/>
      </w:pPr>
      <w:r>
        <w:rPr>
          <w:sz w:val="21"/>
        </w:rPr>
        <w:t xml:space="preserve">3) </w:t>
      </w:r>
      <w:r>
        <w:rPr>
          <w:sz w:val="21"/>
        </w:rPr>
        <w:t>如一方地址、电话、传真号码有变更，应在变更当日内书面通知对方，否则，应承担相应责任。</w:t>
      </w:r>
    </w:p>
    <w:p>
      <w:pPr>
        <w:pStyle w:val="null3"/>
        <w:ind w:firstLine="412"/>
        <w:jc w:val="both"/>
      </w:pPr>
      <w:r>
        <w:rPr>
          <w:sz w:val="21"/>
        </w:rPr>
        <w:t xml:space="preserve">4) </w:t>
      </w:r>
      <w:r>
        <w:rPr>
          <w:sz w:val="21"/>
        </w:rPr>
        <w:t>除甲方事先书面同意外，乙方不得部分或全部转让其应履行的合同项下的义务。</w:t>
      </w:r>
    </w:p>
    <w:p>
      <w:pPr>
        <w:pStyle w:val="null3"/>
        <w:jc w:val="both"/>
      </w:pPr>
      <w:r>
        <w:rPr>
          <w:sz w:val="21"/>
        </w:rPr>
        <w:t>十三、合同生效</w:t>
      </w:r>
    </w:p>
    <w:p>
      <w:pPr>
        <w:pStyle w:val="null3"/>
        <w:ind w:firstLine="412"/>
        <w:jc w:val="both"/>
      </w:pPr>
      <w:r>
        <w:rPr>
          <w:sz w:val="21"/>
        </w:rPr>
        <w:t>1</w:t>
      </w:r>
      <w:r>
        <w:rPr>
          <w:sz w:val="21"/>
        </w:rPr>
        <w:t>）本合同在甲乙双方法人代表或其授权代表签字盖章后生效。</w:t>
      </w:r>
    </w:p>
    <w:p>
      <w:pPr>
        <w:pStyle w:val="null3"/>
        <w:ind w:firstLine="412"/>
        <w:jc w:val="both"/>
      </w:pPr>
      <w:r>
        <w:rPr>
          <w:sz w:val="21"/>
        </w:rPr>
        <w:t>2</w:t>
      </w:r>
      <w:r>
        <w:rPr>
          <w:sz w:val="21"/>
        </w:rPr>
        <w:t>）合同一式    份，其中甲方    份，乙方    份，监管部门壹份，采购代理机构壹份。</w:t>
      </w:r>
    </w:p>
    <w:p>
      <w:pPr>
        <w:pStyle w:val="null3"/>
        <w:jc w:val="both"/>
      </w:pPr>
      <w:r>
        <w:rPr>
          <w:sz w:val="21"/>
        </w:rPr>
        <w:t>甲方（盖章）：                          乙方（盖章）：</w:t>
      </w:r>
    </w:p>
    <w:p>
      <w:pPr>
        <w:pStyle w:val="null3"/>
        <w:jc w:val="both"/>
      </w:pPr>
      <w:r>
        <w:rPr>
          <w:sz w:val="21"/>
        </w:rPr>
        <w:t>法定代表/授权代表（签字）：             法定代表/授权代表（签字）：</w:t>
      </w:r>
    </w:p>
    <w:p>
      <w:pPr>
        <w:pStyle w:val="null3"/>
        <w:jc w:val="both"/>
      </w:pPr>
      <w:r>
        <w:rPr>
          <w:sz w:val="21"/>
        </w:rPr>
        <w:t>日期：                                 日期：</w:t>
      </w:r>
    </w:p>
    <w:p>
      <w:pPr>
        <w:pStyle w:val="null3"/>
        <w:jc w:val="both"/>
      </w:pPr>
      <w:r>
        <w:rPr>
          <w:sz w:val="21"/>
        </w:rPr>
        <w:t>邮政编码：                             邮政编码：</w:t>
      </w:r>
    </w:p>
    <w:p>
      <w:pPr>
        <w:pStyle w:val="null3"/>
        <w:jc w:val="both"/>
      </w:pPr>
      <w:r>
        <w:rPr>
          <w:sz w:val="21"/>
        </w:rPr>
        <w:t>开户名称：                             开户名称：</w:t>
      </w:r>
    </w:p>
    <w:p>
      <w:pPr>
        <w:pStyle w:val="null3"/>
        <w:jc w:val="both"/>
      </w:pPr>
      <w:r>
        <w:rPr>
          <w:sz w:val="21"/>
        </w:rPr>
        <w:t>开户银行：                             开户银行：</w:t>
      </w:r>
    </w:p>
    <w:p>
      <w:pPr>
        <w:pStyle w:val="null3"/>
        <w:jc w:val="both"/>
      </w:pPr>
      <w:r>
        <w:rPr>
          <w:sz w:val="21"/>
        </w:rPr>
        <w:t>开户账号：                             开户账号:</w:t>
      </w:r>
    </w:p>
    <w:p>
      <w:pPr>
        <w:pStyle w:val="null3"/>
        <w:jc w:val="left"/>
      </w:pPr>
      <w:r>
        <w:rPr>
          <w:sz w:val="21"/>
        </w:rPr>
        <w:t>注： 此为合同草案，可根据磋商情况进行变更！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440001-2024-26159</w:t>
      </w:r>
    </w:p>
    <w:p>
      <w:pPr>
        <w:pStyle w:val="null3"/>
        <w:jc w:val="center"/>
        <w:outlineLvl w:val="3"/>
      </w:pPr>
      <w:r>
        <w:rPr>
          <w:sz w:val="24"/>
          <w:b/>
        </w:rPr>
        <w:t>采购项目编号：</w:t>
      </w:r>
      <w:r>
        <w:rPr>
          <w:sz w:val="24"/>
          <w:b/>
        </w:rPr>
        <w:t>ZZ0240296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省市场监管局网络安全合规测评服务（2024年）</w:t>
      </w:r>
      <w:r>
        <w:rPr>
          <w:u w:val="single"/>
        </w:rPr>
        <w:t>”</w:t>
      </w:r>
      <w:r>
        <w:rPr/>
        <w:t>项目的竞争性磋商[采购项目编号为：</w:t>
      </w:r>
      <w:r>
        <w:rPr>
          <w:u w:val="single"/>
        </w:rPr>
        <w:t>ZZ0240296</w:t>
      </w:r>
      <w:r>
        <w:rPr/>
        <w:t>]，我方愿参与响应。</w:t>
      </w:r>
    </w:p>
    <w:p>
      <w:pPr>
        <w:pStyle w:val="null3"/>
        <w:ind w:firstLine="480"/>
      </w:pPr>
      <w:r>
        <w:rPr/>
        <w:t>我方确认收到贵方提供的</w:t>
      </w:r>
      <w:r>
        <w:rPr>
          <w:u w:val="single"/>
        </w:rPr>
        <w:t>“</w:t>
      </w:r>
      <w:r>
        <w:rPr>
          <w:u w:val="single"/>
        </w:rPr>
        <w:t>省市场监管局网络安全合规测评服务（2024年）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省市场监管局网络安全合规测评服务（2024年）</w:t>
      </w:r>
      <w:r>
        <w:rPr/>
        <w:t>”项目采购[采购项目编号为</w:t>
      </w:r>
      <w:r>
        <w:rPr/>
        <w:t>ZZ0240296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省市场监管局网络安全合规测评服务（2024年）</w:t>
      </w:r>
      <w:r>
        <w:rPr/>
        <w:t>（采购项目编号：</w:t>
      </w:r>
      <w:r>
        <w:rPr/>
        <w:t>ZZ0240296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省市场监管局网络安全合规测评服务（2024年）</w:t>
      </w:r>
      <w:r>
        <w:rPr/>
        <w:t>”项目（采购项目编号：</w:t>
      </w:r>
      <w:r>
        <w:rPr/>
        <w:t>ZZ0240296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