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440001-2024-22379</w:t>
      </w:r>
    </w:p>
    <w:p>
      <w:pPr>
        <w:pStyle w:val="null3"/>
        <w:jc w:val="center"/>
        <w:outlineLvl w:val="3"/>
      </w:pPr>
      <w:r>
        <w:rPr>
          <w:sz w:val="24"/>
          <w:b/>
        </w:rPr>
        <w:t>采购项目编号：</w:t>
      </w:r>
      <w:r>
        <w:rPr>
          <w:sz w:val="24"/>
          <w:b/>
        </w:rPr>
        <w:t>440001-2024-22379</w:t>
      </w:r>
    </w:p>
    <w:p>
      <w:pPr>
        <w:pStyle w:val="null3"/>
        <w:jc w:val="center"/>
        <w:outlineLvl w:val="3"/>
      </w:pPr>
      <w:r>
        <w:rPr>
          <w:sz w:val="24"/>
          <w:b/>
        </w:rPr>
        <w:t>项目名称：</w:t>
      </w:r>
      <w:r>
        <w:rPr>
          <w:sz w:val="24"/>
          <w:b/>
        </w:rPr>
        <w:t>汕头大学新闻学院媒体大数据分析与影像处理等实验室设备采购项目</w:t>
      </w:r>
    </w:p>
    <w:p>
      <w:pPr>
        <w:pStyle w:val="null3"/>
        <w:jc w:val="center"/>
        <w:outlineLvl w:val="3"/>
      </w:pPr>
      <w:r>
        <w:rPr>
          <w:sz w:val="24"/>
          <w:b/>
        </w:rPr>
        <w:t>采购人：</w:t>
      </w:r>
      <w:r>
        <w:rPr>
          <w:sz w:val="24"/>
          <w:b/>
        </w:rPr>
        <w:t>汕头大学</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广东志正招标有限公司</w:t>
      </w:r>
      <w:r>
        <w:rPr/>
        <w:t>受</w:t>
      </w:r>
      <w:r>
        <w:rPr/>
        <w:t>汕头大学</w:t>
      </w:r>
      <w:r>
        <w:rPr/>
        <w:t>的委托，采用</w:t>
      </w:r>
      <w:r>
        <w:rPr/>
        <w:t>公开招标</w:t>
      </w:r>
      <w:r>
        <w:rPr/>
        <w:t>方式组织采购</w:t>
      </w:r>
      <w:r>
        <w:rPr/>
        <w:t>汕头大学新闻学院媒体大数据分析与影像处理等实验室设备采购项目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汕头大学新闻学院媒体大数据分析与影像处理等实验室设备采购项目</w:t>
      </w:r>
    </w:p>
    <w:p>
      <w:pPr>
        <w:pStyle w:val="null3"/>
        <w:ind w:firstLine="480"/>
      </w:pPr>
      <w:r>
        <w:rPr/>
        <w:t>采购计划编号：</w:t>
      </w:r>
      <w:r>
        <w:rPr/>
        <w:t>440001-2024-22379</w:t>
      </w:r>
    </w:p>
    <w:p>
      <w:pPr>
        <w:pStyle w:val="null3"/>
        <w:ind w:firstLine="480"/>
      </w:pPr>
      <w:r>
        <w:rPr/>
        <w:t>采购项目编号：</w:t>
      </w:r>
      <w:r>
        <w:rPr/>
        <w:t>440001-2024-22379</w:t>
      </w:r>
    </w:p>
    <w:p>
      <w:pPr>
        <w:pStyle w:val="null3"/>
        <w:ind w:firstLine="480"/>
      </w:pPr>
      <w:r>
        <w:rPr/>
        <w:t>采购方式：</w:t>
      </w:r>
      <w:r>
        <w:rPr/>
        <w:t>公开招标</w:t>
      </w:r>
    </w:p>
    <w:p>
      <w:pPr>
        <w:pStyle w:val="null3"/>
        <w:ind w:firstLine="480"/>
      </w:pPr>
      <w:r>
        <w:rPr/>
        <w:t>预算金额：</w:t>
      </w:r>
      <w:r>
        <w:rPr/>
        <w:t>1,560,189.00</w:t>
      </w:r>
      <w:r>
        <w:rPr/>
        <w:t>元</w:t>
      </w:r>
    </w:p>
    <w:p>
      <w:pPr>
        <w:pStyle w:val="null3"/>
        <w:outlineLvl w:val="3"/>
      </w:pPr>
      <w:r>
        <w:rPr>
          <w:sz w:val="24"/>
          <w:b/>
        </w:rPr>
        <w:t>2.项目内容及需求情况（采购项目技术规格、参数及要求）</w:t>
      </w:r>
    </w:p>
    <w:p>
      <w:pPr>
        <w:pStyle w:val="null3"/>
      </w:pPr>
      <w:r>
        <w:rPr/>
        <w:t>采购包1(实验室物联管控系统等设备):</w:t>
      </w:r>
    </w:p>
    <w:p>
      <w:pPr>
        <w:pStyle w:val="null3"/>
      </w:pPr>
      <w:r>
        <w:rPr/>
        <w:t>采购包预算金额：256,221.00元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其他信息化设备</w:t>
            </w:r>
          </w:p>
        </w:tc>
        <w:tc>
          <w:tcPr>
            <w:tcW w:type="dxa" w:w="2136"/>
          </w:tcPr>
          <w:p>
            <w:pPr>
              <w:pStyle w:val="null3"/>
            </w:pPr>
            <w:r>
              <w:rPr/>
              <w:t>智慧教学终端</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其他信息化设备</w:t>
            </w:r>
          </w:p>
        </w:tc>
        <w:tc>
          <w:tcPr>
            <w:tcW w:type="dxa" w:w="2136"/>
          </w:tcPr>
          <w:p>
            <w:pPr>
              <w:pStyle w:val="null3"/>
            </w:pPr>
            <w:r>
              <w:rPr/>
              <w:t>四路HDMI矩阵等一批设备</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合同履行期限：合同签订后30天内完成交货，因场地因素，安装及调试的时间由甲方另行通知乙方。</w:t>
      </w:r>
    </w:p>
    <w:p>
      <w:pPr>
        <w:pStyle w:val="null3"/>
      </w:pPr>
      <w:r>
        <w:rPr/>
        <w:t>采购包2(工作站等设备):</w:t>
      </w:r>
    </w:p>
    <w:p>
      <w:pPr>
        <w:pStyle w:val="null3"/>
      </w:pPr>
      <w:r>
        <w:rPr/>
        <w:t>采购包预算金额：1,303,968.00元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图形工作站</w:t>
            </w:r>
          </w:p>
        </w:tc>
        <w:tc>
          <w:tcPr>
            <w:tcW w:type="dxa" w:w="2136"/>
          </w:tcPr>
          <w:p>
            <w:pPr>
              <w:pStyle w:val="null3"/>
            </w:pPr>
            <w:r>
              <w:rPr/>
              <w:t>工作站1</w:t>
            </w:r>
          </w:p>
        </w:tc>
        <w:tc>
          <w:tcPr>
            <w:tcW w:type="dxa" w:w="1187"/>
          </w:tcPr>
          <w:p>
            <w:pPr>
              <w:pStyle w:val="null3"/>
            </w:pPr>
            <w:r>
              <w:rPr/>
              <w:t>54(台)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图形工作站</w:t>
            </w:r>
          </w:p>
        </w:tc>
        <w:tc>
          <w:tcPr>
            <w:tcW w:type="dxa" w:w="2136"/>
          </w:tcPr>
          <w:p>
            <w:pPr>
              <w:pStyle w:val="null3"/>
            </w:pPr>
            <w:r>
              <w:rPr/>
              <w:t>工作站2、3（3D虚拟内容制作工作站）等一批设备</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合同履行期限：合同签订后30天内完成交货，因场地因素，安装及调试的时间由甲方另行通知乙方。</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2022年或2023年年度财务状况报告或投标截止日前6个月内任意1个月的财务报表复印件或基本开户行出具的资信证明） 。</w:t>
      </w:r>
    </w:p>
    <w:p>
      <w:pPr>
        <w:pStyle w:val="null3"/>
      </w:pPr>
      <w:r>
        <w:rPr/>
        <w:t>4）履行合同所必需的设备和专业技术能力：按投标（响应）文件格式填报设备及专业技术能力情况。格式自拟。</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采购包1（实验室物联管控系统等设备）：</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采购包2（工作站等设备）：</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汕头大学</w:t>
      </w:r>
    </w:p>
    <w:p>
      <w:pPr>
        <w:pStyle w:val="null3"/>
        <w:ind w:firstLine="480"/>
      </w:pPr>
      <w:r>
        <w:rPr/>
        <w:t xml:space="preserve"> 地址：</w:t>
      </w:r>
      <w:r>
        <w:rPr/>
        <w:t>汕头市大学路243号</w:t>
      </w:r>
    </w:p>
    <w:p>
      <w:pPr>
        <w:pStyle w:val="null3"/>
        <w:ind w:firstLine="480"/>
      </w:pPr>
      <w:r>
        <w:rPr/>
        <w:t xml:space="preserve"> 联系方式：</w:t>
      </w:r>
      <w:r>
        <w:rPr/>
        <w:t>董老师 0754-86502559</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梁小姐、李先生、吴小姐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jc w:val="both"/>
      </w:pPr>
      <w:r>
        <w:rPr>
          <w:sz w:val="21"/>
          <w:b/>
        </w:rPr>
        <w:t>1、投标人须对本项目为单位（有划分包组的，则以包组为单位）的标的物进行整体投标，任何只对其中一部分内容进行的投标都被视为无效投标。</w:t>
      </w:r>
    </w:p>
    <w:p>
      <w:pPr>
        <w:pStyle w:val="null3"/>
        <w:jc w:val="both"/>
      </w:pPr>
      <w:r>
        <w:rPr>
          <w:sz w:val="21"/>
          <w:b/>
        </w:rPr>
        <w:t>2、本招标文件中，凡标有“★”的地方，投标人要特别加以注意，必须对此作出一一响应。若有一项带“★”的指标未响应或不满足，将导致其废标或投标无效。</w:t>
      </w:r>
    </w:p>
    <w:p>
      <w:pPr>
        <w:pStyle w:val="null3"/>
        <w:jc w:val="both"/>
      </w:pPr>
      <w:r>
        <w:rPr>
          <w:sz w:val="21"/>
          <w:b/>
        </w:rPr>
        <w:t>3、本项目采购包1核心产品为：（智慧教学终端），采购包2核心产品为：（工作站1）。投标人应在投标文件中清晰列明“货物名称、品牌”。</w:t>
      </w:r>
    </w:p>
    <w:p>
      <w:pPr>
        <w:pStyle w:val="null3"/>
        <w:jc w:val="both"/>
      </w:pPr>
      <w:r>
        <w:rPr>
          <w:sz w:val="21"/>
          <w:b/>
        </w:rPr>
        <w:t>注：若存在多项核心产品，当不同供应商提供的任意一项核心产品的品牌相同，则视同其是所响应核心产品品牌相同供应商。</w:t>
      </w:r>
    </w:p>
    <w:p>
      <w:pPr>
        <w:pStyle w:val="null3"/>
        <w:jc w:val="both"/>
      </w:pPr>
      <w:r>
        <w:rPr>
          <w:sz w:val="21"/>
          <w:b/>
        </w:rPr>
        <w:t>4、本项目采购包1的所属行业为：工业，采购包2的所属行业为：工业。</w:t>
      </w:r>
    </w:p>
    <w:p>
      <w:pPr>
        <w:pStyle w:val="null3"/>
      </w:pPr>
      <w:r>
        <w:rPr/>
        <w:t>采购包1（实验室物联管控系统等设备）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合同签订后30天内完成交货，因场地因素，安装及调试的时间由甲方另行通知乙方。</w:t>
            </w:r>
          </w:p>
        </w:tc>
      </w:tr>
      <w:tr>
        <w:tc>
          <w:tcPr>
            <w:tcW w:type="dxa" w:w="4153"/>
          </w:tcPr>
          <w:p>
            <w:pPr>
              <w:pStyle w:val="null3"/>
            </w:pPr>
            <w:r>
              <w:rPr/>
              <w:t>标的提供的地点</w:t>
            </w:r>
          </w:p>
        </w:tc>
        <w:tc>
          <w:tcPr>
            <w:tcW w:type="dxa" w:w="4153"/>
          </w:tcPr>
          <w:p>
            <w:pPr>
              <w:pStyle w:val="null3"/>
            </w:pPr>
            <w:r>
              <w:rPr/>
              <w:t>采购人指定地点（汕头大学东海岸校区E栋7楼）</w:t>
            </w:r>
          </w:p>
        </w:tc>
      </w:tr>
      <w:tr>
        <w:tc>
          <w:tcPr>
            <w:tcW w:type="dxa" w:w="4153"/>
          </w:tcPr>
          <w:p>
            <w:pPr>
              <w:pStyle w:val="null3"/>
            </w:pPr>
            <w:r>
              <w:rPr/>
              <w:t>付款方式</w:t>
            </w:r>
          </w:p>
        </w:tc>
        <w:tc>
          <w:tcPr>
            <w:tcW w:type="dxa" w:w="4153"/>
          </w:tcPr>
          <w:p>
            <w:pPr>
              <w:pStyle w:val="null3"/>
            </w:pPr>
            <w:r>
              <w:rPr/>
              <w:t>1期：支付比例100%,（1）中标人为非中小企业： 1期：全部货物现场安装及调试完毕并验收合格，采购人收到中标人出具的货物结算款全额增值税专用发票后，在10个工作日内支付结算款的100%给中标人，若中标人不提供货物结算款全额增值税专用发票的，采购人有权拒绝付款。 （2）中标人如为中小企业（根据中标人的投标文件提交《中小企业声明函（货物）》作为判断依据）： 1期：支付比例30%，签订合同后，中标人提供合同货款30%的正规增值税专用发票给采购人，采购人10个工作日内向中标人支付30%的合同货款作为预付款。 2期：支付比例70%，全部货物现场安装及调试完毕并验收合格，中标人提供合同货款70%的增值税专用发票给采购人作为报账凭证，采购人在10个工作日内支付合同货款70%给中标人。若中标人不提供供货货物结算款增值税专用发票的，采购人有权拒绝付款。</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 货物为原厂制造的全新产品，整机无污染，无侵权行为，表面无划损、无任何缺陷隐患。国产产品具备出厂合格证，中标人应将所供设备的用户手册、保修手册、有关资料及配件、随机工具等交付给采购人。 2. 中标人向采购人保证其提供的设备（含软件、硬件）未侵犯任何第三方的产权（包括但不限于专利、商业秘密、商标权），若有第三方以采购人使用的设备侵犯其知识产权为由向采购人索赔，中标人应赔偿采购人由此而遭受的一切损失。 3.进口部件（如有）应按国家有关规定办理进口商检手续，并提供原产地证明（原件）、报关单（原件）、装箱单等有效证明文件，其中证明文件与设备的序列号、包装箱号一致，并可追索查阅。所有物件均应是原厂正品，不能伪造或以次充好，一经发现，中标人需无条件退还已付款项并按本合同总金额的30%赔偿采购人损失。 4. 原则上应在全部货物抵达验收地点、现场安装调试并培训完毕、完成试运行，采购人确认设备正常运转后，在收到中标人验收申请后7日内，由采购人组织各相关人员对货物进行履约验收（另有约定除外）。验收主要涉及设备的精度、操作可靠性、数据准确性、人员培训等方面，期间中标人有义务向采购人解释数据得出及计算原理，以及在不涉及核心技术前提下的数据结构，便于采购人后续使用及数据验证。验收前的质量及安全风险由中标人承担，采购人为此可无偿提供必要的临时仓储场所。在设备抵达合同设备的场地后，采购人应根据中标人预先提供的储存说明，正确地储存设备。如果实际储存条件不允许按照中标人的储存说明进行储存，双方的现场代表应通过共同协商，为设备确定合理的储存方案。 5. 验收过程中，若因产品质量或本身技术参数不能满足采购项目的技术要求或达不到承诺的技术参数，采购人有权要求中标人在协商的期限内予以整改，整改后仍达不到要求，采购人有权索赔，中标人需按合同约定赔偿采购人损失。设备在采购人验收付款前的所有权属于中标人，设备及中标人人员的安全责任及保险费用均由中标人承担。 6. 交付验收标准依次序对照适用标准为：（1）符合中华人民共和国国家安全质量标准、环保标准或行业标准，中标人应随货提供该产品合格或满足相应技术标准规范的证明材料；（2）符合采购文件和响应承诺中采购人认可的合理最佳配置、参数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（一）总体要求</w:t>
            </w:r>
          </w:p>
        </w:tc>
        <w:tc>
          <w:tcPr>
            <w:tcW w:type="dxa" w:w="2076"/>
          </w:tcPr>
          <w:p>
            <w:pPr>
              <w:pStyle w:val="null3"/>
              <w:jc w:val="left"/>
            </w:pPr>
            <w:r>
              <w:rPr/>
              <w:t>1、投标人必须对采购包内的所有采购内容或服务进行整体响应，任何只对部分内容进行响应都被视为无效投标。 2、用户需求书中加注“★”的条款均被视为不可偏离条款，投标人要特别加以注意，必须对此响应并完全满足或优于这些条款，否则若有一项加注“★”的条款未响应或不满足，投标将被否决。 3、用户需求书中加注“▲”的条款为重要条款，如不满足将会导致评审时严重扣分。 4、本采购包核心产品为“智慧教学终端”，提供相同品牌核心设备且通过符合性审查的不同投标人参加同一合同项下投标的，按一家投标人计算；投标人不足3家，则该项目按废标处理。 5、本项目不允许分包、转包。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（一）总体要求</w:t>
            </w:r>
          </w:p>
        </w:tc>
        <w:tc>
          <w:tcPr>
            <w:tcW w:type="dxa" w:w="2076"/>
          </w:tcPr>
          <w:p>
            <w:pPr>
              <w:pStyle w:val="null3"/>
              <w:jc w:val="left"/>
            </w:pPr>
            <w:r>
              <w:rPr/>
              <w:t>★6、本项目不允许采购进口产品（进口产品是指通过中国海关报关验放进入中国境内且产自关境外的产品）。</w:t>
            </w:r>
          </w:p>
        </w:tc>
      </w:tr>
      <w:tr>
        <w:tc>
          <w:tcPr>
            <w:tcW w:type="dxa" w:w="2076"/>
          </w:tcPr>
          <w:p/>
        </w:tc>
        <w:tc>
          <w:tcPr>
            <w:tcW w:type="dxa" w:w="2076"/>
          </w:tcPr>
          <w:p>
            <w:pPr>
              <w:pStyle w:val="null3"/>
              <w:jc w:val="center"/>
            </w:pPr>
            <w:r>
              <w:rPr/>
              <w:t>3</w:t>
            </w:r>
          </w:p>
        </w:tc>
        <w:tc>
          <w:tcPr>
            <w:tcW w:type="dxa" w:w="2076"/>
          </w:tcPr>
          <w:p>
            <w:pPr>
              <w:pStyle w:val="null3"/>
              <w:jc w:val="left"/>
            </w:pPr>
            <w:r>
              <w:rPr/>
              <w:t>（一）总体要求</w:t>
            </w:r>
          </w:p>
        </w:tc>
        <w:tc>
          <w:tcPr>
            <w:tcW w:type="dxa" w:w="2076"/>
          </w:tcPr>
          <w:p>
            <w:pPr>
              <w:pStyle w:val="null3"/>
              <w:jc w:val="left"/>
            </w:pPr>
            <w:r>
              <w:rPr/>
              <w:t>7、特别提醒：《投标分项报价表》中的信息是中标后签订合同及项目验收的重要依据，为确保项目验收顺利并及时支付，请投标人在编制投标文件前，仔细核对拟投标产品的品牌、规格型号、制造商、产地等信息，确保报价表中填写的信息与投标实物信息相一致！交付时提供的产品实物若出现“货不对版”的情况将影响项目验收和款项支付，问题严重的将无法通过项目验收。</w:t>
            </w:r>
          </w:p>
        </w:tc>
      </w:tr>
      <w:tr>
        <w:tc>
          <w:tcPr>
            <w:tcW w:type="dxa" w:w="2076"/>
          </w:tcPr>
          <w:p/>
        </w:tc>
        <w:tc>
          <w:tcPr>
            <w:tcW w:type="dxa" w:w="2076"/>
          </w:tcPr>
          <w:p>
            <w:pPr>
              <w:pStyle w:val="null3"/>
              <w:jc w:val="center"/>
            </w:pPr>
            <w:r>
              <w:rPr/>
              <w:t>4</w:t>
            </w:r>
          </w:p>
        </w:tc>
        <w:tc>
          <w:tcPr>
            <w:tcW w:type="dxa" w:w="2076"/>
          </w:tcPr>
          <w:p>
            <w:pPr>
              <w:pStyle w:val="null3"/>
              <w:jc w:val="left"/>
            </w:pPr>
            <w:r>
              <w:rPr/>
              <w:t>（二）报价要求</w:t>
            </w:r>
          </w:p>
        </w:tc>
        <w:tc>
          <w:tcPr>
            <w:tcW w:type="dxa" w:w="2076"/>
          </w:tcPr>
          <w:p>
            <w:pPr>
              <w:pStyle w:val="null3"/>
              <w:jc w:val="left"/>
            </w:pPr>
            <w:r>
              <w:rPr/>
              <w:t>1、投标价格包括：（1）货物及零配件的购置和安装、运输保险、装卸、培训辅导、保修期售后服务、全额含税发票、雇员费用、合同实施过程中应预见和不可预见费用等；（2）招标范围内所有设备及配件费；（3）安装中的相关费用（包括安装过程中损耗、额外材料、设计费等）；（4）人员培训和售后服务的相关费用。 2、中标人负责项目用户需求书中列出的所有货物采购及服务内容，以及其他隐含的配套工作。中标人应充分考虑影响报价的各种因素和风险。招标人不再支付中标金额以外的任何费用。</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（二）报价要求</w:t>
            </w:r>
          </w:p>
        </w:tc>
        <w:tc>
          <w:tcPr>
            <w:tcW w:type="dxa" w:w="2076"/>
          </w:tcPr>
          <w:p>
            <w:pPr>
              <w:pStyle w:val="null3"/>
              <w:jc w:val="left"/>
            </w:pPr>
            <w:r>
              <w:rPr/>
              <w:t>★3、本采购包的投标人所报总价不能超过该包组的采购预算价，否则投标将被否决。</w:t>
            </w:r>
          </w:p>
        </w:tc>
      </w:tr>
      <w:tr>
        <w:tc>
          <w:tcPr>
            <w:tcW w:type="dxa" w:w="2076"/>
          </w:tcPr>
          <w:p/>
        </w:tc>
        <w:tc>
          <w:tcPr>
            <w:tcW w:type="dxa" w:w="2076"/>
          </w:tcPr>
          <w:p>
            <w:pPr>
              <w:pStyle w:val="null3"/>
              <w:jc w:val="center"/>
            </w:pPr>
            <w:r>
              <w:rPr/>
              <w:t>6</w:t>
            </w:r>
          </w:p>
        </w:tc>
        <w:tc>
          <w:tcPr>
            <w:tcW w:type="dxa" w:w="2076"/>
          </w:tcPr>
          <w:p>
            <w:pPr>
              <w:pStyle w:val="null3"/>
              <w:jc w:val="left"/>
            </w:pPr>
            <w:r>
              <w:rPr/>
              <w:t>（三）供货要求</w:t>
            </w:r>
          </w:p>
        </w:tc>
        <w:tc>
          <w:tcPr>
            <w:tcW w:type="dxa" w:w="2076"/>
          </w:tcPr>
          <w:p>
            <w:pPr>
              <w:pStyle w:val="null3"/>
              <w:jc w:val="left"/>
            </w:pPr>
            <w:r>
              <w:rPr/>
              <w:t>1、投标人应对投标设备列明其品牌、型号、制造商名称、产地、技术参数、功能介绍和使用说明。 2、对于影响设备正常工作的必要组成部分，无论在采购技术规范中指出与否，投标人都应提供并在投标文件中明确列出。 3、投标人所投货物的名称、品牌/制造商名称、型号、规格、配置（包括备品备件）、产地、数量等信息必须准确无误，且应与机器（机身铭牌）上的信息完全一致，中标后在签署合同和供货等后续环节均不得再作任何修改。 4、凡列入《中华人民共和国实施强制性产品认证的产品目录》的产品在验收时须出具CCC认证证书复印件，并以在产品外部加施认证标志作为验收依据之一。 5、中标人保证其合同项下提供的货物和服务不侵犯任何第三人的合法权益，否则，由中标人承担因此导致的一切法律后果，并赔偿采购人因此遭受的全部损失，包括但不限于直接经济损失、预期收益损失、名誉损失、维护权益的成本等。</w:t>
            </w:r>
          </w:p>
        </w:tc>
      </w:tr>
      <w:tr>
        <w:tc>
          <w:tcPr>
            <w:tcW w:type="dxa" w:w="2076"/>
          </w:tcPr>
          <w:p/>
        </w:tc>
        <w:tc>
          <w:tcPr>
            <w:tcW w:type="dxa" w:w="2076"/>
          </w:tcPr>
          <w:p>
            <w:pPr>
              <w:pStyle w:val="null3"/>
              <w:jc w:val="center"/>
            </w:pPr>
            <w:r>
              <w:rPr/>
              <w:t>7</w:t>
            </w:r>
          </w:p>
        </w:tc>
        <w:tc>
          <w:tcPr>
            <w:tcW w:type="dxa" w:w="2076"/>
          </w:tcPr>
          <w:p>
            <w:pPr>
              <w:pStyle w:val="null3"/>
              <w:jc w:val="left"/>
            </w:pPr>
            <w:r>
              <w:rPr/>
              <w:t>（四）货物要求</w:t>
            </w:r>
          </w:p>
        </w:tc>
        <w:tc>
          <w:tcPr>
            <w:tcW w:type="dxa" w:w="2076"/>
          </w:tcPr>
          <w:p>
            <w:pPr>
              <w:pStyle w:val="null3"/>
              <w:jc w:val="left"/>
            </w:pPr>
            <w:r>
              <w:rPr/>
              <w:t>1、货物为原厂制造的全新产品，整机无污染，无侵权行为，表面无划损、无任何缺陷隐患，在中国境内可依常规安全合法使用。国产产品具备出厂合格证。 2、投标人向采购人保证其提供的设备（含软件、硬件）未侵犯任何第三方的产权（包括但不限于专利、商业秘密、商标权），若有第三方以采购人使用的设备侵犯其知识产权为由向采购人索赔，投标人应赔偿采购人由此而遭受的一切损失。 3、进口部件须按国家有关规定办理进口商检手续，并提供原产地证明（原件）、报关单（原件）、装箱单等有效证明文件，其中证明文件与设备的序列号、包装箱号一致，并可追索查阅。所有物件均应是原厂正品，不能伪造或以次充好，一经发现，投标人需无条件退还已付款项并按本合同总金额的30%赔偿采购人损失。 4、货物为原厂商未启封全新包装，具出厂合格证，序列号、包装箱号与出厂批号一致，并可追索查阅。 5、中标人应将关键主机设备的用户手册、保修手册、有关单证资料及配备件、随机工具等交付给采购人，使用操作及安全须知等重要资料应附有中文说明。</w:t>
            </w:r>
          </w:p>
        </w:tc>
      </w:tr>
      <w:tr>
        <w:tc>
          <w:tcPr>
            <w:tcW w:type="dxa" w:w="2076"/>
          </w:tcPr>
          <w:p/>
        </w:tc>
        <w:tc>
          <w:tcPr>
            <w:tcW w:type="dxa" w:w="2076"/>
          </w:tcPr>
          <w:p>
            <w:pPr>
              <w:pStyle w:val="null3"/>
              <w:jc w:val="center"/>
            </w:pPr>
            <w:r>
              <w:rPr/>
              <w:t>8</w:t>
            </w:r>
          </w:p>
        </w:tc>
        <w:tc>
          <w:tcPr>
            <w:tcW w:type="dxa" w:w="2076"/>
          </w:tcPr>
          <w:p>
            <w:pPr>
              <w:pStyle w:val="null3"/>
              <w:jc w:val="left"/>
            </w:pPr>
            <w:r>
              <w:rPr/>
              <w:t>（五）保修期及售后服务要求</w:t>
            </w:r>
          </w:p>
        </w:tc>
        <w:tc>
          <w:tcPr>
            <w:tcW w:type="dxa" w:w="2076"/>
          </w:tcPr>
          <w:p>
            <w:pPr>
              <w:pStyle w:val="null3"/>
              <w:jc w:val="left"/>
            </w:pPr>
            <w:r>
              <w:rPr/>
              <w:t>（技术要求中另有要求的从其要求） 1、所有设备均须由中标人提供不少于1年的整机保修服务。关键设备享有原生产厂家的技术支持和售后服务，费用包含在合同价之中。货物制造商必须有专业的售后服务力量，提供售后服务联系电话及联系人。 2、保修期内设备维护服务要求（自然灾害等非乙方设备质量原因的除外）：接到保障电话后，在8个小时内进行答复、确定派人修理，在24小时内上门服务并解决问题；如果设备故障在检修48小时后仍无法排除，则中标人必须在双方协商的时间内提供相同规格的替代设备部件，以免影响正常的工作。在15个工作日内仍无法修复设备故障，采购人有权要求中标人无条件更换该设备的零部件；保修期内同一硬件一个月内连续2次出现同一故障，中标人无偿更换同一档次的设备或部件。所有设备保修服务方式均为上门保修由此产生的一切费用均由中标人承担。 3、中标人在保修期内负责软硬件系统运行的稳定性，负责更换硬件故障部件或修改出错的软件系统，费用包含在合同价之中。若中标人提供的软硬件系统在功能上、性能上达不到使用要求，采购人有权要求中标人进行及时完善和修改。如果在质量保证期内中标人未能按上述约定承担维修责任，采购人有权不予返还履约保证金，并对由此引起的损失要求中标人进行赔偿。 4、保修期后设备维护服务要求：(1)保修期过后，中标人需继续为所售设备提供支持服务。(2)服务内容：与保修期内的售后服务内容相同。(3)服务费用：设备硬件故障需维修时，中标人收取设备维修成本费用。软件新增模块需升级时，中标人收取升级的成本费用，其它服务(中标人工程师现场支持、维护、设备定期检查等)均无条件提供。(4)服务方式和响应时间：与保修期内售后服务方式和响应时间相同。(5)服务范围：中标人所售所有设备及相关软件。 5、质量保证期内由于设备本身质量原因导致的问题或故障，由中标人负责解决并承担所有费用，期满后仍须提供良好的技术支持及零配件的优惠供应，定期对采购人的设备进行维护和回访。 6、如因为调试、安装及运输等非质量原因导致的设备损坏乙方负责解决并承担所有费用。 7、质量保证期内，如设备或零部件非人为因素出现故障而造成短期停用时，则质量保证期和维修期不需要顺延。如设备因自身故障致停用时间单次超过30天则保修期在设备状态恢复正常时重新起计。 8、如果在质量保证期内中标人未能按上述约定承担维修责任，采购人有权不予返还履约保证金，并对由此引起的损失要求中标人进行赔偿。中标人负责向采购人提供现场安全操作及必要的维护保养培训。</w:t>
            </w:r>
          </w:p>
        </w:tc>
      </w:tr>
      <w:tr>
        <w:tc>
          <w:tcPr>
            <w:tcW w:type="dxa" w:w="2076"/>
          </w:tcPr>
          <w:p/>
        </w:tc>
        <w:tc>
          <w:tcPr>
            <w:tcW w:type="dxa" w:w="2076"/>
          </w:tcPr>
          <w:p>
            <w:pPr>
              <w:pStyle w:val="null3"/>
              <w:jc w:val="center"/>
            </w:pPr>
            <w:r>
              <w:rPr/>
              <w:t>9</w:t>
            </w:r>
          </w:p>
        </w:tc>
        <w:tc>
          <w:tcPr>
            <w:tcW w:type="dxa" w:w="2076"/>
          </w:tcPr>
          <w:p>
            <w:pPr>
              <w:pStyle w:val="null3"/>
              <w:jc w:val="left"/>
            </w:pPr>
            <w:r>
              <w:rPr/>
              <w:t>（六）包装、保险及发运、保管要求</w:t>
            </w:r>
          </w:p>
        </w:tc>
        <w:tc>
          <w:tcPr>
            <w:tcW w:type="dxa" w:w="2076"/>
          </w:tcPr>
          <w:p>
            <w:pPr>
              <w:pStyle w:val="null3"/>
              <w:jc w:val="left"/>
            </w:pPr>
            <w:r>
              <w:rPr/>
              <w:t>1、设备材料的包装必须是制造商原厂包装，其包装均应有良好的防湿、防锈、防潮、防雨、防腐及防碰撞的措施，符合《商品包装政府采购需求标准（试行）》及《快递包装政府采购需求标准（试行）》的要求，凡由于包装不良造成的损失和由此产生的费用均由中标人承担。 2、中标人负责将设备材料货到现场过程中的全部运输，包括装卸车、货物现场的搬运。 3、货物在现场的保管由中标人负责，直至项目安装、验收完毕。 4、货物在系统安装调试验收合格前的保险由中标人负责，中标人负责其派出的现场服务人员人身意外保险。 5、设备至采购人指定的使用现场的包装、保险及发运等环节和费用均由中标人负责。</w:t>
            </w:r>
          </w:p>
        </w:tc>
      </w:tr>
      <w:tr>
        <w:tc>
          <w:tcPr>
            <w:tcW w:type="dxa" w:w="2076"/>
          </w:tcPr>
          <w:p/>
        </w:tc>
        <w:tc>
          <w:tcPr>
            <w:tcW w:type="dxa" w:w="2076"/>
          </w:tcPr>
          <w:p>
            <w:pPr>
              <w:pStyle w:val="null3"/>
              <w:jc w:val="center"/>
            </w:pPr>
            <w:r>
              <w:rPr/>
              <w:t>10</w:t>
            </w:r>
          </w:p>
        </w:tc>
        <w:tc>
          <w:tcPr>
            <w:tcW w:type="dxa" w:w="2076"/>
          </w:tcPr>
          <w:p>
            <w:pPr>
              <w:pStyle w:val="null3"/>
              <w:jc w:val="left"/>
            </w:pPr>
            <w:r>
              <w:rPr/>
              <w:t>（七）其他</w:t>
            </w:r>
          </w:p>
        </w:tc>
        <w:tc>
          <w:tcPr>
            <w:tcW w:type="dxa" w:w="2076"/>
          </w:tcPr>
          <w:p>
            <w:pPr>
              <w:pStyle w:val="null3"/>
              <w:jc w:val="left"/>
            </w:pPr>
            <w:r>
              <w:rPr/>
              <w:t>按合同约定。</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其他信息化设备</w:t>
            </w:r>
          </w:p>
        </w:tc>
        <w:tc>
          <w:tcPr>
            <w:tcW w:type="dxa" w:w="831"/>
          </w:tcPr>
          <w:p>
            <w:pPr>
              <w:pStyle w:val="null3"/>
              <w:jc w:val="left"/>
            </w:pPr>
            <w:r>
              <w:rPr/>
              <w:t>智慧教学终端</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其他信息化设备</w:t>
            </w:r>
          </w:p>
        </w:tc>
        <w:tc>
          <w:tcPr>
            <w:tcW w:type="dxa" w:w="831"/>
          </w:tcPr>
          <w:p>
            <w:pPr>
              <w:pStyle w:val="null3"/>
              <w:jc w:val="left"/>
            </w:pPr>
            <w:r>
              <w:rPr/>
              <w:t>四路HDMI矩阵等一批设备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智慧教学终端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color w:val="000000"/>
              </w:rPr>
              <w:t>（一）智慧教学系统</w:t>
            </w:r>
          </w:p>
          <w:tbl>
            <w:tblPr>
              <w:tblInd w:type="dxa" w:w="120"/>
              <w:tblBorders>
                <w:top w:val="none" w:color="000000" w:sz="4"/>
                <w:left w:val="none" w:color="000000" w:sz="4"/>
                <w:bottom w:val="none" w:color="000000" w:sz="4"/>
                <w:right w:val="none" w:color="000000" w:sz="4"/>
                <w:insideH w:val="none"/>
                <w:insideV w:val="none"/>
              </w:tblBorders>
            </w:tblPr>
            <w:tblGrid>
              <w:gridCol w:w="526"/>
              <w:gridCol w:w="4512"/>
              <w:gridCol w:w="279"/>
              <w:gridCol w:w="279"/>
            </w:tblGrid>
            <w:tr>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4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技术指标</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、智慧教学终端</w:t>
                  </w:r>
                </w:p>
              </w:tc>
              <w:tc>
                <w:tcPr>
                  <w:tcW w:type="dxa" w:w="4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一、整机设计</w:t>
                  </w:r>
                </w:p>
                <w:p>
                  <w:pPr>
                    <w:pStyle w:val="null3"/>
                    <w:jc w:val="left"/>
                  </w:pPr>
                  <w:r>
                    <w:rPr>
                      <w:sz w:val="21"/>
                    </w:rPr>
                    <w:t xml:space="preserve">    </w:t>
                  </w:r>
                  <w:r>
                    <w:rPr>
                      <w:sz w:val="21"/>
                    </w:rPr>
                    <w:t>1.整机采用三拼接平面一体化设计，无推拉式结构及外露连接线，外观无任何可见内部功能模块连接线。</w:t>
                  </w:r>
                </w:p>
                <w:p>
                  <w:pPr>
                    <w:pStyle w:val="null3"/>
                    <w:jc w:val="left"/>
                  </w:pPr>
                  <w:r>
                    <w:rPr>
                      <w:sz w:val="21"/>
                    </w:rPr>
                    <w:t xml:space="preserve">    </w:t>
                  </w:r>
                  <w:r>
                    <w:rPr>
                      <w:sz w:val="21"/>
                    </w:rPr>
                    <w:t>2.屏幕要求，整机屏幕应具备防眩光效果，采用≥98英寸 UHD超高清LED 液晶屏，显示比例16:9，屏幕图像分辨率不低于3840*2160，色域值≥NTSC 90%。</w:t>
                  </w:r>
                </w:p>
                <w:p>
                  <w:pPr>
                    <w:pStyle w:val="null3"/>
                    <w:jc w:val="left"/>
                  </w:pPr>
                  <w:r>
                    <w:rPr>
                      <w:sz w:val="21"/>
                    </w:rPr>
                    <w:t xml:space="preserve">    </w:t>
                  </w:r>
                  <w:r>
                    <w:rPr>
                      <w:sz w:val="21"/>
                    </w:rPr>
                    <w:t>3.为保证教师书写习惯，整机需支持普通粉笔、液体粉笔、水溶性粉笔等直接书写。</w:t>
                  </w:r>
                </w:p>
                <w:p>
                  <w:pPr>
                    <w:pStyle w:val="null3"/>
                    <w:jc w:val="left"/>
                  </w:pPr>
                  <w:r>
                    <w:rPr>
                      <w:sz w:val="21"/>
                    </w:rPr>
                    <w:t xml:space="preserve">    </w:t>
                  </w:r>
                  <w:r>
                    <w:rPr>
                      <w:sz w:val="21"/>
                    </w:rPr>
                    <w:t>4.接口要求，侧置输入接口具备：≥1路HDMI、≥1路RS232、≥1路TypeC，侧置输出接口具备：≥1路音频输出、≥1路触控输出USB，前置输入接口具备：≥1路TypeC、≥2路USB3.0。</w:t>
                  </w:r>
                </w:p>
                <w:p>
                  <w:pPr>
                    <w:pStyle w:val="null3"/>
                    <w:jc w:val="left"/>
                  </w:pPr>
                  <w:r>
                    <w:rPr>
                      <w:sz w:val="21"/>
                    </w:rPr>
                    <w:t xml:space="preserve">    </w:t>
                  </w:r>
                  <w:r>
                    <w:rPr>
                      <w:sz w:val="21"/>
                    </w:rPr>
                    <w:t>5.为更好地适应教学环境，整机能感应并自动调节屏幕亮度来达到在不同光照环境下的不同亮度显示效果，此功能可自行开启或关闭。</w:t>
                  </w:r>
                </w:p>
                <w:p>
                  <w:pPr>
                    <w:pStyle w:val="null3"/>
                    <w:jc w:val="left"/>
                  </w:pPr>
                  <w:r>
                    <w:rPr>
                      <w:sz w:val="21"/>
                    </w:rPr>
                    <w:t xml:space="preserve">    </w:t>
                  </w:r>
                  <w:r>
                    <w:rPr>
                      <w:sz w:val="21"/>
                    </w:rPr>
                    <w:t>▲6.整机具备至少6个前置按键，支持通过前置按键进行开关机、调出中控菜单、音量+/-、护眼、录屏的操作。支持通过前置面板物理按键一键启动录屏功能，可将屏幕中显示的课件、音频内容与老师人声同时录制。</w:t>
                  </w:r>
                  <w:r>
                    <w:rPr>
                      <w:sz w:val="21"/>
                      <w:b/>
                    </w:rPr>
                    <w:t>（需提供具有</w:t>
                  </w:r>
                  <w:r>
                    <w:rPr>
                      <w:sz w:val="21"/>
                      <w:b/>
                    </w:rPr>
                    <w:t>CMA资质的第三方检测机构出具的检测报告复印件）</w:t>
                  </w:r>
                </w:p>
                <w:p>
                  <w:pPr>
                    <w:pStyle w:val="null3"/>
                    <w:jc w:val="left"/>
                  </w:pPr>
                  <w:r>
                    <w:rPr>
                      <w:sz w:val="21"/>
                    </w:rPr>
                    <w:t xml:space="preserve">    </w:t>
                  </w:r>
                  <w:r>
                    <w:rPr>
                      <w:sz w:val="21"/>
                    </w:rPr>
                    <w:t>7.支持纸质护眼模式，在任意通道任意画面任意软件所在显示内容下可实时调整画面纹理。</w:t>
                  </w:r>
                </w:p>
                <w:p>
                  <w:pPr>
                    <w:pStyle w:val="null3"/>
                    <w:jc w:val="left"/>
                  </w:pPr>
                  <w:r>
                    <w:rPr>
                      <w:sz w:val="21"/>
                    </w:rPr>
                    <w:t xml:space="preserve">    </w:t>
                  </w:r>
                  <w:r>
                    <w:rPr>
                      <w:sz w:val="21"/>
                    </w:rPr>
                    <w:t>▲8.整机内置2.2声道扬声器，位于设备上边框，顶置朝前发声，前朝向</w:t>
                  </w:r>
                  <w:r>
                    <w:rPr>
                      <w:sz w:val="21"/>
                    </w:rPr>
                    <w:t>≥</w:t>
                  </w:r>
                  <w:r>
                    <w:rPr>
                      <w:sz w:val="21"/>
                    </w:rPr>
                    <w:t>10W高音扬声器</w:t>
                  </w:r>
                  <w:r>
                    <w:rPr>
                      <w:sz w:val="21"/>
                    </w:rPr>
                    <w:t>≥</w:t>
                  </w:r>
                  <w:r>
                    <w:rPr>
                      <w:sz w:val="21"/>
                    </w:rPr>
                    <w:t>2个，上朝向</w:t>
                  </w:r>
                  <w:r>
                    <w:rPr>
                      <w:sz w:val="21"/>
                    </w:rPr>
                    <w:t>≥</w:t>
                  </w:r>
                  <w:r>
                    <w:rPr>
                      <w:sz w:val="21"/>
                    </w:rPr>
                    <w:t>20W中低音扬声器</w:t>
                  </w:r>
                  <w:r>
                    <w:rPr>
                      <w:sz w:val="21"/>
                    </w:rPr>
                    <w:t>≥</w:t>
                  </w:r>
                  <w:r>
                    <w:rPr>
                      <w:sz w:val="21"/>
                    </w:rPr>
                    <w:t>2个，总功率</w:t>
                  </w:r>
                  <w:r>
                    <w:rPr>
                      <w:sz w:val="21"/>
                    </w:rPr>
                    <w:t>≥</w:t>
                  </w:r>
                  <w:r>
                    <w:rPr>
                      <w:sz w:val="21"/>
                    </w:rPr>
                    <w:t>60W。</w:t>
                  </w:r>
                  <w:r>
                    <w:rPr>
                      <w:sz w:val="21"/>
                      <w:b/>
                    </w:rPr>
                    <w:t>（需提供具有</w:t>
                  </w:r>
                  <w:r>
                    <w:rPr>
                      <w:sz w:val="21"/>
                      <w:b/>
                    </w:rPr>
                    <w:t>CMA资质的第三方检测机构出具的检测报告复印件）</w:t>
                  </w:r>
                </w:p>
                <w:p>
                  <w:pPr>
                    <w:pStyle w:val="null3"/>
                    <w:jc w:val="left"/>
                  </w:pPr>
                  <w:r>
                    <w:rPr>
                      <w:sz w:val="21"/>
                    </w:rPr>
                    <w:t xml:space="preserve">    </w:t>
                  </w:r>
                  <w:r>
                    <w:rPr>
                      <w:sz w:val="21"/>
                    </w:rPr>
                    <w:t>9.整机无需外接无线网卡，在Windows或安卓或苹果等系统下可实现Wi-Fi无线上网连接、AP无线热点发射和BT蓝牙连接功能;支持蓝牙Bluetooth 5.2标准，且Wi-Fi和AP热点均支持双频2.4G &amp; 5G ，Wi-Fi制式支持IEEE 802.11 a/b/g/n/ac/ax；支持版本Wi-Fi6。</w:t>
                  </w:r>
                </w:p>
                <w:p>
                  <w:pPr>
                    <w:pStyle w:val="null3"/>
                    <w:jc w:val="left"/>
                  </w:pPr>
                  <w:r>
                    <w:rPr>
                      <w:sz w:val="21"/>
                    </w:rPr>
                    <w:t xml:space="preserve">    </w:t>
                  </w:r>
                  <w:r>
                    <w:rPr>
                      <w:sz w:val="21"/>
                    </w:rPr>
                    <w:t>10.整机内置非独立摄像头，可拍摄≥1600万像素数的照片，支持输出4K分辨率视频，输出摄像头视场角≥135度且水平视场角≥120度画面。</w:t>
                  </w:r>
                </w:p>
                <w:p>
                  <w:pPr>
                    <w:pStyle w:val="null3"/>
                    <w:jc w:val="left"/>
                  </w:pPr>
                  <w:r>
                    <w:rPr>
                      <w:sz w:val="21"/>
                    </w:rPr>
                    <w:t xml:space="preserve">    </w:t>
                  </w:r>
                  <w:r>
                    <w:rPr>
                      <w:sz w:val="21"/>
                    </w:rPr>
                    <w:t>▲11.内置非独立摄像头可用于远程巡课，具有AI识别人像功能，支持人脸识别、点人数、随机抽选人数，可识别镜头前的所有学生，并显示人脸标记，支持同时显示标记不少于60人。</w:t>
                  </w:r>
                  <w:r>
                    <w:rPr>
                      <w:sz w:val="21"/>
                      <w:b/>
                    </w:rPr>
                    <w:t>（需提供具有</w:t>
                  </w:r>
                  <w:r>
                    <w:rPr>
                      <w:sz w:val="21"/>
                      <w:b/>
                    </w:rPr>
                    <w:t>CMA资质的第三方检测机构出具的检测报告复印件）</w:t>
                  </w:r>
                </w:p>
                <w:p>
                  <w:pPr>
                    <w:pStyle w:val="null3"/>
                    <w:jc w:val="left"/>
                  </w:pPr>
                  <w:r>
                    <w:rPr>
                      <w:sz w:val="21"/>
                    </w:rPr>
                    <w:t xml:space="preserve">    </w:t>
                  </w:r>
                  <w:r>
                    <w:rPr>
                      <w:sz w:val="21"/>
                    </w:rPr>
                    <w:t>12.外接电脑设备通过标准TypeC线连接至整机TypeC口，即可直接调用整机内置的摄像头、麦克风、扬声器，在外接电脑即可拍摄教室画面。</w:t>
                  </w:r>
                </w:p>
                <w:p>
                  <w:pPr>
                    <w:pStyle w:val="null3"/>
                    <w:jc w:val="left"/>
                  </w:pPr>
                  <w:r>
                    <w:rPr>
                      <w:sz w:val="21"/>
                    </w:rPr>
                    <w:t xml:space="preserve">    </w:t>
                  </w:r>
                  <w:r>
                    <w:rPr>
                      <w:sz w:val="21"/>
                    </w:rPr>
                    <w:t>13.具备智能手势识别功能，在任意信号源通道下可识别五指上、下、左、右方向手势滑动并调用响应功能，支持将各手势滑动方向自定义设置为无操作、熄屏、批注、桌面、半屏模式。</w:t>
                  </w:r>
                </w:p>
                <w:p>
                  <w:pPr>
                    <w:pStyle w:val="null3"/>
                    <w:jc w:val="left"/>
                  </w:pPr>
                  <w:r>
                    <w:rPr>
                      <w:sz w:val="21"/>
                      <w:b/>
                    </w:rPr>
                    <w:t>二、触摸系统</w:t>
                  </w:r>
                </w:p>
                <w:p>
                  <w:pPr>
                    <w:pStyle w:val="null3"/>
                    <w:jc w:val="left"/>
                  </w:pPr>
                  <w:r>
                    <w:rPr>
                      <w:sz w:val="21"/>
                    </w:rPr>
                    <w:t xml:space="preserve">    </w:t>
                  </w:r>
                  <w:r>
                    <w:rPr>
                      <w:sz w:val="21"/>
                    </w:rPr>
                    <w:t>1.触摸系统具有较好的稳定性，触摸屏在照度100K LUX（勒克司）环境下可正常工作，保障课堂的稳定性。</w:t>
                  </w:r>
                </w:p>
                <w:p>
                  <w:pPr>
                    <w:pStyle w:val="null3"/>
                    <w:jc w:val="left"/>
                  </w:pPr>
                  <w:r>
                    <w:rPr>
                      <w:sz w:val="21"/>
                    </w:rPr>
                    <w:t xml:space="preserve">     </w:t>
                  </w:r>
                  <w:r>
                    <w:rPr>
                      <w:sz w:val="21"/>
                    </w:rPr>
                    <w:t>▲2.为保证书写效果，整机采用电容触控技术，支持Windows或安卓或苹果等系统中进行40点或以上触控，支持在Android或苹果等系统中进行32点或以上触控。</w:t>
                  </w:r>
                  <w:r>
                    <w:rPr>
                      <w:sz w:val="21"/>
                      <w:b/>
                    </w:rPr>
                    <w:t>（需提供具有</w:t>
                  </w:r>
                  <w:r>
                    <w:rPr>
                      <w:sz w:val="21"/>
                      <w:b/>
                    </w:rPr>
                    <w:t>CMA资质的第三方检测机构出具的检测报告复印件）</w:t>
                  </w:r>
                </w:p>
                <w:p>
                  <w:pPr>
                    <w:pStyle w:val="null3"/>
                    <w:jc w:val="left"/>
                  </w:pPr>
                  <w:r>
                    <w:rPr>
                      <w:sz w:val="21"/>
                    </w:rPr>
                    <w:t xml:space="preserve">    </w:t>
                  </w:r>
                  <w:r>
                    <w:rPr>
                      <w:sz w:val="21"/>
                    </w:rPr>
                    <w:t>3.整机采用全贴合技术，钢化玻璃和液晶显示层无间隙，减少显示面板与玻璃间的偏光、散射，画面显示更加清晰通透、可视角度更广、视差更小。支持主动电容笔书写，书写时手掌掌托接触屏幕时不会对笔的书写造成干扰，提高授课效率。</w:t>
                  </w:r>
                </w:p>
                <w:p>
                  <w:pPr>
                    <w:pStyle w:val="null3"/>
                    <w:jc w:val="left"/>
                  </w:pPr>
                  <w:r>
                    <w:rPr>
                      <w:sz w:val="21"/>
                    </w:rPr>
                    <w:t xml:space="preserve">    </w:t>
                  </w:r>
                  <w:r>
                    <w:rPr>
                      <w:sz w:val="21"/>
                    </w:rPr>
                    <w:t>4.为方便使用，整机内置全通道侧边栏快捷菜单，支持小工具、应用软件、快捷设置、亮度/音量调节、教室物联入口，在任意显示通道下均可通过侧边栏一键进入该触摸菜单，侧边栏快捷菜单中可以随时调起切换智能息屏、经典护眼模式、纸质护眼模式；并可支持快捷调节音量、亮度，支持自动亮度模式，支持点击静音按钮快速静音。</w:t>
                  </w:r>
                </w:p>
                <w:p>
                  <w:pPr>
                    <w:pStyle w:val="null3"/>
                    <w:jc w:val="left"/>
                  </w:pPr>
                  <w:r>
                    <w:rPr>
                      <w:sz w:val="21"/>
                      <w:b/>
                    </w:rPr>
                    <w:t>三、嵌入式系统</w:t>
                  </w:r>
                </w:p>
                <w:p>
                  <w:pPr>
                    <w:pStyle w:val="null3"/>
                    <w:jc w:val="left"/>
                  </w:pPr>
                  <w:r>
                    <w:rPr>
                      <w:sz w:val="21"/>
                    </w:rPr>
                    <w:t xml:space="preserve">    </w:t>
                  </w:r>
                  <w:r>
                    <w:rPr>
                      <w:sz w:val="21"/>
                    </w:rPr>
                    <w:t>1.嵌入式Android或苹果等操作系统下，互动白板支持对已经书写的笔迹和图形的颜色进行更换，支持不同背景颜色和学科专用背景，同时提供学科专用背景，如：五线谱、信纸、田字格、英文格、篮球和足球场地平面图。</w:t>
                  </w:r>
                </w:p>
                <w:p>
                  <w:pPr>
                    <w:pStyle w:val="null3"/>
                    <w:jc w:val="left"/>
                  </w:pPr>
                  <w:r>
                    <w:rPr>
                      <w:sz w:val="21"/>
                    </w:rPr>
                    <w:t xml:space="preserve">    </w:t>
                  </w:r>
                  <w:r>
                    <w:rPr>
                      <w:sz w:val="21"/>
                    </w:rPr>
                    <w:t>2.嵌入式系统版本内存≥2GB，存储空间≥8GB。</w:t>
                  </w:r>
                </w:p>
                <w:p>
                  <w:pPr>
                    <w:pStyle w:val="null3"/>
                    <w:jc w:val="left"/>
                  </w:pPr>
                  <w:r>
                    <w:rPr>
                      <w:sz w:val="21"/>
                    </w:rPr>
                    <w:t xml:space="preserve">    </w:t>
                  </w:r>
                  <w:r>
                    <w:rPr>
                      <w:sz w:val="21"/>
                    </w:rPr>
                    <w:t>3.为方便使用，整机内置无线网卡，在Windows或安卓或苹果等系统下接入无线网络，切换到嵌入式Android或苹果等系统下可直接实现无线上网功能，不需手动重复设置。</w:t>
                  </w:r>
                </w:p>
                <w:p>
                  <w:pPr>
                    <w:pStyle w:val="null3"/>
                    <w:jc w:val="left"/>
                  </w:pPr>
                  <w:r>
                    <w:rPr>
                      <w:sz w:val="21"/>
                      <w:b/>
                    </w:rPr>
                    <w:t>四、</w:t>
                  </w:r>
                  <w:r>
                    <w:rPr>
                      <w:sz w:val="21"/>
                      <w:b/>
                    </w:rPr>
                    <w:t>OPS电脑</w:t>
                  </w:r>
                </w:p>
                <w:p>
                  <w:pPr>
                    <w:pStyle w:val="null3"/>
                    <w:jc w:val="left"/>
                  </w:pPr>
                  <w:r>
                    <w:rPr>
                      <w:sz w:val="21"/>
                    </w:rPr>
                    <w:t xml:space="preserve">    </w:t>
                  </w:r>
                  <w:r>
                    <w:rPr>
                      <w:sz w:val="21"/>
                    </w:rPr>
                    <w:t>1.搭载双核心四线程或以上CPU。</w:t>
                  </w:r>
                </w:p>
                <w:p>
                  <w:pPr>
                    <w:pStyle w:val="null3"/>
                    <w:jc w:val="left"/>
                  </w:pPr>
                  <w:r>
                    <w:rPr>
                      <w:sz w:val="21"/>
                    </w:rPr>
                    <w:t xml:space="preserve">    </w:t>
                  </w:r>
                  <w:r>
                    <w:rPr>
                      <w:sz w:val="21"/>
                    </w:rPr>
                    <w:t>2.内存采用≥8GB DDR4笔记本内存或以上配置；硬盘采用≥256GB或以上SSD固态硬盘。</w:t>
                  </w:r>
                </w:p>
                <w:p>
                  <w:pPr>
                    <w:pStyle w:val="null3"/>
                    <w:jc w:val="left"/>
                  </w:pPr>
                  <w:r>
                    <w:rPr>
                      <w:sz w:val="21"/>
                    </w:rPr>
                    <w:t xml:space="preserve">    </w:t>
                  </w:r>
                  <w:r>
                    <w:rPr>
                      <w:sz w:val="21"/>
                    </w:rPr>
                    <w:t>3.PC模块可抽拉式插入整机，按压式卡扣设计，无需工具就可快速拆卸电脑模块，整机的连接接口针脚数≤40pin，连接采用万兆级接口，传输速率≥10Gbps。</w:t>
                  </w:r>
                </w:p>
                <w:p>
                  <w:pPr>
                    <w:pStyle w:val="null3"/>
                    <w:jc w:val="left"/>
                  </w:pPr>
                  <w:r>
                    <w:rPr>
                      <w:sz w:val="21"/>
                    </w:rPr>
                    <w:t xml:space="preserve">    </w:t>
                  </w:r>
                  <w:r>
                    <w:rPr>
                      <w:sz w:val="21"/>
                    </w:rPr>
                    <w:t>4.具有标准PC防盗锁孔及独立非外扩展的视频输出接口：≥1路HDMI 、电脑USB接口≥3路USB。</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四路HDMI矩阵等一批设备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color w:val="000000"/>
              </w:rPr>
              <w:t>（一）智慧教学系统</w:t>
            </w:r>
          </w:p>
          <w:tbl>
            <w:tblPr>
              <w:tblInd w:type="dxa" w:w="120"/>
              <w:tblBorders>
                <w:top w:val="none" w:color="000000" w:sz="4"/>
                <w:left w:val="none" w:color="000000" w:sz="4"/>
                <w:bottom w:val="none" w:color="000000" w:sz="4"/>
                <w:right w:val="none" w:color="000000" w:sz="4"/>
                <w:insideH w:val="none"/>
                <w:insideV w:val="none"/>
              </w:tblBorders>
            </w:tblPr>
            <w:tblGrid>
              <w:gridCol w:w="467"/>
              <w:gridCol w:w="4601"/>
              <w:gridCol w:w="264"/>
              <w:gridCol w:w="264"/>
            </w:tblGrid>
            <w:tr>
              <w:tc>
                <w:tcPr>
                  <w:tcW w:type="dxa" w:w="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46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技术指标</w:t>
                  </w:r>
                </w:p>
              </w:tc>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w:t>
                  </w:r>
                  <w:r>
                    <w:rPr>
                      <w:sz w:val="21"/>
                      <w:color w:val="000000"/>
                    </w:rPr>
                    <w:t>、四路</w:t>
                  </w:r>
                  <w:r>
                    <w:rPr>
                      <w:sz w:val="21"/>
                      <w:color w:val="000000"/>
                    </w:rPr>
                    <w:t>HDMI矩阵</w:t>
                  </w:r>
                </w:p>
              </w:tc>
              <w:tc>
                <w:tcPr>
                  <w:tcW w:type="dxa" w:w="4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1、</w:t>
                  </w:r>
                  <w:r>
                    <w:rPr>
                      <w:sz w:val="21"/>
                      <w:color w:val="000000"/>
                    </w:rPr>
                    <w:t>≥</w:t>
                  </w:r>
                  <w:r>
                    <w:rPr>
                      <w:sz w:val="21"/>
                      <w:color w:val="000000"/>
                    </w:rPr>
                    <w:t>4进4出 1080P HDMI 音视频信号切换卡接口；</w:t>
                  </w:r>
                </w:p>
                <w:p>
                  <w:pPr>
                    <w:pStyle w:val="null3"/>
                    <w:ind w:firstLine="420"/>
                    <w:jc w:val="left"/>
                  </w:pPr>
                  <w:r>
                    <w:rPr>
                      <w:sz w:val="21"/>
                      <w:color w:val="000000"/>
                    </w:rPr>
                    <w:t>2、总线交换技术，每路信号采用单独与用通道进行传输，保证所有信号图像的实时显示；</w:t>
                  </w:r>
                </w:p>
                <w:p>
                  <w:pPr>
                    <w:pStyle w:val="null3"/>
                    <w:ind w:left="210" w:firstLine="210"/>
                    <w:jc w:val="left"/>
                  </w:pPr>
                  <w:r>
                    <w:rPr>
                      <w:sz w:val="21"/>
                      <w:color w:val="000000"/>
                    </w:rPr>
                    <w:t>3、倍频倍线技术，对图像信号进行倍线、倍频增强显示；</w:t>
                  </w:r>
                </w:p>
                <w:p>
                  <w:pPr>
                    <w:pStyle w:val="null3"/>
                    <w:ind w:left="210" w:firstLine="210"/>
                    <w:jc w:val="left"/>
                  </w:pPr>
                  <w:r>
                    <w:rPr>
                      <w:sz w:val="21"/>
                      <w:color w:val="000000"/>
                    </w:rPr>
                    <w:t>4、无缝交叉切换，切换过程无黑屏、卡屏、抖动、撕裂等现象；</w:t>
                  </w:r>
                </w:p>
                <w:p>
                  <w:pPr>
                    <w:pStyle w:val="null3"/>
                    <w:ind w:firstLine="420"/>
                    <w:jc w:val="left"/>
                  </w:pPr>
                  <w:r>
                    <w:rPr>
                      <w:sz w:val="21"/>
                      <w:color w:val="000000"/>
                    </w:rPr>
                    <w:t>5、可选多种信号类型：CVBS、YPbPr、VGA、DVI、HDMI、3G/HD/SD-SDI、HDBaseT、Optical等；</w:t>
                  </w:r>
                </w:p>
                <w:p>
                  <w:pPr>
                    <w:pStyle w:val="null3"/>
                    <w:ind w:firstLine="420"/>
                    <w:jc w:val="left"/>
                  </w:pPr>
                  <w:r>
                    <w:rPr>
                      <w:sz w:val="21"/>
                      <w:color w:val="000000"/>
                    </w:rPr>
                    <w:t>6、分辨率最高支持 3840×2160@30Hz，分辨率可调节；</w:t>
                  </w:r>
                </w:p>
                <w:p>
                  <w:pPr>
                    <w:pStyle w:val="null3"/>
                    <w:ind w:firstLine="420"/>
                    <w:jc w:val="left"/>
                  </w:pPr>
                  <w:r>
                    <w:rPr>
                      <w:sz w:val="21"/>
                      <w:color w:val="000000"/>
                    </w:rPr>
                    <w:t>7、支持输出通道单独或者全部关闭、打开；</w:t>
                  </w:r>
                </w:p>
                <w:p>
                  <w:pPr>
                    <w:pStyle w:val="null3"/>
                    <w:ind w:firstLine="420"/>
                    <w:jc w:val="left"/>
                  </w:pPr>
                  <w:r>
                    <w:rPr>
                      <w:sz w:val="21"/>
                      <w:color w:val="000000"/>
                    </w:rPr>
                    <w:t>8、支持 RS232 串口、TCP/IP 网络、前面板控制，开放控制协议；</w:t>
                  </w:r>
                </w:p>
                <w:p>
                  <w:pPr>
                    <w:pStyle w:val="null3"/>
                    <w:ind w:firstLine="420"/>
                    <w:jc w:val="left"/>
                  </w:pPr>
                  <w:r>
                    <w:rPr>
                      <w:sz w:val="21"/>
                      <w:color w:val="000000"/>
                    </w:rPr>
                    <w:t>9、信号端口支持热插拔。</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bl>
          <w:p/>
        </w:tc>
      </w:tr>
      <w:tr>
        <w:tc>
          <w:tcPr>
            <w:tcW w:type="dxa" w:w="2076"/>
          </w:tcPr>
          <w:p/>
        </w:tc>
        <w:tc>
          <w:tcPr>
            <w:tcW w:type="dxa" w:w="415"/>
          </w:tcPr>
          <w:p>
            <w:pPr>
              <w:pStyle w:val="null3"/>
            </w:pPr>
            <w:r>
              <w:rPr/>
              <w:t>2</w:t>
            </w:r>
          </w:p>
        </w:tc>
        <w:tc>
          <w:tcPr>
            <w:tcW w:type="dxa" w:w="5814"/>
          </w:tcPr>
          <w:p>
            <w:pPr>
              <w:pStyle w:val="null3"/>
              <w:jc w:val="left"/>
            </w:pPr>
            <w:r>
              <w:rPr>
                <w:sz w:val="21"/>
                <w:b/>
                <w:color w:val="000000"/>
              </w:rPr>
              <w:t>（二）实验室物联管控系统</w:t>
            </w:r>
          </w:p>
          <w:tbl>
            <w:tblPr>
              <w:tblInd w:type="dxa" w:w="120"/>
              <w:tblBorders>
                <w:top w:val="none" w:color="000000" w:sz="4"/>
                <w:left w:val="none" w:color="000000" w:sz="4"/>
                <w:bottom w:val="none" w:color="000000" w:sz="4"/>
                <w:right w:val="none" w:color="000000" w:sz="4"/>
                <w:insideH w:val="none"/>
                <w:insideV w:val="none"/>
              </w:tblBorders>
            </w:tblPr>
            <w:tblGrid>
              <w:gridCol w:w="295"/>
              <w:gridCol w:w="650"/>
              <w:gridCol w:w="4133"/>
              <w:gridCol w:w="254"/>
              <w:gridCol w:w="264"/>
            </w:tblGrid>
            <w:tr>
              <w:tc>
                <w:tcPr>
                  <w:tcW w:type="dxa" w:w="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6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w:t>
                  </w:r>
                </w:p>
                <w:p>
                  <w:pPr>
                    <w:pStyle w:val="null3"/>
                    <w:jc w:val="center"/>
                  </w:pPr>
                  <w:r>
                    <w:rPr>
                      <w:sz w:val="21"/>
                      <w:b/>
                      <w:color w:val="000000"/>
                    </w:rPr>
                    <w:t>名称</w:t>
                  </w:r>
                </w:p>
              </w:tc>
              <w:tc>
                <w:tcPr>
                  <w:tcW w:type="dxa" w:w="4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技术指标</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物联网边缘聚合网关</w:t>
                  </w:r>
                </w:p>
              </w:tc>
              <w:tc>
                <w:tcPr>
                  <w:tcW w:type="dxa" w:w="4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1、为保证设备稳定运行，要求操作芯片：配置不低于CPU频率：≥580MHz，RAM：≥DDR2 1Gb，FLASH：≥512Mb，操作系统支持Linux或其他稳定系统；</w:t>
                  </w:r>
                </w:p>
                <w:p>
                  <w:pPr>
                    <w:pStyle w:val="null3"/>
                    <w:ind w:firstLine="420"/>
                    <w:jc w:val="left"/>
                  </w:pPr>
                  <w:r>
                    <w:rPr>
                      <w:sz w:val="21"/>
                      <w:color w:val="000000"/>
                    </w:rPr>
                    <w:t xml:space="preserve">    </w:t>
                  </w:r>
                  <w:r>
                    <w:rPr>
                      <w:sz w:val="21"/>
                      <w:color w:val="000000"/>
                    </w:rPr>
                    <w:t>2、为确保数据传输速率，要求发射功率：≥+18dBm (ZigBee)；</w:t>
                  </w:r>
                </w:p>
                <w:p>
                  <w:pPr>
                    <w:pStyle w:val="null3"/>
                    <w:ind w:firstLine="420"/>
                    <w:jc w:val="left"/>
                  </w:pPr>
                  <w:r>
                    <w:rPr>
                      <w:sz w:val="21"/>
                      <w:color w:val="000000"/>
                    </w:rPr>
                    <w:t xml:space="preserve">    </w:t>
                  </w:r>
                  <w:r>
                    <w:rPr>
                      <w:sz w:val="21"/>
                      <w:color w:val="000000"/>
                    </w:rPr>
                    <w:t>3、为方便后期系统维护与升级，要求固件升级方式支持OTA云端固件升级、蓝牙方式OTA升级等OTA升级方式；</w:t>
                  </w:r>
                </w:p>
                <w:p>
                  <w:pPr>
                    <w:pStyle w:val="null3"/>
                    <w:ind w:firstLine="420"/>
                    <w:jc w:val="left"/>
                  </w:pPr>
                  <w:r>
                    <w:rPr>
                      <w:sz w:val="21"/>
                      <w:color w:val="000000"/>
                    </w:rPr>
                    <w:t>4、为确保设备安全、稳定运行，要求产品通过抗电强度、耐潮湿测试等实验。</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物联网控制面板</w:t>
                  </w:r>
                </w:p>
              </w:tc>
              <w:tc>
                <w:tcPr>
                  <w:tcW w:type="dxa" w:w="4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1、为保证设备稳定运行，要求设备核心处理器：配置不低于主频：≥1.2GHz，操作系统：支持Linux或其他稳定系统，分辨率：≥1024*600，控制面板：≥10寸，可视角度≥170°，通信方式：支持WIFI、RJ45等稳定通信方式；</w:t>
                  </w:r>
                </w:p>
                <w:p>
                  <w:pPr>
                    <w:pStyle w:val="null3"/>
                    <w:ind w:firstLine="420"/>
                    <w:jc w:val="left"/>
                  </w:pPr>
                  <w:r>
                    <w:rPr>
                      <w:sz w:val="21"/>
                      <w:color w:val="000000"/>
                    </w:rPr>
                    <w:t>2、接口：至少含USB接口、SD卡接口、RJ45网络接口；</w:t>
                  </w:r>
                </w:p>
                <w:p>
                  <w:pPr>
                    <w:pStyle w:val="null3"/>
                    <w:ind w:firstLine="420"/>
                    <w:jc w:val="left"/>
                  </w:pPr>
                  <w:r>
                    <w:rPr>
                      <w:sz w:val="21"/>
                      <w:color w:val="000000"/>
                    </w:rPr>
                    <w:t>3、为确保设备安全、稳定运行，要求产品通过抗电强度、耐潮湿测试等实验。</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多链路智能解析终端</w:t>
                  </w:r>
                </w:p>
              </w:tc>
              <w:tc>
                <w:tcPr>
                  <w:tcW w:type="dxa" w:w="4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1、为兼容课室现有硬件设备控制协议，要求上行接口：至少支持RS485等协议方式，支持扩展对接转Zigbee或者Lora等无线传输协议模块；下行接口：支持RS232或RS485协议方式；</w:t>
                  </w:r>
                </w:p>
                <w:p>
                  <w:pPr>
                    <w:pStyle w:val="null3"/>
                    <w:ind w:firstLine="420"/>
                    <w:jc w:val="left"/>
                  </w:pPr>
                  <w:r>
                    <w:rPr>
                      <w:sz w:val="21"/>
                      <w:color w:val="000000"/>
                    </w:rPr>
                    <w:t>2、为方便后期系统维护与升级，平台根据终端类型自动推送版本升级，要求产品支持通过OTA设备固件升级，蓝牙升级等升级方式；</w:t>
                  </w:r>
                </w:p>
                <w:p>
                  <w:pPr>
                    <w:pStyle w:val="null3"/>
                    <w:ind w:firstLine="420"/>
                    <w:jc w:val="left"/>
                  </w:pPr>
                  <w:r>
                    <w:rPr>
                      <w:sz w:val="21"/>
                      <w:color w:val="000000"/>
                    </w:rPr>
                    <w:t>3、为方便设备部署，支持通过物联网关实现自动注册到平台，实现与平台有效对接，支持通过软件后台设置终端名称、物理接口类型、数据格式、传输速率，奇偶校验，实现通讯数据的透传。</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设备物联集控管理授权</w:t>
                  </w:r>
                </w:p>
              </w:tc>
              <w:tc>
                <w:tcPr>
                  <w:tcW w:type="dxa" w:w="4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1、授权用户可通过平台随时随地对实验室的教学设备进行远程控制和状态监控。</w:t>
                  </w:r>
                </w:p>
                <w:p>
                  <w:pPr>
                    <w:pStyle w:val="null3"/>
                    <w:ind w:firstLine="420"/>
                    <w:jc w:val="left"/>
                  </w:pPr>
                  <w:r>
                    <w:rPr>
                      <w:sz w:val="21"/>
                      <w:color w:val="000000"/>
                    </w:rPr>
                    <w:t>2、通过软件可以了解到实验室的名称、位置、所属组别以及室内的设备在线、离线等信息。</w:t>
                  </w:r>
                </w:p>
                <w:p>
                  <w:pPr>
                    <w:pStyle w:val="null3"/>
                    <w:ind w:firstLine="420"/>
                    <w:jc w:val="left"/>
                  </w:pPr>
                  <w:r>
                    <w:rPr>
                      <w:sz w:val="21"/>
                      <w:color w:val="000000"/>
                    </w:rPr>
                    <w:t>3、授权软件可实时监控实验室的设备电源状态信息，实时显示每台设备的电流、电压及功率损耗等，同时可根据用户的业务需求生成统计分析报表，并向目标用户推送分析结果。</w:t>
                  </w:r>
                </w:p>
                <w:p>
                  <w:pPr>
                    <w:pStyle w:val="null3"/>
                    <w:ind w:firstLine="420"/>
                    <w:jc w:val="left"/>
                  </w:pPr>
                  <w:r>
                    <w:rPr>
                      <w:sz w:val="21"/>
                      <w:color w:val="000000"/>
                    </w:rPr>
                    <w:t>4、支持场景的自定义配置，设备可根据场景规则与汕大教务系统所排课程联动运行，学校可无偿提供应用程序编程数据接口。</w:t>
                  </w:r>
                </w:p>
                <w:p>
                  <w:pPr>
                    <w:pStyle w:val="null3"/>
                    <w:ind w:firstLine="420"/>
                    <w:jc w:val="left"/>
                  </w:pPr>
                  <w:r>
                    <w:rPr>
                      <w:sz w:val="21"/>
                      <w:color w:val="000000"/>
                    </w:rPr>
                    <w:t>5、当多设备出现故障或异常时，系统将自动向管理人员发送提醒信息。</w:t>
                  </w:r>
                </w:p>
                <w:p>
                  <w:pPr>
                    <w:pStyle w:val="null3"/>
                    <w:ind w:firstLine="420"/>
                    <w:jc w:val="left"/>
                  </w:pPr>
                  <w:r>
                    <w:rPr>
                      <w:sz w:val="21"/>
                      <w:color w:val="000000"/>
                    </w:rPr>
                    <w:t>6、当使用者发现设备故障或需要帮助时，可以通过系统向管理人员发送求助信息。</w:t>
                  </w:r>
                </w:p>
                <w:p>
                  <w:pPr>
                    <w:pStyle w:val="null3"/>
                    <w:ind w:firstLine="420"/>
                    <w:jc w:val="left"/>
                  </w:pPr>
                  <w:r>
                    <w:rPr>
                      <w:sz w:val="21"/>
                      <w:color w:val="000000"/>
                    </w:rPr>
                    <w:t>7、软件平台自动记录多媒体教室的所有操作日志信息、设备状态信息和出错求助信息，并导出日志。支持高级的统计分析功能，将日志信息存储到数据库。</w:t>
                  </w:r>
                </w:p>
                <w:p>
                  <w:pPr>
                    <w:pStyle w:val="null3"/>
                    <w:ind w:firstLine="420"/>
                    <w:jc w:val="left"/>
                  </w:pPr>
                  <w:r>
                    <w:rPr>
                      <w:sz w:val="21"/>
                      <w:color w:val="000000"/>
                    </w:rPr>
                    <w:t>8、通过软件平台可查询、浏览实验室的所有设备信息，如设备的型号、购买时间、厂家名称及联系人、维修记录等信息。通过大数据分析预估设备寿命，在设备需要维护或更换时自动进行提示，以保证管理人员能够及时的维护。</w:t>
                  </w:r>
                </w:p>
                <w:p>
                  <w:pPr>
                    <w:pStyle w:val="null3"/>
                    <w:ind w:firstLine="420"/>
                    <w:jc w:val="left"/>
                  </w:pPr>
                  <w:r>
                    <w:rPr>
                      <w:sz w:val="21"/>
                      <w:color w:val="000000"/>
                    </w:rPr>
                    <w:t>9、软件支持通过现有的网络摄像机以流媒体的方式对实验室进行实时监控，支持APP和微信公众号等移动客户端云端动态访问查看，实现实验室空间资源的可视化管理。</w:t>
                  </w:r>
                </w:p>
                <w:p>
                  <w:pPr>
                    <w:pStyle w:val="null3"/>
                    <w:ind w:firstLine="420"/>
                    <w:jc w:val="left"/>
                  </w:pPr>
                  <w:r>
                    <w:rPr>
                      <w:sz w:val="21"/>
                      <w:color w:val="000000"/>
                    </w:rPr>
                    <w:t>10、实验室设备出现故障或异常时，管理人员可发起远程诊断命令，对故障或异常设备进行远程诊断。</w:t>
                  </w:r>
                </w:p>
                <w:p>
                  <w:pPr>
                    <w:pStyle w:val="null3"/>
                    <w:ind w:firstLine="420"/>
                    <w:jc w:val="left"/>
                  </w:pPr>
                  <w:r>
                    <w:rPr>
                      <w:sz w:val="21"/>
                      <w:color w:val="000000"/>
                    </w:rPr>
                    <w:t>11、平台软件提供了多级管理和权限管理设置功能。</w:t>
                  </w:r>
                </w:p>
                <w:p>
                  <w:pPr>
                    <w:pStyle w:val="null3"/>
                    <w:ind w:firstLine="420"/>
                    <w:jc w:val="left"/>
                  </w:pPr>
                  <w:r>
                    <w:rPr>
                      <w:sz w:val="21"/>
                      <w:color w:val="000000"/>
                    </w:rPr>
                    <w:t>12、平台基于可信安全网络平台技术部署；</w:t>
                  </w:r>
                </w:p>
                <w:p>
                  <w:pPr>
                    <w:pStyle w:val="null3"/>
                    <w:ind w:firstLine="420"/>
                    <w:jc w:val="left"/>
                  </w:pPr>
                  <w:r>
                    <w:rPr>
                      <w:sz w:val="21"/>
                    </w:rPr>
                    <w:t>▲13、数据需基于文件安全管理技术，支持文件加密管理，以透明强制的文档安全管理为关键技术；提供相关软件著作权证书的扫描件，内容需包含相关的“电子文档安全”或“数据文件安全”等类似功能的字样。</w:t>
                  </w:r>
                  <w:r>
                    <w:rPr>
                      <w:sz w:val="21"/>
                      <w:b/>
                    </w:rPr>
                    <w:t>【附相关截图证明】</w:t>
                  </w:r>
                </w:p>
                <w:p>
                  <w:pPr>
                    <w:pStyle w:val="null3"/>
                    <w:ind w:firstLine="422"/>
                    <w:jc w:val="left"/>
                  </w:pPr>
                  <w:r>
                    <w:rPr>
                      <w:sz w:val="21"/>
                      <w:b/>
                    </w:rPr>
                    <w:t>★14、支持和学校东海岸校区教学楼现有物联管理平台的对接。（目前东海岸校区教学楼物联管理平台的开发商为联奕科技，系统版本号：联奕智能管理平台 V1.0。学校可无偿提供应用程序编程数据接口。）【由投标人出具对接承诺函加盖公章（格式自拟），实现设备统一管控】</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间</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智能门禁管理系统授权</w:t>
                  </w:r>
                </w:p>
              </w:tc>
              <w:tc>
                <w:tcPr>
                  <w:tcW w:type="dxa" w:w="4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1、门禁系统权限管理：实现授权人所持智能卡根据身份，设置其通行权限。</w:t>
                  </w:r>
                </w:p>
                <w:p>
                  <w:pPr>
                    <w:pStyle w:val="null3"/>
                    <w:ind w:firstLine="422"/>
                    <w:jc w:val="left"/>
                  </w:pPr>
                  <w:r>
                    <w:rPr>
                      <w:sz w:val="21"/>
                      <w:b/>
                      <w:color w:val="000000"/>
                    </w:rPr>
                    <w:t>2、支持与汕头大学的一卡通系统实现数据对接，全兼容学校现有的一卡通的物理刷卡，实现多系统共用一张卡。（目前东海岸校区教学楼门禁管理平台的开发商为联奕科技，系统版本号：联奕智能管理平台 V1.0。学校可无偿提供应用程序编程数据接口。）</w:t>
                  </w:r>
                </w:p>
                <w:p>
                  <w:pPr>
                    <w:pStyle w:val="null3"/>
                    <w:ind w:firstLine="420"/>
                    <w:jc w:val="left"/>
                  </w:pPr>
                  <w:r>
                    <w:rPr>
                      <w:sz w:val="21"/>
                      <w:color w:val="000000"/>
                    </w:rPr>
                    <w:t>3、首卡开门功能：在上、下课时段当第一个授权人读卡开门后，大门即可保持常开状态，后面不需要读卡开门，以免拥堵；到下课时段自动恢复为读卡开门模式；</w:t>
                  </w:r>
                </w:p>
                <w:p>
                  <w:pPr>
                    <w:pStyle w:val="null3"/>
                    <w:ind w:firstLine="420"/>
                    <w:jc w:val="left"/>
                  </w:pPr>
                  <w:r>
                    <w:rPr>
                      <w:sz w:val="21"/>
                      <w:color w:val="000000"/>
                    </w:rPr>
                    <w:t>4、多卡开门功能：根据需要，可将重点场所的门禁系统设置为多卡开门模式——只有多人依次读卡后，门才能打开；</w:t>
                  </w:r>
                </w:p>
                <w:p>
                  <w:pPr>
                    <w:pStyle w:val="null3"/>
                    <w:ind w:firstLine="420"/>
                    <w:jc w:val="left"/>
                  </w:pPr>
                  <w:r>
                    <w:rPr>
                      <w:sz w:val="21"/>
                      <w:color w:val="000000"/>
                    </w:rPr>
                    <w:t>5、消防联动功能：当发生火灾并得到保安确认后，管理员可在管理主机上打开需要打开的通道门以供室内人员逃生，也可通过控制器输入端采集到的火灾报警系统报警信号，自动打开所有事先设置好的门（如消防通道门），电子锁能自行打开，供室内人员逃生。</w:t>
                  </w:r>
                </w:p>
                <w:p>
                  <w:pPr>
                    <w:pStyle w:val="null3"/>
                    <w:ind w:firstLine="420"/>
                    <w:jc w:val="left"/>
                  </w:pPr>
                  <w:r>
                    <w:rPr>
                      <w:sz w:val="21"/>
                      <w:color w:val="000000"/>
                    </w:rPr>
                    <w:t>6、门禁与监控系统联动：配合安装在门禁现场的监控摄像机，可实现对异常情况的图像抓拍、监视功能：当某个门出现异常情况时，系统在向监控中心发送报警信号的同时，可立即联动该门附近的摄像机对该门进行图像抓拍，方便监控中心值班人员及时了解现场实际情况，采取防范措施；</w:t>
                  </w:r>
                </w:p>
                <w:p>
                  <w:pPr>
                    <w:pStyle w:val="null3"/>
                    <w:ind w:firstLine="420"/>
                    <w:jc w:val="left"/>
                  </w:pPr>
                  <w:r>
                    <w:rPr>
                      <w:sz w:val="21"/>
                      <w:color w:val="000000"/>
                    </w:rPr>
                    <w:t>7、门磁报警功能：作为门状态检测设备，当有合法用户读卡进入，门磁不会发送报警信号，当有人非法闯入，则门磁立即向系统发送报警信号，管理主机显示器上可立即闪烁显示报警门点地址、状态等信息，以提示值班员及时采取防范措施。</w:t>
                  </w:r>
                </w:p>
                <w:p>
                  <w:pPr>
                    <w:pStyle w:val="null3"/>
                    <w:ind w:firstLine="420"/>
                    <w:jc w:val="left"/>
                  </w:pPr>
                  <w:r>
                    <w:rPr>
                      <w:sz w:val="21"/>
                      <w:color w:val="000000"/>
                    </w:rPr>
                    <w:t>8、门禁管理软件功能：</w:t>
                  </w:r>
                </w:p>
                <w:p>
                  <w:pPr>
                    <w:pStyle w:val="null3"/>
                    <w:ind w:firstLine="420"/>
                    <w:jc w:val="left"/>
                  </w:pPr>
                  <w:r>
                    <w:rPr>
                      <w:sz w:val="21"/>
                      <w:color w:val="000000"/>
                    </w:rPr>
                    <w:t>A）实时显示、记录所有事件数据，读卡器读卡数据实时传送给管理系统，可在管理中心电脑即时显示。可显示的事件类型包括：正常进门、正常出门、非正常时段读卡、无效卡读卡、门开超时、非正常开门（被撬）、控制器离线等；可显示信息内容包括：持卡人姓名、卡号、所属部门、照片、时间、门点地址等并如实记录且记录不可更改，如出现异常事件会立即报警（有报警声提示），并能通过人名、卡号、进出时间进行检索、查询。</w:t>
                  </w:r>
                </w:p>
                <w:p>
                  <w:pPr>
                    <w:pStyle w:val="null3"/>
                    <w:ind w:firstLine="420"/>
                    <w:jc w:val="left"/>
                  </w:pPr>
                  <w:r>
                    <w:rPr>
                      <w:sz w:val="21"/>
                      <w:color w:val="000000"/>
                    </w:rPr>
                    <w:t>B）控制中心管理员根据权限，对各门点均可进行直接的开/闭控制；利用系统电子地图功能，可实现直观、形象的多种联动控制，如对门锁、监控摄像机、消防设备等的控制。</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间</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红外</w:t>
                  </w:r>
                </w:p>
                <w:p>
                  <w:pPr>
                    <w:pStyle w:val="null3"/>
                    <w:jc w:val="center"/>
                  </w:pPr>
                  <w:r>
                    <w:rPr>
                      <w:sz w:val="21"/>
                      <w:color w:val="000000"/>
                    </w:rPr>
                    <w:t>控制</w:t>
                  </w:r>
                </w:p>
                <w:p>
                  <w:pPr>
                    <w:pStyle w:val="null3"/>
                    <w:jc w:val="center"/>
                  </w:pPr>
                  <w:r>
                    <w:rPr>
                      <w:sz w:val="21"/>
                      <w:color w:val="000000"/>
                    </w:rPr>
                    <w:t>终端</w:t>
                  </w:r>
                </w:p>
              </w:tc>
              <w:tc>
                <w:tcPr>
                  <w:tcW w:type="dxa" w:w="4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1、工作电压电流：DC 24V、150mA，工作频段：2405M～2480MHz，无障碍通讯距离：≤ 200M，无障碍组网距离：≤ 100M；</w:t>
                  </w:r>
                </w:p>
                <w:p>
                  <w:pPr>
                    <w:pStyle w:val="null3"/>
                    <w:ind w:firstLine="420"/>
                    <w:jc w:val="left"/>
                  </w:pPr>
                  <w:r>
                    <w:rPr>
                      <w:sz w:val="21"/>
                      <w:color w:val="000000"/>
                    </w:rPr>
                    <w:t>2、为确保红外控制稳定有效，要求设备接收灵敏度：≥-97dBm；最大发射功率：≥4dBm；</w:t>
                  </w:r>
                </w:p>
                <w:p>
                  <w:pPr>
                    <w:pStyle w:val="null3"/>
                    <w:ind w:firstLine="420"/>
                    <w:jc w:val="left"/>
                  </w:pPr>
                  <w:r>
                    <w:rPr>
                      <w:sz w:val="21"/>
                      <w:color w:val="000000"/>
                    </w:rPr>
                    <w:t>3、输出接口：Zigbee协议接口等；</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照明</w:t>
                  </w:r>
                </w:p>
                <w:p>
                  <w:pPr>
                    <w:pStyle w:val="null3"/>
                    <w:jc w:val="center"/>
                  </w:pPr>
                  <w:r>
                    <w:rPr>
                      <w:sz w:val="21"/>
                      <w:color w:val="000000"/>
                    </w:rPr>
                    <w:t>开关</w:t>
                  </w:r>
                </w:p>
              </w:tc>
              <w:tc>
                <w:tcPr>
                  <w:tcW w:type="dxa" w:w="4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1、可通过按键手动切换插座通断电状态，具备状态指示灯，可指示插座通断电、入网状态，可手动或远程控制过载设备开启或关闭；</w:t>
                  </w:r>
                </w:p>
                <w:p>
                  <w:pPr>
                    <w:pStyle w:val="null3"/>
                    <w:ind w:firstLine="420"/>
                    <w:jc w:val="left"/>
                  </w:pPr>
                  <w:r>
                    <w:rPr>
                      <w:sz w:val="21"/>
                      <w:color w:val="000000"/>
                    </w:rPr>
                    <w:t>2、输入电压范围： 90～264VAC，额定总负载电流：≤16A；</w:t>
                  </w:r>
                </w:p>
                <w:p>
                  <w:pPr>
                    <w:pStyle w:val="null3"/>
                    <w:ind w:firstLine="420"/>
                    <w:jc w:val="left"/>
                  </w:pPr>
                  <w:r>
                    <w:rPr>
                      <w:sz w:val="21"/>
                      <w:color w:val="000000"/>
                    </w:rPr>
                    <w:t>3、绝缘电阻：500Vdc，电气强度：2kV，50Hz；</w:t>
                  </w:r>
                </w:p>
                <w:p>
                  <w:pPr>
                    <w:pStyle w:val="null3"/>
                    <w:ind w:firstLine="420"/>
                    <w:jc w:val="left"/>
                  </w:pPr>
                  <w:r>
                    <w:rPr>
                      <w:sz w:val="21"/>
                      <w:color w:val="000000"/>
                    </w:rPr>
                    <w:t>4、为实现平台对灯光的策略控制，要求支持通过无线网关实现对照明开关的远程控制。</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w:t>
                  </w:r>
                </w:p>
                <w:p>
                  <w:pPr>
                    <w:pStyle w:val="null3"/>
                    <w:jc w:val="center"/>
                  </w:pPr>
                  <w:r>
                    <w:rPr>
                      <w:sz w:val="21"/>
                      <w:color w:val="000000"/>
                    </w:rPr>
                    <w:t>总电</w:t>
                  </w:r>
                </w:p>
                <w:p>
                  <w:pPr>
                    <w:pStyle w:val="null3"/>
                    <w:jc w:val="center"/>
                  </w:pPr>
                  <w:r>
                    <w:rPr>
                      <w:sz w:val="21"/>
                      <w:color w:val="000000"/>
                    </w:rPr>
                    <w:t>控制</w:t>
                  </w:r>
                </w:p>
                <w:p>
                  <w:pPr>
                    <w:pStyle w:val="null3"/>
                    <w:jc w:val="center"/>
                  </w:pPr>
                  <w:r>
                    <w:rPr>
                      <w:sz w:val="21"/>
                      <w:color w:val="000000"/>
                    </w:rPr>
                    <w:t>终端</w:t>
                  </w:r>
                </w:p>
              </w:tc>
              <w:tc>
                <w:tcPr>
                  <w:tcW w:type="dxa" w:w="4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1、为确保教室用电安全，要求设备可设置电压过压、欠压保护阈值、电流过流保护值、漏电保护值、过载保护值、过温保护值等，当超过或低于电压、电流、漏电保护、过载保护、过温保护阈值时，设备上报告警信息并执行相关保护动作；</w:t>
                  </w:r>
                </w:p>
                <w:p>
                  <w:pPr>
                    <w:pStyle w:val="null3"/>
                    <w:ind w:firstLine="420"/>
                    <w:jc w:val="left"/>
                  </w:pPr>
                  <w:r>
                    <w:rPr>
                      <w:sz w:val="21"/>
                      <w:color w:val="000000"/>
                    </w:rPr>
                    <w:t>2、在线监控电流、电压、功耗等指标自动监测过压、过流、缺相等指标并报警；</w:t>
                  </w:r>
                </w:p>
                <w:p>
                  <w:pPr>
                    <w:pStyle w:val="null3"/>
                    <w:ind w:firstLine="420"/>
                    <w:jc w:val="left"/>
                  </w:pPr>
                  <w:r>
                    <w:rPr>
                      <w:sz w:val="21"/>
                      <w:color w:val="000000"/>
                    </w:rPr>
                    <w:t>3、为方便设备部署，支持通过物联网关实现自动注册到平台，实现与平台有效对接，支持通过软件后台设置终端名称、物理接口类型、数据格式、传输速率，奇偶校验，实现通讯数据的透传；</w:t>
                  </w:r>
                </w:p>
                <w:p>
                  <w:pPr>
                    <w:pStyle w:val="null3"/>
                    <w:ind w:firstLine="420"/>
                    <w:jc w:val="left"/>
                  </w:pPr>
                  <w:r>
                    <w:rPr>
                      <w:sz w:val="21"/>
                      <w:color w:val="000000"/>
                    </w:rPr>
                    <w:t>4、额定短路分断能力：3KA以上，额定冲击耐受电压：3KV以上。</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六合一传感器</w:t>
                  </w:r>
                </w:p>
              </w:tc>
              <w:tc>
                <w:tcPr>
                  <w:tcW w:type="dxa" w:w="4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1、为实现实时检测室内环境状况，要求设备能采集室内温度、湿度、CO</w:t>
                  </w:r>
                  <w:r>
                    <w:rPr>
                      <w:sz w:val="21"/>
                      <w:color w:val="000000"/>
                      <w:vertAlign w:val="subscript"/>
                    </w:rPr>
                    <w:t>2</w:t>
                  </w:r>
                  <w:r>
                    <w:rPr>
                      <w:sz w:val="21"/>
                      <w:color w:val="000000"/>
                    </w:rPr>
                    <w:t>、甲醛、</w:t>
                  </w:r>
                  <w:r>
                    <w:rPr>
                      <w:sz w:val="21"/>
                      <w:color w:val="000000"/>
                    </w:rPr>
                    <w:t>PM2.5、TVOC空气粉尘颗粒度等状态，支持DC 12-24V 输入。</w:t>
                  </w:r>
                </w:p>
                <w:p>
                  <w:pPr>
                    <w:pStyle w:val="null3"/>
                    <w:ind w:firstLine="420"/>
                    <w:jc w:val="left"/>
                  </w:pPr>
                  <w:r>
                    <w:rPr>
                      <w:sz w:val="21"/>
                      <w:color w:val="000000"/>
                    </w:rPr>
                    <w:t>2、CO</w:t>
                  </w:r>
                  <w:r>
                    <w:rPr>
                      <w:sz w:val="21"/>
                      <w:color w:val="000000"/>
                      <w:vertAlign w:val="subscript"/>
                    </w:rPr>
                    <w:t>2</w:t>
                  </w:r>
                  <w:r>
                    <w:rPr>
                      <w:sz w:val="21"/>
                      <w:color w:val="000000"/>
                    </w:rPr>
                    <w:t>测量范围</w:t>
                  </w:r>
                  <w:r>
                    <w:rPr>
                      <w:sz w:val="21"/>
                      <w:color w:val="000000"/>
                    </w:rPr>
                    <w:t>≥400-5000ppm，PM2.5测量范围≥0-1000 ug/m</w:t>
                  </w:r>
                  <w:r>
                    <w:rPr>
                      <w:sz w:val="21"/>
                      <w:color w:val="000000"/>
                      <w:vertAlign w:val="superscript"/>
                    </w:rPr>
                    <w:t>3</w:t>
                  </w:r>
                  <w:r>
                    <w:rPr>
                      <w:sz w:val="21"/>
                      <w:color w:val="000000"/>
                    </w:rPr>
                    <w:t>，温度测量范围</w:t>
                  </w:r>
                  <w:r>
                    <w:rPr>
                      <w:sz w:val="21"/>
                      <w:color w:val="000000"/>
                    </w:rPr>
                    <w:t>≥0-60℃，湿度测量范围≥0～100%RH，TVOC测量范围≥0～1000ppb，甲醛测量范围≥0～400 ppb。</w:t>
                  </w:r>
                </w:p>
                <w:p>
                  <w:pPr>
                    <w:pStyle w:val="null3"/>
                    <w:ind w:firstLine="420"/>
                    <w:jc w:val="left"/>
                  </w:pPr>
                  <w:r>
                    <w:rPr>
                      <w:sz w:val="21"/>
                      <w:color w:val="000000"/>
                    </w:rPr>
                    <w:t>3、实时监控环境的温湿度情况，支持本地屏幕显示功能，支持与平台通信功能，可定时上报温湿度数值和电量状态；</w:t>
                  </w:r>
                </w:p>
                <w:p>
                  <w:pPr>
                    <w:pStyle w:val="null3"/>
                    <w:ind w:firstLine="420"/>
                    <w:jc w:val="left"/>
                  </w:pPr>
                  <w:r>
                    <w:rPr>
                      <w:sz w:val="21"/>
                      <w:color w:val="000000"/>
                    </w:rPr>
                    <w:t>4、输出接口：支持RS485, ZigBee等协议接口。</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2</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电子</w:t>
                  </w:r>
                </w:p>
                <w:p>
                  <w:pPr>
                    <w:pStyle w:val="null3"/>
                    <w:jc w:val="center"/>
                  </w:pPr>
                  <w:r>
                    <w:rPr>
                      <w:sz w:val="21"/>
                      <w:color w:val="000000"/>
                    </w:rPr>
                    <w:t>时钟</w:t>
                  </w:r>
                </w:p>
              </w:tc>
              <w:tc>
                <w:tcPr>
                  <w:tcW w:type="dxa" w:w="4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1、材质：一体铝框+ABS；</w:t>
                  </w:r>
                </w:p>
                <w:p>
                  <w:pPr>
                    <w:pStyle w:val="null3"/>
                    <w:ind w:firstLine="420"/>
                    <w:jc w:val="left"/>
                  </w:pPr>
                  <w:r>
                    <w:rPr>
                      <w:sz w:val="21"/>
                      <w:color w:val="000000"/>
                    </w:rPr>
                    <w:t>2、显示语言：世界语言，如英语，繁体中文，简体中文、韩文、日文，俄文等所有国家语言；</w:t>
                  </w:r>
                </w:p>
                <w:p>
                  <w:pPr>
                    <w:pStyle w:val="null3"/>
                    <w:ind w:firstLine="420"/>
                    <w:jc w:val="left"/>
                  </w:pPr>
                  <w:r>
                    <w:rPr>
                      <w:sz w:val="21"/>
                      <w:color w:val="000000"/>
                    </w:rPr>
                    <w:t>3、显示能力：不少于十条文本信息，至少可存储英文6000字符或中文3000字符。</w:t>
                  </w:r>
                </w:p>
                <w:p>
                  <w:pPr>
                    <w:pStyle w:val="null3"/>
                    <w:ind w:firstLine="420"/>
                    <w:jc w:val="left"/>
                  </w:pPr>
                  <w:r>
                    <w:rPr>
                      <w:sz w:val="21"/>
                      <w:color w:val="000000"/>
                    </w:rPr>
                    <w:t>4、不少于四种亮度调节：25%、50%、75%、100%；</w:t>
                  </w:r>
                </w:p>
                <w:p>
                  <w:pPr>
                    <w:pStyle w:val="null3"/>
                    <w:ind w:firstLine="420"/>
                    <w:jc w:val="left"/>
                  </w:pPr>
                  <w:r>
                    <w:rPr>
                      <w:sz w:val="21"/>
                      <w:color w:val="000000"/>
                    </w:rPr>
                    <w:t>5、可调节1～8条信息切换；</w:t>
                  </w:r>
                </w:p>
                <w:p>
                  <w:pPr>
                    <w:pStyle w:val="null3"/>
                    <w:ind w:firstLine="420"/>
                    <w:jc w:val="left"/>
                  </w:pPr>
                  <w:r>
                    <w:rPr>
                      <w:sz w:val="21"/>
                      <w:color w:val="000000"/>
                    </w:rPr>
                    <w:t>6、速度：不少于八种速度调节；</w:t>
                  </w:r>
                </w:p>
                <w:p>
                  <w:pPr>
                    <w:pStyle w:val="null3"/>
                    <w:ind w:firstLine="420"/>
                    <w:jc w:val="left"/>
                  </w:pPr>
                  <w:r>
                    <w:rPr>
                      <w:sz w:val="21"/>
                      <w:color w:val="000000"/>
                    </w:rPr>
                    <w:t>7、功能：多种模式或选，方便操作，标配USB口通讯；</w:t>
                  </w:r>
                </w:p>
                <w:p>
                  <w:pPr>
                    <w:pStyle w:val="null3"/>
                    <w:ind w:firstLine="420"/>
                    <w:jc w:val="left"/>
                  </w:pPr>
                  <w:r>
                    <w:rPr>
                      <w:sz w:val="21"/>
                      <w:color w:val="000000"/>
                    </w:rPr>
                    <w:t>8、输入电压：支持5V、12V或90～260A。</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3</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智慧</w:t>
                  </w:r>
                </w:p>
                <w:p>
                  <w:pPr>
                    <w:pStyle w:val="null3"/>
                    <w:jc w:val="center"/>
                  </w:pPr>
                  <w:r>
                    <w:rPr>
                      <w:sz w:val="21"/>
                      <w:color w:val="000000"/>
                    </w:rPr>
                    <w:t>班牌</w:t>
                  </w:r>
                </w:p>
                <w:p>
                  <w:pPr>
                    <w:pStyle w:val="null3"/>
                    <w:jc w:val="center"/>
                  </w:pPr>
                  <w:r>
                    <w:rPr>
                      <w:sz w:val="21"/>
                      <w:color w:val="000000"/>
                    </w:rPr>
                    <w:t>显示</w:t>
                  </w:r>
                </w:p>
                <w:p>
                  <w:pPr>
                    <w:pStyle w:val="null3"/>
                    <w:jc w:val="center"/>
                  </w:pPr>
                  <w:r>
                    <w:rPr>
                      <w:sz w:val="21"/>
                      <w:color w:val="000000"/>
                    </w:rPr>
                    <w:t>终端</w:t>
                  </w:r>
                </w:p>
              </w:tc>
              <w:tc>
                <w:tcPr>
                  <w:tcW w:type="dxa" w:w="4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sz w:val="21"/>
                      <w:color w:val="000000"/>
                    </w:rPr>
                    <w:t>1、壁挂安装，液晶尺寸</w:t>
                  </w:r>
                  <w:r>
                    <w:rPr>
                      <w:sz w:val="21"/>
                      <w:color w:val="000000"/>
                    </w:rPr>
                    <w:t>≥</w:t>
                  </w:r>
                  <w:r>
                    <w:rPr>
                      <w:sz w:val="21"/>
                      <w:color w:val="000000"/>
                    </w:rPr>
                    <w:t>21.5寸，竖屏；</w:t>
                  </w:r>
                </w:p>
                <w:p>
                  <w:pPr>
                    <w:pStyle w:val="null3"/>
                    <w:ind w:left="420"/>
                    <w:jc w:val="left"/>
                  </w:pPr>
                  <w:r>
                    <w:rPr>
                      <w:sz w:val="21"/>
                      <w:color w:val="000000"/>
                    </w:rPr>
                    <w:t>2、屏显比例16：9；</w:t>
                  </w:r>
                </w:p>
                <w:p>
                  <w:pPr>
                    <w:pStyle w:val="null3"/>
                    <w:ind w:left="420"/>
                    <w:jc w:val="left"/>
                  </w:pPr>
                  <w:r>
                    <w:rPr>
                      <w:sz w:val="21"/>
                      <w:color w:val="000000"/>
                    </w:rPr>
                    <w:t>3、分辨率</w:t>
                  </w:r>
                  <w:r>
                    <w:rPr>
                      <w:sz w:val="21"/>
                      <w:color w:val="000000"/>
                    </w:rPr>
                    <w:t>≥</w:t>
                  </w:r>
                  <w:r>
                    <w:rPr>
                      <w:sz w:val="21"/>
                      <w:color w:val="000000"/>
                    </w:rPr>
                    <w:t>1920*1080，背光类型LED；</w:t>
                  </w:r>
                </w:p>
                <w:p>
                  <w:pPr>
                    <w:pStyle w:val="null3"/>
                    <w:ind w:left="420"/>
                    <w:jc w:val="left"/>
                  </w:pPr>
                  <w:r>
                    <w:rPr>
                      <w:sz w:val="21"/>
                      <w:color w:val="000000"/>
                    </w:rPr>
                    <w:t>4、CPU：</w:t>
                  </w:r>
                  <w:r>
                    <w:rPr>
                      <w:sz w:val="21"/>
                      <w:color w:val="000000"/>
                    </w:rPr>
                    <w:t>≥</w:t>
                  </w:r>
                  <w:r>
                    <w:rPr>
                      <w:sz w:val="21"/>
                      <w:color w:val="000000"/>
                    </w:rPr>
                    <w:t>四核心</w:t>
                  </w:r>
                  <w:r>
                    <w:rPr>
                      <w:sz w:val="21"/>
                      <w:color w:val="000000"/>
                    </w:rPr>
                    <w:t>1.6Ghz ；</w:t>
                  </w:r>
                </w:p>
                <w:p>
                  <w:pPr>
                    <w:pStyle w:val="null3"/>
                    <w:ind w:left="420"/>
                    <w:jc w:val="left"/>
                  </w:pPr>
                  <w:r>
                    <w:rPr>
                      <w:sz w:val="21"/>
                      <w:color w:val="000000"/>
                    </w:rPr>
                    <w:t>5、运行内存：</w:t>
                  </w:r>
                  <w:r>
                    <w:rPr>
                      <w:sz w:val="21"/>
                      <w:color w:val="000000"/>
                    </w:rPr>
                    <w:t>≥</w:t>
                  </w:r>
                  <w:r>
                    <w:rPr>
                      <w:sz w:val="21"/>
                      <w:color w:val="000000"/>
                    </w:rPr>
                    <w:t>2G；物理内存：</w:t>
                  </w:r>
                  <w:r>
                    <w:rPr>
                      <w:sz w:val="21"/>
                      <w:color w:val="000000"/>
                    </w:rPr>
                    <w:t>≥</w:t>
                  </w:r>
                  <w:r>
                    <w:rPr>
                      <w:sz w:val="21"/>
                      <w:color w:val="000000"/>
                    </w:rPr>
                    <w:t>8G EMMC。</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4</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机柜</w:t>
                  </w:r>
                </w:p>
              </w:tc>
              <w:tc>
                <w:tcPr>
                  <w:tcW w:type="dxa" w:w="4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firstLine="210"/>
                    <w:jc w:val="left"/>
                  </w:pPr>
                  <w:r>
                    <w:rPr>
                      <w:sz w:val="21"/>
                      <w:color w:val="000000"/>
                    </w:rPr>
                    <w:t>1、产品规格：</w:t>
                  </w:r>
                  <w:r>
                    <w:rPr>
                      <w:sz w:val="21"/>
                      <w:color w:val="000000"/>
                    </w:rPr>
                    <w:t>≥</w:t>
                  </w:r>
                  <w:r>
                    <w:rPr>
                      <w:sz w:val="21"/>
                      <w:color w:val="000000"/>
                    </w:rPr>
                    <w:t>600宽*600深*1200高（单位MM）。</w:t>
                  </w:r>
                </w:p>
                <w:p>
                  <w:pPr>
                    <w:pStyle w:val="null3"/>
                    <w:ind w:firstLine="420"/>
                    <w:jc w:val="left"/>
                  </w:pPr>
                  <w:r>
                    <w:rPr>
                      <w:sz w:val="21"/>
                      <w:color w:val="000000"/>
                    </w:rPr>
                    <w:t>2、产品材质/厚度说明：冷轧钢板1.2～2.0mm（内部受力柱</w:t>
                  </w:r>
                  <w:r>
                    <w:rPr>
                      <w:sz w:val="21"/>
                      <w:color w:val="000000"/>
                    </w:rPr>
                    <w:t>≥</w:t>
                  </w:r>
                  <w:r>
                    <w:rPr>
                      <w:sz w:val="21"/>
                      <w:color w:val="000000"/>
                    </w:rPr>
                    <w:t>2.0mm，其余部分均</w:t>
                  </w:r>
                  <w:r>
                    <w:rPr>
                      <w:sz w:val="21"/>
                      <w:color w:val="000000"/>
                    </w:rPr>
                    <w:t>≥</w:t>
                  </w:r>
                  <w:r>
                    <w:rPr>
                      <w:sz w:val="21"/>
                      <w:color w:val="000000"/>
                    </w:rPr>
                    <w:t>1.2mm）。</w:t>
                  </w:r>
                </w:p>
                <w:p>
                  <w:pPr>
                    <w:pStyle w:val="null3"/>
                    <w:ind w:firstLine="420"/>
                    <w:jc w:val="left"/>
                  </w:pPr>
                  <w:r>
                    <w:rPr>
                      <w:sz w:val="21"/>
                      <w:color w:val="000000"/>
                    </w:rPr>
                    <w:t>3、产品配置：前门钢化玻璃门带网栅配豪华弹锁，后门网孔门配小锁，左右铁门预留锁孔。配</w:t>
                  </w:r>
                  <w:r>
                    <w:rPr>
                      <w:sz w:val="21"/>
                      <w:color w:val="000000"/>
                    </w:rPr>
                    <w:t>≥</w:t>
                  </w:r>
                  <w:r>
                    <w:rPr>
                      <w:sz w:val="21"/>
                      <w:color w:val="000000"/>
                    </w:rPr>
                    <w:t>1个10A六位PDU排插，</w:t>
                  </w:r>
                  <w:r>
                    <w:rPr>
                      <w:sz w:val="21"/>
                      <w:color w:val="000000"/>
                    </w:rPr>
                    <w:t>≥</w:t>
                  </w:r>
                  <w:r>
                    <w:rPr>
                      <w:sz w:val="21"/>
                      <w:color w:val="000000"/>
                    </w:rPr>
                    <w:t>2个风扇，</w:t>
                  </w:r>
                  <w:r>
                    <w:rPr>
                      <w:sz w:val="21"/>
                      <w:color w:val="000000"/>
                    </w:rPr>
                    <w:t>≥</w:t>
                  </w:r>
                  <w:r>
                    <w:rPr>
                      <w:sz w:val="21"/>
                      <w:color w:val="000000"/>
                    </w:rPr>
                    <w:t>1件固定层板，</w:t>
                  </w:r>
                  <w:r>
                    <w:rPr>
                      <w:sz w:val="21"/>
                      <w:color w:val="000000"/>
                    </w:rPr>
                    <w:t>≥</w:t>
                  </w:r>
                  <w:r>
                    <w:rPr>
                      <w:sz w:val="21"/>
                      <w:color w:val="000000"/>
                    </w:rPr>
                    <w:t>4个支撑脚，</w:t>
                  </w:r>
                  <w:r>
                    <w:rPr>
                      <w:sz w:val="21"/>
                      <w:color w:val="000000"/>
                    </w:rPr>
                    <w:t>≥</w:t>
                  </w:r>
                  <w:r>
                    <w:rPr>
                      <w:sz w:val="21"/>
                      <w:color w:val="000000"/>
                    </w:rPr>
                    <w:t>50套卡式螺母。</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5</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配线架</w:t>
                  </w:r>
                </w:p>
              </w:tc>
              <w:tc>
                <w:tcPr>
                  <w:tcW w:type="dxa" w:w="4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w:t>
                  </w:r>
                  <w:r>
                    <w:rPr>
                      <w:sz w:val="21"/>
                      <w:color w:val="000000"/>
                    </w:rPr>
                    <w:t>24口非屏蔽配线架（含模块）</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6</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理线架</w:t>
                  </w:r>
                </w:p>
              </w:tc>
              <w:tc>
                <w:tcPr>
                  <w:tcW w:type="dxa" w:w="4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w:t>
                  </w:r>
                  <w:r>
                    <w:rPr>
                      <w:sz w:val="21"/>
                      <w:color w:val="000000"/>
                    </w:rPr>
                    <w:t>1U理线架</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7</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主电箱</w:t>
                  </w:r>
                </w:p>
              </w:tc>
              <w:tc>
                <w:tcPr>
                  <w:tcW w:type="dxa" w:w="4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电箱，含空开（</w:t>
                  </w:r>
                  <w:r>
                    <w:rPr>
                      <w:sz w:val="21"/>
                      <w:color w:val="000000"/>
                    </w:rPr>
                    <w:t>≥</w:t>
                  </w:r>
                  <w:r>
                    <w:rPr>
                      <w:sz w:val="21"/>
                      <w:color w:val="000000"/>
                    </w:rPr>
                    <w:t>3P/63空气开关，</w:t>
                  </w:r>
                  <w:r>
                    <w:rPr>
                      <w:sz w:val="21"/>
                      <w:color w:val="000000"/>
                    </w:rPr>
                    <w:t>≥</w:t>
                  </w:r>
                  <w:r>
                    <w:rPr>
                      <w:sz w:val="21"/>
                      <w:color w:val="000000"/>
                    </w:rPr>
                    <w:t>3P/63A*2，</w:t>
                  </w:r>
                  <w:r>
                    <w:rPr>
                      <w:sz w:val="21"/>
                      <w:color w:val="000000"/>
                    </w:rPr>
                    <w:t>≥</w:t>
                  </w:r>
                  <w:r>
                    <w:rPr>
                      <w:sz w:val="21"/>
                      <w:color w:val="000000"/>
                    </w:rPr>
                    <w:t>2p/16a*4）</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8</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配线</w:t>
                  </w:r>
                </w:p>
              </w:tc>
              <w:tc>
                <w:tcPr>
                  <w:tcW w:type="dxa" w:w="4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电线</w:t>
                  </w:r>
                  <w:r>
                    <w:rPr>
                      <w:sz w:val="21"/>
                      <w:color w:val="000000"/>
                    </w:rPr>
                    <w:t>BVR国标纯铜芯</w:t>
                  </w:r>
                  <w:r>
                    <w:rPr>
                      <w:sz w:val="21"/>
                      <w:color w:val="000000"/>
                    </w:rPr>
                    <w:t>≥</w:t>
                  </w:r>
                  <w:r>
                    <w:rPr>
                      <w:sz w:val="21"/>
                      <w:color w:val="000000"/>
                    </w:rPr>
                    <w:t>2.5平方</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700</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9</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配线</w:t>
                  </w:r>
                </w:p>
              </w:tc>
              <w:tc>
                <w:tcPr>
                  <w:tcW w:type="dxa" w:w="4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电线</w:t>
                  </w:r>
                  <w:r>
                    <w:rPr>
                      <w:sz w:val="21"/>
                      <w:color w:val="000000"/>
                    </w:rPr>
                    <w:t>BVR国标纯铜芯</w:t>
                  </w:r>
                  <w:r>
                    <w:rPr>
                      <w:sz w:val="21"/>
                      <w:color w:val="000000"/>
                    </w:rPr>
                    <w:t>≥</w:t>
                  </w:r>
                  <w:r>
                    <w:rPr>
                      <w:sz w:val="21"/>
                      <w:color w:val="000000"/>
                    </w:rPr>
                    <w:t>4平方</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250</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安装调试服务</w:t>
                  </w:r>
                </w:p>
              </w:tc>
              <w:tc>
                <w:tcPr>
                  <w:tcW w:type="dxa" w:w="4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含强弱电布线、底盒、音频线、高清线、分屏器，含设备安装布线，设备调试、验收系统测试等。</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r>
          </w:tbl>
          <w:p/>
        </w:tc>
      </w:tr>
      <w:tr>
        <w:tc>
          <w:tcPr>
            <w:tcW w:type="dxa" w:w="2076"/>
          </w:tcPr>
          <w:p/>
        </w:tc>
        <w:tc>
          <w:tcPr>
            <w:tcW w:type="dxa" w:w="415"/>
          </w:tcPr>
          <w:p>
            <w:pPr>
              <w:pStyle w:val="null3"/>
            </w:pPr>
            <w:r>
              <w:rPr/>
              <w:t>3</w:t>
            </w:r>
          </w:p>
        </w:tc>
        <w:tc>
          <w:tcPr>
            <w:tcW w:type="dxa" w:w="5814"/>
          </w:tcPr>
          <w:p>
            <w:pPr>
              <w:pStyle w:val="null3"/>
              <w:jc w:val="left"/>
            </w:pPr>
            <w:r>
              <w:rPr>
                <w:sz w:val="21"/>
                <w:b/>
                <w:color w:val="000000"/>
              </w:rPr>
              <w:t>（三）扩声系统</w:t>
            </w:r>
          </w:p>
          <w:tbl>
            <w:tblPr>
              <w:tblInd w:type="dxa" w:w="120"/>
              <w:tblBorders>
                <w:top w:val="none" w:color="000000" w:sz="4"/>
                <w:left w:val="none" w:color="000000" w:sz="4"/>
                <w:bottom w:val="none" w:color="000000" w:sz="4"/>
                <w:right w:val="none" w:color="000000" w:sz="4"/>
                <w:insideH w:val="none"/>
                <w:insideV w:val="none"/>
              </w:tblBorders>
            </w:tblPr>
            <w:tblGrid>
              <w:gridCol w:w="315"/>
              <w:gridCol w:w="580"/>
              <w:gridCol w:w="4131"/>
              <w:gridCol w:w="285"/>
              <w:gridCol w:w="285"/>
            </w:tblGrid>
            <w:tr>
              <w:tc>
                <w:tcPr>
                  <w:tcW w:type="dxa" w:w="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5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41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技术指标</w:t>
                  </w:r>
                </w:p>
              </w:tc>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数字红外无线系统主机</w:t>
                  </w:r>
                </w:p>
              </w:tc>
              <w:tc>
                <w:tcPr>
                  <w:tcW w:type="dxa" w:w="4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1、红外传输副载波符合DQPSK数字调制/解调技术</w:t>
                  </w:r>
                </w:p>
                <w:p>
                  <w:pPr>
                    <w:pStyle w:val="null3"/>
                    <w:ind w:firstLine="420"/>
                    <w:jc w:val="left"/>
                  </w:pPr>
                  <w:r>
                    <w:rPr>
                      <w:sz w:val="21"/>
                      <w:color w:val="000000"/>
                    </w:rPr>
                    <w:t>2、具备自适应啸叫抑制AFC功能开关；</w:t>
                  </w:r>
                </w:p>
                <w:p>
                  <w:pPr>
                    <w:pStyle w:val="null3"/>
                    <w:ind w:firstLine="420"/>
                    <w:jc w:val="left"/>
                  </w:pPr>
                  <w:r>
                    <w:rPr>
                      <w:sz w:val="21"/>
                    </w:rPr>
                    <w:t>▲3、内置DSP音频处理器，支持网页控制与管理：可调节麦克风的5端参量均衡，31段图示均衡，同时支持场景保存。</w:t>
                  </w:r>
                  <w:r>
                    <w:rPr>
                      <w:sz w:val="21"/>
                      <w:b/>
                    </w:rPr>
                    <w:t>（提供</w:t>
                  </w:r>
                  <w:r>
                    <w:rPr>
                      <w:sz w:val="21"/>
                      <w:b/>
                    </w:rPr>
                    <w:t>DSP软件功能设置界面截图）。</w:t>
                  </w:r>
                </w:p>
                <w:p>
                  <w:pPr>
                    <w:pStyle w:val="null3"/>
                    <w:ind w:firstLine="420"/>
                    <w:jc w:val="left"/>
                  </w:pPr>
                  <w:r>
                    <w:rPr>
                      <w:sz w:val="21"/>
                    </w:rPr>
                    <w:t>4、具有不少于2路RJ45网口作为红外信号接口，最多可以拓展6个接收器；</w:t>
                  </w:r>
                </w:p>
                <w:p>
                  <w:pPr>
                    <w:pStyle w:val="null3"/>
                    <w:ind w:firstLine="420"/>
                    <w:jc w:val="left"/>
                  </w:pPr>
                  <w:r>
                    <w:rPr>
                      <w:sz w:val="21"/>
                    </w:rPr>
                    <w:t>5、可配至少2支红外麦克风同时使用；</w:t>
                  </w:r>
                </w:p>
                <w:p>
                  <w:pPr>
                    <w:pStyle w:val="null3"/>
                    <w:ind w:firstLine="420"/>
                    <w:jc w:val="left"/>
                  </w:pPr>
                  <w:r>
                    <w:rPr>
                      <w:sz w:val="21"/>
                    </w:rPr>
                    <w:t>6、内置功放，具有至少4个扬声器接口，功放输出功率：≥200 W×2+60 W×2；</w:t>
                  </w:r>
                </w:p>
                <w:p>
                  <w:pPr>
                    <w:pStyle w:val="null3"/>
                    <w:ind w:firstLine="420"/>
                    <w:jc w:val="left"/>
                  </w:pPr>
                  <w:r>
                    <w:rPr>
                      <w:sz w:val="21"/>
                    </w:rPr>
                    <w:t>7、通过USB线连接到电脑，可配合红外无线麦克风实现PPT翻页功能；</w:t>
                  </w:r>
                </w:p>
                <w:p>
                  <w:pPr>
                    <w:pStyle w:val="null3"/>
                    <w:ind w:firstLine="420"/>
                    <w:jc w:val="left"/>
                  </w:pPr>
                  <w:r>
                    <w:rPr>
                      <w:sz w:val="21"/>
                    </w:rPr>
                    <w:t>▲8、具有音频传输USB接口，可连接充电座有线麦克风并设置有线无线智能切换发言状态</w:t>
                  </w:r>
                  <w:r>
                    <w:rPr>
                      <w:sz w:val="21"/>
                      <w:b/>
                    </w:rPr>
                    <w:t>（提供功能设置界面图）；</w:t>
                  </w:r>
                </w:p>
                <w:p>
                  <w:pPr>
                    <w:pStyle w:val="null3"/>
                    <w:ind w:firstLine="420"/>
                    <w:jc w:val="left"/>
                  </w:pPr>
                  <w:r>
                    <w:rPr>
                      <w:sz w:val="21"/>
                    </w:rPr>
                    <w:t>9、频率响应：60 Hz～20k Hz；</w:t>
                  </w:r>
                </w:p>
                <w:p>
                  <w:pPr>
                    <w:pStyle w:val="null3"/>
                    <w:ind w:firstLine="420"/>
                    <w:jc w:val="left"/>
                  </w:pPr>
                  <w:r>
                    <w:rPr>
                      <w:sz w:val="21"/>
                    </w:rPr>
                    <w:t>（注：若参数要求范围：优于</w:t>
                  </w:r>
                  <w:r>
                    <w:rPr>
                      <w:sz w:val="21"/>
                    </w:rPr>
                    <w:t>60 Hz～20k Hz。其中优于指超出60 Hz～20k Hz（低于60 Hz的、高于20k Hz的视为正偏离）的频带更宽，为正偏离）；</w:t>
                  </w:r>
                </w:p>
                <w:p>
                  <w:pPr>
                    <w:pStyle w:val="null3"/>
                    <w:ind w:firstLine="420"/>
                    <w:jc w:val="left"/>
                  </w:pPr>
                  <w:r>
                    <w:rPr>
                      <w:sz w:val="21"/>
                    </w:rPr>
                    <w:t>10、信噪比：≥ 90 dBA；</w:t>
                  </w:r>
                </w:p>
                <w:p>
                  <w:pPr>
                    <w:pStyle w:val="null3"/>
                    <w:ind w:firstLine="420"/>
                    <w:jc w:val="left"/>
                  </w:pPr>
                  <w:r>
                    <w:rPr>
                      <w:sz w:val="21"/>
                    </w:rPr>
                    <w:t>11、总谐波失真：≤0.05%。</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2</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数字红外接收器</w:t>
                  </w:r>
                </w:p>
              </w:tc>
              <w:tc>
                <w:tcPr>
                  <w:tcW w:type="dxa" w:w="4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1、数字红外音频传输及控制技术；</w:t>
                  </w:r>
                </w:p>
                <w:p>
                  <w:pPr>
                    <w:pStyle w:val="null3"/>
                    <w:ind w:firstLine="420"/>
                    <w:jc w:val="left"/>
                  </w:pPr>
                  <w:r>
                    <w:rPr>
                      <w:sz w:val="21"/>
                      <w:color w:val="000000"/>
                    </w:rPr>
                    <w:t>2、接收范围：直视距离≥25米；覆盖面积80～100平米；</w:t>
                  </w:r>
                </w:p>
                <w:p>
                  <w:pPr>
                    <w:pStyle w:val="null3"/>
                    <w:ind w:firstLine="420"/>
                    <w:jc w:val="left"/>
                  </w:pPr>
                  <w:r>
                    <w:rPr>
                      <w:sz w:val="21"/>
                      <w:color w:val="000000"/>
                    </w:rPr>
                    <w:t>3、红外线波长≥870mm；</w:t>
                  </w:r>
                </w:p>
                <w:p>
                  <w:pPr>
                    <w:pStyle w:val="null3"/>
                    <w:ind w:firstLine="420"/>
                    <w:jc w:val="left"/>
                  </w:pPr>
                  <w:r>
                    <w:rPr>
                      <w:sz w:val="21"/>
                      <w:color w:val="000000"/>
                    </w:rPr>
                    <w:t>4、带频点选择拨扭，接收器具有两组频点选择，可与主机搭配调谐，稳固信号传输</w:t>
                  </w:r>
                  <w:r>
                    <w:rPr>
                      <w:sz w:val="21"/>
                    </w:rPr>
                    <w:t>。</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3</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一进四出网口分路器</w:t>
                  </w:r>
                </w:p>
              </w:tc>
              <w:tc>
                <w:tcPr>
                  <w:tcW w:type="dxa" w:w="4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1、用于扩展连接红外信号接收器；</w:t>
                  </w:r>
                </w:p>
                <w:p>
                  <w:pPr>
                    <w:pStyle w:val="null3"/>
                    <w:ind w:firstLine="420"/>
                    <w:jc w:val="left"/>
                  </w:pPr>
                  <w:r>
                    <w:rPr>
                      <w:sz w:val="21"/>
                      <w:color w:val="000000"/>
                    </w:rPr>
                    <w:t>2、支持扩展不少于4个红外信号接收器。</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4</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数字红外无线麦克风</w:t>
                  </w:r>
                </w:p>
              </w:tc>
              <w:tc>
                <w:tcPr>
                  <w:tcW w:type="dxa" w:w="4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1、采用数字红外音频传输及控制技术，不受高频驱动光源干扰，可正常工作于阳光下的环境；</w:t>
                  </w:r>
                </w:p>
                <w:p>
                  <w:pPr>
                    <w:pStyle w:val="null3"/>
                    <w:ind w:firstLine="420"/>
                    <w:jc w:val="left"/>
                  </w:pPr>
                  <w:r>
                    <w:rPr>
                      <w:sz w:val="21"/>
                    </w:rPr>
                    <w:t>2、扩展性能强，具有3.5mm接口支持外部音频输入，与其它音频设备（如手机、领夹麦等）灵活组合；</w:t>
                  </w:r>
                </w:p>
                <w:p>
                  <w:pPr>
                    <w:pStyle w:val="null3"/>
                    <w:ind w:firstLine="420"/>
                    <w:jc w:val="left"/>
                  </w:pPr>
                  <w:r>
                    <w:rPr>
                      <w:sz w:val="21"/>
                    </w:rPr>
                    <w:t>3、内置PPT翻页功能与激光指示功能，与无线麦克风一体化设计</w:t>
                  </w:r>
                  <w:r>
                    <w:rPr>
                      <w:sz w:val="21"/>
                      <w:b/>
                    </w:rPr>
                    <w:t>；</w:t>
                  </w:r>
                </w:p>
                <w:p>
                  <w:pPr>
                    <w:pStyle w:val="null3"/>
                    <w:ind w:firstLine="420"/>
                    <w:jc w:val="left"/>
                  </w:pPr>
                  <w:r>
                    <w:rPr>
                      <w:sz w:val="21"/>
                    </w:rPr>
                    <w:t>▲4、红外麦克风内置电子锁锁孔，可搭配电子锁底座进行话筒安全管理</w:t>
                  </w:r>
                  <w:r>
                    <w:rPr>
                      <w:sz w:val="21"/>
                      <w:b/>
                    </w:rPr>
                    <w:t>（提供产品实物照片或官网截图或产品说明彩页）；</w:t>
                  </w:r>
                </w:p>
                <w:p>
                  <w:pPr>
                    <w:pStyle w:val="null3"/>
                    <w:ind w:firstLine="420"/>
                    <w:jc w:val="left"/>
                  </w:pPr>
                  <w:r>
                    <w:rPr>
                      <w:sz w:val="21"/>
                    </w:rPr>
                    <w:t>5、红外波长：≥870 nm；</w:t>
                  </w:r>
                </w:p>
                <w:p>
                  <w:pPr>
                    <w:pStyle w:val="null3"/>
                    <w:ind w:firstLine="420"/>
                    <w:jc w:val="left"/>
                  </w:pPr>
                  <w:r>
                    <w:rPr>
                      <w:sz w:val="21"/>
                    </w:rPr>
                    <w:t>6、麦克风类型：驻极体心形指向性；</w:t>
                  </w:r>
                </w:p>
                <w:p>
                  <w:pPr>
                    <w:pStyle w:val="null3"/>
                    <w:ind w:firstLine="420"/>
                    <w:jc w:val="left"/>
                  </w:pPr>
                  <w:r>
                    <w:rPr>
                      <w:sz w:val="21"/>
                    </w:rPr>
                    <w:t>7、内置可充电锂电池，不可拆卸，预防被盗，持续发言时间不小于7小时，支持micro USB充电或充电座充电。</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5</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有线麦克风</w:t>
                  </w:r>
                </w:p>
              </w:tc>
              <w:tc>
                <w:tcPr>
                  <w:tcW w:type="dxa" w:w="4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1、可拆卸麦克风，麦克风长度可选，内置防脱落防风罩；</w:t>
                  </w:r>
                </w:p>
                <w:p>
                  <w:pPr>
                    <w:pStyle w:val="null3"/>
                    <w:ind w:firstLine="420"/>
                    <w:jc w:val="left"/>
                  </w:pPr>
                  <w:r>
                    <w:rPr>
                      <w:sz w:val="21"/>
                    </w:rPr>
                    <w:t>2、至少带1根音频线（USB接口）用于连接主机传输音频；</w:t>
                  </w:r>
                </w:p>
                <w:p>
                  <w:pPr>
                    <w:pStyle w:val="null3"/>
                    <w:ind w:firstLine="420"/>
                    <w:jc w:val="left"/>
                  </w:pPr>
                  <w:r>
                    <w:rPr>
                      <w:sz w:val="21"/>
                    </w:rPr>
                    <w:t>▲3、一体化设计，内置红外无线麦克风双充电位，可同时对2支红外无线麦克风进行充电</w:t>
                  </w:r>
                  <w:r>
                    <w:rPr>
                      <w:sz w:val="21"/>
                      <w:b/>
                    </w:rPr>
                    <w:t>（提供实物照片或官网截图或产品说明彩页）；</w:t>
                  </w:r>
                </w:p>
                <w:p>
                  <w:pPr>
                    <w:pStyle w:val="null3"/>
                    <w:ind w:firstLine="420"/>
                    <w:jc w:val="left"/>
                  </w:pPr>
                  <w:r>
                    <w:rPr>
                      <w:sz w:val="21"/>
                      <w:color w:val="000000"/>
                    </w:rPr>
                    <w:t>4、可通过系统主机或软件设置红外无线麦克风与鹅颈麦克风智能无缝切换发言；</w:t>
                  </w:r>
                </w:p>
                <w:p>
                  <w:pPr>
                    <w:pStyle w:val="null3"/>
                    <w:ind w:firstLine="420"/>
                    <w:jc w:val="left"/>
                  </w:pPr>
                  <w:r>
                    <w:rPr>
                      <w:sz w:val="21"/>
                      <w:color w:val="000000"/>
                    </w:rPr>
                    <w:t>5、采用双软管设计，可适应不同使用者的高度与角度需求；</w:t>
                  </w:r>
                </w:p>
                <w:p>
                  <w:pPr>
                    <w:pStyle w:val="null3"/>
                    <w:ind w:firstLine="420"/>
                    <w:jc w:val="left"/>
                  </w:pPr>
                  <w:r>
                    <w:rPr>
                      <w:sz w:val="21"/>
                      <w:color w:val="000000"/>
                    </w:rPr>
                    <w:t>6、双充电位均采用三触点式充电（不接受环形单点式），无线麦正反面放置均可正常充电。</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6</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线阵列音柱</w:t>
                  </w:r>
                </w:p>
              </w:tc>
              <w:tc>
                <w:tcPr>
                  <w:tcW w:type="dxa" w:w="4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1、内置不少于4个3英寸全频扬声器单元；</w:t>
                  </w:r>
                </w:p>
                <w:p>
                  <w:pPr>
                    <w:pStyle w:val="null3"/>
                    <w:ind w:firstLine="420"/>
                    <w:jc w:val="left"/>
                  </w:pPr>
                  <w:r>
                    <w:rPr>
                      <w:sz w:val="21"/>
                      <w:color w:val="000000"/>
                    </w:rPr>
                    <w:t>2、覆盖角度：水平方向不小于150°，垂直方向不小于30°；</w:t>
                  </w:r>
                </w:p>
                <w:p>
                  <w:pPr>
                    <w:pStyle w:val="null3"/>
                    <w:ind w:firstLine="420"/>
                    <w:jc w:val="left"/>
                  </w:pPr>
                  <w:r>
                    <w:rPr>
                      <w:sz w:val="21"/>
                      <w:color w:val="000000"/>
                    </w:rPr>
                    <w:t>3、专业级线阵列音柱，声场覆盖均匀，传声增益更高而不易啸叫，解决有建声缺陷环境的扩声需求；</w:t>
                  </w:r>
                </w:p>
                <w:p>
                  <w:pPr>
                    <w:pStyle w:val="null3"/>
                    <w:ind w:firstLine="420"/>
                    <w:jc w:val="left"/>
                  </w:pPr>
                  <w:r>
                    <w:rPr>
                      <w:sz w:val="21"/>
                      <w:color w:val="000000"/>
                    </w:rPr>
                    <w:t>4、</w:t>
                  </w:r>
                  <w:r>
                    <w:rPr>
                      <w:sz w:val="21"/>
                    </w:rPr>
                    <w:t>箱体表面按国家标准</w:t>
                  </w:r>
                  <w:r>
                    <w:rPr>
                      <w:sz w:val="21"/>
                    </w:rPr>
                    <w:t>GB/T4208 IP-55设计，经过防尘防水防喷溅处理；</w:t>
                  </w:r>
                </w:p>
                <w:p>
                  <w:pPr>
                    <w:pStyle w:val="null3"/>
                    <w:ind w:firstLine="420"/>
                    <w:jc w:val="left"/>
                  </w:pPr>
                  <w:r>
                    <w:rPr>
                      <w:sz w:val="21"/>
                      <w:color w:val="000000"/>
                    </w:rPr>
                    <w:t>5、外壳为添加最大抗紫外线添加物的玻璃纤维ABS塑料；</w:t>
                  </w:r>
                </w:p>
                <w:p>
                  <w:pPr>
                    <w:pStyle w:val="null3"/>
                    <w:ind w:firstLine="420"/>
                    <w:jc w:val="left"/>
                  </w:pPr>
                  <w:r>
                    <w:rPr>
                      <w:sz w:val="21"/>
                      <w:color w:val="000000"/>
                    </w:rPr>
                    <w:t>6、频率响应范围：优于75 Hz ～ 20k Hz（-10 dB）；</w:t>
                  </w:r>
                </w:p>
                <w:p>
                  <w:pPr>
                    <w:pStyle w:val="null3"/>
                    <w:ind w:firstLine="420"/>
                    <w:jc w:val="left"/>
                  </w:pPr>
                  <w:r>
                    <w:rPr>
                      <w:sz w:val="21"/>
                      <w:color w:val="000000"/>
                    </w:rPr>
                    <w:t>（注：若参数要求范围：优于</w:t>
                  </w:r>
                  <w:r>
                    <w:rPr>
                      <w:sz w:val="21"/>
                      <w:color w:val="000000"/>
                    </w:rPr>
                    <w:t>75 Hz～20k Hz。其中优于指超出75 Hz～20k Hz（低于75 Hz的、高于20k Hz的视为正偏离）的频带更宽，为正偏离）；</w:t>
                  </w:r>
                </w:p>
                <w:p>
                  <w:pPr>
                    <w:pStyle w:val="null3"/>
                    <w:ind w:firstLine="420"/>
                    <w:jc w:val="left"/>
                  </w:pPr>
                  <w:r>
                    <w:rPr>
                      <w:sz w:val="21"/>
                      <w:color w:val="000000"/>
                    </w:rPr>
                    <w:t>7、灵敏度：≥ 90 dB（2.45 V@1 m）；</w:t>
                  </w:r>
                </w:p>
                <w:p>
                  <w:pPr>
                    <w:pStyle w:val="null3"/>
                    <w:ind w:firstLine="420"/>
                    <w:jc w:val="left"/>
                  </w:pPr>
                  <w:r>
                    <w:rPr>
                      <w:sz w:val="21"/>
                      <w:color w:val="000000"/>
                    </w:rPr>
                    <w:t>8、功率：≥ 60 W（6 Ω）；</w:t>
                  </w:r>
                </w:p>
                <w:p>
                  <w:pPr>
                    <w:pStyle w:val="null3"/>
                    <w:ind w:firstLine="420"/>
                    <w:jc w:val="left"/>
                  </w:pPr>
                  <w:r>
                    <w:rPr>
                      <w:sz w:val="21"/>
                      <w:color w:val="000000"/>
                    </w:rPr>
                    <w:t>9、最大声压级：≥ 107 dB。</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r>
          </w:tbl>
          <w:p/>
        </w:tc>
      </w:tr>
      <w:tr>
        <w:tc>
          <w:tcPr>
            <w:tcW w:type="dxa" w:w="2076"/>
          </w:tcPr>
          <w:p/>
        </w:tc>
        <w:tc>
          <w:tcPr>
            <w:tcW w:type="dxa" w:w="415"/>
          </w:tcPr>
          <w:p>
            <w:pPr>
              <w:pStyle w:val="null3"/>
            </w:pPr>
            <w:r>
              <w:rPr/>
              <w:t>4</w:t>
            </w:r>
          </w:p>
        </w:tc>
        <w:tc>
          <w:tcPr>
            <w:tcW w:type="dxa" w:w="5814"/>
          </w:tcPr>
          <w:p>
            <w:pPr>
              <w:pStyle w:val="null3"/>
              <w:jc w:val="left"/>
            </w:pPr>
            <w:r>
              <w:rPr>
                <w:sz w:val="20"/>
                <w:b/>
                <w:color w:val="000000"/>
              </w:rPr>
              <w:t>（四）教学管理软件</w:t>
            </w:r>
          </w:p>
          <w:tbl>
            <w:tblPr>
              <w:tblInd w:type="dxa" w:w="120"/>
              <w:tblBorders>
                <w:top w:val="none" w:color="000000" w:sz="4"/>
                <w:left w:val="none" w:color="000000" w:sz="4"/>
                <w:bottom w:val="none" w:color="000000" w:sz="4"/>
                <w:right w:val="none" w:color="000000" w:sz="4"/>
                <w:insideH w:val="none"/>
                <w:insideV w:val="none"/>
              </w:tblBorders>
            </w:tblPr>
            <w:tblGrid>
              <w:gridCol w:w="436"/>
              <w:gridCol w:w="4592"/>
              <w:gridCol w:w="284"/>
              <w:gridCol w:w="284"/>
            </w:tblGrid>
            <w:tr>
              <w:tc>
                <w:tcPr>
                  <w:tcW w:type="dxa" w:w="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设备名称</w:t>
                  </w:r>
                </w:p>
              </w:tc>
              <w:tc>
                <w:tcPr>
                  <w:tcW w:type="dxa" w:w="45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技术指标</w:t>
                  </w:r>
                </w:p>
              </w:tc>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w:t>
                  </w:r>
                  <w:r>
                    <w:rPr>
                      <w:sz w:val="20"/>
                      <w:color w:val="000000"/>
                    </w:rPr>
                    <w:t>7</w:t>
                  </w:r>
                  <w:r>
                    <w:rPr>
                      <w:sz w:val="20"/>
                      <w:color w:val="000000"/>
                    </w:rPr>
                    <w:t>、教学管理软件</w:t>
                  </w:r>
                </w:p>
              </w:tc>
              <w:tc>
                <w:tcPr>
                  <w:tcW w:type="dxa" w:w="4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0"/>
                      <w:color w:val="000000"/>
                    </w:rPr>
                    <w:t>1</w:t>
                  </w:r>
                  <w:r>
                    <w:rPr>
                      <w:sz w:val="21"/>
                      <w:color w:val="000000"/>
                    </w:rPr>
                    <w:t>.</w:t>
                  </w:r>
                  <w:r>
                    <w:rPr>
                      <w:sz w:val="21"/>
                      <w:color w:val="000000"/>
                    </w:rPr>
                    <w:t>为满足学校能够充分将新、旧电脑进行统一纳管，降低建设成本的需要，云桌面需与所投主机为同一品牌，至少支持</w:t>
                  </w:r>
                  <w:r>
                    <w:rPr>
                      <w:sz w:val="21"/>
                      <w:color w:val="000000"/>
                    </w:rPr>
                    <w:t>Legacy与UEFI两种方式启动系统，支持管理双网卡、双硬盘，至少支持NVME、M.2新型高速固态硬盘，同时兼容新老机型部署。</w:t>
                  </w:r>
                </w:p>
                <w:p>
                  <w:pPr>
                    <w:pStyle w:val="null3"/>
                    <w:ind w:firstLine="420"/>
                    <w:jc w:val="both"/>
                  </w:pPr>
                  <w:r>
                    <w:rPr>
                      <w:sz w:val="21"/>
                      <w:color w:val="000000"/>
                    </w:rPr>
                    <w:t>▲</w:t>
                  </w:r>
                  <w:r>
                    <w:rPr>
                      <w:sz w:val="21"/>
                      <w:color w:val="000000"/>
                    </w:rPr>
                    <w:t>2.</w:t>
                  </w:r>
                  <w:r>
                    <w:rPr>
                      <w:sz w:val="21"/>
                      <w:color w:val="000000"/>
                    </w:rPr>
                    <w:t>原厂预装同品牌终端管家的软件，软硬件无缝兼容，软件随主机永久正版授权</w:t>
                  </w:r>
                  <w:r>
                    <w:rPr>
                      <w:sz w:val="21"/>
                      <w:b/>
                    </w:rPr>
                    <w:t>（提供国家版权局软件登记著作权证书）。</w:t>
                  </w:r>
                </w:p>
                <w:p>
                  <w:pPr>
                    <w:pStyle w:val="null3"/>
                    <w:ind w:firstLine="420"/>
                    <w:jc w:val="both"/>
                  </w:pPr>
                  <w:r>
                    <w:rPr>
                      <w:sz w:val="21"/>
                      <w:color w:val="000000"/>
                    </w:rPr>
                    <w:t>3.</w:t>
                  </w:r>
                  <w:r>
                    <w:rPr>
                      <w:sz w:val="21"/>
                      <w:color w:val="000000"/>
                    </w:rPr>
                    <w:t>针对不同楼宇、年级、学科的终端支持分组管理，可将终端进行分组，管理员可根据配置好的镜像分配给相应的用户或用户组；为不影响教学，可在正常上课的同时完成镜像缓存下载；同一局域网内的设备可互相分享文档；镜像下载支持断点续传，避免网络中断等情况需要重复传输，可以大幅提升传输效率。</w:t>
                  </w:r>
                </w:p>
                <w:p>
                  <w:pPr>
                    <w:pStyle w:val="null3"/>
                    <w:ind w:firstLine="420"/>
                    <w:jc w:val="both"/>
                  </w:pPr>
                  <w:r>
                    <w:rPr>
                      <w:sz w:val="21"/>
                      <w:color w:val="000000"/>
                    </w:rPr>
                    <w:t>▲</w:t>
                  </w:r>
                  <w:r>
                    <w:rPr>
                      <w:sz w:val="21"/>
                      <w:color w:val="000000"/>
                    </w:rPr>
                    <w:t>4.</w:t>
                  </w:r>
                  <w:r>
                    <w:rPr>
                      <w:sz w:val="21"/>
                      <w:color w:val="000000"/>
                    </w:rPr>
                    <w:t>可充分利用学校现有网络，支持在镜像下发时时进行网速探测与策略优化，可识别终端网络速率，提前优化镜像下发策略，保障传输效率。</w:t>
                  </w:r>
                  <w:r>
                    <w:rPr>
                      <w:sz w:val="21"/>
                      <w:b/>
                    </w:rPr>
                    <w:t>（提供此功能界面截图证明）</w:t>
                  </w:r>
                </w:p>
                <w:p>
                  <w:pPr>
                    <w:pStyle w:val="null3"/>
                    <w:ind w:firstLine="420"/>
                    <w:jc w:val="both"/>
                  </w:pPr>
                  <w:r>
                    <w:rPr>
                      <w:sz w:val="21"/>
                      <w:color w:val="000000"/>
                    </w:rPr>
                    <w:t>5.</w:t>
                  </w:r>
                  <w:r>
                    <w:rPr>
                      <w:sz w:val="21"/>
                      <w:color w:val="000000"/>
                    </w:rPr>
                    <w:t>为适配大型或复杂型学校网络环境，云桌面支持跨校区、跨广域网部署，</w:t>
                  </w:r>
                  <w:r>
                    <w:rPr>
                      <w:sz w:val="21"/>
                      <w:color w:val="000000"/>
                    </w:rPr>
                    <w:t>IP可达即可部署；为满足学校的WiFi使用场景，简化网络结构，支持通过wifi更新与管理桌面。</w:t>
                  </w:r>
                </w:p>
                <w:p>
                  <w:pPr>
                    <w:pStyle w:val="null3"/>
                    <w:ind w:firstLine="420"/>
                    <w:jc w:val="both"/>
                  </w:pPr>
                  <w:r>
                    <w:rPr>
                      <w:sz w:val="21"/>
                      <w:color w:val="000000"/>
                    </w:rPr>
                    <w:t>▲</w:t>
                  </w:r>
                  <w:r>
                    <w:rPr>
                      <w:sz w:val="21"/>
                      <w:color w:val="000000"/>
                    </w:rPr>
                    <w:t>6.</w:t>
                  </w:r>
                  <w:r>
                    <w:rPr>
                      <w:sz w:val="21"/>
                      <w:color w:val="000000"/>
                    </w:rPr>
                    <w:t>资产管理：即可收集平台中所有终端软硬件配置信息，包含但不限于终端名称、主板型号、</w:t>
                  </w:r>
                  <w:r>
                    <w:rPr>
                      <w:sz w:val="21"/>
                      <w:color w:val="000000"/>
                    </w:rPr>
                    <w:t>CPU型号、内存容量、最近运行时间、合计运行时间、硬件变更和记录信息、程序名称、运行次数、运行时长、版本、程序大小等。并且支持收集平台中所有运行状态信息，至少包括设备地点、终端名称、CPU温度、主板温度、CPU风扇转速、开机时间、硬盘信息等</w:t>
                  </w:r>
                  <w:r>
                    <w:rPr>
                      <w:sz w:val="21"/>
                      <w:b/>
                    </w:rPr>
                    <w:t>（提供此功能界面截图证明）</w:t>
                  </w:r>
                </w:p>
                <w:p>
                  <w:pPr>
                    <w:pStyle w:val="null3"/>
                    <w:ind w:firstLine="420"/>
                    <w:jc w:val="both"/>
                  </w:pPr>
                  <w:r>
                    <w:rPr>
                      <w:sz w:val="21"/>
                      <w:color w:val="000000"/>
                    </w:rPr>
                    <w:t>7.</w:t>
                  </w:r>
                  <w:r>
                    <w:rPr>
                      <w:sz w:val="21"/>
                      <w:color w:val="000000"/>
                    </w:rPr>
                    <w:t>支持大数据展示。可展示包括但不限于资产统计、设备详情、开关机对比、日志、系统使用情况等信息。</w:t>
                  </w:r>
                </w:p>
                <w:p>
                  <w:pPr>
                    <w:pStyle w:val="null3"/>
                    <w:ind w:firstLine="420"/>
                    <w:jc w:val="both"/>
                  </w:pPr>
                  <w:r>
                    <w:rPr>
                      <w:sz w:val="21"/>
                      <w:color w:val="000000"/>
                    </w:rPr>
                    <w:t>8.</w:t>
                  </w:r>
                  <w:r>
                    <w:rPr>
                      <w:sz w:val="21"/>
                      <w:color w:val="000000"/>
                    </w:rPr>
                    <w:t>为避免网络端口被占用而引起的教学环境不可用的问题，云桌面管理平台支持对服务器使用的网络端口进行检测，并通过检测结果帮助管理员快速分析和解决问题。</w:t>
                  </w:r>
                </w:p>
                <w:p>
                  <w:pPr>
                    <w:pStyle w:val="null3"/>
                    <w:ind w:firstLine="420"/>
                    <w:jc w:val="both"/>
                  </w:pPr>
                  <w:r>
                    <w:rPr>
                      <w:sz w:val="21"/>
                      <w:color w:val="000000"/>
                    </w:rPr>
                    <w:t>9.</w:t>
                  </w:r>
                  <w:r>
                    <w:rPr>
                      <w:sz w:val="21"/>
                      <w:color w:val="000000"/>
                    </w:rPr>
                    <w:t>为满足学校各类考试需求，包括但不限于国家计算机一、二级等级考试、社会职称考试等，支持</w:t>
                  </w:r>
                  <w:r>
                    <w:rPr>
                      <w:sz w:val="21"/>
                      <w:color w:val="000000"/>
                    </w:rPr>
                    <w:t>ATA、NCRE等考试模式，支持设置考试专属镜像并在考试开始前将考试镜像设置为隐藏模式，不被破坏。为方便后期溯源备查考试结果并可快速进入下一场考试，支持管理员自定义保留考试桌面保留的周期时间，即在保留学生完整桌面、系统环境、文件数据的同时，可快速部署下一场考试桌面。</w:t>
                  </w:r>
                </w:p>
                <w:p>
                  <w:pPr>
                    <w:pStyle w:val="null3"/>
                    <w:ind w:firstLine="420"/>
                    <w:jc w:val="both"/>
                  </w:pPr>
                  <w:r>
                    <w:rPr>
                      <w:sz w:val="21"/>
                      <w:color w:val="000000"/>
                    </w:rPr>
                    <w:t>10.</w:t>
                  </w:r>
                  <w:r>
                    <w:rPr>
                      <w:sz w:val="21"/>
                      <w:color w:val="000000"/>
                    </w:rPr>
                    <w:t>为提升学校管理效率，云桌面管理平台支持批量管理终端计算机名、</w:t>
                  </w:r>
                  <w:r>
                    <w:rPr>
                      <w:sz w:val="21"/>
                      <w:color w:val="000000"/>
                    </w:rPr>
                    <w:t>IP地址、分辨率、时间同步等配置信息，同时支持针对不同的终端群组设置不同的安全管控策略。</w:t>
                  </w:r>
                </w:p>
                <w:p>
                  <w:pPr>
                    <w:pStyle w:val="null3"/>
                    <w:ind w:firstLine="420"/>
                    <w:jc w:val="both"/>
                  </w:pPr>
                  <w:r>
                    <w:rPr>
                      <w:sz w:val="21"/>
                      <w:color w:val="000000"/>
                    </w:rPr>
                    <w:t>▲</w:t>
                  </w:r>
                  <w:r>
                    <w:rPr>
                      <w:sz w:val="21"/>
                      <w:color w:val="000000"/>
                    </w:rPr>
                    <w:t>11.</w:t>
                  </w:r>
                  <w:r>
                    <w:rPr>
                      <w:sz w:val="21"/>
                      <w:color w:val="000000"/>
                    </w:rPr>
                    <w:t>终端支持部署多操作系统：支持统信</w:t>
                  </w:r>
                  <w:r>
                    <w:rPr>
                      <w:sz w:val="21"/>
                      <w:color w:val="000000"/>
                    </w:rPr>
                    <w:t>UOS、麒麟KOS、Linux、 Windows全系列，支持从管理端或客户端自主选择启动环境；且多个系统环境可快速切换。</w:t>
                  </w:r>
                  <w:r>
                    <w:rPr>
                      <w:sz w:val="21"/>
                      <w:b/>
                    </w:rPr>
                    <w:t>(提供功能界面截图证明）</w:t>
                  </w:r>
                </w:p>
                <w:p>
                  <w:pPr>
                    <w:pStyle w:val="null3"/>
                    <w:ind w:firstLine="420"/>
                    <w:jc w:val="both"/>
                  </w:pPr>
                  <w:r>
                    <w:rPr>
                      <w:sz w:val="21"/>
                      <w:color w:val="000000"/>
                    </w:rPr>
                    <w:t>12.</w:t>
                  </w:r>
                  <w:r>
                    <w:rPr>
                      <w:sz w:val="21"/>
                      <w:color w:val="000000"/>
                    </w:rPr>
                    <w:t>终端支持多盘缓存模式，即在终端固态盘容量小导致无法多镜像缓存时，支持固态盘和机械盘混合缓存载入，充分利用终端现有存储资源。</w:t>
                  </w:r>
                </w:p>
                <w:p>
                  <w:pPr>
                    <w:pStyle w:val="null3"/>
                    <w:ind w:firstLine="420"/>
                    <w:jc w:val="both"/>
                  </w:pPr>
                  <w:r>
                    <w:rPr>
                      <w:sz w:val="21"/>
                      <w:color w:val="000000"/>
                    </w:rPr>
                    <w:t>13.</w:t>
                  </w:r>
                  <w:r>
                    <w:rPr>
                      <w:sz w:val="21"/>
                      <w:color w:val="000000"/>
                    </w:rPr>
                    <w:t>当终端无法进入系统时，至少支持基于</w:t>
                  </w:r>
                  <w:r>
                    <w:rPr>
                      <w:sz w:val="21"/>
                      <w:color w:val="000000"/>
                    </w:rPr>
                    <w:t>Linux和Windows等方式进行系统数据恢复。</w:t>
                  </w:r>
                  <w:r>
                    <w:rPr>
                      <w:sz w:val="21"/>
                      <w:b/>
                    </w:rPr>
                    <w:t>(提供功能界面截图证明）</w:t>
                  </w:r>
                </w:p>
                <w:p>
                  <w:pPr>
                    <w:pStyle w:val="null3"/>
                    <w:ind w:firstLine="420"/>
                    <w:jc w:val="both"/>
                  </w:pPr>
                  <w:r>
                    <w:rPr>
                      <w:sz w:val="21"/>
                      <w:color w:val="000000"/>
                    </w:rPr>
                    <w:t>14.</w:t>
                  </w:r>
                  <w:r>
                    <w:rPr>
                      <w:sz w:val="21"/>
                      <w:color w:val="000000"/>
                    </w:rPr>
                    <w:t>支持云桌面服务器与终端的自动时间同步功能，即当主板掉电时可自动校准计算机时间。</w:t>
                  </w:r>
                </w:p>
                <w:p>
                  <w:pPr>
                    <w:pStyle w:val="null3"/>
                    <w:ind w:firstLine="420"/>
                    <w:jc w:val="both"/>
                  </w:pPr>
                  <w:r>
                    <w:rPr>
                      <w:sz w:val="21"/>
                      <w:color w:val="000000"/>
                    </w:rPr>
                    <w:t>1</w:t>
                  </w:r>
                  <w:r>
                    <w:rPr>
                      <w:sz w:val="21"/>
                      <w:color w:val="000000"/>
                    </w:rPr>
                    <w:t>5.为保障使用体验与传统PC无异，客户端采用分布式运算模式，在日常教学办公时无延时响应、颜色失真等现象，场景包括但不限于打开Auto CAD、UGNX、3D MAX、Pro/E等软件，打开并播放≥1080P视频文件。</w:t>
                  </w:r>
                </w:p>
                <w:p>
                  <w:pPr>
                    <w:pStyle w:val="null3"/>
                    <w:ind w:firstLine="420"/>
                    <w:jc w:val="both"/>
                  </w:pPr>
                  <w:r>
                    <w:rPr>
                      <w:sz w:val="21"/>
                      <w:color w:val="000000"/>
                    </w:rPr>
                    <w:t>16.</w:t>
                  </w:r>
                  <w:r>
                    <w:rPr>
                      <w:sz w:val="21"/>
                      <w:color w:val="000000"/>
                    </w:rPr>
                    <w:t>支持镜像本地缓存：支持将服务器镜像文件缓存至本地硬盘，支持小容量固态硬盘以增量非分区的方式缓存</w:t>
                  </w:r>
                  <w:r>
                    <w:rPr>
                      <w:sz w:val="21"/>
                      <w:color w:val="000000"/>
                    </w:rPr>
                    <w:t>≥5个镜像。</w:t>
                  </w:r>
                </w:p>
                <w:p>
                  <w:pPr>
                    <w:pStyle w:val="null3"/>
                    <w:ind w:firstLine="420"/>
                    <w:jc w:val="both"/>
                  </w:pPr>
                  <w:r>
                    <w:rPr>
                      <w:sz w:val="21"/>
                      <w:color w:val="000000"/>
                    </w:rPr>
                    <w:t>17.</w:t>
                  </w:r>
                  <w:r>
                    <w:rPr>
                      <w:sz w:val="21"/>
                      <w:color w:val="000000"/>
                    </w:rPr>
                    <w:t>支持对终端端口进行分类控制，包括但不限于控制所有</w:t>
                  </w:r>
                  <w:r>
                    <w:rPr>
                      <w:sz w:val="21"/>
                      <w:color w:val="000000"/>
                    </w:rPr>
                    <w:t>USB 存储接口、光盘驱动器接口、USB存储设备接口、打印机接口、1394接口、串并口接口、蓝牙驱动器接口等。</w:t>
                  </w:r>
                </w:p>
                <w:p>
                  <w:pPr>
                    <w:pStyle w:val="null3"/>
                    <w:ind w:firstLine="420"/>
                    <w:jc w:val="both"/>
                  </w:pPr>
                  <w:r>
                    <w:rPr>
                      <w:sz w:val="21"/>
                      <w:color w:val="000000"/>
                    </w:rPr>
                    <w:t>18.</w:t>
                  </w:r>
                  <w:r>
                    <w:rPr>
                      <w:sz w:val="21"/>
                      <w:color w:val="000000"/>
                    </w:rPr>
                    <w:t>为防止学生误入底层系统或在镜像下发时误操作，在管理平台设置终端密码后，输入密码方可继续配置或操作。</w:t>
                  </w:r>
                </w:p>
                <w:p>
                  <w:pPr>
                    <w:pStyle w:val="null3"/>
                    <w:ind w:firstLine="422"/>
                    <w:jc w:val="both"/>
                  </w:pPr>
                  <w:r>
                    <w:rPr>
                      <w:sz w:val="21"/>
                      <w:b/>
                      <w:color w:val="000000"/>
                    </w:rPr>
                    <w:t>19.</w:t>
                  </w:r>
                  <w:r>
                    <w:rPr>
                      <w:sz w:val="21"/>
                      <w:b/>
                      <w:color w:val="000000"/>
                    </w:rPr>
                    <w:t>要求提供对应云桌面产品的软件著作权证书。</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点</w:t>
                  </w:r>
                </w:p>
              </w:tc>
            </w:tr>
          </w:tbl>
          <w:p/>
        </w:tc>
      </w:tr>
      <w:tr>
        <w:tc>
          <w:tcPr>
            <w:tcW w:type="dxa" w:w="2076"/>
          </w:tcPr>
          <w:p/>
        </w:tc>
        <w:tc>
          <w:tcPr>
            <w:tcW w:type="dxa" w:w="415"/>
          </w:tcPr>
          <w:p>
            <w:pPr>
              <w:pStyle w:val="null3"/>
            </w:pPr>
            <w:r>
              <w:rPr/>
              <w:t>5</w:t>
            </w:r>
          </w:p>
        </w:tc>
        <w:tc>
          <w:tcPr>
            <w:tcW w:type="dxa" w:w="5814"/>
          </w:tcPr>
          <w:p>
            <w:pPr>
              <w:pStyle w:val="null3"/>
              <w:jc w:val="left"/>
            </w:pPr>
            <w:r>
              <w:rPr>
                <w:sz w:val="20"/>
                <w:b/>
                <w:color w:val="000000"/>
              </w:rPr>
              <w:t>（五）智能讲台</w:t>
            </w:r>
          </w:p>
          <w:tbl>
            <w:tblPr>
              <w:tblInd w:type="dxa" w:w="120"/>
              <w:tblBorders>
                <w:top w:val="none" w:color="000000" w:sz="4"/>
                <w:left w:val="none" w:color="000000" w:sz="4"/>
                <w:bottom w:val="none" w:color="000000" w:sz="4"/>
                <w:right w:val="none" w:color="000000" w:sz="4"/>
                <w:insideH w:val="none"/>
                <w:insideV w:val="none"/>
              </w:tblBorders>
            </w:tblPr>
            <w:tblGrid>
              <w:gridCol w:w="526"/>
              <w:gridCol w:w="4462"/>
              <w:gridCol w:w="304"/>
              <w:gridCol w:w="304"/>
            </w:tblGrid>
            <w:tr>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4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技术指标</w:t>
                  </w:r>
                </w:p>
              </w:tc>
              <w:tc>
                <w:tcPr>
                  <w:tcW w:type="dxa" w:w="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w:t>
                  </w:r>
                  <w:r>
                    <w:rPr>
                      <w:sz w:val="21"/>
                      <w:color w:val="000000"/>
                    </w:rPr>
                    <w:t>8</w:t>
                  </w:r>
                  <w:r>
                    <w:rPr>
                      <w:sz w:val="21"/>
                      <w:color w:val="000000"/>
                    </w:rPr>
                    <w:t>、智能讲台</w:t>
                  </w:r>
                </w:p>
              </w:tc>
              <w:tc>
                <w:tcPr>
                  <w:tcW w:type="dxa" w:w="4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1.尺寸规格，长*宽*高（mm）约：1342*680*800（闭合） 、1342*680*1080(±5mm)（展开）；其中左侧边桌尺寸L*W*H（mm）：780*680*800；右侧升降桌尺寸L*W*H（mm）：560*600*800（闭合） 、560*600*1080(±5mm)（展开）。</w:t>
                  </w:r>
                </w:p>
                <w:p>
                  <w:pPr>
                    <w:pStyle w:val="null3"/>
                    <w:ind w:firstLine="420"/>
                    <w:jc w:val="both"/>
                  </w:pPr>
                  <w:r>
                    <w:rPr>
                      <w:sz w:val="21"/>
                      <w:color w:val="000000"/>
                    </w:rPr>
                    <w:t>2.材料：上层桌面采用两块厚度不低于18MM后的木质材料，表面耐磨硬度不低于3H，表面吸塑工艺，桌面颜色支持定制；设计有铝合金固定条；讲桌主体体采用1.2-1.5MM冷轧钢冲压、焊接、打磨成型。</w:t>
                  </w:r>
                </w:p>
                <w:p>
                  <w:pPr>
                    <w:pStyle w:val="null3"/>
                    <w:ind w:firstLine="420"/>
                    <w:jc w:val="both"/>
                  </w:pPr>
                  <w:r>
                    <w:rPr>
                      <w:sz w:val="21"/>
                      <w:color w:val="000000"/>
                    </w:rPr>
                    <w:t>3.桌面一侧尺寸约780x680MM，提供讲座模式教学功能，桌面可以选配一个27寸以下的显示器支架臂，可选配鹅颈话筒至少一只，可选配无线充模块至少一个。</w:t>
                  </w:r>
                </w:p>
                <w:p>
                  <w:pPr>
                    <w:pStyle w:val="null3"/>
                    <w:ind w:firstLine="420"/>
                    <w:jc w:val="both"/>
                  </w:pPr>
                  <w:r>
                    <w:rPr>
                      <w:sz w:val="21"/>
                      <w:color w:val="000000"/>
                    </w:rPr>
                    <w:t>4.桌面另外一侧尺寸约560x600MM，提供演讲模式教学功能；标配电动升降器，可升降桌面高度不低于200MM；配置常开的上下按键及停止按键，调整角度可任意调节，调节角度范围不小于10°，桌面下侧设置铝合金防滑条，方便文稿或笔记本放置，柜体配置至少一个USB 3.0接口。</w:t>
                  </w:r>
                </w:p>
                <w:p>
                  <w:pPr>
                    <w:pStyle w:val="null3"/>
                    <w:ind w:firstLine="420"/>
                    <w:jc w:val="both"/>
                  </w:pPr>
                  <w:r>
                    <w:rPr>
                      <w:sz w:val="21"/>
                      <w:color w:val="000000"/>
                    </w:rPr>
                    <w:t>5.讲桌下层提供储物空间或设备堆放空间，机柜两侧配置标准机架安装位，设备可堆叠高度</w:t>
                  </w:r>
                  <w:r>
                    <w:rPr>
                      <w:sz w:val="21"/>
                      <w:color w:val="000000"/>
                    </w:rPr>
                    <w:t>≥</w:t>
                  </w:r>
                  <w:r>
                    <w:rPr>
                      <w:sz w:val="21"/>
                      <w:color w:val="000000"/>
                    </w:rPr>
                    <w:t>8U，可放置音视频设备或教师储物空间，两侧提供设备走线孔。电脑主机有单独的放置空间，至少不占用8U的机柜空间。</w:t>
                  </w:r>
                </w:p>
                <w:p>
                  <w:pPr>
                    <w:pStyle w:val="null3"/>
                    <w:ind w:firstLine="420"/>
                    <w:jc w:val="both"/>
                  </w:pPr>
                  <w:r>
                    <w:rPr>
                      <w:sz w:val="21"/>
                      <w:color w:val="000000"/>
                    </w:rPr>
                    <w:t>6.前置挡板采用</w:t>
                  </w:r>
                  <w:r>
                    <w:rPr>
                      <w:sz w:val="21"/>
                      <w:color w:val="000000"/>
                    </w:rPr>
                    <w:t>≥</w:t>
                  </w:r>
                  <w:r>
                    <w:rPr>
                      <w:sz w:val="21"/>
                      <w:color w:val="000000"/>
                    </w:rPr>
                    <w:t>18mm“7”字形木挡板，尺寸约1260x620mm。左侧挡板采用钢木结合结构，木条跟前挡板木条拼接呼应，挡板前面设计一块厚度不低于5mm的亚克力安装板，安装订制LOGO。</w:t>
                  </w:r>
                </w:p>
                <w:p>
                  <w:pPr>
                    <w:pStyle w:val="null3"/>
                    <w:ind w:firstLine="420"/>
                    <w:jc w:val="both"/>
                  </w:pPr>
                  <w:r>
                    <w:rPr>
                      <w:sz w:val="21"/>
                      <w:color w:val="000000"/>
                    </w:rPr>
                    <w:t>7.讲桌可选配LORA发射模块和控制软件，实现环境设备的无线控制（比如：大屏\投影机开关无线控制、灯光控制、窗帘控制、空调控制）。</w:t>
                  </w:r>
                </w:p>
                <w:p>
                  <w:pPr>
                    <w:pStyle w:val="null3"/>
                    <w:jc w:val="both"/>
                  </w:pPr>
                  <w:r>
                    <w:rPr>
                      <w:sz w:val="21"/>
                      <w:color w:val="000000"/>
                    </w:rPr>
                    <w:t xml:space="preserve">    </w:t>
                  </w:r>
                  <w:r>
                    <w:rPr>
                      <w:sz w:val="21"/>
                      <w:color w:val="000000"/>
                    </w:rPr>
                    <w:t>8.桌底配置</w:t>
                  </w:r>
                  <w:r>
                    <w:rPr>
                      <w:sz w:val="21"/>
                      <w:color w:val="000000"/>
                    </w:rPr>
                    <w:t>≥</w:t>
                  </w:r>
                  <w:r>
                    <w:rPr>
                      <w:sz w:val="21"/>
                      <w:color w:val="000000"/>
                    </w:rPr>
                    <w:t>6个2.5寸的移动轮（带刹车功能）。</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bl>
          <w:p/>
        </w:tc>
      </w:tr>
      <w:tr>
        <w:tc>
          <w:tcPr>
            <w:tcW w:type="dxa" w:w="2076"/>
          </w:tcPr>
          <w:p/>
        </w:tc>
        <w:tc>
          <w:tcPr>
            <w:tcW w:type="dxa" w:w="415"/>
          </w:tcPr>
          <w:p>
            <w:pPr>
              <w:pStyle w:val="null3"/>
            </w:pPr>
            <w:r>
              <w:rPr/>
              <w:t>6</w:t>
            </w:r>
          </w:p>
        </w:tc>
        <w:tc>
          <w:tcPr>
            <w:tcW w:type="dxa" w:w="5814"/>
          </w:tcPr>
          <w:p>
            <w:pPr>
              <w:pStyle w:val="null3"/>
              <w:jc w:val="left"/>
            </w:pPr>
            <w:r>
              <w:rPr>
                <w:sz w:val="21"/>
                <w:b/>
                <w:color w:val="000000"/>
              </w:rPr>
              <w:t>（六）配套家具</w:t>
            </w:r>
            <w:r>
              <w:rPr>
                <w:sz w:val="20"/>
                <w:b/>
                <w:color w:val="000000"/>
              </w:rPr>
              <w:t>（后附家具参考图）</w:t>
            </w:r>
          </w:p>
          <w:p>
            <w:pPr>
              <w:pStyle w:val="null3"/>
            </w:pPr>
            <w:r>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293"/>
              <w:gridCol w:w="769"/>
              <w:gridCol w:w="3944"/>
              <w:gridCol w:w="293"/>
              <w:gridCol w:w="293"/>
            </w:tblGrid>
            <w:tr>
              <w:tc>
                <w:tcPr>
                  <w:tcW w:type="dxa" w:w="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39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技术指标</w:t>
                  </w:r>
                </w:p>
              </w:tc>
              <w:tc>
                <w:tcPr>
                  <w:tcW w:type="dxa" w:w="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电脑桌</w:t>
                  </w:r>
                </w:p>
              </w:tc>
              <w:tc>
                <w:tcPr>
                  <w:tcW w:type="dxa" w:w="3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1.长*宽*高（MM）约：1500x700x750；</w:t>
                  </w:r>
                </w:p>
                <w:p>
                  <w:pPr>
                    <w:pStyle w:val="null3"/>
                    <w:ind w:firstLine="420"/>
                    <w:jc w:val="left"/>
                  </w:pPr>
                  <w:r>
                    <w:rPr>
                      <w:sz w:val="21"/>
                      <w:color w:val="000000"/>
                    </w:rPr>
                    <w:t>2.功能：每张桌子设计有两个电脑位，每个电脑位桌板下预留至少1个10孔电源插座位安装位，至少1个网线插座位安装位，桌面打穿线孔，桌板下预留主机位。</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工作台</w:t>
                  </w:r>
                </w:p>
              </w:tc>
              <w:tc>
                <w:tcPr>
                  <w:tcW w:type="dxa" w:w="3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1.材质：钢木结构</w:t>
                  </w:r>
                </w:p>
                <w:p>
                  <w:pPr>
                    <w:pStyle w:val="null3"/>
                    <w:ind w:firstLine="420"/>
                    <w:jc w:val="left"/>
                  </w:pPr>
                  <w:r>
                    <w:rPr>
                      <w:sz w:val="21"/>
                      <w:color w:val="000000"/>
                    </w:rPr>
                    <w:t>2.规格尺寸：≥1600mm * 600mm * 1000mm（长*宽*高）</w:t>
                  </w:r>
                </w:p>
                <w:p>
                  <w:pPr>
                    <w:pStyle w:val="null3"/>
                    <w:ind w:firstLine="420"/>
                    <w:jc w:val="left"/>
                  </w:pPr>
                  <w:r>
                    <w:rPr>
                      <w:sz w:val="21"/>
                      <w:color w:val="000000"/>
                    </w:rPr>
                    <w:t>3.承重:≥150kg</w:t>
                  </w:r>
                </w:p>
                <w:p>
                  <w:pPr>
                    <w:pStyle w:val="null3"/>
                    <w:ind w:firstLine="420"/>
                    <w:jc w:val="left"/>
                  </w:pPr>
                  <w:r>
                    <w:rPr>
                      <w:sz w:val="21"/>
                      <w:color w:val="000000"/>
                    </w:rPr>
                    <w:t>4.台面厚度:≥50mm</w:t>
                  </w:r>
                </w:p>
                <w:p>
                  <w:pPr>
                    <w:pStyle w:val="null3"/>
                    <w:ind w:firstLine="420"/>
                    <w:jc w:val="left"/>
                  </w:pPr>
                  <w:r>
                    <w:rPr>
                      <w:sz w:val="21"/>
                      <w:color w:val="000000"/>
                    </w:rPr>
                    <w:t>5.其他参数：</w:t>
                  </w:r>
                </w:p>
                <w:p>
                  <w:pPr>
                    <w:pStyle w:val="null3"/>
                    <w:ind w:firstLine="420"/>
                    <w:jc w:val="left"/>
                  </w:pPr>
                  <w:r>
                    <w:rPr>
                      <w:sz w:val="21"/>
                      <w:color w:val="000000"/>
                    </w:rPr>
                    <w:t>（</w:t>
                  </w:r>
                  <w:r>
                    <w:rPr>
                      <w:sz w:val="21"/>
                      <w:color w:val="000000"/>
                    </w:rPr>
                    <w:t>1）枫木色复合台面；</w:t>
                  </w:r>
                </w:p>
                <w:p>
                  <w:pPr>
                    <w:pStyle w:val="null3"/>
                    <w:ind w:firstLine="420"/>
                    <w:jc w:val="left"/>
                  </w:pPr>
                  <w:r>
                    <w:rPr>
                      <w:sz w:val="21"/>
                      <w:color w:val="000000"/>
                    </w:rPr>
                    <w:t>（</w:t>
                  </w:r>
                  <w:r>
                    <w:rPr>
                      <w:sz w:val="21"/>
                      <w:color w:val="000000"/>
                    </w:rPr>
                    <w:t>2）桌面下方带三层抽屉：每层抽屉尺寸：≥250mm*400mm*100mm（宽*深*层高）；</w:t>
                  </w:r>
                </w:p>
                <w:p>
                  <w:pPr>
                    <w:pStyle w:val="null3"/>
                    <w:ind w:firstLine="420"/>
                    <w:jc w:val="left"/>
                  </w:pPr>
                  <w:r>
                    <w:rPr>
                      <w:sz w:val="21"/>
                      <w:color w:val="000000"/>
                    </w:rPr>
                    <w:t>（</w:t>
                  </w:r>
                  <w:r>
                    <w:rPr>
                      <w:sz w:val="21"/>
                      <w:color w:val="000000"/>
                    </w:rPr>
                    <w:t>3）桌架材质为</w:t>
                  </w:r>
                  <w:r>
                    <w:rPr>
                      <w:sz w:val="21"/>
                      <w:color w:val="000000"/>
                    </w:rPr>
                    <w:t>≥</w:t>
                  </w:r>
                  <w:r>
                    <w:rPr>
                      <w:sz w:val="21"/>
                      <w:color w:val="000000"/>
                    </w:rPr>
                    <w:t>2mm加厚钢方管；</w:t>
                  </w:r>
                </w:p>
                <w:p>
                  <w:pPr>
                    <w:pStyle w:val="null3"/>
                    <w:ind w:firstLine="420"/>
                    <w:jc w:val="left"/>
                  </w:pPr>
                  <w:r>
                    <w:rPr>
                      <w:sz w:val="21"/>
                      <w:color w:val="000000"/>
                    </w:rPr>
                    <w:t>（</w:t>
                  </w:r>
                  <w:r>
                    <w:rPr>
                      <w:sz w:val="21"/>
                      <w:color w:val="000000"/>
                    </w:rPr>
                    <w:t>4）桌架预留</w:t>
                  </w:r>
                  <w:r>
                    <w:rPr>
                      <w:sz w:val="21"/>
                      <w:color w:val="000000"/>
                    </w:rPr>
                    <w:t>≥</w:t>
                  </w:r>
                  <w:r>
                    <w:rPr>
                      <w:sz w:val="21"/>
                      <w:color w:val="000000"/>
                    </w:rPr>
                    <w:t>5孔插座。</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w:t>
                  </w: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置物架（</w:t>
                  </w:r>
                  <w:r>
                    <w:rPr>
                      <w:sz w:val="21"/>
                      <w:color w:val="000000"/>
                    </w:rPr>
                    <w:t>≥120cm*40</w:t>
                  </w:r>
                  <w:r>
                    <w:rPr>
                      <w:sz w:val="21"/>
                      <w:color w:val="000000"/>
                    </w:rPr>
                    <w:t>cm</w:t>
                  </w:r>
                  <w:r>
                    <w:rPr>
                      <w:sz w:val="21"/>
                      <w:color w:val="000000"/>
                    </w:rPr>
                    <w:t>*222</w:t>
                  </w:r>
                  <w:r>
                    <w:rPr>
                      <w:sz w:val="21"/>
                      <w:color w:val="000000"/>
                    </w:rPr>
                    <w:t>cm</w:t>
                  </w:r>
                  <w:r>
                    <w:rPr>
                      <w:sz w:val="21"/>
                      <w:color w:val="000000"/>
                    </w:rPr>
                    <w:t>）</w:t>
                  </w:r>
                </w:p>
              </w:tc>
              <w:tc>
                <w:tcPr>
                  <w:tcW w:type="dxa" w:w="3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1.材质：人造板</w:t>
                  </w:r>
                </w:p>
                <w:p>
                  <w:pPr>
                    <w:pStyle w:val="null3"/>
                    <w:ind w:firstLine="420"/>
                    <w:jc w:val="left"/>
                  </w:pPr>
                  <w:r>
                    <w:rPr>
                      <w:sz w:val="21"/>
                      <w:color w:val="000000"/>
                    </w:rPr>
                    <w:t>2.参数：</w:t>
                  </w:r>
                  <w:r>
                    <w:rPr>
                      <w:sz w:val="21"/>
                      <w:color w:val="000000"/>
                    </w:rPr>
                    <w:t>≥</w:t>
                  </w:r>
                  <w:r>
                    <w:rPr>
                      <w:sz w:val="21"/>
                      <w:color w:val="000000"/>
                    </w:rPr>
                    <w:t>七层</w:t>
                  </w:r>
                  <w:r>
                    <w:rPr>
                      <w:sz w:val="21"/>
                      <w:color w:val="000000"/>
                    </w:rPr>
                    <w:t>120</w:t>
                  </w:r>
                  <w:r>
                    <w:rPr>
                      <w:sz w:val="21"/>
                      <w:color w:val="000000"/>
                    </w:rPr>
                    <w:t>cm</w:t>
                  </w:r>
                  <w:r>
                    <w:rPr>
                      <w:sz w:val="21"/>
                      <w:color w:val="000000"/>
                    </w:rPr>
                    <w:t>*40</w:t>
                  </w:r>
                  <w:r>
                    <w:rPr>
                      <w:sz w:val="21"/>
                      <w:color w:val="000000"/>
                    </w:rPr>
                    <w:t>cm</w:t>
                  </w:r>
                  <w:r>
                    <w:rPr>
                      <w:sz w:val="21"/>
                      <w:color w:val="000000"/>
                    </w:rPr>
                    <w:t>*222</w:t>
                  </w:r>
                  <w:r>
                    <w:rPr>
                      <w:sz w:val="21"/>
                      <w:color w:val="000000"/>
                    </w:rPr>
                    <w:t>cm</w:t>
                  </w:r>
                  <w:r>
                    <w:rPr>
                      <w:sz w:val="21"/>
                      <w:color w:val="000000"/>
                    </w:rPr>
                    <w:t>（长*深*高）</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置物架（</w:t>
                  </w:r>
                  <w:r>
                    <w:rPr>
                      <w:sz w:val="21"/>
                      <w:color w:val="000000"/>
                    </w:rPr>
                    <w:t>≥</w:t>
                  </w:r>
                  <w:r>
                    <w:rPr>
                      <w:sz w:val="21"/>
                      <w:color w:val="000000"/>
                    </w:rPr>
                    <w:t>200</w:t>
                  </w:r>
                  <w:r>
                    <w:rPr>
                      <w:sz w:val="21"/>
                      <w:color w:val="000000"/>
                    </w:rPr>
                    <w:t>cm</w:t>
                  </w:r>
                  <w:r>
                    <w:rPr>
                      <w:sz w:val="21"/>
                      <w:color w:val="000000"/>
                    </w:rPr>
                    <w:t>*60</w:t>
                  </w:r>
                  <w:r>
                    <w:rPr>
                      <w:sz w:val="21"/>
                      <w:color w:val="000000"/>
                    </w:rPr>
                    <w:t>cm</w:t>
                  </w:r>
                  <w:r>
                    <w:rPr>
                      <w:sz w:val="21"/>
                      <w:color w:val="000000"/>
                    </w:rPr>
                    <w:t>*200</w:t>
                  </w:r>
                  <w:r>
                    <w:rPr>
                      <w:sz w:val="21"/>
                      <w:color w:val="000000"/>
                    </w:rPr>
                    <w:t>cm</w:t>
                  </w:r>
                  <w:r>
                    <w:rPr>
                      <w:sz w:val="21"/>
                      <w:color w:val="000000"/>
                    </w:rPr>
                    <w:t>）</w:t>
                  </w:r>
                </w:p>
              </w:tc>
              <w:tc>
                <w:tcPr>
                  <w:tcW w:type="dxa" w:w="3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1.层数：</w:t>
                  </w:r>
                  <w:r>
                    <w:rPr>
                      <w:sz w:val="21"/>
                      <w:color w:val="000000"/>
                    </w:rPr>
                    <w:t>≥</w:t>
                  </w:r>
                  <w:r>
                    <w:rPr>
                      <w:sz w:val="21"/>
                      <w:color w:val="000000"/>
                    </w:rPr>
                    <w:t>四层；</w:t>
                  </w:r>
                </w:p>
                <w:p>
                  <w:pPr>
                    <w:pStyle w:val="null3"/>
                    <w:ind w:firstLine="420"/>
                    <w:jc w:val="left"/>
                  </w:pPr>
                  <w:r>
                    <w:rPr>
                      <w:sz w:val="21"/>
                      <w:color w:val="000000"/>
                    </w:rPr>
                    <w:t>2.产品尺寸(mm)：</w:t>
                  </w:r>
                  <w:r>
                    <w:rPr>
                      <w:sz w:val="21"/>
                      <w:color w:val="000000"/>
                    </w:rPr>
                    <w:t>≥</w:t>
                  </w:r>
                  <w:r>
                    <w:rPr>
                      <w:sz w:val="21"/>
                      <w:color w:val="000000"/>
                    </w:rPr>
                    <w:t>2000*600*2000（长*深*高）；</w:t>
                  </w:r>
                </w:p>
                <w:p>
                  <w:pPr>
                    <w:pStyle w:val="null3"/>
                    <w:ind w:firstLine="420"/>
                    <w:jc w:val="left"/>
                  </w:pPr>
                  <w:r>
                    <w:rPr>
                      <w:sz w:val="21"/>
                      <w:color w:val="000000"/>
                    </w:rPr>
                    <w:t>3.承重量(kg)：100-200kg；</w:t>
                  </w:r>
                </w:p>
                <w:p>
                  <w:pPr>
                    <w:pStyle w:val="null3"/>
                    <w:ind w:firstLine="420"/>
                    <w:jc w:val="left"/>
                  </w:pPr>
                  <w:r>
                    <w:rPr>
                      <w:sz w:val="21"/>
                      <w:color w:val="000000"/>
                    </w:rPr>
                    <w:t>4.产品材质：金属；</w:t>
                  </w:r>
                </w:p>
                <w:p>
                  <w:pPr>
                    <w:pStyle w:val="null3"/>
                    <w:ind w:firstLine="420"/>
                    <w:jc w:val="left"/>
                  </w:pPr>
                  <w:r>
                    <w:rPr>
                      <w:sz w:val="21"/>
                      <w:color w:val="000000"/>
                    </w:rPr>
                    <w:t>5.颜色：白色。</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防潮箱</w:t>
                  </w:r>
                </w:p>
              </w:tc>
              <w:tc>
                <w:tcPr>
                  <w:tcW w:type="dxa" w:w="3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1.外尺寸：</w:t>
                  </w:r>
                  <w:r>
                    <w:rPr>
                      <w:sz w:val="21"/>
                      <w:color w:val="000000"/>
                    </w:rPr>
                    <w:t>≥</w:t>
                  </w:r>
                  <w:r>
                    <w:rPr>
                      <w:sz w:val="21"/>
                      <w:color w:val="000000"/>
                    </w:rPr>
                    <w:t>宽</w:t>
                  </w:r>
                  <w:r>
                    <w:rPr>
                      <w:sz w:val="21"/>
                      <w:color w:val="000000"/>
                    </w:rPr>
                    <w:t>91*深38.5*高120cm；</w:t>
                  </w:r>
                </w:p>
                <w:p>
                  <w:pPr>
                    <w:pStyle w:val="null3"/>
                    <w:ind w:firstLine="420"/>
                    <w:jc w:val="left"/>
                  </w:pPr>
                  <w:r>
                    <w:rPr>
                      <w:sz w:val="21"/>
                      <w:color w:val="000000"/>
                    </w:rPr>
                    <w:t>2.内尺寸：</w:t>
                  </w:r>
                  <w:r>
                    <w:rPr>
                      <w:sz w:val="21"/>
                      <w:color w:val="000000"/>
                    </w:rPr>
                    <w:t>≥</w:t>
                  </w:r>
                  <w:r>
                    <w:rPr>
                      <w:sz w:val="21"/>
                      <w:color w:val="000000"/>
                    </w:rPr>
                    <w:t>宽</w:t>
                  </w:r>
                  <w:r>
                    <w:rPr>
                      <w:sz w:val="21"/>
                      <w:color w:val="000000"/>
                    </w:rPr>
                    <w:t>86.6*深34.5*高105cm；</w:t>
                  </w:r>
                </w:p>
                <w:p>
                  <w:pPr>
                    <w:pStyle w:val="null3"/>
                    <w:ind w:firstLine="420"/>
                    <w:jc w:val="left"/>
                  </w:pPr>
                  <w:r>
                    <w:rPr>
                      <w:sz w:val="21"/>
                      <w:color w:val="000000"/>
                    </w:rPr>
                    <w:t>3.功率：</w:t>
                  </w:r>
                  <w:r>
                    <w:rPr>
                      <w:sz w:val="21"/>
                      <w:color w:val="000000"/>
                    </w:rPr>
                    <w:t>≥</w:t>
                  </w:r>
                  <w:r>
                    <w:rPr>
                      <w:sz w:val="21"/>
                      <w:color w:val="000000"/>
                    </w:rPr>
                    <w:t>12W*2；</w:t>
                  </w:r>
                </w:p>
                <w:p>
                  <w:pPr>
                    <w:pStyle w:val="null3"/>
                    <w:ind w:firstLine="420"/>
                    <w:jc w:val="left"/>
                  </w:pPr>
                  <w:r>
                    <w:rPr>
                      <w:sz w:val="21"/>
                      <w:color w:val="000000"/>
                    </w:rPr>
                    <w:t>4.隔板：</w:t>
                  </w:r>
                  <w:r>
                    <w:rPr>
                      <w:sz w:val="21"/>
                      <w:color w:val="000000"/>
                    </w:rPr>
                    <w:t>≥</w:t>
                  </w:r>
                  <w:r>
                    <w:rPr>
                      <w:sz w:val="21"/>
                      <w:color w:val="000000"/>
                    </w:rPr>
                    <w:t>五层；</w:t>
                  </w:r>
                </w:p>
                <w:p>
                  <w:pPr>
                    <w:pStyle w:val="null3"/>
                    <w:ind w:firstLine="420"/>
                    <w:jc w:val="left"/>
                  </w:pPr>
                  <w:r>
                    <w:rPr>
                      <w:sz w:val="21"/>
                      <w:color w:val="000000"/>
                    </w:rPr>
                    <w:t>5.防滑垫：</w:t>
                  </w:r>
                  <w:r>
                    <w:rPr>
                      <w:sz w:val="21"/>
                      <w:color w:val="000000"/>
                    </w:rPr>
                    <w:t>≥</w:t>
                  </w:r>
                  <w:r>
                    <w:rPr>
                      <w:sz w:val="21"/>
                      <w:color w:val="000000"/>
                    </w:rPr>
                    <w:t>六张；</w:t>
                  </w:r>
                </w:p>
                <w:p>
                  <w:pPr>
                    <w:pStyle w:val="null3"/>
                    <w:ind w:firstLine="420"/>
                    <w:jc w:val="left"/>
                  </w:pPr>
                  <w:r>
                    <w:rPr>
                      <w:sz w:val="21"/>
                      <w:color w:val="000000"/>
                    </w:rPr>
                    <w:t>6.输入电压：交流100V～240v 50HZ；；</w:t>
                  </w:r>
                </w:p>
                <w:p>
                  <w:pPr>
                    <w:pStyle w:val="null3"/>
                    <w:ind w:firstLine="420"/>
                    <w:jc w:val="left"/>
                  </w:pPr>
                  <w:r>
                    <w:rPr>
                      <w:sz w:val="21"/>
                      <w:color w:val="000000"/>
                    </w:rPr>
                    <w:t>7.箱体材质：</w:t>
                  </w:r>
                  <w:r>
                    <w:rPr>
                      <w:sz w:val="21"/>
                      <w:color w:val="000000"/>
                    </w:rPr>
                    <w:t>≥</w:t>
                  </w:r>
                  <w:r>
                    <w:rPr>
                      <w:sz w:val="21"/>
                      <w:color w:val="000000"/>
                    </w:rPr>
                    <w:t>0.8mm/1.0mm冷轧钢板</w:t>
                  </w:r>
                </w:p>
                <w:p>
                  <w:pPr>
                    <w:pStyle w:val="null3"/>
                    <w:ind w:firstLine="420"/>
                    <w:jc w:val="left"/>
                  </w:pPr>
                  <w:r>
                    <w:rPr>
                      <w:sz w:val="21"/>
                      <w:color w:val="000000"/>
                    </w:rPr>
                    <w:t>8.箱门材质：</w:t>
                  </w:r>
                  <w:r>
                    <w:rPr>
                      <w:sz w:val="21"/>
                      <w:color w:val="000000"/>
                    </w:rPr>
                    <w:t>≥</w:t>
                  </w:r>
                  <w:r>
                    <w:rPr>
                      <w:sz w:val="21"/>
                      <w:color w:val="000000"/>
                    </w:rPr>
                    <w:t>4.0mm钢化玻璃；</w:t>
                  </w:r>
                </w:p>
                <w:p>
                  <w:pPr>
                    <w:pStyle w:val="null3"/>
                    <w:ind w:firstLine="420"/>
                    <w:jc w:val="left"/>
                  </w:pPr>
                  <w:r>
                    <w:rPr>
                      <w:sz w:val="21"/>
                      <w:color w:val="000000"/>
                    </w:rPr>
                    <w:t>9.抽屉材质：</w:t>
                  </w:r>
                  <w:r>
                    <w:rPr>
                      <w:sz w:val="21"/>
                      <w:color w:val="000000"/>
                    </w:rPr>
                    <w:t>≥</w:t>
                  </w:r>
                  <w:r>
                    <w:rPr>
                      <w:sz w:val="21"/>
                      <w:color w:val="000000"/>
                    </w:rPr>
                    <w:t>ABS工程塑料/冷轧钢板；</w:t>
                  </w:r>
                </w:p>
                <w:p>
                  <w:pPr>
                    <w:pStyle w:val="null3"/>
                    <w:ind w:firstLine="420"/>
                    <w:jc w:val="left"/>
                  </w:pPr>
                  <w:r>
                    <w:rPr>
                      <w:sz w:val="21"/>
                      <w:color w:val="000000"/>
                    </w:rPr>
                    <w:t>10.抽屉承重：</w:t>
                  </w:r>
                  <w:r>
                    <w:rPr>
                      <w:sz w:val="21"/>
                      <w:color w:val="000000"/>
                    </w:rPr>
                    <w:t>≥</w:t>
                  </w:r>
                  <w:r>
                    <w:rPr>
                      <w:sz w:val="21"/>
                      <w:color w:val="000000"/>
                    </w:rPr>
                    <w:t>约</w:t>
                  </w:r>
                  <w:r>
                    <w:rPr>
                      <w:sz w:val="21"/>
                      <w:color w:val="000000"/>
                    </w:rPr>
                    <w:t>10～15KG/一层；</w:t>
                  </w:r>
                </w:p>
                <w:p>
                  <w:pPr>
                    <w:pStyle w:val="null3"/>
                    <w:ind w:firstLine="420"/>
                    <w:jc w:val="left"/>
                  </w:pPr>
                  <w:r>
                    <w:rPr>
                      <w:sz w:val="21"/>
                      <w:color w:val="000000"/>
                    </w:rPr>
                    <w:t>11.除湿范围：</w:t>
                  </w:r>
                  <w:r>
                    <w:rPr>
                      <w:sz w:val="21"/>
                      <w:color w:val="000000"/>
                    </w:rPr>
                    <w:t>≥</w:t>
                  </w:r>
                  <w:r>
                    <w:rPr>
                      <w:sz w:val="21"/>
                      <w:color w:val="000000"/>
                    </w:rPr>
                    <w:t>35%Rh～75%Rh；</w:t>
                  </w:r>
                </w:p>
                <w:p>
                  <w:pPr>
                    <w:pStyle w:val="null3"/>
                    <w:ind w:firstLine="420"/>
                    <w:jc w:val="left"/>
                  </w:pPr>
                  <w:r>
                    <w:rPr>
                      <w:sz w:val="21"/>
                      <w:color w:val="000000"/>
                    </w:rPr>
                    <w:t>12.显示方式：</w:t>
                  </w:r>
                  <w:r>
                    <w:rPr>
                      <w:sz w:val="21"/>
                      <w:color w:val="000000"/>
                    </w:rPr>
                    <w:t>≥</w:t>
                  </w:r>
                  <w:r>
                    <w:rPr>
                      <w:sz w:val="21"/>
                      <w:color w:val="000000"/>
                    </w:rPr>
                    <w:t>电子表</w:t>
                  </w:r>
                  <w:r>
                    <w:rPr>
                      <w:sz w:val="21"/>
                      <w:color w:val="000000"/>
                    </w:rPr>
                    <w:t>/数显表/数控表（精度士5%Rh）；</w:t>
                  </w:r>
                </w:p>
                <w:p>
                  <w:pPr>
                    <w:pStyle w:val="null3"/>
                    <w:ind w:firstLine="420"/>
                    <w:jc w:val="left"/>
                  </w:pPr>
                  <w:r>
                    <w:rPr>
                      <w:sz w:val="21"/>
                      <w:color w:val="000000"/>
                    </w:rPr>
                    <w:t>13.钥匙：</w:t>
                  </w:r>
                  <w:r>
                    <w:rPr>
                      <w:sz w:val="21"/>
                      <w:color w:val="000000"/>
                    </w:rPr>
                    <w:t>≥</w:t>
                  </w:r>
                  <w:r>
                    <w:rPr>
                      <w:sz w:val="21"/>
                      <w:color w:val="000000"/>
                    </w:rPr>
                    <w:t>2条；</w:t>
                  </w:r>
                </w:p>
                <w:p>
                  <w:pPr>
                    <w:pStyle w:val="null3"/>
                    <w:ind w:firstLine="420"/>
                    <w:jc w:val="left"/>
                  </w:pPr>
                  <w:r>
                    <w:rPr>
                      <w:sz w:val="21"/>
                      <w:color w:val="000000"/>
                    </w:rPr>
                    <w:t>14.操作方式：无极旋钮调节/触控调节。</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bl>
          <w:p>
            <w:pPr>
              <w:pStyle w:val="null3"/>
            </w:pPr>
            <w:r>
              <w:rPr/>
              <w:t xml:space="preserve"> </w:t>
            </w:r>
            <w:r>
              <w:rPr>
                <w:sz w:val="21"/>
                <w:b/>
              </w:rPr>
              <w:t>家具规格参考图</w:t>
            </w:r>
            <w:r>
              <w:br/>
            </w:r>
            <w:r>
              <w:rPr>
                <w:sz w:val="21"/>
                <w:b/>
                <w:color w:val="000000"/>
              </w:rPr>
              <w:t>配套家具：序号29；产品名称：</w:t>
            </w:r>
            <w:r>
              <w:rPr>
                <w:sz w:val="21"/>
                <w:color w:val="000000"/>
              </w:rPr>
              <w:t>电脑桌</w:t>
            </w:r>
            <w:r>
              <w:rPr>
                <w:sz w:val="21"/>
                <w:b/>
                <w:color w:val="000000"/>
              </w:rPr>
              <w:t>；</w:t>
            </w:r>
            <w:r>
              <w:rPr>
                <w:sz w:val="21"/>
                <w:b/>
                <w:color w:val="000000"/>
              </w:rPr>
              <w:t>数量</w:t>
            </w:r>
            <w:r>
              <w:rPr>
                <w:sz w:val="21"/>
                <w:b/>
                <w:color w:val="000000"/>
              </w:rPr>
              <w:t>单位：</w:t>
            </w:r>
            <w:r>
              <w:rPr>
                <w:sz w:val="21"/>
                <w:color w:val="000000"/>
              </w:rPr>
              <w:t>40</w:t>
            </w:r>
            <w:r>
              <w:rPr>
                <w:sz w:val="21"/>
              </w:rPr>
              <w:t>张；</w:t>
            </w:r>
          </w:p>
          <w:p>
            <w:pPr>
              <w:pStyle w:val="null3"/>
            </w:pPr>
            <w:r>
              <w:drawing>
                <wp:inline distT="0" distR="0" distB="0" distL="0">
                  <wp:extent cx="3554730" cy="203698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554730" cy="2036980"/>
                          </a:xfrm>
                          <a:prstGeom prst="rect">
                            <a:avLst/>
                          </a:prstGeom>
                        </pic:spPr>
                      </pic:pic>
                    </a:graphicData>
                  </a:graphic>
                </wp:inline>
              </w:drawing>
            </w:r>
            <w:r>
              <w:br/>
            </w:r>
            <w:r>
              <w:rPr>
                <w:sz w:val="21"/>
                <w:b/>
                <w:color w:val="000000"/>
              </w:rPr>
              <w:t>配套家具：序号30；</w:t>
            </w:r>
            <w:r>
              <w:rPr>
                <w:sz w:val="21"/>
                <w:b/>
                <w:color w:val="000000"/>
              </w:rPr>
              <w:t>产品名称：</w:t>
            </w:r>
            <w:r>
              <w:rPr>
                <w:sz w:val="21"/>
                <w:color w:val="000000"/>
              </w:rPr>
              <w:t>工作台</w:t>
            </w:r>
            <w:r>
              <w:rPr>
                <w:sz w:val="21"/>
                <w:b/>
                <w:color w:val="000000"/>
              </w:rPr>
              <w:t>；</w:t>
            </w:r>
            <w:r>
              <w:rPr>
                <w:sz w:val="21"/>
                <w:b/>
                <w:color w:val="000000"/>
              </w:rPr>
              <w:t>数量</w:t>
            </w:r>
            <w:r>
              <w:rPr>
                <w:sz w:val="21"/>
                <w:b/>
                <w:color w:val="000000"/>
              </w:rPr>
              <w:t>单位：</w:t>
            </w:r>
            <w:r>
              <w:rPr>
                <w:sz w:val="21"/>
                <w:color w:val="000000"/>
              </w:rPr>
              <w:t>1</w:t>
            </w:r>
            <w:r>
              <w:rPr>
                <w:sz w:val="21"/>
              </w:rPr>
              <w:t>张</w:t>
            </w:r>
            <w:r>
              <w:rPr>
                <w:sz w:val="21"/>
              </w:rPr>
              <w:t>；</w:t>
            </w:r>
            <w:r>
              <w:br/>
            </w:r>
            <w:r>
              <w:drawing>
                <wp:inline distT="0" distR="0" distB="0" distL="0">
                  <wp:extent cx="3554730" cy="2176164"/>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3554730" cy="2176164"/>
                          </a:xfrm>
                          <a:prstGeom prst="rect">
                            <a:avLst/>
                          </a:prstGeom>
                        </pic:spPr>
                      </pic:pic>
                    </a:graphicData>
                  </a:graphic>
                </wp:inline>
              </w:drawing>
            </w:r>
            <w:r>
              <w:br/>
            </w:r>
            <w:r>
              <w:rPr>
                <w:sz w:val="21"/>
                <w:b/>
                <w:color w:val="000000"/>
              </w:rPr>
              <w:t>配套家具：序号</w:t>
            </w:r>
            <w:r>
              <w:rPr>
                <w:sz w:val="21"/>
                <w:color w:val="000000"/>
              </w:rPr>
              <w:t>3</w:t>
            </w:r>
            <w:r>
              <w:rPr>
                <w:sz w:val="21"/>
                <w:color w:val="000000"/>
              </w:rPr>
              <w:t>1</w:t>
            </w:r>
            <w:r>
              <w:rPr>
                <w:sz w:val="21"/>
                <w:b/>
                <w:color w:val="000000"/>
              </w:rPr>
              <w:t>；</w:t>
            </w:r>
            <w:r>
              <w:rPr>
                <w:sz w:val="21"/>
                <w:b/>
                <w:color w:val="000000"/>
              </w:rPr>
              <w:t>产品名称：</w:t>
            </w:r>
            <w:r>
              <w:rPr>
                <w:sz w:val="21"/>
                <w:color w:val="000000"/>
              </w:rPr>
              <w:t>置物架（</w:t>
            </w:r>
            <w:r>
              <w:rPr>
                <w:sz w:val="21"/>
                <w:color w:val="000000"/>
              </w:rPr>
              <w:t>≥</w:t>
            </w:r>
            <w:r>
              <w:rPr>
                <w:sz w:val="21"/>
                <w:color w:val="000000"/>
              </w:rPr>
              <w:t>120</w:t>
            </w:r>
            <w:r>
              <w:rPr>
                <w:sz w:val="21"/>
                <w:color w:val="000000"/>
              </w:rPr>
              <w:t>cm</w:t>
            </w:r>
            <w:r>
              <w:rPr>
                <w:sz w:val="21"/>
                <w:color w:val="000000"/>
              </w:rPr>
              <w:t>*40</w:t>
            </w:r>
            <w:r>
              <w:rPr>
                <w:sz w:val="21"/>
                <w:color w:val="000000"/>
              </w:rPr>
              <w:t>cm</w:t>
            </w:r>
            <w:r>
              <w:rPr>
                <w:sz w:val="21"/>
                <w:color w:val="000000"/>
              </w:rPr>
              <w:t>*222</w:t>
            </w:r>
            <w:r>
              <w:rPr>
                <w:sz w:val="21"/>
                <w:color w:val="000000"/>
              </w:rPr>
              <w:t>cm</w:t>
            </w:r>
            <w:r>
              <w:rPr>
                <w:sz w:val="21"/>
                <w:color w:val="000000"/>
              </w:rPr>
              <w:t>）</w:t>
            </w:r>
            <w:r>
              <w:rPr>
                <w:sz w:val="21"/>
                <w:b/>
                <w:color w:val="000000"/>
              </w:rPr>
              <w:t>；</w:t>
            </w:r>
            <w:r>
              <w:rPr>
                <w:sz w:val="21"/>
                <w:b/>
                <w:color w:val="000000"/>
              </w:rPr>
              <w:t>数量</w:t>
            </w:r>
            <w:r>
              <w:rPr>
                <w:sz w:val="21"/>
                <w:b/>
                <w:color w:val="000000"/>
              </w:rPr>
              <w:t>单位：</w:t>
            </w:r>
            <w:r>
              <w:rPr>
                <w:sz w:val="21"/>
                <w:color w:val="000000"/>
              </w:rPr>
              <w:t>5</w:t>
            </w:r>
            <w:r>
              <w:rPr>
                <w:sz w:val="21"/>
              </w:rPr>
              <w:t>个</w:t>
            </w:r>
            <w:r>
              <w:rPr>
                <w:sz w:val="21"/>
              </w:rPr>
              <w:t>；</w:t>
            </w:r>
            <w:r>
              <w:br/>
            </w:r>
            <w:r>
              <w:drawing>
                <wp:inline distT="0" distR="0" distB="0" distL="0">
                  <wp:extent cx="3554730" cy="3264343"/>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3554730" cy="3264343"/>
                          </a:xfrm>
                          <a:prstGeom prst="rect">
                            <a:avLst/>
                          </a:prstGeom>
                        </pic:spPr>
                      </pic:pic>
                    </a:graphicData>
                  </a:graphic>
                </wp:inline>
              </w:drawing>
            </w:r>
          </w:p>
          <w:p>
            <w:pPr>
              <w:pStyle w:val="null3"/>
            </w:pPr>
            <w:r>
              <w:rPr>
                <w:sz w:val="21"/>
                <w:b/>
                <w:color w:val="000000"/>
              </w:rPr>
              <w:t>配套家具：序号</w:t>
            </w:r>
            <w:r>
              <w:rPr>
                <w:sz w:val="21"/>
                <w:color w:val="000000"/>
              </w:rPr>
              <w:t>3</w:t>
            </w:r>
            <w:r>
              <w:rPr>
                <w:sz w:val="21"/>
                <w:color w:val="000000"/>
              </w:rPr>
              <w:t>2</w:t>
            </w:r>
            <w:r>
              <w:rPr>
                <w:sz w:val="21"/>
                <w:b/>
                <w:color w:val="000000"/>
              </w:rPr>
              <w:t>；</w:t>
            </w:r>
            <w:r>
              <w:rPr>
                <w:sz w:val="21"/>
                <w:b/>
                <w:color w:val="000000"/>
              </w:rPr>
              <w:t>产品名称：</w:t>
            </w:r>
            <w:r>
              <w:rPr>
                <w:sz w:val="21"/>
                <w:color w:val="000000"/>
              </w:rPr>
              <w:t>置物架（</w:t>
            </w:r>
            <w:r>
              <w:rPr>
                <w:sz w:val="21"/>
                <w:color w:val="000000"/>
              </w:rPr>
              <w:t>≥</w:t>
            </w:r>
            <w:r>
              <w:rPr>
                <w:sz w:val="21"/>
                <w:color w:val="000000"/>
              </w:rPr>
              <w:t>200</w:t>
            </w:r>
            <w:r>
              <w:rPr>
                <w:sz w:val="21"/>
                <w:color w:val="000000"/>
              </w:rPr>
              <w:t>cm</w:t>
            </w:r>
            <w:r>
              <w:rPr>
                <w:sz w:val="21"/>
                <w:color w:val="000000"/>
              </w:rPr>
              <w:t>*60</w:t>
            </w:r>
            <w:r>
              <w:rPr>
                <w:sz w:val="21"/>
                <w:color w:val="000000"/>
              </w:rPr>
              <w:t>cm</w:t>
            </w:r>
            <w:r>
              <w:rPr>
                <w:sz w:val="21"/>
                <w:color w:val="000000"/>
              </w:rPr>
              <w:t>*200</w:t>
            </w:r>
            <w:r>
              <w:rPr>
                <w:sz w:val="21"/>
                <w:color w:val="000000"/>
              </w:rPr>
              <w:t>cm</w:t>
            </w:r>
            <w:r>
              <w:rPr>
                <w:sz w:val="21"/>
                <w:color w:val="000000"/>
              </w:rPr>
              <w:t>）</w:t>
            </w:r>
            <w:r>
              <w:rPr>
                <w:sz w:val="21"/>
                <w:b/>
                <w:color w:val="000000"/>
              </w:rPr>
              <w:t>；</w:t>
            </w:r>
            <w:r>
              <w:rPr>
                <w:sz w:val="21"/>
                <w:b/>
                <w:color w:val="000000"/>
              </w:rPr>
              <w:t>数量</w:t>
            </w:r>
            <w:r>
              <w:rPr>
                <w:sz w:val="21"/>
                <w:b/>
                <w:color w:val="000000"/>
              </w:rPr>
              <w:t>单位：</w:t>
            </w:r>
            <w:r>
              <w:rPr>
                <w:sz w:val="21"/>
                <w:color w:val="000000"/>
              </w:rPr>
              <w:t>15</w:t>
            </w:r>
            <w:r>
              <w:rPr>
                <w:sz w:val="21"/>
              </w:rPr>
              <w:t>个</w:t>
            </w:r>
            <w:r>
              <w:rPr>
                <w:sz w:val="21"/>
              </w:rPr>
              <w:t>；</w:t>
            </w:r>
            <w:r>
              <w:br/>
            </w:r>
            <w:r>
              <w:drawing>
                <wp:inline distT="0" distR="0" distB="0" distL="0">
                  <wp:extent cx="3554730" cy="4228092"/>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3554730" cy="4228092"/>
                          </a:xfrm>
                          <a:prstGeom prst="rect">
                            <a:avLst/>
                          </a:prstGeom>
                        </pic:spPr>
                      </pic:pic>
                    </a:graphicData>
                  </a:graphic>
                </wp:inline>
              </w:drawing>
            </w:r>
          </w:p>
          <w:p>
            <w:pPr>
              <w:pStyle w:val="null3"/>
            </w:pPr>
            <w:r>
              <w:rPr>
                <w:sz w:val="21"/>
                <w:b/>
                <w:color w:val="000000"/>
              </w:rPr>
              <w:t>配套家具：序号</w:t>
            </w:r>
            <w:r>
              <w:rPr>
                <w:sz w:val="21"/>
                <w:color w:val="000000"/>
              </w:rPr>
              <w:t>3</w:t>
            </w:r>
            <w:r>
              <w:rPr>
                <w:sz w:val="21"/>
                <w:color w:val="000000"/>
              </w:rPr>
              <w:t>2</w:t>
            </w:r>
            <w:r>
              <w:rPr>
                <w:sz w:val="21"/>
                <w:b/>
                <w:color w:val="000000"/>
              </w:rPr>
              <w:t>；</w:t>
            </w:r>
            <w:r>
              <w:rPr>
                <w:sz w:val="21"/>
                <w:b/>
                <w:color w:val="000000"/>
              </w:rPr>
              <w:t>产品名称：</w:t>
            </w:r>
            <w:r>
              <w:rPr>
                <w:sz w:val="21"/>
                <w:color w:val="000000"/>
              </w:rPr>
              <w:t>防潮箱</w:t>
            </w:r>
            <w:r>
              <w:rPr>
                <w:sz w:val="21"/>
                <w:b/>
                <w:color w:val="000000"/>
              </w:rPr>
              <w:t>；</w:t>
            </w:r>
            <w:r>
              <w:rPr>
                <w:sz w:val="21"/>
                <w:b/>
                <w:color w:val="000000"/>
              </w:rPr>
              <w:t>数量</w:t>
            </w:r>
            <w:r>
              <w:rPr>
                <w:sz w:val="21"/>
                <w:b/>
                <w:color w:val="000000"/>
              </w:rPr>
              <w:t>单位：</w:t>
            </w:r>
            <w:r>
              <w:rPr>
                <w:sz w:val="21"/>
                <w:color w:val="000000"/>
              </w:rPr>
              <w:t>5</w:t>
            </w:r>
            <w:r>
              <w:rPr>
                <w:sz w:val="21"/>
                <w:color w:val="000000"/>
              </w:rPr>
              <w:t>个</w:t>
            </w:r>
            <w:r>
              <w:rPr>
                <w:sz w:val="21"/>
              </w:rPr>
              <w:t>；</w:t>
            </w:r>
            <w:r>
              <w:br/>
            </w:r>
            <w:r>
              <w:drawing>
                <wp:inline distT="0" distR="0" distB="0" distL="0">
                  <wp:extent cx="3554730" cy="4519858"/>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10"/>
                          <a:stretch>
                            <a:fillRect/>
                          </a:stretch>
                        </pic:blipFill>
                        <pic:spPr>
                          <a:xfrm>
                            <a:off x="0" y="0"/>
                            <a:ext cx="3554730" cy="4519858"/>
                          </a:xfrm>
                          <a:prstGeom prst="rect">
                            <a:avLst/>
                          </a:prstGeom>
                        </pic:spPr>
                      </pic:pic>
                    </a:graphicData>
                  </a:graphic>
                </wp:inline>
              </w:drawing>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采购包2（工作站等设备）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合同签订后30天内完成交货，因场地因素，安装及调试的时间由甲方另行通知乙方。</w:t>
            </w:r>
          </w:p>
        </w:tc>
      </w:tr>
      <w:tr>
        <w:tc>
          <w:tcPr>
            <w:tcW w:type="dxa" w:w="4153"/>
          </w:tcPr>
          <w:p>
            <w:pPr>
              <w:pStyle w:val="null3"/>
            </w:pPr>
            <w:r>
              <w:rPr/>
              <w:t>标的提供的地点</w:t>
            </w:r>
          </w:p>
        </w:tc>
        <w:tc>
          <w:tcPr>
            <w:tcW w:type="dxa" w:w="4153"/>
          </w:tcPr>
          <w:p>
            <w:pPr>
              <w:pStyle w:val="null3"/>
            </w:pPr>
            <w:r>
              <w:rPr/>
              <w:t>采购人指定地点（汕头大学东海岸校区E栋7楼）</w:t>
            </w:r>
          </w:p>
        </w:tc>
      </w:tr>
      <w:tr>
        <w:tc>
          <w:tcPr>
            <w:tcW w:type="dxa" w:w="4153"/>
          </w:tcPr>
          <w:p>
            <w:pPr>
              <w:pStyle w:val="null3"/>
            </w:pPr>
            <w:r>
              <w:rPr/>
              <w:t>付款方式</w:t>
            </w:r>
          </w:p>
        </w:tc>
        <w:tc>
          <w:tcPr>
            <w:tcW w:type="dxa" w:w="4153"/>
          </w:tcPr>
          <w:p>
            <w:pPr>
              <w:pStyle w:val="null3"/>
            </w:pPr>
            <w:r>
              <w:rPr/>
              <w:t>1期：支付比例100%,（1）中标人为非中小企业： 1期：全部货物现场安装及调试完毕并验收合格，采购人收到中标人出具的货物结算款全额增值税专用发票后，在10个工作日内支付结算款的100%给中标人，若中标人不提供货物结算款全额增值税专用发票的，采购人有权拒绝付款。 （2）中标人如为中小企业（根据中标人的投标文件提交《中小企业声明函（货物）》作为判断依据）： 1期：支付比例30%，签订合同后，中标人提供合同货款30%的正规增值税专用发票给采购人，采购人10个工作日内向中标人支付30%的合同货款作为预付款。 2期：支付比例70%，全部货物现场安装及调试完毕并验收合格，中标人提供合同货款70%的增值税专用发票给采购人作为报账凭证，采购人在10个工作日内支付合同货款70%给中标人。若中标人不提供供货货物结算款增值税专用发票的，采购人有权拒绝付款。</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 货物为原厂制造的全新产品，整机无污染，无侵权行为，表面无划损、无任何缺陷隐患。国产产品具备出厂合格证，中标人应将所供设备的用户手册、保修手册、有关资料及配件、随机工具等交付给采购人。 2. 中标人向采购人保证其提供的设备（含软件、硬件）未侵犯任何第三方的产权（包括但不限于专利、商业秘密、商标权），若有第三方以采购人使用的设备侵犯其知识产权为由向采购人索赔，中标人应赔偿采购人由此而遭受的一切损失。 3.进口部件（如有）应按国家有关规定办理进口商检手续，并提供原产地证明（原件）、报关单（原件）、装箱单等有效证明文件，其中证明文件与设备的序列号、包装箱号一致，并可追索查阅。所有物件均应是原厂正品，不能伪造或以次充好，一经发现，中标人需无条件退还已付款项并按本合同总金额的30%赔偿采购人损失。 4. 原则上应在全部货物抵达验收地点、现场安装调试并培训完毕、完成试运行，采购人确认设备正常运转后，在收到中标人验收申请后7日内，由采购人组织各相关人员对货物进行履约验收（另有约定除外）。验收主要涉及设备的精度、操作可靠性、数据准确性、人员培训等方面，期间中标人有义务向采购人解释数据得出及计算原理，以及在不涉及核心技术前提下的数据结构，便于采购人后续使用及数据验证。验收前的质量及安全风险由中标人承担，采购人为此可无偿提供必要的临时仓储场所。在设备抵达合同设备的场地后，采购人应根据中标人预先提供的储存说明，正确地储存设备。如果实际储存条件不允许按照中标人的储存说明进行储存，双方的现场代表应通过共同协商，为设备确定合理的储存方案。 5. 验收过程中，若因产品质量或本身技术参数不能满足采购项目的技术要求或达不到承诺的技术参数，采购人有权要求中标人在协商的期限内予以整改，整改后仍达不到要求，采购人有权索赔，中标人需按合同约定赔偿采购人损失。设备在采购人验收付款前的所有权属于中标人，设备及中标人人员的安全责任及保险费用均由中标人承担。 6. 交付验收标准依次序对照适用标准为：（1）符合中华人民共和国国家安全质量标准、环保标准或行业标准，中标人应随货提供该产品合格或满足相应技术标准规范的证明材料；（2）符合采购文件和响应承诺中采购人认可的合理最佳配置、参数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（一）总体要求</w:t>
            </w:r>
          </w:p>
        </w:tc>
        <w:tc>
          <w:tcPr>
            <w:tcW w:type="dxa" w:w="2076"/>
          </w:tcPr>
          <w:p>
            <w:pPr>
              <w:pStyle w:val="null3"/>
              <w:jc w:val="left"/>
            </w:pPr>
            <w:r>
              <w:rPr/>
              <w:t>1、投标人必须对采购包内的所有采购内容或服务进行整体响应，任何只对部分内容进行响应都被视为无效投标。 2、用户需求书中加注“★”的条款均被视为不可偏离条款，投标人要特别加以注意，必须对此响应并完全满足或优于这些条款，否则若有一项加注“★”的条款未响应或不满足，投标将被否决。 3、用户需求书中加注“▲”的条款为重要条款，如不满足将会导致评审时严重扣分。 4、本采购包核心产品为“工作站1”，提供相同品牌核心设备且通过符合性审查的不同投标人参加同一合同项下投标的，按一家投标人计算；投标人不足3家，则该项目按废标处理。 5、本项目不允许分包、转包。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（一）总体要求</w:t>
            </w:r>
          </w:p>
        </w:tc>
        <w:tc>
          <w:tcPr>
            <w:tcW w:type="dxa" w:w="2076"/>
          </w:tcPr>
          <w:p>
            <w:pPr>
              <w:pStyle w:val="null3"/>
              <w:jc w:val="left"/>
            </w:pPr>
            <w:r>
              <w:rPr/>
              <w:t>★6、本项目不允许采购进口产品（进口产品是指通过中国海关报关验放进入中国境内且产自关境外的产品）。</w:t>
            </w:r>
          </w:p>
        </w:tc>
      </w:tr>
      <w:tr>
        <w:tc>
          <w:tcPr>
            <w:tcW w:type="dxa" w:w="2076"/>
          </w:tcPr>
          <w:p/>
        </w:tc>
        <w:tc>
          <w:tcPr>
            <w:tcW w:type="dxa" w:w="2076"/>
          </w:tcPr>
          <w:p>
            <w:pPr>
              <w:pStyle w:val="null3"/>
              <w:jc w:val="center"/>
            </w:pPr>
            <w:r>
              <w:rPr/>
              <w:t>3</w:t>
            </w:r>
          </w:p>
        </w:tc>
        <w:tc>
          <w:tcPr>
            <w:tcW w:type="dxa" w:w="2076"/>
          </w:tcPr>
          <w:p>
            <w:pPr>
              <w:pStyle w:val="null3"/>
              <w:jc w:val="left"/>
            </w:pPr>
            <w:r>
              <w:rPr/>
              <w:t>（一）总体要求</w:t>
            </w:r>
          </w:p>
        </w:tc>
        <w:tc>
          <w:tcPr>
            <w:tcW w:type="dxa" w:w="2076"/>
          </w:tcPr>
          <w:p>
            <w:pPr>
              <w:pStyle w:val="null3"/>
              <w:jc w:val="left"/>
            </w:pPr>
            <w:r>
              <w:rPr/>
              <w:t>7、特别提醒：《投标分项报价表》中的信息是中标后签订合同及项目验收的重要依据，为确保项目验收顺利并及时支付，请投标人在编制投标文件前，仔细核对拟投标产品的品牌、规格型号、制造商、产地等信息，确保报价表中填写的信息与投标实物信息相一致！交付时提供的产品实物若出现“货不对版”的情况将影响项目验收和款项支付，问题严重的将无法通过项目验收。</w:t>
            </w:r>
          </w:p>
        </w:tc>
      </w:tr>
      <w:tr>
        <w:tc>
          <w:tcPr>
            <w:tcW w:type="dxa" w:w="2076"/>
          </w:tcPr>
          <w:p/>
        </w:tc>
        <w:tc>
          <w:tcPr>
            <w:tcW w:type="dxa" w:w="2076"/>
          </w:tcPr>
          <w:p>
            <w:pPr>
              <w:pStyle w:val="null3"/>
              <w:jc w:val="center"/>
            </w:pPr>
            <w:r>
              <w:rPr/>
              <w:t>4</w:t>
            </w:r>
          </w:p>
        </w:tc>
        <w:tc>
          <w:tcPr>
            <w:tcW w:type="dxa" w:w="2076"/>
          </w:tcPr>
          <w:p>
            <w:pPr>
              <w:pStyle w:val="null3"/>
              <w:jc w:val="left"/>
            </w:pPr>
            <w:r>
              <w:rPr/>
              <w:t>（二）报价要求</w:t>
            </w:r>
          </w:p>
        </w:tc>
        <w:tc>
          <w:tcPr>
            <w:tcW w:type="dxa" w:w="2076"/>
          </w:tcPr>
          <w:p>
            <w:pPr>
              <w:pStyle w:val="null3"/>
              <w:jc w:val="left"/>
            </w:pPr>
            <w:r>
              <w:rPr/>
              <w:t>1、投标价格包括：（1）货物及零配件的购置和安装、运输保险、装卸、培训辅导、保修期售后服务、全额含税发票、雇员费用、合同实施过程中应预见和不可预见费用等；（2）招标范围内所有设备及配件费；（3）安装中的相关费用（包括安装过程中损耗、额外材料、设计费等）；（4）人员培训和售后服务的相关费用。 2、中标人负责项目用户需求书中列出的所有货物采购及服务内容，以及其他隐含的配套工作。中标人应充分考虑影响报价的各种因素和风险。招标人不再支付中标金额以外的任何费用。</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（二）报价要求</w:t>
            </w:r>
          </w:p>
        </w:tc>
        <w:tc>
          <w:tcPr>
            <w:tcW w:type="dxa" w:w="2076"/>
          </w:tcPr>
          <w:p>
            <w:pPr>
              <w:pStyle w:val="null3"/>
              <w:jc w:val="left"/>
            </w:pPr>
            <w:r>
              <w:rPr/>
              <w:t>★3、本采购包的投标人所报总价不能超过该包组的采购预算价，否则投标将被否决。</w:t>
            </w:r>
          </w:p>
        </w:tc>
      </w:tr>
      <w:tr>
        <w:tc>
          <w:tcPr>
            <w:tcW w:type="dxa" w:w="2076"/>
          </w:tcPr>
          <w:p/>
        </w:tc>
        <w:tc>
          <w:tcPr>
            <w:tcW w:type="dxa" w:w="2076"/>
          </w:tcPr>
          <w:p>
            <w:pPr>
              <w:pStyle w:val="null3"/>
              <w:jc w:val="center"/>
            </w:pPr>
            <w:r>
              <w:rPr/>
              <w:t>6</w:t>
            </w:r>
          </w:p>
        </w:tc>
        <w:tc>
          <w:tcPr>
            <w:tcW w:type="dxa" w:w="2076"/>
          </w:tcPr>
          <w:p>
            <w:pPr>
              <w:pStyle w:val="null3"/>
              <w:jc w:val="left"/>
            </w:pPr>
            <w:r>
              <w:rPr/>
              <w:t>（三）供货要求</w:t>
            </w:r>
          </w:p>
        </w:tc>
        <w:tc>
          <w:tcPr>
            <w:tcW w:type="dxa" w:w="2076"/>
          </w:tcPr>
          <w:p>
            <w:pPr>
              <w:pStyle w:val="null3"/>
              <w:jc w:val="left"/>
            </w:pPr>
            <w:r>
              <w:rPr/>
              <w:t>1、投标人应对投标设备列明其品牌、型号、制造商名称、产地、技术参数、功能介绍和使用说明。 2、对于影响设备正常工作的必要组成部分，无论在采购技术规范中指出与否，投标人都应提供并在投标文件中明确列出。 3、投标人所投货物的名称、品牌/制造商名称、型号、规格、配置（包括备品备件）、产地、数量等信息必须准确无误，且应与机器（机身铭牌）上的信息完全一致，中标后在签署合同和供货等后续环节均不得再作任何修改。 4、凡列入《中华人民共和国实施强制性产品认证的产品目录》的产品在验收时须出具CCC认证证书复印件，并以在产品外部加施认证标志作为验收依据之一。 5、中标人保证其合同项下提供的货物和服务不侵犯任何第三人的合法权益，否则，由中标人承担因此导致的一切法律后果，并赔偿采购人因此遭受的全部损失，包括但不限于直接经济损失、预期收益损失、名誉损失、维护权益的成本等。</w:t>
            </w:r>
          </w:p>
        </w:tc>
      </w:tr>
      <w:tr>
        <w:tc>
          <w:tcPr>
            <w:tcW w:type="dxa" w:w="2076"/>
          </w:tcPr>
          <w:p/>
        </w:tc>
        <w:tc>
          <w:tcPr>
            <w:tcW w:type="dxa" w:w="2076"/>
          </w:tcPr>
          <w:p>
            <w:pPr>
              <w:pStyle w:val="null3"/>
              <w:jc w:val="center"/>
            </w:pPr>
            <w:r>
              <w:rPr/>
              <w:t>7</w:t>
            </w:r>
          </w:p>
        </w:tc>
        <w:tc>
          <w:tcPr>
            <w:tcW w:type="dxa" w:w="2076"/>
          </w:tcPr>
          <w:p>
            <w:pPr>
              <w:pStyle w:val="null3"/>
              <w:jc w:val="left"/>
            </w:pPr>
            <w:r>
              <w:rPr/>
              <w:t>（四）货物要求</w:t>
            </w:r>
          </w:p>
        </w:tc>
        <w:tc>
          <w:tcPr>
            <w:tcW w:type="dxa" w:w="2076"/>
          </w:tcPr>
          <w:p>
            <w:pPr>
              <w:pStyle w:val="null3"/>
              <w:jc w:val="left"/>
            </w:pPr>
            <w:r>
              <w:rPr/>
              <w:t>1、货物为原厂制造的全新产品，整机无污染，无侵权行为，表面无划损、无任何缺陷隐患，在中国境内可依常规安全合法使用。国产产品具备出厂合格证。 2、投标人向采购人保证其提供的设备（含软件、硬件）未侵犯任何第三方的产权（包括但不限于专利、商业秘密、商标权），若有第三方以采购人使用的设备侵犯其知识产权为由向采购人索赔，投标人应赔偿采购人由此而遭受的一切损失。 3、进口部件须按国家有关规定办理进口商检手续，并提供原产地证明（原件）、报关单（原件）、装箱单等有效证明文件，其中证明文件与设备的序列号、包装箱号一致，并可追索查阅。所有物件均应是原厂正品，不能伪造或以次充好，一经发现，投标人需无条件退还已付款项并按本合同总金额的30%赔偿采购人损失。 4、货物为原厂商未启封全新包装，具出厂合格证，序列号、包装箱号与出厂批号一致，并可追索查阅。 5、中标人应将关键主机设备的用户手册、保修手册、有关单证资料及配备件、随机工具等交付给采购人，使用操作及安全须知等重要资料应附有中文说明。</w:t>
            </w:r>
          </w:p>
        </w:tc>
      </w:tr>
      <w:tr>
        <w:tc>
          <w:tcPr>
            <w:tcW w:type="dxa" w:w="2076"/>
          </w:tcPr>
          <w:p/>
        </w:tc>
        <w:tc>
          <w:tcPr>
            <w:tcW w:type="dxa" w:w="2076"/>
          </w:tcPr>
          <w:p>
            <w:pPr>
              <w:pStyle w:val="null3"/>
              <w:jc w:val="center"/>
            </w:pPr>
            <w:r>
              <w:rPr/>
              <w:t>8</w:t>
            </w:r>
          </w:p>
        </w:tc>
        <w:tc>
          <w:tcPr>
            <w:tcW w:type="dxa" w:w="2076"/>
          </w:tcPr>
          <w:p>
            <w:pPr>
              <w:pStyle w:val="null3"/>
              <w:jc w:val="left"/>
            </w:pPr>
            <w:r>
              <w:rPr/>
              <w:t>（五）保修期及售后服务要求</w:t>
            </w:r>
          </w:p>
        </w:tc>
        <w:tc>
          <w:tcPr>
            <w:tcW w:type="dxa" w:w="2076"/>
          </w:tcPr>
          <w:p>
            <w:pPr>
              <w:pStyle w:val="null3"/>
              <w:jc w:val="left"/>
            </w:pPr>
            <w:r>
              <w:rPr/>
              <w:t>（技术要求中另有要求的从其要求） 1、所有设备均须由中标人提供不少于1年的整机保修服务。关键设备享有原生产厂家的技术支持和售后服务，费用包含在合同价之中。货物制造商必须有专业的售后服务力量，提供售后服务联系电话及联系人。 2、保修期内设备维护服务要求（自然灾害等非乙方设备质量原因的除外）：接到保障电话后，在8个小时内进行答复、确定派人修理，在24小时内上门服务并解决问题；如果设备故障在检修48小时后仍无法排除，则中标人必须在双方协商的时间内提供相同规格的替代设备部件，以免影响正常的工作。在15个工作日内仍无法修复设备故障，采购人有权要求中标人无条件更换该设备的零部件；保修期内同一硬件一个月内连续2次出现同一故障，中标人无偿更换同一档次的设备或部件。所有设备保修服务方式均为上门保修由此产生的一切费用均由中标人承担。 3、中标人在保修期内负责软硬件系统运行的稳定性，负责更换硬件故障部件或修改出错的软件系统，费用包含在合同价之中。若中标人提供的软硬件系统在功能上、性能上达不到使用要求，采购人有权要求中标人进行及时完善和修改。如果在质量保证期内中标人未能按上述约定承担维修责任，采购人有权不予返还履约保证金，并对由此引起的损失要求中标人进行赔偿。 4、保修期后设备维护服务要求：(1)保修期过后，中标人需继续为所售设备提供支持服务。(2)服务内容：与保修期内的售后服务内容相同。(3)服务费用：设备硬件故障需维修时，中标人收取设备维修成本费用。软件新增模块需升级时，中标人收取升级的成本费用，其它服务(中标人工程师现场支持、维护、设备定期检查等)均无条件提供。(4)服务方式和响应时间：与保修期内售后服务方式和响应时间相同。(5)服务范围：中标人所售所有设备及相关软件。 5、质量保证期内由于设备本身质量原因导致的问题或故障，由中标人负责解决并承担所有费用，期满后仍须提供良好的技术支持及零配件的优惠供应，定期对采购人的设备进行维护和回访。 6、如因为调试、安装及运输等非质量原因导致的设备损坏乙方负责解决并承担所有费用。 7、质量保证期内，如设备或零部件非人为因素出现故障而造成短期停用时，则质量保证期和维修期不需要顺延。如设备因自身故障致停用时间单次超过30天则保修期在设备状态恢复正常时重新起计。 8、如果在质量保证期内中标人未能按上述约定承担维修责任，采购人有权不予返还履约保证金，并对由此引起的损失要求中标人进行赔偿。中标人负责向采购人提供现场安全操作及必要的维护保养培训。</w:t>
            </w:r>
          </w:p>
        </w:tc>
      </w:tr>
      <w:tr>
        <w:tc>
          <w:tcPr>
            <w:tcW w:type="dxa" w:w="2076"/>
          </w:tcPr>
          <w:p/>
        </w:tc>
        <w:tc>
          <w:tcPr>
            <w:tcW w:type="dxa" w:w="2076"/>
          </w:tcPr>
          <w:p>
            <w:pPr>
              <w:pStyle w:val="null3"/>
              <w:jc w:val="center"/>
            </w:pPr>
            <w:r>
              <w:rPr/>
              <w:t>9</w:t>
            </w:r>
          </w:p>
        </w:tc>
        <w:tc>
          <w:tcPr>
            <w:tcW w:type="dxa" w:w="2076"/>
          </w:tcPr>
          <w:p>
            <w:pPr>
              <w:pStyle w:val="null3"/>
              <w:jc w:val="left"/>
            </w:pPr>
            <w:r>
              <w:rPr/>
              <w:t>（六）包装、保险及发运、保管要求</w:t>
            </w:r>
          </w:p>
        </w:tc>
        <w:tc>
          <w:tcPr>
            <w:tcW w:type="dxa" w:w="2076"/>
          </w:tcPr>
          <w:p>
            <w:pPr>
              <w:pStyle w:val="null3"/>
              <w:jc w:val="left"/>
            </w:pPr>
            <w:r>
              <w:rPr/>
              <w:t>1、设备材料的包装必须是制造商原厂包装，其包装均应有良好的防湿、防锈、防潮、防雨、防腐及防碰撞的措施，符合《商品包装政府采购需求标准（试行）》及《快递包装政府采购需求标准（试行）》的要求，凡由于包装不良造成的损失和由此产生的费用均由中标人承担。 2、中标人负责将设备材料货到现场过程中的全部运输，包括装卸车、货物现场的搬运。 3、货物在现场的保管由中标人负责，直至项目安装、验收完毕。 4、货物在系统安装调试验收合格前的保险由中标人负责，中标人负责其派出的现场服务人员人身意外保险。 5、设备至采购人指定的使用现场的包装、保险及发运等环节和费用均由中标人负责。</w:t>
            </w:r>
          </w:p>
        </w:tc>
      </w:tr>
      <w:tr>
        <w:tc>
          <w:tcPr>
            <w:tcW w:type="dxa" w:w="2076"/>
          </w:tcPr>
          <w:p/>
        </w:tc>
        <w:tc>
          <w:tcPr>
            <w:tcW w:type="dxa" w:w="2076"/>
          </w:tcPr>
          <w:p>
            <w:pPr>
              <w:pStyle w:val="null3"/>
              <w:jc w:val="center"/>
            </w:pPr>
            <w:r>
              <w:rPr/>
              <w:t>10</w:t>
            </w:r>
          </w:p>
        </w:tc>
        <w:tc>
          <w:tcPr>
            <w:tcW w:type="dxa" w:w="2076"/>
          </w:tcPr>
          <w:p>
            <w:pPr>
              <w:pStyle w:val="null3"/>
              <w:jc w:val="left"/>
            </w:pPr>
            <w:r>
              <w:rPr/>
              <w:t>（七）其他</w:t>
            </w:r>
          </w:p>
        </w:tc>
        <w:tc>
          <w:tcPr>
            <w:tcW w:type="dxa" w:w="2076"/>
          </w:tcPr>
          <w:p>
            <w:pPr>
              <w:pStyle w:val="null3"/>
              <w:jc w:val="left"/>
            </w:pPr>
            <w:r>
              <w:rPr/>
              <w:t>按合同约定。</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图形工作站</w:t>
            </w:r>
          </w:p>
        </w:tc>
        <w:tc>
          <w:tcPr>
            <w:tcW w:type="dxa" w:w="831"/>
          </w:tcPr>
          <w:p>
            <w:pPr>
              <w:pStyle w:val="null3"/>
              <w:jc w:val="left"/>
            </w:pPr>
            <w:r>
              <w:rPr/>
              <w:t>工作站1</w:t>
            </w:r>
          </w:p>
        </w:tc>
        <w:tc>
          <w:tcPr>
            <w:tcW w:type="dxa" w:w="831"/>
          </w:tcPr>
          <w:p>
            <w:pPr>
              <w:pStyle w:val="null3"/>
              <w:jc w:val="left"/>
            </w:pPr>
            <w:r>
              <w:rPr/>
              <w:t>台</w:t>
            </w:r>
          </w:p>
        </w:tc>
        <w:tc>
          <w:tcPr>
            <w:tcW w:type="dxa" w:w="831"/>
          </w:tcPr>
          <w:p>
            <w:pPr>
              <w:pStyle w:val="null3"/>
              <w:jc w:val="right"/>
            </w:pPr>
            <w:r>
              <w:rPr/>
              <w:t>54.00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图形工作站</w:t>
            </w:r>
          </w:p>
        </w:tc>
        <w:tc>
          <w:tcPr>
            <w:tcW w:type="dxa" w:w="831"/>
          </w:tcPr>
          <w:p>
            <w:pPr>
              <w:pStyle w:val="null3"/>
              <w:jc w:val="left"/>
            </w:pPr>
            <w:r>
              <w:rPr/>
              <w:t>工作站2、3（3D虚拟内容制作工作站）等一批设备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0.00</w:t>
            </w:r>
          </w:p>
        </w:tc>
        <w:tc>
          <w:tcPr>
            <w:tcW w:type="dxa" w:w="831"/>
          </w:tcPr>
          <w:p>
            <w:pPr>
              <w:pStyle w:val="null3"/>
              <w:jc w:val="right"/>
            </w:pPr>
            <w:r>
              <w:rPr/>
              <w:t>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工作站1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工作站</w:t>
            </w:r>
            <w:r>
              <w:rPr>
                <w:sz w:val="21"/>
              </w:rPr>
              <w:t xml:space="preserve">1   </w:t>
            </w:r>
            <w:r>
              <w:rPr>
                <w:sz w:val="21"/>
              </w:rPr>
              <w:t>54台</w:t>
            </w:r>
          </w:p>
          <w:tbl>
            <w:tblPr>
              <w:tblBorders>
                <w:top w:val="none" w:color="000000" w:sz="4"/>
                <w:left w:val="none" w:color="000000" w:sz="4"/>
                <w:bottom w:val="none" w:color="000000" w:sz="4"/>
                <w:right w:val="none" w:color="000000" w:sz="4"/>
                <w:insideH w:val="none"/>
                <w:insideV w:val="none"/>
              </w:tblBorders>
            </w:tblPr>
            <w:tblGrid>
              <w:gridCol w:w="368"/>
              <w:gridCol w:w="858"/>
              <w:gridCol w:w="444"/>
              <w:gridCol w:w="1288"/>
              <w:gridCol w:w="2638"/>
            </w:tblGrid>
            <w:tr>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指标分类</w:t>
                  </w:r>
                </w:p>
              </w:tc>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一级指标</w:t>
                  </w:r>
                </w:p>
              </w:tc>
              <w:tc>
                <w:tcPr>
                  <w:tcW w:type="dxa" w:w="1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二级指标</w:t>
                  </w:r>
                </w:p>
              </w:tc>
              <w:tc>
                <w:tcPr>
                  <w:tcW w:type="dxa" w:w="2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指标要求</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★CPU规格</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★CPU信息</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核心数</w:t>
                  </w:r>
                  <w:r>
                    <w:rPr>
                      <w:sz w:val="21"/>
                    </w:rPr>
                    <w:t>≥6核，线程数≥12线程，基准主频≥3.0GHz，末级缓存≥18M</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★内存规格</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★内存配置容量</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≥16GB</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★内存类型</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DDR4 3200MHz</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★内存条配置数量</w:t>
                  </w:r>
                </w:p>
                <w:p>
                  <w:pPr>
                    <w:pStyle w:val="null3"/>
                    <w:jc w:val="center"/>
                  </w:pPr>
                  <w:r>
                    <w:rPr>
                      <w:sz w:val="21"/>
                    </w:rPr>
                    <w:t>(板载内存不涉及)</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★主板规格</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★主板集成模块</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主板芯片组与处理器匹配（</w:t>
                  </w:r>
                  <w:r>
                    <w:rPr>
                      <w:sz w:val="21"/>
                    </w:rPr>
                    <w:t>≥Intel Q670规格），集成资源扩展模块、计算处理模块、音频扩展模块等；可根据CPU温度闭环控制冷却风扇转速</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★主板支持的 CPU和内存情况</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主板支持单颗处理器，支持四内存槽，</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主板内置</w:t>
                  </w:r>
                  <w:r>
                    <w:rPr>
                      <w:sz w:val="21"/>
                    </w:rPr>
                    <w:t>PCIe 插槽数量</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支持数量</w:t>
                  </w:r>
                  <w:r>
                    <w:rPr>
                      <w:sz w:val="21"/>
                    </w:rPr>
                    <w:t>≥3，其中至少包括1个 PCIex16 和2个PCIex4；</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特殊孔位及接口</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a）在计算机主板预留满足 USB3.0 数据传输规范的接口，工作电压 5V，最大过电流应不小于0.9A；</w:t>
                  </w:r>
                </w:p>
                <w:p>
                  <w:pPr>
                    <w:pStyle w:val="null3"/>
                    <w:jc w:val="left"/>
                  </w:pPr>
                  <w:r>
                    <w:rPr>
                      <w:sz w:val="21"/>
                    </w:rPr>
                    <w:t>b) 预留多功能导入装置板卡安装孔位，采用内置方式与主机一体化集成，容量不小于 145mm×125mm×16.5mm（长×宽×高）</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★主板其他内置接口</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主板提供不少于</w:t>
                  </w:r>
                  <w:r>
                    <w:rPr>
                      <w:sz w:val="21"/>
                    </w:rPr>
                    <w:t>1个M.2 SSD接口、3个SATA接口、8个USB接口</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★单内存插槽最大可支持容量</w:t>
                  </w:r>
                </w:p>
                <w:p>
                  <w:pPr>
                    <w:pStyle w:val="null3"/>
                    <w:jc w:val="center"/>
                  </w:pPr>
                  <w:r>
                    <w:rPr>
                      <w:sz w:val="21"/>
                    </w:rPr>
                    <w:t>(板载内存不涉及)</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≥32GB</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★内存插槽满配时提供的最高内存总容量</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≥128GB</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★存储设备规格</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★固态盘数量</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 个</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★固态存储容量</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≥512GB</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★机械硬盘数量</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≥1个</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★机械硬盘总容量</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 TB</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★机械硬盘转速</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≥7200rpm</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机械硬盘接口协议</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SATA3.0及以上接口</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机械硬盘形态</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3.5英寸</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固态存储接口协议</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M.2 NVME PCIE协议</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★固态存储形态</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采用插卡或板载等形态，插卡形态宜符合</w:t>
                  </w:r>
                  <w:r>
                    <w:rPr>
                      <w:sz w:val="21"/>
                    </w:rPr>
                    <w:t>M.2或mSATA等标准尺寸和接口定义</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存储设备扩展盘位</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机械硬盘扩展位</w:t>
                  </w:r>
                  <w:r>
                    <w:rPr>
                      <w:sz w:val="21"/>
                    </w:rPr>
                    <w:t>≥1</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★存储设备其他参数要求</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a）固态盘应符合SJ/T11654相关规定</w:t>
                  </w:r>
                </w:p>
                <w:p>
                  <w:pPr>
                    <w:pStyle w:val="null3"/>
                    <w:jc w:val="left"/>
                  </w:pPr>
                  <w:r>
                    <w:rPr>
                      <w:sz w:val="21"/>
                    </w:rPr>
                    <w:t>b）机械硬盘准备时间应不大于30s；侧面固定螺丝孔数量可为 4 孔或 6 孔；工作状态环境温度应满足 5℃~55℃ ;其它参数应符合 GB/T 12628 的相关规定</w:t>
                  </w:r>
                </w:p>
                <w:p>
                  <w:pPr>
                    <w:pStyle w:val="null3"/>
                    <w:jc w:val="left"/>
                  </w:pPr>
                  <w:r>
                    <w:rPr>
                      <w:sz w:val="21"/>
                    </w:rPr>
                    <w:t>c）硬盘具有数据备份及恢复认证，硬盘减震装置功能</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★显卡规格</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★显卡类型</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CUDA核心≧3584个，加速频率 (GHz) ≧1.78，显存≧12GB</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★独立显卡显存类型</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显存类型</w:t>
                  </w:r>
                  <w:r>
                    <w:rPr>
                      <w:sz w:val="21"/>
                    </w:rPr>
                    <w:t>GDDR6</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★独立显卡显存位宽</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显存位宽</w:t>
                  </w:r>
                  <w:r>
                    <w:rPr>
                      <w:sz w:val="21"/>
                    </w:rPr>
                    <w:t>≥192位</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★独立显卡显存容量</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显存容量</w:t>
                  </w:r>
                  <w:r>
                    <w:rPr>
                      <w:sz w:val="21"/>
                    </w:rPr>
                    <w:t>≥12GB</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独立显卡接口协议</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产品支持</w:t>
                  </w:r>
                  <w:r>
                    <w:rPr>
                      <w:sz w:val="21"/>
                    </w:rPr>
                    <w:t>PCIe 协议版本大于等于3.0的独立显卡接口协议</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★显示设备规格</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★显示屏屏占比</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≥80%</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★显示屏分辨率</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≥1920x1080</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★显示屏可视角度</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水平</w:t>
                  </w:r>
                  <w:r>
                    <w:rPr>
                      <w:sz w:val="21"/>
                    </w:rPr>
                    <w:t>≥178°，垂直≥178°</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★显示屏尺寸</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≥23.8 英寸</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★显示屏屏幕比例</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16:9</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★显示器外观颜色</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黑色</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★显示屏防蓝光</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支持防蓝光模式，蓝光加权辐射亮度比应</w:t>
                  </w:r>
                  <w:r>
                    <w:rPr>
                      <w:sz w:val="21"/>
                    </w:rPr>
                    <w:t>≤0.0012W/(·cd·sr)（瓦每坎特拉每球面度）</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★显示屏低频闪</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显示屏应支持低频闪</w:t>
                  </w:r>
                  <w:r>
                    <w:rPr>
                      <w:sz w:val="21"/>
                    </w:rPr>
                    <w:t>≤-35dB</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★显示屏防炫目</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显示屏镜面反射率</w:t>
                  </w:r>
                  <w:r>
                    <w:rPr>
                      <w:sz w:val="21"/>
                    </w:rPr>
                    <w:t>≤10%</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★外设规格</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传声器数量</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扬声器数量</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★鼠标数量</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 个</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★键盘数量</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 个</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★摄像头数量</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 个</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光驱数量</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 个</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★键盘按键数目</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104 键等</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★摄像头像素</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≥50万</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★摄像头分辨率</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≥800×600</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★扬声器功率</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 瓦/个</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★扬声器频率范围</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不低于（</w:t>
                  </w:r>
                  <w:r>
                    <w:rPr>
                      <w:sz w:val="21"/>
                    </w:rPr>
                    <w:t>100Hz-8kHz）范围</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扬声器总</w:t>
                  </w:r>
                </w:p>
                <w:p>
                  <w:pPr>
                    <w:pStyle w:val="null3"/>
                    <w:jc w:val="center"/>
                  </w:pPr>
                  <w:r>
                    <w:rPr>
                      <w:sz w:val="21"/>
                    </w:rPr>
                    <w:t>谐波失真</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谐波失真在</w:t>
                  </w:r>
                  <w:r>
                    <w:rPr>
                      <w:sz w:val="21"/>
                    </w:rPr>
                    <w:t>100Hz-7kHz 频率范围内不高于 10%</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扬声器最</w:t>
                  </w:r>
                </w:p>
                <w:p>
                  <w:pPr>
                    <w:pStyle w:val="null3"/>
                    <w:jc w:val="center"/>
                  </w:pPr>
                  <w:r>
                    <w:rPr>
                      <w:sz w:val="21"/>
                    </w:rPr>
                    <w:t>大声压级</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最大声压级在粉红噪声播放场景下，工作距离处声压级不低于</w:t>
                  </w:r>
                  <w:r>
                    <w:rPr>
                      <w:sz w:val="21"/>
                    </w:rPr>
                    <w:t>70dB</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★键盘连接方式</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有线</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★键盘键程</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2.3mm ~ 4.0mm</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★键盘按键压力</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按键压力应在</w:t>
                  </w:r>
                  <w:r>
                    <w:rPr>
                      <w:sz w:val="21"/>
                    </w:rPr>
                    <w:t>0.54 N±0.14N</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★有线键盘连接线</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 米</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★键盘颜色</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黑色</w:t>
                  </w:r>
                  <w:r>
                    <w:rPr>
                      <w:sz w:val="21"/>
                    </w:rPr>
                    <w:t>/白色/银色等商务色系</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★键盘其他要求</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键盘外观结构、连接方式、主要功能、安全、电磁兼容性、可靠性应符合</w:t>
                  </w:r>
                  <w:r>
                    <w:rPr>
                      <w:sz w:val="21"/>
                    </w:rPr>
                    <w:t>GB/T14081 的相关规定</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★鼠标连接方式</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有线</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★有线鼠标连接线</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 米</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★鼠标DPI 分辨率</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800 - 1600</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鼠标颜色</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黑色</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★鼠标其他要求</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其它参数应符合</w:t>
                  </w:r>
                  <w:r>
                    <w:rPr>
                      <w:sz w:val="21"/>
                    </w:rPr>
                    <w:t>GB/T26245的相关规定</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内置光驱</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支持内置光驱</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★网络设备规格</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★有线网卡数量</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无线网卡及天线数量</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单无线网卡天线数量</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★外部接口规格</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★USB 接口数量</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≥9个，</w:t>
                  </w:r>
                </w:p>
                <w:p>
                  <w:pPr>
                    <w:pStyle w:val="null3"/>
                    <w:jc w:val="left"/>
                  </w:pPr>
                  <w:r>
                    <w:rPr>
                      <w:sz w:val="21"/>
                    </w:rPr>
                    <w:t>机箱前置：</w:t>
                  </w:r>
                  <w:r>
                    <w:rPr>
                      <w:sz w:val="21"/>
                    </w:rPr>
                    <w:t>1个USB-C 3.2 G1、2个USB-A 3.2 G2、2个USB-A 3.2 G1接口</w:t>
                  </w:r>
                </w:p>
                <w:p>
                  <w:pPr>
                    <w:pStyle w:val="null3"/>
                    <w:jc w:val="left"/>
                  </w:pPr>
                  <w:r>
                    <w:rPr>
                      <w:sz w:val="21"/>
                    </w:rPr>
                    <w:t>机箱后置：</w:t>
                  </w:r>
                  <w:r>
                    <w:rPr>
                      <w:sz w:val="21"/>
                    </w:rPr>
                    <w:t>4个USB-A 2.0接口</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USB 母座接口要求</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机箱前面板额外预留</w:t>
                  </w:r>
                  <w:r>
                    <w:rPr>
                      <w:sz w:val="21"/>
                    </w:rPr>
                    <w:t>2 个专用 USB 母座接口孔位和 1 个通用A 型 USB 母座接口位，采用横向排列中心间距应不小于27mm</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★视频接口数量</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≥3，至少具备HDMI\DP两种规格</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★音频接口数量</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≥5，至少1个耳麦二合一接口</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存储卡接口数量</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★整机基础规格</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★整机外观</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 产品表面不应有凹痕、划伤、裂缝、变形和污染等。表面涂层均匀，不应起泡、龟裂、脱落和磨损，金属零部件无锈蚀及其它机械损伤；</w:t>
                  </w:r>
                </w:p>
                <w:p>
                  <w:pPr>
                    <w:pStyle w:val="null3"/>
                    <w:jc w:val="left"/>
                  </w:pPr>
                  <w:r>
                    <w:rPr>
                      <w:sz w:val="21"/>
                    </w:rPr>
                    <w:t>b) 产品表面说明功能的文字、符、标志，应清晰、端正、牢固；</w:t>
                  </w:r>
                </w:p>
                <w:p>
                  <w:pPr>
                    <w:pStyle w:val="null3"/>
                    <w:jc w:val="left"/>
                  </w:pPr>
                  <w:r>
                    <w:rPr>
                      <w:sz w:val="21"/>
                    </w:rPr>
                    <w:t>c) 宜在产品显著位置提供运行状态指示功能，并由生产厂商提供详细参数</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★整机结构</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 机箱应符合 GB/T 4208、GB/T 26246的相关规定；</w:t>
                  </w:r>
                </w:p>
                <w:p>
                  <w:pPr>
                    <w:pStyle w:val="null3"/>
                    <w:jc w:val="left"/>
                  </w:pPr>
                  <w:r>
                    <w:rPr>
                      <w:sz w:val="21"/>
                    </w:rPr>
                    <w:t>b) 产品内部结构应符合通用部件的安装需要；</w:t>
                  </w:r>
                </w:p>
                <w:p>
                  <w:pPr>
                    <w:pStyle w:val="null3"/>
                    <w:jc w:val="left"/>
                  </w:pPr>
                  <w:r>
                    <w:rPr>
                      <w:sz w:val="21"/>
                    </w:rPr>
                    <w:t>c) 所有输入输出接口应符合相关国家或行业标准；</w:t>
                  </w:r>
                </w:p>
                <w:p>
                  <w:pPr>
                    <w:pStyle w:val="null3"/>
                    <w:jc w:val="left"/>
                  </w:pPr>
                  <w:r>
                    <w:rPr>
                      <w:sz w:val="21"/>
                    </w:rPr>
                    <w:t>d) 产品零部件应紧固无松动，可插拔部件应可靠连接，开关、按钮和其它控制部件应灵活可靠，布局应方便使用；</w:t>
                  </w:r>
                </w:p>
                <w:p>
                  <w:pPr>
                    <w:pStyle w:val="null3"/>
                    <w:jc w:val="left"/>
                  </w:pPr>
                  <w:r>
                    <w:rPr>
                      <w:sz w:val="21"/>
                    </w:rPr>
                    <w:t>e) 所有 I/O 连接器及需插接线缆的部位应预留用户操作空间，方便插拔解锁与插拔线缆；</w:t>
                  </w:r>
                </w:p>
                <w:p>
                  <w:pPr>
                    <w:pStyle w:val="null3"/>
                    <w:jc w:val="left"/>
                  </w:pPr>
                  <w:r>
                    <w:rPr>
                      <w:sz w:val="21"/>
                    </w:rPr>
                    <w:t>f) 可插拔板卡插槽部位应预留安装、拆卸或更换板卡空间；</w:t>
                  </w:r>
                </w:p>
                <w:p>
                  <w:pPr>
                    <w:pStyle w:val="null3"/>
                    <w:jc w:val="left"/>
                  </w:pPr>
                  <w:r>
                    <w:rPr>
                      <w:sz w:val="21"/>
                    </w:rPr>
                    <w:t>g) 拆装可能接触到的金属剪口或金属尖角部位应做防划伤处理，以保证安全；</w:t>
                  </w:r>
                </w:p>
                <w:p>
                  <w:pPr>
                    <w:pStyle w:val="null3"/>
                    <w:jc w:val="left"/>
                  </w:pPr>
                  <w:r>
                    <w:rPr>
                      <w:sz w:val="21"/>
                    </w:rPr>
                    <w:t>h) 整机内部走线应规整，固线结构和位置要合理可靠并做防割线处理，需便于理线和插拔操作，走线应不影响系统各主要部件组装和拆卸；</w:t>
                  </w:r>
                </w:p>
                <w:p>
                  <w:pPr>
                    <w:pStyle w:val="null3"/>
                    <w:jc w:val="left"/>
                  </w:pPr>
                  <w:r>
                    <w:rPr>
                      <w:sz w:val="21"/>
                    </w:rPr>
                    <w:t>i) 如需通过孔走线，过线孔应做防割线处理</w:t>
                  </w:r>
                </w:p>
                <w:p>
                  <w:pPr>
                    <w:pStyle w:val="null3"/>
                    <w:jc w:val="left"/>
                  </w:pPr>
                  <w:r>
                    <w:rPr>
                      <w:sz w:val="21"/>
                    </w:rPr>
                    <w:t>j) 各插头位置和插拔方向应合理，应做到插拔无障碍设计，具备防呆设计，有效避免误操作；</w:t>
                  </w:r>
                </w:p>
                <w:p>
                  <w:pPr>
                    <w:pStyle w:val="null3"/>
                    <w:jc w:val="left"/>
                  </w:pPr>
                  <w:r>
                    <w:rPr>
                      <w:sz w:val="21"/>
                    </w:rPr>
                    <w:t>k) 各主要部件拆装无障碍，使用常规工具拆装，无特殊拆装工具需求；</w:t>
                  </w:r>
                </w:p>
                <w:p>
                  <w:pPr>
                    <w:pStyle w:val="null3"/>
                    <w:jc w:val="left"/>
                  </w:pPr>
                  <w:r>
                    <w:rPr>
                      <w:sz w:val="21"/>
                    </w:rPr>
                    <w:t>l) 各主要部件拆装步骤要少，各自拆装需避免相互干扰；</w:t>
                  </w:r>
                </w:p>
                <w:p>
                  <w:pPr>
                    <w:pStyle w:val="null3"/>
                    <w:jc w:val="left"/>
                  </w:pPr>
                  <w:r>
                    <w:rPr>
                      <w:sz w:val="21"/>
                    </w:rPr>
                    <w:t>m) 对于整机或零部件外表面为高亮面的，应粘贴保护膜，保护膜需粘贴牢固，运输、组装等过程不易脱落，撕下无残留；</w:t>
                  </w:r>
                </w:p>
                <w:p>
                  <w:pPr>
                    <w:pStyle w:val="null3"/>
                    <w:jc w:val="left"/>
                  </w:pPr>
                  <w:r>
                    <w:rPr>
                      <w:sz w:val="21"/>
                    </w:rPr>
                    <w:t>n) 其它要求应符合GB/T 9813.1的相关规定</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★机箱防护要求</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应符合</w:t>
                  </w:r>
                  <w:r>
                    <w:rPr>
                      <w:sz w:val="21"/>
                    </w:rPr>
                    <w:t>GB/T 4208中IP20防护要求。</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★整机噪音</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产品工作在空闲状态下，产品的声功率级应不超过</w:t>
                  </w:r>
                  <w:r>
                    <w:rPr>
                      <w:sz w:val="21"/>
                    </w:rPr>
                    <w:t>4.5 Bel</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★整机散热</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在环境温度</w:t>
                  </w:r>
                  <w:r>
                    <w:rPr>
                      <w:sz w:val="21"/>
                    </w:rPr>
                    <w:t>25℃及处理器满载情况下，产品表面温度应符合下列要求：</w:t>
                  </w:r>
                </w:p>
                <w:p>
                  <w:pPr>
                    <w:pStyle w:val="null3"/>
                    <w:jc w:val="left"/>
                  </w:pPr>
                  <w:r>
                    <w:rPr>
                      <w:sz w:val="21"/>
                    </w:rPr>
                    <w:t>a) 出风口在机箱后面板情况下，出风口温度不高于 55℃ ;</w:t>
                  </w:r>
                </w:p>
                <w:p>
                  <w:pPr>
                    <w:pStyle w:val="null3"/>
                    <w:jc w:val="left"/>
                  </w:pPr>
                  <w:r>
                    <w:rPr>
                      <w:sz w:val="21"/>
                    </w:rPr>
                    <w:t>b) 可触及面温度小于 45℃ ;</w:t>
                  </w:r>
                </w:p>
                <w:p>
                  <w:pPr>
                    <w:pStyle w:val="null3"/>
                    <w:jc w:val="left"/>
                  </w:pPr>
                  <w:r>
                    <w:rPr>
                      <w:sz w:val="21"/>
                    </w:rPr>
                    <w:t>c) 显示器表面温度：显示屏温度不高于 38℃，显示屏上下灯带位置温度（如涉及）不高于 40℃ , 出风口温度不高于 45℃</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★整机能效限定值</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产品能效限定值应达到</w:t>
                  </w:r>
                  <w:r>
                    <w:rPr>
                      <w:sz w:val="21"/>
                    </w:rPr>
                    <w:t>GB 28380-2012标准中能效等级 2 级及以上</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机身材质</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金属等</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★机身颜色</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黑色</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★机箱尺寸容量</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塔式机箱，体积</w:t>
                  </w:r>
                  <w:r>
                    <w:rPr>
                      <w:sz w:val="21"/>
                    </w:rPr>
                    <w:t>≧17L</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★CPU性能</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 物理核数</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核数</w:t>
                  </w:r>
                  <w:r>
                    <w:rPr>
                      <w:sz w:val="21"/>
                    </w:rPr>
                    <w:t>≥6，线程数≥12</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★CPU主频</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基准主频</w:t>
                  </w:r>
                  <w:r>
                    <w:rPr>
                      <w:sz w:val="21"/>
                    </w:rPr>
                    <w:t>≥3.0GHz</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★CPU末级缓存容量</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≥18MB</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★CPU支持的内存最高速率</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≥3200MT/s</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★内存性能</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★内存读写速率</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≥3200MT/s</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★显卡性能</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★显示分辨率</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≥2560x1440</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★显卡显示芯片核心频率</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CUDA核心≥3584个，基础频率≥1320MHz，加速频率≥1780MHz</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★显存等效频率</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≥3200MT/s</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★显卡可支持多屏同时显示数量</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2块屏幕同时显示，分辨率应不低于 2560×1440</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★显示设备性能</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★显示屏刷新率</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≥60Hz</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★显示屏位深</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 位</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★显示屏色域</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≥99% sRGB</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★显示屏色准</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△E≤3</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★显示屏响应时间</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≤4ms</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★显示屏亮度</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≥300尼特</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★显示屏亮度一致性</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≥70%</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显示屏对比度</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≥1300：1</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显示屏其他参数</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其它参数应符合</w:t>
                  </w:r>
                  <w:r>
                    <w:rPr>
                      <w:sz w:val="21"/>
                    </w:rPr>
                    <w:t>SJ/T 11292 的相关规定</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网络设备性能</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有线网卡速率</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最高速率应不低于</w:t>
                  </w:r>
                  <w:r>
                    <w:rPr>
                      <w:sz w:val="21"/>
                    </w:rPr>
                    <w:t>1000Mbps，应支持10Mbps、100Mbps、1000Mbps速率自适应</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主板功能</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内存扩展接口</w:t>
                  </w:r>
                </w:p>
                <w:p>
                  <w:pPr>
                    <w:pStyle w:val="null3"/>
                    <w:jc w:val="center"/>
                  </w:pPr>
                  <w:r>
                    <w:rPr>
                      <w:sz w:val="21"/>
                    </w:rPr>
                    <w:t>(板载内存不涉及)</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存储扩展接口</w:t>
                  </w:r>
                </w:p>
                <w:p>
                  <w:pPr>
                    <w:pStyle w:val="null3"/>
                    <w:jc w:val="center"/>
                  </w:pPr>
                  <w:r>
                    <w:rPr>
                      <w:sz w:val="21"/>
                    </w:rPr>
                    <w:t>(板载存储不涉及)</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支持存储设备扩展接口</w:t>
                  </w:r>
                  <w:r>
                    <w:rPr>
                      <w:sz w:val="21"/>
                    </w:rPr>
                    <w:t>≥2 个，如SATA 3.0、M.2 接口类型</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★主板USB 瞬间过流保护</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支持瞬间过流保护功能</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★主板防静电保护</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支持防静电保护功能</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★I/O接口功能</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a）提供基于标准 USB 接口外设连接功能、基于音频输入输出接口的音频扩展功能、基于 PCIe 接口板卡扩展功能、基于 HDMI/DP等接口外接显示器扩展功能、基于存储接口对产品进行增容功能等。工作站 I/O 接口应具备外接标准 USB 设备、显示器、音频设备等内外部设备能力；</w:t>
                  </w:r>
                </w:p>
                <w:p>
                  <w:pPr>
                    <w:pStyle w:val="null3"/>
                    <w:jc w:val="left"/>
                  </w:pPr>
                  <w:r>
                    <w:rPr>
                      <w:sz w:val="21"/>
                    </w:rPr>
                    <w:t>b）USB接口支持快捷开机功能</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★显卡功能</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★显卡外接显示接口</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显卡支持</w:t>
                  </w:r>
                  <w:r>
                    <w:rPr>
                      <w:sz w:val="21"/>
                    </w:rPr>
                    <w:t>≥3个显示接口，并与显示器接口相匹配（可接受转接线）</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独立显卡数量</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★显示设备功能</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★显示器接口</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显示器应与显卡外接显示接口匹配</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★显示器支架</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显示器应提供显示器支架，支持屏幕俯仰功能</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★显示器参数调节</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 提供OSD选单按钮用于调节色彩、模式等；</w:t>
                  </w:r>
                </w:p>
                <w:p>
                  <w:pPr>
                    <w:pStyle w:val="null3"/>
                    <w:jc w:val="left"/>
                  </w:pPr>
                  <w:r>
                    <w:rPr>
                      <w:sz w:val="21"/>
                    </w:rPr>
                    <w:t>b) 支持色温、亮度、对比度调节</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★存储功能</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★存储功能</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通过</w:t>
                  </w:r>
                  <w:r>
                    <w:rPr>
                      <w:sz w:val="21"/>
                    </w:rPr>
                    <w:t>SATA 固态存储/PCIe固态存储/UFS 固态存储/SATA硬磁盘等存储部件提供存储功能</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内置控制器固态存储加密</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固态存储宜通过内置控制器硬件支持加密，不依赖处理器，保障数据安全性，但不得影响存储性能。符合如下要求：</w:t>
                  </w:r>
                </w:p>
                <w:p>
                  <w:pPr>
                    <w:pStyle w:val="null3"/>
                    <w:jc w:val="left"/>
                  </w:pPr>
                  <w:r>
                    <w:rPr>
                      <w:sz w:val="21"/>
                    </w:rPr>
                    <w:t>a) 支持加密功能，且加密功能开启不影响 SSD 读写性能；</w:t>
                  </w:r>
                </w:p>
                <w:p>
                  <w:pPr>
                    <w:pStyle w:val="null3"/>
                    <w:jc w:val="left"/>
                  </w:pPr>
                  <w:r>
                    <w:rPr>
                      <w:sz w:val="21"/>
                    </w:rPr>
                    <w:t>b) 支持固件加密、安全启动和安全升级；</w:t>
                  </w:r>
                </w:p>
                <w:p>
                  <w:pPr>
                    <w:pStyle w:val="null3"/>
                    <w:jc w:val="left"/>
                  </w:pPr>
                  <w:r>
                    <w:rPr>
                      <w:sz w:val="21"/>
                    </w:rPr>
                    <w:t>c) 支持数据的安全擦除；</w:t>
                  </w:r>
                </w:p>
                <w:p>
                  <w:pPr>
                    <w:pStyle w:val="null3"/>
                    <w:jc w:val="left"/>
                  </w:pPr>
                  <w:r>
                    <w:rPr>
                      <w:sz w:val="21"/>
                    </w:rPr>
                    <w:t>d) 宜具有存储状态指示灯，并可通过不同显示方式给出数据读写状态</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★网络设备功能</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★网络功能</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a)支持网络连接、网络开启/关闭功能;</w:t>
                  </w:r>
                </w:p>
                <w:p>
                  <w:pPr>
                    <w:pStyle w:val="null3"/>
                    <w:jc w:val="left"/>
                  </w:pPr>
                  <w:r>
                    <w:rPr>
                      <w:sz w:val="21"/>
                    </w:rPr>
                    <w:t>b)支持访问网络和数据交换功能</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★数据传输</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支持数据传输能力，并提供数据流量和异常日志记录功能</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★有线网卡接口类型</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RJ45 接口,集成硬件厂商研发的诊断修复网络模块与网络测速模块。</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★网络设备拆装</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若配备的网络设备应支持物理拆装，包括无线网卡和蓝牙模块等</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★外部接口功能</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★音频接口类型</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3.5mm 孔径 3 段式接口</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★视频接口类型</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至少支持</w:t>
                  </w:r>
                  <w:r>
                    <w:rPr>
                      <w:sz w:val="21"/>
                    </w:rPr>
                    <w:t>HDMI、DP显示接口</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★HDMI、DP、Type-C显示接口要求</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若提供</w:t>
                  </w:r>
                  <w:r>
                    <w:rPr>
                      <w:sz w:val="21"/>
                    </w:rPr>
                    <w:t>HDMI 或 DP 或 Type-C 作为显示接口，应支持音频和视频同步输出</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★电源功能</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★电源线适配能力</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≥500W节能电源，能效转换率≥90%；匹配电源适配器电线组件应符合GB/T15934 要求，可拆线的插头和连接器可以不做要求。下置电源降低机箱重心，增强机箱稳定性</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★操作系统及软件功能</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★中文信息处理要求</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 18030的相关规定</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★操作系统备份及还原功能</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支持操作系统备份及还原功能</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★固件备份还原能力</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支持备份及还原功能</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★操作系统及驱动升级</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支持通过网络、闪存盘等方式对操作系统、驱动进行升级</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固件升级</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支持通过网络、闪存盘等方式对固件进行升级</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★BIOS 支持关闭通讯接口</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BIOS关闭以太网及USB接口功能</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★固件查看信息</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支持查看固件版本、内存信息、主板信息、处理器信息和系统时间信息等功能</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★固件设置启动顺序</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支持设置启动顺序功能，并按照设置的启动顺序启动</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★固件设置口令</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支持设置口令、修改口令、验证口令功能</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★固件设置网络引导</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支持网络引导启动和关闭功能</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★存储设备可靠性</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★固态存储寿命</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TBW ≥ 80TB（条件：240GB 硬盘容量）</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★机械硬盘寿命</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通电时间</w:t>
                  </w:r>
                  <w:r>
                    <w:rPr>
                      <w:sz w:val="21"/>
                    </w:rPr>
                    <w:t>≥5万小时</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★显示设备可靠性</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★显示屏屏幕失效点</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9813.2 的要求</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★外设可靠性</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★键盘按键寿命</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≥1000万次</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★鼠标按键寿命</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≥500万次</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★鼠标键盘线材寿命</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键盘鼠标所用线材经</w:t>
                  </w:r>
                  <w:r>
                    <w:rPr>
                      <w:sz w:val="21"/>
                    </w:rPr>
                    <w:t>±60°弯折不低</w:t>
                  </w:r>
                </w:p>
                <w:p>
                  <w:pPr>
                    <w:pStyle w:val="null3"/>
                    <w:jc w:val="left"/>
                  </w:pPr>
                  <w:r>
                    <w:rPr>
                      <w:sz w:val="21"/>
                    </w:rPr>
                    <w:t>于</w:t>
                  </w:r>
                  <w:r>
                    <w:rPr>
                      <w:sz w:val="21"/>
                    </w:rPr>
                    <w:t>3000 次，功能、外观完好</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★风扇寿命</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≥4万小时</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整机可靠性要求</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电磁兼容性要求的抗扰度</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9254.2的规定</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环境条件要求的气候环境适应性</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9813.1中规定</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环境条件要求的振动适应性</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9813.1中规定</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环境条件要求的冲击适应性</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9813.1中规定</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环境条件要求的碰撞适应性</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9813.1中规定</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环境条件要求的运输包装件跌落适应性</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9813.1中规定</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★MTBF测试</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MTBF(m1)≥3万小时</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兼容要求</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兼容要求</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常用软件兼容</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应支持流式软件、版式软件、浏览器、邮件客户端、解压软件、多媒体、图形图像处理等常用软件</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143</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数据库兼容</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兼容</w:t>
                  </w:r>
                  <w:r>
                    <w:rPr>
                      <w:sz w:val="21"/>
                    </w:rPr>
                    <w:t>3 个及以上厂商的数据库产品</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144</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中间件兼容</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兼容</w:t>
                  </w:r>
                  <w:r>
                    <w:rPr>
                      <w:sz w:val="21"/>
                    </w:rPr>
                    <w:t>3 个及以上厂商中间件产品</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平台软件兼容</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兼容</w:t>
                  </w:r>
                  <w:r>
                    <w:rPr>
                      <w:sz w:val="21"/>
                    </w:rPr>
                    <w:t>3 个及以上厂商云计算及大数据平台</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146</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包装及运输要求</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包装及运输要求</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标志、包装、运输和贮存</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9813.1 和商品包装政府采购需求标准的相关规定</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服务要求</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★配置检查工具</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供应商提供经自检测试</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148</w:t>
                  </w:r>
                </w:p>
                <w:p>
                  <w:pPr>
                    <w:pStyle w:val="null3"/>
                    <w:jc w:val="center"/>
                  </w:pP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p>
                  <w:pPr>
                    <w:pStyle w:val="null3"/>
                    <w:jc w:val="center"/>
                  </w:pP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服务响应</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a）提供产品3年维保及上门服务</w:t>
                  </w:r>
                </w:p>
                <w:p>
                  <w:pPr>
                    <w:pStyle w:val="null3"/>
                    <w:jc w:val="left"/>
                  </w:pPr>
                  <w:r>
                    <w:rPr>
                      <w:sz w:val="21"/>
                    </w:rPr>
                    <w:t>b）提供政企专线7*24在线服务；</w:t>
                  </w:r>
                </w:p>
                <w:p>
                  <w:pPr>
                    <w:pStyle w:val="null3"/>
                    <w:jc w:val="left"/>
                  </w:pPr>
                  <w:r>
                    <w:rPr>
                      <w:sz w:val="21"/>
                    </w:rPr>
                    <w:t>c）现场保障技术服务团队员，国内上门服务地级市覆盖率达 100%；</w:t>
                  </w:r>
                </w:p>
                <w:p>
                  <w:pPr>
                    <w:pStyle w:val="null3"/>
                    <w:jc w:val="left"/>
                  </w:pPr>
                  <w:r>
                    <w:rPr>
                      <w:sz w:val="21"/>
                    </w:rPr>
                    <w:t>d）服务级别：当日下午4点前报修，下一自然日24点前修复，若没有完成修复，则提供延迟日数对应的月度延保服务；在三年维保时间内，承诺将提供不少于1次的尝试性故障硬盘（单盘）数据拯救服务，若未恢复则不计次数（费用包含在投标报价中）。</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149</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★服务周期</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支持产品延保</w:t>
                  </w:r>
                  <w:r>
                    <w:rPr>
                      <w:sz w:val="21"/>
                    </w:rPr>
                    <w:t>≥3 年</w:t>
                  </w:r>
                </w:p>
                <w:p>
                  <w:pPr>
                    <w:pStyle w:val="null3"/>
                    <w:jc w:val="left"/>
                  </w:pPr>
                  <w:r>
                    <w:rPr>
                      <w:sz w:val="21"/>
                    </w:rPr>
                    <w:t>提供每年延保服务报价</w:t>
                  </w:r>
                </w:p>
                <w:p>
                  <w:pPr>
                    <w:pStyle w:val="null3"/>
                    <w:jc w:val="left"/>
                  </w:pPr>
                  <w:r>
                    <w:rPr>
                      <w:sz w:val="21"/>
                    </w:rPr>
                    <w:t>提供备件服务能力</w:t>
                  </w:r>
                  <w:r>
                    <w:rPr>
                      <w:sz w:val="21"/>
                    </w:rPr>
                    <w:t>≥6年(自购买之日起)</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预装操作系统</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预装符合桌面操作系统政府采购需求</w:t>
                  </w:r>
                </w:p>
                <w:p>
                  <w:pPr>
                    <w:pStyle w:val="null3"/>
                    <w:jc w:val="left"/>
                  </w:pPr>
                  <w:r>
                    <w:rPr>
                      <w:sz w:val="21"/>
                    </w:rPr>
                    <w:t>标准的正版操作系统</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151</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培训服务</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供应商提供培训材料、产品手册、培训视频等培训相关内容</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典型问题解决手册</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供应商提供典型问题解决说明文档或视频</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153</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厂家升级软件与扩容服务</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供应商提供上门升级部件</w:t>
                  </w:r>
                  <w:r>
                    <w:rPr>
                      <w:sz w:val="21"/>
                    </w:rPr>
                    <w:t>/软件的增值服务</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154</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★整机质量服务要求</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免费服务周期</w:t>
                  </w:r>
                  <w:r>
                    <w:rPr>
                      <w:sz w:val="21"/>
                    </w:rPr>
                    <w:t>(含换件和维修)应不小于3年</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155</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★合格证书要求</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供应商提供产品合格证</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开箱组装</w:t>
                  </w:r>
                  <w:r>
                    <w:rPr>
                      <w:sz w:val="21"/>
                    </w:rPr>
                    <w:t>/使用指导要求</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供应商提供开箱组装</w:t>
                  </w:r>
                  <w:r>
                    <w:rPr>
                      <w:sz w:val="21"/>
                    </w:rPr>
                    <w:t>/使用指导</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157</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驱动下载服务要求</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供应商提供驱动光盘或下载方式</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158</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兼容适配软件下载服务要求</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供应商提供兼容适配软件下载渠道（光盘、网站）</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159</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供应保障要求</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供应链合规性</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产品部件保障</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保障产品主要部件提供</w:t>
                  </w:r>
                  <w:r>
                    <w:rPr>
                      <w:sz w:val="21"/>
                    </w:rPr>
                    <w:t>6年的备件服务能力(自购买之日起)，或提供可兼容原设备的升级换代产品</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供应保障要求</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供应链质量</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抗干扰性</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当产品部件出现供应风险时，供应商应通知采购人并提供风险应对方案确保产品的服务保障</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161</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供应保障要求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供应能力证明</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供应商提供供应链稳定承诺书，确保产品的部件在产品服务周期内稳定供货</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162</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关键部件安全要求</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关键部件安全要求</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163</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整机安全性要求</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密码算法实现</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164</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USB 端口管控</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USB端口管控，可基于BIOS底层实现USB端口管控，仅识别USB键盘/鼠标设备，无法识别其它USB读取设备，有效防止数据泄露。（投标时提供此功能性界面截图证明）</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安全物理锁</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支持安全物理锁</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166</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信息安全基本要求</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 应符合 GB/T 39276 的 5.2 的规定；</w:t>
                  </w:r>
                </w:p>
                <w:p>
                  <w:pPr>
                    <w:pStyle w:val="null3"/>
                    <w:jc w:val="left"/>
                  </w:pPr>
                  <w:r>
                    <w:rPr>
                      <w:sz w:val="21"/>
                    </w:rPr>
                    <w:t>b) 生产厂商应建立漏洞跟踪表，保证产品版本涉及到的漏洞(如驱动程序等)可查看；</w:t>
                  </w:r>
                </w:p>
                <w:p>
                  <w:pPr>
                    <w:pStyle w:val="null3"/>
                    <w:jc w:val="left"/>
                  </w:pPr>
                  <w:r>
                    <w:rPr>
                      <w:sz w:val="21"/>
                    </w:rPr>
                    <w:t>c) 产品不得包含已知的恶意代码或漏洞，不存在未声明的指令、功能、接口</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167</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固件安全启动</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支持固件安全启动功能，固件启动过程中只有通过启动校验才能正常启动</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限用物质的限量要求</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26572 中规定</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169</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444"/>
                  <w:vMerge/>
                  <w:tcBorders>
                    <w:top w:val="none" w:color="000000" w:sz="4"/>
                    <w:left w:val="single" w:color="000000" w:sz="4"/>
                    <w:bottom w:val="single" w:color="000000" w:sz="4"/>
                    <w:right w:val="single" w:color="000000" w:sz="4"/>
                  </w:tcBorders>
                </w:tcP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▲出厂内置安全系统</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自动</w:t>
                  </w:r>
                  <w:r>
                    <w:rPr>
                      <w:sz w:val="21"/>
                    </w:rPr>
                    <w:t>/手动查杀病毒，内含隔离区/信任区；浏览器保护系统，自动诊断修复网络问题。含在线专家模块，认证专家远程服务。</w:t>
                  </w:r>
                </w:p>
                <w:p>
                  <w:pPr>
                    <w:pStyle w:val="null3"/>
                    <w:jc w:val="left"/>
                  </w:pPr>
                  <w:r>
                    <w:rPr>
                      <w:sz w:val="21"/>
                    </w:rPr>
                    <w:t>（投标文件中提供以上能界面截图证明及该软件的软著登记证书复印件）</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其他要求</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教学要求</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出厂内置管理软件</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设备内置管理软件：</w:t>
                  </w:r>
                </w:p>
                <w:p>
                  <w:pPr>
                    <w:pStyle w:val="null3"/>
                    <w:jc w:val="left"/>
                  </w:pPr>
                  <w:r>
                    <w:rPr>
                      <w:sz w:val="21"/>
                    </w:rPr>
                    <w:t>▲a) 硬件主要参数检测；优化加速；</w:t>
                  </w:r>
                </w:p>
                <w:p>
                  <w:pPr>
                    <w:pStyle w:val="null3"/>
                    <w:jc w:val="left"/>
                  </w:pPr>
                  <w:r>
                    <w:rPr>
                      <w:sz w:val="21"/>
                    </w:rPr>
                    <w:t>▲b) 系统垃圾清理；</w:t>
                  </w:r>
                </w:p>
                <w:p>
                  <w:pPr>
                    <w:pStyle w:val="null3"/>
                    <w:jc w:val="left"/>
                  </w:pPr>
                  <w:r>
                    <w:rPr>
                      <w:sz w:val="21"/>
                    </w:rPr>
                    <w:t>▲c）原厂驱动更新；</w:t>
                  </w:r>
                </w:p>
                <w:p>
                  <w:pPr>
                    <w:pStyle w:val="null3"/>
                    <w:jc w:val="left"/>
                  </w:pPr>
                  <w:r>
                    <w:rPr>
                      <w:sz w:val="21"/>
                    </w:rPr>
                    <w:t>▲d）网络测速；网络诊断，</w:t>
                  </w:r>
                </w:p>
                <w:p>
                  <w:pPr>
                    <w:pStyle w:val="null3"/>
                    <w:jc w:val="left"/>
                  </w:pPr>
                  <w:r>
                    <w:rPr>
                      <w:sz w:val="21"/>
                    </w:rPr>
                    <w:t>▲e）自动识别品牌型号，自动识别序列号，自动识别保修开始至截止信息。</w:t>
                  </w:r>
                </w:p>
                <w:p>
                  <w:pPr>
                    <w:pStyle w:val="null3"/>
                    <w:jc w:val="left"/>
                  </w:pPr>
                  <w:r>
                    <w:rPr>
                      <w:sz w:val="21"/>
                    </w:rPr>
                    <w:t>（投标文件中提供以上功能界面截图证明及该软件的软著登记证书复印件）</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171</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其他要求</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教学要求</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出厂内置教学软件</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 教师演示：为提升教师演示的灵活性，支持对单一、部分或全体学生进行屏幕演示，支持以全屏、窗口方式进行屏幕演示；</w:t>
                  </w:r>
                </w:p>
                <w:p>
                  <w:pPr>
                    <w:pStyle w:val="null3"/>
                    <w:jc w:val="left"/>
                  </w:pPr>
                  <w:r>
                    <w:rPr>
                      <w:sz w:val="21"/>
                    </w:rPr>
                    <w:t>▲b) 视频广播：为保障教师机可流畅地播放的视频可同步广播到学生机采用流媒体技术，实现同步广播到学生机，且达到流畅无延时，支持市面常见的媒体音视频格式，包括但不限于Windows Media文件，VCD文件，DVD文件，Real文件，AVI文件，MP3等，支持视频清晰度包括但不限于720p、1080p；</w:t>
                  </w:r>
                </w:p>
                <w:p>
                  <w:pPr>
                    <w:pStyle w:val="null3"/>
                    <w:jc w:val="left"/>
                  </w:pPr>
                  <w:r>
                    <w:rPr>
                      <w:sz w:val="21"/>
                    </w:rPr>
                    <w:t>▲c) 视频直播：为达到更形象的教学效果，支持通过USB摄像头将教师的画面实时广播到学生机；为快速设置摄像头，支持引导提示客户选择视频设备；</w:t>
                  </w:r>
                </w:p>
                <w:p>
                  <w:pPr>
                    <w:pStyle w:val="null3"/>
                    <w:jc w:val="left"/>
                  </w:pPr>
                  <w:r>
                    <w:rPr>
                      <w:sz w:val="21"/>
                    </w:rPr>
                    <w:t>d) 学生演示：教师可选定一台学生机，由此学生代替教师进行示范教学；</w:t>
                  </w:r>
                </w:p>
                <w:p>
                  <w:pPr>
                    <w:pStyle w:val="null3"/>
                    <w:jc w:val="left"/>
                  </w:pPr>
                  <w:r>
                    <w:rPr>
                      <w:sz w:val="21"/>
                    </w:rPr>
                    <w:t>▲e) 分组讨论：教师可以创建多个小组进行讨论活动，并可任意选择分组加入讨论活动。同组师生支持多种方式进行交流，包括但不限于文字，表情，图片等；</w:t>
                  </w:r>
                </w:p>
                <w:p>
                  <w:pPr>
                    <w:pStyle w:val="null3"/>
                    <w:jc w:val="left"/>
                  </w:pPr>
                  <w:r>
                    <w:rPr>
                      <w:sz w:val="21"/>
                    </w:rPr>
                    <w:t>▲f) 屏幕录制：教师机可以将本地的操作和讲解过程录制为ASF录像文件，可以用 Windows 自带的 Media Player 直接播放；</w:t>
                  </w:r>
                </w:p>
                <w:p>
                  <w:pPr>
                    <w:pStyle w:val="null3"/>
                    <w:jc w:val="left"/>
                  </w:pPr>
                  <w:r>
                    <w:rPr>
                      <w:sz w:val="21"/>
                    </w:rPr>
                    <w:t>▲g) 文件分发：允许教师将教师机不同盘符中的目录或文件一起发送至学生机的某目录下。若目录不存在则自动新建此目录；若盘符不存在或路径非法则不允许分发；若文件已存在则可选择自动覆盖或保留原始文件；</w:t>
                  </w:r>
                </w:p>
                <w:p>
                  <w:pPr>
                    <w:pStyle w:val="null3"/>
                    <w:jc w:val="left"/>
                  </w:pPr>
                  <w:r>
                    <w:rPr>
                      <w:sz w:val="21"/>
                    </w:rPr>
                    <w:t>▲h) 作业提交：为方便教师收取作业批改，支持学生把做好的作业直接提交到教师机。教师可选择接收或拒绝学生提交的文件；且教师可限制学生提交文件的数目和大小；</w:t>
                  </w:r>
                </w:p>
                <w:p>
                  <w:pPr>
                    <w:pStyle w:val="null3"/>
                    <w:jc w:val="left"/>
                  </w:pPr>
                  <w:r>
                    <w:rPr>
                      <w:sz w:val="21"/>
                    </w:rPr>
                    <w:t>▲i) 程序限制：为防止学生在教学过程中打游戏或使用QQ、MSN等聊天工具，支持通过各种策略限制学生使用程序；</w:t>
                  </w:r>
                </w:p>
                <w:p>
                  <w:pPr>
                    <w:pStyle w:val="null3"/>
                    <w:jc w:val="left"/>
                  </w:pPr>
                  <w:r>
                    <w:rPr>
                      <w:sz w:val="21"/>
                    </w:rPr>
                    <w:t>▲j) 远程设置：支持远程设置学生桌面主题、桌面背景、屏幕保护方案、学生的频道号和音量、学生端密码，是否启用进程保护，断线锁屏，热键退出等。</w:t>
                  </w:r>
                </w:p>
                <w:p>
                  <w:pPr>
                    <w:pStyle w:val="null3"/>
                    <w:jc w:val="left"/>
                  </w:pPr>
                  <w:r>
                    <w:rPr>
                      <w:sz w:val="21"/>
                    </w:rPr>
                    <w:t>（上述电子教学软件提供第</w:t>
                  </w:r>
                  <w:r>
                    <w:rPr>
                      <w:sz w:val="21"/>
                    </w:rPr>
                    <w:t>e-j项功能界面截图证明）</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172</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其他要求</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性能优化</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▲性能优化软件</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针对主流的</w:t>
                  </w:r>
                  <w:r>
                    <w:rPr>
                      <w:sz w:val="21"/>
                    </w:rPr>
                    <w:t>ISV软件进行优化，打开软件界面即可看到ISV软件的名称，方便使用；也可根据实际使用需求，对ISV软件进行手动调试优化；监控机器运行的实时负载（如处理器、内存、网络、硬盘、显卡等）；（投标时提供功能截图）</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173</w:t>
                  </w: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其他要求</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其他要求</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其他要求</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参照财政部《工作站政府采购需求标准》中规定的其他</w:t>
                  </w:r>
                  <w:r>
                    <w:rPr>
                      <w:sz w:val="21"/>
                    </w:rPr>
                    <w:t>*内容</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工作站2、3（3D虚拟内容制作工作站）等一批设备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color w:val="000000"/>
              </w:rPr>
              <w:t>工作站</w:t>
            </w:r>
            <w:r>
              <w:rPr>
                <w:sz w:val="21"/>
                <w:color w:val="000000"/>
              </w:rPr>
              <w:t>2（3D虚拟内容制作工作站）   12台</w:t>
            </w:r>
            <w:r>
              <w:br/>
            </w:r>
            <w:r>
              <w:rPr/>
              <w:t xml:space="preserve">  </w:t>
            </w:r>
          </w:p>
          <w:tbl>
            <w:tblPr>
              <w:tblBorders>
                <w:top w:val="none" w:color="000000" w:sz="4"/>
                <w:left w:val="none" w:color="000000" w:sz="4"/>
                <w:bottom w:val="none" w:color="000000" w:sz="4"/>
                <w:right w:val="none" w:color="000000" w:sz="4"/>
                <w:insideH w:val="none"/>
                <w:insideV w:val="none"/>
              </w:tblBorders>
            </w:tblPr>
            <w:tblGrid>
              <w:gridCol w:w="357"/>
              <w:gridCol w:w="812"/>
              <w:gridCol w:w="751"/>
              <w:gridCol w:w="1267"/>
              <w:gridCol w:w="2387"/>
            </w:tblGrid>
            <w:tr>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分类</w:t>
                  </w:r>
                </w:p>
              </w:tc>
              <w:tc>
                <w:tcPr>
                  <w:tcW w:type="dxa" w:w="7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一级指标</w:t>
                  </w:r>
                </w:p>
              </w:tc>
              <w:tc>
                <w:tcPr>
                  <w:tcW w:type="dxa" w:w="1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二级指标</w:t>
                  </w:r>
                </w:p>
              </w:tc>
              <w:tc>
                <w:tcPr>
                  <w:tcW w:type="dxa" w:w="2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指标要求</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★CPU规格</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★CPU信息</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处理器核心数</w:t>
                  </w:r>
                  <w:r>
                    <w:rPr>
                      <w:sz w:val="21"/>
                    </w:rPr>
                    <w:t>≥24，基本频率≥3.0G、三级缓存≥36MB、线程≥32、基础功耗≤125 W，最大内存带宽≥89.6GB/s</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★内存规格</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★内存配置容量</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≥64GB</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★内存类型</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DDR5或以上内存类型</w:t>
                  </w:r>
                </w:p>
              </w:tc>
            </w:tr>
            <w:tr>
              <w:tc>
                <w:tcPr>
                  <w:tcW w:type="dxa" w:w="3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8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★内存条配置数量</w:t>
                  </w:r>
                </w:p>
              </w:tc>
              <w:tc>
                <w:tcPr>
                  <w:tcW w:type="dxa" w:w="23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r>
            <w:tr>
              <w:tc>
                <w:tcPr>
                  <w:tcW w:type="dxa" w:w="357"/>
                  <w:vMerge/>
                  <w:tcBorders>
                    <w:top w:val="none" w:color="000000" w:sz="4"/>
                    <w:left w:val="single" w:color="000000" w:sz="4"/>
                    <w:bottom w:val="single" w:color="000000" w:sz="4"/>
                    <w:right w:val="single" w:color="000000" w:sz="4"/>
                  </w:tcBorders>
                </w:tcPr>
                <w:p/>
              </w:tc>
              <w:tc>
                <w:tcPr>
                  <w:tcW w:type="dxa" w:w="812"/>
                  <w:vMerge/>
                  <w:tcBorders>
                    <w:top w:val="none" w:color="000000" w:sz="4"/>
                    <w:left w:val="none" w:color="000000" w:sz="4"/>
                    <w:bottom w:val="single" w:color="000000" w:sz="4"/>
                    <w:right w:val="single" w:color="000000" w:sz="4"/>
                  </w:tcBorders>
                </w:tcP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（板载内存不涉及）</w:t>
                  </w:r>
                </w:p>
              </w:tc>
              <w:tc>
                <w:tcPr>
                  <w:tcW w:type="dxa" w:w="2387"/>
                  <w:vMerge/>
                  <w:tcBorders>
                    <w:top w:val="none" w:color="000000" w:sz="4"/>
                    <w:left w:val="none" w:color="000000" w:sz="4"/>
                    <w:bottom w:val="single" w:color="000000" w:sz="4"/>
                    <w:right w:val="single" w:color="000000" w:sz="4"/>
                  </w:tcBorders>
                </w:tcP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★主板规格</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★主板集成模块</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主板集成</w:t>
                  </w:r>
                  <w:r>
                    <w:rPr>
                      <w:sz w:val="21"/>
                    </w:rPr>
                    <w:t>2.5Gbe以太网卡，集成USB3.2,集成7.1声道音频芯片</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★主板支持的CPU和内存情况</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支持上述第</w:t>
                  </w:r>
                  <w:r>
                    <w:rPr>
                      <w:sz w:val="21"/>
                    </w:rPr>
                    <w:t>1小点的处理器</w:t>
                  </w:r>
                </w:p>
              </w:tc>
            </w:tr>
            <w:tr>
              <w:tc>
                <w:tcPr>
                  <w:tcW w:type="dxa" w:w="3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8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主板内置</w:t>
                  </w:r>
                  <w:r>
                    <w:rPr>
                      <w:sz w:val="21"/>
                    </w:rPr>
                    <w:t>PCIe插槽数量</w:t>
                  </w:r>
                </w:p>
              </w:tc>
              <w:tc>
                <w:tcPr>
                  <w:tcW w:type="dxa" w:w="238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支持数量</w:t>
                  </w:r>
                  <w:r>
                    <w:rPr>
                      <w:sz w:val="21"/>
                    </w:rPr>
                    <w:t>≥5</w:t>
                  </w:r>
                </w:p>
              </w:tc>
            </w:tr>
            <w:tr>
              <w:tc>
                <w:tcPr>
                  <w:tcW w:type="dxa" w:w="357"/>
                  <w:vMerge/>
                  <w:tcBorders>
                    <w:top w:val="none" w:color="000000" w:sz="4"/>
                    <w:left w:val="single" w:color="000000" w:sz="4"/>
                    <w:bottom w:val="single" w:color="000000" w:sz="4"/>
                    <w:right w:val="single" w:color="000000" w:sz="4"/>
                  </w:tcBorders>
                </w:tcPr>
                <w:p/>
              </w:tc>
              <w:tc>
                <w:tcPr>
                  <w:tcW w:type="dxa" w:w="812"/>
                  <w:vMerge/>
                  <w:tcBorders>
                    <w:top w:val="none" w:color="000000" w:sz="4"/>
                    <w:left w:val="none" w:color="000000" w:sz="4"/>
                    <w:bottom w:val="single" w:color="000000" w:sz="4"/>
                    <w:right w:val="single" w:color="000000" w:sz="4"/>
                  </w:tcBorders>
                </w:tcPr>
                <w:p/>
              </w:tc>
              <w:tc>
                <w:tcPr>
                  <w:tcW w:type="dxa" w:w="751"/>
                  <w:vMerge/>
                  <w:tcBorders>
                    <w:top w:val="none" w:color="000000" w:sz="4"/>
                    <w:left w:val="none" w:color="000000" w:sz="4"/>
                    <w:bottom w:val="single" w:color="000000" w:sz="4"/>
                    <w:right w:val="single" w:color="000000" w:sz="4"/>
                  </w:tcBorders>
                </w:tcPr>
                <w:p/>
              </w:tc>
              <w:tc>
                <w:tcPr>
                  <w:tcW w:type="dxa" w:w="1267"/>
                  <w:vMerge/>
                  <w:tcBorders>
                    <w:top w:val="none" w:color="000000" w:sz="4"/>
                    <w:left w:val="none" w:color="000000" w:sz="4"/>
                    <w:bottom w:val="single" w:color="000000" w:sz="4"/>
                    <w:right w:val="single" w:color="000000" w:sz="4"/>
                  </w:tcBorders>
                </w:tcP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PCIe5.0 x16插槽数量≥2，PCI-Express 4.0 x16插槽数量≥1，PCI-Express 3.0 x16插槽数量≥1，PCI-Express 3.0 x1插槽数量≥1</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特殊孔位及接口</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前置</w:t>
                  </w:r>
                  <w:r>
                    <w:rPr>
                      <w:sz w:val="21"/>
                    </w:rPr>
                    <w:t>1 x 耳机插孔，1 x 麦克风插孔（独立），1 x USB 3.2 Gen2x2，2 x USB 3.2 Gen1，1 x USB 2.0；后置：2 x USB 3.2 Gen2，4 x USB 3.2 Gen1，1 x HDMI，1 x VGA，1 x DVI-D接口，1 x DisplayPort， 2x RJ45 LAN，1 x 7.1-channel Audio I/O ports (5+1 Audio jacks</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★主板其他内置接口</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M.2 nvme固态硬盘，M.2接口数量≥3，M.2支持最大规格22110;支持WIFI6模组</w:t>
                  </w:r>
                </w:p>
              </w:tc>
            </w:tr>
            <w:tr>
              <w:tc>
                <w:tcPr>
                  <w:tcW w:type="dxa" w:w="3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8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★单内存插槽最大可支持容量</w:t>
                  </w:r>
                </w:p>
              </w:tc>
              <w:tc>
                <w:tcPr>
                  <w:tcW w:type="dxa" w:w="23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≥48GB</w:t>
                  </w:r>
                </w:p>
              </w:tc>
            </w:tr>
            <w:tr>
              <w:tc>
                <w:tcPr>
                  <w:tcW w:type="dxa" w:w="357"/>
                  <w:vMerge/>
                  <w:tcBorders>
                    <w:top w:val="none" w:color="000000" w:sz="4"/>
                    <w:left w:val="single" w:color="000000" w:sz="4"/>
                    <w:bottom w:val="single" w:color="000000" w:sz="4"/>
                    <w:right w:val="single" w:color="000000" w:sz="4"/>
                  </w:tcBorders>
                </w:tcPr>
                <w:p/>
              </w:tc>
              <w:tc>
                <w:tcPr>
                  <w:tcW w:type="dxa" w:w="812"/>
                  <w:vMerge/>
                  <w:tcBorders>
                    <w:top w:val="none" w:color="000000" w:sz="4"/>
                    <w:left w:val="none" w:color="000000" w:sz="4"/>
                    <w:bottom w:val="single" w:color="000000" w:sz="4"/>
                    <w:right w:val="single" w:color="000000" w:sz="4"/>
                  </w:tcBorders>
                </w:tcP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（板载内存不涉及）</w:t>
                  </w:r>
                </w:p>
              </w:tc>
              <w:tc>
                <w:tcPr>
                  <w:tcW w:type="dxa" w:w="2387"/>
                  <w:vMerge/>
                  <w:tcBorders>
                    <w:top w:val="none" w:color="000000" w:sz="4"/>
                    <w:left w:val="none" w:color="000000" w:sz="4"/>
                    <w:bottom w:val="single" w:color="000000" w:sz="4"/>
                    <w:right w:val="single" w:color="000000" w:sz="4"/>
                  </w:tcBorders>
                </w:tcP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★内存插槽满配时提供的最高内存总容量</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≥192GB</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★存储设备规格</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★固态盘数量</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≥1个</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★固态存储容量</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≥2TB</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★机械硬盘数量</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≥2个</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★机械硬盘总容量</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≥4TB</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★机械硬盘转速</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≥7200rpm</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机械硬盘接口协议</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SATA3.0 及以上或SAS3.0 及以上接口</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机械硬盘形态</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 英寸或3.5 英寸等</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固态存储接口协议</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UFS/SATA/PCIe/NVMe/M.2 等类型接口协议</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★固态存储形态</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采用插卡或板载等形态，插卡形态宜符合</w:t>
                  </w:r>
                  <w:r>
                    <w:rPr>
                      <w:sz w:val="21"/>
                    </w:rPr>
                    <w:t>M.2 或mSATA 等标准尺寸和接口定义</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存储设备扩展盘位</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★存储设备其他参与要求</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M.2接口数量≥3</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★显卡规格</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★显卡类型</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独立显卡</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★独立显卡显存类型</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GDDR6X</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★独立显卡显存位宽</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≥384 位</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★独立显卡显存容量</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≥24GB</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独立显卡接口协议</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PCI Express 4.0 16X(1×HDMI 2.1接口，3×DisplayPort 1.4接口)</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★显示设备规格</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★显示屏屏占比</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≥80%</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★显示屏分辨率</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≥2560×1440</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显示屏可视角度</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≥178°</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★显示屏尺寸</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≥27英寸</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★显示屏屏幕比例</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16:09</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★显示器外观颜色</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白色</w:t>
                  </w:r>
                  <w:r>
                    <w:rPr>
                      <w:sz w:val="21"/>
                    </w:rPr>
                    <w:t>/银色</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★显示屏防蓝光</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支持防蓝光模式</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★外设规格</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传声器数量</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扬声器数量</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★鼠标数量</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★键盘数量</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光驱数量</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★键盘按键数目</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104 键</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★扬声器功率</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 瓦/个</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★键盘连接方式</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有线</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★有线键盘连接线</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≥1.5米</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★键盘颜色</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白色</w:t>
                  </w:r>
                  <w:r>
                    <w:rPr>
                      <w:sz w:val="21"/>
                    </w:rPr>
                    <w:t>/银色</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★鼠标连接方式</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有线</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★有线鼠标连接线</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≥1.5米</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鼠标颜色</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白色</w:t>
                  </w:r>
                  <w:r>
                    <w:rPr>
                      <w:sz w:val="21"/>
                    </w:rPr>
                    <w:t>/银色</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★鼠标其他要求</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其它参数应符合</w:t>
                  </w:r>
                  <w:r>
                    <w:rPr>
                      <w:sz w:val="21"/>
                    </w:rPr>
                    <w:t>GB/T 26245的相关规定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内置光驱</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支持内置光驱</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★网络设备规格</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★有线网卡数量</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无线网卡及天线数量</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单无线网卡天线数量</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★外部接口规格</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★USB接口数量</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≥10，机箱前板至少包括3 个USB3.2 及以上接口,后面板不少于2 x USB 3.2 Gen2，4 x USB 3.2 Gen1</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USB 母座接口要求</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无要求</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★视频接口数量</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★音频接口数量</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存储卡接口数量</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★整机基础规格</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★整机散热</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360mm冷排，转数≥10%±800-2150RPM，噪音≤29dB</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★整机能效限定值</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产品能效限定值应达到</w:t>
                  </w:r>
                  <w:r>
                    <w:rPr>
                      <w:sz w:val="21"/>
                    </w:rPr>
                    <w:t>GB 28380-2012标准中能效等级2级及以上</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★机身颜色</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白色</w:t>
                  </w:r>
                  <w:r>
                    <w:rPr>
                      <w:sz w:val="21"/>
                    </w:rPr>
                    <w:t>/黑色</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★CPU性能</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★CPU物理核数</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核数</w:t>
                  </w:r>
                  <w:r>
                    <w:rPr>
                      <w:sz w:val="21"/>
                    </w:rPr>
                    <w:t>≥ 24</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★CPU主频</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最高睿频</w:t>
                  </w:r>
                  <w:r>
                    <w:rPr>
                      <w:sz w:val="21"/>
                    </w:rPr>
                    <w:t>≥6GHz</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 末级缓存容量</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≥32MB</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★CPU支持的内存最高速率</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最大内存带宽</w:t>
                  </w:r>
                  <w:r>
                    <w:rPr>
                      <w:sz w:val="21"/>
                    </w:rPr>
                    <w:t>≥89.6GB/s</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★内存性能</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★内存读写速率</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≥6400 MT/s</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★GPU性能</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GPU类型</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独立</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★数据中心级GPU</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无要求</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★CUDA核心数量</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≥14,592个</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★单精度性能</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无要求</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★RT Core</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3 代≥170 TFLOPS</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★Tensor</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4 代≥1177 TOPS</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加速频率</w:t>
                  </w:r>
                  <w:r>
                    <w:rPr>
                      <w:sz w:val="21"/>
                    </w:rPr>
                    <w:t>(GHz)</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≥2.52</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基础频率</w:t>
                  </w:r>
                  <w:r>
                    <w:rPr>
                      <w:sz w:val="21"/>
                    </w:rPr>
                    <w:t>(GHz)</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≥2.28</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总功耗</w:t>
                  </w:r>
                  <w:r>
                    <w:rPr>
                      <w:sz w:val="21"/>
                    </w:rPr>
                    <w:t>(W)</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≤425</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vGPU支持</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无要求</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★支持光线追踪，至少支持DLSS 3.5超分辨率，DLAA光线重建</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★最高数字分辨率和刷新率</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4K@240Hz或8K60Hz HDR</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★独立显卡接口协议</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PCI Express 第 4 代</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★显卡性能</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★显示分辨率</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≥3840×2160</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★显卡显示芯片核心频率</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≥2520MHz</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★显存等效频率</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≥21000 MHz</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★显卡可同时支持多屏显示数量</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4块屏幕同时显示，分辨率应不低于3840×2160</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★网络设备性能</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★有线网卡速率</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最高速率应不低于</w:t>
                  </w:r>
                  <w:r>
                    <w:rPr>
                      <w:sz w:val="21"/>
                    </w:rPr>
                    <w:t>1000Mbps，应支持10Mbps、100Mbps、1000Mbps速率自适应</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支持无线网络通信技术协议</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WAPI 或WiFi5.0 及以上协议</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无线网卡频宽</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≥20MHz</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7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显卡功能</w:t>
                  </w:r>
                  <w:r>
                    <w:rPr>
                      <w:sz w:val="21"/>
                    </w:rPr>
                    <w:t>★</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★显卡外接显示接口</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显卡至少支持</w:t>
                  </w:r>
                  <w:r>
                    <w:rPr>
                      <w:sz w:val="21"/>
                    </w:rPr>
                    <w:t>VGA、HDMI、DVI、DP、Type-C 中1 种显示接口，并与显示器接口相匹配</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独立显卡数量</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3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88.</w:t>
                  </w:r>
                </w:p>
              </w:tc>
              <w:tc>
                <w:tcPr>
                  <w:tcW w:type="dxa" w:w="8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7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★网络设备功能</w:t>
                  </w:r>
                </w:p>
              </w:tc>
              <w:tc>
                <w:tcPr>
                  <w:tcW w:type="dxa" w:w="12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★网络功能</w:t>
                  </w:r>
                </w:p>
              </w:tc>
              <w:tc>
                <w:tcPr>
                  <w:tcW w:type="dxa" w:w="238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a)支持网络连接、网络开启/关闭功能；</w:t>
                  </w:r>
                </w:p>
              </w:tc>
            </w:tr>
            <w:tr>
              <w:tc>
                <w:tcPr>
                  <w:tcW w:type="dxa" w:w="357"/>
                  <w:vMerge/>
                  <w:tcBorders>
                    <w:top w:val="none" w:color="000000" w:sz="4"/>
                    <w:left w:val="single" w:color="000000" w:sz="4"/>
                    <w:bottom w:val="single" w:color="000000" w:sz="4"/>
                    <w:right w:val="single" w:color="000000" w:sz="4"/>
                  </w:tcBorders>
                </w:tcPr>
                <w:p/>
              </w:tc>
              <w:tc>
                <w:tcPr>
                  <w:tcW w:type="dxa" w:w="812"/>
                  <w:vMerge/>
                  <w:tcBorders>
                    <w:top w:val="none" w:color="000000" w:sz="4"/>
                    <w:left w:val="none" w:color="000000" w:sz="4"/>
                    <w:bottom w:val="single" w:color="000000" w:sz="4"/>
                    <w:right w:val="single" w:color="000000" w:sz="4"/>
                  </w:tcBorders>
                </w:tcPr>
                <w:p/>
              </w:tc>
              <w:tc>
                <w:tcPr>
                  <w:tcW w:type="dxa" w:w="751"/>
                  <w:vMerge/>
                  <w:tcBorders>
                    <w:top w:val="none" w:color="000000" w:sz="4"/>
                    <w:left w:val="none" w:color="000000" w:sz="4"/>
                    <w:bottom w:val="single" w:color="000000" w:sz="4"/>
                    <w:right w:val="single" w:color="000000" w:sz="4"/>
                  </w:tcBorders>
                </w:tcPr>
                <w:p/>
              </w:tc>
              <w:tc>
                <w:tcPr>
                  <w:tcW w:type="dxa" w:w="1267"/>
                  <w:vMerge/>
                  <w:tcBorders>
                    <w:top w:val="none" w:color="000000" w:sz="4"/>
                    <w:left w:val="none" w:color="000000" w:sz="4"/>
                    <w:bottom w:val="single" w:color="000000" w:sz="4"/>
                    <w:right w:val="single" w:color="000000" w:sz="4"/>
                  </w:tcBorders>
                </w:tcP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b)支持访问网络和数据交换功能</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无线网卡频段</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支持双频段</w:t>
                  </w:r>
                </w:p>
              </w:tc>
            </w:tr>
            <w:tr>
              <w:tc>
                <w:tcPr>
                  <w:tcW w:type="dxa" w:w="3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物理开关</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支持网络设备物理开</w:t>
                  </w:r>
                </w:p>
              </w:tc>
            </w:tr>
            <w:tr>
              <w:tc>
                <w:tcPr>
                  <w:tcW w:type="dxa" w:w="357"/>
                  <w:vMerge/>
                  <w:tcBorders>
                    <w:top w:val="none" w:color="000000" w:sz="4"/>
                    <w:left w:val="single" w:color="000000" w:sz="4"/>
                    <w:bottom w:val="singl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★数据传输</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支持数据传输能力，并提供数据流量和异常日志记录功能</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蓝牙协议</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支持蓝牙模块，蓝牙协议不低于</w:t>
                  </w:r>
                  <w:r>
                    <w:rPr>
                      <w:sz w:val="21"/>
                    </w:rPr>
                    <w:t>5.0 版本</w:t>
                  </w:r>
                </w:p>
              </w:tc>
            </w:tr>
            <w:tr>
              <w:tc>
                <w:tcPr>
                  <w:tcW w:type="dxa" w:w="3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★有线网卡接口类型</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r>
                    <w:rPr>
                      <w:sz w:val="21"/>
                    </w:rPr>
                    <w:t>支持</w:t>
                  </w:r>
                  <w:r>
                    <w:rPr>
                      <w:sz w:val="21"/>
                    </w:rPr>
                    <w:t>RJ45接口</w:t>
                  </w:r>
                </w:p>
              </w:tc>
            </w:tr>
            <w:tr>
              <w:tc>
                <w:tcPr>
                  <w:tcW w:type="dxa" w:w="357"/>
                  <w:vMerge/>
                  <w:tcBorders>
                    <w:top w:val="none" w:color="000000" w:sz="4"/>
                    <w:left w:val="single" w:color="000000" w:sz="4"/>
                    <w:bottom w:val="singl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无线网卡标准</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若配备无线网卡应符合</w:t>
                  </w:r>
                  <w:r>
                    <w:rPr>
                      <w:sz w:val="21"/>
                    </w:rPr>
                    <w:t>GB 15629.11（所有部分）</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★网络设备拆装</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若配备的网络设备应支持物理拆装，包括无线网卡和蓝牙模块等</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★电源功能</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★电源线适配能力</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电源</w:t>
                  </w:r>
                  <w:r>
                    <w:rPr>
                      <w:sz w:val="21"/>
                    </w:rPr>
                    <w:t>≥1000w</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7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硬件加速功能</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NPU/GPU等AI加速模块</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NPU/GPU 等AI 加速模</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视频编解码加速模块</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支持视频编解码加速模块</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影像处理加速模块</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支持视频编解码加速模块</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★GPU设备可靠性要求</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★原厂正版、正规渠道</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不接受拆机件翻修件，要求全新及正规维保</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7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★服务要求</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★配置检查工具</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供应商提供经自检测试</w:t>
                  </w:r>
                </w:p>
              </w:tc>
            </w:tr>
            <w:tr>
              <w:tc>
                <w:tcPr>
                  <w:tcW w:type="dxa" w:w="3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100.</w:t>
                  </w:r>
                </w:p>
              </w:tc>
              <w:tc>
                <w:tcPr>
                  <w:tcW w:type="dxa" w:w="8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751"/>
                  <w:vMerge/>
                  <w:tcBorders>
                    <w:top w:val="none" w:color="000000" w:sz="4"/>
                    <w:left w:val="none" w:color="000000" w:sz="4"/>
                    <w:bottom w:val="single" w:color="000000" w:sz="4"/>
                    <w:right w:val="single" w:color="000000" w:sz="4"/>
                  </w:tcBorders>
                </w:tcPr>
                <w:p/>
              </w:tc>
              <w:tc>
                <w:tcPr>
                  <w:tcW w:type="dxa" w:w="12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★服务响应</w:t>
                  </w:r>
                </w:p>
              </w:tc>
              <w:tc>
                <w:tcPr>
                  <w:tcW w:type="dxa" w:w="238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a）提供产品3 年维保及上门服务（满足同城4 小时、异地12 小时响应要求）；</w:t>
                  </w:r>
                </w:p>
              </w:tc>
            </w:tr>
            <w:tr>
              <w:tc>
                <w:tcPr>
                  <w:tcW w:type="dxa" w:w="357"/>
                  <w:vMerge/>
                  <w:tcBorders>
                    <w:top w:val="none" w:color="000000" w:sz="4"/>
                    <w:left w:val="single" w:color="000000" w:sz="4"/>
                    <w:bottom w:val="single" w:color="000000" w:sz="4"/>
                    <w:right w:val="single" w:color="000000" w:sz="4"/>
                  </w:tcBorders>
                </w:tcPr>
                <w:p/>
              </w:tc>
              <w:tc>
                <w:tcPr>
                  <w:tcW w:type="dxa" w:w="812"/>
                  <w:vMerge/>
                  <w:tcBorders>
                    <w:top w:val="none" w:color="000000" w:sz="4"/>
                    <w:left w:val="none" w:color="000000" w:sz="4"/>
                    <w:bottom w:val="single" w:color="000000" w:sz="4"/>
                    <w:right w:val="single" w:color="000000" w:sz="4"/>
                  </w:tcBorders>
                </w:tcPr>
                <w:p/>
              </w:tc>
              <w:tc>
                <w:tcPr>
                  <w:tcW w:type="dxa" w:w="751"/>
                  <w:vMerge/>
                  <w:tcBorders>
                    <w:top w:val="none" w:color="000000" w:sz="4"/>
                    <w:left w:val="none" w:color="000000" w:sz="4"/>
                    <w:bottom w:val="single" w:color="000000" w:sz="4"/>
                    <w:right w:val="single" w:color="000000" w:sz="4"/>
                  </w:tcBorders>
                </w:tcPr>
                <w:p/>
              </w:tc>
              <w:tc>
                <w:tcPr>
                  <w:tcW w:type="dxa" w:w="1267"/>
                  <w:vMerge/>
                  <w:tcBorders>
                    <w:top w:val="none" w:color="000000" w:sz="4"/>
                    <w:left w:val="none" w:color="000000" w:sz="4"/>
                    <w:bottom w:val="single" w:color="000000" w:sz="4"/>
                    <w:right w:val="single" w:color="000000" w:sz="4"/>
                  </w:tcBorders>
                </w:tcPr>
                <w:p/>
              </w:tc>
              <w:tc>
                <w:tcPr>
                  <w:tcW w:type="dxa" w:w="238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b）提供政企专线7*24 在线服务；</w:t>
                  </w:r>
                </w:p>
              </w:tc>
            </w:tr>
            <w:tr>
              <w:tc>
                <w:tcPr>
                  <w:tcW w:type="dxa" w:w="357"/>
                  <w:vMerge/>
                  <w:tcBorders>
                    <w:top w:val="none" w:color="000000" w:sz="4"/>
                    <w:left w:val="single" w:color="000000" w:sz="4"/>
                    <w:bottom w:val="single" w:color="000000" w:sz="4"/>
                    <w:right w:val="single" w:color="000000" w:sz="4"/>
                  </w:tcBorders>
                </w:tcPr>
                <w:p/>
              </w:tc>
              <w:tc>
                <w:tcPr>
                  <w:tcW w:type="dxa" w:w="812"/>
                  <w:vMerge/>
                  <w:tcBorders>
                    <w:top w:val="none" w:color="000000" w:sz="4"/>
                    <w:left w:val="none" w:color="000000" w:sz="4"/>
                    <w:bottom w:val="single" w:color="000000" w:sz="4"/>
                    <w:right w:val="single" w:color="000000" w:sz="4"/>
                  </w:tcBorders>
                </w:tcPr>
                <w:p/>
              </w:tc>
              <w:tc>
                <w:tcPr>
                  <w:tcW w:type="dxa" w:w="751"/>
                  <w:vMerge/>
                  <w:tcBorders>
                    <w:top w:val="none" w:color="000000" w:sz="4"/>
                    <w:left w:val="none" w:color="000000" w:sz="4"/>
                    <w:bottom w:val="single" w:color="000000" w:sz="4"/>
                    <w:right w:val="single" w:color="000000" w:sz="4"/>
                  </w:tcBorders>
                </w:tcPr>
                <w:p/>
              </w:tc>
              <w:tc>
                <w:tcPr>
                  <w:tcW w:type="dxa" w:w="1267"/>
                  <w:vMerge/>
                  <w:tcBorders>
                    <w:top w:val="none" w:color="000000" w:sz="4"/>
                    <w:left w:val="none" w:color="000000" w:sz="4"/>
                    <w:bottom w:val="single" w:color="000000" w:sz="4"/>
                    <w:right w:val="single" w:color="000000" w:sz="4"/>
                  </w:tcBorders>
                </w:tcP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c）现场保障技术服务团队员，国内上门服务地级市覆盖率达100%</w:t>
                  </w:r>
                </w:p>
              </w:tc>
            </w:tr>
            <w:tr>
              <w:tc>
                <w:tcPr>
                  <w:tcW w:type="dxa" w:w="3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101.</w:t>
                  </w:r>
                </w:p>
              </w:tc>
              <w:tc>
                <w:tcPr>
                  <w:tcW w:type="dxa" w:w="8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751"/>
                  <w:vMerge/>
                  <w:tcBorders>
                    <w:top w:val="none" w:color="000000" w:sz="4"/>
                    <w:left w:val="none" w:color="000000" w:sz="4"/>
                    <w:bottom w:val="single" w:color="000000" w:sz="4"/>
                    <w:right w:val="single" w:color="000000" w:sz="4"/>
                  </w:tcBorders>
                </w:tcPr>
                <w:p/>
              </w:tc>
              <w:tc>
                <w:tcPr>
                  <w:tcW w:type="dxa" w:w="12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★服务周期</w:t>
                  </w:r>
                </w:p>
              </w:tc>
              <w:tc>
                <w:tcPr>
                  <w:tcW w:type="dxa" w:w="238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支持产品延保</w:t>
                  </w:r>
                  <w:r>
                    <w:rPr>
                      <w:sz w:val="21"/>
                    </w:rPr>
                    <w:t>≥3年</w:t>
                  </w:r>
                </w:p>
              </w:tc>
            </w:tr>
            <w:tr>
              <w:tc>
                <w:tcPr>
                  <w:tcW w:type="dxa" w:w="357"/>
                  <w:vMerge/>
                  <w:tcBorders>
                    <w:top w:val="none" w:color="000000" w:sz="4"/>
                    <w:left w:val="single" w:color="000000" w:sz="4"/>
                    <w:bottom w:val="single" w:color="000000" w:sz="4"/>
                    <w:right w:val="single" w:color="000000" w:sz="4"/>
                  </w:tcBorders>
                </w:tcPr>
                <w:p/>
              </w:tc>
              <w:tc>
                <w:tcPr>
                  <w:tcW w:type="dxa" w:w="812"/>
                  <w:vMerge/>
                  <w:tcBorders>
                    <w:top w:val="none" w:color="000000" w:sz="4"/>
                    <w:left w:val="none" w:color="000000" w:sz="4"/>
                    <w:bottom w:val="single" w:color="000000" w:sz="4"/>
                    <w:right w:val="single" w:color="000000" w:sz="4"/>
                  </w:tcBorders>
                </w:tcPr>
                <w:p/>
              </w:tc>
              <w:tc>
                <w:tcPr>
                  <w:tcW w:type="dxa" w:w="751"/>
                  <w:vMerge/>
                  <w:tcBorders>
                    <w:top w:val="none" w:color="000000" w:sz="4"/>
                    <w:left w:val="none" w:color="000000" w:sz="4"/>
                    <w:bottom w:val="single" w:color="000000" w:sz="4"/>
                    <w:right w:val="single" w:color="000000" w:sz="4"/>
                  </w:tcBorders>
                </w:tcPr>
                <w:p/>
              </w:tc>
              <w:tc>
                <w:tcPr>
                  <w:tcW w:type="dxa" w:w="1267"/>
                  <w:vMerge/>
                  <w:tcBorders>
                    <w:top w:val="none" w:color="000000" w:sz="4"/>
                    <w:left w:val="none" w:color="000000" w:sz="4"/>
                    <w:bottom w:val="single" w:color="000000" w:sz="4"/>
                    <w:right w:val="single" w:color="000000" w:sz="4"/>
                  </w:tcBorders>
                </w:tcPr>
                <w:p/>
              </w:tc>
              <w:tc>
                <w:tcPr>
                  <w:tcW w:type="dxa" w:w="238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提供每年延保服务报价</w:t>
                  </w:r>
                </w:p>
              </w:tc>
            </w:tr>
            <w:tr>
              <w:tc>
                <w:tcPr>
                  <w:tcW w:type="dxa" w:w="357"/>
                  <w:vMerge/>
                  <w:tcBorders>
                    <w:top w:val="none" w:color="000000" w:sz="4"/>
                    <w:left w:val="single" w:color="000000" w:sz="4"/>
                    <w:bottom w:val="single" w:color="000000" w:sz="4"/>
                    <w:right w:val="single" w:color="000000" w:sz="4"/>
                  </w:tcBorders>
                </w:tcPr>
                <w:p/>
              </w:tc>
              <w:tc>
                <w:tcPr>
                  <w:tcW w:type="dxa" w:w="812"/>
                  <w:vMerge/>
                  <w:tcBorders>
                    <w:top w:val="none" w:color="000000" w:sz="4"/>
                    <w:left w:val="none" w:color="000000" w:sz="4"/>
                    <w:bottom w:val="single" w:color="000000" w:sz="4"/>
                    <w:right w:val="single" w:color="000000" w:sz="4"/>
                  </w:tcBorders>
                </w:tcPr>
                <w:p/>
              </w:tc>
              <w:tc>
                <w:tcPr>
                  <w:tcW w:type="dxa" w:w="751"/>
                  <w:vMerge/>
                  <w:tcBorders>
                    <w:top w:val="none" w:color="000000" w:sz="4"/>
                    <w:left w:val="none" w:color="000000" w:sz="4"/>
                    <w:bottom w:val="single" w:color="000000" w:sz="4"/>
                    <w:right w:val="single" w:color="000000" w:sz="4"/>
                  </w:tcBorders>
                </w:tcPr>
                <w:p/>
              </w:tc>
              <w:tc>
                <w:tcPr>
                  <w:tcW w:type="dxa" w:w="1267"/>
                  <w:vMerge/>
                  <w:tcBorders>
                    <w:top w:val="none" w:color="000000" w:sz="4"/>
                    <w:left w:val="none" w:color="000000" w:sz="4"/>
                    <w:bottom w:val="single" w:color="000000" w:sz="4"/>
                    <w:right w:val="single" w:color="000000" w:sz="4"/>
                  </w:tcBorders>
                </w:tcP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提供备件服务能力</w:t>
                  </w:r>
                  <w:r>
                    <w:rPr>
                      <w:sz w:val="21"/>
                    </w:rPr>
                    <w:t>≥6年（自购买之日起）</w:t>
                  </w:r>
                </w:p>
              </w:tc>
            </w:tr>
            <w:tr>
              <w:tc>
                <w:tcPr>
                  <w:tcW w:type="dxa" w:w="3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★预装操作系统</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预装符合桌面操作系统政府采购需求标准的正版操作系统</w:t>
                  </w:r>
                </w:p>
              </w:tc>
            </w:tr>
            <w:tr>
              <w:tc>
                <w:tcPr>
                  <w:tcW w:type="dxa" w:w="357"/>
                  <w:vMerge/>
                  <w:tcBorders>
                    <w:top w:val="none" w:color="000000" w:sz="4"/>
                    <w:left w:val="single" w:color="000000" w:sz="4"/>
                    <w:bottom w:val="singl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★培训服务</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供应商提供培训材料、产品手册、培训视频等培训相关内容</w:t>
                  </w:r>
                </w:p>
              </w:tc>
            </w:tr>
            <w:tr>
              <w:tc>
                <w:tcPr>
                  <w:tcW w:type="dxa" w:w="357"/>
                  <w:vMerge/>
                  <w:tcBorders>
                    <w:top w:val="none" w:color="000000" w:sz="4"/>
                    <w:left w:val="single" w:color="000000" w:sz="4"/>
                    <w:bottom w:val="singl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★典型问题解决手册</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供应商提供典型问题解决说明文档或视频</w:t>
                  </w:r>
                </w:p>
              </w:tc>
            </w:tr>
            <w:tr>
              <w:tc>
                <w:tcPr>
                  <w:tcW w:type="dxa" w:w="3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★厂家升级软件与扩容服务</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供应商提供上门升级部件</w:t>
                  </w:r>
                  <w:r>
                    <w:rPr>
                      <w:sz w:val="21"/>
                    </w:rPr>
                    <w:t>/软件的增值服务</w:t>
                  </w:r>
                </w:p>
              </w:tc>
            </w:tr>
            <w:tr>
              <w:tc>
                <w:tcPr>
                  <w:tcW w:type="dxa" w:w="357"/>
                  <w:vMerge/>
                  <w:tcBorders>
                    <w:top w:val="none" w:color="000000" w:sz="4"/>
                    <w:left w:val="single" w:color="000000" w:sz="4"/>
                    <w:bottom w:val="singl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★整机质量服务要求</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免费服务周期（含换件和维修）应不小于</w:t>
                  </w:r>
                  <w:r>
                    <w:rPr>
                      <w:sz w:val="21"/>
                    </w:rPr>
                    <w:t>3年</w:t>
                  </w:r>
                </w:p>
              </w:tc>
            </w:tr>
            <w:tr>
              <w:tc>
                <w:tcPr>
                  <w:tcW w:type="dxa" w:w="357"/>
                  <w:vMerge/>
                  <w:tcBorders>
                    <w:top w:val="none" w:color="000000" w:sz="4"/>
                    <w:left w:val="single" w:color="000000" w:sz="4"/>
                    <w:bottom w:val="singl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★合格证书要求</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供应商提供产品合格证</w:t>
                  </w:r>
                </w:p>
              </w:tc>
            </w:tr>
            <w:tr>
              <w:tc>
                <w:tcPr>
                  <w:tcW w:type="dxa" w:w="3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★开箱组装/使用指导要求</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供应商提供开箱组装</w:t>
                  </w:r>
                  <w:r>
                    <w:rPr>
                      <w:sz w:val="21"/>
                    </w:rPr>
                    <w:t>/使用指导</w:t>
                  </w:r>
                </w:p>
              </w:tc>
            </w:tr>
            <w:tr>
              <w:tc>
                <w:tcPr>
                  <w:tcW w:type="dxa" w:w="357"/>
                  <w:vMerge/>
                  <w:tcBorders>
                    <w:top w:val="none" w:color="000000" w:sz="4"/>
                    <w:left w:val="single" w:color="000000" w:sz="4"/>
                    <w:bottom w:val="singl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★驱动下载服务要求</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供应商提供驱动光盘或下载方式</w:t>
                  </w:r>
                </w:p>
              </w:tc>
            </w:tr>
            <w:tr>
              <w:tc>
                <w:tcPr>
                  <w:tcW w:type="dxa" w:w="357"/>
                  <w:vMerge/>
                  <w:tcBorders>
                    <w:top w:val="none" w:color="000000" w:sz="4"/>
                    <w:left w:val="single" w:color="000000" w:sz="4"/>
                    <w:bottom w:val="singl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★兼容适配软件下载服务要求</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供应商提供兼容适配软件下载渠道（光盘、网站）</w:t>
                  </w:r>
                </w:p>
              </w:tc>
            </w:tr>
            <w:tr>
              <w:tc>
                <w:tcPr>
                  <w:tcW w:type="dxa" w:w="3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跨架构平台应用兼容</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提供跨架构平台应用兼容工具，兼容一种或者一种以上不同架构平台的应用运行</w:t>
                  </w:r>
                </w:p>
              </w:tc>
            </w:tr>
            <w:tr>
              <w:tc>
                <w:tcPr>
                  <w:tcW w:type="dxa" w:w="357"/>
                  <w:vMerge/>
                  <w:tcBorders>
                    <w:top w:val="none" w:color="000000" w:sz="4"/>
                    <w:left w:val="single" w:color="000000" w:sz="4"/>
                    <w:bottom w:val="singl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供应保障要求</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★供应链合规性</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★产品部件保障</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应保障产品主要部件应提供</w:t>
                  </w:r>
                  <w:r>
                    <w:rPr>
                      <w:sz w:val="21"/>
                    </w:rPr>
                    <w:t>3年的备件服务能力(自购买之日起)，或提供可兼容原设备的升级换代产品</w:t>
                  </w:r>
                </w:p>
              </w:tc>
            </w:tr>
            <w:tr>
              <w:tc>
                <w:tcPr>
                  <w:tcW w:type="dxa" w:w="357"/>
                  <w:vMerge/>
                  <w:tcBorders>
                    <w:top w:val="none" w:color="000000" w:sz="4"/>
                    <w:left w:val="single" w:color="000000" w:sz="4"/>
                    <w:bottom w:val="singl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供应保障要求</w:t>
                  </w:r>
                </w:p>
              </w:tc>
              <w:tc>
                <w:tcPr>
                  <w:tcW w:type="dxa" w:w="7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★供应链质量</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★抗干扰性</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当产品部件出现供应风险时，供应商应通知采购人并提供风险应对方案确保产品的服务保障</w:t>
                  </w:r>
                </w:p>
              </w:tc>
            </w:tr>
            <w:tr>
              <w:tc>
                <w:tcPr>
                  <w:tcW w:type="dxa" w:w="3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供应保障要求</w:t>
                  </w:r>
                </w:p>
              </w:tc>
              <w:tc>
                <w:tcPr>
                  <w:tcW w:type="dxa" w:w="751"/>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★供应能力证明</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供应商提供供应链稳定承诺书，确保产品的部件在产品服务周期内稳定供货</w:t>
                  </w:r>
                </w:p>
              </w:tc>
            </w:tr>
            <w:tr>
              <w:tc>
                <w:tcPr>
                  <w:tcW w:type="dxa" w:w="357"/>
                  <w:vMerge/>
                  <w:tcBorders>
                    <w:top w:val="none" w:color="000000" w:sz="4"/>
                    <w:left w:val="single" w:color="000000" w:sz="4"/>
                    <w:bottom w:val="singl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★关键部件安全要求</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★关键部件安全要求</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GPU和CPU等关键部件应当符合安全可靠测评要求，应符合进出口法律法规，应符合相关政策</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其他要求</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其他要求</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★其他要求</w:t>
                  </w:r>
                </w:p>
              </w:tc>
              <w:tc>
                <w:tcPr>
                  <w:tcW w:type="dxa" w:w="2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参照财政部《工作站政府采购需求标准》中规定的其他</w:t>
                  </w:r>
                  <w:r>
                    <w:rPr>
                      <w:sz w:val="21"/>
                    </w:rPr>
                    <w:t>*内容</w:t>
                  </w:r>
                </w:p>
              </w:tc>
            </w:tr>
          </w:tbl>
          <w:p>
            <w:pPr>
              <w:pStyle w:val="null3"/>
              <w:jc w:val="left"/>
            </w:pPr>
          </w:p>
        </w:tc>
      </w:tr>
      <w:tr>
        <w:tc>
          <w:tcPr>
            <w:tcW w:type="dxa" w:w="2076"/>
          </w:tcPr>
          <w:p/>
        </w:tc>
        <w:tc>
          <w:tcPr>
            <w:tcW w:type="dxa" w:w="415"/>
          </w:tcPr>
          <w:p>
            <w:pPr>
              <w:pStyle w:val="null3"/>
            </w:pPr>
            <w:r>
              <w:rPr/>
              <w:t>2</w:t>
            </w:r>
          </w:p>
        </w:tc>
        <w:tc>
          <w:tcPr>
            <w:tcW w:type="dxa" w:w="5814"/>
          </w:tcPr>
          <w:p>
            <w:pPr>
              <w:pStyle w:val="null3"/>
              <w:jc w:val="left"/>
            </w:pPr>
            <w:r>
              <w:rPr>
                <w:sz w:val="21"/>
                <w:color w:val="000000"/>
              </w:rPr>
              <w:t>工作站</w:t>
            </w:r>
            <w:r>
              <w:rPr>
                <w:sz w:val="21"/>
                <w:color w:val="000000"/>
              </w:rPr>
              <w:t>3（可视化人工智能训练&amp;引擎渲染工作站）   3台</w:t>
            </w:r>
            <w:r>
              <w:br/>
            </w:r>
            <w:r>
              <w:rPr/>
              <w:t xml:space="preserve">  </w:t>
            </w:r>
          </w:p>
          <w:tbl>
            <w:tblPr>
              <w:tblBorders>
                <w:top w:val="none" w:color="000000" w:sz="4"/>
                <w:left w:val="none" w:color="000000" w:sz="4"/>
                <w:bottom w:val="none" w:color="000000" w:sz="4"/>
                <w:right w:val="none" w:color="000000" w:sz="4"/>
                <w:insideH w:val="none"/>
                <w:insideV w:val="none"/>
              </w:tblBorders>
            </w:tblPr>
            <w:tblGrid>
              <w:gridCol w:w="364"/>
              <w:gridCol w:w="811"/>
              <w:gridCol w:w="770"/>
              <w:gridCol w:w="1246"/>
              <w:gridCol w:w="2407"/>
            </w:tblGrid>
            <w:tr>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分类</w:t>
                  </w:r>
                </w:p>
              </w:tc>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一级指标</w:t>
                  </w:r>
                </w:p>
              </w:tc>
              <w:tc>
                <w:tcPr>
                  <w:tcW w:type="dxa" w:w="1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二级指标</w:t>
                  </w:r>
                </w:p>
              </w:tc>
              <w:tc>
                <w:tcPr>
                  <w:tcW w:type="dxa" w:w="2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指标要求</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★CPU规格</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★CPU信息</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处理器核心数</w:t>
                  </w:r>
                  <w:r>
                    <w:rPr>
                      <w:sz w:val="21"/>
                    </w:rPr>
                    <w:t>≥24，基本频率≥3.0G、三级缓存≥36MB、线程≥32、基础功耗≤125 W，最大内存带宽≥89.6GB/s</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★内存规格</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★内存配置容量</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≥64GB</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★内存类型</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w:t>
                  </w:r>
                  <w:r>
                    <w:rPr>
                      <w:sz w:val="21"/>
                    </w:rPr>
                    <w:t>DDR5及以上内存类型</w:t>
                  </w:r>
                </w:p>
              </w:tc>
            </w:tr>
            <w:tr>
              <w:tc>
                <w:tcPr>
                  <w:tcW w:type="dxa" w:w="3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8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★内存条配置数量</w:t>
                  </w:r>
                </w:p>
              </w:tc>
              <w:tc>
                <w:tcPr>
                  <w:tcW w:type="dxa" w:w="24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364"/>
                  <w:vMerge/>
                  <w:tcBorders>
                    <w:top w:val="none" w:color="000000" w:sz="4"/>
                    <w:left w:val="single" w:color="000000" w:sz="4"/>
                    <w:bottom w:val="single" w:color="000000" w:sz="4"/>
                    <w:right w:val="single" w:color="000000" w:sz="4"/>
                  </w:tcBorders>
                </w:tcPr>
                <w:p/>
              </w:tc>
              <w:tc>
                <w:tcPr>
                  <w:tcW w:type="dxa" w:w="811"/>
                  <w:vMerge/>
                  <w:tcBorders>
                    <w:top w:val="none" w:color="000000" w:sz="4"/>
                    <w:left w:val="single" w:color="000000" w:sz="4"/>
                    <w:bottom w:val="single" w:color="000000" w:sz="4"/>
                    <w:right w:val="single" w:color="000000" w:sz="4"/>
                  </w:tcBorders>
                </w:tcP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（板载内存不涉及）</w:t>
                  </w:r>
                </w:p>
              </w:tc>
              <w:tc>
                <w:tcPr>
                  <w:tcW w:type="dxa" w:w="2407"/>
                  <w:vMerge/>
                  <w:tcBorders>
                    <w:top w:val="none" w:color="000000" w:sz="4"/>
                    <w:left w:val="single" w:color="000000" w:sz="4"/>
                    <w:bottom w:val="single" w:color="000000" w:sz="4"/>
                    <w:right w:val="single" w:color="000000" w:sz="4"/>
                  </w:tcBorders>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★主板规格</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★主板集成模块</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主板集成</w:t>
                  </w:r>
                  <w:r>
                    <w:rPr>
                      <w:sz w:val="21"/>
                    </w:rPr>
                    <w:t>2.5Gbe以太网卡，集成USB3.2,集成7.1声道音频芯片</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★主板支持的CPU和内存情况</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支持上述第</w:t>
                  </w:r>
                  <w:r>
                    <w:rPr>
                      <w:sz w:val="21"/>
                    </w:rPr>
                    <w:t>1小点的处理器</w:t>
                  </w:r>
                </w:p>
              </w:tc>
            </w:tr>
            <w:tr>
              <w:tc>
                <w:tcPr>
                  <w:tcW w:type="dxa" w:w="3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8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主板内置</w:t>
                  </w:r>
                  <w:r>
                    <w:rPr>
                      <w:sz w:val="21"/>
                    </w:rPr>
                    <w:t>PCIe插槽数量</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支持数量</w:t>
                  </w:r>
                  <w:r>
                    <w:rPr>
                      <w:sz w:val="21"/>
                    </w:rPr>
                    <w:t>≥5</w:t>
                  </w:r>
                </w:p>
              </w:tc>
            </w:tr>
            <w:tr>
              <w:tc>
                <w:tcPr>
                  <w:tcW w:type="dxa" w:w="364"/>
                  <w:vMerge/>
                  <w:tcBorders>
                    <w:top w:val="none" w:color="000000" w:sz="4"/>
                    <w:left w:val="single" w:color="000000" w:sz="4"/>
                    <w:bottom w:val="single" w:color="000000" w:sz="4"/>
                    <w:right w:val="single" w:color="000000" w:sz="4"/>
                  </w:tcBorders>
                </w:tcPr>
                <w:p/>
              </w:tc>
              <w:tc>
                <w:tcPr>
                  <w:tcW w:type="dxa" w:w="811"/>
                  <w:vMerge/>
                  <w:tcBorders>
                    <w:top w:val="none" w:color="000000" w:sz="4"/>
                    <w:left w:val="single" w:color="000000" w:sz="4"/>
                    <w:bottom w:val="single" w:color="000000" w:sz="4"/>
                    <w:right w:val="single" w:color="000000" w:sz="4"/>
                  </w:tcBorders>
                </w:tcPr>
                <w:p/>
              </w:tc>
              <w:tc>
                <w:tcPr>
                  <w:tcW w:type="dxa" w:w="770"/>
                  <w:vMerge/>
                  <w:tcBorders>
                    <w:top w:val="none" w:color="000000" w:sz="4"/>
                    <w:left w:val="single" w:color="000000" w:sz="4"/>
                    <w:bottom w:val="single" w:color="000000" w:sz="4"/>
                    <w:right w:val="single" w:color="000000" w:sz="4"/>
                  </w:tcBorders>
                </w:tcPr>
                <w:p/>
              </w:tc>
              <w:tc>
                <w:tcPr>
                  <w:tcW w:type="dxa" w:w="1246"/>
                  <w:vMerge/>
                  <w:tcBorders>
                    <w:top w:val="none" w:color="000000" w:sz="4"/>
                    <w:left w:val="single" w:color="000000" w:sz="4"/>
                    <w:bottom w:val="single" w:color="000000" w:sz="4"/>
                    <w:right w:val="single" w:color="000000" w:sz="4"/>
                  </w:tcBorders>
                </w:tcP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PCIe5.0 x16插槽数量≥2，PCI-Express 4.0 x16插槽数量≥1，PCI-Express 3.0 x16插槽数量≥1，PCI-Express 3.0 x1插槽数量≥1</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特殊孔位及接口</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前置</w:t>
                  </w:r>
                  <w:r>
                    <w:rPr>
                      <w:sz w:val="21"/>
                    </w:rPr>
                    <w:t>1 x 耳机插孔，1 x 麦克风插孔（独立），1 x USB 3.2 Gen2x2，2 x USB 3.2 Gen1，1 x USB 2.0；后置：2 x USB 3.2 Gen2，4 x USB 3.2 Gen1，1 x HDMI，1 x VGA，1 x DVI-D接口，1 x DisplayPort， 2x RJ45 LAN，1 x 7.1-channel Audio I/O ports (5+1 Audio jacks</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★主板其他内置接口</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w:t>
                  </w:r>
                  <w:r>
                    <w:rPr>
                      <w:sz w:val="21"/>
                    </w:rPr>
                    <w:t>M.2 nvme固态硬盘，M.2接口数量≥3，M.2支持最大规格22110;支持WIFI6模组</w:t>
                  </w:r>
                </w:p>
              </w:tc>
            </w:tr>
            <w:tr>
              <w:tc>
                <w:tcPr>
                  <w:tcW w:type="dxa" w:w="3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8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★单内存插槽最大可支持容量</w:t>
                  </w:r>
                </w:p>
              </w:tc>
              <w:tc>
                <w:tcPr>
                  <w:tcW w:type="dxa" w:w="24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≥48GB</w:t>
                  </w:r>
                </w:p>
              </w:tc>
            </w:tr>
            <w:tr>
              <w:tc>
                <w:tcPr>
                  <w:tcW w:type="dxa" w:w="364"/>
                  <w:vMerge/>
                  <w:tcBorders>
                    <w:top w:val="none" w:color="000000" w:sz="4"/>
                    <w:left w:val="single" w:color="000000" w:sz="4"/>
                    <w:bottom w:val="single" w:color="000000" w:sz="4"/>
                    <w:right w:val="single" w:color="000000" w:sz="4"/>
                  </w:tcBorders>
                </w:tcPr>
                <w:p/>
              </w:tc>
              <w:tc>
                <w:tcPr>
                  <w:tcW w:type="dxa" w:w="811"/>
                  <w:vMerge/>
                  <w:tcBorders>
                    <w:top w:val="none" w:color="000000" w:sz="4"/>
                    <w:left w:val="single" w:color="000000" w:sz="4"/>
                    <w:bottom w:val="single" w:color="000000" w:sz="4"/>
                    <w:right w:val="single" w:color="000000" w:sz="4"/>
                  </w:tcBorders>
                </w:tcP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（板载内存不涉及）</w:t>
                  </w:r>
                </w:p>
              </w:tc>
              <w:tc>
                <w:tcPr>
                  <w:tcW w:type="dxa" w:w="2407"/>
                  <w:vMerge/>
                  <w:tcBorders>
                    <w:top w:val="none" w:color="000000" w:sz="4"/>
                    <w:left w:val="single" w:color="000000" w:sz="4"/>
                    <w:bottom w:val="single" w:color="000000" w:sz="4"/>
                    <w:right w:val="single" w:color="000000" w:sz="4"/>
                  </w:tcBorders>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11.</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★内存插槽满配时提供的最高内存总容量</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≥192GB</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12.</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★存储设备规格</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★固态盘数量</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13.</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★固态存储容量</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≥2TB</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14.</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★机械硬盘数量</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15.</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★机械硬盘总容量</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≥4TB</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16.</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★机械硬盘转速</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≥7200rpm</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17.</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机械硬盘接口协议</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w:t>
                  </w:r>
                  <w:r>
                    <w:rPr>
                      <w:sz w:val="21"/>
                    </w:rPr>
                    <w:t>SATA3.0 及以上或SAS3.0 及以上接口</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18.</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机械硬盘形态</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 英寸或3.5 英寸等</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19.</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固态存储接口协议</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UFS/SATA/PCIe/NVMe/M.2 等类型接口协议</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20.</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★固态存储形态</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采用插卡或板载等形态，插卡形态宜符合</w:t>
                  </w:r>
                  <w:r>
                    <w:rPr>
                      <w:sz w:val="21"/>
                    </w:rPr>
                    <w:t>M.2 或mSATA 等标准尺寸和接口定义</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21.</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存储设备扩展盘位</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22.</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★存储设备其他参与要求</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M.2接口数量≥3</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23.</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★显卡规格</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★显卡类型</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24.</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★独立显卡显存类型</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GDDR6</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25.</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★独立显卡显存位宽</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≥384 位</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26.</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★独立显卡显存容量</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 GB</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27.</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独立显卡接口协议</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PCIe 4.0 x16</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28.</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★显示设备规格</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★显示屏屏占比</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29.</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★显示屏分辨率</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≥2560×1440</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30.</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显示屏可视角度</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≥178°</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31.</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★显示屏尺寸</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≥27英寸</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32.</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★显示屏屏幕比例</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16:09</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33.</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★显示器外观颜色</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白色</w:t>
                  </w:r>
                  <w:r>
                    <w:rPr>
                      <w:sz w:val="21"/>
                    </w:rPr>
                    <w:t>/银色</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34.</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★显示屏防蓝光</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支持防蓝光模式</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35.</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★外设规格</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传声器数量</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36.</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扬声器数量</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37.</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★鼠标数量</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38.</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★键盘数量</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39.</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光驱数量</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40.</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★键盘按键数目</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 键</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41.</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★扬声器功率</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 瓦/</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42.</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★键盘连接方式</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43.</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★有线键盘连接线</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≥1.5米</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44.</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★键盘颜色</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白色</w:t>
                  </w:r>
                  <w:r>
                    <w:rPr>
                      <w:sz w:val="21"/>
                    </w:rPr>
                    <w:t>/银色</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45.</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★鼠标连接方式</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46.</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★有线鼠标连接线</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≥1.5米</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47.</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鼠标颜色</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白色</w:t>
                  </w:r>
                  <w:r>
                    <w:rPr>
                      <w:sz w:val="21"/>
                    </w:rPr>
                    <w:t>/银色</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48.</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★鼠标其他要求</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其它参数应符合</w:t>
                  </w:r>
                  <w:r>
                    <w:rPr>
                      <w:sz w:val="21"/>
                    </w:rPr>
                    <w:t>GB/T 26245的相关规定</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49.</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内置光驱</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支持内置光驱</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50.</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★网络设备规格</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★有线网卡数量</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51.</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无线网卡及天线数量</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52.</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单无线网卡天线数量</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53.</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★外部接口规格</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★USB接口数量</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≥10，机箱前板至少包括3 个USB3.2 及以上接口,后面板不少于2 x USB 3.2 Gen2，4 x USB 3.2 Gen1</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54.</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USB 母座接口要求</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无要求</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55.</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★视频接口数量</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56.</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★音频接口数量</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57.</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存储卡接口数量</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58.</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★整机基础规格</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★整机散热</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360mm冷排，转数≥10%±800-2150RPM，噪音≤29dB</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59.</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★整机能效限定值</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产品能效限定值应达到</w:t>
                  </w:r>
                  <w:r>
                    <w:rPr>
                      <w:sz w:val="21"/>
                    </w:rPr>
                    <w:t>GB 28380-2012标准中能效等级2级及以上</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60.</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★机身颜色</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白色</w:t>
                  </w:r>
                  <w:r>
                    <w:rPr>
                      <w:sz w:val="21"/>
                    </w:rPr>
                    <w:t>/黑色</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61.</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★CPU性能</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★CPU物理核数</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核数</w:t>
                  </w:r>
                  <w:r>
                    <w:rPr>
                      <w:sz w:val="21"/>
                    </w:rPr>
                    <w:t>≥ 24</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62.</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★CPU主频</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最高睿频</w:t>
                  </w:r>
                  <w:r>
                    <w:rPr>
                      <w:sz w:val="21"/>
                    </w:rPr>
                    <w:t>≥6GHz</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63.</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 末级缓存容量</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≥32MB</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64.</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★CPU支持的内存最高速率</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最大内存带宽</w:t>
                  </w:r>
                  <w:r>
                    <w:rPr>
                      <w:sz w:val="21"/>
                    </w:rPr>
                    <w:t>≥89.6GB/s</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65.</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★内存性能</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★内存读写速率</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≥6400 MT/s</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66.</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★GPU性能</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GPU类型</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67.</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★数据中心级GPU</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数据中心级</w:t>
                  </w:r>
                  <w:r>
                    <w:rPr>
                      <w:sz w:val="21"/>
                    </w:rPr>
                    <w:t>GPU（必须非游戏级GPU）</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68.</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★CUDA核心数量</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≥14,080个</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69.</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★单精度性能</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≥69.3 TFLOPS</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70.</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★RT Core</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≥160.2 TFLOPS</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71.</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★Tensor</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≥1108.4 TFLOPS</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72.</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加速频率</w:t>
                  </w:r>
                  <w:r>
                    <w:rPr>
                      <w:sz w:val="21"/>
                    </w:rPr>
                    <w:t>(GHz)</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无要求</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73.</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基础频率</w:t>
                  </w:r>
                  <w:r>
                    <w:rPr>
                      <w:sz w:val="21"/>
                    </w:rPr>
                    <w:t>(GHz)</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无要求</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74.</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总功耗</w:t>
                  </w:r>
                  <w:r>
                    <w:rPr>
                      <w:sz w:val="21"/>
                    </w:rPr>
                    <w:t>(W)</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≤425</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75.</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vGPU支持</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76.</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★支持光线追踪，至少支持DLSS 3.5超分辨率，DLAA光线重建</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77.</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★最高数字分辨率和刷新率</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≥4x 4096 x 2160 @ 120hz或者4x 5120 x 2880 @ 60hz或者2x 7680 x 4320 @ 60hz</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78.</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★独立显卡接口协议</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w:t>
                  </w:r>
                  <w:r>
                    <w:rPr>
                      <w:sz w:val="21"/>
                    </w:rPr>
                    <w:t>PCI Express 第 4 代</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79.</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★显卡性能</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★显示分辨率</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≥3840×2160</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80.</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★显卡显示芯片核心频率</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≥2520MHz</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81.</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★显存等效频率</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≥21000 MHz</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82.</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★显卡可同时支持多屏显示数量</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w:t>
                  </w:r>
                  <w:r>
                    <w:rPr>
                      <w:sz w:val="21"/>
                    </w:rPr>
                    <w:t>4块屏幕同时显示，分辨率应不低于3840×2160</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83.</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★网络设备性能</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★有线网卡速率</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最高速率应不低于</w:t>
                  </w:r>
                  <w:r>
                    <w:rPr>
                      <w:sz w:val="21"/>
                    </w:rPr>
                    <w:t>1000Mbps，应支持10Mbps、100Mbps、1000Mbps速率自适应</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84.</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支持无线网络通信技术协议</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w:t>
                  </w:r>
                  <w:r>
                    <w:rPr>
                      <w:sz w:val="21"/>
                    </w:rPr>
                    <w:t>WAPI 或WiFi5.0 及以上协议</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85.</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无线网卡频宽</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≥20MHz</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86.</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显卡功能</w:t>
                  </w:r>
                  <w:r>
                    <w:rPr>
                      <w:sz w:val="21"/>
                    </w:rPr>
                    <w:t>★</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★显卡外接显示接口</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显卡至少支持</w:t>
                  </w:r>
                  <w:r>
                    <w:rPr>
                      <w:sz w:val="21"/>
                    </w:rPr>
                    <w:t>VGA、HDMI、DVI、DP、Type-C 中1 种显示接口，并与显示器接口相匹配</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87.</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独立显卡数量</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3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88.</w:t>
                  </w:r>
                </w:p>
              </w:tc>
              <w:tc>
                <w:tcPr>
                  <w:tcW w:type="dxa" w:w="8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★网络设备功能</w:t>
                  </w:r>
                </w:p>
              </w:tc>
              <w:tc>
                <w:tcPr>
                  <w:tcW w:type="dxa" w:w="1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★网络功能</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a)支持网络连接、网络开启/关闭功能</w:t>
                  </w:r>
                </w:p>
              </w:tc>
            </w:tr>
            <w:tr>
              <w:tc>
                <w:tcPr>
                  <w:tcW w:type="dxa" w:w="364"/>
                  <w:vMerge/>
                  <w:tcBorders>
                    <w:top w:val="none" w:color="000000" w:sz="4"/>
                    <w:left w:val="single" w:color="000000" w:sz="4"/>
                    <w:bottom w:val="single" w:color="000000" w:sz="4"/>
                    <w:right w:val="single" w:color="000000" w:sz="4"/>
                  </w:tcBorders>
                </w:tcPr>
                <w:p/>
              </w:tc>
              <w:tc>
                <w:tcPr>
                  <w:tcW w:type="dxa" w:w="811"/>
                  <w:vMerge/>
                  <w:tcBorders>
                    <w:top w:val="none" w:color="000000" w:sz="4"/>
                    <w:left w:val="single" w:color="000000" w:sz="4"/>
                    <w:bottom w:val="single" w:color="000000" w:sz="4"/>
                    <w:right w:val="single" w:color="000000" w:sz="4"/>
                  </w:tcBorders>
                </w:tcPr>
                <w:p/>
              </w:tc>
              <w:tc>
                <w:tcPr>
                  <w:tcW w:type="dxa" w:w="770"/>
                  <w:vMerge/>
                  <w:tcBorders>
                    <w:top w:val="none" w:color="000000" w:sz="4"/>
                    <w:left w:val="single" w:color="000000" w:sz="4"/>
                    <w:bottom w:val="single" w:color="000000" w:sz="4"/>
                    <w:right w:val="single" w:color="000000" w:sz="4"/>
                  </w:tcBorders>
                </w:tcPr>
                <w:p/>
              </w:tc>
              <w:tc>
                <w:tcPr>
                  <w:tcW w:type="dxa" w:w="1246"/>
                  <w:vMerge/>
                  <w:tcBorders>
                    <w:top w:val="none" w:color="000000" w:sz="4"/>
                    <w:left w:val="single" w:color="000000" w:sz="4"/>
                    <w:bottom w:val="single" w:color="000000" w:sz="4"/>
                    <w:right w:val="single" w:color="000000" w:sz="4"/>
                  </w:tcBorders>
                </w:tcP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b)支持访问网络和数据交换功能</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89.</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无线网卡频段</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支持双频段</w:t>
                  </w:r>
                </w:p>
              </w:tc>
            </w:tr>
            <w:tr>
              <w:tc>
                <w:tcPr>
                  <w:tcW w:type="dxa" w:w="3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90.</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物理开关</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支持网络设备物理开</w:t>
                  </w:r>
                </w:p>
              </w:tc>
            </w:tr>
            <w:tr>
              <w:tc>
                <w:tcPr>
                  <w:tcW w:type="dxa" w:w="364"/>
                  <w:vMerge/>
                  <w:tcBorders>
                    <w:top w:val="none" w:color="000000" w:sz="4"/>
                    <w:left w:val="single" w:color="000000" w:sz="4"/>
                    <w:bottom w:val="single" w:color="000000" w:sz="4"/>
                    <w:right w:val="single" w:color="000000" w:sz="4"/>
                  </w:tcBorders>
                </w:tcP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★数据传输</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支持数据传输能力，并提供数据流量和异常日志记录功能</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91.</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蓝牙协议</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支持蓝牙模块，蓝牙协议不低于</w:t>
                  </w:r>
                  <w:r>
                    <w:rPr>
                      <w:sz w:val="21"/>
                    </w:rPr>
                    <w:t>5.0 版本</w:t>
                  </w:r>
                </w:p>
              </w:tc>
            </w:tr>
            <w:tr>
              <w:tc>
                <w:tcPr>
                  <w:tcW w:type="dxa" w:w="3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92.</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★有线网卡接口类型</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支持</w:t>
                  </w:r>
                  <w:r>
                    <w:rPr>
                      <w:sz w:val="21"/>
                    </w:rPr>
                    <w:t>RJ45接口</w:t>
                  </w:r>
                </w:p>
              </w:tc>
            </w:tr>
            <w:tr>
              <w:tc>
                <w:tcPr>
                  <w:tcW w:type="dxa" w:w="364"/>
                  <w:vMerge/>
                  <w:tcBorders>
                    <w:top w:val="none" w:color="000000" w:sz="4"/>
                    <w:left w:val="single" w:color="000000" w:sz="4"/>
                    <w:bottom w:val="single" w:color="000000" w:sz="4"/>
                    <w:right w:val="single" w:color="000000" w:sz="4"/>
                  </w:tcBorders>
                </w:tcP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无线网卡标准</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若配备无线网卡应符合</w:t>
                  </w:r>
                  <w:r>
                    <w:rPr>
                      <w:sz w:val="21"/>
                    </w:rPr>
                    <w:t>GB 15629.11（所有部分）</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93.</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★网络设备拆装</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若配备的网络设备应支持物理拆装，包括无线网卡和蓝牙模块等</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94.</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★电源功能</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★电源线适配能力</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w:t>
                  </w:r>
                  <w:r>
                    <w:rPr>
                      <w:sz w:val="21"/>
                    </w:rPr>
                    <w:t>≥1000w</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95.</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硬件加速功能</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NPU/GPU等AI加速模块</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w:t>
                  </w:r>
                  <w:r>
                    <w:rPr>
                      <w:sz w:val="21"/>
                    </w:rPr>
                    <w:t>NPU/GPU 等AI 加速模</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96.</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视频编解码加速模块</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支持视频编解码加速模块</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97.</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影像处理加速模块</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支持视频编解码加速模块</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98.</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★GPU设备可靠性要求</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★原厂正版、正规渠道</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不接受拆机件翻修件，要求全新及正规维保</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99.</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★服务要求</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★配置检查工具</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供应商提供经自检测试</w:t>
                  </w:r>
                </w:p>
              </w:tc>
            </w:tr>
            <w:tr>
              <w:tc>
                <w:tcPr>
                  <w:tcW w:type="dxa" w:w="3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100.</w:t>
                  </w:r>
                </w:p>
              </w:tc>
              <w:tc>
                <w:tcPr>
                  <w:tcW w:type="dxa" w:w="8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770"/>
                  <w:vMerge/>
                  <w:tcBorders>
                    <w:top w:val="none" w:color="000000" w:sz="4"/>
                    <w:left w:val="single" w:color="000000" w:sz="4"/>
                    <w:bottom w:val="single" w:color="000000" w:sz="4"/>
                    <w:right w:val="single" w:color="000000" w:sz="4"/>
                  </w:tcBorders>
                </w:tcPr>
                <w:p/>
              </w:tc>
              <w:tc>
                <w:tcPr>
                  <w:tcW w:type="dxa" w:w="1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★服务响应</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a）提供产品3 年维保及上门服务（满足同城4 小时、异地12 小时响应要求）；</w:t>
                  </w:r>
                </w:p>
              </w:tc>
            </w:tr>
            <w:tr>
              <w:tc>
                <w:tcPr>
                  <w:tcW w:type="dxa" w:w="364"/>
                  <w:vMerge/>
                  <w:tcBorders>
                    <w:top w:val="none" w:color="000000" w:sz="4"/>
                    <w:left w:val="single" w:color="000000" w:sz="4"/>
                    <w:bottom w:val="single" w:color="000000" w:sz="4"/>
                    <w:right w:val="single" w:color="000000" w:sz="4"/>
                  </w:tcBorders>
                </w:tcPr>
                <w:p/>
              </w:tc>
              <w:tc>
                <w:tcPr>
                  <w:tcW w:type="dxa" w:w="811"/>
                  <w:vMerge/>
                  <w:tcBorders>
                    <w:top w:val="none" w:color="000000" w:sz="4"/>
                    <w:left w:val="single" w:color="000000" w:sz="4"/>
                    <w:bottom w:val="single" w:color="000000" w:sz="4"/>
                    <w:right w:val="single" w:color="000000" w:sz="4"/>
                  </w:tcBorders>
                </w:tcPr>
                <w:p/>
              </w:tc>
              <w:tc>
                <w:tcPr>
                  <w:tcW w:type="dxa" w:w="770"/>
                  <w:vMerge/>
                  <w:tcBorders>
                    <w:top w:val="none" w:color="000000" w:sz="4"/>
                    <w:left w:val="single" w:color="000000" w:sz="4"/>
                    <w:bottom w:val="single" w:color="000000" w:sz="4"/>
                    <w:right w:val="single" w:color="000000" w:sz="4"/>
                  </w:tcBorders>
                </w:tcPr>
                <w:p/>
              </w:tc>
              <w:tc>
                <w:tcPr>
                  <w:tcW w:type="dxa" w:w="1246"/>
                  <w:vMerge/>
                  <w:tcBorders>
                    <w:top w:val="none" w:color="000000" w:sz="4"/>
                    <w:left w:val="single" w:color="000000" w:sz="4"/>
                    <w:bottom w:val="single" w:color="000000" w:sz="4"/>
                    <w:right w:val="single" w:color="000000" w:sz="4"/>
                  </w:tcBorders>
                </w:tcP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b）提供政企专线7*24 在线服务；</w:t>
                  </w:r>
                </w:p>
              </w:tc>
            </w:tr>
            <w:tr>
              <w:tc>
                <w:tcPr>
                  <w:tcW w:type="dxa" w:w="364"/>
                  <w:vMerge/>
                  <w:tcBorders>
                    <w:top w:val="none" w:color="000000" w:sz="4"/>
                    <w:left w:val="single" w:color="000000" w:sz="4"/>
                    <w:bottom w:val="single" w:color="000000" w:sz="4"/>
                    <w:right w:val="single" w:color="000000" w:sz="4"/>
                  </w:tcBorders>
                </w:tcPr>
                <w:p/>
              </w:tc>
              <w:tc>
                <w:tcPr>
                  <w:tcW w:type="dxa" w:w="811"/>
                  <w:vMerge/>
                  <w:tcBorders>
                    <w:top w:val="none" w:color="000000" w:sz="4"/>
                    <w:left w:val="single" w:color="000000" w:sz="4"/>
                    <w:bottom w:val="single" w:color="000000" w:sz="4"/>
                    <w:right w:val="single" w:color="000000" w:sz="4"/>
                  </w:tcBorders>
                </w:tcPr>
                <w:p/>
              </w:tc>
              <w:tc>
                <w:tcPr>
                  <w:tcW w:type="dxa" w:w="770"/>
                  <w:vMerge/>
                  <w:tcBorders>
                    <w:top w:val="none" w:color="000000" w:sz="4"/>
                    <w:left w:val="single" w:color="000000" w:sz="4"/>
                    <w:bottom w:val="single" w:color="000000" w:sz="4"/>
                    <w:right w:val="single" w:color="000000" w:sz="4"/>
                  </w:tcBorders>
                </w:tcPr>
                <w:p/>
              </w:tc>
              <w:tc>
                <w:tcPr>
                  <w:tcW w:type="dxa" w:w="1246"/>
                  <w:vMerge/>
                  <w:tcBorders>
                    <w:top w:val="none" w:color="000000" w:sz="4"/>
                    <w:left w:val="single" w:color="000000" w:sz="4"/>
                    <w:bottom w:val="single" w:color="000000" w:sz="4"/>
                    <w:right w:val="single" w:color="000000" w:sz="4"/>
                  </w:tcBorders>
                </w:tcP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c）现场保障技术服务团队员，国内上门服务地级市覆盖率达100%</w:t>
                  </w:r>
                </w:p>
              </w:tc>
            </w:tr>
            <w:tr>
              <w:tc>
                <w:tcPr>
                  <w:tcW w:type="dxa" w:w="3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101.</w:t>
                  </w:r>
                </w:p>
              </w:tc>
              <w:tc>
                <w:tcPr>
                  <w:tcW w:type="dxa" w:w="8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770"/>
                  <w:vMerge/>
                  <w:tcBorders>
                    <w:top w:val="none" w:color="000000" w:sz="4"/>
                    <w:left w:val="single" w:color="000000" w:sz="4"/>
                    <w:bottom w:val="single" w:color="000000" w:sz="4"/>
                    <w:right w:val="single" w:color="000000" w:sz="4"/>
                  </w:tcBorders>
                </w:tcPr>
                <w:p/>
              </w:tc>
              <w:tc>
                <w:tcPr>
                  <w:tcW w:type="dxa" w:w="1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★服务周期</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支持产品延保</w:t>
                  </w:r>
                  <w:r>
                    <w:rPr>
                      <w:sz w:val="21"/>
                    </w:rPr>
                    <w:t>≥3年</w:t>
                  </w:r>
                </w:p>
              </w:tc>
            </w:tr>
            <w:tr>
              <w:tc>
                <w:tcPr>
                  <w:tcW w:type="dxa" w:w="364"/>
                  <w:vMerge/>
                  <w:tcBorders>
                    <w:top w:val="none" w:color="000000" w:sz="4"/>
                    <w:left w:val="single" w:color="000000" w:sz="4"/>
                    <w:bottom w:val="single" w:color="000000" w:sz="4"/>
                    <w:right w:val="single" w:color="000000" w:sz="4"/>
                  </w:tcBorders>
                </w:tcPr>
                <w:p/>
              </w:tc>
              <w:tc>
                <w:tcPr>
                  <w:tcW w:type="dxa" w:w="811"/>
                  <w:vMerge/>
                  <w:tcBorders>
                    <w:top w:val="none" w:color="000000" w:sz="4"/>
                    <w:left w:val="single" w:color="000000" w:sz="4"/>
                    <w:bottom w:val="single" w:color="000000" w:sz="4"/>
                    <w:right w:val="single" w:color="000000" w:sz="4"/>
                  </w:tcBorders>
                </w:tcPr>
                <w:p/>
              </w:tc>
              <w:tc>
                <w:tcPr>
                  <w:tcW w:type="dxa" w:w="770"/>
                  <w:vMerge/>
                  <w:tcBorders>
                    <w:top w:val="none" w:color="000000" w:sz="4"/>
                    <w:left w:val="single" w:color="000000" w:sz="4"/>
                    <w:bottom w:val="single" w:color="000000" w:sz="4"/>
                    <w:right w:val="single" w:color="000000" w:sz="4"/>
                  </w:tcBorders>
                </w:tcPr>
                <w:p/>
              </w:tc>
              <w:tc>
                <w:tcPr>
                  <w:tcW w:type="dxa" w:w="1246"/>
                  <w:vMerge/>
                  <w:tcBorders>
                    <w:top w:val="none" w:color="000000" w:sz="4"/>
                    <w:left w:val="single" w:color="000000" w:sz="4"/>
                    <w:bottom w:val="single" w:color="000000" w:sz="4"/>
                    <w:right w:val="single" w:color="000000" w:sz="4"/>
                  </w:tcBorders>
                </w:tcP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提供每年延保服务报价</w:t>
                  </w:r>
                </w:p>
              </w:tc>
            </w:tr>
            <w:tr>
              <w:tc>
                <w:tcPr>
                  <w:tcW w:type="dxa" w:w="364"/>
                  <w:vMerge/>
                  <w:tcBorders>
                    <w:top w:val="none" w:color="000000" w:sz="4"/>
                    <w:left w:val="single" w:color="000000" w:sz="4"/>
                    <w:bottom w:val="single" w:color="000000" w:sz="4"/>
                    <w:right w:val="single" w:color="000000" w:sz="4"/>
                  </w:tcBorders>
                </w:tcPr>
                <w:p/>
              </w:tc>
              <w:tc>
                <w:tcPr>
                  <w:tcW w:type="dxa" w:w="811"/>
                  <w:vMerge/>
                  <w:tcBorders>
                    <w:top w:val="none" w:color="000000" w:sz="4"/>
                    <w:left w:val="single" w:color="000000" w:sz="4"/>
                    <w:bottom w:val="single" w:color="000000" w:sz="4"/>
                    <w:right w:val="single" w:color="000000" w:sz="4"/>
                  </w:tcBorders>
                </w:tcPr>
                <w:p/>
              </w:tc>
              <w:tc>
                <w:tcPr>
                  <w:tcW w:type="dxa" w:w="770"/>
                  <w:vMerge/>
                  <w:tcBorders>
                    <w:top w:val="none" w:color="000000" w:sz="4"/>
                    <w:left w:val="single" w:color="000000" w:sz="4"/>
                    <w:bottom w:val="single" w:color="000000" w:sz="4"/>
                    <w:right w:val="single" w:color="000000" w:sz="4"/>
                  </w:tcBorders>
                </w:tcPr>
                <w:p/>
              </w:tc>
              <w:tc>
                <w:tcPr>
                  <w:tcW w:type="dxa" w:w="1246"/>
                  <w:vMerge/>
                  <w:tcBorders>
                    <w:top w:val="none" w:color="000000" w:sz="4"/>
                    <w:left w:val="single" w:color="000000" w:sz="4"/>
                    <w:bottom w:val="single" w:color="000000" w:sz="4"/>
                    <w:right w:val="single" w:color="000000" w:sz="4"/>
                  </w:tcBorders>
                </w:tcP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提供备件服务能力</w:t>
                  </w:r>
                  <w:r>
                    <w:rPr>
                      <w:sz w:val="21"/>
                    </w:rPr>
                    <w:t>≥6年（自购买之日起）</w:t>
                  </w:r>
                </w:p>
              </w:tc>
            </w:tr>
            <w:tr>
              <w:tc>
                <w:tcPr>
                  <w:tcW w:type="dxa" w:w="3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102.</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★预装操作系统</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预装符合桌面操作系统政府采购需求标准的正版操作系统</w:t>
                  </w:r>
                </w:p>
              </w:tc>
            </w:tr>
            <w:tr>
              <w:tc>
                <w:tcPr>
                  <w:tcW w:type="dxa" w:w="364"/>
                  <w:vMerge/>
                  <w:tcBorders>
                    <w:top w:val="none" w:color="000000" w:sz="4"/>
                    <w:left w:val="single" w:color="000000" w:sz="4"/>
                    <w:bottom w:val="single" w:color="000000" w:sz="4"/>
                    <w:right w:val="single" w:color="000000" w:sz="4"/>
                  </w:tcBorders>
                </w:tcP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★培训服务</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供应商提供培训材料、产品手册、培训视频等培训相关内容</w:t>
                  </w:r>
                </w:p>
              </w:tc>
            </w:tr>
            <w:tr>
              <w:tc>
                <w:tcPr>
                  <w:tcW w:type="dxa" w:w="364"/>
                  <w:vMerge/>
                  <w:tcBorders>
                    <w:top w:val="none" w:color="000000" w:sz="4"/>
                    <w:left w:val="single" w:color="000000" w:sz="4"/>
                    <w:bottom w:val="single" w:color="000000" w:sz="4"/>
                    <w:right w:val="single" w:color="000000" w:sz="4"/>
                  </w:tcBorders>
                </w:tcP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★典型问题解决手册</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供应商提供典型问题解决说明文档或视频</w:t>
                  </w:r>
                </w:p>
              </w:tc>
            </w:tr>
            <w:tr>
              <w:tc>
                <w:tcPr>
                  <w:tcW w:type="dxa" w:w="3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103.</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★厂家升级软件与扩容服务</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供应商提供上门升级部件</w:t>
                  </w:r>
                  <w:r>
                    <w:rPr>
                      <w:sz w:val="21"/>
                    </w:rPr>
                    <w:t>/软件的增值服务</w:t>
                  </w:r>
                </w:p>
              </w:tc>
            </w:tr>
            <w:tr>
              <w:tc>
                <w:tcPr>
                  <w:tcW w:type="dxa" w:w="364"/>
                  <w:vMerge/>
                  <w:tcBorders>
                    <w:top w:val="none" w:color="000000" w:sz="4"/>
                    <w:left w:val="single" w:color="000000" w:sz="4"/>
                    <w:bottom w:val="single" w:color="000000" w:sz="4"/>
                    <w:right w:val="single" w:color="000000" w:sz="4"/>
                  </w:tcBorders>
                </w:tcP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★整机质量服务要求</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免费服务周期（含换件和维修）应不小于</w:t>
                  </w:r>
                  <w:r>
                    <w:rPr>
                      <w:sz w:val="21"/>
                    </w:rPr>
                    <w:t>3年</w:t>
                  </w:r>
                </w:p>
              </w:tc>
            </w:tr>
            <w:tr>
              <w:tc>
                <w:tcPr>
                  <w:tcW w:type="dxa" w:w="364"/>
                  <w:vMerge/>
                  <w:tcBorders>
                    <w:top w:val="none" w:color="000000" w:sz="4"/>
                    <w:left w:val="single" w:color="000000" w:sz="4"/>
                    <w:bottom w:val="single" w:color="000000" w:sz="4"/>
                    <w:right w:val="single" w:color="000000" w:sz="4"/>
                  </w:tcBorders>
                </w:tcP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★合格证书要求</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供应商提供产品合格证</w:t>
                  </w:r>
                </w:p>
              </w:tc>
            </w:tr>
            <w:tr>
              <w:tc>
                <w:tcPr>
                  <w:tcW w:type="dxa" w:w="3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104.</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★开箱组装/使用指导要求</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供应商提供开箱组装</w:t>
                  </w:r>
                  <w:r>
                    <w:rPr>
                      <w:sz w:val="21"/>
                    </w:rPr>
                    <w:t>/使用指导</w:t>
                  </w:r>
                </w:p>
              </w:tc>
            </w:tr>
            <w:tr>
              <w:tc>
                <w:tcPr>
                  <w:tcW w:type="dxa" w:w="364"/>
                  <w:vMerge/>
                  <w:tcBorders>
                    <w:top w:val="none" w:color="000000" w:sz="4"/>
                    <w:left w:val="single" w:color="000000" w:sz="4"/>
                    <w:bottom w:val="single" w:color="000000" w:sz="4"/>
                    <w:right w:val="single" w:color="000000" w:sz="4"/>
                  </w:tcBorders>
                </w:tcP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★驱动下载服务要求</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供应商提供驱动光盘或下载方式</w:t>
                  </w:r>
                </w:p>
              </w:tc>
            </w:tr>
            <w:tr>
              <w:tc>
                <w:tcPr>
                  <w:tcW w:type="dxa" w:w="364"/>
                  <w:vMerge/>
                  <w:tcBorders>
                    <w:top w:val="none" w:color="000000" w:sz="4"/>
                    <w:left w:val="single" w:color="000000" w:sz="4"/>
                    <w:bottom w:val="single" w:color="000000" w:sz="4"/>
                    <w:right w:val="single" w:color="000000" w:sz="4"/>
                  </w:tcBorders>
                </w:tcP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★兼容适配软件下载服务要求</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供应商提供兼容适配软件下载渠道（光盘、网站）</w:t>
                  </w:r>
                </w:p>
              </w:tc>
            </w:tr>
            <w:tr>
              <w:tc>
                <w:tcPr>
                  <w:tcW w:type="dxa" w:w="3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105</w:t>
                  </w:r>
                  <w:r>
                    <w:rPr>
                      <w:sz w:val="19"/>
                    </w:rPr>
                    <w:t>.</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跨架构平台应用兼容</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提供跨架构平台应用兼容工具，兼容一种或者一种以上不同架构平台的应用运行</w:t>
                  </w:r>
                </w:p>
              </w:tc>
            </w:tr>
            <w:tr>
              <w:tc>
                <w:tcPr>
                  <w:tcW w:type="dxa" w:w="364"/>
                  <w:vMerge/>
                  <w:tcBorders>
                    <w:top w:val="none" w:color="000000" w:sz="4"/>
                    <w:left w:val="single" w:color="000000" w:sz="4"/>
                    <w:bottom w:val="single" w:color="000000" w:sz="4"/>
                    <w:right w:val="single" w:color="000000" w:sz="4"/>
                  </w:tcBorders>
                </w:tcP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供应保障要求</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★供应链合规性</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★产品部件保障</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应保障产品主要部件应提供</w:t>
                  </w:r>
                  <w:r>
                    <w:rPr>
                      <w:sz w:val="21"/>
                    </w:rPr>
                    <w:t>3年的备件服务能力(自购买之日起)，或提供可兼容原设备的升级换代产品</w:t>
                  </w:r>
                </w:p>
              </w:tc>
            </w:tr>
            <w:tr>
              <w:tc>
                <w:tcPr>
                  <w:tcW w:type="dxa" w:w="364"/>
                  <w:vMerge/>
                  <w:tcBorders>
                    <w:top w:val="none" w:color="000000" w:sz="4"/>
                    <w:left w:val="single" w:color="000000" w:sz="4"/>
                    <w:bottom w:val="single" w:color="000000" w:sz="4"/>
                    <w:right w:val="single" w:color="000000" w:sz="4"/>
                  </w:tcBorders>
                </w:tcP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供应保障要求</w:t>
                  </w:r>
                </w:p>
              </w:tc>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★供应链质量</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★抗干扰性</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当产品部件出现供应风险时，供应商应通知采购人并提供风险应对方案确保产品的服务保障</w:t>
                  </w:r>
                </w:p>
              </w:tc>
            </w:tr>
            <w:tr>
              <w:tc>
                <w:tcPr>
                  <w:tcW w:type="dxa" w:w="3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106.</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供应保障要求</w:t>
                  </w:r>
                </w:p>
              </w:tc>
              <w:tc>
                <w:tcPr>
                  <w:tcW w:type="dxa" w:w="770"/>
                  <w:vMerge/>
                  <w:tcBorders>
                    <w:top w:val="none" w:color="000000" w:sz="4"/>
                    <w:left w:val="single" w:color="000000" w:sz="4"/>
                    <w:bottom w:val="single" w:color="000000" w:sz="4"/>
                    <w:right w:val="single" w:color="000000" w:sz="4"/>
                  </w:tcBorders>
                </w:tcP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★供应能力证明</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供应商提供供应链稳定承诺书，确保产品的部件在产品服务周期内稳定供货</w:t>
                  </w:r>
                </w:p>
              </w:tc>
            </w:tr>
            <w:tr>
              <w:tc>
                <w:tcPr>
                  <w:tcW w:type="dxa" w:w="364"/>
                  <w:vMerge/>
                  <w:tcBorders>
                    <w:top w:val="none" w:color="000000" w:sz="4"/>
                    <w:left w:val="single" w:color="000000" w:sz="4"/>
                    <w:bottom w:val="single" w:color="000000" w:sz="4"/>
                    <w:right w:val="single" w:color="000000" w:sz="4"/>
                  </w:tcBorders>
                </w:tcP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★关键部件安全要求</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★关键部件安全要求</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GPU和CPU等关键部件应当符合安全可靠测评要求，应符合进出口法律法规，应符合相关政策</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107.</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其他要求</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其他要求</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★其他要求</w:t>
                  </w:r>
                </w:p>
              </w:tc>
              <w:tc>
                <w:tcPr>
                  <w:tcW w:type="dxa" w:w="2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参照财政部《工作站政府采购需求标准》中规定的其他</w:t>
                  </w:r>
                  <w:r>
                    <w:rPr>
                      <w:sz w:val="21"/>
                    </w:rPr>
                    <w:t>*内容</w:t>
                  </w:r>
                </w:p>
              </w:tc>
            </w:tr>
          </w:tbl>
          <w:p>
            <w:pPr>
              <w:pStyle w:val="null3"/>
              <w:jc w:val="left"/>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采购机构代理服务收费标准：中标人须向采购代理机构按如下标准和规定缴纳招标代理服务费： （1）以项目各包组的中标金额作为代理服务费的计算基数； （2）代理服务费采用差额定率累进法进行计算，按照以下标准计算后下浮20%计取： 100万元以下的部分，按照1.5%计取； 100-500万元的部分，按照1.1%计取。 计算后不足5000元的，按5000元计取。 （3）增值税另行计入招标代理服务费中。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其他，便利化措施（本招标文件其他条款与本条不一致的，以本条为准），投标文件的递交与开标 1. 各投标供应商可以通过“中国邮政”、“EMS”、“顺丰快递”等快递方式，按照采购文件要求在规定的投标截止时间前将《投标文件》及相关样品（如有）送达到开标地点，快递单上应清晰写明如下信息： 1）收件地址：广州市天河区龙怡路117号银汇大厦5楼 2）收件人：广东志正招标有限公司前台 3）注明采购项目编号 如需现场安装或调试的样品，不接受邮寄送达的方式。 需现场陈述的项目，请供应商派代表参与。 2. 通过快递方式递交《投标文件》及相关样品（如有）的，递交时间为送达我司由我司前台人员签收的时间，请投标供应商预留邮寄所需的时间。建议投标供应商在邮递之后，主动在 投标截止时间前及时与我司联系，核实投标文件是否在规定的时间内送达。 3. 通过快递方式递交《投标文件》及相关样品（如有）的，寄错地址、逾期送达、未按照采购文件要求密封或者邮寄过程导致包装密封出现破损的，我司将拒绝接收，由投标供应商自行承担相应责任与后果，我司不承担责任。 4. 投标供应商未参加现场开标的，视同认可开标结果。 中标（成交）通知书与发票送达 我司鼓励将通过快递方式送达给中标（成交）人，服务费（标书款）发票以邮件方式发送电子发票。 采购合同送达 我司提倡中标（成交）人优先采用邮寄方式将签订的合同及时送达我司。 1）收件地址：广州市天河区龙怡路117号银汇大厦5 楼 2）收件人：广东志正招标有限公司前台 3）注明采购项目编号 政府采购合同融资，供应商在中标（成交）后需要融资时可以申请政府采购合同融资。详情请 见《广东省财政厅广东省地方金融监督管理局中国人民银行广州分行关于开展省级政府采购合 同融资工作的通知》（粤财采购〔2020〕6号）（查询网址：http://www.gdgpo.gov.cn/show/id/40288ba97237aba8017239cc2a020555.html）。</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 xml:space="preserve"> 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话：020-83188580、83188500、83188511、83188586</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采购包1(实验室物联管控系统等设备)：综合评分法,是指投标文件满足招标文件全部实质性要求，且按照评审因素的量化指标评审得分最高的投标人为中标候选人的评标方法。（最低报价不是中标的唯一依据。）</w:t>
      </w:r>
    </w:p>
    <w:p>
      <w:pPr>
        <w:pStyle w:val="null3"/>
      </w:pPr>
      <w:r>
        <w:rPr/>
        <w:t>采购包2(工作站等设备)：综合评分法,是指投标文件满足招标文件全部实质性要求，且按照评审因素的量化指标评审得分最高的投标人为中标候选人的评标方法。（最低报价不是中标的唯一依据。）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采购包1（实验室物联管控系统等设备）：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采购包2（工作站等设备）：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采购包1（实验室物联管控系统等设备）：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供应商必须具有良好的商业信誉和健全的财务会计制度（提供2022年或2023年年度财务状况报告或投标截止日前6个月内任意1个月的财务报表复印件或基本开户行出具的资信证明）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bl>
    <w:p>
      <w:pPr>
        <w:pStyle w:val="null3"/>
      </w:pPr>
      <w:r>
        <w:rPr/>
        <w:t>采购包2（工作站等设备）：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供应商必须具有良好的商业信誉和健全的财务会计制度（提供2022年或2023年年度财务状况报告或投标截止日前6个月内任意1个月的财务报表复印件或基本开户行出具的资信证明）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bl>
    <w:p>
      <w:pPr>
        <w:pStyle w:val="null3"/>
        <w:ind w:firstLine="480"/>
      </w:pPr>
      <w:r>
        <w:rPr/>
        <w:t>表二符合性审查表：</w:t>
      </w:r>
    </w:p>
    <w:p>
      <w:pPr>
        <w:pStyle w:val="null3"/>
      </w:pPr>
      <w:r>
        <w:rPr/>
        <w:t>采购包1（实验室物联管控系统等设备）：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pPr>
      <w:r>
        <w:rPr/>
        <w:t>采购包2（工作站等设备）：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采购包1(实验室物联管控系统等设备):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技术参数响应情况1 (13.0分)</w:t>
            </w:r>
          </w:p>
        </w:tc>
        <w:tc>
          <w:tcPr>
            <w:tcW w:type="dxa" w:w="5076"/>
          </w:tcPr>
          <w:p>
            <w:pPr>
              <w:pStyle w:val="null3"/>
              <w:jc w:val="left"/>
            </w:pPr>
            <w:r>
              <w:rPr/>
              <w:t>投标人对该包组采购需求中的带▲号条款（共13项）进行一一响应，每满足一项得13分，最高得13分。 注： 1）如采购需求书中有明确要求提供证明资料的，以采购需求书中的要求为准；如采购需求书中未明确证明材料的，以投标人在《技术和服务要求响应表》中的响应情况填写内容为准，未填写的或参数不满足的都视为负偏离。 2）凡是标有序号的一般条款均以一项单独的条款计算，无论是否隶属于上一级编号。</w:t>
            </w:r>
          </w:p>
        </w:tc>
      </w:tr>
      <w:tr>
        <w:tc>
          <w:tcPr>
            <w:tcW w:type="dxa" w:w="922"/>
            <w:gridSpan w:val="2"/>
            <w:vMerge/>
          </w:tcPr>
          <w:p/>
        </w:tc>
        <w:tc>
          <w:tcPr>
            <w:tcW w:type="dxa" w:w="2307"/>
          </w:tcPr>
          <w:p>
            <w:pPr>
              <w:pStyle w:val="null3"/>
              <w:jc w:val="left"/>
            </w:pPr>
            <w:r>
              <w:rPr/>
              <w:t>技术参数响应情况2 (15.0分)</w:t>
            </w:r>
          </w:p>
        </w:tc>
        <w:tc>
          <w:tcPr>
            <w:tcW w:type="dxa" w:w="5076"/>
          </w:tcPr>
          <w:p>
            <w:pPr>
              <w:pStyle w:val="null3"/>
              <w:jc w:val="left"/>
            </w:pPr>
            <w:r>
              <w:rPr/>
              <w:t>根据投标人对该包组采购需求书中产品第1-17项、第21-33项标的中不带“▲”或 “★”号的一般技术参数指标的响应程度进行评审：每一项标的的一般技术参数全部响应则得分，只要有一条（或以上）一般技术参数负偏离，则该项不得分。每有一种产品完全满足的得0.5分，最高得15分。 注： 1）如采购需求书中有明确要求提供证明资料的，以采购需求书中的要求为准；如采购需求书中未明确证明材料的，以投标人在《技术和服务要求响应表》中的响应情况填写内容为准，未填写的或参数不满足的都视为负偏离。</w:t>
            </w:r>
          </w:p>
        </w:tc>
      </w:tr>
      <w:tr>
        <w:tc>
          <w:tcPr>
            <w:tcW w:type="dxa" w:w="922"/>
            <w:gridSpan w:val="2"/>
            <w:vMerge/>
          </w:tcPr>
          <w:p/>
        </w:tc>
        <w:tc>
          <w:tcPr>
            <w:tcW w:type="dxa" w:w="2307"/>
          </w:tcPr>
          <w:p>
            <w:pPr>
              <w:pStyle w:val="null3"/>
              <w:jc w:val="left"/>
            </w:pPr>
            <w:r>
              <w:rPr/>
              <w:t>产品质量及安全保证措施 (7.0分)</w:t>
            </w:r>
            <w:r>
              <w:rPr/>
              <w:t>，（等次分值选择：</w:t>
            </w:r>
            <w:r>
              <w:rPr/>
              <w:t>0.0;</w:t>
            </w:r>
            <w:r>
              <w:rPr/>
              <w:t>1.0;</w:t>
            </w:r>
            <w:r>
              <w:rPr/>
              <w:t>4.0;</w:t>
            </w:r>
            <w:r>
              <w:rPr/>
              <w:t>7.0;</w:t>
            </w:r>
            <w:r>
              <w:rPr/>
              <w:t>）</w:t>
            </w:r>
          </w:p>
        </w:tc>
        <w:tc>
          <w:tcPr>
            <w:tcW w:type="dxa" w:w="5076"/>
          </w:tcPr>
          <w:p>
            <w:pPr>
              <w:pStyle w:val="null3"/>
              <w:jc w:val="left"/>
            </w:pPr>
            <w:r>
              <w:rPr/>
              <w:t>根据投标人提供的产品质量及安全保证措施方案（包括但不限于①产品更换保障、②供货、装卸及运输保障、③产品质量保障）进行评分： （1）产品更换保障描述清晰明确、有条理，有完善的装卸及运输保障措施，产品装卸及运输确保完好无损，产品质量保障措施健全，在保修期内能建立包修、包退换、包维护保养措施，得7分； （2）产品更换保障描述清晰，有基本的装卸及运输保障措施，产品装卸及运输可保证基本完好无损，有基本的产品质量保障措施，在保修期内能建立包修、包退换、包维护保养措施，得4分； （3）产品更换保障描述不够清晰，装卸及运输保障措施简单，产品装卸及运输无法保证完好无损，产品质量保障措施不足，在保修期内不能建立包修、包退换、包维护保养措施，得1分； （4）未提供质量保障措施方案或其他，得0分。</w:t>
            </w:r>
          </w:p>
        </w:tc>
      </w:tr>
      <w:tr>
        <w:tc>
          <w:tcPr>
            <w:tcW w:type="dxa" w:w="922"/>
            <w:gridSpan w:val="2"/>
            <w:vMerge/>
          </w:tcPr>
          <w:p/>
        </w:tc>
        <w:tc>
          <w:tcPr>
            <w:tcW w:type="dxa" w:w="2307"/>
          </w:tcPr>
          <w:p>
            <w:pPr>
              <w:pStyle w:val="null3"/>
              <w:jc w:val="left"/>
            </w:pPr>
            <w:r>
              <w:rPr/>
              <w:t>安装、测试、交付方案 (5.0分)</w:t>
            </w:r>
            <w:r>
              <w:rPr/>
              <w:t>，（等次分值选择：</w:t>
            </w:r>
            <w:r>
              <w:rPr/>
              <w:t>0.0;</w:t>
            </w:r>
            <w:r>
              <w:rPr/>
              <w:t>1.0;</w:t>
            </w:r>
            <w:r>
              <w:rPr/>
              <w:t>3.0;</w:t>
            </w:r>
            <w:r>
              <w:rPr/>
              <w:t>5.0;</w:t>
            </w:r>
            <w:r>
              <w:rPr/>
              <w:t>）</w:t>
            </w:r>
          </w:p>
        </w:tc>
        <w:tc>
          <w:tcPr>
            <w:tcW w:type="dxa" w:w="5076"/>
          </w:tcPr>
          <w:p>
            <w:pPr>
              <w:pStyle w:val="null3"/>
              <w:jc w:val="left"/>
            </w:pPr>
            <w:r>
              <w:rPr/>
              <w:t>根据投标人提供的安装调试交付方案（包括但不限于安装调试人员安排、安装调试计划、流程、安装调试执行方案、交付方案等）进行评审： （1）提供的安装调试方案详细，流程清晰合理，完全符合学校安装调试要求，得5分； （2）提供的安装调试方案简单，流程基本合理，基本符合学校安装调试要求，得3分； （3）提供的安装调试方案粗略，流程不清晰不合理，未按学校安装调试要求拟写，得1分； （4）其他或不提供安装调试方案者不得分。</w:t>
            </w:r>
          </w:p>
        </w:tc>
      </w:tr>
      <w:tr>
        <w:tc>
          <w:tcPr>
            <w:tcW w:type="dxa" w:w="922"/>
            <w:gridSpan w:val="2"/>
            <w:vMerge/>
          </w:tcPr>
          <w:p/>
        </w:tc>
        <w:tc>
          <w:tcPr>
            <w:tcW w:type="dxa" w:w="2307"/>
          </w:tcPr>
          <w:p>
            <w:pPr>
              <w:pStyle w:val="null3"/>
              <w:jc w:val="left"/>
            </w:pPr>
            <w:r>
              <w:rPr/>
              <w:t>培训方案 (5.0分)</w:t>
            </w:r>
            <w:r>
              <w:rPr/>
              <w:t>，（等次分值选择：</w:t>
            </w:r>
            <w:r>
              <w:rPr/>
              <w:t>0.0;</w:t>
            </w:r>
            <w:r>
              <w:rPr/>
              <w:t>1.0;</w:t>
            </w:r>
            <w:r>
              <w:rPr/>
              <w:t>3.0;</w:t>
            </w:r>
            <w:r>
              <w:rPr/>
              <w:t>5.0;</w:t>
            </w:r>
            <w:r>
              <w:rPr/>
              <w:t>）</w:t>
            </w:r>
          </w:p>
        </w:tc>
        <w:tc>
          <w:tcPr>
            <w:tcW w:type="dxa" w:w="5076"/>
          </w:tcPr>
          <w:p>
            <w:pPr>
              <w:pStyle w:val="null3"/>
              <w:jc w:val="left"/>
            </w:pPr>
            <w:r>
              <w:rPr/>
              <w:t>根据投标人拟定的培训方案进行综合评审： （1）培训方案科学完整、切合实际，技术培训服务人员证件齐全，为培训提供详实的资料，对系统的安装、调试运行以及突发情况的应急维修均有详细的培训手册，培训现场进行实际操作演练的得5分。 （2）仅对合同内的设备安装、调试、运行、维护及检修提供简单的技术培训，方案合理可行，可落实到项目实处，确保培训无障碍的得3分。 （3）培训方案不够具体，内容较为粗略，有待完善和提高，培训时间场地有待确定的得1分。 （4）未提供培训方案或方案较差，培训内容与本项目不符的则不得分。</w:t>
            </w:r>
          </w:p>
        </w:tc>
      </w:tr>
      <w:tr>
        <w:tc>
          <w:tcPr>
            <w:tcW w:type="dxa" w:w="922"/>
            <w:gridSpan w:val="2"/>
            <w:vMerge/>
          </w:tcPr>
          <w:p/>
        </w:tc>
        <w:tc>
          <w:tcPr>
            <w:tcW w:type="dxa" w:w="2307"/>
          </w:tcPr>
          <w:p>
            <w:pPr>
              <w:pStyle w:val="null3"/>
              <w:jc w:val="left"/>
            </w:pPr>
            <w:r>
              <w:rPr/>
              <w:t>售后服务方案 (5.0分)</w:t>
            </w:r>
            <w:r>
              <w:rPr/>
              <w:t>，（等次分值选择：</w:t>
            </w:r>
            <w:r>
              <w:rPr/>
              <w:t>0.0;</w:t>
            </w:r>
            <w:r>
              <w:rPr/>
              <w:t>1.0;</w:t>
            </w:r>
            <w:r>
              <w:rPr/>
              <w:t>3.0;</w:t>
            </w:r>
            <w:r>
              <w:rPr/>
              <w:t>5.0;</w:t>
            </w:r>
            <w:r>
              <w:rPr/>
              <w:t>）</w:t>
            </w:r>
          </w:p>
        </w:tc>
        <w:tc>
          <w:tcPr>
            <w:tcW w:type="dxa" w:w="5076"/>
          </w:tcPr>
          <w:p>
            <w:pPr>
              <w:pStyle w:val="null3"/>
              <w:jc w:val="left"/>
            </w:pPr>
            <w:r>
              <w:rPr/>
              <w:t>根据投标人拟定的售后服务方案、服务标准、应急措施及时间保障（提供本单位售后服务能力证明材料，包含但不限于服务体系、服务制度、应急时间、管理人员和保修期内、外出现问题的响应时间、解决故障时间、技术支持、保证措施等）进行综合评审： （1）售后服务方案科学完整，具有较强的针对性、可管理性，有详细的售后服务体系，提供定期巡检维修服务人员，能及时有效的对系统或设备进行管理和定期维护，对保修期内、外的保证措施与技术支持合理可行的得5分。 （2）售后服务方案合理可行，具有一定的可行性、能确保售后服务实施流程通畅，系统或设备出现故障时可提供相应的技术人员进行维护，保修期内、外的保证措施较为简洁的得3分。 （3）售后服务方案简单，内容不够具体，可行性不高的得1分。 （4）未提供售后服务方案或方案不能满足项目要求的则不得分。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(5.0分)</w:t>
            </w:r>
          </w:p>
        </w:tc>
        <w:tc>
          <w:tcPr>
            <w:tcW w:type="dxa" w:w="5076"/>
          </w:tcPr>
          <w:p>
            <w:pPr>
              <w:pStyle w:val="null3"/>
              <w:jc w:val="left"/>
            </w:pPr>
            <w:r>
              <w:rPr/>
              <w:t>根据投标人对用户需求书“主要商务要求”未标注“★”的一般条款的响应程度进行评审： 每项中所有条款完全满足或优于的得1分，最高得5分；每项中有负偏离条款的，该项不得分。 【注1】本项目商务要求条款共5项，包括“标的提供的时间”、“标的提供的地点”、“验收要求”、“履约保证金”及“其他商务需求”（第（五）保修期及售后服务要求除外）。</w:t>
            </w:r>
          </w:p>
        </w:tc>
      </w:tr>
      <w:tr>
        <w:tc>
          <w:tcPr>
            <w:tcW w:type="dxa" w:w="922"/>
            <w:gridSpan w:val="2"/>
            <w:vMerge/>
          </w:tcPr>
          <w:p/>
        </w:tc>
        <w:tc>
          <w:tcPr>
            <w:tcW w:type="dxa" w:w="2307"/>
          </w:tcPr>
          <w:p>
            <w:pPr>
              <w:pStyle w:val="null3"/>
              <w:jc w:val="left"/>
            </w:pPr>
            <w:r>
              <w:rPr/>
              <w:t>同类产品业绩 (5.0分)</w:t>
            </w:r>
          </w:p>
        </w:tc>
        <w:tc>
          <w:tcPr>
            <w:tcW w:type="dxa" w:w="5076"/>
          </w:tcPr>
          <w:p>
            <w:pPr>
              <w:pStyle w:val="null3"/>
              <w:jc w:val="left"/>
            </w:pPr>
            <w:r>
              <w:rPr/>
              <w:t>2020年1月1日起，投标人具有服务不同客户的同类产品供货业绩经验，每提供1个项目业绩得1分，最高得5分。 【注：①业绩时间以合同签订时间为准；②投标人须提供每项业绩的合同关键页（关键页包括能够获知甲乙双方名称、合同标的页面及签字盖章页及合同签订时间）扫描件，并加盖投标人公章；③同一买方（甲方）提供多项业绩合同的，按一项计算；④如所提供的材料有欠缺、模糊辨认不清或不符合要求的，均视为无效材料不得分。】</w:t>
            </w:r>
          </w:p>
        </w:tc>
      </w:tr>
      <w:tr>
        <w:tc>
          <w:tcPr>
            <w:tcW w:type="dxa" w:w="922"/>
            <w:gridSpan w:val="2"/>
            <w:vMerge/>
          </w:tcPr>
          <w:p/>
        </w:tc>
        <w:tc>
          <w:tcPr>
            <w:tcW w:type="dxa" w:w="2307"/>
          </w:tcPr>
          <w:p>
            <w:pPr>
              <w:pStyle w:val="null3"/>
              <w:jc w:val="left"/>
            </w:pPr>
            <w:r>
              <w:rPr/>
              <w:t>客户满意度情况 (5.0分)</w:t>
            </w:r>
          </w:p>
        </w:tc>
        <w:tc>
          <w:tcPr>
            <w:tcW w:type="dxa" w:w="5076"/>
          </w:tcPr>
          <w:p>
            <w:pPr>
              <w:pStyle w:val="null3"/>
              <w:jc w:val="left"/>
            </w:pPr>
            <w:r>
              <w:rPr/>
              <w:t>投标人在“同类产品业绩”中有效业绩获得合同的买方（甲方）单位对其服务质量评价，且评价内容须为满意或优或百分制90分（或以上）等类似的正面满意度评价材料，需盖有合同的买方（甲方）单位公章（注：部门章、处室章等其他章有效），一个项目评价得1分，最高得5分。 【注：①提供多个评价材料均为同一买方（甲方）单位的，只计算为一个评价；②提供证明材料扫描件，加盖投标人单位公章；③如非经认定为有效项目业绩，则对应项目评价材料不得分；④如所提供的材料有欠缺、模糊辨认不清或不符合要求的，均视为无效材料不得分。】</w:t>
            </w:r>
          </w:p>
        </w:tc>
      </w:tr>
      <w:tr>
        <w:tc>
          <w:tcPr>
            <w:tcW w:type="dxa" w:w="922"/>
            <w:gridSpan w:val="2"/>
            <w:vMerge/>
          </w:tcPr>
          <w:p/>
        </w:tc>
        <w:tc>
          <w:tcPr>
            <w:tcW w:type="dxa" w:w="2307"/>
          </w:tcPr>
          <w:p>
            <w:pPr>
              <w:pStyle w:val="null3"/>
              <w:jc w:val="left"/>
            </w:pPr>
            <w:r>
              <w:rPr/>
              <w:t>保修期 (3.0分)</w:t>
            </w:r>
          </w:p>
        </w:tc>
        <w:tc>
          <w:tcPr>
            <w:tcW w:type="dxa" w:w="5076"/>
          </w:tcPr>
          <w:p>
            <w:pPr>
              <w:pStyle w:val="null3"/>
              <w:jc w:val="left"/>
            </w:pPr>
            <w:r>
              <w:rPr/>
              <w:t>满足本包组采购文件对保修期的要求（1年），保修期每增加1年，得1分。本项最高得3分。提供承诺或声明函（格式自拟）。</w:t>
            </w:r>
          </w:p>
        </w:tc>
      </w:tr>
      <w:tr>
        <w:tc>
          <w:tcPr>
            <w:tcW w:type="dxa" w:w="922"/>
            <w:gridSpan w:val="2"/>
            <w:vMerge/>
          </w:tcPr>
          <w:p/>
        </w:tc>
        <w:tc>
          <w:tcPr>
            <w:tcW w:type="dxa" w:w="2307"/>
          </w:tcPr>
          <w:p>
            <w:pPr>
              <w:pStyle w:val="null3"/>
              <w:jc w:val="left"/>
            </w:pPr>
            <w:r>
              <w:rPr/>
              <w:t>投标人综合服务支撑能力 (2.0分)</w:t>
            </w:r>
          </w:p>
        </w:tc>
        <w:tc>
          <w:tcPr>
            <w:tcW w:type="dxa" w:w="5076"/>
          </w:tcPr>
          <w:p>
            <w:pPr>
              <w:pStyle w:val="null3"/>
              <w:jc w:val="left"/>
            </w:pPr>
            <w:r>
              <w:rPr/>
              <w:t>投标人对其他商务需求“（五）保修期及售后服务要求”中关于售后服务内容的响应： 承诺有优于招标文件要求的得2分，完全满足要求的得1分；不满足要求的，该项不得分。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采购包2(工作站等设备):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技术参数响应情况1 (16.0分)</w:t>
            </w:r>
          </w:p>
        </w:tc>
        <w:tc>
          <w:tcPr>
            <w:tcW w:type="dxa" w:w="5076"/>
          </w:tcPr>
          <w:p>
            <w:pPr>
              <w:pStyle w:val="null3"/>
              <w:jc w:val="left"/>
            </w:pPr>
            <w:r>
              <w:rPr/>
              <w:t>投标人对该包组采购需求中的带▲号条款（共16项）进行一一响应，每满足一项得1分，最高得16分。 注： 1）如采购需求书中有明确要求提供证明资料的，以采购需求书中的要求为准；如采购需求书中未明确证明材料的，以投标人在《技术和服务要求响应表》中的响应情况填写内容为准，未填写的或参数不满足的都视为负偏离。 2）凡是标有序号的一般条款均以一项单独的条款计算，无论是否隶属于上一级编号。</w:t>
            </w:r>
          </w:p>
        </w:tc>
      </w:tr>
      <w:tr>
        <w:tc>
          <w:tcPr>
            <w:tcW w:type="dxa" w:w="922"/>
            <w:gridSpan w:val="2"/>
            <w:vMerge/>
          </w:tcPr>
          <w:p/>
        </w:tc>
        <w:tc>
          <w:tcPr>
            <w:tcW w:type="dxa" w:w="2307"/>
          </w:tcPr>
          <w:p>
            <w:pPr>
              <w:pStyle w:val="null3"/>
              <w:jc w:val="left"/>
            </w:pPr>
            <w:r>
              <w:rPr/>
              <w:t>技术参数响应情况2 (12.0分)</w:t>
            </w:r>
          </w:p>
        </w:tc>
        <w:tc>
          <w:tcPr>
            <w:tcW w:type="dxa" w:w="5076"/>
          </w:tcPr>
          <w:p>
            <w:pPr>
              <w:pStyle w:val="null3"/>
              <w:jc w:val="left"/>
            </w:pPr>
            <w:r>
              <w:rPr/>
              <w:t>根据投标人对该包组采购需求书中产品第1-3项标的中不带“▲”或 “★”号的一般技术参数指标的响应程度进行评审：每一项产品的一般技术参数全部响应则得分，只要有一条（或以上）一般技术参数负偏离，则该项不得分。每有一种产品完全满足的得4分，最高得12分。 注： 1）如采购需求书中有明确要求提供证明资料的，以采购需求书中的要求为准；如采购需求书中未明确证明材料的，以投标人在《技术和服务要求响应表》中的响应情况填写内容为准，未填写的或参数不满足的都视为负偏离。</w:t>
            </w:r>
          </w:p>
        </w:tc>
      </w:tr>
      <w:tr>
        <w:tc>
          <w:tcPr>
            <w:tcW w:type="dxa" w:w="922"/>
            <w:gridSpan w:val="2"/>
            <w:vMerge/>
          </w:tcPr>
          <w:p/>
        </w:tc>
        <w:tc>
          <w:tcPr>
            <w:tcW w:type="dxa" w:w="2307"/>
          </w:tcPr>
          <w:p>
            <w:pPr>
              <w:pStyle w:val="null3"/>
              <w:jc w:val="left"/>
            </w:pPr>
            <w:r>
              <w:rPr/>
              <w:t>产品质量及安全保证措施 (6.0分)</w:t>
            </w:r>
            <w:r>
              <w:rPr/>
              <w:t>，（等次分值选择：</w:t>
            </w:r>
            <w:r>
              <w:rPr/>
              <w:t>0.0;</w:t>
            </w:r>
            <w:r>
              <w:rPr/>
              <w:t>2.0;</w:t>
            </w:r>
            <w:r>
              <w:rPr/>
              <w:t>4.0;</w:t>
            </w:r>
            <w:r>
              <w:rPr/>
              <w:t>6.0;</w:t>
            </w:r>
            <w:r>
              <w:rPr/>
              <w:t>）</w:t>
            </w:r>
          </w:p>
        </w:tc>
        <w:tc>
          <w:tcPr>
            <w:tcW w:type="dxa" w:w="5076"/>
          </w:tcPr>
          <w:p>
            <w:pPr>
              <w:pStyle w:val="null3"/>
              <w:jc w:val="left"/>
            </w:pPr>
            <w:r>
              <w:rPr/>
              <w:t>根据投标人提供的产品质量及安全保证措施方案（包括但不限于①产品更换保障、②供货、装卸及运输保障、③产品质量保障）进行评分： （1）产品更换保障描述清晰明确、有条理，有完善的装卸及运输保障措施，产品装卸及运输确保完好无损，产品质量保障措施健全，在保修期内能建立包修、包退换、包维护保养措施，得6分； （2）产品更换保障描述清晰，有基本的装卸及运输保障措施，产品装卸及运输可保证基本完好无损，有基本的产品质量保障措施，在保修期内能建立包修、包退换、包维护保养措施，得4分； （3）产品更换保障描述不够清晰，装卸及运输保障措施简单，产品装卸及运输无法保证完好无损，产品质量保障措施不足，在保修期内不能建立包修、包退换、包维护保养措施，得2分； （4）未提供质量保障措施方案或其他，得0分。</w:t>
            </w:r>
          </w:p>
        </w:tc>
      </w:tr>
      <w:tr>
        <w:tc>
          <w:tcPr>
            <w:tcW w:type="dxa" w:w="922"/>
            <w:gridSpan w:val="2"/>
            <w:vMerge/>
          </w:tcPr>
          <w:p/>
        </w:tc>
        <w:tc>
          <w:tcPr>
            <w:tcW w:type="dxa" w:w="2307"/>
          </w:tcPr>
          <w:p>
            <w:pPr>
              <w:pStyle w:val="null3"/>
              <w:jc w:val="left"/>
            </w:pPr>
            <w:r>
              <w:rPr/>
              <w:t>安装、测试、交付方案 (6.0分)</w:t>
            </w:r>
            <w:r>
              <w:rPr/>
              <w:t>，（等次分值选择：</w:t>
            </w:r>
            <w:r>
              <w:rPr/>
              <w:t>0.0;</w:t>
            </w:r>
            <w:r>
              <w:rPr/>
              <w:t>2.0;</w:t>
            </w:r>
            <w:r>
              <w:rPr/>
              <w:t>4.0;</w:t>
            </w:r>
            <w:r>
              <w:rPr/>
              <w:t>6.0;</w:t>
            </w:r>
            <w:r>
              <w:rPr/>
              <w:t>）</w:t>
            </w:r>
          </w:p>
        </w:tc>
        <w:tc>
          <w:tcPr>
            <w:tcW w:type="dxa" w:w="5076"/>
          </w:tcPr>
          <w:p>
            <w:pPr>
              <w:pStyle w:val="null3"/>
              <w:jc w:val="left"/>
            </w:pPr>
            <w:r>
              <w:rPr/>
              <w:t>根据投标人提供的安装调试交付方案（包括但不限于安装调试人员安排、安装调试计划、流程、安装调试执行方案、交付方案等）进行评审： （1）提供的安装调试方案详细，流程清晰合理，完全符合学校安装调试要求，得6分； （2）提供的安装调试方案简单，流程基本合理，基本符合学校安装调试要求，得4分； （3）提供的安装调试方案粗略，流程不清晰不合理，未按学校安装调试要求拟写，得2分； （4）其他或不提供安装调试方案者不得分。</w:t>
            </w:r>
          </w:p>
        </w:tc>
      </w:tr>
      <w:tr>
        <w:tc>
          <w:tcPr>
            <w:tcW w:type="dxa" w:w="922"/>
            <w:gridSpan w:val="2"/>
            <w:vMerge/>
          </w:tcPr>
          <w:p/>
        </w:tc>
        <w:tc>
          <w:tcPr>
            <w:tcW w:type="dxa" w:w="2307"/>
          </w:tcPr>
          <w:p>
            <w:pPr>
              <w:pStyle w:val="null3"/>
              <w:jc w:val="left"/>
            </w:pPr>
            <w:r>
              <w:rPr/>
              <w:t>培训方案 (5.0分)</w:t>
            </w:r>
            <w:r>
              <w:rPr/>
              <w:t>，（等次分值选择：</w:t>
            </w:r>
            <w:r>
              <w:rPr/>
              <w:t>0.0;</w:t>
            </w:r>
            <w:r>
              <w:rPr/>
              <w:t>1.0;</w:t>
            </w:r>
            <w:r>
              <w:rPr/>
              <w:t>3.0;</w:t>
            </w:r>
            <w:r>
              <w:rPr/>
              <w:t>5.0;</w:t>
            </w:r>
            <w:r>
              <w:rPr/>
              <w:t>）</w:t>
            </w:r>
          </w:p>
        </w:tc>
        <w:tc>
          <w:tcPr>
            <w:tcW w:type="dxa" w:w="5076"/>
          </w:tcPr>
          <w:p>
            <w:pPr>
              <w:pStyle w:val="null3"/>
              <w:jc w:val="left"/>
            </w:pPr>
            <w:r>
              <w:rPr/>
              <w:t>根据投标人拟定的培训方案进行综合评审： （1）培训方案科学完整、切合实际，技术培训服务人员证件齐全，为培训提供详实的资料，对系统的安装、调试运行以及突发情况的应急维修均有详细的培训手册，培训现场进行实际操作演练的得5分。 （2）仅对合同内的设备安装、调试、运行、维护及检修提供简单的技术培训，方案合理可行，可落实到项目实处，确保培训无障碍的得3分。 （3）培训方案不够具体，内容较为粗略，有待完善和提高，培训时间场地有待确定的得1分。 （4）未提供培训方案或方案较差，培训内容与本项目不符的则不得分。</w:t>
            </w:r>
          </w:p>
        </w:tc>
      </w:tr>
      <w:tr>
        <w:tc>
          <w:tcPr>
            <w:tcW w:type="dxa" w:w="922"/>
            <w:gridSpan w:val="2"/>
            <w:vMerge/>
          </w:tcPr>
          <w:p/>
        </w:tc>
        <w:tc>
          <w:tcPr>
            <w:tcW w:type="dxa" w:w="2307"/>
          </w:tcPr>
          <w:p>
            <w:pPr>
              <w:pStyle w:val="null3"/>
              <w:jc w:val="left"/>
            </w:pPr>
            <w:r>
              <w:rPr/>
              <w:t>售后服务方案 (5.0分)</w:t>
            </w:r>
            <w:r>
              <w:rPr/>
              <w:t>，（等次分值选择：</w:t>
            </w:r>
            <w:r>
              <w:rPr/>
              <w:t>0.0;</w:t>
            </w:r>
            <w:r>
              <w:rPr/>
              <w:t>1.0;</w:t>
            </w:r>
            <w:r>
              <w:rPr/>
              <w:t>3.0;</w:t>
            </w:r>
            <w:r>
              <w:rPr/>
              <w:t>5.0;</w:t>
            </w:r>
            <w:r>
              <w:rPr/>
              <w:t>）</w:t>
            </w:r>
          </w:p>
        </w:tc>
        <w:tc>
          <w:tcPr>
            <w:tcW w:type="dxa" w:w="5076"/>
          </w:tcPr>
          <w:p>
            <w:pPr>
              <w:pStyle w:val="null3"/>
              <w:jc w:val="left"/>
            </w:pPr>
            <w:r>
              <w:rPr/>
              <w:t>根据投标人拟定的售后服务方案、服务标准、应急措施及时间保障（提供本单位售后服务能力证明材料，包含但不限于服务体系、服务制度、应急时间、管理人员和保修期内、外出现问题的响应时间、解决故障时间、技术支持、保证措施等）进行综合评审： （1）售后服务方案科学完整，具有较强的针对性、可管理性，有详细的售后服务体系，提供定期巡检维修服务人员，能及时有效的对系统或设备进行管理和定期维护，对保修期内、外的保证措施与技术支持合理可行的得5分。 （2）售后服务方案合理可行，具有一定的可行性、能确保售后服务实施流程通畅，系统或设备出现故障时可提供相应的技术人员进行维护，保修期内、外的保证措施较为简洁的得3分。 （3）售后服务方案简单，内容不够具体，可行性不高的得1分。 （4）未提供售后服务方案或方案不能满足项目要求的则不得分。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(5.0分)</w:t>
            </w:r>
          </w:p>
        </w:tc>
        <w:tc>
          <w:tcPr>
            <w:tcW w:type="dxa" w:w="5076"/>
          </w:tcPr>
          <w:p>
            <w:pPr>
              <w:pStyle w:val="null3"/>
              <w:jc w:val="left"/>
            </w:pPr>
            <w:r>
              <w:rPr/>
              <w:t>根据投标人对用户需求书“主要商务要求”未标注“★”的一般条款的响应程度进行评审： 每项中所有条款完全满足或优于的得1分，最高得5分；每项中有负偏离条款的，该项不得分。 【注1】本项目商务要求条款共5项，包括“标的提供的时间”、“标的提供的地点”、“验收要求”、“履约保证金”及“其他商务需求”（第（五）保修期及售后服务要求除外）。</w:t>
            </w:r>
          </w:p>
        </w:tc>
      </w:tr>
      <w:tr>
        <w:tc>
          <w:tcPr>
            <w:tcW w:type="dxa" w:w="922"/>
            <w:gridSpan w:val="2"/>
            <w:vMerge/>
          </w:tcPr>
          <w:p/>
        </w:tc>
        <w:tc>
          <w:tcPr>
            <w:tcW w:type="dxa" w:w="2307"/>
          </w:tcPr>
          <w:p>
            <w:pPr>
              <w:pStyle w:val="null3"/>
              <w:jc w:val="left"/>
            </w:pPr>
            <w:r>
              <w:rPr/>
              <w:t>同类产品业绩 (5.0分)</w:t>
            </w:r>
          </w:p>
        </w:tc>
        <w:tc>
          <w:tcPr>
            <w:tcW w:type="dxa" w:w="5076"/>
          </w:tcPr>
          <w:p>
            <w:pPr>
              <w:pStyle w:val="null3"/>
              <w:jc w:val="left"/>
            </w:pPr>
            <w:r>
              <w:rPr/>
              <w:t>2020年1月1日起，投标人具有服务不同客户的同类产品供货业绩经验，每提供1个项目业绩得1分，最高得5分。 【注：①业绩时间以合同签订时间为准；②投标人须提供每项业绩的合同关键页（关键页包括能够获知甲乙双方名称、合同标的页面及签字盖章页及合同签订时间）扫描件，并加盖投标人公章；③同一买方（甲方）提供多项业绩合同的，按一项计算；④如所提供的材料有欠缺、模糊辨认不清或不符合要求的，均视为无效材料不得分。】</w:t>
            </w:r>
          </w:p>
        </w:tc>
      </w:tr>
      <w:tr>
        <w:tc>
          <w:tcPr>
            <w:tcW w:type="dxa" w:w="922"/>
            <w:gridSpan w:val="2"/>
            <w:vMerge/>
          </w:tcPr>
          <w:p/>
        </w:tc>
        <w:tc>
          <w:tcPr>
            <w:tcW w:type="dxa" w:w="2307"/>
          </w:tcPr>
          <w:p>
            <w:pPr>
              <w:pStyle w:val="null3"/>
              <w:jc w:val="left"/>
            </w:pPr>
            <w:r>
              <w:rPr/>
              <w:t>客户满意度情况 (3.0分)</w:t>
            </w:r>
          </w:p>
        </w:tc>
        <w:tc>
          <w:tcPr>
            <w:tcW w:type="dxa" w:w="5076"/>
          </w:tcPr>
          <w:p>
            <w:pPr>
              <w:pStyle w:val="null3"/>
              <w:jc w:val="left"/>
            </w:pPr>
            <w:r>
              <w:rPr/>
              <w:t>投标人在“同类产品业绩”中有效业绩获得合同的买方（甲方）单位对其服务质量评价，且评价内容须为满意或优或百分制90分（或以上）等类似的正面满意度评价材料，需盖有合同的买方（甲方）单位公章（注：部门章、处室章等其他章有效），一个项目评价得1分，最高得3分。 【注：①提供多个评价材料均为同一买方（甲方）单位的，只计算为一个评价；②提供证明材料扫描件，加盖投标人单位公章；③如非经认定为有效项目业绩，则对应项目评价材料不得分；④如所提供的材料有欠缺、模糊辨认不清或不符合要求的，均视为无效材料不得分。】</w:t>
            </w:r>
          </w:p>
        </w:tc>
      </w:tr>
      <w:tr>
        <w:tc>
          <w:tcPr>
            <w:tcW w:type="dxa" w:w="922"/>
            <w:gridSpan w:val="2"/>
            <w:vMerge/>
          </w:tcPr>
          <w:p/>
        </w:tc>
        <w:tc>
          <w:tcPr>
            <w:tcW w:type="dxa" w:w="2307"/>
          </w:tcPr>
          <w:p>
            <w:pPr>
              <w:pStyle w:val="null3"/>
              <w:jc w:val="left"/>
            </w:pPr>
            <w:r>
              <w:rPr/>
              <w:t>保修期 (5.0分)</w:t>
            </w:r>
          </w:p>
        </w:tc>
        <w:tc>
          <w:tcPr>
            <w:tcW w:type="dxa" w:w="5076"/>
          </w:tcPr>
          <w:p>
            <w:pPr>
              <w:pStyle w:val="null3"/>
              <w:jc w:val="left"/>
            </w:pPr>
            <w:r>
              <w:rPr/>
              <w:t>满足本包组采购文件对保修期的要求（1年），承诺保修为1年得1分，保修期每增加1年，得2分。本项最高得5分。提供承诺或声明函（格式自拟）。</w:t>
            </w:r>
          </w:p>
        </w:tc>
      </w:tr>
      <w:tr>
        <w:tc>
          <w:tcPr>
            <w:tcW w:type="dxa" w:w="922"/>
            <w:gridSpan w:val="2"/>
            <w:vMerge/>
          </w:tcPr>
          <w:p/>
        </w:tc>
        <w:tc>
          <w:tcPr>
            <w:tcW w:type="dxa" w:w="2307"/>
          </w:tcPr>
          <w:p>
            <w:pPr>
              <w:pStyle w:val="null3"/>
              <w:jc w:val="left"/>
            </w:pPr>
            <w:r>
              <w:rPr/>
              <w:t>投标人综合服务支撑能力 (2.0分)</w:t>
            </w:r>
          </w:p>
        </w:tc>
        <w:tc>
          <w:tcPr>
            <w:tcW w:type="dxa" w:w="5076"/>
          </w:tcPr>
          <w:p>
            <w:pPr>
              <w:pStyle w:val="null3"/>
              <w:jc w:val="left"/>
            </w:pPr>
            <w:r>
              <w:rPr/>
              <w:t>投标人对其他商务需求“（五）保修期及售后服务要求”中关于售后服务内容的响应： 承诺有优于招标文件要求的得2分，完全满足要求的得1分；不满足要求的，该项不得分。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b/>
        </w:rPr>
        <w:t>汕头大学新闻学院媒体大数据分析与影像处理等实验室设备采购项目</w:t>
      </w:r>
    </w:p>
    <w:p>
      <w:pPr>
        <w:pStyle w:val="null3"/>
        <w:jc w:val="center"/>
      </w:pPr>
      <w:r>
        <w:rPr>
          <w:sz w:val="70"/>
          <w:b/>
        </w:rPr>
        <w:t>合同书</w:t>
      </w:r>
    </w:p>
    <w:p>
      <w:pPr>
        <w:pStyle w:val="null3"/>
        <w:spacing w:before="105"/>
        <w:ind w:firstLine="560"/>
        <w:jc w:val="both"/>
      </w:pPr>
      <w:r>
        <w:rPr>
          <w:sz w:val="30"/>
          <w:b/>
        </w:rPr>
        <w:t>合同编号：</w:t>
      </w:r>
    </w:p>
    <w:p>
      <w:pPr>
        <w:pStyle w:val="null3"/>
        <w:jc w:val="both"/>
      </w:pPr>
      <w:r>
        <w:rPr>
          <w:sz w:val="30"/>
          <w:b/>
        </w:rPr>
        <w:t>签约地点：</w:t>
      </w:r>
    </w:p>
    <w:p>
      <w:pPr>
        <w:pStyle w:val="null3"/>
        <w:jc w:val="both"/>
      </w:pPr>
      <w:r>
        <w:rPr>
          <w:sz w:val="30"/>
          <w:b/>
        </w:rPr>
        <w:t>包组号：</w:t>
      </w:r>
    </w:p>
    <w:p>
      <w:pPr>
        <w:pStyle w:val="null3"/>
        <w:jc w:val="both"/>
      </w:pPr>
      <w:r>
        <w:rPr>
          <w:sz w:val="30"/>
          <w:b/>
        </w:rPr>
        <w:t>签订日期：</w:t>
      </w:r>
      <w:r>
        <w:rPr>
          <w:sz w:val="30"/>
          <w:b/>
        </w:rPr>
        <w:t>年</w:t>
      </w:r>
      <w:r>
        <w:rPr>
          <w:sz w:val="30"/>
          <w:b/>
        </w:rPr>
        <w:t>月</w:t>
      </w:r>
      <w:r>
        <w:rPr>
          <w:sz w:val="30"/>
          <w:b/>
        </w:rPr>
        <w:t>日</w:t>
      </w:r>
    </w:p>
    <w:p>
      <w:pPr>
        <w:pStyle w:val="null3"/>
        <w:jc w:val="left"/>
      </w:pPr>
      <w:r>
        <w:rPr>
          <w:sz w:val="21"/>
        </w:rPr>
        <w:t>（注：全部包组适用此合同模板）</w:t>
      </w:r>
    </w:p>
    <w:p>
      <w:pPr>
        <w:pStyle w:val="null3"/>
      </w:pPr>
      <w:r>
        <w:rPr/>
        <w:t xml:space="preserve"> </w:t>
      </w:r>
    </w:p>
    <w:p>
      <w:pPr>
        <w:pStyle w:val="null3"/>
        <w:ind w:firstLine="480"/>
        <w:jc w:val="center"/>
      </w:pPr>
      <w:r>
        <w:rPr>
          <w:sz w:val="36"/>
        </w:rPr>
        <w:t>汕头大学购置合同</w:t>
      </w:r>
    </w:p>
    <w:p>
      <w:pPr>
        <w:pStyle w:val="null3"/>
        <w:ind w:firstLine="6240"/>
        <w:jc w:val="both"/>
      </w:pPr>
      <w:r>
        <w:rPr>
          <w:sz w:val="24"/>
        </w:rPr>
        <w:t>合同编号：</w:t>
      </w:r>
    </w:p>
    <w:tbl>
      <w:tblPr>
        <w:tblW w:w="0" w:type="auto"/>
        <w:tblBorders>
          <w:top w:val="none" w:color="000000" w:sz="4"/>
          <w:left w:val="none" w:color="000000" w:sz="4"/>
          <w:bottom w:val="none" w:color="000000" w:sz="4"/>
          <w:right w:val="none" w:color="000000" w:sz="4"/>
          <w:insideH w:val="none"/>
          <w:insideV w:val="none"/>
        </w:tblBorders>
      </w:tblPr>
      <w:tblGrid>
        <w:gridCol w:w="4197"/>
        <w:gridCol w:w="4096"/>
      </w:tblGrid>
      <w:tr>
        <w:tc>
          <w:tcPr>
            <w:tcW w:type="dxa" w:w="4197"/>
            <w:tcBorders>
              <w:top w:val="single" w:color="F1F1F1" w:sz="4"/>
              <w:left w:val="single" w:color="F1F1F1" w:sz="4"/>
              <w:bottom w:val="single" w:color="F1F1F1" w:sz="4"/>
              <w:right w:val="single" w:color="F1F1F1" w:sz="4"/>
            </w:tcBorders>
            <w:tcMar>
              <w:top w:type="dxa" w:w="0"/>
              <w:left w:type="dxa" w:w="105"/>
              <w:bottom w:type="dxa" w:w="0"/>
              <w:right w:type="dxa" w:w="105"/>
            </w:tcMar>
            <w:vAlign w:val="top"/>
          </w:tcPr>
          <w:p>
            <w:pPr>
              <w:pStyle w:val="null3"/>
              <w:ind w:firstLine="380"/>
              <w:jc w:val="both"/>
            </w:pPr>
            <w:r>
              <w:rPr>
                <w:sz w:val="21"/>
                <w:b/>
              </w:rPr>
              <w:t>甲方：</w:t>
            </w:r>
            <w:r>
              <w:rPr>
                <w:sz w:val="21"/>
              </w:rPr>
              <w:t>汕头大学</w:t>
            </w:r>
          </w:p>
        </w:tc>
        <w:tc>
          <w:tcPr>
            <w:tcW w:type="dxa" w:w="4096"/>
            <w:tcBorders>
              <w:top w:val="single" w:color="F1F1F1" w:sz="4"/>
              <w:left w:val="none" w:color="000000" w:sz="4"/>
              <w:bottom w:val="single" w:color="F1F1F1" w:sz="4"/>
              <w:right w:val="single" w:color="F1F1F1" w:sz="4"/>
            </w:tcBorders>
            <w:tcMar>
              <w:top w:type="dxa" w:w="0"/>
              <w:left w:type="dxa" w:w="105"/>
              <w:bottom w:type="dxa" w:w="0"/>
              <w:right w:type="dxa" w:w="105"/>
            </w:tcMar>
            <w:vAlign w:val="top"/>
          </w:tcPr>
          <w:p>
            <w:pPr>
              <w:pStyle w:val="null3"/>
              <w:ind w:firstLine="380"/>
              <w:jc w:val="both"/>
            </w:pPr>
            <w:r>
              <w:rPr>
                <w:sz w:val="21"/>
                <w:b/>
              </w:rPr>
              <w:t>乙方：</w:t>
            </w:r>
          </w:p>
        </w:tc>
      </w:tr>
      <w:tr>
        <w:tc>
          <w:tcPr>
            <w:tcW w:type="dxa" w:w="4197"/>
            <w:tcBorders>
              <w:top w:val="none" w:color="000000" w:sz="4"/>
              <w:left w:val="single" w:color="F1F1F1" w:sz="4"/>
              <w:bottom w:val="single" w:color="F1F1F1" w:sz="4"/>
              <w:right w:val="single" w:color="F1F1F1" w:sz="4"/>
            </w:tcBorders>
            <w:tcMar>
              <w:top w:type="dxa" w:w="0"/>
              <w:left w:type="dxa" w:w="105"/>
              <w:bottom w:type="dxa" w:w="0"/>
              <w:right w:type="dxa" w:w="105"/>
            </w:tcMar>
            <w:vAlign w:val="top"/>
          </w:tcPr>
          <w:p>
            <w:pPr>
              <w:pStyle w:val="null3"/>
              <w:ind w:firstLine="380"/>
              <w:jc w:val="both"/>
            </w:pPr>
            <w:r>
              <w:rPr>
                <w:sz w:val="21"/>
                <w:b/>
              </w:rPr>
              <w:t>法定代表人：</w:t>
            </w:r>
            <w:r>
              <w:rPr>
                <w:sz w:val="21"/>
              </w:rPr>
              <w:t>郝志峰</w:t>
            </w:r>
          </w:p>
        </w:tc>
        <w:tc>
          <w:tcPr>
            <w:tcW w:type="dxa" w:w="4096"/>
            <w:tcBorders>
              <w:top w:val="none" w:color="000000" w:sz="4"/>
              <w:left w:val="none" w:color="000000" w:sz="4"/>
              <w:bottom w:val="single" w:color="F1F1F1" w:sz="4"/>
              <w:right w:val="single" w:color="F1F1F1" w:sz="4"/>
            </w:tcBorders>
            <w:tcMar>
              <w:top w:type="dxa" w:w="0"/>
              <w:left w:type="dxa" w:w="105"/>
              <w:bottom w:type="dxa" w:w="0"/>
              <w:right w:type="dxa" w:w="105"/>
            </w:tcMar>
            <w:vAlign w:val="top"/>
          </w:tcPr>
          <w:p>
            <w:pPr>
              <w:pStyle w:val="null3"/>
              <w:ind w:firstLine="380"/>
              <w:jc w:val="both"/>
            </w:pPr>
            <w:r>
              <w:rPr>
                <w:sz w:val="21"/>
                <w:b/>
              </w:rPr>
              <w:t>法定代表人：</w:t>
            </w:r>
          </w:p>
        </w:tc>
      </w:tr>
      <w:tr>
        <w:tc>
          <w:tcPr>
            <w:tcW w:type="dxa" w:w="4197"/>
            <w:tcBorders>
              <w:top w:val="none" w:color="000000" w:sz="4"/>
              <w:left w:val="single" w:color="F1F1F1" w:sz="4"/>
              <w:bottom w:val="single" w:color="F1F1F1" w:sz="4"/>
              <w:right w:val="single" w:color="F1F1F1" w:sz="4"/>
            </w:tcBorders>
            <w:tcMar>
              <w:top w:type="dxa" w:w="0"/>
              <w:left w:type="dxa" w:w="105"/>
              <w:bottom w:type="dxa" w:w="0"/>
              <w:right w:type="dxa" w:w="105"/>
            </w:tcMar>
            <w:vAlign w:val="top"/>
          </w:tcPr>
          <w:p>
            <w:pPr>
              <w:pStyle w:val="null3"/>
              <w:ind w:firstLine="380"/>
              <w:jc w:val="both"/>
            </w:pPr>
            <w:r>
              <w:rPr>
                <w:sz w:val="21"/>
                <w:b/>
              </w:rPr>
              <w:t>地址：</w:t>
            </w:r>
            <w:r>
              <w:rPr>
                <w:sz w:val="21"/>
              </w:rPr>
              <w:t>汕头市金平区大学路</w:t>
            </w:r>
            <w:r>
              <w:rPr>
                <w:sz w:val="21"/>
              </w:rPr>
              <w:t>243号</w:t>
            </w:r>
          </w:p>
        </w:tc>
        <w:tc>
          <w:tcPr>
            <w:tcW w:type="dxa" w:w="4096"/>
            <w:tcBorders>
              <w:top w:val="none" w:color="000000" w:sz="4"/>
              <w:left w:val="none" w:color="000000" w:sz="4"/>
              <w:bottom w:val="single" w:color="F1F1F1" w:sz="4"/>
              <w:right w:val="single" w:color="F1F1F1" w:sz="4"/>
            </w:tcBorders>
            <w:tcMar>
              <w:top w:type="dxa" w:w="0"/>
              <w:left w:type="dxa" w:w="105"/>
              <w:bottom w:type="dxa" w:w="0"/>
              <w:right w:type="dxa" w:w="105"/>
            </w:tcMar>
            <w:vAlign w:val="top"/>
          </w:tcPr>
          <w:p>
            <w:pPr>
              <w:pStyle w:val="null3"/>
              <w:ind w:firstLine="380"/>
              <w:jc w:val="both"/>
            </w:pPr>
            <w:r>
              <w:rPr>
                <w:sz w:val="21"/>
                <w:b/>
              </w:rPr>
              <w:t>地址：</w:t>
            </w:r>
          </w:p>
        </w:tc>
      </w:tr>
      <w:tr>
        <w:tc>
          <w:tcPr>
            <w:tcW w:type="dxa" w:w="4197"/>
            <w:tcBorders>
              <w:top w:val="none" w:color="000000" w:sz="4"/>
              <w:left w:val="single" w:color="F1F1F1" w:sz="4"/>
              <w:bottom w:val="single" w:color="F1F1F1" w:sz="4"/>
              <w:right w:val="single" w:color="F1F1F1" w:sz="4"/>
            </w:tcBorders>
            <w:tcMar>
              <w:top w:type="dxa" w:w="0"/>
              <w:left w:type="dxa" w:w="105"/>
              <w:bottom w:type="dxa" w:w="0"/>
              <w:right w:type="dxa" w:w="105"/>
            </w:tcMar>
            <w:vAlign w:val="top"/>
          </w:tcPr>
          <w:p>
            <w:pPr>
              <w:pStyle w:val="null3"/>
              <w:ind w:firstLine="380"/>
              <w:jc w:val="both"/>
            </w:pPr>
            <w:r>
              <w:rPr>
                <w:sz w:val="21"/>
                <w:b/>
              </w:rPr>
              <w:t>开户银行：</w:t>
            </w:r>
            <w:r>
              <w:rPr>
                <w:sz w:val="21"/>
              </w:rPr>
              <w:t>中国银行汕头大学支行</w:t>
            </w:r>
          </w:p>
        </w:tc>
        <w:tc>
          <w:tcPr>
            <w:tcW w:type="dxa" w:w="4096"/>
            <w:tcBorders>
              <w:top w:val="none" w:color="000000" w:sz="4"/>
              <w:left w:val="none" w:color="000000" w:sz="4"/>
              <w:bottom w:val="single" w:color="F1F1F1" w:sz="4"/>
              <w:right w:val="single" w:color="F1F1F1" w:sz="4"/>
            </w:tcBorders>
            <w:tcMar>
              <w:top w:type="dxa" w:w="0"/>
              <w:left w:type="dxa" w:w="105"/>
              <w:bottom w:type="dxa" w:w="0"/>
              <w:right w:type="dxa" w:w="105"/>
            </w:tcMar>
            <w:vAlign w:val="top"/>
          </w:tcPr>
          <w:p>
            <w:pPr>
              <w:pStyle w:val="null3"/>
              <w:ind w:firstLine="380"/>
              <w:jc w:val="both"/>
            </w:pPr>
            <w:r>
              <w:rPr>
                <w:sz w:val="21"/>
                <w:b/>
              </w:rPr>
              <w:t>开户银行：</w:t>
            </w:r>
          </w:p>
        </w:tc>
      </w:tr>
      <w:tr>
        <w:tc>
          <w:tcPr>
            <w:tcW w:type="dxa" w:w="4197"/>
            <w:tcBorders>
              <w:top w:val="none" w:color="000000" w:sz="4"/>
              <w:left w:val="single" w:color="F1F1F1" w:sz="4"/>
              <w:bottom w:val="single" w:color="F1F1F1" w:sz="4"/>
              <w:right w:val="single" w:color="F1F1F1" w:sz="4"/>
            </w:tcBorders>
            <w:tcMar>
              <w:top w:type="dxa" w:w="0"/>
              <w:left w:type="dxa" w:w="105"/>
              <w:bottom w:type="dxa" w:w="0"/>
              <w:right w:type="dxa" w:w="105"/>
            </w:tcMar>
            <w:vAlign w:val="top"/>
          </w:tcPr>
          <w:p>
            <w:pPr>
              <w:pStyle w:val="null3"/>
              <w:ind w:firstLine="380"/>
              <w:jc w:val="both"/>
            </w:pPr>
            <w:r>
              <w:rPr>
                <w:sz w:val="21"/>
                <w:b/>
              </w:rPr>
              <w:t>帐号：</w:t>
            </w:r>
            <w:r>
              <w:rPr>
                <w:sz w:val="21"/>
              </w:rPr>
              <w:t>628857760147</w:t>
            </w:r>
          </w:p>
        </w:tc>
        <w:tc>
          <w:tcPr>
            <w:tcW w:type="dxa" w:w="4096"/>
            <w:tcBorders>
              <w:top w:val="none" w:color="000000" w:sz="4"/>
              <w:left w:val="none" w:color="000000" w:sz="4"/>
              <w:bottom w:val="single" w:color="F1F1F1" w:sz="4"/>
              <w:right w:val="single" w:color="F1F1F1" w:sz="4"/>
            </w:tcBorders>
            <w:tcMar>
              <w:top w:type="dxa" w:w="0"/>
              <w:left w:type="dxa" w:w="105"/>
              <w:bottom w:type="dxa" w:w="0"/>
              <w:right w:type="dxa" w:w="105"/>
            </w:tcMar>
            <w:vAlign w:val="top"/>
          </w:tcPr>
          <w:p>
            <w:pPr>
              <w:pStyle w:val="null3"/>
              <w:ind w:firstLine="380"/>
              <w:jc w:val="both"/>
            </w:pPr>
            <w:r>
              <w:rPr>
                <w:sz w:val="21"/>
                <w:b/>
              </w:rPr>
              <w:t>帐号：</w:t>
            </w:r>
          </w:p>
        </w:tc>
      </w:tr>
      <w:tr>
        <w:tc>
          <w:tcPr>
            <w:tcW w:type="dxa" w:w="4197"/>
            <w:tcBorders>
              <w:top w:val="none" w:color="000000" w:sz="4"/>
              <w:left w:val="single" w:color="F1F1F1" w:sz="4"/>
              <w:bottom w:val="single" w:color="F1F1F1" w:sz="4"/>
              <w:right w:val="single" w:color="F1F1F1" w:sz="4"/>
            </w:tcBorders>
            <w:tcMar>
              <w:top w:type="dxa" w:w="0"/>
              <w:left w:type="dxa" w:w="105"/>
              <w:bottom w:type="dxa" w:w="0"/>
              <w:right w:type="dxa" w:w="105"/>
            </w:tcMar>
            <w:vAlign w:val="top"/>
          </w:tcPr>
          <w:p>
            <w:pPr>
              <w:pStyle w:val="null3"/>
              <w:ind w:firstLine="380"/>
              <w:jc w:val="both"/>
            </w:pPr>
            <w:r>
              <w:rPr>
                <w:sz w:val="21"/>
                <w:b/>
              </w:rPr>
              <w:t>统一社会信用代码：</w:t>
            </w:r>
            <w:r>
              <w:rPr>
                <w:sz w:val="21"/>
              </w:rPr>
              <w:t>1244000045594645X2</w:t>
            </w:r>
          </w:p>
        </w:tc>
        <w:tc>
          <w:tcPr>
            <w:tcW w:type="dxa" w:w="4096"/>
            <w:tcBorders>
              <w:top w:val="none" w:color="000000" w:sz="4"/>
              <w:left w:val="none" w:color="000000" w:sz="4"/>
              <w:bottom w:val="single" w:color="F1F1F1" w:sz="4"/>
              <w:right w:val="single" w:color="F1F1F1" w:sz="4"/>
            </w:tcBorders>
            <w:tcMar>
              <w:top w:type="dxa" w:w="0"/>
              <w:left w:type="dxa" w:w="105"/>
              <w:bottom w:type="dxa" w:w="0"/>
              <w:right w:type="dxa" w:w="105"/>
            </w:tcMar>
            <w:vAlign w:val="top"/>
          </w:tcPr>
          <w:p>
            <w:pPr>
              <w:pStyle w:val="null3"/>
              <w:ind w:firstLine="380"/>
              <w:jc w:val="both"/>
            </w:pPr>
            <w:r>
              <w:rPr>
                <w:sz w:val="21"/>
                <w:b/>
              </w:rPr>
              <w:t>统一社会信用代码：</w:t>
            </w:r>
          </w:p>
        </w:tc>
      </w:tr>
      <w:tr>
        <w:tc>
          <w:tcPr>
            <w:tcW w:type="dxa" w:w="4197"/>
            <w:tcBorders>
              <w:top w:val="none" w:color="000000" w:sz="4"/>
              <w:left w:val="single" w:color="F1F1F1" w:sz="4"/>
              <w:bottom w:val="single" w:color="F1F1F1" w:sz="4"/>
              <w:right w:val="single" w:color="F1F1F1" w:sz="4"/>
            </w:tcBorders>
            <w:tcMar>
              <w:top w:type="dxa" w:w="0"/>
              <w:left w:type="dxa" w:w="105"/>
              <w:bottom w:type="dxa" w:w="0"/>
              <w:right w:type="dxa" w:w="105"/>
            </w:tcMar>
            <w:vAlign w:val="top"/>
          </w:tcPr>
          <w:p>
            <w:pPr>
              <w:pStyle w:val="null3"/>
              <w:ind w:firstLine="380"/>
              <w:jc w:val="both"/>
            </w:pPr>
            <w:r>
              <w:rPr>
                <w:sz w:val="21"/>
                <w:b/>
              </w:rPr>
              <w:t>联系人：</w:t>
            </w:r>
          </w:p>
        </w:tc>
        <w:tc>
          <w:tcPr>
            <w:tcW w:type="dxa" w:w="4096"/>
            <w:tcBorders>
              <w:top w:val="none" w:color="000000" w:sz="4"/>
              <w:left w:val="none" w:color="000000" w:sz="4"/>
              <w:bottom w:val="single" w:color="F1F1F1" w:sz="4"/>
              <w:right w:val="single" w:color="F1F1F1" w:sz="4"/>
            </w:tcBorders>
            <w:tcMar>
              <w:top w:type="dxa" w:w="0"/>
              <w:left w:type="dxa" w:w="105"/>
              <w:bottom w:type="dxa" w:w="0"/>
              <w:right w:type="dxa" w:w="105"/>
            </w:tcMar>
            <w:vAlign w:val="top"/>
          </w:tcPr>
          <w:p>
            <w:pPr>
              <w:pStyle w:val="null3"/>
              <w:ind w:firstLine="380"/>
              <w:jc w:val="both"/>
            </w:pPr>
            <w:r>
              <w:rPr>
                <w:sz w:val="21"/>
                <w:b/>
              </w:rPr>
              <w:t>联系人：</w:t>
            </w:r>
          </w:p>
        </w:tc>
      </w:tr>
      <w:tr>
        <w:tc>
          <w:tcPr>
            <w:tcW w:type="dxa" w:w="4197"/>
            <w:tcBorders>
              <w:top w:val="none" w:color="000000" w:sz="4"/>
              <w:left w:val="single" w:color="F1F1F1" w:sz="4"/>
              <w:bottom w:val="single" w:color="F1F1F1" w:sz="4"/>
              <w:right w:val="single" w:color="F1F1F1" w:sz="4"/>
            </w:tcBorders>
            <w:tcMar>
              <w:top w:type="dxa" w:w="0"/>
              <w:left w:type="dxa" w:w="105"/>
              <w:bottom w:type="dxa" w:w="0"/>
              <w:right w:type="dxa" w:w="105"/>
            </w:tcMar>
            <w:vAlign w:val="top"/>
          </w:tcPr>
          <w:p>
            <w:pPr>
              <w:pStyle w:val="null3"/>
              <w:ind w:firstLine="380"/>
              <w:jc w:val="both"/>
            </w:pPr>
          </w:p>
        </w:tc>
        <w:tc>
          <w:tcPr>
            <w:tcW w:type="dxa" w:w="4096"/>
            <w:tcBorders>
              <w:top w:val="none" w:color="000000" w:sz="4"/>
              <w:left w:val="none" w:color="000000" w:sz="4"/>
              <w:bottom w:val="single" w:color="F1F1F1" w:sz="4"/>
              <w:right w:val="single" w:color="F1F1F1" w:sz="4"/>
            </w:tcBorders>
            <w:tcMar>
              <w:top w:type="dxa" w:w="0"/>
              <w:left w:type="dxa" w:w="105"/>
              <w:bottom w:type="dxa" w:w="0"/>
              <w:right w:type="dxa" w:w="105"/>
            </w:tcMar>
            <w:vAlign w:val="top"/>
          </w:tcPr>
          <w:p>
            <w:pPr>
              <w:pStyle w:val="null3"/>
              <w:jc w:val="both"/>
            </w:pPr>
            <w:r>
              <w:rPr>
                <w:sz w:val="21"/>
                <w:b/>
              </w:rPr>
              <w:t>联系人身份证号码：</w:t>
            </w:r>
          </w:p>
        </w:tc>
      </w:tr>
      <w:tr>
        <w:tc>
          <w:tcPr>
            <w:tcW w:type="dxa" w:w="4197"/>
            <w:tcBorders>
              <w:top w:val="none" w:color="000000" w:sz="4"/>
              <w:left w:val="single" w:color="F1F1F1" w:sz="4"/>
              <w:bottom w:val="single" w:color="F1F1F1" w:sz="4"/>
              <w:right w:val="single" w:color="F1F1F1" w:sz="4"/>
            </w:tcBorders>
            <w:tcMar>
              <w:top w:type="dxa" w:w="0"/>
              <w:left w:type="dxa" w:w="105"/>
              <w:bottom w:type="dxa" w:w="0"/>
              <w:right w:type="dxa" w:w="105"/>
            </w:tcMar>
            <w:vAlign w:val="top"/>
          </w:tcPr>
          <w:p>
            <w:pPr>
              <w:pStyle w:val="null3"/>
              <w:ind w:firstLine="380"/>
              <w:jc w:val="both"/>
            </w:pPr>
            <w:r>
              <w:rPr>
                <w:sz w:val="21"/>
                <w:b/>
              </w:rPr>
              <w:t>电话（座机</w:t>
            </w:r>
            <w:r>
              <w:rPr>
                <w:sz w:val="21"/>
                <w:b/>
              </w:rPr>
              <w:t>/手机）：</w:t>
            </w:r>
          </w:p>
        </w:tc>
        <w:tc>
          <w:tcPr>
            <w:tcW w:type="dxa" w:w="4096"/>
            <w:tcBorders>
              <w:top w:val="none" w:color="000000" w:sz="4"/>
              <w:left w:val="none" w:color="000000" w:sz="4"/>
              <w:bottom w:val="single" w:color="F1F1F1" w:sz="4"/>
              <w:right w:val="single" w:color="F1F1F1" w:sz="4"/>
            </w:tcBorders>
            <w:tcMar>
              <w:top w:type="dxa" w:w="0"/>
              <w:left w:type="dxa" w:w="105"/>
              <w:bottom w:type="dxa" w:w="0"/>
              <w:right w:type="dxa" w:w="105"/>
            </w:tcMar>
            <w:vAlign w:val="top"/>
          </w:tcPr>
          <w:p>
            <w:pPr>
              <w:pStyle w:val="null3"/>
              <w:ind w:firstLine="380"/>
              <w:jc w:val="both"/>
            </w:pPr>
            <w:r>
              <w:rPr>
                <w:sz w:val="21"/>
                <w:b/>
              </w:rPr>
              <w:t>电话（座机</w:t>
            </w:r>
            <w:r>
              <w:rPr>
                <w:sz w:val="21"/>
                <w:b/>
              </w:rPr>
              <w:t>/手机）：</w:t>
            </w:r>
          </w:p>
        </w:tc>
      </w:tr>
      <w:tr>
        <w:tc>
          <w:tcPr>
            <w:tcW w:type="dxa" w:w="4197"/>
            <w:tcBorders>
              <w:top w:val="none" w:color="000000" w:sz="4"/>
              <w:left w:val="single" w:color="F1F1F1" w:sz="4"/>
              <w:bottom w:val="single" w:color="F1F1F1" w:sz="4"/>
              <w:right w:val="single" w:color="F1F1F1" w:sz="4"/>
            </w:tcBorders>
            <w:tcMar>
              <w:top w:type="dxa" w:w="0"/>
              <w:left w:type="dxa" w:w="105"/>
              <w:bottom w:type="dxa" w:w="0"/>
              <w:right w:type="dxa" w:w="105"/>
            </w:tcMar>
            <w:vAlign w:val="top"/>
          </w:tcPr>
          <w:p>
            <w:pPr>
              <w:pStyle w:val="null3"/>
              <w:ind w:firstLine="380"/>
              <w:jc w:val="both"/>
            </w:pPr>
            <w:r>
              <w:rPr>
                <w:sz w:val="21"/>
                <w:b/>
              </w:rPr>
              <w:t>电子邮箱：</w:t>
            </w:r>
          </w:p>
        </w:tc>
        <w:tc>
          <w:tcPr>
            <w:tcW w:type="dxa" w:w="4096"/>
            <w:tcBorders>
              <w:top w:val="none" w:color="000000" w:sz="4"/>
              <w:left w:val="none" w:color="000000" w:sz="4"/>
              <w:bottom w:val="single" w:color="F1F1F1" w:sz="4"/>
              <w:right w:val="single" w:color="F1F1F1" w:sz="4"/>
            </w:tcBorders>
            <w:tcMar>
              <w:top w:type="dxa" w:w="0"/>
              <w:left w:type="dxa" w:w="105"/>
              <w:bottom w:type="dxa" w:w="0"/>
              <w:right w:type="dxa" w:w="105"/>
            </w:tcMar>
            <w:vAlign w:val="top"/>
          </w:tcPr>
          <w:p>
            <w:pPr>
              <w:pStyle w:val="null3"/>
              <w:ind w:firstLine="380"/>
              <w:jc w:val="both"/>
            </w:pPr>
            <w:r>
              <w:rPr>
                <w:sz w:val="21"/>
                <w:b/>
              </w:rPr>
              <w:t>电子邮箱：</w:t>
            </w:r>
          </w:p>
        </w:tc>
      </w:tr>
    </w:tbl>
    <w:p>
      <w:pPr>
        <w:pStyle w:val="null3"/>
        <w:ind w:firstLine="480"/>
        <w:jc w:val="both"/>
      </w:pPr>
      <w:r>
        <w:rPr>
          <w:sz w:val="21"/>
        </w:rPr>
        <w:t>根据《中华人民共和国政府采购法》《中华人民共和国民法典》的规定及</w:t>
      </w:r>
      <w:r>
        <w:rPr>
          <w:sz w:val="21"/>
          <w:u w:val="single"/>
        </w:rPr>
        <w:t>XXXX采购项目</w:t>
      </w:r>
      <w:r>
        <w:rPr>
          <w:sz w:val="21"/>
        </w:rPr>
        <w:t>（项目编号：</w:t>
      </w:r>
      <w:r>
        <w:rPr>
          <w:sz w:val="21"/>
        </w:rPr>
        <w:t>XXXX）的采购结果，经甲、乙双方平等协商，本着诚实信用的原则，签订本合同。</w:t>
      </w:r>
    </w:p>
    <w:p>
      <w:pPr>
        <w:pStyle w:val="null3"/>
        <w:spacing w:before="150"/>
        <w:ind w:firstLine="480"/>
        <w:jc w:val="both"/>
      </w:pPr>
      <w:r>
        <w:rPr>
          <w:sz w:val="21"/>
          <w:b/>
        </w:rPr>
        <w:t>一、货物内容</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562"/>
        <w:gridCol w:w="1164"/>
        <w:gridCol w:w="562"/>
        <w:gridCol w:w="889"/>
        <w:gridCol w:w="1308"/>
        <w:gridCol w:w="615"/>
        <w:gridCol w:w="562"/>
        <w:gridCol w:w="1033"/>
        <w:gridCol w:w="1609"/>
      </w:tblGrid>
      <w:tr>
        <w:tc>
          <w:tcPr>
            <w:tcW w:type="dxa" w:w="562"/>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rPr>
              <w:t>序号</w:t>
            </w:r>
          </w:p>
        </w:tc>
        <w:tc>
          <w:tcPr>
            <w:tcW w:type="dxa" w:w="1164"/>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rPr>
              <w:t>设备名称</w:t>
            </w:r>
          </w:p>
        </w:tc>
        <w:tc>
          <w:tcPr>
            <w:tcW w:type="dxa" w:w="562"/>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rPr>
              <w:t>品牌</w:t>
            </w:r>
          </w:p>
        </w:tc>
        <w:tc>
          <w:tcPr>
            <w:tcW w:type="dxa" w:w="88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rPr>
              <w:t>规格型号</w:t>
            </w:r>
          </w:p>
        </w:tc>
        <w:tc>
          <w:tcPr>
            <w:tcW w:type="dxa" w:w="130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rPr>
              <w:t>制造商</w:t>
            </w:r>
            <w:r>
              <w:rPr>
                <w:sz w:val="21"/>
                <w:b/>
              </w:rPr>
              <w:t>/产地</w:t>
            </w:r>
          </w:p>
        </w:tc>
        <w:tc>
          <w:tcPr>
            <w:tcW w:type="dxa" w:w="615"/>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rPr>
              <w:t>数量</w:t>
            </w:r>
          </w:p>
        </w:tc>
        <w:tc>
          <w:tcPr>
            <w:tcW w:type="dxa" w:w="562"/>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rPr>
              <w:t>单位</w:t>
            </w:r>
          </w:p>
        </w:tc>
        <w:tc>
          <w:tcPr>
            <w:tcW w:type="dxa" w:w="1033"/>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rPr>
              <w:t>单价</w:t>
            </w:r>
            <w:r>
              <w:rPr>
                <w:sz w:val="21"/>
                <w:b/>
              </w:rPr>
              <w:t>(元)</w:t>
            </w:r>
          </w:p>
        </w:tc>
        <w:tc>
          <w:tcPr>
            <w:tcW w:type="dxa" w:w="160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firstLine="380"/>
              <w:jc w:val="center"/>
            </w:pPr>
            <w:r>
              <w:rPr>
                <w:sz w:val="21"/>
                <w:b/>
              </w:rPr>
              <w:t>总价</w:t>
            </w:r>
            <w:r>
              <w:rPr>
                <w:sz w:val="21"/>
                <w:b/>
              </w:rPr>
              <w:t>(元)</w:t>
            </w:r>
          </w:p>
        </w:tc>
      </w:tr>
      <w:tr>
        <w:tc>
          <w:tcPr>
            <w:tcW w:type="dxa" w:w="56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ind w:firstLine="380"/>
              <w:jc w:val="center"/>
            </w:pPr>
          </w:p>
        </w:tc>
        <w:tc>
          <w:tcPr>
            <w:tcW w:type="dxa" w:w="116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56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8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0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61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56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03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60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56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16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56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8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0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61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56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03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60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8304"/>
            <w:gridSpan w:val="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合同总金额：（大写）</w:t>
            </w:r>
            <w:r>
              <w:rPr>
                <w:sz w:val="21"/>
              </w:rPr>
              <w:t>人民币元整（</w:t>
            </w:r>
            <w:r>
              <w:rPr>
                <w:sz w:val="21"/>
                <w:b/>
              </w:rPr>
              <w:t>小写</w:t>
            </w:r>
            <w:r>
              <w:rPr>
                <w:sz w:val="21"/>
              </w:rPr>
              <w:t>）</w:t>
            </w:r>
            <w:r>
              <w:rPr>
                <w:sz w:val="21"/>
              </w:rPr>
              <w:t>¥</w:t>
            </w:r>
            <w:r>
              <w:rPr>
                <w:sz w:val="19"/>
                <w:u w:val="single"/>
              </w:rPr>
              <w:t xml:space="preserve"> </w:t>
            </w:r>
            <w:r>
              <w:rPr>
                <w:sz w:val="21"/>
              </w:rPr>
              <w:t>元</w:t>
            </w:r>
          </w:p>
        </w:tc>
      </w:tr>
      <w:tr>
        <w:tc>
          <w:tcPr>
            <w:tcW w:type="dxa" w:w="56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备注</w:t>
            </w:r>
          </w:p>
        </w:tc>
        <w:tc>
          <w:tcPr>
            <w:tcW w:type="dxa" w:w="7742"/>
            <w:gridSpan w:val="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rPr>
              <w:t>1.合同总金额为约定地点交货价（包括安装施工、调试、配件、培训费和一切运杂费及税费）；</w:t>
            </w:r>
          </w:p>
          <w:p>
            <w:pPr>
              <w:pStyle w:val="null3"/>
              <w:jc w:val="both"/>
            </w:pPr>
            <w:r>
              <w:rPr>
                <w:sz w:val="21"/>
              </w:rPr>
              <w:t>2. 为避免影响验收，请确保投标/报价文件中的货物名称、品牌、规格型号、生产厂家、技术参数等信息与投标实物信息相一致！</w:t>
            </w:r>
          </w:p>
          <w:p>
            <w:pPr>
              <w:pStyle w:val="null3"/>
              <w:jc w:val="both"/>
            </w:pPr>
            <w:r>
              <w:rPr>
                <w:sz w:val="21"/>
              </w:rPr>
              <w:t>3. 若设备有外文名称，由设备名称栏中需同时注明中、外文名称。</w:t>
            </w:r>
          </w:p>
        </w:tc>
      </w:tr>
    </w:tbl>
    <w:p>
      <w:pPr>
        <w:pStyle w:val="null3"/>
        <w:spacing w:before="150"/>
        <w:ind w:firstLine="480"/>
        <w:jc w:val="both"/>
      </w:pPr>
      <w:r>
        <w:rPr>
          <w:sz w:val="21"/>
          <w:b/>
        </w:rPr>
        <w:t>二、设备质量要求</w:t>
      </w:r>
    </w:p>
    <w:p>
      <w:pPr>
        <w:pStyle w:val="null3"/>
        <w:ind w:firstLine="371"/>
        <w:jc w:val="both"/>
      </w:pPr>
      <w:r>
        <w:rPr>
          <w:sz w:val="21"/>
        </w:rPr>
        <w:t>1. 乙方提供的设备必须符合中华人民共和国国家标准、行业标准以及该产品的出厂标准，符合采购文件和响应承诺中甲方认可的合理最佳配置、参数及各项要求。</w:t>
      </w:r>
    </w:p>
    <w:p>
      <w:pPr>
        <w:pStyle w:val="null3"/>
        <w:ind w:firstLine="371"/>
        <w:jc w:val="both"/>
      </w:pPr>
      <w:r>
        <w:rPr>
          <w:sz w:val="21"/>
        </w:rPr>
        <w:t>2. 乙方提供的设备必须是全新的原装设备（含零部件、配件、随机工具等），表面无划痕、 无碰撞，符合招标文件各项性能指标要求。</w:t>
      </w:r>
    </w:p>
    <w:p>
      <w:pPr>
        <w:pStyle w:val="null3"/>
        <w:ind w:firstLine="371"/>
        <w:jc w:val="both"/>
      </w:pPr>
      <w:r>
        <w:rPr>
          <w:sz w:val="21"/>
        </w:rPr>
        <w:t>3. 乙方提供的设备包装材料必须符合中华人民共和国国家安全环保标准，如属有毒有害包装材料由乙方清运回收。</w:t>
      </w:r>
    </w:p>
    <w:p>
      <w:pPr>
        <w:pStyle w:val="null3"/>
        <w:ind w:firstLine="371"/>
        <w:jc w:val="both"/>
      </w:pPr>
      <w:r>
        <w:rPr>
          <w:sz w:val="21"/>
        </w:rPr>
        <w:t>4. 因货物质量问题发生较大争议时,由汕头市质检部门鉴定或双方共同委托有资质的机构进行鉴定。设备符合质量标准的，鉴定费由甲方承担；设备不符合质量标准的，鉴定费由乙方承担。</w:t>
      </w:r>
    </w:p>
    <w:p>
      <w:pPr>
        <w:pStyle w:val="null3"/>
        <w:ind w:firstLine="371"/>
        <w:jc w:val="both"/>
      </w:pPr>
      <w:r>
        <w:rPr>
          <w:sz w:val="21"/>
        </w:rPr>
        <w:t>5. 免费保修期期限：设备验收合格后</w:t>
      </w:r>
      <w:r>
        <w:rPr>
          <w:u w:val="single"/>
        </w:rPr>
        <w:t xml:space="preserve">    </w:t>
      </w:r>
      <w:r>
        <w:rPr>
          <w:sz w:val="21"/>
        </w:rPr>
        <w:t>年。乙方应按服务承诺提供设备免费上门维修保养。</w:t>
      </w:r>
    </w:p>
    <w:p>
      <w:pPr>
        <w:pStyle w:val="null3"/>
        <w:spacing w:before="150"/>
        <w:ind w:firstLine="480"/>
        <w:jc w:val="both"/>
      </w:pPr>
      <w:r>
        <w:rPr>
          <w:sz w:val="21"/>
          <w:b/>
        </w:rPr>
        <w:t>三、交货及交付</w:t>
      </w:r>
    </w:p>
    <w:p>
      <w:pPr>
        <w:pStyle w:val="null3"/>
        <w:ind w:firstLine="371"/>
        <w:jc w:val="both"/>
      </w:pPr>
      <w:r>
        <w:rPr>
          <w:sz w:val="21"/>
        </w:rPr>
        <w:t>1. 交货时间：合同签订后</w:t>
      </w:r>
      <w:r>
        <w:rPr>
          <w:u w:val="single"/>
        </w:rPr>
        <w:t xml:space="preserve">   </w:t>
      </w:r>
      <w:r>
        <w:rPr>
          <w:sz w:val="21"/>
        </w:rPr>
        <w:t>天内完成供货、安装、调试，合同签订后</w:t>
      </w:r>
      <w:r>
        <w:rPr>
          <w:u w:val="single"/>
        </w:rPr>
        <w:t xml:space="preserve">   </w:t>
      </w:r>
      <w:r>
        <w:rPr>
          <w:sz w:val="21"/>
        </w:rPr>
        <w:t>天内交付使用。</w:t>
      </w:r>
    </w:p>
    <w:p>
      <w:pPr>
        <w:pStyle w:val="null3"/>
        <w:ind w:firstLine="371"/>
        <w:jc w:val="both"/>
      </w:pPr>
      <w:r>
        <w:rPr>
          <w:sz w:val="21"/>
        </w:rPr>
        <w:t>2. 交货方式：送货上门安装调试。</w:t>
      </w:r>
    </w:p>
    <w:p>
      <w:pPr>
        <w:pStyle w:val="null3"/>
        <w:ind w:firstLine="371"/>
        <w:jc w:val="both"/>
      </w:pPr>
      <w:r>
        <w:rPr>
          <w:sz w:val="21"/>
        </w:rPr>
        <w:t>3. 交货地点：汕头大学</w:t>
      </w:r>
      <w:r>
        <w:rPr>
          <w:u w:val="single"/>
        </w:rPr>
        <w:t xml:space="preserve">     </w:t>
      </w:r>
      <w:r>
        <w:rPr>
          <w:sz w:val="21"/>
        </w:rPr>
        <w:t>校区指定地点。</w:t>
      </w:r>
    </w:p>
    <w:p>
      <w:pPr>
        <w:pStyle w:val="null3"/>
        <w:spacing w:before="150"/>
        <w:ind w:firstLine="480"/>
        <w:jc w:val="both"/>
      </w:pPr>
      <w:r>
        <w:rPr>
          <w:sz w:val="21"/>
          <w:b/>
        </w:rPr>
        <w:t>四、付款方式</w:t>
      </w:r>
    </w:p>
    <w:p>
      <w:pPr>
        <w:pStyle w:val="null3"/>
        <w:ind w:firstLine="371"/>
        <w:jc w:val="both"/>
      </w:pPr>
      <w:r>
        <w:rPr>
          <w:sz w:val="21"/>
        </w:rPr>
        <w:t>（依招标文件）</w:t>
      </w:r>
    </w:p>
    <w:p>
      <w:pPr>
        <w:pStyle w:val="null3"/>
        <w:spacing w:before="150"/>
        <w:ind w:firstLine="480"/>
        <w:jc w:val="both"/>
      </w:pPr>
      <w:r>
        <w:rPr>
          <w:sz w:val="21"/>
          <w:b/>
        </w:rPr>
        <w:t>五、验收要求</w:t>
      </w:r>
    </w:p>
    <w:p>
      <w:pPr>
        <w:pStyle w:val="null3"/>
        <w:ind w:firstLine="371"/>
        <w:jc w:val="both"/>
      </w:pPr>
      <w:r>
        <w:rPr>
          <w:sz w:val="21"/>
        </w:rPr>
        <w:t>1. 货物为原厂制造的全新产品，整机无污染，无侵权行为，表面无划损、无任何缺陷隐患。国产产品具备出厂合格证，乙方应将所供设备的用户手册、保修手册、有关资料及配件、随机工具等交付给甲方。</w:t>
      </w:r>
    </w:p>
    <w:p>
      <w:pPr>
        <w:pStyle w:val="null3"/>
        <w:ind w:firstLine="371"/>
        <w:jc w:val="both"/>
      </w:pPr>
      <w:r>
        <w:rPr>
          <w:sz w:val="21"/>
        </w:rPr>
        <w:t>2. 乙方向甲方保证其提供的设备（含软件、硬件）未侵犯任何第三方的产权（包括但不限于专利、商业秘密、商标权），若有第三方以甲方使用的设备侵犯其知识产权为由向甲方索赔，乙方应赔偿甲方由此而遭受的一切损失。</w:t>
      </w:r>
    </w:p>
    <w:p>
      <w:pPr>
        <w:pStyle w:val="null3"/>
        <w:ind w:firstLine="371"/>
        <w:jc w:val="both"/>
      </w:pPr>
      <w:r>
        <w:rPr>
          <w:sz w:val="21"/>
        </w:rPr>
        <w:t>3.进口部件（如有）应按国家有关规定办理进口商检手续，并提供原产地证明（原件）、报关单（原件）、装箱单等有效证明文件，其中证明文件与设备的序列号、包装箱号一致，并可追索查阅。所有物件均应是原厂正品，不能伪造或以次充好，一经发现，乙方需无条件退还已付款项并按本合同总金额的30%赔偿甲方损失。</w:t>
      </w:r>
    </w:p>
    <w:p>
      <w:pPr>
        <w:pStyle w:val="null3"/>
        <w:ind w:firstLine="371"/>
        <w:jc w:val="both"/>
      </w:pPr>
      <w:r>
        <w:rPr>
          <w:sz w:val="21"/>
        </w:rPr>
        <w:t>4. 原则上应在全部货物抵达验收地点、现场安装调试并培训完毕、完成试运行，甲方确认设备正常运转后，在收到乙方验收申请后7日内，由甲方组织各相关人员对货物进行履约验收（另有约定除外）。验收主要涉及设备的精度、操作可靠性、数据准确性、人员培训等方面，期间乙方有义务向甲方解释数据得出及计算原理，以及在不涉及核心技术前提下的数据结构，便于甲方后续使用及数据验证。验收前的质量及安全风险由乙方承担，甲方为此可无偿提供必要的临时仓储场所。在设备抵达合同设备的场地后，甲方应根据乙方预先提供的储存说明，正确地储存设备。如果实际储存条件不允许按照乙方的储存说明进行储存，双方的现场代表应通过共同协商，为设备确定合理的储存方案。</w:t>
      </w:r>
    </w:p>
    <w:p>
      <w:pPr>
        <w:pStyle w:val="null3"/>
        <w:ind w:firstLine="371"/>
        <w:jc w:val="both"/>
      </w:pPr>
      <w:r>
        <w:rPr>
          <w:sz w:val="21"/>
        </w:rPr>
        <w:t>5. 验收过程中，若因产品质量或本身技术参数不能满足采购项目的技术要求或达不到承诺的技术参数，甲方有权要求乙方在协商的期限内予以整改，整改后仍达不到要求，甲方有权索赔，乙方需按合同约定赔偿甲方损失。设备在甲方验收付款前的所有权属于乙方，设备及乙方人员的安全责任及保险费用均由乙方承担。</w:t>
      </w:r>
    </w:p>
    <w:p>
      <w:pPr>
        <w:pStyle w:val="null3"/>
        <w:ind w:firstLine="371"/>
        <w:jc w:val="both"/>
      </w:pPr>
      <w:r>
        <w:rPr>
          <w:sz w:val="21"/>
        </w:rPr>
        <w:t>6. 交付验收标准依次序对照适用标准为：（1）符合中华人民共和国国家安全质量标准、环保标准或行业标准，乙方应随货提供该产品合格或满足相应技术标准规范的证明材料；（2）符合采购文件和响应承诺中甲方认可的合理最佳配置、参数及各项要求。</w:t>
      </w:r>
    </w:p>
    <w:p>
      <w:pPr>
        <w:pStyle w:val="null3"/>
        <w:spacing w:before="150"/>
        <w:ind w:firstLine="480"/>
        <w:jc w:val="both"/>
      </w:pPr>
      <w:r>
        <w:rPr>
          <w:sz w:val="21"/>
          <w:b/>
        </w:rPr>
        <w:t>六、售后服务</w:t>
      </w:r>
    </w:p>
    <w:p>
      <w:pPr>
        <w:pStyle w:val="null3"/>
        <w:ind w:firstLine="371"/>
        <w:jc w:val="both"/>
      </w:pPr>
      <w:r>
        <w:rPr>
          <w:sz w:val="21"/>
        </w:rPr>
        <w:t>1.所有设备均须由乙方提供</w:t>
      </w:r>
      <w:r>
        <w:rPr>
          <w:sz w:val="21"/>
          <w:u w:val="single"/>
        </w:rPr>
        <w:t xml:space="preserve"> </w:t>
      </w:r>
      <w:r>
        <w:rPr>
          <w:sz w:val="21"/>
          <w:u w:val="single"/>
        </w:rPr>
        <w:t>X</w:t>
      </w:r>
      <w:r>
        <w:rPr>
          <w:sz w:val="21"/>
        </w:rPr>
        <w:t>年的整机保修服务，关键设备享有原生产厂家的技术支持和售后服务，费用包含在合同价之中。货物制造商必须有专业的售后服务力量，提供售后服务联系电话及联系人。</w:t>
      </w:r>
    </w:p>
    <w:p>
      <w:pPr>
        <w:pStyle w:val="null3"/>
        <w:ind w:firstLine="371"/>
        <w:jc w:val="both"/>
      </w:pPr>
      <w:r>
        <w:rPr>
          <w:sz w:val="21"/>
        </w:rPr>
        <w:t>2. 免费保修期内设备维护服务要求（自然灾害等非乙方设备质量原因的除外）：接到保障电话后，在8个小时内进行答复、确定派人修理，在 24 小时内上门服务并解决问题；如果设备故障在检修48小时后仍无法排除，则乙方必须在双方协商的时间内提供相同规格的替代设备部件，以免影响正常的工作。在15个工作日内仍无法修复设备故障，甲方有权要求乙方无条件更换该设备的零部件；免费保修期内同一硬件一个月内连续2次出现同一故障，乙方无偿更换同一档次的设备或部件。所有设备保修服务方式均为上门保修由此产生的一切费用均由乙方承担。</w:t>
      </w:r>
    </w:p>
    <w:p>
      <w:pPr>
        <w:pStyle w:val="null3"/>
        <w:ind w:firstLine="371"/>
        <w:jc w:val="both"/>
      </w:pPr>
      <w:r>
        <w:rPr>
          <w:sz w:val="21"/>
        </w:rPr>
        <w:t>3.乙方在保修期内负责软硬件系统运行的稳定性，负责更换硬件故障部件或修改出错的软件系统，费用包含在合同价之中。若乙方提供的软硬件系统在功能上、性能上达不到使用要求，甲方有权要求乙方进行及时完善和修改。如果在质量保证期内乙方未能按上述约定承担维修责任，甲方有权对由此引起的损失要求乙方进行赔偿。</w:t>
      </w:r>
    </w:p>
    <w:p>
      <w:pPr>
        <w:pStyle w:val="null3"/>
        <w:ind w:firstLine="371"/>
        <w:jc w:val="both"/>
      </w:pPr>
      <w:r>
        <w:rPr>
          <w:sz w:val="21"/>
        </w:rPr>
        <w:t>4. 保修期后设备维护服务要求：(1)保修期过后，乙方需继续为所售设备提供支持服务。(2)服务内容：与保修期内的售后服务内容相同。(3)服务费用：设备硬件故障需维修时，乙方收取设备维修成本费用。软件新增模块需升级时，乙方收取升级的成本费用，其它服务(乙方工程师现场支持、维护、设备定期检查等)均无条件提供。(4)服务方式和响应时间：与保修期内售后服务方式和响应时间相同。(5)服务范围：乙方所售所有设备及相关软件。</w:t>
      </w:r>
    </w:p>
    <w:p>
      <w:pPr>
        <w:pStyle w:val="null3"/>
        <w:ind w:firstLine="371"/>
        <w:jc w:val="both"/>
      </w:pPr>
      <w:r>
        <w:rPr>
          <w:sz w:val="21"/>
        </w:rPr>
        <w:t>5.质量保证期内由于设备本身质量原因导致的问题或故障，由乙方负责解决并承担所有费用，期满后仍须提供良好的技术支持及零配件的优惠供应，定期对甲方的设备进行维护和回访。</w:t>
      </w:r>
    </w:p>
    <w:p>
      <w:pPr>
        <w:pStyle w:val="null3"/>
        <w:ind w:firstLine="371"/>
        <w:jc w:val="both"/>
      </w:pPr>
      <w:r>
        <w:rPr>
          <w:sz w:val="21"/>
        </w:rPr>
        <w:t>6.如因为调试、安装及运输等非质量原因导致的设备损坏乙方负责解决并承担所有费用。</w:t>
      </w:r>
    </w:p>
    <w:p>
      <w:pPr>
        <w:pStyle w:val="null3"/>
        <w:ind w:firstLine="371"/>
        <w:jc w:val="both"/>
      </w:pPr>
      <w:r>
        <w:rPr>
          <w:sz w:val="21"/>
        </w:rPr>
        <w:t>7.质量保证期内，如设备或零部件非人为因素出现故障而造成短期停用时，则质量保证期和维修期不需要顺延。如设备因自身故障致停用时间单次超过30天则保修期在设备状态恢复正常时重新起计。</w:t>
      </w:r>
    </w:p>
    <w:p>
      <w:pPr>
        <w:pStyle w:val="null3"/>
        <w:ind w:firstLine="371"/>
        <w:jc w:val="both"/>
      </w:pPr>
      <w:r>
        <w:rPr>
          <w:sz w:val="21"/>
        </w:rPr>
        <w:t>8.如果在质量保证期内乙方未能按上述约定承担维修责任，甲方有权对由此引起的损失要求乙方进行赔偿。乙方负责向甲方提供现场安全操作及必要的维护保养培训。</w:t>
      </w:r>
    </w:p>
    <w:p>
      <w:pPr>
        <w:pStyle w:val="null3"/>
        <w:ind w:firstLine="482"/>
        <w:jc w:val="both"/>
      </w:pPr>
      <w:r>
        <w:rPr>
          <w:sz w:val="21"/>
          <w:b/>
        </w:rPr>
        <w:t>七、信息保密</w:t>
      </w:r>
    </w:p>
    <w:p>
      <w:pPr>
        <w:pStyle w:val="null3"/>
        <w:ind w:firstLine="420"/>
        <w:jc w:val="both"/>
      </w:pPr>
      <w:r>
        <w:rPr>
          <w:sz w:val="21"/>
        </w:rPr>
        <w:t>1.保密的内容和范围：（1）本合同所称工作秘密包括但不限于：甲方提供师生个人信息数据、设备配置、信息化项目的各类文档。乙方对此工作秘密承担保密义务。本协议之签订可认为甲方已对上述工作秘密采取了合理的保密措施；（2）凡以直接、间接、口头或书面等形式提供设计保密内容的行为均属泄密。</w:t>
      </w:r>
    </w:p>
    <w:p>
      <w:pPr>
        <w:pStyle w:val="null3"/>
        <w:ind w:firstLine="420"/>
        <w:jc w:val="both"/>
      </w:pPr>
      <w:r>
        <w:rPr>
          <w:sz w:val="21"/>
        </w:rPr>
        <w:t>2.双方的权利与义务、责任：（1）乙方应自觉维护甲方的利益，严格遵守甲方的保密规定；（2）乙方不得向任何单位和个人泄露甲方的任何资料信息；（3）乙方不得利用所掌握的商业秘密牟取私利；（4）乙方了解并承认，甲方会将具有商业价值的保密信息保存在由乙方维护的服务器或终端设备上，并且由于系统维护服务、数据备份服务等原因，乙方有可能在某些情况下访问这些服务器和终端计算机。乙方同意并承诺，如果这些数据未经甲方许可披露给他人，所造成的对甲方的直接损失，并经证实，甲方有权通过法律途径向乙方索赔；（5）乙方同意并承诺，对所有保密信息予以严格保密，在未得到甲方事先许可的情况下不披露给任何其他人士或机构；（6）乙方同意并承诺，未经甲方书面许可，乙方不得将有关保密信息，通过存储介质、网络等途径，传播至甲方不可控制区域；（7）除为执行项目目的外，乙方不得对保密信息进行复制。未经甲方同意，乙方也不得利用保密信息进行新的研究或开发。如发现本系统保密信息或本系统发生安全隐患事件时，乙方应采取有效措施防止泄密进一步扩大，并及时通知甲方。项目若终止，乙方应及时将承载保密信息的介质原件及备份件全部清理销毁，并将销毁情况通知甲方。</w:t>
      </w:r>
    </w:p>
    <w:p>
      <w:pPr>
        <w:pStyle w:val="null3"/>
        <w:ind w:firstLine="420"/>
        <w:jc w:val="both"/>
      </w:pPr>
      <w:r>
        <w:rPr>
          <w:sz w:val="21"/>
        </w:rPr>
        <w:t>3.本合同项下的保密义务不适用于如下信息：（1）非由于乙方的原因已经为公众所知的不可抗力及其他合法范围内的不能预见、不能避免并不能克服的客观情况；（2）由于乙方以外其他渠道被他人获知的信息，这些渠道并不受保密义务的限制；（3）由于法律的适用，法院或其他国家有权机关的要求而被披露的信息。</w:t>
      </w:r>
    </w:p>
    <w:p>
      <w:pPr>
        <w:pStyle w:val="null3"/>
        <w:spacing w:before="150"/>
        <w:ind w:firstLine="480"/>
        <w:jc w:val="both"/>
      </w:pPr>
      <w:r>
        <w:rPr>
          <w:sz w:val="21"/>
          <w:b/>
        </w:rPr>
        <w:t>八、违约责任</w:t>
      </w:r>
    </w:p>
    <w:p>
      <w:pPr>
        <w:pStyle w:val="null3"/>
        <w:ind w:firstLine="371"/>
        <w:jc w:val="both"/>
      </w:pPr>
      <w:r>
        <w:rPr>
          <w:sz w:val="21"/>
        </w:rPr>
        <w:t>1.乙方未能交付部分/全部设备，则需向甲方退还未交付部分设备款项并支付未交付部分设备金额的30%的违约金；未交付的设备影响其他设备使用的，则视为全部未交付。</w:t>
      </w:r>
    </w:p>
    <w:p>
      <w:pPr>
        <w:pStyle w:val="null3"/>
        <w:ind w:firstLine="371"/>
        <w:jc w:val="both"/>
      </w:pPr>
      <w:r>
        <w:rPr>
          <w:sz w:val="21"/>
        </w:rPr>
        <w:t>2.乙方交付的部分/全部设备不符合合同规定的，对于不符合合同约定的设备按以下情况执行：</w:t>
      </w:r>
    </w:p>
    <w:p>
      <w:pPr>
        <w:pStyle w:val="null3"/>
        <w:ind w:firstLine="371"/>
        <w:jc w:val="both"/>
      </w:pPr>
      <w:r>
        <w:rPr>
          <w:sz w:val="21"/>
        </w:rPr>
        <w:t>（</w:t>
      </w:r>
      <w:r>
        <w:rPr>
          <w:sz w:val="21"/>
        </w:rPr>
        <w:t>1）如上述设备不影响本次采购目的，乙方有权向甲方主张符合合同规定的部分设备价款并应按甲方已支付的情况多退少补，同时向甲方支付不符合合同规定部分设备金额的30%的违约金。</w:t>
      </w:r>
    </w:p>
    <w:p>
      <w:pPr>
        <w:pStyle w:val="null3"/>
        <w:ind w:firstLine="371"/>
        <w:jc w:val="both"/>
      </w:pPr>
      <w:r>
        <w:rPr>
          <w:sz w:val="21"/>
        </w:rPr>
        <w:t>（</w:t>
      </w:r>
      <w:r>
        <w:rPr>
          <w:sz w:val="21"/>
        </w:rPr>
        <w:t>2）如上述设备影响本次采购目的，则乙方应返还甲方已支付的款项并向甲方支付不符合合同规定部分设备金额的30%的违约金。</w:t>
      </w:r>
    </w:p>
    <w:p>
      <w:pPr>
        <w:pStyle w:val="null3"/>
        <w:ind w:firstLine="371"/>
        <w:jc w:val="both"/>
      </w:pPr>
      <w:r>
        <w:rPr>
          <w:sz w:val="21"/>
        </w:rPr>
        <w:t>甲方无正当理由拒收设备，拒付货款的，甲方向乙方偿付本合同总金额</w:t>
      </w:r>
      <w:r>
        <w:rPr>
          <w:sz w:val="21"/>
        </w:rPr>
        <w:t>5%的违约金。</w:t>
      </w:r>
    </w:p>
    <w:p>
      <w:pPr>
        <w:pStyle w:val="null3"/>
        <w:ind w:firstLine="371"/>
        <w:jc w:val="both"/>
      </w:pPr>
      <w:r>
        <w:rPr>
          <w:sz w:val="21"/>
        </w:rPr>
        <w:t>3.乙方逾期交付部分或全部设备，则每日按本合同总金额3‰向甲方偿付违约金。逾期交付超过15天，则视为乙方无法交付，乙方的违约责任按照第八条第1款执行。</w:t>
      </w:r>
    </w:p>
    <w:p>
      <w:pPr>
        <w:pStyle w:val="null3"/>
        <w:ind w:firstLine="371"/>
        <w:jc w:val="both"/>
      </w:pPr>
      <w:r>
        <w:rPr>
          <w:sz w:val="21"/>
        </w:rPr>
        <w:t>4.甲方若逾期拒绝付款，则每日按本合同总金额万分之三向乙方偿付违约金。</w:t>
      </w:r>
    </w:p>
    <w:p>
      <w:pPr>
        <w:pStyle w:val="null3"/>
        <w:ind w:firstLine="371"/>
        <w:jc w:val="both"/>
      </w:pPr>
      <w:r>
        <w:rPr>
          <w:sz w:val="21"/>
        </w:rPr>
        <w:t>5.乙方未履行售后服务，应当承担违约责任。经甲方通知未及时维修保养的，甲方有权另找第三方提供维修保养服务，因此产生的费用由乙方承担。或经甲方通知未及时维修保养的，按延迟每日支付本合同总金额万分之三的违约金。</w:t>
      </w:r>
    </w:p>
    <w:p>
      <w:pPr>
        <w:pStyle w:val="null3"/>
        <w:ind w:firstLine="371"/>
        <w:jc w:val="both"/>
      </w:pPr>
      <w:r>
        <w:rPr>
          <w:sz w:val="21"/>
        </w:rPr>
        <w:t>6.乙方交付的设备或设施如不符合质量约定、或交付后出现质量瑕疵无法满足甲方使用、或未履行售后服务义务，应承担违约责任，甲方损失或费用根据质量与服务情形由乙方负担。</w:t>
      </w:r>
    </w:p>
    <w:p>
      <w:pPr>
        <w:pStyle w:val="null3"/>
        <w:ind w:firstLine="371"/>
        <w:jc w:val="both"/>
      </w:pPr>
      <w:r>
        <w:rPr>
          <w:sz w:val="21"/>
        </w:rPr>
        <w:t>7. 在履行协议过程中，本合同一方当事人因第三人的原因造成违约的，应当向本合同对方当事人承担违约责任；本合同一方当事人和第三人之间的纠纷，依照法律规定自行解决和承担法律责任，如导致本合同相对方受牵涉而发生损失（包括但不限于本合同违约方行为所致本合同相对方的经济损失、派员参与纠纷解决的人工、交通、食宿费用、仲裁费、诉讼费、委托律师费用等）的，由本合同违约方承担赔偿责任。</w:t>
      </w:r>
    </w:p>
    <w:p>
      <w:pPr>
        <w:pStyle w:val="null3"/>
        <w:spacing w:before="150"/>
        <w:ind w:firstLine="480"/>
        <w:jc w:val="both"/>
      </w:pPr>
      <w:r>
        <w:rPr>
          <w:sz w:val="21"/>
          <w:b/>
        </w:rPr>
        <w:t>九、技术支持及培训</w:t>
      </w:r>
    </w:p>
    <w:p>
      <w:pPr>
        <w:pStyle w:val="null3"/>
        <w:ind w:firstLine="371"/>
        <w:jc w:val="both"/>
      </w:pPr>
      <w:r>
        <w:rPr>
          <w:sz w:val="21"/>
        </w:rPr>
        <w:t>乙方负责对设备进行免费安装、调试；设备到达后，在甲方人员在场的情况下开箱清点货物，组织安装、调试。并由乙方技术人员负责免费培训甲方操作人员。经装机培训后，若甲方仍有技术、操作疑难，乙方负责免费技术支持。乙方将为甲方建立质量跟踪档案，对甲方进行不定期回访，以保证设备的正常高效运行。</w:t>
      </w:r>
    </w:p>
    <w:p>
      <w:pPr>
        <w:pStyle w:val="null3"/>
        <w:spacing w:before="150"/>
        <w:ind w:firstLine="480"/>
        <w:jc w:val="both"/>
      </w:pPr>
      <w:r>
        <w:rPr>
          <w:sz w:val="21"/>
          <w:b/>
        </w:rPr>
        <w:t>十、争议解决</w:t>
      </w:r>
    </w:p>
    <w:p>
      <w:pPr>
        <w:pStyle w:val="null3"/>
        <w:ind w:firstLine="371"/>
        <w:jc w:val="both"/>
      </w:pPr>
      <w:r>
        <w:rPr>
          <w:sz w:val="21"/>
        </w:rPr>
        <w:t>因履行合同产生的争议双方协商解决，协商不成提交汕头仲裁委员会仲裁，仲裁结果对双方具有法律约束力。</w:t>
      </w:r>
    </w:p>
    <w:p>
      <w:pPr>
        <w:pStyle w:val="null3"/>
        <w:spacing w:before="150"/>
        <w:ind w:firstLine="480"/>
        <w:jc w:val="both"/>
      </w:pPr>
      <w:r>
        <w:rPr>
          <w:sz w:val="21"/>
          <w:b/>
        </w:rPr>
        <w:t>十一、其他</w:t>
      </w:r>
    </w:p>
    <w:p>
      <w:pPr>
        <w:pStyle w:val="null3"/>
        <w:ind w:firstLine="371"/>
        <w:jc w:val="both"/>
      </w:pPr>
      <w:r>
        <w:rPr>
          <w:sz w:val="21"/>
        </w:rPr>
        <w:t>1. 本合同所有附件/采购文件/投标文件/中标（成交）通知书等均为合同的有效组成部分，与本合同具有同等法律效力。在执行本合同的过程中，所有经双方签署确认的文件（包括会议纪要、补充协议、往来信函）即成为本合同的有效组成部分。</w:t>
      </w:r>
    </w:p>
    <w:p>
      <w:pPr>
        <w:pStyle w:val="null3"/>
        <w:ind w:firstLine="371"/>
        <w:jc w:val="both"/>
      </w:pPr>
      <w:r>
        <w:rPr>
          <w:sz w:val="21"/>
        </w:rPr>
        <w:t>2．如一方地址、电话、传真号码有变更，应在变更当日内书面通知对方，否则因此造成的损失应承担相应责任。</w:t>
      </w:r>
    </w:p>
    <w:p>
      <w:pPr>
        <w:pStyle w:val="null3"/>
        <w:ind w:firstLine="371"/>
        <w:jc w:val="both"/>
      </w:pPr>
      <w:r>
        <w:rPr>
          <w:sz w:val="21"/>
        </w:rPr>
        <w:t>3．除甲方事先书面同意外，乙方不得部分或全部转让其应履行的合同项下的义务。</w:t>
      </w:r>
    </w:p>
    <w:p>
      <w:pPr>
        <w:pStyle w:val="null3"/>
        <w:ind w:firstLine="371"/>
        <w:jc w:val="both"/>
      </w:pPr>
      <w:r>
        <w:rPr>
          <w:sz w:val="21"/>
        </w:rPr>
        <w:t>4. 本合同一式三份，由甲方执二份、乙方执一份，具有同等法律效力。</w:t>
      </w:r>
    </w:p>
    <w:p>
      <w:pPr>
        <w:pStyle w:val="null3"/>
        <w:ind w:firstLine="371"/>
        <w:jc w:val="both"/>
      </w:pPr>
      <w:r>
        <w:rPr>
          <w:sz w:val="21"/>
        </w:rPr>
        <w:t>5. 本合同自甲、乙双方授权代表签字并加盖公章或合同专用章之日起生效（以最后一个签字日期为准）。</w:t>
      </w:r>
    </w:p>
    <w:p>
      <w:pPr>
        <w:pStyle w:val="null3"/>
        <w:ind w:firstLine="371"/>
        <w:jc w:val="both"/>
      </w:pPr>
      <w:r>
        <w:rPr>
          <w:sz w:val="21"/>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23"/>
        <w:gridCol w:w="4183"/>
      </w:tblGrid>
      <w:tr>
        <w:tc>
          <w:tcPr>
            <w:tcW w:type="dxa" w:w="4123"/>
            <w:tcBorders>
              <w:top w:val="single" w:color="F2F2F2" w:sz="4"/>
              <w:left w:val="single" w:color="F2F2F2" w:sz="4"/>
              <w:bottom w:val="single" w:color="F2F2F2" w:sz="4"/>
              <w:right w:val="single" w:color="F2F2F2" w:sz="4"/>
            </w:tcBorders>
            <w:tcMar>
              <w:top w:type="dxa" w:w="0"/>
              <w:left w:type="dxa" w:w="105"/>
              <w:bottom w:type="dxa" w:w="0"/>
              <w:right w:type="dxa" w:w="105"/>
            </w:tcMar>
            <w:vAlign w:val="top"/>
          </w:tcPr>
          <w:p>
            <w:pPr>
              <w:pStyle w:val="null3"/>
              <w:ind w:firstLine="380"/>
              <w:jc w:val="both"/>
            </w:pPr>
            <w:r>
              <w:rPr>
                <w:sz w:val="21"/>
                <w:b/>
              </w:rPr>
              <w:t>甲方（盖章）：</w:t>
            </w:r>
            <w:r>
              <w:rPr>
                <w:sz w:val="21"/>
              </w:rPr>
              <w:t>汕头大学</w:t>
            </w:r>
          </w:p>
        </w:tc>
        <w:tc>
          <w:tcPr>
            <w:tcW w:type="dxa" w:w="4183"/>
            <w:tcBorders>
              <w:top w:val="single" w:color="F2F2F2" w:sz="4"/>
              <w:left w:val="none" w:color="000000" w:sz="4"/>
              <w:bottom w:val="single" w:color="F2F2F2" w:sz="4"/>
              <w:right w:val="single" w:color="F2F2F2" w:sz="4"/>
            </w:tcBorders>
            <w:tcMar>
              <w:top w:type="dxa" w:w="0"/>
              <w:left w:type="dxa" w:w="105"/>
              <w:bottom w:type="dxa" w:w="0"/>
              <w:right w:type="dxa" w:w="105"/>
            </w:tcMar>
            <w:vAlign w:val="top"/>
          </w:tcPr>
          <w:p>
            <w:pPr>
              <w:pStyle w:val="null3"/>
              <w:ind w:firstLine="380"/>
            </w:pPr>
            <w:r>
              <w:rPr>
                <w:sz w:val="21"/>
                <w:b/>
              </w:rPr>
              <w:t>乙方（盖章）：</w:t>
            </w:r>
            <w:r>
              <w:rPr>
                <w:sz w:val="21"/>
                <w:b/>
              </w:rPr>
              <w:t xml:space="preserve">  </w:t>
            </w:r>
          </w:p>
        </w:tc>
      </w:tr>
      <w:tr>
        <w:tc>
          <w:tcPr>
            <w:tcW w:type="dxa" w:w="4123"/>
            <w:tcBorders>
              <w:top w:val="none" w:color="000000" w:sz="4"/>
              <w:left w:val="single" w:color="F2F2F2" w:sz="4"/>
              <w:bottom w:val="single" w:color="F2F2F2" w:sz="4"/>
              <w:right w:val="single" w:color="F2F2F2" w:sz="4"/>
            </w:tcBorders>
            <w:tcMar>
              <w:top w:type="dxa" w:w="0"/>
              <w:left w:type="dxa" w:w="105"/>
              <w:bottom w:type="dxa" w:w="0"/>
              <w:right w:type="dxa" w:w="105"/>
            </w:tcMar>
            <w:vAlign w:val="top"/>
          </w:tcPr>
          <w:p>
            <w:pPr>
              <w:pStyle w:val="null3"/>
              <w:ind w:firstLine="380"/>
              <w:jc w:val="both"/>
            </w:pPr>
            <w:r>
              <w:rPr>
                <w:sz w:val="21"/>
                <w:b/>
              </w:rPr>
              <w:t>授权代表（签字）：</w:t>
            </w:r>
          </w:p>
        </w:tc>
        <w:tc>
          <w:tcPr>
            <w:tcW w:type="dxa" w:w="4183"/>
            <w:tcBorders>
              <w:top w:val="none" w:color="000000" w:sz="4"/>
              <w:left w:val="none" w:color="000000" w:sz="4"/>
              <w:bottom w:val="single" w:color="F2F2F2" w:sz="4"/>
              <w:right w:val="single" w:color="F2F2F2" w:sz="4"/>
            </w:tcBorders>
            <w:tcMar>
              <w:top w:type="dxa" w:w="0"/>
              <w:left w:type="dxa" w:w="105"/>
              <w:bottom w:type="dxa" w:w="0"/>
              <w:right w:type="dxa" w:w="105"/>
            </w:tcMar>
            <w:vAlign w:val="top"/>
          </w:tcPr>
          <w:p>
            <w:pPr>
              <w:pStyle w:val="null3"/>
              <w:ind w:firstLine="380"/>
              <w:jc w:val="both"/>
            </w:pPr>
            <w:r>
              <w:rPr>
                <w:sz w:val="21"/>
                <w:b/>
              </w:rPr>
              <w:t>授权代表（签字）：</w:t>
            </w:r>
          </w:p>
        </w:tc>
      </w:tr>
      <w:tr>
        <w:tc>
          <w:tcPr>
            <w:tcW w:type="dxa" w:w="4123"/>
            <w:tcBorders>
              <w:top w:val="none" w:color="000000" w:sz="4"/>
              <w:left w:val="single" w:color="F2F2F2" w:sz="4"/>
              <w:bottom w:val="single" w:color="F2F2F2" w:sz="4"/>
              <w:right w:val="single" w:color="F2F2F2" w:sz="4"/>
            </w:tcBorders>
            <w:tcMar>
              <w:top w:type="dxa" w:w="0"/>
              <w:left w:type="dxa" w:w="105"/>
              <w:bottom w:type="dxa" w:w="0"/>
              <w:right w:type="dxa" w:w="105"/>
            </w:tcMar>
            <w:vAlign w:val="top"/>
          </w:tcPr>
          <w:p>
            <w:pPr>
              <w:pStyle w:val="null3"/>
              <w:ind w:firstLine="380"/>
              <w:jc w:val="both"/>
            </w:pPr>
            <w:r>
              <w:rPr>
                <w:sz w:val="21"/>
                <w:b/>
              </w:rPr>
              <w:t>日期：</w:t>
            </w:r>
          </w:p>
        </w:tc>
        <w:tc>
          <w:tcPr>
            <w:tcW w:type="dxa" w:w="4183"/>
            <w:tcBorders>
              <w:top w:val="none" w:color="000000" w:sz="4"/>
              <w:left w:val="none" w:color="000000" w:sz="4"/>
              <w:bottom w:val="single" w:color="F2F2F2" w:sz="4"/>
              <w:right w:val="single" w:color="F2F2F2" w:sz="4"/>
            </w:tcBorders>
            <w:tcMar>
              <w:top w:type="dxa" w:w="0"/>
              <w:left w:type="dxa" w:w="105"/>
              <w:bottom w:type="dxa" w:w="0"/>
              <w:right w:type="dxa" w:w="105"/>
            </w:tcMar>
            <w:vAlign w:val="top"/>
          </w:tcPr>
          <w:p>
            <w:pPr>
              <w:pStyle w:val="null3"/>
              <w:ind w:firstLine="380"/>
              <w:jc w:val="both"/>
            </w:pPr>
            <w:r>
              <w:rPr>
                <w:sz w:val="21"/>
                <w:b/>
              </w:rPr>
              <w:t>日期：</w:t>
            </w:r>
          </w:p>
        </w:tc>
      </w:tr>
    </w:tbl>
    <w:p>
      <w:pPr>
        <w:pStyle w:val="null3"/>
        <w:spacing w:after="120"/>
        <w:ind w:left="420" w:firstLine="480"/>
        <w:jc w:val="both"/>
      </w:pPr>
      <w:r>
        <w:rPr>
          <w:sz w:val="21"/>
        </w:rPr>
        <w:t>签约地点：汕头市金平区</w:t>
      </w:r>
    </w:p>
    <w:p>
      <w:pPr>
        <w:pStyle w:val="null3"/>
        <w:ind w:right="480" w:firstLine="480"/>
      </w:pPr>
      <w:r>
        <w:rPr>
          <w:sz w:val="21"/>
          <w:b/>
        </w:rPr>
        <w:t>项目配置清单</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864"/>
        <w:gridCol w:w="1883"/>
        <w:gridCol w:w="5559"/>
      </w:tblGrid>
      <w:tr>
        <w:tc>
          <w:tcPr>
            <w:tcW w:type="dxa" w:w="8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w:t>
            </w:r>
          </w:p>
        </w:tc>
        <w:tc>
          <w:tcPr>
            <w:tcW w:type="dxa" w:w="5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440001-2024-22379</w:t>
      </w:r>
    </w:p>
    <w:p>
      <w:pPr>
        <w:pStyle w:val="null3"/>
        <w:jc w:val="center"/>
        <w:outlineLvl w:val="3"/>
      </w:pPr>
      <w:r>
        <w:rPr>
          <w:sz w:val="24"/>
          <w:b/>
        </w:rPr>
        <w:t>采购项目编号：</w:t>
      </w:r>
      <w:r>
        <w:rPr>
          <w:sz w:val="24"/>
          <w:b/>
        </w:rPr>
        <w:t>440001-2024-22379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汕头大学新闻学院媒体大数据分析与影像处理等实验室设备采购项目</w:t>
      </w:r>
      <w:r>
        <w:rPr>
          <w:u w:val="single"/>
        </w:rPr>
        <w:t>”</w:t>
      </w:r>
      <w:r>
        <w:rPr/>
        <w:t>项目的招标[采购项目编号为：</w:t>
      </w:r>
      <w:r>
        <w:rPr>
          <w:u w:val="single"/>
        </w:rPr>
        <w:t>440001-2024-22379</w:t>
      </w:r>
      <w:r>
        <w:rPr/>
        <w:t>]，我方愿参与投标。</w:t>
      </w:r>
    </w:p>
    <w:p>
      <w:pPr>
        <w:pStyle w:val="null3"/>
        <w:ind w:firstLine="480"/>
      </w:pPr>
      <w:r>
        <w:rPr/>
        <w:t>我方确认收到贵方提供的</w:t>
      </w:r>
      <w:r>
        <w:rPr>
          <w:u w:val="single"/>
        </w:rPr>
        <w:t>“</w:t>
      </w:r>
      <w:r>
        <w:rPr>
          <w:u w:val="single"/>
        </w:rPr>
        <w:t>汕头大学新闻学院媒体大数据分析与影像处理等实验室设备采购项目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汕头大学新闻学院媒体大数据分析与影像处理等实验室设备采购项目</w:t>
      </w:r>
      <w:r>
        <w:rPr/>
        <w:t>”项目采购[采购项目编号为</w:t>
      </w:r>
      <w:r>
        <w:rPr/>
        <w:t>440001-2024-22379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汕头大学新闻学院媒体大数据分析与影像处理等实验室设备采购项目</w:t>
      </w:r>
      <w:r>
        <w:rPr/>
        <w:t>招标中获中标（采购项目编号：</w:t>
      </w:r>
      <w:r>
        <w:rPr/>
        <w:t>440001-2024-22379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汕头大学新闻学院媒体大数据分析与影像处理等实验室设备采购项目</w:t>
      </w:r>
      <w:r>
        <w:rPr/>
        <w:t>”项目（采购项目编号：</w:t>
      </w:r>
      <w:r>
        <w:rPr/>
        <w:t>440001-2024-22379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png" Type="http://schemas.openxmlformats.org/officeDocument/2006/relationships/image"/><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