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440001-2024-11458</w:t>
      </w:r>
    </w:p>
    <w:p>
      <w:pPr>
        <w:pStyle w:val="null3"/>
        <w:jc w:val="center"/>
        <w:outlineLvl w:val="3"/>
      </w:pPr>
      <w:r>
        <w:rPr>
          <w:sz w:val="24"/>
          <w:b/>
        </w:rPr>
        <w:t>采购项目编号：</w:t>
      </w:r>
      <w:r>
        <w:rPr>
          <w:sz w:val="24"/>
          <w:b/>
        </w:rPr>
        <w:t>440001-2024-11458</w:t>
      </w:r>
    </w:p>
    <w:p>
      <w:pPr>
        <w:pStyle w:val="null3"/>
        <w:jc w:val="center"/>
        <w:outlineLvl w:val="3"/>
      </w:pPr>
      <w:r>
        <w:rPr>
          <w:sz w:val="24"/>
          <w:b/>
        </w:rPr>
        <w:t>项目名称：</w:t>
      </w:r>
      <w:r>
        <w:rPr>
          <w:sz w:val="24"/>
          <w:b/>
        </w:rPr>
        <w:t>华南师范大学近红外脑功能成像装置采购项目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华南师范大学</w:t>
      </w:r>
      <w:r>
        <w:rPr/>
        <w:t>的委托，采用</w:t>
      </w:r>
      <w:r>
        <w:rPr/>
        <w:t>公开招标</w:t>
      </w:r>
      <w:r>
        <w:rPr/>
        <w:t>方式组织采购</w:t>
      </w:r>
      <w:r>
        <w:rPr/>
        <w:t>华南师范大学近红外脑功能成像装置采购项目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华南师范大学近红外脑功能成像装置采购项目</w:t>
      </w:r>
    </w:p>
    <w:p>
      <w:pPr>
        <w:pStyle w:val="null3"/>
        <w:ind w:firstLine="480"/>
      </w:pPr>
      <w:r>
        <w:rPr/>
        <w:t>采购计划编号：</w:t>
      </w:r>
      <w:r>
        <w:rPr/>
        <w:t>440001-2024-11458</w:t>
      </w:r>
    </w:p>
    <w:p>
      <w:pPr>
        <w:pStyle w:val="null3"/>
        <w:ind w:firstLine="480"/>
      </w:pPr>
      <w:r>
        <w:rPr/>
        <w:t>采购项目编号：</w:t>
      </w:r>
      <w:r>
        <w:rPr/>
        <w:t>440001-2024-11458</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采购包1(近红外脑功能成像装置):</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心理仪器</w:t>
            </w:r>
          </w:p>
        </w:tc>
        <w:tc>
          <w:tcPr>
            <w:tcW w:type="dxa" w:w="2136"/>
          </w:tcPr>
          <w:p>
            <w:pPr>
              <w:pStyle w:val="null3"/>
            </w:pPr>
            <w:r>
              <w:rPr/>
              <w:t>近红外脑功能成像装置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合同履行期限：自合同签订之日起60天内完成供货、安装、调试及交付使用。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3）具有良好的商业信誉和健全的财务会计制度：供应商必须具有良好的商业信誉和健全的财务会计制度（提供2022年度财务状况报告或基本开户行出具的资信证明） 。</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采购包1（近红外脑功能成像装置）：</w:t>
      </w:r>
      <w:r>
        <w:rPr/>
        <w:t>本项目整体专门面向中小企业，投标人须提供中小企业声明函（即所有产品的制造商（或生产商）须是“工业”中的中小微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采购包1（近红外脑功能成像装置）：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吴老师020-85211082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孔庆尧、吴挺娟</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211"/>
        <w:jc w:val="both"/>
      </w:pPr>
      <w:r>
        <w:rPr>
          <w:sz w:val="21"/>
          <w:b/>
        </w:rPr>
        <w:t>1</w:t>
      </w:r>
      <w:r>
        <w:rPr>
          <w:sz w:val="21"/>
          <w:b/>
        </w:rPr>
        <w:t>、投标人须对本项目为单位（有划分包组的，则以包组为单位）的标的物进行整体投标，任何只对其中一部分内容进行的投标都被视为无效投标。</w:t>
      </w:r>
    </w:p>
    <w:p>
      <w:pPr>
        <w:pStyle w:val="null3"/>
        <w:ind w:firstLine="211"/>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ind w:firstLine="211"/>
        <w:jc w:val="both"/>
      </w:pPr>
      <w:r>
        <w:rPr>
          <w:sz w:val="21"/>
          <w:b/>
        </w:rPr>
        <w:t xml:space="preserve">3. </w:t>
      </w:r>
      <w:r>
        <w:rPr>
          <w:sz w:val="21"/>
          <w:b/>
        </w:rPr>
        <w:t>本项目对应的中小企业划分标准所属行业为：工业。</w:t>
      </w:r>
    </w:p>
    <w:p>
      <w:pPr>
        <w:pStyle w:val="null3"/>
      </w:pPr>
      <w:r>
        <w:rPr/>
        <w:t>采购包1（近红外脑功能成像装置）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自合同签订之日起60天内完成供货、安装、调试及交付使用。</w:t>
            </w:r>
          </w:p>
        </w:tc>
      </w:tr>
      <w:tr>
        <w:tc>
          <w:tcPr>
            <w:tcW w:type="dxa" w:w="4153"/>
          </w:tcPr>
          <w:p>
            <w:pPr>
              <w:pStyle w:val="null3"/>
            </w:pPr>
            <w:r>
              <w:rPr/>
              <w:t>标的提供的地点</w:t>
            </w:r>
          </w:p>
        </w:tc>
        <w:tc>
          <w:tcPr>
            <w:tcW w:type="dxa" w:w="4153"/>
          </w:tcPr>
          <w:p>
            <w:pPr>
              <w:pStyle w:val="null3"/>
            </w:pPr>
            <w:r>
              <w:rPr/>
              <w:t>华南师范大学心理学院</w:t>
            </w:r>
          </w:p>
        </w:tc>
      </w:tr>
      <w:tr>
        <w:tc>
          <w:tcPr>
            <w:tcW w:type="dxa" w:w="4153"/>
          </w:tcPr>
          <w:p>
            <w:pPr>
              <w:pStyle w:val="null3"/>
            </w:pPr>
            <w:r>
              <w:rPr/>
              <w:t>付款方式</w:t>
            </w:r>
          </w:p>
        </w:tc>
        <w:tc>
          <w:tcPr>
            <w:tcW w:type="dxa" w:w="4153"/>
          </w:tcPr>
          <w:p>
            <w:pPr>
              <w:pStyle w:val="null3"/>
            </w:pPr>
            <w:r>
              <w:rPr/>
              <w:t>1期：支付比例30%,采购人向中标人支付合同总额的30%作为预付款，双方签署合同后，采购人在收到中标单位提交的等额增值税专用发票后10个工作日内向中标单位支付相应款项。</w:t>
            </w:r>
          </w:p>
          <w:p>
            <w:pPr>
              <w:pStyle w:val="null3"/>
            </w:pPr>
            <w:r>
              <w:rPr/>
              <w:t>2期：支付比例70%,项目完工验收合格后30天内，采购人在收到中标单位提交的等额增值税专用发票后10个工作日内向中标人支付合同总额的70%。中标人负责后期培训及相关售后服务 。</w:t>
            </w:r>
          </w:p>
        </w:tc>
      </w:tr>
      <w:tr>
        <w:tc>
          <w:tcPr>
            <w:tcW w:type="dxa" w:w="4153"/>
          </w:tcPr>
          <w:p>
            <w:pPr>
              <w:pStyle w:val="null3"/>
            </w:pPr>
            <w:r>
              <w:rPr/>
              <w:t>验收要求</w:t>
            </w:r>
          </w:p>
        </w:tc>
        <w:tc>
          <w:tcPr>
            <w:tcW w:type="dxa" w:w="4153"/>
          </w:tcPr>
          <w:p>
            <w:pPr>
              <w:pStyle w:val="null3"/>
            </w:pPr>
            <w:r>
              <w:rPr/>
              <w:t>1期：1.履约验收程序：货物安装调试完毕且正常运行，经过3个月的试运行后，中标人应向采购人提出书面验收申请，准备并向采购人提交验收文件，合同项下的全部货物按采购人验收流程验收通过，经甲乙双方签署验收合格证明后，视为验收合格。 2.履约验收内容：按合同约定的货物及价格、详细配置清单及技术指标、符合采购文件和响应承诺中采购人认可的合理最佳配置、参数及各项要求、国家相关标准和行业规范进行验收（该等标准不一致的，以较高为准），并提供初验报告、点对点测试、试运行报告、培训文档和用户使用报告。 3.验收标准：以采购用户与中标、成交供应商签订的采购合同约定标准为准。包括3名校外专家的验收报告，到货清单、出厂检测报告、出厂合格证、操作手册、点对点测试、交付清单等内容。</w:t>
            </w:r>
          </w:p>
        </w:tc>
      </w:tr>
      <w:tr>
        <w:tc>
          <w:tcPr>
            <w:tcW w:type="dxa" w:w="4153"/>
          </w:tcPr>
          <w:p>
            <w:pPr>
              <w:pStyle w:val="null3"/>
            </w:pPr>
            <w:r>
              <w:rPr/>
              <w:t>履约保证金</w:t>
            </w:r>
          </w:p>
        </w:tc>
        <w:tc>
          <w:tcPr>
            <w:tcW w:type="dxa" w:w="4153"/>
          </w:tcPr>
          <w:p>
            <w:pPr>
              <w:pStyle w:val="null3"/>
            </w:pPr>
            <w:r>
              <w:rPr/>
              <w:t>收取比例：5%,说明：中标人在申请货物验收之前，应向采购人提交本合同总价5%作为履约保证金。项目验收合格2个月内，合同标的无质量问题且中标人妥善履行了质保期义务，中标人凭收据向采购人申请退还，采购人在收到中标人申请单据之日起15个工作日内无息退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包装和运输：，提供的货物要采用国家或行业规定的标准进行包装，中标人负责运输至指定地点。中标人提供的货物必须是制造厂商全新的原厂原装产品（含零部件、配件、随机工具、技术文件等），包装外观完好、表面无划损、破损，无任何缺陷及隐患，每台设备上均应钉有铭牌(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概由中标人负责赔偿。</w:t>
            </w:r>
          </w:p>
          <w:p>
            <w:pPr>
              <w:pStyle w:val="null3"/>
            </w:pPr>
            <w:r>
              <w:rPr/>
              <w:t>2.售后服务：，2.1安装调试服务：中标人需提供产品的安装调试服务（费用包含在投标报价内）。 2.2人员培训服务：中标人需由专人提供产品的使用和操作应尽培训（费用包含在投标报价内），以便采购人使用人员能够正常操作。 （1）培训地点：仪器旁或用户指定培训地点； （2）参培人员：设备用户指定的人员，包括设备的管理者、使用者以及客户认为应该参加培训的人员； （3）培训时间：不少于2天且以所有操作者可以熟练操作设备，并对于设备的日常使用和维护方法熟练掌握为止； （4）接到用户咨询电话后，随时回复用户相关问题。 2.3试运行服务：中标人需提供产品的试运行服务（货物安装调试完毕且正常运行，试运行3个月以后进行验收） 2.4质保方案： （1）质保期:所有货物保修期为_3_年，中标人提供_3_年上门保修服务和系统维护，中标人不再收取任何费用（费用包含于投标报价中），保修期自双方代表在货物安装调试后的验收证明文件上签字之日起计算。 （2）质保期满后的后续维保要求：要求质保期满后，设备维修免除人工费，设备配件更换费用按80%市场报价收取。 （3）设备出现问题时，接用户电话通知后，2小时响应，12小时内电话做出维修方案，如24小时内无法通过电话解决问题，中标人派维修人在接到报修报告后48小时内到达用户现场予以维修，直到解除故障为止。</w:t>
            </w:r>
          </w:p>
          <w:p>
            <w:pPr>
              <w:pStyle w:val="null3"/>
            </w:pPr>
            <w:r>
              <w:rPr/>
              <w:t>3.保险：，包含在报价中。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心理仪器</w:t>
            </w:r>
          </w:p>
        </w:tc>
        <w:tc>
          <w:tcPr>
            <w:tcW w:type="dxa" w:w="831"/>
          </w:tcPr>
          <w:p>
            <w:pPr>
              <w:pStyle w:val="null3"/>
              <w:jc w:val="left"/>
            </w:pPr>
            <w:r>
              <w:rPr/>
              <w:t>近红外脑功能成像装置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近红外脑功能成像装置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w:t>
            </w:r>
            <w:r>
              <w:rPr>
                <w:sz w:val="21"/>
              </w:rPr>
              <w:t>主机：实时检测脑血红蛋白（氧化HbO、还原HbR、总HbT）浓度变化信息；</w:t>
            </w:r>
          </w:p>
          <w:p>
            <w:pPr>
              <w:pStyle w:val="null3"/>
              <w:ind w:firstLine="420"/>
              <w:jc w:val="both"/>
            </w:pPr>
            <w:r>
              <w:rPr>
                <w:sz w:val="21"/>
                <w:b/>
              </w:rPr>
              <w:t>★2.探头：单主机，非级联，≥24发射探头，≥30接收探头（探测器为雪崩二极管APD，探测微弱光信号灵敏，探测灵敏度≤0.3 pW，与人体通过光纤连接），单体设备（非多个设备级联）提供≥95有效探测通道（非断层），支持多脑区同步检测；</w:t>
            </w:r>
          </w:p>
          <w:p>
            <w:pPr>
              <w:pStyle w:val="null3"/>
              <w:ind w:firstLine="420"/>
              <w:jc w:val="both"/>
            </w:pPr>
            <w:r>
              <w:rPr>
                <w:sz w:val="21"/>
              </w:rPr>
              <w:t>3.</w:t>
            </w:r>
            <w:r>
              <w:rPr>
                <w:sz w:val="21"/>
              </w:rPr>
              <w:t>测量时间分辨率：≥11Hz，实时捕捉血氧响应信号；</w:t>
            </w:r>
          </w:p>
          <w:p>
            <w:pPr>
              <w:pStyle w:val="null3"/>
              <w:ind w:firstLine="420"/>
              <w:jc w:val="both"/>
            </w:pPr>
            <w:r>
              <w:rPr>
                <w:sz w:val="21"/>
                <w:b/>
              </w:rPr>
              <w:t>★4.光源波长：LED光源，非激光光源；三波长，提供不小于808nm等位吸收点波长；距离血红蛋白等位点波长，有足够偏移，光源波长低于750nm，保障检测准确度；</w:t>
            </w:r>
          </w:p>
          <w:p>
            <w:pPr>
              <w:pStyle w:val="null3"/>
              <w:ind w:firstLine="420"/>
              <w:jc w:val="both"/>
            </w:pPr>
            <w:r>
              <w:rPr>
                <w:sz w:val="21"/>
                <w:b/>
              </w:rPr>
              <w:t>▲5.短波长：700nm＜短波长＜750nm，距离血红蛋白等位点波长远，并且避免了700nm以下组织强光吸收，提供国内认可的第三方机构出具的检测报告作为证明材料，报告封面具有CMA或CNAS标识；</w:t>
            </w:r>
          </w:p>
          <w:p>
            <w:pPr>
              <w:pStyle w:val="null3"/>
              <w:ind w:firstLine="420"/>
              <w:jc w:val="both"/>
            </w:pPr>
            <w:r>
              <w:rPr>
                <w:sz w:val="21"/>
              </w:rPr>
              <w:t>6.</w:t>
            </w:r>
            <w:r>
              <w:rPr>
                <w:sz w:val="21"/>
              </w:rPr>
              <w:t>分时采集：光源采用分时采集，不同时点亮，彻底消除不同探测通道之间的相互串扰和混淆，检测更准确；</w:t>
            </w:r>
          </w:p>
          <w:p>
            <w:pPr>
              <w:pStyle w:val="null3"/>
              <w:ind w:firstLine="420"/>
              <w:jc w:val="both"/>
            </w:pPr>
            <w:r>
              <w:rPr>
                <w:sz w:val="21"/>
                <w:b/>
              </w:rPr>
              <w:t>▲7.发射探头光功率：单波长≥60mW，有效地克服生物组织的光吸收衰减，提供CMA或CNAS认证的第三方检验报告作为证明材料；</w:t>
            </w:r>
          </w:p>
          <w:p>
            <w:pPr>
              <w:pStyle w:val="null3"/>
              <w:ind w:firstLine="420"/>
              <w:jc w:val="both"/>
            </w:pPr>
            <w:r>
              <w:rPr>
                <w:sz w:val="21"/>
              </w:rPr>
              <w:t>8.</w:t>
            </w:r>
            <w:r>
              <w:rPr>
                <w:sz w:val="21"/>
              </w:rPr>
              <w:t>检测探头动态范围：≥100dB，支持从儿童、成人、老年人等不同人群，从额叶到有头发的顶叶不同脑区的高质量探测需要；</w:t>
            </w:r>
          </w:p>
          <w:p>
            <w:pPr>
              <w:pStyle w:val="null3"/>
              <w:ind w:firstLine="420"/>
              <w:jc w:val="both"/>
            </w:pPr>
            <w:r>
              <w:rPr>
                <w:sz w:val="21"/>
              </w:rPr>
              <w:t>9.</w:t>
            </w:r>
            <w:r>
              <w:rPr>
                <w:sz w:val="21"/>
              </w:rPr>
              <w:t>自适应增益调整：提供≥120dB的动态范围，一键自适应光源功率-探测增益调整，解决额叶、顶叶、枕叶等不同脑区信号强度差异大的挑战，在不同脑区均有优异的信号质量表现；</w:t>
            </w:r>
          </w:p>
          <w:p>
            <w:pPr>
              <w:pStyle w:val="null3"/>
              <w:ind w:firstLine="420"/>
              <w:jc w:val="both"/>
            </w:pPr>
            <w:r>
              <w:rPr>
                <w:sz w:val="21"/>
              </w:rPr>
              <w:t>10.</w:t>
            </w:r>
            <w:r>
              <w:rPr>
                <w:sz w:val="21"/>
              </w:rPr>
              <w:t>光强信号稳定性：单波长光强信号30s内波动量小于光强信号均值的0.5%；</w:t>
            </w:r>
          </w:p>
          <w:p>
            <w:pPr>
              <w:pStyle w:val="null3"/>
              <w:ind w:firstLine="420"/>
              <w:jc w:val="both"/>
            </w:pPr>
            <w:r>
              <w:rPr>
                <w:sz w:val="21"/>
              </w:rPr>
              <w:t>11.</w:t>
            </w:r>
            <w:r>
              <w:rPr>
                <w:sz w:val="21"/>
              </w:rPr>
              <w:t>头帽:支持全头检测，适用于不同头围人群，布头帽一顶（全头帽），硅胶头帽一顶·3*11 (前额大运动区枕叶)可自由配置探头于感兴趣的大脑区域；</w:t>
            </w:r>
          </w:p>
          <w:p>
            <w:pPr>
              <w:pStyle w:val="null3"/>
              <w:ind w:firstLine="420"/>
              <w:jc w:val="both"/>
            </w:pPr>
            <w:r>
              <w:rPr>
                <w:sz w:val="21"/>
              </w:rPr>
              <w:t>12.</w:t>
            </w:r>
            <w:r>
              <w:rPr>
                <w:sz w:val="21"/>
              </w:rPr>
              <w:t>探头防水性达到IPX7或以上；提供国内认可的第三方机构出具的检测报告作为证明材料，报告封面具有CMA或CNAS标识；</w:t>
            </w:r>
          </w:p>
          <w:p>
            <w:pPr>
              <w:pStyle w:val="null3"/>
              <w:ind w:firstLine="420"/>
              <w:jc w:val="both"/>
            </w:pPr>
            <w:r>
              <w:rPr>
                <w:sz w:val="21"/>
                <w:b/>
              </w:rPr>
              <w:t>▲13.生物安全相容性：探头和头帽与人体头部直接接触，无延迟中毒过敏反应，提供国内认可的正规第三方机构出具的生物安全相容性报告，报告封面具有CMA或CNAS标识；</w:t>
            </w:r>
          </w:p>
          <w:p>
            <w:pPr>
              <w:pStyle w:val="null3"/>
              <w:ind w:firstLine="420"/>
              <w:jc w:val="both"/>
            </w:pPr>
            <w:r>
              <w:rPr>
                <w:sz w:val="21"/>
              </w:rPr>
              <w:t>14.</w:t>
            </w:r>
            <w:r>
              <w:rPr>
                <w:sz w:val="21"/>
              </w:rPr>
              <w:t>支持与脑电EEG联用，实现多模态脑功能信号检测，实现多模态脑功能信号检测，提供设备支撑发表的近红外脑功能/EEG联用的学术论文（SCI论文或中文核心期刊）作为证明材料；</w:t>
            </w:r>
          </w:p>
          <w:p>
            <w:pPr>
              <w:pStyle w:val="null3"/>
              <w:ind w:firstLine="420"/>
              <w:jc w:val="both"/>
            </w:pPr>
            <w:r>
              <w:rPr>
                <w:sz w:val="21"/>
              </w:rPr>
              <w:t>15.</w:t>
            </w:r>
            <w:r>
              <w:rPr>
                <w:sz w:val="21"/>
              </w:rPr>
              <w:t>支持与tDCS、TMS同位联用；</w:t>
            </w:r>
          </w:p>
          <w:p>
            <w:pPr>
              <w:pStyle w:val="null3"/>
              <w:ind w:firstLine="420"/>
              <w:jc w:val="both"/>
            </w:pPr>
            <w:r>
              <w:rPr>
                <w:sz w:val="21"/>
                <w:b/>
              </w:rPr>
              <w:t>▲16.配套与整机同品牌采集软件：获得计算机软件著作权登记证书；支持层叠曲线、散布曲线、拓扑二维图像和拓扑三维MRI图像融合显示等多种信号显示方式，显示方式直观灵活； 提供软件著作权证书材料证明；</w:t>
            </w:r>
          </w:p>
          <w:p>
            <w:pPr>
              <w:pStyle w:val="null3"/>
              <w:ind w:firstLine="420"/>
              <w:jc w:val="both"/>
            </w:pPr>
            <w:r>
              <w:rPr>
                <w:sz w:val="21"/>
              </w:rPr>
              <w:t>17.</w:t>
            </w:r>
            <w:r>
              <w:rPr>
                <w:sz w:val="21"/>
              </w:rPr>
              <w:t>探头排布与信号显示同屏显示，实时信号观测和解读更全面；</w:t>
            </w:r>
          </w:p>
          <w:p>
            <w:pPr>
              <w:pStyle w:val="null3"/>
              <w:ind w:firstLine="420"/>
              <w:jc w:val="both"/>
            </w:pPr>
            <w:r>
              <w:rPr>
                <w:sz w:val="21"/>
              </w:rPr>
              <w:t>18.</w:t>
            </w:r>
            <w:r>
              <w:rPr>
                <w:sz w:val="21"/>
              </w:rPr>
              <w:t>信号质量实时监测，方便用户及时调整；</w:t>
            </w:r>
          </w:p>
          <w:p>
            <w:pPr>
              <w:pStyle w:val="null3"/>
              <w:ind w:firstLine="420"/>
              <w:jc w:val="both"/>
            </w:pPr>
            <w:r>
              <w:rPr>
                <w:sz w:val="21"/>
              </w:rPr>
              <w:t>19.</w:t>
            </w:r>
            <w:r>
              <w:rPr>
                <w:sz w:val="21"/>
              </w:rPr>
              <w:t>自动增益调整，一键快速达到最优系统工作状态；</w:t>
            </w:r>
          </w:p>
          <w:p>
            <w:pPr>
              <w:pStyle w:val="null3"/>
              <w:ind w:firstLine="420"/>
              <w:jc w:val="both"/>
            </w:pPr>
            <w:r>
              <w:rPr>
                <w:sz w:val="21"/>
              </w:rPr>
              <w:t>20.</w:t>
            </w:r>
            <w:r>
              <w:rPr>
                <w:sz w:val="21"/>
              </w:rPr>
              <w:t>支持视频、音频同步录制，同步记录实验过程，方便用户整合脑响应图谱、行为学、实验环境等多层次信息；</w:t>
            </w:r>
          </w:p>
          <w:p>
            <w:pPr>
              <w:pStyle w:val="null3"/>
              <w:ind w:firstLine="420"/>
              <w:jc w:val="both"/>
            </w:pPr>
            <w:r>
              <w:rPr>
                <w:sz w:val="21"/>
              </w:rPr>
              <w:t>21.</w:t>
            </w:r>
            <w:r>
              <w:rPr>
                <w:sz w:val="21"/>
              </w:rPr>
              <w:t>自定义任务课题设计，支持自定义刺激素材，包括视频、音频、图片、文字，定义时间长度和播放时序，支持自定义时间长度和播放时序；相对外置第三方软件，同步性更高、操作更无缝/方便；</w:t>
            </w:r>
          </w:p>
          <w:p>
            <w:pPr>
              <w:pStyle w:val="null3"/>
              <w:ind w:firstLine="420"/>
              <w:jc w:val="both"/>
            </w:pPr>
            <w:r>
              <w:rPr>
                <w:sz w:val="21"/>
              </w:rPr>
              <w:t>22.</w:t>
            </w:r>
            <w:r>
              <w:rPr>
                <w:sz w:val="21"/>
              </w:rPr>
              <w:t>内置自定义数据分析模块，支持自定义时间窗、特征值、感兴趣区域（Region of Interest, ROI），以及ROI计算因子，并能够执行相应计算；</w:t>
            </w:r>
          </w:p>
          <w:p>
            <w:pPr>
              <w:pStyle w:val="null3"/>
              <w:ind w:firstLine="420"/>
              <w:jc w:val="both"/>
            </w:pPr>
            <w:r>
              <w:rPr>
                <w:sz w:val="21"/>
                <w:b/>
              </w:rPr>
              <w:t>▲23.配套与整机同品牌科学研究分析软件：获得软件著作权证书，非第三方开源软件，具备一站式数据分析功能，提供数据预处理、伪迹识别与校正、一般线性模型GLM脑激活计算、脑网络连接计算、统计分析、批处理、三维显示、超扫描分析等功能，已支撑发表一篇或以上的学术论文（SCI论文或中文核心期刊）证明其学术认可度,提供软件著作权证书及论文首页、标注页作为证明材料；</w:t>
            </w:r>
          </w:p>
          <w:p>
            <w:pPr>
              <w:pStyle w:val="null3"/>
              <w:ind w:firstLine="420"/>
              <w:jc w:val="both"/>
            </w:pPr>
            <w:r>
              <w:rPr>
                <w:sz w:val="21"/>
              </w:rPr>
              <w:t>24.</w:t>
            </w:r>
            <w:r>
              <w:rPr>
                <w:sz w:val="21"/>
              </w:rPr>
              <w:t>配套与整机同品牌科学研究分析软件，数据预处理：支持手动去除信号时间窗，根据实验设计和采集流程自定义关注的信号时间段；支持频带滤波（低通、高通、带通）功能，去除无关的生理频段及低频漂移；识别低信噪比通道，支持手动或自动删除通道；根据修正比尔朗博定律内置差分路径长度因子(DPF)值，计算血氧浓度变化量；需提供国内认可的正规第三方机构出具的检验报告作为证明材料，报告封面具有CMA或CNAS标识；</w:t>
            </w:r>
          </w:p>
          <w:p>
            <w:pPr>
              <w:pStyle w:val="null3"/>
              <w:ind w:firstLine="420"/>
              <w:jc w:val="both"/>
            </w:pPr>
            <w:r>
              <w:rPr>
                <w:sz w:val="21"/>
              </w:rPr>
              <w:t>25.</w:t>
            </w:r>
            <w:r>
              <w:rPr>
                <w:sz w:val="21"/>
              </w:rPr>
              <w:t>配套与整机同品牌科学研究分析软件，伪迹移除/校正：可自动/手动识别运动伪迹，自动根据标准差和幅值的阈值去除/校正头动伪迹，手动去除/校正头动伪迹；</w:t>
            </w:r>
          </w:p>
          <w:p>
            <w:pPr>
              <w:pStyle w:val="null3"/>
              <w:ind w:firstLine="420"/>
              <w:jc w:val="both"/>
            </w:pPr>
            <w:r>
              <w:rPr>
                <w:sz w:val="21"/>
              </w:rPr>
              <w:t>26.</w:t>
            </w:r>
            <w:r>
              <w:rPr>
                <w:sz w:val="21"/>
              </w:rPr>
              <w:t>配套与整机同品牌科学研究分析软件，事件编辑：提供自定义标记编辑功能，让事件同步更灵活；自定义标记实时图像化，便于确定事件编辑效果；</w:t>
            </w:r>
          </w:p>
          <w:p>
            <w:pPr>
              <w:pStyle w:val="null3"/>
              <w:ind w:firstLine="420"/>
              <w:jc w:val="both"/>
            </w:pPr>
            <w:r>
              <w:rPr>
                <w:sz w:val="21"/>
              </w:rPr>
              <w:t>27.</w:t>
            </w:r>
            <w:r>
              <w:rPr>
                <w:sz w:val="21"/>
              </w:rPr>
              <w:t>配套与整机同品牌科学研究分析软件，3D定位数据分析：导入探头的3D空间定位数据，配准到标准头模，数据展示更直观；提供不少于4种脑模板配准包括但不限于Brodmann Area(Talairach daemon)、Brodmann Area(Chris rorden’MRIcro)、Automatic Anatomical Labeling、LPBA40，能支持医疗与科研使用要求；支持导出所有发射极、接收极和通道的MNI坐标，导出Brodmann、AAL、LPBA40脑分区概率等信息，提高研究的严谨性与可重复性；支持导入定位信息；</w:t>
            </w:r>
          </w:p>
          <w:p>
            <w:pPr>
              <w:pStyle w:val="null3"/>
              <w:ind w:firstLine="420"/>
              <w:jc w:val="both"/>
            </w:pPr>
            <w:r>
              <w:rPr>
                <w:sz w:val="21"/>
              </w:rPr>
              <w:t>28.</w:t>
            </w:r>
            <w:r>
              <w:rPr>
                <w:sz w:val="21"/>
              </w:rPr>
              <w:t>配套与整机同品牌科学研究分析软件，BlockAverage计算：提供BlockAverage计算功能，能够自定义计算条件，能够设置不少于5种特征值的计算，包括但不限于均值、差值、重心值、积分值、斜率；</w:t>
            </w:r>
          </w:p>
          <w:p>
            <w:pPr>
              <w:pStyle w:val="null3"/>
              <w:ind w:firstLine="420"/>
              <w:jc w:val="both"/>
            </w:pPr>
            <w:r>
              <w:rPr>
                <w:sz w:val="21"/>
              </w:rPr>
              <w:t>29.</w:t>
            </w:r>
            <w:r>
              <w:rPr>
                <w:sz w:val="21"/>
              </w:rPr>
              <w:t>多条件的GLM系数估计；支持单样本T-test、双样本T-test、配对T-test、方差分析F-test数据分析；支持个体、群组数据分析；提供p值的FDR矫正；</w:t>
            </w:r>
          </w:p>
          <w:p>
            <w:pPr>
              <w:pStyle w:val="null3"/>
              <w:ind w:firstLine="420"/>
              <w:jc w:val="both"/>
            </w:pPr>
            <w:r>
              <w:rPr>
                <w:sz w:val="21"/>
              </w:rPr>
              <w:t>30.</w:t>
            </w:r>
            <w:r>
              <w:rPr>
                <w:sz w:val="21"/>
              </w:rPr>
              <w:t>与整机同品牌科学研究分析软件，支持脑网络连接计算；</w:t>
            </w:r>
          </w:p>
          <w:p>
            <w:pPr>
              <w:pStyle w:val="null3"/>
              <w:ind w:firstLine="420"/>
              <w:jc w:val="both"/>
            </w:pPr>
            <w:r>
              <w:rPr>
                <w:sz w:val="21"/>
              </w:rPr>
              <w:t>31.</w:t>
            </w:r>
            <w:r>
              <w:rPr>
                <w:sz w:val="21"/>
              </w:rPr>
              <w:t>个体（Level 1）、群组(Level 2)数据统计：提供脑网络分析功能，支持个体和群组水平的2个及以上感兴趣区（ROI）的自定义设置及图谱排布编辑；支持自定义时间区间划定，脑网络连接系数计算可选Pearson或Cross规则，矩阵类型可定义为ZMap或RMap，并支持阈值化计算；支持输出功能连接矩阵、2个及以上ROI水平和全通道的不少于2种二维功能连接图谱和不少于5种视角的三维脑功能连接图谱与连接参数的计算和导出；支持脑网络连接系数群组统计分析，统计校验支持t检验或单因素方差分析；支持群组内相同SD数据的ROI自动匹配；</w:t>
            </w:r>
          </w:p>
          <w:p>
            <w:pPr>
              <w:pStyle w:val="null3"/>
              <w:ind w:firstLine="420"/>
              <w:jc w:val="both"/>
            </w:pPr>
            <w:r>
              <w:rPr>
                <w:sz w:val="21"/>
              </w:rPr>
              <w:t>32.</w:t>
            </w:r>
            <w:r>
              <w:rPr>
                <w:sz w:val="21"/>
              </w:rPr>
              <w:t>配套与整机同品牌科学研究分析软件，数据显示：支持时序显示原始光强信号、光密度曲线、血氧浓度曲线；支持Block average、统计分析图像、脑网络连接等结果的多种显示方式，包括二维显示、二维头模叠加显示、三维MRI图像融合叠加显示（玻璃视图效果等）等；需提供国内认可的正规第三方机构出具的检验报告作为证明材料，报告封面具有CMA或CNAS标识；</w:t>
            </w:r>
          </w:p>
          <w:p>
            <w:pPr>
              <w:pStyle w:val="null3"/>
              <w:ind w:firstLine="420"/>
              <w:jc w:val="both"/>
            </w:pPr>
            <w:r>
              <w:rPr>
                <w:sz w:val="21"/>
              </w:rPr>
              <w:t>33.</w:t>
            </w:r>
            <w:r>
              <w:rPr>
                <w:sz w:val="21"/>
              </w:rPr>
              <w:t>配套与整机同品牌科学研究分析软件，图像保存：支持波形、二维、三维图像的各种查看方式与保存；</w:t>
            </w:r>
          </w:p>
          <w:p>
            <w:pPr>
              <w:pStyle w:val="null3"/>
              <w:ind w:firstLine="420"/>
              <w:jc w:val="both"/>
            </w:pPr>
            <w:r>
              <w:rPr>
                <w:sz w:val="21"/>
              </w:rPr>
              <w:t>34.</w:t>
            </w:r>
            <w:r>
              <w:rPr>
                <w:sz w:val="21"/>
              </w:rPr>
              <w:t>配套与整机同品牌科学研究分析软件，数据导出：支持数据和处理结果导出至Excel、CSV等多种数据格式；</w:t>
            </w:r>
          </w:p>
          <w:p>
            <w:pPr>
              <w:pStyle w:val="null3"/>
              <w:ind w:firstLine="420"/>
              <w:jc w:val="both"/>
            </w:pPr>
            <w:r>
              <w:rPr>
                <w:sz w:val="21"/>
              </w:rPr>
              <w:t>35.</w:t>
            </w:r>
            <w:r>
              <w:rPr>
                <w:sz w:val="21"/>
              </w:rPr>
              <w:t>配套与整机同品牌科学研究分析软件，数据3D可视化：支持血氧浓度变化量Hemo、区块平均结果BlockAverage和均值、差值、积分值、重心值、初始激活5种特征值的数据，提供5种视角的3D可视化，实现一键出图；</w:t>
            </w:r>
          </w:p>
          <w:p>
            <w:pPr>
              <w:pStyle w:val="null3"/>
              <w:ind w:firstLine="420"/>
              <w:jc w:val="both"/>
            </w:pPr>
            <w:r>
              <w:rPr>
                <w:sz w:val="21"/>
              </w:rPr>
              <w:t>36.</w:t>
            </w:r>
            <w:r>
              <w:rPr>
                <w:sz w:val="21"/>
              </w:rPr>
              <w:t>配套与整机同品牌科学研究分析软件，一键批处理：支持BlockAverage、功能连接、GLM的数据文件一键批量处理，简化操作，提高分析效率；需提供国内认可的正规第三方机构出具的检验报告作为证明材料，报告封面具有CMA或CNAS标识；</w:t>
            </w:r>
          </w:p>
          <w:p>
            <w:pPr>
              <w:pStyle w:val="null3"/>
              <w:ind w:firstLine="420"/>
              <w:jc w:val="both"/>
            </w:pPr>
            <w:r>
              <w:rPr>
                <w:sz w:val="21"/>
              </w:rPr>
              <w:t>37.</w:t>
            </w:r>
            <w:r>
              <w:rPr>
                <w:sz w:val="21"/>
              </w:rPr>
              <w:t>配套与整机同品牌科学研究分析软件，超扫描数据分析：支持对超扫描采集的双数据进行小波转换相干（wavelet transform coherence）分析，能够得到小波相干转换的时域-频域的图谱结果并计算相干分析的数值；提供基于标记和基于时序的2种数据对齐方式，提供超扫描同步指标的时间窗设置；支持超扫描小波转换相干分析的数值和图片结果一键批量导出；超扫描神经同步性指标支持3D可视化，支持超扫描小波转换相干值的单样本T-test、双样本T-test、配对T-test、方差分析F-test对比分析；需提供国内认可的正规第三方机构出具的检验报告作为证明材料，报告封面具有CMA或CNAS标识；</w:t>
            </w:r>
          </w:p>
          <w:p>
            <w:pPr>
              <w:pStyle w:val="null3"/>
              <w:ind w:firstLine="420"/>
              <w:jc w:val="both"/>
            </w:pPr>
            <w:r>
              <w:rPr>
                <w:sz w:val="21"/>
              </w:rPr>
              <w:t>38.</w:t>
            </w:r>
            <w:r>
              <w:rPr>
                <w:sz w:val="21"/>
              </w:rPr>
              <w:t>配置清单（如有损坏需更换，接用户电话通知后，2小时响应，12小时内电话做出维修方案，双方确认需要更换后，进行更换。）</w:t>
            </w:r>
          </w:p>
          <w:p>
            <w:pPr>
              <w:pStyle w:val="null3"/>
              <w:ind w:firstLine="420"/>
              <w:jc w:val="both"/>
            </w:pPr>
            <w:r>
              <w:rPr>
                <w:sz w:val="21"/>
              </w:rPr>
              <w:t>近红外脑功能成像系统主机    ≥1台</w:t>
            </w:r>
          </w:p>
          <w:p>
            <w:pPr>
              <w:pStyle w:val="null3"/>
              <w:ind w:firstLine="420"/>
              <w:jc w:val="both"/>
            </w:pPr>
            <w:r>
              <w:rPr>
                <w:sz w:val="21"/>
              </w:rPr>
              <w:t>发射探头    ≥24个</w:t>
            </w:r>
          </w:p>
          <w:p>
            <w:pPr>
              <w:pStyle w:val="null3"/>
              <w:ind w:firstLine="420"/>
              <w:jc w:val="both"/>
            </w:pPr>
            <w:r>
              <w:rPr>
                <w:sz w:val="21"/>
              </w:rPr>
              <w:t>接收探头（雪崩二极管APD）   ≥30个</w:t>
            </w:r>
          </w:p>
          <w:p>
            <w:pPr>
              <w:pStyle w:val="null3"/>
              <w:ind w:firstLine="420"/>
              <w:jc w:val="both"/>
            </w:pPr>
            <w:r>
              <w:rPr>
                <w:sz w:val="21"/>
              </w:rPr>
              <w:t>标准头帽    1顶，布头帽（全头帽）</w:t>
            </w:r>
          </w:p>
          <w:p>
            <w:pPr>
              <w:pStyle w:val="null3"/>
              <w:ind w:firstLine="420"/>
              <w:jc w:val="both"/>
            </w:pPr>
            <w:r>
              <w:rPr>
                <w:sz w:val="21"/>
              </w:rPr>
              <w:t>硅胶头帽    1顶，3*11（覆盖前额大运动区枕叶）</w:t>
            </w:r>
          </w:p>
          <w:p>
            <w:pPr>
              <w:pStyle w:val="null3"/>
              <w:ind w:firstLine="420"/>
              <w:jc w:val="both"/>
            </w:pPr>
            <w:r>
              <w:rPr>
                <w:sz w:val="21"/>
              </w:rPr>
              <w:t>标准配件    1套</w:t>
            </w:r>
          </w:p>
          <w:p>
            <w:pPr>
              <w:pStyle w:val="null3"/>
              <w:ind w:firstLine="420"/>
              <w:jc w:val="both"/>
            </w:pPr>
            <w:r>
              <w:rPr/>
              <w:t xml:space="preserve"> </w:t>
            </w:r>
          </w:p>
          <w:p>
            <w:pPr>
              <w:pStyle w:val="null3"/>
              <w:ind w:firstLine="420"/>
              <w:jc w:val="both"/>
            </w:pPr>
            <w:r>
              <w:rPr>
                <w:sz w:val="21"/>
              </w:rPr>
              <w:t>38.1</w:t>
            </w:r>
            <w:r>
              <w:rPr>
                <w:sz w:val="21"/>
              </w:rPr>
              <w:t>软件（终身无条件升级）</w:t>
            </w:r>
          </w:p>
          <w:p>
            <w:pPr>
              <w:pStyle w:val="null3"/>
              <w:ind w:firstLine="420"/>
              <w:jc w:val="both"/>
            </w:pPr>
            <w:r>
              <w:rPr>
                <w:sz w:val="21"/>
              </w:rPr>
              <w:t>近红外脑功能成像装置采集软件    1套</w:t>
            </w:r>
          </w:p>
          <w:p>
            <w:pPr>
              <w:pStyle w:val="null3"/>
              <w:ind w:firstLine="420"/>
              <w:jc w:val="both"/>
            </w:pPr>
            <w:r>
              <w:rPr>
                <w:sz w:val="21"/>
              </w:rPr>
              <w:t>近红外脑功能成像数据科学研究分析软件    1套</w:t>
            </w:r>
          </w:p>
          <w:p>
            <w:pPr>
              <w:pStyle w:val="null3"/>
            </w:pPr>
            <w:r>
              <w:rPr>
                <w:sz w:val="21"/>
              </w:rPr>
              <w:t xml:space="preserve">       加密锁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采购包1：保证金人民币：28,000.00元整。</w:t>
            </w:r>
          </w:p>
          <w:p>
            <w:pPr>
              <w:pStyle w:val="null3"/>
            </w:pPr>
            <w:r>
              <w:rPr/>
              <w:t xml:space="preserve">开户单位： </w:t>
            </w:r>
            <w:r>
              <w:rPr/>
              <w:t>广东志正招标有限公司</w:t>
            </w:r>
          </w:p>
          <w:p>
            <w:pPr>
              <w:pStyle w:val="null3"/>
            </w:pPr>
            <w:r>
              <w:rPr/>
              <w:t xml:space="preserve">开户账号： </w:t>
            </w:r>
            <w:r>
              <w:rPr/>
              <w:t>800201177509011</w:t>
            </w:r>
          </w:p>
          <w:p>
            <w:pPr>
              <w:pStyle w:val="null3"/>
            </w:pPr>
            <w:r>
              <w:rPr/>
              <w:t xml:space="preserve">开户银行： </w:t>
            </w:r>
            <w:r>
              <w:rPr/>
              <w:t>广州银行龙口西支行</w:t>
            </w:r>
          </w:p>
          <w:p>
            <w:pPr>
              <w:pStyle w:val="null3"/>
            </w:pPr>
            <w:r>
              <w:rPr/>
              <w:t xml:space="preserve">支票提交方式： </w:t>
            </w:r>
            <w:r>
              <w:rPr/>
              <w:t>保证金相关事宜联系人：廖小姐 联系电话：020-87554268</w:t>
            </w:r>
          </w:p>
          <w:p>
            <w:pPr>
              <w:pStyle w:val="null3"/>
            </w:pPr>
            <w:r>
              <w:rPr/>
              <w:t xml:space="preserve">汇票、本票提交方式： </w:t>
            </w:r>
            <w:r>
              <w:rPr/>
              <w:t>保证金相关事宜联系人：廖小姐 联系电话：020-87554268</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采购机构代理服务收费标准：中标人须向采购代理机构按如下标准和规定缴纳招标代理服务费（不含税）： （1）以项目的预算金额作为招标代理服务费的计算基数； （2）招标代理服务费采用差额定率累进法进行计算，按照以下标准计算后下浮20%计取：100万元以下的部分，按照1.5%计取； 100-500万元的部分，按照0.8%计取。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便利化措施(本招标文件其他条款与本条不一致的，以本条为准)，投标文件的递交与开标 1. 各投标供应商可以通过“中国邮政”、“EMS”、“顺丰快递”等快递方式，按照采购文件要求在规 定的投标截止时间前将《投标文件》及相关样品(如有)送达到开标地点，快递单上应清晰写 明如下信息: 1)收件地址:广州市天河区龙怡路117号银汇大厦5楼 2)收件人:广东志正招 标有限公司前台 罗小姐 3)注明采购项目编号、包组号 如需现场安装或调试的样品，不接受邮 寄送达的方式。 需现场陈述的项目，请供应商派代表参与。 2. 通过快递方式递交《投标文件》 及相关样品(如有)的，递交时间为送达我司由我司前台人员签收的时间，请投标供应商预留 邮寄所需的时间。建议投标供应商在邮递之后，主动在投标截止时间前及时与我司联系，核实 投标文件是否在规定的时间内送达。 3. 通过快递方式递交《投标文件》及相关样品(如有)的 ，寄错地址、逾期送达、未按照采购文件要求密封或者邮寄过程导致包装密封出现破损的，我 司将拒绝接收，由投标供应商自行承担相应责任与后果，我司不承担责任。 4. 投标供应商未参 加现场开标的，视同认可开标结果。 采购合同送达，我司提倡中标(成交)人优先采用邮寄方 式将签订的合同及时送达我司。 1)收件地址:广州市天河区龙怡路117号银汇大厦5楼 2)收 件人:广东志正招标有限公司前台 杨小姐 3)注明采购项目编号、包组号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采购包1(近红外脑功能成像装置)：综合评分法,是指投标文件满足招标文件全部实质性要求，且按照评审因素的量化指标评审得分最高的投标人为中标候选人的评标方法。（最低报价不是中标的唯一依据。）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采购包1（近红外脑功能成像装置）：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采购包1（近红外脑功能成像装置）：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投标人须提供中小企业声明函（即所有产品的制造商（或生产商）须是“工业”中的中小微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采购包1（近红外脑功能成像装置）：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采购包1(近红外脑功能成像装置):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(31.0分)</w:t>
            </w:r>
          </w:p>
        </w:tc>
        <w:tc>
          <w:tcPr>
            <w:tcW w:type="dxa" w:w="5076"/>
          </w:tcPr>
          <w:p>
            <w:pPr>
              <w:pStyle w:val="null3"/>
              <w:jc w:val="left"/>
            </w:pPr>
            <w:r>
              <w:rPr/>
              <w:t>根据投标人对本项目采购需求的“具体技术(参数)要求”情况评审： 每一项带“▲”条款满足要求的得3分，最高得15分。 每一项一般条款（非★、▲）满足要求的得0.5分，最高得16分。 注：如用户需求书有要求提供具体证明材料的，需按用户需求书要求提供；如用户需求书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项目实施方案 (10.0分)</w:t>
            </w:r>
            <w:r>
              <w:rPr/>
              <w:t>，（等次分值选择：</w:t>
            </w:r>
            <w:r>
              <w:rPr/>
              <w:t>0.0;</w:t>
            </w:r>
            <w:r>
              <w:rPr/>
              <w:t>2.0;</w:t>
            </w:r>
            <w:r>
              <w:rPr/>
              <w:t>6.0;</w:t>
            </w:r>
            <w:r>
              <w:rPr/>
              <w:t>10.0;</w:t>
            </w:r>
            <w:r>
              <w:rPr/>
              <w:t>）</w:t>
            </w:r>
          </w:p>
        </w:tc>
        <w:tc>
          <w:tcPr>
            <w:tcW w:type="dxa" w:w="5076"/>
          </w:tcPr>
          <w:p>
            <w:pPr>
              <w:pStyle w:val="null3"/>
              <w:jc w:val="left"/>
            </w:pPr>
            <w:r>
              <w:rPr/>
              <w:t>根据投标人提供针对本项目实施方案（包括但不限于组织协调、安全措施、应急方案度等）进行评价： 1、内容详尽，内容完整，合理可行、针对性强的，得10分； 2、内容详尽，内容基本完整，基本合理可行、针对性较强的，得6分； 3、内容有欠缺，内容不完整，可行性一般、针对性欠缺的，得2分； 4、内容不符合实际要求的或未提供的得0分。</w:t>
            </w:r>
          </w:p>
        </w:tc>
      </w:tr>
      <w:tr>
        <w:tc>
          <w:tcPr>
            <w:tcW w:type="dxa" w:w="922"/>
            <w:gridSpan w:val="2"/>
            <w:vMerge/>
          </w:tcPr>
          <w:p/>
        </w:tc>
        <w:tc>
          <w:tcPr>
            <w:tcW w:type="dxa" w:w="2307"/>
          </w:tcPr>
          <w:p>
            <w:pPr>
              <w:pStyle w:val="null3"/>
              <w:jc w:val="left"/>
            </w:pPr>
            <w:r>
              <w:rPr/>
              <w:t>包装运输方案 (4.0分)</w:t>
            </w:r>
            <w:r>
              <w:rPr/>
              <w:t>，（等次分值选择：</w:t>
            </w:r>
            <w:r>
              <w:rPr/>
              <w:t>0.0;</w:t>
            </w:r>
            <w:r>
              <w:rPr/>
              <w:t>1.0;</w:t>
            </w:r>
            <w:r>
              <w:rPr/>
              <w:t>3.0;</w:t>
            </w:r>
            <w:r>
              <w:rPr/>
              <w:t>4.0;</w:t>
            </w:r>
            <w:r>
              <w:rPr/>
              <w:t>）</w:t>
            </w:r>
          </w:p>
        </w:tc>
        <w:tc>
          <w:tcPr>
            <w:tcW w:type="dxa" w:w="5076"/>
          </w:tcPr>
          <w:p>
            <w:pPr>
              <w:pStyle w:val="null3"/>
              <w:jc w:val="left"/>
            </w:pPr>
            <w:r>
              <w:rPr/>
              <w:t>根据投标人的包装运输方案进行评价： 1、内容全面、详尽，针对性强、措施合理有效、完全满足项目需求的，得4分； 2、内容全面较详尽，针对性较强、措施基本合理有效、基本满足项目需求的，得3分； 3、内容完善但详尽程度欠佳，针对性欠缺、措施基本合理有效、满足项目需求程度较弱的，得1分； 4、内容不符合实际要求的或未提供的得0分。</w:t>
            </w:r>
          </w:p>
        </w:tc>
      </w:tr>
      <w:tr>
        <w:tc>
          <w:tcPr>
            <w:tcW w:type="dxa" w:w="922"/>
            <w:gridSpan w:val="2"/>
            <w:vMerge/>
          </w:tcPr>
          <w:p/>
        </w:tc>
        <w:tc>
          <w:tcPr>
            <w:tcW w:type="dxa" w:w="2307"/>
          </w:tcPr>
          <w:p>
            <w:pPr>
              <w:pStyle w:val="null3"/>
              <w:jc w:val="left"/>
            </w:pPr>
            <w:r>
              <w:rPr/>
              <w:t>供货安装调试方案 (5.0分)</w:t>
            </w:r>
            <w:r>
              <w:rPr/>
              <w:t>，（等次分值选择：</w:t>
            </w:r>
            <w:r>
              <w:rPr/>
              <w:t>0.0;</w:t>
            </w:r>
            <w:r>
              <w:rPr/>
              <w:t>1.0;</w:t>
            </w:r>
            <w:r>
              <w:rPr/>
              <w:t>3.0;</w:t>
            </w:r>
            <w:r>
              <w:rPr/>
              <w:t>5.0;</w:t>
            </w:r>
            <w:r>
              <w:rPr/>
              <w:t>）</w:t>
            </w:r>
          </w:p>
        </w:tc>
        <w:tc>
          <w:tcPr>
            <w:tcW w:type="dxa" w:w="5076"/>
          </w:tcPr>
          <w:p>
            <w:pPr>
              <w:pStyle w:val="null3"/>
              <w:jc w:val="left"/>
            </w:pPr>
            <w:r>
              <w:rPr/>
              <w:t>根据投标人提供针对本项目的供货安装调试方案（包括但不限于产品的生产（或备货）、安装调试的时间节点安排等方面）进行评价： 1、方案规划全面、科学合理，切实可行，完全满足招标文件需求，得5分； 2、方案规划较为合理、较可行、满足招标文件需求,能按期供货安装，得3分； 3、方案规划一般、保障一般、基本满足招标文件需求，能按期供货安装，得1分。 4、内容不符合实际要求的或未提供的得0分。</w:t>
            </w:r>
          </w:p>
        </w:tc>
      </w:tr>
      <w:tr>
        <w:tc>
          <w:tcPr>
            <w:tcW w:type="dxa" w:w="922"/>
            <w:gridSpan w:val="2"/>
            <w:vMerge/>
          </w:tcPr>
          <w:p/>
        </w:tc>
        <w:tc>
          <w:tcPr>
            <w:tcW w:type="dxa" w:w="2307"/>
          </w:tcPr>
          <w:p>
            <w:pPr>
              <w:pStyle w:val="null3"/>
              <w:jc w:val="left"/>
            </w:pPr>
            <w:r>
              <w:rPr/>
              <w:t>质保服务方案 (5.0分)</w:t>
            </w:r>
            <w:r>
              <w:rPr/>
              <w:t>，（等次分值选择：</w:t>
            </w:r>
            <w:r>
              <w:rPr/>
              <w:t>0.0;</w:t>
            </w:r>
            <w:r>
              <w:rPr/>
              <w:t>1.0;</w:t>
            </w:r>
            <w:r>
              <w:rPr/>
              <w:t>3.0;</w:t>
            </w:r>
            <w:r>
              <w:rPr/>
              <w:t>5.0;</w:t>
            </w:r>
            <w:r>
              <w:rPr/>
              <w:t>）</w:t>
            </w:r>
          </w:p>
        </w:tc>
        <w:tc>
          <w:tcPr>
            <w:tcW w:type="dxa" w:w="5076"/>
          </w:tcPr>
          <w:p>
            <w:pPr>
              <w:pStyle w:val="null3"/>
              <w:jc w:val="left"/>
            </w:pPr>
            <w:r>
              <w:rPr/>
              <w:t>根据投标人提供的质保服务方案（包括但不限于质保期、服务响应时间安排、质保期满后的承诺、其它服务承诺等） 进行评审： 1.质保服务方案较为详细，科学合理，得5分； 2.质保服务方案基本完善，基本科学合理，得3分； 3.质保服务方案不够完善，得1分。 4.内容不符合实际要求的或未提供的得0分。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根据投标人提供针对本项目的培训方案进行评价：培训内容有层次（如培训导师的安排、培训次数等），培训方式适当，能够保障使用单位能熟练操作维护和正常使用。 1、培训方案内容具体、完整、详细、全面、可行的，得5分； 2、培训方案内容较为具体、完整、详细，全面性、可行性一般的，得3分； 3、培训方案内容一般、可行性差的，得1分。 4、内容不符合实际要求的或未提供的得0分。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投标人自2021年1月1日至今，完成同类业绩项目情况，每提供一项得1分，最高得5分。 注：提供合同关键页复印件，否则不得分；以合同签订时间为准，合同关键页须包含项目名称、设备清单、双方签字盖章页等。</w:t>
            </w:r>
          </w:p>
        </w:tc>
      </w:tr>
      <w:tr>
        <w:tc>
          <w:tcPr>
            <w:tcW w:type="dxa" w:w="922"/>
            <w:gridSpan w:val="2"/>
            <w:vMerge/>
          </w:tcPr>
          <w:p/>
        </w:tc>
        <w:tc>
          <w:tcPr>
            <w:tcW w:type="dxa" w:w="2307"/>
          </w:tcPr>
          <w:p>
            <w:pPr>
              <w:pStyle w:val="null3"/>
              <w:jc w:val="left"/>
            </w:pPr>
            <w:r>
              <w:rPr/>
              <w:t>项目评价 (5.0分)</w:t>
            </w:r>
          </w:p>
        </w:tc>
        <w:tc>
          <w:tcPr>
            <w:tcW w:type="dxa" w:w="5076"/>
          </w:tcPr>
          <w:p>
            <w:pPr>
              <w:pStyle w:val="null3"/>
              <w:jc w:val="left"/>
            </w:pPr>
            <w:r>
              <w:rPr/>
              <w:t>满足上述“同类项目业绩”的有效业绩，具有客户评价为“满意”或“优”或百分制得分为90分（及以上）或同等评价的，每提供一项得1分，最高得5分。 注：同一项目的评价不可累积得分。提供满意度评价证明材料，不提供不得分。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华南师范大学货物采购合同书</w:t>
      </w:r>
    </w:p>
    <w:p>
      <w:pPr>
        <w:pStyle w:val="null3"/>
        <w:spacing w:before="240" w:after="120"/>
        <w:jc w:val="center"/>
      </w:pPr>
      <w:r>
        <w:rPr>
          <w:sz w:val="28"/>
          <w:b/>
        </w:rPr>
        <w:t>甲方：</w:t>
      </w:r>
      <w:r>
        <w:rPr>
          <w:sz w:val="28"/>
          <w:b/>
          <w:u w:val="single"/>
        </w:rPr>
        <w:t xml:space="preserve">   华南师范大学</w:t>
      </w:r>
    </w:p>
    <w:p>
      <w:pPr>
        <w:pStyle w:val="null3"/>
        <w:ind w:firstLine="1968"/>
        <w:jc w:val="left"/>
      </w:pPr>
      <w:r>
        <w:rPr>
          <w:sz w:val="28"/>
          <w:b/>
        </w:rPr>
        <w:t>乙方：</w:t>
      </w:r>
      <w:r>
        <w:rPr>
          <w:sz w:val="28"/>
          <w:b/>
          <w:u w:val="single"/>
        </w:rPr>
        <w:t>（必填项）</w:t>
      </w:r>
    </w:p>
    <w:p>
      <w:pPr>
        <w:pStyle w:val="null3"/>
        <w:ind w:firstLine="1968"/>
        <w:jc w:val="left"/>
      </w:pPr>
      <w:r>
        <w:rPr>
          <w:sz w:val="28"/>
          <w:b/>
        </w:rPr>
        <w:t>签订地点：</w:t>
      </w:r>
      <w:r>
        <w:rPr>
          <w:sz w:val="28"/>
          <w:b/>
          <w:u w:val="single"/>
        </w:rPr>
        <w:t xml:space="preserve">   广州市 天河区  </w:t>
      </w:r>
    </w:p>
    <w:p>
      <w:pPr>
        <w:pStyle w:val="null3"/>
        <w:ind w:firstLine="1968"/>
        <w:jc w:val="left"/>
      </w:pPr>
      <w:r>
        <w:rPr>
          <w:sz w:val="28"/>
          <w:b/>
        </w:rPr>
        <w:t>合同名称：</w:t>
      </w:r>
      <w:r>
        <w:rPr>
          <w:sz w:val="28"/>
          <w:b/>
          <w:u w:val="single"/>
        </w:rPr>
        <w:t>华南师范大学+二级单位名称+采购+货物名称</w:t>
      </w:r>
    </w:p>
    <w:p>
      <w:pPr>
        <w:pStyle w:val="null3"/>
        <w:ind w:firstLine="1925"/>
        <w:jc w:val="left"/>
      </w:pPr>
      <w:r>
        <w:rPr>
          <w:sz w:val="28"/>
          <w:b/>
        </w:rPr>
        <w:t>合同编号：</w:t>
      </w:r>
      <w:r>
        <w:rPr>
          <w:sz w:val="28"/>
          <w:b/>
          <w:u w:val="single"/>
        </w:rPr>
        <w:t>（示例：HT2020XXXXX）</w:t>
      </w:r>
    </w:p>
    <w:p>
      <w:pPr>
        <w:pStyle w:val="null3"/>
        <w:ind w:firstLine="1968"/>
        <w:jc w:val="left"/>
      </w:pPr>
      <w:r>
        <w:rPr>
          <w:sz w:val="28"/>
          <w:b/>
        </w:rPr>
        <w:t>采购编号：</w:t>
      </w:r>
      <w:r>
        <w:rPr>
          <w:sz w:val="28"/>
          <w:b/>
          <w:u w:val="single"/>
        </w:rPr>
        <w:t>（原思必得系统产生）</w:t>
      </w:r>
    </w:p>
    <w:p>
      <w:pPr>
        <w:pStyle w:val="null3"/>
        <w:ind w:firstLine="2168"/>
        <w:jc w:val="left"/>
      </w:pPr>
      <w:r>
        <w:rPr>
          <w:sz w:val="28"/>
          <w:b/>
        </w:rPr>
        <w:t>华南师范大学采购与招投标中心拟制</w:t>
      </w:r>
    </w:p>
    <w:p>
      <w:pPr>
        <w:pStyle w:val="null3"/>
        <w:jc w:val="center"/>
      </w:pPr>
      <w:r>
        <w:rPr>
          <w:sz w:val="28"/>
          <w:b/>
        </w:rPr>
        <w:t>二〇二〇年三月版</w:t>
      </w:r>
    </w:p>
    <w:p>
      <w:pPr>
        <w:pStyle w:val="null3"/>
      </w:pPr>
      <w:r>
        <w:rPr>
          <w:sz w:val="28"/>
          <w:b/>
        </w:rPr>
        <w:t>合同使用指引</w:t>
      </w:r>
    </w:p>
    <w:p>
      <w:pPr>
        <w:pStyle w:val="null3"/>
        <w:ind w:firstLine="420"/>
        <w:jc w:val="left"/>
      </w:pPr>
      <w:r>
        <w:rPr>
          <w:sz w:val="21"/>
        </w:rPr>
        <w:t>一、本合同书为华南师范大学</w:t>
      </w:r>
      <w:r>
        <w:rPr>
          <w:sz w:val="21"/>
          <w:b/>
        </w:rPr>
        <w:t>国内</w:t>
      </w:r>
      <w:r>
        <w:rPr>
          <w:sz w:val="21"/>
        </w:rPr>
        <w:t>货物采购合同范本，</w:t>
      </w:r>
      <w:r>
        <w:rPr>
          <w:sz w:val="21"/>
          <w:b/>
        </w:rPr>
        <w:t>适用于公开招标、邀请招标、单一来源、竞争性谈判、竞争性磋商、询价等采购方式产生的合同</w:t>
      </w:r>
      <w:r>
        <w:rPr>
          <w:sz w:val="21"/>
        </w:rPr>
        <w:t>。</w:t>
      </w:r>
    </w:p>
    <w:p>
      <w:pPr>
        <w:pStyle w:val="null3"/>
        <w:ind w:firstLine="420"/>
        <w:jc w:val="left"/>
      </w:pPr>
      <w:r>
        <w:rPr>
          <w:sz w:val="21"/>
        </w:rPr>
        <w:t>二、</w:t>
      </w:r>
      <w:r>
        <w:rPr>
          <w:sz w:val="21"/>
          <w:b/>
        </w:rPr>
        <w:t>本合同书原则上不得随意修改、删减</w:t>
      </w:r>
      <w:r>
        <w:rPr>
          <w:sz w:val="21"/>
        </w:rPr>
        <w:t>，如有特殊约定可增加补充条款或附件，但所补充内容不得与已有条款内容相冲突。</w:t>
      </w:r>
    </w:p>
    <w:p>
      <w:pPr>
        <w:pStyle w:val="null3"/>
        <w:ind w:firstLine="420"/>
        <w:jc w:val="left"/>
      </w:pPr>
      <w:r>
        <w:rPr>
          <w:sz w:val="21"/>
        </w:rPr>
        <w:t>三、在使用本合同书时，</w:t>
      </w:r>
      <w:r>
        <w:rPr>
          <w:sz w:val="21"/>
          <w:b/>
        </w:rPr>
        <w:t>应当结合具体情况正确选择文本中所提供的选择项条款；画横线处及空格的内容则由双方根据实际情况填写</w:t>
      </w:r>
      <w:r>
        <w:rPr>
          <w:sz w:val="21"/>
        </w:rPr>
        <w:t>。对于无需填写的条款，应根据文本提示在该条款处注明“无”字样。</w:t>
      </w:r>
    </w:p>
    <w:p>
      <w:pPr>
        <w:pStyle w:val="null3"/>
        <w:ind w:firstLine="420"/>
        <w:jc w:val="left"/>
      </w:pPr>
      <w:r>
        <w:rPr>
          <w:sz w:val="21"/>
        </w:rPr>
        <w:t>四、甲乙双方信息应全部填写完整，合同结尾处的双方签名及签订日期</w:t>
      </w:r>
      <w:r>
        <w:rPr>
          <w:sz w:val="21"/>
          <w:b/>
        </w:rPr>
        <w:t>均应为亲笔签名</w:t>
      </w:r>
      <w:r>
        <w:rPr>
          <w:sz w:val="21"/>
        </w:rPr>
        <w:t>。</w:t>
      </w:r>
    </w:p>
    <w:p>
      <w:pPr>
        <w:pStyle w:val="null3"/>
        <w:ind w:firstLine="420"/>
        <w:jc w:val="left"/>
      </w:pPr>
      <w:r>
        <w:rPr>
          <w:sz w:val="21"/>
        </w:rPr>
        <w:t>五、</w:t>
      </w:r>
      <w:r>
        <w:rPr>
          <w:sz w:val="21"/>
          <w:b/>
        </w:rPr>
        <w:t>本合同书应按规定格式双面打印，大小为A4幅面，正文内容所用字体应不小于5号字</w:t>
      </w:r>
      <w:r>
        <w:rPr>
          <w:sz w:val="21"/>
        </w:rPr>
        <w:t>。合同附件应与合同书装订在一起，其规格大小应与合同书一致。</w:t>
      </w:r>
    </w:p>
    <w:p>
      <w:pPr>
        <w:pStyle w:val="null3"/>
        <w:ind w:firstLine="420"/>
        <w:jc w:val="left"/>
      </w:pPr>
      <w:r>
        <w:rPr>
          <w:sz w:val="21"/>
        </w:rPr>
        <w:t>六、本合同书经甲乙双方法定代表人或委托代理人签署、加盖单位公章后，送贰份至采购与招投标中心存档备案。</w:t>
      </w:r>
    </w:p>
    <w:p>
      <w:pPr>
        <w:pStyle w:val="null3"/>
        <w:ind w:firstLine="420"/>
        <w:jc w:val="left"/>
      </w:pPr>
      <w:r>
        <w:rPr>
          <w:sz w:val="21"/>
        </w:rPr>
        <w:t>七、甲乙双方应保管好合同书原件。</w:t>
      </w:r>
    </w:p>
    <w:p>
      <w:pPr>
        <w:pStyle w:val="null3"/>
        <w:ind w:firstLine="420"/>
        <w:jc w:val="left"/>
      </w:pPr>
      <w:r>
        <w:rPr>
          <w:sz w:val="21"/>
        </w:rPr>
        <w:t>八、如有疑问请与采购中心采购一部联系，联系电话：85211082。</w:t>
      </w:r>
    </w:p>
    <w:p>
      <w:pPr>
        <w:pStyle w:val="null3"/>
        <w:ind w:firstLine="420"/>
        <w:jc w:val="left"/>
      </w:pPr>
      <w:r>
        <w:rPr>
          <w:sz w:val="21"/>
        </w:rPr>
        <w:t>根据《中华人民共和国政府采购法》、《中华人民共和国招标投标法》、《中华人民共和国民法典》等法律法规，以及甲方委托__________（代理机构名称）组织的_____项目（项目名称）(采购编号_________)的成交结果，经甲乙双方协商一致，签订本合同，由双方共同恪守如下内容：</w:t>
      </w:r>
    </w:p>
    <w:p>
      <w:pPr>
        <w:pStyle w:val="null3"/>
        <w:ind w:firstLine="422"/>
        <w:jc w:val="left"/>
      </w:pPr>
      <w:r>
        <w:rPr>
          <w:sz w:val="21"/>
          <w:b/>
        </w:rPr>
        <w:t>一、合同标的</w:t>
      </w:r>
    </w:p>
    <w:p>
      <w:pPr>
        <w:pStyle w:val="null3"/>
        <w:ind w:firstLine="420"/>
        <w:jc w:val="left"/>
      </w:pPr>
      <w:r>
        <w:rPr>
          <w:sz w:val="21"/>
        </w:rPr>
        <w:t>1</w:t>
      </w:r>
      <w:r>
        <w:rPr>
          <w:sz w:val="21"/>
        </w:rPr>
        <w:t>．</w:t>
      </w:r>
      <w:r>
        <w:rPr>
          <w:sz w:val="21"/>
        </w:rPr>
        <w:t>标的物明细</w:t>
      </w:r>
    </w:p>
    <w:p>
      <w:pPr>
        <w:pStyle w:val="null3"/>
        <w:ind w:firstLine="420"/>
        <w:jc w:val="left"/>
      </w:pPr>
      <w:r>
        <w:rPr>
          <w:sz w:val="21"/>
        </w:rPr>
        <w:t>本合同标的为___________（货物名称），包括设计、货物供货、安装、调试、培训、验收、技术服务、质保期保障等的全部内容，详细内容见下表：</w:t>
      </w:r>
    </w:p>
    <w:p>
      <w:pPr>
        <w:pStyle w:val="null3"/>
        <w:ind w:firstLine="420"/>
        <w:jc w:val="both"/>
      </w:pPr>
      <w:r>
        <w:rPr>
          <w:sz w:val="21"/>
        </w:rPr>
        <w:t>请选择填写方式：</w:t>
      </w:r>
      <w:r>
        <w:rPr>
          <w:sz w:val="21"/>
          <w:u w:val="single"/>
        </w:rPr>
        <w:t>_______</w:t>
      </w:r>
      <w:r>
        <w:rPr>
          <w:sz w:val="21"/>
        </w:rPr>
        <w:t>(1.在下方表格中填写；2.在合同附件1里填写）</w:t>
      </w:r>
    </w:p>
    <w:tbl>
      <w:tblPr>
        <w:tblW w:w="0" w:type="auto"/>
        <w:tblBorders>
          <w:top w:val="single"/>
          <w:left w:val="single"/>
          <w:bottom w:val="single"/>
          <w:right w:val="single"/>
          <w:insideH w:val="single"/>
          <w:insideV w:val="single"/>
        </w:tblBorders>
      </w:tblPr>
      <w:tblGrid>
        <w:gridCol w:w="795"/>
        <w:gridCol w:w="1237"/>
        <w:gridCol w:w="619"/>
        <w:gridCol w:w="619"/>
        <w:gridCol w:w="2562"/>
        <w:gridCol w:w="619"/>
        <w:gridCol w:w="619"/>
        <w:gridCol w:w="619"/>
        <w:gridCol w:w="619"/>
      </w:tblGrid>
      <w:tr>
        <w:tc>
          <w:tcPr>
            <w:tcW w:type="dxa" w:w="795"/>
            <w:tcBorders>
              <w:top w:val="inset" w:color="000000" w:sz="4"/>
              <w:left w:val="inset" w:color="000000" w:sz="4"/>
              <w:bottom w:val="inset" w:color="000000" w:sz="4"/>
              <w:right w:val="inset" w:color="000000" w:sz="4"/>
            </w:tcBorders>
            <w:tcMar>
              <w:top w:type="dxa" w:w="1"/>
              <w:left w:type="dxa" w:w="1"/>
              <w:bottom w:type="dxa" w:w="1"/>
              <w:right w:type="dxa" w:w="1"/>
            </w:tcMar>
          </w:tcPr>
          <w:p>
            <w:pPr>
              <w:pStyle w:val="null3"/>
              <w:jc w:val="center"/>
            </w:pPr>
            <w:r>
              <w:rPr>
                <w:sz w:val="21"/>
              </w:rPr>
              <w:t>项数</w:t>
            </w:r>
          </w:p>
        </w:tc>
        <w:tc>
          <w:tcPr>
            <w:tcW w:type="dxa" w:w="1237"/>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jc w:val="center"/>
            </w:pPr>
            <w:r>
              <w:rPr>
                <w:sz w:val="21"/>
              </w:rPr>
              <w:t>货物名称</w:t>
            </w:r>
          </w:p>
        </w:tc>
        <w:tc>
          <w:tcPr>
            <w:tcW w:type="dxa" w:w="619"/>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jc w:val="center"/>
            </w:pPr>
            <w:r>
              <w:rPr>
                <w:sz w:val="21"/>
              </w:rPr>
              <w:t>品牌</w:t>
            </w:r>
          </w:p>
        </w:tc>
        <w:tc>
          <w:tcPr>
            <w:tcW w:type="dxa" w:w="619"/>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jc w:val="center"/>
            </w:pPr>
            <w:r>
              <w:rPr>
                <w:sz w:val="21"/>
              </w:rPr>
              <w:t>型号</w:t>
            </w:r>
          </w:p>
        </w:tc>
        <w:tc>
          <w:tcPr>
            <w:tcW w:type="dxa" w:w="2562"/>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ind w:firstLine="420"/>
              <w:jc w:val="center"/>
            </w:pPr>
            <w:r>
              <w:rPr>
                <w:sz w:val="21"/>
              </w:rPr>
              <w:t>详细配置清单</w:t>
            </w:r>
          </w:p>
        </w:tc>
        <w:tc>
          <w:tcPr>
            <w:tcW w:type="dxa" w:w="619"/>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jc w:val="center"/>
            </w:pPr>
            <w:r>
              <w:rPr>
                <w:sz w:val="21"/>
              </w:rPr>
              <w:t>单位</w:t>
            </w:r>
          </w:p>
        </w:tc>
        <w:tc>
          <w:tcPr>
            <w:tcW w:type="dxa" w:w="619"/>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jc w:val="center"/>
            </w:pPr>
            <w:r>
              <w:rPr>
                <w:sz w:val="21"/>
              </w:rPr>
              <w:t>数量</w:t>
            </w:r>
          </w:p>
        </w:tc>
        <w:tc>
          <w:tcPr>
            <w:tcW w:type="dxa" w:w="619"/>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jc w:val="center"/>
            </w:pPr>
            <w:r>
              <w:rPr>
                <w:sz w:val="21"/>
              </w:rPr>
              <w:t>单价</w:t>
            </w:r>
          </w:p>
        </w:tc>
        <w:tc>
          <w:tcPr>
            <w:tcW w:type="dxa" w:w="619"/>
            <w:tcBorders>
              <w:top w:val="inset" w:color="000000" w:sz="4"/>
              <w:left w:val="none" w:color="000000" w:sz="4"/>
              <w:bottom w:val="inset" w:color="000000" w:sz="4"/>
              <w:right w:val="inset" w:color="000000" w:sz="4"/>
            </w:tcBorders>
            <w:tcMar>
              <w:top w:type="dxa" w:w="1"/>
              <w:left w:type="dxa" w:w="1"/>
              <w:bottom w:type="dxa" w:w="1"/>
              <w:right w:type="dxa" w:w="1"/>
            </w:tcMar>
          </w:tcPr>
          <w:p>
            <w:pPr>
              <w:pStyle w:val="null3"/>
              <w:jc w:val="center"/>
            </w:pPr>
            <w:r>
              <w:rPr>
                <w:sz w:val="21"/>
              </w:rPr>
              <w:t>总价</w:t>
            </w:r>
          </w:p>
        </w:tc>
      </w:tr>
      <w:tr>
        <w:tc>
          <w:tcPr>
            <w:tcW w:type="dxa" w:w="795"/>
            <w:tcBorders>
              <w:top w:val="none" w:color="000000" w:sz="4"/>
              <w:left w:val="inset" w:color="000000" w:sz="4"/>
              <w:bottom w:val="inset" w:color="000000" w:sz="4"/>
              <w:right w:val="inset" w:color="000000" w:sz="4"/>
            </w:tcBorders>
            <w:tcMar>
              <w:top w:type="dxa" w:w="1"/>
              <w:left w:type="dxa" w:w="1"/>
              <w:bottom w:type="dxa" w:w="1"/>
              <w:right w:type="dxa" w:w="1"/>
            </w:tcMar>
          </w:tcPr>
          <w:p>
            <w:pPr>
              <w:pStyle w:val="null3"/>
              <w:ind w:firstLine="420"/>
              <w:jc w:val="center"/>
            </w:pPr>
            <w:r>
              <w:rPr>
                <w:sz w:val="21"/>
              </w:rPr>
              <w:t>1</w:t>
            </w:r>
          </w:p>
        </w:tc>
        <w:tc>
          <w:tcPr>
            <w:tcW w:type="dxa" w:w="1237"/>
            <w:tcBorders>
              <w:top w:val="none" w:color="000000" w:sz="4"/>
              <w:left w:val="none" w:color="000000" w:sz="4"/>
              <w:bottom w:val="inset" w:color="000000" w:sz="4"/>
              <w:right w:val="inset" w:color="000000" w:sz="4"/>
            </w:tcBorders>
            <w:tcMar>
              <w:top w:type="dxa" w:w="1"/>
              <w:left w:type="dxa" w:w="1"/>
              <w:bottom w:type="dxa" w:w="1"/>
              <w:right w:type="dxa" w:w="1"/>
            </w:tcMar>
          </w:tcPr>
          <w:p>
            <w:pPr>
              <w:pStyle w:val="null3"/>
              <w:ind w:firstLine="420"/>
              <w:jc w:val="center"/>
            </w:pPr>
          </w:p>
        </w:tc>
        <w:tc>
          <w:tcPr>
            <w:tcW w:type="dxa" w:w="619"/>
            <w:tcBorders>
              <w:top w:val="none" w:color="000000" w:sz="4"/>
              <w:left w:val="none" w:color="000000" w:sz="4"/>
              <w:bottom w:val="inset" w:color="000000" w:sz="4"/>
              <w:right w:val="inset" w:color="000000" w:sz="4"/>
            </w:tcBorders>
            <w:tcMar>
              <w:top w:type="dxa" w:w="1"/>
              <w:left w:type="dxa" w:w="1"/>
              <w:bottom w:type="dxa" w:w="1"/>
              <w:right w:type="dxa" w:w="1"/>
            </w:tcMar>
          </w:tcPr>
          <w:p/>
        </w:tc>
        <w:tc>
          <w:tcPr>
            <w:tcW w:type="dxa" w:w="619"/>
            <w:tcBorders>
              <w:top w:val="none" w:color="000000" w:sz="4"/>
              <w:left w:val="none" w:color="000000" w:sz="4"/>
              <w:bottom w:val="inset" w:color="000000" w:sz="4"/>
              <w:right w:val="inset" w:color="000000" w:sz="4"/>
            </w:tcBorders>
            <w:tcMar>
              <w:top w:type="dxa" w:w="1"/>
              <w:left w:type="dxa" w:w="1"/>
              <w:bottom w:type="dxa" w:w="1"/>
              <w:right w:type="dxa" w:w="1"/>
            </w:tcMar>
          </w:tcPr>
          <w:p/>
        </w:tc>
        <w:tc>
          <w:tcPr>
            <w:tcW w:type="dxa" w:w="2562"/>
            <w:tcBorders>
              <w:top w:val="none" w:color="000000" w:sz="4"/>
              <w:left w:val="none" w:color="000000" w:sz="4"/>
              <w:bottom w:val="inset" w:color="000000" w:sz="4"/>
              <w:right w:val="inset" w:color="000000" w:sz="4"/>
            </w:tcBorders>
            <w:tcMar>
              <w:top w:type="dxa" w:w="1"/>
              <w:left w:type="dxa" w:w="1"/>
              <w:bottom w:type="dxa" w:w="1"/>
              <w:right w:type="dxa" w:w="1"/>
            </w:tcMar>
          </w:tcPr>
          <w:p/>
        </w:tc>
        <w:tc>
          <w:tcPr>
            <w:tcW w:type="dxa" w:w="619"/>
            <w:tcBorders>
              <w:top w:val="none" w:color="000000" w:sz="4"/>
              <w:left w:val="none" w:color="000000" w:sz="4"/>
              <w:bottom w:val="inset" w:color="000000" w:sz="4"/>
              <w:right w:val="inset" w:color="000000" w:sz="4"/>
            </w:tcBorders>
            <w:tcMar>
              <w:top w:type="dxa" w:w="1"/>
              <w:left w:type="dxa" w:w="1"/>
              <w:bottom w:type="dxa" w:w="1"/>
              <w:right w:type="dxa" w:w="1"/>
            </w:tcMar>
          </w:tcPr>
          <w:p/>
        </w:tc>
        <w:tc>
          <w:tcPr>
            <w:tcW w:type="dxa" w:w="619"/>
            <w:tcBorders>
              <w:top w:val="none" w:color="000000" w:sz="4"/>
              <w:left w:val="none" w:color="000000" w:sz="4"/>
              <w:bottom w:val="inset" w:color="000000" w:sz="4"/>
              <w:right w:val="inset" w:color="000000" w:sz="4"/>
            </w:tcBorders>
            <w:tcMar>
              <w:top w:type="dxa" w:w="1"/>
              <w:left w:type="dxa" w:w="1"/>
              <w:bottom w:type="dxa" w:w="1"/>
              <w:right w:type="dxa" w:w="1"/>
            </w:tcMar>
          </w:tcPr>
          <w:p/>
        </w:tc>
        <w:tc>
          <w:tcPr>
            <w:tcW w:type="dxa" w:w="619"/>
            <w:tcBorders>
              <w:top w:val="none" w:color="000000" w:sz="4"/>
              <w:left w:val="none" w:color="000000" w:sz="4"/>
              <w:bottom w:val="inset" w:color="000000" w:sz="4"/>
              <w:right w:val="inset" w:color="000000" w:sz="4"/>
            </w:tcBorders>
            <w:tcMar>
              <w:top w:type="dxa" w:w="1"/>
              <w:left w:type="dxa" w:w="1"/>
              <w:bottom w:type="dxa" w:w="1"/>
              <w:right w:type="dxa" w:w="1"/>
            </w:tcMar>
          </w:tcPr>
          <w:p/>
        </w:tc>
        <w:tc>
          <w:tcPr>
            <w:tcW w:type="dxa" w:w="619"/>
            <w:tcBorders>
              <w:top w:val="none" w:color="000000" w:sz="4"/>
              <w:left w:val="none" w:color="000000" w:sz="4"/>
              <w:bottom w:val="inset" w:color="000000" w:sz="4"/>
              <w:right w:val="inset" w:color="000000" w:sz="4"/>
            </w:tcBorders>
            <w:tcMar>
              <w:top w:type="dxa" w:w="1"/>
              <w:left w:type="dxa" w:w="1"/>
              <w:bottom w:type="dxa" w:w="1"/>
              <w:right w:type="dxa" w:w="1"/>
            </w:tcMar>
          </w:tcPr>
          <w:p/>
        </w:tc>
      </w:tr>
      <w:tr>
        <w:tc>
          <w:tcPr>
            <w:tcW w:type="dxa" w:w="8308"/>
            <w:gridSpan w:val="9"/>
            <w:tcBorders>
              <w:top w:val="none" w:color="000000" w:sz="4"/>
              <w:left w:val="inset" w:color="000000" w:sz="4"/>
              <w:bottom w:val="inset" w:color="000000" w:sz="4"/>
              <w:right w:val="inset" w:color="000000" w:sz="4"/>
            </w:tcBorders>
            <w:tcMar>
              <w:top w:type="dxa" w:w="1"/>
              <w:left w:type="dxa" w:w="1"/>
              <w:bottom w:type="dxa" w:w="1"/>
              <w:right w:type="dxa" w:w="1"/>
            </w:tcMar>
          </w:tcPr>
          <w:p>
            <w:pPr>
              <w:pStyle w:val="null3"/>
              <w:jc w:val="center"/>
            </w:pPr>
            <w:r>
              <w:rPr>
                <w:sz w:val="21"/>
              </w:rPr>
              <w:t>合同总价（人民币）：</w:t>
            </w:r>
            <w:r>
              <w:rPr>
                <w:sz w:val="21"/>
              </w:rPr>
              <w:t>佰拾万仟佰拾元角分</w:t>
            </w:r>
            <w:r>
              <w:rPr>
                <w:sz w:val="21"/>
              </w:rPr>
              <w:t>（￥           ）</w:t>
            </w:r>
          </w:p>
        </w:tc>
      </w:tr>
    </w:tbl>
    <w:p>
      <w:pPr>
        <w:pStyle w:val="null3"/>
      </w:pPr>
      <w:r>
        <w:rPr/>
        <w:t xml:space="preserve"> </w:t>
      </w:r>
    </w:p>
    <w:p>
      <w:pPr>
        <w:pStyle w:val="null3"/>
        <w:ind w:firstLine="420"/>
        <w:jc w:val="left"/>
      </w:pPr>
      <w:r>
        <w:rPr>
          <w:sz w:val="21"/>
        </w:rPr>
        <w:t>2</w:t>
      </w:r>
      <w:r>
        <w:rPr>
          <w:sz w:val="21"/>
        </w:rPr>
        <w:t>．上述合同总价为乙方按照合同约定完成合同全部义务后所适用的总价格，包括但不限于货物（包括备品备件）的设计、制造、包装、仓储、运输、保险、货物运输保险费、装卸费、安装、调试、试运行、验收、培训、技术服务（包括技术资料、图纸的提供）、质保期保障服务等的全部含税费用。除本合同明确约定的费用外，甲方无需支付任何额外费用和承担任何额外义务。</w:t>
      </w:r>
    </w:p>
    <w:p>
      <w:pPr>
        <w:pStyle w:val="null3"/>
        <w:ind w:firstLine="422"/>
        <w:jc w:val="left"/>
      </w:pPr>
      <w:r>
        <w:rPr>
          <w:sz w:val="21"/>
          <w:b/>
        </w:rPr>
        <w:t>二、货物要求</w:t>
      </w:r>
    </w:p>
    <w:p>
      <w:pPr>
        <w:pStyle w:val="null3"/>
        <w:ind w:firstLine="420"/>
        <w:jc w:val="left"/>
      </w:pPr>
      <w:r>
        <w:rPr>
          <w:sz w:val="21"/>
        </w:rPr>
        <w:t xml:space="preserve">1. </w:t>
      </w:r>
      <w:r>
        <w:rPr>
          <w:sz w:val="21"/>
        </w:rPr>
        <w:t>质量要求：乙方提供的货物必须符合（1）中华人民共和国国家标准；（2）行业标准；（3）地方标准；（4）货物生产商的产品质量标准；（5）其他标准：</w:t>
      </w:r>
      <w:r>
        <w:rPr>
          <w:sz w:val="21"/>
          <w:u w:val="single"/>
        </w:rPr>
        <w:t>（如有请补充，否则请填无）</w:t>
      </w:r>
      <w:r>
        <w:rPr>
          <w:sz w:val="21"/>
        </w:rPr>
        <w:t>等质量标准，否则甲方有权作退货处理。</w:t>
      </w:r>
    </w:p>
    <w:p>
      <w:pPr>
        <w:pStyle w:val="null3"/>
        <w:ind w:firstLine="420"/>
        <w:jc w:val="left"/>
      </w:pPr>
      <w:r>
        <w:rPr>
          <w:sz w:val="21"/>
        </w:rPr>
        <w:t>2</w:t>
      </w:r>
      <w:r>
        <w:rPr>
          <w:sz w:val="21"/>
        </w:rPr>
        <w:t>．</w:t>
      </w:r>
      <w:r>
        <w:rPr>
          <w:sz w:val="21"/>
        </w:rPr>
        <w:t>技术要求：乙方承诺提供的货物完全符合招投标文件中作出的承诺，否则甲方有权作退货处理。</w:t>
      </w:r>
    </w:p>
    <w:p>
      <w:pPr>
        <w:pStyle w:val="null3"/>
        <w:ind w:firstLine="420"/>
        <w:jc w:val="left"/>
      </w:pPr>
      <w:r>
        <w:rPr>
          <w:sz w:val="21"/>
        </w:rPr>
        <w:t>3</w:t>
      </w:r>
      <w:r>
        <w:rPr>
          <w:sz w:val="21"/>
        </w:rPr>
        <w:t>．</w:t>
      </w:r>
      <w:r>
        <w:rPr>
          <w:sz w:val="21"/>
        </w:rPr>
        <w:t>包装及运输要求：乙方提供的货物必须是制造厂商全新的原厂原装产品（含零部件、配件、随机工具、技术文件等），包装外观完好、表面无划损、破损，无任何缺陷及隐患，每台设备上均应钉有铭牌(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概由乙方负责赔偿。</w:t>
      </w:r>
    </w:p>
    <w:p>
      <w:pPr>
        <w:pStyle w:val="null3"/>
        <w:ind w:firstLine="420"/>
        <w:jc w:val="left"/>
      </w:pPr>
      <w:r>
        <w:rPr>
          <w:sz w:val="21"/>
        </w:rPr>
        <w:t>4</w:t>
      </w:r>
      <w:r>
        <w:rPr>
          <w:sz w:val="21"/>
        </w:rPr>
        <w:t>．乙方应免费提供中文的产品正式说明书，场地准备书，使用手册及维护手册等，以及所有有关本合同执行的技术文件。如果项目必需但合同又未作规定的，需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ind w:firstLine="422"/>
        <w:jc w:val="left"/>
      </w:pPr>
      <w:r>
        <w:rPr>
          <w:sz w:val="21"/>
          <w:b/>
        </w:rPr>
        <w:t>三、货物交付</w:t>
      </w:r>
    </w:p>
    <w:p>
      <w:pPr>
        <w:pStyle w:val="null3"/>
        <w:ind w:firstLine="420"/>
        <w:jc w:val="left"/>
      </w:pPr>
      <w:r>
        <w:rPr>
          <w:sz w:val="21"/>
        </w:rPr>
        <w:t>1</w:t>
      </w:r>
      <w:r>
        <w:rPr>
          <w:sz w:val="21"/>
        </w:rPr>
        <w:t>．交货地点：甲方指定交付地点。（联系人：__________电话：______________）；</w:t>
      </w:r>
    </w:p>
    <w:p>
      <w:pPr>
        <w:pStyle w:val="null3"/>
        <w:ind w:firstLine="420"/>
        <w:jc w:val="left"/>
      </w:pPr>
      <w:r>
        <w:rPr>
          <w:sz w:val="21"/>
        </w:rPr>
        <w:t>2</w:t>
      </w:r>
      <w:r>
        <w:rPr>
          <w:sz w:val="21"/>
        </w:rPr>
        <w:t>．交货时间：__________。</w:t>
      </w:r>
    </w:p>
    <w:p>
      <w:pPr>
        <w:pStyle w:val="null3"/>
        <w:ind w:firstLine="422"/>
        <w:jc w:val="left"/>
      </w:pPr>
      <w:r>
        <w:rPr>
          <w:sz w:val="21"/>
          <w:b/>
        </w:rPr>
        <w:t>四、货物安装及验收</w:t>
      </w:r>
    </w:p>
    <w:p>
      <w:pPr>
        <w:pStyle w:val="null3"/>
        <w:ind w:firstLine="420"/>
        <w:jc w:val="left"/>
      </w:pPr>
      <w:r>
        <w:rPr>
          <w:sz w:val="21"/>
        </w:rPr>
        <w:t xml:space="preserve">1. </w:t>
      </w:r>
      <w:r>
        <w:rPr>
          <w:sz w:val="21"/>
        </w:rPr>
        <w:t>乙方应在签订合同后5天内向甲方提出产品安装、调试应准备的条件。乙方必须在货物测试与验收前，向甲方提供按本合同的技术规格、技术规范的要求进行的测试与验收方案。</w:t>
      </w:r>
    </w:p>
    <w:p>
      <w:pPr>
        <w:pStyle w:val="null3"/>
        <w:ind w:firstLine="420"/>
        <w:jc w:val="left"/>
      </w:pPr>
      <w:r>
        <w:rPr>
          <w:sz w:val="21"/>
        </w:rPr>
        <w:t xml:space="preserve">2. </w:t>
      </w:r>
      <w:r>
        <w:rPr>
          <w:sz w:val="21"/>
        </w:rPr>
        <w:t>货物交付甲方后，甲乙双方商定日期，双方一起开箱验货，不得单方面开箱，由乙方免费现场安装调试。</w:t>
      </w:r>
    </w:p>
    <w:p>
      <w:pPr>
        <w:pStyle w:val="null3"/>
        <w:ind w:firstLine="420"/>
        <w:jc w:val="left"/>
      </w:pPr>
      <w:r>
        <w:rPr>
          <w:sz w:val="21"/>
        </w:rPr>
        <w:t>3</w:t>
      </w:r>
      <w:r>
        <w:rPr>
          <w:sz w:val="21"/>
        </w:rPr>
        <w:t>．甲方在开箱验货中如发现货物不符合合同的约定，有权拒绝接受货物，经各方确认后，乙方应于5天内重新提供符合合同约定的货物，否则，视为乙方逾期交货。</w:t>
      </w:r>
    </w:p>
    <w:p>
      <w:pPr>
        <w:pStyle w:val="null3"/>
        <w:ind w:firstLine="420"/>
        <w:jc w:val="left"/>
      </w:pPr>
      <w:r>
        <w:rPr>
          <w:sz w:val="21"/>
        </w:rPr>
        <w:t>4</w:t>
      </w:r>
      <w:r>
        <w:rPr>
          <w:sz w:val="21"/>
        </w:rPr>
        <w:t>．乙方应于货到甲方指定交货地点之日起5天内完成安装调试。货物安装调试完毕且正常运行7天后，乙方应备齐甲方要求提供的验收文件，并提出书面验收申请。甲方将按流程进行验收，并出具采购物资验收报告给乙方。货物验收合格之日为甲方签署采购物资验收报告的日期。</w:t>
      </w:r>
    </w:p>
    <w:p>
      <w:pPr>
        <w:pStyle w:val="null3"/>
        <w:ind w:firstLine="420"/>
        <w:jc w:val="left"/>
      </w:pPr>
      <w:r>
        <w:rPr>
          <w:sz w:val="21"/>
        </w:rPr>
        <w:t>5</w:t>
      </w:r>
      <w:r>
        <w:rPr>
          <w:sz w:val="21"/>
        </w:rPr>
        <w:t>．</w:t>
      </w:r>
      <w:r>
        <w:rPr>
          <w:sz w:val="21"/>
        </w:rPr>
        <w:t>货物验收标准：以招投标文件和合同项下所述的标准和要求进行验收，如招投标文件与合同的标准和要求有冲突的，以招投标文件为准。</w:t>
      </w:r>
    </w:p>
    <w:p>
      <w:pPr>
        <w:pStyle w:val="null3"/>
        <w:ind w:firstLine="420"/>
        <w:jc w:val="left"/>
      </w:pPr>
      <w:r>
        <w:rPr>
          <w:sz w:val="21"/>
        </w:rPr>
        <w:t xml:space="preserve">6. </w:t>
      </w:r>
      <w:r>
        <w:rPr>
          <w:sz w:val="21"/>
        </w:rPr>
        <w:t>乙方在申请货物验收之前，应向甲方提交本合同总价5%，即人民币_________元整（ CNY￥_________ ）作为履约保证金。项目验收合格2个月内，合同标的无质量问题且乙方妥善履行了质保期义务，乙方凭收据向甲方申请退还，甲方在收到乙方申请单据之日起15个工作日内无息退还给乙方。</w:t>
      </w:r>
    </w:p>
    <w:p>
      <w:pPr>
        <w:pStyle w:val="null3"/>
        <w:ind w:firstLine="420"/>
        <w:jc w:val="left"/>
      </w:pPr>
      <w:r>
        <w:rPr>
          <w:sz w:val="21"/>
        </w:rPr>
        <w:t xml:space="preserve">7. </w:t>
      </w:r>
      <w:r>
        <w:rPr>
          <w:sz w:val="21"/>
        </w:rPr>
        <w:t>经甲方对乙方提供的货物进行验收，若发现乙方提供的货物不符合招投标文件及合同规定的质量要求，甲方有权拒收该货物，乙方应无条件更换被拒绝的货物，或者免费进行必要的修改以满足规定的要求；甲方也有权选择解除合同并要求乙方承担违约责任。</w:t>
      </w:r>
    </w:p>
    <w:p>
      <w:pPr>
        <w:pStyle w:val="null3"/>
        <w:ind w:firstLine="420"/>
        <w:jc w:val="left"/>
      </w:pPr>
      <w:r>
        <w:rPr>
          <w:sz w:val="21"/>
        </w:rPr>
        <w:t xml:space="preserve">8. </w:t>
      </w:r>
      <w:r>
        <w:rPr>
          <w:sz w:val="21"/>
        </w:rPr>
        <w:t>甲方在货物到达交货地点后对货物进行检验、测试及必要时拒绝接受货物的权利将不会因为货物在乙方或其分包人的驻地已通过了甲方或其代表的检验、测试和认可而受到限制或放弃。</w:t>
      </w:r>
    </w:p>
    <w:p>
      <w:pPr>
        <w:pStyle w:val="null3"/>
        <w:ind w:firstLine="422"/>
        <w:jc w:val="left"/>
      </w:pPr>
      <w:r>
        <w:rPr>
          <w:sz w:val="21"/>
          <w:b/>
        </w:rPr>
        <w:t>五、付款</w:t>
      </w:r>
    </w:p>
    <w:p>
      <w:pPr>
        <w:pStyle w:val="null3"/>
        <w:ind w:firstLine="420"/>
        <w:jc w:val="left"/>
      </w:pPr>
      <w:r>
        <w:rPr>
          <w:sz w:val="21"/>
        </w:rPr>
        <w:t xml:space="preserve">1. </w:t>
      </w:r>
      <w:r>
        <w:rPr>
          <w:sz w:val="21"/>
        </w:rPr>
        <w:t>本合同采用以下第____种付款方式：</w:t>
      </w:r>
    </w:p>
    <w:p>
      <w:pPr>
        <w:pStyle w:val="null3"/>
        <w:ind w:firstLine="420"/>
        <w:jc w:val="left"/>
      </w:pPr>
      <w:r>
        <w:rPr>
          <w:sz w:val="21"/>
        </w:rPr>
        <w:t xml:space="preserve">A. </w:t>
      </w:r>
      <w:r>
        <w:rPr>
          <w:sz w:val="21"/>
        </w:rPr>
        <w:t>一次性结算</w:t>
      </w:r>
    </w:p>
    <w:p>
      <w:pPr>
        <w:pStyle w:val="null3"/>
        <w:ind w:firstLine="420"/>
        <w:jc w:val="left"/>
      </w:pPr>
      <w:r>
        <w:rPr>
          <w:sz w:val="21"/>
        </w:rPr>
        <w:t>货到交货地点、验收合格，且甲方收到乙方开具的等额增值税专用发票后15个工作日内一次付清货款。</w:t>
      </w:r>
    </w:p>
    <w:p>
      <w:pPr>
        <w:pStyle w:val="null3"/>
        <w:ind w:firstLine="420"/>
        <w:jc w:val="left"/>
      </w:pPr>
      <w:r>
        <w:rPr>
          <w:sz w:val="21"/>
        </w:rPr>
        <w:t>B.</w:t>
      </w:r>
      <w:r>
        <w:rPr>
          <w:sz w:val="21"/>
        </w:rPr>
        <w:t>分期结算</w:t>
      </w:r>
    </w:p>
    <w:p>
      <w:pPr>
        <w:pStyle w:val="null3"/>
        <w:ind w:firstLine="420"/>
        <w:jc w:val="left"/>
      </w:pPr>
      <w:r>
        <w:rPr>
          <w:sz w:val="21"/>
        </w:rPr>
        <w:t>本合同价款为￥____________，分2次结算。</w:t>
      </w:r>
    </w:p>
    <w:p>
      <w:pPr>
        <w:pStyle w:val="null3"/>
        <w:ind w:firstLine="420"/>
        <w:jc w:val="left"/>
      </w:pPr>
      <w:r>
        <w:rPr>
          <w:sz w:val="21"/>
        </w:rPr>
        <w:t>第一期：签订合同后___个工作日内支付￥______（即合同总金额的____％）（注：第一期付款金额不得超过合同总金额的30%）。</w:t>
      </w:r>
    </w:p>
    <w:p>
      <w:pPr>
        <w:pStyle w:val="null3"/>
        <w:ind w:firstLine="420"/>
        <w:jc w:val="left"/>
      </w:pPr>
      <w:r>
        <w:rPr>
          <w:sz w:val="21"/>
        </w:rPr>
        <w:t>第二期：货到交货地点、验收合格，且甲方收到乙方开具的等额增值税专用发票后___个工作日内支付￥______（即合同总金额的____％）。</w:t>
      </w:r>
    </w:p>
    <w:p>
      <w:pPr>
        <w:pStyle w:val="null3"/>
        <w:ind w:firstLine="420"/>
        <w:jc w:val="left"/>
      </w:pPr>
      <w:r>
        <w:rPr>
          <w:sz w:val="21"/>
        </w:rPr>
        <w:t>C.</w:t>
      </w:r>
      <w:r>
        <w:rPr>
          <w:sz w:val="21"/>
        </w:rPr>
        <w:t>其他_________。</w:t>
      </w:r>
    </w:p>
    <w:p>
      <w:pPr>
        <w:pStyle w:val="null3"/>
        <w:ind w:firstLine="420"/>
        <w:jc w:val="left"/>
      </w:pPr>
      <w:r>
        <w:rPr>
          <w:sz w:val="21"/>
        </w:rPr>
        <w:t>（甲方纳税人识别号:</w:t>
      </w:r>
      <w:r>
        <w:rPr>
          <w:sz w:val="21"/>
        </w:rPr>
        <w:t>124400004558589190</w:t>
      </w:r>
      <w:r>
        <w:rPr>
          <w:sz w:val="21"/>
        </w:rPr>
        <w:t>）</w:t>
      </w:r>
    </w:p>
    <w:p>
      <w:pPr>
        <w:pStyle w:val="null3"/>
        <w:ind w:firstLine="420"/>
        <w:jc w:val="left"/>
      </w:pPr>
      <w:r>
        <w:rPr>
          <w:sz w:val="21"/>
        </w:rPr>
        <w:t>2</w:t>
      </w:r>
      <w:r>
        <w:rPr>
          <w:sz w:val="21"/>
        </w:rPr>
        <w:t>．甲方向乙方指定账户汇出款项后，即视为已履行付款义务。在汇款过程中，因乙方账户的原因（包括但不限于账号被注销、被冻结等）导致其无法收取款项的，由乙方承担相应后果。</w:t>
      </w:r>
    </w:p>
    <w:p>
      <w:pPr>
        <w:pStyle w:val="null3"/>
        <w:ind w:firstLine="420"/>
        <w:jc w:val="left"/>
      </w:pPr>
      <w:r>
        <w:rPr>
          <w:sz w:val="21"/>
        </w:rPr>
        <w:t>3</w:t>
      </w:r>
      <w:r>
        <w:rPr>
          <w:sz w:val="21"/>
        </w:rPr>
        <w:t>．</w:t>
      </w:r>
      <w:r>
        <w:rPr>
          <w:sz w:val="21"/>
        </w:rPr>
        <w:t>本项目如执行国库支付的，甲方在验收合格后15个工作日内办理财政集中支付申请手续，付款按照财政部门国库集中支付的有关规定办理。付款时间为甲方向政府财政支付部门提出支付申请的时间（不含政府财政支付部门审查的时间）</w:t>
      </w:r>
    </w:p>
    <w:p>
      <w:pPr>
        <w:pStyle w:val="null3"/>
        <w:ind w:firstLine="420"/>
        <w:jc w:val="left"/>
      </w:pPr>
      <w:r>
        <w:rPr>
          <w:sz w:val="21"/>
        </w:rPr>
        <w:t>4</w:t>
      </w:r>
      <w:r>
        <w:rPr>
          <w:sz w:val="21"/>
        </w:rPr>
        <w:t>．付款时间如遇甲方寒暑假，甲方有权将付款时间顺延至假期结束之后。</w:t>
      </w:r>
    </w:p>
    <w:p>
      <w:pPr>
        <w:pStyle w:val="null3"/>
        <w:ind w:firstLine="422"/>
        <w:jc w:val="left"/>
      </w:pPr>
      <w:r>
        <w:rPr>
          <w:sz w:val="21"/>
          <w:b/>
        </w:rPr>
        <w:t>六、质保期保障服务</w:t>
      </w:r>
    </w:p>
    <w:p>
      <w:pPr>
        <w:pStyle w:val="null3"/>
        <w:ind w:firstLine="420"/>
        <w:jc w:val="left"/>
      </w:pPr>
      <w:r>
        <w:rPr>
          <w:sz w:val="21"/>
        </w:rPr>
        <w:t>1</w:t>
      </w:r>
      <w:r>
        <w:rPr>
          <w:sz w:val="21"/>
        </w:rPr>
        <w:t>．质保期：</w:t>
      </w:r>
      <w:r>
        <w:rPr>
          <w:sz w:val="21"/>
        </w:rPr>
        <w:t>乙方对本合同标的提供</w:t>
      </w:r>
      <w:r>
        <w:rPr>
          <w:sz w:val="21"/>
          <w:u w:val="single"/>
        </w:rPr>
        <w:t>___</w:t>
      </w:r>
      <w:r>
        <w:rPr>
          <w:sz w:val="21"/>
        </w:rPr>
        <w:t>年免费质保期，软件提供终身免费升级，质保期自货物验收合格之日起计算。</w:t>
      </w:r>
    </w:p>
    <w:p>
      <w:pPr>
        <w:pStyle w:val="null3"/>
        <w:ind w:firstLine="420"/>
        <w:jc w:val="left"/>
      </w:pPr>
      <w:r>
        <w:rPr>
          <w:sz w:val="21"/>
        </w:rPr>
        <w:t>2</w:t>
      </w:r>
      <w:r>
        <w:rPr>
          <w:sz w:val="21"/>
        </w:rPr>
        <w:t>．质保期内，</w:t>
      </w:r>
      <w:r>
        <w:rPr>
          <w:sz w:val="21"/>
        </w:rPr>
        <w:t>乙方为甲方提供现场</w:t>
      </w:r>
      <w:r>
        <w:rPr>
          <w:sz w:val="21"/>
        </w:rPr>
        <w:t>保修、包换或包退服务</w:t>
      </w:r>
      <w:r>
        <w:rPr>
          <w:sz w:val="21"/>
        </w:rPr>
        <w:t>，由此产生的一切费用均由乙方承担。</w:t>
      </w:r>
      <w:r>
        <w:rPr>
          <w:sz w:val="21"/>
        </w:rPr>
        <w:t>乙方不能修复、调换或不能退货的，应退回相应货款，并承担相应违约责任。</w:t>
      </w:r>
    </w:p>
    <w:p>
      <w:pPr>
        <w:pStyle w:val="null3"/>
        <w:ind w:firstLine="420"/>
        <w:jc w:val="left"/>
      </w:pPr>
      <w:r>
        <w:rPr>
          <w:sz w:val="21"/>
        </w:rPr>
        <w:t>3</w:t>
      </w:r>
      <w:r>
        <w:rPr>
          <w:sz w:val="21"/>
        </w:rPr>
        <w:t xml:space="preserve">．质保期内，在接到系统故障或问题告知后，乙方响应时间(7天×24小时热线电话: </w:t>
      </w:r>
      <w:r>
        <w:rPr>
          <w:sz w:val="21"/>
          <w:u w:val="single"/>
        </w:rPr>
        <w:t>__</w:t>
      </w:r>
      <w:r>
        <w:rPr>
          <w:sz w:val="21"/>
        </w:rPr>
        <w:t>)不得超过</w:t>
      </w:r>
      <w:r>
        <w:rPr>
          <w:sz w:val="21"/>
          <w:u w:val="single"/>
        </w:rPr>
        <w:t>___</w:t>
      </w:r>
      <w:r>
        <w:rPr>
          <w:sz w:val="21"/>
        </w:rPr>
        <w:t>小时，到达现场时间不得超过</w:t>
      </w:r>
      <w:r>
        <w:rPr>
          <w:sz w:val="21"/>
          <w:u w:val="single"/>
        </w:rPr>
        <w:t>___</w:t>
      </w:r>
      <w:r>
        <w:rPr>
          <w:sz w:val="21"/>
        </w:rPr>
        <w:t>个小时，并应在</w:t>
      </w:r>
      <w:r>
        <w:rPr>
          <w:sz w:val="21"/>
          <w:u w:val="single"/>
        </w:rPr>
        <w:t>___</w:t>
      </w:r>
      <w:r>
        <w:rPr>
          <w:sz w:val="21"/>
        </w:rPr>
        <w:t>小时（前述响应及到达现场时间已包含计算在内）内排除故障。如果故障在前述时间内仍无法排除，乙方应无条件在</w:t>
      </w:r>
      <w:r>
        <w:rPr>
          <w:sz w:val="21"/>
          <w:u w:val="single"/>
        </w:rPr>
        <w:t>___</w:t>
      </w:r>
      <w:r>
        <w:rPr>
          <w:sz w:val="21"/>
        </w:rPr>
        <w:t>小时内提供不低于故障设备规格型号档次的备用设备供甲方使用，直至故障设备修复。</w:t>
      </w:r>
    </w:p>
    <w:p>
      <w:pPr>
        <w:pStyle w:val="null3"/>
        <w:ind w:firstLine="420"/>
        <w:jc w:val="left"/>
      </w:pPr>
      <w:r>
        <w:rPr>
          <w:sz w:val="21"/>
        </w:rPr>
        <w:t>4</w:t>
      </w:r>
      <w:r>
        <w:rPr>
          <w:sz w:val="21"/>
        </w:rPr>
        <w:t>．质保期内，同一硬件一个月内连续2次出现同一故障，乙方应无条件更换性能指标不低于原规格型号的新部件。严重影响教学工作的，乙方无条件提供不低于该档次的设备给甲方使用。</w:t>
      </w:r>
    </w:p>
    <w:p>
      <w:pPr>
        <w:pStyle w:val="null3"/>
        <w:ind w:firstLine="420"/>
        <w:jc w:val="left"/>
      </w:pPr>
      <w:r>
        <w:rPr>
          <w:sz w:val="21"/>
        </w:rPr>
        <w:t>5</w:t>
      </w:r>
      <w:r>
        <w:rPr>
          <w:sz w:val="21"/>
        </w:rPr>
        <w:t>．免费质保期届满后，若有零部件出现故障，经权威部门鉴定属于寿命异常问题（明显短于该零部件正常寿命）时，则由乙方负责免费更换及维修。</w:t>
      </w:r>
    </w:p>
    <w:p>
      <w:pPr>
        <w:pStyle w:val="null3"/>
        <w:ind w:firstLine="420"/>
        <w:jc w:val="left"/>
      </w:pPr>
      <w:r>
        <w:rPr>
          <w:sz w:val="21"/>
        </w:rPr>
        <w:t>6</w:t>
      </w:r>
      <w:r>
        <w:rPr>
          <w:sz w:val="21"/>
        </w:rPr>
        <w:t>．</w:t>
      </w:r>
      <w:r>
        <w:rPr>
          <w:sz w:val="21"/>
        </w:rPr>
        <w:t>其他条款</w:t>
      </w:r>
      <w:r>
        <w:rPr>
          <w:sz w:val="21"/>
        </w:rPr>
        <w:t>以乙方投标文件为准。</w:t>
      </w:r>
    </w:p>
    <w:p>
      <w:pPr>
        <w:pStyle w:val="null3"/>
        <w:ind w:firstLine="422"/>
        <w:jc w:val="left"/>
      </w:pPr>
      <w:r>
        <w:rPr>
          <w:sz w:val="21"/>
          <w:b/>
        </w:rPr>
        <w:t>七、培训</w:t>
      </w:r>
    </w:p>
    <w:p>
      <w:pPr>
        <w:pStyle w:val="null3"/>
        <w:ind w:firstLine="420"/>
        <w:jc w:val="left"/>
      </w:pPr>
      <w:r>
        <w:rPr>
          <w:sz w:val="21"/>
        </w:rPr>
        <w:t>乙方负责提供合同标的现场操作、运行、维护、修理的培训方案及必需的培训资料，并对甲方受训人员进行仪器设备的维护、使用及开发等方面的培训，直至能熟练操作为止。</w:t>
      </w:r>
    </w:p>
    <w:p>
      <w:pPr>
        <w:pStyle w:val="null3"/>
        <w:ind w:firstLine="422"/>
        <w:jc w:val="left"/>
      </w:pPr>
      <w:r>
        <w:rPr>
          <w:sz w:val="21"/>
          <w:b/>
        </w:rPr>
        <w:t>八、知识产权、风险转移</w:t>
      </w:r>
    </w:p>
    <w:p>
      <w:pPr>
        <w:pStyle w:val="null3"/>
        <w:ind w:firstLine="420"/>
        <w:jc w:val="left"/>
      </w:pPr>
      <w:r>
        <w:rPr>
          <w:sz w:val="21"/>
        </w:rPr>
        <w:t>1</w:t>
      </w:r>
      <w:r>
        <w:rPr>
          <w:sz w:val="21"/>
        </w:rPr>
        <w:t>．</w:t>
      </w:r>
      <w:r>
        <w:rPr>
          <w:sz w:val="21"/>
        </w:rPr>
        <w:t>乙方保证，甲方在中华人民共和国使用该货物或货物的任何一部分时，如受第三方提出的侵犯其</w:t>
      </w:r>
      <w:r>
        <w:rPr>
          <w:sz w:val="21"/>
        </w:rPr>
        <w:t>知识产权、肖像权、技术秘密、商业秘密或其他任何权益</w:t>
      </w:r>
      <w:r>
        <w:rPr>
          <w:sz w:val="21"/>
        </w:rPr>
        <w:t>的起诉，由乙方承担一切责任。</w:t>
      </w:r>
    </w:p>
    <w:p>
      <w:pPr>
        <w:pStyle w:val="null3"/>
        <w:ind w:firstLine="420"/>
        <w:jc w:val="left"/>
      </w:pPr>
      <w:r>
        <w:rPr>
          <w:sz w:val="21"/>
        </w:rPr>
        <w:t>2</w:t>
      </w:r>
      <w:r>
        <w:rPr>
          <w:sz w:val="21"/>
        </w:rPr>
        <w:t>．乙方为执行本合同而提供的技术资料、软件的使用权归甲方所有。</w:t>
      </w:r>
    </w:p>
    <w:p>
      <w:pPr>
        <w:pStyle w:val="null3"/>
        <w:ind w:firstLine="420"/>
        <w:jc w:val="left"/>
      </w:pPr>
      <w:r>
        <w:rPr>
          <w:sz w:val="21"/>
        </w:rPr>
        <w:t>3</w:t>
      </w:r>
      <w:r>
        <w:rPr>
          <w:sz w:val="21"/>
        </w:rPr>
        <w:t>．乙方交由承运人运输的在途货物，毁损、灭失的风险由乙方承担。货物的产权，损坏、灭失的风险，在货物通过甲方验收合格交付使用时起，由乙方转移至甲方。</w:t>
      </w:r>
    </w:p>
    <w:p>
      <w:pPr>
        <w:pStyle w:val="null3"/>
        <w:ind w:firstLine="420"/>
        <w:jc w:val="left"/>
      </w:pPr>
      <w:r>
        <w:rPr>
          <w:sz w:val="21"/>
        </w:rPr>
        <w:t>4</w:t>
      </w:r>
      <w:r>
        <w:rPr>
          <w:sz w:val="21"/>
        </w:rPr>
        <w:t>．因货物验收不合格甲方拒收，或者双方解除合同的，合同标的物毁损、丢失的风险由乙方承担。</w:t>
      </w:r>
    </w:p>
    <w:p>
      <w:pPr>
        <w:pStyle w:val="null3"/>
        <w:ind w:firstLine="420"/>
        <w:jc w:val="left"/>
      </w:pPr>
      <w:r>
        <w:rPr>
          <w:sz w:val="21"/>
        </w:rPr>
        <w:t>5</w:t>
      </w:r>
      <w:r>
        <w:rPr>
          <w:sz w:val="21"/>
        </w:rPr>
        <w:t>．产权和风险的转移，不影响因乙方履行合同义务不符合约定，甲方要求其承担违约责任的权利。</w:t>
      </w:r>
    </w:p>
    <w:p>
      <w:pPr>
        <w:pStyle w:val="null3"/>
        <w:ind w:firstLine="422"/>
        <w:jc w:val="left"/>
      </w:pPr>
      <w:r>
        <w:rPr>
          <w:sz w:val="21"/>
          <w:b/>
        </w:rPr>
        <w:t>九、保密责任</w:t>
      </w:r>
    </w:p>
    <w:p>
      <w:pPr>
        <w:pStyle w:val="null3"/>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ind w:firstLine="422"/>
        <w:jc w:val="left"/>
      </w:pPr>
      <w:r>
        <w:rPr>
          <w:sz w:val="21"/>
          <w:b/>
        </w:rPr>
        <w:t>十、违约责任</w:t>
      </w:r>
    </w:p>
    <w:p>
      <w:pPr>
        <w:pStyle w:val="null3"/>
        <w:ind w:firstLine="420"/>
        <w:jc w:val="left"/>
      </w:pPr>
      <w:r>
        <w:rPr>
          <w:sz w:val="21"/>
        </w:rPr>
        <w:t>1</w:t>
      </w:r>
      <w:r>
        <w:rPr>
          <w:sz w:val="21"/>
        </w:rPr>
        <w:t>．乙方交付的货物不符合合同规定的，甲方有权拒收并解除合同，乙方需向甲方支付合同总价10%的违约金。如甲方同意更换的，乙方应于5天内重新提供符合合同约定的货物，乙方未能按期调换的，按逾期交付货物处理，逾期时点自最初约定的交付日期起计。</w:t>
      </w:r>
    </w:p>
    <w:p>
      <w:pPr>
        <w:pStyle w:val="null3"/>
        <w:ind w:firstLine="420"/>
        <w:jc w:val="left"/>
      </w:pPr>
      <w:r>
        <w:rPr>
          <w:sz w:val="21"/>
        </w:rPr>
        <w:t>2</w:t>
      </w:r>
      <w:r>
        <w:rPr>
          <w:sz w:val="21"/>
        </w:rPr>
        <w:t>．乙方逾期交付货物的，每逾期一天，按合同总价的0.8‰向甲方支付违约金，甲方有权直接从应付给乙方的合同款项中扣除该违约金，且甲方有权要求乙方继续向甲方交付直至符合要求。</w:t>
      </w:r>
      <w:r>
        <w:rPr>
          <w:sz w:val="21"/>
        </w:rPr>
        <w:t>误期超过15天，甲方有权解除合同，乙方需退还甲方已支付的所有款项，并按合同总价的10%向甲方支付违约金，违约金不足以弥补甲方损失的，乙方应另行赔偿。</w:t>
      </w:r>
    </w:p>
    <w:p>
      <w:pPr>
        <w:pStyle w:val="null3"/>
        <w:ind w:firstLine="420"/>
        <w:jc w:val="left"/>
      </w:pPr>
      <w:r>
        <w:rPr>
          <w:sz w:val="21"/>
        </w:rPr>
        <w:t>3</w:t>
      </w:r>
      <w:r>
        <w:rPr>
          <w:sz w:val="21"/>
        </w:rPr>
        <w:t>．若乙方未按本合同的约定提供质保期保障服务，甲方有权自行委托第三方提供甲方所需要的技术支持和售后服务，由此造成的包括但不限于第三方维保费用、甲方其他经济损失等均由乙方承担赔偿。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rPr>
        <w:t xml:space="preserve">4. </w:t>
      </w:r>
      <w:r>
        <w:rPr>
          <w:sz w:val="21"/>
        </w:rPr>
        <w:t>乙方有以下情形之一的，甲方有权解除合同，乙方需退还甲方已支付的所有款项，并按合同总价的10%向甲方支付违约金，违约金不足以弥补甲方损失的，乙方应另行赔偿，具体情形如下：</w:t>
      </w:r>
    </w:p>
    <w:p>
      <w:pPr>
        <w:pStyle w:val="null3"/>
        <w:ind w:firstLine="420"/>
        <w:jc w:val="left"/>
      </w:pPr>
      <w:r>
        <w:rPr>
          <w:sz w:val="21"/>
        </w:rPr>
        <w:t>（1）乙方交付的货物存在侵犯他人知识产权、肖像权、技术秘密、商业秘密或其他任何权益的；</w:t>
      </w:r>
    </w:p>
    <w:p>
      <w:pPr>
        <w:pStyle w:val="null3"/>
        <w:ind w:firstLine="420"/>
        <w:jc w:val="left"/>
      </w:pPr>
      <w:r>
        <w:rPr>
          <w:sz w:val="21"/>
        </w:rPr>
        <w:t>（2）乙方履行义务不符合约定，经甲方提出后在合理期限内仍未改正的；</w:t>
      </w:r>
    </w:p>
    <w:p>
      <w:pPr>
        <w:pStyle w:val="null3"/>
        <w:ind w:firstLine="420"/>
        <w:jc w:val="left"/>
      </w:pPr>
      <w:r>
        <w:rPr>
          <w:sz w:val="21"/>
        </w:rPr>
        <w:t>（3）未经甲方书面同意，乙方将本合同项下的权利或义务转让，或将本合同项下服务转包或分包的；</w:t>
      </w:r>
    </w:p>
    <w:p>
      <w:pPr>
        <w:pStyle w:val="null3"/>
        <w:ind w:firstLine="420"/>
        <w:jc w:val="left"/>
      </w:pPr>
      <w:r>
        <w:rPr>
          <w:sz w:val="21"/>
        </w:rPr>
        <w:t>（4）乙方无正当理由逾期交货超过15日的；</w:t>
      </w:r>
    </w:p>
    <w:p>
      <w:pPr>
        <w:pStyle w:val="null3"/>
        <w:ind w:firstLine="420"/>
        <w:jc w:val="left"/>
      </w:pPr>
      <w:r>
        <w:rPr>
          <w:sz w:val="21"/>
        </w:rPr>
        <w:t>（5）国家法律规定的其他合同解除情形。</w:t>
      </w:r>
    </w:p>
    <w:p>
      <w:pPr>
        <w:pStyle w:val="null3"/>
        <w:ind w:firstLine="420"/>
        <w:jc w:val="left"/>
      </w:pPr>
      <w:r>
        <w:rPr>
          <w:sz w:val="21"/>
        </w:rPr>
        <w:t xml:space="preserve">5. </w:t>
      </w:r>
      <w:r>
        <w:rPr>
          <w:sz w:val="21"/>
        </w:rPr>
        <w:t>甲方逾期支付货款，经乙方催告后无正当理由仍不支付的，自催告后每逾期一日，应按逾期付款金额每日0.8‰向乙方支付违约金。</w:t>
      </w:r>
    </w:p>
    <w:p>
      <w:pPr>
        <w:pStyle w:val="null3"/>
        <w:ind w:firstLine="420"/>
        <w:jc w:val="left"/>
      </w:pPr>
      <w:r>
        <w:rPr>
          <w:sz w:val="21"/>
        </w:rPr>
        <w:t xml:space="preserve">6. </w:t>
      </w:r>
      <w:r>
        <w:rPr>
          <w:sz w:val="21"/>
        </w:rPr>
        <w:t>本合同所称之损失，包括守约方的直接经济损失和合同履行后可以获得的利益及合理的调查费、评估费、公证费、诉讼费、交通费、律师费等相关法律费用。</w:t>
      </w:r>
    </w:p>
    <w:p>
      <w:pPr>
        <w:pStyle w:val="null3"/>
        <w:ind w:firstLine="422"/>
        <w:jc w:val="left"/>
      </w:pPr>
      <w:r>
        <w:rPr>
          <w:sz w:val="21"/>
          <w:b/>
        </w:rPr>
        <w:t>十一、不可抗力</w:t>
      </w:r>
    </w:p>
    <w:p>
      <w:pPr>
        <w:pStyle w:val="null3"/>
        <w:ind w:firstLine="420"/>
        <w:jc w:val="left"/>
      </w:pPr>
      <w:r>
        <w:rPr>
          <w:sz w:val="21"/>
        </w:rPr>
        <w:t>一方由于</w:t>
      </w:r>
      <w:r>
        <w:rPr>
          <w:sz w:val="21"/>
          <w:shd w:fill="FFFFFF" w:val="clear"/>
        </w:rPr>
        <w:t>不能预见、不能避免并不能克服的客观情况（也即法定不可抗力事由），且该情况是在合同生效后发生的，</w:t>
      </w:r>
      <w:r>
        <w:rPr>
          <w:sz w:val="21"/>
        </w:rPr>
        <w:t>导致不能或暂时不能全部或部分履行本合同，该方可以免责。但是，受不可抗力事件影响的一方须尽快将事件发生状况通知另一方，并在不可抗力事件影响消除之日起10日内将有关机构出具的不可抗力事件证明寄交对方。逾期未提供以上证明的，不能免除违约责任。</w:t>
      </w:r>
    </w:p>
    <w:p>
      <w:pPr>
        <w:pStyle w:val="null3"/>
        <w:ind w:firstLine="422"/>
        <w:jc w:val="left"/>
      </w:pPr>
      <w:r>
        <w:rPr>
          <w:sz w:val="21"/>
          <w:b/>
        </w:rPr>
        <w:t>十二、法律适用与争议解决</w:t>
      </w:r>
    </w:p>
    <w:p>
      <w:pPr>
        <w:pStyle w:val="null3"/>
        <w:ind w:firstLine="420"/>
        <w:jc w:val="left"/>
      </w:pPr>
      <w:r>
        <w:rPr>
          <w:sz w:val="21"/>
        </w:rPr>
        <w:t>1</w:t>
      </w:r>
      <w:r>
        <w:rPr>
          <w:sz w:val="21"/>
        </w:rPr>
        <w:t>．本合同的成立、有效性、解释、履行、签署、修订和终止以及争议的解决等均应适用中华人民共和国法律。</w:t>
      </w:r>
    </w:p>
    <w:p>
      <w:pPr>
        <w:pStyle w:val="null3"/>
        <w:ind w:firstLine="420"/>
        <w:jc w:val="left"/>
      </w:pPr>
      <w:r>
        <w:rPr>
          <w:sz w:val="21"/>
        </w:rPr>
        <w:t>2</w:t>
      </w:r>
      <w:r>
        <w:rPr>
          <w:sz w:val="21"/>
        </w:rPr>
        <w:t>．</w:t>
      </w:r>
      <w:r>
        <w:rPr>
          <w:sz w:val="21"/>
        </w:rPr>
        <w:t>甲乙双方在履行本合同时发生的争议</w:t>
      </w:r>
      <w:r>
        <w:rPr>
          <w:sz w:val="21"/>
        </w:rPr>
        <w:t>，都应首先由双方通过友好协商解决。双方通过协商仍不能解决争议，双方一致同意向甲方所在地（即广州市天河区）人民法院提起诉讼。</w:t>
      </w:r>
    </w:p>
    <w:p>
      <w:pPr>
        <w:pStyle w:val="null3"/>
        <w:ind w:firstLine="422"/>
        <w:jc w:val="left"/>
      </w:pPr>
      <w:r>
        <w:rPr>
          <w:sz w:val="21"/>
          <w:b/>
        </w:rPr>
        <w:t>十三、通知与送达</w:t>
      </w:r>
    </w:p>
    <w:p>
      <w:pPr>
        <w:pStyle w:val="null3"/>
        <w:ind w:firstLine="420"/>
        <w:jc w:val="left"/>
      </w:pPr>
      <w:r>
        <w:rPr>
          <w:sz w:val="21"/>
        </w:rPr>
        <w:t>一方在本合同履行过程中向对方发出或者提供的所有通知、文件、文书、资料等，均以本合同所列明的地址送达。一方如果迁址、变更电话，应当在变更之日起5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left"/>
      </w:pPr>
      <w:r>
        <w:rPr>
          <w:sz w:val="21"/>
          <w:b/>
        </w:rPr>
        <w:t>十四、其他约定</w:t>
      </w:r>
    </w:p>
    <w:p>
      <w:pPr>
        <w:pStyle w:val="null3"/>
        <w:ind w:firstLine="420"/>
        <w:jc w:val="left"/>
      </w:pPr>
      <w:r>
        <w:rPr>
          <w:sz w:val="21"/>
        </w:rPr>
        <w:t>1</w:t>
      </w:r>
      <w:r>
        <w:rPr>
          <w:sz w:val="21"/>
        </w:rPr>
        <w:t>．</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ind w:firstLine="420"/>
        <w:jc w:val="left"/>
      </w:pPr>
      <w:r>
        <w:rPr>
          <w:sz w:val="21"/>
        </w:rPr>
        <w:t xml:space="preserve">2. </w:t>
      </w:r>
      <w:r>
        <w:rPr>
          <w:sz w:val="21"/>
        </w:rPr>
        <w:t>组成本合同的材料包括_______采购项目(</w:t>
      </w:r>
      <w:r>
        <w:rPr>
          <w:sz w:val="21"/>
        </w:rPr>
        <w:t>采购编号</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pStyle w:val="null3"/>
        <w:ind w:firstLine="420"/>
        <w:jc w:val="left"/>
      </w:pPr>
      <w:r>
        <w:rPr>
          <w:sz w:val="21"/>
        </w:rPr>
        <w:t xml:space="preserve">3. </w:t>
      </w:r>
      <w:r>
        <w:rPr>
          <w:sz w:val="21"/>
        </w:rPr>
        <w:t>本合同经甲乙双方签字盖章后正式生效。一式6份，甲方持4份，乙方持2份，均为正本，具有同等法律效力。</w:t>
      </w:r>
    </w:p>
    <w:p>
      <w:pPr>
        <w:pStyle w:val="null3"/>
        <w:ind w:firstLine="422"/>
        <w:jc w:val="both"/>
      </w:pPr>
      <w:r>
        <w:rPr>
          <w:sz w:val="21"/>
          <w:b/>
        </w:rPr>
        <w:t>甲乙双方在此确认，本合同为甲乙双方合法之授权代表于广州市天河区签订。</w:t>
      </w:r>
    </w:p>
    <w:p>
      <w:pPr>
        <w:pStyle w:val="null3"/>
        <w:ind w:left="420"/>
        <w:jc w:val="left"/>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1713"/>
        <w:gridCol w:w="1028"/>
        <w:gridCol w:w="428"/>
        <w:gridCol w:w="1028"/>
        <w:gridCol w:w="1713"/>
        <w:gridCol w:w="1028"/>
        <w:gridCol w:w="343"/>
        <w:gridCol w:w="1028"/>
      </w:tblGrid>
      <w:tr>
        <w:tc>
          <w:tcPr>
            <w:tcW w:type="dxa" w:w="1713"/>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甲方</w:t>
            </w:r>
            <w:r>
              <w:br/>
            </w:r>
            <w:r>
              <w:rPr>
                <w:sz w:val="18"/>
              </w:rPr>
              <w:t>名称</w:t>
            </w:r>
          </w:p>
        </w:tc>
        <w:tc>
          <w:tcPr>
            <w:tcW w:type="dxa" w:w="2484"/>
            <w:gridSpan w:val="3"/>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90"/>
              <w:jc w:val="left"/>
            </w:pPr>
            <w:r>
              <w:rPr>
                <w:sz w:val="18"/>
              </w:rPr>
              <w:t>华南师范大学</w:t>
            </w:r>
            <w:r>
              <w:rPr>
                <w:sz w:val="21"/>
              </w:rPr>
              <w:t xml:space="preserve">  </w:t>
            </w:r>
          </w:p>
        </w:tc>
        <w:tc>
          <w:tcPr>
            <w:tcW w:type="dxa" w:w="1713"/>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乙方</w:t>
            </w:r>
            <w:r>
              <w:br/>
            </w:r>
            <w:r>
              <w:rPr>
                <w:sz w:val="18"/>
              </w:rPr>
              <w:t>名称</w:t>
            </w:r>
          </w:p>
        </w:tc>
        <w:tc>
          <w:tcPr>
            <w:tcW w:type="dxa" w:w="2399"/>
            <w:gridSpan w:val="3"/>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r>
      <w:tr>
        <w:tc>
          <w:tcPr>
            <w:tcW w:type="dxa" w:w="1713"/>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单位</w:t>
            </w:r>
            <w:r>
              <w:br/>
            </w:r>
            <w:r>
              <w:rPr>
                <w:sz w:val="18"/>
              </w:rPr>
              <w:t>地址</w:t>
            </w:r>
          </w:p>
        </w:tc>
        <w:tc>
          <w:tcPr>
            <w:tcW w:type="dxa" w:w="2484"/>
            <w:gridSpan w:val="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90"/>
              <w:jc w:val="left"/>
            </w:pPr>
            <w:r>
              <w:rPr>
                <w:sz w:val="18"/>
              </w:rPr>
              <w:t>广州市中山大道西</w:t>
            </w:r>
            <w:r>
              <w:rPr>
                <w:sz w:val="18"/>
              </w:rPr>
              <w:t>55</w:t>
            </w:r>
            <w:r>
              <w:rPr>
                <w:sz w:val="18"/>
              </w:rPr>
              <w:t>号</w:t>
            </w:r>
            <w:r>
              <w:rPr>
                <w:sz w:val="21"/>
              </w:rPr>
              <w:t xml:space="preserve">  </w:t>
            </w:r>
          </w:p>
        </w:tc>
        <w:tc>
          <w:tcPr>
            <w:tcW w:type="dxa" w:w="171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单位</w:t>
            </w:r>
            <w:r>
              <w:br/>
            </w:r>
            <w:r>
              <w:rPr>
                <w:sz w:val="18"/>
              </w:rPr>
              <w:t>地址</w:t>
            </w:r>
          </w:p>
        </w:tc>
        <w:tc>
          <w:tcPr>
            <w:tcW w:type="dxa" w:w="2399"/>
            <w:gridSpan w:val="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r>
      <w:tr>
        <w:tc>
          <w:tcPr>
            <w:tcW w:type="dxa" w:w="1713"/>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联系人</w:t>
            </w:r>
          </w:p>
        </w:tc>
        <w:tc>
          <w:tcPr>
            <w:tcW w:type="dxa" w:w="10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c>
          <w:tcPr>
            <w:tcW w:type="dxa" w:w="4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90"/>
              <w:jc w:val="left"/>
            </w:pPr>
            <w:r>
              <w:rPr>
                <w:sz w:val="18"/>
              </w:rPr>
              <w:t>电话</w:t>
            </w:r>
          </w:p>
        </w:tc>
        <w:tc>
          <w:tcPr>
            <w:tcW w:type="dxa" w:w="10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c>
          <w:tcPr>
            <w:tcW w:type="dxa" w:w="171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联系人</w:t>
            </w:r>
          </w:p>
        </w:tc>
        <w:tc>
          <w:tcPr>
            <w:tcW w:type="dxa" w:w="10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c>
          <w:tcPr>
            <w:tcW w:type="dxa" w:w="3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90"/>
              <w:jc w:val="left"/>
            </w:pPr>
            <w:r>
              <w:rPr>
                <w:sz w:val="18"/>
              </w:rPr>
              <w:t>电话</w:t>
            </w:r>
          </w:p>
        </w:tc>
        <w:tc>
          <w:tcPr>
            <w:tcW w:type="dxa" w:w="10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05"/>
              <w:jc w:val="left"/>
            </w:pPr>
            <w:r>
              <w:rPr>
                <w:sz w:val="21"/>
              </w:rPr>
              <w:t>（必填项）</w:t>
            </w:r>
          </w:p>
        </w:tc>
      </w:tr>
      <w:tr>
        <w:tc>
          <w:tcPr>
            <w:tcW w:type="dxa" w:w="1713"/>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传真</w:t>
            </w:r>
          </w:p>
        </w:tc>
        <w:tc>
          <w:tcPr>
            <w:tcW w:type="dxa" w:w="10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c>
          <w:tcPr>
            <w:tcW w:type="dxa" w:w="4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90"/>
              <w:jc w:val="left"/>
            </w:pPr>
            <w:r>
              <w:rPr>
                <w:sz w:val="18"/>
              </w:rPr>
              <w:t>邮编</w:t>
            </w:r>
          </w:p>
        </w:tc>
        <w:tc>
          <w:tcPr>
            <w:tcW w:type="dxa" w:w="10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c>
          <w:tcPr>
            <w:tcW w:type="dxa" w:w="171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传真</w:t>
            </w:r>
          </w:p>
        </w:tc>
        <w:tc>
          <w:tcPr>
            <w:tcW w:type="dxa" w:w="102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c>
          <w:tcPr>
            <w:tcW w:type="dxa" w:w="3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90"/>
              <w:jc w:val="left"/>
            </w:pPr>
            <w:r>
              <w:rPr>
                <w:sz w:val="18"/>
              </w:rPr>
              <w:t>邮编</w:t>
            </w:r>
          </w:p>
        </w:tc>
        <w:tc>
          <w:tcPr>
            <w:tcW w:type="dxa" w:w="10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105"/>
              <w:jc w:val="left"/>
            </w:pPr>
            <w:r>
              <w:rPr>
                <w:sz w:val="21"/>
              </w:rPr>
              <w:t>（必填项）</w:t>
            </w:r>
          </w:p>
        </w:tc>
      </w:tr>
      <w:tr>
        <w:tc>
          <w:tcPr>
            <w:tcW w:type="dxa" w:w="1713"/>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开户</w:t>
            </w:r>
            <w:r>
              <w:br/>
            </w:r>
            <w:r>
              <w:rPr>
                <w:sz w:val="18"/>
              </w:rPr>
              <w:t>银行</w:t>
            </w:r>
          </w:p>
        </w:tc>
        <w:tc>
          <w:tcPr>
            <w:tcW w:type="dxa" w:w="2484"/>
            <w:gridSpan w:val="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90"/>
              <w:jc w:val="left"/>
            </w:pPr>
            <w:r>
              <w:rPr>
                <w:sz w:val="18"/>
              </w:rPr>
              <w:t>工商银行广州市高新区支行</w:t>
            </w:r>
            <w:r>
              <w:rPr>
                <w:sz w:val="21"/>
              </w:rPr>
              <w:t xml:space="preserve">  </w:t>
            </w:r>
          </w:p>
        </w:tc>
        <w:tc>
          <w:tcPr>
            <w:tcW w:type="dxa" w:w="171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开户</w:t>
            </w:r>
            <w:r>
              <w:rPr>
                <w:sz w:val="21"/>
              </w:rPr>
              <w:t xml:space="preserve"> </w:t>
            </w:r>
            <w:r>
              <w:br/>
            </w:r>
            <w:r>
              <w:rPr>
                <w:sz w:val="18"/>
              </w:rPr>
              <w:t>银行</w:t>
            </w:r>
          </w:p>
        </w:tc>
        <w:tc>
          <w:tcPr>
            <w:tcW w:type="dxa" w:w="2399"/>
            <w:gridSpan w:val="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r>
      <w:tr>
        <w:tc>
          <w:tcPr>
            <w:tcW w:type="dxa" w:w="1713"/>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银行</w:t>
            </w:r>
            <w:r>
              <w:br/>
            </w:r>
            <w:r>
              <w:rPr>
                <w:sz w:val="18"/>
              </w:rPr>
              <w:t>帐号</w:t>
            </w:r>
          </w:p>
        </w:tc>
        <w:tc>
          <w:tcPr>
            <w:tcW w:type="dxa" w:w="2484"/>
            <w:gridSpan w:val="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90"/>
              <w:jc w:val="left"/>
            </w:pPr>
            <w:r>
              <w:rPr>
                <w:sz w:val="18"/>
              </w:rPr>
              <w:t xml:space="preserve">3602008109000386071  </w:t>
            </w:r>
          </w:p>
        </w:tc>
        <w:tc>
          <w:tcPr>
            <w:tcW w:type="dxa" w:w="171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银行</w:t>
            </w:r>
            <w:r>
              <w:rPr>
                <w:sz w:val="21"/>
              </w:rPr>
              <w:t xml:space="preserve"> </w:t>
            </w:r>
            <w:r>
              <w:br/>
            </w:r>
            <w:r>
              <w:rPr>
                <w:sz w:val="18"/>
              </w:rPr>
              <w:t>帐号</w:t>
            </w:r>
          </w:p>
        </w:tc>
        <w:tc>
          <w:tcPr>
            <w:tcW w:type="dxa" w:w="2399"/>
            <w:gridSpan w:val="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ind w:firstLine="105"/>
              <w:jc w:val="left"/>
            </w:pPr>
            <w:r>
              <w:rPr>
                <w:sz w:val="21"/>
              </w:rPr>
              <w:t>（必填项）</w:t>
            </w:r>
          </w:p>
        </w:tc>
      </w:tr>
      <w:tr>
        <w:tc>
          <w:tcPr>
            <w:tcW w:type="dxa" w:w="1713"/>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法定代表人/委托代理人</w:t>
            </w:r>
          </w:p>
        </w:tc>
        <w:tc>
          <w:tcPr>
            <w:tcW w:type="dxa" w:w="2484"/>
            <w:gridSpan w:val="3"/>
            <w:vMerge w:val="restart"/>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sz w:val="21"/>
              </w:rPr>
              <w:t xml:space="preserve"> </w:t>
            </w:r>
            <w:r>
              <w:rPr>
                <w:sz w:val="21"/>
              </w:rPr>
              <w:t>（必填项）</w:t>
            </w:r>
          </w:p>
        </w:tc>
        <w:tc>
          <w:tcPr>
            <w:tcW w:type="dxa" w:w="171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法定代表人/委托代理人</w:t>
            </w:r>
          </w:p>
        </w:tc>
        <w:tc>
          <w:tcPr>
            <w:tcW w:type="dxa" w:w="2399"/>
            <w:gridSpan w:val="3"/>
            <w:vMerge w:val="restart"/>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sz w:val="21"/>
              </w:rPr>
              <w:t xml:space="preserve"> </w:t>
            </w:r>
            <w:r>
              <w:rPr>
                <w:sz w:val="21"/>
              </w:rPr>
              <w:t>（必填项）</w:t>
            </w:r>
          </w:p>
        </w:tc>
      </w:tr>
      <w:tr>
        <w:tc>
          <w:tcPr>
            <w:tcW w:type="dxa" w:w="1713"/>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18"/>
              </w:rPr>
              <w:t>签订日期、甲方盖章</w:t>
            </w:r>
          </w:p>
        </w:tc>
        <w:tc>
          <w:tcPr>
            <w:tcW w:type="dxa" w:w="2484"/>
            <w:gridSpan w:val="3"/>
            <w:vMerge/>
            <w:tcBorders>
              <w:top w:val="none" w:color="000000" w:sz="4"/>
              <w:left w:val="none" w:color="000000" w:sz="4"/>
              <w:bottom w:val="single" w:color="000000" w:sz="4"/>
              <w:right w:val="single" w:color="000000" w:sz="4"/>
            </w:tcBorders>
          </w:tcPr>
          <w:p/>
        </w:tc>
        <w:tc>
          <w:tcPr>
            <w:tcW w:type="dxa" w:w="1713"/>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18"/>
              </w:rPr>
              <w:t>签订日期、乙方盖章</w:t>
            </w:r>
          </w:p>
        </w:tc>
        <w:tc>
          <w:tcPr>
            <w:tcW w:type="dxa" w:w="2399"/>
            <w:gridSpan w:val="3"/>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pPr>
      <w:r>
        <w:rPr>
          <w:sz w:val="21"/>
        </w:rPr>
        <w:t>附件1：</w:t>
      </w:r>
    </w:p>
    <w:p>
      <w:pPr>
        <w:pStyle w:val="null3"/>
        <w:ind w:firstLine="281"/>
        <w:jc w:val="center"/>
      </w:pPr>
      <w:r>
        <w:rPr>
          <w:sz w:val="28"/>
          <w:b/>
        </w:rPr>
        <w:t>合同标的</w:t>
      </w:r>
    </w:p>
    <w:p>
      <w:pPr>
        <w:pStyle w:val="null3"/>
        <w:jc w:val="both"/>
      </w:pPr>
      <w:r>
        <w:rPr>
          <w:sz w:val="21"/>
        </w:rPr>
        <w:t>货币单位：人民币元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692"/>
        <w:gridCol w:w="1125"/>
        <w:gridCol w:w="779"/>
        <w:gridCol w:w="779"/>
        <w:gridCol w:w="1817"/>
        <w:gridCol w:w="779"/>
        <w:gridCol w:w="779"/>
        <w:gridCol w:w="779"/>
        <w:gridCol w:w="779"/>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货物名称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型号</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详细配置清单</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总价</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81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合同总价</w:t>
            </w:r>
          </w:p>
        </w:tc>
        <w:tc>
          <w:tcPr>
            <w:tcW w:type="dxa" w:w="649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（人民币）：</w:t>
            </w:r>
            <w:r>
              <w:rPr>
                <w:sz w:val="21"/>
              </w:rPr>
              <w:t>佰拾万仟佰拾元角分</w:t>
            </w:r>
            <w:r>
              <w:rPr>
                <w:sz w:val="21"/>
              </w:rPr>
              <w:t>（￥           ）</w:t>
            </w:r>
            <w:r>
              <w:rPr>
                <w:sz w:val="21"/>
              </w:rPr>
              <w:t>，（CNY）</w:t>
            </w:r>
          </w:p>
        </w:tc>
      </w:tr>
    </w:tbl>
    <w:p>
      <w:pPr>
        <w:pStyle w:val="null3"/>
        <w:jc w:val="both"/>
      </w:pPr>
      <w:r>
        <w:rPr>
          <w:sz w:val="21"/>
        </w:rPr>
        <w:t>注：此表由双方的法定代表人或委托代理人手写签名确认。如果多页的，则每页均需手写签名确认。</w:t>
      </w:r>
    </w:p>
    <w:p>
      <w:pPr>
        <w:pStyle w:val="null3"/>
        <w:spacing w:before="120"/>
        <w:ind w:firstLine="211"/>
        <w:jc w:val="both"/>
      </w:pPr>
      <w:r>
        <w:rPr>
          <w:sz w:val="21"/>
          <w:b/>
        </w:rPr>
        <w:t>甲方:                                            乙方: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440001-2024-11458</w:t>
      </w:r>
    </w:p>
    <w:p>
      <w:pPr>
        <w:pStyle w:val="null3"/>
        <w:jc w:val="center"/>
        <w:outlineLvl w:val="3"/>
      </w:pPr>
      <w:r>
        <w:rPr>
          <w:sz w:val="24"/>
          <w:b/>
        </w:rPr>
        <w:t>采购项目编号：</w:t>
      </w:r>
      <w:r>
        <w:rPr>
          <w:sz w:val="24"/>
          <w:b/>
        </w:rPr>
        <w:t>440001-2024-11458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华南师范大学近红外脑功能成像装置采购项目</w:t>
      </w:r>
      <w:r>
        <w:rPr>
          <w:u w:val="single"/>
        </w:rPr>
        <w:t>”</w:t>
      </w:r>
      <w:r>
        <w:rPr/>
        <w:t>项目的招标[采购项目编号为：</w:t>
      </w:r>
      <w:r>
        <w:rPr>
          <w:u w:val="single"/>
        </w:rPr>
        <w:t>440001-2024-11458</w:t>
      </w:r>
      <w:r>
        <w:rPr/>
        <w:t>]，我方愿参与投标。</w:t>
      </w:r>
    </w:p>
    <w:p>
      <w:pPr>
        <w:pStyle w:val="null3"/>
        <w:ind w:firstLine="480"/>
      </w:pPr>
      <w:r>
        <w:rPr/>
        <w:t>我方确认收到贵方提供的</w:t>
      </w:r>
      <w:r>
        <w:rPr>
          <w:u w:val="single"/>
        </w:rPr>
        <w:t>“</w:t>
      </w:r>
      <w:r>
        <w:rPr>
          <w:u w:val="single"/>
        </w:rPr>
        <w:t>华南师范大学近红外脑功能成像装置采购项目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华南师范大学近红外脑功能成像装置采购项目</w:t>
      </w:r>
      <w:r>
        <w:rPr/>
        <w:t>”项目采购[采购项目编号为</w:t>
      </w:r>
      <w:r>
        <w:rPr/>
        <w:t>440001-2024-11458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华南师范大学近红外脑功能成像装置采购项目</w:t>
      </w:r>
      <w:r>
        <w:rPr/>
        <w:t>招标中获中标（采购项目编号：</w:t>
      </w:r>
      <w:r>
        <w:rPr/>
        <w:t>440001-2024-11458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华南师范大学近红外脑功能成像装置采购项目</w:t>
      </w:r>
      <w:r>
        <w:rPr/>
        <w:t>”项目（采购项目编号：</w:t>
      </w:r>
      <w:r>
        <w:rPr/>
        <w:t>440001-2024-11458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