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440001-2024-17752</w:t>
      </w:r>
    </w:p>
    <w:p>
      <w:pPr>
        <w:pStyle w:val="null3"/>
        <w:jc w:val="center"/>
        <w:outlineLvl w:val="3"/>
      </w:pPr>
      <w:r>
        <w:rPr>
          <w:sz w:val="24"/>
          <w:b/>
        </w:rPr>
        <w:t>采购项目编号：</w:t>
      </w:r>
      <w:r>
        <w:rPr>
          <w:sz w:val="24"/>
          <w:b/>
        </w:rPr>
        <w:t>440001-2024-17752</w:t>
      </w:r>
    </w:p>
    <w:p>
      <w:pPr>
        <w:pStyle w:val="null3"/>
        <w:jc w:val="center"/>
        <w:outlineLvl w:val="3"/>
      </w:pPr>
      <w:r>
        <w:rPr>
          <w:sz w:val="24"/>
          <w:b/>
        </w:rPr>
        <w:t>项目名称：</w:t>
      </w:r>
      <w:r>
        <w:rPr>
          <w:sz w:val="24"/>
          <w:b/>
        </w:rPr>
        <w:t>2024年广东省医疗器械质量监督检验所仪器设备采购项目十</w:t>
      </w:r>
    </w:p>
    <w:p>
      <w:pPr>
        <w:pStyle w:val="null3"/>
        <w:jc w:val="center"/>
        <w:outlineLvl w:val="3"/>
      </w:pPr>
      <w:r>
        <w:rPr>
          <w:sz w:val="24"/>
          <w:b/>
        </w:rPr>
        <w:t>采购人：</w:t>
      </w:r>
      <w:r>
        <w:rPr>
          <w:sz w:val="24"/>
          <w:b/>
        </w:rPr>
        <w:t>广东省医疗器械质量监督检验所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广东省医疗器械质量监督检验所</w:t>
      </w:r>
      <w:r>
        <w:rPr/>
        <w:t>的委托，采用</w:t>
      </w:r>
      <w:r>
        <w:rPr/>
        <w:t>公开招标</w:t>
      </w:r>
      <w:r>
        <w:rPr/>
        <w:t>方式组织采购</w:t>
      </w:r>
      <w:r>
        <w:rPr/>
        <w:t>2024年广东省医疗器械质量监督检验所仪器设备采购项目十</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2024年广东省医疗器械质量监督检验所仪器设备采购项目十</w:t>
      </w:r>
    </w:p>
    <w:p>
      <w:pPr>
        <w:pStyle w:val="null3"/>
        <w:ind w:firstLine="480"/>
      </w:pPr>
      <w:r>
        <w:rPr/>
        <w:t>采购计划编号：</w:t>
      </w:r>
      <w:r>
        <w:rPr/>
        <w:t>440001-2024-17752</w:t>
      </w:r>
    </w:p>
    <w:p>
      <w:pPr>
        <w:pStyle w:val="null3"/>
        <w:ind w:firstLine="480"/>
      </w:pPr>
      <w:r>
        <w:rPr/>
        <w:t>采购项目编号：</w:t>
      </w:r>
      <w:r>
        <w:rPr/>
        <w:t>440001-2024-17752</w:t>
      </w:r>
    </w:p>
    <w:p>
      <w:pPr>
        <w:pStyle w:val="null3"/>
        <w:ind w:firstLine="480"/>
      </w:pPr>
      <w:r>
        <w:rPr/>
        <w:t>采购方式：</w:t>
      </w:r>
      <w:r>
        <w:rPr/>
        <w:t>公开招标</w:t>
      </w:r>
    </w:p>
    <w:p>
      <w:pPr>
        <w:pStyle w:val="null3"/>
        <w:ind w:firstLine="480"/>
      </w:pPr>
      <w:r>
        <w:rPr/>
        <w:t>预算金额：</w:t>
      </w:r>
      <w:r>
        <w:rPr/>
        <w:t>4,550,000.00</w:t>
      </w:r>
      <w:r>
        <w:rPr/>
        <w:t>元</w:t>
      </w:r>
    </w:p>
    <w:p>
      <w:pPr>
        <w:pStyle w:val="null3"/>
        <w:outlineLvl w:val="3"/>
      </w:pPr>
      <w:r>
        <w:rPr>
          <w:sz w:val="24"/>
          <w:b/>
        </w:rPr>
        <w:t>2.项目内容及需求情况（采购项目技术规格、参数及要求）</w:t>
      </w:r>
    </w:p>
    <w:p>
      <w:pPr>
        <w:pStyle w:val="null3"/>
      </w:pPr>
      <w:r>
        <w:rPr/>
        <w:t>采购包1(2024年广东省医疗器械质量监督检验所仪器设备采购项目十（包1）):</w:t>
      </w:r>
    </w:p>
    <w:p>
      <w:pPr>
        <w:pStyle w:val="null3"/>
      </w:pPr>
      <w:r>
        <w:rPr/>
        <w:t>采购包预算金额：2,200,000.00元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其他仪器仪表</w:t>
            </w:r>
          </w:p>
        </w:tc>
        <w:tc>
          <w:tcPr>
            <w:tcW w:type="dxa" w:w="2052"/>
          </w:tcPr>
          <w:p>
            <w:pPr>
              <w:pStyle w:val="null3"/>
            </w:pPr>
            <w:r>
              <w:rPr/>
              <w:t>电感耦合等离子-质谱仪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pPr>
      <w:r>
        <w:rPr/>
        <w:t>采购包2(2024年广东省医疗器械质量监督检验所仪器设备采购项目十（包2）):</w:t>
      </w:r>
    </w:p>
    <w:p>
      <w:pPr>
        <w:pStyle w:val="null3"/>
      </w:pPr>
      <w:r>
        <w:rPr/>
        <w:t>采购包预算金额：2,350,000.00元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其他仪器仪表</w:t>
            </w:r>
          </w:p>
        </w:tc>
        <w:tc>
          <w:tcPr>
            <w:tcW w:type="dxa" w:w="2052"/>
          </w:tcPr>
          <w:p>
            <w:pPr>
              <w:pStyle w:val="null3"/>
            </w:pPr>
            <w:r>
              <w:rPr/>
              <w:t>气相色谱仪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950,000.00</w:t>
            </w:r>
          </w:p>
        </w:tc>
        <w:tc>
          <w:tcPr>
            <w:tcW w:type="dxa" w:w="977"/>
          </w:tcPr>
          <w:p>
            <w:pPr>
              <w:pStyle w:val="null3"/>
            </w:pPr>
            <w:r>
              <w:rPr/>
              <w:t>是</w:t>
            </w:r>
          </w:p>
        </w:tc>
      </w:tr>
      <w:tr>
        <w:tc>
          <w:tcPr>
            <w:tcW w:type="dxa" w:w="977"/>
          </w:tcPr>
          <w:p>
            <w:pPr>
              <w:pStyle w:val="null3"/>
            </w:pPr>
            <w:r>
              <w:rPr/>
              <w:t>2-2</w:t>
            </w:r>
          </w:p>
        </w:tc>
        <w:tc>
          <w:tcPr>
            <w:tcW w:type="dxa" w:w="1368"/>
          </w:tcPr>
          <w:p>
            <w:pPr>
              <w:pStyle w:val="null3"/>
            </w:pPr>
            <w:r>
              <w:rPr/>
              <w:t>其他仪器仪表</w:t>
            </w:r>
          </w:p>
        </w:tc>
        <w:tc>
          <w:tcPr>
            <w:tcW w:type="dxa" w:w="2052"/>
          </w:tcPr>
          <w:p>
            <w:pPr>
              <w:pStyle w:val="null3"/>
            </w:pPr>
            <w:r>
              <w:rPr/>
              <w:t>核磁共振波谱仪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1,400,000.00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3）具有良好的商业信誉和健全的财务会计制度：供应商必须具有良好的商业信誉和健全的财务会计制度（提供2022年或2023年年度财务状况报告或基本开户行出具的资信证明） 。</w:t>
      </w:r>
    </w:p>
    <w:p>
      <w:pPr>
        <w:pStyle w:val="null3"/>
      </w:pPr>
      <w:r>
        <w:rPr/>
        <w:t>4）履行合同所必需的设备和专业技术能力：按投标（响应）文件格式填报设备及专业技术能力情况。格式自拟。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采购包1（2024年广东省医疗器械质量监督检验所仪器设备采购项目十（包1））：</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采购包2（2024年广东省医疗器械质量监督检验所仪器设备采购项目十（包2））：</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广东省医疗器械质量监督检验所</w:t>
      </w:r>
    </w:p>
    <w:p>
      <w:pPr>
        <w:pStyle w:val="null3"/>
        <w:ind w:firstLine="480"/>
      </w:pPr>
      <w:r>
        <w:rPr/>
        <w:t xml:space="preserve"> 地址：</w:t>
      </w:r>
      <w:r>
        <w:rPr/>
        <w:t>广州市黄埔区科学城光谱西路1号</w:t>
      </w:r>
    </w:p>
    <w:p>
      <w:pPr>
        <w:pStyle w:val="null3"/>
        <w:ind w:firstLine="480"/>
      </w:pPr>
      <w:r>
        <w:rPr/>
        <w:t xml:space="preserve"> 联系方式：</w:t>
      </w:r>
      <w:r>
        <w:rPr/>
        <w:t>刘先生020-66602781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1、投标人须对本项目为单位（有划分包组的，则以包组为单位）的标的物进行整体投标，任何只对其中一部分内容进行的投标都被视为无效投标。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3、本项目采购包1核心产品为：</w:t>
      </w:r>
      <w:r>
        <w:rPr>
          <w:sz w:val="21"/>
          <w:b/>
        </w:rPr>
        <w:t>电感耦合等离子</w:t>
      </w:r>
      <w:r>
        <w:rPr>
          <w:sz w:val="21"/>
          <w:b/>
        </w:rPr>
        <w:t>-质谱仪</w:t>
      </w:r>
      <w:r>
        <w:rPr>
          <w:sz w:val="21"/>
          <w:b/>
        </w:rPr>
        <w:t>；采购包</w:t>
      </w:r>
      <w:r>
        <w:rPr>
          <w:sz w:val="21"/>
          <w:b/>
        </w:rPr>
        <w:t>2核心产品为：</w:t>
      </w:r>
      <w:r>
        <w:rPr>
          <w:sz w:val="21"/>
          <w:b/>
        </w:rPr>
        <w:t>核磁共振波谱仪。</w:t>
      </w:r>
    </w:p>
    <w:p>
      <w:pPr>
        <w:pStyle w:val="null3"/>
        <w:jc w:val="both"/>
      </w:pPr>
      <w:r>
        <w:rPr>
          <w:sz w:val="21"/>
        </w:rPr>
        <w:t>4、</w:t>
      </w:r>
      <w:r>
        <w:rPr>
          <w:sz w:val="21"/>
        </w:rPr>
        <w:t>经同意，本项目（</w:t>
      </w:r>
      <w:r>
        <w:rPr>
          <w:sz w:val="21"/>
        </w:rPr>
        <w:t>电感耦合等离子</w:t>
      </w:r>
      <w:r>
        <w:rPr>
          <w:sz w:val="21"/>
        </w:rPr>
        <w:t>-质谱仪、气相色谱仪、</w:t>
      </w:r>
      <w:r>
        <w:rPr>
          <w:sz w:val="21"/>
        </w:rPr>
        <w:t>核磁共振波谱仪</w:t>
      </w:r>
      <w:r>
        <w:rPr>
          <w:sz w:val="21"/>
        </w:rPr>
        <w:t>）允许采购进口产品。</w:t>
      </w:r>
      <w:r>
        <w:br/>
      </w:r>
      <w:r>
        <w:rPr>
          <w:sz w:val="21"/>
        </w:rPr>
        <w:t>5、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采购需求中列明所需的备品备件等的全部含税费用。</w:t>
      </w:r>
    </w:p>
    <w:p>
      <w:pPr>
        <w:pStyle w:val="null3"/>
      </w:pPr>
      <w:r>
        <w:rPr/>
        <w:t>采购包1（2024年广东省医疗器械质量监督检验所仪器设备采购项目十（包1））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自合同签订之日起90个日历天内交货，货物到货后50个日历天内安装完成并通过采购人验收和法定计量部门计量检定。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提供合同总价的10%的履约保证金（如中标人为中小企业，按合同总价的5%缴纳履约保证金）给采购人，采购人支付合同总价的70%作为预付款给中标人。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2期：支付比例20%,（1）合同约定的货物全部到货且收到中标人开具符合采购人要求的发票（发票金额为20%合同总价）后10个工作日内，采购人支付20%的进度款给中标人。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3期：支付比例10%,（1）所有货物经法定计量部门计量检定（合同中特殊规定的除外），采购人验收合格且收到中标人开具符合采购人要求的发票（发票金额为10%合同总价）后10个工作日内，采购人支付10%合同尾款。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tc>
      </w:tr>
      <w:tr>
        <w:tc>
          <w:tcPr>
            <w:tcW w:type="dxa" w:w="4153"/>
          </w:tcPr>
          <w:p>
            <w:pPr>
              <w:pStyle w:val="null3"/>
            </w:pPr>
            <w:r>
              <w:rPr/>
              <w:t>验收要求</w:t>
            </w:r>
          </w:p>
        </w:tc>
        <w:tc>
          <w:tcPr>
            <w:tcW w:type="dxa" w:w="4153"/>
          </w:tcPr>
          <w:p>
            <w:pPr>
              <w:pStyle w:val="null3"/>
            </w:pPr>
            <w:r>
              <w:rPr/>
              <w:t>1期：1.验收流程： 送检货物：卖方先将货物送计量，再同计量检定合格的证书一并交付买方； 现场计量货物：卖方先安排货物的安装、培训，再安排上门计量，在收到计量检定合格的证书后方进行验收。 2.验收时卖方应提供计量检定合格、有效的计量或校准报告/证书，中文版说明书等；如货物无法计量，则以厂家出具的验证方案为验收标准。 3.在有关部门进行验收时，卖方应及时配合买方。 4.卖方提供的货物不符合质量、技术要求，致使货物未能满足买方的设计性能，买方可拒收货物或单方面解除合同，标的物毁损、丢失的风险由卖方承担。 5.测试及验收工作由买方组织，验收合格后，买卖双方签署符合买方要求的验收记录。 6.交验的货物必须符合中华人民共和国国家安全质量标准、环保标准或行业标准；符合采购文件/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 7.如无特别说明，买方按货物标准配置或原出厂装箱单验收货物的备品、配件，货物铭牌要求清晰可见。 8.买方验收时卖方需提供下列资料：使用说明书（电子版）、原厂装箱单（如有）、合格证（如有）、通关材料（进口设备）、国家认可计量单位的计量证、培训记录、发票，否则不予验收（特殊情况双方另行协商）。</w:t>
            </w:r>
          </w:p>
        </w:tc>
      </w:tr>
      <w:tr>
        <w:tc>
          <w:tcPr>
            <w:tcW w:type="dxa" w:w="4153"/>
          </w:tcPr>
          <w:p>
            <w:pPr>
              <w:pStyle w:val="null3"/>
            </w:pPr>
            <w:r>
              <w:rPr/>
              <w:t>履约保证金</w:t>
            </w:r>
          </w:p>
        </w:tc>
        <w:tc>
          <w:tcPr>
            <w:tcW w:type="dxa" w:w="4153"/>
          </w:tcPr>
          <w:p>
            <w:pPr>
              <w:pStyle w:val="null3"/>
            </w:pPr>
            <w:r>
              <w:rPr/>
              <w:t>收取比例：10%,说明：（1）提供合同总价的10%的履约保证金（如中标人为中小企业，按合同总价的5%缴纳履约保证金）给采购人； （2）在中标人主要义务履行完毕后10个工作日内，采购人退还合同总价10%的履约保证金（如中标人为中小企业，退还合同总价的5%的履约保证金）（无息）。如提供的货物有特殊质保期要求的（如超过1年），中标人须提供该货物的质量保证承诺函。如在合同期内，中标人自行停止履行合约或违反合同有关规定被采购人终止合约的，则采购人不予退还履约保证金。若中标人不履行或不适当履行其合同义务导致采购人蒙受损失的，采购人有权直接从履约保证金中扣除相应违约金或损失赔偿款项，也有权依据履约保函向出具保函人直接索赔；违约金或给采购人造成的损失超过履约保证金数额的，中标人应对超出部分给予赔偿。采购人逾期退还履约保证金的，除应当退还履约保证金本金外，还应当每日按合同总价的0.1‰向中标人偿付违约金，但因合同的履行产生争议或由于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要求，一、包装运输：1.包装必须与运输方式相适应，包装方式的确定及费用均由中标人负责；若由于不适当的包装而造成货物在运输过程中有任何损坏、丢失均由中标人负责。2.包装应足以承受整个过程中的运输、转运、装卸、储存等，充分考虑到运输途中的各种情况（如暴露于恶劣气候等），以及露天存放的需要。3.专用工具及备品备件应分别包装，并在包装箱外加以注明其用处。4.每一包装箱两个侧面用不褪色的油漆和明显易见的中文字样做出标记。标记内容包括：箱（件）号、装运标志（唛头）、毛重（kg）、尺码（长×宽×高，用mm表示）、净重（kg）、到货地址、收货人名称、货物名称、合同编号以及“勿近潮湿”、“小心轻放”、“此边向上”等。5.以下单证原件在到货同时交给采购人：（1）装运单一份，注明合同号、装运标志、货物内容、每件包装尺码及重量；（2）制造厂出具的出厂装箱单、质量检验合格证明书各一式一份。 二、售后服务： 质量保证：①中标人应保证合同项下所供货物是全新的、未使用过的，是目前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②上述保证在货物验收合格交付采购人使用之日起按合同规定的质量保证期内有效，质量保证期至少为1年，在质保期内中标人提供货物正常使用情况下的维修及保养服务，一切维修、维护、保养费用均由中标人负责。任何时候，中标人均不能免除因设备本身的缺陷所应负的责任。在质保期内如设备或零部件因不可抗因素造成损害、故障而造成短期停用时，则质保期和免费维修期相应顺延。如停用时间累计超过60天则质保期重新计算。③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④采购人在质量保证期内发现缺陷应尽快以书面形式通知中标人。对质保期内的故障报修，中标人应按其投标文件响应方案设定服务热线或专人直线，保证在接到报障后按上款规定执行更换有缺陷的货物或部件、排除故障。⑤对质保期内的故障报修，如中标人未能做到上述③、④款的服务承诺，采购人可采取必要的补救措施，但其风险和费用由中标人承担，采购人根据合同规定对中标人行使的其它权力不受影响。由于中标人的保证服务不到位导致货物不能正常使用的，质保期的到期时间将按货物不能正常使用的时间相应顺延。⑥质保期内因用户使用、管理不当所造成的损失由采购人承担，中标人提供有偿服务。⑦质保期内对于不能明确是否是本次采购所提供软硬件设备出现故障时，中标人应无条件配合采购人进行检查和排除问题。 质量保证期后服务：①质保期满后，若产品有危害人身安全和健康的产品质量问题，则由中标人负责更换及维修。②质保期满后，应采购人要求，中标人应（参考当时的市场价格）按优惠价格与采购人签订定期维修保养合同及提供采购人所需零配件。③在备件停止生产的情况下，中标人应事先将要停止生产的计划通知采购人，使采购人有足够的时间采购所需备件；在备件停止生产后，中标人应向采购人提供备件的图纸、资料。 三、保险：根据本项目合同关于产权与风险转移条款规定，中标人承担货物到达交货地点并安装、验收合格交付使用之前的所有风险。因此，中标人应按货物总价的110％价值为货物投保一切险、为派往采购人服务的人员投保人身险、为货物交付前活动可能涉及的第三方投保相关险种，保险费用均由中标人负责。 四、检验与测试：1.采购人或其代表有权检验和/或测试货物，以确认货物是否符合合同规格的要求，并且不承担额外的费用。采购人要求进行的检验和测试以及在何处进行这些检验和测试，将参照合同条款的技术规格并以采购人具体验收要求为准。采购人将及时以书面形式把进行检验和/或采购人测试代表的身份通知中标人。 2.检验和测试可以在中标人或其分包人的驻地、交货地和/或货物的最终目的地进行。如果在中标人或其分包人的驻地进行，检测人员应能得全部合理的设施和协助，采购人不应承担费用。 3.如果任何被检验或测试的货物不能满足规格的要求，采购人可以拒绝接受该货物，中标人应更换被拒绝的货物，或者进行必要的修改以满足规格的要求。 4.采购人在货物到达的目的地后对货物进行检验、测试及必要时拒绝接受货物的权利将不会因为货物在中标人或其分包人的驻地已通过了采购人或其代表的检验、测试和认可而受到限制或放弃。 5.交货时，中标人应将制造商对货物的质量、规格、性能、数量和重量等进行详细而全面的检验，并出具一份证明货物符合合同规定的检验证书，检验证书是付款的文件依据之一，但不能作为有关质量、规 格、性能、数量或重量的最终检验。制造商检验的结果和细节应附在质量检验证书后面。6.如果货物是进口产品，中标人应附上经中华人民共和国国家出入境检验检疫主管部门对货物的质量、规格、数量和重量进行检验并合格的检验证书。 五、安装、调试与运行：1.中标人必须向采购人提供合同货物安装所需的材料（如设备调试过程中需要用到的标准品等耗材等）、技术资料以及所需工具。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合同所述货物的规格、技术指标及安装工艺，有足够能力安装、调试合同的货物并使之达到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5.中标人人员实施及监督所供货物的试运行，并在双方商定的一定期限内对所供货物运行、维护实施监督指导，其他但监督指导并不能免除中标人在质量保证期内所承担的义务。 六、培训：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2.中标人应与采购人沟通，根据采购人的实际情况，制定适合用户的详细培训计划（包括：培训时间，培训内容、培训对象、培训方式等），中标人负责提供现场操作、运行、维护、维修的培训方案及必需的培训资料。3.中标人负责组织对采购人受训人员进行操作、维修、保养的培训，培训老师应是货物制造商/厂家有经验的工程技术专业人员。如有需要，中标人应为采购人安排二次培训，具体要求由双方共同商定。4.培训前，中标人应与采购人进行良好沟通，安排好培训所用设施和培训资料等，确保达到预期培训效果。</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电感耦合等离子-质谱仪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jc w:val="right"/>
            </w:pPr>
            <w:r>
              <w:rPr/>
              <w:t>2,200,000.00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电感耦合等离子-质谱仪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rPr>
              <w:t>1.蠕动泵：四通道12滚轮设计，泵速0～100rpm连续可调，具有智能清洗功能。</w:t>
            </w:r>
          </w:p>
        </w:tc>
      </w:tr>
      <w:tr>
        <w:tc>
          <w:tcPr>
            <w:tcW w:type="dxa" w:w="2076"/>
          </w:tcPr>
          <w:p/>
        </w:tc>
        <w:tc>
          <w:tcPr>
            <w:tcW w:type="dxa" w:w="415"/>
          </w:tcPr>
          <w:p>
            <w:pPr>
              <w:pStyle w:val="null3"/>
            </w:pPr>
            <w:r>
              <w:rPr/>
              <w:t>2</w:t>
            </w:r>
          </w:p>
        </w:tc>
        <w:tc>
          <w:tcPr>
            <w:tcW w:type="dxa" w:w="5814"/>
          </w:tcPr>
          <w:p>
            <w:pPr>
              <w:pStyle w:val="null3"/>
            </w:pPr>
            <w:r>
              <w:rPr>
                <w:sz w:val="22"/>
              </w:rPr>
              <w:t>2.雾化器：高效率同心雾化器。</w:t>
            </w:r>
          </w:p>
        </w:tc>
      </w:tr>
      <w:tr>
        <w:tc>
          <w:tcPr>
            <w:tcW w:type="dxa" w:w="2076"/>
          </w:tcPr>
          <w:p>
            <w:pPr>
              <w:pStyle w:val="null3"/>
            </w:pPr>
            <w:r>
              <w:rPr/>
              <w:t>▲</w:t>
            </w:r>
          </w:p>
        </w:tc>
        <w:tc>
          <w:tcPr>
            <w:tcW w:type="dxa" w:w="415"/>
          </w:tcPr>
          <w:p>
            <w:pPr>
              <w:pStyle w:val="null3"/>
            </w:pPr>
            <w:r>
              <w:rPr/>
              <w:t>3</w:t>
            </w:r>
          </w:p>
        </w:tc>
        <w:tc>
          <w:tcPr>
            <w:tcW w:type="dxa" w:w="5814"/>
          </w:tcPr>
          <w:p>
            <w:pPr>
              <w:pStyle w:val="null3"/>
              <w:jc w:val="left"/>
            </w:pPr>
            <w:r>
              <w:rPr>
                <w:sz w:val="22"/>
              </w:rPr>
              <w:t>▲3.雾化室：对雾化室制冷控温范围-8～</w:t>
            </w:r>
            <w:r>
              <w:rPr>
                <w:sz w:val="22"/>
                <w:b/>
              </w:rPr>
              <w:t>+</w:t>
            </w:r>
            <w:r>
              <w:rPr>
                <w:sz w:val="22"/>
              </w:rPr>
              <w:t>20℃，最低温度要求低于-8℃。</w:t>
            </w:r>
          </w:p>
        </w:tc>
      </w:tr>
      <w:tr>
        <w:tc>
          <w:tcPr>
            <w:tcW w:type="dxa" w:w="2076"/>
          </w:tcPr>
          <w:p/>
        </w:tc>
        <w:tc>
          <w:tcPr>
            <w:tcW w:type="dxa" w:w="415"/>
          </w:tcPr>
          <w:p>
            <w:pPr>
              <w:pStyle w:val="null3"/>
            </w:pPr>
            <w:r>
              <w:rPr/>
              <w:t>4</w:t>
            </w:r>
          </w:p>
        </w:tc>
        <w:tc>
          <w:tcPr>
            <w:tcW w:type="dxa" w:w="5814"/>
          </w:tcPr>
          <w:p>
            <w:pPr>
              <w:pStyle w:val="null3"/>
              <w:jc w:val="left"/>
            </w:pPr>
            <w:r>
              <w:rPr>
                <w:sz w:val="22"/>
              </w:rPr>
              <w:t>4.分体设计的可拆卸式石英炬管，预准直的炬管座内置式气路连接；如果是一体式炬管，需要提供</w:t>
            </w:r>
            <w:r>
              <w:rPr>
                <w:sz w:val="22"/>
                <w:b/>
              </w:rPr>
              <w:t>≥</w:t>
            </w:r>
            <w:r>
              <w:rPr>
                <w:sz w:val="22"/>
              </w:rPr>
              <w:t>10套作为耗材备用。</w:t>
            </w:r>
          </w:p>
        </w:tc>
      </w:tr>
      <w:tr>
        <w:tc>
          <w:tcPr>
            <w:tcW w:type="dxa" w:w="2076"/>
          </w:tcPr>
          <w:p/>
        </w:tc>
        <w:tc>
          <w:tcPr>
            <w:tcW w:type="dxa" w:w="415"/>
          </w:tcPr>
          <w:p>
            <w:pPr>
              <w:pStyle w:val="null3"/>
            </w:pPr>
            <w:r>
              <w:rPr/>
              <w:t>5</w:t>
            </w:r>
          </w:p>
        </w:tc>
        <w:tc>
          <w:tcPr>
            <w:tcW w:type="dxa" w:w="5814"/>
          </w:tcPr>
          <w:p>
            <w:pPr>
              <w:pStyle w:val="null3"/>
              <w:jc w:val="left"/>
            </w:pPr>
            <w:r>
              <w:rPr>
                <w:sz w:val="22"/>
              </w:rPr>
              <w:t>5.等离子体可视系统：具有Plasma TV功能，可以实时监控等离子体状态。</w:t>
            </w:r>
          </w:p>
        </w:tc>
      </w:tr>
      <w:tr>
        <w:tc>
          <w:tcPr>
            <w:tcW w:type="dxa" w:w="2076"/>
          </w:tcPr>
          <w:p/>
        </w:tc>
        <w:tc>
          <w:tcPr>
            <w:tcW w:type="dxa" w:w="415"/>
          </w:tcPr>
          <w:p>
            <w:pPr>
              <w:pStyle w:val="null3"/>
            </w:pPr>
            <w:r>
              <w:rPr/>
              <w:t>6</w:t>
            </w:r>
          </w:p>
        </w:tc>
        <w:tc>
          <w:tcPr>
            <w:tcW w:type="dxa" w:w="5814"/>
          </w:tcPr>
          <w:p>
            <w:pPr>
              <w:pStyle w:val="null3"/>
              <w:jc w:val="left"/>
            </w:pPr>
            <w:r>
              <w:rPr>
                <w:sz w:val="22"/>
              </w:rPr>
              <w:t>6.接口：拥有两种不同类型的接口技术，高灵敏度模式和耐高盐模式。截取锥口径≥0.5mm，采样锥口径≥1.1mm。耐高盐模式保证长期分析高盐样品的稳定性；高灵敏度模式可保证满足不同类型样品高通量分析或大进样量等应用需求。</w:t>
            </w:r>
          </w:p>
        </w:tc>
      </w:tr>
      <w:tr>
        <w:tc>
          <w:tcPr>
            <w:tcW w:type="dxa" w:w="2076"/>
          </w:tcPr>
          <w:p/>
        </w:tc>
        <w:tc>
          <w:tcPr>
            <w:tcW w:type="dxa" w:w="415"/>
          </w:tcPr>
          <w:p>
            <w:pPr>
              <w:pStyle w:val="null3"/>
            </w:pPr>
            <w:r>
              <w:rPr/>
              <w:t>7</w:t>
            </w:r>
          </w:p>
        </w:tc>
        <w:tc>
          <w:tcPr>
            <w:tcW w:type="dxa" w:w="5814"/>
          </w:tcPr>
          <w:p>
            <w:pPr>
              <w:pStyle w:val="null3"/>
              <w:jc w:val="left"/>
            </w:pPr>
            <w:r>
              <w:rPr>
                <w:sz w:val="22"/>
              </w:rPr>
              <w:t>7.仪器主机ICP部分，配置质量流量计：包括等离子体气，辅助气，雾化气。</w:t>
            </w:r>
          </w:p>
        </w:tc>
      </w:tr>
      <w:tr>
        <w:tc>
          <w:tcPr>
            <w:tcW w:type="dxa" w:w="2076"/>
          </w:tcPr>
          <w:p/>
        </w:tc>
        <w:tc>
          <w:tcPr>
            <w:tcW w:type="dxa" w:w="415"/>
          </w:tcPr>
          <w:p>
            <w:pPr>
              <w:pStyle w:val="null3"/>
            </w:pPr>
            <w:r>
              <w:rPr/>
              <w:t>8</w:t>
            </w:r>
          </w:p>
        </w:tc>
        <w:tc>
          <w:tcPr>
            <w:tcW w:type="dxa" w:w="5814"/>
          </w:tcPr>
          <w:p>
            <w:pPr>
              <w:pStyle w:val="null3"/>
              <w:jc w:val="left"/>
            </w:pPr>
            <w:r>
              <w:rPr>
                <w:sz w:val="22"/>
              </w:rPr>
              <w:t>8.真空系统：要求从大气压开始抽至可工作的真空度的时间小于15分钟, 涡轮分子泵抽速大于400L/s.滑动阀关闭后，静态真空度维持在&lt;6×10-8mbar(滑阀关闭)。</w:t>
            </w:r>
          </w:p>
        </w:tc>
      </w:tr>
      <w:tr>
        <w:tc>
          <w:tcPr>
            <w:tcW w:type="dxa" w:w="2076"/>
          </w:tcPr>
          <w:p/>
        </w:tc>
        <w:tc>
          <w:tcPr>
            <w:tcW w:type="dxa" w:w="415"/>
          </w:tcPr>
          <w:p>
            <w:pPr>
              <w:pStyle w:val="null3"/>
            </w:pPr>
            <w:r>
              <w:rPr/>
              <w:t>9</w:t>
            </w:r>
          </w:p>
        </w:tc>
        <w:tc>
          <w:tcPr>
            <w:tcW w:type="dxa" w:w="5814"/>
          </w:tcPr>
          <w:p>
            <w:pPr>
              <w:pStyle w:val="null3"/>
              <w:jc w:val="left"/>
            </w:pPr>
            <w:r>
              <w:rPr>
                <w:sz w:val="22"/>
              </w:rPr>
              <w:t>9.离子源：自激式全固态RF发生器，频率为≤27.12 MHz，频率稳定性≤±0.01%。采用变频技术快速匹配，适用乙腈等有机试剂直接进样。</w:t>
            </w:r>
          </w:p>
        </w:tc>
      </w:tr>
      <w:tr>
        <w:tc>
          <w:tcPr>
            <w:tcW w:type="dxa" w:w="2076"/>
          </w:tcPr>
          <w:p/>
        </w:tc>
        <w:tc>
          <w:tcPr>
            <w:tcW w:type="dxa" w:w="415"/>
          </w:tcPr>
          <w:p>
            <w:pPr>
              <w:pStyle w:val="null3"/>
            </w:pPr>
            <w:r>
              <w:rPr/>
              <w:t>10</w:t>
            </w:r>
          </w:p>
        </w:tc>
        <w:tc>
          <w:tcPr>
            <w:tcW w:type="dxa" w:w="5814"/>
          </w:tcPr>
          <w:p>
            <w:pPr>
              <w:pStyle w:val="null3"/>
              <w:jc w:val="left"/>
            </w:pPr>
            <w:r>
              <w:rPr>
                <w:sz w:val="22"/>
              </w:rPr>
              <w:t>9.1 使用RF发生器。</w:t>
            </w:r>
          </w:p>
        </w:tc>
      </w:tr>
      <w:tr>
        <w:tc>
          <w:tcPr>
            <w:tcW w:type="dxa" w:w="2076"/>
          </w:tcPr>
          <w:p/>
        </w:tc>
        <w:tc>
          <w:tcPr>
            <w:tcW w:type="dxa" w:w="415"/>
          </w:tcPr>
          <w:p>
            <w:pPr>
              <w:pStyle w:val="null3"/>
            </w:pPr>
            <w:r>
              <w:rPr/>
              <w:t>11</w:t>
            </w:r>
          </w:p>
        </w:tc>
        <w:tc>
          <w:tcPr>
            <w:tcW w:type="dxa" w:w="5814"/>
          </w:tcPr>
          <w:p>
            <w:pPr>
              <w:pStyle w:val="null3"/>
              <w:jc w:val="left"/>
            </w:pPr>
            <w:r>
              <w:rPr>
                <w:sz w:val="22"/>
              </w:rPr>
              <w:t>10.离子传输系统：离子传输偏转透镜、碰撞反应池和四极杆质量分析器均为免拆洗维护。</w:t>
            </w:r>
          </w:p>
        </w:tc>
      </w:tr>
      <w:tr>
        <w:tc>
          <w:tcPr>
            <w:tcW w:type="dxa" w:w="2076"/>
          </w:tcPr>
          <w:p>
            <w:pPr>
              <w:pStyle w:val="null3"/>
            </w:pPr>
            <w:r>
              <w:rPr/>
              <w:t>▲</w:t>
            </w:r>
          </w:p>
        </w:tc>
        <w:tc>
          <w:tcPr>
            <w:tcW w:type="dxa" w:w="415"/>
          </w:tcPr>
          <w:p>
            <w:pPr>
              <w:pStyle w:val="null3"/>
            </w:pPr>
            <w:r>
              <w:rPr/>
              <w:t>12</w:t>
            </w:r>
          </w:p>
        </w:tc>
        <w:tc>
          <w:tcPr>
            <w:tcW w:type="dxa" w:w="5814"/>
          </w:tcPr>
          <w:p>
            <w:pPr>
              <w:pStyle w:val="null3"/>
              <w:jc w:val="left"/>
            </w:pPr>
            <w:r>
              <w:rPr>
                <w:sz w:val="22"/>
              </w:rPr>
              <w:t>▲11.四极杆材料：纯钼Mo材料四极杆，非陶瓷镀金材质。</w:t>
            </w:r>
          </w:p>
        </w:tc>
      </w:tr>
      <w:tr>
        <w:tc>
          <w:tcPr>
            <w:tcW w:type="dxa" w:w="2076"/>
          </w:tcPr>
          <w:p/>
        </w:tc>
        <w:tc>
          <w:tcPr>
            <w:tcW w:type="dxa" w:w="415"/>
          </w:tcPr>
          <w:p>
            <w:pPr>
              <w:pStyle w:val="null3"/>
            </w:pPr>
            <w:r>
              <w:rPr/>
              <w:t>13</w:t>
            </w:r>
          </w:p>
        </w:tc>
        <w:tc>
          <w:tcPr>
            <w:tcW w:type="dxa" w:w="5814"/>
          </w:tcPr>
          <w:p>
            <w:pPr>
              <w:pStyle w:val="null3"/>
              <w:jc w:val="left"/>
            </w:pPr>
            <w:r>
              <w:rPr>
                <w:sz w:val="22"/>
              </w:rPr>
              <w:t>12.脉冲模拟双模式同时型电子倍增器，必须可以在一次进样过程中同时完成扫描和跳峰分析（定性和定量分析），同时可以自动在模拟和脉冲模式之间实现切换。</w:t>
            </w:r>
          </w:p>
        </w:tc>
      </w:tr>
      <w:tr>
        <w:tc>
          <w:tcPr>
            <w:tcW w:type="dxa" w:w="2076"/>
          </w:tcPr>
          <w:p/>
        </w:tc>
        <w:tc>
          <w:tcPr>
            <w:tcW w:type="dxa" w:w="415"/>
          </w:tcPr>
          <w:p>
            <w:pPr>
              <w:pStyle w:val="null3"/>
            </w:pPr>
            <w:r>
              <w:rPr/>
              <w:t>14</w:t>
            </w:r>
          </w:p>
        </w:tc>
        <w:tc>
          <w:tcPr>
            <w:tcW w:type="dxa" w:w="5814"/>
          </w:tcPr>
          <w:p>
            <w:pPr>
              <w:pStyle w:val="null3"/>
              <w:jc w:val="left"/>
            </w:pPr>
            <w:r>
              <w:rPr>
                <w:sz w:val="22"/>
              </w:rPr>
              <w:t>13.等离子体炬位调整: 由计算机控制步进电机进行三维(X,Y, Z 方向)位置控制。</w:t>
            </w:r>
          </w:p>
        </w:tc>
      </w:tr>
      <w:tr>
        <w:tc>
          <w:tcPr>
            <w:tcW w:type="dxa" w:w="2076"/>
          </w:tcPr>
          <w:p/>
        </w:tc>
        <w:tc>
          <w:tcPr>
            <w:tcW w:type="dxa" w:w="415"/>
          </w:tcPr>
          <w:p>
            <w:pPr>
              <w:pStyle w:val="null3"/>
            </w:pPr>
            <w:r>
              <w:rPr/>
              <w:t>15</w:t>
            </w:r>
          </w:p>
        </w:tc>
        <w:tc>
          <w:tcPr>
            <w:tcW w:type="dxa" w:w="5814"/>
          </w:tcPr>
          <w:p>
            <w:pPr>
              <w:pStyle w:val="null3"/>
              <w:jc w:val="left"/>
            </w:pPr>
            <w:r>
              <w:rPr>
                <w:sz w:val="22"/>
              </w:rPr>
              <w:t>14.质谱范围：2-288amu,最大质谱检测数值在</w:t>
            </w:r>
            <w:r>
              <w:rPr>
                <w:sz w:val="22"/>
                <w:b/>
              </w:rPr>
              <w:t>≥</w:t>
            </w:r>
            <w:r>
              <w:rPr>
                <w:sz w:val="22"/>
              </w:rPr>
              <w:t>288amu以上。</w:t>
            </w:r>
          </w:p>
        </w:tc>
      </w:tr>
      <w:tr>
        <w:tc>
          <w:tcPr>
            <w:tcW w:type="dxa" w:w="2076"/>
          </w:tcPr>
          <w:p/>
        </w:tc>
        <w:tc>
          <w:tcPr>
            <w:tcW w:type="dxa" w:w="415"/>
          </w:tcPr>
          <w:p>
            <w:pPr>
              <w:pStyle w:val="null3"/>
            </w:pPr>
            <w:r>
              <w:rPr/>
              <w:t>16</w:t>
            </w:r>
          </w:p>
        </w:tc>
        <w:tc>
          <w:tcPr>
            <w:tcW w:type="dxa" w:w="5814"/>
          </w:tcPr>
          <w:p>
            <w:pPr>
              <w:pStyle w:val="null3"/>
              <w:jc w:val="left"/>
            </w:pPr>
            <w:r>
              <w:rPr>
                <w:sz w:val="22"/>
              </w:rPr>
              <w:t>15.碰撞反应池为四极杆设计。</w:t>
            </w:r>
          </w:p>
        </w:tc>
      </w:tr>
      <w:tr>
        <w:tc>
          <w:tcPr>
            <w:tcW w:type="dxa" w:w="2076"/>
          </w:tcPr>
          <w:p/>
        </w:tc>
        <w:tc>
          <w:tcPr>
            <w:tcW w:type="dxa" w:w="415"/>
          </w:tcPr>
          <w:p>
            <w:pPr>
              <w:pStyle w:val="null3"/>
            </w:pPr>
            <w:r>
              <w:rPr/>
              <w:t>17</w:t>
            </w:r>
          </w:p>
        </w:tc>
        <w:tc>
          <w:tcPr>
            <w:tcW w:type="dxa" w:w="5814"/>
          </w:tcPr>
          <w:p>
            <w:pPr>
              <w:pStyle w:val="null3"/>
              <w:jc w:val="left"/>
            </w:pPr>
            <w:r>
              <w:rPr>
                <w:sz w:val="22"/>
              </w:rPr>
              <w:t>16.具有高分辨和标准分辨率两种模式，可以在同一方法中对不同元素进行不同分辨率的设定，要求在一次样品测试中，四级杆在不同分辨率下自动切换。</w:t>
            </w:r>
          </w:p>
        </w:tc>
      </w:tr>
      <w:tr>
        <w:tc>
          <w:tcPr>
            <w:tcW w:type="dxa" w:w="2076"/>
          </w:tcPr>
          <w:p>
            <w:pPr>
              <w:pStyle w:val="null3"/>
            </w:pPr>
            <w:r>
              <w:rPr/>
              <w:t>▲</w:t>
            </w:r>
          </w:p>
        </w:tc>
        <w:tc>
          <w:tcPr>
            <w:tcW w:type="dxa" w:w="415"/>
          </w:tcPr>
          <w:p>
            <w:pPr>
              <w:pStyle w:val="null3"/>
            </w:pPr>
            <w:r>
              <w:rPr/>
              <w:t>18</w:t>
            </w:r>
          </w:p>
        </w:tc>
        <w:tc>
          <w:tcPr>
            <w:tcW w:type="dxa" w:w="5814"/>
          </w:tcPr>
          <w:p>
            <w:pPr>
              <w:pStyle w:val="null3"/>
              <w:jc w:val="left"/>
            </w:pPr>
            <w:r>
              <w:rPr>
                <w:sz w:val="22"/>
              </w:rPr>
              <w:t>▲16.1分辨率0.1amu~1amu，最低可做到0.1amu，最高不超过1amu。</w:t>
            </w:r>
          </w:p>
        </w:tc>
      </w:tr>
      <w:tr>
        <w:tc>
          <w:tcPr>
            <w:tcW w:type="dxa" w:w="2076"/>
          </w:tcPr>
          <w:p/>
        </w:tc>
        <w:tc>
          <w:tcPr>
            <w:tcW w:type="dxa" w:w="415"/>
          </w:tcPr>
          <w:p>
            <w:pPr>
              <w:pStyle w:val="null3"/>
            </w:pPr>
            <w:r>
              <w:rPr/>
              <w:t>19</w:t>
            </w:r>
          </w:p>
        </w:tc>
        <w:tc>
          <w:tcPr>
            <w:tcW w:type="dxa" w:w="5814"/>
          </w:tcPr>
          <w:p>
            <w:pPr>
              <w:pStyle w:val="null3"/>
              <w:jc w:val="left"/>
            </w:pPr>
            <w:r>
              <w:rPr>
                <w:sz w:val="22"/>
              </w:rPr>
              <w:t>17.无需屏蔽圈等耗材即可实现</w:t>
            </w:r>
            <w:r>
              <w:rPr>
                <w:sz w:val="22"/>
                <w:b/>
              </w:rPr>
              <w:t>≥</w:t>
            </w:r>
            <w:r>
              <w:rPr>
                <w:sz w:val="22"/>
              </w:rPr>
              <w:t>500W冷焰模式，要求在一次样品分析中能自动切换冷焰模式和标准模式，保证样品中所有分析元素（在二种不同模式中）一次进样完成分析。标准模式下无需使用碰撞反应池或冷焰技术，即可保证56Fe的方法检出限符合国际水质分析标准小于3ppb的要求。</w:t>
            </w:r>
          </w:p>
        </w:tc>
      </w:tr>
      <w:tr>
        <w:tc>
          <w:tcPr>
            <w:tcW w:type="dxa" w:w="2076"/>
          </w:tcPr>
          <w:p/>
        </w:tc>
        <w:tc>
          <w:tcPr>
            <w:tcW w:type="dxa" w:w="415"/>
          </w:tcPr>
          <w:p>
            <w:pPr>
              <w:pStyle w:val="null3"/>
            </w:pPr>
            <w:r>
              <w:rPr/>
              <w:t>20</w:t>
            </w:r>
          </w:p>
        </w:tc>
        <w:tc>
          <w:tcPr>
            <w:tcW w:type="dxa" w:w="5814"/>
          </w:tcPr>
          <w:p>
            <w:pPr>
              <w:pStyle w:val="null3"/>
              <w:jc w:val="left"/>
            </w:pPr>
            <w:r>
              <w:rPr>
                <w:sz w:val="22"/>
              </w:rPr>
              <w:t>18.要求具有氧气碰撞反应池技术，通过氧气的反应性，把P、S元素反应到PO47，SO48位置，以获得低含量的检测。还可以应用氧气碰撞反应池测定Mo基体中的痕量Cd，以及复杂基体中的As转变成为AsO91分析。</w:t>
            </w:r>
          </w:p>
        </w:tc>
      </w:tr>
      <w:tr>
        <w:tc>
          <w:tcPr>
            <w:tcW w:type="dxa" w:w="2076"/>
          </w:tcPr>
          <w:p>
            <w:pPr>
              <w:pStyle w:val="null3"/>
            </w:pPr>
            <w:r>
              <w:rPr/>
              <w:t>★</w:t>
            </w:r>
          </w:p>
        </w:tc>
        <w:tc>
          <w:tcPr>
            <w:tcW w:type="dxa" w:w="415"/>
          </w:tcPr>
          <w:p>
            <w:pPr>
              <w:pStyle w:val="null3"/>
            </w:pPr>
            <w:r>
              <w:rPr/>
              <w:t>21</w:t>
            </w:r>
          </w:p>
        </w:tc>
        <w:tc>
          <w:tcPr>
            <w:tcW w:type="dxa" w:w="5814"/>
          </w:tcPr>
          <w:p>
            <w:pPr>
              <w:pStyle w:val="null3"/>
              <w:jc w:val="left"/>
            </w:pPr>
            <w:r>
              <w:rPr>
                <w:sz w:val="22"/>
              </w:rPr>
              <w:t>★19.耐高盐组件：耐高盐提取嵌片接口，利用嵌片的径向抽气功能，耐高盐嵌片+内标泵管稀释方法，可以直接进海水样。</w:t>
            </w:r>
          </w:p>
        </w:tc>
      </w:tr>
      <w:tr>
        <w:tc>
          <w:tcPr>
            <w:tcW w:type="dxa" w:w="2076"/>
          </w:tcPr>
          <w:p/>
        </w:tc>
        <w:tc>
          <w:tcPr>
            <w:tcW w:type="dxa" w:w="415"/>
          </w:tcPr>
          <w:p>
            <w:pPr>
              <w:pStyle w:val="null3"/>
            </w:pPr>
            <w:r>
              <w:rPr/>
              <w:t>22</w:t>
            </w:r>
          </w:p>
        </w:tc>
        <w:tc>
          <w:tcPr>
            <w:tcW w:type="dxa" w:w="5814"/>
          </w:tcPr>
          <w:p>
            <w:pPr>
              <w:pStyle w:val="null3"/>
              <w:jc w:val="left"/>
            </w:pPr>
            <w:r>
              <w:rPr>
                <w:sz w:val="22"/>
              </w:rPr>
              <w:t>20.软件：</w:t>
            </w:r>
          </w:p>
          <w:p>
            <w:pPr>
              <w:pStyle w:val="null3"/>
              <w:jc w:val="left"/>
            </w:pPr>
            <w:r>
              <w:rPr>
                <w:sz w:val="22"/>
              </w:rPr>
              <w:t>20.1 操作系统</w:t>
            </w:r>
          </w:p>
        </w:tc>
      </w:tr>
      <w:tr>
        <w:tc>
          <w:tcPr>
            <w:tcW w:type="dxa" w:w="2076"/>
          </w:tcPr>
          <w:p/>
        </w:tc>
        <w:tc>
          <w:tcPr>
            <w:tcW w:type="dxa" w:w="415"/>
          </w:tcPr>
          <w:p>
            <w:pPr>
              <w:pStyle w:val="null3"/>
            </w:pPr>
            <w:r>
              <w:rPr/>
              <w:t>23</w:t>
            </w:r>
          </w:p>
        </w:tc>
        <w:tc>
          <w:tcPr>
            <w:tcW w:type="dxa" w:w="5814"/>
          </w:tcPr>
          <w:p>
            <w:pPr>
              <w:pStyle w:val="null3"/>
              <w:jc w:val="left"/>
            </w:pPr>
            <w:r>
              <w:rPr>
                <w:sz w:val="22"/>
              </w:rPr>
              <w:t>20.2 全自动分析功能(启动关闭仪器 ,炬位调整, 等离子体参数, 离子透镜, 标准等离子体条件与冷等离子体条件切换,标准技术与碰撞池技术切换等)。</w:t>
            </w:r>
          </w:p>
        </w:tc>
      </w:tr>
      <w:tr>
        <w:tc>
          <w:tcPr>
            <w:tcW w:type="dxa" w:w="2076"/>
          </w:tcPr>
          <w:p/>
        </w:tc>
        <w:tc>
          <w:tcPr>
            <w:tcW w:type="dxa" w:w="415"/>
          </w:tcPr>
          <w:p>
            <w:pPr>
              <w:pStyle w:val="null3"/>
            </w:pPr>
            <w:r>
              <w:rPr/>
              <w:t>24</w:t>
            </w:r>
          </w:p>
        </w:tc>
        <w:tc>
          <w:tcPr>
            <w:tcW w:type="dxa" w:w="5814"/>
          </w:tcPr>
          <w:p>
            <w:pPr>
              <w:pStyle w:val="null3"/>
              <w:jc w:val="left"/>
            </w:pPr>
            <w:r>
              <w:rPr>
                <w:sz w:val="22"/>
              </w:rPr>
              <w:t>20.3包含色谱连用的瞬间信号分析软件以便与色谱或激光进样系统等连用。可以满足色谱连用中的数据采集，色谱积分计算，报告输出等功能。</w:t>
            </w:r>
          </w:p>
        </w:tc>
      </w:tr>
      <w:tr>
        <w:tc>
          <w:tcPr>
            <w:tcW w:type="dxa" w:w="2076"/>
          </w:tcPr>
          <w:p/>
        </w:tc>
        <w:tc>
          <w:tcPr>
            <w:tcW w:type="dxa" w:w="415"/>
          </w:tcPr>
          <w:p>
            <w:pPr>
              <w:pStyle w:val="null3"/>
            </w:pPr>
            <w:r>
              <w:rPr/>
              <w:t>25</w:t>
            </w:r>
          </w:p>
        </w:tc>
        <w:tc>
          <w:tcPr>
            <w:tcW w:type="dxa" w:w="5814"/>
          </w:tcPr>
          <w:p>
            <w:pPr>
              <w:pStyle w:val="null3"/>
              <w:jc w:val="left"/>
            </w:pPr>
            <w:r>
              <w:rPr>
                <w:sz w:val="22"/>
              </w:rPr>
              <w:t>20.4 实时数据显示,和实时报告显示。</w:t>
            </w:r>
          </w:p>
        </w:tc>
      </w:tr>
      <w:tr>
        <w:tc>
          <w:tcPr>
            <w:tcW w:type="dxa" w:w="2076"/>
          </w:tcPr>
          <w:p/>
        </w:tc>
        <w:tc>
          <w:tcPr>
            <w:tcW w:type="dxa" w:w="415"/>
          </w:tcPr>
          <w:p>
            <w:pPr>
              <w:pStyle w:val="null3"/>
            </w:pPr>
            <w:r>
              <w:rPr/>
              <w:t>26</w:t>
            </w:r>
          </w:p>
        </w:tc>
        <w:tc>
          <w:tcPr>
            <w:tcW w:type="dxa" w:w="5814"/>
          </w:tcPr>
          <w:p>
            <w:pPr>
              <w:pStyle w:val="null3"/>
              <w:jc w:val="left"/>
            </w:pPr>
            <w:r>
              <w:rPr>
                <w:sz w:val="22"/>
              </w:rPr>
              <w:t>20.5 要求拥有智能化软件包括：智能进样时间和智能冲洗时间，可以满足EPA方法的QC要求，智能谱图解释软件。</w:t>
            </w:r>
          </w:p>
        </w:tc>
      </w:tr>
      <w:tr>
        <w:tc>
          <w:tcPr>
            <w:tcW w:type="dxa" w:w="2076"/>
          </w:tcPr>
          <w:p/>
        </w:tc>
        <w:tc>
          <w:tcPr>
            <w:tcW w:type="dxa" w:w="415"/>
          </w:tcPr>
          <w:p>
            <w:pPr>
              <w:pStyle w:val="null3"/>
            </w:pPr>
            <w:r>
              <w:rPr/>
              <w:t>27</w:t>
            </w:r>
          </w:p>
        </w:tc>
        <w:tc>
          <w:tcPr>
            <w:tcW w:type="dxa" w:w="5814"/>
          </w:tcPr>
          <w:p>
            <w:pPr>
              <w:pStyle w:val="null3"/>
              <w:jc w:val="left"/>
            </w:pPr>
            <w:r>
              <w:rPr>
                <w:sz w:val="22"/>
              </w:rPr>
              <w:t>20.6 ICPMS操作软件可以安装于个人计算机上，样品分析数据可以使用此软件进行离线数据处理并生成报告。</w:t>
            </w:r>
          </w:p>
        </w:tc>
      </w:tr>
      <w:tr>
        <w:tc>
          <w:tcPr>
            <w:tcW w:type="dxa" w:w="2076"/>
          </w:tcPr>
          <w:p/>
        </w:tc>
        <w:tc>
          <w:tcPr>
            <w:tcW w:type="dxa" w:w="415"/>
          </w:tcPr>
          <w:p>
            <w:pPr>
              <w:pStyle w:val="null3"/>
            </w:pPr>
            <w:r>
              <w:rPr/>
              <w:t>28</w:t>
            </w:r>
          </w:p>
        </w:tc>
        <w:tc>
          <w:tcPr>
            <w:tcW w:type="dxa" w:w="5814"/>
          </w:tcPr>
          <w:p>
            <w:pPr>
              <w:pStyle w:val="null3"/>
              <w:jc w:val="left"/>
            </w:pPr>
            <w:r>
              <w:rPr>
                <w:sz w:val="22"/>
              </w:rPr>
              <w:t>21.仪器性能要求：</w:t>
            </w:r>
          </w:p>
          <w:p>
            <w:pPr>
              <w:pStyle w:val="null3"/>
              <w:jc w:val="left"/>
            </w:pPr>
            <w:r>
              <w:rPr>
                <w:sz w:val="22"/>
              </w:rPr>
              <w:t>21.1 标准模式下灵敏度 ：</w:t>
            </w:r>
          </w:p>
          <w:p>
            <w:pPr>
              <w:pStyle w:val="null3"/>
              <w:jc w:val="left"/>
            </w:pPr>
            <w:r>
              <w:rPr>
                <w:sz w:val="22"/>
              </w:rPr>
              <w:t>低质量数</w:t>
            </w:r>
            <w:r>
              <w:rPr>
                <w:sz w:val="22"/>
              </w:rPr>
              <w:t>Li(7) ≥90M cps/ppm；</w:t>
            </w:r>
          </w:p>
          <w:p>
            <w:pPr>
              <w:pStyle w:val="null3"/>
              <w:jc w:val="left"/>
            </w:pPr>
            <w:r>
              <w:rPr>
                <w:sz w:val="22"/>
              </w:rPr>
              <w:t>中质量数</w:t>
            </w:r>
            <w:r>
              <w:rPr>
                <w:sz w:val="22"/>
              </w:rPr>
              <w:t>Y(89)或In(115)≥300 M cps/ppm；</w:t>
            </w:r>
          </w:p>
          <w:p>
            <w:pPr>
              <w:pStyle w:val="null3"/>
              <w:jc w:val="both"/>
            </w:pPr>
            <w:r>
              <w:rPr>
                <w:sz w:val="22"/>
              </w:rPr>
              <w:t>高质量数</w:t>
            </w:r>
            <w:r>
              <w:rPr>
                <w:sz w:val="22"/>
              </w:rPr>
              <w:t>Tl(205) U238 ≥500 Mcps/ppm。</w:t>
            </w:r>
          </w:p>
        </w:tc>
      </w:tr>
      <w:tr>
        <w:tc>
          <w:tcPr>
            <w:tcW w:type="dxa" w:w="2076"/>
          </w:tcPr>
          <w:p/>
        </w:tc>
        <w:tc>
          <w:tcPr>
            <w:tcW w:type="dxa" w:w="415"/>
          </w:tcPr>
          <w:p>
            <w:pPr>
              <w:pStyle w:val="null3"/>
            </w:pPr>
            <w:r>
              <w:rPr/>
              <w:t>29</w:t>
            </w:r>
          </w:p>
        </w:tc>
        <w:tc>
          <w:tcPr>
            <w:tcW w:type="dxa" w:w="5814"/>
          </w:tcPr>
          <w:p>
            <w:pPr>
              <w:pStyle w:val="null3"/>
              <w:jc w:val="left"/>
            </w:pPr>
            <w:r>
              <w:rPr>
                <w:sz w:val="22"/>
              </w:rPr>
              <w:t>21.2 标准模式下（No Gas）随机背景：&lt; 1 cps (4.5),He 模式随机背景：&lt;0.5 cps (4.5)。</w:t>
            </w:r>
          </w:p>
        </w:tc>
      </w:tr>
      <w:tr>
        <w:tc>
          <w:tcPr>
            <w:tcW w:type="dxa" w:w="2076"/>
          </w:tcPr>
          <w:p/>
        </w:tc>
        <w:tc>
          <w:tcPr>
            <w:tcW w:type="dxa" w:w="415"/>
          </w:tcPr>
          <w:p>
            <w:pPr>
              <w:pStyle w:val="null3"/>
            </w:pPr>
            <w:r>
              <w:rPr/>
              <w:t>30</w:t>
            </w:r>
          </w:p>
        </w:tc>
        <w:tc>
          <w:tcPr>
            <w:tcW w:type="dxa" w:w="5814"/>
          </w:tcPr>
          <w:p>
            <w:pPr>
              <w:pStyle w:val="null3"/>
              <w:jc w:val="left"/>
            </w:pPr>
            <w:r>
              <w:rPr>
                <w:sz w:val="22"/>
              </w:rPr>
              <w:t>21.3 标准模式下，仪器信噪比&gt;220M(1ppm中质量元素溶液，灵敏度/随机背景)。</w:t>
            </w:r>
          </w:p>
        </w:tc>
      </w:tr>
      <w:tr>
        <w:tc>
          <w:tcPr>
            <w:tcW w:type="dxa" w:w="2076"/>
          </w:tcPr>
          <w:p/>
        </w:tc>
        <w:tc>
          <w:tcPr>
            <w:tcW w:type="dxa" w:w="415"/>
          </w:tcPr>
          <w:p>
            <w:pPr>
              <w:pStyle w:val="null3"/>
            </w:pPr>
            <w:r>
              <w:rPr/>
              <w:t>31</w:t>
            </w:r>
          </w:p>
        </w:tc>
        <w:tc>
          <w:tcPr>
            <w:tcW w:type="dxa" w:w="5814"/>
          </w:tcPr>
          <w:p>
            <w:pPr>
              <w:pStyle w:val="null3"/>
              <w:jc w:val="left"/>
            </w:pPr>
            <w:r>
              <w:rPr>
                <w:sz w:val="22"/>
              </w:rPr>
              <w:t>21.4 氧化物离子(CeO+/Ce+)  &lt; 2 %；双电荷粒子（Ba++/Ba+）&lt;3%。</w:t>
            </w:r>
          </w:p>
        </w:tc>
      </w:tr>
      <w:tr>
        <w:tc>
          <w:tcPr>
            <w:tcW w:type="dxa" w:w="2076"/>
          </w:tcPr>
          <w:p>
            <w:pPr>
              <w:pStyle w:val="null3"/>
            </w:pPr>
            <w:r>
              <w:rPr/>
              <w:t>▲</w:t>
            </w:r>
          </w:p>
        </w:tc>
        <w:tc>
          <w:tcPr>
            <w:tcW w:type="dxa" w:w="415"/>
          </w:tcPr>
          <w:p>
            <w:pPr>
              <w:pStyle w:val="null3"/>
            </w:pPr>
            <w:r>
              <w:rPr/>
              <w:t>32</w:t>
            </w:r>
          </w:p>
        </w:tc>
        <w:tc>
          <w:tcPr>
            <w:tcW w:type="dxa" w:w="5814"/>
          </w:tcPr>
          <w:p>
            <w:pPr>
              <w:pStyle w:val="null3"/>
              <w:jc w:val="left"/>
            </w:pPr>
            <w:r>
              <w:rPr>
                <w:sz w:val="22"/>
              </w:rPr>
              <w:t>21.5 仪器检出限：</w:t>
            </w:r>
          </w:p>
          <w:p>
            <w:pPr>
              <w:pStyle w:val="null3"/>
              <w:jc w:val="left"/>
            </w:pPr>
            <w:r>
              <w:rPr>
                <w:sz w:val="22"/>
              </w:rPr>
              <w:t>▲21.5.1 轻质量元素: &lt;0.5 ppt；</w:t>
            </w:r>
          </w:p>
        </w:tc>
      </w:tr>
      <w:tr>
        <w:tc>
          <w:tcPr>
            <w:tcW w:type="dxa" w:w="2076"/>
          </w:tcPr>
          <w:p>
            <w:pPr>
              <w:pStyle w:val="null3"/>
            </w:pPr>
            <w:r>
              <w:rPr/>
              <w:t>▲</w:t>
            </w:r>
          </w:p>
        </w:tc>
        <w:tc>
          <w:tcPr>
            <w:tcW w:type="dxa" w:w="415"/>
          </w:tcPr>
          <w:p>
            <w:pPr>
              <w:pStyle w:val="null3"/>
            </w:pPr>
            <w:r>
              <w:rPr/>
              <w:t>33</w:t>
            </w:r>
          </w:p>
        </w:tc>
        <w:tc>
          <w:tcPr>
            <w:tcW w:type="dxa" w:w="5814"/>
          </w:tcPr>
          <w:p>
            <w:pPr>
              <w:pStyle w:val="null3"/>
              <w:jc w:val="left"/>
            </w:pPr>
            <w:r>
              <w:rPr>
                <w:sz w:val="22"/>
              </w:rPr>
              <w:t>▲21.5.2 中质量数元素:&lt;0.1ppt；</w:t>
            </w:r>
          </w:p>
        </w:tc>
      </w:tr>
      <w:tr>
        <w:tc>
          <w:tcPr>
            <w:tcW w:type="dxa" w:w="2076"/>
          </w:tcPr>
          <w:p>
            <w:pPr>
              <w:pStyle w:val="null3"/>
            </w:pPr>
            <w:r>
              <w:rPr/>
              <w:t>▲</w:t>
            </w:r>
          </w:p>
        </w:tc>
        <w:tc>
          <w:tcPr>
            <w:tcW w:type="dxa" w:w="415"/>
          </w:tcPr>
          <w:p>
            <w:pPr>
              <w:pStyle w:val="null3"/>
            </w:pPr>
            <w:r>
              <w:rPr/>
              <w:t>34</w:t>
            </w:r>
          </w:p>
        </w:tc>
        <w:tc>
          <w:tcPr>
            <w:tcW w:type="dxa" w:w="5814"/>
          </w:tcPr>
          <w:p>
            <w:pPr>
              <w:pStyle w:val="null3"/>
              <w:jc w:val="left"/>
            </w:pPr>
            <w:r>
              <w:rPr>
                <w:sz w:val="22"/>
              </w:rPr>
              <w:t>▲21.5.3 高质量数元素:&lt;0.1ppt。</w:t>
            </w:r>
          </w:p>
        </w:tc>
      </w:tr>
      <w:tr>
        <w:tc>
          <w:tcPr>
            <w:tcW w:type="dxa" w:w="2076"/>
          </w:tcPr>
          <w:p/>
        </w:tc>
        <w:tc>
          <w:tcPr>
            <w:tcW w:type="dxa" w:w="415"/>
          </w:tcPr>
          <w:p>
            <w:pPr>
              <w:pStyle w:val="null3"/>
            </w:pPr>
            <w:r>
              <w:rPr/>
              <w:t>35</w:t>
            </w:r>
          </w:p>
        </w:tc>
        <w:tc>
          <w:tcPr>
            <w:tcW w:type="dxa" w:w="5814"/>
          </w:tcPr>
          <w:p>
            <w:pPr>
              <w:pStyle w:val="null3"/>
              <w:jc w:val="left"/>
            </w:pPr>
            <w:r>
              <w:rPr>
                <w:sz w:val="22"/>
              </w:rPr>
              <w:t>21.6 短期稳定性 (RSD): &lt; 2%（不用内标,每分钟一组数据，共20组数据) 。</w:t>
            </w:r>
          </w:p>
        </w:tc>
      </w:tr>
      <w:tr>
        <w:tc>
          <w:tcPr>
            <w:tcW w:type="dxa" w:w="2076"/>
          </w:tcPr>
          <w:p/>
        </w:tc>
        <w:tc>
          <w:tcPr>
            <w:tcW w:type="dxa" w:w="415"/>
          </w:tcPr>
          <w:p>
            <w:pPr>
              <w:pStyle w:val="null3"/>
            </w:pPr>
            <w:r>
              <w:rPr/>
              <w:t>36</w:t>
            </w:r>
          </w:p>
        </w:tc>
        <w:tc>
          <w:tcPr>
            <w:tcW w:type="dxa" w:w="5814"/>
          </w:tcPr>
          <w:p>
            <w:pPr>
              <w:pStyle w:val="null3"/>
              <w:jc w:val="left"/>
            </w:pPr>
            <w:r>
              <w:rPr>
                <w:sz w:val="22"/>
              </w:rPr>
              <w:t>21.7  长期稳定性 (RSD): &lt; 3% (不用内标，每分钟一组数据，共120组数据) 。</w:t>
            </w:r>
          </w:p>
        </w:tc>
      </w:tr>
      <w:tr>
        <w:tc>
          <w:tcPr>
            <w:tcW w:type="dxa" w:w="2076"/>
          </w:tcPr>
          <w:p/>
        </w:tc>
        <w:tc>
          <w:tcPr>
            <w:tcW w:type="dxa" w:w="415"/>
          </w:tcPr>
          <w:p>
            <w:pPr>
              <w:pStyle w:val="null3"/>
            </w:pPr>
            <w:r>
              <w:rPr/>
              <w:t>37</w:t>
            </w:r>
          </w:p>
        </w:tc>
        <w:tc>
          <w:tcPr>
            <w:tcW w:type="dxa" w:w="5814"/>
          </w:tcPr>
          <w:p>
            <w:pPr>
              <w:pStyle w:val="null3"/>
              <w:jc w:val="left"/>
            </w:pPr>
            <w:r>
              <w:rPr>
                <w:sz w:val="22"/>
              </w:rPr>
              <w:t>21.8  质谱校正稳定性: &lt;0.025 amu/8h。</w:t>
            </w:r>
          </w:p>
        </w:tc>
      </w:tr>
      <w:tr>
        <w:tc>
          <w:tcPr>
            <w:tcW w:type="dxa" w:w="2076"/>
          </w:tcPr>
          <w:p/>
        </w:tc>
        <w:tc>
          <w:tcPr>
            <w:tcW w:type="dxa" w:w="415"/>
          </w:tcPr>
          <w:p>
            <w:pPr>
              <w:pStyle w:val="null3"/>
            </w:pPr>
            <w:r>
              <w:rPr/>
              <w:t>38</w:t>
            </w:r>
          </w:p>
        </w:tc>
        <w:tc>
          <w:tcPr>
            <w:tcW w:type="dxa" w:w="5814"/>
          </w:tcPr>
          <w:p>
            <w:pPr>
              <w:pStyle w:val="null3"/>
              <w:jc w:val="left"/>
            </w:pPr>
            <w:r>
              <w:rPr>
                <w:sz w:val="22"/>
              </w:rPr>
              <w:t>21.9  碰撞反应池方法检出限（2% HCl中测定）：</w:t>
            </w:r>
          </w:p>
          <w:p>
            <w:pPr>
              <w:pStyle w:val="null3"/>
              <w:jc w:val="left"/>
            </w:pPr>
            <w:r>
              <w:rPr>
                <w:sz w:val="22"/>
              </w:rPr>
              <w:t>21.9.1  V(51)&lt;5ppt；</w:t>
            </w:r>
          </w:p>
        </w:tc>
      </w:tr>
      <w:tr>
        <w:tc>
          <w:tcPr>
            <w:tcW w:type="dxa" w:w="2076"/>
          </w:tcPr>
          <w:p/>
        </w:tc>
        <w:tc>
          <w:tcPr>
            <w:tcW w:type="dxa" w:w="415"/>
          </w:tcPr>
          <w:p>
            <w:pPr>
              <w:pStyle w:val="null3"/>
            </w:pPr>
            <w:r>
              <w:rPr/>
              <w:t>39</w:t>
            </w:r>
          </w:p>
        </w:tc>
        <w:tc>
          <w:tcPr>
            <w:tcW w:type="dxa" w:w="5814"/>
          </w:tcPr>
          <w:p>
            <w:pPr>
              <w:pStyle w:val="null3"/>
              <w:jc w:val="left"/>
            </w:pPr>
            <w:r>
              <w:rPr>
                <w:sz w:val="22"/>
              </w:rPr>
              <w:t>21.9.2  Cr(52)&lt;5ppt；</w:t>
            </w:r>
          </w:p>
        </w:tc>
      </w:tr>
      <w:tr>
        <w:tc>
          <w:tcPr>
            <w:tcW w:type="dxa" w:w="2076"/>
          </w:tcPr>
          <w:p/>
        </w:tc>
        <w:tc>
          <w:tcPr>
            <w:tcW w:type="dxa" w:w="415"/>
          </w:tcPr>
          <w:p>
            <w:pPr>
              <w:pStyle w:val="null3"/>
            </w:pPr>
            <w:r>
              <w:rPr/>
              <w:t>40</w:t>
            </w:r>
          </w:p>
        </w:tc>
        <w:tc>
          <w:tcPr>
            <w:tcW w:type="dxa" w:w="5814"/>
          </w:tcPr>
          <w:p>
            <w:pPr>
              <w:pStyle w:val="null3"/>
              <w:jc w:val="both"/>
            </w:pPr>
            <w:r>
              <w:rPr>
                <w:sz w:val="22"/>
              </w:rPr>
              <w:t>21.9.3  Se(78)&lt;30ppt。</w:t>
            </w:r>
          </w:p>
        </w:tc>
      </w:tr>
      <w:tr>
        <w:tc>
          <w:tcPr>
            <w:tcW w:type="dxa" w:w="2076"/>
          </w:tcPr>
          <w:p/>
        </w:tc>
        <w:tc>
          <w:tcPr>
            <w:tcW w:type="dxa" w:w="415"/>
          </w:tcPr>
          <w:p>
            <w:pPr>
              <w:pStyle w:val="null3"/>
            </w:pPr>
            <w:r>
              <w:rPr/>
              <w:t>41</w:t>
            </w:r>
          </w:p>
        </w:tc>
        <w:tc>
          <w:tcPr>
            <w:tcW w:type="dxa" w:w="5814"/>
          </w:tcPr>
          <w:p>
            <w:pPr>
              <w:pStyle w:val="null3"/>
              <w:jc w:val="both"/>
            </w:pPr>
            <w:r>
              <w:rPr>
                <w:sz w:val="22"/>
              </w:rPr>
              <w:t>22.计量要求：符合JJF1159-2006-四极杆电感耦合等离子体质谱仪校准规范。</w:t>
            </w:r>
          </w:p>
        </w:tc>
      </w:tr>
      <w:tr>
        <w:tc>
          <w:tcPr>
            <w:tcW w:type="dxa" w:w="2076"/>
          </w:tcPr>
          <w:p/>
        </w:tc>
        <w:tc>
          <w:tcPr>
            <w:tcW w:type="dxa" w:w="415"/>
          </w:tcPr>
          <w:p>
            <w:pPr>
              <w:pStyle w:val="null3"/>
            </w:pPr>
            <w:r>
              <w:rPr/>
              <w:t>42</w:t>
            </w:r>
          </w:p>
        </w:tc>
        <w:tc>
          <w:tcPr>
            <w:tcW w:type="dxa" w:w="5814"/>
          </w:tcPr>
          <w:p>
            <w:pPr>
              <w:pStyle w:val="null3"/>
            </w:pPr>
            <w:r>
              <w:rPr>
                <w:sz w:val="22"/>
                <w:b/>
              </w:rPr>
              <w:t>23.配件清单</w:t>
            </w:r>
            <w:r>
              <w:br/>
            </w:r>
            <w:r>
              <w:rPr>
                <w:sz w:val="22"/>
              </w:rPr>
              <w:t>（</w:t>
            </w:r>
            <w:r>
              <w:rPr>
                <w:sz w:val="22"/>
              </w:rPr>
              <w:t>1）仪器主机：</w:t>
            </w:r>
            <w:r>
              <w:rPr>
                <w:sz w:val="22"/>
                <w:b/>
              </w:rPr>
              <w:t>≥</w:t>
            </w:r>
            <w:r>
              <w:rPr>
                <w:sz w:val="22"/>
              </w:rPr>
              <w:t>1套</w:t>
            </w:r>
            <w:r>
              <w:rPr>
                <w:sz w:val="22"/>
              </w:rPr>
              <w:t>。</w:t>
            </w:r>
          </w:p>
        </w:tc>
      </w:tr>
      <w:tr>
        <w:tc>
          <w:tcPr>
            <w:tcW w:type="dxa" w:w="2076"/>
          </w:tcPr>
          <w:p/>
        </w:tc>
        <w:tc>
          <w:tcPr>
            <w:tcW w:type="dxa" w:w="415"/>
          </w:tcPr>
          <w:p>
            <w:pPr>
              <w:pStyle w:val="null3"/>
            </w:pPr>
            <w:r>
              <w:rPr/>
              <w:t>43</w:t>
            </w:r>
          </w:p>
        </w:tc>
        <w:tc>
          <w:tcPr>
            <w:tcW w:type="dxa" w:w="5814"/>
          </w:tcPr>
          <w:p>
            <w:pPr>
              <w:pStyle w:val="null3"/>
            </w:pPr>
            <w:r>
              <w:rPr>
                <w:sz w:val="22"/>
              </w:rPr>
              <w:t>（</w:t>
            </w:r>
            <w:r>
              <w:rPr>
                <w:sz w:val="22"/>
              </w:rPr>
              <w:t>2）四级杆碰撞反应池：</w:t>
            </w:r>
            <w:r>
              <w:rPr>
                <w:sz w:val="22"/>
                <w:b/>
              </w:rPr>
              <w:t>≥</w:t>
            </w:r>
            <w:r>
              <w:rPr>
                <w:sz w:val="22"/>
              </w:rPr>
              <w:t>1套</w:t>
            </w:r>
            <w:r>
              <w:rPr>
                <w:sz w:val="22"/>
              </w:rPr>
              <w:t>。</w:t>
            </w:r>
          </w:p>
        </w:tc>
      </w:tr>
      <w:tr>
        <w:tc>
          <w:tcPr>
            <w:tcW w:type="dxa" w:w="2076"/>
          </w:tcPr>
          <w:p/>
        </w:tc>
        <w:tc>
          <w:tcPr>
            <w:tcW w:type="dxa" w:w="415"/>
          </w:tcPr>
          <w:p>
            <w:pPr>
              <w:pStyle w:val="null3"/>
            </w:pPr>
            <w:r>
              <w:rPr/>
              <w:t>44</w:t>
            </w:r>
          </w:p>
        </w:tc>
        <w:tc>
          <w:tcPr>
            <w:tcW w:type="dxa" w:w="5814"/>
          </w:tcPr>
          <w:p>
            <w:pPr>
              <w:pStyle w:val="null3"/>
            </w:pPr>
            <w:r>
              <w:rPr>
                <w:sz w:val="22"/>
              </w:rPr>
              <w:t>（</w:t>
            </w:r>
            <w:r>
              <w:rPr>
                <w:sz w:val="22"/>
              </w:rPr>
              <w:t>3）循环冷却水装置：</w:t>
            </w:r>
            <w:r>
              <w:rPr>
                <w:sz w:val="22"/>
                <w:b/>
              </w:rPr>
              <w:t>≥</w:t>
            </w:r>
            <w:r>
              <w:rPr>
                <w:sz w:val="22"/>
              </w:rPr>
              <w:t>1套</w:t>
            </w:r>
            <w:r>
              <w:rPr>
                <w:sz w:val="22"/>
              </w:rPr>
              <w:t>。</w:t>
            </w:r>
          </w:p>
        </w:tc>
      </w:tr>
      <w:tr>
        <w:tc>
          <w:tcPr>
            <w:tcW w:type="dxa" w:w="2076"/>
          </w:tcPr>
          <w:p/>
        </w:tc>
        <w:tc>
          <w:tcPr>
            <w:tcW w:type="dxa" w:w="415"/>
          </w:tcPr>
          <w:p>
            <w:pPr>
              <w:pStyle w:val="null3"/>
            </w:pPr>
            <w:r>
              <w:rPr/>
              <w:t>45</w:t>
            </w:r>
          </w:p>
        </w:tc>
        <w:tc>
          <w:tcPr>
            <w:tcW w:type="dxa" w:w="5814"/>
          </w:tcPr>
          <w:p>
            <w:pPr>
              <w:pStyle w:val="null3"/>
            </w:pPr>
            <w:r>
              <w:rPr>
                <w:sz w:val="22"/>
              </w:rPr>
              <w:t>（</w:t>
            </w:r>
            <w:r>
              <w:rPr>
                <w:sz w:val="22"/>
              </w:rPr>
              <w:t>4）高盐样品组件（嵌片、径向抽气功能）：</w:t>
            </w:r>
            <w:r>
              <w:rPr>
                <w:sz w:val="22"/>
                <w:b/>
              </w:rPr>
              <w:t>≥</w:t>
            </w:r>
            <w:r>
              <w:rPr>
                <w:sz w:val="22"/>
              </w:rPr>
              <w:t>1套</w:t>
            </w:r>
            <w:r>
              <w:rPr>
                <w:sz w:val="22"/>
              </w:rPr>
              <w:t>。</w:t>
            </w:r>
          </w:p>
        </w:tc>
      </w:tr>
      <w:tr>
        <w:tc>
          <w:tcPr>
            <w:tcW w:type="dxa" w:w="2076"/>
          </w:tcPr>
          <w:p/>
        </w:tc>
        <w:tc>
          <w:tcPr>
            <w:tcW w:type="dxa" w:w="415"/>
          </w:tcPr>
          <w:p>
            <w:pPr>
              <w:pStyle w:val="null3"/>
            </w:pPr>
            <w:r>
              <w:rPr/>
              <w:t>46</w:t>
            </w:r>
          </w:p>
        </w:tc>
        <w:tc>
          <w:tcPr>
            <w:tcW w:type="dxa" w:w="5814"/>
          </w:tcPr>
          <w:p>
            <w:pPr>
              <w:pStyle w:val="null3"/>
            </w:pPr>
            <w:r>
              <w:rPr>
                <w:sz w:val="22"/>
              </w:rPr>
              <w:t>（</w:t>
            </w:r>
            <w:r>
              <w:rPr>
                <w:sz w:val="22"/>
              </w:rPr>
              <w:t>5）半导体制冷高灵敏进样系统：</w:t>
            </w:r>
            <w:r>
              <w:rPr>
                <w:sz w:val="22"/>
                <w:b/>
              </w:rPr>
              <w:t>≥</w:t>
            </w:r>
            <w:r>
              <w:rPr>
                <w:sz w:val="22"/>
              </w:rPr>
              <w:t>1套</w:t>
            </w:r>
            <w:r>
              <w:rPr>
                <w:sz w:val="22"/>
              </w:rPr>
              <w:t>。</w:t>
            </w:r>
          </w:p>
        </w:tc>
      </w:tr>
      <w:tr>
        <w:tc>
          <w:tcPr>
            <w:tcW w:type="dxa" w:w="2076"/>
          </w:tcPr>
          <w:p/>
        </w:tc>
        <w:tc>
          <w:tcPr>
            <w:tcW w:type="dxa" w:w="415"/>
          </w:tcPr>
          <w:p>
            <w:pPr>
              <w:pStyle w:val="null3"/>
            </w:pPr>
            <w:r>
              <w:rPr/>
              <w:t>47</w:t>
            </w:r>
          </w:p>
        </w:tc>
        <w:tc>
          <w:tcPr>
            <w:tcW w:type="dxa" w:w="5814"/>
          </w:tcPr>
          <w:p>
            <w:pPr>
              <w:pStyle w:val="null3"/>
            </w:pPr>
            <w:r>
              <w:rPr>
                <w:sz w:val="22"/>
              </w:rPr>
              <w:t>（</w:t>
            </w:r>
            <w:r>
              <w:rPr>
                <w:sz w:val="22"/>
              </w:rPr>
              <w:t>6）ICP-MS仪操作软件及可视化系统：</w:t>
            </w:r>
            <w:r>
              <w:rPr>
                <w:sz w:val="22"/>
                <w:b/>
              </w:rPr>
              <w:t>≥</w:t>
            </w:r>
            <w:r>
              <w:rPr>
                <w:sz w:val="22"/>
              </w:rPr>
              <w:t>1套</w:t>
            </w:r>
            <w:r>
              <w:rPr>
                <w:sz w:val="22"/>
              </w:rPr>
              <w:t>。</w:t>
            </w:r>
          </w:p>
        </w:tc>
      </w:tr>
      <w:tr>
        <w:tc>
          <w:tcPr>
            <w:tcW w:type="dxa" w:w="2076"/>
          </w:tcPr>
          <w:p/>
        </w:tc>
        <w:tc>
          <w:tcPr>
            <w:tcW w:type="dxa" w:w="415"/>
          </w:tcPr>
          <w:p>
            <w:pPr>
              <w:pStyle w:val="null3"/>
            </w:pPr>
            <w:r>
              <w:rPr/>
              <w:t>48</w:t>
            </w:r>
          </w:p>
        </w:tc>
        <w:tc>
          <w:tcPr>
            <w:tcW w:type="dxa" w:w="5814"/>
          </w:tcPr>
          <w:p>
            <w:pPr>
              <w:pStyle w:val="null3"/>
            </w:pPr>
            <w:r>
              <w:rPr>
                <w:sz w:val="22"/>
              </w:rPr>
              <w:t>（</w:t>
            </w:r>
            <w:r>
              <w:rPr>
                <w:sz w:val="22"/>
              </w:rPr>
              <w:t>7）原装机械泵：</w:t>
            </w:r>
            <w:r>
              <w:rPr>
                <w:sz w:val="22"/>
                <w:b/>
              </w:rPr>
              <w:t>≥</w:t>
            </w:r>
            <w:r>
              <w:rPr>
                <w:sz w:val="22"/>
              </w:rPr>
              <w:t>1套</w:t>
            </w:r>
            <w:r>
              <w:rPr>
                <w:sz w:val="22"/>
              </w:rPr>
              <w:t>。</w:t>
            </w:r>
          </w:p>
        </w:tc>
      </w:tr>
      <w:tr>
        <w:tc>
          <w:tcPr>
            <w:tcW w:type="dxa" w:w="2076"/>
          </w:tcPr>
          <w:p/>
        </w:tc>
        <w:tc>
          <w:tcPr>
            <w:tcW w:type="dxa" w:w="415"/>
          </w:tcPr>
          <w:p>
            <w:pPr>
              <w:pStyle w:val="null3"/>
            </w:pPr>
            <w:r>
              <w:rPr/>
              <w:t>49</w:t>
            </w:r>
          </w:p>
        </w:tc>
        <w:tc>
          <w:tcPr>
            <w:tcW w:type="dxa" w:w="5814"/>
          </w:tcPr>
          <w:p>
            <w:pPr>
              <w:pStyle w:val="null3"/>
            </w:pPr>
            <w:r>
              <w:rPr>
                <w:sz w:val="22"/>
              </w:rPr>
              <w:t>（</w:t>
            </w:r>
            <w:r>
              <w:rPr>
                <w:sz w:val="22"/>
              </w:rPr>
              <w:t>8）专业维护工具：</w:t>
            </w:r>
            <w:r>
              <w:rPr>
                <w:sz w:val="22"/>
                <w:b/>
              </w:rPr>
              <w:t>≥</w:t>
            </w:r>
            <w:r>
              <w:rPr>
                <w:sz w:val="22"/>
              </w:rPr>
              <w:t>1套</w:t>
            </w:r>
            <w:r>
              <w:rPr>
                <w:sz w:val="22"/>
              </w:rPr>
              <w:t>。</w:t>
            </w:r>
          </w:p>
        </w:tc>
      </w:tr>
      <w:tr>
        <w:tc>
          <w:tcPr>
            <w:tcW w:type="dxa" w:w="2076"/>
          </w:tcPr>
          <w:p/>
        </w:tc>
        <w:tc>
          <w:tcPr>
            <w:tcW w:type="dxa" w:w="415"/>
          </w:tcPr>
          <w:p>
            <w:pPr>
              <w:pStyle w:val="null3"/>
            </w:pPr>
            <w:r>
              <w:rPr/>
              <w:t>50</w:t>
            </w:r>
          </w:p>
        </w:tc>
        <w:tc>
          <w:tcPr>
            <w:tcW w:type="dxa" w:w="5814"/>
          </w:tcPr>
          <w:p>
            <w:pPr>
              <w:pStyle w:val="null3"/>
            </w:pPr>
            <w:r>
              <w:rPr>
                <w:sz w:val="22"/>
              </w:rPr>
              <w:t>（</w:t>
            </w:r>
            <w:r>
              <w:rPr>
                <w:sz w:val="22"/>
              </w:rPr>
              <w:t>9）工作站及输出设备：</w:t>
            </w:r>
            <w:r>
              <w:rPr>
                <w:sz w:val="22"/>
                <w:b/>
              </w:rPr>
              <w:t>≥</w:t>
            </w:r>
            <w:r>
              <w:rPr>
                <w:sz w:val="22"/>
              </w:rPr>
              <w:t>1套</w:t>
            </w:r>
            <w:r>
              <w:rPr>
                <w:sz w:val="22"/>
              </w:rPr>
              <w:t>。</w:t>
            </w:r>
          </w:p>
        </w:tc>
      </w:tr>
      <w:tr>
        <w:tc>
          <w:tcPr>
            <w:tcW w:type="dxa" w:w="2076"/>
          </w:tcPr>
          <w:p/>
        </w:tc>
        <w:tc>
          <w:tcPr>
            <w:tcW w:type="dxa" w:w="415"/>
          </w:tcPr>
          <w:p>
            <w:pPr>
              <w:pStyle w:val="null3"/>
            </w:pPr>
            <w:r>
              <w:rPr/>
              <w:t>51</w:t>
            </w:r>
          </w:p>
        </w:tc>
        <w:tc>
          <w:tcPr>
            <w:tcW w:type="dxa" w:w="5814"/>
          </w:tcPr>
          <w:p>
            <w:pPr>
              <w:pStyle w:val="null3"/>
            </w:pPr>
            <w:r>
              <w:rPr>
                <w:sz w:val="22"/>
              </w:rPr>
              <w:t>（</w:t>
            </w:r>
            <w:r>
              <w:rPr>
                <w:sz w:val="22"/>
              </w:rPr>
              <w:t>10）调谐液：</w:t>
            </w:r>
            <w:r>
              <w:rPr>
                <w:sz w:val="22"/>
                <w:b/>
              </w:rPr>
              <w:t>≥</w:t>
            </w:r>
            <w:r>
              <w:rPr>
                <w:sz w:val="22"/>
              </w:rPr>
              <w:t>1瓶</w:t>
            </w:r>
            <w:r>
              <w:rPr>
                <w:sz w:val="22"/>
              </w:rPr>
              <w:t>。</w:t>
            </w:r>
          </w:p>
        </w:tc>
      </w:tr>
      <w:tr>
        <w:tc>
          <w:tcPr>
            <w:tcW w:type="dxa" w:w="2076"/>
          </w:tcPr>
          <w:p/>
        </w:tc>
        <w:tc>
          <w:tcPr>
            <w:tcW w:type="dxa" w:w="415"/>
          </w:tcPr>
          <w:p>
            <w:pPr>
              <w:pStyle w:val="null3"/>
            </w:pPr>
            <w:r>
              <w:rPr/>
              <w:t>52</w:t>
            </w:r>
          </w:p>
        </w:tc>
        <w:tc>
          <w:tcPr>
            <w:tcW w:type="dxa" w:w="5814"/>
          </w:tcPr>
          <w:p>
            <w:pPr>
              <w:pStyle w:val="null3"/>
            </w:pPr>
            <w:r>
              <w:rPr>
                <w:sz w:val="22"/>
              </w:rPr>
              <w:t>（</w:t>
            </w:r>
            <w:r>
              <w:rPr>
                <w:sz w:val="22"/>
              </w:rPr>
              <w:t>11）耐HF酸样品包-包括PFA漩流雾化室，2.0mm内径蓝宝石中心管和铂采样锥和截取锥，用于强酸分析：</w:t>
            </w:r>
            <w:r>
              <w:rPr>
                <w:sz w:val="22"/>
                <w:b/>
              </w:rPr>
              <w:t>≥</w:t>
            </w:r>
            <w:r>
              <w:rPr>
                <w:sz w:val="22"/>
              </w:rPr>
              <w:t>1套</w:t>
            </w:r>
            <w:r>
              <w:rPr>
                <w:sz w:val="22"/>
              </w:rPr>
              <w:t>。</w:t>
            </w:r>
          </w:p>
        </w:tc>
      </w:tr>
      <w:tr>
        <w:tc>
          <w:tcPr>
            <w:tcW w:type="dxa" w:w="2076"/>
          </w:tcPr>
          <w:p/>
        </w:tc>
        <w:tc>
          <w:tcPr>
            <w:tcW w:type="dxa" w:w="415"/>
          </w:tcPr>
          <w:p>
            <w:pPr>
              <w:pStyle w:val="null3"/>
            </w:pPr>
            <w:r>
              <w:rPr/>
              <w:t>53</w:t>
            </w:r>
          </w:p>
        </w:tc>
        <w:tc>
          <w:tcPr>
            <w:tcW w:type="dxa" w:w="5814"/>
          </w:tcPr>
          <w:p>
            <w:pPr>
              <w:pStyle w:val="null3"/>
            </w:pPr>
            <w:r>
              <w:rPr>
                <w:sz w:val="22"/>
              </w:rPr>
              <w:t>（</w:t>
            </w:r>
            <w:r>
              <w:rPr>
                <w:sz w:val="22"/>
              </w:rPr>
              <w:t>12）采样锥（Ni材质，1.1mm）：</w:t>
            </w:r>
            <w:r>
              <w:rPr>
                <w:sz w:val="22"/>
                <w:b/>
              </w:rPr>
              <w:t>≥</w:t>
            </w:r>
            <w:r>
              <w:rPr>
                <w:sz w:val="22"/>
              </w:rPr>
              <w:t>1套</w:t>
            </w:r>
            <w:r>
              <w:rPr>
                <w:sz w:val="22"/>
              </w:rPr>
              <w:t>。</w:t>
            </w:r>
          </w:p>
        </w:tc>
      </w:tr>
      <w:tr>
        <w:tc>
          <w:tcPr>
            <w:tcW w:type="dxa" w:w="2076"/>
          </w:tcPr>
          <w:p/>
        </w:tc>
        <w:tc>
          <w:tcPr>
            <w:tcW w:type="dxa" w:w="415"/>
          </w:tcPr>
          <w:p>
            <w:pPr>
              <w:pStyle w:val="null3"/>
            </w:pPr>
            <w:r>
              <w:rPr/>
              <w:t>54</w:t>
            </w:r>
          </w:p>
        </w:tc>
        <w:tc>
          <w:tcPr>
            <w:tcW w:type="dxa" w:w="5814"/>
          </w:tcPr>
          <w:p>
            <w:pPr>
              <w:pStyle w:val="null3"/>
            </w:pPr>
            <w:r>
              <w:rPr>
                <w:sz w:val="22"/>
              </w:rPr>
              <w:t>（</w:t>
            </w:r>
            <w:r>
              <w:rPr>
                <w:sz w:val="22"/>
              </w:rPr>
              <w:t>13）截取锥（含有截取锥-嵌片版Ni材质，可以安装嵌片，0.5mm、高基体截取锥嵌片，3.5mm，可更换嵌片耐高盐和高灵敏度）：</w:t>
            </w:r>
            <w:r>
              <w:rPr>
                <w:sz w:val="22"/>
                <w:b/>
              </w:rPr>
              <w:t>≥</w:t>
            </w:r>
            <w:r>
              <w:rPr>
                <w:sz w:val="22"/>
              </w:rPr>
              <w:t>1套</w:t>
            </w:r>
            <w:r>
              <w:rPr>
                <w:sz w:val="22"/>
              </w:rPr>
              <w:t>。</w:t>
            </w:r>
          </w:p>
        </w:tc>
      </w:tr>
      <w:tr>
        <w:tc>
          <w:tcPr>
            <w:tcW w:type="dxa" w:w="2076"/>
          </w:tcPr>
          <w:p/>
        </w:tc>
        <w:tc>
          <w:tcPr>
            <w:tcW w:type="dxa" w:w="415"/>
          </w:tcPr>
          <w:p>
            <w:pPr>
              <w:pStyle w:val="null3"/>
            </w:pPr>
            <w:r>
              <w:rPr/>
              <w:t>55</w:t>
            </w:r>
          </w:p>
        </w:tc>
        <w:tc>
          <w:tcPr>
            <w:tcW w:type="dxa" w:w="5814"/>
          </w:tcPr>
          <w:p>
            <w:pPr>
              <w:pStyle w:val="null3"/>
            </w:pPr>
            <w:r>
              <w:rPr>
                <w:sz w:val="22"/>
              </w:rPr>
              <w:t>（</w:t>
            </w:r>
            <w:r>
              <w:rPr>
                <w:sz w:val="22"/>
              </w:rPr>
              <w:t>14）采样锥石墨垫圈：</w:t>
            </w:r>
            <w:r>
              <w:rPr>
                <w:sz w:val="22"/>
                <w:b/>
              </w:rPr>
              <w:t>≥</w:t>
            </w:r>
            <w:r>
              <w:rPr>
                <w:sz w:val="22"/>
              </w:rPr>
              <w:t>2套</w:t>
            </w:r>
            <w:r>
              <w:rPr>
                <w:sz w:val="22"/>
              </w:rPr>
              <w:t>。</w:t>
            </w:r>
          </w:p>
        </w:tc>
      </w:tr>
      <w:tr>
        <w:tc>
          <w:tcPr>
            <w:tcW w:type="dxa" w:w="2076"/>
          </w:tcPr>
          <w:p/>
        </w:tc>
        <w:tc>
          <w:tcPr>
            <w:tcW w:type="dxa" w:w="415"/>
          </w:tcPr>
          <w:p>
            <w:pPr>
              <w:pStyle w:val="null3"/>
            </w:pPr>
            <w:r>
              <w:rPr/>
              <w:t>56</w:t>
            </w:r>
          </w:p>
        </w:tc>
        <w:tc>
          <w:tcPr>
            <w:tcW w:type="dxa" w:w="5814"/>
          </w:tcPr>
          <w:p>
            <w:pPr>
              <w:pStyle w:val="null3"/>
            </w:pPr>
            <w:r>
              <w:rPr>
                <w:sz w:val="22"/>
              </w:rPr>
              <w:t>（</w:t>
            </w:r>
            <w:r>
              <w:rPr>
                <w:sz w:val="22"/>
              </w:rPr>
              <w:t>15）分体式炬管一套：</w:t>
            </w:r>
            <w:r>
              <w:rPr>
                <w:sz w:val="22"/>
                <w:b/>
              </w:rPr>
              <w:t>≥</w:t>
            </w:r>
            <w:r>
              <w:rPr>
                <w:sz w:val="22"/>
              </w:rPr>
              <w:t>2套</w:t>
            </w:r>
            <w:r>
              <w:rPr>
                <w:sz w:val="22"/>
              </w:rPr>
              <w:t>。</w:t>
            </w:r>
          </w:p>
        </w:tc>
      </w:tr>
      <w:tr>
        <w:tc>
          <w:tcPr>
            <w:tcW w:type="dxa" w:w="2076"/>
          </w:tcPr>
          <w:p/>
        </w:tc>
        <w:tc>
          <w:tcPr>
            <w:tcW w:type="dxa" w:w="415"/>
          </w:tcPr>
          <w:p>
            <w:pPr>
              <w:pStyle w:val="null3"/>
            </w:pPr>
            <w:r>
              <w:rPr/>
              <w:t>57</w:t>
            </w:r>
          </w:p>
        </w:tc>
        <w:tc>
          <w:tcPr>
            <w:tcW w:type="dxa" w:w="5814"/>
          </w:tcPr>
          <w:p>
            <w:pPr>
              <w:pStyle w:val="null3"/>
            </w:pPr>
            <w:r>
              <w:rPr>
                <w:sz w:val="22"/>
              </w:rPr>
              <w:t>（</w:t>
            </w:r>
            <w:r>
              <w:rPr>
                <w:sz w:val="22"/>
              </w:rPr>
              <w:t>16）石英中心管：</w:t>
            </w:r>
            <w:r>
              <w:rPr>
                <w:sz w:val="22"/>
                <w:b/>
              </w:rPr>
              <w:t>≥</w:t>
            </w:r>
            <w:r>
              <w:rPr>
                <w:sz w:val="22"/>
              </w:rPr>
              <w:t>2套</w:t>
            </w:r>
            <w:r>
              <w:rPr>
                <w:sz w:val="22"/>
              </w:rPr>
              <w:t>。</w:t>
            </w:r>
          </w:p>
        </w:tc>
      </w:tr>
      <w:tr>
        <w:tc>
          <w:tcPr>
            <w:tcW w:type="dxa" w:w="2076"/>
          </w:tcPr>
          <w:p/>
        </w:tc>
        <w:tc>
          <w:tcPr>
            <w:tcW w:type="dxa" w:w="415"/>
          </w:tcPr>
          <w:p>
            <w:pPr>
              <w:pStyle w:val="null3"/>
            </w:pPr>
            <w:r>
              <w:rPr/>
              <w:t>58</w:t>
            </w:r>
          </w:p>
        </w:tc>
        <w:tc>
          <w:tcPr>
            <w:tcW w:type="dxa" w:w="5814"/>
          </w:tcPr>
          <w:p>
            <w:pPr>
              <w:pStyle w:val="null3"/>
            </w:pPr>
            <w:r>
              <w:rPr>
                <w:sz w:val="22"/>
              </w:rPr>
              <w:t>（</w:t>
            </w:r>
            <w:r>
              <w:rPr>
                <w:sz w:val="22"/>
              </w:rPr>
              <w:t>17）进样泵管，12根／包：</w:t>
            </w:r>
            <w:r>
              <w:rPr>
                <w:sz w:val="22"/>
                <w:b/>
              </w:rPr>
              <w:t>≥</w:t>
            </w:r>
            <w:r>
              <w:rPr>
                <w:sz w:val="22"/>
              </w:rPr>
              <w:t>2包</w:t>
            </w:r>
            <w:r>
              <w:rPr>
                <w:sz w:val="22"/>
              </w:rPr>
              <w:t>。</w:t>
            </w:r>
          </w:p>
        </w:tc>
      </w:tr>
      <w:tr>
        <w:tc>
          <w:tcPr>
            <w:tcW w:type="dxa" w:w="2076"/>
          </w:tcPr>
          <w:p/>
        </w:tc>
        <w:tc>
          <w:tcPr>
            <w:tcW w:type="dxa" w:w="415"/>
          </w:tcPr>
          <w:p>
            <w:pPr>
              <w:pStyle w:val="null3"/>
            </w:pPr>
            <w:r>
              <w:rPr/>
              <w:t>59</w:t>
            </w:r>
          </w:p>
        </w:tc>
        <w:tc>
          <w:tcPr>
            <w:tcW w:type="dxa" w:w="5814"/>
          </w:tcPr>
          <w:p>
            <w:pPr>
              <w:pStyle w:val="null3"/>
            </w:pPr>
            <w:r>
              <w:rPr>
                <w:sz w:val="22"/>
              </w:rPr>
              <w:t>（</w:t>
            </w:r>
            <w:r>
              <w:rPr>
                <w:sz w:val="22"/>
              </w:rPr>
              <w:t>18）废液泵管，12根／包：</w:t>
            </w:r>
            <w:r>
              <w:rPr>
                <w:sz w:val="22"/>
                <w:b/>
              </w:rPr>
              <w:t>≥</w:t>
            </w:r>
            <w:r>
              <w:rPr>
                <w:sz w:val="22"/>
              </w:rPr>
              <w:t>2包</w:t>
            </w:r>
            <w:r>
              <w:rPr>
                <w:sz w:val="22"/>
              </w:rPr>
              <w:t>。</w:t>
            </w:r>
          </w:p>
        </w:tc>
      </w:tr>
      <w:tr>
        <w:tc>
          <w:tcPr>
            <w:tcW w:type="dxa" w:w="2076"/>
          </w:tcPr>
          <w:p/>
        </w:tc>
        <w:tc>
          <w:tcPr>
            <w:tcW w:type="dxa" w:w="415"/>
          </w:tcPr>
          <w:p>
            <w:pPr>
              <w:pStyle w:val="null3"/>
            </w:pPr>
            <w:r>
              <w:rPr/>
              <w:t>60</w:t>
            </w:r>
          </w:p>
        </w:tc>
        <w:tc>
          <w:tcPr>
            <w:tcW w:type="dxa" w:w="5814"/>
          </w:tcPr>
          <w:p>
            <w:pPr>
              <w:pStyle w:val="null3"/>
            </w:pPr>
            <w:r>
              <w:rPr>
                <w:sz w:val="22"/>
              </w:rPr>
              <w:t>（</w:t>
            </w:r>
            <w:r>
              <w:rPr>
                <w:sz w:val="22"/>
              </w:rPr>
              <w:t>19）特氟隆材质毛细管，排废液用,5M/包：</w:t>
            </w:r>
            <w:r>
              <w:rPr>
                <w:sz w:val="22"/>
                <w:b/>
              </w:rPr>
              <w:t>≥</w:t>
            </w:r>
            <w:r>
              <w:rPr>
                <w:sz w:val="22"/>
              </w:rPr>
              <w:t>1包</w:t>
            </w:r>
            <w:r>
              <w:rPr>
                <w:sz w:val="22"/>
              </w:rPr>
              <w:t>。</w:t>
            </w:r>
          </w:p>
        </w:tc>
      </w:tr>
      <w:tr>
        <w:tc>
          <w:tcPr>
            <w:tcW w:type="dxa" w:w="2076"/>
          </w:tcPr>
          <w:p/>
        </w:tc>
        <w:tc>
          <w:tcPr>
            <w:tcW w:type="dxa" w:w="415"/>
          </w:tcPr>
          <w:p>
            <w:pPr>
              <w:pStyle w:val="null3"/>
            </w:pPr>
            <w:r>
              <w:rPr/>
              <w:t>61</w:t>
            </w:r>
          </w:p>
        </w:tc>
        <w:tc>
          <w:tcPr>
            <w:tcW w:type="dxa" w:w="5814"/>
          </w:tcPr>
          <w:p>
            <w:pPr>
              <w:pStyle w:val="null3"/>
            </w:pPr>
            <w:r>
              <w:rPr>
                <w:sz w:val="22"/>
              </w:rPr>
              <w:t>（</w:t>
            </w:r>
            <w:r>
              <w:rPr>
                <w:sz w:val="22"/>
              </w:rPr>
              <w:t>20）特氟隆材质毛细管，引入样品/内标用，1包，（3m/包）：</w:t>
            </w:r>
            <w:r>
              <w:rPr>
                <w:sz w:val="22"/>
                <w:b/>
              </w:rPr>
              <w:t>≥</w:t>
            </w:r>
            <w:r>
              <w:rPr>
                <w:sz w:val="22"/>
              </w:rPr>
              <w:t>1包</w:t>
            </w:r>
            <w:r>
              <w:rPr>
                <w:sz w:val="22"/>
              </w:rPr>
              <w:t>。</w:t>
            </w:r>
          </w:p>
        </w:tc>
      </w:tr>
      <w:tr>
        <w:tc>
          <w:tcPr>
            <w:tcW w:type="dxa" w:w="2076"/>
          </w:tcPr>
          <w:p/>
        </w:tc>
        <w:tc>
          <w:tcPr>
            <w:tcW w:type="dxa" w:w="415"/>
          </w:tcPr>
          <w:p>
            <w:pPr>
              <w:pStyle w:val="null3"/>
            </w:pPr>
            <w:r>
              <w:rPr/>
              <w:t>62</w:t>
            </w:r>
          </w:p>
        </w:tc>
        <w:tc>
          <w:tcPr>
            <w:tcW w:type="dxa" w:w="5814"/>
          </w:tcPr>
          <w:p>
            <w:pPr>
              <w:pStyle w:val="null3"/>
            </w:pPr>
            <w:r>
              <w:rPr>
                <w:sz w:val="22"/>
              </w:rPr>
              <w:t>（</w:t>
            </w:r>
            <w:r>
              <w:rPr>
                <w:sz w:val="22"/>
              </w:rPr>
              <w:t>21）内标泵管，12根／包：</w:t>
            </w:r>
            <w:r>
              <w:rPr>
                <w:sz w:val="22"/>
                <w:b/>
              </w:rPr>
              <w:t>≥</w:t>
            </w:r>
            <w:r>
              <w:rPr>
                <w:sz w:val="22"/>
              </w:rPr>
              <w:t>2包</w:t>
            </w:r>
            <w:r>
              <w:rPr>
                <w:sz w:val="22"/>
              </w:rPr>
              <w:t>。</w:t>
            </w:r>
          </w:p>
        </w:tc>
      </w:tr>
      <w:tr>
        <w:tc>
          <w:tcPr>
            <w:tcW w:type="dxa" w:w="2076"/>
          </w:tcPr>
          <w:p/>
        </w:tc>
        <w:tc>
          <w:tcPr>
            <w:tcW w:type="dxa" w:w="415"/>
          </w:tcPr>
          <w:p>
            <w:pPr>
              <w:pStyle w:val="null3"/>
            </w:pPr>
            <w:r>
              <w:rPr/>
              <w:t>63</w:t>
            </w:r>
          </w:p>
        </w:tc>
        <w:tc>
          <w:tcPr>
            <w:tcW w:type="dxa" w:w="5814"/>
          </w:tcPr>
          <w:p>
            <w:pPr>
              <w:pStyle w:val="null3"/>
            </w:pPr>
            <w:r>
              <w:rPr>
                <w:sz w:val="22"/>
              </w:rPr>
              <w:t>（</w:t>
            </w:r>
            <w:r>
              <w:rPr>
                <w:sz w:val="22"/>
              </w:rPr>
              <w:t>22）自动进样器 包括：10个50ml标准样品管，1个60位样品架，120个12ml样品管、0.75mm自动进样器进样针（PTFE保护层设计）2个：</w:t>
            </w:r>
            <w:r>
              <w:rPr>
                <w:sz w:val="22"/>
                <w:b/>
              </w:rPr>
              <w:t>≥</w:t>
            </w:r>
            <w:r>
              <w:rPr>
                <w:sz w:val="22"/>
              </w:rPr>
              <w:t>1套</w:t>
            </w:r>
            <w:r>
              <w:rPr>
                <w:sz w:val="22"/>
              </w:rPr>
              <w:t>。</w:t>
            </w:r>
          </w:p>
        </w:tc>
      </w:tr>
      <w:tr>
        <w:tc>
          <w:tcPr>
            <w:tcW w:type="dxa" w:w="2076"/>
          </w:tcPr>
          <w:p/>
        </w:tc>
        <w:tc>
          <w:tcPr>
            <w:tcW w:type="dxa" w:w="415"/>
          </w:tcPr>
          <w:p>
            <w:pPr>
              <w:pStyle w:val="null3"/>
            </w:pPr>
            <w:r>
              <w:rPr/>
              <w:t>64</w:t>
            </w:r>
          </w:p>
        </w:tc>
        <w:tc>
          <w:tcPr>
            <w:tcW w:type="dxa" w:w="5814"/>
          </w:tcPr>
          <w:p>
            <w:pPr>
              <w:pStyle w:val="null3"/>
            </w:pPr>
            <w:r>
              <w:rPr>
                <w:sz w:val="22"/>
              </w:rPr>
              <w:t>（</w:t>
            </w:r>
            <w:r>
              <w:rPr>
                <w:sz w:val="22"/>
              </w:rPr>
              <w:t>23）稳压电源：</w:t>
            </w:r>
            <w:r>
              <w:rPr>
                <w:sz w:val="22"/>
                <w:b/>
              </w:rPr>
              <w:t>≥</w:t>
            </w:r>
            <w:r>
              <w:rPr>
                <w:sz w:val="22"/>
              </w:rPr>
              <w:t>1套</w:t>
            </w:r>
            <w:r>
              <w:rPr>
                <w:sz w:val="22"/>
              </w:rPr>
              <w:t>。</w:t>
            </w:r>
          </w:p>
        </w:tc>
      </w:tr>
      <w:tr>
        <w:tc>
          <w:tcPr>
            <w:tcW w:type="dxa" w:w="2076"/>
          </w:tcPr>
          <w:p/>
        </w:tc>
        <w:tc>
          <w:tcPr>
            <w:tcW w:type="dxa" w:w="415"/>
          </w:tcPr>
          <w:p>
            <w:pPr>
              <w:pStyle w:val="null3"/>
            </w:pPr>
            <w:r>
              <w:rPr/>
              <w:t>65</w:t>
            </w:r>
          </w:p>
        </w:tc>
        <w:tc>
          <w:tcPr>
            <w:tcW w:type="dxa" w:w="5814"/>
          </w:tcPr>
          <w:p>
            <w:pPr>
              <w:pStyle w:val="null3"/>
            </w:pPr>
            <w:r>
              <w:rPr>
                <w:sz w:val="22"/>
              </w:rPr>
              <w:t>（</w:t>
            </w:r>
            <w:r>
              <w:rPr>
                <w:sz w:val="22"/>
              </w:rPr>
              <w:t>24）10KV UPS不间断电源：</w:t>
            </w:r>
            <w:r>
              <w:rPr>
                <w:sz w:val="22"/>
                <w:b/>
              </w:rPr>
              <w:t>≥</w:t>
            </w:r>
            <w:r>
              <w:rPr>
                <w:sz w:val="22"/>
              </w:rPr>
              <w:t>1套</w:t>
            </w:r>
            <w:r>
              <w:rPr>
                <w:sz w:val="22"/>
              </w:rPr>
              <w:t>。</w:t>
            </w:r>
            <w:r>
              <w:rPr/>
              <w:t xml:space="preserve"> </w:t>
            </w:r>
          </w:p>
        </w:tc>
      </w:tr>
      <w:tr>
        <w:tc>
          <w:tcPr>
            <w:tcW w:type="dxa" w:w="2076"/>
          </w:tcPr>
          <w:p/>
        </w:tc>
        <w:tc>
          <w:tcPr>
            <w:tcW w:type="dxa" w:w="415"/>
          </w:tcPr>
          <w:p>
            <w:pPr>
              <w:pStyle w:val="null3"/>
            </w:pPr>
            <w:r>
              <w:rPr/>
              <w:t>66</w:t>
            </w:r>
          </w:p>
        </w:tc>
        <w:tc>
          <w:tcPr>
            <w:tcW w:type="dxa" w:w="5814"/>
          </w:tcPr>
          <w:p>
            <w:pPr>
              <w:pStyle w:val="null3"/>
            </w:pPr>
            <w:r>
              <w:rPr>
                <w:sz w:val="22"/>
              </w:rPr>
              <w:t>（</w:t>
            </w:r>
            <w:r>
              <w:rPr>
                <w:sz w:val="22"/>
              </w:rPr>
              <w:t>25）IKA AOD1 氧弹燃烧分解系统(氧弹燃烧样品处理装置)（技术参数：</w:t>
            </w:r>
          </w:p>
          <w:p>
            <w:pPr>
              <w:pStyle w:val="null3"/>
              <w:jc w:val="both"/>
            </w:pPr>
            <w:r>
              <w:rPr>
                <w:sz w:val="22"/>
              </w:rPr>
              <w:t>分解氧弹、氧气站、点火装置、放气站；分解时间</w:t>
            </w:r>
            <w:r>
              <w:rPr>
                <w:sz w:val="22"/>
              </w:rPr>
              <w:t>3 min；高中心温度 1200 ℃；大压力 195 bar；腔体容量 210 ml大工作氧气压力 40 bar分，氯、硫、氟和溴标准溶液）：</w:t>
            </w:r>
            <w:r>
              <w:rPr>
                <w:sz w:val="22"/>
                <w:b/>
              </w:rPr>
              <w:t>≥</w:t>
            </w:r>
            <w:r>
              <w:rPr>
                <w:sz w:val="22"/>
              </w:rPr>
              <w:t>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采购包2（2024年广东省医疗器械质量监督检验所仪器设备采购项目十（包2））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自合同签订之日起90个日历天内交货，货物到货后50个日历天内安装完成并通过采购人验收和法定计量部门计量检定。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提供合同总价的10%的履约保证金（如中标人为中小企业，按合同总价的5%缴纳履约保证金）给采购人，采购人支付合同总价的70%作为预付款给中标人。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2期：支付比例20%,（1）合同约定的货物全部到货且收到中标人开具符合采购人要求的发票（发票金额为20%合同总价）后10个工作日内，采购人支付20%的进度款给中标人。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3期：支付比例10%,（1）所有货物经法定计量部门计量检定（合同中特殊规定的除外），采购人验收合格且收到中标人开具符合采购人要求的发票（发票金额为10%合同总价）后10个工作日内，采购人支付10%合同尾款。 （2）付款方式：采用银行转账形式。 （3）每笔款项支付时，中标人提前向采购人提供请款申请函及相应金额的增值税专用发票（含货物款发票、货物安装费发票及有关服务发票）或普通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tc>
      </w:tr>
      <w:tr>
        <w:tc>
          <w:tcPr>
            <w:tcW w:type="dxa" w:w="4153"/>
          </w:tcPr>
          <w:p>
            <w:pPr>
              <w:pStyle w:val="null3"/>
            </w:pPr>
            <w:r>
              <w:rPr/>
              <w:t>验收要求</w:t>
            </w:r>
          </w:p>
        </w:tc>
        <w:tc>
          <w:tcPr>
            <w:tcW w:type="dxa" w:w="4153"/>
          </w:tcPr>
          <w:p>
            <w:pPr>
              <w:pStyle w:val="null3"/>
            </w:pPr>
            <w:r>
              <w:rPr/>
              <w:t>1期：1.验收流程： 送检货物：卖方先将货物送计量，再同计量检定合格的证书一并交付买方； 现场计量货物：卖方先安排货物的安装、培训，再安排上门计量，在收到计量检定合格的证书后方进行验收。 2.验收时卖方应提供计量检定合格、有效的计量或校准报告/证书，中文版说明书等；如货物无法计量，则以厂家出具的验证方案为验收标准。 3.在有关部门进行验收时，卖方应及时配合买方。 4.卖方提供的货物不符合质量、技术要求，致使货物未能满足买方的设计性能，买方可拒收货物或单方面解除合同，标的物毁损、丢失的风险由卖方承担。 5.测试及验收工作由买方组织，验收合格后，买卖双方签署符合买方要求的验收记录。 6.交验的货物必须符合中华人民共和国国家安全质量标准、环保标准或行业标准；符合采购文件/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 7.如无特别说明，买方按货物标准配置或原出厂装箱单验收货物的备品、配件，货物铭牌要求清晰可见。 8.买方验收时卖方需提供下列资料：使用说明书（电子版）、原厂装箱单（如有）、合格证（如有）、通关材料（进口设备）、国家认可计量单位的计量证、培训记录、发票，否则不予验收（特殊情况双方另行协商）。</w:t>
            </w:r>
          </w:p>
        </w:tc>
      </w:tr>
      <w:tr>
        <w:tc>
          <w:tcPr>
            <w:tcW w:type="dxa" w:w="4153"/>
          </w:tcPr>
          <w:p>
            <w:pPr>
              <w:pStyle w:val="null3"/>
            </w:pPr>
            <w:r>
              <w:rPr/>
              <w:t>履约保证金</w:t>
            </w:r>
          </w:p>
        </w:tc>
        <w:tc>
          <w:tcPr>
            <w:tcW w:type="dxa" w:w="4153"/>
          </w:tcPr>
          <w:p>
            <w:pPr>
              <w:pStyle w:val="null3"/>
            </w:pPr>
            <w:r>
              <w:rPr/>
              <w:t>收取比例：10%,说明：（1）提供合同总价的10%的履约保证金（如中标人为中小企业，按合同总价的5%缴纳履约保证金）给采购人； （2）在中标人主要义务履行完毕后10个工作日内，采购人退还合同总价10%的履约保证金（如中标人为中小企业，退还合同总价的5%的履约保证金）（无息）。如提供的货物有特殊质保期要求的（如超过1年），中标人须提供该货物的质量保证承诺函。如在合同期内，中标人自行停止履行合约或违反合同有关规定被采购人终止合约的，则采购人不予退还履约保证金。若中标人不履行或不适当履行其合同义务导致采购人蒙受损失的，采购人有权直接从履约保证金中扣除相应违约金或损失赔偿款项，也有权依据履约保函向出具保函人直接索赔；违约金或给采购人造成的损失超过履约保证金数额的，中标人应对超出部分给予赔偿。采购人逾期退还履约保证金的，除应当退还履约保证金本金外，还应当每日按合同总价的0.1‰向中标人偿付违约金，但因合同的履行产生争议或由于中标人自身原因导致无法及时退还的除外。</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其他，一、包装运输：1. 包装必须与运输方式相适应，包装方式的确定及费用均由中标人负责；若由于不适当的包装而造成货物在运输过程中有任何损坏、丢失均由中标人负责。2. 包装应足以承受整个过程中的运输、转运、装卸、储存等，充分考虑到运输途中的各种情况（如暴露于恶劣气候等），以及露天存放的需要。3. 专用工具及备品备件应分别包装，并在包装箱外加以注明其用处。4. 每一包装箱两个侧面用不褪色的油漆和明显易见的中文字样做出标记。标记内容包括：箱（件）号、装运标志（唛头）、毛重（kg）、尺码（长×宽×高，用mm表示）、净重（kg）、到货地址、收货人名称、货物名称、合同编号以及“勿近潮湿”、“小心轻放”、“此边向上”等。5.以下单证原件在到货同时交给采购人：（1）装运单一份，注明合同号、装运标志、货物内容、每件包装尺码及重量；（2）制造厂出具的出厂装箱单、质量检验合格证明书各一式一份。 二、售后服务： 质量保证：①中标人应保证合同项下所供货物是全新的、未使用过的，是目前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②上述保证在货物验收合格交付采购人使用之日起按合同规定的质量保证期内有效，质量保证期至少为1年，在质保期内中标人提供货物正常使用情况下的维修及保养服务，一切维修、维护、保养费用均由中标人负责。任何时候，中标人均不能免除因设备本身的缺陷所应负的责任。在质保期内如设备或零部件因不可抗因素造成损害、故障而造成短期停用时，则质保期和免费维修期相应顺延。如停用时间累计超过60天则质保期重新计算。③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④采购人在质量保证期内发现缺陷应尽快以书面形式通知中标人。对质保期内的故障报修，中标人应按其投标文件响应方案设定服务热线或专人直线，保证在接到报障后按上款规定执行更换有缺陷的货物或部件、排除故障。⑤对质保期内的故障报修，如中标人未能做到上述③、④款的服务承诺，采购人可采取必要的补救措施，但其风险和费用由中标人承担，采购人根据合同规定对中标人行使的其它权力不受影响。由于中标人的保证服务不到位导致货物不能正常使用的，质保期的到期时间将按货物不能正常使用的时间相应顺延。⑥质保期内因用户使用、管理不当所造成的损失由采购人承担，中标人提供有偿服务。⑦质保期内对于不能明确是否是本次采购所提供软硬件设备出现故障时，中标人应无条件配合采购人进行检查和排除问题。 质量保证期后服务：①质保期满后，若产品有危害人身安全和健康的产品质量问题，则由中标人负责更换及维修。②质保期满后，应采购人要求，中标人应（参考当时的市场价格）按优惠价格与采购人签订定期维修保养合同及提供采购人所需零配件。③在备件停止生产的情况下，中标人应事先将要停止生产的计划通知采购人，使采购人有足够的时间采购所需备件；在备件停止生产后，中标人应向采购人提供备件的图纸、资料。 三、保险：根据本项目合同关于产权与风险转移条款规定，中标人承担货物到达交货地点并安装、验收合格交付使用之前的所有风险。因此，中标人应按货物总价的110％价值为货物投保一切险、为派往采购人服务的人员投保人身险、为货物交付前活动可能涉及的第三方投保相关险种，保险费用均由中标人负责。 四、检验与测试：1.采购人或其代表有权检验和/或测试货物，以确认货物是否符合合同规格的要求，并且不承担额外的费用。采购人要求进行的检验和测试以及在何处进行这些检验和测试，将参照合同条款的技术规格并以采购人具体验收要求为准。采购人将及时以书面形式把进行检验和/或采购人测试代表的身份通知中标人。 2.检验和测试可以在中标人或其分包人的驻地、交货地和/或货物的最终目的地进行。如果在中标人或其分包人的驻地进行，检测人员应能得全部合理的设施和协助，采购人不应承担费用。 3.如果任何被检验或测试的货物不能满足规格的要求，采购人可以拒绝接受该货物，中标人应更换被拒绝的货物，或者进行必要的修改以满足规格的要求。 4.采购人在货物到达的目的地后对货物进行检验、测试及必要时拒绝接受货物的权利将不会因为货物在中标人或其分包人的驻地已通过了采购人或其代表的检验、测试和认可而受到限制或放弃。 5.交货时，中标人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 五、安装、调试与运行：1.中标人必须向采购人提供合同货物安装所需的材料（如设备调试过程中需要用到的标准品等耗材等）、技术资料以及所需工具。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合同所述货物的规格、技术指标及安装工艺，有足够能力安装、调试合同的货物并使之达到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5.中标人人员实施及监督所供货物的试运行，并在双方商定的一定期限内对所供货物运行、维护实施监督指导，其他但监督指导并不能免除中标人在质量保证期内所承担的义务。 六、培训：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2.中标人应与采购人沟通，根据采购人的实际情况，制定适合用户的详细培训计划（包括：培训时间，培训内容、培训对象、培训方式等），中标人负责提供现场操作、运行、维护、维修的培训方案及必需的培训资料。3.中标人负责组织对采购人受训人员进行操作、维修、保养的培训，培训老师应是货物制造商/厂家有经验的工程技术专业人员。如有需要，中标人应为采购人安排二次培训，具体要求由双方共同商定。4.培训前，中标人应与采购人进行良好沟通，安排好培训所用设施和培训资料等，确保达到预期培训效果。</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气相色谱仪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jc w:val="right"/>
            </w:pPr>
            <w:r>
              <w:rPr/>
              <w:t>950,000.00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核磁共振波谱仪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1,400,000.00</w:t>
            </w:r>
          </w:p>
        </w:tc>
        <w:tc>
          <w:tcPr>
            <w:tcW w:type="dxa" w:w="831"/>
          </w:tcPr>
          <w:p>
            <w:pPr>
              <w:pStyle w:val="null3"/>
              <w:jc w:val="right"/>
            </w:pPr>
            <w:r>
              <w:rPr/>
              <w:t>1,400,000.00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气相色谱仪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1.系统性能指标</w:t>
            </w:r>
          </w:p>
          <w:p>
            <w:pPr>
              <w:pStyle w:val="null3"/>
              <w:jc w:val="both"/>
            </w:pPr>
            <w:r>
              <w:rPr>
                <w:sz w:val="21"/>
              </w:rPr>
              <w:t>1.1 保留时间重现性：&lt;0.0008min；</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1.2 ▲峰面积重现性：&lt;0.5%RSD。</w:t>
            </w:r>
          </w:p>
        </w:tc>
      </w:tr>
      <w:tr>
        <w:tc>
          <w:tcPr>
            <w:tcW w:type="dxa" w:w="2076"/>
          </w:tcPr>
          <w:p/>
        </w:tc>
        <w:tc>
          <w:tcPr>
            <w:tcW w:type="dxa" w:w="415"/>
          </w:tcPr>
          <w:p>
            <w:pPr>
              <w:pStyle w:val="null3"/>
            </w:pPr>
            <w:r>
              <w:rPr/>
              <w:t>3</w:t>
            </w:r>
          </w:p>
        </w:tc>
        <w:tc>
          <w:tcPr>
            <w:tcW w:type="dxa" w:w="5814"/>
          </w:tcPr>
          <w:p>
            <w:pPr>
              <w:pStyle w:val="null3"/>
              <w:jc w:val="both"/>
            </w:pPr>
            <w:r>
              <w:rPr>
                <w:sz w:val="21"/>
              </w:rPr>
              <w:t>2.柱温箱</w:t>
            </w:r>
          </w:p>
        </w:tc>
      </w:tr>
      <w:tr>
        <w:tc>
          <w:tcPr>
            <w:tcW w:type="dxa" w:w="2076"/>
          </w:tcPr>
          <w:p/>
        </w:tc>
        <w:tc>
          <w:tcPr>
            <w:tcW w:type="dxa" w:w="415"/>
          </w:tcPr>
          <w:p>
            <w:pPr>
              <w:pStyle w:val="null3"/>
            </w:pPr>
            <w:r>
              <w:rPr/>
              <w:t>4</w:t>
            </w:r>
          </w:p>
        </w:tc>
        <w:tc>
          <w:tcPr>
            <w:tcW w:type="dxa" w:w="5814"/>
          </w:tcPr>
          <w:p>
            <w:pPr>
              <w:pStyle w:val="null3"/>
              <w:jc w:val="both"/>
            </w:pPr>
            <w:r>
              <w:rPr>
                <w:sz w:val="21"/>
              </w:rPr>
              <w:t>2.1 操作温度：室温以上4˚C-450˚C，温度设置分辨率：0.1°C；</w:t>
            </w:r>
          </w:p>
        </w:tc>
      </w:tr>
      <w:tr>
        <w:tc>
          <w:tcPr>
            <w:tcW w:type="dxa" w:w="2076"/>
          </w:tcPr>
          <w:p/>
        </w:tc>
        <w:tc>
          <w:tcPr>
            <w:tcW w:type="dxa" w:w="415"/>
          </w:tcPr>
          <w:p>
            <w:pPr>
              <w:pStyle w:val="null3"/>
            </w:pPr>
            <w:r>
              <w:rPr/>
              <w:t>5</w:t>
            </w:r>
          </w:p>
        </w:tc>
        <w:tc>
          <w:tcPr>
            <w:tcW w:type="dxa" w:w="5814"/>
          </w:tcPr>
          <w:p>
            <w:pPr>
              <w:pStyle w:val="null3"/>
              <w:jc w:val="both"/>
            </w:pPr>
            <w:r>
              <w:rPr>
                <w:sz w:val="21"/>
              </w:rPr>
              <w:t>2.2 降温速率：从450˚C降至50˚C≤3.5min（采用柱箱插入附件）；</w:t>
            </w:r>
          </w:p>
        </w:tc>
      </w:tr>
      <w:tr>
        <w:tc>
          <w:tcPr>
            <w:tcW w:type="dxa" w:w="2076"/>
          </w:tcPr>
          <w:p/>
        </w:tc>
        <w:tc>
          <w:tcPr>
            <w:tcW w:type="dxa" w:w="415"/>
          </w:tcPr>
          <w:p>
            <w:pPr>
              <w:pStyle w:val="null3"/>
            </w:pPr>
            <w:r>
              <w:rPr/>
              <w:t>6</w:t>
            </w:r>
          </w:p>
        </w:tc>
        <w:tc>
          <w:tcPr>
            <w:tcW w:type="dxa" w:w="5814"/>
          </w:tcPr>
          <w:p>
            <w:pPr>
              <w:pStyle w:val="null3"/>
              <w:jc w:val="both"/>
            </w:pPr>
            <w:r>
              <w:rPr>
                <w:sz w:val="21"/>
              </w:rPr>
              <w:t>2.3 温度稳定性：≤0.01˚C/1˚C环境变化；</w:t>
            </w:r>
          </w:p>
        </w:tc>
      </w:tr>
      <w:tr>
        <w:tc>
          <w:tcPr>
            <w:tcW w:type="dxa" w:w="2076"/>
          </w:tcPr>
          <w:p/>
        </w:tc>
        <w:tc>
          <w:tcPr>
            <w:tcW w:type="dxa" w:w="415"/>
          </w:tcPr>
          <w:p>
            <w:pPr>
              <w:pStyle w:val="null3"/>
            </w:pPr>
            <w:r>
              <w:rPr/>
              <w:t>7</w:t>
            </w:r>
          </w:p>
        </w:tc>
        <w:tc>
          <w:tcPr>
            <w:tcW w:type="dxa" w:w="5814"/>
          </w:tcPr>
          <w:p>
            <w:pPr>
              <w:pStyle w:val="null3"/>
              <w:jc w:val="both"/>
            </w:pPr>
            <w:r>
              <w:rPr>
                <w:sz w:val="21"/>
              </w:rPr>
              <w:t>2.4 最大升温速度120˚C/min，可拓展至：1800˚C/min；</w:t>
            </w:r>
          </w:p>
        </w:tc>
      </w:tr>
      <w:tr>
        <w:tc>
          <w:tcPr>
            <w:tcW w:type="dxa" w:w="2076"/>
          </w:tcPr>
          <w:p/>
        </w:tc>
        <w:tc>
          <w:tcPr>
            <w:tcW w:type="dxa" w:w="415"/>
          </w:tcPr>
          <w:p>
            <w:pPr>
              <w:pStyle w:val="null3"/>
            </w:pPr>
            <w:r>
              <w:rPr/>
              <w:t>8</w:t>
            </w:r>
          </w:p>
        </w:tc>
        <w:tc>
          <w:tcPr>
            <w:tcW w:type="dxa" w:w="5814"/>
          </w:tcPr>
          <w:p>
            <w:pPr>
              <w:pStyle w:val="null3"/>
              <w:jc w:val="both"/>
            </w:pPr>
            <w:r>
              <w:rPr>
                <w:sz w:val="21"/>
              </w:rPr>
              <w:t>2.5 程序升温：19阶20平台，可程序降温；</w:t>
            </w:r>
          </w:p>
        </w:tc>
      </w:tr>
      <w:tr>
        <w:tc>
          <w:tcPr>
            <w:tcW w:type="dxa" w:w="2076"/>
          </w:tcPr>
          <w:p/>
        </w:tc>
        <w:tc>
          <w:tcPr>
            <w:tcW w:type="dxa" w:w="415"/>
          </w:tcPr>
          <w:p>
            <w:pPr>
              <w:pStyle w:val="null3"/>
            </w:pPr>
            <w:r>
              <w:rPr/>
              <w:t>9</w:t>
            </w:r>
          </w:p>
        </w:tc>
        <w:tc>
          <w:tcPr>
            <w:tcW w:type="dxa" w:w="5814"/>
          </w:tcPr>
          <w:p>
            <w:pPr>
              <w:pStyle w:val="null3"/>
              <w:jc w:val="both"/>
            </w:pPr>
            <w:r>
              <w:rPr>
                <w:sz w:val="21"/>
              </w:rPr>
              <w:t>2.6微板流路控制系统，通过该技术可以实现色谱柱柱前、柱中、柱后反吹，可具备换柱子不卸真空功能，需提供微板流路控制技术的公开发行的文献证明；</w:t>
            </w:r>
          </w:p>
        </w:tc>
      </w:tr>
      <w:tr>
        <w:tc>
          <w:tcPr>
            <w:tcW w:type="dxa" w:w="2076"/>
          </w:tcPr>
          <w:p/>
        </w:tc>
        <w:tc>
          <w:tcPr>
            <w:tcW w:type="dxa" w:w="415"/>
          </w:tcPr>
          <w:p>
            <w:pPr>
              <w:pStyle w:val="null3"/>
            </w:pPr>
            <w:r>
              <w:rPr/>
              <w:t>10</w:t>
            </w:r>
          </w:p>
        </w:tc>
        <w:tc>
          <w:tcPr>
            <w:tcW w:type="dxa" w:w="5814"/>
          </w:tcPr>
          <w:p>
            <w:pPr>
              <w:pStyle w:val="null3"/>
              <w:jc w:val="both"/>
            </w:pPr>
            <w:r>
              <w:rPr>
                <w:sz w:val="21"/>
              </w:rPr>
              <w:t>2.7 采用微流路EPC，有效防止水、油中气体污染；所有气路系统都需具备电子流量/压力控制功能，以提高重现性，可安装</w:t>
            </w:r>
            <w:r>
              <w:rPr>
                <w:sz w:val="21"/>
                <w:b/>
              </w:rPr>
              <w:t>≥</w:t>
            </w:r>
            <w:r>
              <w:rPr>
                <w:sz w:val="21"/>
              </w:rPr>
              <w:t>8个EPC 模块，可控制</w:t>
            </w:r>
            <w:r>
              <w:rPr>
                <w:sz w:val="21"/>
                <w:b/>
              </w:rPr>
              <w:t>≥</w:t>
            </w:r>
            <w:r>
              <w:rPr>
                <w:sz w:val="21"/>
              </w:rPr>
              <w:t>19个EPC 通道；</w:t>
            </w:r>
          </w:p>
        </w:tc>
      </w:tr>
      <w:tr>
        <w:tc>
          <w:tcPr>
            <w:tcW w:type="dxa" w:w="2076"/>
          </w:tcPr>
          <w:p>
            <w:pPr>
              <w:pStyle w:val="null3"/>
            </w:pPr>
            <w:r>
              <w:rPr/>
              <w:t>▲</w:t>
            </w:r>
          </w:p>
        </w:tc>
        <w:tc>
          <w:tcPr>
            <w:tcW w:type="dxa" w:w="415"/>
          </w:tcPr>
          <w:p>
            <w:pPr>
              <w:pStyle w:val="null3"/>
            </w:pPr>
            <w:r>
              <w:rPr/>
              <w:t>11</w:t>
            </w:r>
          </w:p>
        </w:tc>
        <w:tc>
          <w:tcPr>
            <w:tcW w:type="dxa" w:w="5814"/>
          </w:tcPr>
          <w:p>
            <w:pPr>
              <w:pStyle w:val="null3"/>
              <w:jc w:val="both"/>
            </w:pPr>
            <w:r>
              <w:rPr>
                <w:sz w:val="21"/>
              </w:rPr>
              <w:t>2.8 ▲压力最小设定值和控制精度：≤0.001psi。</w:t>
            </w:r>
          </w:p>
        </w:tc>
      </w:tr>
      <w:tr>
        <w:tc>
          <w:tcPr>
            <w:tcW w:type="dxa" w:w="2076"/>
          </w:tcPr>
          <w:p/>
        </w:tc>
        <w:tc>
          <w:tcPr>
            <w:tcW w:type="dxa" w:w="415"/>
          </w:tcPr>
          <w:p>
            <w:pPr>
              <w:pStyle w:val="null3"/>
            </w:pPr>
            <w:r>
              <w:rPr/>
              <w:t>12</w:t>
            </w:r>
          </w:p>
        </w:tc>
        <w:tc>
          <w:tcPr>
            <w:tcW w:type="dxa" w:w="5814"/>
          </w:tcPr>
          <w:p>
            <w:pPr>
              <w:pStyle w:val="null3"/>
              <w:jc w:val="both"/>
            </w:pPr>
            <w:r>
              <w:rPr>
                <w:sz w:val="21"/>
              </w:rPr>
              <w:t>3.分流/不分流毛细管柱进样口</w:t>
            </w:r>
          </w:p>
        </w:tc>
      </w:tr>
      <w:tr>
        <w:tc>
          <w:tcPr>
            <w:tcW w:type="dxa" w:w="2076"/>
          </w:tcPr>
          <w:p/>
        </w:tc>
        <w:tc>
          <w:tcPr>
            <w:tcW w:type="dxa" w:w="415"/>
          </w:tcPr>
          <w:p>
            <w:pPr>
              <w:pStyle w:val="null3"/>
            </w:pPr>
            <w:r>
              <w:rPr/>
              <w:t>13</w:t>
            </w:r>
          </w:p>
        </w:tc>
        <w:tc>
          <w:tcPr>
            <w:tcW w:type="dxa" w:w="5814"/>
          </w:tcPr>
          <w:p>
            <w:pPr>
              <w:pStyle w:val="null3"/>
              <w:jc w:val="both"/>
            </w:pPr>
            <w:r>
              <w:rPr>
                <w:sz w:val="21"/>
              </w:rPr>
              <w:t>3.1快速扳转系统，更换衬管无需要拆卸螺丝；</w:t>
            </w:r>
          </w:p>
        </w:tc>
      </w:tr>
      <w:tr>
        <w:tc>
          <w:tcPr>
            <w:tcW w:type="dxa" w:w="2076"/>
          </w:tcPr>
          <w:p/>
        </w:tc>
        <w:tc>
          <w:tcPr>
            <w:tcW w:type="dxa" w:w="415"/>
          </w:tcPr>
          <w:p>
            <w:pPr>
              <w:pStyle w:val="null3"/>
            </w:pPr>
            <w:r>
              <w:rPr/>
              <w:t>14</w:t>
            </w:r>
          </w:p>
        </w:tc>
        <w:tc>
          <w:tcPr>
            <w:tcW w:type="dxa" w:w="5814"/>
          </w:tcPr>
          <w:p>
            <w:pPr>
              <w:pStyle w:val="null3"/>
              <w:jc w:val="both"/>
            </w:pPr>
            <w:r>
              <w:rPr>
                <w:sz w:val="21"/>
              </w:rPr>
              <w:t>3.2最高使用温度</w:t>
            </w:r>
            <w:r>
              <w:rPr>
                <w:sz w:val="21"/>
                <w:b/>
              </w:rPr>
              <w:t>≥</w:t>
            </w:r>
            <w:r>
              <w:rPr>
                <w:sz w:val="21"/>
              </w:rPr>
              <w:t>400˚C；</w:t>
            </w:r>
          </w:p>
        </w:tc>
      </w:tr>
      <w:tr>
        <w:tc>
          <w:tcPr>
            <w:tcW w:type="dxa" w:w="2076"/>
          </w:tcPr>
          <w:p>
            <w:pPr>
              <w:pStyle w:val="null3"/>
            </w:pPr>
            <w:r>
              <w:rPr/>
              <w:t>▲</w:t>
            </w:r>
          </w:p>
        </w:tc>
        <w:tc>
          <w:tcPr>
            <w:tcW w:type="dxa" w:w="415"/>
          </w:tcPr>
          <w:p>
            <w:pPr>
              <w:pStyle w:val="null3"/>
            </w:pPr>
            <w:r>
              <w:rPr/>
              <w:t>15</w:t>
            </w:r>
          </w:p>
        </w:tc>
        <w:tc>
          <w:tcPr>
            <w:tcW w:type="dxa" w:w="5814"/>
          </w:tcPr>
          <w:p>
            <w:pPr>
              <w:pStyle w:val="null3"/>
              <w:jc w:val="both"/>
            </w:pPr>
            <w:r>
              <w:rPr>
                <w:sz w:val="21"/>
              </w:rPr>
              <w:t>3.3▲压力设定范围：</w:t>
            </w:r>
            <w:r>
              <w:rPr>
                <w:sz w:val="21"/>
                <w:b/>
              </w:rPr>
              <w:t>≥</w:t>
            </w:r>
            <w:r>
              <w:rPr>
                <w:sz w:val="21"/>
              </w:rPr>
              <w:t>100psi, 控制精度</w:t>
            </w:r>
            <w:r>
              <w:rPr>
                <w:sz w:val="21"/>
                <w:b/>
              </w:rPr>
              <w:t>≥</w:t>
            </w:r>
            <w:r>
              <w:rPr>
                <w:sz w:val="21"/>
              </w:rPr>
              <w:t>0.001psi；</w:t>
            </w:r>
          </w:p>
        </w:tc>
      </w:tr>
      <w:tr>
        <w:tc>
          <w:tcPr>
            <w:tcW w:type="dxa" w:w="2076"/>
          </w:tcPr>
          <w:p/>
        </w:tc>
        <w:tc>
          <w:tcPr>
            <w:tcW w:type="dxa" w:w="415"/>
          </w:tcPr>
          <w:p>
            <w:pPr>
              <w:pStyle w:val="null3"/>
            </w:pPr>
            <w:r>
              <w:rPr/>
              <w:t>16</w:t>
            </w:r>
          </w:p>
        </w:tc>
        <w:tc>
          <w:tcPr>
            <w:tcW w:type="dxa" w:w="5814"/>
          </w:tcPr>
          <w:p>
            <w:pPr>
              <w:pStyle w:val="null3"/>
              <w:jc w:val="both"/>
            </w:pPr>
            <w:r>
              <w:rPr>
                <w:sz w:val="21"/>
              </w:rPr>
              <w:t xml:space="preserve">3.4 </w:t>
            </w:r>
            <w:r>
              <w:rPr>
                <w:sz w:val="21"/>
              </w:rPr>
              <w:t>流量设定范围：</w:t>
            </w:r>
            <w:r>
              <w:rPr>
                <w:sz w:val="21"/>
              </w:rPr>
              <w:t>0~500ml/min（以N₂为载气时），0~1250ml/min（以H₂，He为载气时）。</w:t>
            </w:r>
          </w:p>
        </w:tc>
      </w:tr>
      <w:tr>
        <w:tc>
          <w:tcPr>
            <w:tcW w:type="dxa" w:w="2076"/>
          </w:tcPr>
          <w:p/>
        </w:tc>
        <w:tc>
          <w:tcPr>
            <w:tcW w:type="dxa" w:w="415"/>
          </w:tcPr>
          <w:p>
            <w:pPr>
              <w:pStyle w:val="null3"/>
            </w:pPr>
            <w:r>
              <w:rPr/>
              <w:t>17</w:t>
            </w:r>
          </w:p>
        </w:tc>
        <w:tc>
          <w:tcPr>
            <w:tcW w:type="dxa" w:w="5814"/>
          </w:tcPr>
          <w:p>
            <w:pPr>
              <w:pStyle w:val="null3"/>
              <w:jc w:val="both"/>
            </w:pPr>
            <w:r>
              <w:rPr>
                <w:sz w:val="21"/>
              </w:rPr>
              <w:t>4.液体自动进样器</w:t>
            </w:r>
          </w:p>
        </w:tc>
      </w:tr>
      <w:tr>
        <w:tc>
          <w:tcPr>
            <w:tcW w:type="dxa" w:w="2076"/>
          </w:tcPr>
          <w:p>
            <w:pPr>
              <w:pStyle w:val="null3"/>
            </w:pPr>
            <w:r>
              <w:rPr/>
              <w:t>▲</w:t>
            </w:r>
          </w:p>
        </w:tc>
        <w:tc>
          <w:tcPr>
            <w:tcW w:type="dxa" w:w="415"/>
          </w:tcPr>
          <w:p>
            <w:pPr>
              <w:pStyle w:val="null3"/>
            </w:pPr>
            <w:r>
              <w:rPr/>
              <w:t>18</w:t>
            </w:r>
          </w:p>
        </w:tc>
        <w:tc>
          <w:tcPr>
            <w:tcW w:type="dxa" w:w="5814"/>
          </w:tcPr>
          <w:p>
            <w:pPr>
              <w:pStyle w:val="null3"/>
              <w:jc w:val="both"/>
            </w:pPr>
            <w:r>
              <w:rPr>
                <w:sz w:val="21"/>
              </w:rPr>
              <w:t>4.1▲样品瓶位数：≥150位（1.5mL或2mL）；</w:t>
            </w:r>
          </w:p>
        </w:tc>
      </w:tr>
      <w:tr>
        <w:tc>
          <w:tcPr>
            <w:tcW w:type="dxa" w:w="2076"/>
          </w:tcPr>
          <w:p/>
        </w:tc>
        <w:tc>
          <w:tcPr>
            <w:tcW w:type="dxa" w:w="415"/>
          </w:tcPr>
          <w:p>
            <w:pPr>
              <w:pStyle w:val="null3"/>
            </w:pPr>
            <w:r>
              <w:rPr/>
              <w:t>19</w:t>
            </w:r>
          </w:p>
        </w:tc>
        <w:tc>
          <w:tcPr>
            <w:tcW w:type="dxa" w:w="5814"/>
          </w:tcPr>
          <w:p>
            <w:pPr>
              <w:pStyle w:val="null3"/>
              <w:jc w:val="both"/>
            </w:pPr>
            <w:r>
              <w:rPr>
                <w:sz w:val="21"/>
              </w:rPr>
              <w:t>4.2液体进样量范围：通常介于0.1-50μL之间；</w:t>
            </w:r>
          </w:p>
        </w:tc>
      </w:tr>
      <w:tr>
        <w:tc>
          <w:tcPr>
            <w:tcW w:type="dxa" w:w="2076"/>
          </w:tcPr>
          <w:p/>
        </w:tc>
        <w:tc>
          <w:tcPr>
            <w:tcW w:type="dxa" w:w="415"/>
          </w:tcPr>
          <w:p>
            <w:pPr>
              <w:pStyle w:val="null3"/>
            </w:pPr>
            <w:r>
              <w:rPr/>
              <w:t>20</w:t>
            </w:r>
          </w:p>
        </w:tc>
        <w:tc>
          <w:tcPr>
            <w:tcW w:type="dxa" w:w="5814"/>
          </w:tcPr>
          <w:p>
            <w:pPr>
              <w:pStyle w:val="null3"/>
              <w:jc w:val="both"/>
            </w:pPr>
            <w:r>
              <w:rPr>
                <w:sz w:val="21"/>
              </w:rPr>
              <w:t>4.3峰面积重复性：&lt; 0.3% RSD；</w:t>
            </w:r>
          </w:p>
        </w:tc>
      </w:tr>
      <w:tr>
        <w:tc>
          <w:tcPr>
            <w:tcW w:type="dxa" w:w="2076"/>
          </w:tcPr>
          <w:p/>
        </w:tc>
        <w:tc>
          <w:tcPr>
            <w:tcW w:type="dxa" w:w="415"/>
          </w:tcPr>
          <w:p>
            <w:pPr>
              <w:pStyle w:val="null3"/>
            </w:pPr>
            <w:r>
              <w:rPr/>
              <w:t>21</w:t>
            </w:r>
          </w:p>
        </w:tc>
        <w:tc>
          <w:tcPr>
            <w:tcW w:type="dxa" w:w="5814"/>
          </w:tcPr>
          <w:p>
            <w:pPr>
              <w:pStyle w:val="null3"/>
              <w:jc w:val="both"/>
            </w:pPr>
            <w:r>
              <w:rPr>
                <w:sz w:val="21"/>
              </w:rPr>
              <w:t>4.4具有溶剂节省功能，即只需1/4进样针体积的溶剂即可清洗干净；</w:t>
            </w:r>
          </w:p>
        </w:tc>
      </w:tr>
      <w:tr>
        <w:tc>
          <w:tcPr>
            <w:tcW w:type="dxa" w:w="2076"/>
          </w:tcPr>
          <w:p/>
        </w:tc>
        <w:tc>
          <w:tcPr>
            <w:tcW w:type="dxa" w:w="415"/>
          </w:tcPr>
          <w:p>
            <w:pPr>
              <w:pStyle w:val="null3"/>
            </w:pPr>
            <w:r>
              <w:rPr/>
              <w:t>22</w:t>
            </w:r>
          </w:p>
        </w:tc>
        <w:tc>
          <w:tcPr>
            <w:tcW w:type="dxa" w:w="5814"/>
          </w:tcPr>
          <w:p>
            <w:pPr>
              <w:pStyle w:val="null3"/>
              <w:jc w:val="both"/>
            </w:pPr>
            <w:r>
              <w:rPr>
                <w:sz w:val="21"/>
              </w:rPr>
              <w:t>4.5具有重叠进样功能，即上一个样品开始运行后，下一个样品即可准备好进样；</w:t>
            </w:r>
          </w:p>
        </w:tc>
      </w:tr>
      <w:tr>
        <w:tc>
          <w:tcPr>
            <w:tcW w:type="dxa" w:w="2076"/>
          </w:tcPr>
          <w:p/>
        </w:tc>
        <w:tc>
          <w:tcPr>
            <w:tcW w:type="dxa" w:w="415"/>
          </w:tcPr>
          <w:p>
            <w:pPr>
              <w:pStyle w:val="null3"/>
            </w:pPr>
            <w:r>
              <w:rPr/>
              <w:t>23</w:t>
            </w:r>
          </w:p>
        </w:tc>
        <w:tc>
          <w:tcPr>
            <w:tcW w:type="dxa" w:w="5814"/>
          </w:tcPr>
          <w:p>
            <w:pPr>
              <w:pStyle w:val="null3"/>
              <w:jc w:val="both"/>
            </w:pPr>
            <w:r>
              <w:rPr>
                <w:sz w:val="21"/>
              </w:rPr>
              <w:t>4.6支持双塔双柱同时进样分析。</w:t>
            </w:r>
          </w:p>
        </w:tc>
      </w:tr>
      <w:tr>
        <w:tc>
          <w:tcPr>
            <w:tcW w:type="dxa" w:w="2076"/>
          </w:tcPr>
          <w:p/>
        </w:tc>
        <w:tc>
          <w:tcPr>
            <w:tcW w:type="dxa" w:w="415"/>
          </w:tcPr>
          <w:p>
            <w:pPr>
              <w:pStyle w:val="null3"/>
            </w:pPr>
            <w:r>
              <w:rPr/>
              <w:t>24</w:t>
            </w:r>
          </w:p>
        </w:tc>
        <w:tc>
          <w:tcPr>
            <w:tcW w:type="dxa" w:w="5814"/>
          </w:tcPr>
          <w:p>
            <w:pPr>
              <w:pStyle w:val="null3"/>
              <w:jc w:val="both"/>
            </w:pPr>
            <w:r>
              <w:rPr>
                <w:sz w:val="21"/>
              </w:rPr>
              <w:t>5.检测器：安装</w:t>
            </w:r>
            <w:r>
              <w:rPr>
                <w:sz w:val="21"/>
                <w:b/>
              </w:rPr>
              <w:t>≥</w:t>
            </w:r>
            <w:r>
              <w:rPr>
                <w:sz w:val="21"/>
              </w:rPr>
              <w:t>4个检测器</w:t>
            </w:r>
          </w:p>
        </w:tc>
      </w:tr>
      <w:tr>
        <w:tc>
          <w:tcPr>
            <w:tcW w:type="dxa" w:w="2076"/>
          </w:tcPr>
          <w:p/>
        </w:tc>
        <w:tc>
          <w:tcPr>
            <w:tcW w:type="dxa" w:w="415"/>
          </w:tcPr>
          <w:p>
            <w:pPr>
              <w:pStyle w:val="null3"/>
            </w:pPr>
            <w:r>
              <w:rPr/>
              <w:t>25</w:t>
            </w:r>
          </w:p>
        </w:tc>
        <w:tc>
          <w:tcPr>
            <w:tcW w:type="dxa" w:w="5814"/>
          </w:tcPr>
          <w:p>
            <w:pPr>
              <w:pStyle w:val="null3"/>
              <w:jc w:val="both"/>
            </w:pPr>
            <w:r>
              <w:rPr>
                <w:sz w:val="21"/>
              </w:rPr>
              <w:t>5.1氢火焰离子化检测器（FID）；</w:t>
            </w:r>
          </w:p>
        </w:tc>
      </w:tr>
      <w:tr>
        <w:tc>
          <w:tcPr>
            <w:tcW w:type="dxa" w:w="2076"/>
          </w:tcPr>
          <w:p/>
        </w:tc>
        <w:tc>
          <w:tcPr>
            <w:tcW w:type="dxa" w:w="415"/>
          </w:tcPr>
          <w:p>
            <w:pPr>
              <w:pStyle w:val="null3"/>
            </w:pPr>
            <w:r>
              <w:rPr/>
              <w:t>26</w:t>
            </w:r>
          </w:p>
        </w:tc>
        <w:tc>
          <w:tcPr>
            <w:tcW w:type="dxa" w:w="5814"/>
          </w:tcPr>
          <w:p>
            <w:pPr>
              <w:pStyle w:val="null3"/>
              <w:jc w:val="both"/>
            </w:pPr>
            <w:r>
              <w:rPr>
                <w:sz w:val="21"/>
              </w:rPr>
              <w:t>5.1.1最高使用温度：</w:t>
            </w:r>
            <w:r>
              <w:rPr>
                <w:sz w:val="21"/>
                <w:b/>
              </w:rPr>
              <w:t>≥</w:t>
            </w:r>
            <w:r>
              <w:rPr>
                <w:sz w:val="21"/>
              </w:rPr>
              <w:t>450ºC；</w:t>
            </w:r>
          </w:p>
        </w:tc>
      </w:tr>
      <w:tr>
        <w:tc>
          <w:tcPr>
            <w:tcW w:type="dxa" w:w="2076"/>
          </w:tcPr>
          <w:p>
            <w:pPr>
              <w:pStyle w:val="null3"/>
            </w:pPr>
            <w:r>
              <w:rPr/>
              <w:t>▲</w:t>
            </w:r>
          </w:p>
        </w:tc>
        <w:tc>
          <w:tcPr>
            <w:tcW w:type="dxa" w:w="415"/>
          </w:tcPr>
          <w:p>
            <w:pPr>
              <w:pStyle w:val="null3"/>
            </w:pPr>
            <w:r>
              <w:rPr/>
              <w:t>27</w:t>
            </w:r>
          </w:p>
        </w:tc>
        <w:tc>
          <w:tcPr>
            <w:tcW w:type="dxa" w:w="5814"/>
          </w:tcPr>
          <w:p>
            <w:pPr>
              <w:pStyle w:val="null3"/>
              <w:jc w:val="both"/>
            </w:pPr>
            <w:r>
              <w:rPr>
                <w:sz w:val="21"/>
              </w:rPr>
              <w:t>▲5.1.2最低检测限：&lt;1.2 pg C/s ；</w:t>
            </w:r>
          </w:p>
        </w:tc>
      </w:tr>
      <w:tr>
        <w:tc>
          <w:tcPr>
            <w:tcW w:type="dxa" w:w="2076"/>
          </w:tcPr>
          <w:p/>
        </w:tc>
        <w:tc>
          <w:tcPr>
            <w:tcW w:type="dxa" w:w="415"/>
          </w:tcPr>
          <w:p>
            <w:pPr>
              <w:pStyle w:val="null3"/>
            </w:pPr>
            <w:r>
              <w:rPr/>
              <w:t>28</w:t>
            </w:r>
          </w:p>
        </w:tc>
        <w:tc>
          <w:tcPr>
            <w:tcW w:type="dxa" w:w="5814"/>
          </w:tcPr>
          <w:p>
            <w:pPr>
              <w:pStyle w:val="null3"/>
              <w:jc w:val="both"/>
            </w:pPr>
            <w:r>
              <w:rPr>
                <w:sz w:val="21"/>
              </w:rPr>
              <w:t>5.1.3线性范围：</w:t>
            </w:r>
            <w:r>
              <w:rPr>
                <w:sz w:val="21"/>
                <w:b/>
              </w:rPr>
              <w:t>≥</w:t>
            </w:r>
            <w:r>
              <w:rPr>
                <w:sz w:val="21"/>
              </w:rPr>
              <w:t>107；</w:t>
            </w:r>
          </w:p>
        </w:tc>
      </w:tr>
      <w:tr>
        <w:tc>
          <w:tcPr>
            <w:tcW w:type="dxa" w:w="2076"/>
          </w:tcPr>
          <w:p/>
        </w:tc>
        <w:tc>
          <w:tcPr>
            <w:tcW w:type="dxa" w:w="415"/>
          </w:tcPr>
          <w:p>
            <w:pPr>
              <w:pStyle w:val="null3"/>
            </w:pPr>
            <w:r>
              <w:rPr/>
              <w:t>29</w:t>
            </w:r>
          </w:p>
        </w:tc>
        <w:tc>
          <w:tcPr>
            <w:tcW w:type="dxa" w:w="5814"/>
          </w:tcPr>
          <w:p>
            <w:pPr>
              <w:pStyle w:val="null3"/>
              <w:jc w:val="both"/>
            </w:pPr>
            <w:r>
              <w:rPr>
                <w:sz w:val="21"/>
              </w:rPr>
              <w:t>5.1.4数据采集速度：</w:t>
            </w:r>
            <w:r>
              <w:rPr>
                <w:sz w:val="21"/>
                <w:b/>
              </w:rPr>
              <w:t>≥</w:t>
            </w:r>
            <w:r>
              <w:rPr>
                <w:sz w:val="21"/>
              </w:rPr>
              <w:t>1000Hz；</w:t>
            </w:r>
          </w:p>
        </w:tc>
      </w:tr>
      <w:tr>
        <w:tc>
          <w:tcPr>
            <w:tcW w:type="dxa" w:w="2076"/>
          </w:tcPr>
          <w:p/>
        </w:tc>
        <w:tc>
          <w:tcPr>
            <w:tcW w:type="dxa" w:w="415"/>
          </w:tcPr>
          <w:p>
            <w:pPr>
              <w:pStyle w:val="null3"/>
            </w:pPr>
            <w:r>
              <w:rPr/>
              <w:t>30</w:t>
            </w:r>
          </w:p>
        </w:tc>
        <w:tc>
          <w:tcPr>
            <w:tcW w:type="dxa" w:w="5814"/>
          </w:tcPr>
          <w:p>
            <w:pPr>
              <w:pStyle w:val="null3"/>
              <w:jc w:val="both"/>
            </w:pPr>
            <w:r>
              <w:rPr>
                <w:sz w:val="21"/>
              </w:rPr>
              <w:t>5.2电子捕获检测器（ECD）；</w:t>
            </w:r>
          </w:p>
        </w:tc>
      </w:tr>
      <w:tr>
        <w:tc>
          <w:tcPr>
            <w:tcW w:type="dxa" w:w="2076"/>
          </w:tcPr>
          <w:p/>
        </w:tc>
        <w:tc>
          <w:tcPr>
            <w:tcW w:type="dxa" w:w="415"/>
          </w:tcPr>
          <w:p>
            <w:pPr>
              <w:pStyle w:val="null3"/>
            </w:pPr>
            <w:r>
              <w:rPr/>
              <w:t>31</w:t>
            </w:r>
          </w:p>
        </w:tc>
        <w:tc>
          <w:tcPr>
            <w:tcW w:type="dxa" w:w="5814"/>
          </w:tcPr>
          <w:p>
            <w:pPr>
              <w:pStyle w:val="null3"/>
              <w:jc w:val="both"/>
            </w:pPr>
            <w:r>
              <w:rPr>
                <w:sz w:val="21"/>
              </w:rPr>
              <w:t>5.2.1最高使用温度：</w:t>
            </w:r>
            <w:r>
              <w:rPr>
                <w:sz w:val="21"/>
                <w:b/>
              </w:rPr>
              <w:t>≥</w:t>
            </w:r>
            <w:r>
              <w:rPr>
                <w:sz w:val="21"/>
              </w:rPr>
              <w:t>400ºC ；</w:t>
            </w:r>
          </w:p>
        </w:tc>
      </w:tr>
      <w:tr>
        <w:tc>
          <w:tcPr>
            <w:tcW w:type="dxa" w:w="2076"/>
          </w:tcPr>
          <w:p>
            <w:pPr>
              <w:pStyle w:val="null3"/>
            </w:pPr>
            <w:r>
              <w:rPr/>
              <w:t>▲</w:t>
            </w:r>
          </w:p>
        </w:tc>
        <w:tc>
          <w:tcPr>
            <w:tcW w:type="dxa" w:w="415"/>
          </w:tcPr>
          <w:p>
            <w:pPr>
              <w:pStyle w:val="null3"/>
            </w:pPr>
            <w:r>
              <w:rPr/>
              <w:t>32</w:t>
            </w:r>
          </w:p>
        </w:tc>
        <w:tc>
          <w:tcPr>
            <w:tcW w:type="dxa" w:w="5814"/>
          </w:tcPr>
          <w:p>
            <w:pPr>
              <w:pStyle w:val="null3"/>
              <w:jc w:val="both"/>
            </w:pPr>
            <w:r>
              <w:rPr>
                <w:sz w:val="21"/>
              </w:rPr>
              <w:t>▲5.2.2最低检测限：&lt;3.8 fg/mL ；</w:t>
            </w:r>
          </w:p>
        </w:tc>
      </w:tr>
      <w:tr>
        <w:tc>
          <w:tcPr>
            <w:tcW w:type="dxa" w:w="2076"/>
          </w:tcPr>
          <w:p/>
        </w:tc>
        <w:tc>
          <w:tcPr>
            <w:tcW w:type="dxa" w:w="415"/>
          </w:tcPr>
          <w:p>
            <w:pPr>
              <w:pStyle w:val="null3"/>
            </w:pPr>
            <w:r>
              <w:rPr/>
              <w:t>33</w:t>
            </w:r>
          </w:p>
        </w:tc>
        <w:tc>
          <w:tcPr>
            <w:tcW w:type="dxa" w:w="5814"/>
          </w:tcPr>
          <w:p>
            <w:pPr>
              <w:pStyle w:val="null3"/>
              <w:jc w:val="both"/>
            </w:pPr>
            <w:r>
              <w:rPr>
                <w:sz w:val="21"/>
              </w:rPr>
              <w:t>5.2.3线性范围：5Χ104；</w:t>
            </w:r>
          </w:p>
        </w:tc>
      </w:tr>
      <w:tr>
        <w:tc>
          <w:tcPr>
            <w:tcW w:type="dxa" w:w="2076"/>
          </w:tcPr>
          <w:p/>
        </w:tc>
        <w:tc>
          <w:tcPr>
            <w:tcW w:type="dxa" w:w="415"/>
          </w:tcPr>
          <w:p>
            <w:pPr>
              <w:pStyle w:val="null3"/>
            </w:pPr>
            <w:r>
              <w:rPr/>
              <w:t>34</w:t>
            </w:r>
          </w:p>
        </w:tc>
        <w:tc>
          <w:tcPr>
            <w:tcW w:type="dxa" w:w="5814"/>
          </w:tcPr>
          <w:p>
            <w:pPr>
              <w:pStyle w:val="null3"/>
              <w:jc w:val="both"/>
            </w:pPr>
            <w:r>
              <w:rPr>
                <w:sz w:val="21"/>
              </w:rPr>
              <w:t>5.3火焰光度检测器（FPD）：</w:t>
            </w:r>
          </w:p>
        </w:tc>
      </w:tr>
      <w:tr>
        <w:tc>
          <w:tcPr>
            <w:tcW w:type="dxa" w:w="2076"/>
          </w:tcPr>
          <w:p>
            <w:pPr>
              <w:pStyle w:val="null3"/>
            </w:pPr>
            <w:r>
              <w:rPr/>
              <w:t>▲</w:t>
            </w:r>
          </w:p>
        </w:tc>
        <w:tc>
          <w:tcPr>
            <w:tcW w:type="dxa" w:w="415"/>
          </w:tcPr>
          <w:p>
            <w:pPr>
              <w:pStyle w:val="null3"/>
            </w:pPr>
            <w:r>
              <w:rPr/>
              <w:t>35</w:t>
            </w:r>
          </w:p>
        </w:tc>
        <w:tc>
          <w:tcPr>
            <w:tcW w:type="dxa" w:w="5814"/>
          </w:tcPr>
          <w:p>
            <w:pPr>
              <w:pStyle w:val="null3"/>
              <w:jc w:val="both"/>
            </w:pPr>
            <w:r>
              <w:rPr>
                <w:sz w:val="21"/>
              </w:rPr>
              <w:t>▲5.3.1最低检测限：&lt; 45 fg P/s，&lt; 2.5 pg S/s，以甲基对硫磷为样品测定；</w:t>
            </w:r>
          </w:p>
        </w:tc>
      </w:tr>
      <w:tr>
        <w:tc>
          <w:tcPr>
            <w:tcW w:type="dxa" w:w="2076"/>
          </w:tcPr>
          <w:p/>
        </w:tc>
        <w:tc>
          <w:tcPr>
            <w:tcW w:type="dxa" w:w="415"/>
          </w:tcPr>
          <w:p>
            <w:pPr>
              <w:pStyle w:val="null3"/>
            </w:pPr>
            <w:r>
              <w:rPr/>
              <w:t>36</w:t>
            </w:r>
          </w:p>
        </w:tc>
        <w:tc>
          <w:tcPr>
            <w:tcW w:type="dxa" w:w="5814"/>
          </w:tcPr>
          <w:p>
            <w:pPr>
              <w:pStyle w:val="null3"/>
              <w:jc w:val="both"/>
            </w:pPr>
            <w:r>
              <w:rPr>
                <w:sz w:val="21"/>
              </w:rPr>
              <w:t>5.3.2硫选择性 = 106 gS/gC  磷选择性 = 106 gP/gC；</w:t>
            </w:r>
          </w:p>
        </w:tc>
      </w:tr>
      <w:tr>
        <w:tc>
          <w:tcPr>
            <w:tcW w:type="dxa" w:w="2076"/>
          </w:tcPr>
          <w:p/>
        </w:tc>
        <w:tc>
          <w:tcPr>
            <w:tcW w:type="dxa" w:w="415"/>
          </w:tcPr>
          <w:p>
            <w:pPr>
              <w:pStyle w:val="null3"/>
            </w:pPr>
            <w:r>
              <w:rPr/>
              <w:t>37</w:t>
            </w:r>
          </w:p>
        </w:tc>
        <w:tc>
          <w:tcPr>
            <w:tcW w:type="dxa" w:w="5814"/>
          </w:tcPr>
          <w:p>
            <w:pPr>
              <w:pStyle w:val="null3"/>
              <w:jc w:val="both"/>
            </w:pPr>
            <w:r>
              <w:rPr>
                <w:sz w:val="21"/>
              </w:rPr>
              <w:t>5.3.3动态范围：&gt;103 S, 104 P, 甲基对硫磷为样品；</w:t>
            </w:r>
          </w:p>
        </w:tc>
      </w:tr>
      <w:tr>
        <w:tc>
          <w:tcPr>
            <w:tcW w:type="dxa" w:w="2076"/>
          </w:tcPr>
          <w:p/>
        </w:tc>
        <w:tc>
          <w:tcPr>
            <w:tcW w:type="dxa" w:w="415"/>
          </w:tcPr>
          <w:p>
            <w:pPr>
              <w:pStyle w:val="null3"/>
            </w:pPr>
            <w:r>
              <w:rPr/>
              <w:t>38</w:t>
            </w:r>
          </w:p>
        </w:tc>
        <w:tc>
          <w:tcPr>
            <w:tcW w:type="dxa" w:w="5814"/>
          </w:tcPr>
          <w:p>
            <w:pPr>
              <w:pStyle w:val="null3"/>
              <w:jc w:val="both"/>
            </w:pPr>
            <w:r>
              <w:rPr>
                <w:sz w:val="21"/>
              </w:rPr>
              <w:t>5.3.4数据采集速率：不小于200Hz；</w:t>
            </w:r>
          </w:p>
        </w:tc>
      </w:tr>
      <w:tr>
        <w:tc>
          <w:tcPr>
            <w:tcW w:type="dxa" w:w="2076"/>
          </w:tcPr>
          <w:p/>
        </w:tc>
        <w:tc>
          <w:tcPr>
            <w:tcW w:type="dxa" w:w="415"/>
          </w:tcPr>
          <w:p>
            <w:pPr>
              <w:pStyle w:val="null3"/>
            </w:pPr>
            <w:r>
              <w:rPr/>
              <w:t>39</w:t>
            </w:r>
          </w:p>
        </w:tc>
        <w:tc>
          <w:tcPr>
            <w:tcW w:type="dxa" w:w="5814"/>
          </w:tcPr>
          <w:p>
            <w:pPr>
              <w:pStyle w:val="null3"/>
              <w:jc w:val="both"/>
            </w:pPr>
            <w:r>
              <w:rPr>
                <w:sz w:val="21"/>
              </w:rPr>
              <w:t>5.3.5最高使用温度：不小于400°C；</w:t>
            </w:r>
          </w:p>
        </w:tc>
      </w:tr>
      <w:tr>
        <w:tc>
          <w:tcPr>
            <w:tcW w:type="dxa" w:w="2076"/>
          </w:tcPr>
          <w:p/>
        </w:tc>
        <w:tc>
          <w:tcPr>
            <w:tcW w:type="dxa" w:w="415"/>
          </w:tcPr>
          <w:p>
            <w:pPr>
              <w:pStyle w:val="null3"/>
            </w:pPr>
            <w:r>
              <w:rPr/>
              <w:t>40</w:t>
            </w:r>
          </w:p>
        </w:tc>
        <w:tc>
          <w:tcPr>
            <w:tcW w:type="dxa" w:w="5814"/>
          </w:tcPr>
          <w:p>
            <w:pPr>
              <w:pStyle w:val="null3"/>
              <w:jc w:val="both"/>
            </w:pPr>
            <w:r>
              <w:rPr>
                <w:sz w:val="21"/>
              </w:rPr>
              <w:t>6.交互式</w:t>
            </w:r>
            <w:r>
              <w:rPr>
                <w:sz w:val="21"/>
                <w:b/>
              </w:rPr>
              <w:t>≥</w:t>
            </w:r>
            <w:r>
              <w:rPr>
                <w:sz w:val="21"/>
              </w:rPr>
              <w:t>7英寸电容触摸彩屏功能</w:t>
            </w:r>
          </w:p>
        </w:tc>
      </w:tr>
      <w:tr>
        <w:tc>
          <w:tcPr>
            <w:tcW w:type="dxa" w:w="2076"/>
          </w:tcPr>
          <w:p/>
        </w:tc>
        <w:tc>
          <w:tcPr>
            <w:tcW w:type="dxa" w:w="415"/>
          </w:tcPr>
          <w:p>
            <w:pPr>
              <w:pStyle w:val="null3"/>
            </w:pPr>
            <w:r>
              <w:rPr/>
              <w:t>41</w:t>
            </w:r>
          </w:p>
        </w:tc>
        <w:tc>
          <w:tcPr>
            <w:tcW w:type="dxa" w:w="5814"/>
          </w:tcPr>
          <w:p>
            <w:pPr>
              <w:pStyle w:val="null3"/>
              <w:jc w:val="both"/>
            </w:pPr>
            <w:r>
              <w:rPr>
                <w:sz w:val="21"/>
              </w:rPr>
              <w:t>6.1高触摸灵敏度, 远程顾问的串行接口，使用触摸屏和浏览器界面可访问维护和服务模式，可从用户界面、浏览器界面或网络化数据系统完成设定值和自动化控制。可从用户界面或浏览器界面启动时间编程，以启动事件（开/关、方法启动等）, 所有 GC（气相色谱）和 ALS（自动液体进样器）设定值均显示在触摸屏、浏览器界面或数据系统中，情境相关的在线帮助；</w:t>
            </w:r>
          </w:p>
        </w:tc>
      </w:tr>
      <w:tr>
        <w:tc>
          <w:tcPr>
            <w:tcW w:type="dxa" w:w="2076"/>
          </w:tcPr>
          <w:p/>
        </w:tc>
        <w:tc>
          <w:tcPr>
            <w:tcW w:type="dxa" w:w="415"/>
          </w:tcPr>
          <w:p>
            <w:pPr>
              <w:pStyle w:val="null3"/>
            </w:pPr>
            <w:r>
              <w:rPr/>
              <w:t>42</w:t>
            </w:r>
          </w:p>
        </w:tc>
        <w:tc>
          <w:tcPr>
            <w:tcW w:type="dxa" w:w="5814"/>
          </w:tcPr>
          <w:p>
            <w:pPr>
              <w:pStyle w:val="null3"/>
              <w:jc w:val="both"/>
            </w:pPr>
            <w:r>
              <w:rPr>
                <w:sz w:val="21"/>
              </w:rPr>
              <w:t>6.2浏览用户界面：可直接远程连接气相色谱IP地址，实时监控仪器及样品序列状态；</w:t>
            </w:r>
          </w:p>
        </w:tc>
      </w:tr>
      <w:tr>
        <w:tc>
          <w:tcPr>
            <w:tcW w:type="dxa" w:w="2076"/>
          </w:tcPr>
          <w:p/>
        </w:tc>
        <w:tc>
          <w:tcPr>
            <w:tcW w:type="dxa" w:w="415"/>
          </w:tcPr>
          <w:p>
            <w:pPr>
              <w:pStyle w:val="null3"/>
            </w:pPr>
            <w:r>
              <w:rPr/>
              <w:t>43</w:t>
            </w:r>
          </w:p>
        </w:tc>
        <w:tc>
          <w:tcPr>
            <w:tcW w:type="dxa" w:w="5814"/>
          </w:tcPr>
          <w:p>
            <w:pPr>
              <w:pStyle w:val="null3"/>
              <w:jc w:val="both"/>
            </w:pPr>
            <w:r>
              <w:rPr>
                <w:sz w:val="21"/>
              </w:rPr>
              <w:t>6.3自动液体进样被全面集成到主机控制中,可主动进行各部位气路泄露自动测试,自动（无人工）泄漏检测；</w:t>
            </w:r>
          </w:p>
        </w:tc>
      </w:tr>
      <w:tr>
        <w:tc>
          <w:tcPr>
            <w:tcW w:type="dxa" w:w="2076"/>
          </w:tcPr>
          <w:p/>
        </w:tc>
        <w:tc>
          <w:tcPr>
            <w:tcW w:type="dxa" w:w="415"/>
          </w:tcPr>
          <w:p>
            <w:pPr>
              <w:pStyle w:val="null3"/>
            </w:pPr>
            <w:r>
              <w:rPr/>
              <w:t>44</w:t>
            </w:r>
          </w:p>
        </w:tc>
        <w:tc>
          <w:tcPr>
            <w:tcW w:type="dxa" w:w="5814"/>
          </w:tcPr>
          <w:p>
            <w:pPr>
              <w:pStyle w:val="null3"/>
              <w:jc w:val="both"/>
            </w:pPr>
            <w:r>
              <w:rPr>
                <w:sz w:val="21"/>
              </w:rPr>
              <w:t>6.4故障出现后，系统自动提示故障排除方案，并弹出向导指引硬件排查；</w:t>
            </w:r>
          </w:p>
        </w:tc>
      </w:tr>
      <w:tr>
        <w:tc>
          <w:tcPr>
            <w:tcW w:type="dxa" w:w="2076"/>
          </w:tcPr>
          <w:p/>
        </w:tc>
        <w:tc>
          <w:tcPr>
            <w:tcW w:type="dxa" w:w="415"/>
          </w:tcPr>
          <w:p>
            <w:pPr>
              <w:pStyle w:val="null3"/>
            </w:pPr>
            <w:r>
              <w:rPr/>
              <w:t>45</w:t>
            </w:r>
          </w:p>
        </w:tc>
        <w:tc>
          <w:tcPr>
            <w:tcW w:type="dxa" w:w="5814"/>
          </w:tcPr>
          <w:p>
            <w:pPr>
              <w:pStyle w:val="null3"/>
              <w:jc w:val="both"/>
            </w:pPr>
            <w:r>
              <w:rPr>
                <w:sz w:val="21"/>
              </w:rPr>
              <w:t>6.5可监控空白样品基线波动情况，在出现空白异常时可提醒是否间断序列，防止珍贵样品受干扰而无法重测；</w:t>
            </w:r>
          </w:p>
        </w:tc>
      </w:tr>
      <w:tr>
        <w:tc>
          <w:tcPr>
            <w:tcW w:type="dxa" w:w="2076"/>
          </w:tcPr>
          <w:p/>
        </w:tc>
        <w:tc>
          <w:tcPr>
            <w:tcW w:type="dxa" w:w="415"/>
          </w:tcPr>
          <w:p>
            <w:pPr>
              <w:pStyle w:val="null3"/>
            </w:pPr>
            <w:r>
              <w:rPr/>
              <w:t>46</w:t>
            </w:r>
          </w:p>
        </w:tc>
        <w:tc>
          <w:tcPr>
            <w:tcW w:type="dxa" w:w="5814"/>
          </w:tcPr>
          <w:p>
            <w:pPr>
              <w:pStyle w:val="null3"/>
              <w:jc w:val="both"/>
            </w:pPr>
            <w:r>
              <w:rPr>
                <w:sz w:val="21"/>
              </w:rPr>
              <w:t>6.6更换称管等耗材时，系统会自动进行进样口降温、压力关闭等操作，待更换完称管后，可自动升温、开启压力；</w:t>
            </w:r>
          </w:p>
        </w:tc>
      </w:tr>
      <w:tr>
        <w:tc>
          <w:tcPr>
            <w:tcW w:type="dxa" w:w="2076"/>
          </w:tcPr>
          <w:p/>
        </w:tc>
        <w:tc>
          <w:tcPr>
            <w:tcW w:type="dxa" w:w="415"/>
          </w:tcPr>
          <w:p>
            <w:pPr>
              <w:pStyle w:val="null3"/>
            </w:pPr>
            <w:r>
              <w:rPr/>
              <w:t>47</w:t>
            </w:r>
          </w:p>
        </w:tc>
        <w:tc>
          <w:tcPr>
            <w:tcW w:type="dxa" w:w="5814"/>
          </w:tcPr>
          <w:p>
            <w:pPr>
              <w:pStyle w:val="null3"/>
              <w:jc w:val="both"/>
            </w:pPr>
            <w:r>
              <w:rPr>
                <w:sz w:val="21"/>
              </w:rPr>
              <w:t>6.7仪器面板具有不小于7英寸触摸屏，操作面板具备自动实现故障诊断（根据出现的故障给出可能的排查方案）、系统维护（图文式界面引导维护流程）等功能并提供视频；</w:t>
            </w:r>
          </w:p>
        </w:tc>
      </w:tr>
      <w:tr>
        <w:tc>
          <w:tcPr>
            <w:tcW w:type="dxa" w:w="2076"/>
          </w:tcPr>
          <w:p/>
        </w:tc>
        <w:tc>
          <w:tcPr>
            <w:tcW w:type="dxa" w:w="415"/>
          </w:tcPr>
          <w:p>
            <w:pPr>
              <w:pStyle w:val="null3"/>
            </w:pPr>
            <w:r>
              <w:rPr/>
              <w:t>48</w:t>
            </w:r>
          </w:p>
        </w:tc>
        <w:tc>
          <w:tcPr>
            <w:tcW w:type="dxa" w:w="5814"/>
          </w:tcPr>
          <w:p>
            <w:pPr>
              <w:pStyle w:val="null3"/>
              <w:jc w:val="both"/>
            </w:pPr>
            <w:r>
              <w:rPr>
                <w:sz w:val="21"/>
              </w:rPr>
              <w:t>6.8具备远程智能访问功能，可从任何浏览器（平板电脑、笔记本电脑或台式机）进行访问，无需色谱工作站即可编辑 GC 方法和序列；</w:t>
            </w:r>
          </w:p>
        </w:tc>
      </w:tr>
      <w:tr>
        <w:tc>
          <w:tcPr>
            <w:tcW w:type="dxa" w:w="2076"/>
          </w:tcPr>
          <w:p/>
        </w:tc>
        <w:tc>
          <w:tcPr>
            <w:tcW w:type="dxa" w:w="415"/>
          </w:tcPr>
          <w:p>
            <w:pPr>
              <w:pStyle w:val="null3"/>
            </w:pPr>
            <w:r>
              <w:rPr/>
              <w:t>49</w:t>
            </w:r>
          </w:p>
        </w:tc>
        <w:tc>
          <w:tcPr>
            <w:tcW w:type="dxa" w:w="5814"/>
          </w:tcPr>
          <w:p>
            <w:pPr>
              <w:pStyle w:val="null3"/>
              <w:jc w:val="both"/>
            </w:pPr>
            <w:r>
              <w:rPr>
                <w:sz w:val="21"/>
              </w:rPr>
              <w:t>7.其他支持可扩展功能：</w:t>
            </w:r>
          </w:p>
          <w:p>
            <w:pPr>
              <w:pStyle w:val="null3"/>
              <w:jc w:val="both"/>
            </w:pPr>
            <w:r>
              <w:rPr>
                <w:sz w:val="21"/>
              </w:rPr>
              <w:t>7.1支持CFT（反吹、分流和中心切割）；</w:t>
            </w:r>
          </w:p>
        </w:tc>
      </w:tr>
      <w:tr>
        <w:tc>
          <w:tcPr>
            <w:tcW w:type="dxa" w:w="2076"/>
          </w:tcPr>
          <w:p/>
        </w:tc>
        <w:tc>
          <w:tcPr>
            <w:tcW w:type="dxa" w:w="415"/>
          </w:tcPr>
          <w:p>
            <w:pPr>
              <w:pStyle w:val="null3"/>
            </w:pPr>
            <w:r>
              <w:rPr/>
              <w:t>50</w:t>
            </w:r>
          </w:p>
        </w:tc>
        <w:tc>
          <w:tcPr>
            <w:tcW w:type="dxa" w:w="5814"/>
          </w:tcPr>
          <w:p>
            <w:pPr>
              <w:pStyle w:val="null3"/>
              <w:jc w:val="both"/>
            </w:pPr>
            <w:r>
              <w:rPr>
                <w:sz w:val="21"/>
              </w:rPr>
              <w:t>7.2支持氦气节省模块，Aux EPC、PCM和PSD；</w:t>
            </w:r>
          </w:p>
        </w:tc>
      </w:tr>
      <w:tr>
        <w:tc>
          <w:tcPr>
            <w:tcW w:type="dxa" w:w="2076"/>
          </w:tcPr>
          <w:p/>
        </w:tc>
        <w:tc>
          <w:tcPr>
            <w:tcW w:type="dxa" w:w="415"/>
          </w:tcPr>
          <w:p>
            <w:pPr>
              <w:pStyle w:val="null3"/>
            </w:pPr>
            <w:r>
              <w:rPr/>
              <w:t>51</w:t>
            </w:r>
          </w:p>
        </w:tc>
        <w:tc>
          <w:tcPr>
            <w:tcW w:type="dxa" w:w="5814"/>
          </w:tcPr>
          <w:p>
            <w:pPr>
              <w:pStyle w:val="null3"/>
              <w:jc w:val="both"/>
            </w:pPr>
            <w:r>
              <w:rPr>
                <w:sz w:val="21"/>
              </w:rPr>
              <w:t>7.3支持柱温箱冷却；</w:t>
            </w:r>
          </w:p>
        </w:tc>
      </w:tr>
      <w:tr>
        <w:tc>
          <w:tcPr>
            <w:tcW w:type="dxa" w:w="2076"/>
          </w:tcPr>
          <w:p/>
        </w:tc>
        <w:tc>
          <w:tcPr>
            <w:tcW w:type="dxa" w:w="415"/>
          </w:tcPr>
          <w:p>
            <w:pPr>
              <w:pStyle w:val="null3"/>
            </w:pPr>
            <w:r>
              <w:rPr/>
              <w:t>52</w:t>
            </w:r>
          </w:p>
        </w:tc>
        <w:tc>
          <w:tcPr>
            <w:tcW w:type="dxa" w:w="5814"/>
          </w:tcPr>
          <w:p>
            <w:pPr>
              <w:pStyle w:val="null3"/>
              <w:jc w:val="both"/>
            </w:pPr>
            <w:r>
              <w:rPr>
                <w:sz w:val="21"/>
              </w:rPr>
              <w:t>7.4支持大/小阀箱，4+加热阀（最多6个加热阀，2个LSV）；</w:t>
            </w:r>
          </w:p>
        </w:tc>
      </w:tr>
      <w:tr>
        <w:tc>
          <w:tcPr>
            <w:tcW w:type="dxa" w:w="2076"/>
          </w:tcPr>
          <w:p/>
        </w:tc>
        <w:tc>
          <w:tcPr>
            <w:tcW w:type="dxa" w:w="415"/>
          </w:tcPr>
          <w:p>
            <w:pPr>
              <w:pStyle w:val="null3"/>
            </w:pPr>
            <w:r>
              <w:rPr/>
              <w:t>53</w:t>
            </w:r>
          </w:p>
        </w:tc>
        <w:tc>
          <w:tcPr>
            <w:tcW w:type="dxa" w:w="5814"/>
          </w:tcPr>
          <w:p>
            <w:pPr>
              <w:pStyle w:val="null3"/>
              <w:jc w:val="both"/>
            </w:pPr>
            <w:r>
              <w:rPr>
                <w:sz w:val="21"/>
              </w:rPr>
              <w:t>7.5支持</w:t>
            </w:r>
            <w:r>
              <w:rPr>
                <w:sz w:val="21"/>
                <w:b/>
              </w:rPr>
              <w:t>≥</w:t>
            </w:r>
            <w:r>
              <w:rPr>
                <w:sz w:val="21"/>
              </w:rPr>
              <w:t>8个加热区。</w:t>
            </w:r>
          </w:p>
        </w:tc>
      </w:tr>
      <w:tr>
        <w:tc>
          <w:tcPr>
            <w:tcW w:type="dxa" w:w="2076"/>
          </w:tcPr>
          <w:p/>
        </w:tc>
        <w:tc>
          <w:tcPr>
            <w:tcW w:type="dxa" w:w="415"/>
          </w:tcPr>
          <w:p>
            <w:pPr>
              <w:pStyle w:val="null3"/>
            </w:pPr>
            <w:r>
              <w:rPr/>
              <w:t>54</w:t>
            </w:r>
          </w:p>
        </w:tc>
        <w:tc>
          <w:tcPr>
            <w:tcW w:type="dxa" w:w="5814"/>
          </w:tcPr>
          <w:p>
            <w:pPr>
              <w:pStyle w:val="null3"/>
              <w:jc w:val="both"/>
            </w:pPr>
            <w:r>
              <w:rPr>
                <w:sz w:val="21"/>
              </w:rPr>
              <w:t>8.数据处理系统：</w:t>
            </w:r>
          </w:p>
          <w:p>
            <w:pPr>
              <w:pStyle w:val="null3"/>
              <w:jc w:val="both"/>
            </w:pPr>
            <w:r>
              <w:rPr>
                <w:sz w:val="21"/>
              </w:rPr>
              <w:t>8.1中文原装色谱分析软件，数据采集、处理和分析；</w:t>
            </w:r>
          </w:p>
        </w:tc>
      </w:tr>
      <w:tr>
        <w:tc>
          <w:tcPr>
            <w:tcW w:type="dxa" w:w="2076"/>
          </w:tcPr>
          <w:p/>
        </w:tc>
        <w:tc>
          <w:tcPr>
            <w:tcW w:type="dxa" w:w="415"/>
          </w:tcPr>
          <w:p>
            <w:pPr>
              <w:pStyle w:val="null3"/>
            </w:pPr>
            <w:r>
              <w:rPr/>
              <w:t>55</w:t>
            </w:r>
          </w:p>
        </w:tc>
        <w:tc>
          <w:tcPr>
            <w:tcW w:type="dxa" w:w="5814"/>
          </w:tcPr>
          <w:p>
            <w:pPr>
              <w:pStyle w:val="null3"/>
              <w:jc w:val="both"/>
            </w:pPr>
            <w:r>
              <w:rPr>
                <w:sz w:val="21"/>
              </w:rPr>
              <w:t>8.2保留时间锁定功能：可使得同一种化合物气相色谱和质谱的保留时间一致。通过软件自动调整仪器工作参数，在五个不同条件下进样，分析锁定目标化合物而实现。</w:t>
            </w:r>
          </w:p>
        </w:tc>
      </w:tr>
      <w:tr>
        <w:tc>
          <w:tcPr>
            <w:tcW w:type="dxa" w:w="2076"/>
          </w:tcPr>
          <w:p/>
        </w:tc>
        <w:tc>
          <w:tcPr>
            <w:tcW w:type="dxa" w:w="415"/>
          </w:tcPr>
          <w:p>
            <w:pPr>
              <w:pStyle w:val="null3"/>
            </w:pPr>
            <w:r>
              <w:rPr/>
              <w:t>56</w:t>
            </w:r>
          </w:p>
        </w:tc>
        <w:tc>
          <w:tcPr>
            <w:tcW w:type="dxa" w:w="5814"/>
          </w:tcPr>
          <w:p>
            <w:pPr>
              <w:pStyle w:val="null3"/>
              <w:jc w:val="both"/>
            </w:pPr>
            <w:r>
              <w:rPr>
                <w:sz w:val="21"/>
                <w:shd w:fill="FFFFFF" w:val="clear"/>
              </w:rPr>
              <w:t>9.</w:t>
            </w:r>
            <w:r>
              <w:rPr>
                <w:sz w:val="22"/>
                <w:shd w:fill="FFFFFF" w:val="clear"/>
              </w:rPr>
              <w:t>计量要求：（</w:t>
            </w:r>
            <w:r>
              <w:rPr>
                <w:sz w:val="22"/>
                <w:shd w:fill="FFFFFF" w:val="clear"/>
              </w:rPr>
              <w:t>1）JJG 700-2016 气相色谱仪</w:t>
            </w:r>
            <w:r>
              <w:rPr>
                <w:sz w:val="21"/>
                <w:shd w:fill="FFFFFF" w:val="clear"/>
              </w:rPr>
              <w:t xml:space="preserve"> </w:t>
            </w:r>
            <w:r>
              <w:rPr>
                <w:sz w:val="22"/>
                <w:shd w:fill="FFFFFF" w:val="clear"/>
              </w:rPr>
              <w:t>检定合格；</w:t>
            </w:r>
            <w:r>
              <w:rPr>
                <w:sz w:val="22"/>
                <w:shd w:fill="FFFFFF" w:val="clear"/>
              </w:rPr>
              <w:t>JJG 646-2006 移液器 检定合格。</w:t>
            </w:r>
          </w:p>
        </w:tc>
      </w:tr>
      <w:tr>
        <w:tc>
          <w:tcPr>
            <w:tcW w:type="dxa" w:w="2076"/>
          </w:tcPr>
          <w:p/>
        </w:tc>
        <w:tc>
          <w:tcPr>
            <w:tcW w:type="dxa" w:w="415"/>
          </w:tcPr>
          <w:p>
            <w:pPr>
              <w:pStyle w:val="null3"/>
            </w:pPr>
            <w:r>
              <w:rPr/>
              <w:t>57</w:t>
            </w:r>
          </w:p>
        </w:tc>
        <w:tc>
          <w:tcPr>
            <w:tcW w:type="dxa" w:w="5814"/>
          </w:tcPr>
          <w:p>
            <w:pPr>
              <w:pStyle w:val="null3"/>
              <w:jc w:val="both"/>
            </w:pPr>
            <w:r>
              <w:rPr>
                <w:sz w:val="21"/>
              </w:rPr>
              <w:t>10.配件清单</w:t>
            </w:r>
            <w:r>
              <w:br/>
            </w:r>
            <w:r>
              <w:rPr>
                <w:sz w:val="21"/>
              </w:rPr>
              <w:t>（</w:t>
            </w:r>
            <w:r>
              <w:rPr>
                <w:sz w:val="21"/>
              </w:rPr>
              <w:t>1）气相色谱仪原装主机，分流/不分流毛细柱进样口</w:t>
            </w:r>
            <w:r>
              <w:rPr>
                <w:sz w:val="21"/>
                <w:b/>
              </w:rPr>
              <w:t>≥</w:t>
            </w:r>
            <w:r>
              <w:rPr>
                <w:sz w:val="21"/>
              </w:rPr>
              <w:t>2个，FID检测器</w:t>
            </w:r>
            <w:r>
              <w:rPr>
                <w:sz w:val="21"/>
                <w:b/>
              </w:rPr>
              <w:t>≥</w:t>
            </w:r>
            <w:r>
              <w:rPr>
                <w:sz w:val="21"/>
              </w:rPr>
              <w:t>1个，ECD检测器</w:t>
            </w:r>
            <w:r>
              <w:rPr>
                <w:sz w:val="21"/>
                <w:b/>
              </w:rPr>
              <w:t>≥</w:t>
            </w:r>
            <w:r>
              <w:rPr>
                <w:sz w:val="21"/>
              </w:rPr>
              <w:t>1个，FPD检测器</w:t>
            </w:r>
            <w:r>
              <w:rPr>
                <w:sz w:val="21"/>
                <w:b/>
              </w:rPr>
              <w:t>≥</w:t>
            </w:r>
            <w:r>
              <w:rPr>
                <w:sz w:val="21"/>
              </w:rPr>
              <w:t>1个，进样针</w:t>
            </w:r>
            <w:r>
              <w:rPr>
                <w:sz w:val="21"/>
                <w:b/>
              </w:rPr>
              <w:t>≥</w:t>
            </w:r>
            <w:r>
              <w:rPr>
                <w:sz w:val="21"/>
              </w:rPr>
              <w:t>一根；</w:t>
            </w:r>
            <w:r>
              <w:rPr>
                <w:sz w:val="21"/>
              </w:rPr>
              <w:t>111位大顶空全自动进样器</w:t>
            </w:r>
            <w:r>
              <w:rPr>
                <w:sz w:val="21"/>
                <w:b/>
              </w:rPr>
              <w:t>≥</w:t>
            </w:r>
            <w:r>
              <w:rPr>
                <w:sz w:val="21"/>
              </w:rPr>
              <w:t>1套；169位自动进样器</w:t>
            </w:r>
            <w:r>
              <w:rPr>
                <w:sz w:val="21"/>
                <w:b/>
              </w:rPr>
              <w:t>≥</w:t>
            </w:r>
            <w:r>
              <w:rPr>
                <w:sz w:val="21"/>
              </w:rPr>
              <w:t>1套；</w:t>
            </w:r>
          </w:p>
        </w:tc>
      </w:tr>
      <w:tr>
        <w:tc>
          <w:tcPr>
            <w:tcW w:type="dxa" w:w="2076"/>
          </w:tcPr>
          <w:p/>
        </w:tc>
        <w:tc>
          <w:tcPr>
            <w:tcW w:type="dxa" w:w="415"/>
          </w:tcPr>
          <w:p>
            <w:pPr>
              <w:pStyle w:val="null3"/>
            </w:pPr>
            <w:r>
              <w:rPr/>
              <w:t>58</w:t>
            </w:r>
          </w:p>
        </w:tc>
        <w:tc>
          <w:tcPr>
            <w:tcW w:type="dxa" w:w="5814"/>
          </w:tcPr>
          <w:p>
            <w:pPr>
              <w:pStyle w:val="null3"/>
              <w:jc w:val="both"/>
            </w:pPr>
            <w:r>
              <w:rPr>
                <w:sz w:val="21"/>
              </w:rPr>
              <w:t>（</w:t>
            </w:r>
            <w:r>
              <w:rPr>
                <w:sz w:val="21"/>
              </w:rPr>
              <w:t>2）原装中文工作站；</w:t>
            </w:r>
          </w:p>
        </w:tc>
      </w:tr>
      <w:tr>
        <w:tc>
          <w:tcPr>
            <w:tcW w:type="dxa" w:w="2076"/>
          </w:tcPr>
          <w:p/>
        </w:tc>
        <w:tc>
          <w:tcPr>
            <w:tcW w:type="dxa" w:w="415"/>
          </w:tcPr>
          <w:p>
            <w:pPr>
              <w:pStyle w:val="null3"/>
            </w:pPr>
            <w:r>
              <w:rPr/>
              <w:t>59</w:t>
            </w:r>
          </w:p>
        </w:tc>
        <w:tc>
          <w:tcPr>
            <w:tcW w:type="dxa" w:w="5814"/>
          </w:tcPr>
          <w:p>
            <w:pPr>
              <w:pStyle w:val="null3"/>
              <w:jc w:val="both"/>
            </w:pPr>
            <w:r>
              <w:rPr>
                <w:sz w:val="21"/>
              </w:rPr>
              <w:t>（</w:t>
            </w:r>
            <w:r>
              <w:rPr>
                <w:sz w:val="21"/>
              </w:rPr>
              <w:t>3）HP-5色谱柱，HP-DB624色谱柱，HP-INNOWAX色谱柱；</w:t>
            </w:r>
          </w:p>
        </w:tc>
      </w:tr>
      <w:tr>
        <w:tc>
          <w:tcPr>
            <w:tcW w:type="dxa" w:w="2076"/>
          </w:tcPr>
          <w:p/>
        </w:tc>
        <w:tc>
          <w:tcPr>
            <w:tcW w:type="dxa" w:w="415"/>
          </w:tcPr>
          <w:p>
            <w:pPr>
              <w:pStyle w:val="null3"/>
            </w:pPr>
            <w:r>
              <w:rPr/>
              <w:t>60</w:t>
            </w:r>
          </w:p>
        </w:tc>
        <w:tc>
          <w:tcPr>
            <w:tcW w:type="dxa" w:w="5814"/>
          </w:tcPr>
          <w:p>
            <w:pPr>
              <w:pStyle w:val="null3"/>
              <w:jc w:val="both"/>
            </w:pPr>
            <w:r>
              <w:rPr>
                <w:sz w:val="21"/>
              </w:rPr>
              <w:t>（</w:t>
            </w:r>
            <w:r>
              <w:rPr>
                <w:sz w:val="21"/>
              </w:rPr>
              <w:t>4）分流进样口智能锁、分流进样口、检测器智能扣及基座组件；智能灯</w:t>
            </w:r>
            <w:r>
              <w:rPr>
                <w:sz w:val="21"/>
                <w:b/>
              </w:rPr>
              <w:t>≥</w:t>
            </w:r>
            <w:r>
              <w:rPr>
                <w:sz w:val="21"/>
              </w:rPr>
              <w:t>一个；智能规</w:t>
            </w:r>
            <w:r>
              <w:rPr>
                <w:sz w:val="21"/>
                <w:b/>
              </w:rPr>
              <w:t>≥</w:t>
            </w:r>
            <w:r>
              <w:rPr>
                <w:sz w:val="21"/>
              </w:rPr>
              <w:t>一套；工具包</w:t>
            </w:r>
            <w:r>
              <w:rPr>
                <w:sz w:val="21"/>
                <w:b/>
              </w:rPr>
              <w:t>≥</w:t>
            </w:r>
            <w:r>
              <w:rPr>
                <w:sz w:val="21"/>
              </w:rPr>
              <w:t>一套；色谱柱压环；</w:t>
            </w:r>
          </w:p>
        </w:tc>
      </w:tr>
      <w:tr>
        <w:tc>
          <w:tcPr>
            <w:tcW w:type="dxa" w:w="2076"/>
          </w:tcPr>
          <w:p/>
        </w:tc>
        <w:tc>
          <w:tcPr>
            <w:tcW w:type="dxa" w:w="415"/>
          </w:tcPr>
          <w:p>
            <w:pPr>
              <w:pStyle w:val="null3"/>
            </w:pPr>
            <w:r>
              <w:rPr/>
              <w:t>61</w:t>
            </w:r>
          </w:p>
        </w:tc>
        <w:tc>
          <w:tcPr>
            <w:tcW w:type="dxa" w:w="5814"/>
          </w:tcPr>
          <w:p>
            <w:pPr>
              <w:pStyle w:val="null3"/>
              <w:jc w:val="both"/>
            </w:pPr>
            <w:r>
              <w:rPr>
                <w:sz w:val="21"/>
              </w:rPr>
              <w:t>（</w:t>
            </w:r>
            <w:r>
              <w:rPr>
                <w:sz w:val="21"/>
              </w:rPr>
              <w:t>5）消耗品：高温隔垫、分流/吹扫用过滤器配件</w:t>
            </w:r>
            <w:r>
              <w:rPr>
                <w:sz w:val="21"/>
                <w:b/>
              </w:rPr>
              <w:t>≥</w:t>
            </w:r>
            <w:r>
              <w:rPr>
                <w:sz w:val="21"/>
              </w:rPr>
              <w:t>2套、分子筛过滤器(老化)、绿色隔垫</w:t>
            </w:r>
            <w:r>
              <w:rPr>
                <w:sz w:val="21"/>
                <w:b/>
              </w:rPr>
              <w:t>≥</w:t>
            </w:r>
            <w:r>
              <w:rPr>
                <w:sz w:val="21"/>
              </w:rPr>
              <w:t>2包、惰性化处理石英棉、接头、O型圈</w:t>
            </w:r>
            <w:r>
              <w:rPr>
                <w:sz w:val="21"/>
                <w:b/>
              </w:rPr>
              <w:t>≥</w:t>
            </w:r>
            <w:r>
              <w:rPr>
                <w:sz w:val="21"/>
              </w:rPr>
              <w:t>5个、毛细管柱用螺母</w:t>
            </w:r>
            <w:r>
              <w:rPr>
                <w:sz w:val="21"/>
                <w:b/>
              </w:rPr>
              <w:t>≥</w:t>
            </w:r>
            <w:r>
              <w:rPr>
                <w:sz w:val="21"/>
              </w:rPr>
              <w:t>4个、石英棉填充工具、镊子、进样针</w:t>
            </w:r>
            <w:r>
              <w:rPr>
                <w:sz w:val="21"/>
                <w:b/>
              </w:rPr>
              <w:t>≥</w:t>
            </w:r>
            <w:r>
              <w:rPr>
                <w:sz w:val="21"/>
              </w:rPr>
              <w:t>2根、压环</w:t>
            </w:r>
            <w:r>
              <w:rPr>
                <w:sz w:val="21"/>
                <w:b/>
              </w:rPr>
              <w:t>≥</w:t>
            </w:r>
            <w:r>
              <w:rPr>
                <w:sz w:val="21"/>
              </w:rPr>
              <w:t>4包、惰性化带石英棉不分流衬管、惰性化带石英棉分流衬管、毛细管柱切割器；</w:t>
            </w:r>
          </w:p>
        </w:tc>
      </w:tr>
      <w:tr>
        <w:tc>
          <w:tcPr>
            <w:tcW w:type="dxa" w:w="2076"/>
          </w:tcPr>
          <w:p/>
        </w:tc>
        <w:tc>
          <w:tcPr>
            <w:tcW w:type="dxa" w:w="415"/>
          </w:tcPr>
          <w:p>
            <w:pPr>
              <w:pStyle w:val="null3"/>
            </w:pPr>
            <w:r>
              <w:rPr/>
              <w:t>62</w:t>
            </w:r>
          </w:p>
        </w:tc>
        <w:tc>
          <w:tcPr>
            <w:tcW w:type="dxa" w:w="5814"/>
          </w:tcPr>
          <w:p>
            <w:pPr>
              <w:pStyle w:val="null3"/>
              <w:jc w:val="both"/>
            </w:pPr>
            <w:r>
              <w:rPr>
                <w:sz w:val="21"/>
              </w:rPr>
              <w:t>（</w:t>
            </w:r>
            <w:r>
              <w:rPr>
                <w:sz w:val="21"/>
              </w:rPr>
              <w:t>6）介质阻挡放电等离子体检测器智能扣及基座组件，氦气净化器</w:t>
            </w:r>
            <w:r>
              <w:rPr>
                <w:sz w:val="21"/>
                <w:b/>
              </w:rPr>
              <w:t>≥</w:t>
            </w:r>
            <w:r>
              <w:rPr>
                <w:sz w:val="21"/>
              </w:rPr>
              <w:t>一套，氦气泄漏检测仪</w:t>
            </w:r>
            <w:r>
              <w:rPr>
                <w:sz w:val="21"/>
                <w:b/>
              </w:rPr>
              <w:t>≥</w:t>
            </w:r>
            <w:r>
              <w:rPr>
                <w:sz w:val="21"/>
              </w:rPr>
              <w:t>一套；</w:t>
            </w:r>
          </w:p>
        </w:tc>
      </w:tr>
      <w:tr>
        <w:tc>
          <w:tcPr>
            <w:tcW w:type="dxa" w:w="2076"/>
          </w:tcPr>
          <w:p/>
        </w:tc>
        <w:tc>
          <w:tcPr>
            <w:tcW w:type="dxa" w:w="415"/>
          </w:tcPr>
          <w:p>
            <w:pPr>
              <w:pStyle w:val="null3"/>
            </w:pPr>
            <w:r>
              <w:rPr/>
              <w:t>63</w:t>
            </w:r>
          </w:p>
        </w:tc>
        <w:tc>
          <w:tcPr>
            <w:tcW w:type="dxa" w:w="5814"/>
          </w:tcPr>
          <w:p>
            <w:pPr>
              <w:pStyle w:val="null3"/>
              <w:jc w:val="both"/>
            </w:pPr>
            <w:r>
              <w:rPr>
                <w:sz w:val="21"/>
              </w:rPr>
              <w:t>（</w:t>
            </w:r>
            <w:r>
              <w:rPr>
                <w:sz w:val="21"/>
              </w:rPr>
              <w:t>7）智能化在线多参数自动检测系统</w:t>
            </w:r>
            <w:r>
              <w:rPr>
                <w:sz w:val="21"/>
                <w:b/>
              </w:rPr>
              <w:t>≥</w:t>
            </w:r>
            <w:r>
              <w:rPr>
                <w:sz w:val="21"/>
              </w:rPr>
              <w:t>一套；</w:t>
            </w:r>
          </w:p>
        </w:tc>
      </w:tr>
      <w:tr>
        <w:tc>
          <w:tcPr>
            <w:tcW w:type="dxa" w:w="2076"/>
          </w:tcPr>
          <w:p/>
        </w:tc>
        <w:tc>
          <w:tcPr>
            <w:tcW w:type="dxa" w:w="415"/>
          </w:tcPr>
          <w:p>
            <w:pPr>
              <w:pStyle w:val="null3"/>
            </w:pPr>
            <w:r>
              <w:rPr/>
              <w:t>64</w:t>
            </w:r>
          </w:p>
        </w:tc>
        <w:tc>
          <w:tcPr>
            <w:tcW w:type="dxa" w:w="5814"/>
          </w:tcPr>
          <w:p>
            <w:pPr>
              <w:pStyle w:val="null3"/>
              <w:jc w:val="both"/>
            </w:pPr>
            <w:r>
              <w:rPr>
                <w:sz w:val="21"/>
              </w:rPr>
              <w:t>（</w:t>
            </w:r>
            <w:r>
              <w:rPr>
                <w:sz w:val="21"/>
              </w:rPr>
              <w:t>8）移动端智能控制系统</w:t>
            </w:r>
            <w:r>
              <w:rPr>
                <w:sz w:val="21"/>
                <w:b/>
              </w:rPr>
              <w:t>≥</w:t>
            </w:r>
            <w:r>
              <w:rPr>
                <w:sz w:val="21"/>
              </w:rPr>
              <w:t>一套；</w:t>
            </w:r>
          </w:p>
        </w:tc>
      </w:tr>
      <w:tr>
        <w:tc>
          <w:tcPr>
            <w:tcW w:type="dxa" w:w="2076"/>
          </w:tcPr>
          <w:p/>
        </w:tc>
        <w:tc>
          <w:tcPr>
            <w:tcW w:type="dxa" w:w="415"/>
          </w:tcPr>
          <w:p>
            <w:pPr>
              <w:pStyle w:val="null3"/>
            </w:pPr>
            <w:r>
              <w:rPr/>
              <w:t>65</w:t>
            </w:r>
          </w:p>
        </w:tc>
        <w:tc>
          <w:tcPr>
            <w:tcW w:type="dxa" w:w="5814"/>
          </w:tcPr>
          <w:p>
            <w:pPr>
              <w:pStyle w:val="null3"/>
              <w:jc w:val="both"/>
            </w:pPr>
            <w:r>
              <w:rPr>
                <w:sz w:val="21"/>
              </w:rPr>
              <w:t>（</w:t>
            </w:r>
            <w:r>
              <w:rPr>
                <w:sz w:val="21"/>
              </w:rPr>
              <w:t>9）空气、氢气发生器各不少于一套；</w:t>
            </w:r>
          </w:p>
        </w:tc>
      </w:tr>
      <w:tr>
        <w:tc>
          <w:tcPr>
            <w:tcW w:type="dxa" w:w="2076"/>
          </w:tcPr>
          <w:p/>
        </w:tc>
        <w:tc>
          <w:tcPr>
            <w:tcW w:type="dxa" w:w="415"/>
          </w:tcPr>
          <w:p>
            <w:pPr>
              <w:pStyle w:val="null3"/>
            </w:pPr>
            <w:r>
              <w:rPr/>
              <w:t>66</w:t>
            </w:r>
          </w:p>
        </w:tc>
        <w:tc>
          <w:tcPr>
            <w:tcW w:type="dxa" w:w="5814"/>
          </w:tcPr>
          <w:p>
            <w:pPr>
              <w:pStyle w:val="null3"/>
              <w:jc w:val="both"/>
            </w:pPr>
            <w:r>
              <w:rPr>
                <w:sz w:val="21"/>
              </w:rPr>
              <w:t>（</w:t>
            </w:r>
            <w:r>
              <w:rPr>
                <w:sz w:val="21"/>
              </w:rPr>
              <w:t>10）工作站及输出设备各不少于一台；UPS不间断电源</w:t>
            </w:r>
            <w:r>
              <w:rPr>
                <w:sz w:val="21"/>
                <w:b/>
              </w:rPr>
              <w:t>≥</w:t>
            </w:r>
            <w:r>
              <w:rPr>
                <w:sz w:val="21"/>
              </w:rPr>
              <w:t>一台；</w:t>
            </w:r>
          </w:p>
        </w:tc>
      </w:tr>
      <w:tr>
        <w:tc>
          <w:tcPr>
            <w:tcW w:type="dxa" w:w="2076"/>
          </w:tcPr>
          <w:p/>
        </w:tc>
        <w:tc>
          <w:tcPr>
            <w:tcW w:type="dxa" w:w="415"/>
          </w:tcPr>
          <w:p>
            <w:pPr>
              <w:pStyle w:val="null3"/>
            </w:pPr>
            <w:r>
              <w:rPr/>
              <w:t>67</w:t>
            </w:r>
          </w:p>
        </w:tc>
        <w:tc>
          <w:tcPr>
            <w:tcW w:type="dxa" w:w="5814"/>
          </w:tcPr>
          <w:p>
            <w:pPr>
              <w:pStyle w:val="null3"/>
              <w:jc w:val="both"/>
            </w:pPr>
            <w:r>
              <w:rPr>
                <w:sz w:val="21"/>
              </w:rPr>
              <w:t>（</w:t>
            </w:r>
            <w:r>
              <w:rPr>
                <w:sz w:val="21"/>
              </w:rPr>
              <w:t>11）移液枪</w:t>
            </w:r>
            <w:r>
              <w:rPr>
                <w:sz w:val="21"/>
                <w:b/>
              </w:rPr>
              <w:t>≥</w:t>
            </w:r>
            <w:r>
              <w:rPr>
                <w:sz w:val="21"/>
              </w:rPr>
              <w:t>4把，分别为单道 0.5-10ul；单道2-20ul；单道10-100ul ，单道0.5-5 ml；配备相应吸头。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核磁共振波谱仪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1.傅里叶变换台式核磁共振波谱仪频率：≥ 75兆赫；</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2.▲检测核：1H、19F、13C；</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3.▲灵敏度：≥ 200:1；</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4.▲分辨率：≤0.3赫兹（50%峰高）/ ≤15赫兹（0.55%峰高）；</w:t>
            </w:r>
          </w:p>
        </w:tc>
      </w:tr>
      <w:tr>
        <w:tc>
          <w:tcPr>
            <w:tcW w:type="dxa" w:w="2076"/>
          </w:tcPr>
          <w:p/>
        </w:tc>
        <w:tc>
          <w:tcPr>
            <w:tcW w:type="dxa" w:w="415"/>
          </w:tcPr>
          <w:p>
            <w:pPr>
              <w:pStyle w:val="null3"/>
            </w:pPr>
            <w:r>
              <w:rPr/>
              <w:t>5</w:t>
            </w:r>
          </w:p>
        </w:tc>
        <w:tc>
          <w:tcPr>
            <w:tcW w:type="dxa" w:w="5814"/>
          </w:tcPr>
          <w:p>
            <w:pPr>
              <w:pStyle w:val="null3"/>
            </w:pPr>
            <w:r>
              <w:rPr>
                <w:sz w:val="21"/>
              </w:rPr>
              <w:t>5.核磁共振管直径：标准的5mm直径、7英寸长核磁管；</w:t>
            </w:r>
          </w:p>
        </w:tc>
      </w:tr>
      <w:tr>
        <w:tc>
          <w:tcPr>
            <w:tcW w:type="dxa" w:w="2076"/>
          </w:tcPr>
          <w:p/>
        </w:tc>
        <w:tc>
          <w:tcPr>
            <w:tcW w:type="dxa" w:w="415"/>
          </w:tcPr>
          <w:p>
            <w:pPr>
              <w:pStyle w:val="null3"/>
            </w:pPr>
            <w:r>
              <w:rPr/>
              <w:t>6</w:t>
            </w:r>
          </w:p>
        </w:tc>
        <w:tc>
          <w:tcPr>
            <w:tcW w:type="dxa" w:w="5814"/>
          </w:tcPr>
          <w:p>
            <w:pPr>
              <w:pStyle w:val="null3"/>
            </w:pPr>
            <w:r>
              <w:rPr>
                <w:sz w:val="21"/>
              </w:rPr>
              <w:t>6.液氮液氦需求：永久磁铁，无需液氮、液氦；</w:t>
            </w:r>
          </w:p>
        </w:tc>
      </w:tr>
      <w:tr>
        <w:tc>
          <w:tcPr>
            <w:tcW w:type="dxa" w:w="2076"/>
          </w:tcPr>
          <w:p/>
        </w:tc>
        <w:tc>
          <w:tcPr>
            <w:tcW w:type="dxa" w:w="415"/>
          </w:tcPr>
          <w:p>
            <w:pPr>
              <w:pStyle w:val="null3"/>
            </w:pPr>
            <w:r>
              <w:rPr/>
              <w:t>7</w:t>
            </w:r>
          </w:p>
        </w:tc>
        <w:tc>
          <w:tcPr>
            <w:tcW w:type="dxa" w:w="5814"/>
          </w:tcPr>
          <w:p>
            <w:pPr>
              <w:pStyle w:val="null3"/>
            </w:pPr>
            <w:r>
              <w:rPr>
                <w:sz w:val="21"/>
              </w:rPr>
              <w:t>7.自动进样器：可以选配自动进样器；</w:t>
            </w:r>
          </w:p>
        </w:tc>
      </w:tr>
      <w:tr>
        <w:tc>
          <w:tcPr>
            <w:tcW w:type="dxa" w:w="2076"/>
          </w:tcPr>
          <w:p/>
        </w:tc>
        <w:tc>
          <w:tcPr>
            <w:tcW w:type="dxa" w:w="415"/>
          </w:tcPr>
          <w:p>
            <w:pPr>
              <w:pStyle w:val="null3"/>
            </w:pPr>
            <w:r>
              <w:rPr/>
              <w:t>8</w:t>
            </w:r>
          </w:p>
        </w:tc>
        <w:tc>
          <w:tcPr>
            <w:tcW w:type="dxa" w:w="5814"/>
          </w:tcPr>
          <w:p>
            <w:pPr>
              <w:pStyle w:val="null3"/>
            </w:pPr>
            <w:r>
              <w:rPr>
                <w:sz w:val="21"/>
              </w:rPr>
              <w:t>8.空压系统要求：不需要空压系统；</w:t>
            </w:r>
          </w:p>
        </w:tc>
      </w:tr>
      <w:tr>
        <w:tc>
          <w:tcPr>
            <w:tcW w:type="dxa" w:w="2076"/>
          </w:tcPr>
          <w:p/>
        </w:tc>
        <w:tc>
          <w:tcPr>
            <w:tcW w:type="dxa" w:w="415"/>
          </w:tcPr>
          <w:p>
            <w:pPr>
              <w:pStyle w:val="null3"/>
            </w:pPr>
            <w:r>
              <w:rPr/>
              <w:t>9</w:t>
            </w:r>
          </w:p>
        </w:tc>
        <w:tc>
          <w:tcPr>
            <w:tcW w:type="dxa" w:w="5814"/>
          </w:tcPr>
          <w:p>
            <w:pPr>
              <w:pStyle w:val="null3"/>
            </w:pPr>
            <w:r>
              <w:rPr>
                <w:sz w:val="21"/>
              </w:rPr>
              <w:t>9.数字锁：外部锁，无需氘代溶剂；</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rPr>
              <w:t>10.▲溶剂峰压制功能：具备；</w:t>
            </w:r>
          </w:p>
        </w:tc>
      </w:tr>
      <w:tr>
        <w:tc>
          <w:tcPr>
            <w:tcW w:type="dxa" w:w="2076"/>
          </w:tcPr>
          <w:p/>
        </w:tc>
        <w:tc>
          <w:tcPr>
            <w:tcW w:type="dxa" w:w="415"/>
          </w:tcPr>
          <w:p>
            <w:pPr>
              <w:pStyle w:val="null3"/>
            </w:pPr>
            <w:r>
              <w:rPr/>
              <w:t>11</w:t>
            </w:r>
          </w:p>
        </w:tc>
        <w:tc>
          <w:tcPr>
            <w:tcW w:type="dxa" w:w="5814"/>
          </w:tcPr>
          <w:p>
            <w:pPr>
              <w:pStyle w:val="null3"/>
            </w:pPr>
            <w:r>
              <w:rPr>
                <w:sz w:val="21"/>
              </w:rPr>
              <w:t>11.工作站：Windows 10 及以上系统；</w:t>
            </w:r>
          </w:p>
        </w:tc>
      </w:tr>
      <w:tr>
        <w:tc>
          <w:tcPr>
            <w:tcW w:type="dxa" w:w="2076"/>
          </w:tcPr>
          <w:p/>
        </w:tc>
        <w:tc>
          <w:tcPr>
            <w:tcW w:type="dxa" w:w="415"/>
          </w:tcPr>
          <w:p>
            <w:pPr>
              <w:pStyle w:val="null3"/>
            </w:pPr>
            <w:r>
              <w:rPr/>
              <w:t>12</w:t>
            </w:r>
          </w:p>
        </w:tc>
        <w:tc>
          <w:tcPr>
            <w:tcW w:type="dxa" w:w="5814"/>
          </w:tcPr>
          <w:p>
            <w:pPr>
              <w:pStyle w:val="null3"/>
            </w:pPr>
            <w:r>
              <w:rPr>
                <w:sz w:val="21"/>
              </w:rPr>
              <w:t>12.水冷要求：无需水冷设备；</w:t>
            </w:r>
          </w:p>
        </w:tc>
      </w:tr>
      <w:tr>
        <w:tc>
          <w:tcPr>
            <w:tcW w:type="dxa" w:w="2076"/>
          </w:tcPr>
          <w:p/>
        </w:tc>
        <w:tc>
          <w:tcPr>
            <w:tcW w:type="dxa" w:w="415"/>
          </w:tcPr>
          <w:p>
            <w:pPr>
              <w:pStyle w:val="null3"/>
            </w:pPr>
            <w:r>
              <w:rPr/>
              <w:t>13</w:t>
            </w:r>
          </w:p>
        </w:tc>
        <w:tc>
          <w:tcPr>
            <w:tcW w:type="dxa" w:w="5814"/>
          </w:tcPr>
          <w:p>
            <w:pPr>
              <w:pStyle w:val="null3"/>
            </w:pPr>
            <w:r>
              <w:rPr>
                <w:sz w:val="21"/>
              </w:rPr>
              <w:t>13.采样软件：NMR 谱图采样 (任意维)，2D 图谱的非一致性采样 (NUS)许可；</w:t>
            </w:r>
          </w:p>
        </w:tc>
      </w:tr>
      <w:tr>
        <w:tc>
          <w:tcPr>
            <w:tcW w:type="dxa" w:w="2076"/>
          </w:tcPr>
          <w:p/>
        </w:tc>
        <w:tc>
          <w:tcPr>
            <w:tcW w:type="dxa" w:w="415"/>
          </w:tcPr>
          <w:p>
            <w:pPr>
              <w:pStyle w:val="null3"/>
            </w:pPr>
            <w:r>
              <w:rPr/>
              <w:t>14</w:t>
            </w:r>
          </w:p>
        </w:tc>
        <w:tc>
          <w:tcPr>
            <w:tcW w:type="dxa" w:w="5814"/>
          </w:tcPr>
          <w:p>
            <w:pPr>
              <w:pStyle w:val="null3"/>
            </w:pPr>
            <w:r>
              <w:rPr>
                <w:sz w:val="21"/>
              </w:rPr>
              <w:t>14.数据处理软件：可导入参数设置，可直接预览实验结果, 也可以进行处理和分析；</w:t>
            </w:r>
          </w:p>
        </w:tc>
      </w:tr>
      <w:tr>
        <w:tc>
          <w:tcPr>
            <w:tcW w:type="dxa" w:w="2076"/>
          </w:tcPr>
          <w:p/>
        </w:tc>
        <w:tc>
          <w:tcPr>
            <w:tcW w:type="dxa" w:w="415"/>
          </w:tcPr>
          <w:p>
            <w:pPr>
              <w:pStyle w:val="null3"/>
            </w:pPr>
            <w:r>
              <w:rPr/>
              <w:t>15</w:t>
            </w:r>
          </w:p>
        </w:tc>
        <w:tc>
          <w:tcPr>
            <w:tcW w:type="dxa" w:w="5814"/>
          </w:tcPr>
          <w:p>
            <w:pPr>
              <w:pStyle w:val="null3"/>
            </w:pPr>
            <w:r>
              <w:rPr>
                <w:sz w:val="21"/>
              </w:rPr>
              <w:t>15.软件能与市场主流的大型NMR兼容，方便数据的处理与比对。</w:t>
            </w:r>
          </w:p>
        </w:tc>
      </w:tr>
      <w:tr>
        <w:tc>
          <w:tcPr>
            <w:tcW w:type="dxa" w:w="2076"/>
          </w:tcPr>
          <w:p/>
        </w:tc>
        <w:tc>
          <w:tcPr>
            <w:tcW w:type="dxa" w:w="415"/>
          </w:tcPr>
          <w:p>
            <w:pPr>
              <w:pStyle w:val="null3"/>
            </w:pPr>
            <w:r>
              <w:rPr/>
              <w:t>16</w:t>
            </w:r>
          </w:p>
        </w:tc>
        <w:tc>
          <w:tcPr>
            <w:tcW w:type="dxa" w:w="5814"/>
          </w:tcPr>
          <w:p>
            <w:pPr>
              <w:pStyle w:val="null3"/>
            </w:pPr>
            <w:r>
              <w:rPr>
                <w:sz w:val="21"/>
              </w:rPr>
              <w:t>16.工作条件：</w:t>
            </w:r>
          </w:p>
          <w:p>
            <w:pPr>
              <w:pStyle w:val="null3"/>
            </w:pPr>
            <w:r>
              <w:rPr>
                <w:sz w:val="21"/>
              </w:rPr>
              <w:t>16.1条件：标准实验室环境，无需液氮、液氦，无需空压机等；</w:t>
            </w:r>
          </w:p>
        </w:tc>
      </w:tr>
      <w:tr>
        <w:tc>
          <w:tcPr>
            <w:tcW w:type="dxa" w:w="2076"/>
          </w:tcPr>
          <w:p/>
        </w:tc>
        <w:tc>
          <w:tcPr>
            <w:tcW w:type="dxa" w:w="415"/>
          </w:tcPr>
          <w:p>
            <w:pPr>
              <w:pStyle w:val="null3"/>
            </w:pPr>
            <w:r>
              <w:rPr/>
              <w:t>17</w:t>
            </w:r>
          </w:p>
        </w:tc>
        <w:tc>
          <w:tcPr>
            <w:tcW w:type="dxa" w:w="5814"/>
          </w:tcPr>
          <w:p>
            <w:pPr>
              <w:pStyle w:val="null3"/>
            </w:pPr>
            <w:r>
              <w:rPr>
                <w:sz w:val="21"/>
              </w:rPr>
              <w:t>16.1.1温度: 20℃-25℃；</w:t>
            </w:r>
          </w:p>
        </w:tc>
      </w:tr>
      <w:tr>
        <w:tc>
          <w:tcPr>
            <w:tcW w:type="dxa" w:w="2076"/>
          </w:tcPr>
          <w:p/>
        </w:tc>
        <w:tc>
          <w:tcPr>
            <w:tcW w:type="dxa" w:w="415"/>
          </w:tcPr>
          <w:p>
            <w:pPr>
              <w:pStyle w:val="null3"/>
            </w:pPr>
            <w:r>
              <w:rPr/>
              <w:t>18</w:t>
            </w:r>
          </w:p>
        </w:tc>
        <w:tc>
          <w:tcPr>
            <w:tcW w:type="dxa" w:w="5814"/>
          </w:tcPr>
          <w:p>
            <w:pPr>
              <w:pStyle w:val="null3"/>
              <w:jc w:val="both"/>
            </w:pPr>
            <w:r>
              <w:rPr>
                <w:sz w:val="21"/>
              </w:rPr>
              <w:t>16.1.2电源: 110-240V；</w:t>
            </w:r>
          </w:p>
        </w:tc>
      </w:tr>
      <w:tr>
        <w:tc>
          <w:tcPr>
            <w:tcW w:type="dxa" w:w="2076"/>
          </w:tcPr>
          <w:p/>
        </w:tc>
        <w:tc>
          <w:tcPr>
            <w:tcW w:type="dxa" w:w="415"/>
          </w:tcPr>
          <w:p>
            <w:pPr>
              <w:pStyle w:val="null3"/>
            </w:pPr>
            <w:r>
              <w:rPr/>
              <w:t>19</w:t>
            </w:r>
          </w:p>
        </w:tc>
        <w:tc>
          <w:tcPr>
            <w:tcW w:type="dxa" w:w="5814"/>
          </w:tcPr>
          <w:p>
            <w:pPr>
              <w:pStyle w:val="null3"/>
            </w:pPr>
            <w:r>
              <w:rPr>
                <w:sz w:val="21"/>
              </w:rPr>
              <w:t>16.2技术参数：</w:t>
            </w:r>
          </w:p>
          <w:p>
            <w:pPr>
              <w:pStyle w:val="null3"/>
            </w:pPr>
            <w:r>
              <w:rPr>
                <w:sz w:val="21"/>
              </w:rPr>
              <w:t>16.2.1频率：≥80MHz；</w:t>
            </w:r>
          </w:p>
        </w:tc>
      </w:tr>
      <w:tr>
        <w:tc>
          <w:tcPr>
            <w:tcW w:type="dxa" w:w="2076"/>
          </w:tcPr>
          <w:p/>
        </w:tc>
        <w:tc>
          <w:tcPr>
            <w:tcW w:type="dxa" w:w="415"/>
          </w:tcPr>
          <w:p>
            <w:pPr>
              <w:pStyle w:val="null3"/>
            </w:pPr>
            <w:r>
              <w:rPr/>
              <w:t>20</w:t>
            </w:r>
          </w:p>
        </w:tc>
        <w:tc>
          <w:tcPr>
            <w:tcW w:type="dxa" w:w="5814"/>
          </w:tcPr>
          <w:p>
            <w:pPr>
              <w:pStyle w:val="null3"/>
            </w:pPr>
            <w:r>
              <w:rPr>
                <w:sz w:val="21"/>
              </w:rPr>
              <w:t>16.2.2分辨率：半峰宽 &lt;0.25Hz（20%的CHCl3溶于d-dmso），0.55%峰宽&lt;10Hz（20%的CHCl3溶于d-dmso）；</w:t>
            </w:r>
          </w:p>
        </w:tc>
      </w:tr>
      <w:tr>
        <w:tc>
          <w:tcPr>
            <w:tcW w:type="dxa" w:w="2076"/>
          </w:tcPr>
          <w:p/>
        </w:tc>
        <w:tc>
          <w:tcPr>
            <w:tcW w:type="dxa" w:w="415"/>
          </w:tcPr>
          <w:p>
            <w:pPr>
              <w:pStyle w:val="null3"/>
            </w:pPr>
            <w:r>
              <w:rPr/>
              <w:t>21</w:t>
            </w:r>
          </w:p>
        </w:tc>
        <w:tc>
          <w:tcPr>
            <w:tcW w:type="dxa" w:w="5814"/>
          </w:tcPr>
          <w:p>
            <w:pPr>
              <w:pStyle w:val="null3"/>
            </w:pPr>
            <w:r>
              <w:rPr>
                <w:sz w:val="21"/>
              </w:rPr>
              <w:t>16.2.3信噪比：&gt;200:1（单次扫描，样品:1% ethylbenzene），&gt;10000:1（单次扫描，样品:10% H2O/90%D2O)；</w:t>
            </w:r>
          </w:p>
        </w:tc>
      </w:tr>
      <w:tr>
        <w:tc>
          <w:tcPr>
            <w:tcW w:type="dxa" w:w="2076"/>
          </w:tcPr>
          <w:p/>
        </w:tc>
        <w:tc>
          <w:tcPr>
            <w:tcW w:type="dxa" w:w="415"/>
          </w:tcPr>
          <w:p>
            <w:pPr>
              <w:pStyle w:val="null3"/>
            </w:pPr>
            <w:r>
              <w:rPr/>
              <w:t>22</w:t>
            </w:r>
          </w:p>
        </w:tc>
        <w:tc>
          <w:tcPr>
            <w:tcW w:type="dxa" w:w="5814"/>
          </w:tcPr>
          <w:p>
            <w:pPr>
              <w:pStyle w:val="null3"/>
            </w:pPr>
            <w:r>
              <w:rPr>
                <w:sz w:val="21"/>
              </w:rPr>
              <w:t>16.2.4磁体：永磁体；</w:t>
            </w:r>
          </w:p>
        </w:tc>
      </w:tr>
      <w:tr>
        <w:tc>
          <w:tcPr>
            <w:tcW w:type="dxa" w:w="2076"/>
          </w:tcPr>
          <w:p/>
        </w:tc>
        <w:tc>
          <w:tcPr>
            <w:tcW w:type="dxa" w:w="415"/>
          </w:tcPr>
          <w:p>
            <w:pPr>
              <w:pStyle w:val="null3"/>
            </w:pPr>
            <w:r>
              <w:rPr/>
              <w:t>23</w:t>
            </w:r>
          </w:p>
        </w:tc>
        <w:tc>
          <w:tcPr>
            <w:tcW w:type="dxa" w:w="5814"/>
          </w:tcPr>
          <w:p>
            <w:pPr>
              <w:pStyle w:val="null3"/>
              <w:jc w:val="both"/>
            </w:pPr>
            <w:r>
              <w:rPr>
                <w:sz w:val="21"/>
              </w:rPr>
              <w:t>16.2.5样品：液体，标准5mm外径，7英寸长度核磁管进样，与超导核磁的样品管通用；</w:t>
            </w:r>
          </w:p>
        </w:tc>
      </w:tr>
      <w:tr>
        <w:tc>
          <w:tcPr>
            <w:tcW w:type="dxa" w:w="2076"/>
          </w:tcPr>
          <w:p>
            <w:pPr>
              <w:pStyle w:val="null3"/>
            </w:pPr>
            <w:r>
              <w:rPr/>
              <w:t>▲</w:t>
            </w:r>
          </w:p>
        </w:tc>
        <w:tc>
          <w:tcPr>
            <w:tcW w:type="dxa" w:w="415"/>
          </w:tcPr>
          <w:p>
            <w:pPr>
              <w:pStyle w:val="null3"/>
            </w:pPr>
            <w:r>
              <w:rPr/>
              <w:t>24</w:t>
            </w:r>
          </w:p>
        </w:tc>
        <w:tc>
          <w:tcPr>
            <w:tcW w:type="dxa" w:w="5814"/>
          </w:tcPr>
          <w:p>
            <w:pPr>
              <w:pStyle w:val="null3"/>
              <w:jc w:val="both"/>
            </w:pPr>
            <w:r>
              <w:rPr>
                <w:sz w:val="21"/>
              </w:rPr>
              <w:t>▲16.2.6不需要空气压缩机，样品管在测试过程中不需要旋转；</w:t>
            </w:r>
          </w:p>
        </w:tc>
      </w:tr>
      <w:tr>
        <w:tc>
          <w:tcPr>
            <w:tcW w:type="dxa" w:w="2076"/>
          </w:tcPr>
          <w:p>
            <w:pPr>
              <w:pStyle w:val="null3"/>
            </w:pPr>
            <w:r>
              <w:rPr/>
              <w:t>▲</w:t>
            </w:r>
          </w:p>
        </w:tc>
        <w:tc>
          <w:tcPr>
            <w:tcW w:type="dxa" w:w="415"/>
          </w:tcPr>
          <w:p>
            <w:pPr>
              <w:pStyle w:val="null3"/>
            </w:pPr>
            <w:r>
              <w:rPr/>
              <w:t>25</w:t>
            </w:r>
          </w:p>
        </w:tc>
        <w:tc>
          <w:tcPr>
            <w:tcW w:type="dxa" w:w="5814"/>
          </w:tcPr>
          <w:p>
            <w:pPr>
              <w:pStyle w:val="null3"/>
              <w:jc w:val="both"/>
            </w:pPr>
            <w:r>
              <w:rPr>
                <w:sz w:val="21"/>
              </w:rPr>
              <w:t>▲16.2.7 1H, 19F,13C三合一探头。更换测试原子不需要更换探头；</w:t>
            </w:r>
          </w:p>
        </w:tc>
      </w:tr>
      <w:tr>
        <w:tc>
          <w:tcPr>
            <w:tcW w:type="dxa" w:w="2076"/>
          </w:tcPr>
          <w:p/>
        </w:tc>
        <w:tc>
          <w:tcPr>
            <w:tcW w:type="dxa" w:w="415"/>
          </w:tcPr>
          <w:p>
            <w:pPr>
              <w:pStyle w:val="null3"/>
            </w:pPr>
            <w:r>
              <w:rPr/>
              <w:t>26</w:t>
            </w:r>
          </w:p>
        </w:tc>
        <w:tc>
          <w:tcPr>
            <w:tcW w:type="dxa" w:w="5814"/>
          </w:tcPr>
          <w:p>
            <w:pPr>
              <w:pStyle w:val="null3"/>
              <w:jc w:val="both"/>
            </w:pPr>
            <w:r>
              <w:rPr>
                <w:sz w:val="21"/>
              </w:rPr>
              <w:t>16.2.8可测 1D 1H,19F谱；</w:t>
            </w:r>
          </w:p>
        </w:tc>
      </w:tr>
      <w:tr>
        <w:tc>
          <w:tcPr>
            <w:tcW w:type="dxa" w:w="2076"/>
          </w:tcPr>
          <w:p/>
        </w:tc>
        <w:tc>
          <w:tcPr>
            <w:tcW w:type="dxa" w:w="415"/>
          </w:tcPr>
          <w:p>
            <w:pPr>
              <w:pStyle w:val="null3"/>
            </w:pPr>
            <w:r>
              <w:rPr/>
              <w:t>27</w:t>
            </w:r>
          </w:p>
        </w:tc>
        <w:tc>
          <w:tcPr>
            <w:tcW w:type="dxa" w:w="5814"/>
          </w:tcPr>
          <w:p>
            <w:pPr>
              <w:pStyle w:val="null3"/>
              <w:jc w:val="both"/>
            </w:pPr>
            <w:r>
              <w:rPr>
                <w:sz w:val="21"/>
              </w:rPr>
              <w:t>16.2.9可测1D 13C谱；</w:t>
            </w:r>
          </w:p>
        </w:tc>
      </w:tr>
      <w:tr>
        <w:tc>
          <w:tcPr>
            <w:tcW w:type="dxa" w:w="2076"/>
          </w:tcPr>
          <w:p/>
        </w:tc>
        <w:tc>
          <w:tcPr>
            <w:tcW w:type="dxa" w:w="415"/>
          </w:tcPr>
          <w:p>
            <w:pPr>
              <w:pStyle w:val="null3"/>
            </w:pPr>
            <w:r>
              <w:rPr/>
              <w:t>28</w:t>
            </w:r>
          </w:p>
        </w:tc>
        <w:tc>
          <w:tcPr>
            <w:tcW w:type="dxa" w:w="5814"/>
          </w:tcPr>
          <w:p>
            <w:pPr>
              <w:pStyle w:val="null3"/>
              <w:jc w:val="both"/>
            </w:pPr>
            <w:r>
              <w:rPr>
                <w:sz w:val="21"/>
              </w:rPr>
              <w:t>16.2.10可测DEPT谱；</w:t>
            </w:r>
          </w:p>
        </w:tc>
      </w:tr>
      <w:tr>
        <w:tc>
          <w:tcPr>
            <w:tcW w:type="dxa" w:w="2076"/>
          </w:tcPr>
          <w:p/>
        </w:tc>
        <w:tc>
          <w:tcPr>
            <w:tcW w:type="dxa" w:w="415"/>
          </w:tcPr>
          <w:p>
            <w:pPr>
              <w:pStyle w:val="null3"/>
            </w:pPr>
            <w:r>
              <w:rPr/>
              <w:t>29</w:t>
            </w:r>
          </w:p>
        </w:tc>
        <w:tc>
          <w:tcPr>
            <w:tcW w:type="dxa" w:w="5814"/>
          </w:tcPr>
          <w:p>
            <w:pPr>
              <w:pStyle w:val="null3"/>
              <w:jc w:val="left"/>
            </w:pPr>
            <w:r>
              <w:rPr>
                <w:sz w:val="21"/>
              </w:rPr>
              <w:t>16.2.11可测二维HH-COSY, HF-COSY, FF-COSY,JRES,TOCSY,HMQC,HSQC,HSQC-ME,HMBC,HETCOR；</w:t>
            </w:r>
          </w:p>
        </w:tc>
      </w:tr>
      <w:tr>
        <w:tc>
          <w:tcPr>
            <w:tcW w:type="dxa" w:w="2076"/>
          </w:tcPr>
          <w:p/>
        </w:tc>
        <w:tc>
          <w:tcPr>
            <w:tcW w:type="dxa" w:w="415"/>
          </w:tcPr>
          <w:p>
            <w:pPr>
              <w:pStyle w:val="null3"/>
            </w:pPr>
            <w:r>
              <w:rPr/>
              <w:t>30</w:t>
            </w:r>
          </w:p>
        </w:tc>
        <w:tc>
          <w:tcPr>
            <w:tcW w:type="dxa" w:w="5814"/>
          </w:tcPr>
          <w:p>
            <w:pPr>
              <w:pStyle w:val="null3"/>
              <w:jc w:val="both"/>
            </w:pPr>
            <w:r>
              <w:rPr>
                <w:sz w:val="21"/>
              </w:rPr>
              <w:t>16.2.12谱仪与磁体集成在一起，不分开；</w:t>
            </w:r>
          </w:p>
        </w:tc>
      </w:tr>
      <w:tr>
        <w:tc>
          <w:tcPr>
            <w:tcW w:type="dxa" w:w="2076"/>
          </w:tcPr>
          <w:p/>
        </w:tc>
        <w:tc>
          <w:tcPr>
            <w:tcW w:type="dxa" w:w="415"/>
          </w:tcPr>
          <w:p>
            <w:pPr>
              <w:pStyle w:val="null3"/>
            </w:pPr>
            <w:r>
              <w:rPr/>
              <w:t>31</w:t>
            </w:r>
          </w:p>
        </w:tc>
        <w:tc>
          <w:tcPr>
            <w:tcW w:type="dxa" w:w="5814"/>
          </w:tcPr>
          <w:p>
            <w:pPr>
              <w:pStyle w:val="null3"/>
              <w:jc w:val="both"/>
            </w:pPr>
            <w:r>
              <w:rPr>
                <w:sz w:val="21"/>
              </w:rPr>
              <w:t>16.2.13仪器控制软件与数据分析软件免费永久提供；</w:t>
            </w:r>
          </w:p>
        </w:tc>
      </w:tr>
      <w:tr>
        <w:tc>
          <w:tcPr>
            <w:tcW w:type="dxa" w:w="2076"/>
          </w:tcPr>
          <w:p/>
        </w:tc>
        <w:tc>
          <w:tcPr>
            <w:tcW w:type="dxa" w:w="415"/>
          </w:tcPr>
          <w:p>
            <w:pPr>
              <w:pStyle w:val="null3"/>
            </w:pPr>
            <w:r>
              <w:rPr/>
              <w:t>32</w:t>
            </w:r>
          </w:p>
        </w:tc>
        <w:tc>
          <w:tcPr>
            <w:tcW w:type="dxa" w:w="5814"/>
          </w:tcPr>
          <w:p>
            <w:pPr>
              <w:pStyle w:val="null3"/>
              <w:jc w:val="both"/>
            </w:pPr>
            <w:r>
              <w:rPr>
                <w:sz w:val="21"/>
              </w:rPr>
              <w:t>16.2.14仪器控制软件具有对仪器自动匀场功能，且具有脚本功能，供用户自定义扫描方式，一次性采集多种类型的谱图数据（例如1H,19F，13C, 以及二维谱等）；</w:t>
            </w:r>
          </w:p>
        </w:tc>
      </w:tr>
      <w:tr>
        <w:tc>
          <w:tcPr>
            <w:tcW w:type="dxa" w:w="2076"/>
          </w:tcPr>
          <w:p/>
        </w:tc>
        <w:tc>
          <w:tcPr>
            <w:tcW w:type="dxa" w:w="415"/>
          </w:tcPr>
          <w:p>
            <w:pPr>
              <w:pStyle w:val="null3"/>
            </w:pPr>
            <w:r>
              <w:rPr/>
              <w:t>33</w:t>
            </w:r>
          </w:p>
        </w:tc>
        <w:tc>
          <w:tcPr>
            <w:tcW w:type="dxa" w:w="5814"/>
          </w:tcPr>
          <w:p>
            <w:pPr>
              <w:pStyle w:val="null3"/>
              <w:jc w:val="both"/>
            </w:pPr>
            <w:r>
              <w:rPr>
                <w:sz w:val="21"/>
              </w:rPr>
              <w:t>16.2.15具有原位在线监控反应模块及软件功能；</w:t>
            </w:r>
          </w:p>
        </w:tc>
      </w:tr>
      <w:tr>
        <w:tc>
          <w:tcPr>
            <w:tcW w:type="dxa" w:w="2076"/>
          </w:tcPr>
          <w:p>
            <w:pPr>
              <w:pStyle w:val="null3"/>
            </w:pPr>
            <w:r>
              <w:rPr/>
              <w:t>▲</w:t>
            </w:r>
          </w:p>
        </w:tc>
        <w:tc>
          <w:tcPr>
            <w:tcW w:type="dxa" w:w="415"/>
          </w:tcPr>
          <w:p>
            <w:pPr>
              <w:pStyle w:val="null3"/>
            </w:pPr>
            <w:r>
              <w:rPr/>
              <w:t>34</w:t>
            </w:r>
          </w:p>
        </w:tc>
        <w:tc>
          <w:tcPr>
            <w:tcW w:type="dxa" w:w="5814"/>
          </w:tcPr>
          <w:p>
            <w:pPr>
              <w:pStyle w:val="null3"/>
              <w:jc w:val="both"/>
            </w:pPr>
            <w:r>
              <w:rPr>
                <w:sz w:val="21"/>
              </w:rPr>
              <w:t>▲16.2.16具有溶剂峰压制功能；</w:t>
            </w:r>
          </w:p>
        </w:tc>
      </w:tr>
      <w:tr>
        <w:tc>
          <w:tcPr>
            <w:tcW w:type="dxa" w:w="2076"/>
          </w:tcPr>
          <w:p/>
        </w:tc>
        <w:tc>
          <w:tcPr>
            <w:tcW w:type="dxa" w:w="415"/>
          </w:tcPr>
          <w:p>
            <w:pPr>
              <w:pStyle w:val="null3"/>
            </w:pPr>
            <w:r>
              <w:rPr/>
              <w:t>35</w:t>
            </w:r>
          </w:p>
        </w:tc>
        <w:tc>
          <w:tcPr>
            <w:tcW w:type="dxa" w:w="5814"/>
          </w:tcPr>
          <w:p>
            <w:pPr>
              <w:pStyle w:val="null3"/>
              <w:jc w:val="both"/>
            </w:pPr>
            <w:r>
              <w:rPr>
                <w:sz w:val="21"/>
              </w:rPr>
              <w:t>16.2.17产品重量不超过100KG，保证能放置桌面进行原位核磁实验，而无需放置地面，减少管路残留效应。</w:t>
            </w:r>
          </w:p>
        </w:tc>
      </w:tr>
      <w:tr>
        <w:tc>
          <w:tcPr>
            <w:tcW w:type="dxa" w:w="2076"/>
          </w:tcPr>
          <w:p/>
        </w:tc>
        <w:tc>
          <w:tcPr>
            <w:tcW w:type="dxa" w:w="415"/>
          </w:tcPr>
          <w:p>
            <w:pPr>
              <w:pStyle w:val="null3"/>
            </w:pPr>
            <w:r>
              <w:rPr/>
              <w:t>36</w:t>
            </w:r>
          </w:p>
        </w:tc>
        <w:tc>
          <w:tcPr>
            <w:tcW w:type="dxa" w:w="5814"/>
          </w:tcPr>
          <w:p>
            <w:pPr>
              <w:pStyle w:val="null3"/>
              <w:jc w:val="both"/>
            </w:pPr>
            <w:r>
              <w:rPr>
                <w:sz w:val="21"/>
                <w:shd w:fill="FFFFFF" w:val="clear"/>
              </w:rPr>
              <w:t>17.</w:t>
            </w:r>
            <w:r>
              <w:rPr>
                <w:sz w:val="22"/>
                <w:shd w:fill="FFFFFF" w:val="clear"/>
              </w:rPr>
              <w:t>计量要求：</w:t>
            </w:r>
            <w:r>
              <w:rPr>
                <w:sz w:val="21"/>
                <w:shd w:fill="FFFFFF" w:val="clear"/>
              </w:rPr>
              <w:t>符合《</w:t>
            </w:r>
            <w:r>
              <w:rPr>
                <w:sz w:val="21"/>
                <w:shd w:fill="FFFFFF" w:val="clear"/>
              </w:rPr>
              <w:t>JJG 007-1996 超导脉冲傅里叶变换核磁共振谱仪检定规程》。</w:t>
            </w:r>
          </w:p>
        </w:tc>
      </w:tr>
      <w:tr>
        <w:tc>
          <w:tcPr>
            <w:tcW w:type="dxa" w:w="2076"/>
          </w:tcPr>
          <w:p/>
        </w:tc>
        <w:tc>
          <w:tcPr>
            <w:tcW w:type="dxa" w:w="415"/>
          </w:tcPr>
          <w:p>
            <w:pPr>
              <w:pStyle w:val="null3"/>
            </w:pPr>
            <w:r>
              <w:rPr/>
              <w:t>37</w:t>
            </w:r>
          </w:p>
        </w:tc>
        <w:tc>
          <w:tcPr>
            <w:tcW w:type="dxa" w:w="5814"/>
          </w:tcPr>
          <w:p>
            <w:pPr>
              <w:pStyle w:val="null3"/>
            </w:pPr>
            <w:r>
              <w:rPr/>
              <w:t>18.</w:t>
            </w:r>
            <w:r>
              <w:rPr>
                <w:sz w:val="22"/>
              </w:rPr>
              <w:t>配件清单</w:t>
            </w:r>
            <w:r>
              <w:br/>
            </w:r>
            <w:r>
              <w:rPr>
                <w:sz w:val="22"/>
              </w:rPr>
              <w:t xml:space="preserve"> （1）</w:t>
            </w:r>
            <w:r>
              <w:rPr>
                <w:sz w:val="21"/>
              </w:rPr>
              <w:t>台式核磁共振波谱仪主机</w:t>
            </w:r>
            <w:r>
              <w:rPr>
                <w:sz w:val="21"/>
              </w:rPr>
              <w:t>≥一台；</w:t>
            </w:r>
          </w:p>
        </w:tc>
      </w:tr>
      <w:tr>
        <w:tc>
          <w:tcPr>
            <w:tcW w:type="dxa" w:w="2076"/>
          </w:tcPr>
          <w:p/>
        </w:tc>
        <w:tc>
          <w:tcPr>
            <w:tcW w:type="dxa" w:w="415"/>
          </w:tcPr>
          <w:p>
            <w:pPr>
              <w:pStyle w:val="null3"/>
            </w:pPr>
            <w:r>
              <w:rPr/>
              <w:t>38</w:t>
            </w:r>
          </w:p>
        </w:tc>
        <w:tc>
          <w:tcPr>
            <w:tcW w:type="dxa" w:w="5814"/>
          </w:tcPr>
          <w:p>
            <w:pPr>
              <w:pStyle w:val="null3"/>
              <w:spacing w:after="165"/>
              <w:jc w:val="left"/>
            </w:pPr>
            <w:r>
              <w:rPr>
                <w:sz w:val="21"/>
              </w:rPr>
              <w:t>（2）</w:t>
            </w:r>
            <w:r>
              <w:rPr>
                <w:sz w:val="21"/>
              </w:rPr>
              <w:t>U盘≥1个</w:t>
            </w:r>
            <w:r>
              <w:rPr>
                <w:sz w:val="21"/>
              </w:rPr>
              <w:t>，内存</w:t>
            </w:r>
            <w:r>
              <w:rPr>
                <w:sz w:val="21"/>
              </w:rPr>
              <w:t>≥256G</w:t>
            </w:r>
            <w:r>
              <w:rPr>
                <w:sz w:val="21"/>
              </w:rPr>
              <w:t>；</w:t>
            </w:r>
          </w:p>
        </w:tc>
      </w:tr>
      <w:tr>
        <w:tc>
          <w:tcPr>
            <w:tcW w:type="dxa" w:w="2076"/>
          </w:tcPr>
          <w:p/>
        </w:tc>
        <w:tc>
          <w:tcPr>
            <w:tcW w:type="dxa" w:w="415"/>
          </w:tcPr>
          <w:p>
            <w:pPr>
              <w:pStyle w:val="null3"/>
            </w:pPr>
            <w:r>
              <w:rPr/>
              <w:t>39</w:t>
            </w:r>
          </w:p>
        </w:tc>
        <w:tc>
          <w:tcPr>
            <w:tcW w:type="dxa" w:w="5814"/>
          </w:tcPr>
          <w:p>
            <w:pPr>
              <w:pStyle w:val="null3"/>
              <w:spacing w:after="165"/>
              <w:jc w:val="left"/>
            </w:pPr>
            <w:r>
              <w:rPr>
                <w:sz w:val="21"/>
                <w:vertAlign w:val="superscript"/>
              </w:rPr>
              <w:t>（3）</w:t>
            </w:r>
            <w:r>
              <w:rPr>
                <w:sz w:val="21"/>
                <w:vertAlign w:val="superscript"/>
              </w:rPr>
              <w:t>1</w:t>
            </w:r>
            <w:r>
              <w:rPr>
                <w:sz w:val="21"/>
              </w:rPr>
              <w:t xml:space="preserve">H, </w:t>
            </w:r>
            <w:r>
              <w:rPr>
                <w:sz w:val="21"/>
                <w:vertAlign w:val="superscript"/>
              </w:rPr>
              <w:t>19</w:t>
            </w:r>
            <w:r>
              <w:rPr>
                <w:sz w:val="21"/>
              </w:rPr>
              <w:t>F,</w:t>
            </w:r>
            <w:r>
              <w:rPr>
                <w:sz w:val="21"/>
                <w:vertAlign w:val="superscript"/>
              </w:rPr>
              <w:t>13</w:t>
            </w:r>
            <w:r>
              <w:rPr>
                <w:sz w:val="21"/>
              </w:rPr>
              <w:t>C 三合一探头</w:t>
            </w:r>
            <w:r>
              <w:rPr>
                <w:sz w:val="21"/>
              </w:rPr>
              <w:t>≥一个；</w:t>
            </w:r>
          </w:p>
        </w:tc>
      </w:tr>
      <w:tr>
        <w:tc>
          <w:tcPr>
            <w:tcW w:type="dxa" w:w="2076"/>
          </w:tcPr>
          <w:p/>
        </w:tc>
        <w:tc>
          <w:tcPr>
            <w:tcW w:type="dxa" w:w="415"/>
          </w:tcPr>
          <w:p>
            <w:pPr>
              <w:pStyle w:val="null3"/>
            </w:pPr>
            <w:r>
              <w:rPr/>
              <w:t>40</w:t>
            </w:r>
          </w:p>
        </w:tc>
        <w:tc>
          <w:tcPr>
            <w:tcW w:type="dxa" w:w="5814"/>
          </w:tcPr>
          <w:p>
            <w:pPr>
              <w:pStyle w:val="null3"/>
              <w:spacing w:after="165"/>
              <w:jc w:val="left"/>
            </w:pPr>
            <w:r>
              <w:rPr>
                <w:sz w:val="21"/>
              </w:rPr>
              <w:t>（4）</w:t>
            </w:r>
            <w:r>
              <w:rPr>
                <w:sz w:val="21"/>
              </w:rPr>
              <w:t>数据处理工作站</w:t>
            </w:r>
            <w:r>
              <w:rPr>
                <w:sz w:val="21"/>
              </w:rPr>
              <w:t>≥一套；</w:t>
            </w:r>
          </w:p>
        </w:tc>
      </w:tr>
      <w:tr>
        <w:tc>
          <w:tcPr>
            <w:tcW w:type="dxa" w:w="2076"/>
          </w:tcPr>
          <w:p/>
        </w:tc>
        <w:tc>
          <w:tcPr>
            <w:tcW w:type="dxa" w:w="415"/>
          </w:tcPr>
          <w:p>
            <w:pPr>
              <w:pStyle w:val="null3"/>
            </w:pPr>
            <w:r>
              <w:rPr/>
              <w:t>41</w:t>
            </w:r>
          </w:p>
        </w:tc>
        <w:tc>
          <w:tcPr>
            <w:tcW w:type="dxa" w:w="5814"/>
          </w:tcPr>
          <w:p>
            <w:pPr>
              <w:pStyle w:val="null3"/>
              <w:spacing w:after="165"/>
              <w:jc w:val="left"/>
            </w:pPr>
            <w:r>
              <w:rPr>
                <w:sz w:val="21"/>
              </w:rPr>
              <w:t>（5）</w:t>
            </w:r>
            <w:r>
              <w:rPr>
                <w:sz w:val="21"/>
              </w:rPr>
              <w:t>控制仪器主机软件</w:t>
            </w:r>
            <w:r>
              <w:rPr>
                <w:sz w:val="21"/>
              </w:rPr>
              <w:t>≥一套；</w:t>
            </w:r>
          </w:p>
        </w:tc>
      </w:tr>
      <w:tr>
        <w:tc>
          <w:tcPr>
            <w:tcW w:type="dxa" w:w="2076"/>
          </w:tcPr>
          <w:p/>
        </w:tc>
        <w:tc>
          <w:tcPr>
            <w:tcW w:type="dxa" w:w="415"/>
          </w:tcPr>
          <w:p>
            <w:pPr>
              <w:pStyle w:val="null3"/>
            </w:pPr>
            <w:r>
              <w:rPr/>
              <w:t>42</w:t>
            </w:r>
          </w:p>
        </w:tc>
        <w:tc>
          <w:tcPr>
            <w:tcW w:type="dxa" w:w="5814"/>
          </w:tcPr>
          <w:p>
            <w:pPr>
              <w:pStyle w:val="null3"/>
              <w:spacing w:after="165"/>
              <w:jc w:val="left"/>
            </w:pPr>
            <w:r>
              <w:rPr>
                <w:sz w:val="21"/>
              </w:rPr>
              <w:t>（6）</w:t>
            </w:r>
            <w:r>
              <w:rPr>
                <w:sz w:val="21"/>
              </w:rPr>
              <w:t>数据处理软件</w:t>
            </w:r>
            <w:r>
              <w:rPr>
                <w:sz w:val="21"/>
              </w:rPr>
              <w:t>≥一套；</w:t>
            </w:r>
          </w:p>
        </w:tc>
      </w:tr>
      <w:tr>
        <w:tc>
          <w:tcPr>
            <w:tcW w:type="dxa" w:w="2076"/>
          </w:tcPr>
          <w:p/>
        </w:tc>
        <w:tc>
          <w:tcPr>
            <w:tcW w:type="dxa" w:w="415"/>
          </w:tcPr>
          <w:p>
            <w:pPr>
              <w:pStyle w:val="null3"/>
            </w:pPr>
            <w:r>
              <w:rPr/>
              <w:t>43</w:t>
            </w:r>
          </w:p>
        </w:tc>
        <w:tc>
          <w:tcPr>
            <w:tcW w:type="dxa" w:w="5814"/>
          </w:tcPr>
          <w:p>
            <w:pPr>
              <w:pStyle w:val="null3"/>
              <w:spacing w:after="165"/>
              <w:jc w:val="left"/>
            </w:pPr>
            <w:r>
              <w:rPr>
                <w:sz w:val="21"/>
              </w:rPr>
              <w:t>（7）附件包（含样品管架、清洁工具）≥一套；</w:t>
            </w:r>
          </w:p>
        </w:tc>
      </w:tr>
      <w:tr>
        <w:tc>
          <w:tcPr>
            <w:tcW w:type="dxa" w:w="2076"/>
          </w:tcPr>
          <w:p/>
        </w:tc>
        <w:tc>
          <w:tcPr>
            <w:tcW w:type="dxa" w:w="415"/>
          </w:tcPr>
          <w:p>
            <w:pPr>
              <w:pStyle w:val="null3"/>
            </w:pPr>
            <w:r>
              <w:rPr/>
              <w:t>44</w:t>
            </w:r>
          </w:p>
        </w:tc>
        <w:tc>
          <w:tcPr>
            <w:tcW w:type="dxa" w:w="5814"/>
          </w:tcPr>
          <w:p>
            <w:pPr>
              <w:pStyle w:val="null3"/>
              <w:spacing w:after="165"/>
              <w:jc w:val="left"/>
            </w:pPr>
            <w:r>
              <w:rPr>
                <w:sz w:val="21"/>
              </w:rPr>
              <w:t>（8）UPS≥一套；</w:t>
            </w:r>
          </w:p>
        </w:tc>
      </w:tr>
      <w:tr>
        <w:tc>
          <w:tcPr>
            <w:tcW w:type="dxa" w:w="2076"/>
          </w:tcPr>
          <w:p/>
        </w:tc>
        <w:tc>
          <w:tcPr>
            <w:tcW w:type="dxa" w:w="415"/>
          </w:tcPr>
          <w:p>
            <w:pPr>
              <w:pStyle w:val="null3"/>
            </w:pPr>
            <w:r>
              <w:rPr/>
              <w:t>45</w:t>
            </w:r>
          </w:p>
        </w:tc>
        <w:tc>
          <w:tcPr>
            <w:tcW w:type="dxa" w:w="5814"/>
          </w:tcPr>
          <w:p>
            <w:pPr>
              <w:pStyle w:val="null3"/>
              <w:spacing w:after="165"/>
              <w:jc w:val="left"/>
            </w:pPr>
            <w:r>
              <w:rPr>
                <w:sz w:val="21"/>
              </w:rPr>
              <w:t>（9）</w:t>
            </w:r>
            <w:r>
              <w:rPr>
                <w:sz w:val="21"/>
              </w:rPr>
              <w:t>5mm转子</w:t>
            </w:r>
            <w:r>
              <w:rPr>
                <w:sz w:val="21"/>
              </w:rPr>
              <w:t>≥</w:t>
            </w:r>
            <w:r>
              <w:rPr>
                <w:sz w:val="21"/>
              </w:rPr>
              <w:t>2个；</w:t>
            </w:r>
          </w:p>
        </w:tc>
      </w:tr>
      <w:tr>
        <w:tc>
          <w:tcPr>
            <w:tcW w:type="dxa" w:w="2076"/>
          </w:tcPr>
          <w:p/>
        </w:tc>
        <w:tc>
          <w:tcPr>
            <w:tcW w:type="dxa" w:w="415"/>
          </w:tcPr>
          <w:p>
            <w:pPr>
              <w:pStyle w:val="null3"/>
            </w:pPr>
            <w:r>
              <w:rPr/>
              <w:t>46</w:t>
            </w:r>
          </w:p>
        </w:tc>
        <w:tc>
          <w:tcPr>
            <w:tcW w:type="dxa" w:w="5814"/>
          </w:tcPr>
          <w:p>
            <w:pPr>
              <w:pStyle w:val="null3"/>
              <w:jc w:val="both"/>
            </w:pPr>
            <w:r>
              <w:rPr>
                <w:sz w:val="21"/>
              </w:rPr>
              <w:t>（10）</w:t>
            </w:r>
            <w:r>
              <w:rPr>
                <w:sz w:val="21"/>
              </w:rPr>
              <w:t>核磁管</w:t>
            </w:r>
            <w:r>
              <w:rPr>
                <w:sz w:val="21"/>
              </w:rPr>
              <w:t>≥</w:t>
            </w:r>
            <w:r>
              <w:rPr>
                <w:sz w:val="21"/>
              </w:rPr>
              <w:t>100支。</w:t>
            </w:r>
          </w:p>
        </w:tc>
      </w:tr>
      <w:tr>
        <w:tc>
          <w:tcPr>
            <w:tcW w:type="dxa" w:w="2076"/>
          </w:tcPr>
          <w:p/>
        </w:tc>
        <w:tc>
          <w:tcPr>
            <w:tcW w:type="dxa" w:w="415"/>
          </w:tcPr>
          <w:p>
            <w:pPr>
              <w:pStyle w:val="null3"/>
            </w:pPr>
            <w:r>
              <w:rPr/>
              <w:t>47</w:t>
            </w:r>
          </w:p>
        </w:tc>
        <w:tc>
          <w:tcPr>
            <w:tcW w:type="dxa" w:w="5814"/>
          </w:tcPr>
          <w:p>
            <w:pPr>
              <w:pStyle w:val="null3"/>
              <w:jc w:val="both"/>
            </w:pPr>
            <w:r>
              <w:rPr>
                <w:sz w:val="21"/>
              </w:rPr>
              <w:t>（11）在线监控套件≥</w:t>
            </w:r>
            <w:r>
              <w:rPr>
                <w:sz w:val="21"/>
              </w:rPr>
              <w:t>1套（包含进样泵1个，流通池2个和所需要的接头，在线监控软件等）。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广东省医疗器械质量监督检验所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采购机构代理服务收费标准：各包组中标人须向采购代理机构按如下标准和规定缴纳招标代理服务费： （1）以该包组预算金额作为代理服务费的计算基数； （2）代理服务费采用差额定率累进法进行计算，按照以下标准计取：100万元以下的部分，按照1.5%计取；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广东省医疗器械质量监督检验所仪器设备采购项目十（包1）)：综合评分法,是指投标文件满足招标文件全部实质性要求，且按照评审因素的量化指标评审得分最高的投标人为中标候选人的评标方法。（最低报价不是中标的唯一依据。）</w:t>
      </w:r>
    </w:p>
    <w:p>
      <w:pPr>
        <w:pStyle w:val="null3"/>
      </w:pPr>
      <w:r>
        <w:rPr/>
        <w:t>采购包2(2024年广东省医疗器械质量监督检验所仪器设备采购项目十（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采购包1（2024年广东省医疗器械质量监督检验所仪器设备采购项目十（包1））：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采购包2（2024年广东省医疗器械质量监督检验所仪器设备采购项目十（包2））：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 e)参加政府采购活动的中小企业应当提供《中小企业声明函》，符合残疾人福利性单位认定条件的，应当提供《残疾人福利性单位声明函》（见第五部分投标文件格式）；监狱企业提供监狱企业的证明文件。 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采购包1（2024年广东省医疗器械质量监督检验所仪器设备采购项目十（包1））：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供应商必须具有良好的商业信誉和健全的财务会计制度（提供2022年或2023年年度财务状况报告或基本开户行出具的资信证明）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Pr>
        <w:pStyle w:val="null3"/>
      </w:pPr>
      <w:r>
        <w:rPr/>
        <w:t>采购包2（2024年广东省医疗器械质量监督检验所仪器设备采购项目十（包2））：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供应商必须具有良好的商业信誉和健全的财务会计制度（提供2022年或2023年年度财务状况报告或基本开户行出具的资信证明）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bl>
    <w:p>
      <w:pPr>
        <w:pStyle w:val="null3"/>
        <w:ind w:firstLine="480"/>
      </w:pPr>
      <w:r>
        <w:rPr/>
        <w:t>表二符合性审查表：</w:t>
      </w:r>
    </w:p>
    <w:p>
      <w:pPr>
        <w:pStyle w:val="null3"/>
      </w:pPr>
      <w:r>
        <w:rPr/>
        <w:t>采购包1（2024年广东省医疗器械质量监督检验所仪器设备采购项目十（包1））：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采购包2（2024年广东省医疗器械质量监督检验所仪器设备采购项目十（包2））：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采购包1(2024年广东省医疗器械质量监督检验所仪器设备采购项目十（包1）):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▲条款响应情况 (18.0分)</w:t>
            </w:r>
          </w:p>
        </w:tc>
        <w:tc>
          <w:tcPr>
            <w:tcW w:type="dxa" w:w="5076"/>
          </w:tcPr>
          <w:p>
            <w:pPr>
              <w:pStyle w:val="null3"/>
              <w:jc w:val="left"/>
            </w:pPr>
            <w:r>
              <w:rPr/>
              <w:t>根据招标文件该包组的技术参数要求与投标文件的响应程度进行评审，带“▲”项（共6项）完全满足要求的得18分，每负偏离1项扣3分，扣完为止。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pStyle w:val="null3"/>
              <w:jc w:val="left"/>
            </w:pPr>
            <w:r>
              <w:rPr/>
              <w:t>一般技术条款 (20.0分)</w:t>
            </w:r>
          </w:p>
        </w:tc>
        <w:tc>
          <w:tcPr>
            <w:tcW w:type="dxa" w:w="5076"/>
          </w:tcPr>
          <w:p>
            <w:pPr>
              <w:pStyle w:val="null3"/>
              <w:jc w:val="left"/>
            </w:pPr>
            <w:r>
              <w:rPr/>
              <w:t>投标人所投产品技术参数全部满足该采购包采购需求附表一的“具体技术(参数)要求”情况中的一般技术参数要求的（不含带“▲”及“★”条款），得20分；一般技术参数负偏离总数≤10项的，每负偏离1项扣1分，一般技术参数负偏离总数&gt;10项的，扣分10+（负偏离总数-10）/（不带“▲”及“★”要求的一般技术参数总数-10）×10分，结果四舍五入保留两位小数。（本采购包共59条一般技术参数）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pStyle w:val="null3"/>
              <w:jc w:val="left"/>
            </w:pPr>
            <w:r>
              <w:rPr/>
              <w:t>技术服务及安装实施方案 (8.0分)</w:t>
            </w:r>
            <w:r>
              <w:rPr/>
              <w:t>，（等次分值选择：</w:t>
            </w:r>
            <w:r>
              <w:rPr/>
              <w:t>0.0;</w:t>
            </w:r>
            <w:r>
              <w:rPr/>
              <w:t>2.0;</w:t>
            </w:r>
            <w:r>
              <w:rPr/>
              <w:t>5.0;</w:t>
            </w:r>
            <w:r>
              <w:rPr/>
              <w:t>8.0;</w:t>
            </w:r>
            <w:r>
              <w:rPr/>
              <w:t>）</w:t>
            </w:r>
          </w:p>
        </w:tc>
        <w:tc>
          <w:tcPr>
            <w:tcW w:type="dxa" w:w="5076"/>
          </w:tcPr>
          <w:p>
            <w:pPr>
              <w:pStyle w:val="null3"/>
              <w:jc w:val="left"/>
            </w:pPr>
            <w:r>
              <w:rPr/>
              <w:t>根据投标人提供的技术服务及安装实施方案（包括但不限于供货时间安排，安装部署、调试，服务响应时间等）进行评审： 方案详细具体，可行性高、可操作性强，各时间进度安排合理，得8分； 方案较详细具体，可行性较高、可操作性较强，各时间进度安排较合理，得5分； 方案基本详细具体，可行性欠缺、可操作性欠缺，各时间进度安排基本合理，得2分； 不提供不得分。</w:t>
            </w:r>
          </w:p>
        </w:tc>
      </w:tr>
      <w:tr>
        <w:tc>
          <w:tcPr>
            <w:tcW w:type="dxa" w:w="922"/>
            <w:gridSpan w:val="2"/>
            <w:vMerge/>
          </w:tcPr>
          <w:p/>
        </w:tc>
        <w:tc>
          <w:tcPr>
            <w:tcW w:type="dxa" w:w="2307"/>
          </w:tcPr>
          <w:p>
            <w:pPr>
              <w:pStyle w:val="null3"/>
              <w:jc w:val="left"/>
            </w:pPr>
            <w:r>
              <w:rPr/>
              <w:t>质量保障措施方案 (8.0分)</w:t>
            </w:r>
            <w:r>
              <w:rPr/>
              <w:t>，（等次分值选择：</w:t>
            </w:r>
            <w:r>
              <w:rPr/>
              <w:t>0.0;</w:t>
            </w:r>
            <w:r>
              <w:rPr/>
              <w:t>2.0;</w:t>
            </w:r>
            <w:r>
              <w:rPr/>
              <w:t>5.0;</w:t>
            </w:r>
            <w:r>
              <w:rPr/>
              <w:t>8.0;</w:t>
            </w:r>
            <w:r>
              <w:rPr/>
              <w:t>）</w:t>
            </w:r>
          </w:p>
        </w:tc>
        <w:tc>
          <w:tcPr>
            <w:tcW w:type="dxa" w:w="5076"/>
          </w:tcPr>
          <w:p>
            <w:pPr>
              <w:pStyle w:val="null3"/>
              <w:jc w:val="left"/>
            </w:pPr>
            <w:r>
              <w:rPr/>
              <w:t>根据投标人提供的质量保障措施方案（包括但不限于运输方案，货物来源等）进行评审： 方案详细具体，可行性高、可操作性强，得8分； 方案较详细具体，可行性较高、可操作性较强，得5分； 方案基本详细具体，可行性欠缺、可操作性欠缺，得2分； 不提供不得分。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4.0;</w:t>
            </w:r>
            <w:r>
              <w:rPr/>
              <w:t>6.0;</w:t>
            </w:r>
            <w:r>
              <w:rPr/>
              <w:t>）</w:t>
            </w:r>
          </w:p>
        </w:tc>
        <w:tc>
          <w:tcPr>
            <w:tcW w:type="dxa" w:w="5076"/>
          </w:tcPr>
          <w:p>
            <w:pPr>
              <w:pStyle w:val="null3"/>
              <w:jc w:val="left"/>
            </w:pPr>
            <w:r>
              <w:rPr/>
              <w:t>售后服务方案针对①质保期及保养方案；②应急维修时间安排；③质保期满后的承诺；④其它服务承诺等。 售后服务方案较为详细，科学合理，得6分； 售后服务方案基本完善，基本科学合理，得4分； 售后服务方案不够完善，得2分。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投标人提供自2020年1月1日至今的同类项目业绩，每提供一项得1分，最高5分。 注：需提供合同复印件,以合同的签订日期为准，不提供不得分。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2020年1月1日至今的项目业绩(须为上述“同类项目业绩”中有效计分的业绩)。获得项目用户考核评价为正面评价（如优秀、优良、良好、满意或相当于类似评价或评价分值在90分以上)。每份得1分，本项最高得5分。 注：提供甲方或甲方项目主管部门盖章的评价文件复印件，不提供不得分。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采购包2(2024年广东省医疗器械质量监督检验所仪器设备采购项目十（包2）):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▲条款响应情况 (21.0分)</w:t>
            </w:r>
          </w:p>
        </w:tc>
        <w:tc>
          <w:tcPr>
            <w:tcW w:type="dxa" w:w="5076"/>
          </w:tcPr>
          <w:p>
            <w:pPr>
              <w:pStyle w:val="null3"/>
              <w:jc w:val="left"/>
            </w:pPr>
            <w:r>
              <w:rPr/>
              <w:t>根据招标文件该包组的技术参数要求与投标文件的响应程度进行评审，带“▲”项（共14项）完全满足要求的得21分。每负偏离1项扣1.5分，扣完为止。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pStyle w:val="null3"/>
              <w:jc w:val="left"/>
            </w:pPr>
            <w:r>
              <w:rPr/>
              <w:t>一般技术条款 (16.0分)</w:t>
            </w:r>
          </w:p>
        </w:tc>
        <w:tc>
          <w:tcPr>
            <w:tcW w:type="dxa" w:w="5076"/>
          </w:tcPr>
          <w:p>
            <w:pPr>
              <w:pStyle w:val="null3"/>
              <w:jc w:val="left"/>
            </w:pPr>
            <w:r>
              <w:rPr/>
              <w:t>投标人所投产品技术参数全部满足该采购包采购需求附表一、附表二的“具体技术(参数)要求”情况中的一般技术参数要求的（不含带“▲”及“★”条款），得16分；一般技术参数负偏离总数≤10项的，每负偏离1项扣0.8分，一般技术参数负偏离总数&gt;10项的，扣分8+（负偏离总数-10）/（不带“▲”及“★”要求的一般技术参数总数-10）×8分，结果四舍五入保留两位小数。（本采购包共100条一般技术参数） 注：如招标文件中有明确提供的证明资料的，则以招标文件中要求的为准，无或未按要求提供证明材料的不得分；如招标文件中无明确提供的证明资料，以投标人须提供投标产品彩页或相应技术参数的厂家技术白皮书或使用说明书或质量认可材料或第三方机构出具的检测报告等作为技术证明文件，否则评标委员会有权视相应技术参数响应为负偏离，不提供或资料不全的均不得分。</w:t>
            </w:r>
          </w:p>
        </w:tc>
      </w:tr>
      <w:tr>
        <w:tc>
          <w:tcPr>
            <w:tcW w:type="dxa" w:w="922"/>
            <w:gridSpan w:val="2"/>
            <w:vMerge/>
          </w:tcPr>
          <w:p/>
        </w:tc>
        <w:tc>
          <w:tcPr>
            <w:tcW w:type="dxa" w:w="2307"/>
          </w:tcPr>
          <w:p>
            <w:pPr>
              <w:pStyle w:val="null3"/>
              <w:jc w:val="left"/>
            </w:pPr>
            <w:r>
              <w:rPr/>
              <w:t>技术服务及安装实施方案 (8.0分)</w:t>
            </w:r>
            <w:r>
              <w:rPr/>
              <w:t>，（等次分值选择：</w:t>
            </w:r>
            <w:r>
              <w:rPr/>
              <w:t>0.0;</w:t>
            </w:r>
            <w:r>
              <w:rPr/>
              <w:t>2.0;</w:t>
            </w:r>
            <w:r>
              <w:rPr/>
              <w:t>5.0;</w:t>
            </w:r>
            <w:r>
              <w:rPr/>
              <w:t>8.0;</w:t>
            </w:r>
            <w:r>
              <w:rPr/>
              <w:t>）</w:t>
            </w:r>
          </w:p>
        </w:tc>
        <w:tc>
          <w:tcPr>
            <w:tcW w:type="dxa" w:w="5076"/>
          </w:tcPr>
          <w:p>
            <w:pPr>
              <w:pStyle w:val="null3"/>
              <w:jc w:val="left"/>
            </w:pPr>
            <w:r>
              <w:rPr/>
              <w:t>根据投标人提供的技术服务及安装实施方案（包括但不限于供货时间安排，安装部署、调试，服务响应时间等）进行评审： 方案详细具体，可行性高、可操作性强，各时间进度安排合理，得8分； 方案较详细具体，可行性较高、可操作性较强，各时间进度安排较合理，得5分； 方案基本详细具体，可行性欠缺、可操作性欠缺，各时间进度安排基本合理，得2分； 不提供不得分。</w:t>
            </w:r>
          </w:p>
        </w:tc>
      </w:tr>
      <w:tr>
        <w:tc>
          <w:tcPr>
            <w:tcW w:type="dxa" w:w="922"/>
            <w:gridSpan w:val="2"/>
            <w:vMerge/>
          </w:tcPr>
          <w:p/>
        </w:tc>
        <w:tc>
          <w:tcPr>
            <w:tcW w:type="dxa" w:w="2307"/>
          </w:tcPr>
          <w:p>
            <w:pPr>
              <w:pStyle w:val="null3"/>
              <w:jc w:val="left"/>
            </w:pPr>
            <w:r>
              <w:rPr/>
              <w:t>质量保障措施方案 (9.0分)</w:t>
            </w:r>
            <w:r>
              <w:rPr/>
              <w:t>，（等次分值选择：</w:t>
            </w:r>
            <w:r>
              <w:rPr/>
              <w:t>0.0;</w:t>
            </w:r>
            <w:r>
              <w:rPr/>
              <w:t>3.0;</w:t>
            </w:r>
            <w:r>
              <w:rPr/>
              <w:t>6.0;</w:t>
            </w:r>
            <w:r>
              <w:rPr/>
              <w:t>9.0;</w:t>
            </w:r>
            <w:r>
              <w:rPr/>
              <w:t>）</w:t>
            </w:r>
          </w:p>
        </w:tc>
        <w:tc>
          <w:tcPr>
            <w:tcW w:type="dxa" w:w="5076"/>
          </w:tcPr>
          <w:p>
            <w:pPr>
              <w:pStyle w:val="null3"/>
              <w:jc w:val="left"/>
            </w:pPr>
            <w:r>
              <w:rPr/>
              <w:t>根据投标人提供的质量保障措施方案（包括但不限于运输方案，货物来源等）进行评审： 方案详细具体，可行性高、可操作性强，得9分； 方案较详细具体，可行性较高、可操作性较强，得6分； 方案基本详细具体，可行性欠缺、可操作性欠缺，得3分； 不提供不得分。</w:t>
            </w:r>
          </w:p>
        </w:tc>
      </w:tr>
      <w:tr>
        <w:tc>
          <w:tcPr>
            <w:tcW w:type="dxa" w:w="922"/>
            <w:gridSpan w:val="2"/>
            <w:vMerge/>
          </w:tcPr>
          <w:p/>
        </w:tc>
        <w:tc>
          <w:tcPr>
            <w:tcW w:type="dxa" w:w="2307"/>
          </w:tcPr>
          <w:p>
            <w:pPr>
              <w:pStyle w:val="null3"/>
              <w:jc w:val="left"/>
            </w:pPr>
            <w:r>
              <w:rPr/>
              <w:t>售后服务方案 (6.0分)</w:t>
            </w:r>
            <w:r>
              <w:rPr/>
              <w:t>，（等次分值选择：</w:t>
            </w:r>
            <w:r>
              <w:rPr/>
              <w:t>0.0;</w:t>
            </w:r>
            <w:r>
              <w:rPr/>
              <w:t>2.0;</w:t>
            </w:r>
            <w:r>
              <w:rPr/>
              <w:t>4.0;</w:t>
            </w:r>
            <w:r>
              <w:rPr/>
              <w:t>6.0;</w:t>
            </w:r>
            <w:r>
              <w:rPr/>
              <w:t>）</w:t>
            </w:r>
          </w:p>
        </w:tc>
        <w:tc>
          <w:tcPr>
            <w:tcW w:type="dxa" w:w="5076"/>
          </w:tcPr>
          <w:p>
            <w:pPr>
              <w:pStyle w:val="null3"/>
              <w:jc w:val="left"/>
            </w:pPr>
            <w:r>
              <w:rPr/>
              <w:t>售后服务方案针对①质保期及保养方案；②应急维修时间安排；③质保期满后的承诺；④其它服务承诺等。 售后服务方案较为详细，科学合理，得6分； 售后服务方案基本完善，基本科学合理，得4分； 售后服务方案不够完善，得2分。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投标人提供自2020年1月1日至今的同类项目业绩，每提供一项得1分，最高5分。 注：需提供合同复印件,以合同的签订日期为准，不提供不得分。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2020年1月1日至今的项目业绩(须为上述“同类项目业绩”中有效计分的业绩)。获得项目用户考核评价为正面评价（如优秀、优良、良好、满意或相当于类似评价或评价分值在90分以上)。每份得1分，本项最高得5分。 注：提供甲方或甲方项目主管部门盖章的评价文件复印件，不提供不得分。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广东省政府采购项目</w:t>
      </w:r>
    </w:p>
    <w:p>
      <w:pPr>
        <w:pStyle w:val="null3"/>
        <w:jc w:val="center"/>
      </w:pPr>
      <w:r>
        <w:rPr>
          <w:sz w:val="72"/>
          <w:b/>
        </w:rPr>
        <w:t>合</w:t>
      </w:r>
      <w:r>
        <w:rPr>
          <w:sz w:val="72"/>
          <w:b/>
        </w:rPr>
        <w:t>同</w:t>
      </w:r>
      <w:r>
        <w:rPr>
          <w:sz w:val="72"/>
          <w:b/>
        </w:rPr>
        <w:t>书</w:t>
      </w:r>
    </w:p>
    <w:p>
      <w:pPr>
        <w:pStyle w:val="null3"/>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u w:val="single"/>
              </w:rPr>
              <w:t xml:space="preserve"> </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21"/>
                <w:b/>
                <w:u w:val="single"/>
              </w:rPr>
              <w:t xml:space="preserve">                                  </w:t>
            </w:r>
            <w:r>
              <w:rPr>
                <w:sz w:val="21"/>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合同编号：</w:t>
            </w:r>
            <w:r>
              <w:rPr>
                <w:sz w:val="24"/>
                <w:b/>
              </w:rPr>
              <w:t>GDMDT-20</w:t>
            </w:r>
            <w:r>
              <w:rPr>
                <w:sz w:val="24"/>
                <w:b/>
              </w:rPr>
              <w:t>24-</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签约地点：</w:t>
            </w:r>
            <w:r>
              <w:rPr>
                <w:sz w:val="21"/>
                <w:b/>
                <w:u w:val="single"/>
              </w:rPr>
              <w:t xml:space="preserve">               </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签订日期：</w:t>
            </w:r>
            <w:r>
              <w:rPr>
                <w:sz w:val="24"/>
                <w:b/>
                <w:u w:val="single"/>
              </w:rPr>
              <w:t>2024年    月    日</w:t>
            </w:r>
          </w:p>
        </w:tc>
      </w:tr>
    </w:tbl>
    <w:p>
      <w:pPr>
        <w:pStyle w:val="null3"/>
        <w:jc w:val="both"/>
      </w:pPr>
      <w:r>
        <w:rPr>
          <w:sz w:val="21"/>
          <w:u w:val="single"/>
        </w:rPr>
        <w:t>广东省医疗器械质量监督检验所</w:t>
      </w:r>
      <w:r>
        <w:rPr>
          <w:sz w:val="21"/>
        </w:rPr>
        <w:t>（以下简称买方）与</w:t>
      </w:r>
      <w:r>
        <w:rPr>
          <w:u w:val="single"/>
        </w:rPr>
        <w:t xml:space="preserve">  </w:t>
      </w:r>
      <w:r>
        <w:rPr>
          <w:u w:val="single"/>
        </w:rPr>
        <w:t xml:space="preserve">               </w:t>
      </w:r>
      <w:r>
        <w:rPr>
          <w:sz w:val="21"/>
        </w:rPr>
        <w:t>（以下简称卖方）就卖方向买方提供</w:t>
      </w:r>
      <w:r>
        <w:rPr>
          <w:u w:val="single"/>
        </w:rPr>
        <w:t xml:space="preserve"> </w:t>
      </w:r>
      <w:r>
        <w:rPr>
          <w:u w:val="single"/>
        </w:rPr>
        <w:t xml:space="preserve">                        </w:t>
      </w:r>
      <w:r>
        <w:rPr>
          <w:sz w:val="21"/>
        </w:rPr>
        <w:t>的供货及相关服务，按照《中华人民共和国政府采购法》、《中华人民共和国民法典》的规定，经买卖双方协商一致，签订本合同，共同遵守如下条款：</w:t>
      </w:r>
    </w:p>
    <w:p>
      <w:pPr>
        <w:pStyle w:val="null3"/>
      </w:pPr>
      <w:r>
        <w:rPr/>
        <w:t xml:space="preserve"> </w:t>
      </w:r>
    </w:p>
    <w:p>
      <w:pPr>
        <w:pStyle w:val="null3"/>
        <w:ind w:left="360"/>
        <w:jc w:val="both"/>
      </w:pPr>
      <w:r>
        <w:rPr>
          <w:sz w:val="21"/>
          <w:b/>
        </w:rPr>
        <w:t>一、合同标的</w:t>
      </w:r>
    </w:p>
    <w:p>
      <w:pPr>
        <w:pStyle w:val="null3"/>
        <w:ind w:left="315"/>
        <w:jc w:val="both"/>
      </w:pPr>
      <w:r>
        <w:rPr>
          <w:sz w:val="21"/>
        </w:rPr>
        <w:t>1. 本合同标的为</w:t>
      </w:r>
      <w:r>
        <w:rPr>
          <w:sz w:val="21"/>
          <w:u w:val="single"/>
        </w:rPr>
        <w:t xml:space="preserve"> </w:t>
      </w:r>
      <w:r>
        <w:rPr>
          <w:sz w:val="21"/>
          <w:u w:val="single"/>
        </w:rPr>
        <w:t xml:space="preserve">                      </w:t>
      </w:r>
      <w:r>
        <w:rPr>
          <w:sz w:val="21"/>
        </w:rPr>
        <w:t>，采购编号：</w:t>
      </w:r>
      <w:r>
        <w:rPr>
          <w:sz w:val="21"/>
          <w:u w:val="single"/>
        </w:rPr>
        <w:t xml:space="preserve"> </w:t>
      </w:r>
      <w:r>
        <w:rPr>
          <w:sz w:val="21"/>
          <w:u w:val="single"/>
        </w:rPr>
        <w:t xml:space="preserve">       </w:t>
      </w:r>
      <w:r>
        <w:rPr>
          <w:sz w:val="21"/>
        </w:rPr>
        <w:t>，包括设计、供货货物、运送、储存、安装、随机零配件、标配工具、运输保险、调试、计量、系统集成、试运行、培训、验收、技术服务（包括技术资料、图纸的提供）、质保期保障、劳务支出、各项税费、利润及合同实施过程中不可预见费用等的全部内容。具体供货货物名称、型号、品牌、数量、单价等详见</w:t>
      </w:r>
      <w:r>
        <w:rPr>
          <w:sz w:val="21"/>
        </w:rPr>
        <w:t>“附件1：货物清单及金额”。具体的技术参数、配件清单及计量要求或验收方法详见“附件2：技术参数表”。</w:t>
      </w:r>
    </w:p>
    <w:p>
      <w:pPr>
        <w:pStyle w:val="null3"/>
        <w:ind w:left="315"/>
        <w:jc w:val="both"/>
      </w:pPr>
      <w:r>
        <w:rPr>
          <w:sz w:val="21"/>
        </w:rPr>
        <w:t>2. 货物名称内容必须与投标文件中货物名称内容一致。卖方应对本合同项下其承担的全部工作实施有效管理，以确保合同内容能顺利地按时、按质完成。</w:t>
      </w:r>
    </w:p>
    <w:p>
      <w:pPr>
        <w:pStyle w:val="null3"/>
        <w:ind w:left="315"/>
        <w:jc w:val="both"/>
      </w:pPr>
      <w:r>
        <w:rPr>
          <w:sz w:val="21"/>
        </w:rPr>
        <w:t>3. 交货期：自合同签订之日起</w:t>
      </w:r>
      <w:r>
        <w:rPr>
          <w:sz w:val="21"/>
          <w:u w:val="single"/>
        </w:rPr>
        <w:t xml:space="preserve">  </w:t>
      </w:r>
      <w:r>
        <w:rPr>
          <w:sz w:val="21"/>
          <w:u w:val="single"/>
        </w:rPr>
        <w:t xml:space="preserve"> </w:t>
      </w:r>
      <w:r>
        <w:rPr>
          <w:sz w:val="21"/>
        </w:rPr>
        <w:t>个日历天内交货，货物到货后</w:t>
      </w:r>
      <w:r>
        <w:rPr>
          <w:sz w:val="21"/>
          <w:u w:val="single"/>
        </w:rPr>
        <w:t xml:space="preserve"> </w:t>
      </w:r>
      <w:r>
        <w:rPr>
          <w:sz w:val="21"/>
          <w:u w:val="single"/>
        </w:rPr>
        <w:t xml:space="preserve">  </w:t>
      </w:r>
      <w:r>
        <w:rPr>
          <w:sz w:val="21"/>
          <w:u w:val="single"/>
        </w:rPr>
        <w:t xml:space="preserve"> </w:t>
      </w:r>
      <w:r>
        <w:rPr>
          <w:sz w:val="21"/>
        </w:rPr>
        <w:t>个日历天内安装完成并通过买方验收和法定计量部门计量检定。</w:t>
      </w:r>
    </w:p>
    <w:p>
      <w:pPr>
        <w:pStyle w:val="null3"/>
        <w:ind w:left="285"/>
        <w:jc w:val="both"/>
      </w:pPr>
      <w:r>
        <w:rPr>
          <w:sz w:val="21"/>
          <w:b/>
        </w:rPr>
        <w:t>二、价格</w:t>
      </w:r>
    </w:p>
    <w:p>
      <w:pPr>
        <w:pStyle w:val="null3"/>
        <w:ind w:left="315"/>
        <w:jc w:val="both"/>
      </w:pPr>
      <w:r>
        <w:rPr>
          <w:sz w:val="21"/>
        </w:rPr>
        <w:t>1. 合同总价：人民币（大写）</w:t>
      </w:r>
      <w:r>
        <w:rPr>
          <w:sz w:val="21"/>
          <w:u w:val="single"/>
        </w:rPr>
        <w:t xml:space="preserve"> </w:t>
      </w:r>
      <w:r>
        <w:rPr>
          <w:sz w:val="21"/>
          <w:u w:val="single"/>
        </w:rPr>
        <w:t xml:space="preserve">        </w:t>
      </w:r>
      <w:r>
        <w:rPr>
          <w:sz w:val="21"/>
          <w:u w:val="single"/>
        </w:rPr>
        <w:t>元（</w:t>
      </w:r>
      <w:r>
        <w:rPr>
          <w:sz w:val="21"/>
          <w:u w:val="single"/>
        </w:rPr>
        <w:t>￥</w:t>
      </w:r>
      <w:r>
        <w:rPr>
          <w:sz w:val="21"/>
          <w:u w:val="single"/>
        </w:rPr>
        <w:t xml:space="preserve">                 </w:t>
      </w:r>
      <w:r>
        <w:rPr>
          <w:sz w:val="21"/>
          <w:u w:val="single"/>
        </w:rPr>
        <w:t xml:space="preserve"> </w:t>
      </w:r>
      <w:r>
        <w:rPr>
          <w:sz w:val="21"/>
          <w:u w:val="single"/>
        </w:rPr>
        <w:t>）</w:t>
      </w:r>
      <w:r>
        <w:rPr>
          <w:sz w:val="21"/>
        </w:rPr>
        <w:t>。</w:t>
      </w:r>
    </w:p>
    <w:p>
      <w:pPr>
        <w:pStyle w:val="null3"/>
        <w:ind w:left="315"/>
        <w:jc w:val="both"/>
      </w:pPr>
      <w:r>
        <w:rPr>
          <w:sz w:val="21"/>
        </w:rPr>
        <w:t>2. 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p>
      <w:pPr>
        <w:pStyle w:val="null3"/>
        <w:ind w:left="315"/>
        <w:jc w:val="both"/>
      </w:pPr>
      <w:r>
        <w:rPr>
          <w:sz w:val="21"/>
        </w:rPr>
        <w:t>3. 本合同货物单价为固定不变价。</w:t>
      </w:r>
    </w:p>
    <w:p>
      <w:pPr>
        <w:pStyle w:val="null3"/>
        <w:ind w:left="315"/>
        <w:jc w:val="both"/>
      </w:pPr>
      <w:r>
        <w:rPr>
          <w:sz w:val="21"/>
        </w:rPr>
        <w:t>4. 如果货物单价和数量的乘积与总价不一致时，以商品单价和数量的乘积为准并修正总价。</w:t>
      </w:r>
    </w:p>
    <w:p>
      <w:pPr>
        <w:pStyle w:val="null3"/>
        <w:ind w:left="360"/>
        <w:jc w:val="both"/>
      </w:pPr>
      <w:r>
        <w:rPr>
          <w:sz w:val="21"/>
          <w:b/>
        </w:rPr>
        <w:t>三、货物产地及标准</w:t>
      </w:r>
    </w:p>
    <w:p>
      <w:pPr>
        <w:pStyle w:val="null3"/>
        <w:ind w:left="315"/>
        <w:jc w:val="both"/>
      </w:pPr>
      <w:r>
        <w:rPr>
          <w:sz w:val="21"/>
        </w:rPr>
        <w:t>1. 货物为原制造商制造的全新产品，整机无污染，无侵权行为、表面无划损、无任何缺陷隐患（包括但不限于设计、材料或工艺上的缺陷，或者因</w:t>
      </w:r>
      <w:r>
        <w:rPr>
          <w:sz w:val="21"/>
        </w:rPr>
        <w:t>乙方</w:t>
      </w:r>
      <w:r>
        <w:rPr>
          <w:sz w:val="21"/>
        </w:rPr>
        <w:t>的行为或疏忽而产生的缺陷），在中国境内可以常规安全合法使用。进口产品必须具备原产地证明和商检局的检验证明及合法进货渠道证明。货物为原厂商未启封全新包装，具出厂合格证，序列号、包装箱号与出厂批号一致，并可追索查阅。</w:t>
      </w:r>
    </w:p>
    <w:p>
      <w:pPr>
        <w:pStyle w:val="null3"/>
        <w:ind w:left="315"/>
        <w:jc w:val="both"/>
      </w:pPr>
      <w:r>
        <w:rPr>
          <w:sz w:val="21"/>
        </w:rPr>
        <w:t>2</w:t>
      </w:r>
      <w:r>
        <w:rPr>
          <w:sz w:val="21"/>
        </w:rPr>
        <w:t>. 标准：本合同所指的货物及服务应符合合同附件的技术规格所述的标准(参见附件2：技术参数表)。如果没有提及适用标准，则应符合中华人民共和国国家标准或买方认可的行业标准；如果中华人民共和国没有相关标准的，则采用货物来源国适用的官方标准。这些标准必须是有关机构发布的最新版本的标准。</w:t>
      </w:r>
    </w:p>
    <w:p>
      <w:pPr>
        <w:pStyle w:val="null3"/>
        <w:ind w:left="360"/>
        <w:jc w:val="both"/>
      </w:pPr>
      <w:r>
        <w:rPr>
          <w:sz w:val="21"/>
          <w:b/>
        </w:rPr>
        <w:t>四、交货、安装、验收的时间、地点</w:t>
      </w:r>
    </w:p>
    <w:p>
      <w:pPr>
        <w:pStyle w:val="null3"/>
        <w:ind w:left="315"/>
        <w:jc w:val="both"/>
      </w:pPr>
      <w:r>
        <w:rPr>
          <w:sz w:val="21"/>
        </w:rPr>
        <w:t>1. 交货及安装地点：由卖方送货至</w:t>
      </w:r>
      <w:r>
        <w:rPr>
          <w:sz w:val="21"/>
          <w:u w:val="single"/>
        </w:rPr>
        <w:t>买方指定地点（具体送货地址）</w:t>
      </w:r>
      <w:r>
        <w:rPr>
          <w:sz w:val="21"/>
          <w:u w:val="single"/>
        </w:rPr>
        <w:t xml:space="preserve">  </w:t>
      </w:r>
    </w:p>
    <w:p>
      <w:pPr>
        <w:pStyle w:val="null3"/>
        <w:ind w:left="315"/>
        <w:jc w:val="both"/>
      </w:pPr>
      <w:r>
        <w:rPr>
          <w:sz w:val="21"/>
        </w:rPr>
        <w:t>2. 安装、验收时间安排如下：安装场地条件满足的情况下，交货后</w:t>
      </w:r>
      <w:r>
        <w:rPr>
          <w:sz w:val="21"/>
          <w:u w:val="single"/>
        </w:rPr>
        <w:t xml:space="preserve"> </w:t>
      </w:r>
      <w:r>
        <w:rPr>
          <w:sz w:val="21"/>
          <w:u w:val="single"/>
        </w:rPr>
        <w:t xml:space="preserve">    </w:t>
      </w:r>
      <w:r>
        <w:rPr>
          <w:sz w:val="21"/>
        </w:rPr>
        <w:t>个日历天内完成安装、验收；</w:t>
      </w:r>
    </w:p>
    <w:p>
      <w:pPr>
        <w:pStyle w:val="null3"/>
        <w:ind w:left="315"/>
        <w:jc w:val="both"/>
      </w:pPr>
      <w:r>
        <w:rPr>
          <w:sz w:val="21"/>
        </w:rPr>
        <w:t>3. 卖方按时完成合同内容所有货品的供货工作及完成验收，并按“附件3：合同资料表”规定通报买方。</w:t>
      </w:r>
    </w:p>
    <w:p>
      <w:pPr>
        <w:pStyle w:val="null3"/>
        <w:ind w:left="360"/>
        <w:jc w:val="both"/>
      </w:pPr>
      <w:r>
        <w:rPr>
          <w:sz w:val="21"/>
          <w:b/>
        </w:rPr>
        <w:t>五、保密</w:t>
      </w:r>
    </w:p>
    <w:p>
      <w:pPr>
        <w:pStyle w:val="null3"/>
        <w:ind w:left="315"/>
        <w:jc w:val="both"/>
      </w:pPr>
      <w:r>
        <w:rPr>
          <w:sz w:val="21"/>
        </w:rPr>
        <w:t>1. 未经买方事先书面同意，卖方不得将由买方为本合同提供的一切信息（包含但不限于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315"/>
        <w:jc w:val="both"/>
      </w:pPr>
      <w:r>
        <w:rPr>
          <w:sz w:val="21"/>
        </w:rPr>
        <w:t>2. 除了合同本身之外，上款所列举的任何物件均是买方的财产。如果买方有要求，卖方在完成合同时应将这些物件及全部复制件还给买方。</w:t>
      </w:r>
    </w:p>
    <w:p>
      <w:pPr>
        <w:pStyle w:val="null3"/>
        <w:ind w:left="360"/>
        <w:jc w:val="both"/>
      </w:pPr>
      <w:r>
        <w:rPr>
          <w:sz w:val="21"/>
          <w:b/>
        </w:rPr>
        <w:t>六、技术文件</w:t>
      </w:r>
    </w:p>
    <w:p>
      <w:pPr>
        <w:pStyle w:val="null3"/>
        <w:ind w:left="315"/>
        <w:jc w:val="both"/>
      </w:pPr>
      <w:r>
        <w:rPr>
          <w:sz w:val="21"/>
        </w:rPr>
        <w:t>1. 卖方应在供货同时向买方提供所有有关本合同执行的技术文件。卖方应将关键主机设备的用户手册、保修手册、有关单证资料及配备件、随机工具等交付给买方，使用操作及安全须知等重要资料应附有说明。如果项目必需但合同又未作规定的要卖方才能提供的技术文件，卖方也应及时向买方提供。技术文件可以是手册、图纸或其他形式的文件资料。</w:t>
      </w:r>
    </w:p>
    <w:p>
      <w:pPr>
        <w:pStyle w:val="null3"/>
        <w:ind w:left="315"/>
        <w:jc w:val="both"/>
      </w:pPr>
      <w:r>
        <w:rPr>
          <w:sz w:val="21"/>
        </w:rPr>
        <w:t>2. 上述技术文件应包含保证买方能够正确进行安装、操作、检查、维修、维护、测试、调试、验收和运作所需要的所有内容。</w:t>
      </w:r>
    </w:p>
    <w:p>
      <w:pPr>
        <w:pStyle w:val="null3"/>
        <w:ind w:left="315"/>
        <w:jc w:val="both"/>
      </w:pPr>
      <w:r>
        <w:rPr>
          <w:sz w:val="21"/>
        </w:rPr>
        <w:t>3. 买方完全按照技术文件的指导进行的任何安装、操作、检查维修、维护、测试、调试、验收所引起的系统和/或货物或其部件的损坏由卖方承担责任。</w:t>
      </w:r>
    </w:p>
    <w:p>
      <w:pPr>
        <w:pStyle w:val="null3"/>
        <w:ind w:left="315"/>
        <w:jc w:val="both"/>
      </w:pPr>
      <w:r>
        <w:rPr>
          <w:sz w:val="21"/>
        </w:rPr>
        <w:t>4. 卖方应按照买方的要求提供上述技术文件给买方。</w:t>
      </w:r>
    </w:p>
    <w:p>
      <w:pPr>
        <w:pStyle w:val="null3"/>
        <w:ind w:left="315"/>
        <w:jc w:val="both"/>
      </w:pPr>
      <w:r>
        <w:rPr>
          <w:sz w:val="21"/>
        </w:rPr>
        <w:t>5. 所有卖方提供的技术文件的全部费用已包含在合同货物价格中。</w:t>
      </w:r>
    </w:p>
    <w:p>
      <w:pPr>
        <w:pStyle w:val="null3"/>
        <w:ind w:left="315"/>
        <w:jc w:val="both"/>
      </w:pPr>
      <w:r>
        <w:rPr>
          <w:sz w:val="21"/>
        </w:rPr>
        <w:t>6. 所有未列明交付时间的卖方应提供的技术文件，必须单独包装伴随货物按货物交付时间交付给买方。</w:t>
      </w:r>
    </w:p>
    <w:p>
      <w:pPr>
        <w:pStyle w:val="null3"/>
        <w:ind w:left="315"/>
        <w:jc w:val="both"/>
      </w:pPr>
      <w:r>
        <w:rPr>
          <w:sz w:val="21"/>
        </w:rPr>
        <w:t>7. 交货后买方如发现卖方未提供有关文件，可以推迟付款，直至卖方补齐有关文件。</w:t>
      </w:r>
    </w:p>
    <w:p>
      <w:pPr>
        <w:pStyle w:val="null3"/>
        <w:ind w:left="360"/>
        <w:jc w:val="both"/>
      </w:pPr>
      <w:r>
        <w:rPr>
          <w:sz w:val="21"/>
          <w:b/>
        </w:rPr>
        <w:t>七、知识产权</w:t>
      </w:r>
    </w:p>
    <w:p>
      <w:pPr>
        <w:pStyle w:val="null3"/>
        <w:ind w:left="315"/>
        <w:jc w:val="both"/>
      </w:pPr>
      <w:r>
        <w:rPr>
          <w:sz w:val="21"/>
        </w:rPr>
        <w:t>1. 卖方应保证，买方在中华人民共和国使用该货物或货物的任何一部分时，如受第三方提出的侵犯其知识产权（包含但不限于专利权、商标权、著作权）的起诉，由卖方承担一切责任。若造成买方损失的，卖方还应承担赔偿责任，且买方有权要求卖方退回全部货款及按全部货款的</w:t>
      </w:r>
      <w:r>
        <w:rPr>
          <w:sz w:val="21"/>
        </w:rPr>
        <w:t>5</w:t>
      </w:r>
      <w:r>
        <w:rPr>
          <w:sz w:val="21"/>
        </w:rPr>
        <w:t>%支付违约金。</w:t>
      </w:r>
    </w:p>
    <w:p>
      <w:pPr>
        <w:pStyle w:val="null3"/>
        <w:ind w:left="315"/>
        <w:jc w:val="both"/>
      </w:pPr>
      <w:r>
        <w:rPr>
          <w:sz w:val="21"/>
        </w:rPr>
        <w:t>2. 卖方为执行本合同而提供的技术资料、软件的使用权归买方所有。</w:t>
      </w:r>
    </w:p>
    <w:p>
      <w:pPr>
        <w:pStyle w:val="null3"/>
        <w:jc w:val="both"/>
      </w:pPr>
      <w:r>
        <w:rPr>
          <w:sz w:val="21"/>
          <w:b/>
        </w:rPr>
        <w:t>八、履约保证金：</w:t>
      </w:r>
      <w:r>
        <w:rPr>
          <w:sz w:val="21"/>
        </w:rPr>
        <w:t>合同总价的</w:t>
      </w:r>
      <w:r>
        <w:rPr>
          <w:sz w:val="21"/>
        </w:rPr>
        <w:t>10%</w:t>
      </w:r>
      <w:r>
        <w:rPr>
          <w:sz w:val="21"/>
        </w:rPr>
        <w:t>（如卖方为中小企业，按合同总价的</w:t>
      </w:r>
      <w:r>
        <w:rPr>
          <w:sz w:val="21"/>
        </w:rPr>
        <w:t>5%缴纳履约保证金）</w:t>
      </w:r>
      <w:r>
        <w:rPr>
          <w:sz w:val="21"/>
        </w:rPr>
        <w:t>。</w:t>
      </w:r>
      <w:r>
        <w:rPr>
          <w:sz w:val="21"/>
        </w:rPr>
        <w:t>履约保证金提交形式：支票、汇票、本票、保函（见索即付）等非现金方式。</w:t>
      </w:r>
    </w:p>
    <w:p>
      <w:pPr>
        <w:pStyle w:val="null3"/>
        <w:jc w:val="both"/>
      </w:pPr>
      <w:r>
        <w:rPr>
          <w:sz w:val="21"/>
          <w:b/>
        </w:rPr>
        <w:t>九</w:t>
      </w:r>
      <w:r>
        <w:rPr>
          <w:sz w:val="21"/>
          <w:b/>
        </w:rPr>
        <w:t>、包装、装卸和运输</w:t>
      </w:r>
    </w:p>
    <w:p>
      <w:pPr>
        <w:pStyle w:val="null3"/>
        <w:ind w:left="315"/>
        <w:jc w:val="both"/>
      </w:pPr>
      <w:r>
        <w:rPr>
          <w:sz w:val="21"/>
        </w:rPr>
        <w:t>1. 包装必须与运输方式相适应，包装方式的确定及费用均由卖方负责；若由于不适当的包装而造成货物在运输过程中有任何损坏、丢失均由卖方负责。</w:t>
      </w:r>
    </w:p>
    <w:p>
      <w:pPr>
        <w:pStyle w:val="null3"/>
        <w:ind w:left="315"/>
        <w:jc w:val="both"/>
      </w:pPr>
      <w:r>
        <w:rPr>
          <w:sz w:val="21"/>
        </w:rPr>
        <w:t>2. 包装应足以承受整个过程中的运输、转运、装卸、储存等，充分考虑到运输途中的各种情况（如暴露于恶劣气候等），以及露天存放的需要。</w:t>
      </w:r>
    </w:p>
    <w:p>
      <w:pPr>
        <w:pStyle w:val="null3"/>
        <w:ind w:left="315"/>
        <w:jc w:val="both"/>
      </w:pPr>
      <w:r>
        <w:rPr>
          <w:sz w:val="21"/>
        </w:rPr>
        <w:t>3. 专用工具及备品备件应分别包装，并在包装箱外加以注明其用处。</w:t>
      </w:r>
    </w:p>
    <w:p>
      <w:pPr>
        <w:pStyle w:val="null3"/>
        <w:ind w:left="315"/>
        <w:jc w:val="both"/>
      </w:pPr>
      <w:r>
        <w:rPr>
          <w:sz w:val="21"/>
        </w:rPr>
        <w:t>4. 每一包装箱两个侧面用不褪色的油漆和明显易见的中文字样做出标记。</w:t>
      </w:r>
    </w:p>
    <w:p>
      <w:pPr>
        <w:pStyle w:val="null3"/>
        <w:ind w:left="315"/>
        <w:jc w:val="both"/>
      </w:pPr>
      <w:r>
        <w:rPr>
          <w:sz w:val="21"/>
        </w:rPr>
        <w:t>标记内容包括：箱（件）号、装运标志（唛头）、毛重（</w:t>
      </w:r>
      <w:r>
        <w:rPr>
          <w:sz w:val="21"/>
        </w:rPr>
        <w:t>kg）、尺码（长×宽×高，用mm表示）、净重（kg）、到货地址、收货人名称、货物名称、合同编号以及“勿近潮湿”、“小心轻放”、“此边向上”等。</w:t>
      </w:r>
    </w:p>
    <w:p>
      <w:pPr>
        <w:pStyle w:val="null3"/>
        <w:ind w:left="315"/>
        <w:jc w:val="both"/>
      </w:pPr>
      <w:r>
        <w:rPr>
          <w:sz w:val="21"/>
        </w:rPr>
        <w:t>5.以下单证原件在到货同时交给买方：</w:t>
      </w:r>
    </w:p>
    <w:p>
      <w:pPr>
        <w:pStyle w:val="null3"/>
        <w:ind w:firstLine="420"/>
        <w:jc w:val="both"/>
      </w:pPr>
      <w:r>
        <w:rPr>
          <w:sz w:val="21"/>
        </w:rPr>
        <w:t>（</w:t>
      </w:r>
      <w:r>
        <w:rPr>
          <w:sz w:val="21"/>
        </w:rPr>
        <w:t>1）装运单一份，注明合同号、装运标志、货物内容、每件包装尺码及重量；</w:t>
      </w:r>
    </w:p>
    <w:p>
      <w:pPr>
        <w:pStyle w:val="null3"/>
        <w:ind w:firstLine="420"/>
        <w:jc w:val="both"/>
      </w:pPr>
      <w:r>
        <w:rPr>
          <w:sz w:val="21"/>
        </w:rPr>
        <w:t>（</w:t>
      </w:r>
      <w:r>
        <w:rPr>
          <w:sz w:val="21"/>
        </w:rPr>
        <w:t>2）制造厂出具的出厂装箱单、质量检验合格证明书各一式一份。</w:t>
      </w:r>
    </w:p>
    <w:p>
      <w:pPr>
        <w:pStyle w:val="null3"/>
        <w:jc w:val="both"/>
      </w:pPr>
      <w:r>
        <w:rPr>
          <w:sz w:val="21"/>
          <w:b/>
        </w:rPr>
        <w:t>十</w:t>
      </w:r>
      <w:r>
        <w:rPr>
          <w:sz w:val="21"/>
          <w:b/>
        </w:rPr>
        <w:t>、付款方式</w:t>
      </w:r>
    </w:p>
    <w:p>
      <w:pPr>
        <w:pStyle w:val="null3"/>
        <w:ind w:left="285"/>
        <w:jc w:val="both"/>
      </w:pPr>
      <w:r>
        <w:rPr>
          <w:sz w:val="21"/>
        </w:rPr>
        <w:t>1. 合同货款按下列步骤分期支付：</w:t>
      </w:r>
    </w:p>
    <w:p>
      <w:pPr>
        <w:pStyle w:val="null3"/>
        <w:ind w:left="525"/>
        <w:jc w:val="both"/>
      </w:pPr>
      <w:r>
        <w:rPr>
          <w:sz w:val="21"/>
        </w:rPr>
        <w:t>（</w:t>
      </w:r>
      <w:r>
        <w:rPr>
          <w:sz w:val="21"/>
        </w:rPr>
        <w:t>1）合同签订后5个工作日内，卖方开具符合买方要求的发票（发票金额为</w:t>
      </w:r>
      <w:r>
        <w:rPr>
          <w:sz w:val="21"/>
        </w:rPr>
        <w:t>7</w:t>
      </w:r>
      <w:r>
        <w:rPr>
          <w:sz w:val="21"/>
        </w:rPr>
        <w:t>0%合同总价），提供合同总价的10%的履约保证金（</w:t>
      </w:r>
      <w:r>
        <w:rPr>
          <w:sz w:val="21"/>
        </w:rPr>
        <w:t>如</w:t>
      </w:r>
      <w:r>
        <w:rPr>
          <w:sz w:val="21"/>
        </w:rPr>
        <w:t>卖方</w:t>
      </w:r>
      <w:r>
        <w:rPr>
          <w:sz w:val="21"/>
        </w:rPr>
        <w:t>为中小企业，按合同总价的</w:t>
      </w:r>
      <w:r>
        <w:rPr>
          <w:sz w:val="21"/>
        </w:rPr>
        <w:t>5%缴纳履约保证金</w:t>
      </w:r>
      <w:r>
        <w:rPr>
          <w:sz w:val="21"/>
        </w:rPr>
        <w:t>）给买方，买方支付合同总价的</w:t>
      </w:r>
      <w:r>
        <w:rPr>
          <w:sz w:val="21"/>
        </w:rPr>
        <w:t>7</w:t>
      </w:r>
      <w:r>
        <w:rPr>
          <w:sz w:val="21"/>
        </w:rPr>
        <w:t>0%作为预付款给卖方。</w:t>
      </w:r>
    </w:p>
    <w:p>
      <w:pPr>
        <w:pStyle w:val="null3"/>
        <w:ind w:left="525"/>
        <w:jc w:val="both"/>
      </w:pPr>
      <w:r>
        <w:rPr>
          <w:sz w:val="21"/>
        </w:rPr>
        <w:t>（</w:t>
      </w:r>
      <w:r>
        <w:rPr>
          <w:sz w:val="21"/>
        </w:rPr>
        <w:t>2）合同约定的货物全部到货且收到卖方开具符合买方要求的发票（发票金额为</w:t>
      </w:r>
      <w:r>
        <w:rPr>
          <w:sz w:val="21"/>
        </w:rPr>
        <w:t>2</w:t>
      </w:r>
      <w:r>
        <w:rPr>
          <w:sz w:val="21"/>
        </w:rPr>
        <w:t>0%合同总价）后10个工作日内，买方支付</w:t>
      </w:r>
      <w:r>
        <w:rPr>
          <w:sz w:val="21"/>
        </w:rPr>
        <w:t>2</w:t>
      </w:r>
      <w:r>
        <w:rPr>
          <w:sz w:val="21"/>
        </w:rPr>
        <w:t>0%的进度款给卖方。</w:t>
      </w:r>
    </w:p>
    <w:p>
      <w:pPr>
        <w:pStyle w:val="null3"/>
        <w:ind w:left="525"/>
        <w:jc w:val="both"/>
      </w:pPr>
      <w:r>
        <w:rPr>
          <w:sz w:val="21"/>
        </w:rPr>
        <w:t>（</w:t>
      </w:r>
      <w:r>
        <w:rPr>
          <w:sz w:val="21"/>
        </w:rPr>
        <w:t>3）所有货物经法定计量部门计量检定（合同中特殊规定的除外），买方验收合格且收到卖方开具符合买方要求的发票（发票金额为10%合同总价）后10个工作日内，买方支付10%合同尾款。</w:t>
      </w:r>
    </w:p>
    <w:p>
      <w:pPr>
        <w:pStyle w:val="null3"/>
        <w:ind w:left="525"/>
        <w:jc w:val="both"/>
      </w:pPr>
      <w:r>
        <w:rPr>
          <w:sz w:val="21"/>
        </w:rPr>
        <w:t>（</w:t>
      </w:r>
      <w:r>
        <w:rPr>
          <w:sz w:val="21"/>
        </w:rPr>
        <w:t>4）在卖方主要义务履行完毕后</w:t>
      </w:r>
      <w:r>
        <w:rPr>
          <w:sz w:val="21"/>
        </w:rPr>
        <w:t>10</w:t>
      </w:r>
      <w:r>
        <w:rPr>
          <w:sz w:val="21"/>
        </w:rPr>
        <w:t>个工作日内，买方退还合同总价</w:t>
      </w:r>
      <w:r>
        <w:rPr>
          <w:sz w:val="21"/>
        </w:rPr>
        <w:t>10%的履约保证金（</w:t>
      </w:r>
      <w:r>
        <w:rPr>
          <w:sz w:val="21"/>
        </w:rPr>
        <w:t>如</w:t>
      </w:r>
      <w:r>
        <w:rPr>
          <w:sz w:val="21"/>
        </w:rPr>
        <w:t>卖方</w:t>
      </w:r>
      <w:r>
        <w:rPr>
          <w:sz w:val="21"/>
        </w:rPr>
        <w:t>为中小企业，</w:t>
      </w:r>
      <w:r>
        <w:rPr>
          <w:sz w:val="21"/>
        </w:rPr>
        <w:t>按</w:t>
      </w:r>
      <w:r>
        <w:rPr>
          <w:sz w:val="21"/>
        </w:rPr>
        <w:t>合同总价</w:t>
      </w:r>
      <w:r>
        <w:rPr>
          <w:sz w:val="21"/>
        </w:rPr>
        <w:t>的</w:t>
      </w:r>
      <w:r>
        <w:rPr>
          <w:sz w:val="21"/>
        </w:rPr>
        <w:t>5%退还履约保证金</w:t>
      </w:r>
      <w:r>
        <w:rPr>
          <w:sz w:val="21"/>
        </w:rPr>
        <w:t>）（无息）。如提供的货物有特殊质保期要求的（如超过</w:t>
      </w:r>
      <w:r>
        <w:rPr>
          <w:sz w:val="21"/>
        </w:rPr>
        <w:t>1年），卖方须提供该货物的质量保证承诺函。如在合同期内，卖方自行停止履行合约或违反合同有关规定被买方终止合约的，则买方不予退还履约保证金。若卖方不履行或不适当履行其合同义务导致买方蒙受损失的，买方有权直接从履约保证金中扣除相应违约金或损失赔偿款项；违约金或给买方造成的损失超过履约保证金数额的，卖方应对超出部分给予赔偿。买方逾期退还履约保证金的，除应当退还履约保证金本金外，还应当每日按合同总价的0.</w:t>
      </w:r>
      <w:r>
        <w:rPr>
          <w:sz w:val="21"/>
        </w:rPr>
        <w:t>1</w:t>
      </w:r>
      <w:r>
        <w:rPr>
          <w:sz w:val="21"/>
        </w:rPr>
        <w:t>‰向卖方偿付违约金，但因合同的履行产生争议或由于卖方自身原因导致无法及时退还的除外。</w:t>
      </w:r>
    </w:p>
    <w:p>
      <w:pPr>
        <w:pStyle w:val="null3"/>
        <w:ind w:left="285"/>
        <w:jc w:val="both"/>
      </w:pPr>
      <w:r>
        <w:rPr>
          <w:sz w:val="21"/>
        </w:rPr>
        <w:t>2. 付款方式：采用银行转账形式。</w:t>
      </w:r>
    </w:p>
    <w:p>
      <w:pPr>
        <w:pStyle w:val="null3"/>
        <w:ind w:left="315"/>
        <w:jc w:val="both"/>
      </w:pPr>
      <w:r>
        <w:rPr>
          <w:sz w:val="21"/>
        </w:rPr>
        <w:t>3. 每笔款项支付时，卖方提前向买方提供请款申请函及相应金额的增值税专用发票（含货物款发票、货物安装费发票及有关服务发票）或</w:t>
      </w:r>
      <w:r>
        <w:rPr>
          <w:sz w:val="21"/>
        </w:rPr>
        <w:t>普通发票</w:t>
      </w:r>
      <w:r>
        <w:rPr>
          <w:sz w:val="21"/>
        </w:rPr>
        <w:t>。</w:t>
      </w:r>
      <w:r>
        <w:rPr>
          <w:sz w:val="21"/>
        </w:rPr>
        <w:t>乙方</w:t>
      </w:r>
      <w:r>
        <w:rPr>
          <w:sz w:val="21"/>
        </w:rPr>
        <w:t>理解并接受：上述付款期限，不包括政府财政资金用款额度未下达时间（买方如遇财政资金使用管理约束情况则付款时间顺延，并不构成违约）；如项目资金由财政资金直接支付，则买方向相关单位提交财政资金使用申请就视为买方履行了付款义务。</w:t>
      </w:r>
    </w:p>
    <w:p>
      <w:pPr>
        <w:pStyle w:val="null3"/>
        <w:jc w:val="both"/>
      </w:pPr>
      <w:r>
        <w:rPr>
          <w:sz w:val="21"/>
          <w:b/>
        </w:rPr>
        <w:t>十一、产权与风险转移</w:t>
      </w:r>
    </w:p>
    <w:p>
      <w:pPr>
        <w:pStyle w:val="null3"/>
        <w:ind w:firstLine="420"/>
        <w:jc w:val="both"/>
      </w:pPr>
      <w:r>
        <w:rPr>
          <w:sz w:val="21"/>
        </w:rPr>
        <w:t>除非</w:t>
      </w:r>
      <w:r>
        <w:rPr>
          <w:sz w:val="21"/>
        </w:rPr>
        <w:t>“附件3：合同资料表”另有规定，合同标的产权与风险转移遵守如下约定：</w:t>
      </w:r>
    </w:p>
    <w:p>
      <w:pPr>
        <w:pStyle w:val="null3"/>
        <w:ind w:left="315"/>
        <w:jc w:val="both"/>
      </w:pPr>
      <w:r>
        <w:rPr>
          <w:sz w:val="21"/>
        </w:rPr>
        <w:t>1. 卖方交由承运人运输的在途货物，毁损、灭失的风险由卖方承担。</w:t>
      </w:r>
    </w:p>
    <w:p>
      <w:pPr>
        <w:pStyle w:val="null3"/>
        <w:ind w:left="315"/>
        <w:jc w:val="both"/>
      </w:pPr>
      <w:r>
        <w:rPr>
          <w:sz w:val="21"/>
        </w:rPr>
        <w:t>2. 货物的产权，损坏、灭失的风险，在货物安装调试完毕通过验收交付使用时起由卖方转移至买方。</w:t>
      </w:r>
    </w:p>
    <w:p>
      <w:pPr>
        <w:pStyle w:val="null3"/>
        <w:ind w:left="315"/>
        <w:jc w:val="both"/>
      </w:pPr>
      <w:r>
        <w:rPr>
          <w:sz w:val="21"/>
        </w:rPr>
        <w:t>3. 因货物验收不合格买方拒收，或双方已解除合同，货物毁损、灭失的风险由卖方承担。</w:t>
      </w:r>
    </w:p>
    <w:p>
      <w:pPr>
        <w:pStyle w:val="null3"/>
        <w:ind w:left="315"/>
        <w:jc w:val="both"/>
      </w:pPr>
      <w:r>
        <w:rPr>
          <w:sz w:val="21"/>
        </w:rPr>
        <w:t>4. 产权和风险的转移，不影响因卖方履行义务不符合约定，买方有要求其承担违约责任的权利。</w:t>
      </w:r>
    </w:p>
    <w:p>
      <w:pPr>
        <w:pStyle w:val="null3"/>
        <w:jc w:val="both"/>
      </w:pPr>
      <w:r>
        <w:rPr>
          <w:sz w:val="21"/>
          <w:b/>
        </w:rPr>
        <w:t>十</w:t>
      </w:r>
      <w:r>
        <w:rPr>
          <w:sz w:val="21"/>
          <w:b/>
        </w:rPr>
        <w:t>二</w:t>
      </w:r>
      <w:r>
        <w:rPr>
          <w:sz w:val="21"/>
          <w:b/>
        </w:rPr>
        <w:t>、保险</w:t>
      </w:r>
    </w:p>
    <w:p>
      <w:pPr>
        <w:pStyle w:val="null3"/>
        <w:ind w:left="315"/>
        <w:jc w:val="both"/>
      </w:pPr>
      <w:r>
        <w:rPr>
          <w:sz w:val="21"/>
        </w:rPr>
        <w:t>1. 根据本合同关于产权与风险转移条款规定，卖方承担货物到达交货地点并安装、验收合格交付使用之前的所有风险。因此，卖方应按货物总价的110％价值为货物投保一切险、为派往买方服务的人员投保人身险、为货物交付前活动可能涉及的第三方投保相关险种，保险费用均由卖方负责。</w:t>
      </w:r>
    </w:p>
    <w:p>
      <w:pPr>
        <w:pStyle w:val="null3"/>
        <w:jc w:val="both"/>
      </w:pPr>
      <w:r>
        <w:rPr>
          <w:sz w:val="21"/>
          <w:b/>
        </w:rPr>
        <w:t>十</w:t>
      </w:r>
      <w:r>
        <w:rPr>
          <w:sz w:val="21"/>
          <w:b/>
        </w:rPr>
        <w:t>三</w:t>
      </w:r>
      <w:r>
        <w:rPr>
          <w:sz w:val="21"/>
          <w:b/>
        </w:rPr>
        <w:t>、检验与测试</w:t>
      </w:r>
    </w:p>
    <w:p>
      <w:pPr>
        <w:pStyle w:val="null3"/>
        <w:ind w:left="315"/>
        <w:jc w:val="both"/>
      </w:pPr>
      <w:r>
        <w:rPr>
          <w:sz w:val="21"/>
        </w:rPr>
        <w:t>1. 买方或其代表有权检验和/或测试货物，以确认货物是否符合合同规格的要求，并且不承担额外的费用。买方要求进行的检验和测试以及在何处进行这些检验和测试，将参照合同条款的技术规格并以买方具体验收要求为准。买方将及时以书面形式把进行检验和/或买方测试代表的身份通知卖方。</w:t>
      </w:r>
    </w:p>
    <w:p>
      <w:pPr>
        <w:pStyle w:val="null3"/>
        <w:ind w:left="315"/>
        <w:jc w:val="both"/>
      </w:pPr>
      <w:r>
        <w:rPr>
          <w:sz w:val="21"/>
        </w:rPr>
        <w:t>2. 检验和测试可以在卖方或其分包人的驻地、交货地和/或货物的最终目的地进行。如果在卖方或其分包人的驻地进行，检测人员应能得全部合理的设施和协助，买方不应承担费用。</w:t>
      </w:r>
    </w:p>
    <w:p>
      <w:pPr>
        <w:pStyle w:val="null3"/>
        <w:ind w:left="315"/>
        <w:jc w:val="both"/>
      </w:pPr>
      <w:r>
        <w:rPr>
          <w:sz w:val="21"/>
        </w:rPr>
        <w:t>3. 如果任何被检验或测试的货物不能满足规格的要求，买方可以拒绝接受该货物，卖方应更换被拒绝的货物，或者进行必要的修改以满足规格的要求。</w:t>
      </w:r>
    </w:p>
    <w:p>
      <w:pPr>
        <w:pStyle w:val="null3"/>
        <w:ind w:left="315"/>
        <w:jc w:val="both"/>
      </w:pPr>
      <w:r>
        <w:rPr>
          <w:sz w:val="21"/>
        </w:rPr>
        <w:t>4. 买方在货物到达的目的地后对货物进行检验、测试及必要时拒绝接受货物的权力将不会因为货物在卖方或其分包人的驻地已通过了买方或其代表的检验、测试和认可而受到限制或放弃。</w:t>
      </w:r>
    </w:p>
    <w:p>
      <w:pPr>
        <w:pStyle w:val="null3"/>
        <w:ind w:left="315"/>
        <w:jc w:val="both"/>
      </w:pPr>
      <w:r>
        <w:rPr>
          <w:sz w:val="21"/>
        </w:rPr>
        <w:t>5. 交货时，卖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pStyle w:val="null3"/>
        <w:ind w:left="315"/>
        <w:jc w:val="both"/>
      </w:pPr>
      <w:r>
        <w:rPr>
          <w:sz w:val="21"/>
        </w:rPr>
        <w:t>6. 如果货物是进口产品，卖方应附上经中华人民共和国国家出入境检验检疫主管部门对货物的质量、规格、数量和重量进行检验并合格的检验证书。</w:t>
      </w:r>
    </w:p>
    <w:p>
      <w:pPr>
        <w:pStyle w:val="null3"/>
        <w:ind w:left="315"/>
        <w:jc w:val="both"/>
      </w:pPr>
      <w:r>
        <w:rPr>
          <w:sz w:val="21"/>
        </w:rPr>
        <w:t>7. 本“检验与测试”的有关条款不能免除卖方在本合同项下的保证义务或其它义务。</w:t>
      </w:r>
    </w:p>
    <w:p>
      <w:pPr>
        <w:pStyle w:val="null3"/>
        <w:jc w:val="both"/>
      </w:pPr>
      <w:r>
        <w:rPr>
          <w:sz w:val="21"/>
          <w:b/>
        </w:rPr>
        <w:t>十</w:t>
      </w:r>
      <w:r>
        <w:rPr>
          <w:sz w:val="21"/>
          <w:b/>
        </w:rPr>
        <w:t>四</w:t>
      </w:r>
      <w:r>
        <w:rPr>
          <w:sz w:val="21"/>
          <w:b/>
        </w:rPr>
        <w:t>、伴随服务</w:t>
      </w:r>
    </w:p>
    <w:p>
      <w:pPr>
        <w:pStyle w:val="null3"/>
        <w:ind w:firstLine="420"/>
        <w:jc w:val="both"/>
      </w:pPr>
      <w:r>
        <w:rPr>
          <w:sz w:val="21"/>
        </w:rPr>
        <w:t>应买方要求，卖方应提供下列服务，以及</w:t>
      </w:r>
      <w:r>
        <w:rPr>
          <w:sz w:val="21"/>
        </w:rPr>
        <w:t>“附件3：合同资料表”及《投标文件》中响应的附加服务（如有）。除非另有约定，所有服务费用已包含在合同总价中。</w:t>
      </w:r>
    </w:p>
    <w:p>
      <w:pPr>
        <w:pStyle w:val="null3"/>
        <w:jc w:val="both"/>
      </w:pPr>
      <w:r>
        <w:rPr>
          <w:sz w:val="21"/>
          <w:b/>
        </w:rPr>
        <w:t>1. 安装、调试与运行</w:t>
      </w:r>
    </w:p>
    <w:p>
      <w:pPr>
        <w:pStyle w:val="null3"/>
        <w:ind w:left="420"/>
        <w:jc w:val="both"/>
      </w:pPr>
      <w:r>
        <w:rPr>
          <w:sz w:val="21"/>
        </w:rPr>
        <w:t>1.1 卖方必须向买方提供合同货物安装所需的材料（如设备调试过程中需要用到的标准品等耗材等）、技术资料以及所需工具。</w:t>
      </w:r>
    </w:p>
    <w:p>
      <w:pPr>
        <w:pStyle w:val="null3"/>
        <w:ind w:left="420"/>
        <w:jc w:val="both"/>
      </w:pPr>
      <w:r>
        <w:rPr>
          <w:sz w:val="21"/>
        </w:rPr>
        <w:t>1.2 卖方在买方收到货物后2个工作日内与买方确认安装条件，并在确认安装条件满足后7～10个工作日内安排工作人员上门安装调试。</w:t>
      </w:r>
    </w:p>
    <w:p>
      <w:pPr>
        <w:pStyle w:val="null3"/>
        <w:ind w:left="420"/>
        <w:jc w:val="both"/>
      </w:pPr>
      <w:r>
        <w:rPr>
          <w:sz w:val="21"/>
        </w:rPr>
        <w:t>1.3 卖方派出的安装人员应具备相关的专业知识、技术水平、相应资质和能力，熟悉本合同所述货物的规格、技术指标及安装工艺，有足够能力安装、调试本合同的货物并使之达到本合同要求。需要安装</w:t>
      </w:r>
      <w:r>
        <w:rPr>
          <w:sz w:val="21"/>
        </w:rPr>
        <w:t>调试的设备，</w:t>
      </w:r>
      <w:r>
        <w:rPr>
          <w:sz w:val="21"/>
        </w:rPr>
        <w:t>卖方必须依照采购文件、招标文件的要求和投标文件的承诺，将设备、系统安装并调试至正常运行的最佳状态。</w:t>
      </w:r>
    </w:p>
    <w:p>
      <w:pPr>
        <w:pStyle w:val="null3"/>
        <w:ind w:left="420"/>
        <w:jc w:val="both"/>
      </w:pPr>
      <w:r>
        <w:rPr>
          <w:sz w:val="21"/>
        </w:rPr>
        <w:t>1.4 卖方需对买方现场进行详细考察，完全了解现场的状况及环境要求，并承诺不因上述原因对买方索赔；</w:t>
      </w:r>
    </w:p>
    <w:p>
      <w:pPr>
        <w:pStyle w:val="null3"/>
        <w:ind w:left="420"/>
        <w:jc w:val="both"/>
      </w:pPr>
      <w:r>
        <w:rPr>
          <w:sz w:val="21"/>
        </w:rPr>
        <w:t>1.5 卖方人员实施及监督所供货物的试运行，并在双方商定的一定期限内对所供货物运行、维护实施监督指导，但监督指导并不能免除卖方在质量保证期内所承担的义务。</w:t>
      </w:r>
    </w:p>
    <w:p>
      <w:pPr>
        <w:pStyle w:val="null3"/>
        <w:jc w:val="both"/>
      </w:pPr>
      <w:r>
        <w:rPr>
          <w:sz w:val="21"/>
          <w:b/>
        </w:rPr>
        <w:t>2. 培训</w:t>
      </w:r>
    </w:p>
    <w:p>
      <w:pPr>
        <w:pStyle w:val="null3"/>
        <w:ind w:left="420"/>
        <w:jc w:val="both"/>
      </w:pPr>
      <w:r>
        <w:rPr>
          <w:sz w:val="21"/>
        </w:rPr>
        <w:t>2.1 卖方必须在现场安装调试完成之日起3个工作日内提供培训（不能按规定时间提供培训的，卖方须说明理由并得到买方确认，否则买方不对清点货物作保管），使其熟练掌握所有设备系统的应用和维护，以便买方组织验收。培训工作的完成需经买方的认可方可结束。</w:t>
      </w:r>
    </w:p>
    <w:p>
      <w:pPr>
        <w:pStyle w:val="null3"/>
        <w:ind w:left="420"/>
        <w:jc w:val="both"/>
      </w:pPr>
      <w:r>
        <w:rPr>
          <w:sz w:val="21"/>
        </w:rPr>
        <w:t>2.2 卖方应与买方沟通，根据买方的实际情况，制定适合用户的详细培训计划（包括：培训时间，培训内容、培训对象、培训方式等），卖方负责提供现场操作、运行、维护、维修的培训方案及必需的培训资料。</w:t>
      </w:r>
    </w:p>
    <w:p>
      <w:pPr>
        <w:pStyle w:val="null3"/>
        <w:ind w:left="420"/>
        <w:jc w:val="both"/>
      </w:pPr>
      <w:r>
        <w:rPr>
          <w:sz w:val="21"/>
        </w:rPr>
        <w:t>2.3 卖方负责组织对买方受训人员进行操作、维修、保养的培训，培训老师应是货物制造商/厂家有经验的工程技术专业人员。如有需要，卖方应为买方安排二次培训，具体要求由双方共同商定。</w:t>
      </w:r>
    </w:p>
    <w:p>
      <w:pPr>
        <w:pStyle w:val="null3"/>
        <w:ind w:left="420"/>
        <w:jc w:val="both"/>
      </w:pPr>
      <w:r>
        <w:rPr>
          <w:sz w:val="21"/>
        </w:rPr>
        <w:t>2.4 培训前，卖方应与买方进行良好沟通，安排好培训所用设施和培训资料等，确保达到预期培训效果。</w:t>
      </w:r>
    </w:p>
    <w:p>
      <w:pPr>
        <w:pStyle w:val="null3"/>
        <w:jc w:val="both"/>
      </w:pPr>
      <w:r>
        <w:rPr>
          <w:sz w:val="21"/>
          <w:b/>
        </w:rPr>
        <w:t>3. 测试与验收</w:t>
      </w:r>
    </w:p>
    <w:p>
      <w:pPr>
        <w:pStyle w:val="null3"/>
        <w:ind w:left="420"/>
        <w:jc w:val="both"/>
      </w:pPr>
      <w:r>
        <w:rPr>
          <w:sz w:val="21"/>
        </w:rPr>
        <w:t>3.1 验收流程：</w:t>
      </w:r>
    </w:p>
    <w:p>
      <w:pPr>
        <w:pStyle w:val="null3"/>
        <w:ind w:left="420"/>
        <w:jc w:val="both"/>
      </w:pPr>
      <w:r>
        <w:rPr>
          <w:sz w:val="21"/>
        </w:rPr>
        <w:t>送检货物：卖方先将货物送计量，再同计量检定合格的证书一并交付买方；</w:t>
      </w:r>
    </w:p>
    <w:p>
      <w:pPr>
        <w:pStyle w:val="null3"/>
        <w:ind w:left="420"/>
        <w:jc w:val="both"/>
      </w:pPr>
      <w:r>
        <w:rPr>
          <w:sz w:val="21"/>
        </w:rPr>
        <w:t>现场计量货物：卖方先安排货物的安装、培训，再安排上门计量，在收到计量检定合格的证书后方进行验收。</w:t>
      </w:r>
    </w:p>
    <w:p>
      <w:pPr>
        <w:pStyle w:val="null3"/>
        <w:ind w:left="420"/>
        <w:jc w:val="both"/>
      </w:pPr>
      <w:r>
        <w:rPr>
          <w:sz w:val="21"/>
        </w:rPr>
        <w:t>3.2 验收时卖方应提供计量检定合格、有效的计量或校准报告/证书，中文版说明书等；如货物无法计量，则以厂家出具的验证方案为验收标准。</w:t>
      </w:r>
    </w:p>
    <w:p>
      <w:pPr>
        <w:pStyle w:val="null3"/>
        <w:ind w:left="420"/>
        <w:jc w:val="both"/>
      </w:pPr>
      <w:r>
        <w:rPr>
          <w:sz w:val="21"/>
        </w:rPr>
        <w:t>3.3 在有关部门进行验收时，卖方应及时配合买方。</w:t>
      </w:r>
    </w:p>
    <w:p>
      <w:pPr>
        <w:pStyle w:val="null3"/>
        <w:ind w:left="420"/>
        <w:jc w:val="both"/>
      </w:pPr>
      <w:r>
        <w:rPr>
          <w:sz w:val="21"/>
        </w:rPr>
        <w:t>3.4 卖方提供的货物不符合质量、技术要求，致使货物未能满足买方的设计性能，买方可拒收货物或单方面解除合同，标的物毁损、丢失的风险由卖方承担。</w:t>
      </w:r>
    </w:p>
    <w:p>
      <w:pPr>
        <w:pStyle w:val="null3"/>
        <w:ind w:left="420"/>
        <w:jc w:val="both"/>
      </w:pPr>
      <w:r>
        <w:rPr>
          <w:sz w:val="21"/>
        </w:rPr>
        <w:t>3.5 测试及验收工作由买方组织，验收合格后，买卖双方签署符合买方要求的验收记录。</w:t>
      </w:r>
    </w:p>
    <w:p>
      <w:pPr>
        <w:pStyle w:val="null3"/>
        <w:ind w:left="420"/>
        <w:jc w:val="both"/>
      </w:pPr>
      <w:r>
        <w:rPr>
          <w:sz w:val="21"/>
        </w:rPr>
        <w:t>3.6 交验的货物必须符合中华人民共和国国家安全质量标准、环保标准或行业标准；符合采购文件/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w:t>
      </w:r>
    </w:p>
    <w:p>
      <w:pPr>
        <w:pStyle w:val="null3"/>
        <w:ind w:left="420"/>
        <w:jc w:val="both"/>
      </w:pPr>
      <w:r>
        <w:rPr>
          <w:sz w:val="21"/>
        </w:rPr>
        <w:t>3.7 如无特别说明，买方按货物标准配置或原出厂装箱单验收货物的备品、配件，货物</w:t>
      </w:r>
      <w:r>
        <w:rPr>
          <w:sz w:val="21"/>
        </w:rPr>
        <w:t>铭牌</w:t>
      </w:r>
      <w:r>
        <w:rPr>
          <w:sz w:val="21"/>
        </w:rPr>
        <w:t>要求</w:t>
      </w:r>
      <w:r>
        <w:rPr>
          <w:sz w:val="21"/>
        </w:rPr>
        <w:t>清晰可见</w:t>
      </w:r>
      <w:r>
        <w:rPr>
          <w:sz w:val="21"/>
        </w:rPr>
        <w:t>。</w:t>
      </w:r>
    </w:p>
    <w:p>
      <w:pPr>
        <w:pStyle w:val="null3"/>
        <w:ind w:left="465"/>
      </w:pPr>
      <w:r>
        <w:rPr>
          <w:sz w:val="21"/>
        </w:rPr>
        <w:t>3.8 买方验收时卖方需提供下列资料：</w:t>
      </w:r>
      <w:r>
        <w:rPr>
          <w:sz w:val="21"/>
          <w:b/>
        </w:rPr>
        <w:t>使用说明书（电子版）、原厂装箱单（如有）、合格证（如有）、通关材料（进口设备）、国家认可计量单位的计量证、培训记录、发票，否则不予验收（特殊情况双方另行协商）。</w:t>
      </w:r>
    </w:p>
    <w:p>
      <w:pPr>
        <w:pStyle w:val="null3"/>
        <w:jc w:val="both"/>
      </w:pPr>
      <w:r>
        <w:rPr>
          <w:sz w:val="21"/>
          <w:b/>
        </w:rPr>
        <w:t>十</w:t>
      </w:r>
      <w:r>
        <w:rPr>
          <w:sz w:val="21"/>
          <w:b/>
        </w:rPr>
        <w:t>五</w:t>
      </w:r>
      <w:r>
        <w:rPr>
          <w:sz w:val="21"/>
          <w:b/>
        </w:rPr>
        <w:t>、合同转让与分包</w:t>
      </w:r>
    </w:p>
    <w:p>
      <w:pPr>
        <w:pStyle w:val="null3"/>
        <w:ind w:left="315"/>
        <w:jc w:val="both"/>
      </w:pPr>
      <w:r>
        <w:rPr>
          <w:sz w:val="21"/>
        </w:rPr>
        <w:t>1. 本合同卖方在任何情况下都不得全部或部分转让其应履行的合同义务。</w:t>
      </w:r>
    </w:p>
    <w:p>
      <w:pPr>
        <w:pStyle w:val="null3"/>
      </w:pPr>
      <w:r>
        <w:rPr>
          <w:sz w:val="21"/>
        </w:rPr>
        <w:t xml:space="preserve">2. </w:t>
      </w:r>
      <w:r>
        <w:rPr>
          <w:sz w:val="21"/>
        </w:rPr>
        <w:t>未经买方事前书面同意，卖方不得将合同分包或转包给第三方。</w:t>
      </w:r>
    </w:p>
    <w:p>
      <w:pPr>
        <w:pStyle w:val="null3"/>
        <w:ind w:left="315"/>
        <w:jc w:val="both"/>
      </w:pPr>
      <w:r>
        <w:rPr>
          <w:sz w:val="21"/>
        </w:rPr>
        <w:t>3. 卖方将本合同分包的，分包人就分包部分承担连带责任。</w:t>
      </w:r>
    </w:p>
    <w:p>
      <w:pPr>
        <w:pStyle w:val="null3"/>
        <w:ind w:left="315"/>
        <w:jc w:val="both"/>
      </w:pPr>
      <w:r>
        <w:rPr>
          <w:sz w:val="21"/>
        </w:rPr>
        <w:t>4. 卖方拟将本合同的非主体、非关键性工作交由他人完成（分包，或更换分包人的），应事先征得买方同意，并提交证明拟分包人合格的文件，及卖方与分包人签订的合同，且分包人不得再分包。</w:t>
      </w:r>
    </w:p>
    <w:p>
      <w:pPr>
        <w:pStyle w:val="null3"/>
        <w:jc w:val="both"/>
      </w:pPr>
      <w:r>
        <w:rPr>
          <w:sz w:val="21"/>
          <w:b/>
        </w:rPr>
        <w:t>十</w:t>
      </w:r>
      <w:r>
        <w:rPr>
          <w:sz w:val="21"/>
          <w:b/>
        </w:rPr>
        <w:t>六</w:t>
      </w:r>
      <w:r>
        <w:rPr>
          <w:sz w:val="21"/>
          <w:b/>
        </w:rPr>
        <w:t>、质量保证及售后服务</w:t>
      </w:r>
    </w:p>
    <w:p>
      <w:pPr>
        <w:pStyle w:val="null3"/>
        <w:jc w:val="both"/>
      </w:pPr>
      <w:r>
        <w:rPr>
          <w:sz w:val="21"/>
        </w:rPr>
        <w:t>1. 质量保证</w:t>
      </w:r>
    </w:p>
    <w:p>
      <w:pPr>
        <w:pStyle w:val="null3"/>
        <w:ind w:left="420"/>
        <w:jc w:val="both"/>
      </w:pPr>
      <w:r>
        <w:rPr>
          <w:sz w:val="21"/>
        </w:rPr>
        <w:t>1.1 卖方应保证合同项下所供货物是全新的、未使用过的，是目前仍在生产的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pStyle w:val="null3"/>
        <w:ind w:left="420"/>
        <w:jc w:val="both"/>
      </w:pPr>
      <w:r>
        <w:rPr>
          <w:sz w:val="21"/>
        </w:rPr>
        <w:t>1.2 上述保证在货物验收合格交付买方使用之日起附件3《合同资料表》规定的质量保证期内有效，质量保证期一般为</w:t>
      </w:r>
      <w:r>
        <w:rPr>
          <w:sz w:val="21"/>
          <w:u w:val="single"/>
        </w:rPr>
        <w:t xml:space="preserve">   </w:t>
      </w:r>
      <w:r>
        <w:rPr>
          <w:sz w:val="21"/>
        </w:rPr>
        <w:t>年（如货物有特殊质保期要求的，按具体要求执行），在质保期内卖方提供货物正常使用情况下的维修及保养服务，一切维修、维护、保养费用均由卖方负责。任何时候，卖方均不能免除因设备本身的缺陷所应负的责任。在质保</w:t>
      </w:r>
      <w:r>
        <w:rPr>
          <w:sz w:val="21"/>
        </w:rPr>
        <w:t>期内</w:t>
      </w:r>
      <w:r>
        <w:rPr>
          <w:sz w:val="21"/>
        </w:rPr>
        <w:t>如设备或零部件因不可抗因素</w:t>
      </w:r>
      <w:r>
        <w:rPr>
          <w:sz w:val="21"/>
        </w:rPr>
        <w:t>造成损害、</w:t>
      </w:r>
      <w:r>
        <w:rPr>
          <w:sz w:val="21"/>
        </w:rPr>
        <w:t>故障而造成短期停用时，则质保期和免费维修期相应顺延。如停用时间累计超过</w:t>
      </w:r>
      <w:r>
        <w:rPr>
          <w:sz w:val="21"/>
        </w:rPr>
        <w:t>60天则质保期重新计算。</w:t>
      </w:r>
    </w:p>
    <w:p>
      <w:pPr>
        <w:pStyle w:val="null3"/>
        <w:ind w:left="420"/>
        <w:jc w:val="both"/>
      </w:pPr>
      <w:r>
        <w:rPr>
          <w:sz w:val="21"/>
        </w:rPr>
        <w:t>1.3 货物</w:t>
      </w:r>
      <w:r>
        <w:rPr>
          <w:sz w:val="21"/>
        </w:rPr>
        <w:t>在</w:t>
      </w:r>
      <w:r>
        <w:rPr>
          <w:sz w:val="21"/>
        </w:rPr>
        <w:t>质保期内，卖方应</w:t>
      </w:r>
      <w:r>
        <w:rPr>
          <w:sz w:val="21"/>
        </w:rPr>
        <w:t>无条件</w:t>
      </w:r>
      <w:r>
        <w:rPr>
          <w:sz w:val="21"/>
        </w:rPr>
        <w:t>向买方提供技术支持与上门服务。卖方在接到买方的货物故障报修通知后，</w:t>
      </w:r>
      <w:r>
        <w:rPr>
          <w:sz w:val="21"/>
        </w:rPr>
        <w:t>2小时内响应，4小时内到达维修现场并到位检修，在12小时内修复；特殊情况在48小时内无法修复的，将在72小时内提供不低于原使用等级的、计量检定合格的备用货物给买方免费使用以维持工作。</w:t>
      </w:r>
    </w:p>
    <w:p>
      <w:pPr>
        <w:pStyle w:val="null3"/>
        <w:ind w:left="420"/>
        <w:jc w:val="both"/>
      </w:pPr>
      <w:r>
        <w:rPr>
          <w:sz w:val="21"/>
        </w:rPr>
        <w:t>1.4 买方在质量保证期内发现缺陷应尽快以书面形式通知卖方。对质保期内的故障报修，卖方应按其投标文件响应方案设定服务热线或专人直线，保证在接到报障后按上款规定执行更换有缺陷的货物或部件、排除故障。</w:t>
      </w:r>
    </w:p>
    <w:p>
      <w:pPr>
        <w:pStyle w:val="null3"/>
        <w:ind w:left="420"/>
        <w:jc w:val="both"/>
      </w:pPr>
      <w:r>
        <w:rPr>
          <w:sz w:val="21"/>
        </w:rPr>
        <w:t>1.5 对质保期内的故障报修，如卖方未能做到上述1.3、1.4款的服务承诺，买方可采取必要的补救措施，但其风险和费用由卖方承担，买方根据合同规定对卖方行使的其它权力不受影响。由于卖方的保证服务不到位导致货物不能正常使用的，质保期的到期时间将按货物不能正常使用的时间相应顺延。</w:t>
      </w:r>
    </w:p>
    <w:p>
      <w:pPr>
        <w:pStyle w:val="null3"/>
        <w:ind w:left="420"/>
        <w:jc w:val="both"/>
      </w:pPr>
      <w:r>
        <w:rPr>
          <w:sz w:val="21"/>
        </w:rPr>
        <w:t>1.6 质保期内因用户使用、管理不当所造成的损失由买方承担，卖方提供有偿服务。</w:t>
      </w:r>
    </w:p>
    <w:p>
      <w:pPr>
        <w:pStyle w:val="null3"/>
        <w:ind w:left="420"/>
        <w:jc w:val="both"/>
      </w:pPr>
      <w:r>
        <w:rPr>
          <w:sz w:val="21"/>
        </w:rPr>
        <w:t>1.7 质保期</w:t>
      </w:r>
      <w:r>
        <w:rPr>
          <w:sz w:val="21"/>
        </w:rPr>
        <w:t>内</w:t>
      </w:r>
      <w:r>
        <w:rPr>
          <w:sz w:val="21"/>
        </w:rPr>
        <w:t>对于不能明确是否是本次采购所提供软硬件设备出现故障时，卖方应无条件配合买方进行检查和排除问题。</w:t>
      </w:r>
    </w:p>
    <w:p>
      <w:pPr>
        <w:pStyle w:val="null3"/>
        <w:jc w:val="both"/>
      </w:pPr>
      <w:r>
        <w:rPr>
          <w:sz w:val="21"/>
        </w:rPr>
        <w:t>2. 质量保证期后服务</w:t>
      </w:r>
    </w:p>
    <w:p>
      <w:pPr>
        <w:pStyle w:val="null3"/>
        <w:ind w:left="420"/>
        <w:jc w:val="both"/>
      </w:pPr>
      <w:r>
        <w:rPr>
          <w:sz w:val="21"/>
        </w:rPr>
        <w:t>2.1 质保期满后，若产品有危害人身安全和健康的产品质量问题，则由卖方负责更换及维修。</w:t>
      </w:r>
    </w:p>
    <w:p>
      <w:pPr>
        <w:pStyle w:val="null3"/>
        <w:ind w:left="420"/>
        <w:jc w:val="both"/>
      </w:pPr>
      <w:r>
        <w:rPr>
          <w:sz w:val="21"/>
        </w:rPr>
        <w:t>2.2 质保期满后，应买方要求，卖方应（参考当时的市场价格）按优惠价格与买方签订定期维修保养合同及提供买方所需零配件。</w:t>
      </w:r>
    </w:p>
    <w:p>
      <w:pPr>
        <w:pStyle w:val="null3"/>
        <w:ind w:left="420"/>
        <w:jc w:val="both"/>
      </w:pPr>
      <w:r>
        <w:rPr>
          <w:sz w:val="21"/>
        </w:rPr>
        <w:t>2.3 在备件停止生产的情况下，卖方应事先将要停止生产的计划通知买方，使买方有足够的时间采购所需备件；在备件停止生产后，卖方应向买方提供备件的图纸、资料。</w:t>
      </w:r>
    </w:p>
    <w:p>
      <w:pPr>
        <w:pStyle w:val="null3"/>
        <w:jc w:val="both"/>
      </w:pPr>
      <w:r>
        <w:rPr>
          <w:sz w:val="21"/>
          <w:b/>
        </w:rPr>
        <w:t>十</w:t>
      </w:r>
      <w:r>
        <w:rPr>
          <w:sz w:val="21"/>
          <w:b/>
        </w:rPr>
        <w:t>七</w:t>
      </w:r>
      <w:r>
        <w:rPr>
          <w:sz w:val="21"/>
          <w:b/>
        </w:rPr>
        <w:t>、索赔</w:t>
      </w:r>
    </w:p>
    <w:p>
      <w:pPr>
        <w:pStyle w:val="null3"/>
        <w:ind w:firstLine="420"/>
        <w:jc w:val="both"/>
      </w:pPr>
      <w:r>
        <w:rPr>
          <w:sz w:val="21"/>
        </w:rPr>
        <w:t>卖方对所供货物与合同要求不符或缺陷负有责任，如经检验证实不符或缺陷存在的，买方可根据本合同有关质量保证或检验、安装、调试的规定，提出索赔，卖方同意买方选择下述一种或多种结合的方法解决索赔事宜：</w:t>
      </w:r>
    </w:p>
    <w:p>
      <w:pPr>
        <w:pStyle w:val="null3"/>
        <w:ind w:left="315"/>
        <w:jc w:val="both"/>
      </w:pPr>
      <w:r>
        <w:rPr>
          <w:sz w:val="21"/>
        </w:rPr>
        <w:t>1.买方退货，卖方将货物被拒收前买方已付的所有款项退还买方，卖方承担由此发生的一切损失和费用，包括违约金、利息、银行手续费、运费、保险费、检验费、仓储费、装卸费以及为保管、维护和退回被拒收货物所发生的其它必要费用。</w:t>
      </w:r>
    </w:p>
    <w:p>
      <w:pPr>
        <w:pStyle w:val="null3"/>
        <w:ind w:left="315"/>
        <w:jc w:val="both"/>
      </w:pPr>
      <w:r>
        <w:rPr>
          <w:sz w:val="21"/>
        </w:rPr>
        <w:t>2. 根据货物的疵劣和受损程度以及买方因此遭受损失的金额，经买卖双方商定，降低货物成交价格。</w:t>
      </w:r>
    </w:p>
    <w:p>
      <w:pPr>
        <w:pStyle w:val="null3"/>
        <w:ind w:left="315"/>
        <w:jc w:val="both"/>
      </w:pPr>
      <w:r>
        <w:rPr>
          <w:sz w:val="21"/>
        </w:rPr>
        <w:t>3. 用符合合同规定的规格、质量和性能要求的新零件、部件和/或货物来更换有缺陷的部分和/或修补缺陷部分，以使货物达到合同规定的规格、质量和性能，卖方承担一切费用和风险并负担买方遭受的一切损失。同时卖方相应延长被更换货物的质保期。</w:t>
      </w:r>
    </w:p>
    <w:p>
      <w:pPr>
        <w:pStyle w:val="null3"/>
        <w:ind w:left="315"/>
        <w:jc w:val="both"/>
      </w:pPr>
      <w:r>
        <w:rPr>
          <w:sz w:val="21"/>
        </w:rPr>
        <w:t>4. 卖方收到索赔通知后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w:t>
      </w:r>
      <w:r>
        <w:rPr>
          <w:sz w:val="21"/>
          <w:b/>
        </w:rPr>
        <w:t>八</w:t>
      </w:r>
      <w:r>
        <w:rPr>
          <w:sz w:val="21"/>
          <w:b/>
        </w:rPr>
        <w:t>、不可抗力</w:t>
      </w:r>
    </w:p>
    <w:p>
      <w:pPr>
        <w:pStyle w:val="null3"/>
        <w:ind w:left="315"/>
        <w:jc w:val="both"/>
      </w:pPr>
      <w:r>
        <w:rPr>
          <w:sz w:val="21"/>
        </w:rPr>
        <w:t>1. 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诸如战争、严重水灾、洪水、台风、地震等。</w:t>
      </w:r>
    </w:p>
    <w:p>
      <w:pPr>
        <w:pStyle w:val="null3"/>
        <w:ind w:left="315"/>
        <w:jc w:val="both"/>
      </w:pPr>
      <w:r>
        <w:rPr>
          <w:sz w:val="21"/>
        </w:rPr>
        <w:t>2. 受阻一方应在不可抗力事件结束后1个工作日内向对方通报，并在不可抗力事件发生后14个工作日内将有关部门出具的证明文件用特快专递或挂号信寄给对方审阅确认。一旦不可抗力事件的影响持续60天以上，双方应通过友好协商方式在合理的时间内达成进一步履行合同的协议或解除合同。</w:t>
      </w:r>
    </w:p>
    <w:p>
      <w:pPr>
        <w:pStyle w:val="null3"/>
        <w:jc w:val="both"/>
      </w:pPr>
      <w:r>
        <w:rPr>
          <w:sz w:val="21"/>
          <w:b/>
        </w:rPr>
        <w:t>十</w:t>
      </w:r>
      <w:r>
        <w:rPr>
          <w:sz w:val="21"/>
          <w:b/>
        </w:rPr>
        <w:t>九</w:t>
      </w:r>
      <w:r>
        <w:rPr>
          <w:sz w:val="21"/>
          <w:b/>
        </w:rPr>
        <w:t>、违约责任与逾期交货、提供服务及逾期付款的赔偿</w:t>
      </w:r>
    </w:p>
    <w:p>
      <w:pPr>
        <w:pStyle w:val="null3"/>
        <w:jc w:val="both"/>
      </w:pPr>
      <w:r>
        <w:rPr>
          <w:sz w:val="21"/>
        </w:rPr>
        <w:t>1.卖方交付的货物、工程</w:t>
      </w:r>
      <w:r>
        <w:rPr>
          <w:sz w:val="21"/>
        </w:rPr>
        <w:t>/提供的服务任何一项不符合采购文件、报价文件或本合同规定的，买方有权拒收合同所有货物、工程/提供的服务，并且卖方须向买方支付本合同总价</w:t>
      </w:r>
      <w:r>
        <w:rPr>
          <w:sz w:val="21"/>
        </w:rPr>
        <w:t>5</w:t>
      </w:r>
      <w:r>
        <w:rPr>
          <w:sz w:val="21"/>
        </w:rPr>
        <w:t>%的违约金；若买方接收后，发现卖方交付的货物、工程/提供的服务不符合采购文件、报价文件或本合同规定的，买方有权退回卖方，若卖方拒绝接收的，由卖方承担货物灭失的风险，并且卖方需赔偿买方全部损失及支付本合同总价</w:t>
      </w:r>
      <w:r>
        <w:rPr>
          <w:sz w:val="21"/>
        </w:rPr>
        <w:t>5</w:t>
      </w:r>
      <w:r>
        <w:rPr>
          <w:sz w:val="21"/>
        </w:rPr>
        <w:t>%的违约金，因退货产生的一切费用由卖方承担；由瑕疵货物的使用导致的其它经济损失，买方有权要求卖方赔偿。</w:t>
      </w:r>
    </w:p>
    <w:p>
      <w:pPr>
        <w:pStyle w:val="null3"/>
        <w:jc w:val="both"/>
      </w:pPr>
      <w:r>
        <w:rPr>
          <w:sz w:val="21"/>
        </w:rPr>
        <w:t>2.除不可抗力因素外，如果卖方不能按照合同规定或者</w:t>
      </w:r>
      <w:r>
        <w:rPr>
          <w:sz w:val="21"/>
        </w:rPr>
        <w:t>买方要求</w:t>
      </w:r>
      <w:r>
        <w:rPr>
          <w:sz w:val="21"/>
        </w:rPr>
        <w:t>的时间提供</w:t>
      </w:r>
      <w:r>
        <w:rPr>
          <w:sz w:val="21"/>
        </w:rPr>
        <w:t>服务</w:t>
      </w:r>
      <w:r>
        <w:rPr>
          <w:sz w:val="21"/>
        </w:rPr>
        <w:t>（包括但不限于供货、服务、开具符合买方要求的银行保函等各类卖方义务），应及时以书面形式将延迟的事实、可能延迟的时间和原因通知买方。买方收到卖方通知后，将尽快作出评价，决定是否同意延期及收取误期违约金。违约金</w:t>
      </w:r>
      <w:r>
        <w:rPr>
          <w:sz w:val="21"/>
        </w:rPr>
        <w:t>可以</w:t>
      </w:r>
      <w:r>
        <w:rPr>
          <w:sz w:val="21"/>
        </w:rPr>
        <w:t>按照买方已</w:t>
      </w:r>
      <w:r>
        <w:rPr>
          <w:sz w:val="21"/>
        </w:rPr>
        <w:t>付货款总额</w:t>
      </w:r>
      <w:r>
        <w:rPr>
          <w:sz w:val="21"/>
        </w:rPr>
        <w:t>的</w:t>
      </w:r>
      <w:r>
        <w:rPr>
          <w:sz w:val="21"/>
        </w:rPr>
        <w:t>0.</w:t>
      </w:r>
      <w:r>
        <w:rPr>
          <w:sz w:val="21"/>
        </w:rPr>
        <w:t>5</w:t>
      </w:r>
      <w:r>
        <w:rPr>
          <w:sz w:val="21"/>
        </w:rPr>
        <w:t>‰/天计算，</w:t>
      </w:r>
      <w:r>
        <w:rPr>
          <w:sz w:val="21"/>
        </w:rPr>
        <w:t>也可以</w:t>
      </w:r>
      <w:r>
        <w:rPr>
          <w:sz w:val="21"/>
        </w:rPr>
        <w:t>根据</w:t>
      </w:r>
      <w:r>
        <w:rPr>
          <w:sz w:val="21"/>
        </w:rPr>
        <w:t>影响</w:t>
      </w:r>
      <w:r>
        <w:rPr>
          <w:sz w:val="21"/>
        </w:rPr>
        <w:t>程度</w:t>
      </w:r>
      <w:r>
        <w:rPr>
          <w:sz w:val="21"/>
        </w:rPr>
        <w:t>按照每天</w:t>
      </w:r>
      <w:r>
        <w:rPr>
          <w:sz w:val="21"/>
        </w:rPr>
        <w:t>100元～1000元标准计算</w:t>
      </w:r>
      <w:r>
        <w:rPr>
          <w:sz w:val="21"/>
        </w:rPr>
        <w:t>，由</w:t>
      </w:r>
      <w:r>
        <w:rPr>
          <w:sz w:val="21"/>
        </w:rPr>
        <w:t>买方</w:t>
      </w:r>
      <w:r>
        <w:rPr>
          <w:sz w:val="21"/>
        </w:rPr>
        <w:t>根据实际情况选择具体的</w:t>
      </w:r>
      <w:r>
        <w:rPr>
          <w:sz w:val="21"/>
        </w:rPr>
        <w:t>计算</w:t>
      </w:r>
      <w:r>
        <w:rPr>
          <w:sz w:val="21"/>
        </w:rPr>
        <w:t>方式</w:t>
      </w:r>
      <w:r>
        <w:rPr>
          <w:sz w:val="21"/>
        </w:rPr>
        <w:t>。误期违约金可从合同未付款中扣除或者向保函担保方提出索赔。误期期限为</w:t>
      </w:r>
      <w:r>
        <w:rPr>
          <w:sz w:val="21"/>
        </w:rPr>
        <w:t>30天，一旦达此限期，买方有权解除部分或全部合同（误期违约金计算至合同相应权利义务终止），此时如果买方按合同实际支付了预付款的，买方有权选择要求卖方按预付款金额标准立即支付违约金。如按上述办法计算的违约金仍不足以补偿因卖方违约造成的损失，买方有权进一步向卖方提出索赔。</w:t>
      </w:r>
    </w:p>
    <w:p>
      <w:pPr>
        <w:pStyle w:val="null3"/>
        <w:ind w:left="315"/>
        <w:jc w:val="both"/>
      </w:pPr>
      <w:r>
        <w:rPr>
          <w:sz w:val="21"/>
        </w:rPr>
        <w:t>3. 如果买方不能按合同约定支付预付款，则卖方有权延期交货；迟付期限为30天，一旦达此限期，卖方有权解除合同，并要求买方按应付未付款项部分0.</w:t>
      </w:r>
      <w:r>
        <w:rPr>
          <w:sz w:val="21"/>
        </w:rPr>
        <w:t>5</w:t>
      </w:r>
      <w:r>
        <w:rPr>
          <w:sz w:val="21"/>
        </w:rPr>
        <w:t>‰/天计算违约金。买方未按合同约定期限支付货款的，也应支付违约金。违约金按拖欠款部分金额的0.</w:t>
      </w:r>
      <w:r>
        <w:rPr>
          <w:sz w:val="21"/>
        </w:rPr>
        <w:t>5</w:t>
      </w:r>
      <w:r>
        <w:rPr>
          <w:sz w:val="21"/>
        </w:rPr>
        <w:t>‰/天计算。超过合同付款期限30天买方仍不付款，且造成卖方损失的，买方应支付赔偿予卖方。</w:t>
      </w:r>
    </w:p>
    <w:p>
      <w:pPr>
        <w:pStyle w:val="null3"/>
        <w:ind w:left="315"/>
        <w:jc w:val="both"/>
      </w:pPr>
      <w:r>
        <w:rPr>
          <w:sz w:val="21"/>
        </w:rPr>
        <w:t>4</w:t>
      </w:r>
      <w:r>
        <w:rPr>
          <w:sz w:val="21"/>
        </w:rPr>
        <w:t>. 本合同中对于买方付款和卖方交付使用有先决条件约定的，按约定执行。</w:t>
      </w:r>
    </w:p>
    <w:p>
      <w:pPr>
        <w:pStyle w:val="null3"/>
        <w:jc w:val="both"/>
      </w:pPr>
      <w:r>
        <w:rPr>
          <w:sz w:val="21"/>
          <w:b/>
        </w:rPr>
        <w:t>二十</w:t>
      </w:r>
      <w:r>
        <w:rPr>
          <w:sz w:val="21"/>
          <w:b/>
        </w:rPr>
        <w:t>、合同变更</w:t>
      </w:r>
    </w:p>
    <w:p>
      <w:pPr>
        <w:pStyle w:val="null3"/>
        <w:ind w:left="315"/>
        <w:jc w:val="both"/>
      </w:pPr>
      <w:r>
        <w:rPr>
          <w:sz w:val="21"/>
        </w:rPr>
        <w:t>1. 卖方根据现场实际或施工情况，发现合同原计划或方案不尽合理，确实需变更原合同约定的货物的，应及时通知买方，并提出变更理由、修正方案及变更清单，经双方协商并签署有关文件（作为合同附件）后实施。</w:t>
      </w:r>
    </w:p>
    <w:p>
      <w:pPr>
        <w:pStyle w:val="null3"/>
        <w:ind w:left="315"/>
        <w:jc w:val="both"/>
      </w:pPr>
      <w:r>
        <w:rPr>
          <w:sz w:val="21"/>
        </w:rPr>
        <w:t>2. 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30天内提出。</w:t>
      </w:r>
    </w:p>
    <w:p>
      <w:pPr>
        <w:pStyle w:val="null3"/>
        <w:ind w:left="315"/>
        <w:jc w:val="both"/>
      </w:pPr>
      <w:r>
        <w:rPr>
          <w:sz w:val="21"/>
        </w:rPr>
        <w:t>3. 无论是按原合同要求或是根据现场实际情况作出变更所提供货物，卖方都不能免除其对货物应承担的责任。</w:t>
      </w:r>
    </w:p>
    <w:p>
      <w:pPr>
        <w:pStyle w:val="null3"/>
        <w:jc w:val="both"/>
      </w:pPr>
      <w:r>
        <w:rPr>
          <w:sz w:val="21"/>
          <w:b/>
        </w:rPr>
        <w:t>二十一、合同解除和终止</w:t>
      </w:r>
    </w:p>
    <w:p>
      <w:pPr>
        <w:pStyle w:val="null3"/>
        <w:jc w:val="both"/>
      </w:pPr>
      <w:r>
        <w:rPr>
          <w:sz w:val="21"/>
        </w:rPr>
        <w:t>1. 合同自然终止</w:t>
      </w:r>
    </w:p>
    <w:p>
      <w:pPr>
        <w:pStyle w:val="null3"/>
        <w:ind w:left="420" w:firstLine="2"/>
        <w:jc w:val="both"/>
      </w:pPr>
      <w:r>
        <w:rPr>
          <w:sz w:val="21"/>
        </w:rPr>
        <w:t>买卖双方各自完成合同规定的责任和义务，合同自然终止。</w:t>
      </w:r>
    </w:p>
    <w:p>
      <w:pPr>
        <w:pStyle w:val="null3"/>
        <w:jc w:val="both"/>
      </w:pPr>
      <w:r>
        <w:rPr>
          <w:sz w:val="21"/>
        </w:rPr>
        <w:t>2. 合同因国家利益和社会公共利益而解除或终止</w:t>
      </w:r>
    </w:p>
    <w:p>
      <w:pPr>
        <w:pStyle w:val="null3"/>
        <w:ind w:left="420"/>
        <w:jc w:val="both"/>
      </w:pPr>
      <w:r>
        <w:rPr>
          <w:sz w:val="21"/>
        </w:rPr>
        <w:t>2.1 买方可因合同继续履行将损害国家利益和社会公共利益向卖方发出书面通知终止或部分终止合同，终止通知应明确该终止合同是出于国家利益和社会公共利益，并明确合同终止的程度，以及终止的日期。</w:t>
      </w:r>
    </w:p>
    <w:p>
      <w:pPr>
        <w:pStyle w:val="null3"/>
        <w:ind w:left="420"/>
        <w:jc w:val="both"/>
      </w:pPr>
      <w:r>
        <w:rPr>
          <w:sz w:val="21"/>
        </w:rPr>
        <w:t>2.2 卖方在收到终止通知书后30天内完成已终止的合同标的货物的清运工作，否则买方不予保管。对于剩下的货物，买方应按合同价格和条款予以接收，买方可选择：</w:t>
      </w:r>
    </w:p>
    <w:p>
      <w:pPr>
        <w:pStyle w:val="null3"/>
        <w:ind w:left="420"/>
        <w:jc w:val="both"/>
      </w:pPr>
      <w:r>
        <w:rPr>
          <w:sz w:val="21"/>
        </w:rPr>
        <w:t>（</w:t>
      </w:r>
      <w:r>
        <w:rPr>
          <w:sz w:val="21"/>
        </w:rPr>
        <w:t>1）仅对剩下部分货物按照原来合同价格和条款予以接收；</w:t>
      </w:r>
    </w:p>
    <w:p>
      <w:pPr>
        <w:pStyle w:val="null3"/>
        <w:ind w:left="420"/>
        <w:jc w:val="both"/>
      </w:pPr>
      <w:r>
        <w:rPr>
          <w:sz w:val="21"/>
        </w:rPr>
        <w:t>（</w:t>
      </w:r>
      <w:r>
        <w:rPr>
          <w:sz w:val="21"/>
        </w:rPr>
        <w:t>2）终止整个合同，有过错方按合同相关规定赔付违约金。</w:t>
      </w:r>
    </w:p>
    <w:p>
      <w:pPr>
        <w:pStyle w:val="null3"/>
        <w:ind w:left="420"/>
        <w:jc w:val="left"/>
      </w:pPr>
      <w:r>
        <w:rPr>
          <w:sz w:val="21"/>
        </w:rPr>
        <w:t xml:space="preserve">3. </w:t>
      </w:r>
      <w:r>
        <w:rPr>
          <w:sz w:val="21"/>
        </w:rPr>
        <w:t>合同因卖方违约违规而解除合同</w:t>
      </w:r>
    </w:p>
    <w:p>
      <w:pPr>
        <w:pStyle w:val="null3"/>
        <w:ind w:firstLine="420"/>
        <w:jc w:val="both"/>
      </w:pPr>
      <w:r>
        <w:rPr>
          <w:sz w:val="21"/>
        </w:rPr>
        <w:t>卖方以下违约违规行为经买方限期补救、纠正仍未能及时完成的，属于合同继续履行将损害国家利益和社会公共利益的情形，买方可向卖方发出书面的违约通知书，提出解除部分或全部合同：</w:t>
      </w:r>
    </w:p>
    <w:p>
      <w:pPr>
        <w:pStyle w:val="null3"/>
        <w:ind w:left="420"/>
        <w:jc w:val="both"/>
      </w:pPr>
      <w:r>
        <w:rPr>
          <w:sz w:val="21"/>
        </w:rPr>
        <w:t>3.1 卖方未能在合同规定的期限内提供符合验收标准的货物（参见本合同有关逾期交货的条款），在买方发函催告期限内（如无指定期限则在签收催告函之日起</w:t>
      </w:r>
      <w:r>
        <w:rPr>
          <w:sz w:val="21"/>
        </w:rPr>
        <w:t>15</w:t>
      </w:r>
      <w:r>
        <w:rPr>
          <w:sz w:val="21"/>
        </w:rPr>
        <w:t>个日历天内）仍未完成；</w:t>
      </w:r>
    </w:p>
    <w:p>
      <w:pPr>
        <w:pStyle w:val="null3"/>
        <w:ind w:left="420"/>
        <w:jc w:val="both"/>
      </w:pPr>
      <w:r>
        <w:rPr>
          <w:sz w:val="21"/>
        </w:rPr>
        <w:t>3.2 卖方未能履行合同规定的其它任何义务，在买方发函催告期限内（如无指定期限则在签收催告函之日起15个日历天内）仍未完成；</w:t>
      </w:r>
    </w:p>
    <w:p>
      <w:pPr>
        <w:pStyle w:val="null3"/>
        <w:ind w:left="420"/>
        <w:jc w:val="both"/>
      </w:pPr>
      <w:r>
        <w:rPr>
          <w:sz w:val="21"/>
        </w:rPr>
        <w:t>3.3 买方认为卖方在本合同的投标竞争和实施过程中有违反有关政府采购的法律、法规，涉嫌用不正当手段影响买方采购过程，包括谎报或隐瞒事实、损害买方利益、干扰买方、评委、集中采购机构的招标、评标等行为。</w:t>
      </w:r>
    </w:p>
    <w:p>
      <w:pPr>
        <w:pStyle w:val="null3"/>
        <w:jc w:val="both"/>
      </w:pPr>
      <w:r>
        <w:rPr>
          <w:sz w:val="21"/>
        </w:rPr>
        <w:t>4. 因卖方破产而解除合同</w:t>
      </w:r>
    </w:p>
    <w:p>
      <w:pPr>
        <w:pStyle w:val="null3"/>
        <w:ind w:firstLine="420"/>
        <w:jc w:val="both"/>
      </w:pPr>
      <w:r>
        <w:rPr>
          <w:sz w:val="21"/>
        </w:rPr>
        <w:t>如果卖方破产或无清偿能力，买方可在任何时候以书面形式通知卖方，提出解除合同而不给卖方补偿。该合同的解除将不损害或影响买方已经采取或将要采取的任何行动或补救措施的权力。</w:t>
      </w:r>
    </w:p>
    <w:p>
      <w:pPr>
        <w:pStyle w:val="null3"/>
        <w:jc w:val="both"/>
      </w:pPr>
      <w:r>
        <w:rPr>
          <w:sz w:val="21"/>
          <w:b/>
        </w:rPr>
        <w:t>二十</w:t>
      </w:r>
      <w:r>
        <w:rPr>
          <w:sz w:val="21"/>
          <w:b/>
        </w:rPr>
        <w:t>二</w:t>
      </w:r>
      <w:r>
        <w:rPr>
          <w:sz w:val="21"/>
          <w:b/>
        </w:rPr>
        <w:t>、争端的解决</w:t>
      </w:r>
    </w:p>
    <w:p>
      <w:pPr>
        <w:pStyle w:val="null3"/>
        <w:ind w:left="315"/>
        <w:jc w:val="both"/>
      </w:pPr>
      <w:r>
        <w:rPr>
          <w:sz w:val="21"/>
        </w:rPr>
        <w:t>1. 凡与本合同有关的一切争议，买卖双方应首先通过友好协商方式解决，如经协商后仍不能达成协议时，任何一方可以向法院提出诉讼。</w:t>
      </w:r>
    </w:p>
    <w:p>
      <w:pPr>
        <w:pStyle w:val="null3"/>
        <w:ind w:left="315"/>
        <w:jc w:val="both"/>
      </w:pPr>
      <w:r>
        <w:rPr>
          <w:sz w:val="21"/>
        </w:rPr>
        <w:t>2. 本合同的诉讼管辖机关为</w:t>
      </w:r>
      <w:r>
        <w:rPr>
          <w:sz w:val="21"/>
          <w:u w:val="single"/>
        </w:rPr>
        <w:t xml:space="preserve">  </w:t>
      </w:r>
      <w:r>
        <w:rPr>
          <w:sz w:val="21"/>
          <w:u w:val="single"/>
        </w:rPr>
        <w:t>买方所在地法院</w:t>
      </w:r>
      <w:r>
        <w:rPr>
          <w:sz w:val="21"/>
          <w:u w:val="single"/>
        </w:rPr>
        <w:t xml:space="preserve">  </w:t>
      </w:r>
      <w:r>
        <w:rPr>
          <w:sz w:val="21"/>
        </w:rPr>
        <w:t>。</w:t>
      </w:r>
    </w:p>
    <w:p>
      <w:pPr>
        <w:pStyle w:val="null3"/>
        <w:ind w:left="315"/>
        <w:jc w:val="both"/>
      </w:pPr>
      <w:r>
        <w:rPr>
          <w:sz w:val="21"/>
        </w:rPr>
        <w:t>3. 在法院审理期间，除提交法院审理的事项外，合同其他部分仍应继续履行。</w:t>
      </w:r>
    </w:p>
    <w:p>
      <w:pPr>
        <w:pStyle w:val="null3"/>
        <w:jc w:val="both"/>
      </w:pPr>
      <w:r>
        <w:rPr>
          <w:sz w:val="21"/>
          <w:b/>
        </w:rPr>
        <w:t>二十</w:t>
      </w:r>
      <w:r>
        <w:rPr>
          <w:sz w:val="21"/>
          <w:b/>
        </w:rPr>
        <w:t>三</w:t>
      </w:r>
      <w:r>
        <w:rPr>
          <w:sz w:val="21"/>
          <w:b/>
        </w:rPr>
        <w:t>、适用法律</w:t>
      </w:r>
    </w:p>
    <w:p>
      <w:pPr>
        <w:pStyle w:val="null3"/>
        <w:jc w:val="both"/>
      </w:pPr>
      <w:r>
        <w:rPr>
          <w:sz w:val="21"/>
        </w:rPr>
        <w:t>1. 本合同按照中华人民共和国的法律进行解释。</w:t>
      </w:r>
    </w:p>
    <w:p>
      <w:pPr>
        <w:pStyle w:val="null3"/>
        <w:jc w:val="both"/>
      </w:pPr>
      <w:r>
        <w:rPr>
          <w:sz w:val="21"/>
          <w:b/>
        </w:rPr>
        <w:t>二十</w:t>
      </w:r>
      <w:r>
        <w:rPr>
          <w:sz w:val="21"/>
          <w:b/>
        </w:rPr>
        <w:t>四</w:t>
      </w:r>
      <w:r>
        <w:rPr>
          <w:sz w:val="21"/>
          <w:b/>
        </w:rPr>
        <w:t>、通知</w:t>
      </w:r>
    </w:p>
    <w:p>
      <w:pPr>
        <w:pStyle w:val="null3"/>
        <w:ind w:left="315"/>
        <w:jc w:val="both"/>
      </w:pPr>
      <w:r>
        <w:rPr>
          <w:sz w:val="21"/>
        </w:rPr>
        <w:t xml:space="preserve">1. </w:t>
      </w:r>
      <w:r>
        <w:rPr>
          <w:sz w:val="21"/>
        </w:rPr>
        <w:t>本合同一方给对方的通知应用书面形式送达附件</w:t>
      </w:r>
      <w:r>
        <w:rPr>
          <w:sz w:val="21"/>
        </w:rPr>
        <w:t>3</w:t>
      </w:r>
      <w:r>
        <w:rPr>
          <w:sz w:val="21"/>
        </w:rPr>
        <w:t>《合同资料表》规定的对方的地址或电子邮箱，</w:t>
      </w:r>
      <w:r>
        <w:rPr>
          <w:sz w:val="21"/>
        </w:rPr>
        <w:t>传真要经对方的书面形式确认。</w:t>
      </w:r>
    </w:p>
    <w:p>
      <w:pPr>
        <w:pStyle w:val="null3"/>
        <w:ind w:left="315"/>
        <w:jc w:val="both"/>
      </w:pPr>
      <w:r>
        <w:rPr>
          <w:sz w:val="21"/>
        </w:rPr>
        <w:t>2. 通知以送达日期为生效日期。</w:t>
      </w:r>
    </w:p>
    <w:p>
      <w:pPr>
        <w:pStyle w:val="null3"/>
        <w:jc w:val="both"/>
      </w:pPr>
      <w:r>
        <w:rPr>
          <w:sz w:val="21"/>
          <w:b/>
        </w:rPr>
        <w:t>二十</w:t>
      </w:r>
      <w:r>
        <w:rPr>
          <w:sz w:val="21"/>
          <w:b/>
        </w:rPr>
        <w:t>五</w:t>
      </w:r>
      <w:r>
        <w:rPr>
          <w:sz w:val="21"/>
          <w:b/>
        </w:rPr>
        <w:t>、税和关税</w:t>
      </w:r>
    </w:p>
    <w:p>
      <w:pPr>
        <w:pStyle w:val="null3"/>
        <w:jc w:val="both"/>
      </w:pPr>
      <w:r>
        <w:rPr>
          <w:sz w:val="21"/>
        </w:rPr>
        <w:t>1. 根据中华人民共和国现行税法的有关规定执行，所有税务由卖方承担。</w:t>
      </w:r>
    </w:p>
    <w:p>
      <w:pPr>
        <w:pStyle w:val="null3"/>
        <w:jc w:val="both"/>
      </w:pPr>
      <w:r>
        <w:rPr>
          <w:sz w:val="21"/>
          <w:b/>
        </w:rPr>
        <w:t>二十</w:t>
      </w:r>
      <w:r>
        <w:rPr>
          <w:sz w:val="21"/>
          <w:b/>
        </w:rPr>
        <w:t>六</w:t>
      </w:r>
      <w:r>
        <w:rPr>
          <w:sz w:val="21"/>
          <w:b/>
        </w:rPr>
        <w:t>、合同生效</w:t>
      </w:r>
    </w:p>
    <w:p>
      <w:pPr>
        <w:pStyle w:val="null3"/>
        <w:ind w:left="315"/>
        <w:jc w:val="both"/>
      </w:pPr>
      <w:r>
        <w:rPr>
          <w:sz w:val="21"/>
        </w:rPr>
        <w:t>1</w:t>
      </w:r>
      <w:r>
        <w:rPr>
          <w:sz w:val="21"/>
        </w:rPr>
        <w:t xml:space="preserve">. </w:t>
      </w:r>
      <w:r>
        <w:rPr>
          <w:sz w:val="21"/>
        </w:rPr>
        <w:t>合同经双方授权代表签字盖章后生效，合同签署日期以较迟签注的日期为准。中标后，其他投标人对招标过程、中标结果、供应商资质或者其他事项提出询问或者质疑，有可能影响中标、成交结果的，买方有权暂停签订采购合同，已签订合同的，买方有权中止履行合同，直至质疑、询问事宜已经妥善解决。如处理结果直接影响到中标、成交结果的，买方按照《政府采购质疑和投诉办法》（财政部令第</w:t>
      </w:r>
      <w:r>
        <w:rPr>
          <w:sz w:val="21"/>
        </w:rPr>
        <w:t>94号）有关规定执行相应措施。</w:t>
      </w:r>
    </w:p>
    <w:p>
      <w:pPr>
        <w:pStyle w:val="null3"/>
        <w:jc w:val="both"/>
      </w:pPr>
      <w:r>
        <w:rPr>
          <w:sz w:val="21"/>
          <w:b/>
        </w:rPr>
        <w:t>二十</w:t>
      </w:r>
      <w:r>
        <w:rPr>
          <w:sz w:val="21"/>
          <w:b/>
        </w:rPr>
        <w:t>七</w:t>
      </w:r>
      <w:r>
        <w:rPr>
          <w:sz w:val="21"/>
          <w:b/>
        </w:rPr>
        <w:t>、其它</w:t>
      </w:r>
    </w:p>
    <w:p>
      <w:pPr>
        <w:pStyle w:val="null3"/>
        <w:ind w:left="315"/>
        <w:jc w:val="both"/>
      </w:pPr>
      <w:r>
        <w:rPr>
          <w:sz w:val="21"/>
        </w:rPr>
        <w:t>1</w:t>
      </w:r>
      <w:r>
        <w:rPr>
          <w:sz w:val="21"/>
        </w:rPr>
        <w:t>. 卖方应事前确保买方完全掌握所购货物正确运行的必要条件、配件、附件或设施。</w:t>
      </w:r>
    </w:p>
    <w:p>
      <w:pPr>
        <w:pStyle w:val="null3"/>
        <w:ind w:left="315"/>
        <w:jc w:val="both"/>
      </w:pPr>
      <w:r>
        <w:rPr>
          <w:sz w:val="21"/>
        </w:rPr>
        <w:t>2</w:t>
      </w:r>
      <w:r>
        <w:rPr>
          <w:sz w:val="21"/>
        </w:rPr>
        <w:t>. 中标通知书、投标文件、招标文件及本合同之所有附件均为本合同的有效组成部分，与本合同具有同等法律效力，解释的顺序为：本合同（含补充协议、合同修改书、会议纪要、往来信函等履行本合同的相关补充文件）、中标通知书、投标文件（含投标函、商务和技术偏差表、分项报价表、投标设备技术性能指标的详细描述、技术服务和质保期服务计划等）、招标文件、其他文件。</w:t>
      </w:r>
    </w:p>
    <w:p>
      <w:pPr>
        <w:pStyle w:val="null3"/>
        <w:ind w:left="315"/>
        <w:jc w:val="both"/>
      </w:pPr>
      <w:r>
        <w:rPr>
          <w:sz w:val="21"/>
        </w:rPr>
        <w:t>3</w:t>
      </w:r>
      <w:r>
        <w:rPr>
          <w:sz w:val="21"/>
        </w:rPr>
        <w:t>. 在执行本合同的过程中，所有经买卖双方签署确认的文件（包括会议纪要、补充协议、合同修改书、往来信函等）均为本合同的有效组成部分，其生效日期为双方均签字盖章或确认之日期。</w:t>
      </w:r>
    </w:p>
    <w:p>
      <w:pPr>
        <w:pStyle w:val="null3"/>
        <w:ind w:left="315"/>
        <w:jc w:val="both"/>
      </w:pPr>
      <w:r>
        <w:rPr>
          <w:sz w:val="21"/>
        </w:rPr>
        <w:t>4</w:t>
      </w:r>
      <w:r>
        <w:rPr>
          <w:sz w:val="21"/>
        </w:rPr>
        <w:t>. 除买方事先以书面形式确认同意外，卖方不得部分或全部转让其应履行的合同项下的义务。</w:t>
      </w:r>
    </w:p>
    <w:p>
      <w:pPr>
        <w:pStyle w:val="null3"/>
        <w:ind w:left="315"/>
        <w:jc w:val="both"/>
      </w:pPr>
      <w:r>
        <w:rPr>
          <w:sz w:val="21"/>
        </w:rPr>
        <w:t>5. 如一方地址、电话、传真号码有变更，应在变更当日内书面通知对方，否则承担因由此造成文件、通知等无法送达的法律责任。</w:t>
      </w:r>
    </w:p>
    <w:p>
      <w:pPr>
        <w:pStyle w:val="null3"/>
        <w:ind w:left="315"/>
        <w:jc w:val="both"/>
      </w:pPr>
      <w:r>
        <w:rPr>
          <w:sz w:val="21"/>
        </w:rPr>
        <w:t>6. 本合同一式</w:t>
      </w:r>
      <w:r>
        <w:rPr>
          <w:sz w:val="21"/>
          <w:u w:val="single"/>
        </w:rPr>
        <w:t xml:space="preserve">  </w:t>
      </w:r>
      <w:r>
        <w:rPr>
          <w:sz w:val="21"/>
          <w:u w:val="single"/>
        </w:rPr>
        <w:t xml:space="preserve"> </w:t>
      </w:r>
      <w:r>
        <w:rPr>
          <w:sz w:val="21"/>
          <w:u w:val="single"/>
        </w:rPr>
        <w:t xml:space="preserve"> </w:t>
      </w:r>
      <w:r>
        <w:rPr>
          <w:sz w:val="21"/>
        </w:rPr>
        <w:t>份，买方执</w:t>
      </w:r>
      <w:r>
        <w:rPr>
          <w:sz w:val="21"/>
          <w:u w:val="single"/>
        </w:rPr>
        <w:t xml:space="preserve">  </w:t>
      </w:r>
      <w:r>
        <w:rPr>
          <w:sz w:val="21"/>
        </w:rPr>
        <w:t>份，卖方执</w:t>
      </w:r>
      <w:r>
        <w:rPr>
          <w:sz w:val="21"/>
          <w:u w:val="single"/>
        </w:rPr>
        <w:t xml:space="preserve">    </w:t>
      </w:r>
      <w:r>
        <w:rPr>
          <w:sz w:val="21"/>
        </w:rPr>
        <w:t>份，采购代理机构备案一份。</w:t>
      </w:r>
    </w:p>
    <w:p>
      <w:pPr>
        <w:pStyle w:val="null3"/>
        <w:ind w:left="315"/>
        <w:jc w:val="both"/>
      </w:pPr>
      <w:r>
        <w:rPr>
          <w:sz w:val="21"/>
        </w:rPr>
        <w:t>7. 本合同合计</w:t>
      </w:r>
      <w:r>
        <w:rPr>
          <w:sz w:val="21"/>
          <w:u w:val="single"/>
        </w:rPr>
        <w:t xml:space="preserve">  </w:t>
      </w:r>
      <w:r>
        <w:rPr>
          <w:sz w:val="21"/>
          <w:u w:val="single"/>
        </w:rPr>
        <w:t xml:space="preserve">    </w:t>
      </w:r>
      <w:r>
        <w:rPr>
          <w:sz w:val="21"/>
          <w:u w:val="single"/>
        </w:rPr>
        <w:t xml:space="preserve"> </w:t>
      </w:r>
      <w:r>
        <w:rPr>
          <w:sz w:val="21"/>
        </w:rPr>
        <w:t>页</w:t>
      </w:r>
      <w:r>
        <w:rPr>
          <w:sz w:val="21"/>
        </w:rPr>
        <w:t>A4纸张，缺页之合同为无效合同。</w:t>
      </w:r>
    </w:p>
    <w:p>
      <w:pPr>
        <w:pStyle w:val="null3"/>
        <w:jc w:val="both"/>
      </w:pPr>
      <w:r>
        <w:rPr>
          <w:sz w:val="21"/>
        </w:rPr>
        <w:t>（本页无正文）</w:t>
      </w:r>
    </w:p>
    <w:p>
      <w:pPr>
        <w:pStyle w:val="null3"/>
        <w:jc w:val="both"/>
      </w:pPr>
      <w:r>
        <w:rPr/>
        <w:t xml:space="preserve"> </w:t>
      </w:r>
    </w:p>
    <w:p>
      <w:pPr>
        <w:pStyle w:val="null3"/>
      </w:pPr>
      <w:r>
        <w:rPr>
          <w:sz w:val="21"/>
        </w:rPr>
        <w:t>买方（盖章）：</w:t>
      </w:r>
    </w:p>
    <w:p>
      <w:pPr>
        <w:pStyle w:val="null3"/>
        <w:jc w:val="both"/>
      </w:pPr>
      <w:r>
        <w:rPr>
          <w:sz w:val="21"/>
        </w:rPr>
        <w:t>买方授权代表（签字）：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送货联系人：</w:t>
      </w:r>
    </w:p>
    <w:p>
      <w:pPr>
        <w:pStyle w:val="null3"/>
        <w:jc w:val="both"/>
      </w:pPr>
      <w:r>
        <w:rPr>
          <w:sz w:val="21"/>
        </w:rPr>
        <w:t>联系人电话：</w:t>
      </w:r>
    </w:p>
    <w:p>
      <w:pPr>
        <w:pStyle w:val="null3"/>
      </w:pPr>
      <w:r>
        <w:rPr>
          <w:sz w:val="21"/>
        </w:rPr>
        <w:t>联系人邮箱</w:t>
      </w:r>
      <w:r>
        <w:rPr>
          <w:sz w:val="21"/>
        </w:rPr>
        <w:t>：</w:t>
      </w:r>
    </w:p>
    <w:p>
      <w:pPr>
        <w:pStyle w:val="null3"/>
        <w:jc w:val="both"/>
      </w:pPr>
      <w:r>
        <w:rPr>
          <w:sz w:val="21"/>
        </w:rPr>
        <w:t>卖方（盖章）：</w:t>
      </w:r>
    </w:p>
    <w:p>
      <w:pPr>
        <w:pStyle w:val="null3"/>
        <w:jc w:val="both"/>
      </w:pPr>
      <w:r>
        <w:rPr>
          <w:sz w:val="21"/>
        </w:rPr>
        <w:t>卖方授权代表（签字）：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开户帐号：</w:t>
      </w:r>
    </w:p>
    <w:p>
      <w:pPr>
        <w:pStyle w:val="null3"/>
        <w:jc w:val="both"/>
      </w:pPr>
      <w:r>
        <w:rPr>
          <w:sz w:val="21"/>
        </w:rPr>
        <w:t>供货联系人：</w:t>
      </w:r>
    </w:p>
    <w:p>
      <w:pPr>
        <w:pStyle w:val="null3"/>
      </w:pPr>
      <w:r>
        <w:rPr>
          <w:sz w:val="21"/>
        </w:rPr>
        <w:t>联系人电话：</w:t>
      </w:r>
    </w:p>
    <w:p>
      <w:pPr>
        <w:pStyle w:val="null3"/>
      </w:pPr>
      <w:r>
        <w:rPr>
          <w:sz w:val="21"/>
        </w:rPr>
        <w:t>联系人邮箱</w:t>
      </w:r>
      <w:r>
        <w:rPr>
          <w:sz w:val="21"/>
        </w:rPr>
        <w:t>：</w:t>
      </w:r>
    </w:p>
    <w:p>
      <w:pPr>
        <w:pStyle w:val="null3"/>
        <w:jc w:val="both"/>
      </w:pPr>
      <w:r>
        <w:rPr/>
        <w:t xml:space="preserve"> </w:t>
      </w:r>
    </w:p>
    <w:p>
      <w:pPr>
        <w:pStyle w:val="null3"/>
        <w:jc w:val="both"/>
      </w:pPr>
      <w:r>
        <w:rPr>
          <w:sz w:val="36"/>
          <w:b/>
        </w:rPr>
        <w:t>合同附件</w:t>
      </w:r>
      <w:r>
        <w:rPr>
          <w:sz w:val="20"/>
          <w:b/>
        </w:rPr>
        <w:t>（</w:t>
      </w:r>
      <w:r>
        <w:rPr>
          <w:sz w:val="21"/>
          <w:b/>
        </w:rPr>
        <w:t>合同编号：</w:t>
      </w:r>
      <w:r>
        <w:rPr>
          <w:sz w:val="21"/>
          <w:b/>
        </w:rPr>
        <w:t>GDMDT-202</w:t>
      </w:r>
      <w:r>
        <w:rPr>
          <w:sz w:val="21"/>
          <w:b/>
        </w:rPr>
        <w:t>4</w:t>
      </w:r>
      <w:r>
        <w:rPr>
          <w:sz w:val="21"/>
          <w:b/>
        </w:rPr>
        <w:t xml:space="preserve">-    </w:t>
      </w:r>
      <w:r>
        <w:rPr>
          <w:sz w:val="20"/>
          <w:b/>
        </w:rPr>
        <w:t>）</w:t>
      </w:r>
    </w:p>
    <w:p>
      <w:pPr>
        <w:pStyle w:val="null3"/>
        <w:ind w:left="495" w:firstLine="93"/>
        <w:jc w:val="left"/>
      </w:pPr>
      <w:r>
        <w:rPr>
          <w:sz w:val="19"/>
          <w:b/>
        </w:rPr>
        <w:t>附件</w:t>
      </w:r>
      <w:r>
        <w:rPr>
          <w:sz w:val="19"/>
          <w:b/>
        </w:rPr>
        <w:t>1</w:t>
      </w:r>
      <w:r>
        <w:rPr>
          <w:sz w:val="19"/>
          <w:b/>
        </w:rPr>
        <w:t>：货物清单及金额</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30"/>
        <w:gridCol w:w="1460"/>
        <w:gridCol w:w="926"/>
        <w:gridCol w:w="1486"/>
        <w:gridCol w:w="561"/>
        <w:gridCol w:w="430"/>
        <w:gridCol w:w="652"/>
        <w:gridCol w:w="978"/>
        <w:gridCol w:w="1382"/>
      </w:tblGrid>
      <w:tr>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14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货物名称</w:t>
            </w:r>
          </w:p>
        </w:tc>
        <w:tc>
          <w:tcPr>
            <w:tcW w:type="dxa" w:w="9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型号</w:t>
            </w:r>
          </w:p>
        </w:tc>
        <w:tc>
          <w:tcPr>
            <w:tcW w:type="dxa" w:w="14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制造商、品牌</w:t>
            </w:r>
          </w:p>
        </w:tc>
        <w:tc>
          <w:tcPr>
            <w:tcW w:type="dxa" w:w="5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原产国</w:t>
            </w:r>
          </w:p>
        </w:tc>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65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单位</w:t>
            </w:r>
          </w:p>
        </w:tc>
        <w:tc>
          <w:tcPr>
            <w:tcW w:type="dxa" w:w="9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单价（元）</w:t>
            </w:r>
          </w:p>
        </w:tc>
        <w:tc>
          <w:tcPr>
            <w:tcW w:type="dxa" w:w="138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b/>
              </w:rPr>
              <w:t>总价（元）</w:t>
            </w: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281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5489"/>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     （大写：    ）</w:t>
            </w:r>
          </w:p>
        </w:tc>
      </w:tr>
    </w:tbl>
    <w:p>
      <w:pPr>
        <w:pStyle w:val="null3"/>
        <w:jc w:val="center"/>
      </w:pPr>
      <w:r>
        <w:rPr>
          <w:sz w:val="21"/>
          <w:b/>
        </w:rPr>
        <w:t>附件</w:t>
      </w:r>
      <w:r>
        <w:rPr>
          <w:sz w:val="21"/>
          <w:b/>
        </w:rPr>
        <w:t>2</w:t>
      </w:r>
      <w:r>
        <w:rPr>
          <w:sz w:val="21"/>
          <w:b/>
        </w:rPr>
        <w:t>：技术参数表</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647"/>
        <w:gridCol w:w="1058"/>
        <w:gridCol w:w="784"/>
        <w:gridCol w:w="2615"/>
        <w:gridCol w:w="1332"/>
        <w:gridCol w:w="1843"/>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主要技术参数</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配件清单</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计量要求或验收方法</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附件</w:t>
      </w:r>
      <w:r>
        <w:rPr>
          <w:sz w:val="21"/>
          <w:b/>
        </w:rPr>
        <w:t>3</w:t>
      </w:r>
      <w:r>
        <w:rPr>
          <w:sz w:val="21"/>
          <w:b/>
        </w:rPr>
        <w:t>：</w:t>
      </w:r>
      <w:r>
        <w:rPr>
          <w:sz w:val="21"/>
          <w:b/>
        </w:rPr>
        <w:t>合同资料表</w:t>
      </w:r>
    </w:p>
    <w:p>
      <w:pPr>
        <w:pStyle w:val="null3"/>
      </w:pPr>
      <w:r>
        <w:rPr/>
        <w:t xml:space="preserve"> </w:t>
      </w:r>
    </w:p>
    <w:p>
      <w:pPr>
        <w:pStyle w:val="null3"/>
        <w:ind w:firstLine="420"/>
        <w:jc w:val="left"/>
      </w:pPr>
      <w:r>
        <w:rPr>
          <w:sz w:val="21"/>
        </w:rPr>
        <w:t>本表关于采购的货物的具体资料是对合同条款的具体补充和修改</w:t>
      </w:r>
      <w:r>
        <w:rPr>
          <w:sz w:val="21"/>
        </w:rPr>
        <w:t>,</w:t>
      </w:r>
      <w:r>
        <w:rPr>
          <w:sz w:val="21"/>
        </w:rPr>
        <w:t>如有矛盾</w:t>
      </w:r>
      <w:r>
        <w:rPr>
          <w:sz w:val="21"/>
        </w:rPr>
        <w:t>,</w:t>
      </w:r>
      <w:r>
        <w:rPr>
          <w:sz w:val="21"/>
        </w:rPr>
        <w:t>应以本资料表内容为准。</w:t>
      </w:r>
    </w:p>
    <w:tbl>
      <w:tblPr>
        <w:tblW w:w="0" w:type="auto"/>
        <w:tblBorders>
          <w:top w:val="none" w:color="000000" w:sz="4"/>
          <w:left w:val="none" w:color="000000" w:sz="4"/>
          <w:bottom w:val="none" w:color="000000" w:sz="4"/>
          <w:right w:val="none" w:color="000000" w:sz="4"/>
          <w:insideH w:val="none"/>
          <w:insideV w:val="none"/>
        </w:tblBorders>
      </w:tblPr>
      <w:tblGrid>
        <w:gridCol w:w="1723"/>
        <w:gridCol w:w="6583"/>
      </w:tblGrid>
      <w:tr>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条款</w:t>
            </w:r>
          </w:p>
        </w:tc>
        <w:tc>
          <w:tcPr>
            <w:tcW w:type="dxa" w:w="6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1.合同标的</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货物及通过验收交付时间：《招标文件》第二章</w:t>
            </w:r>
            <w:r>
              <w:rPr>
                <w:sz w:val="21"/>
              </w:rPr>
              <w:t>采购需求书及《投标文件》中的相应内容。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本合同单价为固定不变价。</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3.到货、安装、验收的时间、地点</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到货及安装地点：</w:t>
            </w:r>
            <w:r>
              <w:rPr>
                <w:sz w:val="21"/>
              </w:rPr>
              <w:t>买方指定地点。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到货、安装、验收时限：根据《投标文件》及合同规定时间。</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卖方应在货物预计运到时间</w:t>
            </w:r>
            <w:r>
              <w:rPr>
                <w:sz w:val="21"/>
                <w:u w:val="single"/>
              </w:rPr>
              <w:t xml:space="preserve"> </w:t>
            </w:r>
            <w:r>
              <w:rPr>
                <w:sz w:val="21"/>
                <w:u w:val="single"/>
              </w:rPr>
              <w:t xml:space="preserve">1 </w:t>
            </w:r>
            <w:r>
              <w:rPr>
                <w:sz w:val="21"/>
              </w:rPr>
              <w:t>周前通知买方。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4、合同价格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5.履约保证金</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履约保证金收取比例：</w:t>
            </w:r>
            <w:r>
              <w:rPr>
                <w:sz w:val="21"/>
              </w:rPr>
              <w:t>合同总价的</w:t>
            </w:r>
            <w:r>
              <w:rPr>
                <w:sz w:val="21"/>
              </w:rPr>
              <w:t>10%（</w:t>
            </w:r>
            <w:r>
              <w:rPr>
                <w:sz w:val="21"/>
              </w:rPr>
              <w:t>如</w:t>
            </w:r>
            <w:r>
              <w:rPr>
                <w:sz w:val="21"/>
              </w:rPr>
              <w:t>卖方</w:t>
            </w:r>
            <w:r>
              <w:rPr>
                <w:sz w:val="21"/>
              </w:rPr>
              <w:t>为中小企业，按合同总价的</w:t>
            </w:r>
            <w:r>
              <w:rPr>
                <w:sz w:val="21"/>
              </w:rPr>
              <w:t>5%缴纳履约保证金）</w:t>
            </w:r>
            <w:r>
              <w:rPr>
                <w:sz w:val="21"/>
              </w:rPr>
              <w:t>。</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履约保证金提交形式：支票、汇票、本票、保函（见索即付）等非现金方式。</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6、验收资料</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使用说明书（电子版）、原厂装箱单（如有）、合格证（如有）、通关材料（进口设备）、国家认可计量单位的计量证、培训记录、发票。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7.付款</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rPr>
              <w:t>《投标文件》及合同中的相应内容。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8.产权与风险转移</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合同标的产权与风险转移条款：不修改。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9.伴随服务</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应提供的伴随服务：《投标文件》及合同中的相应内容。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90"/>
              <w:jc w:val="left"/>
            </w:pPr>
            <w:r>
              <w:rPr>
                <w:sz w:val="21"/>
              </w:rPr>
              <w:t>10.合同转让与分包</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本合同不可以分包。</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40"/>
              <w:jc w:val="left"/>
            </w:pPr>
            <w:r>
              <w:rPr>
                <w:sz w:val="21"/>
              </w:rPr>
              <w:t>11.质量保证</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质量保证期为：《投标文件》及合同中的相应内容。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质量保证要求按《投标文件》及合同中的相应要求。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12.逾期交货及逾期付款的赔偿</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13.通知</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买方通知送达地址：广州市黄埔区光谱西路</w:t>
            </w:r>
            <w:r>
              <w:rPr>
                <w:sz w:val="21"/>
              </w:rPr>
              <w:t>1号。</w:t>
            </w:r>
          </w:p>
          <w:p>
            <w:pPr>
              <w:pStyle w:val="null3"/>
              <w:jc w:val="both"/>
            </w:pPr>
            <w:r>
              <w:rPr>
                <w:sz w:val="21"/>
              </w:rPr>
              <w:t>买方通知送达地址电子邮箱：</w:t>
            </w:r>
            <w:r>
              <w:rPr>
                <w:sz w:val="21"/>
              </w:rPr>
              <w:t>baocai608@163.com</w:t>
            </w:r>
            <w:r>
              <w:rPr>
                <w:sz w:val="21"/>
              </w:rPr>
              <w:t>。</w:t>
            </w:r>
          </w:p>
          <w:p>
            <w:pPr>
              <w:pStyle w:val="null3"/>
              <w:jc w:val="both"/>
            </w:pPr>
            <w:r>
              <w:rPr>
                <w:sz w:val="21"/>
              </w:rPr>
              <w:t>卖方通知送达地址：</w:t>
            </w:r>
            <w:r>
              <w:rPr>
                <w:sz w:val="21"/>
              </w:rPr>
              <w:t xml:space="preserve">                      </w:t>
            </w:r>
          </w:p>
          <w:p>
            <w:pPr>
              <w:pStyle w:val="null3"/>
            </w:pPr>
            <w:r>
              <w:rPr>
                <w:sz w:val="21"/>
              </w:rPr>
              <w:t>卖方通知送达地址电子邮箱：</w:t>
            </w:r>
            <w:r>
              <w:rPr>
                <w:sz w:val="19"/>
              </w:rPr>
              <w:t xml:space="preserve">                    </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440001-2024-17752</w:t>
      </w:r>
    </w:p>
    <w:p>
      <w:pPr>
        <w:pStyle w:val="null3"/>
        <w:jc w:val="center"/>
        <w:outlineLvl w:val="3"/>
      </w:pPr>
      <w:r>
        <w:rPr>
          <w:sz w:val="24"/>
          <w:b/>
        </w:rPr>
        <w:t>采购项目编号：</w:t>
      </w:r>
      <w:r>
        <w:rPr>
          <w:sz w:val="24"/>
          <w:b/>
        </w:rPr>
        <w:t>440001-2024-17752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2024年广东省医疗器械质量监督检验所仪器设备采购项目十</w:t>
      </w:r>
      <w:r>
        <w:rPr>
          <w:u w:val="single"/>
        </w:rPr>
        <w:t>”</w:t>
      </w:r>
      <w:r>
        <w:rPr/>
        <w:t>项目的招标[采购项目编号为：</w:t>
      </w:r>
      <w:r>
        <w:rPr>
          <w:u w:val="single"/>
        </w:rPr>
        <w:t>440001-2024-17752</w:t>
      </w:r>
      <w:r>
        <w:rPr/>
        <w:t>]，我方愿参与投标。</w:t>
      </w:r>
    </w:p>
    <w:p>
      <w:pPr>
        <w:pStyle w:val="null3"/>
        <w:ind w:firstLine="480"/>
      </w:pPr>
      <w:r>
        <w:rPr/>
        <w:t>我方确认收到贵方提供的</w:t>
      </w:r>
      <w:r>
        <w:rPr>
          <w:u w:val="single"/>
        </w:rPr>
        <w:t>“</w:t>
      </w:r>
      <w:r>
        <w:rPr>
          <w:u w:val="single"/>
        </w:rPr>
        <w:t>2024年广东省医疗器械质量监督检验所仪器设备采购项目十</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2024年广东省医疗器械质量监督检验所仪器设备采购项目十</w:t>
      </w:r>
      <w:r>
        <w:rPr/>
        <w:t>”项目采购[采购项目编号为</w:t>
      </w:r>
      <w:r>
        <w:rPr/>
        <w:t>440001-2024-17752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广东省医疗器械质量监督检验所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2024年广东省医疗器械质量监督检验所仪器设备采购项目十</w:t>
      </w:r>
      <w:r>
        <w:rPr/>
        <w:t>招标中获中标（采购项目编号：</w:t>
      </w:r>
      <w:r>
        <w:rPr/>
        <w:t>440001-2024-17752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2024年广东省医疗器械质量监督检验所仪器设备采购项目十</w:t>
      </w:r>
      <w:r>
        <w:rPr/>
        <w:t>”项目（采购项目编号：</w:t>
      </w:r>
      <w:r>
        <w:rPr/>
        <w:t>440001-2024-17752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