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440101-2024-09096</w:t>
      </w:r>
    </w:p>
    <w:p>
      <w:pPr>
        <w:pStyle w:val="null3"/>
        <w:jc w:val="center"/>
        <w:outlineLvl w:val="3"/>
      </w:pPr>
      <w:r>
        <w:rPr>
          <w:sz w:val="24"/>
          <w:b/>
        </w:rPr>
        <w:t>采购项目编号：</w:t>
      </w:r>
      <w:r>
        <w:rPr>
          <w:sz w:val="24"/>
          <w:b/>
        </w:rPr>
        <w:t>440101-2024-09096</w:t>
      </w:r>
    </w:p>
    <w:p>
      <w:pPr>
        <w:pStyle w:val="null3"/>
        <w:jc w:val="center"/>
        <w:outlineLvl w:val="3"/>
      </w:pPr>
      <w:r>
        <w:rPr>
          <w:sz w:val="24"/>
          <w:b/>
        </w:rPr>
        <w:t>项目名称：</w:t>
      </w:r>
      <w:r>
        <w:rPr>
          <w:sz w:val="24"/>
          <w:b/>
        </w:rPr>
        <w:t>广州市工贸技师学院2024年教学消耗用品及专用材料项目</w:t>
      </w:r>
    </w:p>
    <w:p>
      <w:pPr>
        <w:pStyle w:val="null3"/>
        <w:jc w:val="center"/>
        <w:outlineLvl w:val="3"/>
      </w:pPr>
      <w:r>
        <w:rPr>
          <w:sz w:val="24"/>
          <w:b/>
        </w:rPr>
        <w:t>采购人：</w:t>
      </w:r>
      <w:r>
        <w:rPr>
          <w:sz w:val="24"/>
          <w:b/>
        </w:rPr>
        <w:t>广州市工贸技师学院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广州市工贸技师学院</w:t>
      </w:r>
      <w:r>
        <w:rPr/>
        <w:t>的委托，采用</w:t>
      </w:r>
      <w:r>
        <w:rPr/>
        <w:t>竞争性磋商</w:t>
      </w:r>
      <w:r>
        <w:rPr/>
        <w:t>方式组织采购</w:t>
      </w:r>
      <w:r>
        <w:rPr/>
        <w:t>广州市工贸技师学院2024年教学消耗用品及专用材料项目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广州市工贸技师学院2024年教学消耗用品及专用材料项目</w:t>
      </w:r>
    </w:p>
    <w:p>
      <w:pPr>
        <w:pStyle w:val="null3"/>
        <w:ind w:firstLine="480"/>
      </w:pPr>
      <w:r>
        <w:rPr/>
        <w:t>采购计划编号：</w:t>
      </w:r>
      <w:r>
        <w:rPr/>
        <w:t>440101-2024-09096</w:t>
      </w:r>
    </w:p>
    <w:p>
      <w:pPr>
        <w:pStyle w:val="null3"/>
        <w:ind w:firstLine="480"/>
      </w:pPr>
      <w:r>
        <w:rPr/>
        <w:t>采购项目编号：</w:t>
      </w:r>
      <w:r>
        <w:rPr/>
        <w:t>440101-2024-09096</w:t>
      </w:r>
    </w:p>
    <w:p>
      <w:pPr>
        <w:pStyle w:val="null3"/>
        <w:ind w:firstLine="480"/>
      </w:pPr>
      <w:r>
        <w:rPr/>
        <w:t>采购方式：</w:t>
      </w:r>
      <w:r>
        <w:rPr/>
        <w:t>竞争性磋商</w:t>
      </w:r>
    </w:p>
    <w:p>
      <w:pPr>
        <w:pStyle w:val="null3"/>
        <w:ind w:firstLine="480"/>
      </w:pPr>
      <w:r>
        <w:rPr/>
        <w:t>预算金额：</w:t>
      </w:r>
      <w:r>
        <w:rPr/>
        <w:t>1,565,799.20</w:t>
      </w:r>
      <w:r>
        <w:rPr/>
        <w:t>元</w:t>
      </w:r>
    </w:p>
    <w:p>
      <w:pPr>
        <w:pStyle w:val="null3"/>
        <w:outlineLvl w:val="3"/>
      </w:pPr>
      <w:r>
        <w:rPr>
          <w:sz w:val="24"/>
          <w:b/>
        </w:rPr>
        <w:t>2.项目内容及需求情况（采购项目技术规格、参数及要求）</w:t>
      </w:r>
    </w:p>
    <w:p>
      <w:pPr>
        <w:pStyle w:val="null3"/>
      </w:pPr>
      <w:r>
        <w:rPr/>
        <w:t>采购包1(服务类专业和电脑板卡类耗材):</w:t>
      </w:r>
    </w:p>
    <w:p>
      <w:pPr>
        <w:pStyle w:val="null3"/>
      </w:pPr>
      <w:r>
        <w:rPr/>
        <w:t>采购包预算金额：959,992.00元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机械设备、五金交电和电子产品批发服 务</w:t>
            </w:r>
          </w:p>
        </w:tc>
        <w:tc>
          <w:tcPr>
            <w:tcW w:type="dxa" w:w="2052"/>
          </w:tcPr>
          <w:p>
            <w:pPr>
              <w:pStyle w:val="null3"/>
            </w:pPr>
            <w:r>
              <w:rPr/>
              <w:t>服务类专业和电脑板卡类耗材</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959,992.00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合同履行期限：自签订合同之日起一年服务期</w:t>
      </w:r>
    </w:p>
    <w:p>
      <w:pPr>
        <w:pStyle w:val="null3"/>
      </w:pPr>
      <w:r>
        <w:rPr/>
        <w:t>采购包2(机电汽修类专业教学耗材):</w:t>
      </w:r>
    </w:p>
    <w:p>
      <w:pPr>
        <w:pStyle w:val="null3"/>
      </w:pPr>
      <w:r>
        <w:rPr/>
        <w:t>采购包预算金额：605,807.20元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机械设备、五金交电和电子产品批发服 务</w:t>
            </w:r>
          </w:p>
        </w:tc>
        <w:tc>
          <w:tcPr>
            <w:tcW w:type="dxa" w:w="2052"/>
          </w:tcPr>
          <w:p>
            <w:pPr>
              <w:pStyle w:val="null3"/>
            </w:pPr>
            <w:r>
              <w:rPr/>
              <w:t>机电汽修类专业教学耗材</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605,807.20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合同履行期限：自签订合同之日起一年服务期</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2）有依法缴纳税收和社会保障资金的良好记录：依据《响应承诺函》。</w:t>
      </w:r>
    </w:p>
    <w:p>
      <w:pPr>
        <w:pStyle w:val="null3"/>
      </w:pPr>
      <w:r>
        <w:rPr/>
        <w:t>3）具有良好的商业信誉和健全的财务会计制度：依据《响应承诺函》。</w:t>
      </w:r>
    </w:p>
    <w:p>
      <w:pPr>
        <w:pStyle w:val="null3"/>
      </w:pPr>
      <w:r>
        <w:rPr/>
        <w:t>4）履行合同所必需的设备和专业技术能力：依据《响应承诺函》。</w:t>
      </w:r>
    </w:p>
    <w:p>
      <w:pPr>
        <w:pStyle w:val="null3"/>
      </w:pPr>
      <w:r>
        <w:rPr/>
        <w:t>5）参加采购活动前3年内，在经营活动中没有重大违法记录：依据《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采购包1（服务类专业和电脑板卡类耗材）：</w:t>
      </w:r>
      <w:r>
        <w:rPr/>
        <w:t>采购包整体专门面向中小企业。全部服务的承接单位应为中小微企业。供应商应按规定填写《中小企业声明函》（注：监狱企业、残疾人福利性单位视同为小型、微型企业。中小微企业以供应商填写的《中小企业声明函》（见投标（响应）格式）为判定标准，残疾人福利性单位以供应商填写的《残疾人福利性单位声明函》（见投标（响应）格式）为判定标准，监狱企业须供应商提供由省级以上监狱管理局、戒毒管理局（含新疆生产建设兵团）出具的属于监狱企业的证明文件，否则不予认定。）</w:t>
      </w:r>
    </w:p>
    <w:p>
      <w:pPr>
        <w:pStyle w:val="null3"/>
        <w:jc w:val="left"/>
      </w:pPr>
      <w:r>
        <w:rPr/>
        <w:t>采购包2（机电汽修类专业教学耗材）：</w:t>
      </w:r>
      <w:r>
        <w:rPr/>
        <w:t>采购包整体专门面向中小企业。全部服务的承接单位应为中小微企业。供应商应按规定填写《中小企业声明函》（注：监狱企业、残疾人福利性单位视同为小型、微型企业。中小微企业以供应商填写的《中小企业声明函》（见投标（响应）格式）为判定标准，残疾人福利性单位以供应商填写的《残疾人福利性单位声明函》（见投标（响应）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采购包1（服务类专业和电脑板卡类耗材）：</w:t>
      </w:r>
    </w:p>
    <w:p>
      <w:pPr>
        <w:pStyle w:val="null3"/>
      </w:pPr>
      <w:r>
        <w:rPr/>
        <w:t>1)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供应商具有分公司的，其所属分公司有上述不良信用记录的，视同该供应商存在不良信用记录。③若供应商为分公司的，其所属总公司（总所）存在上述不良信用记录的，视同该分公司存在不良信用记录。</w:t>
      </w:r>
    </w:p>
    <w:p>
      <w:pPr>
        <w:pStyle w:val="null3"/>
      </w:pPr>
      <w:r>
        <w:rPr/>
        <w:t>2)不得参与同一采购项目竞争的供应商（依据《响应承诺函》）：1）单位负责人为同一人或者存在直接控股、管理关系的不同供应商，不得参加同一包组投标（响应）或者未划分包组的同一采购项目的政府采购活动。如同时参加，则评审时均作无效投标（响应）处理。 2）为采购项目提供整体设计、规范编制或者项目管理、监理、检测等服务的供应商，不得再参加该采购项目的其他采购活动。</w:t>
      </w:r>
    </w:p>
    <w:p>
      <w:pPr>
        <w:pStyle w:val="null3"/>
      </w:pPr>
      <w:r>
        <w:rPr/>
        <w:t>3)本采购包不接受联合体响应。</w:t>
      </w:r>
    </w:p>
    <w:p>
      <w:pPr>
        <w:pStyle w:val="null3"/>
      </w:pPr>
      <w:r>
        <w:rPr/>
        <w:t>采购包2（机电汽修类专业教学耗材）：</w:t>
      </w:r>
    </w:p>
    <w:p>
      <w:pPr>
        <w:pStyle w:val="null3"/>
      </w:pPr>
      <w:r>
        <w:rPr/>
        <w:t>1)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供应商具有分公司的，其所属分公司有上述不良信用记录的，视同该供应商存在不良信用记录。③若供应商为分公司的，其所属总公司（总所）存在上述不良信用记录的，视同该分公司存在不良信用记录。</w:t>
      </w:r>
    </w:p>
    <w:p>
      <w:pPr>
        <w:pStyle w:val="null3"/>
      </w:pPr>
      <w:r>
        <w:rPr/>
        <w:t>2)不得参与同一采购项目竞争的供应商（依据《响应承诺函》）：1）单位负责人为同一人或者存在直接控股、管理关系的不同供应商，不得参加同一包组投标（响应）或者未划分包组的同一采购项目的政府采购活动。如同时参加，则评审时均作无效投标（响应）处理。 2）为采购项目提供整体设计、规范编制或者项目管理、监理、检测等服务的供应商，不得再参加该采购项目的其他采购活动。</w:t>
      </w:r>
    </w:p>
    <w:p>
      <w:pPr>
        <w:pStyle w:val="null3"/>
      </w:pPr>
      <w:r>
        <w:rPr/>
        <w:t>3)本采购包不接受联合体响应。</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广州市工贸技师学院</w:t>
      </w:r>
    </w:p>
    <w:p>
      <w:pPr>
        <w:pStyle w:val="null3"/>
        <w:ind w:firstLine="480"/>
      </w:pPr>
      <w:r>
        <w:rPr/>
        <w:t>地址：</w:t>
      </w:r>
      <w:r>
        <w:rPr/>
        <w:t>广州市白云区机场路2636号</w:t>
      </w:r>
    </w:p>
    <w:p>
      <w:pPr>
        <w:pStyle w:val="null3"/>
        <w:ind w:firstLine="480"/>
      </w:pPr>
      <w:r>
        <w:rPr/>
        <w:t>联系方式：</w:t>
      </w:r>
      <w:r>
        <w:rPr/>
        <w:t>020-86011071</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020-87554238</w:t>
      </w:r>
    </w:p>
    <w:p>
      <w:pPr>
        <w:pStyle w:val="null3"/>
        <w:outlineLvl w:val="3"/>
      </w:pPr>
      <w:r>
        <w:rPr>
          <w:sz w:val="24"/>
          <w:b/>
        </w:rPr>
        <w:t xml:space="preserve"> 3.项目联系方式</w:t>
      </w:r>
    </w:p>
    <w:p>
      <w:pPr>
        <w:pStyle w:val="null3"/>
        <w:ind w:firstLine="480"/>
      </w:pPr>
      <w:r>
        <w:rPr/>
        <w:t xml:space="preserve"> 项目联系人：</w:t>
      </w:r>
      <w:r>
        <w:rPr/>
        <w:t>余先生、潘先生</w:t>
      </w:r>
    </w:p>
    <w:p>
      <w:pPr>
        <w:pStyle w:val="null3"/>
        <w:ind w:firstLine="480"/>
      </w:pPr>
      <w:r>
        <w:rPr/>
        <w:t xml:space="preserve"> 电话：</w:t>
      </w:r>
      <w:r>
        <w:rPr/>
        <w:t>020-87554238</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shd w:fill="FFFFFF" w:val="clear"/>
        </w:rPr>
        <w:t>说明：</w:t>
      </w:r>
    </w:p>
    <w:p>
      <w:pPr>
        <w:pStyle w:val="null3"/>
        <w:ind w:firstLine="420"/>
        <w:jc w:val="both"/>
      </w:pPr>
      <w:r>
        <w:rPr>
          <w:sz w:val="21"/>
          <w:shd w:fill="FFFFFF" w:val="clear"/>
        </w:rPr>
        <w:t>1、供应商须对本项目为单位（有划分包组的，则以包组为单位）的标的物进行整体投标（响应），任何只对其中一部分内容进行的投标都被视为无效投标（响应）。</w:t>
      </w:r>
    </w:p>
    <w:p>
      <w:pPr>
        <w:pStyle w:val="null3"/>
        <w:ind w:firstLine="420"/>
        <w:jc w:val="both"/>
      </w:pPr>
      <w:r>
        <w:rPr>
          <w:sz w:val="21"/>
          <w:shd w:fill="FFFFFF" w:val="clear"/>
        </w:rPr>
        <w:t>2、磋商文件中，凡标有“★”的地方均为实质性响应条款，供应商若有一项带“★”的条款未响应或不满足，将按无效响应处理。</w:t>
      </w:r>
    </w:p>
    <w:p>
      <w:pPr>
        <w:pStyle w:val="null3"/>
        <w:ind w:firstLine="420"/>
        <w:jc w:val="both"/>
      </w:pPr>
      <w:r>
        <w:rPr>
          <w:sz w:val="21"/>
        </w:rPr>
        <w:t>3、落实政府采购政策需满足的资格要求：采购包1（服务类专业和电脑板卡类耗材）和采购包2（机电汽修类专业教学耗材）：采购包整体专门面向中小企业。</w:t>
      </w:r>
      <w:r>
        <w:rPr>
          <w:sz w:val="21"/>
          <w:shd w:fill="FFFFFF" w:val="clear"/>
        </w:rPr>
        <w:t>全部服务的承接单位应为中小微企业。供应商应按规定填写《中小企业声明函》（</w:t>
      </w:r>
      <w:r>
        <w:rPr>
          <w:sz w:val="21"/>
        </w:rPr>
        <w:t>注：监狱企业、残疾人福利性单位视同为小型、微型企业。中小微企业以</w:t>
      </w:r>
      <w:r>
        <w:rPr>
          <w:sz w:val="21"/>
        </w:rPr>
        <w:t>供应商</w:t>
      </w:r>
      <w:r>
        <w:rPr>
          <w:sz w:val="21"/>
        </w:rPr>
        <w:t>填写的《中小企业声明函》（见投标</w:t>
      </w:r>
      <w:r>
        <w:rPr>
          <w:sz w:val="21"/>
        </w:rPr>
        <w:t>（响应）</w:t>
      </w:r>
      <w:r>
        <w:rPr>
          <w:sz w:val="21"/>
        </w:rPr>
        <w:t>格式）为判定标准，残疾人福利性单位以供应商填写的《残疾人福利性单位声明函》（见投标</w:t>
      </w:r>
      <w:r>
        <w:rPr>
          <w:sz w:val="21"/>
        </w:rPr>
        <w:t>（响应）</w:t>
      </w:r>
      <w:r>
        <w:rPr>
          <w:sz w:val="21"/>
        </w:rPr>
        <w:t>格式）为判定标准，监狱企业须</w:t>
      </w:r>
      <w:r>
        <w:rPr>
          <w:sz w:val="21"/>
        </w:rPr>
        <w:t>供应商</w:t>
      </w:r>
      <w:r>
        <w:rPr>
          <w:sz w:val="21"/>
        </w:rPr>
        <w:t>提供由省级以上监狱管理局、戒毒管理局（含新疆生产建设兵团）出具的属于监狱企业的证明文件，否则不予认定。</w:t>
      </w:r>
      <w:r>
        <w:rPr>
          <w:sz w:val="21"/>
          <w:shd w:fill="FFFFFF" w:val="clear"/>
        </w:rPr>
        <w:t>）</w:t>
      </w:r>
    </w:p>
    <w:p>
      <w:pPr>
        <w:pStyle w:val="null3"/>
        <w:ind w:firstLine="420"/>
        <w:jc w:val="both"/>
      </w:pPr>
      <w:r>
        <w:rPr>
          <w:sz w:val="21"/>
        </w:rPr>
        <w:t>4、中小企业声明函中，本项目</w:t>
      </w:r>
      <w:r>
        <w:rPr>
          <w:sz w:val="21"/>
        </w:rPr>
        <w:t>采购包</w:t>
      </w:r>
      <w:r>
        <w:rPr>
          <w:sz w:val="21"/>
        </w:rPr>
        <w:t>1和采购包2</w:t>
      </w:r>
      <w:r>
        <w:rPr>
          <w:sz w:val="21"/>
        </w:rPr>
        <w:t>对应的中小企业划分标准所属行业为：</w:t>
      </w:r>
      <w:r>
        <w:rPr>
          <w:sz w:val="21"/>
          <w:b/>
        </w:rPr>
        <w:t>批发业</w:t>
      </w:r>
      <w:r>
        <w:rPr>
          <w:sz w:val="21"/>
        </w:rPr>
        <w:t>。</w:t>
      </w:r>
    </w:p>
    <w:p>
      <w:pPr>
        <w:pStyle w:val="null3"/>
        <w:ind w:firstLine="420"/>
        <w:jc w:val="both"/>
      </w:pPr>
      <w:r>
        <w:rPr>
          <w:sz w:val="21"/>
        </w:rPr>
        <w:t>5、本项目限价方式为各商品的单价限价（详见采购公告附件：需求清单-供应商报价清单表格），各包组供应商应根据单价限价的基准一次报出不可更改的折扣率报价，供应商应在响应文件及“附件：需求清单-供应商报价清单表格”中对本包组所有商品填写相同的折扣率报价，并将“附件：需求清单-供应商报价清单表格”附在响应文件中加盖供应商单位公章。</w:t>
      </w:r>
    </w:p>
    <w:p>
      <w:pPr>
        <w:pStyle w:val="null3"/>
        <w:ind w:firstLine="420"/>
        <w:jc w:val="both"/>
      </w:pPr>
      <w:r>
        <w:rPr>
          <w:sz w:val="21"/>
        </w:rPr>
        <w:t>6、本项目的预算总金额为1,565,799.20元（采购包1为959,992.0元，采购包2为605,807.20元），在本预算金额内所采购的各商品数量是不定的，采购人不保证采购商品的具体数量，由此带来的风险由供应商自行承担。本项目最终根据各包组成交供应商的成交折扣率按照实际采购商品进行结算，计算方式为：实际采购商品数量*商品单价*成交折扣率。</w:t>
      </w:r>
    </w:p>
    <w:p>
      <w:pPr>
        <w:pStyle w:val="null3"/>
        <w:ind w:firstLine="480"/>
        <w:jc w:val="both"/>
      </w:pPr>
      <w:r>
        <w:rPr>
          <w:sz w:val="21"/>
        </w:rPr>
        <w:t>7、本项目报价方式为折扣率报价，0%＜折扣率≤100%，以百分比数值表示（保留两位小数），必须为固定唯一的报价，不得存在区间值，不得为负数。折扣率报价时价格的计算方式为（1*折扣率），供应商应分清折扣率与下浮率的区别，避免报价错误。</w:t>
      </w:r>
    </w:p>
    <w:p>
      <w:pPr>
        <w:pStyle w:val="null3"/>
      </w:pPr>
      <w:r>
        <w:rPr/>
        <w:t>采购包1（服务类专业和电脑板卡类耗材）</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自签订合同之日起一年服务期</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签订合同后，成交人向采购人出具正式的增值税普通发票，采购人在收到请款申请书、正式的增值税普通发票后5个工作日内办理支付手续，15日内完成资金支付流程并向成交人支付合同总价的50%预付款。</w:t>
            </w:r>
          </w:p>
          <w:p>
            <w:pPr>
              <w:pStyle w:val="null3"/>
            </w:pPr>
            <w:r>
              <w:rPr/>
              <w:t>2期：支付比例50%,成交人完成全部货物到货，且所有货物安装调试完毕并通过验收签字后，成交人凭请款申请书、正式的增值税普通发票、验收单向采购人申请支付合同总价尾款，采购人在收到成交人的请款申请书、正式的增值税普通发票及验收单后5个工作日内办理支付手续，15日内完成资金支付流程并向成交人支付合同总价的尾款；成交供应商根据（实际采购的商品数量*商品单价*成交折扣率）计算服务总金额报送采购人，经采购人审核确认无误后按照服务总金额扣除已支付的预付款金额作为合同剩余支付金额。 注：成交人凭以下有效文件与采购人结算： （1）合同； （2）成交人开具的正式发票； （3）验收报告（加盖采购人公章）； （4）中标/成交通知书。 采购人向政府采购支付部门提出支付申请的时间即视为付款时间。</w:t>
            </w:r>
          </w:p>
        </w:tc>
      </w:tr>
      <w:tr>
        <w:tc>
          <w:tcPr>
            <w:tcW w:type="dxa" w:w="4153"/>
          </w:tcPr>
          <w:p>
            <w:pPr>
              <w:pStyle w:val="null3"/>
            </w:pPr>
            <w:r>
              <w:rPr/>
              <w:t>验收要求</w:t>
            </w:r>
          </w:p>
        </w:tc>
        <w:tc>
          <w:tcPr>
            <w:tcW w:type="dxa" w:w="4153"/>
          </w:tcPr>
          <w:p>
            <w:pPr>
              <w:pStyle w:val="null3"/>
            </w:pPr>
            <w:r>
              <w:rPr/>
              <w:t>1期：（1）成交人提供免费送货上门服务，并在采购人指定交货地点处交付和验收。与货物运送有关的费用由成交人承担，运送途中货物有损坏、缺失等情况，责任由成交人负责。 （2）验收按国家有关的规定、规范进行。验收时如发现所交付的货物有短装、次品、损坏或其它不符合本合同规定之情形者，采购人将做出详尽的现场记录，或由双方签署备忘录。此现场记录或备忘录可用作补充、缺失和更换损坏部件的有效证据。由此产生的有关费用由成交人承担。 （3）如成交人存在商品质量或服务问题，采购人有权随时终止已选定的服务合同。采购人在接收货物时只做初步的检验，即仅对品名、规格、数量、通过肉眼能够发现的表面瑕疵进行检验，通过初步检验不免除供应商的质量保证责任，质量保证期内发现货物有质量问题的，采购人有权要求成交人维修、更换或退货。 （4）国内产品或合资厂的产品必须具备出厂合格证。 （5）成交人保证合同项下提供的货物不侵犯任何第三方的知识产权。否则，成交人须承担对第三方的侵权责任并承担因此而发生的所有费用。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质保要求</w:t>
            </w:r>
          </w:p>
        </w:tc>
        <w:tc>
          <w:tcPr>
            <w:tcW w:type="dxa" w:w="2076"/>
          </w:tcPr>
          <w:p>
            <w:pPr>
              <w:pStyle w:val="null3"/>
              <w:jc w:val="left"/>
            </w:pPr>
            <w:r>
              <w:rPr/>
              <w:t>质量保证及售后服务：（1）成交人保证合同货物是全新、未曾使用过的，其质量、规格及技术特征符合合同和合同附件的要求。（2）合同货物的保质保用期按生产厂家的标准执行，但不得少于1年（从采购人验收合格之日起计算）。保修服务期内非采购人人为造成的问题，成交人包修；使用过程中发现货物规格、性能、质量等不符合约定要求，成交人须应采购人的要求予以调换或退货，并承担修理、调换或退货的实际费用。成交人须在采购人提出上述要求后24小时内响应，48小时内到达现场，48小时内处理完毕。若在48小时内仍未能有效解决，采购人可自行组织维修，费用由成交人承担。（3）因货物的质量问题而发生争议，由广东省或广州市质检部门进行质量鉴定。设备符合质量标准的，鉴定费用由采购人承担；货物不符合质量标准的，鉴定费用由成交人承担，并承担由此而产生的一切费用。</w:t>
            </w:r>
          </w:p>
        </w:tc>
      </w:tr>
      <w:tr>
        <w:tc>
          <w:tcPr>
            <w:tcW w:type="dxa" w:w="2076"/>
          </w:tcPr>
          <w:p/>
        </w:tc>
        <w:tc>
          <w:tcPr>
            <w:tcW w:type="dxa" w:w="2076"/>
          </w:tcPr>
          <w:p>
            <w:pPr>
              <w:pStyle w:val="null3"/>
              <w:jc w:val="center"/>
            </w:pPr>
            <w:r>
              <w:rPr/>
              <w:t>2</w:t>
            </w:r>
          </w:p>
        </w:tc>
        <w:tc>
          <w:tcPr>
            <w:tcW w:type="dxa" w:w="2076"/>
          </w:tcPr>
          <w:p>
            <w:pPr>
              <w:pStyle w:val="null3"/>
              <w:jc w:val="left"/>
            </w:pPr>
            <w:r>
              <w:rPr/>
              <w:t>其他要求</w:t>
            </w:r>
          </w:p>
        </w:tc>
        <w:tc>
          <w:tcPr>
            <w:tcW w:type="dxa" w:w="2076"/>
          </w:tcPr>
          <w:p>
            <w:pPr>
              <w:pStyle w:val="null3"/>
              <w:jc w:val="left"/>
            </w:pPr>
            <w:r>
              <w:rPr/>
              <w:t>在本项目合同执行期内，如采购人需要成交供应商提供采购需求清单以外的商品时，成交供应商应根据市场主流商品购物平台（包括但不限于厂家官网售价、天猫、淘宝、京东等）中该商品的简要情况，向采购人提供不少于三种商品购置方案，经采购人确定方案后成交供应商应按照不低于响应文件及采购合同的标准要求向采购单位提供商品，该商品按照确定的方案及价格进行结算。</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机械设备、五金交电和电子产品批发服 务</w:t>
            </w:r>
          </w:p>
        </w:tc>
        <w:tc>
          <w:tcPr>
            <w:tcW w:type="dxa" w:w="831"/>
          </w:tcPr>
          <w:p>
            <w:pPr>
              <w:pStyle w:val="null3"/>
              <w:jc w:val="left"/>
            </w:pPr>
            <w:r>
              <w:rPr/>
              <w:t>服务类专业和电脑板卡类耗材</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959,992.00</w:t>
            </w:r>
          </w:p>
        </w:tc>
        <w:tc>
          <w:tcPr>
            <w:tcW w:type="dxa" w:w="831"/>
          </w:tcPr>
          <w:p>
            <w:pPr>
              <w:pStyle w:val="null3"/>
              <w:jc w:val="right"/>
            </w:pPr>
            <w:r>
              <w:rPr/>
              <w:t>959,992.00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服务类专业和电脑板卡类耗材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详见采购公告附件：需求清单</w:t>
            </w:r>
            <w:r>
              <w:rPr>
                <w:sz w:val="21"/>
              </w:rPr>
              <w:t>-供应商报价清单表格（包组1：服务类专业和电脑板卡类耗材）</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采购包2（机电汽修类专业教学耗材）</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自签订合同之日起一年服务期</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签订合同后，成交人向采购人出具正式的增值税普通发票，采购人在收到请款申请书、正式的增值税普通发票后5个工作日内办理支付手续，15日内完成资金支付流程并向成交人支付合同总价的50%预付款。</w:t>
            </w:r>
          </w:p>
          <w:p>
            <w:pPr>
              <w:pStyle w:val="null3"/>
            </w:pPr>
            <w:r>
              <w:rPr/>
              <w:t>2期：支付比例50%,成交人完成全部货物到货，且所有货物安装调试完毕并通过验收签字后，成交人凭请款申请书、正式的增值税普通发票、验收单向采购人申请支付合同总价尾款，采购人在收到成交人的请款申请书、正式的增值税普通发票及验收单后5个工作日内办理支付手续，15日内完成资金支付流程并向成交人支付合同总价的尾款；成交供应商根据（实际采购的商品数量*商品单价*成交折扣率）计算服务总金额报送采购人，经采购人审核确认无误后按照服务总金额扣除已支付的预付款金额作为合同剩余支付金额。 注：成交人凭以下有效文件与采购人结算： （1）合同； （2）成交人开具的正式发票； （3）验收报告（加盖采购人公章）； （4）中标/成交通知书。 采购人向政府采购支付部门提出支付申请的时间即视为付款时间。</w:t>
            </w:r>
          </w:p>
        </w:tc>
      </w:tr>
      <w:tr>
        <w:tc>
          <w:tcPr>
            <w:tcW w:type="dxa" w:w="4153"/>
          </w:tcPr>
          <w:p>
            <w:pPr>
              <w:pStyle w:val="null3"/>
            </w:pPr>
            <w:r>
              <w:rPr/>
              <w:t>验收要求</w:t>
            </w:r>
          </w:p>
        </w:tc>
        <w:tc>
          <w:tcPr>
            <w:tcW w:type="dxa" w:w="4153"/>
          </w:tcPr>
          <w:p>
            <w:pPr>
              <w:pStyle w:val="null3"/>
            </w:pPr>
            <w:r>
              <w:rPr/>
              <w:t>1期：（1）成交人提供免费送货上门服务，并在采购人指定交货地点处交付和验收。与货物运送有关的费用由成交人承担，运送途中货物有损坏、缺失等情况，责任由成交人负责。 （2）验收按国家有关的规定、规范进行。验收时如发现所交付的货物有短装、次品、损坏或其它不符合本合同规定之情形者，采购人将做出详尽的现场记录，或由双方签署备忘录。此现场记录或备忘录可用作补充、缺失和更换损坏部件的有效证据。由此产生的有关费用由成交人承担。 （3）如成交人存在商品质量或服务问题，采购人有权随时终止已选定的服务合同。采购人在接收货物时只做初步的检验，即仅对品名、规格、数量、通过肉眼能够发现的表面瑕疵进行检验，通过初步检验不免除供应商的质量保证责任，质量保证期内发现货物有质量问题的，采购人有权要求成交人维修、更换或退货。 （4）国内产品或合资厂的产品必须具备出厂合格证。 （5）成交人保证合同项下提供的货物不侵犯任何第三方的知识产权。否则，成交人须承担对第三方的侵权责任并承担因此而发生的所有费用。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质保要求</w:t>
            </w:r>
          </w:p>
        </w:tc>
        <w:tc>
          <w:tcPr>
            <w:tcW w:type="dxa" w:w="2076"/>
          </w:tcPr>
          <w:p>
            <w:pPr>
              <w:pStyle w:val="null3"/>
              <w:jc w:val="left"/>
            </w:pPr>
            <w:r>
              <w:rPr/>
              <w:t>质量保证及售后服务：（1）成交人保证合同货物是全新、未曾使用过的，其质量、规格及技术特征符合合同和合同附件的要求。（2）合同货物的保质保用期按生产厂家的标准执行，但不得少于1年（从采购人验收合格之日起计算）。保修服务期内非采购人人为造成的问题，成交人包修；使用过程中发现货物规格、性能、质量等不符合约定要求，成交人须应采购人的要求予以调换或退货，并承担修理、调换或退货的实际费用。成交人须在采购人提出上述要求后24小时内响应，48小时内到达现场，48小时内处理完毕。若在48小时内仍未能有效解决，采购人可自行组织维修，费用由成交人承担。（3）因货物的质量问题而发生争议，由广东省或广州市质检部门进行质量鉴定。设备符合质量标准的，鉴定费用由采购人承担；货物不符合质量标准的，鉴定费用由成交人承担，并承担由此而产生的一切费用。</w:t>
            </w:r>
          </w:p>
        </w:tc>
      </w:tr>
      <w:tr>
        <w:tc>
          <w:tcPr>
            <w:tcW w:type="dxa" w:w="2076"/>
          </w:tcPr>
          <w:p/>
        </w:tc>
        <w:tc>
          <w:tcPr>
            <w:tcW w:type="dxa" w:w="2076"/>
          </w:tcPr>
          <w:p>
            <w:pPr>
              <w:pStyle w:val="null3"/>
              <w:jc w:val="center"/>
            </w:pPr>
            <w:r>
              <w:rPr/>
              <w:t>2</w:t>
            </w:r>
          </w:p>
        </w:tc>
        <w:tc>
          <w:tcPr>
            <w:tcW w:type="dxa" w:w="2076"/>
          </w:tcPr>
          <w:p>
            <w:pPr>
              <w:pStyle w:val="null3"/>
              <w:jc w:val="left"/>
            </w:pPr>
            <w:r>
              <w:rPr/>
              <w:t>其他要求</w:t>
            </w:r>
          </w:p>
        </w:tc>
        <w:tc>
          <w:tcPr>
            <w:tcW w:type="dxa" w:w="2076"/>
          </w:tcPr>
          <w:p>
            <w:pPr>
              <w:pStyle w:val="null3"/>
              <w:jc w:val="left"/>
            </w:pPr>
            <w:r>
              <w:rPr/>
              <w:t>在本项目合同执行期内，如采购人需要成交供应商提供采购需求清单以外的商品时，成交供应商应根据市场主流商品购物平台（包括但不限于厂家官网售价、天猫、淘宝、京东等）中该商品的简要情况，向采购人提供不少于三种商品购置方案，经采购人确定方案后成交供应商应按照不低于响应文件及采购合同的标准要求向采购单位提供商品，该商品按照确定的方案及价格进行结算。</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机械设备、五金交电和电子产品批发服 务</w:t>
            </w:r>
          </w:p>
        </w:tc>
        <w:tc>
          <w:tcPr>
            <w:tcW w:type="dxa" w:w="831"/>
          </w:tcPr>
          <w:p>
            <w:pPr>
              <w:pStyle w:val="null3"/>
              <w:jc w:val="left"/>
            </w:pPr>
            <w:r>
              <w:rPr/>
              <w:t>机电汽修类专业教学耗材</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605,807.20</w:t>
            </w:r>
          </w:p>
        </w:tc>
        <w:tc>
          <w:tcPr>
            <w:tcW w:type="dxa" w:w="831"/>
          </w:tcPr>
          <w:p>
            <w:pPr>
              <w:pStyle w:val="null3"/>
              <w:jc w:val="right"/>
            </w:pPr>
            <w:r>
              <w:rPr/>
              <w:t>605,807.20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机电汽修类专业教学耗材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详见采购公告附件：</w:t>
            </w:r>
            <w:r>
              <w:rPr>
                <w:sz w:val="21"/>
              </w:rPr>
              <w:t>需求清单</w:t>
            </w:r>
            <w:r>
              <w:rPr>
                <w:sz w:val="21"/>
              </w:rPr>
              <w:t>-供应商报价清单表格（包组2：机电汽修类专业教学耗材）</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广州市工贸技师学院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采购包1：折扣率</w:t>
            </w:r>
          </w:p>
          <w:p>
            <w:pPr>
              <w:pStyle w:val="null3"/>
            </w:pPr>
            <w:r>
              <w:rPr/>
              <w:t>采购包2：折扣率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兼投不兼中：本项目分为2个采购包，供应商可对其中1或2个采购包进行投标（响应），可兼投，本项目评标按照分包顺序（采购包1 →采购包2 ）依次进行评标。采购包1成交单位不可兼中采购包2。采购包是投标（响应）的最小单位，供应商应对同一个采购包的全部货物和服务投标（响应），开标、评标、定标按采购包要求进行。兼投者必须就每个采购包分别报价。</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采购机构代理服务收费标准：成交供应商须向采购代理机构按如下标准和规定缴纳采购代理服务费（不含税）： （1）以各包组预算金额作为采购代理服务费的计算基数； （2）采购代理服务费采用差额定率累进法进行计算，按照以下标准计取：100万元以下的部分，按照1.5%计取。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1，综合信用得分。（一）本项目商务部分评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2.0”进行核实，未能在网站查询到供应商信用评价分的，以信用评价基准分（93.4分）计算】。 2，政府采购合同融资。根据《广州市财政局关于推广应用政府采购金融服务中心促进中小微企业发展的通知》（网址：https://gdgpo.czt.gd.gov.cn/freecms/site/guangdong/tz/info/2023/11566856.html），符合条件且有电子履约保函和政府采购合同融资需求的供应商可在金融服务中心（https://gdgpo.czt.gd.gov.cn/zcdservice/zcd/guangdong/）了解和办理相关金融业务。 3，履约评价。采购人负责对成交供应商的履约行为进行评价。采购人在合同备案后可通过广东政府采购智慧云平台-诚信管理-评价管理进行评价。评价结果会影响供应商的综合信用得分。 4，关于提供前期服务的供应商。为采购项目提供整体设计、规范编制或者项目管理、监理、检测等服务的供应商，不得再参加该采购项目的其他采购活动。</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一般情况下为30分钟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2.3有融资要求的成交供应商可根据自身情况，在广东省政府采购网上自行选择金融机构及其融资产品，凭政府采购成交通知书或政府采购合同向金融机构提出融资申请。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服务类专业和电脑板卡类耗材)：综合评分法,是指响应文件满足磋商文件全部实质性要求，且按照评审因素的量化指标评审得分最高的投标人为成交候选人的评标方法。（最低报价不是成交的唯一依据。）</w:t>
      </w:r>
    </w:p>
    <w:p>
      <w:pPr>
        <w:pStyle w:val="null3"/>
      </w:pPr>
      <w:r>
        <w:rPr/>
        <w:t>采购包2(机电汽修类专业教学耗材)：综合评分法,是指响应文件满足磋商文件全部实质性要求，且按照评审因素的量化指标评审得分最高的投标人为成交候选人的评标方法。（最低报价不是成交的唯一依据。）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采购包1（服务类专业和电脑板卡类耗材）：</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采购包2（机电汽修类专业教学耗材）：</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采购包1（服务类专业和电脑板卡类耗材）：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依据《响应承诺函》。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供应商具有分公司的，其所属分公司有上述不良信用记录的，视同该供应商存在不良信用记录。③若供应商为分公司的，其所属总公司（总所）存在上述不良信用记录的，视同该分公司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依据《响应承诺函》）：1）单位负责人为同一人或者存在直接控股、管理关系的不同供应商，不得参加同一包组投标（响应）或者未划分包组的同一采购项目的政府采购活动。如同时参加，则评审时均作无效投标（响应）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本采购包不接受联合体响应</w:t>
            </w:r>
          </w:p>
        </w:tc>
        <w:tc>
          <w:tcPr>
            <w:tcW w:type="dxa" w:w="4238"/>
          </w:tcPr>
          <w:p>
            <w:pPr>
              <w:pStyle w:val="null3"/>
            </w:pPr>
            <w:r>
              <w:rPr/>
              <w:t>本采购包不接受联合体响应。</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全部服务的承接单位应为中小微企业。供应商应按规定填写《中小企业声明函》（注：监狱企业、残疾人福利性单位视同为小型、微型企业。中小微企业以供应商填写的《中小企业声明函》（见投标（响应）格式）为判定标准，残疾人福利性单位以供应商填写的《残疾人福利性单位声明函》（见投标（响应）格式）为判定标准，监狱企业须供应商提供由省级以上监狱管理局、戒毒管理局（含新疆生产建设兵团）出具的属于监狱企业的证明文件，否则不予认定。）</w:t>
            </w:r>
          </w:p>
        </w:tc>
      </w:tr>
    </w:tbl>
    <w:p>
      <w:pPr>
        <w:pStyle w:val="null3"/>
      </w:pPr>
      <w:r>
        <w:rPr/>
        <w:t>采购包2（机电汽修类专业教学耗材）：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依据《响应承诺函》。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供应商具有分公司的，其所属分公司有上述不良信用记录的，视同该供应商存在不良信用记录。③若供应商为分公司的，其所属总公司（总所）存在上述不良信用记录的，视同该分公司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依据《响应承诺函》）：1）单位负责人为同一人或者存在直接控股、管理关系的不同供应商，不得参加同一包组投标（响应）或者未划分包组的同一采购项目的政府采购活动。如同时参加，则评审时均作无效投标（响应）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本采购包不接受联合体响应</w:t>
            </w:r>
          </w:p>
        </w:tc>
        <w:tc>
          <w:tcPr>
            <w:tcW w:type="dxa" w:w="4238"/>
          </w:tcPr>
          <w:p>
            <w:pPr>
              <w:pStyle w:val="null3"/>
            </w:pPr>
            <w:r>
              <w:rPr/>
              <w:t>本采购包不接受联合体响应。</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全部服务的承接单位应为中小微企业。供应商应按规定填写《中小企业声明函》（注：监狱企业、残疾人福利性单位视同为小型、微型企业。中小微企业以供应商填写的《中小企业声明函》（见投标（响应）格式）为判定标准，残疾人福利性单位以供应商填写的《残疾人福利性单位声明函》（见投标（响应）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采购包1（服务类专业和电脑板卡类耗材）：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符合磋商文件规定的资格要求</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响应文件按照磋商文件规定要求签署、盖章</w:t>
            </w:r>
          </w:p>
        </w:tc>
      </w:tr>
      <w:tr>
        <w:tc>
          <w:tcPr>
            <w:tcW w:type="dxa" w:w="890"/>
          </w:tcPr>
          <w:p>
            <w:pPr>
              <w:pStyle w:val="null3"/>
            </w:pPr>
            <w:r>
              <w:rPr/>
              <w:t>4</w:t>
            </w:r>
          </w:p>
        </w:tc>
        <w:tc>
          <w:tcPr>
            <w:tcW w:type="dxa" w:w="3178"/>
          </w:tcPr>
          <w:p>
            <w:pPr>
              <w:pStyle w:val="null3"/>
            </w:pPr>
            <w:r>
              <w:rPr/>
              <w:t>第二阶段审查（磋商后）</w:t>
            </w:r>
          </w:p>
        </w:tc>
        <w:tc>
          <w:tcPr>
            <w:tcW w:type="dxa" w:w="4238"/>
          </w:tcPr>
          <w:p>
            <w:pPr>
              <w:pStyle w:val="null3"/>
            </w:pPr>
            <w:r>
              <w:rPr/>
              <w:t>响应报价符合磋商文件要求</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pPr>
      <w:r>
        <w:rPr/>
        <w:t>采购包2（机电汽修类专业教学耗材）：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符合磋商文件规定的资格要求</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响应文件按照磋商文件规定要求签署、盖章</w:t>
            </w:r>
          </w:p>
        </w:tc>
      </w:tr>
      <w:tr>
        <w:tc>
          <w:tcPr>
            <w:tcW w:type="dxa" w:w="890"/>
          </w:tcPr>
          <w:p>
            <w:pPr>
              <w:pStyle w:val="null3"/>
            </w:pPr>
            <w:r>
              <w:rPr/>
              <w:t>4</w:t>
            </w:r>
          </w:p>
        </w:tc>
        <w:tc>
          <w:tcPr>
            <w:tcW w:type="dxa" w:w="3178"/>
          </w:tcPr>
          <w:p>
            <w:pPr>
              <w:pStyle w:val="null3"/>
            </w:pPr>
            <w:r>
              <w:rPr/>
              <w:t>第二阶段审查（磋商后）</w:t>
            </w:r>
          </w:p>
        </w:tc>
        <w:tc>
          <w:tcPr>
            <w:tcW w:type="dxa" w:w="4238"/>
          </w:tcPr>
          <w:p>
            <w:pPr>
              <w:pStyle w:val="null3"/>
            </w:pPr>
            <w:r>
              <w:rPr/>
              <w:t>响应报价符合磋商文件要求</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采购包1(服务类专业和电脑板卡类耗材):</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技术部分45.0分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 (9.0分)</w:t>
            </w:r>
            <w:r>
              <w:rPr/>
              <w:t>，（等次分值选择：</w:t>
            </w:r>
            <w:r>
              <w:rPr/>
              <w:t>0.0;</w:t>
            </w:r>
            <w:r>
              <w:rPr/>
              <w:t>3.0;</w:t>
            </w:r>
            <w:r>
              <w:rPr/>
              <w:t>6.0;</w:t>
            </w:r>
            <w:r>
              <w:rPr/>
              <w:t>9.0;</w:t>
            </w:r>
            <w:r>
              <w:rPr/>
              <w:t>）</w:t>
            </w:r>
          </w:p>
        </w:tc>
        <w:tc>
          <w:tcPr>
            <w:tcW w:type="dxa" w:w="5076"/>
          </w:tcPr>
          <w:p>
            <w:pPr>
              <w:pStyle w:val="null3"/>
              <w:jc w:val="left"/>
            </w:pPr>
            <w:r>
              <w:rPr/>
              <w:t>根据供应商对项目的整体服务方案及方案中反映的对项目采购需求的整体响应度进行评审： 1、项目整体服务方案逻辑清晰，可行度高，需求的响应程度高，得9分； 2、项目整体服务方案逻辑较为清晰，可行度较高，需求的响应程度较高，得6分； 3、项目整体服务方案逻辑不够清晰，可行度低，需求的响应程度低，得3分； 4、未提供方案或其他情形，不得分。</w:t>
            </w:r>
          </w:p>
        </w:tc>
      </w:tr>
      <w:tr>
        <w:tc>
          <w:tcPr>
            <w:tcW w:type="dxa" w:w="922"/>
            <w:gridSpan w:val="2"/>
            <w:vMerge/>
          </w:tcPr>
          <w:p/>
        </w:tc>
        <w:tc>
          <w:tcPr>
            <w:tcW w:type="dxa" w:w="2307"/>
          </w:tcPr>
          <w:p>
            <w:pPr>
              <w:pStyle w:val="null3"/>
              <w:jc w:val="left"/>
            </w:pPr>
            <w:r>
              <w:rPr/>
              <w:t>质量保障方案 (9.0分)</w:t>
            </w:r>
            <w:r>
              <w:rPr/>
              <w:t>，（等次分值选择：</w:t>
            </w:r>
            <w:r>
              <w:rPr/>
              <w:t>0.0;</w:t>
            </w:r>
            <w:r>
              <w:rPr/>
              <w:t>3.0;</w:t>
            </w:r>
            <w:r>
              <w:rPr/>
              <w:t>6.0;</w:t>
            </w:r>
            <w:r>
              <w:rPr/>
              <w:t>9.0;</w:t>
            </w:r>
            <w:r>
              <w:rPr/>
              <w:t>）</w:t>
            </w:r>
          </w:p>
        </w:tc>
        <w:tc>
          <w:tcPr>
            <w:tcW w:type="dxa" w:w="5076"/>
          </w:tcPr>
          <w:p>
            <w:pPr>
              <w:pStyle w:val="null3"/>
              <w:jc w:val="left"/>
            </w:pPr>
            <w:r>
              <w:rPr/>
              <w:t>根据供应商对项目商品的质量保障方案（例如包括但不限于从商品材料、制作、运输配送等方面的质量控制等）进行评审： 1、供应商对项目商品的质量保障流程规范，质量的控制程度高，得9分； 2、供应商对项目商品的质量保障流程较为规范，质量的控制程度较高，得6分； 3、供应商对项目商品的质量保障流程较差，质量的控制程度低，得3分； 4、未提供方案或其他情形，不得分。</w:t>
            </w:r>
          </w:p>
        </w:tc>
      </w:tr>
      <w:tr>
        <w:tc>
          <w:tcPr>
            <w:tcW w:type="dxa" w:w="922"/>
            <w:gridSpan w:val="2"/>
            <w:vMerge/>
          </w:tcPr>
          <w:p/>
        </w:tc>
        <w:tc>
          <w:tcPr>
            <w:tcW w:type="dxa" w:w="2307"/>
          </w:tcPr>
          <w:p>
            <w:pPr>
              <w:pStyle w:val="null3"/>
              <w:jc w:val="left"/>
            </w:pPr>
            <w:r>
              <w:rPr/>
              <w:t>即时响应方案 (9.0分)</w:t>
            </w:r>
            <w:r>
              <w:rPr/>
              <w:t>，（等次分值选择：</w:t>
            </w:r>
            <w:r>
              <w:rPr/>
              <w:t>0.0;</w:t>
            </w:r>
            <w:r>
              <w:rPr/>
              <w:t>3.0;</w:t>
            </w:r>
            <w:r>
              <w:rPr/>
              <w:t>6.0;</w:t>
            </w:r>
            <w:r>
              <w:rPr/>
              <w:t>9.0;</w:t>
            </w:r>
            <w:r>
              <w:rPr/>
              <w:t>）</w:t>
            </w:r>
          </w:p>
        </w:tc>
        <w:tc>
          <w:tcPr>
            <w:tcW w:type="dxa" w:w="5076"/>
          </w:tcPr>
          <w:p>
            <w:pPr>
              <w:pStyle w:val="null3"/>
              <w:jc w:val="left"/>
            </w:pPr>
            <w:r>
              <w:rPr/>
              <w:t>根据供应商对项目服务期内的即时响应方案进行评审： 1、供应商提供针对项目服务期内的即时响应方案条理清晰，响应方式适用于项目需求，得9分； 2、供应商提供针对项目服务期内的即时响应方案条理较为清晰，响应方式一般适用于项目需求，得6分； 3、供应商提供针对项目服务期内的即时响应方案条理复杂混乱，响应方式不能够适用于项目需求，得3分； 4、未提供方案或其他情形，不得分。</w:t>
            </w:r>
          </w:p>
        </w:tc>
      </w:tr>
      <w:tr>
        <w:tc>
          <w:tcPr>
            <w:tcW w:type="dxa" w:w="922"/>
            <w:gridSpan w:val="2"/>
            <w:vMerge/>
          </w:tcPr>
          <w:p/>
        </w:tc>
        <w:tc>
          <w:tcPr>
            <w:tcW w:type="dxa" w:w="2307"/>
          </w:tcPr>
          <w:p>
            <w:pPr>
              <w:pStyle w:val="null3"/>
              <w:jc w:val="left"/>
            </w:pPr>
            <w:r>
              <w:rPr/>
              <w:t>配送方案 (9.0分)</w:t>
            </w:r>
            <w:r>
              <w:rPr/>
              <w:t>，（等次分值选择：</w:t>
            </w:r>
            <w:r>
              <w:rPr/>
              <w:t>0.0;</w:t>
            </w:r>
            <w:r>
              <w:rPr/>
              <w:t>3.0;</w:t>
            </w:r>
            <w:r>
              <w:rPr/>
              <w:t>6.0;</w:t>
            </w:r>
            <w:r>
              <w:rPr/>
              <w:t>9.0;</w:t>
            </w:r>
            <w:r>
              <w:rPr/>
              <w:t>）</w:t>
            </w:r>
          </w:p>
        </w:tc>
        <w:tc>
          <w:tcPr>
            <w:tcW w:type="dxa" w:w="5076"/>
          </w:tcPr>
          <w:p>
            <w:pPr>
              <w:pStyle w:val="null3"/>
              <w:jc w:val="left"/>
            </w:pPr>
            <w:r>
              <w:rPr/>
              <w:t>根据供应商提供的配送服务方案进行评审： 1、配送服务方案合理，流程清晰，效率高，得9分； 2、配送服务方案较合理，流程较清晰，效率适中，得6分； 3、配送服务方案一般，流程繁杂，效率较低，得3分； 4、未提供方案或其他情形，不得分。</w:t>
            </w:r>
          </w:p>
        </w:tc>
      </w:tr>
      <w:tr>
        <w:tc>
          <w:tcPr>
            <w:tcW w:type="dxa" w:w="922"/>
            <w:gridSpan w:val="2"/>
            <w:vMerge/>
          </w:tcPr>
          <w:p/>
        </w:tc>
        <w:tc>
          <w:tcPr>
            <w:tcW w:type="dxa" w:w="2307"/>
          </w:tcPr>
          <w:p>
            <w:pPr>
              <w:pStyle w:val="null3"/>
              <w:jc w:val="left"/>
            </w:pPr>
            <w:r>
              <w:rPr/>
              <w:t>应急处理方案 (9.0分)</w:t>
            </w:r>
            <w:r>
              <w:rPr/>
              <w:t>，（等次分值选择：</w:t>
            </w:r>
            <w:r>
              <w:rPr/>
              <w:t>0.0;</w:t>
            </w:r>
            <w:r>
              <w:rPr/>
              <w:t>3.0;</w:t>
            </w:r>
            <w:r>
              <w:rPr/>
              <w:t>6.0;</w:t>
            </w:r>
            <w:r>
              <w:rPr/>
              <w:t>9.0;</w:t>
            </w:r>
            <w:r>
              <w:rPr/>
              <w:t>）</w:t>
            </w:r>
          </w:p>
        </w:tc>
        <w:tc>
          <w:tcPr>
            <w:tcW w:type="dxa" w:w="5076"/>
          </w:tcPr>
          <w:p>
            <w:pPr>
              <w:pStyle w:val="null3"/>
              <w:jc w:val="left"/>
            </w:pPr>
            <w:r>
              <w:rPr/>
              <w:t>根据供应商提供的特殊情况应急处理方案（例如包括但不限于供货中断、商品残次、更换等方面）进行评审： 1、特殊情况应急处理方案合理，考虑方面周全，能快速解决特殊事件，得9分； 2、特殊情况应急处理方案较合理，考虑方面较周全，能解决特殊事件，得6分； 3、特殊情况应急处理方案一般，未多方面考虑，只能片面解决特殊事件，得3分； 4、未提供方案或其他情形，不得分。</w:t>
            </w:r>
          </w:p>
        </w:tc>
      </w:tr>
      <w:tr>
        <w:tc>
          <w:tcPr>
            <w:tcW w:type="dxa" w:w="922"/>
            <w:gridSpan w:val="2"/>
            <w:vMerge w:val="restart"/>
          </w:tcPr>
          <w:p>
            <w:pPr>
              <w:pStyle w:val="null3"/>
              <w:jc w:val="center"/>
            </w:pPr>
            <w:r>
              <w:rPr/>
              <w:t>商务部分</w:t>
            </w:r>
          </w:p>
        </w:tc>
        <w:tc>
          <w:tcPr>
            <w:tcW w:type="dxa" w:w="2307"/>
          </w:tcPr>
          <w:p>
            <w:pPr>
              <w:pStyle w:val="null3"/>
              <w:jc w:val="left"/>
            </w:pPr>
            <w:r>
              <w:rPr/>
              <w:t>类似项目业绩 (5.0分)</w:t>
            </w:r>
            <w:r>
              <w:rPr/>
              <w:t>，（等次分值选择：</w:t>
            </w:r>
            <w:r>
              <w:rPr/>
              <w:t>0.0;</w:t>
            </w:r>
            <w:r>
              <w:rPr/>
              <w:t>1.0;</w:t>
            </w:r>
            <w:r>
              <w:rPr/>
              <w:t>2.0;</w:t>
            </w:r>
            <w:r>
              <w:rPr/>
              <w:t>3.0;</w:t>
            </w:r>
            <w:r>
              <w:rPr/>
              <w:t>4.0;</w:t>
            </w:r>
            <w:r>
              <w:rPr/>
              <w:t>5.0;</w:t>
            </w:r>
            <w:r>
              <w:rPr/>
              <w:t>）</w:t>
            </w:r>
          </w:p>
        </w:tc>
        <w:tc>
          <w:tcPr>
            <w:tcW w:type="dxa" w:w="5076"/>
          </w:tcPr>
          <w:p>
            <w:pPr>
              <w:pStyle w:val="null3"/>
              <w:jc w:val="left"/>
            </w:pPr>
            <w:r>
              <w:rPr/>
              <w:t>供应商自2021年1月1日至递交响应文件截至之日，具有类似于本项目的同类型业绩，每提供一项业绩得1分，最高得5分。 注：提供项目业绩合同复印件，时间以合同签订时间为准，未提供或提供的材料无法认定不得分。</w:t>
            </w:r>
          </w:p>
        </w:tc>
      </w:tr>
      <w:tr>
        <w:tc>
          <w:tcPr>
            <w:tcW w:type="dxa" w:w="922"/>
            <w:gridSpan w:val="2"/>
            <w:vMerge/>
          </w:tcPr>
          <w:p/>
        </w:tc>
        <w:tc>
          <w:tcPr>
            <w:tcW w:type="dxa" w:w="2307"/>
          </w:tcPr>
          <w:p>
            <w:pPr>
              <w:pStyle w:val="null3"/>
              <w:jc w:val="left"/>
            </w:pPr>
            <w:r>
              <w:rPr/>
              <w:t>用户评价情况 (5.0分)</w:t>
            </w:r>
            <w:r>
              <w:rPr/>
              <w:t>，（等次分值选择：</w:t>
            </w:r>
            <w:r>
              <w:rPr/>
              <w:t>0.0;</w:t>
            </w:r>
            <w:r>
              <w:rPr/>
              <w:t>1.0;</w:t>
            </w:r>
            <w:r>
              <w:rPr/>
              <w:t>2.0;</w:t>
            </w:r>
            <w:r>
              <w:rPr/>
              <w:t>3.0;</w:t>
            </w:r>
            <w:r>
              <w:rPr/>
              <w:t>4.0;</w:t>
            </w:r>
            <w:r>
              <w:rPr/>
              <w:t>5.0;</w:t>
            </w:r>
            <w:r>
              <w:rPr/>
              <w:t>）</w:t>
            </w:r>
          </w:p>
        </w:tc>
        <w:tc>
          <w:tcPr>
            <w:tcW w:type="dxa" w:w="5076"/>
          </w:tcPr>
          <w:p>
            <w:pPr>
              <w:pStyle w:val="null3"/>
              <w:jc w:val="left"/>
            </w:pPr>
            <w:r>
              <w:rPr/>
              <w:t>供应商提供的上述同类型类似项目业绩中的有效业绩（须与上述业绩的用户单位对应，不对应不得分）的用户评价为类似“优”、“满意”、“优良”、“良好”或评价分值达到90分及以上等正面评价，每提供一个得1分，最高得5分。 注：须提供上述用户评价证明材料复印件，用户评价材料需与类似项目业绩材料对应，不提供不得分。</w:t>
            </w:r>
          </w:p>
        </w:tc>
      </w:tr>
      <w:tr>
        <w:tc>
          <w:tcPr>
            <w:tcW w:type="dxa" w:w="922"/>
            <w:gridSpan w:val="2"/>
            <w:vMerge/>
          </w:tcPr>
          <w:p/>
        </w:tc>
        <w:tc>
          <w:tcPr>
            <w:tcW w:type="dxa" w:w="2307"/>
          </w:tcPr>
          <w:p>
            <w:pPr>
              <w:pStyle w:val="null3"/>
              <w:jc w:val="left"/>
            </w:pPr>
            <w:r>
              <w:rPr/>
              <w:t>管理体系认证 (6.0分)</w:t>
            </w:r>
            <w:r>
              <w:rPr/>
              <w:t>，（等次分值选择：</w:t>
            </w:r>
            <w:r>
              <w:rPr/>
              <w:t>0.0;</w:t>
            </w:r>
            <w:r>
              <w:rPr/>
              <w:t>2.0;</w:t>
            </w:r>
            <w:r>
              <w:rPr/>
              <w:t>4.0;</w:t>
            </w:r>
            <w:r>
              <w:rPr/>
              <w:t>6.0;</w:t>
            </w:r>
            <w:r>
              <w:rPr/>
              <w:t>）</w:t>
            </w:r>
          </w:p>
        </w:tc>
        <w:tc>
          <w:tcPr>
            <w:tcW w:type="dxa" w:w="5076"/>
          </w:tcPr>
          <w:p>
            <w:pPr>
              <w:pStyle w:val="null3"/>
              <w:jc w:val="left"/>
            </w:pPr>
            <w:r>
              <w:rPr/>
              <w:t>供应商提供在有效期内的以下管理体系认证： 1、质量管理体系认证证书； 2、环境管理体系认证证书； 3、职业健康安全管理体系认证证书。 注：上述要求的证书，满足一个得2分，本项最高得6分。提供证书扫描件及全国认证认可信息公共服务平台（http://cx.cnca.cn/）对该证书的查询结果截图作为证明材料。未提供或证明材料不符合要求不得分。</w:t>
            </w:r>
          </w:p>
        </w:tc>
      </w:tr>
      <w:tr>
        <w:tc>
          <w:tcPr>
            <w:tcW w:type="dxa" w:w="922"/>
            <w:gridSpan w:val="2"/>
            <w:vMerge/>
          </w:tcPr>
          <w:p/>
        </w:tc>
        <w:tc>
          <w:tcPr>
            <w:tcW w:type="dxa" w:w="2307"/>
          </w:tcPr>
          <w:p>
            <w:pPr>
              <w:pStyle w:val="null3"/>
              <w:jc w:val="left"/>
            </w:pPr>
            <w:r>
              <w:rPr/>
              <w:t>服务响应速度 (4.0分)</w:t>
            </w:r>
            <w:r>
              <w:rPr/>
              <w:t>，（等次分值选择：</w:t>
            </w:r>
            <w:r>
              <w:rPr/>
              <w:t>0.0;</w:t>
            </w:r>
            <w:r>
              <w:rPr/>
              <w:t>1.0;</w:t>
            </w:r>
            <w:r>
              <w:rPr/>
              <w:t>2.0;</w:t>
            </w:r>
            <w:r>
              <w:rPr/>
              <w:t>4.0;</w:t>
            </w:r>
            <w:r>
              <w:rPr/>
              <w:t>）</w:t>
            </w:r>
          </w:p>
        </w:tc>
        <w:tc>
          <w:tcPr>
            <w:tcW w:type="dxa" w:w="5076"/>
          </w:tcPr>
          <w:p>
            <w:pPr>
              <w:pStyle w:val="null3"/>
              <w:jc w:val="left"/>
            </w:pPr>
            <w:r>
              <w:rPr/>
              <w:t>根据供应商服务期内的服务响应速度进行评审： 1、服务期内接到采购人通知后能在2小时内响应，24小时内完成商品配送服务，得4分； 2、服务期内接到采购人通知后能在4小时内响应，48小时内完成商品配送服务，得2分； 3、服务期内接到采购人通知后能在6小时内响应，72小时内完成商品配送服务，得1分； 4、其他情形不得分。 注：供应商提供承诺，格式自拟，不提供不得分。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null3"/>
      </w:pPr>
      <w:r>
        <w:rPr/>
        <w:t>采购包2(机电汽修类专业教学耗材):</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技术部分45.0分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 (9.0分)</w:t>
            </w:r>
            <w:r>
              <w:rPr/>
              <w:t>，（等次分值选择：</w:t>
            </w:r>
            <w:r>
              <w:rPr/>
              <w:t>0.0;</w:t>
            </w:r>
            <w:r>
              <w:rPr/>
              <w:t>3.0;</w:t>
            </w:r>
            <w:r>
              <w:rPr/>
              <w:t>6.0;</w:t>
            </w:r>
            <w:r>
              <w:rPr/>
              <w:t>9.0;</w:t>
            </w:r>
            <w:r>
              <w:rPr/>
              <w:t>）</w:t>
            </w:r>
          </w:p>
        </w:tc>
        <w:tc>
          <w:tcPr>
            <w:tcW w:type="dxa" w:w="5076"/>
          </w:tcPr>
          <w:p>
            <w:pPr>
              <w:pStyle w:val="null3"/>
              <w:jc w:val="left"/>
            </w:pPr>
            <w:r>
              <w:rPr/>
              <w:t>根据供应商对项目的整体服务方案及方案中反映的对项目采购需求的整体响应度进行评审： 1、项目整体服务方案逻辑清晰，可行度高，需求的响应程度高，得9分； 2、项目整体服务方案逻辑较为清晰，可行度较高，需求的响应程度较高，得6分； 3、项目整体服务方案逻辑不够清晰，可行度低，需求的响应程度低，得3分； 4、未提供方案或其他情形，不得分。</w:t>
            </w:r>
          </w:p>
        </w:tc>
      </w:tr>
      <w:tr>
        <w:tc>
          <w:tcPr>
            <w:tcW w:type="dxa" w:w="922"/>
            <w:gridSpan w:val="2"/>
            <w:vMerge/>
          </w:tcPr>
          <w:p/>
        </w:tc>
        <w:tc>
          <w:tcPr>
            <w:tcW w:type="dxa" w:w="2307"/>
          </w:tcPr>
          <w:p>
            <w:pPr>
              <w:pStyle w:val="null3"/>
              <w:jc w:val="left"/>
            </w:pPr>
            <w:r>
              <w:rPr/>
              <w:t>质量保障方案 (9.0分)</w:t>
            </w:r>
            <w:r>
              <w:rPr/>
              <w:t>，（等次分值选择：</w:t>
            </w:r>
            <w:r>
              <w:rPr/>
              <w:t>0.0;</w:t>
            </w:r>
            <w:r>
              <w:rPr/>
              <w:t>3.0;</w:t>
            </w:r>
            <w:r>
              <w:rPr/>
              <w:t>6.0;</w:t>
            </w:r>
            <w:r>
              <w:rPr/>
              <w:t>9.0;</w:t>
            </w:r>
            <w:r>
              <w:rPr/>
              <w:t>）</w:t>
            </w:r>
          </w:p>
        </w:tc>
        <w:tc>
          <w:tcPr>
            <w:tcW w:type="dxa" w:w="5076"/>
          </w:tcPr>
          <w:p>
            <w:pPr>
              <w:pStyle w:val="null3"/>
              <w:jc w:val="left"/>
            </w:pPr>
            <w:r>
              <w:rPr/>
              <w:t>根据供应商对项目商品的质量保障方案（例如包括但不限于从商品材料、制作、运输配送等方面的质量控制等）进行评审： 1、供应商对项目商品的质量保障流程规范，质量的控制程度高，得9分； 2、供应商对项目商品的质量保障流程较为规范，质量的控制程度较高，得6分； 3、供应商对项目商品的质量保障流程较差，质量的控制程度低，得3分； 4、未提供方案或其他情形，不得分。</w:t>
            </w:r>
          </w:p>
        </w:tc>
      </w:tr>
      <w:tr>
        <w:tc>
          <w:tcPr>
            <w:tcW w:type="dxa" w:w="922"/>
            <w:gridSpan w:val="2"/>
            <w:vMerge/>
          </w:tcPr>
          <w:p/>
        </w:tc>
        <w:tc>
          <w:tcPr>
            <w:tcW w:type="dxa" w:w="2307"/>
          </w:tcPr>
          <w:p>
            <w:pPr>
              <w:pStyle w:val="null3"/>
              <w:jc w:val="left"/>
            </w:pPr>
            <w:r>
              <w:rPr/>
              <w:t>即时响应方案 (9.0分)</w:t>
            </w:r>
            <w:r>
              <w:rPr/>
              <w:t>，（等次分值选择：</w:t>
            </w:r>
            <w:r>
              <w:rPr/>
              <w:t>0.0;</w:t>
            </w:r>
            <w:r>
              <w:rPr/>
              <w:t>3.0;</w:t>
            </w:r>
            <w:r>
              <w:rPr/>
              <w:t>6.0;</w:t>
            </w:r>
            <w:r>
              <w:rPr/>
              <w:t>9.0;</w:t>
            </w:r>
            <w:r>
              <w:rPr/>
              <w:t>）</w:t>
            </w:r>
          </w:p>
        </w:tc>
        <w:tc>
          <w:tcPr>
            <w:tcW w:type="dxa" w:w="5076"/>
          </w:tcPr>
          <w:p>
            <w:pPr>
              <w:pStyle w:val="null3"/>
              <w:jc w:val="left"/>
            </w:pPr>
            <w:r>
              <w:rPr/>
              <w:t>根据供应商对项目服务期内的即时响应方案进行评审： 1、供应商提供针对项目服务期内的即时响应方案条理清晰，响应方式适用于项目需求，得9分； 2、供应商提供针对项目服务期内的即时响应方案条理较为清晰，响应方式一般适用于项目需求，得6分； 3、供应商提供针对项目服务期内的即时响应方案条理复杂混乱，响应方式不能够适用于项目需求，得3分； 4、未提供方案或其他情形，不得分。</w:t>
            </w:r>
          </w:p>
        </w:tc>
      </w:tr>
      <w:tr>
        <w:tc>
          <w:tcPr>
            <w:tcW w:type="dxa" w:w="922"/>
            <w:gridSpan w:val="2"/>
            <w:vMerge/>
          </w:tcPr>
          <w:p/>
        </w:tc>
        <w:tc>
          <w:tcPr>
            <w:tcW w:type="dxa" w:w="2307"/>
          </w:tcPr>
          <w:p>
            <w:pPr>
              <w:pStyle w:val="null3"/>
              <w:jc w:val="left"/>
            </w:pPr>
            <w:r>
              <w:rPr/>
              <w:t>配送方案 (9.0分)</w:t>
            </w:r>
            <w:r>
              <w:rPr/>
              <w:t>，（等次分值选择：</w:t>
            </w:r>
            <w:r>
              <w:rPr/>
              <w:t>0.0;</w:t>
            </w:r>
            <w:r>
              <w:rPr/>
              <w:t>3.0;</w:t>
            </w:r>
            <w:r>
              <w:rPr/>
              <w:t>6.0;</w:t>
            </w:r>
            <w:r>
              <w:rPr/>
              <w:t>9.0;</w:t>
            </w:r>
            <w:r>
              <w:rPr/>
              <w:t>）</w:t>
            </w:r>
          </w:p>
        </w:tc>
        <w:tc>
          <w:tcPr>
            <w:tcW w:type="dxa" w:w="5076"/>
          </w:tcPr>
          <w:p>
            <w:pPr>
              <w:pStyle w:val="null3"/>
              <w:jc w:val="left"/>
            </w:pPr>
            <w:r>
              <w:rPr/>
              <w:t>根据供应商提供的配送服务方案进行评审： 1、配送服务方案合理，流程清晰，效率高，得9分； 2、配送服务方案较合理，流程较清晰，效率适中，得6分； 3、配送服务方案一般，流程繁杂，效率较低，得3分； 4、未提供方案或其他情形，不得分。</w:t>
            </w:r>
          </w:p>
        </w:tc>
      </w:tr>
      <w:tr>
        <w:tc>
          <w:tcPr>
            <w:tcW w:type="dxa" w:w="922"/>
            <w:gridSpan w:val="2"/>
            <w:vMerge/>
          </w:tcPr>
          <w:p/>
        </w:tc>
        <w:tc>
          <w:tcPr>
            <w:tcW w:type="dxa" w:w="2307"/>
          </w:tcPr>
          <w:p>
            <w:pPr>
              <w:pStyle w:val="null3"/>
              <w:jc w:val="left"/>
            </w:pPr>
            <w:r>
              <w:rPr/>
              <w:t>应急处理方案 (9.0分)</w:t>
            </w:r>
            <w:r>
              <w:rPr/>
              <w:t>，（等次分值选择：</w:t>
            </w:r>
            <w:r>
              <w:rPr/>
              <w:t>0.0;</w:t>
            </w:r>
            <w:r>
              <w:rPr/>
              <w:t>3.0;</w:t>
            </w:r>
            <w:r>
              <w:rPr/>
              <w:t>6.0;</w:t>
            </w:r>
            <w:r>
              <w:rPr/>
              <w:t>9.0;</w:t>
            </w:r>
            <w:r>
              <w:rPr/>
              <w:t>）</w:t>
            </w:r>
          </w:p>
        </w:tc>
        <w:tc>
          <w:tcPr>
            <w:tcW w:type="dxa" w:w="5076"/>
          </w:tcPr>
          <w:p>
            <w:pPr>
              <w:pStyle w:val="null3"/>
              <w:jc w:val="left"/>
            </w:pPr>
            <w:r>
              <w:rPr/>
              <w:t>根据供应商提供的特殊情况应急处理方案（例如包括但不限于供货中断、商品残次、更换等方面）进行评审： 1、特殊情况应急处理方案合理，考虑方面周全，能快速解决特殊事件，得9分； 2、特殊情况应急处理方案较合理，考虑方面较周全，能解决特殊事件，得6分； 3、特殊情况应急处理方案一般，未多方面考虑，只能片面解决特殊事件，得3分； 4、未提供方案或其他情形，不得分。</w:t>
            </w:r>
          </w:p>
        </w:tc>
      </w:tr>
      <w:tr>
        <w:tc>
          <w:tcPr>
            <w:tcW w:type="dxa" w:w="922"/>
            <w:gridSpan w:val="2"/>
            <w:vMerge w:val="restart"/>
          </w:tcPr>
          <w:p>
            <w:pPr>
              <w:pStyle w:val="null3"/>
              <w:jc w:val="center"/>
            </w:pPr>
            <w:r>
              <w:rPr/>
              <w:t>商务部分</w:t>
            </w:r>
          </w:p>
        </w:tc>
        <w:tc>
          <w:tcPr>
            <w:tcW w:type="dxa" w:w="2307"/>
          </w:tcPr>
          <w:p>
            <w:pPr>
              <w:pStyle w:val="null3"/>
              <w:jc w:val="left"/>
            </w:pPr>
            <w:r>
              <w:rPr/>
              <w:t>类似项目业绩 (5.0分)</w:t>
            </w:r>
            <w:r>
              <w:rPr/>
              <w:t>，（等次分值选择：</w:t>
            </w:r>
            <w:r>
              <w:rPr/>
              <w:t>0.0;</w:t>
            </w:r>
            <w:r>
              <w:rPr/>
              <w:t>1.0;</w:t>
            </w:r>
            <w:r>
              <w:rPr/>
              <w:t>2.0;</w:t>
            </w:r>
            <w:r>
              <w:rPr/>
              <w:t>3.0;</w:t>
            </w:r>
            <w:r>
              <w:rPr/>
              <w:t>4.0;</w:t>
            </w:r>
            <w:r>
              <w:rPr/>
              <w:t>5.0;</w:t>
            </w:r>
            <w:r>
              <w:rPr/>
              <w:t>）</w:t>
            </w:r>
          </w:p>
        </w:tc>
        <w:tc>
          <w:tcPr>
            <w:tcW w:type="dxa" w:w="5076"/>
          </w:tcPr>
          <w:p>
            <w:pPr>
              <w:pStyle w:val="null3"/>
              <w:jc w:val="left"/>
            </w:pPr>
            <w:r>
              <w:rPr/>
              <w:t>供应商自2021年1月1日至递交响应文件截至之日，具有类似于本项目的同类型业绩，每提供一项业绩得1分，最高得5分。 注：提供项目业绩合同复印件，时间以合同签订时间为准，未提供或提供的材料无法认定不得分。</w:t>
            </w:r>
          </w:p>
        </w:tc>
      </w:tr>
      <w:tr>
        <w:tc>
          <w:tcPr>
            <w:tcW w:type="dxa" w:w="922"/>
            <w:gridSpan w:val="2"/>
            <w:vMerge/>
          </w:tcPr>
          <w:p/>
        </w:tc>
        <w:tc>
          <w:tcPr>
            <w:tcW w:type="dxa" w:w="2307"/>
          </w:tcPr>
          <w:p>
            <w:pPr>
              <w:pStyle w:val="null3"/>
              <w:jc w:val="left"/>
            </w:pPr>
            <w:r>
              <w:rPr/>
              <w:t>用户评价情况 (5.0分)</w:t>
            </w:r>
            <w:r>
              <w:rPr/>
              <w:t>，（等次分值选择：</w:t>
            </w:r>
            <w:r>
              <w:rPr/>
              <w:t>0.0;</w:t>
            </w:r>
            <w:r>
              <w:rPr/>
              <w:t>1.0;</w:t>
            </w:r>
            <w:r>
              <w:rPr/>
              <w:t>2.0;</w:t>
            </w:r>
            <w:r>
              <w:rPr/>
              <w:t>3.0;</w:t>
            </w:r>
            <w:r>
              <w:rPr/>
              <w:t>4.0;</w:t>
            </w:r>
            <w:r>
              <w:rPr/>
              <w:t>5.0;</w:t>
            </w:r>
            <w:r>
              <w:rPr/>
              <w:t>）</w:t>
            </w:r>
          </w:p>
        </w:tc>
        <w:tc>
          <w:tcPr>
            <w:tcW w:type="dxa" w:w="5076"/>
          </w:tcPr>
          <w:p>
            <w:pPr>
              <w:pStyle w:val="null3"/>
              <w:jc w:val="left"/>
            </w:pPr>
            <w:r>
              <w:rPr/>
              <w:t>供应商提供的上述同类型类似项目业绩中的有效业绩（须与上述业绩的用户单位对应，不对应不得分）的用户评价为类似“优”、“满意”、“优良”、“良好”或评价分值达到90分及以上等正面评价，每提供一个得1分，最高得5分。 注：须提供上述用户评价证明材料复印件，用户评价材料需与类似项目业绩材料对应，不提供不得分。</w:t>
            </w:r>
          </w:p>
        </w:tc>
      </w:tr>
      <w:tr>
        <w:tc>
          <w:tcPr>
            <w:tcW w:type="dxa" w:w="922"/>
            <w:gridSpan w:val="2"/>
            <w:vMerge/>
          </w:tcPr>
          <w:p/>
        </w:tc>
        <w:tc>
          <w:tcPr>
            <w:tcW w:type="dxa" w:w="2307"/>
          </w:tcPr>
          <w:p>
            <w:pPr>
              <w:pStyle w:val="null3"/>
              <w:jc w:val="left"/>
            </w:pPr>
            <w:r>
              <w:rPr/>
              <w:t>管理体系认证 (6.0分)</w:t>
            </w:r>
            <w:r>
              <w:rPr/>
              <w:t>，（等次分值选择：</w:t>
            </w:r>
            <w:r>
              <w:rPr/>
              <w:t>0.0;</w:t>
            </w:r>
            <w:r>
              <w:rPr/>
              <w:t>2.0;</w:t>
            </w:r>
            <w:r>
              <w:rPr/>
              <w:t>4.0;</w:t>
            </w:r>
            <w:r>
              <w:rPr/>
              <w:t>6.0;</w:t>
            </w:r>
            <w:r>
              <w:rPr/>
              <w:t>）</w:t>
            </w:r>
          </w:p>
        </w:tc>
        <w:tc>
          <w:tcPr>
            <w:tcW w:type="dxa" w:w="5076"/>
          </w:tcPr>
          <w:p>
            <w:pPr>
              <w:pStyle w:val="null3"/>
              <w:jc w:val="left"/>
            </w:pPr>
            <w:r>
              <w:rPr/>
              <w:t>供应商提供在有效期内的以下管理体系认证： 1、质量管理体系认证证书； 2、环境管理体系认证证书； 3、职业健康安全管理体系认证证书。 注：上述要求的证书，满足一个得2分，本项最高得6分。提供证书扫描件及全国认证认可信息公共服务平台（http://cx.cnca.cn/）对该证书的查询结果截图作为证明材料。未提供或证明材料不符合要求不得分。</w:t>
            </w:r>
          </w:p>
        </w:tc>
      </w:tr>
      <w:tr>
        <w:tc>
          <w:tcPr>
            <w:tcW w:type="dxa" w:w="922"/>
            <w:gridSpan w:val="2"/>
            <w:vMerge/>
          </w:tcPr>
          <w:p/>
        </w:tc>
        <w:tc>
          <w:tcPr>
            <w:tcW w:type="dxa" w:w="2307"/>
          </w:tcPr>
          <w:p>
            <w:pPr>
              <w:pStyle w:val="null3"/>
              <w:jc w:val="left"/>
            </w:pPr>
            <w:r>
              <w:rPr/>
              <w:t>服务响应速度 (4.0分)</w:t>
            </w:r>
            <w:r>
              <w:rPr/>
              <w:t>，（等次分值选择：</w:t>
            </w:r>
            <w:r>
              <w:rPr/>
              <w:t>0.0;</w:t>
            </w:r>
            <w:r>
              <w:rPr/>
              <w:t>1.0;</w:t>
            </w:r>
            <w:r>
              <w:rPr/>
              <w:t>2.0;</w:t>
            </w:r>
            <w:r>
              <w:rPr/>
              <w:t>4.0;</w:t>
            </w:r>
            <w:r>
              <w:rPr/>
              <w:t>）</w:t>
            </w:r>
          </w:p>
        </w:tc>
        <w:tc>
          <w:tcPr>
            <w:tcW w:type="dxa" w:w="5076"/>
          </w:tcPr>
          <w:p>
            <w:pPr>
              <w:pStyle w:val="null3"/>
              <w:jc w:val="left"/>
            </w:pPr>
            <w:r>
              <w:rPr/>
              <w:t>根据供应商服务期内的服务响应速度进行评审： 1、服务期内接到采购人通知后能在2小时内响应，24小时内完成商品配送服务，得4分； 2、服务期内接到采购人通知后能在4小时内响应，48小时内完成商品配送服务，得2分； 3、服务期内接到采购人通知后能在6小时内响应，72小时内完成商品配送服务，得1分； 4、其他情形不得分。 注：供应商提供承诺，格式自拟，不提供不得分。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磋商小组采取随机抽取的方式确定。排名第一的响应供应商为第一成交候选人，排名第二的响应供应商为第二成交候选人，排名第三的响应供应商为第三成交候选人（提供相同品牌产品（非单一产品采购，以核心产品为准。多个核心产品的，有一种产品品牌相同，即视为提供相同品牌产品），评审后得分最高的同品牌响应供应商获得成交候选人推荐资格；评审得分相同的，由采购人或者采购人委托磋商小组采取随机抽取方式确定，其他同品牌响应供应商不作为成交候选人）。</w:t>
      </w:r>
    </w:p>
    <w:p>
      <w:pPr>
        <w:pStyle w:val="null3"/>
      </w:pPr>
      <w:r>
        <w:rPr/>
        <w:t>采购包2：</w:t>
      </w:r>
    </w:p>
    <w:p>
      <w:pPr>
        <w:pStyle w:val="null3"/>
      </w:pPr>
      <w:r>
        <w:rPr/>
        <w:t>评审结果按评审后总得分由高到低顺序排列。评审得分相同的，按最终报价由低到高顺序排列。得分且最终报价相同的，由磋商小组采取随机抽取的方式确定。排名第一的响应供应商为第一成交候选人，排名第二的响应供应商为第二成交候选人，排名第三的响应供应商为第三成交候选人（提供相同品牌产品（非单一产品采购，以核心产品为准。多个核心产品的，有一种产品品牌相同，即视为提供相同品牌产品），评审后得分最高的同品牌响应供应商获得成交候选人推荐资格；评审得分相同的，由采购人或者采购人委托磋商小组采取随机抽取方式确定，其他同品牌响应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 xml:space="preserve"> </w:t>
      </w:r>
    </w:p>
    <w:p>
      <w:pPr>
        <w:pStyle w:val="null3"/>
        <w:ind w:firstLine="480"/>
        <w:jc w:val="center"/>
      </w:pPr>
      <w:r>
        <w:rPr>
          <w:sz w:val="21"/>
          <w:b/>
        </w:rPr>
        <w:t xml:space="preserve"> </w:t>
      </w:r>
    </w:p>
    <w:p>
      <w:pPr>
        <w:pStyle w:val="null3"/>
        <w:jc w:val="center"/>
      </w:pPr>
      <w:r>
        <w:rPr>
          <w:sz w:val="44"/>
          <w:b/>
        </w:rPr>
        <w:t>广州市工贸技师学院</w:t>
      </w:r>
      <w:r>
        <w:rPr>
          <w:sz w:val="44"/>
          <w:b/>
        </w:rPr>
        <w:t>2024年教学消耗用品及专用材料项目</w:t>
      </w:r>
    </w:p>
    <w:p>
      <w:pPr>
        <w:pStyle w:val="null3"/>
        <w:ind w:firstLine="480"/>
        <w:jc w:val="center"/>
      </w:pPr>
      <w:r>
        <w:rPr>
          <w:sz w:val="21"/>
        </w:rPr>
        <w:t xml:space="preserve"> </w:t>
      </w:r>
    </w:p>
    <w:p>
      <w:pPr>
        <w:pStyle w:val="null3"/>
        <w:ind w:firstLine="480"/>
        <w:jc w:val="center"/>
      </w:pPr>
      <w:r>
        <w:rPr>
          <w:sz w:val="21"/>
        </w:rPr>
        <w:t xml:space="preserve"> </w:t>
      </w:r>
    </w:p>
    <w:p>
      <w:pPr>
        <w:pStyle w:val="null3"/>
        <w:ind w:firstLine="480"/>
        <w:jc w:val="center"/>
      </w:pPr>
      <w:r>
        <w:rPr>
          <w:sz w:val="44"/>
          <w:b/>
        </w:rPr>
        <w:t>合同书</w:t>
      </w:r>
    </w:p>
    <w:p>
      <w:pPr>
        <w:pStyle w:val="null3"/>
        <w:ind w:firstLine="480"/>
        <w:jc w:val="center"/>
      </w:pPr>
      <w:r>
        <w:rPr>
          <w:sz w:val="15"/>
        </w:rPr>
        <w:t xml:space="preserve"> </w:t>
      </w:r>
    </w:p>
    <w:p>
      <w:pPr>
        <w:pStyle w:val="null3"/>
        <w:ind w:firstLine="480"/>
        <w:jc w:val="center"/>
      </w:pPr>
      <w:r>
        <w:rPr>
          <w:sz w:val="15"/>
        </w:rPr>
        <w:t xml:space="preserve"> </w:t>
      </w:r>
    </w:p>
    <w:p>
      <w:pPr>
        <w:pStyle w:val="null3"/>
        <w:ind w:firstLine="480"/>
        <w:jc w:val="center"/>
      </w:pPr>
      <w:r>
        <w:rPr>
          <w:sz w:val="20"/>
          <w:b/>
        </w:rPr>
        <w:t>项目名称：</w:t>
      </w:r>
      <w:r>
        <w:rPr>
          <w:sz w:val="20"/>
          <w:b/>
          <w:u w:val="single"/>
        </w:rPr>
        <w:t>广州市工贸技师学院</w:t>
      </w:r>
      <w:r>
        <w:rPr>
          <w:sz w:val="20"/>
          <w:b/>
          <w:u w:val="single"/>
        </w:rPr>
        <w:t>2024年教学消耗用品及专用材料项目</w:t>
      </w:r>
    </w:p>
    <w:p>
      <w:pPr>
        <w:pStyle w:val="null3"/>
        <w:ind w:firstLine="480"/>
        <w:jc w:val="both"/>
      </w:pPr>
      <w:r>
        <w:rPr>
          <w:sz w:val="20"/>
          <w:b/>
        </w:rPr>
        <w:t>合同编号：</w:t>
      </w:r>
      <w:r>
        <w:rPr>
          <w:sz w:val="21"/>
          <w:b/>
          <w:u w:val="single"/>
        </w:rPr>
        <w:t xml:space="preserve">                                                   </w:t>
      </w:r>
    </w:p>
    <w:p>
      <w:pPr>
        <w:pStyle w:val="null3"/>
        <w:ind w:firstLine="480"/>
        <w:jc w:val="both"/>
      </w:pPr>
      <w:r>
        <w:rPr>
          <w:sz w:val="20"/>
          <w:b/>
        </w:rPr>
        <w:t>签约地点：</w:t>
      </w:r>
      <w:r>
        <w:rPr>
          <w:sz w:val="21"/>
          <w:b/>
          <w:u w:val="single"/>
        </w:rPr>
        <w:t xml:space="preserve">                                                   </w:t>
      </w:r>
    </w:p>
    <w:p>
      <w:pPr>
        <w:pStyle w:val="null3"/>
        <w:ind w:firstLine="480"/>
        <w:jc w:val="both"/>
      </w:pPr>
      <w:r>
        <w:rPr>
          <w:sz w:val="20"/>
          <w:b/>
        </w:rPr>
        <w:t>签订日期：</w:t>
      </w:r>
      <w:r>
        <w:rPr>
          <w:sz w:val="20"/>
          <w:b/>
        </w:rPr>
        <w:t xml:space="preserve">       年    月     日</w:t>
      </w:r>
    </w:p>
    <w:p>
      <w:pPr>
        <w:pStyle w:val="null3"/>
        <w:jc w:val="left"/>
      </w:pPr>
      <w:r>
        <w:rPr/>
        <w:t xml:space="preserve"> </w:t>
      </w:r>
    </w:p>
    <w:p>
      <w:pPr>
        <w:pStyle w:val="null3"/>
        <w:jc w:val="center"/>
      </w:pPr>
      <w:r>
        <w:rPr>
          <w:sz w:val="28"/>
          <w:b/>
        </w:rPr>
        <w:t>政府采购合同</w:t>
      </w:r>
    </w:p>
    <w:p>
      <w:pPr>
        <w:pStyle w:val="null3"/>
        <w:jc w:val="center"/>
      </w:pPr>
      <w:r>
        <w:rPr>
          <w:sz w:val="21"/>
        </w:rPr>
        <w:t>甲</w:t>
      </w:r>
      <w:r>
        <w:rPr>
          <w:sz w:val="21"/>
        </w:rPr>
        <w:t xml:space="preserve">      </w:t>
      </w:r>
      <w:r>
        <w:rPr>
          <w:sz w:val="21"/>
        </w:rPr>
        <w:t>方：</w:t>
      </w:r>
    </w:p>
    <w:p>
      <w:pPr>
        <w:pStyle w:val="null3"/>
        <w:jc w:val="both"/>
      </w:pPr>
      <w:r>
        <w:rPr>
          <w:sz w:val="21"/>
        </w:rPr>
        <w:t>法定代表人：</w:t>
      </w:r>
    </w:p>
    <w:p>
      <w:pPr>
        <w:pStyle w:val="null3"/>
        <w:jc w:val="both"/>
      </w:pPr>
      <w:r>
        <w:rPr>
          <w:sz w:val="21"/>
        </w:rPr>
        <w:t>电</w:t>
      </w:r>
      <w:r>
        <w:rPr>
          <w:sz w:val="21"/>
        </w:rPr>
        <w:t xml:space="preserve">      </w:t>
      </w:r>
      <w:r>
        <w:rPr>
          <w:sz w:val="21"/>
        </w:rPr>
        <w:t>话：</w:t>
      </w:r>
    </w:p>
    <w:p>
      <w:pPr>
        <w:pStyle w:val="null3"/>
        <w:jc w:val="both"/>
      </w:pPr>
      <w:r>
        <w:rPr>
          <w:sz w:val="21"/>
        </w:rPr>
        <w:t>地</w:t>
      </w:r>
      <w:r>
        <w:rPr>
          <w:sz w:val="21"/>
        </w:rPr>
        <w:t xml:space="preserve">      </w:t>
      </w:r>
      <w:r>
        <w:rPr>
          <w:sz w:val="21"/>
        </w:rPr>
        <w:t>址：</w:t>
      </w:r>
    </w:p>
    <w:p>
      <w:pPr>
        <w:pStyle w:val="null3"/>
        <w:jc w:val="both"/>
      </w:pPr>
      <w:r>
        <w:rPr>
          <w:sz w:val="21"/>
        </w:rPr>
        <w:t>乙</w:t>
      </w:r>
      <w:r>
        <w:rPr>
          <w:sz w:val="21"/>
        </w:rPr>
        <w:t xml:space="preserve">      </w:t>
      </w:r>
      <w:r>
        <w:rPr>
          <w:sz w:val="21"/>
        </w:rPr>
        <w:t>方：</w:t>
      </w:r>
    </w:p>
    <w:p>
      <w:pPr>
        <w:pStyle w:val="null3"/>
        <w:jc w:val="both"/>
      </w:pPr>
      <w:r>
        <w:rPr>
          <w:sz w:val="21"/>
        </w:rPr>
        <w:t>法定代表人：</w:t>
      </w:r>
    </w:p>
    <w:p>
      <w:pPr>
        <w:pStyle w:val="null3"/>
        <w:jc w:val="both"/>
      </w:pPr>
      <w:r>
        <w:rPr>
          <w:sz w:val="21"/>
        </w:rPr>
        <w:t>电</w:t>
      </w:r>
      <w:r>
        <w:rPr>
          <w:sz w:val="21"/>
        </w:rPr>
        <w:t xml:space="preserve">      </w:t>
      </w:r>
      <w:r>
        <w:rPr>
          <w:sz w:val="21"/>
        </w:rPr>
        <w:t>话：</w:t>
      </w:r>
    </w:p>
    <w:p>
      <w:pPr>
        <w:pStyle w:val="null3"/>
        <w:jc w:val="both"/>
      </w:pPr>
      <w:r>
        <w:rPr>
          <w:sz w:val="21"/>
        </w:rPr>
        <w:t>地</w:t>
      </w:r>
      <w:r>
        <w:rPr>
          <w:sz w:val="21"/>
        </w:rPr>
        <w:t xml:space="preserve">      </w:t>
      </w:r>
      <w:r>
        <w:rPr>
          <w:sz w:val="21"/>
        </w:rPr>
        <w:t>址：</w:t>
      </w:r>
    </w:p>
    <w:p>
      <w:pPr>
        <w:pStyle w:val="null3"/>
        <w:jc w:val="both"/>
      </w:pPr>
      <w:r>
        <w:rPr>
          <w:sz w:val="21"/>
        </w:rPr>
        <w:t xml:space="preserve">                                </w:t>
      </w:r>
    </w:p>
    <w:p>
      <w:pPr>
        <w:pStyle w:val="null3"/>
        <w:ind w:firstLine="528"/>
        <w:jc w:val="both"/>
      </w:pPr>
      <w:r>
        <w:rPr>
          <w:sz w:val="21"/>
        </w:rPr>
        <w:t>根据</w:t>
      </w:r>
      <w:r>
        <w:rPr>
          <w:sz w:val="21"/>
          <w:u w:val="single"/>
        </w:rPr>
        <w:t xml:space="preserve">              </w:t>
      </w:r>
      <w:r>
        <w:rPr>
          <w:sz w:val="21"/>
        </w:rPr>
        <w:t>项目的采购结果，按照《中华人民共和国政府采购法》，《中华人民共和国民法典</w:t>
      </w:r>
      <w:r>
        <w:rPr>
          <w:sz w:val="21"/>
        </w:rPr>
        <w:t>(</w:t>
      </w:r>
      <w:r>
        <w:rPr>
          <w:sz w:val="21"/>
        </w:rPr>
        <w:t>合同编</w:t>
      </w:r>
      <w:r>
        <w:rPr>
          <w:sz w:val="21"/>
        </w:rPr>
        <w:t>)</w:t>
      </w:r>
      <w:r>
        <w:rPr>
          <w:sz w:val="21"/>
        </w:rPr>
        <w:t>》</w:t>
      </w:r>
      <w:r>
        <w:rPr>
          <w:sz w:val="21"/>
        </w:rPr>
        <w:t>的规定，经双方协商，本着平等互利和诚实信用的原则，一致同意遵守本合同如下。</w:t>
      </w:r>
    </w:p>
    <w:p>
      <w:pPr>
        <w:pStyle w:val="null3"/>
        <w:jc w:val="both"/>
      </w:pPr>
      <w:r>
        <w:rPr>
          <w:sz w:val="21"/>
          <w:b/>
        </w:rPr>
        <w:t>一、合同采购内容</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885"/>
        <w:gridCol w:w="1785"/>
        <w:gridCol w:w="1365"/>
        <w:gridCol w:w="930"/>
        <w:gridCol w:w="1260"/>
        <w:gridCol w:w="1425"/>
      </w:tblGrid>
      <w:tr>
        <w:tc>
          <w:tcPr>
            <w:tcW w:type="dxa" w:w="8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7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采购标的</w:t>
            </w:r>
          </w:p>
        </w:tc>
        <w:tc>
          <w:tcPr>
            <w:tcW w:type="dxa" w:w="1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采购数量</w:t>
            </w:r>
          </w:p>
        </w:tc>
        <w:tc>
          <w:tcPr>
            <w:tcW w:type="dxa" w:w="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计量单位</w:t>
            </w:r>
          </w:p>
        </w:tc>
        <w:tc>
          <w:tcPr>
            <w:tcW w:type="dxa" w:w="1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单价（元）</w:t>
            </w:r>
          </w:p>
        </w:tc>
        <w:tc>
          <w:tcPr>
            <w:tcW w:type="dxa" w:w="1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金额（元）</w:t>
            </w: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30"/>
              <w:jc w:val="center"/>
            </w:pPr>
            <w:r>
              <w:rPr>
                <w:sz w:val="21"/>
              </w:rPr>
              <w:t>1</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二、合同金额</w:t>
      </w:r>
    </w:p>
    <w:p>
      <w:pPr>
        <w:pStyle w:val="null3"/>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r>
        <w:rPr>
          <w:sz w:val="21"/>
        </w:rPr>
        <w:t>人民币</w:t>
      </w:r>
      <w:r>
        <w:rPr>
          <w:sz w:val="21"/>
        </w:rPr>
        <w:t>。</w:t>
      </w:r>
    </w:p>
    <w:p>
      <w:pPr>
        <w:pStyle w:val="null3"/>
        <w:jc w:val="both"/>
      </w:pPr>
      <w:r>
        <w:rPr>
          <w:sz w:val="21"/>
          <w:b/>
        </w:rPr>
        <w:t>三、服务范围</w:t>
      </w:r>
    </w:p>
    <w:p>
      <w:pPr>
        <w:pStyle w:val="null3"/>
        <w:ind w:firstLine="420"/>
        <w:jc w:val="both"/>
      </w:pPr>
      <w:r>
        <w:rPr>
          <w:sz w:val="21"/>
        </w:rPr>
        <w:t>甲方聘请乙方提供以下服务：</w:t>
      </w:r>
    </w:p>
    <w:p>
      <w:pPr>
        <w:pStyle w:val="null3"/>
        <w:ind w:firstLine="420"/>
        <w:jc w:val="both"/>
      </w:pPr>
      <w:r>
        <w:rPr>
          <w:sz w:val="21"/>
        </w:rPr>
        <w:t>1.……</w:t>
      </w:r>
    </w:p>
    <w:p>
      <w:pPr>
        <w:pStyle w:val="null3"/>
        <w:ind w:firstLine="420"/>
        <w:jc w:val="both"/>
      </w:pPr>
      <w:r>
        <w:rPr>
          <w:sz w:val="21"/>
        </w:rPr>
        <w:t>2.……</w:t>
      </w:r>
    </w:p>
    <w:p>
      <w:pPr>
        <w:pStyle w:val="null3"/>
        <w:ind w:firstLine="420"/>
        <w:jc w:val="both"/>
      </w:pPr>
      <w:r>
        <w:rPr>
          <w:sz w:val="21"/>
        </w:rPr>
        <w:t>……</w:t>
      </w:r>
    </w:p>
    <w:p>
      <w:pPr>
        <w:pStyle w:val="null3"/>
        <w:jc w:val="both"/>
      </w:pPr>
      <w:r>
        <w:rPr>
          <w:sz w:val="21"/>
          <w:b/>
        </w:rPr>
        <w:t>四、服务内容及要求</w:t>
      </w:r>
    </w:p>
    <w:p>
      <w:pPr>
        <w:pStyle w:val="null3"/>
        <w:jc w:val="both"/>
      </w:pPr>
      <w:r>
        <w:rPr>
          <w:sz w:val="21"/>
        </w:rPr>
        <w:t>（按采购需求要求）</w:t>
      </w:r>
    </w:p>
    <w:p>
      <w:pPr>
        <w:pStyle w:val="null3"/>
        <w:jc w:val="both"/>
      </w:pPr>
      <w:r>
        <w:rPr>
          <w:sz w:val="21"/>
          <w:b/>
        </w:rPr>
        <w:t>五、交付时间、地点、方式</w:t>
      </w:r>
    </w:p>
    <w:p>
      <w:pPr>
        <w:pStyle w:val="null3"/>
        <w:ind w:firstLine="420"/>
        <w:jc w:val="both"/>
      </w:pPr>
      <w:r>
        <w:rPr>
          <w:sz w:val="21"/>
        </w:rPr>
        <w:t>1.交付时间（服务期限）：</w:t>
      </w:r>
      <w:r>
        <w:rPr>
          <w:sz w:val="21"/>
          <w:u w:val="single"/>
        </w:rPr>
        <w:t xml:space="preserve">   </w:t>
      </w:r>
      <w:r>
        <w:rPr>
          <w:sz w:val="21"/>
          <w:u w:val="single"/>
        </w:rPr>
        <w:t xml:space="preserve">  </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u w:val="single"/>
        </w:rPr>
        <w:t xml:space="preserve">  </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ind w:firstLine="420"/>
        <w:jc w:val="both"/>
      </w:pPr>
      <w:r>
        <w:rPr>
          <w:sz w:val="21"/>
        </w:rPr>
        <w:t>2.交付地点（服务地点）：</w:t>
      </w:r>
      <w:r>
        <w:rPr>
          <w:sz w:val="21"/>
          <w:u w:val="single"/>
        </w:rPr>
        <w:t xml:space="preserve">                        </w:t>
      </w:r>
    </w:p>
    <w:p>
      <w:pPr>
        <w:pStyle w:val="null3"/>
        <w:ind w:firstLine="420"/>
        <w:jc w:val="both"/>
      </w:pPr>
      <w:r>
        <w:rPr>
          <w:sz w:val="21"/>
        </w:rPr>
        <w:t>3.交付条件：项目验收通过</w:t>
      </w:r>
    </w:p>
    <w:p>
      <w:pPr>
        <w:pStyle w:val="null3"/>
        <w:ind w:firstLine="420"/>
        <w:jc w:val="both"/>
      </w:pPr>
      <w:r>
        <w:rPr>
          <w:sz w:val="21"/>
        </w:rPr>
        <w:t>4.甲方联系人及联系电话：</w:t>
      </w:r>
    </w:p>
    <w:p>
      <w:pPr>
        <w:pStyle w:val="null3"/>
        <w:ind w:firstLine="420"/>
        <w:jc w:val="both"/>
      </w:pPr>
      <w:r>
        <w:rPr>
          <w:sz w:val="21"/>
        </w:rPr>
        <w:t>5.乙方联系人及联系电话：</w:t>
      </w:r>
    </w:p>
    <w:p>
      <w:pPr>
        <w:pStyle w:val="null3"/>
        <w:jc w:val="both"/>
      </w:pPr>
      <w:r>
        <w:rPr>
          <w:sz w:val="21"/>
          <w:b/>
        </w:rPr>
        <w:t>六、甲方乙方的权利和义务</w:t>
      </w:r>
    </w:p>
    <w:p>
      <w:pPr>
        <w:pStyle w:val="null3"/>
        <w:jc w:val="both"/>
      </w:pPr>
      <w:r>
        <w:rPr>
          <w:sz w:val="21"/>
        </w:rPr>
        <w:t>（一）</w:t>
      </w:r>
      <w:r>
        <w:rPr>
          <w:sz w:val="21"/>
        </w:rPr>
        <w:t>甲方的权利和义务</w:t>
      </w:r>
    </w:p>
    <w:p>
      <w:pPr>
        <w:pStyle w:val="null3"/>
        <w:ind w:firstLine="420"/>
        <w:jc w:val="both"/>
      </w:pPr>
      <w:r>
        <w:rPr>
          <w:sz w:val="21"/>
        </w:rPr>
        <w:t>1.……</w:t>
      </w:r>
    </w:p>
    <w:p>
      <w:pPr>
        <w:pStyle w:val="null3"/>
        <w:ind w:firstLine="420"/>
        <w:jc w:val="both"/>
      </w:pPr>
      <w:r>
        <w:rPr>
          <w:sz w:val="21"/>
        </w:rPr>
        <w:t>2.……</w:t>
      </w:r>
    </w:p>
    <w:p>
      <w:pPr>
        <w:pStyle w:val="null3"/>
        <w:ind w:firstLine="420"/>
        <w:jc w:val="both"/>
      </w:pPr>
      <w:r>
        <w:rPr>
          <w:sz w:val="21"/>
        </w:rPr>
        <w:t>……</w:t>
      </w:r>
    </w:p>
    <w:p>
      <w:pPr>
        <w:pStyle w:val="null3"/>
        <w:jc w:val="both"/>
      </w:pPr>
      <w:r>
        <w:rPr>
          <w:sz w:val="21"/>
        </w:rPr>
        <w:t>（二）</w:t>
      </w:r>
      <w:r>
        <w:rPr>
          <w:sz w:val="21"/>
        </w:rPr>
        <w:t>乙方的权利和义务</w:t>
      </w:r>
    </w:p>
    <w:p>
      <w:pPr>
        <w:pStyle w:val="null3"/>
        <w:ind w:firstLine="420"/>
        <w:jc w:val="both"/>
      </w:pPr>
      <w:r>
        <w:rPr>
          <w:sz w:val="21"/>
        </w:rPr>
        <w:t>1.……</w:t>
      </w:r>
    </w:p>
    <w:p>
      <w:pPr>
        <w:pStyle w:val="null3"/>
        <w:ind w:firstLine="420"/>
        <w:jc w:val="both"/>
      </w:pPr>
      <w:r>
        <w:rPr>
          <w:sz w:val="21"/>
        </w:rPr>
        <w:t>2.……</w:t>
      </w:r>
    </w:p>
    <w:p>
      <w:pPr>
        <w:pStyle w:val="null3"/>
        <w:ind w:firstLine="420"/>
        <w:jc w:val="both"/>
      </w:pPr>
      <w:r>
        <w:rPr>
          <w:sz w:val="21"/>
        </w:rPr>
        <w:t>……</w:t>
      </w:r>
    </w:p>
    <w:p>
      <w:pPr>
        <w:pStyle w:val="null3"/>
        <w:jc w:val="both"/>
      </w:pPr>
      <w:r>
        <w:rPr>
          <w:sz w:val="21"/>
          <w:b/>
        </w:rPr>
        <w:t>七、付款方式</w:t>
      </w:r>
    </w:p>
    <w:p>
      <w:pPr>
        <w:pStyle w:val="null3"/>
        <w:ind w:firstLine="420"/>
        <w:jc w:val="both"/>
      </w:pPr>
      <w:r>
        <w:rPr>
          <w:sz w:val="21"/>
        </w:rPr>
        <w:t>由甲方按下列程序</w:t>
      </w:r>
      <w:r>
        <w:rPr>
          <w:sz w:val="21"/>
          <w:u w:val="single"/>
        </w:rPr>
        <w:t xml:space="preserve">                     </w:t>
      </w:r>
      <w:r>
        <w:rPr>
          <w:sz w:val="21"/>
        </w:rPr>
        <w:t>方式</w:t>
      </w:r>
      <w:r>
        <w:rPr>
          <w:sz w:val="21"/>
        </w:rPr>
        <w:t>付款：</w:t>
      </w:r>
    </w:p>
    <w:p>
      <w:pPr>
        <w:pStyle w:val="null3"/>
        <w:ind w:firstLine="420"/>
        <w:jc w:val="both"/>
      </w:pPr>
      <w:r>
        <w:rPr>
          <w:sz w:val="21"/>
        </w:rPr>
        <w:t>1.预付款：签订合同后，支付合同总价的</w:t>
      </w:r>
      <w:r>
        <w:rPr>
          <w:sz w:val="21"/>
          <w:u w:val="single"/>
        </w:rPr>
        <w:t xml:space="preserve">       </w:t>
      </w:r>
      <w:r>
        <w:rPr>
          <w:sz w:val="21"/>
        </w:rPr>
        <w:t>%</w:t>
      </w:r>
      <w:r>
        <w:rPr>
          <w:sz w:val="21"/>
        </w:rPr>
        <w:t>预付款。</w:t>
      </w:r>
    </w:p>
    <w:p>
      <w:pPr>
        <w:pStyle w:val="null3"/>
        <w:ind w:firstLine="420"/>
        <w:jc w:val="both"/>
      </w:pPr>
      <w:r>
        <w:rPr>
          <w:sz w:val="21"/>
        </w:rPr>
        <w:t>2.</w:t>
      </w:r>
      <w:r>
        <w:rPr>
          <w:sz w:val="21"/>
        </w:rPr>
        <w:t>验收合格后，凭验收合格单或验收合格报告，</w:t>
      </w:r>
      <w:r>
        <w:rPr>
          <w:sz w:val="21"/>
        </w:rPr>
        <w:t>提交全部报告材料，支付至合同金额的</w:t>
      </w:r>
      <w:r>
        <w:rPr>
          <w:sz w:val="21"/>
          <w:u w:val="single"/>
        </w:rPr>
        <w:t xml:space="preserve">       </w:t>
      </w:r>
      <w:r>
        <w:rPr>
          <w:sz w:val="21"/>
        </w:rPr>
        <w:t xml:space="preserve"> %，同时无息退还乙方的合同履约保证金</w:t>
      </w:r>
      <w:r>
        <w:rPr>
          <w:sz w:val="21"/>
        </w:rPr>
        <w:t>（如有）</w:t>
      </w:r>
      <w:r>
        <w:rPr>
          <w:sz w:val="21"/>
        </w:rPr>
        <w:t>。</w:t>
      </w:r>
    </w:p>
    <w:p>
      <w:pPr>
        <w:pStyle w:val="null3"/>
        <w:ind w:firstLine="420"/>
        <w:jc w:val="both"/>
      </w:pPr>
      <w:r>
        <w:rPr>
          <w:sz w:val="21"/>
        </w:rPr>
        <w:t>3.从验收合格之日起，正常使用</w:t>
      </w:r>
      <w:r>
        <w:rPr>
          <w:sz w:val="21"/>
          <w:u w:val="single"/>
        </w:rPr>
        <w:t xml:space="preserve">      </w:t>
      </w:r>
      <w:r>
        <w:rPr>
          <w:sz w:val="21"/>
        </w:rPr>
        <w:t>个月后，支付合同总价的</w:t>
      </w:r>
      <w:r>
        <w:rPr>
          <w:sz w:val="21"/>
          <w:u w:val="single"/>
        </w:rPr>
        <w:t xml:space="preserve">              </w:t>
      </w:r>
      <w:r>
        <w:rPr>
          <w:sz w:val="21"/>
        </w:rPr>
        <w:t xml:space="preserve"> </w:t>
      </w:r>
      <w:r>
        <w:rPr>
          <w:sz w:val="21"/>
        </w:rPr>
        <w:t>％。</w:t>
      </w:r>
    </w:p>
    <w:p>
      <w:pPr>
        <w:pStyle w:val="null3"/>
        <w:ind w:firstLine="420"/>
        <w:jc w:val="both"/>
      </w:pPr>
      <w:r>
        <w:rPr>
          <w:sz w:val="21"/>
        </w:rPr>
        <w:t>4.其他：</w:t>
      </w:r>
      <w:r>
        <w:rPr>
          <w:sz w:val="21"/>
          <w:u w:val="single"/>
        </w:rPr>
        <w:t xml:space="preserve">                                                 </w:t>
      </w:r>
      <w:r>
        <w:rPr>
          <w:sz w:val="21"/>
        </w:rPr>
        <w:t>。</w:t>
      </w:r>
    </w:p>
    <w:p>
      <w:pPr>
        <w:pStyle w:val="null3"/>
        <w:ind w:firstLine="420"/>
        <w:jc w:val="both"/>
      </w:pPr>
      <w:r>
        <w:rPr>
          <w:sz w:val="21"/>
        </w:rPr>
        <w:t>5</w:t>
      </w:r>
      <w:r>
        <w:rPr>
          <w:sz w:val="21"/>
        </w:rPr>
        <w:t>.对于满足合同约定支付条件的，甲方应当自收到</w:t>
      </w:r>
      <w:r>
        <w:rPr>
          <w:sz w:val="21"/>
        </w:rPr>
        <w:t>正规</w:t>
      </w:r>
      <w:r>
        <w:rPr>
          <w:sz w:val="21"/>
        </w:rPr>
        <w:t>发票</w:t>
      </w:r>
      <w:r>
        <w:rPr>
          <w:sz w:val="21"/>
        </w:rPr>
        <w:t>（发票信息，名称：</w:t>
      </w:r>
      <w:r>
        <w:rPr>
          <w:sz w:val="21"/>
          <w:u w:val="single"/>
        </w:rPr>
        <w:t xml:space="preserve">     </w:t>
      </w:r>
      <w:r>
        <w:rPr>
          <w:sz w:val="21"/>
          <w:u w:val="single"/>
        </w:rPr>
        <w:t xml:space="preserve">     </w:t>
      </w:r>
      <w:r>
        <w:rPr>
          <w:sz w:val="21"/>
          <w:u w:val="single"/>
        </w:rPr>
        <w:t xml:space="preserve">         </w:t>
      </w:r>
      <w:r>
        <w:rPr>
          <w:sz w:val="21"/>
        </w:rPr>
        <w:t>纳税人识别号：</w:t>
      </w:r>
      <w:r>
        <w:rPr>
          <w:sz w:val="21"/>
          <w:u w:val="single"/>
        </w:rPr>
        <w:t xml:space="preserve">              </w:t>
      </w:r>
      <w:r>
        <w:rPr>
          <w:sz w:val="21"/>
        </w:rPr>
        <w:t>）</w:t>
      </w:r>
      <w:r>
        <w:rPr>
          <w:sz w:val="21"/>
        </w:rPr>
        <w:t>后</w:t>
      </w:r>
      <w:r>
        <w:rPr>
          <w:sz w:val="21"/>
          <w:u w:val="single"/>
        </w:rPr>
        <w:t xml:space="preserve">     </w:t>
      </w:r>
      <w:r>
        <w:rPr>
          <w:sz w:val="21"/>
        </w:rPr>
        <w:t>日内将资金支付到合同约定的乙方账户</w:t>
      </w:r>
      <w:r>
        <w:rPr>
          <w:sz w:val="21"/>
        </w:rPr>
        <w:t>（开户名称：</w:t>
      </w:r>
      <w:r>
        <w:rPr>
          <w:sz w:val="21"/>
          <w:u w:val="single"/>
        </w:rPr>
        <w:t xml:space="preserve">              </w:t>
      </w:r>
      <w:r>
        <w:rPr>
          <w:sz w:val="21"/>
        </w:rPr>
        <w:t xml:space="preserve"> </w:t>
      </w:r>
      <w:r>
        <w:rPr>
          <w:sz w:val="21"/>
        </w:rPr>
        <w:t>乙方银行帐号：</w:t>
      </w:r>
      <w:r>
        <w:rPr>
          <w:sz w:val="21"/>
          <w:u w:val="single"/>
        </w:rPr>
        <w:t xml:space="preserve">              </w:t>
      </w:r>
      <w:r>
        <w:rPr>
          <w:sz w:val="21"/>
        </w:rPr>
        <w:t>乙方开户行：</w:t>
      </w:r>
      <w:r>
        <w:rPr>
          <w:sz w:val="21"/>
          <w:u w:val="single"/>
        </w:rPr>
        <w:t xml:space="preserve">              </w:t>
      </w:r>
      <w:r>
        <w:rPr>
          <w:sz w:val="21"/>
        </w:rPr>
        <w:t xml:space="preserve"> </w:t>
      </w:r>
      <w:r>
        <w:rPr>
          <w:sz w:val="21"/>
        </w:rPr>
        <w:t>纳税人识别号：</w:t>
      </w:r>
      <w:r>
        <w:rPr>
          <w:sz w:val="21"/>
          <w:u w:val="single"/>
        </w:rPr>
        <w:t xml:space="preserve">              </w:t>
      </w:r>
      <w:r>
        <w:rPr>
          <w:sz w:val="21"/>
        </w:rPr>
        <w:t>所在区域：</w:t>
      </w:r>
      <w:r>
        <w:rPr>
          <w:sz w:val="21"/>
          <w:u w:val="single"/>
        </w:rPr>
        <w:t xml:space="preserve">              </w:t>
      </w:r>
      <w:r>
        <w:rPr>
          <w:sz w:val="21"/>
        </w:rPr>
        <w:t xml:space="preserve"> </w:t>
      </w:r>
      <w:r>
        <w:rPr>
          <w:sz w:val="21"/>
        </w:rPr>
        <w:t>）</w:t>
      </w:r>
      <w:r>
        <w:rPr>
          <w:sz w:val="21"/>
        </w:rPr>
        <w:t>，不得以机构变动、人员更替等为由延迟付款，不得将采购文件和合同中未规定的义务作为向乙方付款的条件。</w:t>
      </w:r>
      <w:r>
        <w:rPr>
          <w:sz w:val="21"/>
        </w:rPr>
        <w:t>因甲方使用的是财政资金，本合同规定的付款时间为甲方向采购支付部门提出办理财政支付申请手续的时间（不含财政支付部门审核的时间），甲方在规定时间内提出支付申请手续视为甲方已经按期支付。</w:t>
      </w:r>
    </w:p>
    <w:p>
      <w:pPr>
        <w:pStyle w:val="null3"/>
        <w:jc w:val="both"/>
      </w:pPr>
      <w:r>
        <w:rPr>
          <w:sz w:val="21"/>
          <w:b/>
        </w:rPr>
        <w:t>八、项目验收</w:t>
      </w:r>
    </w:p>
    <w:p>
      <w:pPr>
        <w:pStyle w:val="null3"/>
        <w:ind w:firstLine="420"/>
        <w:jc w:val="both"/>
      </w:pPr>
      <w:r>
        <w:rPr>
          <w:sz w:val="21"/>
        </w:rPr>
        <w:t>1.具体要求以招标文件以及乙方的投标文件承诺为准，如招标文件与投标文件不一致时，以更有利于甲方的条款执行。</w:t>
      </w:r>
      <w:r>
        <w:rPr>
          <w:sz w:val="21"/>
        </w:rPr>
        <w:t>由甲方成立验收小组，组织验收并出具项目验收报告。</w:t>
      </w:r>
    </w:p>
    <w:p>
      <w:pPr>
        <w:pStyle w:val="null3"/>
        <w:ind w:firstLine="420"/>
        <w:jc w:val="both"/>
      </w:pPr>
      <w:r>
        <w:rPr>
          <w:sz w:val="21"/>
        </w:rPr>
        <w:t>2.</w:t>
      </w:r>
      <w:r>
        <w:rPr>
          <w:sz w:val="21"/>
        </w:rPr>
        <w:t>验收期限：</w:t>
      </w:r>
      <w:r>
        <w:rPr>
          <w:sz w:val="21"/>
        </w:rPr>
        <w:t>全部服务完成后</w:t>
      </w:r>
      <w:r>
        <w:rPr>
          <w:sz w:val="21"/>
          <w:u w:val="single"/>
        </w:rPr>
        <w:t xml:space="preserve"> </w:t>
      </w:r>
      <w:r>
        <w:rPr>
          <w:sz w:val="21"/>
          <w:u w:val="single"/>
        </w:rPr>
        <w:t xml:space="preserve"> </w:t>
      </w:r>
      <w:r>
        <w:rPr>
          <w:sz w:val="21"/>
          <w:u w:val="single"/>
        </w:rPr>
        <w:t xml:space="preserve">  </w:t>
      </w:r>
      <w:r>
        <w:rPr>
          <w:sz w:val="21"/>
        </w:rPr>
        <w:t>天内完成项目验收。</w:t>
      </w:r>
    </w:p>
    <w:p>
      <w:pPr>
        <w:pStyle w:val="null3"/>
        <w:ind w:firstLine="420"/>
        <w:jc w:val="both"/>
      </w:pPr>
      <w:r>
        <w:rPr>
          <w:sz w:val="21"/>
        </w:rPr>
        <w:t>……</w:t>
      </w:r>
    </w:p>
    <w:p>
      <w:pPr>
        <w:pStyle w:val="null3"/>
        <w:jc w:val="both"/>
      </w:pPr>
      <w:r>
        <w:rPr>
          <w:sz w:val="21"/>
          <w:b/>
        </w:rPr>
        <w:t>九、知识产权归属</w:t>
      </w:r>
    </w:p>
    <w:p>
      <w:pPr>
        <w:pStyle w:val="null3"/>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否则，乙方须承担对第三方的专利权、商标权或其它知识产权的侵权责任并承担因此而发生的所有费用及给甲方造成的损失。</w:t>
      </w:r>
    </w:p>
    <w:p>
      <w:pPr>
        <w:pStyle w:val="null3"/>
        <w:jc w:val="both"/>
      </w:pPr>
      <w:r>
        <w:rPr>
          <w:sz w:val="21"/>
          <w:b/>
        </w:rPr>
        <w:t>十、保密</w:t>
      </w:r>
    </w:p>
    <w:p>
      <w:pPr>
        <w:pStyle w:val="null3"/>
        <w:ind w:firstLine="420"/>
        <w:jc w:val="both"/>
      </w:pPr>
      <w:r>
        <w:rPr>
          <w:sz w:val="21"/>
        </w:rPr>
        <w:t>1.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null3"/>
        <w:ind w:firstLine="420"/>
        <w:jc w:val="both"/>
      </w:pPr>
      <w:r>
        <w:rPr>
          <w:sz w:val="21"/>
        </w:rPr>
        <w:t>2.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jc w:val="both"/>
      </w:pPr>
      <w:r>
        <w:rPr>
          <w:sz w:val="21"/>
          <w:b/>
        </w:rPr>
        <w:t>十一、违约责任与赔偿损失</w:t>
      </w:r>
    </w:p>
    <w:p>
      <w:pPr>
        <w:pStyle w:val="null3"/>
        <w:ind w:firstLine="420"/>
        <w:jc w:val="both"/>
      </w:pPr>
      <w:r>
        <w:rPr>
          <w:sz w:val="21"/>
        </w:rPr>
        <w:t>1.乙方提供的服务不符合招标文件、投标文件或本合同规定的，甲方有权要求乙方整改，并且乙方须向甲方支付本合同总价5%的违约金。</w:t>
      </w:r>
    </w:p>
    <w:p>
      <w:pPr>
        <w:pStyle w:val="null3"/>
        <w:ind w:firstLine="420"/>
        <w:jc w:val="both"/>
      </w:pPr>
      <w:r>
        <w:rPr>
          <w:sz w:val="21"/>
        </w:rPr>
        <w:t>2.乙方未能按本合同规定提供服务且整改不合格的，从违约之日起每日按本合同总价3‰的数额向甲方支付违约金；逾期半个月以上的，甲方有权终止合同，由此造成的甲方经济损失由乙方承担。</w:t>
      </w:r>
    </w:p>
    <w:p>
      <w:pPr>
        <w:pStyle w:val="null3"/>
        <w:ind w:firstLine="420"/>
        <w:jc w:val="both"/>
      </w:pPr>
      <w:r>
        <w:rPr>
          <w:sz w:val="21"/>
        </w:rPr>
        <w:t>3.甲方无正当理由拒绝接受服务，到期拒付服务款项的，甲方向乙方偿付本合同总价的5%的违约金。甲方逾期付款，则每日按本合同总价的3‰向乙方偿付违约金。</w:t>
      </w:r>
    </w:p>
    <w:p>
      <w:pPr>
        <w:pStyle w:val="null3"/>
        <w:ind w:firstLine="420"/>
        <w:jc w:val="both"/>
      </w:pPr>
      <w:r>
        <w:rPr>
          <w:sz w:val="21"/>
        </w:rPr>
        <w:t>4.对于因</w:t>
      </w:r>
      <w:r>
        <w:rPr>
          <w:sz w:val="21"/>
        </w:rPr>
        <w:t>甲方原因导致变更、中止或者终止政府采购合同的，甲方对乙方受到的损失予以赔偿或者补偿，赔偿或者补偿金额为：</w:t>
      </w:r>
      <w:r>
        <w:rPr>
          <w:sz w:val="21"/>
          <w:u w:val="single"/>
        </w:rPr>
        <w:t>按本合同总价的</w:t>
      </w:r>
      <w:r>
        <w:rPr>
          <w:sz w:val="21"/>
          <w:u w:val="single"/>
        </w:rPr>
        <w:t>1</w:t>
      </w:r>
      <w:r>
        <w:rPr>
          <w:sz w:val="21"/>
          <w:u w:val="single"/>
        </w:rPr>
        <w:t>%</w:t>
      </w:r>
      <w:r>
        <w:rPr>
          <w:sz w:val="27"/>
        </w:rPr>
        <w:t>。</w:t>
      </w:r>
      <w:r>
        <w:rPr>
          <w:sz w:val="21"/>
        </w:rPr>
        <w:t xml:space="preserve"> </w:t>
      </w:r>
    </w:p>
    <w:p>
      <w:pPr>
        <w:pStyle w:val="null3"/>
        <w:ind w:firstLine="420"/>
        <w:jc w:val="both"/>
      </w:pPr>
      <w:r>
        <w:rPr>
          <w:sz w:val="21"/>
        </w:rPr>
        <w:t>5.其它违约责任按《中华人民共和国民法典》处理。</w:t>
      </w:r>
    </w:p>
    <w:p>
      <w:pPr>
        <w:pStyle w:val="null3"/>
        <w:jc w:val="both"/>
      </w:pPr>
      <w:r>
        <w:rPr>
          <w:sz w:val="21"/>
          <w:b/>
        </w:rPr>
        <w:t>十二、争端的解决</w:t>
      </w:r>
    </w:p>
    <w:p>
      <w:pPr>
        <w:pStyle w:val="null3"/>
        <w:ind w:firstLine="420"/>
        <w:jc w:val="both"/>
      </w:pPr>
      <w:r>
        <w:rPr>
          <w:sz w:val="21"/>
        </w:rPr>
        <w:t>合同执行过程中发生的任何争议，如双方不能通过友好协商解决，则向甲方所在地仲裁委员会申请仲裁解决。</w:t>
      </w:r>
    </w:p>
    <w:p>
      <w:pPr>
        <w:pStyle w:val="null3"/>
        <w:jc w:val="both"/>
      </w:pPr>
      <w:r>
        <w:rPr>
          <w:sz w:val="21"/>
          <w:b/>
        </w:rPr>
        <w:t>十三、不可抗力</w:t>
      </w:r>
    </w:p>
    <w:p>
      <w:pPr>
        <w:pStyle w:val="null3"/>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十四、税费</w:t>
      </w:r>
    </w:p>
    <w:p>
      <w:pPr>
        <w:pStyle w:val="null3"/>
        <w:ind w:firstLine="411"/>
        <w:jc w:val="both"/>
      </w:pPr>
      <w:r>
        <w:rPr>
          <w:sz w:val="21"/>
        </w:rPr>
        <w:t>在中国境内、外发生的与本合同执行有关的一切税费均由乙方负担。</w:t>
      </w:r>
    </w:p>
    <w:p>
      <w:pPr>
        <w:pStyle w:val="null3"/>
        <w:jc w:val="both"/>
      </w:pPr>
      <w:r>
        <w:rPr>
          <w:sz w:val="21"/>
          <w:b/>
        </w:rPr>
        <w:t>十五、其它</w:t>
      </w:r>
    </w:p>
    <w:p>
      <w:pPr>
        <w:pStyle w:val="null3"/>
        <w:ind w:firstLine="411"/>
        <w:jc w:val="both"/>
      </w:pPr>
      <w:r>
        <w:rPr>
          <w:sz w:val="21"/>
        </w:rPr>
        <w:t>1.本合同所有附件、招标文件、投标文件、中标通知书均为合同的有效组成部分，与本合同具有同等法律效力。</w:t>
      </w:r>
    </w:p>
    <w:p>
      <w:pPr>
        <w:pStyle w:val="null3"/>
        <w:ind w:firstLine="411"/>
        <w:jc w:val="both"/>
      </w:pPr>
      <w:r>
        <w:rPr>
          <w:sz w:val="21"/>
        </w:rPr>
        <w:t>2.在执行本合同的过程中，所有经双方签署确认的文件（包括会议纪要、补充协议、往来信函）即成为本合同的有效组成部分。</w:t>
      </w:r>
    </w:p>
    <w:p>
      <w:pPr>
        <w:pStyle w:val="null3"/>
        <w:ind w:firstLine="411"/>
        <w:jc w:val="both"/>
      </w:pPr>
      <w:r>
        <w:rPr>
          <w:sz w:val="21"/>
        </w:rPr>
        <w:t>3.如一方地址、电话、传真号码有变更，应在变更当日内书面通知对方，否则，应承担相应责任。</w:t>
      </w:r>
    </w:p>
    <w:p>
      <w:pPr>
        <w:pStyle w:val="null3"/>
        <w:ind w:firstLine="411"/>
        <w:jc w:val="both"/>
      </w:pPr>
      <w:r>
        <w:rPr>
          <w:sz w:val="21"/>
        </w:rPr>
        <w:t>4.除甲方事先书面同意外，乙方不得部分或全部转让其应履行的合同项下的义务。</w:t>
      </w:r>
    </w:p>
    <w:p>
      <w:pPr>
        <w:pStyle w:val="null3"/>
        <w:ind w:firstLine="420"/>
        <w:jc w:val="both"/>
      </w:pPr>
      <w:r>
        <w:rPr>
          <w:sz w:val="21"/>
        </w:rPr>
        <w:t>5.本合同正本一式</w:t>
      </w:r>
      <w:r>
        <w:rPr>
          <w:sz w:val="21"/>
          <w:u w:val="single"/>
        </w:rPr>
        <w:t xml:space="preserve">    </w:t>
      </w:r>
      <w:r>
        <w:rPr>
          <w:sz w:val="21"/>
        </w:rPr>
        <w:t>份，具有同等法律效力，</w:t>
      </w:r>
      <w:r>
        <w:rPr>
          <w:sz w:val="21"/>
        </w:rPr>
        <w:t>甲方各执</w:t>
      </w:r>
      <w:r>
        <w:rPr>
          <w:sz w:val="21"/>
          <w:u w:val="single"/>
        </w:rPr>
        <w:t xml:space="preserve">     </w:t>
      </w:r>
      <w:r>
        <w:rPr>
          <w:sz w:val="21"/>
        </w:rPr>
        <w:t>份、乙方各执</w:t>
      </w:r>
      <w:r>
        <w:rPr>
          <w:sz w:val="21"/>
          <w:u w:val="single"/>
        </w:rPr>
        <w:t xml:space="preserve">     </w:t>
      </w:r>
      <w:r>
        <w:rPr>
          <w:sz w:val="21"/>
        </w:rPr>
        <w:t>份</w:t>
      </w:r>
      <w:r>
        <w:rPr>
          <w:sz w:val="21"/>
        </w:rPr>
        <w:t>。合同自双方签字或盖章之日起即时生效。</w:t>
      </w:r>
    </w:p>
    <w:p>
      <w:pPr>
        <w:pStyle w:val="null3"/>
        <w:ind w:firstLine="420"/>
        <w:jc w:val="both"/>
      </w:pPr>
      <w:r>
        <w:rPr>
          <w:sz w:val="21"/>
        </w:rPr>
        <w:t>6.合同履约期限时间：</w:t>
      </w:r>
      <w:r>
        <w:rPr>
          <w:sz w:val="21"/>
          <w:u w:val="single"/>
        </w:rPr>
        <w:t xml:space="preserve">               </w:t>
      </w:r>
      <w:r>
        <w:rPr>
          <w:sz w:val="21"/>
          <w:u w:val="single"/>
        </w:rPr>
        <w:t xml:space="preserve"> </w:t>
      </w:r>
      <w:r>
        <w:rPr>
          <w:sz w:val="21"/>
        </w:rPr>
        <w:t>至</w:t>
      </w:r>
      <w:r>
        <w:rPr>
          <w:sz w:val="21"/>
          <w:u w:val="single"/>
        </w:rPr>
        <w:t xml:space="preserve">               </w:t>
      </w:r>
      <w:r>
        <w:rPr>
          <w:sz w:val="21"/>
        </w:rPr>
        <w:t>。</w:t>
      </w:r>
    </w:p>
    <w:p>
      <w:pPr>
        <w:pStyle w:val="null3"/>
        <w:ind w:firstLine="420"/>
        <w:jc w:val="both"/>
      </w:pPr>
      <w:r>
        <w:rPr>
          <w:sz w:val="21"/>
        </w:rPr>
        <w:t>7.本合同未尽事宜，由双方协商处理。</w:t>
      </w:r>
    </w:p>
    <w:p>
      <w:pPr>
        <w:pStyle w:val="null3"/>
        <w:ind w:left="825"/>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p>
          <w:p>
            <w:pPr>
              <w:pStyle w:val="null3"/>
              <w:jc w:val="both"/>
            </w:pPr>
            <w:r>
              <w:rPr>
                <w:sz w:val="21"/>
              </w:rPr>
              <w:t>签约代表：</w:t>
            </w:r>
          </w:p>
          <w:p>
            <w:pPr>
              <w:pStyle w:val="null3"/>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sz w:val="21"/>
              </w:rPr>
              <w:t>签订地点：</w:t>
            </w:r>
          </w:p>
          <w:p>
            <w:pPr>
              <w:pStyle w:val="null3"/>
              <w:jc w:val="both"/>
            </w:pPr>
          </w:p>
        </w:tc>
        <w:tc>
          <w:tcPr>
            <w:tcW w:type="dxa" w:w="46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p>
            <w:pPr>
              <w:pStyle w:val="null3"/>
              <w:jc w:val="both"/>
            </w:pPr>
            <w:r>
              <w:rPr>
                <w:sz w:val="21"/>
              </w:rPr>
              <w:t>签约代表：</w:t>
            </w:r>
          </w:p>
          <w:p>
            <w:pPr>
              <w:pStyle w:val="null3"/>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sz w:val="21"/>
              </w:rPr>
              <w:t>供应商规模：（大型企业</w:t>
            </w:r>
            <w:r>
              <w:rPr>
                <w:sz w:val="21"/>
              </w:rPr>
              <w:t>/中型企业/小型企业/微型企业/其他）</w:t>
            </w:r>
          </w:p>
          <w:p>
            <w:pPr>
              <w:pStyle w:val="null3"/>
              <w:jc w:val="both"/>
            </w:pPr>
            <w:r>
              <w:rPr>
                <w:sz w:val="21"/>
              </w:rPr>
              <w:t>供应商特殊性质：（监狱企业</w:t>
            </w:r>
            <w:r>
              <w:rPr>
                <w:sz w:val="21"/>
              </w:rPr>
              <w:t>/残疾人福利性单位/其他）</w:t>
            </w:r>
          </w:p>
        </w:tc>
      </w:tr>
    </w:tbl>
    <w:p>
      <w:pPr>
        <w:pStyle w:val="null3"/>
        <w:jc w:val="both"/>
      </w:pPr>
      <w:r>
        <w:rPr>
          <w:sz w:val="21"/>
        </w:rPr>
        <w:t>此为</w:t>
      </w:r>
      <w:r>
        <w:rPr>
          <w:sz w:val="21"/>
        </w:rPr>
        <w:t>政府采购</w:t>
      </w:r>
      <w:r>
        <w:rPr>
          <w:sz w:val="21"/>
        </w:rPr>
        <w:t>合同</w:t>
      </w:r>
      <w:r>
        <w:rPr>
          <w:sz w:val="21"/>
        </w:rPr>
        <w:t>模板</w:t>
      </w:r>
      <w:r>
        <w:rPr>
          <w:sz w:val="21"/>
        </w:rPr>
        <w:t>，可根据实际情况修改条款。</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440101-2024-09096</w:t>
      </w:r>
    </w:p>
    <w:p>
      <w:pPr>
        <w:pStyle w:val="null3"/>
        <w:jc w:val="center"/>
        <w:outlineLvl w:val="3"/>
      </w:pPr>
      <w:r>
        <w:rPr>
          <w:sz w:val="24"/>
          <w:b/>
        </w:rPr>
        <w:t>采购项目编号：</w:t>
      </w:r>
      <w:r>
        <w:rPr>
          <w:sz w:val="24"/>
          <w:b/>
        </w:rPr>
        <w:t>440101-2024-09096</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广州市工贸技师学院2024年教学消耗用品及专用材料项目</w:t>
      </w:r>
      <w:r>
        <w:rPr>
          <w:u w:val="single"/>
        </w:rPr>
        <w:t>”</w:t>
      </w:r>
      <w:r>
        <w:rPr/>
        <w:t>项目的竞争性磋商[采购项目编号为：</w:t>
      </w:r>
      <w:r>
        <w:rPr>
          <w:u w:val="single"/>
        </w:rPr>
        <w:t>440101-2024-09096</w:t>
      </w:r>
      <w:r>
        <w:rPr/>
        <w:t>]，我方愿参与响应。</w:t>
      </w:r>
    </w:p>
    <w:p>
      <w:pPr>
        <w:pStyle w:val="null3"/>
        <w:ind w:firstLine="480"/>
      </w:pPr>
      <w:r>
        <w:rPr/>
        <w:t>我方确认收到贵方提供的</w:t>
      </w:r>
      <w:r>
        <w:rPr>
          <w:u w:val="single"/>
        </w:rPr>
        <w:t>“</w:t>
      </w:r>
      <w:r>
        <w:rPr>
          <w:u w:val="single"/>
        </w:rPr>
        <w:t>广州市工贸技师学院2024年教学消耗用品及专用材料项目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广州市工贸技师学院2024年教学消耗用品及专用材料项目</w:t>
      </w:r>
      <w:r>
        <w:rPr/>
        <w:t>”项目采购[采购项目编号为</w:t>
      </w:r>
      <w:r>
        <w:rPr/>
        <w:t>440101-2024-09096</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广州市工贸技师学院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广州市工贸技师学院2024年教学消耗用品及专用材料项目</w:t>
      </w:r>
      <w:r>
        <w:rPr/>
        <w:t>（采购项目编号：</w:t>
      </w:r>
      <w:r>
        <w:rPr/>
        <w:t>440101-2024-09096</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