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440001-2024-53691</w:t>
      </w:r>
    </w:p>
    <w:p>
      <w:pPr>
        <w:pStyle w:val="null3"/>
        <w:jc w:val="center"/>
        <w:outlineLvl w:val="3"/>
      </w:pPr>
      <w:r>
        <w:rPr>
          <w:sz w:val="24"/>
          <w:b/>
        </w:rPr>
        <w:t>采购项目编号：</w:t>
      </w:r>
      <w:r>
        <w:rPr>
          <w:sz w:val="24"/>
          <w:b/>
        </w:rPr>
        <w:t>ZZ0240652</w:t>
      </w:r>
    </w:p>
    <w:p>
      <w:pPr>
        <w:pStyle w:val="null3"/>
        <w:jc w:val="center"/>
        <w:outlineLvl w:val="3"/>
      </w:pPr>
      <w:r>
        <w:rPr>
          <w:sz w:val="24"/>
          <w:b/>
        </w:rPr>
        <w:t>项目名称：</w:t>
      </w:r>
      <w:r>
        <w:rPr>
          <w:sz w:val="24"/>
          <w:b/>
        </w:rPr>
        <w:t>华南师范大学学生琴房智慧系统采购项目</w:t>
      </w:r>
    </w:p>
    <w:p>
      <w:pPr>
        <w:pStyle w:val="null3"/>
        <w:jc w:val="center"/>
        <w:outlineLvl w:val="3"/>
      </w:pPr>
      <w:r>
        <w:rPr>
          <w:sz w:val="24"/>
          <w:b/>
        </w:rPr>
        <w:t>采购人：</w:t>
      </w:r>
      <w:r>
        <w:rPr>
          <w:sz w:val="24"/>
          <w:b/>
        </w:rPr>
        <w:t>华南师范大学</w:t>
      </w:r>
    </w:p>
    <w:p>
      <w:pPr>
        <w:pStyle w:val="null3"/>
        <w:jc w:val="center"/>
        <w:outlineLvl w:val="3"/>
      </w:pPr>
      <w:r>
        <w:rPr>
          <w:sz w:val="24"/>
          <w:b/>
        </w:rPr>
        <w:t>采购代理机构：</w:t>
      </w:r>
      <w:r>
        <w:rPr>
          <w:sz w:val="24"/>
          <w:b/>
        </w:rPr>
        <w:t>广东志正招标有限公司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广东志正招标有限公司</w:t>
      </w:r>
      <w:r>
        <w:rPr/>
        <w:t>受</w:t>
      </w:r>
      <w:r>
        <w:rPr/>
        <w:t>华南师范大学</w:t>
      </w:r>
      <w:r>
        <w:rPr/>
        <w:t>的委托，采用</w:t>
      </w:r>
      <w:r>
        <w:rPr/>
        <w:t>公开招标</w:t>
      </w:r>
      <w:r>
        <w:rPr/>
        <w:t>方式组织采购</w:t>
      </w:r>
      <w:r>
        <w:rPr/>
        <w:t>华南师范大学学生琴房智慧系统采购项目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华南师范大学学生琴房智慧系统采购项目</w:t>
      </w:r>
    </w:p>
    <w:p>
      <w:pPr>
        <w:pStyle w:val="null3"/>
        <w:ind w:firstLine="480"/>
      </w:pPr>
      <w:r>
        <w:rPr/>
        <w:t>采购计划编号：</w:t>
      </w:r>
      <w:r>
        <w:rPr/>
        <w:t>440001-2024-53691</w:t>
      </w:r>
    </w:p>
    <w:p>
      <w:pPr>
        <w:pStyle w:val="null3"/>
        <w:ind w:firstLine="480"/>
      </w:pPr>
      <w:r>
        <w:rPr/>
        <w:t>采购项目编号：</w:t>
      </w:r>
      <w:r>
        <w:rPr/>
        <w:t>ZZ0240652</w:t>
      </w:r>
    </w:p>
    <w:p>
      <w:pPr>
        <w:pStyle w:val="null3"/>
        <w:ind w:firstLine="480"/>
      </w:pPr>
      <w:r>
        <w:rPr/>
        <w:t>采购方式：</w:t>
      </w:r>
      <w:r>
        <w:rPr/>
        <w:t>公开招标</w:t>
      </w:r>
    </w:p>
    <w:p>
      <w:pPr>
        <w:pStyle w:val="null3"/>
        <w:ind w:firstLine="480"/>
      </w:pPr>
      <w:r>
        <w:rPr/>
        <w:t>预算金额：</w:t>
      </w:r>
      <w:r>
        <w:rPr/>
        <w:t>1,296,880.00</w:t>
      </w:r>
      <w:r>
        <w:rPr/>
        <w:t>元</w:t>
      </w:r>
    </w:p>
    <w:p>
      <w:pPr>
        <w:pStyle w:val="null3"/>
        <w:outlineLvl w:val="3"/>
      </w:pPr>
      <w:r>
        <w:rPr>
          <w:sz w:val="24"/>
          <w:b/>
        </w:rPr>
        <w:t>2.项目内容及需求情况（采购项目技术规格、参数及要求）</w:t>
      </w:r>
    </w:p>
    <w:p>
      <w:pPr>
        <w:pStyle w:val="null3"/>
      </w:pPr>
      <w:r>
        <w:rPr/>
        <w:t>采购包1(学生琴房智慧系统采购项目):</w:t>
      </w:r>
    </w:p>
    <w:p>
      <w:pPr>
        <w:pStyle w:val="null3"/>
      </w:pPr>
      <w:r>
        <w:rPr/>
        <w:t>采购包预算金额：1,296,880.00元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其他终端设备</w:t>
            </w:r>
          </w:p>
        </w:tc>
        <w:tc>
          <w:tcPr>
            <w:tcW w:type="dxa" w:w="2136"/>
          </w:tcPr>
          <w:p>
            <w:pPr>
              <w:pStyle w:val="null3"/>
            </w:pPr>
            <w:r>
              <w:rPr/>
              <w:t>智能终端交互设备</w:t>
            </w:r>
          </w:p>
        </w:tc>
        <w:tc>
          <w:tcPr>
            <w:tcW w:type="dxa" w:w="1187"/>
          </w:tcPr>
          <w:p>
            <w:pPr>
              <w:pStyle w:val="null3"/>
            </w:pPr>
            <w:r>
              <w:rPr/>
              <w:t>185(台)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w:t>
            </w:r>
          </w:p>
        </w:tc>
        <w:tc>
          <w:tcPr>
            <w:tcW w:type="dxa" w:w="1424"/>
          </w:tcPr>
          <w:p>
            <w:pPr>
              <w:pStyle w:val="null3"/>
            </w:pPr>
            <w:r>
              <w:rPr/>
              <w:t>锁</w:t>
            </w:r>
          </w:p>
        </w:tc>
        <w:tc>
          <w:tcPr>
            <w:tcW w:type="dxa" w:w="2136"/>
          </w:tcPr>
          <w:p>
            <w:pPr>
              <w:pStyle w:val="null3"/>
            </w:pPr>
            <w:r>
              <w:rPr/>
              <w:t>智能电磁门锁</w:t>
            </w:r>
          </w:p>
        </w:tc>
        <w:tc>
          <w:tcPr>
            <w:tcW w:type="dxa" w:w="1187"/>
          </w:tcPr>
          <w:p>
            <w:pPr>
              <w:pStyle w:val="null3"/>
            </w:pPr>
            <w:r>
              <w:rPr/>
              <w:t>185(把)</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1-3</w:t>
            </w:r>
          </w:p>
        </w:tc>
        <w:tc>
          <w:tcPr>
            <w:tcW w:type="dxa" w:w="1424"/>
          </w:tcPr>
          <w:p>
            <w:pPr>
              <w:pStyle w:val="null3"/>
            </w:pPr>
            <w:r>
              <w:rPr/>
              <w:t>其他建筑物附属结构</w:t>
            </w:r>
          </w:p>
        </w:tc>
        <w:tc>
          <w:tcPr>
            <w:tcW w:type="dxa" w:w="2136"/>
          </w:tcPr>
          <w:p>
            <w:pPr>
              <w:pStyle w:val="null3"/>
            </w:pPr>
            <w:r>
              <w:rPr/>
              <w:t>室内开门按钮</w:t>
            </w:r>
          </w:p>
        </w:tc>
        <w:tc>
          <w:tcPr>
            <w:tcW w:type="dxa" w:w="1187"/>
          </w:tcPr>
          <w:p>
            <w:pPr>
              <w:pStyle w:val="null3"/>
            </w:pPr>
            <w:r>
              <w:rPr/>
              <w:t>185(个)</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1-4</w:t>
            </w:r>
          </w:p>
        </w:tc>
        <w:tc>
          <w:tcPr>
            <w:tcW w:type="dxa" w:w="1424"/>
          </w:tcPr>
          <w:p>
            <w:pPr>
              <w:pStyle w:val="null3"/>
            </w:pPr>
            <w:r>
              <w:rPr/>
              <w:t>扩音设备</w:t>
            </w:r>
          </w:p>
        </w:tc>
        <w:tc>
          <w:tcPr>
            <w:tcW w:type="dxa" w:w="2136"/>
          </w:tcPr>
          <w:p>
            <w:pPr>
              <w:pStyle w:val="null3"/>
            </w:pPr>
            <w:r>
              <w:rPr/>
              <w:t>智能语音播报器</w:t>
            </w:r>
          </w:p>
        </w:tc>
        <w:tc>
          <w:tcPr>
            <w:tcW w:type="dxa" w:w="1187"/>
          </w:tcPr>
          <w:p>
            <w:pPr>
              <w:pStyle w:val="null3"/>
            </w:pPr>
            <w:r>
              <w:rPr/>
              <w:t>185(个)</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1-5</w:t>
            </w:r>
          </w:p>
        </w:tc>
        <w:tc>
          <w:tcPr>
            <w:tcW w:type="dxa" w:w="1424"/>
          </w:tcPr>
          <w:p>
            <w:pPr>
              <w:pStyle w:val="null3"/>
            </w:pPr>
            <w:r>
              <w:rPr/>
              <w:t>控制设备</w:t>
            </w:r>
          </w:p>
        </w:tc>
        <w:tc>
          <w:tcPr>
            <w:tcW w:type="dxa" w:w="2136"/>
          </w:tcPr>
          <w:p>
            <w:pPr>
              <w:pStyle w:val="null3"/>
            </w:pPr>
            <w:r>
              <w:rPr/>
              <w:t>智慧灯控</w:t>
            </w:r>
          </w:p>
        </w:tc>
        <w:tc>
          <w:tcPr>
            <w:tcW w:type="dxa" w:w="1187"/>
          </w:tcPr>
          <w:p>
            <w:pPr>
              <w:pStyle w:val="null3"/>
            </w:pPr>
            <w:r>
              <w:rPr/>
              <w:t>185(个)</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1-6</w:t>
            </w:r>
          </w:p>
        </w:tc>
        <w:tc>
          <w:tcPr>
            <w:tcW w:type="dxa" w:w="1424"/>
          </w:tcPr>
          <w:p>
            <w:pPr>
              <w:pStyle w:val="null3"/>
            </w:pPr>
            <w:r>
              <w:rPr/>
              <w:t>控制设备</w:t>
            </w:r>
          </w:p>
        </w:tc>
        <w:tc>
          <w:tcPr>
            <w:tcW w:type="dxa" w:w="2136"/>
          </w:tcPr>
          <w:p>
            <w:pPr>
              <w:pStyle w:val="null3"/>
            </w:pPr>
            <w:r>
              <w:rPr/>
              <w:t>空调智能控制模块</w:t>
            </w:r>
          </w:p>
        </w:tc>
        <w:tc>
          <w:tcPr>
            <w:tcW w:type="dxa" w:w="1187"/>
          </w:tcPr>
          <w:p>
            <w:pPr>
              <w:pStyle w:val="null3"/>
            </w:pPr>
            <w:r>
              <w:rPr/>
              <w:t>185(个)</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1-7</w:t>
            </w:r>
          </w:p>
        </w:tc>
        <w:tc>
          <w:tcPr>
            <w:tcW w:type="dxa" w:w="1424"/>
          </w:tcPr>
          <w:p>
            <w:pPr>
              <w:pStyle w:val="null3"/>
            </w:pPr>
            <w:r>
              <w:rPr/>
              <w:t>其他终端设备</w:t>
            </w:r>
          </w:p>
        </w:tc>
        <w:tc>
          <w:tcPr>
            <w:tcW w:type="dxa" w:w="2136"/>
          </w:tcPr>
          <w:p>
            <w:pPr>
              <w:pStyle w:val="null3"/>
            </w:pPr>
            <w:r>
              <w:rPr/>
              <w:t>琴房状态显示屏</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1-8</w:t>
            </w:r>
          </w:p>
        </w:tc>
        <w:tc>
          <w:tcPr>
            <w:tcW w:type="dxa" w:w="1424"/>
          </w:tcPr>
          <w:p>
            <w:pPr>
              <w:pStyle w:val="null3"/>
            </w:pPr>
            <w:r>
              <w:rPr/>
              <w:t>其他终端设备</w:t>
            </w:r>
          </w:p>
        </w:tc>
        <w:tc>
          <w:tcPr>
            <w:tcW w:type="dxa" w:w="2136"/>
          </w:tcPr>
          <w:p>
            <w:pPr>
              <w:pStyle w:val="null3"/>
            </w:pPr>
            <w:r>
              <w:rPr/>
              <w:t>预约签到终端</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1-9</w:t>
            </w:r>
          </w:p>
        </w:tc>
        <w:tc>
          <w:tcPr>
            <w:tcW w:type="dxa" w:w="1424"/>
          </w:tcPr>
          <w:p>
            <w:pPr>
              <w:pStyle w:val="null3"/>
            </w:pPr>
            <w:r>
              <w:rPr/>
              <w:t>视频监控设备</w:t>
            </w:r>
          </w:p>
        </w:tc>
        <w:tc>
          <w:tcPr>
            <w:tcW w:type="dxa" w:w="2136"/>
          </w:tcPr>
          <w:p>
            <w:pPr>
              <w:pStyle w:val="null3"/>
            </w:pPr>
            <w:r>
              <w:rPr/>
              <w:t>监控显示屏</w:t>
            </w:r>
          </w:p>
        </w:tc>
        <w:tc>
          <w:tcPr>
            <w:tcW w:type="dxa" w:w="1187"/>
          </w:tcPr>
          <w:p>
            <w:pPr>
              <w:pStyle w:val="null3"/>
            </w:pPr>
            <w:r>
              <w:rPr/>
              <w:t>3(台)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1-10</w:t>
            </w:r>
          </w:p>
        </w:tc>
        <w:tc>
          <w:tcPr>
            <w:tcW w:type="dxa" w:w="1424"/>
          </w:tcPr>
          <w:p>
            <w:pPr>
              <w:pStyle w:val="null3"/>
            </w:pPr>
            <w:r>
              <w:rPr/>
              <w:t>视频监控设备</w:t>
            </w:r>
          </w:p>
        </w:tc>
        <w:tc>
          <w:tcPr>
            <w:tcW w:type="dxa" w:w="2136"/>
          </w:tcPr>
          <w:p>
            <w:pPr>
              <w:pStyle w:val="null3"/>
            </w:pPr>
            <w:r>
              <w:rPr/>
              <w:t>琴房监控</w:t>
            </w:r>
          </w:p>
        </w:tc>
        <w:tc>
          <w:tcPr>
            <w:tcW w:type="dxa" w:w="1187"/>
          </w:tcPr>
          <w:p>
            <w:pPr>
              <w:pStyle w:val="null3"/>
            </w:pPr>
            <w:r>
              <w:rPr/>
              <w:t>185(个)</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1-11</w:t>
            </w:r>
          </w:p>
        </w:tc>
        <w:tc>
          <w:tcPr>
            <w:tcW w:type="dxa" w:w="1424"/>
          </w:tcPr>
          <w:p>
            <w:pPr>
              <w:pStyle w:val="null3"/>
            </w:pPr>
            <w:r>
              <w:rPr/>
              <w:t>刻录机</w:t>
            </w:r>
          </w:p>
        </w:tc>
        <w:tc>
          <w:tcPr>
            <w:tcW w:type="dxa" w:w="2136"/>
          </w:tcPr>
          <w:p>
            <w:pPr>
              <w:pStyle w:val="null3"/>
            </w:pPr>
            <w:r>
              <w:rPr/>
              <w:t>硬盘刻录机</w:t>
            </w:r>
          </w:p>
        </w:tc>
        <w:tc>
          <w:tcPr>
            <w:tcW w:type="dxa" w:w="1187"/>
          </w:tcPr>
          <w:p>
            <w:pPr>
              <w:pStyle w:val="null3"/>
            </w:pPr>
            <w:r>
              <w:rPr/>
              <w:t>6(台)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1-12</w:t>
            </w:r>
          </w:p>
        </w:tc>
        <w:tc>
          <w:tcPr>
            <w:tcW w:type="dxa" w:w="1424"/>
          </w:tcPr>
          <w:p>
            <w:pPr>
              <w:pStyle w:val="null3"/>
            </w:pPr>
            <w:r>
              <w:rPr/>
              <w:t>视频监控设备</w:t>
            </w:r>
          </w:p>
        </w:tc>
        <w:tc>
          <w:tcPr>
            <w:tcW w:type="dxa" w:w="2136"/>
          </w:tcPr>
          <w:p>
            <w:pPr>
              <w:pStyle w:val="null3"/>
            </w:pPr>
            <w:r>
              <w:rPr/>
              <w:t>监控网络交互设备</w:t>
            </w:r>
          </w:p>
        </w:tc>
        <w:tc>
          <w:tcPr>
            <w:tcW w:type="dxa" w:w="1187"/>
          </w:tcPr>
          <w:p>
            <w:pPr>
              <w:pStyle w:val="null3"/>
            </w:pPr>
            <w:r>
              <w:rPr/>
              <w:t>10(台)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1-13</w:t>
            </w:r>
          </w:p>
        </w:tc>
        <w:tc>
          <w:tcPr>
            <w:tcW w:type="dxa" w:w="1424"/>
          </w:tcPr>
          <w:p>
            <w:pPr>
              <w:pStyle w:val="null3"/>
            </w:pPr>
            <w:r>
              <w:rPr/>
              <w:t>其他网络设备</w:t>
            </w:r>
          </w:p>
        </w:tc>
        <w:tc>
          <w:tcPr>
            <w:tcW w:type="dxa" w:w="2136"/>
          </w:tcPr>
          <w:p>
            <w:pPr>
              <w:pStyle w:val="null3"/>
            </w:pPr>
            <w:r>
              <w:rPr/>
              <w:t>监控网线</w:t>
            </w:r>
          </w:p>
        </w:tc>
        <w:tc>
          <w:tcPr>
            <w:tcW w:type="dxa" w:w="1187"/>
          </w:tcPr>
          <w:p>
            <w:pPr>
              <w:pStyle w:val="null3"/>
            </w:pPr>
            <w:r>
              <w:rPr/>
              <w:t>30(箱)</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1-14</w:t>
            </w:r>
          </w:p>
        </w:tc>
        <w:tc>
          <w:tcPr>
            <w:tcW w:type="dxa" w:w="1424"/>
          </w:tcPr>
          <w:p>
            <w:pPr>
              <w:pStyle w:val="null3"/>
            </w:pPr>
            <w:r>
              <w:rPr/>
              <w:t>其他存储设备</w:t>
            </w:r>
          </w:p>
        </w:tc>
        <w:tc>
          <w:tcPr>
            <w:tcW w:type="dxa" w:w="2136"/>
          </w:tcPr>
          <w:p>
            <w:pPr>
              <w:pStyle w:val="null3"/>
            </w:pPr>
            <w:r>
              <w:rPr/>
              <w:t>监控硬盘</w:t>
            </w:r>
          </w:p>
        </w:tc>
        <w:tc>
          <w:tcPr>
            <w:tcW w:type="dxa" w:w="1187"/>
          </w:tcPr>
          <w:p>
            <w:pPr>
              <w:pStyle w:val="null3"/>
            </w:pPr>
            <w:r>
              <w:rPr/>
              <w:t>18(块)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1-15</w:t>
            </w:r>
          </w:p>
        </w:tc>
        <w:tc>
          <w:tcPr>
            <w:tcW w:type="dxa" w:w="1424"/>
          </w:tcPr>
          <w:p>
            <w:pPr>
              <w:pStyle w:val="null3"/>
            </w:pPr>
            <w:r>
              <w:rPr/>
              <w:t>其他网络设备</w:t>
            </w:r>
          </w:p>
        </w:tc>
        <w:tc>
          <w:tcPr>
            <w:tcW w:type="dxa" w:w="2136"/>
          </w:tcPr>
          <w:p>
            <w:pPr>
              <w:pStyle w:val="null3"/>
            </w:pPr>
            <w:r>
              <w:rPr/>
              <w:t>光纤模块</w:t>
            </w:r>
          </w:p>
        </w:tc>
        <w:tc>
          <w:tcPr>
            <w:tcW w:type="dxa" w:w="1187"/>
          </w:tcPr>
          <w:p>
            <w:pPr>
              <w:pStyle w:val="null3"/>
            </w:pPr>
            <w:r>
              <w:rPr/>
              <w:t>20(个)</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1-16</w:t>
            </w:r>
          </w:p>
        </w:tc>
        <w:tc>
          <w:tcPr>
            <w:tcW w:type="dxa" w:w="1424"/>
          </w:tcPr>
          <w:p>
            <w:pPr>
              <w:pStyle w:val="null3"/>
            </w:pPr>
            <w:r>
              <w:rPr/>
              <w:t>机柜</w:t>
            </w:r>
          </w:p>
        </w:tc>
        <w:tc>
          <w:tcPr>
            <w:tcW w:type="dxa" w:w="2136"/>
          </w:tcPr>
          <w:p>
            <w:pPr>
              <w:pStyle w:val="null3"/>
            </w:pPr>
            <w:r>
              <w:rPr/>
              <w:t>楼层机柜</w:t>
            </w:r>
          </w:p>
        </w:tc>
        <w:tc>
          <w:tcPr>
            <w:tcW w:type="dxa" w:w="1187"/>
          </w:tcPr>
          <w:p>
            <w:pPr>
              <w:pStyle w:val="null3"/>
            </w:pPr>
            <w:r>
              <w:rPr/>
              <w:t>7(个)</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1-17</w:t>
            </w:r>
          </w:p>
        </w:tc>
        <w:tc>
          <w:tcPr>
            <w:tcW w:type="dxa" w:w="1424"/>
          </w:tcPr>
          <w:p>
            <w:pPr>
              <w:pStyle w:val="null3"/>
            </w:pPr>
            <w:r>
              <w:rPr/>
              <w:t>机柜</w:t>
            </w:r>
          </w:p>
        </w:tc>
        <w:tc>
          <w:tcPr>
            <w:tcW w:type="dxa" w:w="2136"/>
          </w:tcPr>
          <w:p>
            <w:pPr>
              <w:pStyle w:val="null3"/>
            </w:pPr>
            <w:r>
              <w:rPr/>
              <w:t>机房机柜</w:t>
            </w:r>
          </w:p>
        </w:tc>
        <w:tc>
          <w:tcPr>
            <w:tcW w:type="dxa" w:w="1187"/>
          </w:tcPr>
          <w:p>
            <w:pPr>
              <w:pStyle w:val="null3"/>
            </w:pPr>
            <w:r>
              <w:rPr/>
              <w:t>1(个)</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1-18</w:t>
            </w:r>
          </w:p>
        </w:tc>
        <w:tc>
          <w:tcPr>
            <w:tcW w:type="dxa" w:w="1424"/>
          </w:tcPr>
          <w:p>
            <w:pPr>
              <w:pStyle w:val="null3"/>
            </w:pPr>
            <w:r>
              <w:rPr/>
              <w:t>其他机房辅助设备</w:t>
            </w:r>
          </w:p>
        </w:tc>
        <w:tc>
          <w:tcPr>
            <w:tcW w:type="dxa" w:w="2136"/>
          </w:tcPr>
          <w:p>
            <w:pPr>
              <w:pStyle w:val="null3"/>
            </w:pPr>
            <w:r>
              <w:rPr/>
              <w:t>辅助材料</w:t>
            </w:r>
          </w:p>
        </w:tc>
        <w:tc>
          <w:tcPr>
            <w:tcW w:type="dxa" w:w="1187"/>
          </w:tcPr>
          <w:p>
            <w:pPr>
              <w:pStyle w:val="null3"/>
            </w:pPr>
            <w:r>
              <w:rPr/>
              <w:t>1(批)</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1-19</w:t>
            </w:r>
          </w:p>
        </w:tc>
        <w:tc>
          <w:tcPr>
            <w:tcW w:type="dxa" w:w="1424"/>
          </w:tcPr>
          <w:p>
            <w:pPr>
              <w:pStyle w:val="null3"/>
            </w:pPr>
            <w:r>
              <w:rPr/>
              <w:t>应用软件</w:t>
            </w:r>
          </w:p>
        </w:tc>
        <w:tc>
          <w:tcPr>
            <w:tcW w:type="dxa" w:w="2136"/>
          </w:tcPr>
          <w:p>
            <w:pPr>
              <w:pStyle w:val="null3"/>
            </w:pPr>
            <w:r>
              <w:rPr/>
              <w:t>智慧琴房综合管理平台</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1-20</w:t>
            </w:r>
          </w:p>
        </w:tc>
        <w:tc>
          <w:tcPr>
            <w:tcW w:type="dxa" w:w="1424"/>
          </w:tcPr>
          <w:p>
            <w:pPr>
              <w:pStyle w:val="null3"/>
            </w:pPr>
            <w:r>
              <w:rPr/>
              <w:t>应用软件</w:t>
            </w:r>
          </w:p>
        </w:tc>
        <w:tc>
          <w:tcPr>
            <w:tcW w:type="dxa" w:w="2136"/>
          </w:tcPr>
          <w:p>
            <w:pPr>
              <w:pStyle w:val="null3"/>
            </w:pPr>
            <w:r>
              <w:rPr/>
              <w:t>智能终端交互设备系统</w:t>
            </w:r>
          </w:p>
        </w:tc>
        <w:tc>
          <w:tcPr>
            <w:tcW w:type="dxa" w:w="1187"/>
          </w:tcPr>
          <w:p>
            <w:pPr>
              <w:pStyle w:val="null3"/>
            </w:pPr>
            <w:r>
              <w:rPr/>
              <w:t>185(套)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合同履行期限：自合同双方签字盖章之日起150日历天内完成投标产品的供货、安装、调试和验收，并交付使用。</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提供最新的投标人营业执照（或事业单位法人证书，或社会团体法人登记证书，或执业许可证）副本复印件；依法经国务院批准免予登记的社会组织的，应提供相应文件证明其依法免予登记。如投标人为自然人的需提供自然人身份证明。若以不具有独立承担民事责任能力的分支机构投标，须取得具有法人资格的总公司的授权书，并提供总公司营业执照副本复印件。</w:t>
      </w:r>
    </w:p>
    <w:p>
      <w:pPr>
        <w:pStyle w:val="null3"/>
      </w:pPr>
      <w:r>
        <w:rPr/>
        <w:t>2）有依法缴纳税收和社会保障资金的良好记录：提供投标截止日前6个月内任意1个月依法缴纳税收和社会保障资金的相关材料。 如依法免税或不需要缴纳社会保障资金的， 提供相应证明材料。</w:t>
      </w:r>
    </w:p>
    <w:p>
      <w:pPr>
        <w:pStyle w:val="null3"/>
      </w:pPr>
      <w:r>
        <w:rPr/>
        <w:t>3）具有良好的商业信誉和健全的财务会计制度：提供2023年年度财务状况报告或投标截止日前6个月内任意1个月的财务报表复印件或基本开户行出具的资信证明。</w:t>
      </w:r>
    </w:p>
    <w:p>
      <w:pPr>
        <w:pStyle w:val="null3"/>
      </w:pPr>
      <w:r>
        <w:rPr/>
        <w:t>4）履行合同所必需的设备和专业技术能力：填报设备及专业技术能力情况，格式自拟。</w:t>
      </w:r>
    </w:p>
    <w:p>
      <w:pPr>
        <w:pStyle w:val="null3"/>
      </w:pPr>
      <w:r>
        <w:rPr/>
        <w:t>5）参加采购活动前3年内，在经营活动中没有重大违法记录：参照投标函相关承诺格式内容。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采购包1（学生琴房智慧系统采购项目）：</w:t>
      </w:r>
      <w:r>
        <w:rPr/>
        <w:t>本项目属于专门面向中小企业采购的项目。所有货物的制造商应为中小微企业。投标人应按要求出具《中小企业声明函》；属于监狱企业的，提供由省级以上监狱管理局、戒毒管理局(含新疆生产建设兵团)出具的属于监狱企业的证明文件；属于残疾人福利性单位的，提供《残疾人福利性单位声明函》。</w:t>
      </w:r>
    </w:p>
    <w:p>
      <w:pPr>
        <w:pStyle w:val="null3"/>
        <w:outlineLvl w:val="3"/>
      </w:pPr>
      <w:r>
        <w:rPr>
          <w:sz w:val="24"/>
          <w:b/>
        </w:rPr>
        <w:t>3.本项目特定的资格要求：</w:t>
      </w:r>
    </w:p>
    <w:p>
      <w:pPr>
        <w:pStyle w:val="null3"/>
      </w:pPr>
      <w:r>
        <w:rPr/>
        <w:t>采购包1（学生琴房智慧系统采购项目）：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广东志正招标有限公司（https://www.zztender.com/）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华南师范大学</w:t>
      </w:r>
    </w:p>
    <w:p>
      <w:pPr>
        <w:pStyle w:val="null3"/>
        <w:ind w:firstLine="480"/>
      </w:pPr>
      <w:r>
        <w:rPr/>
        <w:t xml:space="preserve"> 地址：</w:t>
      </w:r>
      <w:r>
        <w:rPr/>
        <w:t>广州市天河区中山大道西55号</w:t>
      </w:r>
    </w:p>
    <w:p>
      <w:pPr>
        <w:pStyle w:val="null3"/>
        <w:ind w:firstLine="480"/>
      </w:pPr>
      <w:r>
        <w:rPr/>
        <w:t xml:space="preserve"> 联系方式：</w:t>
      </w:r>
      <w:r>
        <w:rPr/>
        <w:t>林老师 020-85210903</w:t>
      </w:r>
    </w:p>
    <w:p>
      <w:pPr>
        <w:pStyle w:val="null3"/>
        <w:outlineLvl w:val="3"/>
      </w:pPr>
      <w:r>
        <w:rPr>
          <w:sz w:val="24"/>
          <w:b/>
        </w:rPr>
        <w:t xml:space="preserve"> 2.采购代理机构信息</w:t>
      </w:r>
    </w:p>
    <w:p>
      <w:pPr>
        <w:pStyle w:val="null3"/>
        <w:ind w:firstLine="480"/>
      </w:pPr>
      <w:r>
        <w:rPr/>
        <w:t xml:space="preserve"> 名称：</w:t>
      </w:r>
      <w:r>
        <w:rPr/>
        <w:t>广东志正招标有限公司</w:t>
      </w:r>
    </w:p>
    <w:p>
      <w:pPr>
        <w:pStyle w:val="null3"/>
        <w:ind w:firstLine="480"/>
      </w:pPr>
      <w:r>
        <w:rPr/>
        <w:t xml:space="preserve"> 地址：</w:t>
      </w:r>
      <w:r>
        <w:rPr/>
        <w:t>广东省广州市天河区龙怡路117号501、503、504、505、506房</w:t>
      </w:r>
    </w:p>
    <w:p>
      <w:pPr>
        <w:pStyle w:val="null3"/>
        <w:ind w:firstLine="480"/>
      </w:pPr>
      <w:r>
        <w:rPr/>
        <w:t xml:space="preserve"> 联系方式：</w:t>
      </w:r>
      <w:r>
        <w:rPr/>
        <w:t>020-87554618</w:t>
      </w:r>
    </w:p>
    <w:p>
      <w:pPr>
        <w:pStyle w:val="null3"/>
        <w:outlineLvl w:val="3"/>
      </w:pPr>
      <w:r>
        <w:rPr>
          <w:sz w:val="24"/>
          <w:b/>
        </w:rPr>
        <w:t xml:space="preserve"> 3.项目联系方式</w:t>
      </w:r>
    </w:p>
    <w:p>
      <w:pPr>
        <w:pStyle w:val="null3"/>
        <w:ind w:firstLine="480"/>
      </w:pPr>
      <w:r>
        <w:rPr/>
        <w:t xml:space="preserve"> 项目联系人：</w:t>
      </w:r>
      <w:r>
        <w:rPr/>
        <w:t>叶小姐、吴小姐</w:t>
      </w:r>
    </w:p>
    <w:p>
      <w:pPr>
        <w:pStyle w:val="null3"/>
        <w:ind w:firstLine="480"/>
      </w:pPr>
      <w:r>
        <w:rPr/>
        <w:t xml:space="preserve"> 电话：</w:t>
      </w:r>
      <w:r>
        <w:rPr/>
        <w:t>020-87554618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广东志正招标有限公司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b/>
        </w:rPr>
        <w:t>说明：</w:t>
      </w:r>
    </w:p>
    <w:p>
      <w:pPr>
        <w:pStyle w:val="null3"/>
        <w:jc w:val="both"/>
      </w:pPr>
      <w:r>
        <w:rPr>
          <w:sz w:val="21"/>
          <w:b/>
        </w:rPr>
        <w:t>1</w:t>
      </w:r>
      <w:r>
        <w:rPr>
          <w:sz w:val="21"/>
          <w:b/>
        </w:rPr>
        <w:t>、投标人须对本项目为单位的标的物进行整体投标，任何只对其中一部分内容进行的投标都被视为无效投标。本项目以总价形式报价，采购需求中的分项预算单价及分项预算总价仅供参考，不作为限价。</w:t>
      </w:r>
    </w:p>
    <w:p>
      <w:pPr>
        <w:pStyle w:val="null3"/>
        <w:jc w:val="both"/>
      </w:pPr>
      <w:r>
        <w:rPr>
          <w:sz w:val="21"/>
          <w:b/>
        </w:rPr>
        <w:t>2</w:t>
      </w:r>
      <w:r>
        <w:rPr>
          <w:sz w:val="21"/>
          <w:b/>
        </w:rPr>
        <w:t>、本招标文件中，凡标有“★”的地方，投标人要特别加以注意，必须对此作出一一响应。若有一项带“★”的指标未响应或不满足，将导致其废标或投标无效。</w:t>
      </w:r>
    </w:p>
    <w:p>
      <w:pPr>
        <w:pStyle w:val="null3"/>
        <w:jc w:val="both"/>
      </w:pPr>
      <w:r>
        <w:rPr>
          <w:sz w:val="21"/>
          <w:b/>
        </w:rPr>
        <w:t>3</w:t>
      </w:r>
      <w:r>
        <w:rPr>
          <w:sz w:val="21"/>
          <w:b/>
        </w:rPr>
        <w:t>、无论招标文件中是否有具体要求，投标人所投的货物及伴随的服务和工程均应符合国家的强制性标准。同时，所投产品的生产制造商应遵守国家关于生产许可的强制规定。</w:t>
      </w:r>
    </w:p>
    <w:p>
      <w:pPr>
        <w:pStyle w:val="null3"/>
        <w:jc w:val="both"/>
      </w:pPr>
      <w:r>
        <w:rPr>
          <w:sz w:val="21"/>
          <w:b/>
        </w:rPr>
        <w:t>4</w:t>
      </w:r>
      <w:r>
        <w:rPr>
          <w:sz w:val="21"/>
          <w:b/>
        </w:rPr>
        <w:t>、本项目核心产品为：</w:t>
      </w:r>
      <w:r>
        <w:rPr>
          <w:sz w:val="21"/>
          <w:b/>
          <w:u w:val="single"/>
        </w:rPr>
        <w:t xml:space="preserve"> </w:t>
      </w:r>
      <w:r>
        <w:rPr>
          <w:sz w:val="21"/>
          <w:b/>
          <w:u w:val="single"/>
        </w:rPr>
        <w:t>智慧琴房综合管理平台、智能终端交互设备系统</w:t>
      </w:r>
      <w:r>
        <w:rPr>
          <w:sz w:val="21"/>
          <w:b/>
        </w:rPr>
        <w:t>。投标人应在投标文件中清晰列明</w:t>
      </w:r>
      <w:r>
        <w:rPr>
          <w:sz w:val="21"/>
          <w:b/>
        </w:rPr>
        <w:t>“货物名称、品牌”。</w:t>
      </w:r>
    </w:p>
    <w:p>
      <w:pPr>
        <w:pStyle w:val="null3"/>
        <w:jc w:val="both"/>
      </w:pPr>
      <w:r>
        <w:rPr>
          <w:sz w:val="21"/>
          <w:b/>
        </w:rPr>
        <w:t>注：若存在多项核心产品，当不同供应商提供的任意一项核心产品的品牌相同，则视同其是所响应核心产品品牌相同供应商。</w:t>
      </w:r>
    </w:p>
    <w:p>
      <w:pPr>
        <w:pStyle w:val="null3"/>
      </w:pPr>
      <w:r>
        <w:rPr>
          <w:sz w:val="21"/>
          <w:b/>
        </w:rPr>
        <w:t>二</w:t>
      </w:r>
      <w:r>
        <w:rPr>
          <w:sz w:val="21"/>
          <w:b/>
        </w:rPr>
        <w:t>、</w:t>
      </w:r>
      <w:r>
        <w:rPr>
          <w:sz w:val="21"/>
          <w:b/>
        </w:rPr>
        <w:t>购置背景及目的</w:t>
      </w:r>
      <w:r>
        <w:rPr>
          <w:sz w:val="21"/>
        </w:rPr>
        <w:t>：</w:t>
      </w:r>
    </w:p>
    <w:p>
      <w:pPr>
        <w:pStyle w:val="null3"/>
        <w:ind w:firstLine="420"/>
        <w:jc w:val="both"/>
      </w:pPr>
      <w:r>
        <w:rPr>
          <w:sz w:val="21"/>
        </w:rPr>
        <w:t>当前教学使用琴房为传统课室，仅能实现刷卡进出琴房，对于琴房管理方面工作并无任何帮助。且系统在安装过程中，并未考虑到音乐学院地处低洼地带（雷区），未做任何防雷措施，且系统所属公司，无法就学院需求，进行系统升级，以满足学院有效教学要求、信息化、设备和软件数字化，智能化管理，加上原有的琴房门禁系统，遭雷击后，已无法使用，管理和琴房使用均还需要通过人工方式，严重制约了教学质量和师生使用。从而造成我校在教学方面资源使用较紧张，以及其他教学活动大量增加，以上因素导致琴房资源较为紧张。而传统琴房教室在管理存在先天的不足，导致无法进一步提升管理质量，使用效率亟待提升，从而增加师生满意度。</w:t>
      </w:r>
    </w:p>
    <w:p>
      <w:pPr>
        <w:pStyle w:val="null3"/>
        <w:ind w:firstLine="420"/>
        <w:jc w:val="both"/>
      </w:pPr>
      <w:r>
        <w:rPr>
          <w:sz w:val="21"/>
        </w:rPr>
        <w:t>通过此次项目建设，可以有效的缓解琴房数量不足的问题，同时通过大数据和物联网等技术手段，可以很好的解决琴房设备管理和使用问题，提高琴房的使用效率。项目建设必要性主要表现在以下几点：</w:t>
      </w:r>
    </w:p>
    <w:p>
      <w:pPr>
        <w:pStyle w:val="null3"/>
        <w:ind w:firstLine="420"/>
        <w:jc w:val="both"/>
      </w:pPr>
      <w:r>
        <w:rPr>
          <w:sz w:val="21"/>
        </w:rPr>
        <w:t>1.琴房管理系统项目可以有效降低琴房的人力管理成本，提升学生的练琴体验感，以及提高学生练琴率。同时也响应了国家型无纸化办公方式的号召。</w:t>
      </w:r>
    </w:p>
    <w:p>
      <w:pPr>
        <w:pStyle w:val="null3"/>
        <w:ind w:firstLine="420"/>
        <w:jc w:val="both"/>
      </w:pPr>
      <w:r>
        <w:rPr>
          <w:sz w:val="21"/>
        </w:rPr>
        <w:t>2.琴房监管难，琴房资源被空置占用浪费。传统琴房在使用过程中，经常出现琴房被占用，但学生却不在琴房练琴的情况，造成本就不多的琴房资源被浪费。</w:t>
      </w:r>
    </w:p>
    <w:p>
      <w:pPr>
        <w:pStyle w:val="null3"/>
        <w:ind w:firstLine="420"/>
        <w:jc w:val="both"/>
      </w:pPr>
      <w:r>
        <w:rPr>
          <w:sz w:val="21"/>
        </w:rPr>
        <w:t>3.琴房管理系统项目的智慧管理终端可以有效解决琴房的空置占用问题，当学生需离开琴房时，需要在系统端确认暂时离开模式，如学生超出暂时离开时间未归，订单将会被签退，开放给其他学生使用。</w:t>
      </w:r>
    </w:p>
    <w:p>
      <w:pPr>
        <w:pStyle w:val="null3"/>
        <w:ind w:firstLine="420"/>
        <w:jc w:val="both"/>
      </w:pPr>
      <w:r>
        <w:rPr>
          <w:sz w:val="21"/>
        </w:rPr>
        <w:t>4.预约练琴开门流程繁琐，人工管理成本高。学生预约琴房练琴的流程十分繁琐，从预约、开门到签退归还钥匙，整个琴房使用流程都需要琴房管理员的人工协助，人工管理成本非常高。</w:t>
      </w:r>
    </w:p>
    <w:p>
      <w:pPr>
        <w:pStyle w:val="null3"/>
        <w:ind w:firstLine="420"/>
        <w:jc w:val="both"/>
      </w:pPr>
      <w:r>
        <w:rPr>
          <w:sz w:val="21"/>
        </w:rPr>
        <w:t>5.项目可以简化学生整个的练琴流程。可实现学生手机线上预约琴房、智能签到、智能开锁、以及到点自动签退关锁的整个智能化用琴流程，大大节省了人工管理成本，也提升了学生的预约使用琴房的体验。</w:t>
      </w:r>
    </w:p>
    <w:p>
      <w:pPr>
        <w:pStyle w:val="null3"/>
        <w:jc w:val="both"/>
      </w:pPr>
      <w:r>
        <w:rPr>
          <w:sz w:val="21"/>
          <w:b/>
        </w:rPr>
        <w:t>三、主要功能及用途</w:t>
      </w:r>
      <w:r>
        <w:rPr>
          <w:sz w:val="21"/>
        </w:rPr>
        <w:t>：</w:t>
      </w:r>
    </w:p>
    <w:p>
      <w:pPr>
        <w:pStyle w:val="null3"/>
        <w:ind w:firstLine="420"/>
        <w:jc w:val="both"/>
      </w:pPr>
      <w:r>
        <w:rPr>
          <w:sz w:val="21"/>
        </w:rPr>
        <w:t>通过云计算、</w:t>
      </w:r>
      <w:r>
        <w:rPr>
          <w:sz w:val="21"/>
        </w:rPr>
        <w:t>物联网、区块链、人工智能、大数据和移动互联网等新一代信息技术，打破系统、设备间的信息壁垒，打造纵向与</w:t>
      </w:r>
      <w:r>
        <w:rPr>
          <w:sz w:val="21"/>
        </w:rPr>
        <w:t>“其他管理系统对接， 上下协同联动，横向与各智慧琴房子系统对接，数据互联互通的新型“智慧琴房”教务管理体系。辅助领导施策精准化，支撑教务教学管理精细化，赋能“教与学”精确化，实现教学管理主体从单一的人工干预转向多元的以技术手段为主导、后勤和老师共同参与，管理决策从经验导向转向数据驱动，不断提升教学治理科学化、精细化、智能化水平，推动从被动式、应急式向主动式、预警式教学管理模式转变， 提高跨部门跨领域的协同指挥能力，形成高效联动的教学运行管理新模式，优化教育教学资源配置，降低资源消耗水平，打造“高质量的教育信息化、高品质的教学管理、高水平的精准治理、高效率的学校发展”教育新格局，为学校提供现代化教育教学管理模式，为师生提供优质的教学环境，促进教学、后勤管理、学生统筹协调发展，实现学校治理体系和治理能力现代化。</w:t>
      </w:r>
    </w:p>
    <w:p>
      <w:pPr>
        <w:pStyle w:val="null3"/>
        <w:jc w:val="both"/>
      </w:pPr>
      <w:r>
        <w:rPr>
          <w:sz w:val="21"/>
          <w:b/>
        </w:rPr>
        <w:t>四、必要性及意义</w:t>
      </w:r>
      <w:r>
        <w:rPr>
          <w:sz w:val="21"/>
        </w:rPr>
        <w:t>：</w:t>
      </w:r>
    </w:p>
    <w:p>
      <w:pPr>
        <w:pStyle w:val="null3"/>
        <w:ind w:firstLine="420"/>
        <w:jc w:val="both"/>
      </w:pPr>
      <w:r>
        <w:rPr>
          <w:sz w:val="21"/>
        </w:rPr>
        <w:t>通过本次项目建设解决琴房不足的问题。通过琴房管理系统可实现琴房的线上预约使用，以及智能化签到和签退方案。解决学生练琴高峰排队练琴，琴房被空置占用，简化预约使用琴房的流程，提高学生练琴率，提高琴房的使用率，减少人力管理成本。通过此次项目的建设，最终将以领先的技术为中心，构建一套高效率，数字化、安全化的琴房管理平台，实现学生行为和琴房资源的有效管理和利用。</w:t>
      </w:r>
    </w:p>
    <w:p>
      <w:pPr>
        <w:pStyle w:val="null3"/>
        <w:ind w:firstLine="420"/>
        <w:jc w:val="both"/>
      </w:pPr>
      <w:r>
        <w:rPr>
          <w:sz w:val="21"/>
        </w:rPr>
        <w:t>普遍提高学校的教学质量，在新形势和新要求下，推进高新科技在教育教学领域的应用。参照众多学校的教学经验，结合自身的实际情况，提升全面提高教师和</w:t>
      </w:r>
      <w:r>
        <w:rPr>
          <w:sz w:val="21"/>
        </w:rPr>
        <w:t>学生运用现代化设备进行学习和工作的能力，创造适应时代要求的新的教学管理模式、评价模式和服务模式，同时提高工作效率和管理水平。经济效益体现于可以有效降低人工管理的成本。</w:t>
      </w:r>
    </w:p>
    <w:p>
      <w:pPr>
        <w:pStyle w:val="null3"/>
        <w:jc w:val="both"/>
      </w:pPr>
      <w:r>
        <w:rPr>
          <w:sz w:val="21"/>
          <w:b/>
        </w:rPr>
        <w:t>五、演示要求</w:t>
      </w:r>
    </w:p>
    <w:p>
      <w:pPr>
        <w:pStyle w:val="null3"/>
        <w:ind w:firstLine="420"/>
        <w:jc w:val="both"/>
      </w:pPr>
      <w:r>
        <w:rPr>
          <w:sz w:val="21"/>
        </w:rPr>
        <w:t>通过资格、符合性审查的投标人派代表就所投项目进行演示和述标。每个述标单位只有一次演示及答辩机会，演示时间（不含答辩时间）不超过</w:t>
      </w:r>
      <w:r>
        <w:rPr>
          <w:sz w:val="21"/>
        </w:rPr>
        <w:t>10</w:t>
      </w:r>
      <w:r>
        <w:rPr>
          <w:sz w:val="21"/>
        </w:rPr>
        <w:t>分钟，参与演示及答辩人员不多于</w:t>
      </w:r>
      <w:r>
        <w:rPr>
          <w:sz w:val="21"/>
        </w:rPr>
        <w:t>2</w:t>
      </w:r>
      <w:r>
        <w:rPr>
          <w:sz w:val="21"/>
        </w:rPr>
        <w:t>人。</w:t>
      </w:r>
    </w:p>
    <w:p>
      <w:pPr>
        <w:pStyle w:val="null3"/>
        <w:ind w:firstLine="420"/>
        <w:jc w:val="both"/>
      </w:pPr>
      <w:r>
        <w:rPr>
          <w:sz w:val="21"/>
        </w:rPr>
        <w:t>招标代理机构提供投影仪，其他相关机器或专业播放设备</w:t>
      </w:r>
      <w:r>
        <w:rPr>
          <w:sz w:val="21"/>
        </w:rPr>
        <w:t>（含网络）</w:t>
      </w:r>
      <w:r>
        <w:rPr>
          <w:sz w:val="21"/>
        </w:rPr>
        <w:t>请各投标单位自带。</w:t>
      </w:r>
    </w:p>
    <w:p>
      <w:pPr>
        <w:pStyle w:val="null3"/>
      </w:pPr>
      <w:r>
        <w:rPr/>
        <w:t>采购包1（学生琴房智慧系统采购项目）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自合同双方签字盖章之日起150日历天内完成投标产品的供货、安装、调试和验收，并交付使用。</w:t>
            </w:r>
          </w:p>
        </w:tc>
      </w:tr>
      <w:tr>
        <w:tc>
          <w:tcPr>
            <w:tcW w:type="dxa" w:w="4153"/>
          </w:tcPr>
          <w:p>
            <w:pPr>
              <w:pStyle w:val="null3"/>
            </w:pPr>
            <w:r>
              <w:rPr/>
              <w:t>标的提供的地点</w:t>
            </w:r>
          </w:p>
        </w:tc>
        <w:tc>
          <w:tcPr>
            <w:tcW w:type="dxa" w:w="4153"/>
          </w:tcPr>
          <w:p>
            <w:pPr>
              <w:pStyle w:val="null3"/>
            </w:pPr>
            <w:r>
              <w:rPr/>
              <w:t>华南师范大学指定交付地点。</w:t>
            </w:r>
          </w:p>
        </w:tc>
      </w:tr>
      <w:tr>
        <w:tc>
          <w:tcPr>
            <w:tcW w:type="dxa" w:w="4153"/>
          </w:tcPr>
          <w:p>
            <w:pPr>
              <w:pStyle w:val="null3"/>
            </w:pPr>
            <w:r>
              <w:rPr/>
              <w:t>付款方式</w:t>
            </w:r>
          </w:p>
        </w:tc>
        <w:tc>
          <w:tcPr>
            <w:tcW w:type="dxa" w:w="4153"/>
          </w:tcPr>
          <w:p>
            <w:pPr>
              <w:pStyle w:val="null3"/>
            </w:pPr>
            <w:r>
              <w:rPr/>
              <w:t>1期：支付比例80%,合同签订后，2024年12月25日前，货到采购人指定地点或提供与合同金额80%等额的银行保函，采购人支付80%合同金额至中标人指定账户（中标人须提供等额增值税专用发票）。如中标人为中小微企业的，则合同签订后5个工作日内，采购人通过银行转账方式支付同金额的30%给中标人作为预付款；2024年12月25日前，货到采购人指定地点或提供与合同金额50%等额的银行保函，支付合同金额的50%。</w:t>
            </w:r>
          </w:p>
          <w:p>
            <w:pPr>
              <w:pStyle w:val="null3"/>
            </w:pPr>
            <w:r>
              <w:rPr/>
              <w:t>2期：支付比例20%,待采购人验收合格后，支付剩余合同金额的20%（中标人须提供等额增值税专用发票）。说明：采购人向中标人指定账户汇出款项后，即视为已履行付款义务。在汇款过程中，因中标人账户的原因（包括但不限于账号被注销、被冻结等）导致其无法收取款项的，由中标人承担相应后果。 本项目如执行国库支付的，采购人在验收合格后10个工作日内办理财政集中支付申请手续，付款按照财政部门国库集中支付的有关规定办理。付款时间为采购人向政府财政支付部门提出支付申请的时间（不含政府财政支付部门审查的时间）。 如项目履行过程中，采购人采取融资支付或其他支付方式，中标人应配合采购人签订补充协议。</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货物安装调试完毕且正常运行不少于3个月后，中标人应备齐采购人要求提供的验收文件，并提出书面验收申请。采购人将按流程进行验收，并出具采购物资验收报告给中标人。货物验收合格之日为采购人签署采购物资验收报告的日期。 2.货物验收标准：以招投标文件和合同项下约定的货物及价格、详细配置清单及技术指标、符合招标文件和投标承诺中采购人认可的合理最佳配置、参数及各项要求、国家相关标准和行业规范进行验收（该等标准不一致的，以较高为准）。 3.经采购人对中标人提供的货物进行验收，若发现中标人提供的货物不符合招投标文件及合同规定的质量要求，采购人有权拒收该货物，中标人应无条件更换被拒绝的货物，或者进行必要的修改以满足规定的要求；采购人也有权选择解除合同并要求中标人承担违约责任。</w:t>
            </w:r>
          </w:p>
        </w:tc>
      </w:tr>
      <w:tr>
        <w:tc>
          <w:tcPr>
            <w:tcW w:type="dxa" w:w="4153"/>
          </w:tcPr>
          <w:p>
            <w:pPr>
              <w:pStyle w:val="null3"/>
            </w:pPr>
            <w:r>
              <w:rPr/>
              <w:t>履约保证金</w:t>
            </w:r>
          </w:p>
        </w:tc>
        <w:tc>
          <w:tcPr>
            <w:tcW w:type="dxa" w:w="4153"/>
          </w:tcPr>
          <w:p>
            <w:pPr>
              <w:pStyle w:val="null3"/>
            </w:pPr>
            <w:r>
              <w:rPr/>
              <w:t>收取比例：5%,说明：中标人在合同签订后10日内，以支票、汇票、本票、保函或转账方式向采购人提交合同总额的5%作为履约保证金。 项目验收合格2个月内，合同标的无质量问题，中标人凭收据向采购人申请退还，采购人在收到中标人申请单据之日起15个工作日内无息退还给中标人。 履约保证金不予退还的情形： （1）未经采购人同意，中标人将本项目进行分包或转包给他人； （2）在履行合同期间，中标人未经采购人同意提前终止本项目合同； （3）在履行合同期间，中标人因在经营活动中存在违法被吊销营业执照或相关许可，导致本项目合同无法继续履行的。</w:t>
            </w:r>
          </w:p>
          <w:p>
            <w:pPr>
              <w:pStyle w:val="null3"/>
            </w:pPr>
            <w:r>
              <w:rPr/>
              <w:t>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一、包装和运输，中标人提供的货物必须是制造厂商全新的原厂原装产品（含零部件、配件、随机工具、技术文件等），包装外观完好、表面无划损、破损，无任何缺陷及隐患，每台设备上均应钉有铭牌(内容包括：制造商,设备名称、型号规格、序列号等并附有产品质量检验合格标志，且进货渠道合法，在中国境内可依常规安全合法使用。并应使用产品标准出厂包装，适合于空运、海运、陆运等长途运输方式及气候变化，防潮、防震、防雨、防锈、防冻等（若需特殊包装方式如冷冻等，请列明）。如因包装造成的一切损失（包括但不限于商品损坏、损失、锈蚀、费用增长等），一概由中标人负责赔偿。包装材料具有一定的缓冲性能,能够吸收外部冲击力,避免设备受损。包装以纸箱为主，内有泡沫或气泡膜填充进行隔振缓冲。运输过程，选择优质服务的物流公司，如：顺丰物流；运输过程需要对于仪器货物进行适当的固定，避免运输过程中发生碰撞。中标人承担货物运抵指定交货地点的运输费、保险费、包装费等，上述费用包含在货物的最终成交总额中。设备的包装均应有良好的防湿、防锈、防潮、防雨、防腐及防碰撞等的措施，符合《商品包装政府采购需求标准（试行）》及《快递包装政府采购需求标准（试行）》的要求。</w:t>
            </w:r>
          </w:p>
          <w:p>
            <w:pPr>
              <w:pStyle w:val="null3"/>
            </w:pPr>
            <w:r>
              <w:rPr/>
              <w:t>二、货物安装调试，1. 中标人应在签订合同后5天内向采购人提出产品安装、调试应准备的条件。中标人必须在货物测试与验收前，向采购人提供按本合同的技术规格、技术规范的要求进行的测试与验收方案。 2. 货物交付采购人后，双方商定日期，双方一起开箱验货，不得单方面开箱。采购人对货物的外观品质、数量、规格、型号、备件、随机资料等进行初步验收，中标人负责安装调试。 3．采购人在开箱验货中如发现货物不符合合同的约定，有权拒绝接受货物，经各方确认后，中标人应于5天内重新提供符合合同约定的货物，否则，视为中标人逾期交货。 4．中标人应于货到采购人指定交货地点之日起5天内完成安装调试。 5．采购人在货物到达交货地点后对货物进行检验、测试及必要时拒绝接受货物的权利将不会因为货物在中标人的驻地已通过了采购人或其代表的检验、测试和认可而受到限制或放弃。</w:t>
            </w:r>
          </w:p>
          <w:p>
            <w:pPr>
              <w:pStyle w:val="null3"/>
            </w:pPr>
            <w:r>
              <w:rPr/>
              <w:t>三、质保期保障服务，1.质保期：中标人对本合同标的提供硬件设备1年质保期、软件3年质保期（费用包含在投标报价中），对由于设计、制造工艺、材料和安装所造成的质量缺陷或质量问题负责，并进行修理、更换零部件或退换，并须对设备出现的有关技术性问题或安全问题负责处理、解决，同时中标人应相应延长被更换货物的质保期，软件提供终身升级，质保期自货物验收合格之日起计算。质保期内提供现场保修、包换或包退服务，由此产生的一切费用均由中标人承担。中标人不能修复、调换或不能退货的，应退回相应货款，并承担相应违约责任。 2.中标人应有专职工程师负责对所售产品安装，调试，培训，维修和处理。质保期内，在接到系统故障或问题告知后，中标人响应时间不得超过1小时，到达现场时间不得超过2小时，并应在24小时（前述响应及到达现场时间已包含计算在内）内排除故障。否则视为中标人不能修复货物。如果需要更换配件的，中标人须在15个工作日内完成配件更换服务，且更换的配件跟被更换的品牌、类型相一致或者是同类档次相当或更高的替代品，后者需征得采购人管理人员同意。如果故障在前述时间内仍无法排除，中标人应无条件在7个工作日内提供不低于故障设备规格型号档次的备用设备供采购人使用，直至故障设备修复。 3.质保期内，同一硬件一个月内连续2次出现同一故障，中标人应无条件更换性能指标不低于原规格型号的新部件。严重影响教学工作的，中标人无条件提供不低于该档次的设备给采购人使用。 4.质保期满后设备维修仅收取配件成本费，不收取上门费及人工费。中标人承诺配件更换的费用，以不高于市场价格8折提供给学校。</w:t>
            </w:r>
          </w:p>
          <w:p>
            <w:pPr>
              <w:pStyle w:val="null3"/>
            </w:pPr>
            <w:r>
              <w:rPr/>
              <w:t>四、培训，中标人负责提供合同标的现场操作、运行、维护、修理的培训方案及必需的培训资料，并对采购人受训人员进行现场培训直至能熟练操作为止，培训次数不少于4次，每次培训应配置不少于1个工程师，培训天数应不少于1天，培训期间工程师的食宿由中标人负责。培训内容应至少包括：设备的操作使用和保养；设备安全注意事项；设备简易故障排除等。在后期使用过程中，如需增加培训环节，中标人负责根据采购人需要提供培训服务。以上相关费用已包含在投标报价中。</w:t>
            </w:r>
          </w:p>
          <w:p>
            <w:pPr>
              <w:pStyle w:val="null3"/>
            </w:pPr>
            <w:r>
              <w:rPr/>
              <w:t>五、保险，由中标人投保，应包含货物（包括备品备件）运至最终目的地的相关保险费用，费用已包含在投标报价中。</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其他终端设备</w:t>
            </w:r>
          </w:p>
        </w:tc>
        <w:tc>
          <w:tcPr>
            <w:tcW w:type="dxa" w:w="831"/>
          </w:tcPr>
          <w:p>
            <w:pPr>
              <w:pStyle w:val="null3"/>
              <w:jc w:val="left"/>
            </w:pPr>
            <w:r>
              <w:rPr/>
              <w:t>智能终端交互设备</w:t>
            </w:r>
          </w:p>
        </w:tc>
        <w:tc>
          <w:tcPr>
            <w:tcW w:type="dxa" w:w="831"/>
          </w:tcPr>
          <w:p>
            <w:pPr>
              <w:pStyle w:val="null3"/>
              <w:jc w:val="left"/>
            </w:pPr>
            <w:r>
              <w:rPr/>
              <w:t>台</w:t>
            </w:r>
          </w:p>
        </w:tc>
        <w:tc>
          <w:tcPr>
            <w:tcW w:type="dxa" w:w="831"/>
          </w:tcPr>
          <w:p>
            <w:pPr>
              <w:pStyle w:val="null3"/>
              <w:jc w:val="right"/>
            </w:pPr>
            <w:r>
              <w:rPr/>
              <w:t>185.00</w:t>
            </w:r>
          </w:p>
        </w:tc>
        <w:tc>
          <w:tcPr>
            <w:tcW w:type="dxa" w:w="831"/>
          </w:tcPr>
          <w:p>
            <w:pPr>
              <w:pStyle w:val="null3"/>
              <w:jc w:val="right"/>
            </w:pPr>
            <w:r>
              <w:rPr/>
              <w:t>1,588.00</w:t>
            </w:r>
          </w:p>
        </w:tc>
        <w:tc>
          <w:tcPr>
            <w:tcW w:type="dxa" w:w="831"/>
          </w:tcPr>
          <w:p>
            <w:pPr>
              <w:pStyle w:val="null3"/>
              <w:jc w:val="right"/>
            </w:pPr>
            <w:r>
              <w:rPr/>
              <w:t>293,780.00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锁</w:t>
            </w:r>
          </w:p>
        </w:tc>
        <w:tc>
          <w:tcPr>
            <w:tcW w:type="dxa" w:w="831"/>
          </w:tcPr>
          <w:p>
            <w:pPr>
              <w:pStyle w:val="null3"/>
              <w:jc w:val="left"/>
            </w:pPr>
            <w:r>
              <w:rPr/>
              <w:t>智能电磁门锁</w:t>
            </w:r>
          </w:p>
        </w:tc>
        <w:tc>
          <w:tcPr>
            <w:tcW w:type="dxa" w:w="831"/>
          </w:tcPr>
          <w:p>
            <w:pPr>
              <w:pStyle w:val="null3"/>
              <w:jc w:val="left"/>
            </w:pPr>
            <w:r>
              <w:rPr/>
              <w:t>把</w:t>
            </w:r>
          </w:p>
        </w:tc>
        <w:tc>
          <w:tcPr>
            <w:tcW w:type="dxa" w:w="831"/>
          </w:tcPr>
          <w:p>
            <w:pPr>
              <w:pStyle w:val="null3"/>
              <w:jc w:val="right"/>
            </w:pPr>
            <w:r>
              <w:rPr/>
              <w:t>185.00</w:t>
            </w:r>
          </w:p>
        </w:tc>
        <w:tc>
          <w:tcPr>
            <w:tcW w:type="dxa" w:w="831"/>
          </w:tcPr>
          <w:p>
            <w:pPr>
              <w:pStyle w:val="null3"/>
              <w:jc w:val="right"/>
            </w:pPr>
            <w:r>
              <w:rPr/>
              <w:t>420.00</w:t>
            </w:r>
          </w:p>
        </w:tc>
        <w:tc>
          <w:tcPr>
            <w:tcW w:type="dxa" w:w="831"/>
          </w:tcPr>
          <w:p>
            <w:pPr>
              <w:pStyle w:val="null3"/>
              <w:jc w:val="right"/>
            </w:pPr>
            <w:r>
              <w:rPr/>
              <w:t>77,700.00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其他建筑物附属结构</w:t>
            </w:r>
          </w:p>
        </w:tc>
        <w:tc>
          <w:tcPr>
            <w:tcW w:type="dxa" w:w="831"/>
          </w:tcPr>
          <w:p>
            <w:pPr>
              <w:pStyle w:val="null3"/>
              <w:jc w:val="left"/>
            </w:pPr>
            <w:r>
              <w:rPr/>
              <w:t>室内开门按钮</w:t>
            </w:r>
          </w:p>
        </w:tc>
        <w:tc>
          <w:tcPr>
            <w:tcW w:type="dxa" w:w="831"/>
          </w:tcPr>
          <w:p>
            <w:pPr>
              <w:pStyle w:val="null3"/>
              <w:jc w:val="left"/>
            </w:pPr>
            <w:r>
              <w:rPr/>
              <w:t>个</w:t>
            </w:r>
          </w:p>
        </w:tc>
        <w:tc>
          <w:tcPr>
            <w:tcW w:type="dxa" w:w="831"/>
          </w:tcPr>
          <w:p>
            <w:pPr>
              <w:pStyle w:val="null3"/>
              <w:jc w:val="right"/>
            </w:pPr>
            <w:r>
              <w:rPr/>
              <w:t>185.00</w:t>
            </w:r>
          </w:p>
        </w:tc>
        <w:tc>
          <w:tcPr>
            <w:tcW w:type="dxa" w:w="831"/>
          </w:tcPr>
          <w:p>
            <w:pPr>
              <w:pStyle w:val="null3"/>
              <w:jc w:val="right"/>
            </w:pPr>
            <w:r>
              <w:rPr/>
              <w:t>120.00</w:t>
            </w:r>
          </w:p>
        </w:tc>
        <w:tc>
          <w:tcPr>
            <w:tcW w:type="dxa" w:w="831"/>
          </w:tcPr>
          <w:p>
            <w:pPr>
              <w:pStyle w:val="null3"/>
              <w:jc w:val="right"/>
            </w:pPr>
            <w:r>
              <w:rPr/>
              <w:t>22,200.00</w:t>
            </w:r>
          </w:p>
        </w:tc>
        <w:tc>
          <w:tcPr>
            <w:tcW w:type="dxa" w:w="831"/>
          </w:tcPr>
          <w:p>
            <w:pPr>
              <w:pStyle w:val="null3"/>
            </w:pPr>
            <w:r>
              <w:rPr/>
              <w:t>工业</w:t>
            </w:r>
          </w:p>
        </w:tc>
        <w:tc>
          <w:tcPr>
            <w:tcW w:type="dxa" w:w="831"/>
          </w:tcPr>
          <w:p>
            <w:pPr>
              <w:pStyle w:val="null3"/>
            </w:pPr>
            <w:r>
              <w:rPr/>
              <w:t>详见附表三</w:t>
            </w:r>
          </w:p>
        </w:tc>
      </w:tr>
      <w:tr>
        <w:tc>
          <w:tcPr>
            <w:tcW w:type="dxa" w:w="831"/>
          </w:tcPr>
          <w:p>
            <w:pPr>
              <w:pStyle w:val="null3"/>
              <w:jc w:val="center"/>
            </w:pPr>
            <w:r>
              <w:rPr/>
              <w:t>4</w:t>
            </w:r>
          </w:p>
        </w:tc>
        <w:tc>
          <w:tcPr>
            <w:tcW w:type="dxa" w:w="831"/>
          </w:tcPr>
          <w:p/>
        </w:tc>
        <w:tc>
          <w:tcPr>
            <w:tcW w:type="dxa" w:w="831"/>
          </w:tcPr>
          <w:p>
            <w:pPr>
              <w:pStyle w:val="null3"/>
              <w:jc w:val="left"/>
            </w:pPr>
            <w:r>
              <w:rPr/>
              <w:t>扩音设备</w:t>
            </w:r>
          </w:p>
        </w:tc>
        <w:tc>
          <w:tcPr>
            <w:tcW w:type="dxa" w:w="831"/>
          </w:tcPr>
          <w:p>
            <w:pPr>
              <w:pStyle w:val="null3"/>
              <w:jc w:val="left"/>
            </w:pPr>
            <w:r>
              <w:rPr/>
              <w:t>智能语音播报器</w:t>
            </w:r>
          </w:p>
        </w:tc>
        <w:tc>
          <w:tcPr>
            <w:tcW w:type="dxa" w:w="831"/>
          </w:tcPr>
          <w:p>
            <w:pPr>
              <w:pStyle w:val="null3"/>
              <w:jc w:val="left"/>
            </w:pPr>
            <w:r>
              <w:rPr/>
              <w:t>个</w:t>
            </w:r>
          </w:p>
        </w:tc>
        <w:tc>
          <w:tcPr>
            <w:tcW w:type="dxa" w:w="831"/>
          </w:tcPr>
          <w:p>
            <w:pPr>
              <w:pStyle w:val="null3"/>
              <w:jc w:val="right"/>
            </w:pPr>
            <w:r>
              <w:rPr/>
              <w:t>185.00</w:t>
            </w:r>
          </w:p>
        </w:tc>
        <w:tc>
          <w:tcPr>
            <w:tcW w:type="dxa" w:w="831"/>
          </w:tcPr>
          <w:p>
            <w:pPr>
              <w:pStyle w:val="null3"/>
              <w:jc w:val="right"/>
            </w:pPr>
            <w:r>
              <w:rPr/>
              <w:t>350.00</w:t>
            </w:r>
          </w:p>
        </w:tc>
        <w:tc>
          <w:tcPr>
            <w:tcW w:type="dxa" w:w="831"/>
          </w:tcPr>
          <w:p>
            <w:pPr>
              <w:pStyle w:val="null3"/>
              <w:jc w:val="right"/>
            </w:pPr>
            <w:r>
              <w:rPr/>
              <w:t>64,750.00</w:t>
            </w:r>
          </w:p>
        </w:tc>
        <w:tc>
          <w:tcPr>
            <w:tcW w:type="dxa" w:w="831"/>
          </w:tcPr>
          <w:p>
            <w:pPr>
              <w:pStyle w:val="null3"/>
            </w:pPr>
            <w:r>
              <w:rPr/>
              <w:t>工业</w:t>
            </w:r>
          </w:p>
        </w:tc>
        <w:tc>
          <w:tcPr>
            <w:tcW w:type="dxa" w:w="831"/>
          </w:tcPr>
          <w:p>
            <w:pPr>
              <w:pStyle w:val="null3"/>
            </w:pPr>
            <w:r>
              <w:rPr/>
              <w:t>详见附表四</w:t>
            </w:r>
          </w:p>
        </w:tc>
      </w:tr>
      <w:tr>
        <w:tc>
          <w:tcPr>
            <w:tcW w:type="dxa" w:w="831"/>
          </w:tcPr>
          <w:p>
            <w:pPr>
              <w:pStyle w:val="null3"/>
              <w:jc w:val="center"/>
            </w:pPr>
            <w:r>
              <w:rPr/>
              <w:t>5</w:t>
            </w:r>
          </w:p>
        </w:tc>
        <w:tc>
          <w:tcPr>
            <w:tcW w:type="dxa" w:w="831"/>
          </w:tcPr>
          <w:p/>
        </w:tc>
        <w:tc>
          <w:tcPr>
            <w:tcW w:type="dxa" w:w="831"/>
          </w:tcPr>
          <w:p>
            <w:pPr>
              <w:pStyle w:val="null3"/>
              <w:jc w:val="left"/>
            </w:pPr>
            <w:r>
              <w:rPr/>
              <w:t>控制设备</w:t>
            </w:r>
          </w:p>
        </w:tc>
        <w:tc>
          <w:tcPr>
            <w:tcW w:type="dxa" w:w="831"/>
          </w:tcPr>
          <w:p>
            <w:pPr>
              <w:pStyle w:val="null3"/>
              <w:jc w:val="left"/>
            </w:pPr>
            <w:r>
              <w:rPr/>
              <w:t>智慧灯控</w:t>
            </w:r>
          </w:p>
        </w:tc>
        <w:tc>
          <w:tcPr>
            <w:tcW w:type="dxa" w:w="831"/>
          </w:tcPr>
          <w:p>
            <w:pPr>
              <w:pStyle w:val="null3"/>
              <w:jc w:val="left"/>
            </w:pPr>
            <w:r>
              <w:rPr/>
              <w:t>个</w:t>
            </w:r>
          </w:p>
        </w:tc>
        <w:tc>
          <w:tcPr>
            <w:tcW w:type="dxa" w:w="831"/>
          </w:tcPr>
          <w:p>
            <w:pPr>
              <w:pStyle w:val="null3"/>
              <w:jc w:val="right"/>
            </w:pPr>
            <w:r>
              <w:rPr/>
              <w:t>185.00</w:t>
            </w:r>
          </w:p>
        </w:tc>
        <w:tc>
          <w:tcPr>
            <w:tcW w:type="dxa" w:w="831"/>
          </w:tcPr>
          <w:p>
            <w:pPr>
              <w:pStyle w:val="null3"/>
              <w:jc w:val="right"/>
            </w:pPr>
            <w:r>
              <w:rPr/>
              <w:t>450.00</w:t>
            </w:r>
          </w:p>
        </w:tc>
        <w:tc>
          <w:tcPr>
            <w:tcW w:type="dxa" w:w="831"/>
          </w:tcPr>
          <w:p>
            <w:pPr>
              <w:pStyle w:val="null3"/>
              <w:jc w:val="right"/>
            </w:pPr>
            <w:r>
              <w:rPr/>
              <w:t>83,250.00</w:t>
            </w:r>
          </w:p>
        </w:tc>
        <w:tc>
          <w:tcPr>
            <w:tcW w:type="dxa" w:w="831"/>
          </w:tcPr>
          <w:p>
            <w:pPr>
              <w:pStyle w:val="null3"/>
            </w:pPr>
            <w:r>
              <w:rPr/>
              <w:t>工业</w:t>
            </w:r>
          </w:p>
        </w:tc>
        <w:tc>
          <w:tcPr>
            <w:tcW w:type="dxa" w:w="831"/>
          </w:tcPr>
          <w:p>
            <w:pPr>
              <w:pStyle w:val="null3"/>
            </w:pPr>
            <w:r>
              <w:rPr/>
              <w:t>详见附表五</w:t>
            </w:r>
          </w:p>
        </w:tc>
      </w:tr>
      <w:tr>
        <w:tc>
          <w:tcPr>
            <w:tcW w:type="dxa" w:w="831"/>
          </w:tcPr>
          <w:p>
            <w:pPr>
              <w:pStyle w:val="null3"/>
              <w:jc w:val="center"/>
            </w:pPr>
            <w:r>
              <w:rPr/>
              <w:t>6</w:t>
            </w:r>
          </w:p>
        </w:tc>
        <w:tc>
          <w:tcPr>
            <w:tcW w:type="dxa" w:w="831"/>
          </w:tcPr>
          <w:p/>
        </w:tc>
        <w:tc>
          <w:tcPr>
            <w:tcW w:type="dxa" w:w="831"/>
          </w:tcPr>
          <w:p>
            <w:pPr>
              <w:pStyle w:val="null3"/>
              <w:jc w:val="left"/>
            </w:pPr>
            <w:r>
              <w:rPr/>
              <w:t>控制设备</w:t>
            </w:r>
          </w:p>
        </w:tc>
        <w:tc>
          <w:tcPr>
            <w:tcW w:type="dxa" w:w="831"/>
          </w:tcPr>
          <w:p>
            <w:pPr>
              <w:pStyle w:val="null3"/>
              <w:jc w:val="left"/>
            </w:pPr>
            <w:r>
              <w:rPr/>
              <w:t>空调智能控制模块</w:t>
            </w:r>
          </w:p>
        </w:tc>
        <w:tc>
          <w:tcPr>
            <w:tcW w:type="dxa" w:w="831"/>
          </w:tcPr>
          <w:p>
            <w:pPr>
              <w:pStyle w:val="null3"/>
              <w:jc w:val="left"/>
            </w:pPr>
            <w:r>
              <w:rPr/>
              <w:t>个</w:t>
            </w:r>
          </w:p>
        </w:tc>
        <w:tc>
          <w:tcPr>
            <w:tcW w:type="dxa" w:w="831"/>
          </w:tcPr>
          <w:p>
            <w:pPr>
              <w:pStyle w:val="null3"/>
              <w:jc w:val="right"/>
            </w:pPr>
            <w:r>
              <w:rPr/>
              <w:t>185.00</w:t>
            </w:r>
          </w:p>
        </w:tc>
        <w:tc>
          <w:tcPr>
            <w:tcW w:type="dxa" w:w="831"/>
          </w:tcPr>
          <w:p>
            <w:pPr>
              <w:pStyle w:val="null3"/>
              <w:jc w:val="right"/>
            </w:pPr>
            <w:r>
              <w:rPr/>
              <w:t>320.00</w:t>
            </w:r>
          </w:p>
        </w:tc>
        <w:tc>
          <w:tcPr>
            <w:tcW w:type="dxa" w:w="831"/>
          </w:tcPr>
          <w:p>
            <w:pPr>
              <w:pStyle w:val="null3"/>
              <w:jc w:val="right"/>
            </w:pPr>
            <w:r>
              <w:rPr/>
              <w:t>59,200.00</w:t>
            </w:r>
          </w:p>
        </w:tc>
        <w:tc>
          <w:tcPr>
            <w:tcW w:type="dxa" w:w="831"/>
          </w:tcPr>
          <w:p>
            <w:pPr>
              <w:pStyle w:val="null3"/>
            </w:pPr>
            <w:r>
              <w:rPr/>
              <w:t>工业</w:t>
            </w:r>
          </w:p>
        </w:tc>
        <w:tc>
          <w:tcPr>
            <w:tcW w:type="dxa" w:w="831"/>
          </w:tcPr>
          <w:p>
            <w:pPr>
              <w:pStyle w:val="null3"/>
            </w:pPr>
            <w:r>
              <w:rPr/>
              <w:t>详见附表六</w:t>
            </w:r>
          </w:p>
        </w:tc>
      </w:tr>
      <w:tr>
        <w:tc>
          <w:tcPr>
            <w:tcW w:type="dxa" w:w="831"/>
          </w:tcPr>
          <w:p>
            <w:pPr>
              <w:pStyle w:val="null3"/>
              <w:jc w:val="center"/>
            </w:pPr>
            <w:r>
              <w:rPr/>
              <w:t>7</w:t>
            </w:r>
          </w:p>
        </w:tc>
        <w:tc>
          <w:tcPr>
            <w:tcW w:type="dxa" w:w="831"/>
          </w:tcPr>
          <w:p/>
        </w:tc>
        <w:tc>
          <w:tcPr>
            <w:tcW w:type="dxa" w:w="831"/>
          </w:tcPr>
          <w:p>
            <w:pPr>
              <w:pStyle w:val="null3"/>
              <w:jc w:val="left"/>
            </w:pPr>
            <w:r>
              <w:rPr/>
              <w:t>其他终端设备</w:t>
            </w:r>
          </w:p>
        </w:tc>
        <w:tc>
          <w:tcPr>
            <w:tcW w:type="dxa" w:w="831"/>
          </w:tcPr>
          <w:p>
            <w:pPr>
              <w:pStyle w:val="null3"/>
              <w:jc w:val="left"/>
            </w:pPr>
            <w:r>
              <w:rPr/>
              <w:t>琴房状态显示屏</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13,000.00</w:t>
            </w:r>
          </w:p>
        </w:tc>
        <w:tc>
          <w:tcPr>
            <w:tcW w:type="dxa" w:w="831"/>
          </w:tcPr>
          <w:p>
            <w:pPr>
              <w:pStyle w:val="null3"/>
              <w:jc w:val="right"/>
            </w:pPr>
            <w:r>
              <w:rPr/>
              <w:t>13,000.00</w:t>
            </w:r>
          </w:p>
        </w:tc>
        <w:tc>
          <w:tcPr>
            <w:tcW w:type="dxa" w:w="831"/>
          </w:tcPr>
          <w:p>
            <w:pPr>
              <w:pStyle w:val="null3"/>
            </w:pPr>
            <w:r>
              <w:rPr/>
              <w:t>工业</w:t>
            </w:r>
          </w:p>
        </w:tc>
        <w:tc>
          <w:tcPr>
            <w:tcW w:type="dxa" w:w="831"/>
          </w:tcPr>
          <w:p>
            <w:pPr>
              <w:pStyle w:val="null3"/>
            </w:pPr>
            <w:r>
              <w:rPr/>
              <w:t>详见附表七</w:t>
            </w:r>
          </w:p>
        </w:tc>
      </w:tr>
      <w:tr>
        <w:tc>
          <w:tcPr>
            <w:tcW w:type="dxa" w:w="831"/>
          </w:tcPr>
          <w:p>
            <w:pPr>
              <w:pStyle w:val="null3"/>
              <w:jc w:val="center"/>
            </w:pPr>
            <w:r>
              <w:rPr/>
              <w:t>8</w:t>
            </w:r>
          </w:p>
        </w:tc>
        <w:tc>
          <w:tcPr>
            <w:tcW w:type="dxa" w:w="831"/>
          </w:tcPr>
          <w:p/>
        </w:tc>
        <w:tc>
          <w:tcPr>
            <w:tcW w:type="dxa" w:w="831"/>
          </w:tcPr>
          <w:p>
            <w:pPr>
              <w:pStyle w:val="null3"/>
              <w:jc w:val="left"/>
            </w:pPr>
            <w:r>
              <w:rPr/>
              <w:t>其他终端设备</w:t>
            </w:r>
          </w:p>
        </w:tc>
        <w:tc>
          <w:tcPr>
            <w:tcW w:type="dxa" w:w="831"/>
          </w:tcPr>
          <w:p>
            <w:pPr>
              <w:pStyle w:val="null3"/>
              <w:jc w:val="left"/>
            </w:pPr>
            <w:r>
              <w:rPr/>
              <w:t>预约签到终端</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14,980.00</w:t>
            </w:r>
          </w:p>
        </w:tc>
        <w:tc>
          <w:tcPr>
            <w:tcW w:type="dxa" w:w="831"/>
          </w:tcPr>
          <w:p>
            <w:pPr>
              <w:pStyle w:val="null3"/>
              <w:jc w:val="right"/>
            </w:pPr>
            <w:r>
              <w:rPr/>
              <w:t>14,980.00</w:t>
            </w:r>
          </w:p>
        </w:tc>
        <w:tc>
          <w:tcPr>
            <w:tcW w:type="dxa" w:w="831"/>
          </w:tcPr>
          <w:p>
            <w:pPr>
              <w:pStyle w:val="null3"/>
            </w:pPr>
            <w:r>
              <w:rPr/>
              <w:t>工业</w:t>
            </w:r>
          </w:p>
        </w:tc>
        <w:tc>
          <w:tcPr>
            <w:tcW w:type="dxa" w:w="831"/>
          </w:tcPr>
          <w:p>
            <w:pPr>
              <w:pStyle w:val="null3"/>
            </w:pPr>
            <w:r>
              <w:rPr/>
              <w:t>详见附表八</w:t>
            </w:r>
          </w:p>
        </w:tc>
      </w:tr>
      <w:tr>
        <w:tc>
          <w:tcPr>
            <w:tcW w:type="dxa" w:w="831"/>
          </w:tcPr>
          <w:p>
            <w:pPr>
              <w:pStyle w:val="null3"/>
              <w:jc w:val="center"/>
            </w:pPr>
            <w:r>
              <w:rPr/>
              <w:t>9</w:t>
            </w:r>
          </w:p>
        </w:tc>
        <w:tc>
          <w:tcPr>
            <w:tcW w:type="dxa" w:w="831"/>
          </w:tcPr>
          <w:p/>
        </w:tc>
        <w:tc>
          <w:tcPr>
            <w:tcW w:type="dxa" w:w="831"/>
          </w:tcPr>
          <w:p>
            <w:pPr>
              <w:pStyle w:val="null3"/>
              <w:jc w:val="left"/>
            </w:pPr>
            <w:r>
              <w:rPr/>
              <w:t>视频监控设备</w:t>
            </w:r>
          </w:p>
        </w:tc>
        <w:tc>
          <w:tcPr>
            <w:tcW w:type="dxa" w:w="831"/>
          </w:tcPr>
          <w:p>
            <w:pPr>
              <w:pStyle w:val="null3"/>
              <w:jc w:val="left"/>
            </w:pPr>
            <w:r>
              <w:rPr/>
              <w:t>监控显示屏</w:t>
            </w:r>
          </w:p>
        </w:tc>
        <w:tc>
          <w:tcPr>
            <w:tcW w:type="dxa" w:w="831"/>
          </w:tcPr>
          <w:p>
            <w:pPr>
              <w:pStyle w:val="null3"/>
              <w:jc w:val="left"/>
            </w:pPr>
            <w:r>
              <w:rPr/>
              <w:t>台</w:t>
            </w:r>
          </w:p>
        </w:tc>
        <w:tc>
          <w:tcPr>
            <w:tcW w:type="dxa" w:w="831"/>
          </w:tcPr>
          <w:p>
            <w:pPr>
              <w:pStyle w:val="null3"/>
              <w:jc w:val="right"/>
            </w:pPr>
            <w:r>
              <w:rPr/>
              <w:t>3.00</w:t>
            </w:r>
          </w:p>
        </w:tc>
        <w:tc>
          <w:tcPr>
            <w:tcW w:type="dxa" w:w="831"/>
          </w:tcPr>
          <w:p>
            <w:pPr>
              <w:pStyle w:val="null3"/>
              <w:jc w:val="right"/>
            </w:pPr>
            <w:r>
              <w:rPr/>
              <w:t>2,300.00</w:t>
            </w:r>
          </w:p>
        </w:tc>
        <w:tc>
          <w:tcPr>
            <w:tcW w:type="dxa" w:w="831"/>
          </w:tcPr>
          <w:p>
            <w:pPr>
              <w:pStyle w:val="null3"/>
              <w:jc w:val="right"/>
            </w:pPr>
            <w:r>
              <w:rPr/>
              <w:t>6,900.00</w:t>
            </w:r>
          </w:p>
        </w:tc>
        <w:tc>
          <w:tcPr>
            <w:tcW w:type="dxa" w:w="831"/>
          </w:tcPr>
          <w:p>
            <w:pPr>
              <w:pStyle w:val="null3"/>
            </w:pPr>
            <w:r>
              <w:rPr/>
              <w:t>工业</w:t>
            </w:r>
          </w:p>
        </w:tc>
        <w:tc>
          <w:tcPr>
            <w:tcW w:type="dxa" w:w="831"/>
          </w:tcPr>
          <w:p>
            <w:pPr>
              <w:pStyle w:val="null3"/>
            </w:pPr>
            <w:r>
              <w:rPr/>
              <w:t>详见附表九</w:t>
            </w:r>
          </w:p>
        </w:tc>
      </w:tr>
      <w:tr>
        <w:tc>
          <w:tcPr>
            <w:tcW w:type="dxa" w:w="831"/>
          </w:tcPr>
          <w:p>
            <w:pPr>
              <w:pStyle w:val="null3"/>
              <w:jc w:val="center"/>
            </w:pPr>
            <w:r>
              <w:rPr/>
              <w:t>10</w:t>
            </w:r>
          </w:p>
        </w:tc>
        <w:tc>
          <w:tcPr>
            <w:tcW w:type="dxa" w:w="831"/>
          </w:tcPr>
          <w:p/>
        </w:tc>
        <w:tc>
          <w:tcPr>
            <w:tcW w:type="dxa" w:w="831"/>
          </w:tcPr>
          <w:p>
            <w:pPr>
              <w:pStyle w:val="null3"/>
              <w:jc w:val="left"/>
            </w:pPr>
            <w:r>
              <w:rPr/>
              <w:t>视频监控设备</w:t>
            </w:r>
          </w:p>
        </w:tc>
        <w:tc>
          <w:tcPr>
            <w:tcW w:type="dxa" w:w="831"/>
          </w:tcPr>
          <w:p>
            <w:pPr>
              <w:pStyle w:val="null3"/>
              <w:jc w:val="left"/>
            </w:pPr>
            <w:r>
              <w:rPr/>
              <w:t>琴房监控</w:t>
            </w:r>
          </w:p>
        </w:tc>
        <w:tc>
          <w:tcPr>
            <w:tcW w:type="dxa" w:w="831"/>
          </w:tcPr>
          <w:p>
            <w:pPr>
              <w:pStyle w:val="null3"/>
              <w:jc w:val="left"/>
            </w:pPr>
            <w:r>
              <w:rPr/>
              <w:t>个</w:t>
            </w:r>
          </w:p>
        </w:tc>
        <w:tc>
          <w:tcPr>
            <w:tcW w:type="dxa" w:w="831"/>
          </w:tcPr>
          <w:p>
            <w:pPr>
              <w:pStyle w:val="null3"/>
              <w:jc w:val="right"/>
            </w:pPr>
            <w:r>
              <w:rPr/>
              <w:t>185.00</w:t>
            </w:r>
          </w:p>
        </w:tc>
        <w:tc>
          <w:tcPr>
            <w:tcW w:type="dxa" w:w="831"/>
          </w:tcPr>
          <w:p>
            <w:pPr>
              <w:pStyle w:val="null3"/>
              <w:jc w:val="right"/>
            </w:pPr>
            <w:r>
              <w:rPr/>
              <w:t>350.00</w:t>
            </w:r>
          </w:p>
        </w:tc>
        <w:tc>
          <w:tcPr>
            <w:tcW w:type="dxa" w:w="831"/>
          </w:tcPr>
          <w:p>
            <w:pPr>
              <w:pStyle w:val="null3"/>
              <w:jc w:val="right"/>
            </w:pPr>
            <w:r>
              <w:rPr/>
              <w:t>64,750.00</w:t>
            </w:r>
          </w:p>
        </w:tc>
        <w:tc>
          <w:tcPr>
            <w:tcW w:type="dxa" w:w="831"/>
          </w:tcPr>
          <w:p>
            <w:pPr>
              <w:pStyle w:val="null3"/>
            </w:pPr>
            <w:r>
              <w:rPr/>
              <w:t>工业</w:t>
            </w:r>
          </w:p>
        </w:tc>
        <w:tc>
          <w:tcPr>
            <w:tcW w:type="dxa" w:w="831"/>
          </w:tcPr>
          <w:p>
            <w:pPr>
              <w:pStyle w:val="null3"/>
            </w:pPr>
            <w:r>
              <w:rPr/>
              <w:t>详见附表一十</w:t>
            </w:r>
          </w:p>
        </w:tc>
      </w:tr>
      <w:tr>
        <w:tc>
          <w:tcPr>
            <w:tcW w:type="dxa" w:w="831"/>
          </w:tcPr>
          <w:p>
            <w:pPr>
              <w:pStyle w:val="null3"/>
              <w:jc w:val="center"/>
            </w:pPr>
            <w:r>
              <w:rPr/>
              <w:t>11</w:t>
            </w:r>
          </w:p>
        </w:tc>
        <w:tc>
          <w:tcPr>
            <w:tcW w:type="dxa" w:w="831"/>
          </w:tcPr>
          <w:p/>
        </w:tc>
        <w:tc>
          <w:tcPr>
            <w:tcW w:type="dxa" w:w="831"/>
          </w:tcPr>
          <w:p>
            <w:pPr>
              <w:pStyle w:val="null3"/>
              <w:jc w:val="left"/>
            </w:pPr>
            <w:r>
              <w:rPr/>
              <w:t>刻录机</w:t>
            </w:r>
          </w:p>
        </w:tc>
        <w:tc>
          <w:tcPr>
            <w:tcW w:type="dxa" w:w="831"/>
          </w:tcPr>
          <w:p>
            <w:pPr>
              <w:pStyle w:val="null3"/>
              <w:jc w:val="left"/>
            </w:pPr>
            <w:r>
              <w:rPr/>
              <w:t>硬盘刻录机</w:t>
            </w:r>
          </w:p>
        </w:tc>
        <w:tc>
          <w:tcPr>
            <w:tcW w:type="dxa" w:w="831"/>
          </w:tcPr>
          <w:p>
            <w:pPr>
              <w:pStyle w:val="null3"/>
              <w:jc w:val="left"/>
            </w:pPr>
            <w:r>
              <w:rPr/>
              <w:t>台</w:t>
            </w:r>
          </w:p>
        </w:tc>
        <w:tc>
          <w:tcPr>
            <w:tcW w:type="dxa" w:w="831"/>
          </w:tcPr>
          <w:p>
            <w:pPr>
              <w:pStyle w:val="null3"/>
              <w:jc w:val="right"/>
            </w:pPr>
            <w:r>
              <w:rPr/>
              <w:t>6.00</w:t>
            </w:r>
          </w:p>
        </w:tc>
        <w:tc>
          <w:tcPr>
            <w:tcW w:type="dxa" w:w="831"/>
          </w:tcPr>
          <w:p>
            <w:pPr>
              <w:pStyle w:val="null3"/>
              <w:jc w:val="right"/>
            </w:pPr>
            <w:r>
              <w:rPr/>
              <w:t>5,165.00</w:t>
            </w:r>
          </w:p>
        </w:tc>
        <w:tc>
          <w:tcPr>
            <w:tcW w:type="dxa" w:w="831"/>
          </w:tcPr>
          <w:p>
            <w:pPr>
              <w:pStyle w:val="null3"/>
              <w:jc w:val="right"/>
            </w:pPr>
            <w:r>
              <w:rPr/>
              <w:t>30,990.00</w:t>
            </w:r>
          </w:p>
        </w:tc>
        <w:tc>
          <w:tcPr>
            <w:tcW w:type="dxa" w:w="831"/>
          </w:tcPr>
          <w:p>
            <w:pPr>
              <w:pStyle w:val="null3"/>
            </w:pPr>
            <w:r>
              <w:rPr/>
              <w:t>工业</w:t>
            </w:r>
          </w:p>
        </w:tc>
        <w:tc>
          <w:tcPr>
            <w:tcW w:type="dxa" w:w="831"/>
          </w:tcPr>
          <w:p>
            <w:pPr>
              <w:pStyle w:val="null3"/>
            </w:pPr>
            <w:r>
              <w:rPr/>
              <w:t>详见附表一十一</w:t>
            </w:r>
          </w:p>
        </w:tc>
      </w:tr>
      <w:tr>
        <w:tc>
          <w:tcPr>
            <w:tcW w:type="dxa" w:w="831"/>
          </w:tcPr>
          <w:p>
            <w:pPr>
              <w:pStyle w:val="null3"/>
              <w:jc w:val="center"/>
            </w:pPr>
            <w:r>
              <w:rPr/>
              <w:t>12</w:t>
            </w:r>
          </w:p>
        </w:tc>
        <w:tc>
          <w:tcPr>
            <w:tcW w:type="dxa" w:w="831"/>
          </w:tcPr>
          <w:p/>
        </w:tc>
        <w:tc>
          <w:tcPr>
            <w:tcW w:type="dxa" w:w="831"/>
          </w:tcPr>
          <w:p>
            <w:pPr>
              <w:pStyle w:val="null3"/>
              <w:jc w:val="left"/>
            </w:pPr>
            <w:r>
              <w:rPr/>
              <w:t>视频监控设备</w:t>
            </w:r>
          </w:p>
        </w:tc>
        <w:tc>
          <w:tcPr>
            <w:tcW w:type="dxa" w:w="831"/>
          </w:tcPr>
          <w:p>
            <w:pPr>
              <w:pStyle w:val="null3"/>
              <w:jc w:val="left"/>
            </w:pPr>
            <w:r>
              <w:rPr/>
              <w:t>监控网络交互设备</w:t>
            </w:r>
          </w:p>
        </w:tc>
        <w:tc>
          <w:tcPr>
            <w:tcW w:type="dxa" w:w="831"/>
          </w:tcPr>
          <w:p>
            <w:pPr>
              <w:pStyle w:val="null3"/>
              <w:jc w:val="left"/>
            </w:pPr>
            <w:r>
              <w:rPr/>
              <w:t>台</w:t>
            </w:r>
          </w:p>
        </w:tc>
        <w:tc>
          <w:tcPr>
            <w:tcW w:type="dxa" w:w="831"/>
          </w:tcPr>
          <w:p>
            <w:pPr>
              <w:pStyle w:val="null3"/>
              <w:jc w:val="right"/>
            </w:pPr>
            <w:r>
              <w:rPr/>
              <w:t>10.00</w:t>
            </w:r>
          </w:p>
        </w:tc>
        <w:tc>
          <w:tcPr>
            <w:tcW w:type="dxa" w:w="831"/>
          </w:tcPr>
          <w:p>
            <w:pPr>
              <w:pStyle w:val="null3"/>
              <w:jc w:val="right"/>
            </w:pPr>
            <w:r>
              <w:rPr/>
              <w:t>2,350.00</w:t>
            </w:r>
          </w:p>
        </w:tc>
        <w:tc>
          <w:tcPr>
            <w:tcW w:type="dxa" w:w="831"/>
          </w:tcPr>
          <w:p>
            <w:pPr>
              <w:pStyle w:val="null3"/>
              <w:jc w:val="right"/>
            </w:pPr>
            <w:r>
              <w:rPr/>
              <w:t>23,500.00</w:t>
            </w:r>
          </w:p>
        </w:tc>
        <w:tc>
          <w:tcPr>
            <w:tcW w:type="dxa" w:w="831"/>
          </w:tcPr>
          <w:p>
            <w:pPr>
              <w:pStyle w:val="null3"/>
            </w:pPr>
            <w:r>
              <w:rPr/>
              <w:t>工业</w:t>
            </w:r>
          </w:p>
        </w:tc>
        <w:tc>
          <w:tcPr>
            <w:tcW w:type="dxa" w:w="831"/>
          </w:tcPr>
          <w:p>
            <w:pPr>
              <w:pStyle w:val="null3"/>
            </w:pPr>
            <w:r>
              <w:rPr/>
              <w:t>详见附表一十二</w:t>
            </w:r>
          </w:p>
        </w:tc>
      </w:tr>
      <w:tr>
        <w:tc>
          <w:tcPr>
            <w:tcW w:type="dxa" w:w="831"/>
          </w:tcPr>
          <w:p>
            <w:pPr>
              <w:pStyle w:val="null3"/>
              <w:jc w:val="center"/>
            </w:pPr>
            <w:r>
              <w:rPr/>
              <w:t>13</w:t>
            </w:r>
          </w:p>
        </w:tc>
        <w:tc>
          <w:tcPr>
            <w:tcW w:type="dxa" w:w="831"/>
          </w:tcPr>
          <w:p/>
        </w:tc>
        <w:tc>
          <w:tcPr>
            <w:tcW w:type="dxa" w:w="831"/>
          </w:tcPr>
          <w:p>
            <w:pPr>
              <w:pStyle w:val="null3"/>
              <w:jc w:val="left"/>
            </w:pPr>
            <w:r>
              <w:rPr/>
              <w:t>其他网络设备</w:t>
            </w:r>
          </w:p>
        </w:tc>
        <w:tc>
          <w:tcPr>
            <w:tcW w:type="dxa" w:w="831"/>
          </w:tcPr>
          <w:p>
            <w:pPr>
              <w:pStyle w:val="null3"/>
              <w:jc w:val="left"/>
            </w:pPr>
            <w:r>
              <w:rPr/>
              <w:t>监控网线</w:t>
            </w:r>
          </w:p>
        </w:tc>
        <w:tc>
          <w:tcPr>
            <w:tcW w:type="dxa" w:w="831"/>
          </w:tcPr>
          <w:p>
            <w:pPr>
              <w:pStyle w:val="null3"/>
              <w:jc w:val="left"/>
            </w:pPr>
            <w:r>
              <w:rPr/>
              <w:t>箱</w:t>
            </w:r>
          </w:p>
        </w:tc>
        <w:tc>
          <w:tcPr>
            <w:tcW w:type="dxa" w:w="831"/>
          </w:tcPr>
          <w:p>
            <w:pPr>
              <w:pStyle w:val="null3"/>
              <w:jc w:val="right"/>
            </w:pPr>
            <w:r>
              <w:rPr/>
              <w:t>30.00</w:t>
            </w:r>
          </w:p>
        </w:tc>
        <w:tc>
          <w:tcPr>
            <w:tcW w:type="dxa" w:w="831"/>
          </w:tcPr>
          <w:p>
            <w:pPr>
              <w:pStyle w:val="null3"/>
              <w:jc w:val="right"/>
            </w:pPr>
            <w:r>
              <w:rPr/>
              <w:t>554.00</w:t>
            </w:r>
          </w:p>
        </w:tc>
        <w:tc>
          <w:tcPr>
            <w:tcW w:type="dxa" w:w="831"/>
          </w:tcPr>
          <w:p>
            <w:pPr>
              <w:pStyle w:val="null3"/>
              <w:jc w:val="right"/>
            </w:pPr>
            <w:r>
              <w:rPr/>
              <w:t>16,620.00</w:t>
            </w:r>
          </w:p>
        </w:tc>
        <w:tc>
          <w:tcPr>
            <w:tcW w:type="dxa" w:w="831"/>
          </w:tcPr>
          <w:p>
            <w:pPr>
              <w:pStyle w:val="null3"/>
            </w:pPr>
            <w:r>
              <w:rPr/>
              <w:t>工业</w:t>
            </w:r>
          </w:p>
        </w:tc>
        <w:tc>
          <w:tcPr>
            <w:tcW w:type="dxa" w:w="831"/>
          </w:tcPr>
          <w:p>
            <w:pPr>
              <w:pStyle w:val="null3"/>
            </w:pPr>
            <w:r>
              <w:rPr/>
              <w:t>详见附表一十三</w:t>
            </w:r>
          </w:p>
        </w:tc>
      </w:tr>
      <w:tr>
        <w:tc>
          <w:tcPr>
            <w:tcW w:type="dxa" w:w="831"/>
          </w:tcPr>
          <w:p>
            <w:pPr>
              <w:pStyle w:val="null3"/>
              <w:jc w:val="center"/>
            </w:pPr>
            <w:r>
              <w:rPr/>
              <w:t>14</w:t>
            </w:r>
          </w:p>
        </w:tc>
        <w:tc>
          <w:tcPr>
            <w:tcW w:type="dxa" w:w="831"/>
          </w:tcPr>
          <w:p/>
        </w:tc>
        <w:tc>
          <w:tcPr>
            <w:tcW w:type="dxa" w:w="831"/>
          </w:tcPr>
          <w:p>
            <w:pPr>
              <w:pStyle w:val="null3"/>
              <w:jc w:val="left"/>
            </w:pPr>
            <w:r>
              <w:rPr/>
              <w:t>其他存储设备</w:t>
            </w:r>
          </w:p>
        </w:tc>
        <w:tc>
          <w:tcPr>
            <w:tcW w:type="dxa" w:w="831"/>
          </w:tcPr>
          <w:p>
            <w:pPr>
              <w:pStyle w:val="null3"/>
              <w:jc w:val="left"/>
            </w:pPr>
            <w:r>
              <w:rPr/>
              <w:t>监控硬盘</w:t>
            </w:r>
          </w:p>
        </w:tc>
        <w:tc>
          <w:tcPr>
            <w:tcW w:type="dxa" w:w="831"/>
          </w:tcPr>
          <w:p>
            <w:pPr>
              <w:pStyle w:val="null3"/>
              <w:jc w:val="left"/>
            </w:pPr>
            <w:r>
              <w:rPr/>
              <w:t>块</w:t>
            </w:r>
          </w:p>
        </w:tc>
        <w:tc>
          <w:tcPr>
            <w:tcW w:type="dxa" w:w="831"/>
          </w:tcPr>
          <w:p>
            <w:pPr>
              <w:pStyle w:val="null3"/>
              <w:jc w:val="right"/>
            </w:pPr>
            <w:r>
              <w:rPr/>
              <w:t>18.00</w:t>
            </w:r>
          </w:p>
        </w:tc>
        <w:tc>
          <w:tcPr>
            <w:tcW w:type="dxa" w:w="831"/>
          </w:tcPr>
          <w:p>
            <w:pPr>
              <w:pStyle w:val="null3"/>
              <w:jc w:val="right"/>
            </w:pPr>
            <w:r>
              <w:rPr/>
              <w:t>920.00</w:t>
            </w:r>
          </w:p>
        </w:tc>
        <w:tc>
          <w:tcPr>
            <w:tcW w:type="dxa" w:w="831"/>
          </w:tcPr>
          <w:p>
            <w:pPr>
              <w:pStyle w:val="null3"/>
              <w:jc w:val="right"/>
            </w:pPr>
            <w:r>
              <w:rPr/>
              <w:t>16,560.00</w:t>
            </w:r>
          </w:p>
        </w:tc>
        <w:tc>
          <w:tcPr>
            <w:tcW w:type="dxa" w:w="831"/>
          </w:tcPr>
          <w:p>
            <w:pPr>
              <w:pStyle w:val="null3"/>
            </w:pPr>
            <w:r>
              <w:rPr/>
              <w:t>工业</w:t>
            </w:r>
          </w:p>
        </w:tc>
        <w:tc>
          <w:tcPr>
            <w:tcW w:type="dxa" w:w="831"/>
          </w:tcPr>
          <w:p>
            <w:pPr>
              <w:pStyle w:val="null3"/>
            </w:pPr>
            <w:r>
              <w:rPr/>
              <w:t>详见附表一十四</w:t>
            </w:r>
          </w:p>
        </w:tc>
      </w:tr>
      <w:tr>
        <w:tc>
          <w:tcPr>
            <w:tcW w:type="dxa" w:w="831"/>
          </w:tcPr>
          <w:p>
            <w:pPr>
              <w:pStyle w:val="null3"/>
              <w:jc w:val="center"/>
            </w:pPr>
            <w:r>
              <w:rPr/>
              <w:t>15</w:t>
            </w:r>
          </w:p>
        </w:tc>
        <w:tc>
          <w:tcPr>
            <w:tcW w:type="dxa" w:w="831"/>
          </w:tcPr>
          <w:p/>
        </w:tc>
        <w:tc>
          <w:tcPr>
            <w:tcW w:type="dxa" w:w="831"/>
          </w:tcPr>
          <w:p>
            <w:pPr>
              <w:pStyle w:val="null3"/>
              <w:jc w:val="left"/>
            </w:pPr>
            <w:r>
              <w:rPr/>
              <w:t>其他网络设备</w:t>
            </w:r>
          </w:p>
        </w:tc>
        <w:tc>
          <w:tcPr>
            <w:tcW w:type="dxa" w:w="831"/>
          </w:tcPr>
          <w:p>
            <w:pPr>
              <w:pStyle w:val="null3"/>
              <w:jc w:val="left"/>
            </w:pPr>
            <w:r>
              <w:rPr/>
              <w:t>光纤模块</w:t>
            </w:r>
          </w:p>
        </w:tc>
        <w:tc>
          <w:tcPr>
            <w:tcW w:type="dxa" w:w="831"/>
          </w:tcPr>
          <w:p>
            <w:pPr>
              <w:pStyle w:val="null3"/>
              <w:jc w:val="left"/>
            </w:pPr>
            <w:r>
              <w:rPr/>
              <w:t>个</w:t>
            </w:r>
          </w:p>
        </w:tc>
        <w:tc>
          <w:tcPr>
            <w:tcW w:type="dxa" w:w="831"/>
          </w:tcPr>
          <w:p>
            <w:pPr>
              <w:pStyle w:val="null3"/>
              <w:jc w:val="right"/>
            </w:pPr>
            <w:r>
              <w:rPr/>
              <w:t>20.00</w:t>
            </w:r>
          </w:p>
        </w:tc>
        <w:tc>
          <w:tcPr>
            <w:tcW w:type="dxa" w:w="831"/>
          </w:tcPr>
          <w:p>
            <w:pPr>
              <w:pStyle w:val="null3"/>
              <w:jc w:val="right"/>
            </w:pPr>
            <w:r>
              <w:rPr/>
              <w:t>300.00</w:t>
            </w:r>
          </w:p>
        </w:tc>
        <w:tc>
          <w:tcPr>
            <w:tcW w:type="dxa" w:w="831"/>
          </w:tcPr>
          <w:p>
            <w:pPr>
              <w:pStyle w:val="null3"/>
              <w:jc w:val="right"/>
            </w:pPr>
            <w:r>
              <w:rPr/>
              <w:t>6,000.00</w:t>
            </w:r>
          </w:p>
        </w:tc>
        <w:tc>
          <w:tcPr>
            <w:tcW w:type="dxa" w:w="831"/>
          </w:tcPr>
          <w:p>
            <w:pPr>
              <w:pStyle w:val="null3"/>
            </w:pPr>
            <w:r>
              <w:rPr/>
              <w:t>工业</w:t>
            </w:r>
          </w:p>
        </w:tc>
        <w:tc>
          <w:tcPr>
            <w:tcW w:type="dxa" w:w="831"/>
          </w:tcPr>
          <w:p>
            <w:pPr>
              <w:pStyle w:val="null3"/>
            </w:pPr>
            <w:r>
              <w:rPr/>
              <w:t>详见附表一十五</w:t>
            </w:r>
          </w:p>
        </w:tc>
      </w:tr>
      <w:tr>
        <w:tc>
          <w:tcPr>
            <w:tcW w:type="dxa" w:w="831"/>
          </w:tcPr>
          <w:p>
            <w:pPr>
              <w:pStyle w:val="null3"/>
              <w:jc w:val="center"/>
            </w:pPr>
            <w:r>
              <w:rPr/>
              <w:t>16</w:t>
            </w:r>
          </w:p>
        </w:tc>
        <w:tc>
          <w:tcPr>
            <w:tcW w:type="dxa" w:w="831"/>
          </w:tcPr>
          <w:p/>
        </w:tc>
        <w:tc>
          <w:tcPr>
            <w:tcW w:type="dxa" w:w="831"/>
          </w:tcPr>
          <w:p>
            <w:pPr>
              <w:pStyle w:val="null3"/>
              <w:jc w:val="left"/>
            </w:pPr>
            <w:r>
              <w:rPr/>
              <w:t>机柜</w:t>
            </w:r>
          </w:p>
        </w:tc>
        <w:tc>
          <w:tcPr>
            <w:tcW w:type="dxa" w:w="831"/>
          </w:tcPr>
          <w:p>
            <w:pPr>
              <w:pStyle w:val="null3"/>
              <w:jc w:val="left"/>
            </w:pPr>
            <w:r>
              <w:rPr/>
              <w:t>楼层机柜</w:t>
            </w:r>
          </w:p>
        </w:tc>
        <w:tc>
          <w:tcPr>
            <w:tcW w:type="dxa" w:w="831"/>
          </w:tcPr>
          <w:p>
            <w:pPr>
              <w:pStyle w:val="null3"/>
              <w:jc w:val="left"/>
            </w:pPr>
            <w:r>
              <w:rPr/>
              <w:t>个</w:t>
            </w:r>
          </w:p>
        </w:tc>
        <w:tc>
          <w:tcPr>
            <w:tcW w:type="dxa" w:w="831"/>
          </w:tcPr>
          <w:p>
            <w:pPr>
              <w:pStyle w:val="null3"/>
              <w:jc w:val="right"/>
            </w:pPr>
            <w:r>
              <w:rPr/>
              <w:t>7.00</w:t>
            </w:r>
          </w:p>
        </w:tc>
        <w:tc>
          <w:tcPr>
            <w:tcW w:type="dxa" w:w="831"/>
          </w:tcPr>
          <w:p>
            <w:pPr>
              <w:pStyle w:val="null3"/>
              <w:jc w:val="right"/>
            </w:pPr>
            <w:r>
              <w:rPr/>
              <w:t>1,050.00</w:t>
            </w:r>
          </w:p>
        </w:tc>
        <w:tc>
          <w:tcPr>
            <w:tcW w:type="dxa" w:w="831"/>
          </w:tcPr>
          <w:p>
            <w:pPr>
              <w:pStyle w:val="null3"/>
              <w:jc w:val="right"/>
            </w:pPr>
            <w:r>
              <w:rPr/>
              <w:t>7,350.00</w:t>
            </w:r>
          </w:p>
        </w:tc>
        <w:tc>
          <w:tcPr>
            <w:tcW w:type="dxa" w:w="831"/>
          </w:tcPr>
          <w:p>
            <w:pPr>
              <w:pStyle w:val="null3"/>
            </w:pPr>
            <w:r>
              <w:rPr/>
              <w:t>工业</w:t>
            </w:r>
          </w:p>
        </w:tc>
        <w:tc>
          <w:tcPr>
            <w:tcW w:type="dxa" w:w="831"/>
          </w:tcPr>
          <w:p>
            <w:pPr>
              <w:pStyle w:val="null3"/>
            </w:pPr>
            <w:r>
              <w:rPr/>
              <w:t>详见附表一十六</w:t>
            </w:r>
          </w:p>
        </w:tc>
      </w:tr>
      <w:tr>
        <w:tc>
          <w:tcPr>
            <w:tcW w:type="dxa" w:w="831"/>
          </w:tcPr>
          <w:p>
            <w:pPr>
              <w:pStyle w:val="null3"/>
              <w:jc w:val="center"/>
            </w:pPr>
            <w:r>
              <w:rPr/>
              <w:t>17</w:t>
            </w:r>
          </w:p>
        </w:tc>
        <w:tc>
          <w:tcPr>
            <w:tcW w:type="dxa" w:w="831"/>
          </w:tcPr>
          <w:p/>
        </w:tc>
        <w:tc>
          <w:tcPr>
            <w:tcW w:type="dxa" w:w="831"/>
          </w:tcPr>
          <w:p>
            <w:pPr>
              <w:pStyle w:val="null3"/>
              <w:jc w:val="left"/>
            </w:pPr>
            <w:r>
              <w:rPr/>
              <w:t>机柜</w:t>
            </w:r>
          </w:p>
        </w:tc>
        <w:tc>
          <w:tcPr>
            <w:tcW w:type="dxa" w:w="831"/>
          </w:tcPr>
          <w:p>
            <w:pPr>
              <w:pStyle w:val="null3"/>
              <w:jc w:val="left"/>
            </w:pPr>
            <w:r>
              <w:rPr/>
              <w:t>机房机柜</w:t>
            </w:r>
          </w:p>
        </w:tc>
        <w:tc>
          <w:tcPr>
            <w:tcW w:type="dxa" w:w="831"/>
          </w:tcPr>
          <w:p>
            <w:pPr>
              <w:pStyle w:val="null3"/>
              <w:jc w:val="left"/>
            </w:pPr>
            <w:r>
              <w:rPr/>
              <w:t>个</w:t>
            </w:r>
          </w:p>
        </w:tc>
        <w:tc>
          <w:tcPr>
            <w:tcW w:type="dxa" w:w="831"/>
          </w:tcPr>
          <w:p>
            <w:pPr>
              <w:pStyle w:val="null3"/>
              <w:jc w:val="right"/>
            </w:pPr>
            <w:r>
              <w:rPr/>
              <w:t>1.00</w:t>
            </w:r>
          </w:p>
        </w:tc>
        <w:tc>
          <w:tcPr>
            <w:tcW w:type="dxa" w:w="831"/>
          </w:tcPr>
          <w:p>
            <w:pPr>
              <w:pStyle w:val="null3"/>
              <w:jc w:val="right"/>
            </w:pPr>
            <w:r>
              <w:rPr/>
              <w:t>3,250.00</w:t>
            </w:r>
          </w:p>
        </w:tc>
        <w:tc>
          <w:tcPr>
            <w:tcW w:type="dxa" w:w="831"/>
          </w:tcPr>
          <w:p>
            <w:pPr>
              <w:pStyle w:val="null3"/>
              <w:jc w:val="right"/>
            </w:pPr>
            <w:r>
              <w:rPr/>
              <w:t>3,250.00</w:t>
            </w:r>
          </w:p>
        </w:tc>
        <w:tc>
          <w:tcPr>
            <w:tcW w:type="dxa" w:w="831"/>
          </w:tcPr>
          <w:p>
            <w:pPr>
              <w:pStyle w:val="null3"/>
            </w:pPr>
            <w:r>
              <w:rPr/>
              <w:t>工业</w:t>
            </w:r>
          </w:p>
        </w:tc>
        <w:tc>
          <w:tcPr>
            <w:tcW w:type="dxa" w:w="831"/>
          </w:tcPr>
          <w:p>
            <w:pPr>
              <w:pStyle w:val="null3"/>
            </w:pPr>
            <w:r>
              <w:rPr/>
              <w:t>详见附表一十七</w:t>
            </w:r>
          </w:p>
        </w:tc>
      </w:tr>
      <w:tr>
        <w:tc>
          <w:tcPr>
            <w:tcW w:type="dxa" w:w="831"/>
          </w:tcPr>
          <w:p>
            <w:pPr>
              <w:pStyle w:val="null3"/>
              <w:jc w:val="center"/>
            </w:pPr>
            <w:r>
              <w:rPr/>
              <w:t>18</w:t>
            </w:r>
          </w:p>
        </w:tc>
        <w:tc>
          <w:tcPr>
            <w:tcW w:type="dxa" w:w="831"/>
          </w:tcPr>
          <w:p/>
        </w:tc>
        <w:tc>
          <w:tcPr>
            <w:tcW w:type="dxa" w:w="831"/>
          </w:tcPr>
          <w:p>
            <w:pPr>
              <w:pStyle w:val="null3"/>
              <w:jc w:val="left"/>
            </w:pPr>
            <w:r>
              <w:rPr/>
              <w:t>其他机房辅助设备</w:t>
            </w:r>
          </w:p>
        </w:tc>
        <w:tc>
          <w:tcPr>
            <w:tcW w:type="dxa" w:w="831"/>
          </w:tcPr>
          <w:p>
            <w:pPr>
              <w:pStyle w:val="null3"/>
              <w:jc w:val="left"/>
            </w:pPr>
            <w:r>
              <w:rPr/>
              <w:t>辅助材料</w:t>
            </w:r>
          </w:p>
        </w:tc>
        <w:tc>
          <w:tcPr>
            <w:tcW w:type="dxa" w:w="831"/>
          </w:tcPr>
          <w:p>
            <w:pPr>
              <w:pStyle w:val="null3"/>
              <w:jc w:val="left"/>
            </w:pPr>
            <w:r>
              <w:rPr/>
              <w:t>批</w:t>
            </w:r>
          </w:p>
        </w:tc>
        <w:tc>
          <w:tcPr>
            <w:tcW w:type="dxa" w:w="831"/>
          </w:tcPr>
          <w:p>
            <w:pPr>
              <w:pStyle w:val="null3"/>
              <w:jc w:val="right"/>
            </w:pPr>
            <w:r>
              <w:rPr/>
              <w:t>1.00</w:t>
            </w:r>
          </w:p>
        </w:tc>
        <w:tc>
          <w:tcPr>
            <w:tcW w:type="dxa" w:w="831"/>
          </w:tcPr>
          <w:p>
            <w:pPr>
              <w:pStyle w:val="null3"/>
              <w:jc w:val="right"/>
            </w:pPr>
            <w:r>
              <w:rPr/>
              <w:t>72,520.00</w:t>
            </w:r>
          </w:p>
        </w:tc>
        <w:tc>
          <w:tcPr>
            <w:tcW w:type="dxa" w:w="831"/>
          </w:tcPr>
          <w:p>
            <w:pPr>
              <w:pStyle w:val="null3"/>
              <w:jc w:val="right"/>
            </w:pPr>
            <w:r>
              <w:rPr/>
              <w:t>72,520.00</w:t>
            </w:r>
          </w:p>
        </w:tc>
        <w:tc>
          <w:tcPr>
            <w:tcW w:type="dxa" w:w="831"/>
          </w:tcPr>
          <w:p>
            <w:pPr>
              <w:pStyle w:val="null3"/>
            </w:pPr>
            <w:r>
              <w:rPr/>
              <w:t>工业</w:t>
            </w:r>
          </w:p>
        </w:tc>
        <w:tc>
          <w:tcPr>
            <w:tcW w:type="dxa" w:w="831"/>
          </w:tcPr>
          <w:p>
            <w:pPr>
              <w:pStyle w:val="null3"/>
            </w:pPr>
            <w:r>
              <w:rPr/>
              <w:t>详见附表一十八</w:t>
            </w:r>
          </w:p>
        </w:tc>
      </w:tr>
      <w:tr>
        <w:tc>
          <w:tcPr>
            <w:tcW w:type="dxa" w:w="831"/>
          </w:tcPr>
          <w:p>
            <w:pPr>
              <w:pStyle w:val="null3"/>
              <w:jc w:val="center"/>
            </w:pPr>
            <w:r>
              <w:rPr/>
              <w:t>19</w:t>
            </w:r>
          </w:p>
        </w:tc>
        <w:tc>
          <w:tcPr>
            <w:tcW w:type="dxa" w:w="831"/>
          </w:tcPr>
          <w:p>
            <w:pPr>
              <w:pStyle w:val="null3"/>
              <w:jc w:val="center"/>
            </w:pPr>
            <w:r>
              <w:rPr/>
              <w:t>△</w:t>
            </w:r>
          </w:p>
        </w:tc>
        <w:tc>
          <w:tcPr>
            <w:tcW w:type="dxa" w:w="831"/>
          </w:tcPr>
          <w:p>
            <w:pPr>
              <w:pStyle w:val="null3"/>
              <w:jc w:val="left"/>
            </w:pPr>
            <w:r>
              <w:rPr/>
              <w:t>应用软件</w:t>
            </w:r>
          </w:p>
        </w:tc>
        <w:tc>
          <w:tcPr>
            <w:tcW w:type="dxa" w:w="831"/>
          </w:tcPr>
          <w:p>
            <w:pPr>
              <w:pStyle w:val="null3"/>
              <w:jc w:val="left"/>
            </w:pPr>
            <w:r>
              <w:rPr/>
              <w:t>智慧琴房综合管理平台</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275,280.00</w:t>
            </w:r>
          </w:p>
        </w:tc>
        <w:tc>
          <w:tcPr>
            <w:tcW w:type="dxa" w:w="831"/>
          </w:tcPr>
          <w:p>
            <w:pPr>
              <w:pStyle w:val="null3"/>
              <w:jc w:val="right"/>
            </w:pPr>
            <w:r>
              <w:rPr/>
              <w:t>275,280.00</w:t>
            </w:r>
          </w:p>
        </w:tc>
        <w:tc>
          <w:tcPr>
            <w:tcW w:type="dxa" w:w="831"/>
          </w:tcPr>
          <w:p>
            <w:pPr>
              <w:pStyle w:val="null3"/>
            </w:pPr>
            <w:r>
              <w:rPr/>
              <w:t>软件和信息技术服务业</w:t>
            </w:r>
          </w:p>
        </w:tc>
        <w:tc>
          <w:tcPr>
            <w:tcW w:type="dxa" w:w="831"/>
          </w:tcPr>
          <w:p>
            <w:pPr>
              <w:pStyle w:val="null3"/>
            </w:pPr>
            <w:r>
              <w:rPr/>
              <w:t>详见附表一十九</w:t>
            </w:r>
          </w:p>
        </w:tc>
      </w:tr>
      <w:tr>
        <w:tc>
          <w:tcPr>
            <w:tcW w:type="dxa" w:w="831"/>
          </w:tcPr>
          <w:p>
            <w:pPr>
              <w:pStyle w:val="null3"/>
              <w:jc w:val="center"/>
            </w:pPr>
            <w:r>
              <w:rPr/>
              <w:t>20</w:t>
            </w:r>
          </w:p>
        </w:tc>
        <w:tc>
          <w:tcPr>
            <w:tcW w:type="dxa" w:w="831"/>
          </w:tcPr>
          <w:p>
            <w:pPr>
              <w:pStyle w:val="null3"/>
              <w:jc w:val="center"/>
            </w:pPr>
            <w:r>
              <w:rPr/>
              <w:t>△</w:t>
            </w:r>
          </w:p>
        </w:tc>
        <w:tc>
          <w:tcPr>
            <w:tcW w:type="dxa" w:w="831"/>
          </w:tcPr>
          <w:p>
            <w:pPr>
              <w:pStyle w:val="null3"/>
              <w:jc w:val="left"/>
            </w:pPr>
            <w:r>
              <w:rPr/>
              <w:t>应用软件</w:t>
            </w:r>
          </w:p>
        </w:tc>
        <w:tc>
          <w:tcPr>
            <w:tcW w:type="dxa" w:w="831"/>
          </w:tcPr>
          <w:p>
            <w:pPr>
              <w:pStyle w:val="null3"/>
              <w:jc w:val="left"/>
            </w:pPr>
            <w:r>
              <w:rPr/>
              <w:t>智能终端交互设备系统</w:t>
            </w:r>
          </w:p>
        </w:tc>
        <w:tc>
          <w:tcPr>
            <w:tcW w:type="dxa" w:w="831"/>
          </w:tcPr>
          <w:p>
            <w:pPr>
              <w:pStyle w:val="null3"/>
              <w:jc w:val="left"/>
            </w:pPr>
            <w:r>
              <w:rPr/>
              <w:t>套</w:t>
            </w:r>
          </w:p>
        </w:tc>
        <w:tc>
          <w:tcPr>
            <w:tcW w:type="dxa" w:w="831"/>
          </w:tcPr>
          <w:p>
            <w:pPr>
              <w:pStyle w:val="null3"/>
              <w:jc w:val="right"/>
            </w:pPr>
            <w:r>
              <w:rPr/>
              <w:t>185.00</w:t>
            </w:r>
          </w:p>
        </w:tc>
        <w:tc>
          <w:tcPr>
            <w:tcW w:type="dxa" w:w="831"/>
          </w:tcPr>
          <w:p>
            <w:pPr>
              <w:pStyle w:val="null3"/>
              <w:jc w:val="right"/>
            </w:pPr>
            <w:r>
              <w:rPr/>
              <w:t>780.00</w:t>
            </w:r>
          </w:p>
        </w:tc>
        <w:tc>
          <w:tcPr>
            <w:tcW w:type="dxa" w:w="831"/>
          </w:tcPr>
          <w:p>
            <w:pPr>
              <w:pStyle w:val="null3"/>
              <w:jc w:val="right"/>
            </w:pPr>
            <w:r>
              <w:rPr/>
              <w:t>144,300.00</w:t>
            </w:r>
          </w:p>
        </w:tc>
        <w:tc>
          <w:tcPr>
            <w:tcW w:type="dxa" w:w="831"/>
          </w:tcPr>
          <w:p>
            <w:pPr>
              <w:pStyle w:val="null3"/>
            </w:pPr>
            <w:r>
              <w:rPr/>
              <w:t>软件和信息技术服务业</w:t>
            </w:r>
          </w:p>
        </w:tc>
        <w:tc>
          <w:tcPr>
            <w:tcW w:type="dxa" w:w="831"/>
          </w:tcPr>
          <w:p>
            <w:pPr>
              <w:pStyle w:val="null3"/>
            </w:pPr>
            <w:r>
              <w:rPr/>
              <w:t>详见附表二十</w:t>
            </w:r>
          </w:p>
        </w:tc>
      </w:tr>
    </w:tbl>
    <w:p>
      <w:pPr>
        <w:pStyle w:val="null3"/>
      </w:pPr>
      <w:r>
        <w:rPr>
          <w:b/>
        </w:rPr>
        <w:t>附表</w:t>
      </w:r>
      <w:r>
        <w:rPr>
          <w:b/>
        </w:rPr>
        <w:t>一</w:t>
      </w:r>
      <w:r>
        <w:rPr>
          <w:b/>
        </w:rPr>
        <w:t>：</w:t>
      </w:r>
      <w:r>
        <w:rPr>
          <w:b/>
        </w:rPr>
        <w:t>智能终端交互设备</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1"/>
              </w:rPr>
              <w:t>（</w:t>
            </w:r>
            <w:r>
              <w:rPr>
                <w:sz w:val="21"/>
              </w:rPr>
              <w:t>1）支持智慧琴房硬件与软件交互，具备智慧琴房深度交互算法</w:t>
            </w:r>
          </w:p>
          <w:p>
            <w:pPr>
              <w:pStyle w:val="null3"/>
              <w:jc w:val="left"/>
            </w:pPr>
            <w:r>
              <w:rPr>
                <w:sz w:val="21"/>
              </w:rPr>
              <w:t>（</w:t>
            </w:r>
            <w:r>
              <w:rPr>
                <w:sz w:val="21"/>
              </w:rPr>
              <w:t>2）支持在线和离线处理智慧琴房主控使用逻辑，保障学校日常智慧琴房正常使用</w:t>
            </w:r>
          </w:p>
          <w:p>
            <w:pPr>
              <w:pStyle w:val="null3"/>
              <w:jc w:val="left"/>
            </w:pPr>
            <w:r>
              <w:rPr>
                <w:sz w:val="21"/>
              </w:rPr>
              <w:t>▲</w:t>
            </w:r>
            <w:r>
              <w:rPr>
                <w:sz w:val="21"/>
              </w:rPr>
              <w:t>（</w:t>
            </w:r>
            <w:r>
              <w:rPr>
                <w:sz w:val="21"/>
              </w:rPr>
              <w:t>3）预留扩展功能：要求具备智慧琴房AI深度视觉算法，支持本地离线识别，本地存储违规事件，本地智能语音提醒，可搭配硬件、传感器收集数据、分析数据、处理数据，支持行为分、智能分析创新算法等功能。包括提供行为分管理制度，约束用户的行为，支持对学生进行行为分的管理，用于约束学生的用琴行为，对行为分进行分值等级的划分，如优秀、良好、较差等行为等级，如出现不良使用琴房的情况（包括：预约不到、预约迟到、占用闲置琴房资源、超人员使用、在钢琴上放水杯、饮料、移动琴房内指定物品等违规行为，同时支持管理员自定义设定规则），系统会自动扣除其相应行为分，行为分低于及格线时，系统支持按管理员预设规则执行，包括在线视频学习、考试及签订保证书等，完成后系统支持按设定规则自动恢复账号，如未完成学习</w:t>
            </w:r>
            <w:r>
              <w:rPr>
                <w:sz w:val="21"/>
              </w:rPr>
              <w:t>用户将会被列入系统黑名单，账号将会被停用，需要通过学习琴房使用规则并提交保证书后才能恢复正常使用。（投标时需提供承诺函</w:t>
            </w:r>
            <w:r>
              <w:rPr>
                <w:sz w:val="21"/>
              </w:rPr>
              <w:t>)</w:t>
            </w:r>
          </w:p>
          <w:p>
            <w:pPr>
              <w:pStyle w:val="null3"/>
              <w:jc w:val="left"/>
            </w:pPr>
            <w:r>
              <w:rPr>
                <w:sz w:val="21"/>
              </w:rPr>
              <w:t>（</w:t>
            </w:r>
            <w:r>
              <w:rPr>
                <w:sz w:val="21"/>
              </w:rPr>
              <w:t>4）</w:t>
            </w:r>
            <w:r>
              <w:rPr>
                <w:sz w:val="21"/>
              </w:rPr>
              <w:t>提供扩展硬件设备现场进行联网、断网的功能识别演示</w:t>
            </w:r>
            <w:r>
              <w:rPr>
                <w:sz w:val="21"/>
              </w:rPr>
              <w:t>。</w:t>
            </w:r>
            <w:r>
              <w:rPr>
                <w:sz w:val="21"/>
              </w:rPr>
              <w:t>具体演示内容如下</w:t>
            </w:r>
            <w:r>
              <w:rPr>
                <w:sz w:val="21"/>
              </w:rPr>
              <w:t>:</w:t>
            </w:r>
          </w:p>
          <w:p>
            <w:pPr>
              <w:pStyle w:val="null3"/>
              <w:jc w:val="both"/>
            </w:pPr>
            <w:r>
              <w:rPr>
                <w:sz w:val="21"/>
              </w:rPr>
              <w:t>智慧琴房系统使用流程通常包括预约琴房、进入琴房以及使用过</w:t>
            </w:r>
            <w:r>
              <w:rPr>
                <w:sz w:val="21"/>
              </w:rPr>
              <w:t>程中的相关操作：</w:t>
            </w:r>
          </w:p>
          <w:p>
            <w:pPr>
              <w:pStyle w:val="null3"/>
              <w:jc w:val="both"/>
            </w:pPr>
            <w:r>
              <w:rPr>
                <w:sz w:val="21"/>
              </w:rPr>
              <w:t>1)预约琴房</w:t>
            </w:r>
          </w:p>
          <w:p>
            <w:pPr>
              <w:pStyle w:val="null3"/>
              <w:jc w:val="both"/>
            </w:pPr>
            <w:r>
              <w:rPr>
                <w:sz w:val="21"/>
              </w:rPr>
              <w:t>a选择预约方式：</w:t>
            </w:r>
          </w:p>
          <w:p>
            <w:pPr>
              <w:pStyle w:val="null3"/>
              <w:ind w:firstLine="210"/>
              <w:jc w:val="both"/>
            </w:pPr>
            <w:r>
              <w:rPr>
                <w:sz w:val="21"/>
              </w:rPr>
              <w:t>手机</w:t>
            </w:r>
            <w:r>
              <w:rPr>
                <w:sz w:val="21"/>
              </w:rPr>
              <w:t>APP或小程序预约：学生或教师可以通过手机APP或小程序进行琴房预约。方便用户查看琴房的实时状态和预约情况。</w:t>
            </w:r>
          </w:p>
          <w:p>
            <w:pPr>
              <w:pStyle w:val="null3"/>
              <w:jc w:val="both"/>
            </w:pPr>
            <w:r>
              <w:rPr>
                <w:sz w:val="21"/>
              </w:rPr>
              <w:t xml:space="preserve">  </w:t>
            </w:r>
            <w:r>
              <w:rPr>
                <w:sz w:val="21"/>
              </w:rPr>
              <w:t>智慧终端预约：在智慧琴房所在区域的智慧终端上，用户也可以通过点击</w:t>
            </w:r>
            <w:r>
              <w:rPr>
                <w:sz w:val="21"/>
              </w:rPr>
              <w:t>“预约琴房”按钮进行预约。智慧终端通常提供多种登录方式，如微信扫码或人脸识别。</w:t>
            </w:r>
          </w:p>
          <w:p>
            <w:pPr>
              <w:pStyle w:val="null3"/>
              <w:jc w:val="both"/>
            </w:pPr>
            <w:r>
              <w:rPr>
                <w:sz w:val="21"/>
              </w:rPr>
              <w:t>b选择琴房和时段：</w:t>
            </w:r>
          </w:p>
          <w:p>
            <w:pPr>
              <w:pStyle w:val="null3"/>
              <w:jc w:val="both"/>
            </w:pPr>
            <w:r>
              <w:rPr>
                <w:sz w:val="21"/>
              </w:rPr>
              <w:t xml:space="preserve">  </w:t>
            </w:r>
            <w:r>
              <w:rPr>
                <w:sz w:val="21"/>
              </w:rPr>
              <w:t>在预约界面，用户可以查看所有可用的琴房列表，以及每个琴房的实时状态（如空闲、已预约、停用中等）。</w:t>
            </w:r>
          </w:p>
          <w:p>
            <w:pPr>
              <w:pStyle w:val="null3"/>
              <w:jc w:val="both"/>
            </w:pPr>
            <w:r>
              <w:rPr>
                <w:sz w:val="21"/>
              </w:rPr>
              <w:t xml:space="preserve">  </w:t>
            </w:r>
            <w:r>
              <w:rPr>
                <w:sz w:val="21"/>
              </w:rPr>
              <w:t>用户可以根据自己的需求选择合适的琴房和预约时段。</w:t>
            </w:r>
          </w:p>
          <w:p>
            <w:pPr>
              <w:pStyle w:val="null3"/>
              <w:jc w:val="both"/>
            </w:pPr>
            <w:r>
              <w:rPr>
                <w:sz w:val="21"/>
              </w:rPr>
              <w:t xml:space="preserve">  </w:t>
            </w:r>
            <w:r>
              <w:rPr>
                <w:sz w:val="21"/>
              </w:rPr>
              <w:t>琴房管理老师可以根据系统智能统计的大数据，设置每个院系、学生可预约未来天数、每天可预约次数及可预约时长等，合理分配学校琴房数量及平均需求，保障琴房时刻处于最佳使用状态。</w:t>
            </w:r>
          </w:p>
          <w:p>
            <w:pPr>
              <w:pStyle w:val="null3"/>
              <w:jc w:val="both"/>
            </w:pPr>
            <w:r>
              <w:rPr>
                <w:sz w:val="21"/>
              </w:rPr>
              <w:t>c确认预约：</w:t>
            </w:r>
          </w:p>
          <w:p>
            <w:pPr>
              <w:pStyle w:val="null3"/>
              <w:jc w:val="both"/>
            </w:pPr>
            <w:r>
              <w:rPr>
                <w:sz w:val="21"/>
              </w:rPr>
              <w:t xml:space="preserve">  </w:t>
            </w:r>
            <w:r>
              <w:rPr>
                <w:sz w:val="21"/>
              </w:rPr>
              <w:t>选择好琴房和时段后，用户需要确认预约信息，并点击</w:t>
            </w:r>
            <w:r>
              <w:rPr>
                <w:sz w:val="21"/>
              </w:rPr>
              <w:t>“确定”或“提交”按钮进行预约。</w:t>
            </w:r>
          </w:p>
          <w:p>
            <w:pPr>
              <w:pStyle w:val="null3"/>
              <w:jc w:val="both"/>
            </w:pPr>
            <w:r>
              <w:rPr>
                <w:sz w:val="21"/>
              </w:rPr>
              <w:t xml:space="preserve">  </w:t>
            </w:r>
            <w:r>
              <w:rPr>
                <w:sz w:val="21"/>
              </w:rPr>
              <w:t>系统会生成一个预约订单，并可在公众好发送预约成功通知及琴房位置、使用时间等信息至用户手机。</w:t>
            </w:r>
          </w:p>
          <w:p>
            <w:pPr>
              <w:pStyle w:val="null3"/>
              <w:jc w:val="both"/>
            </w:pPr>
            <w:r>
              <w:rPr>
                <w:sz w:val="21"/>
              </w:rPr>
              <w:t>2)进入琴房</w:t>
            </w:r>
          </w:p>
          <w:p>
            <w:pPr>
              <w:pStyle w:val="null3"/>
              <w:jc w:val="both"/>
            </w:pPr>
            <w:r>
              <w:rPr>
                <w:sz w:val="21"/>
              </w:rPr>
              <w:t>a选择开门方式：</w:t>
            </w:r>
          </w:p>
          <w:p>
            <w:pPr>
              <w:pStyle w:val="null3"/>
              <w:jc w:val="both"/>
            </w:pPr>
            <w:r>
              <w:rPr>
                <w:sz w:val="21"/>
              </w:rPr>
              <w:t xml:space="preserve">  </w:t>
            </w:r>
            <w:r>
              <w:rPr>
                <w:sz w:val="21"/>
              </w:rPr>
              <w:t>扫码开门：用户可以使用手机微信扫描琴房门口的二维码进行开门。</w:t>
            </w:r>
          </w:p>
          <w:p>
            <w:pPr>
              <w:pStyle w:val="null3"/>
              <w:jc w:val="both"/>
            </w:pPr>
            <w:r>
              <w:rPr>
                <w:sz w:val="21"/>
              </w:rPr>
              <w:t xml:space="preserve">  </w:t>
            </w:r>
            <w:r>
              <w:rPr>
                <w:sz w:val="21"/>
              </w:rPr>
              <w:t>手机端开门：用户可以在手机端点击开门功能直接开门。</w:t>
            </w:r>
          </w:p>
          <w:p>
            <w:pPr>
              <w:pStyle w:val="null3"/>
              <w:jc w:val="both"/>
            </w:pPr>
            <w:r>
              <w:rPr>
                <w:sz w:val="21"/>
              </w:rPr>
              <w:t>b签到与开始使用：</w:t>
            </w:r>
          </w:p>
          <w:p>
            <w:pPr>
              <w:pStyle w:val="null3"/>
              <w:jc w:val="both"/>
            </w:pPr>
            <w:r>
              <w:rPr>
                <w:sz w:val="21"/>
              </w:rPr>
              <w:t xml:space="preserve">  </w:t>
            </w:r>
            <w:r>
              <w:rPr>
                <w:sz w:val="21"/>
              </w:rPr>
              <w:t>成功开门后，用户需要进入预约订单详情页面进行签到。</w:t>
            </w:r>
          </w:p>
          <w:p>
            <w:pPr>
              <w:pStyle w:val="null3"/>
              <w:jc w:val="both"/>
            </w:pPr>
            <w:r>
              <w:rPr>
                <w:sz w:val="21"/>
              </w:rPr>
              <w:t xml:space="preserve">  </w:t>
            </w:r>
            <w:r>
              <w:rPr>
                <w:sz w:val="21"/>
              </w:rPr>
              <w:t>签到成功后，用户可以开始使用琴房进行练习或教学。</w:t>
            </w:r>
          </w:p>
          <w:p>
            <w:pPr>
              <w:pStyle w:val="null3"/>
              <w:jc w:val="both"/>
            </w:pPr>
            <w:r>
              <w:rPr>
                <w:sz w:val="21"/>
              </w:rPr>
              <w:t>c暂时离开：</w:t>
            </w:r>
          </w:p>
          <w:p>
            <w:pPr>
              <w:pStyle w:val="null3"/>
              <w:jc w:val="both"/>
            </w:pPr>
            <w:r>
              <w:rPr>
                <w:sz w:val="21"/>
              </w:rPr>
              <w:t xml:space="preserve">  </w:t>
            </w:r>
            <w:r>
              <w:rPr>
                <w:sz w:val="21"/>
              </w:rPr>
              <w:t>用户签到预约订单后，订单状态进入使用中时，如中途需要上厕所、上课等需求时，在手机端点击</w:t>
            </w:r>
            <w:r>
              <w:rPr>
                <w:sz w:val="21"/>
              </w:rPr>
              <w:t>“暂时离开”按钮激活暂时离开功能，用户在在规定时间内回到琴房即可，如未在规定时间内回到琴房，系统智能签退订单，将琴房资源释放。</w:t>
            </w:r>
          </w:p>
          <w:p>
            <w:pPr>
              <w:pStyle w:val="null3"/>
              <w:jc w:val="both"/>
            </w:pPr>
            <w:r>
              <w:rPr>
                <w:sz w:val="21"/>
              </w:rPr>
              <w:t>3)使用过程中的相关操作</w:t>
            </w:r>
          </w:p>
          <w:p>
            <w:pPr>
              <w:pStyle w:val="null3"/>
              <w:jc w:val="both"/>
            </w:pPr>
            <w:r>
              <w:rPr>
                <w:sz w:val="21"/>
              </w:rPr>
              <w:t>a调节灯光：</w:t>
            </w:r>
          </w:p>
          <w:p>
            <w:pPr>
              <w:pStyle w:val="null3"/>
              <w:jc w:val="both"/>
            </w:pPr>
            <w:r>
              <w:rPr>
                <w:sz w:val="21"/>
              </w:rPr>
              <w:t xml:space="preserve">  </w:t>
            </w:r>
            <w:r>
              <w:rPr>
                <w:sz w:val="21"/>
              </w:rPr>
              <w:t>智慧琴房系统通常支持对灯光和空调进行智能控制。用户可以通过手机</w:t>
            </w:r>
            <w:r>
              <w:rPr>
                <w:sz w:val="21"/>
              </w:rPr>
              <w:t>APP、小程序调节灯光等参数。</w:t>
            </w:r>
          </w:p>
          <w:p>
            <w:pPr>
              <w:pStyle w:val="null3"/>
              <w:jc w:val="both"/>
            </w:pPr>
            <w:r>
              <w:rPr>
                <w:sz w:val="21"/>
              </w:rPr>
              <w:t>b查看通知与公告：</w:t>
            </w:r>
          </w:p>
          <w:p>
            <w:pPr>
              <w:pStyle w:val="null3"/>
              <w:jc w:val="both"/>
            </w:pPr>
            <w:r>
              <w:rPr>
                <w:sz w:val="21"/>
              </w:rPr>
              <w:t xml:space="preserve">  </w:t>
            </w:r>
            <w:r>
              <w:rPr>
                <w:sz w:val="21"/>
              </w:rPr>
              <w:t>用户可以通过手机</w:t>
            </w:r>
            <w:r>
              <w:rPr>
                <w:sz w:val="21"/>
              </w:rPr>
              <w:t>APP或小程序查看学校发布的通知和公告，如课程变动、琴房维修通知等。</w:t>
            </w:r>
          </w:p>
          <w:p>
            <w:pPr>
              <w:pStyle w:val="null3"/>
              <w:jc w:val="both"/>
            </w:pPr>
            <w:r>
              <w:rPr>
                <w:sz w:val="21"/>
              </w:rPr>
              <w:t>c提交故障报修：</w:t>
            </w:r>
          </w:p>
          <w:p>
            <w:pPr>
              <w:pStyle w:val="null3"/>
              <w:jc w:val="both"/>
            </w:pPr>
            <w:r>
              <w:rPr>
                <w:sz w:val="21"/>
              </w:rPr>
              <w:t xml:space="preserve">  </w:t>
            </w:r>
            <w:r>
              <w:rPr>
                <w:sz w:val="21"/>
              </w:rPr>
              <w:t>如果在使用过程中发现琴房设备出现故障或损坏，用户可以通过手机</w:t>
            </w:r>
            <w:r>
              <w:rPr>
                <w:sz w:val="21"/>
              </w:rPr>
              <w:t>APP或小程序提交故障报修单。系统会将报修信息发送给管理人员进行处理。</w:t>
            </w:r>
          </w:p>
          <w:p>
            <w:pPr>
              <w:pStyle w:val="null3"/>
              <w:jc w:val="both"/>
            </w:pPr>
            <w:r>
              <w:rPr>
                <w:sz w:val="21"/>
              </w:rPr>
              <w:t>d结束使用与退出：</w:t>
            </w:r>
          </w:p>
          <w:p>
            <w:pPr>
              <w:pStyle w:val="null3"/>
              <w:jc w:val="both"/>
            </w:pPr>
            <w:r>
              <w:rPr>
                <w:sz w:val="21"/>
              </w:rPr>
              <w:t xml:space="preserve">  </w:t>
            </w:r>
            <w:r>
              <w:rPr>
                <w:sz w:val="21"/>
              </w:rPr>
              <w:t>用户完成练习或教学后，系统可按预设智能关闭灯光等设备，并智能签退订单，全程无需用户人工介入退琴、关闭灯光设备。</w:t>
            </w:r>
          </w:p>
          <w:p>
            <w:pPr>
              <w:pStyle w:val="null3"/>
              <w:jc w:val="both"/>
            </w:pPr>
            <w:r>
              <w:rPr>
                <w:sz w:val="21"/>
              </w:rPr>
              <w:t xml:space="preserve">  </w:t>
            </w:r>
            <w:r>
              <w:rPr>
                <w:sz w:val="21"/>
              </w:rPr>
              <w:t>退出琴房时，按琴房开门按钮出门即可</w:t>
            </w:r>
            <w:r>
              <w:rPr>
                <w:sz w:val="21"/>
              </w:rPr>
              <w:t>。</w:t>
            </w:r>
          </w:p>
          <w:p>
            <w:pPr>
              <w:pStyle w:val="null3"/>
              <w:jc w:val="both"/>
            </w:pPr>
            <w:r>
              <w:rPr>
                <w:sz w:val="21"/>
              </w:rPr>
              <w:t>总的来说，智慧琴房系统的使用流程</w:t>
            </w:r>
            <w:r>
              <w:rPr>
                <w:sz w:val="21"/>
              </w:rPr>
              <w:t>要求</w:t>
            </w:r>
            <w:r>
              <w:rPr>
                <w:sz w:val="21"/>
              </w:rPr>
              <w:t>简单便捷，能够为用户提供高效、智能化的琴房使用体验。同时，系统还支持多种功能和操作，如灯光、门禁等智能控制、通知与公告的查看以及故障报修的提交等，进一步提升用户的满意度和便利性。</w:t>
            </w:r>
          </w:p>
          <w:p>
            <w:pPr>
              <w:pStyle w:val="null3"/>
              <w:jc w:val="left"/>
            </w:pPr>
            <w:r>
              <w:rPr>
                <w:sz w:val="21"/>
              </w:rPr>
              <w:t>（</w:t>
            </w:r>
            <w:r>
              <w:rPr>
                <w:sz w:val="21"/>
              </w:rPr>
              <w:t>5</w:t>
            </w:r>
            <w:r>
              <w:rPr>
                <w:sz w:val="21"/>
              </w:rPr>
              <w:t>）内置语音提示器，可存储多种语音（包括中文、英语等）</w:t>
            </w:r>
          </w:p>
          <w:p>
            <w:pPr>
              <w:pStyle w:val="null3"/>
              <w:jc w:val="left"/>
            </w:pPr>
            <w:r>
              <w:rPr>
                <w:sz w:val="21"/>
              </w:rPr>
              <w:t>（</w:t>
            </w:r>
            <w:r>
              <w:rPr>
                <w:sz w:val="21"/>
              </w:rPr>
              <w:t>6</w:t>
            </w:r>
            <w:r>
              <w:rPr>
                <w:sz w:val="21"/>
              </w:rPr>
              <w:t>）支持网络</w:t>
            </w:r>
            <w:r>
              <w:rPr>
                <w:sz w:val="21"/>
              </w:rPr>
              <w:t>TCP/IP协议，与智慧琴房终端间相互通信，支持接收管理端发送的语音及文字信号1.26多级音量控制，可以根据各种场合需要智能音量调节</w:t>
            </w:r>
          </w:p>
          <w:p>
            <w:pPr>
              <w:pStyle w:val="null3"/>
              <w:jc w:val="left"/>
            </w:pPr>
            <w:r>
              <w:rPr>
                <w:sz w:val="21"/>
              </w:rPr>
              <w:t>（</w:t>
            </w:r>
            <w:r>
              <w:rPr>
                <w:sz w:val="21"/>
              </w:rPr>
              <w:t>7</w:t>
            </w:r>
            <w:r>
              <w:rPr>
                <w:sz w:val="21"/>
              </w:rPr>
              <w:t>）内存：</w:t>
            </w:r>
            <w:r>
              <w:rPr>
                <w:sz w:val="21"/>
              </w:rPr>
              <w:t>≥1G</w:t>
            </w:r>
          </w:p>
          <w:p>
            <w:pPr>
              <w:pStyle w:val="null3"/>
              <w:jc w:val="left"/>
            </w:pPr>
            <w:r>
              <w:rPr>
                <w:sz w:val="21"/>
              </w:rPr>
              <w:t>（</w:t>
            </w:r>
            <w:r>
              <w:rPr>
                <w:sz w:val="21"/>
              </w:rPr>
              <w:t>8</w:t>
            </w:r>
            <w:r>
              <w:rPr>
                <w:sz w:val="21"/>
              </w:rPr>
              <w:t>）内置存储器：</w:t>
            </w:r>
            <w:r>
              <w:rPr>
                <w:sz w:val="21"/>
              </w:rPr>
              <w:t>≥4GB</w:t>
            </w:r>
          </w:p>
          <w:p>
            <w:pPr>
              <w:pStyle w:val="null3"/>
              <w:jc w:val="both"/>
            </w:pPr>
            <w:r>
              <w:rPr>
                <w:sz w:val="21"/>
              </w:rPr>
              <w:t>（</w:t>
            </w:r>
            <w:r>
              <w:rPr>
                <w:sz w:val="21"/>
              </w:rPr>
              <w:t>9</w:t>
            </w:r>
            <w:r>
              <w:rPr>
                <w:sz w:val="21"/>
              </w:rPr>
              <w:t>）显示拓展：支持</w:t>
            </w:r>
            <w:r>
              <w:rPr>
                <w:sz w:val="21"/>
              </w:rPr>
              <w:t>HDMI</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w:t>
      </w:r>
      <w:r>
        <w:rPr>
          <w:b/>
        </w:rPr>
        <w:t>：</w:t>
      </w:r>
      <w:r>
        <w:rPr>
          <w:b/>
        </w:rPr>
        <w:t>智能电磁门锁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1"/>
              </w:rPr>
              <w:t>★</w:t>
            </w:r>
            <w:r>
              <w:rPr>
                <w:sz w:val="21"/>
              </w:rPr>
              <w:t>（</w:t>
            </w:r>
            <w:r>
              <w:rPr>
                <w:sz w:val="21"/>
              </w:rPr>
              <w:t>1）智慧琴房系统支持扫描学号开门、动态码开门、二维码等多种开启方式，可联动智慧琴房传感器及控制器</w:t>
            </w:r>
          </w:p>
          <w:p>
            <w:pPr>
              <w:pStyle w:val="null3"/>
              <w:jc w:val="left"/>
            </w:pPr>
            <w:r>
              <w:rPr>
                <w:sz w:val="21"/>
              </w:rPr>
              <w:t>（</w:t>
            </w:r>
            <w:r>
              <w:rPr>
                <w:sz w:val="21"/>
              </w:rPr>
              <w:t>2）最大工作电压：DC12V-24V/1000mA</w:t>
            </w:r>
          </w:p>
          <w:p>
            <w:pPr>
              <w:pStyle w:val="null3"/>
              <w:jc w:val="left"/>
            </w:pPr>
            <w:r>
              <w:rPr>
                <w:sz w:val="21"/>
              </w:rPr>
              <w:t>（</w:t>
            </w:r>
            <w:r>
              <w:rPr>
                <w:sz w:val="21"/>
              </w:rPr>
              <w:t>3）额定工作电流：400±10mA@12V DC</w:t>
            </w:r>
          </w:p>
          <w:p>
            <w:pPr>
              <w:pStyle w:val="null3"/>
              <w:jc w:val="left"/>
            </w:pPr>
            <w:r>
              <w:rPr>
                <w:sz w:val="21"/>
              </w:rPr>
              <w:t>（</w:t>
            </w:r>
            <w:r>
              <w:rPr>
                <w:sz w:val="21"/>
              </w:rPr>
              <w:t>4）防护性能：内置反向突破保护功能</w:t>
            </w:r>
          </w:p>
          <w:p>
            <w:pPr>
              <w:pStyle w:val="null3"/>
              <w:jc w:val="left"/>
            </w:pPr>
            <w:r>
              <w:rPr>
                <w:sz w:val="21"/>
              </w:rPr>
              <w:t>（</w:t>
            </w:r>
            <w:r>
              <w:rPr>
                <w:sz w:val="21"/>
              </w:rPr>
              <w:t>5）承受拉力：280±5KG</w:t>
            </w:r>
          </w:p>
          <w:p>
            <w:pPr>
              <w:pStyle w:val="null3"/>
              <w:jc w:val="left"/>
            </w:pPr>
            <w:r>
              <w:rPr>
                <w:sz w:val="21"/>
              </w:rPr>
              <w:t>（</w:t>
            </w:r>
            <w:r>
              <w:rPr>
                <w:sz w:val="21"/>
              </w:rPr>
              <w:t>6）工作模式：通电上锁，当发生市电供应断电的情况下，电磁门锁将自动进入常开模式，避免造成学生被锁在琴房的情况</w:t>
            </w:r>
          </w:p>
          <w:p>
            <w:pPr>
              <w:pStyle w:val="null3"/>
              <w:jc w:val="left"/>
            </w:pPr>
            <w:r>
              <w:rPr>
                <w:sz w:val="21"/>
              </w:rPr>
              <w:t>（</w:t>
            </w:r>
            <w:r>
              <w:rPr>
                <w:sz w:val="21"/>
              </w:rPr>
              <w:t>7）材质：铝合金外壳</w:t>
            </w:r>
          </w:p>
          <w:p>
            <w:pPr>
              <w:pStyle w:val="null3"/>
              <w:jc w:val="both"/>
            </w:pPr>
            <w:r>
              <w:rPr>
                <w:sz w:val="21"/>
              </w:rPr>
              <w:t>（</w:t>
            </w:r>
            <w:r>
              <w:rPr>
                <w:sz w:val="21"/>
              </w:rPr>
              <w:t>8）安装方式：专用加强支架</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三</w:t>
      </w:r>
      <w:r>
        <w:rPr>
          <w:b/>
        </w:rPr>
        <w:t>：</w:t>
      </w:r>
      <w:r>
        <w:rPr>
          <w:b/>
        </w:rPr>
        <w:t>室内开门按钮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1"/>
              </w:rPr>
              <w:t>（</w:t>
            </w:r>
            <w:r>
              <w:rPr>
                <w:sz w:val="21"/>
              </w:rPr>
              <w:t>1）工作方式：触点式信号传输</w:t>
            </w:r>
          </w:p>
          <w:p>
            <w:pPr>
              <w:pStyle w:val="null3"/>
              <w:jc w:val="left"/>
            </w:pPr>
            <w:r>
              <w:rPr>
                <w:sz w:val="21"/>
              </w:rPr>
              <w:t>（</w:t>
            </w:r>
            <w:r>
              <w:rPr>
                <w:sz w:val="21"/>
              </w:rPr>
              <w:t>2）电子电工产品类型：采用阻燃PC材料</w:t>
            </w:r>
          </w:p>
          <w:p>
            <w:pPr>
              <w:pStyle w:val="null3"/>
              <w:jc w:val="both"/>
            </w:pPr>
            <w:r>
              <w:rPr>
                <w:sz w:val="21"/>
              </w:rPr>
              <w:t>（</w:t>
            </w:r>
            <w:r>
              <w:rPr>
                <w:sz w:val="21"/>
              </w:rPr>
              <w:t>3）开启方式：按压式</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四</w:t>
      </w:r>
      <w:r>
        <w:rPr>
          <w:b/>
        </w:rPr>
        <w:t>：</w:t>
      </w:r>
      <w:r>
        <w:rPr>
          <w:b/>
        </w:rPr>
        <w:t>智能语音播报器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1"/>
              </w:rPr>
              <w:t>（</w:t>
            </w:r>
            <w:r>
              <w:rPr>
                <w:sz w:val="21"/>
              </w:rPr>
              <w:t>1）具有文字识别语音功能</w:t>
            </w:r>
          </w:p>
          <w:p>
            <w:pPr>
              <w:pStyle w:val="null3"/>
              <w:jc w:val="left"/>
            </w:pPr>
            <w:r>
              <w:rPr>
                <w:sz w:val="21"/>
              </w:rPr>
              <w:t>（</w:t>
            </w:r>
            <w:r>
              <w:rPr>
                <w:sz w:val="21"/>
              </w:rPr>
              <w:t>2）支持播放MP3等格式音频文件</w:t>
            </w:r>
          </w:p>
          <w:p>
            <w:pPr>
              <w:pStyle w:val="null3"/>
              <w:jc w:val="left"/>
            </w:pPr>
            <w:r>
              <w:rPr>
                <w:sz w:val="21"/>
              </w:rPr>
              <w:t>（</w:t>
            </w:r>
            <w:r>
              <w:rPr>
                <w:sz w:val="21"/>
              </w:rPr>
              <w:t>3）内置语音提示器，可存储多种语音（包括中文、英语等）</w:t>
            </w:r>
          </w:p>
          <w:p>
            <w:pPr>
              <w:pStyle w:val="null3"/>
              <w:jc w:val="left"/>
            </w:pPr>
            <w:r>
              <w:rPr>
                <w:sz w:val="21"/>
              </w:rPr>
              <w:t>（</w:t>
            </w:r>
            <w:r>
              <w:rPr>
                <w:sz w:val="21"/>
              </w:rPr>
              <w:t>4）支持网络TCP/IP协议，与智慧琴房终端间相互通信，支持接收管理端发送的语音及文字信号</w:t>
            </w:r>
          </w:p>
          <w:p>
            <w:pPr>
              <w:pStyle w:val="null3"/>
              <w:jc w:val="both"/>
            </w:pPr>
            <w:r>
              <w:rPr>
                <w:sz w:val="21"/>
              </w:rPr>
              <w:t>（</w:t>
            </w:r>
            <w:r>
              <w:rPr>
                <w:sz w:val="21"/>
              </w:rPr>
              <w:t>5）多级音量控制，可以根据各种场合需要智能音量调节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五</w:t>
      </w:r>
      <w:r>
        <w:rPr>
          <w:b/>
        </w:rPr>
        <w:t>：</w:t>
      </w:r>
      <w:r>
        <w:rPr>
          <w:b/>
        </w:rPr>
        <w:t>智慧灯控</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1"/>
              </w:rPr>
              <w:t>（</w:t>
            </w:r>
            <w:r>
              <w:rPr>
                <w:sz w:val="21"/>
              </w:rPr>
              <w:t>1）与琴房终端联动使用</w:t>
            </w:r>
          </w:p>
          <w:p>
            <w:pPr>
              <w:pStyle w:val="null3"/>
              <w:jc w:val="left"/>
            </w:pPr>
            <w:r>
              <w:rPr>
                <w:sz w:val="21"/>
              </w:rPr>
              <w:t>（</w:t>
            </w:r>
            <w:r>
              <w:rPr>
                <w:sz w:val="21"/>
              </w:rPr>
              <w:t>2）无线、有线通信</w:t>
            </w:r>
          </w:p>
          <w:p>
            <w:pPr>
              <w:pStyle w:val="null3"/>
              <w:jc w:val="left"/>
            </w:pPr>
            <w:r>
              <w:rPr>
                <w:sz w:val="21"/>
              </w:rPr>
              <w:t>（</w:t>
            </w:r>
            <w:r>
              <w:rPr>
                <w:sz w:val="21"/>
              </w:rPr>
              <w:t>3）内置射频：315MHz，485通信</w:t>
            </w:r>
          </w:p>
          <w:p>
            <w:pPr>
              <w:pStyle w:val="null3"/>
              <w:jc w:val="left"/>
            </w:pPr>
            <w:r>
              <w:rPr>
                <w:sz w:val="21"/>
              </w:rPr>
              <w:t>（</w:t>
            </w:r>
            <w:r>
              <w:rPr>
                <w:sz w:val="21"/>
              </w:rPr>
              <w:t>4）工作电压：AC 200-240V</w:t>
            </w:r>
          </w:p>
          <w:p>
            <w:pPr>
              <w:pStyle w:val="null3"/>
              <w:jc w:val="both"/>
            </w:pPr>
            <w:r>
              <w:rPr>
                <w:sz w:val="21"/>
              </w:rPr>
              <w:t>（</w:t>
            </w:r>
            <w:r>
              <w:rPr>
                <w:sz w:val="21"/>
              </w:rPr>
              <w:t>5）待机电流：1mA</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六</w:t>
      </w:r>
      <w:r>
        <w:rPr>
          <w:b/>
        </w:rPr>
        <w:t>：</w:t>
      </w:r>
      <w:r>
        <w:rPr>
          <w:b/>
        </w:rPr>
        <w:t>空调智能控制模块</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1"/>
              </w:rPr>
              <w:t>（</w:t>
            </w:r>
            <w:r>
              <w:rPr>
                <w:sz w:val="21"/>
              </w:rPr>
              <w:t>1）支持RS485接口通信</w:t>
            </w:r>
          </w:p>
          <w:p>
            <w:pPr>
              <w:pStyle w:val="null3"/>
              <w:jc w:val="both"/>
            </w:pPr>
            <w:r>
              <w:rPr>
                <w:sz w:val="21"/>
              </w:rPr>
              <w:t>（</w:t>
            </w:r>
            <w:r>
              <w:rPr>
                <w:sz w:val="21"/>
              </w:rPr>
              <w:t>2）多向红外发射模块</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七</w:t>
      </w:r>
      <w:r>
        <w:rPr>
          <w:b/>
        </w:rPr>
        <w:t>：</w:t>
      </w:r>
      <w:r>
        <w:rPr>
          <w:b/>
        </w:rPr>
        <w:t>琴房状态显示屏</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1"/>
              </w:rPr>
              <w:t>（</w:t>
            </w:r>
            <w:r>
              <w:rPr>
                <w:sz w:val="21"/>
              </w:rPr>
              <w:t>1）尺寸：≥75英寸</w:t>
            </w:r>
          </w:p>
          <w:p>
            <w:pPr>
              <w:pStyle w:val="null3"/>
              <w:jc w:val="left"/>
            </w:pPr>
            <w:r>
              <w:rPr>
                <w:sz w:val="21"/>
              </w:rPr>
              <w:t>（</w:t>
            </w:r>
            <w:r>
              <w:rPr>
                <w:sz w:val="21"/>
              </w:rPr>
              <w:t>2）刷新率：≥80Hz</w:t>
            </w:r>
          </w:p>
          <w:p>
            <w:pPr>
              <w:pStyle w:val="null3"/>
              <w:jc w:val="both"/>
            </w:pPr>
            <w:r>
              <w:rPr>
                <w:sz w:val="21"/>
              </w:rPr>
              <w:t>（</w:t>
            </w:r>
            <w:r>
              <w:rPr>
                <w:sz w:val="21"/>
              </w:rPr>
              <w:t>3）接口：包含但不限于HDMI等</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八</w:t>
      </w:r>
      <w:r>
        <w:rPr>
          <w:b/>
        </w:rPr>
        <w:t>：</w:t>
      </w:r>
      <w:r>
        <w:rPr>
          <w:b/>
        </w:rPr>
        <w:t>预约签到终端</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1"/>
              </w:rPr>
              <w:t>（</w:t>
            </w:r>
            <w:r>
              <w:rPr>
                <w:sz w:val="21"/>
              </w:rPr>
              <w:t>1）系统：常规操作系统。</w:t>
            </w:r>
          </w:p>
          <w:p>
            <w:pPr>
              <w:pStyle w:val="null3"/>
              <w:jc w:val="left"/>
            </w:pPr>
            <w:r>
              <w:rPr>
                <w:sz w:val="21"/>
              </w:rPr>
              <w:t>（</w:t>
            </w:r>
            <w:r>
              <w:rPr>
                <w:sz w:val="21"/>
              </w:rPr>
              <w:t>2）屏幕：≥21.5寸多点电容触摸屏</w:t>
            </w:r>
          </w:p>
          <w:p>
            <w:pPr>
              <w:pStyle w:val="null3"/>
              <w:jc w:val="left"/>
            </w:pPr>
            <w:r>
              <w:rPr>
                <w:sz w:val="21"/>
              </w:rPr>
              <w:t>（</w:t>
            </w:r>
            <w:r>
              <w:rPr>
                <w:sz w:val="21"/>
              </w:rPr>
              <w:t>3）CPU：双核，整机尺寸（宽高长）：≥410×1490×425（mm）</w:t>
            </w:r>
          </w:p>
          <w:p>
            <w:pPr>
              <w:pStyle w:val="null3"/>
              <w:jc w:val="left"/>
            </w:pPr>
            <w:r>
              <w:rPr>
                <w:sz w:val="21"/>
              </w:rPr>
              <w:t>（</w:t>
            </w:r>
            <w:r>
              <w:rPr>
                <w:sz w:val="21"/>
              </w:rPr>
              <w:t>4）硬盘：≥16G，显示分辨率：≥1920*1024</w:t>
            </w:r>
          </w:p>
          <w:p>
            <w:pPr>
              <w:pStyle w:val="null3"/>
              <w:jc w:val="left"/>
            </w:pPr>
            <w:r>
              <w:rPr>
                <w:sz w:val="21"/>
              </w:rPr>
              <w:t>（</w:t>
            </w:r>
            <w:r>
              <w:rPr>
                <w:sz w:val="21"/>
              </w:rPr>
              <w:t>5）内存：≥4G DDR，对比度：≥3000:1</w:t>
            </w:r>
          </w:p>
          <w:p>
            <w:pPr>
              <w:pStyle w:val="null3"/>
              <w:jc w:val="left"/>
            </w:pPr>
            <w:r>
              <w:rPr>
                <w:sz w:val="21"/>
              </w:rPr>
              <w:t>（</w:t>
            </w:r>
            <w:r>
              <w:rPr>
                <w:sz w:val="21"/>
              </w:rPr>
              <w:t>6）网络接入：配置WLAN/WIFI/4G，亮度：≥230cd/m</w:t>
            </w:r>
          </w:p>
          <w:p>
            <w:pPr>
              <w:pStyle w:val="null3"/>
              <w:jc w:val="left"/>
            </w:pPr>
            <w:r>
              <w:rPr>
                <w:sz w:val="21"/>
              </w:rPr>
              <w:t>（</w:t>
            </w:r>
            <w:r>
              <w:rPr>
                <w:sz w:val="21"/>
              </w:rPr>
              <w:t>7）网卡：10/100M千兆网卡，触摸屏：10点/电容触摸</w:t>
            </w:r>
          </w:p>
          <w:p>
            <w:pPr>
              <w:pStyle w:val="null3"/>
              <w:jc w:val="left"/>
            </w:pPr>
            <w:r>
              <w:rPr>
                <w:sz w:val="21"/>
              </w:rPr>
              <w:t>（</w:t>
            </w:r>
            <w:r>
              <w:rPr>
                <w:sz w:val="21"/>
              </w:rPr>
              <w:t xml:space="preserve">8）签到方式：触摸输入有效动态码签到，签到成功后支持语音提示            </w:t>
            </w:r>
          </w:p>
          <w:p>
            <w:pPr>
              <w:pStyle w:val="null3"/>
              <w:jc w:val="both"/>
            </w:pPr>
            <w:r>
              <w:rPr>
                <w:sz w:val="21"/>
              </w:rPr>
              <w:t>（</w:t>
            </w:r>
            <w:r>
              <w:rPr>
                <w:sz w:val="21"/>
              </w:rPr>
              <w:t>9）开关电源：240V50HZ，工作环境温度：-20~60℃</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九</w:t>
      </w:r>
      <w:r>
        <w:rPr>
          <w:b/>
        </w:rPr>
        <w:t>：</w:t>
      </w:r>
      <w:r>
        <w:rPr>
          <w:b/>
        </w:rPr>
        <w:t>监控显示屏</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1"/>
              </w:rPr>
              <w:t>（</w:t>
            </w:r>
            <w:r>
              <w:rPr>
                <w:sz w:val="21"/>
              </w:rPr>
              <w:t>1）尺寸：≥27英寸</w:t>
            </w:r>
          </w:p>
          <w:p>
            <w:pPr>
              <w:pStyle w:val="null3"/>
              <w:jc w:val="left"/>
            </w:pPr>
            <w:r>
              <w:rPr>
                <w:sz w:val="21"/>
              </w:rPr>
              <w:t>（</w:t>
            </w:r>
            <w:r>
              <w:rPr>
                <w:sz w:val="21"/>
              </w:rPr>
              <w:t>2）分辨率：≥1920*1080</w:t>
            </w:r>
          </w:p>
          <w:p>
            <w:pPr>
              <w:pStyle w:val="null3"/>
              <w:jc w:val="left"/>
            </w:pPr>
            <w:r>
              <w:rPr>
                <w:sz w:val="21"/>
              </w:rPr>
              <w:t>（</w:t>
            </w:r>
            <w:r>
              <w:rPr>
                <w:sz w:val="21"/>
              </w:rPr>
              <w:t>3）刷新率：≥80Hz</w:t>
            </w:r>
          </w:p>
          <w:p>
            <w:pPr>
              <w:pStyle w:val="null3"/>
              <w:jc w:val="both"/>
            </w:pPr>
            <w:r>
              <w:rPr>
                <w:sz w:val="21"/>
              </w:rPr>
              <w:t>（</w:t>
            </w:r>
            <w:r>
              <w:rPr>
                <w:sz w:val="21"/>
              </w:rPr>
              <w:t>4）接口：包含但不限于HDMI等</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一十</w:t>
      </w:r>
      <w:r>
        <w:rPr>
          <w:b/>
        </w:rPr>
        <w:t>：</w:t>
      </w:r>
      <w:r>
        <w:rPr>
          <w:b/>
        </w:rPr>
        <w:t>琴房监控</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w:t>
            </w:r>
            <w:r>
              <w:rPr>
                <w:sz w:val="21"/>
              </w:rPr>
              <w:t>1）琴房内部监控：≥200万红外半球摄像机</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一十一</w:t>
      </w:r>
      <w:r>
        <w:rPr>
          <w:b/>
        </w:rPr>
        <w:t>：</w:t>
      </w:r>
      <w:r>
        <w:rPr>
          <w:b/>
        </w:rPr>
        <w:t>硬盘刻录机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1"/>
              </w:rPr>
              <w:t>（</w:t>
            </w:r>
            <w:r>
              <w:rPr>
                <w:sz w:val="21"/>
              </w:rPr>
              <w:t xml:space="preserve">1）≥2盘位32路     </w:t>
            </w:r>
          </w:p>
          <w:p>
            <w:pPr>
              <w:pStyle w:val="null3"/>
              <w:jc w:val="left"/>
            </w:pPr>
            <w:r>
              <w:rPr>
                <w:sz w:val="21"/>
              </w:rPr>
              <w:t>（</w:t>
            </w:r>
            <w:r>
              <w:rPr>
                <w:sz w:val="21"/>
              </w:rPr>
              <w:t>2）支持H.265、H.264混合接入</w:t>
            </w:r>
          </w:p>
          <w:p>
            <w:pPr>
              <w:pStyle w:val="null3"/>
              <w:jc w:val="left"/>
            </w:pPr>
            <w:r>
              <w:rPr>
                <w:sz w:val="21"/>
              </w:rPr>
              <w:t>（</w:t>
            </w:r>
            <w:r>
              <w:rPr>
                <w:sz w:val="21"/>
              </w:rPr>
              <w:t>3）≥80M接入存储/转发</w:t>
            </w:r>
          </w:p>
          <w:p>
            <w:pPr>
              <w:pStyle w:val="null3"/>
              <w:jc w:val="both"/>
            </w:pPr>
            <w:r>
              <w:rPr>
                <w:sz w:val="21"/>
              </w:rPr>
              <w:t>（</w:t>
            </w:r>
            <w:r>
              <w:rPr>
                <w:sz w:val="21"/>
              </w:rPr>
              <w:t>4）支持包含但不限于萤石、Ehome2.0、ISUP5.0以及GB28181等协议</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一十二</w:t>
      </w:r>
      <w:r>
        <w:rPr>
          <w:b/>
        </w:rPr>
        <w:t>：</w:t>
      </w:r>
      <w:r>
        <w:rPr>
          <w:b/>
        </w:rPr>
        <w:t>监控网络交互设备</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1"/>
              </w:rPr>
              <w:t>（</w:t>
            </w:r>
            <w:r>
              <w:rPr>
                <w:sz w:val="21"/>
              </w:rPr>
              <w:t>1）固定端口：≥24个10/100/1000Base-T以太网端口，</w:t>
            </w:r>
          </w:p>
          <w:p>
            <w:pPr>
              <w:pStyle w:val="null3"/>
              <w:jc w:val="left"/>
            </w:pPr>
            <w:r>
              <w:rPr>
                <w:sz w:val="21"/>
              </w:rPr>
              <w:t>（</w:t>
            </w:r>
            <w:r>
              <w:rPr>
                <w:sz w:val="21"/>
              </w:rPr>
              <w:t>2）交换容量：≥336Gbps，包转发率：≥42Mpps</w:t>
            </w:r>
          </w:p>
          <w:p>
            <w:pPr>
              <w:pStyle w:val="null3"/>
              <w:jc w:val="both"/>
            </w:pPr>
            <w:r>
              <w:rPr>
                <w:sz w:val="21"/>
              </w:rPr>
              <w:t>（</w:t>
            </w:r>
            <w:r>
              <w:rPr>
                <w:sz w:val="21"/>
              </w:rPr>
              <w:t>3）输入电源：交流输入90V AV~290V AC45Hz~65Hz</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一十三</w:t>
      </w:r>
      <w:r>
        <w:rPr>
          <w:b/>
        </w:rPr>
        <w:t>：</w:t>
      </w:r>
      <w:r>
        <w:rPr>
          <w:b/>
        </w:rPr>
        <w:t>监控网线</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w:t>
            </w:r>
            <w:r>
              <w:rPr>
                <w:sz w:val="21"/>
              </w:rPr>
              <w:t>1）超五类无氧铜网线</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一十四</w:t>
      </w:r>
      <w:r>
        <w:rPr>
          <w:b/>
        </w:rPr>
        <w:t>：</w:t>
      </w:r>
      <w:r>
        <w:rPr>
          <w:b/>
        </w:rPr>
        <w:t>监控硬盘</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1"/>
              </w:rPr>
              <w:t>（</w:t>
            </w:r>
            <w:r>
              <w:rPr>
                <w:sz w:val="21"/>
              </w:rPr>
              <w:t>1）存储容量≥6TB；</w:t>
            </w:r>
          </w:p>
          <w:p>
            <w:pPr>
              <w:pStyle w:val="null3"/>
              <w:jc w:val="both"/>
            </w:pPr>
            <w:r>
              <w:rPr>
                <w:sz w:val="21"/>
              </w:rPr>
              <w:t>（</w:t>
            </w:r>
            <w:r>
              <w:rPr>
                <w:sz w:val="21"/>
              </w:rPr>
              <w:t>2）存储时间不低于1个月。</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一十五</w:t>
      </w:r>
      <w:r>
        <w:rPr>
          <w:b/>
        </w:rPr>
        <w:t>：</w:t>
      </w:r>
      <w:r>
        <w:rPr>
          <w:b/>
        </w:rPr>
        <w:t>光纤模块</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w:t>
            </w:r>
            <w:r>
              <w:rPr>
                <w:sz w:val="21"/>
              </w:rPr>
              <w:t>1）千兆单模光纤模块，光口速率不低于1.25Gb/s，传输距离不低于3KM</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一十六</w:t>
      </w:r>
      <w:r>
        <w:rPr>
          <w:b/>
        </w:rPr>
        <w:t>：</w:t>
      </w:r>
      <w:r>
        <w:rPr>
          <w:b/>
        </w:rPr>
        <w:t>楼层机柜</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w:t>
            </w:r>
            <w:r>
              <w:rPr>
                <w:sz w:val="21"/>
              </w:rPr>
              <w:t>1）≥12U,尺寸：≥550*400*600（mm）</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一十七</w:t>
      </w:r>
      <w:r>
        <w:rPr>
          <w:b/>
        </w:rPr>
        <w:t>：</w:t>
      </w:r>
      <w:r>
        <w:rPr>
          <w:b/>
        </w:rPr>
        <w:t>机房机柜</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w:t>
            </w:r>
            <w:r>
              <w:rPr>
                <w:sz w:val="21"/>
              </w:rPr>
              <w:t>1）≥42U,尺寸：≥600*800*2055（mm）</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一十八</w:t>
      </w:r>
      <w:r>
        <w:rPr>
          <w:b/>
        </w:rPr>
        <w:t>：</w:t>
      </w:r>
      <w:r>
        <w:rPr>
          <w:b/>
        </w:rPr>
        <w:t>辅助材料</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w:t>
            </w:r>
            <w:r>
              <w:rPr>
                <w:sz w:val="21"/>
              </w:rPr>
              <w:t>1）辅助材料（主要材料线管、线槽、网线、水晶头等，以满足项目现场使用为准）</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一十九</w:t>
      </w:r>
      <w:r>
        <w:rPr>
          <w:b/>
        </w:rPr>
        <w:t>：</w:t>
      </w:r>
      <w:r>
        <w:rPr>
          <w:b/>
        </w:rPr>
        <w:t>智慧琴房综合管理平台</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1"/>
              </w:rPr>
              <w:t>（</w:t>
            </w:r>
            <w:r>
              <w:rPr>
                <w:sz w:val="21"/>
              </w:rPr>
              <w:t>1）智慧琴房小程序（师生版）</w:t>
            </w:r>
          </w:p>
          <w:p>
            <w:pPr>
              <w:pStyle w:val="null3"/>
              <w:jc w:val="left"/>
            </w:pPr>
            <w:r>
              <w:rPr>
                <w:sz w:val="21"/>
              </w:rPr>
              <w:t>1）认证登录方式：支持输入学号/工号、姓名进行登录；</w:t>
            </w:r>
          </w:p>
          <w:p>
            <w:pPr>
              <w:pStyle w:val="null3"/>
              <w:jc w:val="left"/>
            </w:pPr>
            <w:r>
              <w:rPr>
                <w:sz w:val="21"/>
              </w:rPr>
              <w:t>2）预约提醒功能：当预约订单即将开始时，系统订单通知会给用户发送微信通知提醒（离订单开始前多久发送可由管理员在后台PC端和后台小程序端设置），通知用户提前做好到现场签到的准备；</w:t>
            </w:r>
          </w:p>
          <w:p>
            <w:pPr>
              <w:pStyle w:val="null3"/>
              <w:jc w:val="left"/>
            </w:pPr>
            <w:r>
              <w:rPr>
                <w:sz w:val="21"/>
              </w:rPr>
              <w:t>3）预约琴房功能：可实现用户使用小程序端对琴房进行提前预约的功能。用户在小程序找到符合条件的琴房后，可在线对琴房进行预约。预约成功后，可查看预约详细信息，如预约的日期时段、琴房名称、琴房位置等；</w:t>
            </w:r>
          </w:p>
          <w:p>
            <w:pPr>
              <w:pStyle w:val="null3"/>
              <w:jc w:val="left"/>
            </w:pPr>
            <w:r>
              <w:rPr>
                <w:sz w:val="21"/>
              </w:rPr>
              <w:t>4）用户可通过实时信息，到现场快速找到琴房下单进行练琴；</w:t>
            </w:r>
          </w:p>
          <w:p>
            <w:pPr>
              <w:pStyle w:val="null3"/>
              <w:jc w:val="left"/>
            </w:pPr>
            <w:r>
              <w:rPr>
                <w:sz w:val="21"/>
              </w:rPr>
              <w:t>5）琴房报修功能：支持用户在使用时发现琴房故障时，可以在手机提交保修工单的功能。工单提交后，管理后台将受到报修工单消息通知，管理员可安排人员进行处理；</w:t>
            </w:r>
          </w:p>
          <w:p>
            <w:pPr>
              <w:pStyle w:val="null3"/>
              <w:jc w:val="left"/>
            </w:pPr>
            <w:r>
              <w:rPr>
                <w:sz w:val="21"/>
              </w:rPr>
              <w:t>6）常用琴房收藏功能：支持对常用琴房进行收藏。用户可以对经常使用或偏爱的琴房进行收藏，可在收藏的琴房列表中快速找到并对其进行预约。</w:t>
            </w:r>
          </w:p>
          <w:p>
            <w:pPr>
              <w:pStyle w:val="null3"/>
              <w:jc w:val="left"/>
            </w:pPr>
            <w:r>
              <w:rPr>
                <w:sz w:val="21"/>
              </w:rPr>
              <w:t>7）签到功能：订单自动签到成功后，教师可在小程序上点击订单即可进入琴房使用。</w:t>
            </w:r>
          </w:p>
          <w:p>
            <w:pPr>
              <w:pStyle w:val="null3"/>
              <w:jc w:val="left"/>
            </w:pPr>
            <w:r>
              <w:rPr>
                <w:sz w:val="21"/>
              </w:rPr>
              <w:t>（</w:t>
            </w:r>
            <w:r>
              <w:rPr>
                <w:sz w:val="21"/>
              </w:rPr>
              <w:t xml:space="preserve">2）智慧琴房小程序（后勤版）             </w:t>
            </w:r>
          </w:p>
          <w:p>
            <w:pPr>
              <w:pStyle w:val="null3"/>
              <w:jc w:val="left"/>
            </w:pPr>
            <w:r>
              <w:rPr>
                <w:sz w:val="21"/>
              </w:rPr>
              <w:t>1）登录方式：支持输入工号、姓名进行登录；</w:t>
            </w:r>
          </w:p>
          <w:p>
            <w:pPr>
              <w:pStyle w:val="null3"/>
              <w:jc w:val="left"/>
            </w:pPr>
            <w:r>
              <w:rPr>
                <w:sz w:val="21"/>
              </w:rPr>
              <w:t>2）订单信息订阅通知：支持订阅微信通知，当订单状态发生变化时，用户能收到订单状态变更的通知。如：订单被管理员取消的提醒；</w:t>
            </w:r>
          </w:p>
          <w:p>
            <w:pPr>
              <w:pStyle w:val="null3"/>
              <w:jc w:val="left"/>
            </w:pPr>
            <w:r>
              <w:rPr>
                <w:sz w:val="21"/>
              </w:rPr>
              <w:t>3）处理报修任务：后勤人员在接收到任务后，可以开始对任务进行处理。处理结束后可以提交处理结果。管理员可在后台即时看到报修的处理情况；</w:t>
            </w:r>
          </w:p>
          <w:p>
            <w:pPr>
              <w:pStyle w:val="null3"/>
              <w:jc w:val="left"/>
            </w:pPr>
            <w:r>
              <w:rPr>
                <w:sz w:val="21"/>
              </w:rPr>
              <w:t>▲4）申诉功能：为后勤人员提供申诉功能。如：当后勤人员超时处理或无法处理问题时，可以向管理员提交申诉，管理员根据实际情况审批申诉，申诉结果将直接影响该次任务的加分或扣分情况；（需提供系统截图）</w:t>
            </w:r>
          </w:p>
          <w:p>
            <w:pPr>
              <w:pStyle w:val="null3"/>
              <w:jc w:val="left"/>
            </w:pPr>
            <w:r>
              <w:rPr>
                <w:sz w:val="21"/>
              </w:rPr>
              <w:t>（</w:t>
            </w:r>
            <w:r>
              <w:rPr>
                <w:sz w:val="21"/>
              </w:rPr>
              <w:t>3）智慧琴房后台管理系统</w:t>
            </w:r>
          </w:p>
          <w:p>
            <w:pPr>
              <w:pStyle w:val="null3"/>
              <w:jc w:val="left"/>
            </w:pPr>
            <w:r>
              <w:rPr>
                <w:sz w:val="21"/>
              </w:rPr>
              <w:t>1）登录方式：支持输入管理员账号、密码登录。密码可进行修改、重置等；</w:t>
            </w:r>
          </w:p>
          <w:p>
            <w:pPr>
              <w:pStyle w:val="null3"/>
              <w:jc w:val="left"/>
            </w:pPr>
            <w:r>
              <w:rPr>
                <w:sz w:val="21"/>
              </w:rPr>
              <w:t>2）权限管理：提供用户账号、角色管理。支持通过角色为用户分配对应的管理员权限。如：角色为琴房管理员的用户，仅拥有琴房管理的菜单和功能权限；</w:t>
            </w:r>
          </w:p>
          <w:p>
            <w:pPr>
              <w:pStyle w:val="null3"/>
              <w:jc w:val="left"/>
            </w:pPr>
            <w:r>
              <w:rPr>
                <w:sz w:val="21"/>
              </w:rPr>
              <w:t>3）专业管理：提供学生、教师的信息管理。如院系、专业方向等，可以为人群进行分类。对人群实行按群组管理。如按院系：钢琴系、管弦系等进行人群分类管理；</w:t>
            </w:r>
          </w:p>
          <w:p>
            <w:pPr>
              <w:pStyle w:val="null3"/>
              <w:jc w:val="left"/>
            </w:pPr>
            <w:r>
              <w:rPr>
                <w:sz w:val="21"/>
              </w:rPr>
              <w:t>4）教师管理：可对教师进行批量导入、单个新增、编辑、删除、查看等功能。支持对单个教师进行个人资料修改、手机号绑定、限制使用琴房时长等信息的修改；</w:t>
            </w:r>
          </w:p>
          <w:p>
            <w:pPr>
              <w:pStyle w:val="null3"/>
              <w:jc w:val="left"/>
            </w:pPr>
            <w:r>
              <w:rPr>
                <w:sz w:val="21"/>
              </w:rPr>
              <w:t>5）琴点管理：支持对学生琴点进行管理。可实现一键重置琴点的功能。可为单个学生进行琴点的加、减操作。学生用户预约琴房或现场使用琴房会自动扣除相应时长的琴点。当学生取消预约时，被扣除的琴点可自动返还给学生；</w:t>
            </w:r>
          </w:p>
          <w:p>
            <w:pPr>
              <w:pStyle w:val="null3"/>
              <w:jc w:val="left"/>
            </w:pPr>
            <w:r>
              <w:rPr>
                <w:sz w:val="21"/>
              </w:rPr>
              <w:t>6）琴房权限管理：支持对琴房进行按人群或个人分别开放琴房权限的功能。如：某部分琴房仅限提供给钢琴系的学生使用，那么就可以对这部分琴房的使用权限进行单独分配给钢琴系的学生使用，支持权限灵活分配以满足学校的日常管理要求，可以以个人、专业方向、系别、年级等灵活分配，也支持按琴房类型、区域、多个或单个进行权限分配；</w:t>
            </w:r>
          </w:p>
          <w:p>
            <w:pPr>
              <w:pStyle w:val="null3"/>
              <w:jc w:val="left"/>
            </w:pPr>
            <w:r>
              <w:rPr>
                <w:sz w:val="21"/>
              </w:rPr>
              <w:t>7）琴房回收管理：支持对琴房进行删除回收，被删除的琴房会被放置在回收站内，并且可以从回收站中恢复这些琴房；</w:t>
            </w:r>
          </w:p>
          <w:p>
            <w:pPr>
              <w:pStyle w:val="null3"/>
              <w:jc w:val="left"/>
            </w:pPr>
            <w:r>
              <w:rPr>
                <w:sz w:val="21"/>
              </w:rPr>
              <w:t>8）订单管理：①支持对订单进行分类管理，可实时查看订单的状态、订单编号、使用人、预约时段等信息；②管理员可对订单进行取消、签退等操作；③可查看订单的签到情况，如是否迟到签到、准时签到等信息；</w:t>
            </w:r>
          </w:p>
          <w:p>
            <w:pPr>
              <w:pStyle w:val="null3"/>
              <w:jc w:val="left"/>
            </w:pPr>
            <w:r>
              <w:rPr>
                <w:sz w:val="21"/>
              </w:rPr>
              <w:t>▲9）通知公告管理：支持对学生、教师端小程序的公告和通知图片在后台进行上传和编辑、删除等操作，管理员支持在后台设置演出模块，可对应公众号链接，支持点击跳转，管理员设置好演出资讯后，学生、教师端用户可通过点击小程序首页演出模块跳转到相应的演出信息连接，同时用户支持收藏喜爱的演出咨询；（需提供系统截图）</w:t>
            </w:r>
          </w:p>
          <w:p>
            <w:pPr>
              <w:pStyle w:val="null3"/>
              <w:jc w:val="left"/>
            </w:pPr>
            <w:r>
              <w:rPr>
                <w:sz w:val="21"/>
              </w:rPr>
              <w:t>10）设备屏管理：支持对设备屏进行集中管理。可查看设备联网情况、设备编号、设备硬件参数、设备日志、设备版本号等。可查看或重置设备屏后台登录密码等；</w:t>
            </w:r>
          </w:p>
          <w:p>
            <w:pPr>
              <w:pStyle w:val="null3"/>
              <w:jc w:val="left"/>
            </w:pPr>
            <w:r>
              <w:rPr>
                <w:sz w:val="21"/>
              </w:rPr>
              <w:t>11）琴房报修：提供琴房报修处理模块，可在报修模块中接收报修请求，查看报修详情，指派报修任务，处理报修申诉，查看报修结果以及审批报修申诉等。支持在用户的使用过程中，发现琴房设备或乐器等故障时，可提交报修工单，快速通知到相关负责人员，相关负责人可以使用工号登录手机小程序(后勤版)，进行工单的跟进和处理，形成报修闭环。</w:t>
            </w:r>
          </w:p>
          <w:p>
            <w:pPr>
              <w:pStyle w:val="null3"/>
              <w:jc w:val="left"/>
            </w:pPr>
            <w:r>
              <w:rPr>
                <w:sz w:val="21"/>
              </w:rPr>
              <w:t>12）操作记录：提供管理员操作记录。记录类型包括管理员的登录记录、操作记录等。记录内容包含：操作人、操作时间、操作内容等；</w:t>
            </w:r>
          </w:p>
          <w:p>
            <w:pPr>
              <w:pStyle w:val="null3"/>
              <w:jc w:val="left"/>
            </w:pPr>
            <w:r>
              <w:rPr>
                <w:sz w:val="21"/>
              </w:rPr>
              <w:t>13）智能巡播：管理员可通过PC端和小程序端管理后台对琴房发送智能巡播，包括通知、公告、提醒等，可按需求自由编辑内容，支持批量或单个发送，也可按某间琴房或某个区域进行智能巡播，达到学校日常管理琴房的要求；</w:t>
            </w:r>
          </w:p>
          <w:p>
            <w:pPr>
              <w:pStyle w:val="null3"/>
              <w:jc w:val="left"/>
            </w:pPr>
            <w:r>
              <w:rPr>
                <w:sz w:val="21"/>
              </w:rPr>
              <w:t>▲14）智慧琴房教务功能：提供琴房排课的功能，排课方式支持课程表导入排课，支持学期大课表导入排课、课室小课表导入排课等，排课成功后，琴房上课时段将被占用，学生无法进行预约和使用，其余非上课时段学生可以进行正常的预约使用。（需提供系统截图）</w:t>
            </w:r>
          </w:p>
          <w:p>
            <w:pPr>
              <w:pStyle w:val="null3"/>
              <w:jc w:val="left"/>
            </w:pPr>
            <w:r>
              <w:rPr>
                <w:sz w:val="21"/>
              </w:rPr>
              <w:t xml:space="preserve"> </w:t>
            </w:r>
            <w:r>
              <w:rPr>
                <w:sz w:val="21"/>
              </w:rPr>
              <w:t>（</w:t>
            </w:r>
            <w:r>
              <w:rPr>
                <w:sz w:val="21"/>
              </w:rPr>
              <w:t>4）大数据展示平台</w:t>
            </w:r>
          </w:p>
          <w:p>
            <w:pPr>
              <w:pStyle w:val="null3"/>
              <w:jc w:val="left"/>
            </w:pPr>
            <w:r>
              <w:rPr>
                <w:sz w:val="21"/>
              </w:rPr>
              <w:t>1）展示当前学期预约数据：①支持查看半学期预约数量统计；②今日实时预约数量统计。③数据存储要求不少于一年，且后台支持一键导出本地保存；</w:t>
            </w:r>
          </w:p>
          <w:p>
            <w:pPr>
              <w:pStyle w:val="null3"/>
              <w:jc w:val="left"/>
            </w:pPr>
            <w:r>
              <w:rPr>
                <w:sz w:val="21"/>
              </w:rPr>
              <w:t>2）支持历史数据展示：①上周院系练琴时长排名；②上周人均练琴时长院系排名。</w:t>
            </w:r>
          </w:p>
          <w:p>
            <w:pPr>
              <w:pStyle w:val="null3"/>
              <w:jc w:val="left"/>
            </w:pPr>
            <w:r>
              <w:rPr>
                <w:sz w:val="21"/>
              </w:rPr>
              <w:t>3）实时展示当前琴房的使用状态：①实时统计当前琴房占用情况；②展示每种琴房状态下的琴房数量占比。</w:t>
            </w:r>
          </w:p>
          <w:p>
            <w:pPr>
              <w:pStyle w:val="null3"/>
              <w:jc w:val="left"/>
            </w:pPr>
            <w:r>
              <w:rPr>
                <w:sz w:val="21"/>
              </w:rPr>
              <w:t>4）展示今日签到数据：统计各院系实际签到情况；</w:t>
            </w:r>
          </w:p>
          <w:p>
            <w:pPr>
              <w:pStyle w:val="null3"/>
              <w:jc w:val="left"/>
            </w:pPr>
            <w:r>
              <w:rPr>
                <w:sz w:val="21"/>
              </w:rPr>
              <w:t>5）展示昨日琴房的使用情况：查看琴房预约数量；并与实际签到情况、未到的情况做对比；数据一目了然。</w:t>
            </w:r>
          </w:p>
          <w:p>
            <w:pPr>
              <w:pStyle w:val="null3"/>
              <w:jc w:val="left"/>
            </w:pPr>
            <w:r>
              <w:rPr>
                <w:sz w:val="21"/>
              </w:rPr>
              <w:t>6）展示今日院系订单数量：统计当天各院系使用琴房数量。</w:t>
            </w:r>
          </w:p>
          <w:p>
            <w:pPr>
              <w:pStyle w:val="null3"/>
              <w:jc w:val="both"/>
            </w:pPr>
            <w:r>
              <w:rPr>
                <w:sz w:val="21"/>
              </w:rPr>
              <w:t>▲</w:t>
            </w:r>
            <w:r>
              <w:rPr>
                <w:sz w:val="21"/>
              </w:rPr>
              <w:t>（</w:t>
            </w:r>
            <w:r>
              <w:rPr>
                <w:sz w:val="21"/>
              </w:rPr>
              <w:t>5）排行榜：支持多维展示学生练琴数据排行。按周排行：在自然周里，统计学生累计使用琴房的时长进行排名。按月排行：在自然月里，统计学生累计使用琴房的时长进行排名。按学期总排行：在一学期中上课时间里，统计学生累计使用琴房的时长进行排名。（需提供系统截图）</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二十</w:t>
      </w:r>
      <w:r>
        <w:rPr>
          <w:b/>
        </w:rPr>
        <w:t>：</w:t>
      </w:r>
      <w:r>
        <w:rPr>
          <w:b/>
        </w:rPr>
        <w:t>智能终端交互设备系统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1"/>
              </w:rPr>
              <w:t>（</w:t>
            </w:r>
            <w:r>
              <w:rPr>
                <w:sz w:val="21"/>
              </w:rPr>
              <w:t>1）登录方式：支持HDMI接口拓展接入屏幕，输入管理员账号、密码登录密码可进行修改、重置等；</w:t>
            </w:r>
          </w:p>
          <w:p>
            <w:pPr>
              <w:pStyle w:val="null3"/>
              <w:jc w:val="left"/>
            </w:pPr>
            <w:r>
              <w:rPr>
                <w:sz w:val="21"/>
              </w:rPr>
              <w:t>（</w:t>
            </w:r>
            <w:r>
              <w:rPr>
                <w:sz w:val="21"/>
              </w:rPr>
              <w:t>2）设备管理：支持WIFI连网和RJ45网口连网，可通过设备编号绑定琴房，可以对琴房状态实时更新，保障用户可实时获取琴房最新状态，实时与琴房智能终端设备交互信息，实现预约、签到、签退等功能，支持远程设备控制等功能；</w:t>
            </w:r>
          </w:p>
          <w:p>
            <w:pPr>
              <w:pStyle w:val="null3"/>
              <w:jc w:val="both"/>
            </w:pPr>
            <w:r>
              <w:rPr>
                <w:sz w:val="21"/>
              </w:rPr>
              <w:t>（</w:t>
            </w:r>
            <w:r>
              <w:rPr>
                <w:sz w:val="21"/>
              </w:rPr>
              <w:t>3）琴房报修功能：在使用过程中如发现琴房设备或乐器等故障时，用户可扫描终端交互二维码提交报修工单，实现报修闭环。</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1.采购代理机构：本项目是指广东志正招标有限公司，负责整个采购活动的组织，依法负责编制和发布招标文件，对招标文件拥有最终的解释权，不以任何身份出任评标委员会成员。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华南师范大学</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1</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1份，纸质投标文件副本1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采购机构代理服务收费标准：中标人须向采购代理机构按如下标准和规定缴纳招标代理服务费： （1）以项目预算金额作为代理服务费的计算基数； （2）代理服务费采用差额定率累进法进行计算，按照以下标准计算后下浮20%计取：100万元以下的部分，按照1.5%计取； 100-500万元的部分，按照1.1%计取； 500-1000万元的部分，按照0.8%计取。 （3）增值税另行计入招标代理服务费中。</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便利化措施（本招标文件其他条款与本条不一致的，以本条为准），投标文件的递交与开标 ，1. 各投标供应商可以通过“中国邮政”、“EMS”、“顺丰快递”等快递方式，按照采购文件要求在规定的投标截止时间前将《投标文件》及相关样品（如有）送达到开标地点，快递单上应清晰写明如下信息： 1）收件地址：广州市天河区龙怡路117号银汇大厦5楼 2）收件人：广东志正招标有限公司前台 3）注明采购项目编号 如需现场安装或调试的样品，不接受邮寄送达的方式。 需现场陈述的项目，请供应商派代表参与。 2. 通过快递方式递交《投标文件》及相关样品（如有）的，递交时间为送达我司由我司前台人员签收的时间，请投标供应商预留邮寄所需的时间。建议投标供应商在邮递之后，主动在 投标截止时间前及时与我司联系，核实投标文件是否在规定的时间内送达。 3. 通过快递方式递交《投标文件》及相关样品（如有）的，寄错地址、逾期送达、未按照采购文件要求密封或者邮寄过程导致包装密封出现破损的，我司将拒绝接收，由投标供应商自行承担相应责任与后果，我司不承担责任。 4. 投标供应商未参加现场开标的，视同认可开标结果。 中标（成交）通知书与发票送达 我司鼓励将通过快递方式送达给中标（成交）人，服务费（标书款）发票以邮件方式发送电子发票。 采购合同送达 我司提倡中标（成交）人优先采用邮寄方式将签订的合同及时送达我司。 1）收件地址：广州市天河区龙怡路117号银汇大厦5 楼 2）收件人：广东志正招标有限公司前台 3）注明采购项目编号</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广东志正招标有限公司</w:t>
      </w:r>
      <w:r>
        <w:rPr/>
        <w:t>代收。具体操作要求详见</w:t>
      </w:r>
      <w:r>
        <w:rPr/>
        <w:t>广东志正招标有限公司</w:t>
      </w:r>
      <w:r>
        <w:rPr/>
        <w:t>有关指引，递交事宜请自行咨询</w:t>
      </w:r>
      <w:r>
        <w:rPr/>
        <w:t>广东志正招标有限公司</w:t>
      </w:r>
      <w:r>
        <w:rPr/>
        <w:t>；请各投标人在投标文件递交截止时间前按须知前附表规定的金额递交至</w:t>
      </w:r>
      <w:r>
        <w:rPr/>
        <w:t>广东志正招标有限公司</w:t>
      </w:r>
      <w:r>
        <w:rPr/>
        <w:t>，到账情况以开标时</w:t>
      </w:r>
      <w:r>
        <w:rPr/>
        <w:t>广东志正招标有限公司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广东志正招标有限公司（https://www.zztender.com/）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广东志正招标有限公司（https://www.zztender.com/）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内控部</w:t>
      </w:r>
    </w:p>
    <w:p>
      <w:pPr>
        <w:pStyle w:val="null3"/>
        <w:ind w:firstLine="480"/>
      </w:pPr>
      <w:r>
        <w:rPr/>
        <w:t>电话：</w:t>
      </w:r>
      <w:r>
        <w:rPr/>
        <w:t>020-87512543</w:t>
      </w:r>
    </w:p>
    <w:p>
      <w:pPr>
        <w:pStyle w:val="null3"/>
        <w:ind w:firstLine="480"/>
      </w:pPr>
      <w:r>
        <w:rPr/>
        <w:t>传真：</w:t>
      </w:r>
      <w:r>
        <w:rPr/>
        <w:t>87554028</w:t>
      </w:r>
    </w:p>
    <w:p>
      <w:pPr>
        <w:pStyle w:val="null3"/>
        <w:ind w:firstLine="480"/>
      </w:pPr>
      <w:r>
        <w:rPr/>
        <w:t>邮箱：</w:t>
      </w:r>
      <w:r>
        <w:rPr/>
        <w:t>nkb@zztender.com</w:t>
      </w:r>
    </w:p>
    <w:p>
      <w:pPr>
        <w:pStyle w:val="null3"/>
        <w:ind w:firstLine="480"/>
      </w:pPr>
      <w:r>
        <w:rPr/>
        <w:t>地址：</w:t>
      </w:r>
      <w:r>
        <w:rPr/>
        <w:t>广东省广州市天河区龙怡路117号银汇大厦5楼</w:t>
      </w:r>
    </w:p>
    <w:p>
      <w:pPr>
        <w:pStyle w:val="null3"/>
        <w:ind w:firstLine="480"/>
      </w:pPr>
      <w:r>
        <w:rPr/>
        <w:t>邮编：</w:t>
      </w:r>
      <w:r>
        <w:rPr/>
        <w:t>510640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话：020-83188586、020-83188511、020-83188509、020-83188508</w:t>
      </w:r>
    </w:p>
    <w:p>
      <w:pPr>
        <w:pStyle w:val="null3"/>
      </w:pPr>
      <w:r>
        <w:rPr/>
        <w:t>邮 编：510030</w:t>
      </w:r>
    </w:p>
    <w:p>
      <w:pPr>
        <w:pStyle w:val="null3"/>
      </w:pPr>
      <w:r>
        <w:rPr/>
        <w:t>传 真：020-83357559</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采购包1(学生琴房智慧系统采购项目)：综合评分法,是指投标文件满足招标文件全部实质性要求，且按照评审因素的量化指标评审得分最高的投标人为中标候选人的评标方法。（最低报价不是中标的唯一依据。）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广东志正招标有限公司</w:t>
      </w:r>
      <w:r>
        <w:rPr/>
        <w:t>统一对外发布。</w:t>
      </w:r>
    </w:p>
    <w:p>
      <w:pPr>
        <w:pStyle w:val="null3"/>
        <w:ind w:firstLine="480"/>
      </w:pPr>
      <w:r>
        <w:rPr/>
        <w:t>（2）对</w:t>
      </w:r>
      <w:r>
        <w:rPr/>
        <w:t>广东志正招标有限公司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采购包1（学生琴房智慧系统采购项目）：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2%</w:t>
            </w:r>
          </w:p>
        </w:tc>
        <w:tc>
          <w:tcPr>
            <w:tcW w:type="dxa" w:w="2160"/>
          </w:tcPr>
          <w:p>
            <w:pPr>
              <w:pStyle w:val="null3"/>
              <w:jc w:val="left"/>
            </w:pPr>
            <w:r>
              <w:rPr/>
              <w:t>节能产品、环境标志产品价格扣除：1.投标产品(针对非政府强制采购产品)获得有效期内的节能产品认证证书的，对节能产品的价格给予2%的扣除，用扣除后的价格参与评审。（提供节能产品认证证书）。 2.投标产品(针对非政府强制采购产品)获得有效期内的环境标志产品认证证书的，对环境标志产品的价格给予2%的扣除，用扣除后的价格参与评审。（提供环境标志产品认证证书）。3.对属于强制采购的节能产品，节能要求作为实质性响应指标，不再享受评审优惠。</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采购包1（学生琴房智慧系统采购项目）：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最新的投标人营业执照（或事业单位法人证书，或社会团体法人登记证书，或执业许可证）副本复印件；依法经国务院批准免予登记的社会组织的，应提供相应文件证明其依法免予登记。如投标人为自然人的需提供自然人身份证明。若以不具有独立承担民事责任能力的分支机构投标，须取得具有法人资格的总公司的授权书，并提供总公司营业执照副本复印件。</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 如依法免税或不需要缴纳社会保障资金的， 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提供2023年年度财务状况报告或投标截止日前6个月内任意1个月的财务报表复印件或基本开户行出具的资信证明。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填报设备及专业技术能力情况，格式自拟。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项目属于专门面向中小企业采购的项目。所有货物的制造商应为中小微企业。投标人应按要求出具《中小企业声明函》；属于监狱企业的，提供由省级以上监狱管理局、戒毒管理局(含新疆生产建设兵团)出具的属于监狱企业的证明文件；属于残疾人福利性单位的，提供《残疾人福利性单位声明函》。</w:t>
            </w:r>
          </w:p>
        </w:tc>
      </w:tr>
    </w:tbl>
    <w:p>
      <w:pPr>
        <w:pStyle w:val="null3"/>
        <w:ind w:firstLine="480"/>
      </w:pPr>
      <w:r>
        <w:rPr/>
        <w:t>表二符合性审查表：</w:t>
      </w:r>
    </w:p>
    <w:p>
      <w:pPr>
        <w:pStyle w:val="null3"/>
      </w:pPr>
      <w:r>
        <w:rPr/>
        <w:t>采购包1（学生琴房智慧系统采购项目）：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符合投标有效期</w:t>
            </w:r>
          </w:p>
        </w:tc>
      </w:tr>
      <w:tr>
        <w:tc>
          <w:tcPr>
            <w:tcW w:type="dxa" w:w="890"/>
          </w:tcPr>
          <w:p>
            <w:pPr>
              <w:pStyle w:val="null3"/>
            </w:pPr>
            <w:r>
              <w:rPr/>
              <w:t>2</w:t>
            </w:r>
          </w:p>
        </w:tc>
        <w:tc>
          <w:tcPr>
            <w:tcW w:type="dxa" w:w="3178"/>
          </w:tcPr>
          <w:p>
            <w:pPr>
              <w:pStyle w:val="null3"/>
            </w:pPr>
            <w:r>
              <w:rPr/>
              <w:t>投标文件按照招标文件规定要求签署、盖章</w:t>
            </w:r>
          </w:p>
        </w:tc>
        <w:tc>
          <w:tcPr>
            <w:tcW w:type="dxa" w:w="4238"/>
          </w:tcPr>
          <w:p>
            <w:pPr>
              <w:pStyle w:val="null3"/>
            </w:pPr>
            <w:r>
              <w:rPr/>
              <w:t>投标文件按照招标文件规定要求签署、盖章，包含：①投标函；②法定代表人证明书或法定代表人授权书；③开标一览表；④分项报价表</w:t>
            </w:r>
          </w:p>
        </w:tc>
      </w:tr>
      <w:tr>
        <w:tc>
          <w:tcPr>
            <w:tcW w:type="dxa" w:w="890"/>
          </w:tcPr>
          <w:p>
            <w:pPr>
              <w:pStyle w:val="null3"/>
            </w:pPr>
            <w:r>
              <w:rPr/>
              <w:t>3</w:t>
            </w:r>
          </w:p>
        </w:tc>
        <w:tc>
          <w:tcPr>
            <w:tcW w:type="dxa" w:w="3178"/>
          </w:tcPr>
          <w:p>
            <w:pPr>
              <w:pStyle w:val="null3"/>
            </w:pPr>
            <w:r>
              <w:rPr/>
              <w:t>投标报价</w:t>
            </w:r>
          </w:p>
        </w:tc>
        <w:tc>
          <w:tcPr>
            <w:tcW w:type="dxa" w:w="4238"/>
          </w:tcPr>
          <w:p>
            <w:pPr>
              <w:pStyle w:val="null3"/>
            </w:pPr>
            <w:r>
              <w:rPr/>
              <w:t>投标报价没有超出最高限价</w:t>
            </w:r>
          </w:p>
        </w:tc>
      </w:tr>
      <w:tr>
        <w:tc>
          <w:tcPr>
            <w:tcW w:type="dxa" w:w="890"/>
          </w:tcPr>
          <w:p>
            <w:pPr>
              <w:pStyle w:val="null3"/>
            </w:pPr>
            <w:r>
              <w:rPr/>
              <w:t>4</w:t>
            </w:r>
          </w:p>
        </w:tc>
        <w:tc>
          <w:tcPr>
            <w:tcW w:type="dxa" w:w="3178"/>
          </w:tcPr>
          <w:p>
            <w:pPr>
              <w:pStyle w:val="null3"/>
            </w:pPr>
            <w:r>
              <w:rPr/>
              <w:t>标注“★”的条款的满足情况</w:t>
            </w:r>
          </w:p>
        </w:tc>
        <w:tc>
          <w:tcPr>
            <w:tcW w:type="dxa" w:w="4238"/>
          </w:tcPr>
          <w:p>
            <w:pPr>
              <w:pStyle w:val="null3"/>
            </w:pPr>
            <w:r>
              <w:rPr/>
              <w:t>完全满足招标文件中标注“★”的条款</w:t>
            </w:r>
          </w:p>
        </w:tc>
      </w:tr>
      <w:tr>
        <w:tc>
          <w:tcPr>
            <w:tcW w:type="dxa" w:w="890"/>
          </w:tcPr>
          <w:p>
            <w:pPr>
              <w:pStyle w:val="null3"/>
            </w:pPr>
            <w:r>
              <w:rPr/>
              <w:t>5</w:t>
            </w:r>
          </w:p>
        </w:tc>
        <w:tc>
          <w:tcPr>
            <w:tcW w:type="dxa" w:w="3178"/>
          </w:tcPr>
          <w:p>
            <w:pPr>
              <w:pStyle w:val="null3"/>
            </w:pPr>
            <w:r>
              <w:rPr/>
              <w:t>未出现有关法律、法规、规章或招标文件规定的属于投标无效的情形</w:t>
            </w:r>
          </w:p>
        </w:tc>
        <w:tc>
          <w:tcPr>
            <w:tcW w:type="dxa" w:w="4238"/>
          </w:tcPr>
          <w:p>
            <w:pPr>
              <w:pStyle w:val="null3"/>
            </w:pPr>
            <w:r>
              <w:rPr/>
              <w:t>未出现有关法律、法规、规章或招标文件规定的属于投标无效的情形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采购包1(学生琴房智慧系统采购项目):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商务部分6.0分</w:t>
            </w:r>
          </w:p>
          <w:p>
            <w:pPr>
              <w:pStyle w:val="null3"/>
            </w:pPr>
            <w:r>
              <w:rPr/>
              <w:t>技术部分64.0分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重要技术条款响应情况 (5.0分)</w:t>
            </w:r>
          </w:p>
        </w:tc>
        <w:tc>
          <w:tcPr>
            <w:tcW w:type="dxa" w:w="5076"/>
          </w:tcPr>
          <w:p>
            <w:pPr>
              <w:pStyle w:val="null3"/>
              <w:jc w:val="left"/>
            </w:pPr>
            <w:r>
              <w:rPr/>
              <w:t>投标人所投产品技术参数满足第二章 采购需求附表中“具体技术(参数)要求”中标注“▲”的重要技术参数的响应情况进行评审（共5项）：每满足一项得1分，最高得5分。 注：如“具体技术(参数)要求”中有明确提供的证明资料的，则以“具体技术(参数)要求”中要求的为准;如“具体技术(参数)要求”无明确要求提供的证明材料，则以投标人提供的响应情况为准，不按要求提供或提供不符的视为负偏离。</w:t>
            </w:r>
          </w:p>
        </w:tc>
      </w:tr>
      <w:tr>
        <w:tc>
          <w:tcPr>
            <w:tcW w:type="dxa" w:w="922"/>
            <w:gridSpan w:val="2"/>
            <w:vMerge/>
          </w:tcPr>
          <w:p/>
        </w:tc>
        <w:tc>
          <w:tcPr>
            <w:tcW w:type="dxa" w:w="2307"/>
          </w:tcPr>
          <w:p>
            <w:pPr>
              <w:pStyle w:val="null3"/>
              <w:jc w:val="left"/>
            </w:pPr>
            <w:r>
              <w:rPr/>
              <w:t>一般技术参数响应情况 (27.3分)</w:t>
            </w:r>
          </w:p>
        </w:tc>
        <w:tc>
          <w:tcPr>
            <w:tcW w:type="dxa" w:w="5076"/>
          </w:tcPr>
          <w:p>
            <w:pPr>
              <w:pStyle w:val="null3"/>
              <w:jc w:val="left"/>
            </w:pPr>
            <w:r>
              <w:rPr/>
              <w:t>投标人所投产品技术参数满足第二章 采购需求附表中“具体技术(参数)要求”中一般技术参数（非★及▲）的响应情况进行评审（共91项）：每满足一项得0.3分，最高得27.3分。 注：如“具体技术(参数)要求”中有明确提供的证明资料的，则以“具体技术(参数)要求”中要求的为准;如“具体技术(参数)要求”无明确要求提供的证明材料，则以投标人提供的响应情况为准，不按要求提供或提供不符的视为负偏离。</w:t>
            </w:r>
          </w:p>
        </w:tc>
      </w:tr>
      <w:tr>
        <w:tc>
          <w:tcPr>
            <w:tcW w:type="dxa" w:w="922"/>
            <w:gridSpan w:val="2"/>
            <w:vMerge/>
          </w:tcPr>
          <w:p/>
        </w:tc>
        <w:tc>
          <w:tcPr>
            <w:tcW w:type="dxa" w:w="2307"/>
          </w:tcPr>
          <w:p>
            <w:pPr>
              <w:pStyle w:val="null3"/>
              <w:jc w:val="left"/>
            </w:pPr>
            <w:r>
              <w:rPr/>
              <w:t>演示情况 (10.0分)</w:t>
            </w:r>
          </w:p>
        </w:tc>
        <w:tc>
          <w:tcPr>
            <w:tcW w:type="dxa" w:w="5076"/>
          </w:tcPr>
          <w:p>
            <w:pPr>
              <w:pStyle w:val="null3"/>
              <w:jc w:val="left"/>
            </w:pPr>
            <w:r>
              <w:rPr/>
              <w:t>投标人现场提供扩展硬件设备现场进行联网、断网的功能识别演示。每演示成功一项得1分，最高得10分。演示不成功的或未提供演示的不得分。具体演示内容如下: 1、预约琴房 （1）选择预约方式： 手机APP或小程序预约：学生或教师可以通过手机APP或小程序进行琴房预约。方便用户查看琴房的实时状态和预约情况。 智慧终端预约：在智慧琴房所在区域的智慧终端上，用户也可以通过点击“预约琴房”按钮进行预约。智慧终端通常提供多种登录方式，如微信扫码或人脸识别。 （2）选择琴房和时段： 在预约界面，用户可以查看所有可用的琴房列表，以及每个琴房的实时状态（如空闲、已预约、停用中等）。 用户可以根据自己的需求选择合适的琴房和预约时段。 琴房管理老师可以根据系统智能统计的大数据，设置每个院系、学生可预约未来天数、每天可预约次数及可预约时长等，合理分配学校琴房数量及平均需求，保障琴房时刻处于最佳使用状态。 （3）确认预约： 选择好琴房和时段后，用户需要确认预约信息，并点击“确定”或“提交”按钮进行预约。 系统会生成一个预约订单，并可在公众好发送预约成功通知及琴房位置、使用时间等信息至用户手机。 2、进入琴房 （1）选择开门方式： 扫码开门：用户可以使用手机微信扫描琴房门口的二维码进行开门。 手机端开门：用户可以在手机端点击开门功能直接开门。 （2）签到与开始使用： 成功开门后，用户需要进入预约订单详情页面进行签到。 签到成功后，用户可以开始使用琴房进行练习或教学。 （3）暂时离开： 用户签到预约订单后，订单状态进入使用中时，如中途需要上厕所、上课等需求时，在手机端点击“暂时离开”按钮激活暂时离开功能，用户在在规定时间内回到琴房即可，如未在规定时间内回到琴房，系统智能签退订单，将琴房资源释放。 3、使用过程中的相关操作 （1）调节灯光： 智慧琴房系统通常支持对灯光和空调进行智能控制。用户可以通过手机APP、小程序调节灯光等参数。 （2）查看通知与公告： 用户可以通过手机APP或小程序查看学校发布的通知和公告，如课程变动、琴房维修通知等。 （3）提交故障报修： 如果在使用过程中发现琴房设备出现故障或损坏，用户可以通过手机APP或小程序提交故障报修单。系统会将报修信息发送给管理人员进行处理。 （4）结束使用与退出： 用户完成练习或教学后，系统可按预设智能关闭灯光等设备，并智能签退订单，全程无需用户人工介入退琴、关闭灯光设备。 退出琴房时，按琴房开门按钮出门即可。</w:t>
            </w:r>
          </w:p>
        </w:tc>
      </w:tr>
      <w:tr>
        <w:tc>
          <w:tcPr>
            <w:tcW w:type="dxa" w:w="922"/>
            <w:gridSpan w:val="2"/>
            <w:vMerge/>
          </w:tcPr>
          <w:p/>
        </w:tc>
        <w:tc>
          <w:tcPr>
            <w:tcW w:type="dxa" w:w="2307"/>
          </w:tcPr>
          <w:p>
            <w:pPr>
              <w:pStyle w:val="null3"/>
              <w:jc w:val="left"/>
            </w:pPr>
            <w:r>
              <w:rPr/>
              <w:t>总体实施方案 (7.7分)</w:t>
            </w:r>
            <w:r>
              <w:rPr/>
              <w:t>，（等次分值选择：</w:t>
            </w:r>
            <w:r>
              <w:rPr/>
              <w:t>0.0;</w:t>
            </w:r>
            <w:r>
              <w:rPr/>
              <w:t>1.0;</w:t>
            </w:r>
            <w:r>
              <w:rPr/>
              <w:t>4.0;</w:t>
            </w:r>
            <w:r>
              <w:rPr/>
              <w:t>7.7;</w:t>
            </w:r>
            <w:r>
              <w:rPr/>
              <w:t>）</w:t>
            </w:r>
          </w:p>
        </w:tc>
        <w:tc>
          <w:tcPr>
            <w:tcW w:type="dxa" w:w="5076"/>
          </w:tcPr>
          <w:p>
            <w:pPr>
              <w:pStyle w:val="null3"/>
              <w:jc w:val="left"/>
            </w:pPr>
            <w:r>
              <w:rPr/>
              <w:t>对投标人提供的总体实施方案（包括但不限于项目实施计划、供货方案、安装调试方案等）进行评审： （1）方案内容完善，科学合理，可操作性强，得7.7分； （2）方案内容较完善，较科学合理，可操作性较强，得4分； （3）方案内容基本完善，基本科学合理，可操作性欠缺，得1分； （4）不提供不得分。</w:t>
            </w:r>
          </w:p>
        </w:tc>
      </w:tr>
      <w:tr>
        <w:tc>
          <w:tcPr>
            <w:tcW w:type="dxa" w:w="922"/>
            <w:gridSpan w:val="2"/>
            <w:vMerge/>
          </w:tcPr>
          <w:p/>
        </w:tc>
        <w:tc>
          <w:tcPr>
            <w:tcW w:type="dxa" w:w="2307"/>
          </w:tcPr>
          <w:p>
            <w:pPr>
              <w:pStyle w:val="null3"/>
              <w:jc w:val="left"/>
            </w:pPr>
            <w:r>
              <w:rPr/>
              <w:t>培训方案 (7.0分)</w:t>
            </w:r>
            <w:r>
              <w:rPr/>
              <w:t>，（等次分值选择：</w:t>
            </w:r>
            <w:r>
              <w:rPr/>
              <w:t>0.0;</w:t>
            </w:r>
            <w:r>
              <w:rPr/>
              <w:t>1.0;</w:t>
            </w:r>
            <w:r>
              <w:rPr/>
              <w:t>4.0;</w:t>
            </w:r>
            <w:r>
              <w:rPr/>
              <w:t>7.0;</w:t>
            </w:r>
            <w:r>
              <w:rPr/>
              <w:t>）</w:t>
            </w:r>
          </w:p>
        </w:tc>
        <w:tc>
          <w:tcPr>
            <w:tcW w:type="dxa" w:w="5076"/>
          </w:tcPr>
          <w:p>
            <w:pPr>
              <w:pStyle w:val="null3"/>
              <w:jc w:val="left"/>
            </w:pPr>
            <w:r>
              <w:rPr/>
              <w:t>根据投标人提供的培训方案内容（包括但不限于培训计划、培训时间安排、培训方式、培训内容，培训人员等）进行评审： （1）方案完整具体，科学合理、可操作性强，得7分； （2）方案较完整具体，较科学合理、可操作性较强，得4分； （3）方案基本完整具体，基本科学合理、可操作性欠缺，得1分； （4）不提供不得分。</w:t>
            </w:r>
          </w:p>
        </w:tc>
      </w:tr>
      <w:tr>
        <w:tc>
          <w:tcPr>
            <w:tcW w:type="dxa" w:w="922"/>
            <w:gridSpan w:val="2"/>
            <w:vMerge/>
          </w:tcPr>
          <w:p/>
        </w:tc>
        <w:tc>
          <w:tcPr>
            <w:tcW w:type="dxa" w:w="2307"/>
          </w:tcPr>
          <w:p>
            <w:pPr>
              <w:pStyle w:val="null3"/>
              <w:jc w:val="left"/>
            </w:pPr>
            <w:r>
              <w:rPr/>
              <w:t>售后服务方案 (7.0分)</w:t>
            </w:r>
            <w:r>
              <w:rPr/>
              <w:t>，（等次分值选择：</w:t>
            </w:r>
            <w:r>
              <w:rPr/>
              <w:t>0.0;</w:t>
            </w:r>
            <w:r>
              <w:rPr/>
              <w:t>1.0;</w:t>
            </w:r>
            <w:r>
              <w:rPr/>
              <w:t>4.0;</w:t>
            </w:r>
            <w:r>
              <w:rPr/>
              <w:t>7.0;</w:t>
            </w:r>
            <w:r>
              <w:rPr/>
              <w:t>）</w:t>
            </w:r>
          </w:p>
        </w:tc>
        <w:tc>
          <w:tcPr>
            <w:tcW w:type="dxa" w:w="5076"/>
          </w:tcPr>
          <w:p>
            <w:pPr>
              <w:pStyle w:val="null3"/>
              <w:jc w:val="left"/>
            </w:pPr>
            <w:r>
              <w:rPr/>
              <w:t>根据投标人提供的售后服务方案（包含但不限于日常维护，响应措施，质保期限及范围等）进行评审： （1）售后服务方案详细完整，能保障提供满足项目要求的售后服务工作的，得7分； （2）售后服务方案基本完整，基本保障售后服务工作的，得4分； （3）售后服务方案不完整，不能保障售后服务工作进行的，得1分； （4）不提供不得分。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(4.0分)</w:t>
            </w:r>
          </w:p>
        </w:tc>
        <w:tc>
          <w:tcPr>
            <w:tcW w:type="dxa" w:w="5076"/>
          </w:tcPr>
          <w:p>
            <w:pPr>
              <w:pStyle w:val="null3"/>
              <w:jc w:val="left"/>
            </w:pPr>
            <w:r>
              <w:rPr/>
              <w:t>投标人自2021年1月1日至今已完成的同类项目，每提供一个得1分，最多得4分。 注：须提供合同复印件，以合同签订时间为准，不提供不得分。</w:t>
            </w:r>
          </w:p>
        </w:tc>
      </w:tr>
      <w:tr>
        <w:tc>
          <w:tcPr>
            <w:tcW w:type="dxa" w:w="922"/>
            <w:gridSpan w:val="2"/>
            <w:vMerge/>
          </w:tcPr>
          <w:p/>
        </w:tc>
        <w:tc>
          <w:tcPr>
            <w:tcW w:type="dxa" w:w="2307"/>
          </w:tcPr>
          <w:p>
            <w:pPr>
              <w:pStyle w:val="null3"/>
              <w:jc w:val="left"/>
            </w:pPr>
            <w:r>
              <w:rPr/>
              <w:t>服务响应能力 (2.0分)</w:t>
            </w:r>
          </w:p>
        </w:tc>
        <w:tc>
          <w:tcPr>
            <w:tcW w:type="dxa" w:w="5076"/>
          </w:tcPr>
          <w:p>
            <w:pPr>
              <w:pStyle w:val="null3"/>
              <w:jc w:val="left"/>
            </w:pPr>
            <w:r>
              <w:rPr/>
              <w:t>投标人承诺：质保期内，在接到系统故障或问题告知后，中标人响应时间不得超过1小时，到达现场时间不得超过2小时，并应在24小时（前述响应及到达现场时间已包含计算在内）内排除故障。否则视为中标人不能修复货物。完全满足或优于上述要求的得2分。 注：提供承诺或声明，格式自拟，不提供或无法认定的不得分。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56"/>
          <w:b/>
        </w:rPr>
        <w:t>华南师范大学货物采购合同书</w:t>
      </w:r>
    </w:p>
    <w:p>
      <w:pPr>
        <w:pStyle w:val="null3"/>
        <w:spacing w:before="315" w:after="150"/>
        <w:jc w:val="center"/>
      </w:pPr>
      <w:r>
        <w:rPr>
          <w:sz w:val="44"/>
          <w:b/>
        </w:rPr>
        <w:t>（仅供参考）</w:t>
      </w:r>
    </w:p>
    <w:p>
      <w:pPr>
        <w:pStyle w:val="null3"/>
        <w:jc w:val="both"/>
      </w:pPr>
      <w:r>
        <w:rPr>
          <w:sz w:val="28"/>
          <w:b/>
        </w:rPr>
        <w:t>甲方：</w:t>
      </w:r>
      <w:r>
        <w:rPr>
          <w:sz w:val="28"/>
          <w:b/>
          <w:u w:val="single"/>
        </w:rPr>
        <w:t xml:space="preserve">   </w:t>
      </w:r>
      <w:r>
        <w:rPr>
          <w:sz w:val="28"/>
          <w:b/>
          <w:u w:val="single"/>
        </w:rPr>
        <w:t>华南师范大学</w:t>
      </w:r>
    </w:p>
    <w:p>
      <w:pPr>
        <w:pStyle w:val="null3"/>
        <w:ind w:firstLine="1968"/>
        <w:jc w:val="left"/>
      </w:pPr>
      <w:r>
        <w:rPr>
          <w:sz w:val="28"/>
          <w:b/>
        </w:rPr>
        <w:t>乙方：</w:t>
      </w:r>
      <w:r>
        <w:rPr>
          <w:sz w:val="28"/>
          <w:b/>
          <w:u w:val="single"/>
        </w:rPr>
        <w:t>（必填项）</w:t>
      </w:r>
    </w:p>
    <w:p>
      <w:pPr>
        <w:pStyle w:val="null3"/>
        <w:ind w:firstLine="1968"/>
        <w:jc w:val="left"/>
      </w:pPr>
      <w:r>
        <w:rPr>
          <w:sz w:val="28"/>
          <w:b/>
        </w:rPr>
        <w:t>签订地点：</w:t>
      </w:r>
      <w:r>
        <w:rPr>
          <w:sz w:val="28"/>
          <w:b/>
          <w:u w:val="single"/>
        </w:rPr>
        <w:t xml:space="preserve">   </w:t>
      </w:r>
      <w:r>
        <w:rPr>
          <w:sz w:val="28"/>
          <w:b/>
          <w:u w:val="single"/>
        </w:rPr>
        <w:t>广州市</w:t>
      </w:r>
      <w:r>
        <w:rPr>
          <w:sz w:val="28"/>
          <w:b/>
          <w:u w:val="single"/>
        </w:rPr>
        <w:t>天河区</w:t>
      </w:r>
      <w:r>
        <w:rPr>
          <w:sz w:val="28"/>
          <w:b/>
          <w:u w:val="single"/>
        </w:rPr>
        <w:t xml:space="preserve">   </w:t>
      </w:r>
    </w:p>
    <w:p>
      <w:pPr>
        <w:pStyle w:val="null3"/>
        <w:ind w:firstLine="1968"/>
        <w:jc w:val="left"/>
      </w:pPr>
      <w:r>
        <w:rPr>
          <w:sz w:val="28"/>
          <w:b/>
        </w:rPr>
        <w:t>合同名称：</w:t>
      </w:r>
      <w:r>
        <w:rPr>
          <w:sz w:val="28"/>
          <w:b/>
          <w:u w:val="single"/>
        </w:rPr>
        <w:t>华南师范大学学生琴房智慧系统采购项目</w:t>
      </w:r>
    </w:p>
    <w:p>
      <w:pPr>
        <w:pStyle w:val="null3"/>
        <w:ind w:firstLine="1925"/>
        <w:jc w:val="left"/>
      </w:pPr>
      <w:r>
        <w:rPr>
          <w:sz w:val="28"/>
          <w:b/>
        </w:rPr>
        <w:t>合同编号：</w:t>
      </w:r>
      <w:r>
        <w:rPr>
          <w:sz w:val="28"/>
          <w:b/>
          <w:u w:val="single"/>
        </w:rPr>
        <w:t>（示例：</w:t>
      </w:r>
      <w:r>
        <w:rPr>
          <w:sz w:val="28"/>
          <w:b/>
          <w:u w:val="single"/>
        </w:rPr>
        <w:t>HT2020XXXXX）</w:t>
      </w:r>
    </w:p>
    <w:p>
      <w:pPr>
        <w:pStyle w:val="null3"/>
        <w:ind w:firstLine="1968"/>
        <w:jc w:val="left"/>
      </w:pPr>
      <w:r>
        <w:rPr>
          <w:sz w:val="28"/>
          <w:b/>
        </w:rPr>
        <w:t>采购编号：</w:t>
      </w:r>
      <w:r>
        <w:rPr>
          <w:sz w:val="28"/>
          <w:b/>
          <w:u w:val="single"/>
        </w:rPr>
        <w:t>（原思必得系统产生）</w:t>
      </w:r>
    </w:p>
    <w:p>
      <w:pPr>
        <w:pStyle w:val="null3"/>
        <w:ind w:firstLine="2168"/>
        <w:jc w:val="left"/>
      </w:pPr>
      <w:r>
        <w:rPr>
          <w:sz w:val="28"/>
          <w:b/>
        </w:rPr>
        <w:t>华南师范大学采购与招投标中心拟制</w:t>
      </w:r>
    </w:p>
    <w:p>
      <w:pPr>
        <w:pStyle w:val="null3"/>
        <w:jc w:val="center"/>
      </w:pPr>
      <w:r>
        <w:rPr>
          <w:sz w:val="28"/>
          <w:b/>
        </w:rPr>
        <w:t>二〇二〇年三月版</w:t>
      </w:r>
    </w:p>
    <w:p>
      <w:pPr>
        <w:pStyle w:val="null3"/>
        <w:jc w:val="center"/>
      </w:pPr>
      <w:r>
        <w:rPr>
          <w:sz w:val="28"/>
          <w:b/>
        </w:rPr>
        <w:t>合同使用指引</w:t>
      </w:r>
    </w:p>
    <w:p>
      <w:pPr>
        <w:pStyle w:val="null3"/>
      </w:pPr>
      <w:r>
        <w:rPr/>
        <w:t xml:space="preserve"> </w:t>
      </w:r>
    </w:p>
    <w:p>
      <w:pPr>
        <w:pStyle w:val="null3"/>
        <w:ind w:firstLine="420"/>
        <w:jc w:val="left"/>
      </w:pPr>
      <w:r>
        <w:rPr>
          <w:sz w:val="21"/>
        </w:rPr>
        <w:t>一、本合同书为华南师范大学</w:t>
      </w:r>
      <w:r>
        <w:rPr>
          <w:sz w:val="21"/>
          <w:b/>
        </w:rPr>
        <w:t>国内</w:t>
      </w:r>
      <w:r>
        <w:rPr>
          <w:sz w:val="21"/>
        </w:rPr>
        <w:t>货物采购合同范本，</w:t>
      </w:r>
      <w:r>
        <w:rPr>
          <w:sz w:val="21"/>
          <w:b/>
        </w:rPr>
        <w:t>适用于公开招标、邀请招标、单一来源、竞争性谈判、竞争性磋商、询价等采购方式产生的合同</w:t>
      </w:r>
      <w:r>
        <w:rPr>
          <w:sz w:val="21"/>
        </w:rPr>
        <w:t>。</w:t>
      </w:r>
    </w:p>
    <w:p>
      <w:pPr>
        <w:pStyle w:val="null3"/>
        <w:ind w:firstLine="420"/>
        <w:jc w:val="left"/>
      </w:pPr>
      <w:r>
        <w:rPr>
          <w:sz w:val="21"/>
        </w:rPr>
        <w:t>二、</w:t>
      </w:r>
      <w:r>
        <w:rPr>
          <w:sz w:val="21"/>
          <w:b/>
        </w:rPr>
        <w:t>本合同书原则上不得随意修改、删减</w:t>
      </w:r>
      <w:r>
        <w:rPr>
          <w:sz w:val="21"/>
        </w:rPr>
        <w:t>，如有特殊约定可增加补充条款或附件，但所补充内容不得与已有条款内容相冲突。</w:t>
      </w:r>
    </w:p>
    <w:p>
      <w:pPr>
        <w:pStyle w:val="null3"/>
        <w:ind w:firstLine="420"/>
        <w:jc w:val="left"/>
      </w:pPr>
      <w:r>
        <w:rPr>
          <w:sz w:val="21"/>
        </w:rPr>
        <w:t>三、在使用本合同书时，</w:t>
      </w:r>
      <w:r>
        <w:rPr>
          <w:sz w:val="21"/>
          <w:b/>
        </w:rPr>
        <w:t>应当结合具体情况正确选择文本中所提供的选择项条款；画横线处及空格的内容则由双方根据实际情况填写</w:t>
      </w:r>
      <w:r>
        <w:rPr>
          <w:sz w:val="21"/>
        </w:rPr>
        <w:t>。对于无需填写的条款，应根据文本提示在该条款处注明</w:t>
      </w:r>
      <w:r>
        <w:rPr>
          <w:sz w:val="21"/>
        </w:rPr>
        <w:t>“无”字样。</w:t>
      </w:r>
    </w:p>
    <w:p>
      <w:pPr>
        <w:pStyle w:val="null3"/>
        <w:ind w:firstLine="420"/>
        <w:jc w:val="left"/>
      </w:pPr>
      <w:r>
        <w:rPr>
          <w:sz w:val="21"/>
        </w:rPr>
        <w:t>四、甲乙双方信息应全部填写完整，合同结尾处的双方签名及签订日期</w:t>
      </w:r>
      <w:r>
        <w:rPr>
          <w:sz w:val="21"/>
          <w:b/>
        </w:rPr>
        <w:t>均应为亲笔签名</w:t>
      </w:r>
      <w:r>
        <w:rPr>
          <w:sz w:val="21"/>
        </w:rPr>
        <w:t>。</w:t>
      </w:r>
    </w:p>
    <w:p>
      <w:pPr>
        <w:pStyle w:val="null3"/>
        <w:ind w:firstLine="420"/>
        <w:jc w:val="left"/>
      </w:pPr>
      <w:r>
        <w:rPr>
          <w:sz w:val="21"/>
        </w:rPr>
        <w:t>五、</w:t>
      </w:r>
      <w:r>
        <w:rPr>
          <w:sz w:val="21"/>
          <w:b/>
        </w:rPr>
        <w:t>本合同书应按规定格式双面打印，大小为</w:t>
      </w:r>
      <w:r>
        <w:rPr>
          <w:sz w:val="21"/>
          <w:b/>
        </w:rPr>
        <w:t>A4幅面，正文内容所用字体应不小于5号字</w:t>
      </w:r>
      <w:r>
        <w:rPr>
          <w:sz w:val="21"/>
        </w:rPr>
        <w:t>。合同附件应与合同书装订在一起，其规格大小应与合同书一致。</w:t>
      </w:r>
    </w:p>
    <w:p>
      <w:pPr>
        <w:pStyle w:val="null3"/>
        <w:ind w:firstLine="420"/>
        <w:jc w:val="left"/>
      </w:pPr>
      <w:r>
        <w:rPr>
          <w:sz w:val="21"/>
        </w:rPr>
        <w:t>六、本合同书经甲乙双方法定代表人或委托代理人签署、加盖单位公章后，送贰份至采购与招投标中心存档备案。</w:t>
      </w:r>
    </w:p>
    <w:p>
      <w:pPr>
        <w:pStyle w:val="null3"/>
        <w:ind w:firstLine="420"/>
        <w:jc w:val="left"/>
      </w:pPr>
      <w:r>
        <w:rPr>
          <w:sz w:val="21"/>
        </w:rPr>
        <w:t>七、甲乙双方应保管好合同书原件。</w:t>
      </w:r>
    </w:p>
    <w:p>
      <w:pPr>
        <w:pStyle w:val="null3"/>
        <w:ind w:firstLine="420"/>
        <w:jc w:val="left"/>
      </w:pPr>
      <w:r>
        <w:rPr>
          <w:sz w:val="21"/>
        </w:rPr>
        <w:t>八、如有疑问请与采购中心采购一部联系，联系电话：</w:t>
      </w:r>
      <w:r>
        <w:rPr>
          <w:sz w:val="21"/>
        </w:rPr>
        <w:t>85211082。</w:t>
      </w:r>
    </w:p>
    <w:p>
      <w:pPr>
        <w:pStyle w:val="null3"/>
        <w:ind w:firstLine="420"/>
        <w:jc w:val="left"/>
      </w:pPr>
      <w:r>
        <w:rPr>
          <w:sz w:val="21"/>
        </w:rPr>
        <w:t>根据《中华人民共和国政府采购法》、《中华人民共和国招标投标法》、《中华人民共和国民法典》等法律法规，以及甲方委托</w:t>
      </w:r>
      <w:r>
        <w:rPr>
          <w:sz w:val="21"/>
        </w:rPr>
        <w:t>__________（代理机构名称）组织的_____项目（项目名称）(采购编号_________)的成交结果，经甲乙双方协商一致，签订本合同，由双方共同恪守如下内容：</w:t>
      </w:r>
    </w:p>
    <w:p>
      <w:pPr>
        <w:pStyle w:val="null3"/>
        <w:ind w:firstLine="422"/>
        <w:jc w:val="left"/>
      </w:pPr>
      <w:r>
        <w:rPr>
          <w:sz w:val="21"/>
          <w:b/>
        </w:rPr>
        <w:t>一、合同标的</w:t>
      </w:r>
    </w:p>
    <w:p>
      <w:pPr>
        <w:pStyle w:val="null3"/>
        <w:ind w:firstLine="420"/>
        <w:jc w:val="left"/>
      </w:pPr>
      <w:r>
        <w:rPr>
          <w:sz w:val="21"/>
        </w:rPr>
        <w:t>1．标的物明细</w:t>
      </w:r>
    </w:p>
    <w:p>
      <w:pPr>
        <w:pStyle w:val="null3"/>
        <w:ind w:firstLine="420"/>
        <w:jc w:val="left"/>
      </w:pPr>
      <w:r>
        <w:rPr>
          <w:sz w:val="21"/>
        </w:rPr>
        <w:t>本合同标的为</w:t>
      </w:r>
      <w:r>
        <w:rPr>
          <w:sz w:val="21"/>
        </w:rPr>
        <w:t>___________（货物名称），包括设计、货物供货、安装、调试、培训、验收、技术服务、质保期保障等的全部内容，详细内容见下表：</w:t>
      </w:r>
    </w:p>
    <w:p>
      <w:pPr>
        <w:pStyle w:val="null3"/>
        <w:ind w:firstLine="420"/>
        <w:jc w:val="center"/>
      </w:pPr>
      <w:r>
        <w:rPr>
          <w:sz w:val="21"/>
        </w:rPr>
        <w:t>请选择填写方式：</w:t>
      </w:r>
      <w:r>
        <w:rPr>
          <w:sz w:val="21"/>
          <w:u w:val="single"/>
        </w:rPr>
        <w:t>_______</w:t>
      </w:r>
      <w:r>
        <w:rPr>
          <w:sz w:val="21"/>
        </w:rPr>
        <w:t>(1.在下方表格中填写；2.在合同附件1里填写）</w:t>
      </w:r>
    </w:p>
    <w:tbl>
      <w:tblPr>
        <w:tblW w:w="0" w:type="auto"/>
        <w:tblInd w:type="dxa" w:w="90"/>
        <w:tblBorders>
          <w:top w:val="none" w:color="000000" w:sz="4"/>
          <w:left w:val="none" w:color="000000" w:sz="4"/>
          <w:bottom w:val="none" w:color="000000" w:sz="4"/>
          <w:right w:val="none" w:color="000000" w:sz="4"/>
          <w:insideH w:val="none"/>
          <w:insideV w:val="none"/>
        </w:tblBorders>
      </w:tblPr>
      <w:tblGrid>
        <w:gridCol w:w="524"/>
        <w:gridCol w:w="524"/>
        <w:gridCol w:w="850"/>
        <w:gridCol w:w="949"/>
        <w:gridCol w:w="2877"/>
        <w:gridCol w:w="666"/>
        <w:gridCol w:w="666"/>
        <w:gridCol w:w="722"/>
        <w:gridCol w:w="467"/>
      </w:tblGrid>
      <w:tr>
        <w:tc>
          <w:tcPr>
            <w:tcW w:type="dxa" w:w="524"/>
            <w:tcBorders>
              <w:top w:val="outset" w:color="000000" w:sz="4"/>
              <w:left w:val="outset" w:color="000000" w:sz="4"/>
              <w:bottom w:val="outset" w:color="000000" w:sz="4"/>
              <w:right w:val="outset" w:color="000000" w:sz="4"/>
            </w:tcBorders>
            <w:tcMar>
              <w:top w:type="dxa" w:w="15"/>
              <w:left w:type="dxa" w:w="15"/>
              <w:bottom w:type="dxa" w:w="15"/>
              <w:right w:type="dxa" w:w="15"/>
            </w:tcMar>
            <w:vAlign w:val="top"/>
          </w:tcPr>
          <w:p>
            <w:pPr>
              <w:pStyle w:val="null3"/>
              <w:jc w:val="left"/>
            </w:pPr>
            <w:r>
              <w:rPr>
                <w:sz w:val="21"/>
              </w:rPr>
              <w:t>项数</w:t>
            </w:r>
          </w:p>
        </w:tc>
        <w:tc>
          <w:tcPr>
            <w:tcW w:type="dxa" w:w="524"/>
            <w:tcBorders>
              <w:top w:val="outset" w:color="000000" w:sz="4"/>
              <w:left w:val="single" w:color="000000" w:sz="4"/>
              <w:bottom w:val="outset" w:color="000000" w:sz="4"/>
              <w:right w:val="outset" w:color="000000" w:sz="4"/>
            </w:tcBorders>
            <w:tcMar>
              <w:top w:type="dxa" w:w="15"/>
              <w:left w:type="dxa" w:w="15"/>
              <w:bottom w:type="dxa" w:w="15"/>
              <w:right w:type="dxa" w:w="15"/>
            </w:tcMar>
            <w:vAlign w:val="top"/>
          </w:tcPr>
          <w:p>
            <w:pPr>
              <w:pStyle w:val="null3"/>
              <w:jc w:val="left"/>
            </w:pPr>
            <w:r>
              <w:rPr>
                <w:sz w:val="21"/>
              </w:rPr>
              <w:t>货物名称</w:t>
            </w:r>
          </w:p>
        </w:tc>
        <w:tc>
          <w:tcPr>
            <w:tcW w:type="dxa" w:w="850"/>
            <w:tcBorders>
              <w:top w:val="outset" w:color="000000" w:sz="4"/>
              <w:left w:val="single" w:color="000000" w:sz="4"/>
              <w:bottom w:val="outset" w:color="000000" w:sz="4"/>
              <w:right w:val="outset" w:color="000000" w:sz="4"/>
            </w:tcBorders>
            <w:tcMar>
              <w:top w:type="dxa" w:w="15"/>
              <w:left w:type="dxa" w:w="15"/>
              <w:bottom w:type="dxa" w:w="15"/>
              <w:right w:type="dxa" w:w="15"/>
            </w:tcMar>
            <w:vAlign w:val="top"/>
          </w:tcPr>
          <w:p>
            <w:pPr>
              <w:pStyle w:val="null3"/>
              <w:jc w:val="left"/>
            </w:pPr>
            <w:r>
              <w:rPr>
                <w:sz w:val="21"/>
              </w:rPr>
              <w:t>品牌</w:t>
            </w:r>
          </w:p>
        </w:tc>
        <w:tc>
          <w:tcPr>
            <w:tcW w:type="dxa" w:w="949"/>
            <w:tcBorders>
              <w:top w:val="outset" w:color="000000" w:sz="4"/>
              <w:left w:val="single" w:color="000000" w:sz="4"/>
              <w:bottom w:val="outset" w:color="000000" w:sz="4"/>
              <w:right w:val="outset" w:color="000000" w:sz="4"/>
            </w:tcBorders>
            <w:tcMar>
              <w:top w:type="dxa" w:w="15"/>
              <w:left w:type="dxa" w:w="15"/>
              <w:bottom w:type="dxa" w:w="15"/>
              <w:right w:type="dxa" w:w="15"/>
            </w:tcMar>
            <w:vAlign w:val="top"/>
          </w:tcPr>
          <w:p>
            <w:pPr>
              <w:pStyle w:val="null3"/>
              <w:jc w:val="left"/>
            </w:pPr>
            <w:r>
              <w:rPr>
                <w:sz w:val="21"/>
              </w:rPr>
              <w:t>型号</w:t>
            </w:r>
          </w:p>
        </w:tc>
        <w:tc>
          <w:tcPr>
            <w:tcW w:type="dxa" w:w="2877"/>
            <w:tcBorders>
              <w:top w:val="outset" w:color="000000" w:sz="4"/>
              <w:left w:val="single" w:color="000000" w:sz="4"/>
              <w:bottom w:val="outset" w:color="000000" w:sz="4"/>
              <w:right w:val="outset" w:color="000000" w:sz="4"/>
            </w:tcBorders>
            <w:tcMar>
              <w:top w:type="dxa" w:w="15"/>
              <w:left w:type="dxa" w:w="15"/>
              <w:bottom w:type="dxa" w:w="15"/>
              <w:right w:type="dxa" w:w="15"/>
            </w:tcMar>
            <w:vAlign w:val="top"/>
          </w:tcPr>
          <w:p>
            <w:pPr>
              <w:pStyle w:val="null3"/>
              <w:ind w:firstLine="420"/>
              <w:jc w:val="left"/>
            </w:pPr>
            <w:r>
              <w:rPr>
                <w:sz w:val="21"/>
              </w:rPr>
              <w:t>详细配置清单</w:t>
            </w:r>
          </w:p>
        </w:tc>
        <w:tc>
          <w:tcPr>
            <w:tcW w:type="dxa" w:w="666"/>
            <w:tcBorders>
              <w:top w:val="outset" w:color="000000" w:sz="4"/>
              <w:left w:val="single" w:color="000000" w:sz="4"/>
              <w:bottom w:val="outset" w:color="000000" w:sz="4"/>
              <w:right w:val="outset" w:color="000000" w:sz="4"/>
            </w:tcBorders>
            <w:tcMar>
              <w:top w:type="dxa" w:w="15"/>
              <w:left w:type="dxa" w:w="15"/>
              <w:bottom w:type="dxa" w:w="15"/>
              <w:right w:type="dxa" w:w="15"/>
            </w:tcMar>
            <w:vAlign w:val="top"/>
          </w:tcPr>
          <w:p>
            <w:pPr>
              <w:pStyle w:val="null3"/>
              <w:jc w:val="left"/>
            </w:pPr>
            <w:r>
              <w:rPr>
                <w:sz w:val="21"/>
              </w:rPr>
              <w:t>单位</w:t>
            </w:r>
          </w:p>
        </w:tc>
        <w:tc>
          <w:tcPr>
            <w:tcW w:type="dxa" w:w="666"/>
            <w:tcBorders>
              <w:top w:val="outset" w:color="000000" w:sz="4"/>
              <w:left w:val="single" w:color="000000" w:sz="4"/>
              <w:bottom w:val="outset" w:color="000000" w:sz="4"/>
              <w:right w:val="outset" w:color="000000" w:sz="4"/>
            </w:tcBorders>
            <w:tcMar>
              <w:top w:type="dxa" w:w="15"/>
              <w:left w:type="dxa" w:w="15"/>
              <w:bottom w:type="dxa" w:w="15"/>
              <w:right w:type="dxa" w:w="15"/>
            </w:tcMar>
            <w:vAlign w:val="top"/>
          </w:tcPr>
          <w:p>
            <w:pPr>
              <w:pStyle w:val="null3"/>
              <w:jc w:val="left"/>
            </w:pPr>
            <w:r>
              <w:rPr>
                <w:sz w:val="21"/>
              </w:rPr>
              <w:t>数量</w:t>
            </w:r>
          </w:p>
        </w:tc>
        <w:tc>
          <w:tcPr>
            <w:tcW w:type="dxa" w:w="722"/>
            <w:tcBorders>
              <w:top w:val="outset" w:color="000000" w:sz="4"/>
              <w:left w:val="single" w:color="000000" w:sz="4"/>
              <w:bottom w:val="outset" w:color="000000" w:sz="4"/>
              <w:right w:val="outset" w:color="000000" w:sz="4"/>
            </w:tcBorders>
            <w:tcMar>
              <w:top w:type="dxa" w:w="15"/>
              <w:left w:type="dxa" w:w="15"/>
              <w:bottom w:type="dxa" w:w="15"/>
              <w:right w:type="dxa" w:w="15"/>
            </w:tcMar>
            <w:vAlign w:val="top"/>
          </w:tcPr>
          <w:p>
            <w:pPr>
              <w:pStyle w:val="null3"/>
              <w:jc w:val="left"/>
            </w:pPr>
            <w:r>
              <w:rPr>
                <w:sz w:val="21"/>
              </w:rPr>
              <w:t>单价</w:t>
            </w:r>
          </w:p>
        </w:tc>
        <w:tc>
          <w:tcPr>
            <w:tcW w:type="dxa" w:w="467"/>
            <w:tcBorders>
              <w:top w:val="outset" w:color="000000" w:sz="4"/>
              <w:left w:val="single" w:color="000000" w:sz="4"/>
              <w:bottom w:val="outset" w:color="000000" w:sz="4"/>
              <w:right w:val="outset" w:color="000000" w:sz="4"/>
            </w:tcBorders>
            <w:tcMar>
              <w:top w:type="dxa" w:w="15"/>
              <w:left w:type="dxa" w:w="15"/>
              <w:bottom w:type="dxa" w:w="15"/>
              <w:right w:type="dxa" w:w="15"/>
            </w:tcMar>
            <w:vAlign w:val="top"/>
          </w:tcPr>
          <w:p>
            <w:pPr>
              <w:pStyle w:val="null3"/>
              <w:jc w:val="left"/>
            </w:pPr>
            <w:r>
              <w:rPr>
                <w:sz w:val="21"/>
              </w:rPr>
              <w:t>总价</w:t>
            </w:r>
          </w:p>
        </w:tc>
      </w:tr>
      <w:tr>
        <w:tc>
          <w:tcPr>
            <w:tcW w:type="dxa" w:w="524"/>
            <w:tcBorders>
              <w:top w:val="single" w:color="000000" w:sz="4"/>
              <w:left w:val="outset" w:color="000000" w:sz="4"/>
              <w:bottom w:val="outset" w:color="000000" w:sz="4"/>
              <w:right w:val="outset" w:color="000000" w:sz="4"/>
            </w:tcBorders>
            <w:tcMar>
              <w:top w:type="dxa" w:w="15"/>
              <w:left w:type="dxa" w:w="15"/>
              <w:bottom w:type="dxa" w:w="15"/>
              <w:right w:type="dxa" w:w="15"/>
            </w:tcMar>
            <w:vAlign w:val="top"/>
          </w:tcPr>
          <w:p>
            <w:pPr>
              <w:pStyle w:val="null3"/>
              <w:ind w:firstLine="420"/>
              <w:jc w:val="left"/>
            </w:pPr>
            <w:r>
              <w:rPr>
                <w:sz w:val="21"/>
              </w:rPr>
              <w:t>1</w:t>
            </w:r>
          </w:p>
        </w:tc>
        <w:tc>
          <w:tcPr>
            <w:tcW w:type="dxa" w:w="524"/>
            <w:tcBorders>
              <w:top w:val="single" w:color="000000" w:sz="4"/>
              <w:left w:val="single" w:color="000000" w:sz="4"/>
              <w:bottom w:val="outset" w:color="000000" w:sz="4"/>
              <w:right w:val="outset" w:color="000000" w:sz="4"/>
            </w:tcBorders>
            <w:tcMar>
              <w:top w:type="dxa" w:w="15"/>
              <w:left w:type="dxa" w:w="15"/>
              <w:bottom w:type="dxa" w:w="15"/>
              <w:right w:type="dxa" w:w="15"/>
            </w:tcMar>
            <w:vAlign w:val="top"/>
          </w:tcPr>
          <w:p>
            <w:pPr>
              <w:pStyle w:val="null3"/>
              <w:ind w:firstLine="420"/>
              <w:jc w:val="left"/>
            </w:pPr>
          </w:p>
        </w:tc>
        <w:tc>
          <w:tcPr>
            <w:tcW w:type="dxa" w:w="850"/>
            <w:tcBorders>
              <w:top w:val="single" w:color="000000" w:sz="4"/>
              <w:left w:val="single" w:color="000000" w:sz="4"/>
              <w:bottom w:val="outset" w:color="000000" w:sz="4"/>
              <w:right w:val="outset" w:color="000000" w:sz="4"/>
            </w:tcBorders>
            <w:tcMar>
              <w:top w:type="dxa" w:w="15"/>
              <w:left w:type="dxa" w:w="15"/>
              <w:bottom w:type="dxa" w:w="15"/>
              <w:right w:type="dxa" w:w="15"/>
            </w:tcMar>
            <w:vAlign w:val="top"/>
          </w:tcPr>
          <w:p/>
        </w:tc>
        <w:tc>
          <w:tcPr>
            <w:tcW w:type="dxa" w:w="949"/>
            <w:tcBorders>
              <w:top w:val="single" w:color="000000" w:sz="4"/>
              <w:left w:val="single" w:color="000000" w:sz="4"/>
              <w:bottom w:val="outset" w:color="000000" w:sz="4"/>
              <w:right w:val="outset" w:color="000000" w:sz="4"/>
            </w:tcBorders>
            <w:tcMar>
              <w:top w:type="dxa" w:w="15"/>
              <w:left w:type="dxa" w:w="15"/>
              <w:bottom w:type="dxa" w:w="15"/>
              <w:right w:type="dxa" w:w="15"/>
            </w:tcMar>
            <w:vAlign w:val="top"/>
          </w:tcPr>
          <w:p/>
        </w:tc>
        <w:tc>
          <w:tcPr>
            <w:tcW w:type="dxa" w:w="2877"/>
            <w:tcBorders>
              <w:top w:val="single" w:color="000000" w:sz="4"/>
              <w:left w:val="single" w:color="000000" w:sz="4"/>
              <w:bottom w:val="outset" w:color="000000" w:sz="4"/>
              <w:right w:val="outset" w:color="000000" w:sz="4"/>
            </w:tcBorders>
            <w:tcMar>
              <w:top w:type="dxa" w:w="15"/>
              <w:left w:type="dxa" w:w="15"/>
              <w:bottom w:type="dxa" w:w="15"/>
              <w:right w:type="dxa" w:w="15"/>
            </w:tcMar>
            <w:vAlign w:val="top"/>
          </w:tcPr>
          <w:p/>
        </w:tc>
        <w:tc>
          <w:tcPr>
            <w:tcW w:type="dxa" w:w="666"/>
            <w:tcBorders>
              <w:top w:val="single" w:color="000000" w:sz="4"/>
              <w:left w:val="single" w:color="000000" w:sz="4"/>
              <w:bottom w:val="outset" w:color="000000" w:sz="4"/>
              <w:right w:val="outset" w:color="000000" w:sz="4"/>
            </w:tcBorders>
            <w:tcMar>
              <w:top w:type="dxa" w:w="15"/>
              <w:left w:type="dxa" w:w="15"/>
              <w:bottom w:type="dxa" w:w="15"/>
              <w:right w:type="dxa" w:w="15"/>
            </w:tcMar>
            <w:vAlign w:val="top"/>
          </w:tcPr>
          <w:p/>
        </w:tc>
        <w:tc>
          <w:tcPr>
            <w:tcW w:type="dxa" w:w="666"/>
            <w:tcBorders>
              <w:top w:val="single" w:color="000000" w:sz="4"/>
              <w:left w:val="single" w:color="000000" w:sz="4"/>
              <w:bottom w:val="outset" w:color="000000" w:sz="4"/>
              <w:right w:val="outset" w:color="000000" w:sz="4"/>
            </w:tcBorders>
            <w:tcMar>
              <w:top w:type="dxa" w:w="15"/>
              <w:left w:type="dxa" w:w="15"/>
              <w:bottom w:type="dxa" w:w="15"/>
              <w:right w:type="dxa" w:w="15"/>
            </w:tcMar>
            <w:vAlign w:val="top"/>
          </w:tcPr>
          <w:p/>
        </w:tc>
        <w:tc>
          <w:tcPr>
            <w:tcW w:type="dxa" w:w="722"/>
            <w:tcBorders>
              <w:top w:val="single" w:color="000000" w:sz="4"/>
              <w:left w:val="single" w:color="000000" w:sz="4"/>
              <w:bottom w:val="outset" w:color="000000" w:sz="4"/>
              <w:right w:val="outset" w:color="000000" w:sz="4"/>
            </w:tcBorders>
            <w:tcMar>
              <w:top w:type="dxa" w:w="15"/>
              <w:left w:type="dxa" w:w="15"/>
              <w:bottom w:type="dxa" w:w="15"/>
              <w:right w:type="dxa" w:w="15"/>
            </w:tcMar>
            <w:vAlign w:val="top"/>
          </w:tcPr>
          <w:p/>
        </w:tc>
        <w:tc>
          <w:tcPr>
            <w:tcW w:type="dxa" w:w="467"/>
            <w:tcBorders>
              <w:top w:val="single" w:color="000000" w:sz="4"/>
              <w:left w:val="single" w:color="000000" w:sz="4"/>
              <w:bottom w:val="outset" w:color="000000" w:sz="4"/>
              <w:right w:val="outset" w:color="000000" w:sz="4"/>
            </w:tcBorders>
            <w:tcMar>
              <w:top w:type="dxa" w:w="15"/>
              <w:left w:type="dxa" w:w="15"/>
              <w:bottom w:type="dxa" w:w="15"/>
              <w:right w:type="dxa" w:w="15"/>
            </w:tcMar>
            <w:vAlign w:val="top"/>
          </w:tcPr>
          <w:p/>
        </w:tc>
      </w:tr>
      <w:tr>
        <w:tc>
          <w:tcPr>
            <w:tcW w:type="dxa" w:w="8245"/>
            <w:gridSpan w:val="9"/>
            <w:tcBorders>
              <w:top w:val="single" w:color="000000" w:sz="4"/>
              <w:left w:val="outset" w:color="000000" w:sz="4"/>
              <w:bottom w:val="outset" w:color="000000" w:sz="4"/>
              <w:right w:val="outset" w:color="000000" w:sz="4"/>
            </w:tcBorders>
            <w:tcMar>
              <w:top w:type="dxa" w:w="15"/>
              <w:left w:type="dxa" w:w="15"/>
              <w:bottom w:type="dxa" w:w="15"/>
              <w:right w:type="dxa" w:w="15"/>
            </w:tcMar>
            <w:vAlign w:val="top"/>
          </w:tcPr>
          <w:p>
            <w:pPr>
              <w:pStyle w:val="null3"/>
              <w:jc w:val="left"/>
            </w:pPr>
            <w:r>
              <w:rPr>
                <w:sz w:val="21"/>
              </w:rPr>
              <w:t>合同总价（人民币）：</w:t>
            </w:r>
            <w:r>
              <w:rPr>
                <w:sz w:val="21"/>
              </w:rPr>
              <w:t>佰拾万仟佰拾元角分</w:t>
            </w:r>
            <w:r>
              <w:rPr>
                <w:sz w:val="21"/>
              </w:rPr>
              <w:t>（￥</w:t>
            </w:r>
            <w:r>
              <w:rPr>
                <w:sz w:val="21"/>
              </w:rPr>
              <w:t xml:space="preserve">           </w:t>
            </w:r>
            <w:r>
              <w:rPr>
                <w:sz w:val="21"/>
              </w:rPr>
              <w:t>）</w:t>
            </w:r>
          </w:p>
        </w:tc>
      </w:tr>
    </w:tbl>
    <w:p>
      <w:pPr>
        <w:pStyle w:val="null3"/>
        <w:ind w:firstLine="420"/>
        <w:jc w:val="left"/>
      </w:pPr>
      <w:r>
        <w:rPr>
          <w:sz w:val="21"/>
        </w:rPr>
        <w:t>2．上述合同总价为乙方按照合同约定完成合同全部义务后所适用的总价格，包括但不限于货物（包括备品备件）的设计、制造、包装、仓储、运输、保险、货物运输保险费、装卸费、安装、调试、试运行、验收、培训、技术服务（包括技术资料、图纸的提供）、质保期保障服务等的全部含税费用。除本合同明确约定的费用外，甲方无需支付任何额外费用和承担任何额外义务。</w:t>
      </w:r>
    </w:p>
    <w:p>
      <w:pPr>
        <w:pStyle w:val="null3"/>
        <w:ind w:firstLine="422"/>
        <w:jc w:val="left"/>
      </w:pPr>
      <w:r>
        <w:rPr>
          <w:sz w:val="21"/>
          <w:b/>
        </w:rPr>
        <w:t>二、货物要求</w:t>
      </w:r>
    </w:p>
    <w:p>
      <w:pPr>
        <w:pStyle w:val="null3"/>
        <w:ind w:firstLine="420"/>
        <w:jc w:val="left"/>
      </w:pPr>
      <w:r>
        <w:rPr>
          <w:sz w:val="21"/>
        </w:rPr>
        <w:t>1. 质量要求：乙方提供的货物必须符合（1）中华人民共和国国家标准；（2）行业标准；（3）地方标准；（4）货物生产商的产品质量标准；（5）其他标准：</w:t>
      </w:r>
      <w:r>
        <w:rPr>
          <w:sz w:val="21"/>
          <w:u w:val="single"/>
        </w:rPr>
        <w:t>（如有请补充，否则请填无）</w:t>
      </w:r>
      <w:r>
        <w:rPr>
          <w:sz w:val="21"/>
        </w:rPr>
        <w:t>等质量标准，否则甲方有权作退货处理。</w:t>
      </w:r>
    </w:p>
    <w:p>
      <w:pPr>
        <w:pStyle w:val="null3"/>
        <w:ind w:firstLine="420"/>
        <w:jc w:val="left"/>
      </w:pPr>
      <w:r>
        <w:rPr>
          <w:sz w:val="21"/>
        </w:rPr>
        <w:t>2．</w:t>
      </w:r>
      <w:r>
        <w:rPr>
          <w:sz w:val="21"/>
        </w:rPr>
        <w:t>技术要求：乙方承诺提供的货物完全符合招投标文件中作出的承诺，否则甲方有权作退货处理。</w:t>
      </w:r>
    </w:p>
    <w:p>
      <w:pPr>
        <w:pStyle w:val="null3"/>
        <w:ind w:firstLine="420"/>
        <w:jc w:val="left"/>
      </w:pPr>
      <w:r>
        <w:rPr>
          <w:sz w:val="21"/>
        </w:rPr>
        <w:t>3．包装及运输要求：</w:t>
      </w:r>
      <w:r>
        <w:rPr>
          <w:sz w:val="21"/>
        </w:rPr>
        <w:t>乙方提供的货物必须是制造厂商全新的原厂原装产品（含零部件、配件、随机工具、技术文件等），包装外观完好、表面无划损、破损，无任何缺陷及隐患，每台设备上均应钉有铭牌</w:t>
      </w:r>
      <w:r>
        <w:rPr>
          <w:sz w:val="21"/>
        </w:rPr>
        <w:t>(内容包括：制造商,设备名称、型号规格、序列号等并附有产品质量检验合格标志，且进货渠道合法，在中国境内可依常规安全合法使用。并应使用产品标准出厂包装，适合于空运、海运、陆运等长途运输方式及气候变化，防潮、防震、防雨、防锈、防冻等（若需特殊包装方式如冷冻等，请列明）。如因包装造成的一切损失（包括但不限于商品损坏、损失、锈蚀、费用增长等），一概由乙方负责赔偿。包装材料具有一定的缓冲性能,能够吸收外部冲击力,避免设备受损。包装以纸箱为主，内有泡沫或气泡膜填充进行隔振缓冲。运输过程，选择优质服务的物流公司，如：顺丰物流；运输过程需要对于仪器货物进行适当的固定，避免运输过程中发生碰撞。乙方承担货物运抵指定交货地点的运输费、保险费、包装费等，上述费用包含在货物的最终成交总额中。设备的包装均应有良好的防湿、防锈、防潮、防雨、防腐及防碰撞等的措施，符合《商品包装政府采购需求标准（试行）》及《快递包装政府采购需求标准（试行）》的要求。</w:t>
      </w:r>
    </w:p>
    <w:p>
      <w:pPr>
        <w:pStyle w:val="null3"/>
        <w:ind w:firstLine="420"/>
        <w:jc w:val="left"/>
      </w:pPr>
      <w:r>
        <w:rPr>
          <w:sz w:val="21"/>
        </w:rPr>
        <w:t>4．乙方应免费提供中文的产品正式说明书，场地准备书，使用手册及维护手册等，以及所有有关本合同执行的技术文件。如果项目必需但合同又未作规定的，需要乙方才能提供的技术文件，乙方也应及时向甲方提供。技术文件可以是手册、图纸或其他形式的文件资料。上述技术文件应包含保证甲方能够正确进行安装、操作、检查、维修、维护、测试、调试、验收和运作的需要的所有内容。</w:t>
      </w:r>
    </w:p>
    <w:p>
      <w:pPr>
        <w:pStyle w:val="null3"/>
        <w:ind w:firstLine="420"/>
        <w:jc w:val="left"/>
      </w:pPr>
      <w:r>
        <w:rPr>
          <w:sz w:val="21"/>
        </w:rPr>
        <w:t>5.</w:t>
      </w:r>
      <w:r>
        <w:rPr>
          <w:sz w:val="21"/>
        </w:rPr>
        <w:t>由乙方投保，应包含货物（包括备品备件）运至最终目的地的相关保险费用，费用已包含在投标报价中。</w:t>
      </w:r>
    </w:p>
    <w:p>
      <w:pPr>
        <w:pStyle w:val="null3"/>
        <w:ind w:firstLine="422"/>
        <w:jc w:val="left"/>
      </w:pPr>
      <w:r>
        <w:rPr>
          <w:sz w:val="21"/>
          <w:b/>
        </w:rPr>
        <w:t>三、货物交付</w:t>
      </w:r>
    </w:p>
    <w:p>
      <w:pPr>
        <w:pStyle w:val="null3"/>
        <w:ind w:firstLine="420"/>
        <w:jc w:val="left"/>
      </w:pPr>
      <w:r>
        <w:rPr>
          <w:sz w:val="21"/>
        </w:rPr>
        <w:t>1．交货地点：甲方指定交付地点。（联系人：__________电话：______________）；</w:t>
      </w:r>
    </w:p>
    <w:p>
      <w:pPr>
        <w:pStyle w:val="null3"/>
        <w:ind w:firstLine="420"/>
        <w:jc w:val="left"/>
      </w:pPr>
      <w:r>
        <w:rPr>
          <w:sz w:val="21"/>
        </w:rPr>
        <w:t>2．交货时间：__________。</w:t>
      </w:r>
    </w:p>
    <w:p>
      <w:pPr>
        <w:pStyle w:val="null3"/>
        <w:ind w:firstLine="422"/>
        <w:jc w:val="left"/>
      </w:pPr>
      <w:r>
        <w:rPr>
          <w:sz w:val="21"/>
          <w:b/>
        </w:rPr>
        <w:t>四、货物安装及验收</w:t>
      </w:r>
    </w:p>
    <w:p>
      <w:pPr>
        <w:pStyle w:val="null3"/>
        <w:ind w:firstLine="420"/>
        <w:jc w:val="left"/>
      </w:pPr>
      <w:r>
        <w:rPr>
          <w:sz w:val="21"/>
        </w:rPr>
        <w:t>（一）质保期保障服务</w:t>
      </w:r>
    </w:p>
    <w:p>
      <w:pPr>
        <w:pStyle w:val="null3"/>
        <w:ind w:firstLine="420"/>
        <w:jc w:val="left"/>
      </w:pPr>
      <w:r>
        <w:rPr>
          <w:sz w:val="21"/>
        </w:rPr>
        <w:t>1.质保期：乙方对本合同标的提供硬件设备1年质保期、软件3年质保期（费用包含在投标报价中），对由于设计、制造工艺、材料和安装所造成的质量缺陷或质量问题负责，并进行修理、更换零部件或退换，并须对设备出现的有关技术性问题或安全问题负责处理、解决，同时乙方应相应延长被更换货物的质保期，软件提供终身升级，质保期自货物验收合格之日起计算。质保期内提供现场保修、包换或包退服务，由此产生的一切费用均由乙方承担。乙方不能修复、调换或不能退货的，应退回相应货款，并承担相应违约责任。</w:t>
      </w:r>
    </w:p>
    <w:p>
      <w:pPr>
        <w:pStyle w:val="null3"/>
        <w:ind w:firstLine="420"/>
        <w:jc w:val="left"/>
      </w:pPr>
      <w:r>
        <w:rPr>
          <w:sz w:val="21"/>
        </w:rPr>
        <w:t>2.乙方应有专职工程师负责对所售产品安装，调试，培训，维修和处理。质保期内，在接到系统故障或问题告知后，乙方响应时间不得超过1小时，到达现场时间不得超过2小时，并应在24小时（前述响应及到达现场时间已包含计算在内）内排除故障。否则视为乙方不能修复货物。如果需要更换配件的，乙方须在15个工作日内完成配件更换服务，且更换的配件跟被更换的品牌、类型相一致或者是同类档次相当或更高的替代品，后者需征得甲方管理人员同意。如果故障在前述时间内仍无法排除，乙方应无条件在7个工作日内提供不低于故障设备规格型号档次的备用设备供甲方使用，直至故障设备修复。</w:t>
      </w:r>
    </w:p>
    <w:p>
      <w:pPr>
        <w:pStyle w:val="null3"/>
        <w:ind w:firstLine="420"/>
        <w:jc w:val="left"/>
      </w:pPr>
      <w:r>
        <w:rPr>
          <w:sz w:val="21"/>
        </w:rPr>
        <w:t>3.质保期内，同一硬件一个月内连续2次出现同一故障，乙方应无条件更换性能指标不低于原规格型号的新部件。严重影响教学工作的，乙方无条件提供不低于该档次的设备给甲方使用。</w:t>
      </w:r>
    </w:p>
    <w:p>
      <w:pPr>
        <w:pStyle w:val="null3"/>
        <w:ind w:firstLine="420"/>
        <w:jc w:val="left"/>
      </w:pPr>
      <w:r>
        <w:rPr>
          <w:sz w:val="21"/>
        </w:rPr>
        <w:t>4.质保期满后设备维修仅收取配件成本费，不收取上门费及人工费。乙方承诺配件更换的费用，以不高于市场价格8折提供给学校。</w:t>
      </w:r>
    </w:p>
    <w:p>
      <w:pPr>
        <w:pStyle w:val="null3"/>
        <w:ind w:firstLine="420"/>
        <w:jc w:val="left"/>
      </w:pPr>
      <w:r>
        <w:rPr>
          <w:sz w:val="21"/>
        </w:rPr>
        <w:t>（二）验收要求</w:t>
      </w:r>
    </w:p>
    <w:p>
      <w:pPr>
        <w:pStyle w:val="null3"/>
        <w:ind w:firstLine="420"/>
        <w:jc w:val="left"/>
      </w:pPr>
      <w:r>
        <w:rPr>
          <w:sz w:val="21"/>
        </w:rPr>
        <w:t>1.货物安装调试完毕且正常运行不少于3个月后，乙方应备齐甲方要求提供的验收文件，并提出书面验收申请。甲方将按流程进行验收，并出具采购物资验收报告给乙方。货物验收合格之日为甲方签署采购物资验收报告的日期。</w:t>
      </w:r>
    </w:p>
    <w:p>
      <w:pPr>
        <w:pStyle w:val="null3"/>
        <w:ind w:firstLine="420"/>
        <w:jc w:val="left"/>
      </w:pPr>
      <w:r>
        <w:rPr>
          <w:sz w:val="21"/>
        </w:rPr>
        <w:t>2.货物验收标准：以招投标文件和合同项下约定的货物及价格、详细配置清单及技术指标、符合招标文件和投标承诺中甲方认可的合理最佳配置、参数及各项要求、国家相关标准和行业规范进行验收（该等标准不一致的，以较高为准）。</w:t>
      </w:r>
    </w:p>
    <w:p>
      <w:pPr>
        <w:pStyle w:val="null3"/>
        <w:ind w:firstLine="420"/>
        <w:jc w:val="left"/>
      </w:pPr>
      <w:r>
        <w:rPr>
          <w:sz w:val="21"/>
        </w:rPr>
        <w:t>3.经甲方对乙方提供的货物进行验收，若发现乙方提供的货物不符合招投标文件及合同规定的质量要求，甲方有权拒收该货物，乙方应无条件更换被拒绝的货物，或者进行必要的修改以满足规定的要求；甲方也有权选择解除合同并要求乙方承担违约责任。</w:t>
      </w:r>
    </w:p>
    <w:p>
      <w:pPr>
        <w:pStyle w:val="null3"/>
        <w:ind w:firstLine="422"/>
        <w:jc w:val="left"/>
      </w:pPr>
      <w:r>
        <w:rPr>
          <w:sz w:val="21"/>
          <w:b/>
        </w:rPr>
        <w:t>五、付款</w:t>
      </w:r>
    </w:p>
    <w:p>
      <w:pPr>
        <w:pStyle w:val="null3"/>
        <w:ind w:firstLine="420"/>
        <w:jc w:val="left"/>
      </w:pPr>
      <w:r>
        <w:rPr>
          <w:sz w:val="21"/>
        </w:rPr>
        <w:t>1. 本合同采用以下第</w:t>
      </w:r>
      <w:r>
        <w:rPr>
          <w:sz w:val="21"/>
          <w:u w:val="single"/>
        </w:rPr>
        <w:t>_</w:t>
      </w:r>
      <w:r>
        <w:rPr>
          <w:sz w:val="21"/>
        </w:rPr>
        <w:t>B</w:t>
      </w:r>
      <w:r>
        <w:rPr>
          <w:sz w:val="21"/>
          <w:u w:val="single"/>
        </w:rPr>
        <w:t xml:space="preserve"> </w:t>
      </w:r>
      <w:r>
        <w:rPr>
          <w:sz w:val="21"/>
          <w:u w:val="single"/>
        </w:rPr>
        <w:t>_</w:t>
      </w:r>
      <w:r>
        <w:rPr>
          <w:sz w:val="21"/>
        </w:rPr>
        <w:t>种付款方式：</w:t>
      </w:r>
    </w:p>
    <w:p>
      <w:pPr>
        <w:pStyle w:val="null3"/>
        <w:ind w:firstLine="420"/>
        <w:jc w:val="left"/>
      </w:pPr>
      <w:r>
        <w:rPr>
          <w:sz w:val="21"/>
        </w:rPr>
        <w:t>A. 一次性结算</w:t>
      </w:r>
    </w:p>
    <w:p>
      <w:pPr>
        <w:pStyle w:val="null3"/>
        <w:ind w:firstLine="420"/>
        <w:jc w:val="left"/>
      </w:pPr>
      <w:r>
        <w:rPr>
          <w:sz w:val="21"/>
        </w:rPr>
        <w:t>货到交货地点、验收合格，且甲方收到乙方开具的等额正式发票后</w:t>
      </w:r>
      <w:r>
        <w:rPr>
          <w:sz w:val="21"/>
        </w:rPr>
        <w:t>15个工作日内一次付清货款。</w:t>
      </w:r>
    </w:p>
    <w:p>
      <w:pPr>
        <w:pStyle w:val="null3"/>
        <w:ind w:firstLine="420"/>
        <w:jc w:val="left"/>
      </w:pPr>
      <w:r>
        <w:rPr>
          <w:sz w:val="21"/>
        </w:rPr>
        <w:t>B.分期结算</w:t>
      </w:r>
    </w:p>
    <w:p>
      <w:pPr>
        <w:pStyle w:val="null3"/>
        <w:ind w:firstLine="420"/>
        <w:jc w:val="left"/>
      </w:pPr>
      <w:r>
        <w:rPr>
          <w:sz w:val="21"/>
        </w:rPr>
        <w:t>本合同价款为￥</w:t>
      </w:r>
      <w:r>
        <w:rPr>
          <w:sz w:val="21"/>
        </w:rPr>
        <w:t>____________，分2次结算。</w:t>
      </w:r>
    </w:p>
    <w:p>
      <w:pPr>
        <w:pStyle w:val="null3"/>
        <w:ind w:firstLine="420"/>
        <w:jc w:val="left"/>
      </w:pPr>
      <w:r>
        <w:rPr>
          <w:sz w:val="21"/>
        </w:rPr>
        <w:t>第一期：</w:t>
      </w:r>
      <w:r>
        <w:rPr>
          <w:sz w:val="21"/>
        </w:rPr>
        <w:t>合同签订后，</w:t>
      </w:r>
      <w:r>
        <w:rPr>
          <w:sz w:val="21"/>
        </w:rPr>
        <w:t>2024年12月25日前，货到甲方指定地点或提供与合同金额80%等额的银行保函，甲方</w:t>
      </w:r>
      <w:r>
        <w:rPr>
          <w:sz w:val="21"/>
        </w:rPr>
        <w:t>支付￥</w:t>
      </w:r>
      <w:r>
        <w:rPr>
          <w:sz w:val="21"/>
        </w:rPr>
        <w:t>______（即合同总金额的80%），</w:t>
      </w:r>
      <w:r>
        <w:rPr>
          <w:sz w:val="21"/>
        </w:rPr>
        <w:t>如</w:t>
      </w:r>
      <w:r>
        <w:rPr>
          <w:sz w:val="21"/>
        </w:rPr>
        <w:t>乙方</w:t>
      </w:r>
      <w:r>
        <w:rPr>
          <w:sz w:val="21"/>
        </w:rPr>
        <w:t>为中小微企业的，则合同签订后</w:t>
      </w:r>
      <w:r>
        <w:rPr>
          <w:sz w:val="21"/>
        </w:rPr>
        <w:t>5个工作日内，</w:t>
      </w:r>
      <w:r>
        <w:rPr>
          <w:sz w:val="21"/>
        </w:rPr>
        <w:t>甲方</w:t>
      </w:r>
      <w:r>
        <w:rPr>
          <w:sz w:val="21"/>
        </w:rPr>
        <w:t>通过银行转账方式支付</w:t>
      </w:r>
      <w:r>
        <w:rPr>
          <w:sz w:val="21"/>
        </w:rPr>
        <w:t>￥</w:t>
      </w:r>
      <w:r>
        <w:rPr>
          <w:sz w:val="21"/>
        </w:rPr>
        <w:t>______（即</w:t>
      </w:r>
      <w:r>
        <w:rPr>
          <w:sz w:val="21"/>
        </w:rPr>
        <w:t>同金额的</w:t>
      </w:r>
      <w:r>
        <w:rPr>
          <w:sz w:val="21"/>
        </w:rPr>
        <w:t>30%</w:t>
      </w:r>
      <w:r>
        <w:rPr>
          <w:sz w:val="21"/>
        </w:rPr>
        <w:t>)</w:t>
      </w:r>
      <w:r>
        <w:rPr>
          <w:sz w:val="21"/>
        </w:rPr>
        <w:t>给</w:t>
      </w:r>
      <w:r>
        <w:rPr>
          <w:sz w:val="21"/>
        </w:rPr>
        <w:t>乙方</w:t>
      </w:r>
      <w:r>
        <w:rPr>
          <w:sz w:val="21"/>
        </w:rPr>
        <w:t>作为预付款；</w:t>
      </w:r>
      <w:r>
        <w:rPr>
          <w:sz w:val="21"/>
        </w:rPr>
        <w:t>2024年12月25日前，货到</w:t>
      </w:r>
      <w:r>
        <w:rPr>
          <w:sz w:val="21"/>
        </w:rPr>
        <w:t>甲方</w:t>
      </w:r>
      <w:r>
        <w:rPr>
          <w:sz w:val="21"/>
        </w:rPr>
        <w:t>指定地点或提供与合同金额</w:t>
      </w:r>
      <w:r>
        <w:rPr>
          <w:sz w:val="21"/>
        </w:rPr>
        <w:t>50%等额的</w:t>
      </w:r>
      <w:r>
        <w:rPr>
          <w:sz w:val="21"/>
        </w:rPr>
        <w:t>银行</w:t>
      </w:r>
      <w:r>
        <w:rPr>
          <w:sz w:val="21"/>
        </w:rPr>
        <w:t>保函，支付</w:t>
      </w:r>
      <w:r>
        <w:rPr>
          <w:sz w:val="21"/>
        </w:rPr>
        <w:t>￥</w:t>
      </w:r>
      <w:r>
        <w:rPr>
          <w:sz w:val="21"/>
        </w:rPr>
        <w:t>______（即</w:t>
      </w:r>
      <w:r>
        <w:rPr>
          <w:sz w:val="21"/>
        </w:rPr>
        <w:t>合同金额的</w:t>
      </w:r>
      <w:r>
        <w:rPr>
          <w:sz w:val="21"/>
        </w:rPr>
        <w:t>50%</w:t>
      </w:r>
      <w:r>
        <w:rPr>
          <w:sz w:val="21"/>
        </w:rPr>
        <w:t>)</w:t>
      </w:r>
      <w:r>
        <w:rPr>
          <w:sz w:val="21"/>
        </w:rPr>
        <w:t>。如</w:t>
      </w:r>
      <w:r>
        <w:rPr>
          <w:sz w:val="21"/>
        </w:rPr>
        <w:t>乙方</w:t>
      </w:r>
      <w:r>
        <w:rPr>
          <w:sz w:val="21"/>
        </w:rPr>
        <w:t>不是中小微企业的，则不支付预付款。</w:t>
      </w:r>
    </w:p>
    <w:p>
      <w:pPr>
        <w:pStyle w:val="null3"/>
        <w:ind w:firstLine="420"/>
        <w:jc w:val="left"/>
      </w:pPr>
      <w:r>
        <w:rPr>
          <w:sz w:val="21"/>
        </w:rPr>
        <w:t>第二期：</w:t>
      </w:r>
      <w:r>
        <w:rPr>
          <w:sz w:val="21"/>
        </w:rPr>
        <w:t>待甲方验收合格后，</w:t>
      </w:r>
      <w:r>
        <w:rPr>
          <w:sz w:val="21"/>
        </w:rPr>
        <w:t>支付￥</w:t>
      </w:r>
      <w:r>
        <w:rPr>
          <w:sz w:val="21"/>
        </w:rPr>
        <w:t>______（即合同总金额的</w:t>
      </w:r>
      <w:r>
        <w:rPr>
          <w:sz w:val="21"/>
          <w:u w:val="single"/>
        </w:rPr>
        <w:t xml:space="preserve">  </w:t>
      </w:r>
      <w:r>
        <w:rPr>
          <w:sz w:val="21"/>
        </w:rPr>
        <w:t>%）。</w:t>
      </w:r>
    </w:p>
    <w:p>
      <w:pPr>
        <w:pStyle w:val="null3"/>
        <w:ind w:firstLine="420"/>
        <w:jc w:val="left"/>
      </w:pPr>
      <w:r>
        <w:rPr>
          <w:sz w:val="21"/>
        </w:rPr>
        <w:t>C.其他_________。</w:t>
      </w:r>
    </w:p>
    <w:p>
      <w:pPr>
        <w:pStyle w:val="null3"/>
        <w:ind w:firstLine="420"/>
        <w:jc w:val="left"/>
      </w:pPr>
      <w:r>
        <w:rPr>
          <w:sz w:val="21"/>
        </w:rPr>
        <w:t>（甲方纳税人识别号：</w:t>
      </w:r>
      <w:r>
        <w:rPr>
          <w:sz w:val="21"/>
        </w:rPr>
        <w:t>124400004558589190）</w:t>
      </w:r>
    </w:p>
    <w:p>
      <w:pPr>
        <w:pStyle w:val="null3"/>
        <w:ind w:firstLine="420"/>
        <w:jc w:val="left"/>
      </w:pPr>
      <w:r>
        <w:rPr>
          <w:sz w:val="21"/>
        </w:rPr>
        <w:t>2．</w:t>
      </w:r>
      <w:r>
        <w:rPr>
          <w:sz w:val="21"/>
        </w:rPr>
        <w:t>甲方向乙方指定账户汇出款项后，即视为已履行付款义务。在汇款过程中，因乙方账户的原因（包括但不限于账号被注销、被冻结等）导致其无法收取款项的，由乙方承担相应后果。</w:t>
      </w:r>
    </w:p>
    <w:p>
      <w:pPr>
        <w:pStyle w:val="null3"/>
        <w:ind w:firstLine="420"/>
        <w:jc w:val="left"/>
      </w:pPr>
      <w:r>
        <w:rPr>
          <w:sz w:val="21"/>
        </w:rPr>
        <w:t>3．</w:t>
      </w:r>
      <w:r>
        <w:rPr>
          <w:sz w:val="21"/>
        </w:rPr>
        <w:t>本项目如执行国库支付的，甲方在验收合格后</w:t>
      </w:r>
      <w:r>
        <w:rPr>
          <w:sz w:val="21"/>
        </w:rPr>
        <w:t>10个工作日内办理财政集中支付申请手续，付款按照财政部门国库集中支付的有关规定办理。付款时间为甲方向政府财政支付部门提出支付申请的时间（不含政府财政支付部门审查的时间）。</w:t>
      </w:r>
    </w:p>
    <w:p>
      <w:pPr>
        <w:pStyle w:val="null3"/>
        <w:ind w:firstLine="420"/>
        <w:jc w:val="left"/>
      </w:pPr>
      <w:r>
        <w:rPr>
          <w:sz w:val="21"/>
        </w:rPr>
        <w:t>4．付款时间如遇甲方寒暑假，甲方有权将付款时间顺延至假期结束之后。</w:t>
      </w:r>
    </w:p>
    <w:p>
      <w:pPr>
        <w:pStyle w:val="null3"/>
        <w:ind w:firstLine="420"/>
        <w:jc w:val="left"/>
      </w:pPr>
      <w:r>
        <w:rPr>
          <w:sz w:val="21"/>
        </w:rPr>
        <w:t>5.履约保证金</w:t>
      </w:r>
    </w:p>
    <w:p>
      <w:pPr>
        <w:pStyle w:val="null3"/>
        <w:ind w:firstLine="420"/>
        <w:jc w:val="left"/>
      </w:pPr>
      <w:r>
        <w:rPr>
          <w:sz w:val="21"/>
        </w:rPr>
        <w:t>乙方</w:t>
      </w:r>
      <w:r>
        <w:rPr>
          <w:sz w:val="21"/>
        </w:rPr>
        <w:t>在合同签订后</w:t>
      </w:r>
      <w:r>
        <w:rPr>
          <w:sz w:val="21"/>
        </w:rPr>
        <w:t>10日内，以支票、汇票、本票、保函或转账方式向</w:t>
      </w:r>
      <w:r>
        <w:rPr>
          <w:sz w:val="21"/>
        </w:rPr>
        <w:t>甲方</w:t>
      </w:r>
      <w:r>
        <w:rPr>
          <w:sz w:val="21"/>
        </w:rPr>
        <w:t>提交合同总额的</w:t>
      </w:r>
      <w:r>
        <w:rPr>
          <w:sz w:val="21"/>
        </w:rPr>
        <w:t>5%作为履约保证金。</w:t>
      </w:r>
    </w:p>
    <w:p>
      <w:pPr>
        <w:pStyle w:val="null3"/>
        <w:ind w:firstLine="420"/>
        <w:jc w:val="left"/>
      </w:pPr>
      <w:r>
        <w:rPr>
          <w:sz w:val="21"/>
        </w:rPr>
        <w:t>项目验收合格</w:t>
      </w:r>
      <w:r>
        <w:rPr>
          <w:sz w:val="21"/>
        </w:rPr>
        <w:t>2</w:t>
      </w:r>
      <w:r>
        <w:rPr>
          <w:sz w:val="21"/>
        </w:rPr>
        <w:t>个月内，合同标的无质量问题，</w:t>
      </w:r>
      <w:r>
        <w:rPr>
          <w:sz w:val="21"/>
        </w:rPr>
        <w:t>乙方</w:t>
      </w:r>
      <w:r>
        <w:rPr>
          <w:sz w:val="21"/>
        </w:rPr>
        <w:t>凭收据向</w:t>
      </w:r>
      <w:r>
        <w:rPr>
          <w:sz w:val="21"/>
        </w:rPr>
        <w:t>甲方</w:t>
      </w:r>
      <w:r>
        <w:rPr>
          <w:sz w:val="21"/>
        </w:rPr>
        <w:t>申请退还，</w:t>
      </w:r>
      <w:r>
        <w:rPr>
          <w:sz w:val="21"/>
        </w:rPr>
        <w:t>甲方</w:t>
      </w:r>
      <w:r>
        <w:rPr>
          <w:sz w:val="21"/>
        </w:rPr>
        <w:t>在收到</w:t>
      </w:r>
      <w:r>
        <w:rPr>
          <w:sz w:val="21"/>
        </w:rPr>
        <w:t>乙方</w:t>
      </w:r>
      <w:r>
        <w:rPr>
          <w:sz w:val="21"/>
        </w:rPr>
        <w:t>申请单据之日起</w:t>
      </w:r>
      <w:r>
        <w:rPr>
          <w:sz w:val="21"/>
        </w:rPr>
        <w:t>15个工作日内无息退还给</w:t>
      </w:r>
      <w:r>
        <w:rPr>
          <w:sz w:val="21"/>
        </w:rPr>
        <w:t>乙方</w:t>
      </w:r>
      <w:r>
        <w:rPr>
          <w:sz w:val="21"/>
        </w:rPr>
        <w:t>。</w:t>
      </w:r>
    </w:p>
    <w:p>
      <w:pPr>
        <w:pStyle w:val="null3"/>
        <w:ind w:firstLine="420"/>
        <w:jc w:val="left"/>
      </w:pPr>
      <w:r>
        <w:rPr>
          <w:sz w:val="21"/>
        </w:rPr>
        <w:t>履约保证金不予退还的情形：</w:t>
      </w:r>
    </w:p>
    <w:p>
      <w:pPr>
        <w:pStyle w:val="null3"/>
        <w:ind w:firstLine="420"/>
        <w:jc w:val="left"/>
      </w:pPr>
      <w:r>
        <w:rPr>
          <w:sz w:val="21"/>
        </w:rPr>
        <w:t>（</w:t>
      </w:r>
      <w:r>
        <w:rPr>
          <w:sz w:val="21"/>
        </w:rPr>
        <w:t>1）未经</w:t>
      </w:r>
      <w:r>
        <w:rPr>
          <w:sz w:val="21"/>
        </w:rPr>
        <w:t>甲方</w:t>
      </w:r>
      <w:r>
        <w:rPr>
          <w:sz w:val="21"/>
        </w:rPr>
        <w:t>同意，</w:t>
      </w:r>
      <w:r>
        <w:rPr>
          <w:sz w:val="21"/>
        </w:rPr>
        <w:t>乙方</w:t>
      </w:r>
      <w:r>
        <w:rPr>
          <w:sz w:val="21"/>
        </w:rPr>
        <w:t>将本项目进行分包或转包给他人；</w:t>
      </w:r>
    </w:p>
    <w:p>
      <w:pPr>
        <w:pStyle w:val="null3"/>
        <w:ind w:firstLine="420"/>
        <w:jc w:val="left"/>
      </w:pPr>
      <w:r>
        <w:rPr>
          <w:sz w:val="21"/>
        </w:rPr>
        <w:t>（</w:t>
      </w:r>
      <w:r>
        <w:rPr>
          <w:sz w:val="21"/>
        </w:rPr>
        <w:t>2）在履行合同期间，</w:t>
      </w:r>
      <w:r>
        <w:rPr>
          <w:sz w:val="21"/>
        </w:rPr>
        <w:t>乙方</w:t>
      </w:r>
      <w:r>
        <w:rPr>
          <w:sz w:val="21"/>
        </w:rPr>
        <w:t>未经</w:t>
      </w:r>
      <w:r>
        <w:rPr>
          <w:sz w:val="21"/>
        </w:rPr>
        <w:t>甲方</w:t>
      </w:r>
      <w:r>
        <w:rPr>
          <w:sz w:val="21"/>
        </w:rPr>
        <w:t>同意提前终止本项目合同；</w:t>
      </w:r>
    </w:p>
    <w:p>
      <w:pPr>
        <w:pStyle w:val="null3"/>
        <w:ind w:firstLine="420"/>
        <w:jc w:val="left"/>
      </w:pPr>
      <w:r>
        <w:rPr>
          <w:sz w:val="21"/>
        </w:rPr>
        <w:t>（</w:t>
      </w:r>
      <w:r>
        <w:rPr>
          <w:sz w:val="21"/>
        </w:rPr>
        <w:t>3）在履行合同期间，</w:t>
      </w:r>
      <w:r>
        <w:rPr>
          <w:sz w:val="21"/>
        </w:rPr>
        <w:t>乙方</w:t>
      </w:r>
      <w:r>
        <w:rPr>
          <w:sz w:val="21"/>
        </w:rPr>
        <w:t>因在经营活动中存在违法被吊销营业执照或相关许可，导致本项目合同无法继续履行的。</w:t>
      </w:r>
    </w:p>
    <w:p>
      <w:pPr>
        <w:pStyle w:val="null3"/>
        <w:ind w:firstLine="422"/>
        <w:jc w:val="left"/>
      </w:pPr>
      <w:r>
        <w:rPr>
          <w:sz w:val="21"/>
          <w:b/>
        </w:rPr>
        <w:t>六、质保期保障服务</w:t>
      </w:r>
    </w:p>
    <w:p>
      <w:pPr>
        <w:pStyle w:val="null3"/>
        <w:ind w:firstLine="420"/>
        <w:jc w:val="left"/>
      </w:pPr>
      <w:r>
        <w:rPr>
          <w:sz w:val="21"/>
        </w:rPr>
        <w:t>1.质保期：乙方对本合同标的提供硬件设备1年质保期、软件3年质保期（费用包含在投标报价中），对由于</w:t>
      </w:r>
      <w:r>
        <w:rPr>
          <w:sz w:val="21"/>
        </w:rPr>
        <w:t>设计</w:t>
      </w:r>
      <w:r>
        <w:rPr>
          <w:sz w:val="21"/>
        </w:rPr>
        <w:t>、制造工艺、材料和安装所造成的质量缺陷或质量问题负责，并进行修理、更换零部件或退换，并须对设备出现的有关技术性问题或安全问题负责处理、解决，同时乙方应相应延长被更换货物的质保期，软件提供终身升级，质保期自货物验收合格之日起计算。质保期内提供现场保修、包换或包退服务，由此产生的一切费用均由乙方承担。乙方不能修复、调换或不能退货的，应退回相应货款，并承担相应违约责任。</w:t>
      </w:r>
    </w:p>
    <w:p>
      <w:pPr>
        <w:pStyle w:val="null3"/>
        <w:ind w:firstLine="420"/>
        <w:jc w:val="left"/>
      </w:pPr>
      <w:r>
        <w:rPr>
          <w:sz w:val="21"/>
        </w:rPr>
        <w:t>2.乙方应有专职工程师负责对所售产品安装，调试，培训，维修和处理。质保期内，在接到系统故障或问题告知后，乙方响应时间不得超过1小时，到达现场时间不得超过2小时，并应在24小时（前述响应及到达现场时间已包含计算在内）内排除故障。否则视为乙方不能修复货物。如果需要更换配件的，乙方须在15个工作日内完成配件更换服务，且更换的配件跟被更换的品牌、类型相一致或者是同类档次相当或更高的替代品，后者需征得甲方管理人员同意。如果故障在前述时间内仍无法排除，乙方应无条件在7个工作日内提供不低于故障设备规格型号档次的备用设备供甲方使用，直至故障设备修复。</w:t>
      </w:r>
    </w:p>
    <w:p>
      <w:pPr>
        <w:pStyle w:val="null3"/>
        <w:ind w:firstLine="420"/>
        <w:jc w:val="left"/>
      </w:pPr>
      <w:r>
        <w:rPr>
          <w:sz w:val="21"/>
        </w:rPr>
        <w:t>3.质保期内，同一硬件一个月内连续2次出现同一故障，乙方应无条件更换性能指标不低于原规格型号的新部件。严重影响教学工作的，乙方无条件提供不低于该档次的设备给甲方使用。</w:t>
      </w:r>
    </w:p>
    <w:p>
      <w:pPr>
        <w:pStyle w:val="null3"/>
        <w:ind w:firstLine="420"/>
        <w:jc w:val="left"/>
      </w:pPr>
      <w:r>
        <w:rPr>
          <w:sz w:val="21"/>
        </w:rPr>
        <w:t>4.质保</w:t>
      </w:r>
      <w:r>
        <w:rPr>
          <w:sz w:val="21"/>
        </w:rPr>
        <w:t>期满</w:t>
      </w:r>
      <w:r>
        <w:rPr>
          <w:sz w:val="21"/>
        </w:rPr>
        <w:t>后</w:t>
      </w:r>
      <w:r>
        <w:rPr>
          <w:sz w:val="21"/>
        </w:rPr>
        <w:t>设备</w:t>
      </w:r>
      <w:r>
        <w:rPr>
          <w:sz w:val="21"/>
        </w:rPr>
        <w:t>维修仅收取配件成本费，不收取上门费及人工费。乙方承诺配件更换的费用，以不高于市场价格</w:t>
      </w:r>
      <w:r>
        <w:rPr>
          <w:sz w:val="21"/>
        </w:rPr>
        <w:t>8折提供给学校。</w:t>
      </w:r>
    </w:p>
    <w:p>
      <w:pPr>
        <w:pStyle w:val="null3"/>
        <w:ind w:firstLine="422"/>
        <w:jc w:val="left"/>
      </w:pPr>
      <w:r>
        <w:rPr>
          <w:sz w:val="21"/>
          <w:b/>
        </w:rPr>
        <w:t>七、培训</w:t>
      </w:r>
    </w:p>
    <w:p>
      <w:pPr>
        <w:pStyle w:val="null3"/>
        <w:ind w:firstLine="420"/>
        <w:jc w:val="left"/>
      </w:pPr>
      <w:r>
        <w:rPr>
          <w:sz w:val="21"/>
        </w:rPr>
        <w:t>乙方负责提供合同标的现场操作、运行、维护、修理的培训方案及必需的培训资料，并对甲方受训人员进行现场培训直至能熟练操作为止，培训次数不少于</w:t>
      </w:r>
      <w:r>
        <w:rPr>
          <w:sz w:val="21"/>
        </w:rPr>
        <w:t>4次，每次培训应配置不少于1个工程师，培训天数应不少于1天，培训期间工程师的食宿由乙方负责。培训内容应至少包括：设备的操作使用和保养；设备安全注意事项；设备简易故障排除等。在后期使用过程中，如需增加培训环节，乙方负责根据甲方需要提供培训服务。以上相关费用已包含在投标报价中。</w:t>
      </w:r>
    </w:p>
    <w:p>
      <w:pPr>
        <w:pStyle w:val="null3"/>
        <w:ind w:firstLine="422"/>
        <w:jc w:val="left"/>
      </w:pPr>
      <w:r>
        <w:rPr>
          <w:sz w:val="21"/>
          <w:b/>
        </w:rPr>
        <w:t>八、知识产权、风险转移</w:t>
      </w:r>
    </w:p>
    <w:p>
      <w:pPr>
        <w:pStyle w:val="null3"/>
        <w:ind w:firstLine="420"/>
        <w:jc w:val="left"/>
      </w:pPr>
      <w:r>
        <w:rPr>
          <w:sz w:val="21"/>
        </w:rPr>
        <w:t>1</w:t>
      </w:r>
      <w:r>
        <w:rPr>
          <w:sz w:val="21"/>
        </w:rPr>
        <w:t>．</w:t>
      </w:r>
      <w:r>
        <w:rPr>
          <w:sz w:val="21"/>
        </w:rPr>
        <w:t>乙方保证，甲方在中华人民共和国使用该货物或货物的任何一部分时，如受第三方提出的侵犯其知识产权、肖像权、技术秘密、商业秘密或其他任何权益的起诉，由乙方承担一切责任。</w:t>
      </w:r>
    </w:p>
    <w:p>
      <w:pPr>
        <w:pStyle w:val="null3"/>
        <w:ind w:firstLine="420"/>
        <w:jc w:val="left"/>
      </w:pPr>
      <w:r>
        <w:rPr>
          <w:sz w:val="21"/>
        </w:rPr>
        <w:t>2．乙方为执行本合同而提供的技术资料、软件的使用权归甲方所有。</w:t>
      </w:r>
    </w:p>
    <w:p>
      <w:pPr>
        <w:pStyle w:val="null3"/>
        <w:ind w:firstLine="420"/>
        <w:jc w:val="left"/>
      </w:pPr>
      <w:r>
        <w:rPr>
          <w:sz w:val="21"/>
        </w:rPr>
        <w:t>3．乙方交由承运人运输的在途货物，毁损、灭失的风险由乙方承担。货物的产权，损坏、灭失的风险，在货物通过甲方验收合格交付使用时起，由乙方转移至甲方。</w:t>
      </w:r>
    </w:p>
    <w:p>
      <w:pPr>
        <w:pStyle w:val="null3"/>
        <w:ind w:firstLine="420"/>
        <w:jc w:val="left"/>
      </w:pPr>
      <w:r>
        <w:rPr>
          <w:sz w:val="21"/>
        </w:rPr>
        <w:t>4．因货物验收不合格甲方拒收，或者双方解除合同的，合同标的物毁损、丢失的风险由乙方承担。</w:t>
      </w:r>
    </w:p>
    <w:p>
      <w:pPr>
        <w:pStyle w:val="null3"/>
        <w:ind w:firstLine="420"/>
        <w:jc w:val="left"/>
      </w:pPr>
      <w:r>
        <w:rPr>
          <w:sz w:val="21"/>
        </w:rPr>
        <w:t>5．产权和风险的转移，不影响因乙方履行合同义务不符合约定，甲方要求其承担违约责任的权利。</w:t>
      </w:r>
    </w:p>
    <w:p>
      <w:pPr>
        <w:pStyle w:val="null3"/>
        <w:ind w:firstLine="422"/>
        <w:jc w:val="left"/>
      </w:pPr>
      <w:r>
        <w:rPr>
          <w:sz w:val="21"/>
          <w:b/>
        </w:rPr>
        <w:t>九、保密责任</w:t>
      </w:r>
    </w:p>
    <w:p>
      <w:pPr>
        <w:pStyle w:val="null3"/>
        <w:ind w:firstLine="420"/>
        <w:jc w:val="left"/>
      </w:pPr>
      <w:r>
        <w:rPr>
          <w:sz w:val="21"/>
        </w:rPr>
        <w:t>双方应保守通过签订和履行本合同而获取的对方之商业及技术秘密，包括本合同文本，相关技术文件、相关数据，以及其他有关信息。任何一方违反上述约定的，应赔偿合同守约方的损失。本保密条款及保密责任不因合同的解除或终止而消失。</w:t>
      </w:r>
    </w:p>
    <w:p>
      <w:pPr>
        <w:pStyle w:val="null3"/>
        <w:ind w:firstLine="422"/>
        <w:jc w:val="left"/>
      </w:pPr>
      <w:r>
        <w:rPr>
          <w:sz w:val="21"/>
          <w:b/>
        </w:rPr>
        <w:t>十、违约责任</w:t>
      </w:r>
    </w:p>
    <w:p>
      <w:pPr>
        <w:pStyle w:val="null3"/>
        <w:ind w:firstLine="420"/>
        <w:jc w:val="left"/>
      </w:pPr>
      <w:r>
        <w:rPr>
          <w:sz w:val="21"/>
        </w:rPr>
        <w:t>1．乙方交付的货物不符合合同规定的，甲方有权拒收并解除合同，乙方需向甲方支付合同总价10%的违约金。如甲方同意更换的，乙方应于5天内重新提供符合合同约定的货物，乙方未能按期调换的，按逾期交付货物处理，逾期时点自最初约定的交付日期起计。</w:t>
      </w:r>
    </w:p>
    <w:p>
      <w:pPr>
        <w:pStyle w:val="null3"/>
        <w:ind w:firstLine="420"/>
        <w:jc w:val="left"/>
      </w:pPr>
      <w:r>
        <w:rPr>
          <w:sz w:val="21"/>
        </w:rPr>
        <w:t>2．乙方逾期交付货物的，每逾期一天，按合同总价的0.8‰向甲方支付违约金，甲方有权直接从应付给乙方的合同款项中扣除该违约金，且甲方有权要求乙方继续向甲方交付直至符合要求。</w:t>
      </w:r>
      <w:r>
        <w:rPr>
          <w:sz w:val="21"/>
        </w:rPr>
        <w:t>误期超过</w:t>
      </w:r>
      <w:r>
        <w:rPr>
          <w:sz w:val="21"/>
        </w:rPr>
        <w:t>15天，甲方有权解除合同，乙方需退还甲方已支付的所有款项，并按合同总价的10%向甲方支付违约金，违约金不足以弥补甲方损失的，乙方应另行赔偿。</w:t>
      </w:r>
    </w:p>
    <w:p>
      <w:pPr>
        <w:pStyle w:val="null3"/>
        <w:ind w:firstLine="420"/>
        <w:jc w:val="left"/>
      </w:pPr>
      <w:r>
        <w:rPr>
          <w:sz w:val="21"/>
        </w:rPr>
        <w:t>3．若乙方未按本合同的约定提供质保期保障服务，甲方有权自行委托第三方提供甲方所需要的技术支持和售后服务，由此造成的包括但不限于第三方维保费用、甲方其他经济损失等均由乙方承担赔偿。</w:t>
      </w:r>
    </w:p>
    <w:p>
      <w:pPr>
        <w:pStyle w:val="null3"/>
        <w:ind w:firstLine="420"/>
        <w:jc w:val="left"/>
      </w:pPr>
      <w:r>
        <w:rPr>
          <w:sz w:val="21"/>
        </w:rPr>
        <w:t>4. 乙方有以下情形之一的，甲方有权解除合同，乙方需退还甲方已支付的所有款项，并按合同总价的10%向甲方支付违约金，违约金不足以弥补甲方损失的，乙方应另行赔偿，具体情形如下：</w:t>
      </w:r>
    </w:p>
    <w:p>
      <w:pPr>
        <w:pStyle w:val="null3"/>
        <w:ind w:firstLine="420"/>
        <w:jc w:val="left"/>
      </w:pPr>
      <w:r>
        <w:rPr>
          <w:sz w:val="21"/>
        </w:rPr>
        <w:t>（</w:t>
      </w:r>
      <w:r>
        <w:rPr>
          <w:sz w:val="21"/>
        </w:rPr>
        <w:t>1）乙方交付的货物存在侵犯他人知识产权、肖像权、技术秘密、商业秘密或其他任何权益的；</w:t>
      </w:r>
    </w:p>
    <w:p>
      <w:pPr>
        <w:pStyle w:val="null3"/>
        <w:ind w:firstLine="420"/>
        <w:jc w:val="left"/>
      </w:pPr>
      <w:r>
        <w:rPr>
          <w:sz w:val="21"/>
        </w:rPr>
        <w:t>（</w:t>
      </w:r>
      <w:r>
        <w:rPr>
          <w:sz w:val="21"/>
        </w:rPr>
        <w:t>2）乙方履行义务不符合约定，经甲方提出后在合理期限内仍未改正的；</w:t>
      </w:r>
    </w:p>
    <w:p>
      <w:pPr>
        <w:pStyle w:val="null3"/>
        <w:ind w:firstLine="420"/>
        <w:jc w:val="left"/>
      </w:pPr>
      <w:r>
        <w:rPr>
          <w:sz w:val="21"/>
        </w:rPr>
        <w:t>（</w:t>
      </w:r>
      <w:r>
        <w:rPr>
          <w:sz w:val="21"/>
        </w:rPr>
        <w:t>3）未经甲方书面同意，乙方将本合同项下的权利或义务转让，或将本合同项下服务转包或分包的；</w:t>
      </w:r>
    </w:p>
    <w:p>
      <w:pPr>
        <w:pStyle w:val="null3"/>
        <w:ind w:firstLine="420"/>
        <w:jc w:val="left"/>
      </w:pPr>
      <w:r>
        <w:rPr>
          <w:sz w:val="21"/>
        </w:rPr>
        <w:t>（</w:t>
      </w:r>
      <w:r>
        <w:rPr>
          <w:sz w:val="21"/>
        </w:rPr>
        <w:t>4）乙方无正当理由逾期交货超过15日的；</w:t>
      </w:r>
    </w:p>
    <w:p>
      <w:pPr>
        <w:pStyle w:val="null3"/>
        <w:ind w:firstLine="420"/>
        <w:jc w:val="left"/>
      </w:pPr>
      <w:r>
        <w:rPr>
          <w:sz w:val="21"/>
        </w:rPr>
        <w:t>（</w:t>
      </w:r>
      <w:r>
        <w:rPr>
          <w:sz w:val="21"/>
        </w:rPr>
        <w:t>5）国家法律规定的其他合同解除情形。</w:t>
      </w:r>
    </w:p>
    <w:p>
      <w:pPr>
        <w:pStyle w:val="null3"/>
        <w:ind w:firstLine="420"/>
        <w:jc w:val="left"/>
      </w:pPr>
      <w:r>
        <w:rPr>
          <w:sz w:val="21"/>
        </w:rPr>
        <w:t>5. 甲方逾期支付货款，经乙方催告后无正当理由仍不支付的，自催告后每逾期一日，应按逾期付款金额每日0.8‰向乙方支付违约金。</w:t>
      </w:r>
    </w:p>
    <w:p>
      <w:pPr>
        <w:pStyle w:val="null3"/>
        <w:ind w:firstLine="420"/>
        <w:jc w:val="left"/>
      </w:pPr>
      <w:r>
        <w:rPr>
          <w:sz w:val="21"/>
        </w:rPr>
        <w:t>6. 本合同所称之损失，包括守约方的直接经济损失和合同履行后可以获得的利益及合理的调查费、评估费、公证费、诉讼费、交通费、律师费等相关法律费用。</w:t>
      </w:r>
    </w:p>
    <w:p>
      <w:pPr>
        <w:pStyle w:val="null3"/>
        <w:ind w:firstLine="422"/>
        <w:jc w:val="left"/>
      </w:pPr>
      <w:r>
        <w:rPr>
          <w:sz w:val="21"/>
          <w:b/>
        </w:rPr>
        <w:t>十一、不可抗力</w:t>
      </w:r>
    </w:p>
    <w:p>
      <w:pPr>
        <w:pStyle w:val="null3"/>
        <w:ind w:firstLine="420"/>
        <w:jc w:val="left"/>
      </w:pPr>
      <w:r>
        <w:rPr>
          <w:sz w:val="21"/>
        </w:rPr>
        <w:t>一方由于</w:t>
      </w:r>
      <w:r>
        <w:rPr>
          <w:sz w:val="21"/>
          <w:shd w:fill="FFFFFF" w:val="clear"/>
        </w:rPr>
        <w:t>不能预见、不能避免并不能克服的客观情况（也即法定不可抗力事由），且该情况是在合同生效后发生的，</w:t>
      </w:r>
      <w:r>
        <w:rPr>
          <w:sz w:val="21"/>
        </w:rPr>
        <w:t>导致不能或暂时不能全部或部分履行本合同，该方可以免责。但是，受不可抗力事件影响的一方须尽快将事件发生状况通知另一方，并在不可抗力事件影响消除之日起</w:t>
      </w:r>
      <w:r>
        <w:rPr>
          <w:sz w:val="21"/>
        </w:rPr>
        <w:t>10日内将有关机构出具的不可抗力事件证明寄交对方。逾期未提供以上证明的，不能免除违约责任。</w:t>
      </w:r>
    </w:p>
    <w:p>
      <w:pPr>
        <w:pStyle w:val="null3"/>
        <w:ind w:firstLine="422"/>
        <w:jc w:val="left"/>
      </w:pPr>
      <w:r>
        <w:rPr>
          <w:sz w:val="21"/>
          <w:b/>
        </w:rPr>
        <w:t>十二、法律适用与争议解决</w:t>
      </w:r>
    </w:p>
    <w:p>
      <w:pPr>
        <w:pStyle w:val="null3"/>
        <w:ind w:firstLine="420"/>
        <w:jc w:val="left"/>
      </w:pPr>
      <w:r>
        <w:rPr>
          <w:sz w:val="21"/>
        </w:rPr>
        <w:t>1．本合同的成立、有效性、解释、履行、签署、修订和终止以及争议的解决等均应适用中华人民共和国法律。</w:t>
      </w:r>
    </w:p>
    <w:p>
      <w:pPr>
        <w:pStyle w:val="null3"/>
        <w:ind w:firstLine="420"/>
        <w:jc w:val="left"/>
      </w:pPr>
      <w:r>
        <w:rPr>
          <w:sz w:val="21"/>
        </w:rPr>
        <w:t>2．</w:t>
      </w:r>
      <w:r>
        <w:rPr>
          <w:sz w:val="21"/>
        </w:rPr>
        <w:t>甲乙双方在履行本合同时发生的争议</w:t>
      </w:r>
      <w:r>
        <w:rPr>
          <w:sz w:val="21"/>
        </w:rPr>
        <w:t>，都应首先由双方通过友好协商解决。双方通过协商仍不能解决争议，双方一致同意向甲方所在地（即广州市天河区）人民法院提起诉讼。</w:t>
      </w:r>
    </w:p>
    <w:p>
      <w:pPr>
        <w:pStyle w:val="null3"/>
        <w:ind w:firstLine="422"/>
        <w:jc w:val="left"/>
      </w:pPr>
      <w:r>
        <w:rPr>
          <w:sz w:val="21"/>
          <w:b/>
        </w:rPr>
        <w:t>十三、通知与送达</w:t>
      </w:r>
    </w:p>
    <w:p>
      <w:pPr>
        <w:pStyle w:val="null3"/>
        <w:ind w:firstLine="420"/>
        <w:jc w:val="left"/>
      </w:pPr>
      <w:r>
        <w:rPr>
          <w:sz w:val="21"/>
        </w:rPr>
        <w:t>一方在本合同履行过程中向对方发出或者提供的所有通知、文件、文书、资料等，均以本合同所列明的地址送达。一方如果迁址、变更电话，应当在变更之日起</w:t>
      </w:r>
      <w:r>
        <w:rPr>
          <w:sz w:val="21"/>
        </w:rPr>
        <w:t>5日内书面通知对方，未履行书面通知义务的，一方按原地址邮寄相关材料或通知相关信息即视为已履行送达义务。当面交付上述材料的，在交付之时视为送达；以邮寄方式交付的，寄出、发出或者投邮后即视为送达。</w:t>
      </w:r>
    </w:p>
    <w:p>
      <w:pPr>
        <w:pStyle w:val="null3"/>
        <w:ind w:firstLine="422"/>
        <w:jc w:val="left"/>
      </w:pPr>
      <w:r>
        <w:rPr>
          <w:sz w:val="21"/>
          <w:b/>
        </w:rPr>
        <w:t>十四、其他约定</w:t>
      </w:r>
    </w:p>
    <w:p>
      <w:pPr>
        <w:pStyle w:val="null3"/>
        <w:ind w:firstLine="420"/>
        <w:jc w:val="left"/>
      </w:pPr>
      <w:r>
        <w:rPr>
          <w:sz w:val="21"/>
        </w:rPr>
        <w:t>1</w:t>
      </w:r>
      <w:r>
        <w:rPr>
          <w:sz w:val="21"/>
        </w:rPr>
        <w:t>．</w:t>
      </w:r>
      <w:r>
        <w:rPr>
          <w:sz w:val="21"/>
        </w:rPr>
        <w:t>本合同其他未尽事宜，以项目招投标文件为准；文件未作规定的，应由双方友好协商解决。如需对本合同及其附件作任何修改或补充，须由双方以书面形式做出，并经双方签字盖章后方为有效。修改或补充文件与本合同有不一致的，以修改或补充文件为准。</w:t>
      </w:r>
    </w:p>
    <w:p>
      <w:pPr>
        <w:pStyle w:val="null3"/>
        <w:ind w:firstLine="420"/>
        <w:jc w:val="left"/>
      </w:pPr>
      <w:r>
        <w:rPr>
          <w:sz w:val="21"/>
        </w:rPr>
        <w:t xml:space="preserve">2. </w:t>
      </w:r>
      <w:r>
        <w:rPr>
          <w:sz w:val="21"/>
        </w:rPr>
        <w:t>组成本合同的材料包括</w:t>
      </w:r>
      <w:r>
        <w:rPr>
          <w:sz w:val="21"/>
        </w:rPr>
        <w:t>_______采购项目(</w:t>
      </w:r>
      <w:r>
        <w:rPr>
          <w:sz w:val="21"/>
        </w:rPr>
        <w:t>采购编号</w:t>
      </w:r>
      <w:r>
        <w:rPr>
          <w:sz w:val="21"/>
        </w:rPr>
        <w:t>：</w:t>
      </w:r>
      <w:r>
        <w:rPr>
          <w:sz w:val="21"/>
        </w:rPr>
        <w:t>_______）的招标文件、乙方投标文件、承诺以及本项目经双方确认的相关材料</w:t>
      </w:r>
      <w:r>
        <w:rPr>
          <w:sz w:val="21"/>
        </w:rPr>
        <w:t>，合同附件为本合同不可分割的部分。若附件与合同正文有任何不一致，以合同正文为准。</w:t>
      </w:r>
    </w:p>
    <w:p>
      <w:pPr>
        <w:pStyle w:val="null3"/>
        <w:ind w:firstLine="420"/>
        <w:jc w:val="left"/>
      </w:pPr>
      <w:r>
        <w:rPr>
          <w:sz w:val="21"/>
        </w:rPr>
        <w:t>3. 本合同经甲乙双方签字盖章后正式生效。一式6份，甲方持4份，乙方持2份，均为正本，具有同等法律效力。</w:t>
      </w:r>
    </w:p>
    <w:p>
      <w:pPr>
        <w:pStyle w:val="null3"/>
        <w:ind w:firstLine="422"/>
        <w:jc w:val="both"/>
      </w:pPr>
      <w:r>
        <w:rPr>
          <w:sz w:val="21"/>
          <w:b/>
        </w:rPr>
        <w:t>甲乙双方在此确认，本合同为甲乙双方合法之授权代表于广州市天河区签订。</w:t>
      </w:r>
    </w:p>
    <w:p>
      <w:pPr>
        <w:pStyle w:val="null3"/>
        <w:ind w:left="420"/>
        <w:jc w:val="left"/>
      </w:pPr>
      <w:r>
        <w:rPr>
          <w:sz w:val="21"/>
          <w:b/>
        </w:rPr>
        <w:t>（以下无正文）</w:t>
      </w:r>
    </w:p>
    <w:tbl>
      <w:tblPr>
        <w:tblW w:w="0" w:type="auto"/>
        <w:tblBorders>
          <w:top w:val="none" w:color="000000" w:sz="4"/>
          <w:left w:val="none" w:color="000000" w:sz="4"/>
          <w:bottom w:val="none" w:color="000000" w:sz="4"/>
          <w:right w:val="none" w:color="000000" w:sz="4"/>
          <w:insideH w:val="none"/>
          <w:insideV w:val="none"/>
        </w:tblBorders>
      </w:tblPr>
      <w:tblGrid>
        <w:gridCol w:w="795"/>
        <w:gridCol w:w="1206"/>
        <w:gridCol w:w="780"/>
        <w:gridCol w:w="1206"/>
        <w:gridCol w:w="809"/>
        <w:gridCol w:w="1093"/>
        <w:gridCol w:w="866"/>
        <w:gridCol w:w="1505"/>
      </w:tblGrid>
      <w:tr>
        <w:tc>
          <w:tcPr>
            <w:tcW w:type="dxa" w:w="795"/>
            <w:tcBorders>
              <w:top w:val="single" w:color="000000" w:sz="4"/>
              <w:left w:val="single" w:color="000000" w:sz="4"/>
              <w:bottom w:val="none" w:color="000000" w:sz="4"/>
              <w:right w:val="none" w:color="000000" w:sz="4"/>
            </w:tcBorders>
            <w:tcMar>
              <w:top w:type="dxa" w:w="15"/>
              <w:left w:type="dxa" w:w="15"/>
              <w:bottom w:type="dxa" w:w="15"/>
              <w:right w:type="dxa" w:w="15"/>
            </w:tcMar>
            <w:vAlign w:val="top"/>
          </w:tcPr>
          <w:p>
            <w:pPr>
              <w:pStyle w:val="null3"/>
              <w:jc w:val="center"/>
            </w:pPr>
            <w:r>
              <w:rPr>
                <w:sz w:val="21"/>
              </w:rPr>
              <w:t>甲方</w:t>
            </w:r>
          </w:p>
          <w:p>
            <w:pPr>
              <w:pStyle w:val="null3"/>
              <w:jc w:val="center"/>
            </w:pPr>
            <w:r>
              <w:rPr>
                <w:sz w:val="21"/>
              </w:rPr>
              <w:t>名称</w:t>
            </w:r>
          </w:p>
        </w:tc>
        <w:tc>
          <w:tcPr>
            <w:tcW w:type="dxa" w:w="3192"/>
            <w:gridSpan w:val="3"/>
            <w:tcBorders>
              <w:top w:val="single" w:color="000000" w:sz="4"/>
              <w:left w:val="single" w:color="000000" w:sz="4"/>
              <w:bottom w:val="none" w:color="000000" w:sz="4"/>
              <w:right w:val="none" w:color="000000" w:sz="4"/>
            </w:tcBorders>
            <w:tcMar>
              <w:top w:type="dxa" w:w="15"/>
              <w:left w:type="dxa" w:w="15"/>
              <w:bottom w:type="dxa" w:w="15"/>
              <w:right w:type="dxa" w:w="15"/>
            </w:tcMar>
            <w:vAlign w:val="top"/>
          </w:tcPr>
          <w:p>
            <w:pPr>
              <w:pStyle w:val="null3"/>
              <w:ind w:firstLine="105"/>
              <w:jc w:val="left"/>
            </w:pPr>
            <w:r>
              <w:rPr>
                <w:sz w:val="21"/>
              </w:rPr>
              <w:t>华南师范大学</w:t>
            </w:r>
            <w:r>
              <w:rPr>
                <w:sz w:val="21"/>
              </w:rPr>
              <w:t xml:space="preserve">  </w:t>
            </w:r>
          </w:p>
        </w:tc>
        <w:tc>
          <w:tcPr>
            <w:tcW w:type="dxa" w:w="809"/>
            <w:tcBorders>
              <w:top w:val="single" w:color="000000" w:sz="4"/>
              <w:left w:val="single" w:color="000000" w:sz="4"/>
              <w:bottom w:val="none" w:color="000000" w:sz="4"/>
              <w:right w:val="none" w:color="000000" w:sz="4"/>
            </w:tcBorders>
            <w:tcMar>
              <w:top w:type="dxa" w:w="15"/>
              <w:left w:type="dxa" w:w="15"/>
              <w:bottom w:type="dxa" w:w="15"/>
              <w:right w:type="dxa" w:w="15"/>
            </w:tcMar>
            <w:vAlign w:val="top"/>
          </w:tcPr>
          <w:p>
            <w:pPr>
              <w:pStyle w:val="null3"/>
              <w:jc w:val="center"/>
            </w:pPr>
            <w:r>
              <w:rPr>
                <w:sz w:val="21"/>
              </w:rPr>
              <w:t>乙方</w:t>
            </w:r>
          </w:p>
          <w:p>
            <w:pPr>
              <w:pStyle w:val="null3"/>
              <w:jc w:val="center"/>
            </w:pPr>
            <w:r>
              <w:rPr>
                <w:sz w:val="21"/>
              </w:rPr>
              <w:t>名称</w:t>
            </w:r>
          </w:p>
        </w:tc>
        <w:tc>
          <w:tcPr>
            <w:tcW w:type="dxa" w:w="3464"/>
            <w:gridSpan w:val="3"/>
            <w:tcBorders>
              <w:top w:val="single" w:color="000000" w:sz="4"/>
              <w:left w:val="single" w:color="000000" w:sz="4"/>
              <w:bottom w:val="none" w:color="000000" w:sz="4"/>
              <w:right w:val="single" w:color="000000" w:sz="4"/>
            </w:tcBorders>
            <w:tcMar>
              <w:top w:type="dxa" w:w="15"/>
              <w:left w:type="dxa" w:w="15"/>
              <w:bottom w:type="dxa" w:w="15"/>
              <w:right w:type="dxa" w:w="15"/>
            </w:tcMar>
            <w:vAlign w:val="top"/>
          </w:tcPr>
          <w:p>
            <w:pPr>
              <w:pStyle w:val="null3"/>
              <w:ind w:firstLine="105"/>
              <w:jc w:val="left"/>
            </w:pPr>
            <w:r>
              <w:rPr>
                <w:sz w:val="21"/>
              </w:rPr>
              <w:t>（必填项）</w:t>
            </w:r>
          </w:p>
        </w:tc>
      </w:tr>
      <w:tr>
        <w:tc>
          <w:tcPr>
            <w:tcW w:type="dxa" w:w="795"/>
            <w:tcBorders>
              <w:top w:val="single" w:color="000000" w:sz="4"/>
              <w:left w:val="single" w:color="000000" w:sz="4"/>
              <w:bottom w:val="none" w:color="000000" w:sz="4"/>
              <w:right w:val="none" w:color="000000" w:sz="4"/>
            </w:tcBorders>
            <w:tcMar>
              <w:top w:type="dxa" w:w="15"/>
              <w:left w:type="dxa" w:w="15"/>
              <w:bottom w:type="dxa" w:w="15"/>
              <w:right w:type="dxa" w:w="15"/>
            </w:tcMar>
            <w:vAlign w:val="top"/>
          </w:tcPr>
          <w:p>
            <w:pPr>
              <w:pStyle w:val="null3"/>
              <w:jc w:val="center"/>
            </w:pPr>
            <w:r>
              <w:rPr>
                <w:sz w:val="21"/>
              </w:rPr>
              <w:t>单位</w:t>
            </w:r>
          </w:p>
          <w:p>
            <w:pPr>
              <w:pStyle w:val="null3"/>
              <w:jc w:val="center"/>
            </w:pPr>
            <w:r>
              <w:rPr>
                <w:sz w:val="21"/>
              </w:rPr>
              <w:t>地址</w:t>
            </w:r>
          </w:p>
        </w:tc>
        <w:tc>
          <w:tcPr>
            <w:tcW w:type="dxa" w:w="3192"/>
            <w:gridSpan w:val="3"/>
            <w:tcBorders>
              <w:top w:val="single" w:color="000000" w:sz="4"/>
              <w:left w:val="single" w:color="000000" w:sz="4"/>
              <w:bottom w:val="none" w:color="000000" w:sz="4"/>
              <w:right w:val="none" w:color="000000" w:sz="4"/>
            </w:tcBorders>
            <w:tcMar>
              <w:top w:type="dxa" w:w="15"/>
              <w:left w:type="dxa" w:w="15"/>
              <w:bottom w:type="dxa" w:w="15"/>
              <w:right w:type="dxa" w:w="15"/>
            </w:tcMar>
            <w:vAlign w:val="top"/>
          </w:tcPr>
          <w:p>
            <w:pPr>
              <w:pStyle w:val="null3"/>
              <w:ind w:firstLine="105"/>
              <w:jc w:val="left"/>
            </w:pPr>
            <w:r>
              <w:rPr>
                <w:sz w:val="21"/>
              </w:rPr>
              <w:t>广州市中山大道西</w:t>
            </w:r>
            <w:r>
              <w:rPr>
                <w:sz w:val="21"/>
              </w:rPr>
              <w:t>55</w:t>
            </w:r>
            <w:r>
              <w:rPr>
                <w:sz w:val="21"/>
              </w:rPr>
              <w:t>号</w:t>
            </w:r>
            <w:r>
              <w:rPr>
                <w:sz w:val="21"/>
              </w:rPr>
              <w:t xml:space="preserve">  </w:t>
            </w:r>
          </w:p>
        </w:tc>
        <w:tc>
          <w:tcPr>
            <w:tcW w:type="dxa" w:w="809"/>
            <w:tcBorders>
              <w:top w:val="single" w:color="000000" w:sz="4"/>
              <w:left w:val="single" w:color="000000" w:sz="4"/>
              <w:bottom w:val="none" w:color="000000" w:sz="4"/>
              <w:right w:val="none" w:color="000000" w:sz="4"/>
            </w:tcBorders>
            <w:tcMar>
              <w:top w:type="dxa" w:w="15"/>
              <w:left w:type="dxa" w:w="15"/>
              <w:bottom w:type="dxa" w:w="15"/>
              <w:right w:type="dxa" w:w="15"/>
            </w:tcMar>
            <w:vAlign w:val="top"/>
          </w:tcPr>
          <w:p>
            <w:pPr>
              <w:pStyle w:val="null3"/>
              <w:jc w:val="center"/>
            </w:pPr>
            <w:r>
              <w:rPr>
                <w:sz w:val="21"/>
              </w:rPr>
              <w:t>单位</w:t>
            </w:r>
          </w:p>
          <w:p>
            <w:pPr>
              <w:pStyle w:val="null3"/>
              <w:jc w:val="center"/>
            </w:pPr>
            <w:r>
              <w:rPr>
                <w:sz w:val="21"/>
              </w:rPr>
              <w:t>地址</w:t>
            </w:r>
          </w:p>
        </w:tc>
        <w:tc>
          <w:tcPr>
            <w:tcW w:type="dxa" w:w="3464"/>
            <w:gridSpan w:val="3"/>
            <w:tcBorders>
              <w:top w:val="single" w:color="000000" w:sz="4"/>
              <w:left w:val="single" w:color="000000" w:sz="4"/>
              <w:bottom w:val="none" w:color="000000" w:sz="4"/>
              <w:right w:val="single" w:color="000000" w:sz="4"/>
            </w:tcBorders>
            <w:tcMar>
              <w:top w:type="dxa" w:w="15"/>
              <w:left w:type="dxa" w:w="15"/>
              <w:bottom w:type="dxa" w:w="15"/>
              <w:right w:type="dxa" w:w="15"/>
            </w:tcMar>
            <w:vAlign w:val="top"/>
          </w:tcPr>
          <w:p>
            <w:pPr>
              <w:pStyle w:val="null3"/>
              <w:ind w:firstLine="105"/>
              <w:jc w:val="left"/>
            </w:pPr>
            <w:r>
              <w:rPr>
                <w:sz w:val="21"/>
              </w:rPr>
              <w:t>（必填项）</w:t>
            </w:r>
          </w:p>
        </w:tc>
      </w:tr>
      <w:tr>
        <w:tc>
          <w:tcPr>
            <w:tcW w:type="dxa" w:w="795"/>
            <w:tcBorders>
              <w:top w:val="single" w:color="000000" w:sz="4"/>
              <w:left w:val="single" w:color="000000" w:sz="4"/>
              <w:bottom w:val="none" w:color="000000" w:sz="4"/>
              <w:right w:val="none" w:color="000000" w:sz="4"/>
            </w:tcBorders>
            <w:tcMar>
              <w:top w:type="dxa" w:w="15"/>
              <w:left w:type="dxa" w:w="15"/>
              <w:bottom w:type="dxa" w:w="15"/>
              <w:right w:type="dxa" w:w="15"/>
            </w:tcMar>
            <w:vAlign w:val="top"/>
          </w:tcPr>
          <w:p>
            <w:pPr>
              <w:pStyle w:val="null3"/>
              <w:jc w:val="center"/>
            </w:pPr>
            <w:r>
              <w:rPr>
                <w:sz w:val="21"/>
              </w:rPr>
              <w:t>联系人</w:t>
            </w:r>
          </w:p>
        </w:tc>
        <w:tc>
          <w:tcPr>
            <w:tcW w:type="dxa" w:w="1206"/>
            <w:tcBorders>
              <w:top w:val="single" w:color="000000" w:sz="4"/>
              <w:left w:val="single" w:color="000000" w:sz="4"/>
              <w:bottom w:val="none" w:color="000000" w:sz="4"/>
              <w:right w:val="single" w:color="000000" w:sz="4"/>
            </w:tcBorders>
            <w:tcMar>
              <w:top w:type="dxa" w:w="15"/>
              <w:left w:type="dxa" w:w="15"/>
              <w:bottom w:type="dxa" w:w="15"/>
              <w:right w:type="dxa" w:w="15"/>
            </w:tcMar>
            <w:vAlign w:val="top"/>
          </w:tcPr>
          <w:p>
            <w:pPr>
              <w:pStyle w:val="null3"/>
              <w:ind w:firstLine="105"/>
              <w:jc w:val="left"/>
            </w:pPr>
            <w:r>
              <w:rPr>
                <w:sz w:val="21"/>
              </w:rPr>
              <w:t>（必填项）</w:t>
            </w:r>
          </w:p>
        </w:tc>
        <w:tc>
          <w:tcPr>
            <w:tcW w:type="dxa" w:w="780"/>
            <w:tcBorders>
              <w:top w:val="single" w:color="000000" w:sz="4"/>
              <w:left w:val="none" w:color="000000" w:sz="4"/>
              <w:bottom w:val="none" w:color="000000" w:sz="4"/>
              <w:right w:val="none" w:color="000000" w:sz="4"/>
            </w:tcBorders>
            <w:tcMar>
              <w:top w:type="dxa" w:w="15"/>
              <w:left w:type="dxa" w:w="15"/>
              <w:bottom w:type="dxa" w:w="15"/>
              <w:right w:type="dxa" w:w="15"/>
            </w:tcMar>
            <w:vAlign w:val="top"/>
          </w:tcPr>
          <w:p>
            <w:pPr>
              <w:pStyle w:val="null3"/>
              <w:ind w:firstLine="105"/>
              <w:jc w:val="left"/>
            </w:pPr>
            <w:r>
              <w:rPr>
                <w:sz w:val="21"/>
              </w:rPr>
              <w:t>电话</w:t>
            </w:r>
          </w:p>
        </w:tc>
        <w:tc>
          <w:tcPr>
            <w:tcW w:type="dxa" w:w="1206"/>
            <w:tcBorders>
              <w:top w:val="single" w:color="000000" w:sz="4"/>
              <w:left w:val="single" w:color="000000" w:sz="4"/>
              <w:bottom w:val="none" w:color="000000" w:sz="4"/>
              <w:right w:val="none" w:color="000000" w:sz="4"/>
            </w:tcBorders>
            <w:tcMar>
              <w:top w:type="dxa" w:w="15"/>
              <w:left w:type="dxa" w:w="15"/>
              <w:bottom w:type="dxa" w:w="15"/>
              <w:right w:type="dxa" w:w="15"/>
            </w:tcMar>
            <w:vAlign w:val="top"/>
          </w:tcPr>
          <w:p>
            <w:pPr>
              <w:pStyle w:val="null3"/>
              <w:ind w:firstLine="105"/>
              <w:jc w:val="left"/>
            </w:pPr>
            <w:r>
              <w:rPr>
                <w:sz w:val="21"/>
              </w:rPr>
              <w:t>（必填项）</w:t>
            </w:r>
          </w:p>
        </w:tc>
        <w:tc>
          <w:tcPr>
            <w:tcW w:type="dxa" w:w="809"/>
            <w:tcBorders>
              <w:top w:val="single" w:color="000000" w:sz="4"/>
              <w:left w:val="single" w:color="000000" w:sz="4"/>
              <w:bottom w:val="none" w:color="000000" w:sz="4"/>
              <w:right w:val="none" w:color="000000" w:sz="4"/>
            </w:tcBorders>
            <w:tcMar>
              <w:top w:type="dxa" w:w="15"/>
              <w:left w:type="dxa" w:w="15"/>
              <w:bottom w:type="dxa" w:w="15"/>
              <w:right w:type="dxa" w:w="15"/>
            </w:tcMar>
            <w:vAlign w:val="top"/>
          </w:tcPr>
          <w:p>
            <w:pPr>
              <w:pStyle w:val="null3"/>
              <w:jc w:val="center"/>
            </w:pPr>
            <w:r>
              <w:rPr>
                <w:sz w:val="21"/>
              </w:rPr>
              <w:t>联系人</w:t>
            </w:r>
          </w:p>
        </w:tc>
        <w:tc>
          <w:tcPr>
            <w:tcW w:type="dxa" w:w="1093"/>
            <w:tcBorders>
              <w:top w:val="single" w:color="000000" w:sz="4"/>
              <w:left w:val="single" w:color="000000" w:sz="4"/>
              <w:bottom w:val="none" w:color="000000" w:sz="4"/>
              <w:right w:val="single" w:color="000000" w:sz="4"/>
            </w:tcBorders>
            <w:tcMar>
              <w:top w:type="dxa" w:w="15"/>
              <w:left w:type="dxa" w:w="15"/>
              <w:bottom w:type="dxa" w:w="15"/>
              <w:right w:type="dxa" w:w="15"/>
            </w:tcMar>
            <w:vAlign w:val="top"/>
          </w:tcPr>
          <w:p>
            <w:pPr>
              <w:pStyle w:val="null3"/>
              <w:ind w:firstLine="105"/>
              <w:jc w:val="left"/>
            </w:pPr>
            <w:r>
              <w:rPr>
                <w:sz w:val="21"/>
              </w:rPr>
              <w:t>（必填项）</w:t>
            </w:r>
          </w:p>
        </w:tc>
        <w:tc>
          <w:tcPr>
            <w:tcW w:type="dxa" w:w="866"/>
            <w:tcBorders>
              <w:top w:val="single" w:color="000000" w:sz="4"/>
              <w:left w:val="none" w:color="000000" w:sz="4"/>
              <w:bottom w:val="none" w:color="000000" w:sz="4"/>
              <w:right w:val="single" w:color="000000" w:sz="4"/>
            </w:tcBorders>
            <w:tcMar>
              <w:top w:type="dxa" w:w="0"/>
              <w:left w:type="dxa" w:w="0"/>
              <w:bottom w:type="dxa" w:w="0"/>
              <w:right w:type="dxa" w:w="0"/>
            </w:tcMar>
            <w:vAlign w:val="top"/>
          </w:tcPr>
          <w:p>
            <w:pPr>
              <w:pStyle w:val="null3"/>
              <w:ind w:firstLine="105"/>
              <w:jc w:val="left"/>
            </w:pPr>
            <w:r>
              <w:rPr>
                <w:sz w:val="21"/>
              </w:rPr>
              <w:t>电话</w:t>
            </w:r>
          </w:p>
        </w:tc>
        <w:tc>
          <w:tcPr>
            <w:tcW w:type="dxa" w:w="1505"/>
            <w:tcBorders>
              <w:top w:val="single" w:color="000000" w:sz="4"/>
              <w:left w:val="none" w:color="000000" w:sz="4"/>
              <w:bottom w:val="none" w:color="000000" w:sz="4"/>
              <w:right w:val="single" w:color="000000" w:sz="4"/>
            </w:tcBorders>
            <w:tcMar>
              <w:top w:type="dxa" w:w="0"/>
              <w:left w:type="dxa" w:w="0"/>
              <w:bottom w:type="dxa" w:w="0"/>
              <w:right w:type="dxa" w:w="0"/>
            </w:tcMar>
            <w:vAlign w:val="top"/>
          </w:tcPr>
          <w:p>
            <w:pPr>
              <w:pStyle w:val="null3"/>
              <w:ind w:firstLine="105"/>
              <w:jc w:val="left"/>
            </w:pPr>
            <w:r>
              <w:rPr>
                <w:sz w:val="21"/>
              </w:rPr>
              <w:t>（必填项）</w:t>
            </w:r>
          </w:p>
        </w:tc>
      </w:tr>
      <w:tr>
        <w:tc>
          <w:tcPr>
            <w:tcW w:type="dxa" w:w="795"/>
            <w:tcBorders>
              <w:top w:val="single" w:color="000000" w:sz="4"/>
              <w:left w:val="single" w:color="000000" w:sz="4"/>
              <w:bottom w:val="none" w:color="000000" w:sz="4"/>
              <w:right w:val="none" w:color="000000" w:sz="4"/>
            </w:tcBorders>
            <w:tcMar>
              <w:top w:type="dxa" w:w="15"/>
              <w:left w:type="dxa" w:w="15"/>
              <w:bottom w:type="dxa" w:w="15"/>
              <w:right w:type="dxa" w:w="15"/>
            </w:tcMar>
            <w:vAlign w:val="top"/>
          </w:tcPr>
          <w:p>
            <w:pPr>
              <w:pStyle w:val="null3"/>
              <w:jc w:val="center"/>
            </w:pPr>
            <w:r>
              <w:rPr>
                <w:sz w:val="21"/>
              </w:rPr>
              <w:t>传真</w:t>
            </w:r>
          </w:p>
        </w:tc>
        <w:tc>
          <w:tcPr>
            <w:tcW w:type="dxa" w:w="1206"/>
            <w:tcBorders>
              <w:top w:val="single" w:color="000000" w:sz="4"/>
              <w:left w:val="single" w:color="000000" w:sz="4"/>
              <w:bottom w:val="none" w:color="000000" w:sz="4"/>
              <w:right w:val="single" w:color="000000" w:sz="4"/>
            </w:tcBorders>
            <w:tcMar>
              <w:top w:type="dxa" w:w="15"/>
              <w:left w:type="dxa" w:w="15"/>
              <w:bottom w:type="dxa" w:w="15"/>
              <w:right w:type="dxa" w:w="15"/>
            </w:tcMar>
            <w:vAlign w:val="top"/>
          </w:tcPr>
          <w:p>
            <w:pPr>
              <w:pStyle w:val="null3"/>
              <w:ind w:firstLine="105"/>
              <w:jc w:val="left"/>
            </w:pPr>
            <w:r>
              <w:rPr>
                <w:sz w:val="21"/>
              </w:rPr>
              <w:t>（必填项）</w:t>
            </w:r>
          </w:p>
        </w:tc>
        <w:tc>
          <w:tcPr>
            <w:tcW w:type="dxa" w:w="780"/>
            <w:tcBorders>
              <w:top w:val="single" w:color="000000" w:sz="4"/>
              <w:left w:val="none" w:color="000000" w:sz="4"/>
              <w:bottom w:val="none" w:color="000000" w:sz="4"/>
              <w:right w:val="none" w:color="000000" w:sz="4"/>
            </w:tcBorders>
            <w:tcMar>
              <w:top w:type="dxa" w:w="15"/>
              <w:left w:type="dxa" w:w="15"/>
              <w:bottom w:type="dxa" w:w="15"/>
              <w:right w:type="dxa" w:w="15"/>
            </w:tcMar>
            <w:vAlign w:val="top"/>
          </w:tcPr>
          <w:p>
            <w:pPr>
              <w:pStyle w:val="null3"/>
              <w:ind w:firstLine="105"/>
              <w:jc w:val="left"/>
            </w:pPr>
            <w:r>
              <w:rPr>
                <w:sz w:val="21"/>
              </w:rPr>
              <w:t>邮编</w:t>
            </w:r>
          </w:p>
        </w:tc>
        <w:tc>
          <w:tcPr>
            <w:tcW w:type="dxa" w:w="1206"/>
            <w:tcBorders>
              <w:top w:val="single" w:color="000000" w:sz="4"/>
              <w:left w:val="single" w:color="000000" w:sz="4"/>
              <w:bottom w:val="none" w:color="000000" w:sz="4"/>
              <w:right w:val="none" w:color="000000" w:sz="4"/>
            </w:tcBorders>
            <w:tcMar>
              <w:top w:type="dxa" w:w="15"/>
              <w:left w:type="dxa" w:w="15"/>
              <w:bottom w:type="dxa" w:w="15"/>
              <w:right w:type="dxa" w:w="15"/>
            </w:tcMar>
            <w:vAlign w:val="top"/>
          </w:tcPr>
          <w:p>
            <w:pPr>
              <w:pStyle w:val="null3"/>
              <w:ind w:firstLine="105"/>
              <w:jc w:val="left"/>
            </w:pPr>
            <w:r>
              <w:rPr>
                <w:sz w:val="21"/>
              </w:rPr>
              <w:t>（必填项）</w:t>
            </w:r>
          </w:p>
        </w:tc>
        <w:tc>
          <w:tcPr>
            <w:tcW w:type="dxa" w:w="809"/>
            <w:tcBorders>
              <w:top w:val="single" w:color="000000" w:sz="4"/>
              <w:left w:val="single" w:color="000000" w:sz="4"/>
              <w:bottom w:val="none" w:color="000000" w:sz="4"/>
              <w:right w:val="none" w:color="000000" w:sz="4"/>
            </w:tcBorders>
            <w:tcMar>
              <w:top w:type="dxa" w:w="15"/>
              <w:left w:type="dxa" w:w="15"/>
              <w:bottom w:type="dxa" w:w="15"/>
              <w:right w:type="dxa" w:w="15"/>
            </w:tcMar>
            <w:vAlign w:val="top"/>
          </w:tcPr>
          <w:p>
            <w:pPr>
              <w:pStyle w:val="null3"/>
              <w:jc w:val="center"/>
            </w:pPr>
            <w:r>
              <w:rPr>
                <w:sz w:val="21"/>
              </w:rPr>
              <w:t>传真</w:t>
            </w:r>
          </w:p>
        </w:tc>
        <w:tc>
          <w:tcPr>
            <w:tcW w:type="dxa" w:w="1093"/>
            <w:tcBorders>
              <w:top w:val="single" w:color="000000" w:sz="4"/>
              <w:left w:val="single" w:color="000000" w:sz="4"/>
              <w:bottom w:val="none" w:color="000000" w:sz="4"/>
              <w:right w:val="single" w:color="000000" w:sz="4"/>
            </w:tcBorders>
            <w:tcMar>
              <w:top w:type="dxa" w:w="15"/>
              <w:left w:type="dxa" w:w="15"/>
              <w:bottom w:type="dxa" w:w="15"/>
              <w:right w:type="dxa" w:w="15"/>
            </w:tcMar>
            <w:vAlign w:val="top"/>
          </w:tcPr>
          <w:p>
            <w:pPr>
              <w:pStyle w:val="null3"/>
              <w:ind w:firstLine="105"/>
              <w:jc w:val="left"/>
            </w:pPr>
            <w:r>
              <w:rPr>
                <w:sz w:val="21"/>
              </w:rPr>
              <w:t>（必填项）</w:t>
            </w:r>
          </w:p>
        </w:tc>
        <w:tc>
          <w:tcPr>
            <w:tcW w:type="dxa" w:w="866"/>
            <w:tcBorders>
              <w:top w:val="single" w:color="000000" w:sz="4"/>
              <w:left w:val="none" w:color="000000" w:sz="4"/>
              <w:bottom w:val="none" w:color="000000" w:sz="4"/>
              <w:right w:val="single" w:color="000000" w:sz="4"/>
            </w:tcBorders>
            <w:tcMar>
              <w:top w:type="dxa" w:w="0"/>
              <w:left w:type="dxa" w:w="0"/>
              <w:bottom w:type="dxa" w:w="0"/>
              <w:right w:type="dxa" w:w="0"/>
            </w:tcMar>
            <w:vAlign w:val="top"/>
          </w:tcPr>
          <w:p>
            <w:pPr>
              <w:pStyle w:val="null3"/>
              <w:ind w:firstLine="105"/>
              <w:jc w:val="left"/>
            </w:pPr>
            <w:r>
              <w:rPr>
                <w:sz w:val="21"/>
              </w:rPr>
              <w:t>邮编</w:t>
            </w:r>
          </w:p>
        </w:tc>
        <w:tc>
          <w:tcPr>
            <w:tcW w:type="dxa" w:w="1505"/>
            <w:tcBorders>
              <w:top w:val="single" w:color="000000" w:sz="4"/>
              <w:left w:val="none" w:color="000000" w:sz="4"/>
              <w:bottom w:val="none" w:color="000000" w:sz="4"/>
              <w:right w:val="single" w:color="000000" w:sz="4"/>
            </w:tcBorders>
            <w:tcMar>
              <w:top w:type="dxa" w:w="0"/>
              <w:left w:type="dxa" w:w="0"/>
              <w:bottom w:type="dxa" w:w="0"/>
              <w:right w:type="dxa" w:w="0"/>
            </w:tcMar>
            <w:vAlign w:val="top"/>
          </w:tcPr>
          <w:p>
            <w:pPr>
              <w:pStyle w:val="null3"/>
              <w:ind w:firstLine="105"/>
              <w:jc w:val="left"/>
            </w:pPr>
            <w:r>
              <w:rPr>
                <w:sz w:val="21"/>
              </w:rPr>
              <w:t>（必填项）</w:t>
            </w:r>
          </w:p>
        </w:tc>
      </w:tr>
      <w:tr>
        <w:tc>
          <w:tcPr>
            <w:tcW w:type="dxa" w:w="795"/>
            <w:tcBorders>
              <w:top w:val="single" w:color="000000" w:sz="4"/>
              <w:left w:val="single" w:color="000000" w:sz="4"/>
              <w:bottom w:val="none" w:color="000000" w:sz="4"/>
              <w:right w:val="none" w:color="000000" w:sz="4"/>
            </w:tcBorders>
            <w:tcMar>
              <w:top w:type="dxa" w:w="15"/>
              <w:left w:type="dxa" w:w="15"/>
              <w:bottom w:type="dxa" w:w="15"/>
              <w:right w:type="dxa" w:w="15"/>
            </w:tcMar>
            <w:vAlign w:val="top"/>
          </w:tcPr>
          <w:p>
            <w:pPr>
              <w:pStyle w:val="null3"/>
              <w:jc w:val="center"/>
            </w:pPr>
            <w:r>
              <w:rPr>
                <w:sz w:val="21"/>
              </w:rPr>
              <w:t>开户</w:t>
            </w:r>
          </w:p>
          <w:p>
            <w:pPr>
              <w:pStyle w:val="null3"/>
              <w:jc w:val="center"/>
            </w:pPr>
            <w:r>
              <w:rPr>
                <w:sz w:val="21"/>
              </w:rPr>
              <w:t>银行</w:t>
            </w:r>
          </w:p>
        </w:tc>
        <w:tc>
          <w:tcPr>
            <w:tcW w:type="dxa" w:w="3192"/>
            <w:gridSpan w:val="3"/>
            <w:tcBorders>
              <w:top w:val="single" w:color="000000" w:sz="4"/>
              <w:left w:val="single" w:color="000000" w:sz="4"/>
              <w:bottom w:val="none" w:color="000000" w:sz="4"/>
              <w:right w:val="none" w:color="000000" w:sz="4"/>
            </w:tcBorders>
            <w:tcMar>
              <w:top w:type="dxa" w:w="15"/>
              <w:left w:type="dxa" w:w="15"/>
              <w:bottom w:type="dxa" w:w="15"/>
              <w:right w:type="dxa" w:w="15"/>
            </w:tcMar>
            <w:vAlign w:val="top"/>
          </w:tcPr>
          <w:p>
            <w:pPr>
              <w:pStyle w:val="null3"/>
              <w:ind w:firstLine="105"/>
              <w:jc w:val="left"/>
            </w:pPr>
            <w:r>
              <w:rPr>
                <w:sz w:val="21"/>
              </w:rPr>
              <w:t>工商银行广州市高新区支行</w:t>
            </w:r>
            <w:r>
              <w:rPr>
                <w:sz w:val="21"/>
              </w:rPr>
              <w:t xml:space="preserve">  </w:t>
            </w:r>
          </w:p>
        </w:tc>
        <w:tc>
          <w:tcPr>
            <w:tcW w:type="dxa" w:w="809"/>
            <w:tcBorders>
              <w:top w:val="single" w:color="000000" w:sz="4"/>
              <w:left w:val="single" w:color="000000" w:sz="4"/>
              <w:bottom w:val="none" w:color="000000" w:sz="4"/>
              <w:right w:val="none" w:color="000000" w:sz="4"/>
            </w:tcBorders>
            <w:tcMar>
              <w:top w:type="dxa" w:w="15"/>
              <w:left w:type="dxa" w:w="15"/>
              <w:bottom w:type="dxa" w:w="15"/>
              <w:right w:type="dxa" w:w="15"/>
            </w:tcMar>
            <w:vAlign w:val="top"/>
          </w:tcPr>
          <w:p>
            <w:pPr>
              <w:pStyle w:val="null3"/>
              <w:jc w:val="center"/>
            </w:pPr>
            <w:r>
              <w:rPr>
                <w:sz w:val="21"/>
              </w:rPr>
              <w:t>开户</w:t>
            </w:r>
            <w:r>
              <w:rPr>
                <w:sz w:val="21"/>
              </w:rPr>
              <w:t xml:space="preserve"> </w:t>
            </w:r>
          </w:p>
          <w:p>
            <w:pPr>
              <w:pStyle w:val="null3"/>
              <w:jc w:val="center"/>
            </w:pPr>
            <w:r>
              <w:rPr>
                <w:sz w:val="21"/>
              </w:rPr>
              <w:t>银行</w:t>
            </w:r>
          </w:p>
        </w:tc>
        <w:tc>
          <w:tcPr>
            <w:tcW w:type="dxa" w:w="3464"/>
            <w:gridSpan w:val="3"/>
            <w:tcBorders>
              <w:top w:val="single" w:color="000000" w:sz="4"/>
              <w:left w:val="single" w:color="000000" w:sz="4"/>
              <w:bottom w:val="none" w:color="000000" w:sz="4"/>
              <w:right w:val="single" w:color="000000" w:sz="4"/>
            </w:tcBorders>
            <w:tcMar>
              <w:top w:type="dxa" w:w="15"/>
              <w:left w:type="dxa" w:w="15"/>
              <w:bottom w:type="dxa" w:w="15"/>
              <w:right w:type="dxa" w:w="15"/>
            </w:tcMar>
            <w:vAlign w:val="top"/>
          </w:tcPr>
          <w:p>
            <w:pPr>
              <w:pStyle w:val="null3"/>
              <w:ind w:firstLine="105"/>
              <w:jc w:val="left"/>
            </w:pPr>
            <w:r>
              <w:rPr>
                <w:sz w:val="21"/>
              </w:rPr>
              <w:t>（必填项）</w:t>
            </w:r>
          </w:p>
        </w:tc>
      </w:tr>
      <w:tr>
        <w:tc>
          <w:tcPr>
            <w:tcW w:type="dxa" w:w="795"/>
            <w:tcBorders>
              <w:top w:val="single" w:color="000000" w:sz="4"/>
              <w:left w:val="single" w:color="000000" w:sz="4"/>
              <w:bottom w:val="none" w:color="000000" w:sz="4"/>
              <w:right w:val="none" w:color="000000" w:sz="4"/>
            </w:tcBorders>
            <w:tcMar>
              <w:top w:type="dxa" w:w="15"/>
              <w:left w:type="dxa" w:w="15"/>
              <w:bottom w:type="dxa" w:w="15"/>
              <w:right w:type="dxa" w:w="15"/>
            </w:tcMar>
            <w:vAlign w:val="top"/>
          </w:tcPr>
          <w:p>
            <w:pPr>
              <w:pStyle w:val="null3"/>
              <w:jc w:val="center"/>
            </w:pPr>
            <w:r>
              <w:rPr>
                <w:sz w:val="21"/>
              </w:rPr>
              <w:t>银行</w:t>
            </w:r>
          </w:p>
          <w:p>
            <w:pPr>
              <w:pStyle w:val="null3"/>
              <w:jc w:val="center"/>
            </w:pPr>
            <w:r>
              <w:rPr>
                <w:sz w:val="21"/>
              </w:rPr>
              <w:t>帐号</w:t>
            </w:r>
          </w:p>
        </w:tc>
        <w:tc>
          <w:tcPr>
            <w:tcW w:type="dxa" w:w="3192"/>
            <w:gridSpan w:val="3"/>
            <w:tcBorders>
              <w:top w:val="single" w:color="000000" w:sz="4"/>
              <w:left w:val="single" w:color="000000" w:sz="4"/>
              <w:bottom w:val="none" w:color="000000" w:sz="4"/>
              <w:right w:val="none" w:color="000000" w:sz="4"/>
            </w:tcBorders>
            <w:tcMar>
              <w:top w:type="dxa" w:w="15"/>
              <w:left w:type="dxa" w:w="15"/>
              <w:bottom w:type="dxa" w:w="15"/>
              <w:right w:type="dxa" w:w="15"/>
            </w:tcMar>
            <w:vAlign w:val="top"/>
          </w:tcPr>
          <w:p>
            <w:pPr>
              <w:pStyle w:val="null3"/>
              <w:ind w:firstLine="105"/>
              <w:jc w:val="left"/>
            </w:pPr>
            <w:r>
              <w:rPr>
                <w:sz w:val="21"/>
              </w:rPr>
              <w:t xml:space="preserve">3602008109000386071  </w:t>
            </w:r>
          </w:p>
        </w:tc>
        <w:tc>
          <w:tcPr>
            <w:tcW w:type="dxa" w:w="809"/>
            <w:tcBorders>
              <w:top w:val="single" w:color="000000" w:sz="4"/>
              <w:left w:val="single" w:color="000000" w:sz="4"/>
              <w:bottom w:val="none" w:color="000000" w:sz="4"/>
              <w:right w:val="none" w:color="000000" w:sz="4"/>
            </w:tcBorders>
            <w:tcMar>
              <w:top w:type="dxa" w:w="15"/>
              <w:left w:type="dxa" w:w="15"/>
              <w:bottom w:type="dxa" w:w="15"/>
              <w:right w:type="dxa" w:w="15"/>
            </w:tcMar>
            <w:vAlign w:val="top"/>
          </w:tcPr>
          <w:p>
            <w:pPr>
              <w:pStyle w:val="null3"/>
              <w:jc w:val="center"/>
            </w:pPr>
            <w:r>
              <w:rPr>
                <w:sz w:val="21"/>
              </w:rPr>
              <w:t>银行</w:t>
            </w:r>
            <w:r>
              <w:rPr>
                <w:sz w:val="21"/>
              </w:rPr>
              <w:t xml:space="preserve"> </w:t>
            </w:r>
          </w:p>
          <w:p>
            <w:pPr>
              <w:pStyle w:val="null3"/>
              <w:jc w:val="center"/>
            </w:pPr>
            <w:r>
              <w:rPr>
                <w:sz w:val="21"/>
              </w:rPr>
              <w:t>帐号</w:t>
            </w:r>
          </w:p>
        </w:tc>
        <w:tc>
          <w:tcPr>
            <w:tcW w:type="dxa" w:w="3464"/>
            <w:gridSpan w:val="3"/>
            <w:tcBorders>
              <w:top w:val="single" w:color="000000" w:sz="4"/>
              <w:left w:val="single" w:color="000000" w:sz="4"/>
              <w:bottom w:val="none" w:color="000000" w:sz="4"/>
              <w:right w:val="single" w:color="000000" w:sz="4"/>
            </w:tcBorders>
            <w:tcMar>
              <w:top w:type="dxa" w:w="15"/>
              <w:left w:type="dxa" w:w="15"/>
              <w:bottom w:type="dxa" w:w="15"/>
              <w:right w:type="dxa" w:w="15"/>
            </w:tcMar>
            <w:vAlign w:val="top"/>
          </w:tcPr>
          <w:p>
            <w:pPr>
              <w:pStyle w:val="null3"/>
              <w:ind w:firstLine="105"/>
              <w:jc w:val="left"/>
            </w:pPr>
            <w:r>
              <w:rPr>
                <w:sz w:val="21"/>
              </w:rPr>
              <w:t>（必填项）</w:t>
            </w:r>
          </w:p>
        </w:tc>
      </w:tr>
      <w:tr>
        <w:tc>
          <w:tcPr>
            <w:tcW w:type="dxa" w:w="795"/>
            <w:tcBorders>
              <w:top w:val="single" w:color="000000" w:sz="4"/>
              <w:left w:val="single" w:color="000000" w:sz="4"/>
              <w:bottom w:val="none" w:color="000000" w:sz="4"/>
              <w:right w:val="none" w:color="000000" w:sz="4"/>
            </w:tcBorders>
            <w:tcMar>
              <w:top w:type="dxa" w:w="15"/>
              <w:left w:type="dxa" w:w="15"/>
              <w:bottom w:type="dxa" w:w="15"/>
              <w:right w:type="dxa" w:w="15"/>
            </w:tcMar>
            <w:vAlign w:val="top"/>
          </w:tcPr>
          <w:p>
            <w:pPr>
              <w:pStyle w:val="null3"/>
              <w:jc w:val="center"/>
            </w:pPr>
            <w:r>
              <w:rPr>
                <w:sz w:val="21"/>
              </w:rPr>
              <w:t>法定代表人</w:t>
            </w:r>
            <w:r>
              <w:rPr>
                <w:sz w:val="21"/>
              </w:rPr>
              <w:t>/委托代理人</w:t>
            </w:r>
          </w:p>
        </w:tc>
        <w:tc>
          <w:tcPr>
            <w:tcW w:type="dxa" w:w="3192"/>
            <w:gridSpan w:val="3"/>
            <w:vMerge w:val="restart"/>
            <w:tcBorders>
              <w:top w:val="single" w:color="000000" w:sz="4"/>
              <w:left w:val="single" w:color="000000" w:sz="4"/>
              <w:bottom w:val="single" w:color="000000" w:sz="4"/>
              <w:right w:val="none" w:color="000000" w:sz="4"/>
            </w:tcBorders>
            <w:tcMar>
              <w:top w:type="dxa" w:w="15"/>
              <w:left w:type="dxa" w:w="15"/>
              <w:bottom w:type="dxa" w:w="15"/>
              <w:right w:type="dxa" w:w="15"/>
            </w:tcMar>
            <w:vAlign w:val="top"/>
          </w:tcPr>
          <w:p>
            <w:pPr>
              <w:pStyle w:val="null3"/>
              <w:jc w:val="left"/>
            </w:pPr>
            <w:r>
              <w:rPr>
                <w:sz w:val="21"/>
              </w:rPr>
              <w:t xml:space="preserve"> </w:t>
            </w:r>
            <w:r>
              <w:rPr>
                <w:sz w:val="21"/>
              </w:rPr>
              <w:t>（必填项）</w:t>
            </w:r>
          </w:p>
        </w:tc>
        <w:tc>
          <w:tcPr>
            <w:tcW w:type="dxa" w:w="809"/>
            <w:tcBorders>
              <w:top w:val="single" w:color="000000" w:sz="4"/>
              <w:left w:val="single" w:color="000000" w:sz="4"/>
              <w:bottom w:val="none" w:color="000000" w:sz="4"/>
              <w:right w:val="none" w:color="000000" w:sz="4"/>
            </w:tcBorders>
            <w:tcMar>
              <w:top w:type="dxa" w:w="15"/>
              <w:left w:type="dxa" w:w="15"/>
              <w:bottom w:type="dxa" w:w="15"/>
              <w:right w:type="dxa" w:w="15"/>
            </w:tcMar>
            <w:vAlign w:val="top"/>
          </w:tcPr>
          <w:p>
            <w:pPr>
              <w:pStyle w:val="null3"/>
              <w:jc w:val="center"/>
            </w:pPr>
            <w:r>
              <w:rPr>
                <w:sz w:val="21"/>
              </w:rPr>
              <w:t>法定代表人</w:t>
            </w:r>
            <w:r>
              <w:rPr>
                <w:sz w:val="21"/>
              </w:rPr>
              <w:t>/委托代理人</w:t>
            </w:r>
          </w:p>
        </w:tc>
        <w:tc>
          <w:tcPr>
            <w:tcW w:type="dxa" w:w="3464"/>
            <w:gridSpan w:val="3"/>
            <w:vMerge w:val="restart"/>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 xml:space="preserve"> </w:t>
            </w:r>
            <w:r>
              <w:rPr>
                <w:sz w:val="21"/>
              </w:rPr>
              <w:t>（必填项）</w:t>
            </w:r>
          </w:p>
        </w:tc>
      </w:tr>
      <w:tr>
        <w:tc>
          <w:tcPr>
            <w:tcW w:type="dxa" w:w="795"/>
            <w:tcBorders>
              <w:top w:val="single" w:color="000000" w:sz="4"/>
              <w:left w:val="single" w:color="000000" w:sz="4"/>
              <w:bottom w:val="single" w:color="000000" w:sz="4"/>
              <w:right w:val="none" w:color="000000" w:sz="4"/>
            </w:tcBorders>
            <w:tcMar>
              <w:top w:type="dxa" w:w="15"/>
              <w:left w:type="dxa" w:w="15"/>
              <w:bottom w:type="dxa" w:w="15"/>
              <w:right w:type="dxa" w:w="15"/>
            </w:tcMar>
            <w:vAlign w:val="top"/>
          </w:tcPr>
          <w:p>
            <w:pPr>
              <w:pStyle w:val="null3"/>
              <w:jc w:val="center"/>
            </w:pPr>
            <w:r>
              <w:rPr>
                <w:sz w:val="21"/>
              </w:rPr>
              <w:t>签订日期、甲方盖章</w:t>
            </w:r>
          </w:p>
        </w:tc>
        <w:tc>
          <w:tcPr>
            <w:tcW w:type="dxa" w:w="3192"/>
            <w:gridSpan w:val="3"/>
            <w:vMerge/>
            <w:tcBorders>
              <w:top w:val="single" w:color="000000" w:sz="4"/>
              <w:left w:val="single" w:color="000000" w:sz="4"/>
              <w:bottom w:val="single" w:color="000000" w:sz="4"/>
              <w:right w:val="none" w:color="000000" w:sz="4"/>
            </w:tcBorders>
          </w:tcPr>
          <w:p/>
        </w:tc>
        <w:tc>
          <w:tcPr>
            <w:tcW w:type="dxa" w:w="809"/>
            <w:tcBorders>
              <w:top w:val="single" w:color="000000" w:sz="4"/>
              <w:left w:val="single" w:color="000000" w:sz="4"/>
              <w:bottom w:val="single" w:color="000000" w:sz="4"/>
              <w:right w:val="none" w:color="000000" w:sz="4"/>
            </w:tcBorders>
            <w:tcMar>
              <w:top w:type="dxa" w:w="15"/>
              <w:left w:type="dxa" w:w="15"/>
              <w:bottom w:type="dxa" w:w="15"/>
              <w:right w:type="dxa" w:w="15"/>
            </w:tcMar>
            <w:vAlign w:val="top"/>
          </w:tcPr>
          <w:p>
            <w:pPr>
              <w:pStyle w:val="null3"/>
              <w:jc w:val="center"/>
            </w:pPr>
            <w:r>
              <w:rPr>
                <w:sz w:val="21"/>
              </w:rPr>
              <w:t>签订日期、乙方盖章</w:t>
            </w:r>
          </w:p>
        </w:tc>
        <w:tc>
          <w:tcPr>
            <w:tcW w:type="dxa" w:w="3464"/>
            <w:gridSpan w:val="3"/>
            <w:vMerge/>
            <w:tcBorders>
              <w:top w:val="single" w:color="000000" w:sz="4"/>
              <w:left w:val="single" w:color="000000" w:sz="4"/>
              <w:bottom w:val="single" w:color="000000" w:sz="4"/>
              <w:right w:val="single" w:color="000000" w:sz="4"/>
            </w:tcBorders>
          </w:tcPr>
          <w:p/>
        </w:tc>
      </w:tr>
    </w:tbl>
    <w:p>
      <w:pPr>
        <w:pStyle w:val="null3"/>
        <w:jc w:val="both"/>
      </w:pPr>
      <w:r>
        <w:rPr/>
        <w:t xml:space="preserve"> </w:t>
      </w:r>
    </w:p>
    <w:p>
      <w:pPr>
        <w:pStyle w:val="null3"/>
        <w:jc w:val="both"/>
      </w:pPr>
      <w:r>
        <w:rPr>
          <w:sz w:val="21"/>
        </w:rPr>
        <w:t>附件</w:t>
      </w:r>
      <w:r>
        <w:rPr>
          <w:sz w:val="21"/>
        </w:rPr>
        <w:t>1：</w:t>
      </w:r>
    </w:p>
    <w:p>
      <w:pPr>
        <w:pStyle w:val="null3"/>
        <w:jc w:val="center"/>
      </w:pPr>
      <w:r>
        <w:rPr>
          <w:sz w:val="21"/>
          <w:b/>
        </w:rPr>
        <w:t>合同标的</w:t>
      </w:r>
    </w:p>
    <w:p>
      <w:pPr>
        <w:pStyle w:val="null3"/>
        <w:jc w:val="both"/>
      </w:pPr>
      <w:r>
        <w:rPr>
          <w:sz w:val="21"/>
        </w:rPr>
        <w:t>货币单位：人民币元</w:t>
      </w:r>
    </w:p>
    <w:tbl>
      <w:tblPr>
        <w:tblW w:w="0" w:type="auto"/>
        <w:tblBorders>
          <w:top w:val="none" w:color="000000" w:sz="4"/>
          <w:left w:val="none" w:color="000000" w:sz="4"/>
          <w:bottom w:val="none" w:color="000000" w:sz="4"/>
          <w:right w:val="none" w:color="000000" w:sz="4"/>
          <w:insideH w:val="none"/>
          <w:insideV w:val="none"/>
        </w:tblBorders>
      </w:tblPr>
      <w:tblGrid>
        <w:gridCol w:w="359"/>
        <w:gridCol w:w="915"/>
        <w:gridCol w:w="1005"/>
        <w:gridCol w:w="1354"/>
        <w:gridCol w:w="700"/>
        <w:gridCol w:w="1695"/>
        <w:gridCol w:w="547"/>
        <w:gridCol w:w="493"/>
        <w:gridCol w:w="502"/>
        <w:gridCol w:w="736"/>
      </w:tblGrid>
      <w:tr>
        <w:tc>
          <w:tcPr>
            <w:tcW w:type="dxa" w:w="3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项数</w:t>
            </w:r>
          </w:p>
        </w:tc>
        <w:tc>
          <w:tcPr>
            <w:tcW w:type="dxa" w:w="9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货物名称</w:t>
            </w:r>
          </w:p>
          <w:p>
            <w:pPr>
              <w:pStyle w:val="null3"/>
              <w:jc w:val="center"/>
            </w:pPr>
            <w:r>
              <w:rPr>
                <w:sz w:val="21"/>
              </w:rPr>
              <w:t>（中英文）</w:t>
            </w:r>
          </w:p>
        </w:tc>
        <w:tc>
          <w:tcPr>
            <w:tcW w:type="dxa" w:w="10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品牌</w:t>
            </w:r>
          </w:p>
        </w:tc>
        <w:tc>
          <w:tcPr>
            <w:tcW w:type="dxa" w:w="13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型号</w:t>
            </w:r>
          </w:p>
        </w:tc>
        <w:tc>
          <w:tcPr>
            <w:tcW w:type="dxa" w:w="7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产地</w:t>
            </w:r>
          </w:p>
        </w:tc>
        <w:tc>
          <w:tcPr>
            <w:tcW w:type="dxa" w:w="16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详细配置清单</w:t>
            </w:r>
          </w:p>
        </w:tc>
        <w:tc>
          <w:tcPr>
            <w:tcW w:type="dxa" w:w="5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c>
          <w:tcPr>
            <w:tcW w:type="dxa" w:w="4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5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单价</w:t>
            </w:r>
          </w:p>
        </w:tc>
        <w:tc>
          <w:tcPr>
            <w:tcW w:type="dxa" w:w="7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总价</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6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6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27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合同总价</w:t>
            </w:r>
          </w:p>
        </w:tc>
        <w:tc>
          <w:tcPr>
            <w:tcW w:type="dxa" w:w="7032"/>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（人民币）佰拾万仟佰拾元角分整，（</w:t>
            </w:r>
            <w:r>
              <w:rPr>
                <w:sz w:val="21"/>
              </w:rPr>
              <w:t>CNY）</w:t>
            </w:r>
          </w:p>
        </w:tc>
      </w:tr>
    </w:tbl>
    <w:p>
      <w:pPr>
        <w:pStyle w:val="null3"/>
        <w:jc w:val="both"/>
      </w:pPr>
      <w:r>
        <w:rPr>
          <w:sz w:val="21"/>
        </w:rPr>
        <w:t>注：此表由双方的法定代表人或委托代理人手写签名确认。如果多页的，则每页均需手写签名确认。</w:t>
      </w:r>
    </w:p>
    <w:p>
      <w:pPr>
        <w:pStyle w:val="null3"/>
        <w:spacing w:before="150"/>
        <w:jc w:val="both"/>
      </w:pPr>
      <w:r>
        <w:rPr>
          <w:sz w:val="21"/>
          <w:b/>
        </w:rPr>
        <w:t>甲方</w:t>
      </w:r>
      <w:r>
        <w:rPr>
          <w:sz w:val="21"/>
          <w:b/>
        </w:rPr>
        <w:t>:        乙方:</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440001-2024-53691</w:t>
      </w:r>
    </w:p>
    <w:p>
      <w:pPr>
        <w:pStyle w:val="null3"/>
        <w:jc w:val="center"/>
        <w:outlineLvl w:val="3"/>
      </w:pPr>
      <w:r>
        <w:rPr>
          <w:sz w:val="24"/>
          <w:b/>
        </w:rPr>
        <w:t>采购项目编号：</w:t>
      </w:r>
      <w:r>
        <w:rPr>
          <w:sz w:val="24"/>
          <w:b/>
        </w:rPr>
        <w:t>ZZ0240652</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广东志正招标有限公司</w:t>
      </w:r>
    </w:p>
    <w:p>
      <w:pPr>
        <w:pStyle w:val="null3"/>
        <w:ind w:firstLine="480"/>
      </w:pPr>
      <w:r>
        <w:rPr/>
        <w:t xml:space="preserve"> 你方组织的</w:t>
      </w:r>
      <w:r>
        <w:rPr>
          <w:u w:val="single"/>
        </w:rPr>
        <w:t>“</w:t>
      </w:r>
      <w:r>
        <w:rPr>
          <w:u w:val="single"/>
        </w:rPr>
        <w:t>华南师范大学学生琴房智慧系统采购项目</w:t>
      </w:r>
      <w:r>
        <w:rPr>
          <w:u w:val="single"/>
        </w:rPr>
        <w:t>”</w:t>
      </w:r>
      <w:r>
        <w:rPr/>
        <w:t>项目的招标[采购项目编号为：</w:t>
      </w:r>
      <w:r>
        <w:rPr>
          <w:u w:val="single"/>
        </w:rPr>
        <w:t>ZZ0240652</w:t>
      </w:r>
      <w:r>
        <w:rPr/>
        <w:t>]，我方愿参与投标。</w:t>
      </w:r>
    </w:p>
    <w:p>
      <w:pPr>
        <w:pStyle w:val="null3"/>
        <w:ind w:firstLine="480"/>
      </w:pPr>
      <w:r>
        <w:rPr/>
        <w:t>我方确认收到贵方提供的</w:t>
      </w:r>
      <w:r>
        <w:rPr>
          <w:u w:val="single"/>
        </w:rPr>
        <w:t>“</w:t>
      </w:r>
      <w:r>
        <w:rPr>
          <w:u w:val="single"/>
        </w:rPr>
        <w:t>华南师范大学学生琴房智慧系统采购项目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广东志正招标有限公司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华南师范大学学生琴房智慧系统采购项目</w:t>
      </w:r>
      <w:r>
        <w:rPr/>
        <w:t>”项目采购[采购项目编号为</w:t>
      </w:r>
      <w:r>
        <w:rPr/>
        <w:t>ZZ0240652</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华南师范大学</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广东志正招标有限公司</w:t>
      </w:r>
    </w:p>
    <w:p>
      <w:pPr>
        <w:pStyle w:val="null3"/>
        <w:ind w:firstLine="480"/>
      </w:pPr>
      <w:r>
        <w:rPr/>
        <w:t xml:space="preserve"> 如果我方在贵采购代理机构组织的</w:t>
      </w:r>
      <w:r>
        <w:rPr/>
        <w:t>华南师范大学学生琴房智慧系统采购项目</w:t>
      </w:r>
      <w:r>
        <w:rPr/>
        <w:t>招标中获中标（采购项目编号：</w:t>
      </w:r>
      <w:r>
        <w:rPr/>
        <w:t>ZZ0240652</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广东志正招标有限公司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广东志正招标有限公司</w:t>
      </w:r>
    </w:p>
    <w:p>
      <w:pPr>
        <w:pStyle w:val="null3"/>
        <w:ind w:firstLine="480"/>
      </w:pPr>
      <w:r>
        <w:rPr/>
        <w:t>我单位已登记并准备参与“</w:t>
      </w:r>
      <w:r>
        <w:rPr/>
        <w:t>华南师范大学学生琴房智慧系统采购项目</w:t>
      </w:r>
      <w:r>
        <w:rPr/>
        <w:t>”项目（采购项目编号：</w:t>
      </w:r>
      <w:r>
        <w:rPr/>
        <w:t>ZZ0240652</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