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440101-2024-00803</w:t>
      </w:r>
    </w:p>
    <w:p>
      <w:pPr>
        <w:jc w:val="center"/>
      </w:pPr>
      <w:r>
        <w:rPr>
          <w:b/>
          <w:sz w:val="24"/>
        </w:rPr>
        <w:t>采购项目编号：</w:t>
      </w:r>
      <w:r>
        <w:rPr>
          <w:b/>
          <w:sz w:val="24"/>
        </w:rPr>
        <w:t>440101-2024-00803</w:t>
      </w:r>
    </w:p>
    <w:p>
      <w:pPr>
        <w:jc w:val="center"/>
      </w:pPr>
      <w:r>
        <w:rPr>
          <w:b/>
          <w:sz w:val="24"/>
        </w:rPr>
        <w:t>项目名称：</w:t>
      </w:r>
      <w:r>
        <w:rPr>
          <w:b/>
          <w:sz w:val="24"/>
        </w:rPr>
        <w:t>广州开放大学2024年成人高等教育资源建设服务采购</w:t>
      </w:r>
    </w:p>
    <w:p>
      <w:pPr>
        <w:jc w:val="center"/>
      </w:pPr>
      <w:r>
        <w:rPr>
          <w:b/>
          <w:sz w:val="24"/>
        </w:rPr>
        <w:t>采购人：</w:t>
      </w:r>
      <w:r>
        <w:rPr>
          <w:b/>
          <w:sz w:val="24"/>
        </w:rPr>
        <w:t>广州开放大学</w:t>
      </w:r>
    </w:p>
    <w:p>
      <w:pPr>
        <w:jc w:val="center"/>
      </w:pPr>
      <w:r>
        <w:rPr>
          <w:b/>
          <w:sz w:val="24"/>
        </w:rPr>
        <w:t>采购代理机构：</w:t>
      </w:r>
      <w:r>
        <w:rPr>
          <w:b/>
          <w:sz w:val="24"/>
        </w:rPr>
        <w:t>广东志正招标有限公司</w:t>
      </w:r>
    </w:p>
    <w:p>
      <w:pPr>
        <w:ind w:firstLine="480"/>
      </w:pPr>
    </w:p>
    <w:p>
      <w:r>
        <w:rPr/>
        <w:t xml:space="preserve"> </w:t>
      </w:r>
    </w:p>
    <w:p/>
    <w:p>
      <w:pPr>
        <w:jc w:val="center"/>
      </w:pPr>
      <w:r>
        <w:rPr>
          <w:b/>
          <w:sz w:val="36"/>
        </w:rPr>
        <w:t>第一章 磋商邀请</w:t>
      </w:r>
    </w:p>
    <w:p>
      <w:pPr>
        <w:ind w:firstLine="480"/>
      </w:pPr>
      <w:r>
        <w:rPr/>
        <w:t>广东志正招标有限公司</w:t>
      </w:r>
      <w:r>
        <w:rPr/>
        <w:t>受</w:t>
      </w:r>
      <w:r>
        <w:rPr/>
        <w:t>广州开放大学</w:t>
      </w:r>
      <w:r>
        <w:rPr/>
        <w:t>的委托，采用</w:t>
      </w:r>
      <w:r>
        <w:rPr/>
        <w:t>竞争性磋商</w:t>
      </w:r>
      <w:r>
        <w:rPr/>
        <w:t>方式组织采购</w:t>
      </w:r>
      <w:r>
        <w:rPr/>
        <w:t>广州开放大学2024年成人高等教育资源建设服务采购</w:t>
      </w:r>
      <w:r>
        <w:rPr/>
        <w:t>。欢迎符合资格条件的供应商参加。</w:t>
      </w:r>
    </w:p>
    <w:p>
      <w:r>
        <w:rPr>
          <w:b/>
          <w:sz w:val="28"/>
        </w:rPr>
        <w:t>一.项目概述</w:t>
      </w:r>
    </w:p>
    <w:p>
      <w:r>
        <w:rPr>
          <w:b/>
          <w:sz w:val="24"/>
        </w:rPr>
        <w:t>1.名称与编号</w:t>
      </w:r>
    </w:p>
    <w:p>
      <w:pPr>
        <w:ind w:firstLine="480"/>
      </w:pPr>
      <w:r>
        <w:rPr/>
        <w:t>采购项目名称：</w:t>
      </w:r>
      <w:r>
        <w:rPr/>
        <w:t>广州开放大学2024年成人高等教育资源建设服务采购</w:t>
      </w:r>
    </w:p>
    <w:p>
      <w:pPr>
        <w:ind w:firstLine="480"/>
      </w:pPr>
      <w:r>
        <w:rPr/>
        <w:t>采购计划编号：</w:t>
      </w:r>
      <w:r>
        <w:rPr/>
        <w:t>440101-2024-00803</w:t>
      </w:r>
    </w:p>
    <w:p>
      <w:pPr>
        <w:ind w:firstLine="480"/>
      </w:pPr>
      <w:r>
        <w:rPr/>
        <w:t>采购项目编号：</w:t>
      </w:r>
      <w:r>
        <w:rPr/>
        <w:t>440101-2024-00803</w:t>
      </w:r>
    </w:p>
    <w:p>
      <w:pPr>
        <w:ind w:firstLine="480"/>
      </w:pPr>
      <w:r>
        <w:rPr/>
        <w:t>采购方式：</w:t>
      </w:r>
      <w:r>
        <w:rPr/>
        <w:t>竞争性磋商</w:t>
      </w:r>
    </w:p>
    <w:p>
      <w:pPr>
        <w:ind w:firstLine="480"/>
      </w:pPr>
      <w:r>
        <w:rPr/>
        <w:t>预算金额：</w:t>
      </w:r>
      <w:r>
        <w:rPr/>
        <w:t>600,000.00</w:t>
      </w:r>
      <w:r>
        <w:rPr/>
        <w:t>元</w:t>
      </w:r>
    </w:p>
    <w:p>
      <w:r>
        <w:rPr>
          <w:b/>
          <w:sz w:val="24"/>
        </w:rPr>
        <w:t>2.项目内容及需求情况（采购项目技术规格、参数及要求）</w:t>
      </w:r>
    </w:p>
    <w:p>
      <w:pPr>
        <w:ind w:firstLine="480"/>
      </w:pPr>
    </w:p>
    <w:p/>
    <w:p>
      <w:r>
        <w:rPr/>
        <w:t>采购包1(广州开放大学2024年成人高等教育资源建设服务采购):</w:t>
      </w:r>
    </w:p>
    <w:p>
      <w:r>
        <w:rPr/>
        <w:t>采购包预算金额：600,000.00元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教育课程研究与开发服务</w:t>
            </w:r>
          </w:p>
        </w:tc>
        <w:tc>
          <w:tcPr>
            <w:tcW w:type="dxa" w:w="2136"/>
          </w:tcPr>
          <w:p>
            <w:r>
              <w:rPr/>
              <w:t>采购工商企业管理、行政管理及现代物业管理三个专业共计20门核心课程的资源建设服务</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合同履行期限：自合同签订之日起45个工作日内完成项目所有内容。</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2）有依法缴纳税收和社会保障资金的良好记录：依据《响应承诺函》</w:t>
      </w:r>
    </w:p>
    <w:p/>
    <w:p>
      <w:r>
        <w:rPr/>
        <w:t>3）具有良好的商业信誉和健全的财务会计制度：依据《响应承诺函》</w:t>
      </w:r>
    </w:p>
    <w:p/>
    <w:p>
      <w:r>
        <w:rPr/>
        <w:t>4）履行合同所必需的设备和专业技术能力：依据《响应承诺函》</w:t>
      </w:r>
    </w:p>
    <w:p/>
    <w:p>
      <w:r>
        <w:rPr/>
        <w:t>5）参加采购活动前3年内，在经营活动中没有重大违法记录：依据《响应承诺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p/>
    <w:p>
      <w:r>
        <w:rPr>
          <w:b/>
          <w:sz w:val="24"/>
        </w:rPr>
        <w:t>2.落实政府采购政策需满足的资格要求：</w:t>
      </w:r>
    </w:p>
    <w:p>
      <w:pPr>
        <w:ind w:firstLine="480"/>
      </w:pPr>
    </w:p>
    <w:p>
      <w:pPr>
        <w:jc w:val="left"/>
      </w:pPr>
    </w:p>
    <w:p>
      <w:r>
        <w:rPr/>
        <w:t>采购包1（广州开放大学2024年成人高等教育资源建设服务采购）：</w:t>
      </w:r>
      <w:r>
        <w:rPr/>
        <w:t>参与的供应商（联合体）服务全部由符合政策要求的中小企业承接</w:t>
      </w:r>
    </w:p>
    <w:p/>
    <w:p>
      <w:r>
        <w:rPr>
          <w:b/>
          <w:sz w:val="24"/>
        </w:rPr>
        <w:t>3.本项目特定的资格要求：</w:t>
      </w:r>
    </w:p>
    <w:p>
      <w:pPr>
        <w:ind w:firstLine="480"/>
      </w:pPr>
    </w:p>
    <w:p/>
    <w:p>
      <w:r>
        <w:rPr/>
        <w:t>采购包1（广州开放大学2024年成人高等教育资源建设服务采购）：</w:t>
      </w:r>
    </w:p>
    <w:p/>
    <w:p>
      <w:r>
        <w:rPr/>
        <w:t>1)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p/>
    <w:p>
      <w:r>
        <w:rPr/>
        <w:t>2)不得参与同一采购项目竞争的供应商（依据《响应承诺函》） 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p/>
    <w:p>
      <w:r>
        <w:rPr/>
        <w:t>3)本项目不接受联合体磋商。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广东志正招标有限公司（https:https://www.zztender.com/）</w:t>
      </w:r>
      <w:r>
        <w:rPr/>
        <w:t>。</w:t>
      </w:r>
    </w:p>
    <w:p>
      <w:r>
        <w:rPr>
          <w:b/>
          <w:sz w:val="28"/>
        </w:rPr>
        <w:t>六.本项目联系方式：</w:t>
      </w:r>
    </w:p>
    <w:p>
      <w:r>
        <w:rPr>
          <w:b/>
          <w:sz w:val="24"/>
        </w:rPr>
        <w:t>1.采购人信息</w:t>
      </w:r>
    </w:p>
    <w:p>
      <w:pPr>
        <w:ind w:firstLine="480"/>
      </w:pPr>
      <w:r>
        <w:rPr/>
        <w:t>名称：</w:t>
      </w:r>
      <w:r>
        <w:rPr/>
        <w:t>广州开放大学</w:t>
      </w:r>
    </w:p>
    <w:p>
      <w:pPr>
        <w:ind w:firstLine="480"/>
      </w:pPr>
      <w:r>
        <w:rPr/>
        <w:t>地址：</w:t>
      </w:r>
      <w:r>
        <w:rPr/>
        <w:t>广东省广州市越秀区登峰街麓景西路41号</w:t>
      </w:r>
    </w:p>
    <w:p>
      <w:pPr>
        <w:ind w:firstLine="480"/>
      </w:pPr>
      <w:r>
        <w:rPr/>
        <w:t>联系方式：</w:t>
      </w:r>
      <w:r>
        <w:rPr/>
        <w:t>020-83481365</w:t>
      </w:r>
    </w:p>
    <w:p>
      <w:r>
        <w:rPr>
          <w:b/>
          <w:sz w:val="24"/>
        </w:rPr>
        <w:t>2.采购代理机构信息</w:t>
      </w:r>
    </w:p>
    <w:p>
      <w:pPr>
        <w:ind w:firstLine="480"/>
      </w:pPr>
      <w:r>
        <w:rPr/>
        <w:t>名称：</w:t>
      </w:r>
      <w:r>
        <w:rPr/>
        <w:t>广东志正招标有限公司</w:t>
      </w:r>
    </w:p>
    <w:p>
      <w:pPr>
        <w:ind w:firstLine="480"/>
      </w:pPr>
      <w:r>
        <w:rPr/>
        <w:t>地址：</w:t>
      </w:r>
      <w:r>
        <w:rPr/>
        <w:t>广东省广州市天河区龙怡路117号501、503、504、505、506房</w:t>
      </w:r>
    </w:p>
    <w:p>
      <w:pPr>
        <w:ind w:firstLine="480"/>
      </w:pPr>
      <w:r>
        <w:rPr/>
        <w:t>联系方式：</w:t>
      </w:r>
      <w:r>
        <w:rPr/>
        <w:t>020-87554238</w:t>
      </w:r>
    </w:p>
    <w:p>
      <w:r>
        <w:rPr>
          <w:b/>
          <w:sz w:val="24"/>
        </w:rPr>
        <w:t>3.项目联系方式</w:t>
      </w:r>
    </w:p>
    <w:p>
      <w:pPr>
        <w:ind w:firstLine="480"/>
      </w:pPr>
      <w:r>
        <w:rPr/>
        <w:t>项目联系人：</w:t>
      </w:r>
      <w:r>
        <w:rPr/>
        <w:t>潘先生、陆小姐</w:t>
      </w:r>
    </w:p>
    <w:p>
      <w:pPr>
        <w:ind w:firstLine="480"/>
      </w:pPr>
      <w:r>
        <w:rPr/>
        <w:t>电话：</w:t>
      </w:r>
      <w:r>
        <w:rPr/>
        <w:t>020-87554238</w:t>
      </w:r>
    </w:p>
    <w:p>
      <w:r>
        <w:rPr>
          <w:b/>
          <w:sz w:val="24"/>
        </w:rPr>
        <w:t>4.技术支持联系方式</w:t>
      </w:r>
    </w:p>
    <w:p>
      <w:pPr>
        <w:ind w:firstLine="480"/>
      </w:pPr>
      <w:r>
        <w:rPr/>
        <w:t>云平台联系方式：020-88696588</w:t>
      </w:r>
    </w:p>
    <w:p>
      <w:r>
        <w:rPr/>
        <w:t>采购代理机构：</w:t>
      </w:r>
      <w:r>
        <w:rPr/>
        <w:t>广东志正招标有限公司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both"/>
      </w:pPr>
      <w:r>
        <w:rPr>
          <w:b/>
          <w:color w:val="000000"/>
          <w:sz w:val="21"/>
        </w:rPr>
        <w:t>说明：</w:t>
      </w:r>
    </w:p>
    <w:p>
      <w:pPr>
        <w:ind w:firstLine="480"/>
        <w:jc w:val="both"/>
      </w:pPr>
      <w:r>
        <w:rPr>
          <w:color w:val="000000"/>
          <w:sz w:val="21"/>
        </w:rPr>
        <w:t>1</w:t>
      </w:r>
      <w:r>
        <w:rPr>
          <w:color w:val="000000"/>
          <w:sz w:val="21"/>
        </w:rPr>
        <w:t>、供应商须对本项目为单位（有划分包组的，则以包组为单位）的标的物进行整体投标，任何只对其中一部分内容进行的投标都被视为无效投标。</w:t>
      </w:r>
    </w:p>
    <w:p>
      <w:pPr>
        <w:ind w:firstLine="480"/>
        <w:jc w:val="both"/>
      </w:pPr>
      <w:r>
        <w:rPr>
          <w:color w:val="000000"/>
          <w:sz w:val="21"/>
        </w:rPr>
        <w:t>2</w:t>
      </w:r>
      <w:r>
        <w:rPr>
          <w:color w:val="000000"/>
          <w:sz w:val="21"/>
        </w:rPr>
        <w:t>、磋商文件中，凡标有“★”的地方均为实质性响应条款，供应商若有一项带“★”的条款未响应或不满足，将按无效响应处理。</w:t>
      </w:r>
    </w:p>
    <w:p>
      <w:pPr>
        <w:ind w:firstLine="480"/>
        <w:jc w:val="both"/>
      </w:pPr>
      <w:r>
        <w:rPr>
          <w:color w:val="000000"/>
          <w:sz w:val="21"/>
        </w:rPr>
        <w:t>3</w:t>
      </w:r>
      <w:r>
        <w:rPr>
          <w:color w:val="000000"/>
          <w:sz w:val="21"/>
        </w:rPr>
        <w:t>、落实政府采购政策需满足的资格要求</w:t>
      </w:r>
      <w:r>
        <w:rPr>
          <w:color w:val="000000"/>
          <w:sz w:val="21"/>
          <w:u w:val="single"/>
        </w:rPr>
        <w:t>：本项目属于专门面向中小企业采购的项目。</w:t>
      </w:r>
      <w:r>
        <w:rPr>
          <w:color w:val="000000"/>
          <w:sz w:val="21"/>
        </w:rPr>
        <w:t>投标人应按要求出具《中小企业声明函》；属于监狱企业的，提供由省级以上监狱管理局、戒毒管理局(含新疆生产建设兵团)出具的属于监狱企业的证明文件；属于残疾人福利性单位的，提供《残疾人福利性单位声明函》。</w:t>
      </w:r>
    </w:p>
    <w:p>
      <w:pPr>
        <w:ind w:firstLine="480"/>
        <w:jc w:val="both"/>
      </w:pPr>
      <w:r>
        <w:rPr>
          <w:color w:val="000000"/>
          <w:sz w:val="21"/>
        </w:rPr>
        <w:t>4</w:t>
      </w:r>
      <w:r>
        <w:rPr>
          <w:color w:val="000000"/>
          <w:sz w:val="21"/>
        </w:rPr>
        <w:t>、本项目对应的中小企业划分标准所属行业为：</w:t>
      </w:r>
      <w:r>
        <w:rPr>
          <w:color w:val="000000"/>
          <w:sz w:val="21"/>
          <w:u w:val="single"/>
        </w:rPr>
        <w:t>（软件和信息技术服务业）</w:t>
      </w:r>
      <w:r>
        <w:rPr>
          <w:color w:val="000000"/>
          <w:sz w:val="21"/>
        </w:rPr>
        <w:t>。</w:t>
      </w:r>
    </w:p>
    <w:p/>
    <w:p>
      <w:pPr>
        <w:ind w:firstLine="480"/>
      </w:pPr>
    </w:p>
    <w:p/>
    <w:p>
      <w:r>
        <w:rPr/>
        <w:t>采购包1（广州开放大学2024年成人高等教育资源建设服务采购）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自合同签订之日起45个工作日内完成项目所有内容。</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1期：支付比例50%,合同签署生效后5个工作日内，采购人支付合同总价的50%给成交供应商作为合同预付款。</w:t>
            </w:r>
          </w:p>
          <w:p/>
          <w:p>
            <w:r>
              <w:rPr/>
              <w:t>2期：支付比例50%,项目经采购人验收合格后5个工作日内，采购人支付合同总价的50%给成交供应商。  1.成交供应商凭以下有效文件与采购人结算：  1）合同；  2）成交供应商开具的正式发票； 3）成交通知书；  4）验收报告（加盖采购人公章）。  2.采购人支付以成交供应商无违约为前提，若成交供应商违约，采购人有权在应付款项中作相应扣除。采购人在约定的付款时间内向主管部门完成支付材料提交即视为完成支付手续。由于资金支付流程导致付款迟延的，不视为采购人违约。</w:t>
            </w:r>
          </w:p>
        </w:tc>
      </w:tr>
      <w:tr>
        <w:tc>
          <w:tcPr>
            <w:tcW w:type="dxa" w:w="4153"/>
          </w:tcPr>
          <w:p>
            <w:r>
              <w:rPr/>
              <w:t>验收要求</w:t>
            </w:r>
          </w:p>
        </w:tc>
        <w:tc>
          <w:tcPr>
            <w:tcW w:type="dxa" w:w="4153"/>
          </w:tcPr>
          <w:p/>
          <w:p/>
          <w:p/>
          <w:p>
            <w:r>
              <w:rPr/>
              <w:t>1期：1、验收依据：服务项目的验收属于项目的合同验收，验收标准与流程需按项目内容需执行的国家相关标准、行业标准、地方标准、广州市财政局、教育局相关验收管理办法及广州开放大学项目验收管理办法的要求执行，同时需符合下列要求：  （1）满足合同和采购文件中列举的全部要求。  （2）实现合同和采购文件中列举的全部功能和非功能要求。  （3）达到合同和采购文件中列举的全部指标。  （4）文档齐全，符合合同和采购文件及相关标准要求，包括但不限于下列文档： 项目采购相关文档（项目预算与采购审批、采购文件、响应文件、成交通知书）、实施过程文档（项目合同、本项目详细工作计划书（项目实施方案）、过程记录文档（含音视频记录）、项目变更相关文档、会议记录、进度报告、培训记录，项目成果与知识产权）、财务文档（项目支付记录）、总结文档（合同完成情况对照表与佐证材料、项目总结报告）等。  2、中期服务评估：采购人对服务供应商的服务实施情况进行中期服务评估。中期服务评估时发现下列情况，视为成交供应商不能履约，采购人可单方面无条件中止该服务合同：  （1）中期服务评估为不合格的服务供应商； （ 2）服务期间严重影响采购人声誉；  （3）服务期间发现严重安全事故；  （4）服务期间生产被有效投诉，且情节严重的；  （5）政策影响的其他情况；  3、末期服务综合评价（项目验收）：项目服务完成后，由成交供应商提出申请，采购人组织评审小组，对服务进行综合评价，评价要求按以上提及的验收依据执行。 对通过末期服务综合评价（项目验收）的成交供应商，按项目服务合同全额进行支付。如验收不合格或经整改后仍不合格，视为成交供应商不能履约，将根据评审小组对该项目服务的裁定进行扣减相应服务费用。</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投标货币为人民币报价，投标报价应包括：项目实施服务费、材料费、课程费开发及设计费、课程制作费、各项税费及合同实施过程中不可预见费用等，供应商报价中漏报、少报的费用，视为此项费用已隐含在投标报价中，成交后不得再向采购人收取任何费用。</w:t>
            </w:r>
          </w:p>
        </w:tc>
      </w:tr>
      <w:tr>
        <w:tc>
          <w:tcPr>
            <w:tcW w:type="dxa" w:w="2076"/>
          </w:tcPr>
          <w:p>
            <w:pPr>
              <w:jc w:val="center"/>
            </w:pPr>
          </w:p>
        </w:tc>
        <w:tc>
          <w:tcPr>
            <w:tcW w:type="dxa" w:w="2076"/>
          </w:tcPr>
          <w:p>
            <w:pPr>
              <w:jc w:val="center"/>
            </w:pPr>
            <w:r>
              <w:rPr/>
              <w:t>2</w:t>
            </w:r>
          </w:p>
        </w:tc>
        <w:tc>
          <w:tcPr>
            <w:tcW w:type="dxa" w:w="2076"/>
          </w:tcPr>
          <w:p>
            <w:pPr>
              <w:jc w:val="left"/>
            </w:pPr>
            <w:r>
              <w:rPr/>
              <w:t>执行标准</w:t>
            </w:r>
          </w:p>
        </w:tc>
        <w:tc>
          <w:tcPr>
            <w:tcW w:type="dxa" w:w="2076"/>
          </w:tcPr>
          <w:p>
            <w:pPr>
              <w:jc w:val="left"/>
            </w:pPr>
            <w:r>
              <w:rPr/>
              <w:t>需执行国家出版标准、广播电视制作标准或者行业通用标准等一般标准。</w:t>
            </w:r>
          </w:p>
        </w:tc>
      </w:tr>
      <w:tr>
        <w:tc>
          <w:tcPr>
            <w:tcW w:type="dxa" w:w="2076"/>
          </w:tcPr>
          <w:p>
            <w:pPr>
              <w:jc w:val="center"/>
            </w:pPr>
          </w:p>
        </w:tc>
        <w:tc>
          <w:tcPr>
            <w:tcW w:type="dxa" w:w="2076"/>
          </w:tcPr>
          <w:p>
            <w:pPr>
              <w:jc w:val="center"/>
            </w:pPr>
            <w:r>
              <w:rPr/>
              <w:t>3</w:t>
            </w:r>
          </w:p>
        </w:tc>
        <w:tc>
          <w:tcPr>
            <w:tcW w:type="dxa" w:w="2076"/>
          </w:tcPr>
          <w:p>
            <w:pPr>
              <w:jc w:val="left"/>
            </w:pPr>
            <w:r>
              <w:rPr/>
              <w:t>知识产权要求</w:t>
            </w:r>
          </w:p>
        </w:tc>
        <w:tc>
          <w:tcPr>
            <w:tcW w:type="dxa" w:w="2076"/>
          </w:tcPr>
          <w:p>
            <w:pPr>
              <w:jc w:val="left"/>
            </w:pPr>
            <w:r>
              <w:rPr/>
              <w:t>1.成交供应商需对所有成果、产品的知识产权负有瑕疵担保责任，因使用未被授权使用的技术、影音素材、系统软件、通用软件等知识产权问题引起的纠纷所产生的所有责任及费用由成交供应商自行承担； 2.本项目研究成果，包括完备的系统设计与过程文档、音视频资源、无形资产等，未经采购人许可，成交供应商不得提供给第三方；  3.本项目研究成果的使用权、所有权归采购人所有，成交供应商享有共同署名权。</w:t>
            </w:r>
          </w:p>
        </w:tc>
      </w:tr>
      <w:tr>
        <w:tc>
          <w:tcPr>
            <w:tcW w:type="dxa" w:w="2076"/>
          </w:tcPr>
          <w:p>
            <w:pPr>
              <w:jc w:val="center"/>
            </w:pPr>
          </w:p>
        </w:tc>
        <w:tc>
          <w:tcPr>
            <w:tcW w:type="dxa" w:w="2076"/>
          </w:tcPr>
          <w:p>
            <w:pPr>
              <w:jc w:val="center"/>
            </w:pPr>
            <w:r>
              <w:rPr/>
              <w:t>4</w:t>
            </w:r>
          </w:p>
        </w:tc>
        <w:tc>
          <w:tcPr>
            <w:tcW w:type="dxa" w:w="2076"/>
          </w:tcPr>
          <w:p>
            <w:pPr>
              <w:jc w:val="left"/>
            </w:pPr>
            <w:r>
              <w:rPr/>
              <w:t>售后服务要求</w:t>
            </w:r>
          </w:p>
        </w:tc>
        <w:tc>
          <w:tcPr>
            <w:tcW w:type="dxa" w:w="2076"/>
          </w:tcPr>
          <w:p>
            <w:pPr>
              <w:jc w:val="left"/>
            </w:pPr>
            <w:r>
              <w:rPr/>
              <w:t>课程资源交付后，需运行两个月，此期间成交供应商需根据采购人的使用意见，并在规定时间内完成必要的修改。</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教育课程研究与开发服务</w:t>
            </w:r>
          </w:p>
        </w:tc>
        <w:tc>
          <w:tcPr>
            <w:tcW w:type="dxa" w:w="933"/>
          </w:tcPr>
          <w:p>
            <w:pPr>
              <w:jc w:val="left"/>
            </w:pPr>
            <w:r>
              <w:rPr/>
              <w:t>采购工商企业管理、行政管理及现代物业管理三个专业共计20门核心课程的资源建设服务</w:t>
            </w:r>
          </w:p>
        </w:tc>
        <w:tc>
          <w:tcPr>
            <w:tcW w:type="dxa" w:w="933"/>
          </w:tcPr>
          <w:p>
            <w:pPr>
              <w:jc w:val="left"/>
            </w:pPr>
            <w:r>
              <w:rPr/>
              <w:t>项</w:t>
            </w:r>
          </w:p>
        </w:tc>
        <w:tc>
          <w:tcPr>
            <w:tcW w:type="dxa" w:w="933"/>
          </w:tcPr>
          <w:p>
            <w:pPr>
              <w:jc w:val="right"/>
            </w:pPr>
            <w:r>
              <w:rPr/>
              <w:t>1.00</w:t>
            </w:r>
          </w:p>
        </w:tc>
        <w:tc>
          <w:tcPr>
            <w:tcW w:type="dxa" w:w="933"/>
          </w:tcPr>
          <w:p>
            <w:pPr>
              <w:jc w:val="right"/>
            </w:pPr>
            <w:r>
              <w:rPr/>
              <w:t>600,000.00</w:t>
            </w:r>
          </w:p>
        </w:tc>
        <w:tc>
          <w:tcPr>
            <w:tcW w:type="dxa" w:w="933"/>
          </w:tcPr>
          <w:p>
            <w:pPr>
              <w:jc w:val="right"/>
            </w:pPr>
            <w:r>
              <w:rPr/>
              <w:t>600,000.00</w:t>
            </w:r>
          </w:p>
        </w:tc>
        <w:tc>
          <w:tcPr>
            <w:tcW w:type="dxa" w:w="840"/>
          </w:tcPr>
          <w:p>
            <w:r>
              <w:rPr/>
              <w:t>软件和信息技术服务业</w:t>
            </w:r>
          </w:p>
        </w:tc>
        <w:tc>
          <w:tcPr>
            <w:tcW w:type="dxa" w:w="933"/>
          </w:tcPr>
          <w:p>
            <w:r>
              <w:rPr/>
              <w:t>详见附表一</w:t>
            </w:r>
          </w:p>
        </w:tc>
      </w:tr>
    </w:tbl>
    <w:p/>
    <w:p>
      <w:r>
        <w:rPr>
          <w:b/>
        </w:rPr>
        <w:t>附表</w:t>
      </w:r>
      <w:r>
        <w:rPr>
          <w:b/>
        </w:rPr>
        <w:t>一</w:t>
      </w:r>
      <w:r>
        <w:rPr>
          <w:b/>
        </w:rPr>
        <w:t>：</w:t>
      </w:r>
      <w:r>
        <w:rPr>
          <w:b/>
        </w:rPr>
        <w:t>采购工商企业管理、行政管理及现代物业管理三个专业共计20门核心课程的资源建设服务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400"/>
              <w:gridCol w:w="514"/>
              <w:gridCol w:w="3884"/>
              <w:gridCol w:w="400"/>
              <w:gridCol w:w="400"/>
            </w:tblGrid>
            <w:tr>
              <w:tc>
                <w:tcPr>
                  <w:tcW w:type="dxa" w:w="400"/>
                  <w:tcBorders>
                    <w:top w:val="single" w:color="000000" w:sz="4"/>
                    <w:left w:val="single" w:color="000000" w:sz="4"/>
                    <w:bottom w:val="single" w:color="000000" w:sz="4"/>
                    <w:right w:val="single" w:color="000000" w:sz="4"/>
                  </w:tcBorders>
                </w:tcPr>
                <w:p>
                  <w:pPr>
                    <w:jc w:val="center"/>
                  </w:pPr>
                  <w:r>
                    <w:rPr>
                      <w:b/>
                      <w:color w:val="000000"/>
                      <w:sz w:val="21"/>
                    </w:rPr>
                    <w:t>序号</w:t>
                  </w:r>
                </w:p>
              </w:tc>
              <w:tc>
                <w:tcPr>
                  <w:tcW w:type="dxa" w:w="514"/>
                  <w:tcBorders>
                    <w:top w:val="single" w:color="000000" w:sz="4"/>
                    <w:left w:val="none" w:color="000000" w:sz="4"/>
                    <w:bottom w:val="single" w:color="000000" w:sz="4"/>
                    <w:right w:val="single" w:color="000000" w:sz="4"/>
                  </w:tcBorders>
                </w:tcPr>
                <w:p>
                  <w:pPr>
                    <w:jc w:val="center"/>
                  </w:pPr>
                  <w:r>
                    <w:rPr>
                      <w:b/>
                      <w:color w:val="000000"/>
                      <w:sz w:val="21"/>
                    </w:rPr>
                    <w:t>服务名称</w:t>
                  </w:r>
                </w:p>
              </w:tc>
              <w:tc>
                <w:tcPr>
                  <w:tcW w:type="dxa" w:w="3884"/>
                  <w:tcBorders>
                    <w:top w:val="single" w:color="000000" w:sz="4"/>
                    <w:left w:val="none" w:color="000000" w:sz="4"/>
                    <w:bottom w:val="single" w:color="000000" w:sz="4"/>
                    <w:right w:val="single" w:color="000000" w:sz="4"/>
                  </w:tcBorders>
                </w:tcPr>
                <w:p>
                  <w:pPr>
                    <w:jc w:val="center"/>
                  </w:pPr>
                  <w:r>
                    <w:rPr>
                      <w:b/>
                      <w:color w:val="000000"/>
                      <w:sz w:val="21"/>
                    </w:rPr>
                    <w:t>服务要求</w:t>
                  </w:r>
                </w:p>
              </w:tc>
              <w:tc>
                <w:tcPr>
                  <w:tcW w:type="dxa" w:w="400"/>
                  <w:tcBorders>
                    <w:top w:val="single" w:color="000000" w:sz="4"/>
                    <w:left w:val="none" w:color="000000" w:sz="4"/>
                    <w:bottom w:val="single" w:color="000000" w:sz="4"/>
                    <w:right w:val="single" w:color="000000" w:sz="4"/>
                  </w:tcBorders>
                </w:tcPr>
                <w:p>
                  <w:pPr>
                    <w:jc w:val="center"/>
                  </w:pPr>
                  <w:r>
                    <w:rPr>
                      <w:b/>
                      <w:color w:val="000000"/>
                      <w:sz w:val="21"/>
                    </w:rPr>
                    <w:t>单位</w:t>
                  </w:r>
                </w:p>
              </w:tc>
              <w:tc>
                <w:tcPr>
                  <w:tcW w:type="dxa" w:w="400"/>
                  <w:tcBorders>
                    <w:top w:val="single" w:color="000000" w:sz="4"/>
                    <w:left w:val="none" w:color="000000" w:sz="4"/>
                    <w:bottom w:val="single" w:color="000000" w:sz="4"/>
                    <w:right w:val="single" w:color="000000" w:sz="4"/>
                  </w:tcBorders>
                </w:tcPr>
                <w:p>
                  <w:pPr>
                    <w:jc w:val="center"/>
                  </w:pPr>
                  <w:r>
                    <w:rPr>
                      <w:b/>
                      <w:color w:val="000000"/>
                      <w:sz w:val="21"/>
                    </w:rPr>
                    <w:t>数量</w:t>
                  </w:r>
                </w:p>
              </w:tc>
            </w:tr>
            <w:tr>
              <w:tc>
                <w:tcPr>
                  <w:tcW w:type="dxa" w:w="400"/>
                  <w:tcBorders>
                    <w:top w:val="none" w:color="000000" w:sz="4"/>
                    <w:left w:val="single" w:color="000000" w:sz="4"/>
                    <w:bottom w:val="single" w:color="000000" w:sz="4"/>
                    <w:right w:val="single" w:color="000000" w:sz="4"/>
                  </w:tcBorders>
                </w:tcPr>
                <w:p>
                  <w:pPr>
                    <w:jc w:val="center"/>
                  </w:pPr>
                  <w:r>
                    <w:rPr>
                      <w:color w:val="000000"/>
                      <w:sz w:val="21"/>
                    </w:rPr>
                    <w:t>1</w:t>
                  </w:r>
                </w:p>
              </w:tc>
              <w:tc>
                <w:tcPr>
                  <w:tcW w:type="dxa" w:w="514"/>
                  <w:tcBorders>
                    <w:top w:val="none" w:color="000000" w:sz="4"/>
                    <w:left w:val="none" w:color="000000" w:sz="4"/>
                    <w:bottom w:val="single" w:color="000000" w:sz="4"/>
                    <w:right w:val="single" w:color="000000" w:sz="4"/>
                  </w:tcBorders>
                </w:tcPr>
                <w:p>
                  <w:pPr>
                    <w:jc w:val="center"/>
                  </w:pPr>
                  <w:r>
                    <w:rPr>
                      <w:color w:val="000000"/>
                      <w:sz w:val="21"/>
                    </w:rPr>
                    <w:t>课程整体规划设计</w:t>
                  </w:r>
                </w:p>
              </w:tc>
              <w:tc>
                <w:tcPr>
                  <w:tcW w:type="dxa" w:w="3884"/>
                  <w:tcBorders>
                    <w:top w:val="none" w:color="000000" w:sz="4"/>
                    <w:left w:val="none" w:color="000000" w:sz="4"/>
                    <w:bottom w:val="single" w:color="000000" w:sz="4"/>
                    <w:right w:val="single" w:color="000000" w:sz="4"/>
                  </w:tcBorders>
                </w:tcPr>
                <w:p>
                  <w:pPr>
                    <w:jc w:val="left"/>
                  </w:pPr>
                  <w:r>
                    <w:rPr>
                      <w:color w:val="000000"/>
                    </w:rPr>
                    <w:t>一、课程内容：</w:t>
                  </w:r>
                </w:p>
                <w:p>
                  <w:pPr>
                    <w:jc w:val="left"/>
                  </w:pPr>
                  <w:r>
                    <w:rPr>
                      <w:color w:val="000000"/>
                    </w:rPr>
                    <w:t>建设新形态、高水平精品在线开放课程共计20门：</w:t>
                  </w:r>
                </w:p>
                <w:p>
                  <w:pPr>
                    <w:jc w:val="left"/>
                  </w:pPr>
                  <w:r>
                    <w:rPr>
                      <w:color w:val="000000"/>
                    </w:rPr>
                    <w:t>1.</w:t>
                  </w:r>
                  <w:r>
                    <w:rPr>
                      <w:color w:val="000000"/>
                    </w:rPr>
                    <w:t>《市场营销学》90课时（理论）</w:t>
                  </w:r>
                </w:p>
                <w:p>
                  <w:pPr>
                    <w:jc w:val="left"/>
                  </w:pPr>
                  <w:r>
                    <w:rPr>
                      <w:color w:val="000000"/>
                    </w:rPr>
                    <w:t>2.</w:t>
                  </w:r>
                  <w:r>
                    <w:rPr>
                      <w:color w:val="000000"/>
                    </w:rPr>
                    <w:t>《工商企业管理概论》90课时（理论）</w:t>
                  </w:r>
                </w:p>
                <w:p>
                  <w:pPr>
                    <w:jc w:val="left"/>
                  </w:pPr>
                  <w:r>
                    <w:rPr>
                      <w:color w:val="000000"/>
                    </w:rPr>
                    <w:t>3.</w:t>
                  </w:r>
                  <w:r>
                    <w:rPr>
                      <w:color w:val="000000"/>
                    </w:rPr>
                    <w:t>《统计学原理》72课时（理论）</w:t>
                  </w:r>
                </w:p>
                <w:p>
                  <w:pPr>
                    <w:jc w:val="left"/>
                  </w:pPr>
                  <w:r>
                    <w:rPr>
                      <w:color w:val="000000"/>
                    </w:rPr>
                    <w:t>4.</w:t>
                  </w:r>
                  <w:r>
                    <w:rPr>
                      <w:color w:val="000000"/>
                    </w:rPr>
                    <w:t>《经济法律基础》72课时（理论）</w:t>
                  </w:r>
                </w:p>
                <w:p>
                  <w:pPr>
                    <w:jc w:val="left"/>
                  </w:pPr>
                  <w:r>
                    <w:rPr>
                      <w:color w:val="000000"/>
                    </w:rPr>
                    <w:t>5.</w:t>
                  </w:r>
                  <w:r>
                    <w:rPr>
                      <w:color w:val="000000"/>
                    </w:rPr>
                    <w:t>《创业设计》54课时（理论）</w:t>
                  </w:r>
                </w:p>
                <w:p>
                  <w:pPr>
                    <w:jc w:val="left"/>
                  </w:pPr>
                  <w:r>
                    <w:rPr>
                      <w:color w:val="000000"/>
                    </w:rPr>
                    <w:t>6.</w:t>
                  </w:r>
                  <w:r>
                    <w:rPr>
                      <w:color w:val="000000"/>
                    </w:rPr>
                    <w:t>《西方经济学》36课时（理论）</w:t>
                  </w:r>
                </w:p>
                <w:p>
                  <w:pPr>
                    <w:jc w:val="left"/>
                  </w:pPr>
                  <w:r>
                    <w:rPr>
                      <w:color w:val="000000"/>
                    </w:rPr>
                    <w:t>7.</w:t>
                  </w:r>
                  <w:r>
                    <w:rPr>
                      <w:color w:val="000000"/>
                    </w:rPr>
                    <w:t>《政治学原理》72课时（理论）</w:t>
                  </w:r>
                </w:p>
                <w:p>
                  <w:pPr>
                    <w:jc w:val="left"/>
                  </w:pPr>
                  <w:r>
                    <w:rPr>
                      <w:color w:val="000000"/>
                    </w:rPr>
                    <w:t>8.</w:t>
                  </w:r>
                  <w:r>
                    <w:rPr>
                      <w:color w:val="000000"/>
                    </w:rPr>
                    <w:t>《行政组织学》72课时（理论）</w:t>
                  </w:r>
                </w:p>
                <w:p>
                  <w:pPr>
                    <w:jc w:val="left"/>
                  </w:pPr>
                  <w:r>
                    <w:rPr>
                      <w:color w:val="000000"/>
                    </w:rPr>
                    <w:t>9.</w:t>
                  </w:r>
                  <w:r>
                    <w:rPr>
                      <w:color w:val="000000"/>
                    </w:rPr>
                    <w:t>《监督学》72课时（理论）</w:t>
                  </w:r>
                </w:p>
                <w:p>
                  <w:pPr>
                    <w:jc w:val="left"/>
                  </w:pPr>
                  <w:r>
                    <w:rPr>
                      <w:color w:val="000000"/>
                    </w:rPr>
                    <w:t>10.</w:t>
                  </w:r>
                  <w:r>
                    <w:rPr>
                      <w:color w:val="000000"/>
                    </w:rPr>
                    <w:t>《公共行政学》90课时（理论）</w:t>
                  </w:r>
                </w:p>
                <w:p>
                  <w:pPr>
                    <w:jc w:val="left"/>
                  </w:pPr>
                  <w:r>
                    <w:rPr>
                      <w:color w:val="000000"/>
                    </w:rPr>
                    <w:t>11.</w:t>
                  </w:r>
                  <w:r>
                    <w:rPr>
                      <w:color w:val="000000"/>
                    </w:rPr>
                    <w:t>《办公室管理》54课时（理论）</w:t>
                  </w:r>
                </w:p>
                <w:p>
                  <w:pPr>
                    <w:jc w:val="left"/>
                  </w:pPr>
                  <w:r>
                    <w:rPr>
                      <w:color w:val="000000"/>
                    </w:rPr>
                    <w:t>12.</w:t>
                  </w:r>
                  <w:r>
                    <w:rPr>
                      <w:color w:val="000000"/>
                    </w:rPr>
                    <w:t>《行政公文写作与处理》54课时（理论）</w:t>
                  </w:r>
                </w:p>
                <w:p>
                  <w:pPr>
                    <w:jc w:val="left"/>
                  </w:pPr>
                  <w:r>
                    <w:rPr>
                      <w:color w:val="000000"/>
                    </w:rPr>
                    <w:t>13.</w:t>
                  </w:r>
                  <w:r>
                    <w:rPr>
                      <w:color w:val="000000"/>
                    </w:rPr>
                    <w:t>《社会调查研究与方法》72课时（理论）</w:t>
                  </w:r>
                </w:p>
                <w:p>
                  <w:pPr>
                    <w:jc w:val="left"/>
                  </w:pPr>
                  <w:r>
                    <w:rPr>
                      <w:color w:val="000000"/>
                    </w:rPr>
                    <w:t>14.</w:t>
                  </w:r>
                  <w:r>
                    <w:rPr>
                      <w:color w:val="000000"/>
                    </w:rPr>
                    <w:t>《社区服务与管理》72课时（理论）</w:t>
                  </w:r>
                </w:p>
                <w:p>
                  <w:pPr>
                    <w:jc w:val="left"/>
                  </w:pPr>
                  <w:r>
                    <w:rPr>
                      <w:color w:val="000000"/>
                    </w:rPr>
                    <w:t>15.</w:t>
                  </w:r>
                  <w:r>
                    <w:rPr>
                      <w:color w:val="000000"/>
                    </w:rPr>
                    <w:t>《物业信息管理》90课时（理论）</w:t>
                  </w:r>
                </w:p>
                <w:p>
                  <w:pPr>
                    <w:jc w:val="left"/>
                  </w:pPr>
                  <w:r>
                    <w:rPr>
                      <w:color w:val="000000"/>
                    </w:rPr>
                    <w:t>16.</w:t>
                  </w:r>
                  <w:r>
                    <w:rPr>
                      <w:color w:val="000000"/>
                    </w:rPr>
                    <w:t>《物业管理财税基础》90课时（理论）</w:t>
                  </w:r>
                </w:p>
                <w:p>
                  <w:pPr>
                    <w:jc w:val="left"/>
                  </w:pPr>
                  <w:r>
                    <w:rPr>
                      <w:color w:val="000000"/>
                    </w:rPr>
                    <w:t>17.</w:t>
                  </w:r>
                  <w:r>
                    <w:rPr>
                      <w:color w:val="000000"/>
                    </w:rPr>
                    <w:t>《物业设备设施管理》90课时（理论）</w:t>
                  </w:r>
                </w:p>
                <w:p>
                  <w:pPr>
                    <w:jc w:val="left"/>
                  </w:pPr>
                  <w:r>
                    <w:rPr>
                      <w:color w:val="000000"/>
                    </w:rPr>
                    <w:t>18.</w:t>
                  </w:r>
                  <w:r>
                    <w:rPr>
                      <w:color w:val="000000"/>
                    </w:rPr>
                    <w:t>《房地产营销管理》72课时（理论）</w:t>
                  </w:r>
                </w:p>
                <w:p>
                  <w:pPr>
                    <w:jc w:val="left"/>
                  </w:pPr>
                  <w:r>
                    <w:rPr>
                      <w:color w:val="000000"/>
                    </w:rPr>
                    <w:t>19.</w:t>
                  </w:r>
                  <w:r>
                    <w:rPr>
                      <w:color w:val="000000"/>
                    </w:rPr>
                    <w:t>《房屋构造与维护管理》90课时（理论）</w:t>
                  </w:r>
                </w:p>
                <w:p>
                  <w:pPr>
                    <w:jc w:val="left"/>
                  </w:pPr>
                  <w:r>
                    <w:rPr>
                      <w:color w:val="000000"/>
                    </w:rPr>
                    <w:t>20.</w:t>
                  </w:r>
                  <w:r>
                    <w:rPr>
                      <w:color w:val="000000"/>
                    </w:rPr>
                    <w:t>《物业管理实务》54课时（理论)</w:t>
                  </w:r>
                </w:p>
                <w:p>
                  <w:pPr>
                    <w:jc w:val="left"/>
                  </w:pPr>
                  <w:r>
                    <w:rPr>
                      <w:color w:val="000000"/>
                    </w:rPr>
                    <w:t>二、课程标准：</w:t>
                  </w:r>
                </w:p>
                <w:p>
                  <w:pPr>
                    <w:jc w:val="left"/>
                  </w:pPr>
                  <w:r>
                    <w:rPr>
                      <w:color w:val="000000"/>
                    </w:rPr>
                    <w:t>每一门课程都包含：</w:t>
                  </w:r>
                </w:p>
                <w:p>
                  <w:pPr>
                    <w:jc w:val="left"/>
                  </w:pPr>
                  <w:r>
                    <w:rPr>
                      <w:color w:val="000000"/>
                    </w:rPr>
                    <w:t>1.</w:t>
                  </w:r>
                  <w:r>
                    <w:rPr>
                      <w:color w:val="000000"/>
                    </w:rPr>
                    <w:t>课程标准：课程目标，课程内容、实施建议、考核要求；</w:t>
                  </w:r>
                </w:p>
                <w:p>
                  <w:pPr>
                    <w:jc w:val="left"/>
                  </w:pPr>
                  <w:r>
                    <w:rPr>
                      <w:color w:val="000000"/>
                    </w:rPr>
                    <w:t>2.</w:t>
                  </w:r>
                  <w:r>
                    <w:rPr>
                      <w:color w:val="000000"/>
                    </w:rPr>
                    <w:t>教学设计:①学习目标：反映学生知识与能力、过程与方法、情感态度与价值观的要求，明确、具体且可操作性强；②学习内容:学习内容包括理论知识和实践知识要求，与人文素养养成紧密相关；③方法手段:教学方法体现以学生为中心的教学理念和数字化资源，有效支持学习活动的开展，与教学内容相符合；④学习评价:学习评价方式方法合理，易于操作，能有效解决实际教学问题，注重学业成果展示；</w:t>
                  </w:r>
                </w:p>
                <w:p>
                  <w:pPr>
                    <w:jc w:val="left"/>
                  </w:pPr>
                  <w:r>
                    <w:rPr>
                      <w:color w:val="000000"/>
                    </w:rPr>
                    <w:t>3.</w:t>
                  </w:r>
                  <w:r>
                    <w:rPr>
                      <w:color w:val="000000"/>
                    </w:rPr>
                    <w:t>课程课件：PPT形式，所用图片素材要求清晰、美观、新颖；</w:t>
                  </w:r>
                </w:p>
                <w:p>
                  <w:pPr>
                    <w:jc w:val="left"/>
                  </w:pPr>
                  <w:r>
                    <w:rPr>
                      <w:color w:val="000000"/>
                    </w:rPr>
                    <w:t>4.</w:t>
                  </w:r>
                  <w:r>
                    <w:rPr>
                      <w:color w:val="000000"/>
                    </w:rPr>
                    <w:t>电子教案：每两个课时为1次教学活动，每次教学活动教学设计1份，梳理教学知识点；</w:t>
                  </w:r>
                </w:p>
                <w:p>
                  <w:pPr>
                    <w:jc w:val="left"/>
                  </w:pPr>
                  <w:r>
                    <w:rPr>
                      <w:color w:val="000000"/>
                    </w:rPr>
                    <w:t>5.</w:t>
                  </w:r>
                  <w:r>
                    <w:rPr>
                      <w:color w:val="000000"/>
                    </w:rPr>
                    <w:t>习题库：针对单个技能点的练习题以及验证学习效果的综合型考题；</w:t>
                  </w:r>
                </w:p>
                <w:p>
                  <w:pPr>
                    <w:jc w:val="left"/>
                  </w:pPr>
                  <w:r>
                    <w:rPr>
                      <w:color w:val="000000"/>
                    </w:rPr>
                    <w:t>6.</w:t>
                  </w:r>
                  <w:r>
                    <w:rPr>
                      <w:color w:val="000000"/>
                    </w:rPr>
                    <w:t>案例库：案例根据课程属性设置案例形式；</w:t>
                  </w:r>
                </w:p>
                <w:p>
                  <w:pPr>
                    <w:jc w:val="left"/>
                  </w:pPr>
                  <w:r>
                    <w:rPr>
                      <w:color w:val="000000"/>
                    </w:rPr>
                    <w:t>7.</w:t>
                  </w:r>
                  <w:r>
                    <w:rPr>
                      <w:color w:val="000000"/>
                    </w:rPr>
                    <w:t>微课视频：教学视频充分展示教学过程及重难点和创新点，能清晰展现学与教的过程；教学视频声音清楚，画面清晰，图像稳定，声音与画面同步，画面切换自然；</w:t>
                  </w:r>
                </w:p>
                <w:p>
                  <w:pPr>
                    <w:jc w:val="left"/>
                  </w:pPr>
                  <w:r>
                    <w:rPr>
                      <w:color w:val="000000"/>
                    </w:rPr>
                    <w:t>8.</w:t>
                  </w:r>
                  <w:r>
                    <w:rPr>
                      <w:color w:val="000000"/>
                    </w:rPr>
                    <w:t>动态资源素材搜集与设计：根据课程内容进行素材设计，如画面素材、声音素材、字幕、图片素材，视频素材等等；（不能有侵权）；</w:t>
                  </w:r>
                </w:p>
                <w:p>
                  <w:pPr>
                    <w:jc w:val="left"/>
                  </w:pPr>
                  <w:r>
                    <w:rPr>
                      <w:color w:val="000000"/>
                    </w:rPr>
                    <w:t>9.</w:t>
                  </w:r>
                  <w:r>
                    <w:rPr>
                      <w:color w:val="000000"/>
                    </w:rPr>
                    <w:t>教学资源:符合学生特点和教学内容要求，表现生动形象，时代性强，有较强的教育作用和启发引导作用，有利于学生自主学习。</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门</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20</w:t>
                  </w:r>
                </w:p>
              </w:tc>
            </w:tr>
            <w:tr>
              <w:tc>
                <w:tcPr>
                  <w:tcW w:type="dxa" w:w="400"/>
                  <w:tcBorders>
                    <w:top w:val="none" w:color="000000" w:sz="4"/>
                    <w:left w:val="single" w:color="000000" w:sz="4"/>
                    <w:bottom w:val="single" w:color="000000" w:sz="4"/>
                    <w:right w:val="single" w:color="000000" w:sz="4"/>
                  </w:tcBorders>
                </w:tcPr>
                <w:p>
                  <w:pPr>
                    <w:jc w:val="center"/>
                  </w:pPr>
                  <w:r>
                    <w:rPr>
                      <w:color w:val="000000"/>
                      <w:sz w:val="21"/>
                    </w:rPr>
                    <w:t>2</w:t>
                  </w:r>
                </w:p>
              </w:tc>
              <w:tc>
                <w:tcPr>
                  <w:tcW w:type="dxa" w:w="514"/>
                  <w:tcBorders>
                    <w:top w:val="none" w:color="000000" w:sz="4"/>
                    <w:left w:val="none" w:color="000000" w:sz="4"/>
                    <w:bottom w:val="single" w:color="000000" w:sz="4"/>
                    <w:right w:val="single" w:color="000000" w:sz="4"/>
                  </w:tcBorders>
                </w:tcPr>
                <w:p>
                  <w:pPr>
                    <w:jc w:val="center"/>
                  </w:pPr>
                  <w:r>
                    <w:rPr>
                      <w:color w:val="000000"/>
                      <w:sz w:val="21"/>
                    </w:rPr>
                    <w:t>PPT</w:t>
                  </w:r>
                  <w:r>
                    <w:rPr>
                      <w:color w:val="000000"/>
                      <w:sz w:val="21"/>
                    </w:rPr>
                    <w:t>资源建设</w:t>
                  </w:r>
                </w:p>
              </w:tc>
              <w:tc>
                <w:tcPr>
                  <w:tcW w:type="dxa" w:w="3884"/>
                  <w:tcBorders>
                    <w:top w:val="none" w:color="000000" w:sz="4"/>
                    <w:left w:val="none" w:color="000000" w:sz="4"/>
                    <w:bottom w:val="single" w:color="000000" w:sz="4"/>
                    <w:right w:val="single" w:color="000000" w:sz="4"/>
                  </w:tcBorders>
                </w:tcPr>
                <w:p>
                  <w:pPr>
                    <w:jc w:val="left"/>
                  </w:pPr>
                  <w:r>
                    <w:rPr>
                      <w:color w:val="000000"/>
                    </w:rPr>
                    <w:t>1.</w:t>
                  </w:r>
                  <w:r>
                    <w:rPr>
                      <w:color w:val="000000"/>
                    </w:rPr>
                    <w:t>设计符合课程风格的课件模板和视觉效果，重构素材样式，增加切页效果、动画样式等；</w:t>
                  </w:r>
                </w:p>
                <w:p>
                  <w:pPr>
                    <w:jc w:val="left"/>
                  </w:pPr>
                  <w:r>
                    <w:rPr>
                      <w:color w:val="000000"/>
                    </w:rPr>
                    <w:t>2.</w:t>
                  </w:r>
                  <w:r>
                    <w:rPr>
                      <w:color w:val="000000"/>
                    </w:rPr>
                    <w:t>建设量：每门课程PPT建设总量不少于200页。</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批</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20</w:t>
                  </w:r>
                </w:p>
              </w:tc>
            </w:tr>
            <w:tr>
              <w:tc>
                <w:tcPr>
                  <w:tcW w:type="dxa" w:w="400"/>
                  <w:tcBorders>
                    <w:top w:val="none" w:color="000000" w:sz="4"/>
                    <w:left w:val="single" w:color="000000" w:sz="4"/>
                    <w:bottom w:val="single" w:color="000000" w:sz="4"/>
                    <w:right w:val="single" w:color="000000" w:sz="4"/>
                  </w:tcBorders>
                </w:tcPr>
                <w:p>
                  <w:pPr>
                    <w:jc w:val="center"/>
                  </w:pPr>
                  <w:r>
                    <w:rPr>
                      <w:color w:val="000000"/>
                      <w:sz w:val="21"/>
                    </w:rPr>
                    <w:t>3</w:t>
                  </w:r>
                </w:p>
              </w:tc>
              <w:tc>
                <w:tcPr>
                  <w:tcW w:type="dxa" w:w="514"/>
                  <w:tcBorders>
                    <w:top w:val="none" w:color="000000" w:sz="4"/>
                    <w:left w:val="none" w:color="000000" w:sz="4"/>
                    <w:bottom w:val="single" w:color="000000" w:sz="4"/>
                    <w:right w:val="single" w:color="000000" w:sz="4"/>
                  </w:tcBorders>
                </w:tcPr>
                <w:p>
                  <w:pPr>
                    <w:jc w:val="center"/>
                  </w:pPr>
                  <w:r>
                    <w:rPr>
                      <w:color w:val="000000"/>
                      <w:sz w:val="21"/>
                    </w:rPr>
                    <w:t>习题库、试卷建设</w:t>
                  </w:r>
                </w:p>
              </w:tc>
              <w:tc>
                <w:tcPr>
                  <w:tcW w:type="dxa" w:w="3884"/>
                  <w:tcBorders>
                    <w:top w:val="none" w:color="000000" w:sz="4"/>
                    <w:left w:val="none" w:color="000000" w:sz="4"/>
                    <w:bottom w:val="single" w:color="000000" w:sz="4"/>
                    <w:right w:val="single" w:color="000000" w:sz="4"/>
                  </w:tcBorders>
                </w:tcPr>
                <w:p>
                  <w:pPr>
                    <w:jc w:val="left"/>
                  </w:pPr>
                  <w:r>
                    <w:rPr>
                      <w:color w:val="000000"/>
                    </w:rPr>
                    <w:t>1.</w:t>
                  </w:r>
                  <w:r>
                    <w:rPr>
                      <w:color w:val="000000"/>
                    </w:rPr>
                    <w:t>根据课程建设要求，与建设老师沟通设计题型、题量、形考任务等；题型包括选择题、填空题、简答题等；将所建设题库、形考试卷上传至平台，并设置好评分规则、题目反馈等；</w:t>
                  </w:r>
                </w:p>
                <w:p>
                  <w:pPr>
                    <w:ind w:firstLine="420"/>
                    <w:jc w:val="left"/>
                  </w:pPr>
                  <w:r>
                    <w:rPr>
                      <w:color w:val="000000"/>
                      <w:sz w:val="21"/>
                    </w:rPr>
                    <w:t>2.</w:t>
                  </w:r>
                  <w:r>
                    <w:rPr>
                      <w:color w:val="000000"/>
                      <w:sz w:val="21"/>
                    </w:rPr>
                    <w:t>建设量：每门课程习题库建设总量不少于200道，共20门课程，总数不少于4000道；每门课试卷建设不少于5套，共20门课程，总数不少于100套。</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门</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20</w:t>
                  </w:r>
                </w:p>
              </w:tc>
            </w:tr>
            <w:tr>
              <w:tc>
                <w:tcPr>
                  <w:tcW w:type="dxa" w:w="400"/>
                  <w:tcBorders>
                    <w:top w:val="none" w:color="000000" w:sz="4"/>
                    <w:left w:val="single" w:color="000000" w:sz="4"/>
                    <w:bottom w:val="single" w:color="000000" w:sz="4"/>
                    <w:right w:val="single" w:color="000000" w:sz="4"/>
                  </w:tcBorders>
                </w:tcPr>
                <w:p>
                  <w:pPr>
                    <w:jc w:val="center"/>
                  </w:pPr>
                  <w:r>
                    <w:rPr>
                      <w:color w:val="000000"/>
                      <w:sz w:val="21"/>
                    </w:rPr>
                    <w:t>4</w:t>
                  </w:r>
                </w:p>
              </w:tc>
              <w:tc>
                <w:tcPr>
                  <w:tcW w:type="dxa" w:w="514"/>
                  <w:tcBorders>
                    <w:top w:val="none" w:color="000000" w:sz="4"/>
                    <w:left w:val="none" w:color="000000" w:sz="4"/>
                    <w:bottom w:val="single" w:color="000000" w:sz="4"/>
                    <w:right w:val="single" w:color="000000" w:sz="4"/>
                  </w:tcBorders>
                </w:tcPr>
                <w:p>
                  <w:pPr>
                    <w:jc w:val="center"/>
                  </w:pPr>
                  <w:r>
                    <w:rPr>
                      <w:color w:val="000000"/>
                      <w:sz w:val="21"/>
                    </w:rPr>
                    <w:t>案例库、讨论、问答建设</w:t>
                  </w:r>
                </w:p>
              </w:tc>
              <w:tc>
                <w:tcPr>
                  <w:tcW w:type="dxa" w:w="3884"/>
                  <w:tcBorders>
                    <w:top w:val="none" w:color="000000" w:sz="4"/>
                    <w:left w:val="none" w:color="000000" w:sz="4"/>
                    <w:bottom w:val="single" w:color="000000" w:sz="4"/>
                    <w:right w:val="single" w:color="000000" w:sz="4"/>
                  </w:tcBorders>
                </w:tcPr>
                <w:p>
                  <w:pPr>
                    <w:jc w:val="left"/>
                  </w:pPr>
                  <w:r>
                    <w:rPr>
                      <w:color w:val="000000"/>
                      <w:sz w:val="21"/>
                    </w:rPr>
                    <w:t>根据课程建设要求，建设足够的案例、讨论、问答类资源，案例根据课程属性设置形式，讨论包含讨论主题和讨论范围、讨论样例，问答包含问题和参考答案，每门课程不少于20条。总数不少于400条。</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条</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400</w:t>
                  </w:r>
                </w:p>
              </w:tc>
            </w:tr>
            <w:tr>
              <w:tc>
                <w:tcPr>
                  <w:tcW w:type="dxa" w:w="400"/>
                  <w:tcBorders>
                    <w:top w:val="none" w:color="000000" w:sz="4"/>
                    <w:left w:val="single" w:color="000000" w:sz="4"/>
                    <w:bottom w:val="single" w:color="000000" w:sz="4"/>
                    <w:right w:val="single" w:color="000000" w:sz="4"/>
                  </w:tcBorders>
                </w:tcPr>
                <w:p>
                  <w:pPr>
                    <w:jc w:val="center"/>
                  </w:pPr>
                  <w:r>
                    <w:rPr>
                      <w:color w:val="000000"/>
                      <w:sz w:val="21"/>
                    </w:rPr>
                    <w:t>5</w:t>
                  </w:r>
                </w:p>
              </w:tc>
              <w:tc>
                <w:tcPr>
                  <w:tcW w:type="dxa" w:w="514"/>
                  <w:tcBorders>
                    <w:top w:val="none" w:color="000000" w:sz="4"/>
                    <w:left w:val="none" w:color="000000" w:sz="4"/>
                    <w:bottom w:val="single" w:color="000000" w:sz="4"/>
                    <w:right w:val="single" w:color="000000" w:sz="4"/>
                  </w:tcBorders>
                </w:tcPr>
                <w:p>
                  <w:pPr>
                    <w:jc w:val="center"/>
                  </w:pPr>
                  <w:r>
                    <w:rPr>
                      <w:color w:val="000000"/>
                      <w:sz w:val="21"/>
                    </w:rPr>
                    <w:t>脚本设计与素材搜集</w:t>
                  </w:r>
                </w:p>
              </w:tc>
              <w:tc>
                <w:tcPr>
                  <w:tcW w:type="dxa" w:w="3884"/>
                  <w:tcBorders>
                    <w:top w:val="none" w:color="000000" w:sz="4"/>
                    <w:left w:val="none" w:color="000000" w:sz="4"/>
                    <w:bottom w:val="single" w:color="000000" w:sz="4"/>
                    <w:right w:val="single" w:color="000000" w:sz="4"/>
                  </w:tcBorders>
                </w:tcPr>
                <w:p>
                  <w:pPr>
                    <w:ind w:firstLine="420"/>
                    <w:jc w:val="left"/>
                  </w:pPr>
                  <w:r>
                    <w:rPr>
                      <w:color w:val="000000"/>
                      <w:sz w:val="21"/>
                    </w:rPr>
                    <w:t>1.</w:t>
                  </w:r>
                  <w:r>
                    <w:rPr>
                      <w:color w:val="000000"/>
                      <w:sz w:val="21"/>
                    </w:rPr>
                    <w:t>根据课程内容要求安排专业教务、教研、编辑、编导、设计、摄像、后期制作人员各不少于1位作为团队成员，总团队成员不少于20人；要求提供至少1位经验丰富的硕士研究生及以上学历的编辑人员作为项目整体负责人；</w:t>
                  </w:r>
                </w:p>
                <w:p>
                  <w:pPr>
                    <w:ind w:firstLine="420"/>
                    <w:jc w:val="left"/>
                  </w:pPr>
                  <w:r>
                    <w:rPr>
                      <w:color w:val="000000"/>
                      <w:sz w:val="21"/>
                    </w:rPr>
                    <w:t>2.</w:t>
                  </w:r>
                  <w:r>
                    <w:rPr>
                      <w:color w:val="000000"/>
                      <w:sz w:val="21"/>
                    </w:rPr>
                    <w:t>根据课程内容进行脚本设计，如时长、画面内容编写、声音、字幕、备注等设计；</w:t>
                  </w:r>
                </w:p>
                <w:p>
                  <w:pPr>
                    <w:ind w:firstLine="420"/>
                    <w:jc w:val="left"/>
                  </w:pPr>
                  <w:r>
                    <w:rPr>
                      <w:color w:val="000000"/>
                      <w:sz w:val="21"/>
                    </w:rPr>
                    <w:t>3.</w:t>
                  </w:r>
                  <w:r>
                    <w:rPr>
                      <w:color w:val="000000"/>
                      <w:sz w:val="21"/>
                    </w:rPr>
                    <w:t>每个视频配一个制作脚本。</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批</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20</w:t>
                  </w:r>
                </w:p>
              </w:tc>
            </w:tr>
            <w:tr>
              <w:tc>
                <w:tcPr>
                  <w:tcW w:type="dxa" w:w="400"/>
                  <w:tcBorders>
                    <w:top w:val="none" w:color="000000" w:sz="4"/>
                    <w:left w:val="single" w:color="000000" w:sz="4"/>
                    <w:bottom w:val="single" w:color="000000" w:sz="4"/>
                    <w:right w:val="single" w:color="000000" w:sz="4"/>
                  </w:tcBorders>
                </w:tcPr>
                <w:p>
                  <w:pPr>
                    <w:jc w:val="center"/>
                  </w:pPr>
                  <w:r>
                    <w:rPr>
                      <w:color w:val="000000"/>
                      <w:sz w:val="21"/>
                    </w:rPr>
                    <w:t>6</w:t>
                  </w:r>
                </w:p>
              </w:tc>
              <w:tc>
                <w:tcPr>
                  <w:tcW w:type="dxa" w:w="514"/>
                  <w:tcBorders>
                    <w:top w:val="none" w:color="000000" w:sz="4"/>
                    <w:left w:val="none" w:color="000000" w:sz="4"/>
                    <w:bottom w:val="single" w:color="000000" w:sz="4"/>
                    <w:right w:val="single" w:color="000000" w:sz="4"/>
                  </w:tcBorders>
                </w:tcPr>
                <w:p>
                  <w:pPr>
                    <w:jc w:val="center"/>
                  </w:pPr>
                  <w:r>
                    <w:rPr>
                      <w:color w:val="000000"/>
                      <w:sz w:val="21"/>
                    </w:rPr>
                    <w:t>视频制作</w:t>
                  </w:r>
                </w:p>
              </w:tc>
              <w:tc>
                <w:tcPr>
                  <w:tcW w:type="dxa" w:w="3884"/>
                  <w:tcBorders>
                    <w:top w:val="none" w:color="000000" w:sz="4"/>
                    <w:left w:val="none" w:color="000000" w:sz="4"/>
                    <w:bottom w:val="single" w:color="000000" w:sz="4"/>
                    <w:right w:val="single" w:color="000000" w:sz="4"/>
                  </w:tcBorders>
                </w:tcPr>
                <w:p>
                  <w:pPr>
                    <w:jc w:val="left"/>
                  </w:pPr>
                  <w:r>
                    <w:rPr>
                      <w:color w:val="000000"/>
                      <w:sz w:val="21"/>
                    </w:rPr>
                    <w:t>一、制作类型（具体的录制形式根据课程内容需求确定）</w:t>
                  </w:r>
                </w:p>
                <w:p>
                  <w:pPr>
                    <w:jc w:val="left"/>
                  </w:pPr>
                  <w:r>
                    <w:rPr>
                      <w:color w:val="000000"/>
                      <w:sz w:val="21"/>
                    </w:rPr>
                    <w:t>教师可根据课程所需选择任意形式的视频。每门课程不少于350分钟,20门课程视频制作建设总量不少于7000分钟，具体如下：</w:t>
                  </w:r>
                </w:p>
                <w:p>
                  <w:pPr>
                    <w:jc w:val="left"/>
                  </w:pPr>
                  <w:r>
                    <w:rPr>
                      <w:color w:val="000000"/>
                      <w:sz w:val="21"/>
                    </w:rPr>
                    <w:t>1.</w:t>
                  </w:r>
                  <w:r>
                    <w:rPr>
                      <w:color w:val="000000"/>
                      <w:sz w:val="21"/>
                    </w:rPr>
                    <w:t>说课模式：以宣传片的方式对课程进行介绍，时间3-5分钟；两到三机位专业高清摄像拍摄，1920*1080分辨率，16：9画面要求，拍摄画面包括老师讲述、素材拍摄；独立片头片尾设计、四个画面穿插剪辑、特效、PPT动态动画、字幕、背景音乐等；体现授课目的、授课步骤及授课方法；体现教学课程的重点与难点；写出设计拍摄脚本、准备拍摄初稿PPT；</w:t>
                  </w:r>
                </w:p>
                <w:p>
                  <w:pPr>
                    <w:jc w:val="left"/>
                  </w:pPr>
                  <w:r>
                    <w:rPr>
                      <w:color w:val="000000"/>
                      <w:sz w:val="21"/>
                    </w:rPr>
                    <w:t>2.</w:t>
                  </w:r>
                  <w:r>
                    <w:rPr>
                      <w:color w:val="000000"/>
                      <w:sz w:val="21"/>
                    </w:rPr>
                    <w:t>录屏模式：对软件操作课程进行电脑屏幕录制，时间5-10分钟；一机位专业高清摄像拍摄收音，专业录屏软件录制；独立片头片尾设计、软件操作特写设计、动画人物形象设计、重点讲解特效制作、字幕、背景音乐等；体现授课目的、授课步骤及授课方法；体现教学课程的重点与难点；写出设计拍摄脚本、准备拍摄初稿PPT；</w:t>
                  </w:r>
                </w:p>
                <w:p>
                  <w:pPr>
                    <w:jc w:val="left"/>
                  </w:pPr>
                  <w:r>
                    <w:rPr>
                      <w:color w:val="000000"/>
                      <w:sz w:val="21"/>
                    </w:rPr>
                    <w:t>3.</w:t>
                  </w:r>
                  <w:r>
                    <w:rPr>
                      <w:color w:val="000000"/>
                      <w:sz w:val="21"/>
                    </w:rPr>
                    <w:t>二维动画：对真实场景、原理、流程等进行仿真式绘制，时间3-5分钟；一机位专业高清摄像拍摄收音；独立片头片尾设计、动画人物形象设计、动画场景设计、动画制作、特效、字幕、背景音乐等；可插入通用类、教学类等动画样本；</w:t>
                  </w:r>
                </w:p>
                <w:p>
                  <w:pPr>
                    <w:jc w:val="left"/>
                  </w:pPr>
                  <w:r>
                    <w:rPr>
                      <w:color w:val="000000"/>
                      <w:sz w:val="21"/>
                    </w:rPr>
                    <w:t>二、制作要求</w:t>
                  </w:r>
                </w:p>
                <w:p>
                  <w:pPr>
                    <w:jc w:val="left"/>
                  </w:pPr>
                  <w:r>
                    <w:rPr>
                      <w:color w:val="000000"/>
                      <w:sz w:val="21"/>
                    </w:rPr>
                    <w:t>1.</w:t>
                  </w:r>
                  <w:r>
                    <w:rPr>
                      <w:color w:val="000000"/>
                      <w:sz w:val="21"/>
                    </w:rPr>
                    <w:t>录制要求</w:t>
                  </w:r>
                </w:p>
                <w:p>
                  <w:pPr>
                    <w:jc w:val="left"/>
                  </w:pPr>
                  <w:r>
                    <w:rPr>
                      <w:color w:val="000000"/>
                      <w:sz w:val="21"/>
                    </w:rPr>
                    <w:t>录制场地可以是录播室、演播室、教室、或礼堂等场地，录制现场光线充足、环境安静、整洁，避免在镜头中出现有广告嫌疑或与课程无关的标识等内容。现场是否安排学生互动可根据录制需求自行决定；</w:t>
                  </w:r>
                </w:p>
                <w:p>
                  <w:pPr>
                    <w:jc w:val="left"/>
                  </w:pPr>
                  <w:r>
                    <w:rPr>
                      <w:color w:val="000000"/>
                      <w:sz w:val="21"/>
                    </w:rPr>
                    <w:t>拍摄方式：根据课程内容，可采用多机位拍摄，机器设备应满足完整记录全部教学活动的要求；</w:t>
                  </w:r>
                </w:p>
                <w:p>
                  <w:pPr>
                    <w:jc w:val="left"/>
                  </w:pPr>
                  <w:r>
                    <w:rPr>
                      <w:color w:val="000000"/>
                      <w:sz w:val="21"/>
                    </w:rPr>
                    <w:t>录像设备：摄像机要求不低于专业级数字设备，在同一门课程中标清和高清设备不得混用，推荐使用高清数字设备；</w:t>
                  </w:r>
                </w:p>
                <w:p>
                  <w:pPr>
                    <w:jc w:val="left"/>
                  </w:pPr>
                  <w:r>
                    <w:rPr>
                      <w:color w:val="000000"/>
                      <w:sz w:val="21"/>
                    </w:rPr>
                    <w:t>录音设备：使用若干个专业级话筒，保证教师和学生发言的录音质量；</w:t>
                  </w:r>
                </w:p>
                <w:p>
                  <w:pPr>
                    <w:jc w:val="left"/>
                  </w:pPr>
                  <w:r>
                    <w:rPr>
                      <w:color w:val="000000"/>
                      <w:sz w:val="21"/>
                    </w:rPr>
                    <w:t>后期制作设备：采用相应的非线性编辑系统；</w:t>
                  </w:r>
                </w:p>
                <w:p>
                  <w:pPr>
                    <w:jc w:val="left"/>
                  </w:pPr>
                  <w:r>
                    <w:rPr>
                      <w:color w:val="000000"/>
                      <w:sz w:val="21"/>
                    </w:rPr>
                    <w:t>视频中使用的多媒体课件、图片等材料中不能出现企业名称、设备生产厂家等具有广告嫌疑的或与课程无关的标识等内容。</w:t>
                  </w:r>
                </w:p>
                <w:p>
                  <w:pPr>
                    <w:jc w:val="left"/>
                  </w:pPr>
                  <w:r>
                    <w:rPr>
                      <w:color w:val="000000"/>
                      <w:sz w:val="21"/>
                    </w:rPr>
                    <w:t>2.</w:t>
                  </w:r>
                  <w:r>
                    <w:rPr>
                      <w:color w:val="000000"/>
                      <w:sz w:val="21"/>
                    </w:rPr>
                    <w:t>片头、片尾要求</w:t>
                  </w:r>
                </w:p>
                <w:p>
                  <w:pPr>
                    <w:jc w:val="left"/>
                  </w:pPr>
                  <w:r>
                    <w:rPr>
                      <w:color w:val="000000"/>
                      <w:sz w:val="21"/>
                    </w:rPr>
                    <w:t>片头不超过10秒，应包括:学校名称、单位、学校LOGO、课程名称、主讲教师姓名、专业技术职务等信息，片头应使用AE渲染。片尾包括版权人（版权统一为学校）、录制人（课程负责人）、录制时间等信息，片头片尾不超过15秒钟。</w:t>
                  </w:r>
                </w:p>
                <w:p>
                  <w:pPr>
                    <w:jc w:val="left"/>
                  </w:pPr>
                  <w:r>
                    <w:rPr>
                      <w:color w:val="000000"/>
                      <w:sz w:val="21"/>
                    </w:rPr>
                    <w:t>3.</w:t>
                  </w:r>
                  <w:r>
                    <w:rPr>
                      <w:color w:val="000000"/>
                      <w:sz w:val="21"/>
                    </w:rPr>
                    <w:t>品质要求</w:t>
                  </w:r>
                </w:p>
                <w:p>
                  <w:pPr>
                    <w:jc w:val="left"/>
                  </w:pPr>
                  <w:r>
                    <w:rPr>
                      <w:color w:val="000000"/>
                      <w:sz w:val="21"/>
                    </w:rPr>
                    <w:t>前期拍摄分辨率不低于1920×1080，建议采用4k的分辨率拍摄；</w:t>
                  </w:r>
                </w:p>
                <w:p>
                  <w:pPr>
                    <w:jc w:val="left"/>
                  </w:pPr>
                  <w:r>
                    <w:rPr>
                      <w:color w:val="000000"/>
                      <w:sz w:val="21"/>
                    </w:rPr>
                    <w:t>（视频压缩采用H.264/AVC（MPEG-4Part10）编码、使用二次编码、视频帧率为不低于25帧/秒，逐行扫描，分辨率不低于1920×1080（16:9）；</w:t>
                  </w:r>
                </w:p>
                <w:p>
                  <w:pPr>
                    <w:jc w:val="left"/>
                  </w:pPr>
                  <w:r>
                    <w:rPr>
                      <w:color w:val="000000"/>
                      <w:sz w:val="21"/>
                    </w:rPr>
                    <w:t>视频比特率不低于1024Kbps（可动态码率），最低码率不得低于2048Kbps。</w:t>
                  </w:r>
                </w:p>
                <w:p>
                  <w:pPr>
                    <w:jc w:val="left"/>
                  </w:pPr>
                  <w:r>
                    <w:rPr>
                      <w:color w:val="000000"/>
                      <w:sz w:val="21"/>
                    </w:rPr>
                    <w:t>4.</w:t>
                  </w:r>
                  <w:r>
                    <w:rPr>
                      <w:color w:val="000000"/>
                      <w:sz w:val="21"/>
                    </w:rPr>
                    <w:t>音频要求</w:t>
                  </w:r>
                </w:p>
                <w:p>
                  <w:pPr>
                    <w:jc w:val="left"/>
                  </w:pPr>
                  <w:r>
                    <w:rPr>
                      <w:color w:val="000000"/>
                      <w:sz w:val="21"/>
                    </w:rPr>
                    <w:t>音频信号记录于第1声道，音乐、音效、同期声记录于第2声道，若有其他文字解说记录于第3声道（如录音设备无第3声道,则录于第2声道）；</w:t>
                  </w:r>
                </w:p>
                <w:p>
                  <w:pPr>
                    <w:jc w:val="left"/>
                  </w:pPr>
                  <w:r>
                    <w:rPr>
                      <w:color w:val="000000"/>
                      <w:sz w:val="21"/>
                    </w:rPr>
                    <w:t>-2db</w:t>
                  </w:r>
                  <w:r>
                    <w:rPr>
                      <w:color w:val="000000"/>
                      <w:sz w:val="21"/>
                    </w:rPr>
                    <w:t>～-8db声音无明显失真、放音过冲、过弱；</w:t>
                  </w:r>
                </w:p>
                <w:p>
                  <w:pPr>
                    <w:jc w:val="left"/>
                  </w:pPr>
                  <w:r>
                    <w:rPr>
                      <w:color w:val="000000"/>
                      <w:sz w:val="21"/>
                    </w:rPr>
                    <w:t>音频信噪比不低于48db；</w:t>
                  </w:r>
                </w:p>
                <w:p>
                  <w:pPr>
                    <w:jc w:val="left"/>
                  </w:pPr>
                  <w:r>
                    <w:rPr>
                      <w:color w:val="000000"/>
                      <w:sz w:val="21"/>
                    </w:rPr>
                    <w:t>声音和画面要求同步，无交流声或其他杂音等缺陷；</w:t>
                  </w:r>
                </w:p>
                <w:p>
                  <w:pPr>
                    <w:jc w:val="left"/>
                  </w:pPr>
                  <w:r>
                    <w:rPr>
                      <w:color w:val="000000"/>
                      <w:sz w:val="21"/>
                    </w:rPr>
                    <w:t>伴音清晰、饱满、圆润，无失真、噪声杂音干扰、音量忽大忽小现象。解说声与现场声无明显比例失调，解说声与背景音乐无明显比例失调；</w:t>
                  </w:r>
                </w:p>
                <w:p>
                  <w:pPr>
                    <w:jc w:val="left"/>
                  </w:pPr>
                  <w:r>
                    <w:rPr>
                      <w:color w:val="000000"/>
                      <w:sz w:val="21"/>
                    </w:rPr>
                    <w:t>音频采样率应不低于1288Kbps。</w:t>
                  </w:r>
                </w:p>
                <w:p>
                  <w:pPr>
                    <w:jc w:val="left"/>
                  </w:pPr>
                  <w:r>
                    <w:rPr>
                      <w:color w:val="000000"/>
                      <w:sz w:val="21"/>
                    </w:rPr>
                    <w:t>5.</w:t>
                  </w:r>
                  <w:r>
                    <w:rPr>
                      <w:color w:val="000000"/>
                      <w:sz w:val="21"/>
                    </w:rPr>
                    <w:t>字幕要求</w:t>
                  </w:r>
                </w:p>
                <w:p>
                  <w:pPr>
                    <w:jc w:val="left"/>
                  </w:pPr>
                  <w:r>
                    <w:rPr>
                      <w:color w:val="000000"/>
                      <w:sz w:val="21"/>
                    </w:rPr>
                    <w:t>独立的SRT格式的唱词文件；</w:t>
                  </w:r>
                </w:p>
                <w:p>
                  <w:pPr>
                    <w:jc w:val="left"/>
                  </w:pPr>
                  <w:r>
                    <w:rPr>
                      <w:color w:val="000000"/>
                      <w:sz w:val="21"/>
                    </w:rPr>
                    <w:t>每屏只有一行唱词，并保持每屏唱词出现位置一致；</w:t>
                  </w:r>
                </w:p>
                <w:p>
                  <w:pPr>
                    <w:jc w:val="left"/>
                  </w:pPr>
                  <w:r>
                    <w:rPr>
                      <w:color w:val="000000"/>
                      <w:sz w:val="21"/>
                    </w:rPr>
                    <w:t>字幕清晰美观，能正确有效地传达信息。字幕尽可能少，在节目中的停留时间以能看清楚为准；</w:t>
                  </w:r>
                </w:p>
                <w:p>
                  <w:pPr>
                    <w:jc w:val="left"/>
                  </w:pPr>
                  <w:r>
                    <w:rPr>
                      <w:color w:val="000000"/>
                      <w:sz w:val="21"/>
                    </w:rPr>
                    <w:t>字幕要使用符合国家标准的规范字，不出现繁体字、异体字(国家规定的除外)、错别字；字幕的字体、大小、色彩搭配、摆放位置、停留时间、出入屏方式力求与其他要素（画面、解说词、音乐）配合适当，不能破坏原有画面；</w:t>
                  </w:r>
                </w:p>
                <w:p>
                  <w:pPr>
                    <w:jc w:val="left"/>
                  </w:pPr>
                  <w:r>
                    <w:rPr>
                      <w:color w:val="000000"/>
                      <w:sz w:val="21"/>
                    </w:rPr>
                    <w:t>字幕应采用AI技术识别。</w:t>
                  </w:r>
                </w:p>
                <w:p>
                  <w:pPr>
                    <w:jc w:val="left"/>
                  </w:pPr>
                  <w:r>
                    <w:rPr>
                      <w:color w:val="000000"/>
                      <w:sz w:val="21"/>
                    </w:rPr>
                    <w:t>6.</w:t>
                  </w:r>
                  <w:r>
                    <w:rPr>
                      <w:color w:val="000000"/>
                      <w:sz w:val="21"/>
                    </w:rPr>
                    <w:t>画面要求</w:t>
                  </w:r>
                </w:p>
                <w:p>
                  <w:pPr>
                    <w:jc w:val="left"/>
                  </w:pPr>
                  <w:r>
                    <w:rPr>
                      <w:color w:val="000000"/>
                      <w:sz w:val="21"/>
                    </w:rPr>
                    <w:t>视频类素材每帧图像颜色数不低于256色或灰度级不低于128级。彩色视频素材每帧图像颜色均为真彩；</w:t>
                  </w:r>
                </w:p>
                <w:p>
                  <w:pPr>
                    <w:jc w:val="left"/>
                  </w:pPr>
                  <w:r>
                    <w:rPr>
                      <w:color w:val="000000"/>
                      <w:sz w:val="21"/>
                    </w:rPr>
                    <w:t>视频图像清晰，播放时没有明显的噪点，播放流畅。图像信噪比不低于55dB，无明显杂波。全片图像同步性能稳定，无失步现象，CTL同步控制信号必须连续：图像无抖动跳跃，色彩无突变，编辑点图像稳定；</w:t>
                  </w:r>
                </w:p>
                <w:p>
                  <w:pPr>
                    <w:jc w:val="left"/>
                  </w:pPr>
                  <w:r>
                    <w:rPr>
                      <w:color w:val="000000"/>
                      <w:sz w:val="21"/>
                    </w:rPr>
                    <w:t>白平衡正确，无明显偏色，多机拍摄的镜头衔接处无明显色差。视频全讯号幅度为1Vp-p，最大不超过1.1Vp-p。其中，消隐电平为0V时，白电平幅度0.7Vp-p，同步信号-0.3V，色同步信号幅度0.3Vp-p（以消隐线上下对称），全片一致；</w:t>
                  </w:r>
                </w:p>
                <w:p>
                  <w:pPr>
                    <w:jc w:val="left"/>
                  </w:pPr>
                  <w:r>
                    <w:rPr>
                      <w:color w:val="000000"/>
                      <w:sz w:val="21"/>
                    </w:rPr>
                    <w:t>音频与视频图像有良好的同步，音频部分应符合音频素材的质量要求。</w:t>
                  </w:r>
                </w:p>
                <w:p>
                  <w:pPr>
                    <w:jc w:val="left"/>
                  </w:pPr>
                  <w:r>
                    <w:rPr>
                      <w:color w:val="000000"/>
                      <w:sz w:val="21"/>
                    </w:rPr>
                    <w:t>7.</w:t>
                  </w:r>
                  <w:r>
                    <w:rPr>
                      <w:color w:val="000000"/>
                      <w:sz w:val="21"/>
                    </w:rPr>
                    <w:t>内容要求</w:t>
                  </w:r>
                </w:p>
                <w:p>
                  <w:pPr>
                    <w:jc w:val="left"/>
                  </w:pPr>
                  <w:r>
                    <w:rPr>
                      <w:color w:val="000000"/>
                      <w:sz w:val="21"/>
                    </w:rPr>
                    <w:t>视频内容符合我国法律法规，尊重各民族的风俗习惯，版权不存在争议；</w:t>
                  </w:r>
                </w:p>
                <w:p>
                  <w:pPr>
                    <w:jc w:val="left"/>
                  </w:pPr>
                  <w:r>
                    <w:rPr>
                      <w:color w:val="000000"/>
                      <w:sz w:val="21"/>
                    </w:rPr>
                    <w:t>若其中包含少数民族或外国语言文字信息，应遵循其原内容完整性，使用原语言进行处理。</w:t>
                  </w:r>
                </w:p>
                <w:p>
                  <w:pPr>
                    <w:jc w:val="left"/>
                  </w:pPr>
                  <w:r>
                    <w:rPr>
                      <w:color w:val="000000"/>
                      <w:sz w:val="21"/>
                    </w:rPr>
                    <w:t>8.</w:t>
                  </w:r>
                  <w:r>
                    <w:rPr>
                      <w:color w:val="000000"/>
                      <w:sz w:val="21"/>
                    </w:rPr>
                    <w:t>时长要求</w:t>
                  </w:r>
                </w:p>
                <w:p>
                  <w:pPr>
                    <w:jc w:val="left"/>
                  </w:pPr>
                  <w:r>
                    <w:rPr>
                      <w:color w:val="000000"/>
                      <w:sz w:val="21"/>
                    </w:rPr>
                    <w:t>每门课程不少于350分钟。</w:t>
                  </w:r>
                </w:p>
                <w:p>
                  <w:pPr>
                    <w:jc w:val="left"/>
                  </w:pPr>
                  <w:r>
                    <w:rPr>
                      <w:color w:val="000000"/>
                      <w:sz w:val="21"/>
                    </w:rPr>
                    <w:t>三、前期准备要求</w:t>
                  </w:r>
                </w:p>
                <w:p>
                  <w:pPr>
                    <w:jc w:val="left"/>
                  </w:pPr>
                  <w:r>
                    <w:rPr>
                      <w:color w:val="000000"/>
                      <w:sz w:val="21"/>
                    </w:rPr>
                    <w:t>1.</w:t>
                  </w:r>
                  <w:r>
                    <w:rPr>
                      <w:color w:val="000000"/>
                      <w:sz w:val="21"/>
                    </w:rPr>
                    <w:t>拍摄制作团队经验丰富，含专业的编导、平面设计、摄像、灯光、化妆、剪辑、动画制作及审片人员，并且以满足教学要求为目标提供多种拍摄模式。</w:t>
                  </w:r>
                </w:p>
                <w:p>
                  <w:pPr>
                    <w:jc w:val="left"/>
                  </w:pPr>
                  <w:r>
                    <w:rPr>
                      <w:color w:val="000000"/>
                      <w:sz w:val="21"/>
                    </w:rPr>
                    <w:t>2.</w:t>
                  </w:r>
                  <w:r>
                    <w:rPr>
                      <w:color w:val="000000"/>
                      <w:sz w:val="21"/>
                    </w:rPr>
                    <w:t>课程视频执行团队（拍摄、制作团队），至少包含教务专员、课程顾问（编导）、摄像师、现场灯光师、后期制作及效果包装、审核专员；</w:t>
                  </w:r>
                </w:p>
                <w:p>
                  <w:pPr>
                    <w:jc w:val="left"/>
                  </w:pPr>
                  <w:r>
                    <w:rPr>
                      <w:color w:val="000000"/>
                      <w:sz w:val="21"/>
                    </w:rPr>
                    <w:t>教务专员，负责学校、教师、制作团队之间的沟通与协调；</w:t>
                  </w:r>
                </w:p>
                <w:p>
                  <w:pPr>
                    <w:jc w:val="left"/>
                  </w:pPr>
                  <w:r>
                    <w:rPr>
                      <w:color w:val="000000"/>
                      <w:sz w:val="21"/>
                    </w:rPr>
                    <w:t>课程顾问（具有三年实际课程咨询、设计经验）；负责现场拍摄、制作监控与管理，课程内容设计、章节及知识点碎片化建议，为课程建设团队制作课程脚本提供专业咨询；</w:t>
                  </w:r>
                </w:p>
                <w:p>
                  <w:pPr>
                    <w:jc w:val="left"/>
                  </w:pPr>
                  <w:r>
                    <w:rPr>
                      <w:color w:val="000000"/>
                      <w:sz w:val="21"/>
                    </w:rPr>
                    <w:t>摄像师，（三年课程视频或宣传片拍摄经验），负责主机位、侧机位拍摄；</w:t>
                  </w:r>
                </w:p>
                <w:p>
                  <w:pPr>
                    <w:jc w:val="left"/>
                  </w:pPr>
                  <w:r>
                    <w:rPr>
                      <w:color w:val="000000"/>
                      <w:sz w:val="21"/>
                    </w:rPr>
                    <w:t>现场灯光师（三年拍摄现场灯光经验），负责现场灯光设计及场记；</w:t>
                  </w:r>
                </w:p>
                <w:p>
                  <w:pPr>
                    <w:jc w:val="left"/>
                  </w:pPr>
                  <w:r>
                    <w:rPr>
                      <w:color w:val="000000"/>
                      <w:sz w:val="21"/>
                    </w:rPr>
                    <w:t>后期制作及效果包装（三年以上宣传片剪辑经验，两年以上课程资源剪辑经验），负责课程所涉及动画设计及制作；</w:t>
                  </w:r>
                </w:p>
                <w:p>
                  <w:pPr>
                    <w:jc w:val="left"/>
                  </w:pPr>
                  <w:r>
                    <w:rPr>
                      <w:color w:val="000000"/>
                      <w:sz w:val="21"/>
                    </w:rPr>
                    <w:t>审核专员，负责制作完成的课程内容及课程展现形式的审核。</w:t>
                  </w:r>
                </w:p>
                <w:p>
                  <w:pPr>
                    <w:jc w:val="left"/>
                  </w:pPr>
                  <w:r>
                    <w:rPr>
                      <w:color w:val="000000"/>
                      <w:sz w:val="21"/>
                    </w:rPr>
                    <w:t>3.</w:t>
                  </w:r>
                  <w:r>
                    <w:rPr>
                      <w:color w:val="000000"/>
                      <w:sz w:val="21"/>
                    </w:rPr>
                    <w:t>拍摄模式：画面以中近景为主，样式根据具体课程内容设计。后期提供非线编处理；成品统一采用单一MP4格式视频；</w:t>
                  </w:r>
                </w:p>
                <w:p>
                  <w:pPr>
                    <w:jc w:val="left"/>
                  </w:pPr>
                  <w:r>
                    <w:rPr>
                      <w:color w:val="000000"/>
                      <w:sz w:val="21"/>
                    </w:rPr>
                    <w:t>4.</w:t>
                  </w:r>
                  <w:r>
                    <w:rPr>
                      <w:color w:val="000000"/>
                      <w:sz w:val="21"/>
                    </w:rPr>
                    <w:t>录像设备：现场使用摄像机要求品牌及型号一致，要求使用专业级高清数字设备，并保证设备能正常完成拍摄任务；</w:t>
                  </w:r>
                </w:p>
                <w:p>
                  <w:pPr>
                    <w:jc w:val="left"/>
                  </w:pPr>
                  <w:r>
                    <w:rPr>
                      <w:color w:val="000000"/>
                      <w:sz w:val="21"/>
                    </w:rPr>
                    <w:t>5.</w:t>
                  </w:r>
                  <w:r>
                    <w:rPr>
                      <w:color w:val="000000"/>
                      <w:sz w:val="21"/>
                    </w:rPr>
                    <w:t>收音设备：使用2个无线领夹麦克风，保证教师和学生发言的录音质量；</w:t>
                  </w:r>
                </w:p>
                <w:p>
                  <w:pPr>
                    <w:jc w:val="left"/>
                  </w:pPr>
                  <w:r>
                    <w:rPr>
                      <w:color w:val="000000"/>
                      <w:sz w:val="21"/>
                    </w:rPr>
                    <w:t>6.</w:t>
                  </w:r>
                  <w:r>
                    <w:rPr>
                      <w:color w:val="000000"/>
                      <w:sz w:val="21"/>
                    </w:rPr>
                    <w:t>监听设备：监听耳机2副；</w:t>
                  </w:r>
                </w:p>
                <w:p>
                  <w:pPr>
                    <w:jc w:val="left"/>
                  </w:pPr>
                  <w:r>
                    <w:rPr>
                      <w:color w:val="000000"/>
                      <w:sz w:val="21"/>
                    </w:rPr>
                    <w:t>7.</w:t>
                  </w:r>
                  <w:r>
                    <w:rPr>
                      <w:color w:val="000000"/>
                      <w:sz w:val="21"/>
                    </w:rPr>
                    <w:t>存储设备：设备及有效容量应能保证正常完成拍摄任务；</w:t>
                  </w:r>
                </w:p>
                <w:p>
                  <w:pPr>
                    <w:jc w:val="left"/>
                  </w:pPr>
                  <w:r>
                    <w:rPr>
                      <w:color w:val="000000"/>
                      <w:sz w:val="21"/>
                    </w:rPr>
                    <w:t>8.</w:t>
                  </w:r>
                  <w:r>
                    <w:rPr>
                      <w:color w:val="000000"/>
                      <w:sz w:val="21"/>
                    </w:rPr>
                    <w:t>后期制作设备：使用相应的非线性编辑系统。</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分钟</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7000</w:t>
                  </w:r>
                </w:p>
              </w:tc>
            </w:tr>
            <w:tr>
              <w:tc>
                <w:tcPr>
                  <w:tcW w:type="dxa" w:w="400"/>
                  <w:tcBorders>
                    <w:top w:val="none" w:color="000000" w:sz="4"/>
                    <w:left w:val="single" w:color="000000" w:sz="4"/>
                    <w:bottom w:val="single" w:color="000000" w:sz="4"/>
                    <w:right w:val="single" w:color="000000" w:sz="4"/>
                  </w:tcBorders>
                </w:tcPr>
                <w:p>
                  <w:pPr>
                    <w:jc w:val="center"/>
                  </w:pPr>
                  <w:r>
                    <w:rPr>
                      <w:color w:val="000000"/>
                      <w:sz w:val="21"/>
                    </w:rPr>
                    <w:t>7</w:t>
                  </w:r>
                </w:p>
              </w:tc>
              <w:tc>
                <w:tcPr>
                  <w:tcW w:type="dxa" w:w="514"/>
                  <w:tcBorders>
                    <w:top w:val="none" w:color="000000" w:sz="4"/>
                    <w:left w:val="none" w:color="000000" w:sz="4"/>
                    <w:bottom w:val="single" w:color="000000" w:sz="4"/>
                    <w:right w:val="single" w:color="000000" w:sz="4"/>
                  </w:tcBorders>
                </w:tcPr>
                <w:p>
                  <w:pPr>
                    <w:jc w:val="center"/>
                  </w:pPr>
                  <w:r>
                    <w:rPr>
                      <w:color w:val="000000"/>
                      <w:sz w:val="21"/>
                    </w:rPr>
                    <w:t>版权保护服务</w:t>
                  </w:r>
                </w:p>
              </w:tc>
              <w:tc>
                <w:tcPr>
                  <w:tcW w:type="dxa" w:w="3884"/>
                  <w:tcBorders>
                    <w:top w:val="none" w:color="000000" w:sz="4"/>
                    <w:left w:val="none" w:color="000000" w:sz="4"/>
                    <w:bottom w:val="single" w:color="000000" w:sz="4"/>
                    <w:right w:val="single" w:color="000000" w:sz="4"/>
                  </w:tcBorders>
                </w:tcPr>
                <w:p>
                  <w:pPr>
                    <w:jc w:val="left"/>
                  </w:pPr>
                  <w:r>
                    <w:rPr>
                      <w:color w:val="000000"/>
                      <w:sz w:val="21"/>
                    </w:rPr>
                    <w:t>1.</w:t>
                  </w:r>
                  <w:r>
                    <w:rPr>
                      <w:color w:val="000000"/>
                      <w:sz w:val="21"/>
                    </w:rPr>
                    <w:t>保护教师的智力成果、知识产权，形成长期性不可更改性的数字化资源，防止知识成果被窃取，从而有利于教师创新动力、原创性的迸发；利用区块链的特点，帮助存储教师上传的课件文档，形成透明的版权电子档案；能够实现信息均衡化，使得知识共建共享，从而促进教育公平的发展；</w:t>
                  </w:r>
                </w:p>
                <w:p>
                  <w:pPr>
                    <w:jc w:val="left"/>
                  </w:pPr>
                  <w:r>
                    <w:rPr>
                      <w:color w:val="000000"/>
                      <w:sz w:val="21"/>
                    </w:rPr>
                    <w:t>2.</w:t>
                  </w:r>
                  <w:r>
                    <w:rPr>
                      <w:color w:val="000000"/>
                      <w:sz w:val="21"/>
                    </w:rPr>
                    <w:t>本项目建设的关键核心资源要求可以提供区块链链上存储，并可随时进行验证，提供同类型资源上链存储证书截图，包含存证时间、哈希值等关键信息。</w:t>
                  </w:r>
                </w:p>
                <w:p>
                  <w:pPr>
                    <w:jc w:val="left"/>
                  </w:pPr>
                  <w:r>
                    <w:rPr>
                      <w:color w:val="000000"/>
                      <w:sz w:val="21"/>
                    </w:rPr>
                    <w:t>3.</w:t>
                  </w:r>
                  <w:r>
                    <w:rPr>
                      <w:color w:val="000000"/>
                      <w:sz w:val="21"/>
                    </w:rPr>
                    <w:t>为确保能够实现项目建设成果化，方便课程内容后续作为数字化出版的有力支撑，需提供供应商参与并已完成数字出版的教材不少于3份（提供具有ISBN号的数字出版证书）。</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套</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20</w:t>
                  </w:r>
                </w:p>
              </w:tc>
            </w:tr>
            <w:tr>
              <w:tc>
                <w:tcPr>
                  <w:tcW w:type="dxa" w:w="400"/>
                  <w:tcBorders>
                    <w:top w:val="none" w:color="000000" w:sz="4"/>
                    <w:left w:val="single" w:color="000000" w:sz="4"/>
                    <w:bottom w:val="single" w:color="000000" w:sz="4"/>
                    <w:right w:val="single" w:color="000000" w:sz="4"/>
                  </w:tcBorders>
                </w:tcPr>
                <w:p>
                  <w:pPr>
                    <w:jc w:val="center"/>
                  </w:pPr>
                  <w:r>
                    <w:rPr>
                      <w:color w:val="000000"/>
                      <w:sz w:val="21"/>
                    </w:rPr>
                    <w:t>8</w:t>
                  </w:r>
                </w:p>
              </w:tc>
              <w:tc>
                <w:tcPr>
                  <w:tcW w:type="dxa" w:w="514"/>
                  <w:tcBorders>
                    <w:top w:val="none" w:color="000000" w:sz="4"/>
                    <w:left w:val="none" w:color="000000" w:sz="4"/>
                    <w:bottom w:val="single" w:color="000000" w:sz="4"/>
                    <w:right w:val="single" w:color="000000" w:sz="4"/>
                  </w:tcBorders>
                </w:tcPr>
                <w:p>
                  <w:pPr>
                    <w:jc w:val="center"/>
                  </w:pPr>
                  <w:r>
                    <w:rPr>
                      <w:color w:val="000000"/>
                      <w:sz w:val="21"/>
                    </w:rPr>
                    <w:t>课程整体视觉设计</w:t>
                  </w:r>
                </w:p>
              </w:tc>
              <w:tc>
                <w:tcPr>
                  <w:tcW w:type="dxa" w:w="3884"/>
                  <w:tcBorders>
                    <w:top w:val="none" w:color="000000" w:sz="4"/>
                    <w:left w:val="none" w:color="000000" w:sz="4"/>
                    <w:bottom w:val="single" w:color="000000" w:sz="4"/>
                    <w:right w:val="single" w:color="000000" w:sz="4"/>
                  </w:tcBorders>
                </w:tcPr>
                <w:p>
                  <w:pPr>
                    <w:jc w:val="left"/>
                  </w:pPr>
                  <w:r>
                    <w:rPr>
                      <w:color w:val="000000"/>
                      <w:sz w:val="21"/>
                    </w:rPr>
                    <w:t>1.</w:t>
                  </w:r>
                  <w:r>
                    <w:rPr>
                      <w:color w:val="000000"/>
                      <w:sz w:val="21"/>
                    </w:rPr>
                    <w:t>对整门课程进行整体视觉设计；</w:t>
                  </w:r>
                </w:p>
                <w:p>
                  <w:pPr>
                    <w:jc w:val="left"/>
                  </w:pPr>
                  <w:r>
                    <w:rPr>
                      <w:color w:val="000000"/>
                      <w:sz w:val="21"/>
                    </w:rPr>
                    <w:t>2.</w:t>
                  </w:r>
                  <w:r>
                    <w:rPr>
                      <w:color w:val="000000"/>
                      <w:sz w:val="21"/>
                    </w:rPr>
                    <w:t>对电子教材及教学大纲进行教学视觉设计；</w:t>
                  </w:r>
                </w:p>
                <w:p>
                  <w:pPr>
                    <w:jc w:val="left"/>
                  </w:pPr>
                  <w:r>
                    <w:rPr>
                      <w:color w:val="000000"/>
                      <w:sz w:val="21"/>
                    </w:rPr>
                    <w:t>3.</w:t>
                  </w:r>
                  <w:r>
                    <w:rPr>
                      <w:color w:val="000000"/>
                      <w:sz w:val="21"/>
                    </w:rPr>
                    <w:t>对课程标准及各类文档进行视觉设计；</w:t>
                  </w:r>
                </w:p>
                <w:p>
                  <w:pPr>
                    <w:jc w:val="left"/>
                  </w:pPr>
                  <w:r>
                    <w:rPr>
                      <w:color w:val="000000"/>
                      <w:sz w:val="21"/>
                    </w:rPr>
                    <w:t>4.</w:t>
                  </w:r>
                  <w:r>
                    <w:rPr>
                      <w:color w:val="000000"/>
                      <w:sz w:val="21"/>
                    </w:rPr>
                    <w:t>对教案及课件行视觉设计。</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套</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20</w:t>
                  </w:r>
                </w:p>
              </w:tc>
            </w:tr>
            <w:tr>
              <w:tc>
                <w:tcPr>
                  <w:tcW w:type="dxa" w:w="400"/>
                  <w:tcBorders>
                    <w:top w:val="none" w:color="000000" w:sz="4"/>
                    <w:left w:val="single" w:color="000000" w:sz="4"/>
                    <w:bottom w:val="single" w:color="000000" w:sz="4"/>
                    <w:right w:val="single" w:color="000000" w:sz="4"/>
                  </w:tcBorders>
                </w:tcPr>
                <w:p>
                  <w:pPr>
                    <w:jc w:val="center"/>
                  </w:pPr>
                  <w:r>
                    <w:rPr>
                      <w:color w:val="000000"/>
                      <w:sz w:val="21"/>
                    </w:rPr>
                    <w:t>9</w:t>
                  </w:r>
                </w:p>
              </w:tc>
              <w:tc>
                <w:tcPr>
                  <w:tcW w:type="dxa" w:w="514"/>
                  <w:tcBorders>
                    <w:top w:val="none" w:color="000000" w:sz="4"/>
                    <w:left w:val="none" w:color="000000" w:sz="4"/>
                    <w:bottom w:val="single" w:color="000000" w:sz="4"/>
                    <w:right w:val="single" w:color="000000" w:sz="4"/>
                  </w:tcBorders>
                </w:tcPr>
                <w:p>
                  <w:pPr>
                    <w:jc w:val="center"/>
                  </w:pPr>
                  <w:r>
                    <w:rPr>
                      <w:color w:val="000000"/>
                      <w:sz w:val="21"/>
                    </w:rPr>
                    <w:t>课程编辑与审核</w:t>
                  </w:r>
                </w:p>
              </w:tc>
              <w:tc>
                <w:tcPr>
                  <w:tcW w:type="dxa" w:w="3884"/>
                  <w:tcBorders>
                    <w:top w:val="none" w:color="000000" w:sz="4"/>
                    <w:left w:val="none" w:color="000000" w:sz="4"/>
                    <w:bottom w:val="single" w:color="000000" w:sz="4"/>
                    <w:right w:val="single" w:color="000000" w:sz="4"/>
                  </w:tcBorders>
                </w:tcPr>
                <w:p>
                  <w:pPr>
                    <w:jc w:val="left"/>
                  </w:pPr>
                  <w:r>
                    <w:rPr>
                      <w:color w:val="000000"/>
                      <w:sz w:val="21"/>
                    </w:rPr>
                    <w:t>一、整体编辑规范</w:t>
                  </w:r>
                </w:p>
                <w:p>
                  <w:pPr>
                    <w:jc w:val="left"/>
                  </w:pPr>
                  <w:r>
                    <w:rPr>
                      <w:color w:val="000000"/>
                      <w:sz w:val="21"/>
                    </w:rPr>
                    <w:t>1.</w:t>
                  </w:r>
                  <w:r>
                    <w:rPr>
                      <w:color w:val="000000"/>
                      <w:sz w:val="21"/>
                    </w:rPr>
                    <w:t>编辑要对教师发来的文件进行校对与审核；</w:t>
                  </w:r>
                </w:p>
                <w:p>
                  <w:pPr>
                    <w:jc w:val="left"/>
                  </w:pPr>
                  <w:r>
                    <w:rPr>
                      <w:color w:val="000000"/>
                      <w:sz w:val="21"/>
                    </w:rPr>
                    <w:t>2.</w:t>
                  </w:r>
                  <w:r>
                    <w:rPr>
                      <w:color w:val="000000"/>
                      <w:sz w:val="21"/>
                    </w:rPr>
                    <w:t>编辑要对教师文稿中的行文措辞、知识点描述、内容结构，中心思想、学术真伪、理论价值内容进行细致化的整理和修改。</w:t>
                  </w:r>
                </w:p>
                <w:p>
                  <w:pPr>
                    <w:jc w:val="left"/>
                  </w:pPr>
                  <w:r>
                    <w:rPr>
                      <w:color w:val="000000"/>
                      <w:sz w:val="21"/>
                    </w:rPr>
                    <w:t>二、审核内容及要求</w:t>
                  </w:r>
                </w:p>
                <w:p>
                  <w:pPr>
                    <w:jc w:val="left"/>
                  </w:pPr>
                  <w:r>
                    <w:rPr>
                      <w:color w:val="000000"/>
                      <w:sz w:val="21"/>
                    </w:rPr>
                    <w:t>1.</w:t>
                  </w:r>
                  <w:r>
                    <w:rPr>
                      <w:color w:val="000000"/>
                      <w:sz w:val="21"/>
                    </w:rPr>
                    <w:t>文稿：层次和标题、注释、名词术语、物理量及其单位的名称和符号、标点符号、其他符号、外文字母的标注及正邪体的用法、数字用法、公式、插表、插图等；</w:t>
                  </w:r>
                </w:p>
                <w:p>
                  <w:pPr>
                    <w:jc w:val="left"/>
                  </w:pPr>
                  <w:r>
                    <w:rPr>
                      <w:color w:val="000000"/>
                      <w:sz w:val="21"/>
                    </w:rPr>
                    <w:t>2.</w:t>
                  </w:r>
                  <w:r>
                    <w:rPr>
                      <w:color w:val="000000"/>
                      <w:sz w:val="21"/>
                    </w:rPr>
                    <w:t>图稿：一般图、线条图、照片图等；</w:t>
                  </w:r>
                </w:p>
                <w:p>
                  <w:pPr>
                    <w:jc w:val="left"/>
                  </w:pPr>
                  <w:r>
                    <w:rPr>
                      <w:color w:val="000000"/>
                      <w:sz w:val="21"/>
                    </w:rPr>
                    <w:t>3.</w:t>
                  </w:r>
                  <w:r>
                    <w:rPr>
                      <w:color w:val="000000"/>
                      <w:sz w:val="21"/>
                    </w:rPr>
                    <w:t>视频：按照验收标准审核视频中画面及字幕中的文字、排版等；</w:t>
                  </w:r>
                </w:p>
                <w:p>
                  <w:pPr>
                    <w:jc w:val="left"/>
                  </w:pPr>
                  <w:r>
                    <w:rPr>
                      <w:color w:val="000000"/>
                      <w:sz w:val="21"/>
                    </w:rPr>
                    <w:t>4.</w:t>
                  </w:r>
                  <w:r>
                    <w:rPr>
                      <w:color w:val="000000"/>
                      <w:sz w:val="21"/>
                    </w:rPr>
                    <w:t>要求审核后的课程稿件、内容、视频，能达到国家出版标准、广播电视制作标准或者行业通用标准等一般标准。</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套</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20</w:t>
                  </w:r>
                </w:p>
              </w:tc>
            </w:tr>
            <w:tr>
              <w:tc>
                <w:tcPr>
                  <w:tcW w:type="dxa" w:w="400"/>
                  <w:tcBorders>
                    <w:top w:val="none" w:color="000000" w:sz="4"/>
                    <w:left w:val="single" w:color="000000" w:sz="4"/>
                    <w:bottom w:val="single" w:color="000000" w:sz="4"/>
                    <w:right w:val="single" w:color="000000" w:sz="4"/>
                  </w:tcBorders>
                </w:tcPr>
                <w:p>
                  <w:pPr>
                    <w:jc w:val="center"/>
                  </w:pPr>
                  <w:r>
                    <w:rPr>
                      <w:color w:val="000000"/>
                      <w:sz w:val="21"/>
                    </w:rPr>
                    <w:t>10</w:t>
                  </w:r>
                </w:p>
              </w:tc>
              <w:tc>
                <w:tcPr>
                  <w:tcW w:type="dxa" w:w="514"/>
                  <w:tcBorders>
                    <w:top w:val="none" w:color="000000" w:sz="4"/>
                    <w:left w:val="none" w:color="000000" w:sz="4"/>
                    <w:bottom w:val="single" w:color="000000" w:sz="4"/>
                    <w:right w:val="single" w:color="000000" w:sz="4"/>
                  </w:tcBorders>
                </w:tcPr>
                <w:p>
                  <w:pPr>
                    <w:jc w:val="center"/>
                  </w:pPr>
                  <w:r>
                    <w:rPr>
                      <w:color w:val="000000"/>
                      <w:sz w:val="21"/>
                    </w:rPr>
                    <w:t>课程呈现及服务培训</w:t>
                  </w:r>
                </w:p>
              </w:tc>
              <w:tc>
                <w:tcPr>
                  <w:tcW w:type="dxa" w:w="3884"/>
                  <w:tcBorders>
                    <w:top w:val="none" w:color="000000" w:sz="4"/>
                    <w:left w:val="none" w:color="000000" w:sz="4"/>
                    <w:bottom w:val="single" w:color="000000" w:sz="4"/>
                    <w:right w:val="single" w:color="000000" w:sz="4"/>
                  </w:tcBorders>
                </w:tcPr>
                <w:p>
                  <w:pPr>
                    <w:jc w:val="left"/>
                  </w:pPr>
                  <w:r>
                    <w:rPr>
                      <w:color w:val="000000"/>
                      <w:sz w:val="21"/>
                    </w:rPr>
                    <w:t>一、课程上线服务</w:t>
                  </w:r>
                </w:p>
                <w:p>
                  <w:pPr>
                    <w:jc w:val="left"/>
                  </w:pPr>
                  <w:r>
                    <w:rPr>
                      <w:color w:val="000000"/>
                      <w:sz w:val="21"/>
                    </w:rPr>
                    <w:t>1.</w:t>
                  </w:r>
                  <w:r>
                    <w:rPr>
                      <w:color w:val="000000"/>
                      <w:sz w:val="21"/>
                    </w:rPr>
                    <w:t>供应商能将本项目课程建设的资源上传、部署至广州开放大学已有的系统平台，保证课程建设的所有资源与系统平台兼容、匹配，且保证能正常在线播放、展示、备课、考核等教学工作；</w:t>
                  </w:r>
                </w:p>
                <w:p>
                  <w:pPr>
                    <w:jc w:val="left"/>
                  </w:pPr>
                  <w:r>
                    <w:rPr>
                      <w:color w:val="000000"/>
                      <w:sz w:val="21"/>
                    </w:rPr>
                    <w:t>2.</w:t>
                  </w:r>
                  <w:r>
                    <w:rPr>
                      <w:color w:val="000000"/>
                      <w:sz w:val="21"/>
                    </w:rPr>
                    <w:t>课程视频最终成品后，应在5个工作日内协助课程团队在学校现有的平台完成上线事宜并提供平台相关证明，并保证课程视频资源与系统平台完全建工匹配，播放流畅。</w:t>
                  </w:r>
                </w:p>
                <w:p>
                  <w:pPr>
                    <w:jc w:val="left"/>
                  </w:pPr>
                  <w:r>
                    <w:rPr>
                      <w:color w:val="000000"/>
                      <w:sz w:val="21"/>
                    </w:rPr>
                    <w:t>二、课程呈现要求</w:t>
                  </w:r>
                </w:p>
                <w:p>
                  <w:pPr>
                    <w:jc w:val="left"/>
                  </w:pPr>
                  <w:r>
                    <w:rPr>
                      <w:color w:val="000000"/>
                      <w:sz w:val="21"/>
                    </w:rPr>
                    <w:t>1.</w:t>
                  </w:r>
                  <w:r>
                    <w:rPr>
                      <w:color w:val="000000"/>
                      <w:sz w:val="21"/>
                    </w:rPr>
                    <w:t>课程能实现平台备课：教师在基于现有的公共课程资源的基础上添加管理自己的私有资源，形成自己独有的课程资源内容；教师针对课程资源节点建立私有讨论话题，并可对私有讨论话题进行编辑，删除等操作。平台还提供部分公共讨论话题供教师使用；教师可以在备课过程中查看该课程资源节点下学生提问的问题列表。方便教师了解学生问题集中点，从而更好的根据问题集中点来安排自己的教学授课计划；</w:t>
                  </w:r>
                </w:p>
                <w:p>
                  <w:pPr>
                    <w:jc w:val="left"/>
                  </w:pPr>
                  <w:r>
                    <w:rPr>
                      <w:color w:val="000000"/>
                      <w:sz w:val="21"/>
                    </w:rPr>
                    <w:t>2.</w:t>
                  </w:r>
                  <w:r>
                    <w:rPr>
                      <w:color w:val="000000"/>
                      <w:sz w:val="21"/>
                    </w:rPr>
                    <w:t>使课程能呈现于课堂,教学互动：主要指信息技术的应用运用，借助信息化教学平台，可进行通知发送、课堂点名、讨论问答等活动；教师在授课过程中发布课内讨论，讨论话题支持备课提前设置或授课过程中现场录入。在教师发布课程讨论后，将实时展示学生参与讨论的回复信息（以滚屏形式展示学生回复的内容）。教师实时结束讨论，在结束讨论后学生将无法进行讨论回复；教师发布课内讨论互动后学生将接收到讨论的话题并进行作答，且可实时查看其他同学的讨论回复（以滚屏形式展示学生回复的内容）；</w:t>
                  </w:r>
                </w:p>
                <w:p>
                  <w:pPr>
                    <w:jc w:val="left"/>
                  </w:pPr>
                  <w:r>
                    <w:rPr>
                      <w:color w:val="000000"/>
                      <w:sz w:val="21"/>
                    </w:rPr>
                    <w:t>3.</w:t>
                  </w:r>
                  <w:r>
                    <w:rPr>
                      <w:color w:val="000000"/>
                      <w:sz w:val="21"/>
                    </w:rPr>
                    <w:t>课程能用于多种学习形式：学生可按照教师发布的任务要求学习，也可线上自主学习，能够满足线上线下复合学习方式的建立；</w:t>
                  </w:r>
                </w:p>
                <w:p>
                  <w:pPr>
                    <w:jc w:val="left"/>
                  </w:pPr>
                  <w:r>
                    <w:rPr>
                      <w:color w:val="000000"/>
                      <w:sz w:val="21"/>
                    </w:rPr>
                    <w:t>4.</w:t>
                  </w:r>
                  <w:r>
                    <w:rPr>
                      <w:color w:val="000000"/>
                      <w:sz w:val="21"/>
                    </w:rPr>
                    <w:t>课程建设要求能实现在线考核、自动批改评分：系统平台提供部分公共试题。教师也可以使用试卷添加功能添加自己独有的课程试题库。试题类型要求支持：单选，多选，判断，填空，简答。系统要提供部分公共试卷库。教师也可以使用手动组卷、智能组卷功能组建自己独有的试卷库。教师：给教学班级发布考核，进行考核，自动批改、成绩查看，试卷批阅等操作。学生：进行考核任务的作答；</w:t>
                  </w:r>
                </w:p>
                <w:p>
                  <w:pPr>
                    <w:jc w:val="left"/>
                  </w:pPr>
                  <w:r>
                    <w:rPr>
                      <w:color w:val="000000"/>
                      <w:sz w:val="21"/>
                    </w:rPr>
                    <w:t>5.</w:t>
                  </w:r>
                  <w:r>
                    <w:rPr>
                      <w:color w:val="000000"/>
                      <w:sz w:val="21"/>
                    </w:rPr>
                    <w:t>可实现教师对学生学习过程的监控，教师可批改作业和实现分数统计。学生完成课程学习并通过网上考试，可生成电子凭证或证书；</w:t>
                  </w:r>
                </w:p>
                <w:p>
                  <w:pPr>
                    <w:jc w:val="left"/>
                  </w:pPr>
                  <w:r>
                    <w:rPr>
                      <w:color w:val="000000"/>
                      <w:sz w:val="21"/>
                    </w:rPr>
                    <w:t>6.</w:t>
                  </w:r>
                  <w:r>
                    <w:rPr>
                      <w:color w:val="000000"/>
                      <w:sz w:val="21"/>
                    </w:rPr>
                    <w:t>供应商须建立完善的长期技术支持和售后服务管理体系，成立服务队伍，为配合用户提供全方位的技术支持工作，具体要求如下：</w:t>
                  </w:r>
                </w:p>
                <w:p>
                  <w:pPr>
                    <w:jc w:val="left"/>
                  </w:pPr>
                  <w:r>
                    <w:rPr>
                      <w:color w:val="000000"/>
                      <w:sz w:val="21"/>
                    </w:rPr>
                    <w:t>1</w:t>
                  </w:r>
                  <w:r>
                    <w:rPr>
                      <w:color w:val="000000"/>
                      <w:sz w:val="21"/>
                    </w:rPr>
                    <w:t>）在建设周期中，供应商应提供不少于2次现场培训，培训内容包括但不限于：资源库建设和使用培训、不同模式视频拍摄要求培训、视频后期服务培训等；</w:t>
                  </w:r>
                </w:p>
                <w:p>
                  <w:pPr>
                    <w:jc w:val="left"/>
                  </w:pPr>
                  <w:r>
                    <w:rPr>
                      <w:color w:val="000000"/>
                      <w:sz w:val="21"/>
                    </w:rPr>
                    <w:t>2</w:t>
                  </w:r>
                  <w:r>
                    <w:rPr>
                      <w:color w:val="000000"/>
                      <w:sz w:val="21"/>
                    </w:rPr>
                    <w:t>）本项目应提供免费维保服务至少2年。</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年</w:t>
                  </w:r>
                </w:p>
              </w:tc>
              <w:tc>
                <w:tcPr>
                  <w:tcW w:type="dxa" w:w="400"/>
                  <w:tcBorders>
                    <w:top w:val="none" w:color="000000" w:sz="4"/>
                    <w:left w:val="none" w:color="000000" w:sz="4"/>
                    <w:bottom w:val="single" w:color="000000" w:sz="4"/>
                    <w:right w:val="single" w:color="000000" w:sz="4"/>
                  </w:tcBorders>
                </w:tcPr>
                <w:p>
                  <w:pPr>
                    <w:jc w:val="center"/>
                  </w:pPr>
                  <w:r>
                    <w:rPr>
                      <w:color w:val="000000"/>
                      <w:sz w:val="21"/>
                    </w:rPr>
                    <w:t>2</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1.采购代理机构：本项目是指广东志正招标有限公司，负责整个采购活动的组织，依法负责编制和发布磋商文件，对磋商文件拥有最终的解释权，不以任何身份出任磋商小组成员。</w:t>
      </w:r>
    </w:p>
    <w:p>
      <w:pPr>
        <w:ind w:firstLine="480"/>
      </w:pPr>
      <w:r>
        <w:rPr/>
        <w:t>2.采购人：本项目是指</w:t>
      </w:r>
      <w:r>
        <w:rPr/>
        <w:t>广州开放大学</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项目兼投兼中规则</w:t>
            </w:r>
          </w:p>
        </w:tc>
        <w:tc>
          <w:tcPr>
            <w:tcW w:type="dxa" w:w="5004"/>
          </w:tcPr>
          <w:p>
            <w:r>
              <w:rPr/>
              <w:t>兼投兼中：-</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采购机构代理服务收费标准：成交供应商须向采购代理机构按如下标准和规定缴纳招标代理服务费：  （1）以项目预算金额作为招标代理服务费的计算基数；（2）招标代理服务费采用差额定率累进法进行计算，按照以下标准计取：  100万元以下的部分，按照1.5%计取；  （3）招标代理服务费下浮8%；  （4）增值税另行计入招标代理服务费中。</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tc>
      </w:tr>
      <w:tr>
        <w:tc>
          <w:tcPr>
            <w:tcW w:type="dxa" w:w="1051"/>
          </w:tcPr>
          <w:p>
            <w:pPr>
              <w:jc w:val="center"/>
            </w:pPr>
            <w:r>
              <w:rPr/>
              <w:t>18</w:t>
            </w:r>
          </w:p>
        </w:tc>
        <w:tc>
          <w:tcPr>
            <w:tcW w:type="dxa" w:w="2252"/>
          </w:tcPr>
          <w:p>
            <w:r>
              <w:rPr/>
              <w:t>其他</w:t>
            </w:r>
          </w:p>
        </w:tc>
        <w:tc>
          <w:tcPr>
            <w:tcW w:type="dxa" w:w="5004"/>
          </w:tcPr>
          <w:p>
            <w:pPr>
              <w:jc w:val="left"/>
            </w:pPr>
            <w:r>
              <w:rPr/>
              <w:t>其他，一、综合信用得分，（一）本项目商务部分评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 二、履约评价，采购人负责对成交供应商的履约行为进行评价。采购人在合同备案后可通过广东政府采购智慧云平台-诚信管理-评价管理进行评价。评价结果会影响供应商的综合信用得分。 三、关于提供前期服务的供应商，为采购项目提供整体设计、规范编制或者项目管理、监理、检测等服务的供应商，不得再参加该采购项目的其他采购活动。 其他说明，中标（成交）通知书与发票送达：中标（成交）通知书、服务费（标书款）发票现场领取或邮寄，中标（成交）通知书、我司可通过快递方式送达给中标（成交）人，服务费（标书款）发票以邮件方式发送电子发票。 采购合同送达：中标（成交）人可采用邮寄方式将签订的合同或现场递交我司。 1）收件地址：广州市天河区龙怡路117号银汇大厦5楼  2）收件人：广东志正招标有限公司前台  3）注明采购项目编号</w:t>
            </w:r>
          </w:p>
        </w:tc>
      </w:tr>
      <w:tr>
        <w:tc>
          <w:tcPr>
            <w:tcW w:type="dxa" w:w="1051"/>
          </w:tcPr>
          <w:p>
            <w:pPr>
              <w:jc w:val="center"/>
            </w:pPr>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4"/>
        </w:rPr>
        <w:t>11.关于分支机构</w:t>
      </w:r>
    </w:p>
    <w:p>
      <w:pPr>
        <w:ind w:firstLine="480"/>
      </w:pPr>
      <w:r>
        <w:rPr/>
        <w:t>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本项目不收取磋商保证金。</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广东志正招标有限公司（https:https://www.zztender.com/）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广东志正招标有限公司（https:https://www.zztender.com/）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内控部</w:t>
      </w:r>
    </w:p>
    <w:p>
      <w:pPr>
        <w:ind w:firstLine="480"/>
      </w:pPr>
      <w:r>
        <w:rPr/>
        <w:t>电话：</w:t>
      </w:r>
      <w:r>
        <w:rPr/>
        <w:t>02087512543</w:t>
      </w:r>
    </w:p>
    <w:p>
      <w:pPr>
        <w:ind w:firstLine="480"/>
      </w:pPr>
      <w:r>
        <w:rPr/>
        <w:t>传真：</w:t>
      </w:r>
      <w:r>
        <w:rPr/>
        <w:t>87554028</w:t>
      </w:r>
    </w:p>
    <w:p>
      <w:pPr>
        <w:ind w:firstLine="480"/>
      </w:pPr>
      <w:r>
        <w:rPr/>
        <w:t>邮箱：</w:t>
      </w:r>
      <w:r>
        <w:rPr/>
        <w:t>nkb@zztender.com</w:t>
      </w:r>
    </w:p>
    <w:p>
      <w:pPr>
        <w:ind w:firstLine="480"/>
      </w:pPr>
      <w:r>
        <w:rPr/>
        <w:t>地址：</w:t>
      </w:r>
      <w:r>
        <w:rPr/>
        <w:t>广东省广州市天河区龙怡路117号银汇大厦5楼</w:t>
      </w:r>
    </w:p>
    <w:p>
      <w:pPr>
        <w:ind w:firstLine="480"/>
      </w:pPr>
      <w:r>
        <w:rPr/>
        <w:t>邮编：</w:t>
      </w:r>
      <w:r>
        <w:rPr/>
        <w:t>510640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政府采购监督管理机构名称：广州市财政局政府采购监管处</w:t>
      </w:r>
    </w:p>
    <w:p>
      <w:r>
        <w:rPr/>
        <w:t>地  址：广州市天河区华利路61号1506室</w:t>
      </w:r>
    </w:p>
    <w:p>
      <w:r>
        <w:rPr/>
        <w:t>电  话：020-38923575</w:t>
      </w:r>
    </w:p>
    <w:p>
      <w:r>
        <w:rPr/>
        <w:t>邮  编：510030</w:t>
      </w:r>
    </w:p>
    <w:p>
      <w:r>
        <w:rPr/>
        <w:t>传  真： /</w:t>
      </w:r>
    </w:p>
    <w:p/>
    <w:p>
      <w:r>
        <w:rPr>
          <w:b/>
          <w:sz w:val="28"/>
        </w:rPr>
        <w:t>八、合同签订和履行</w:t>
      </w:r>
    </w:p>
    <w:p>
      <w:r>
        <w:rPr>
          <w:b/>
          <w:sz w:val="24"/>
        </w:rPr>
        <w:t>1.合同签订</w:t>
      </w:r>
    </w:p>
    <w:p>
      <w:pPr>
        <w:ind w:firstLine="480"/>
      </w:pPr>
      <w:r>
        <w:rPr/>
        <w:t>1.1采购人应当自《成交通知书》发出之日起二十日内，按照磋商文件和成交供应商响应文件的约定，与成交供应商签订合同。所签订的合同不得对磋商文件和成交供应商响应文件作实质性修改。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2.3有融资要求的成交供应商可根据自身情况，在广东省政府采购网上自行选择金融机构及其融资产品，凭政府采购成交通知书或政府采购合同向金融机构提出融资申请。</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广州开放大学2024年成人高等教育资源建设服务采购)：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广东志正招标有限公司</w:t>
      </w:r>
      <w:r>
        <w:rPr/>
        <w:t>统一对外发布。</w:t>
      </w:r>
    </w:p>
    <w:p>
      <w:pPr>
        <w:ind w:firstLine="480"/>
      </w:pPr>
      <w:r>
        <w:rPr/>
        <w:t>（2）对</w:t>
      </w:r>
      <w:r>
        <w:rPr/>
        <w:t>广东志正招标有限公司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（4）因重大变故，采购任务取消的。</w:t>
      </w:r>
    </w:p>
    <w:p>
      <w:pPr>
        <w:ind w:firstLine="480"/>
      </w:pPr>
      <w:r>
        <w:rPr/>
        <w:t>（5）法律、法规以及磋商文件规定其他情形。</w:t>
      </w:r>
    </w:p>
    <w:p>
      <w:pPr>
        <w:ind w:firstLine="480"/>
      </w:pPr>
      <w:r>
        <w:rPr/>
        <w:t>对终止采购的项目，磋商小组应出具采购文件是否存在不合理条款的论证意见。</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pPr>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采购包1（广州开放大学2024年成人高等教育资源建设服务采购）：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ind w:firstLine="480"/>
      </w:pPr>
      <w:r>
        <w:rPr/>
        <w:t>表一资格性审查表：</w:t>
      </w:r>
    </w:p>
    <w:p>
      <w:pPr>
        <w:ind w:firstLine="480"/>
      </w:pPr>
    </w:p>
    <w:p/>
    <w:p>
      <w:r>
        <w:rPr/>
        <w:t>采购包1（广州开放大学2024年成人高等教育资源建设服务采购）：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依据《响应承诺函》</w:t>
            </w:r>
          </w:p>
        </w:tc>
      </w:tr>
      <w:tr>
        <w:tc>
          <w:tcPr>
            <w:tcW w:type="dxa" w:w="890"/>
          </w:tcPr>
          <w:p>
            <w:r>
              <w:rPr/>
              <w:t>3</w:t>
            </w:r>
          </w:p>
        </w:tc>
        <w:tc>
          <w:tcPr>
            <w:tcW w:type="dxa" w:w="3178"/>
          </w:tcPr>
          <w:p>
            <w:r>
              <w:rPr/>
              <w:t>具有良好的商业信誉和健全的财务会计制度</w:t>
            </w:r>
          </w:p>
        </w:tc>
        <w:tc>
          <w:tcPr>
            <w:tcW w:type="dxa" w:w="4238"/>
          </w:tcPr>
          <w:p>
            <w:r>
              <w:rPr/>
              <w:t>依据《响应承诺函》</w:t>
            </w:r>
          </w:p>
        </w:tc>
      </w:tr>
      <w:tr>
        <w:tc>
          <w:tcPr>
            <w:tcW w:type="dxa" w:w="890"/>
          </w:tcPr>
          <w:p>
            <w:r>
              <w:rPr/>
              <w:t>4</w:t>
            </w:r>
          </w:p>
        </w:tc>
        <w:tc>
          <w:tcPr>
            <w:tcW w:type="dxa" w:w="3178"/>
          </w:tcPr>
          <w:p>
            <w:r>
              <w:rPr/>
              <w:t>履行合同所必需的设备和专业技术能力</w:t>
            </w:r>
          </w:p>
        </w:tc>
        <w:tc>
          <w:tcPr>
            <w:tcW w:type="dxa" w:w="4238"/>
          </w:tcPr>
          <w:p>
            <w:r>
              <w:rPr/>
              <w:t>依据《响应承诺函》</w:t>
            </w:r>
          </w:p>
        </w:tc>
      </w:tr>
      <w:tr>
        <w:tc>
          <w:tcPr>
            <w:tcW w:type="dxa" w:w="890"/>
          </w:tcPr>
          <w:p>
            <w:r>
              <w:rPr/>
              <w:t>5</w:t>
            </w:r>
          </w:p>
        </w:tc>
        <w:tc>
          <w:tcPr>
            <w:tcW w:type="dxa" w:w="3178"/>
          </w:tcPr>
          <w:p>
            <w:r>
              <w:rPr/>
              <w:t>参加采购活动前3年内，在经营活动中没有重大违法记录</w:t>
            </w:r>
          </w:p>
        </w:tc>
        <w:tc>
          <w:tcPr>
            <w:tcW w:type="dxa" w:w="4238"/>
          </w:tcPr>
          <w:p>
            <w:r>
              <w:rPr/>
              <w:t>依据《响应承诺函》。【重大违法记录，是指供应商因违法经营受到刑事处罚或者责令停产停业、吊销许可证或者执照、较大数额罚款等行政处罚。（根据财库〔2022〕3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tc>
      </w:tr>
      <w:tr>
        <w:tc>
          <w:tcPr>
            <w:tcW w:type="dxa" w:w="890"/>
          </w:tcPr>
          <w:p>
            <w:r>
              <w:rPr/>
              <w:t>6</w:t>
            </w:r>
          </w:p>
        </w:tc>
        <w:tc>
          <w:tcPr>
            <w:tcW w:type="dxa" w:w="3178"/>
          </w:tcPr>
          <w:p>
            <w:r>
              <w:rPr/>
              <w:t>信用记录</w:t>
            </w:r>
          </w:p>
        </w:tc>
        <w:tc>
          <w:tcPr>
            <w:tcW w:type="dxa" w:w="4238"/>
          </w:tcPr>
          <w:p>
            <w:r>
              <w:rPr/>
              <w:t>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tc>
      </w:tr>
      <w:tr>
        <w:tc>
          <w:tcPr>
            <w:tcW w:type="dxa" w:w="890"/>
          </w:tcPr>
          <w:p>
            <w:r>
              <w:rPr/>
              <w:t>7</w:t>
            </w:r>
          </w:p>
        </w:tc>
        <w:tc>
          <w:tcPr>
            <w:tcW w:type="dxa" w:w="3178"/>
          </w:tcPr>
          <w:p>
            <w:r>
              <w:rPr/>
              <w:t>供应商必须符合法律、行政法规规定的其他条件</w:t>
            </w:r>
          </w:p>
        </w:tc>
        <w:tc>
          <w:tcPr>
            <w:tcW w:type="dxa" w:w="4238"/>
          </w:tcPr>
          <w:p>
            <w:r>
              <w:rPr/>
              <w:t>不得参与同一采购项目竞争的供应商（依据《响应承诺函》） 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tc>
      </w:tr>
      <w:tr>
        <w:tc>
          <w:tcPr>
            <w:tcW w:type="dxa" w:w="890"/>
          </w:tcPr>
          <w:p>
            <w:r>
              <w:rPr/>
              <w:t>8</w:t>
            </w:r>
          </w:p>
        </w:tc>
        <w:tc>
          <w:tcPr>
            <w:tcW w:type="dxa" w:w="3178"/>
          </w:tcPr>
          <w:p>
            <w:r>
              <w:rPr/>
              <w:t>其他</w:t>
            </w:r>
          </w:p>
        </w:tc>
        <w:tc>
          <w:tcPr>
            <w:tcW w:type="dxa" w:w="4238"/>
          </w:tcPr>
          <w:p>
            <w:r>
              <w:rPr/>
              <w:t>本项目不接受联合体磋商。</w:t>
            </w:r>
          </w:p>
        </w:tc>
      </w:tr>
      <w:tr>
        <w:tc>
          <w:tcPr>
            <w:tcW w:type="dxa" w:w="890"/>
          </w:tcPr>
          <w:p>
            <w:r>
              <w:rPr/>
              <w:t>9</w:t>
            </w:r>
          </w:p>
        </w:tc>
        <w:tc>
          <w:tcPr>
            <w:tcW w:type="dxa" w:w="3178"/>
          </w:tcPr>
          <w:p>
            <w:r>
              <w:rPr/>
              <w:t>本采购包专门面向中小企业采购</w:t>
            </w:r>
          </w:p>
        </w:tc>
        <w:tc>
          <w:tcPr>
            <w:tcW w:type="dxa" w:w="4238"/>
          </w:tcPr>
          <w:p>
            <w:r>
              <w:rPr/>
              <w:t>参与的供应商（联合体）服务全部由符合政策要求的中小企业承接</w:t>
            </w:r>
          </w:p>
        </w:tc>
      </w:tr>
    </w:tbl>
    <w:p/>
    <w:p>
      <w:pPr>
        <w:ind w:firstLine="480"/>
      </w:pPr>
      <w:r>
        <w:rPr/>
        <w:t>表二符合性审查表：</w:t>
      </w:r>
    </w:p>
    <w:p>
      <w:pPr>
        <w:ind w:firstLine="480"/>
      </w:pPr>
    </w:p>
    <w:p/>
    <w:p>
      <w:r>
        <w:rPr/>
        <w:t>采购包1（广州开放大学2024年成人高等教育资源建设服务采购）：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第一阶段审查（磋商前）</w:t>
            </w:r>
          </w:p>
        </w:tc>
        <w:tc>
          <w:tcPr>
            <w:tcW w:type="dxa" w:w="4238"/>
          </w:tcPr>
          <w:p>
            <w:r>
              <w:rPr/>
              <w:t>符合磋商文件规定的资格要求。</w:t>
            </w:r>
          </w:p>
        </w:tc>
      </w:tr>
      <w:tr>
        <w:tc>
          <w:tcPr>
            <w:tcW w:type="dxa" w:w="890"/>
          </w:tcPr>
          <w:p>
            <w:r>
              <w:rPr/>
              <w:t>2</w:t>
            </w:r>
          </w:p>
        </w:tc>
        <w:tc>
          <w:tcPr>
            <w:tcW w:type="dxa" w:w="3178"/>
          </w:tcPr>
          <w:p>
            <w:r>
              <w:rPr/>
              <w:t>第一阶段审查（磋商前）</w:t>
            </w:r>
          </w:p>
        </w:tc>
        <w:tc>
          <w:tcPr>
            <w:tcW w:type="dxa" w:w="4238"/>
          </w:tcPr>
          <w:p>
            <w:r>
              <w:rPr/>
              <w:t>符合磋商有效期</w:t>
            </w:r>
          </w:p>
        </w:tc>
      </w:tr>
      <w:tr>
        <w:tc>
          <w:tcPr>
            <w:tcW w:type="dxa" w:w="890"/>
          </w:tcPr>
          <w:p>
            <w:r>
              <w:rPr/>
              <w:t>3</w:t>
            </w:r>
          </w:p>
        </w:tc>
        <w:tc>
          <w:tcPr>
            <w:tcW w:type="dxa" w:w="3178"/>
          </w:tcPr>
          <w:p>
            <w:r>
              <w:rPr/>
              <w:t>第一阶段审查（磋商前）</w:t>
            </w:r>
          </w:p>
        </w:tc>
        <w:tc>
          <w:tcPr>
            <w:tcW w:type="dxa" w:w="4238"/>
          </w:tcPr>
          <w:p>
            <w:r>
              <w:rPr/>
              <w:t>响应文件按照磋商文件规定要求签署、盖章，包含：①响应承诺函；②法定代表人证明书或法定代表人授权书；③首轮报价表；④分项报价表</w:t>
            </w:r>
          </w:p>
        </w:tc>
      </w:tr>
      <w:tr>
        <w:tc>
          <w:tcPr>
            <w:tcW w:type="dxa" w:w="890"/>
          </w:tcPr>
          <w:p>
            <w:r>
              <w:rPr/>
              <w:t>4</w:t>
            </w:r>
          </w:p>
        </w:tc>
        <w:tc>
          <w:tcPr>
            <w:tcW w:type="dxa" w:w="3178"/>
          </w:tcPr>
          <w:p>
            <w:r>
              <w:rPr/>
              <w:t>第一阶段审查（磋商前）</w:t>
            </w:r>
          </w:p>
        </w:tc>
        <w:tc>
          <w:tcPr>
            <w:tcW w:type="dxa" w:w="4238"/>
          </w:tcPr>
          <w:p>
            <w:r>
              <w:rPr/>
              <w:t>完全满足磋商文件中“★”标注的条款（若磋商文件“★”发生变动，本条将在第二阶段审查中进行评审）</w:t>
            </w:r>
          </w:p>
        </w:tc>
      </w:tr>
      <w:tr>
        <w:tc>
          <w:tcPr>
            <w:tcW w:type="dxa" w:w="890"/>
          </w:tcPr>
          <w:p>
            <w:r>
              <w:rPr/>
              <w:t>5</w:t>
            </w:r>
          </w:p>
        </w:tc>
        <w:tc>
          <w:tcPr>
            <w:tcW w:type="dxa" w:w="3178"/>
          </w:tcPr>
          <w:p>
            <w:r>
              <w:rPr/>
              <w:t>第二阶段审查（磋商后）</w:t>
            </w:r>
          </w:p>
        </w:tc>
        <w:tc>
          <w:tcPr>
            <w:tcW w:type="dxa" w:w="4238"/>
          </w:tcPr>
          <w:p>
            <w:r>
              <w:rPr/>
              <w:t>最终报价未超过本项目最高限价</w:t>
            </w:r>
          </w:p>
        </w:tc>
      </w:tr>
      <w:tr>
        <w:tc>
          <w:tcPr>
            <w:tcW w:type="dxa" w:w="890"/>
          </w:tcPr>
          <w:p>
            <w:r>
              <w:rPr/>
              <w:t>6</w:t>
            </w:r>
          </w:p>
        </w:tc>
        <w:tc>
          <w:tcPr>
            <w:tcW w:type="dxa" w:w="3178"/>
          </w:tcPr>
          <w:p>
            <w:r>
              <w:rPr/>
              <w:t>第二阶段审查（磋商后）</w:t>
            </w:r>
          </w:p>
        </w:tc>
        <w:tc>
          <w:tcPr>
            <w:tcW w:type="dxa" w:w="4238"/>
          </w:tcPr>
          <w:p>
            <w:r>
              <w:rPr/>
              <w:t>完全满足磋商文件中“★”标注的条款（若磋商文件“★”发生变动的，本条将针对供应商重新提交的响应文件进行评审）</w:t>
            </w:r>
          </w:p>
        </w:tc>
      </w:tr>
      <w:tr>
        <w:tc>
          <w:tcPr>
            <w:tcW w:type="dxa" w:w="890"/>
          </w:tcPr>
          <w:p>
            <w:r>
              <w:rPr/>
              <w:t>7</w:t>
            </w:r>
          </w:p>
        </w:tc>
        <w:tc>
          <w:tcPr>
            <w:tcW w:type="dxa" w:w="3178"/>
          </w:tcPr>
          <w:p>
            <w:r>
              <w:rPr/>
              <w:t>第二阶段审查（磋商后）</w:t>
            </w:r>
          </w:p>
        </w:tc>
        <w:tc>
          <w:tcPr>
            <w:tcW w:type="dxa" w:w="4238"/>
          </w:tcPr>
          <w:p>
            <w:r>
              <w:rPr/>
              <w:t>未出现有关法律、法规、规章或磋商文件规定的属于响应无效的情形</w:t>
            </w:r>
          </w:p>
        </w:tc>
      </w:tr>
    </w:tbl>
    <w:p/>
    <w:p>
      <w:r>
        <w:rPr>
          <w:b/>
          <w:sz w:val="24"/>
        </w:rPr>
        <w:t>2.响应文件澄清</w:t>
      </w:r>
    </w:p>
    <w:p>
      <w:pPr>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采购包1(广州开放大学2024年成人高等教育资源建设服务采购):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技术部分50.0分</w:t>
            </w:r>
          </w:p>
          <w:p>
            <w:r>
              <w:rPr/>
              <w:t>综合信用分5.0分</w:t>
            </w:r>
          </w:p>
          <w:p>
            <w:r>
              <w:rPr/>
              <w:t>报价得分10.0分</w:t>
            </w:r>
          </w:p>
        </w:tc>
      </w:tr>
      <w:tr>
        <w:tc>
          <w:tcPr>
            <w:tcW w:type="dxa" w:w="922"/>
            <w:gridSpan w:val="2"/>
            <w:vMerge w:val="restart"/>
          </w:tcPr>
          <w:p>
            <w:pPr>
              <w:jc w:val="center"/>
            </w:pPr>
            <w:r>
              <w:rPr/>
              <w:t>技术部分</w:t>
            </w:r>
          </w:p>
        </w:tc>
        <w:tc>
          <w:tcPr>
            <w:tcW w:type="dxa" w:w="2307"/>
          </w:tcPr>
          <w:p>
            <w:pPr>
              <w:jc w:val="left"/>
            </w:pPr>
            <w:r>
              <w:rPr/>
              <w:t>对项目的理解和熟悉程度 (15.0分)</w:t>
            </w:r>
            <w:r>
              <w:rPr/>
              <w:t>，（等次分值选择：</w:t>
            </w:r>
            <w:r>
              <w:rPr/>
              <w:t>0.0;</w:t>
            </w:r>
            <w:r>
              <w:rPr/>
              <w:t>3.0;</w:t>
            </w:r>
            <w:r>
              <w:rPr/>
              <w:t>7.0;</w:t>
            </w:r>
            <w:r>
              <w:rPr/>
              <w:t>10.0;</w:t>
            </w:r>
            <w:r>
              <w:rPr/>
              <w:t>15.0;</w:t>
            </w:r>
            <w:r>
              <w:rPr/>
              <w:t>）</w:t>
            </w:r>
          </w:p>
        </w:tc>
        <w:tc>
          <w:tcPr>
            <w:tcW w:type="dxa" w:w="5076"/>
          </w:tcPr>
          <w:p>
            <w:pPr>
              <w:jc w:val="left"/>
            </w:pPr>
            <w:r>
              <w:rPr/>
              <w:t>根据各供应商对本项目前期需要的准备工作、现状摸查情况及对本项目的了解情况进行综合评审：  1.对广州开放大学办学的背景、现状等有全面的了解及深入的分析；同时对所需开展的课程资源建设非常熟悉，对项目开展的特点有深入的分析，对本项目的需求把握准确，分析透彻，理解程度高，得15分； 2.对广州开放大学办学的背景、现状等理解较全面、深入；同时对所需开展的课程资源建设较熟悉，对项目开展的特点有较深入的分析，对项目需求的把握较准确，分析较透彻，理解程度较高，得10分； 3. 对广州开放大学办学的背景、现状等理解基本全面、深入；同时对所需开展的课程资源建设基本熟悉，对项目开展的特点有一定的分析，对项目需求的把握基本准确，分析基本透彻，理解程度一般，得7分； 4.对广州老年开放大学办学的背景、现状等分析较简单，同时对所需开展的课程资源建设熟悉程度一般，对项目的理解存在明显不合理的地方，得3分； 5.未能提供方案或存在严重的偏差，得0分。</w:t>
            </w:r>
          </w:p>
        </w:tc>
      </w:tr>
      <w:tr>
        <w:tc>
          <w:tcPr>
            <w:tcW w:type="dxa" w:w="922"/>
            <w:gridSpan w:val="2"/>
            <w:vMerge/>
          </w:tcPr>
          <w:p/>
        </w:tc>
        <w:tc>
          <w:tcPr>
            <w:tcW w:type="dxa" w:w="2307"/>
          </w:tcPr>
          <w:p>
            <w:pPr>
              <w:jc w:val="left"/>
            </w:pPr>
            <w:r>
              <w:rPr/>
              <w:t>服务方案 (10.0分)</w:t>
            </w:r>
            <w:r>
              <w:rPr/>
              <w:t>，（等次分值选择：</w:t>
            </w:r>
            <w:r>
              <w:rPr/>
              <w:t>0.0;</w:t>
            </w:r>
            <w:r>
              <w:rPr/>
              <w:t>3.0;</w:t>
            </w:r>
            <w:r>
              <w:rPr/>
              <w:t>7.0;</w:t>
            </w:r>
            <w:r>
              <w:rPr/>
              <w:t>10.0;</w:t>
            </w:r>
            <w:r>
              <w:rPr/>
              <w:t>）</w:t>
            </w:r>
          </w:p>
        </w:tc>
        <w:tc>
          <w:tcPr>
            <w:tcW w:type="dxa" w:w="5076"/>
          </w:tcPr>
          <w:p>
            <w:pPr>
              <w:jc w:val="left"/>
            </w:pPr>
            <w:r>
              <w:rPr/>
              <w:t>供应商针对本项目提供的服务方案（包括但不限于课程建设思路，方案、计划、组织措施、保障预案等）进行综合评审: 1.提供完善的课程建设思路，方案、计划、组织措施、保障预案详细可行的，得10分； 2.提供较为完善的课程建设思路，方案、计划、组织措施、保障预案不够详细的，得7分； 3.提供的课程建设思路不够完整，方案、计划、组织措施、保障预案有一定欠缺的，得3分； 4.不提供或其他情形的，得0分。</w:t>
            </w:r>
          </w:p>
        </w:tc>
      </w:tr>
      <w:tr>
        <w:tc>
          <w:tcPr>
            <w:tcW w:type="dxa" w:w="922"/>
            <w:gridSpan w:val="2"/>
            <w:vMerge/>
          </w:tcPr>
          <w:p/>
        </w:tc>
        <w:tc>
          <w:tcPr>
            <w:tcW w:type="dxa" w:w="2307"/>
          </w:tcPr>
          <w:p>
            <w:pPr>
              <w:jc w:val="left"/>
            </w:pPr>
            <w:r>
              <w:rPr/>
              <w:t>课程内容设置 (10.0分)</w:t>
            </w:r>
            <w:r>
              <w:rPr/>
              <w:t>，（等次分值选择：</w:t>
            </w:r>
            <w:r>
              <w:rPr/>
              <w:t>0.0;</w:t>
            </w:r>
            <w:r>
              <w:rPr/>
              <w:t>3.0;</w:t>
            </w:r>
            <w:r>
              <w:rPr/>
              <w:t>7.0;</w:t>
            </w:r>
            <w:r>
              <w:rPr/>
              <w:t>10.0;</w:t>
            </w:r>
            <w:r>
              <w:rPr/>
              <w:t>）</w:t>
            </w:r>
          </w:p>
        </w:tc>
        <w:tc>
          <w:tcPr>
            <w:tcW w:type="dxa" w:w="5076"/>
          </w:tcPr>
          <w:p>
            <w:pPr>
              <w:jc w:val="left"/>
            </w:pPr>
            <w:r>
              <w:rPr/>
              <w:t>根据各供应商对具体课程内容介绍的全面性、准确性、合理性等进行综合评审： 1.能对课程从课程目的、学习对象、课程内容、教学形式、培训效果等多个方面进行精心的设置，课程内容介绍详尽细致，能适应教学群体参加培训学习的特点，得10分。  2. 能对课程从课程目的、学习对象、课程内容、教学形式、培训效果等多个方面有较为精心的设置，课程内容设置较完整，但存在少量不够准确及详细的地方，得7分； 3. 对课程从课程目的、学习对象、课程内容、教学形式、培训效果等多个方面有一定的设置，课程内容设置存在明显不完整、不合理，课程介绍过于简单，得3分； 4.未能提供课程内容，或课程内容存在严重错漏，得0分。</w:t>
            </w:r>
          </w:p>
        </w:tc>
      </w:tr>
      <w:tr>
        <w:tc>
          <w:tcPr>
            <w:tcW w:type="dxa" w:w="922"/>
            <w:gridSpan w:val="2"/>
            <w:vMerge/>
          </w:tcPr>
          <w:p/>
        </w:tc>
        <w:tc>
          <w:tcPr>
            <w:tcW w:type="dxa" w:w="2307"/>
          </w:tcPr>
          <w:p>
            <w:pPr>
              <w:jc w:val="left"/>
            </w:pPr>
            <w:r>
              <w:rPr/>
              <w:t>课程实施及保障 (10.0分)</w:t>
            </w:r>
            <w:r>
              <w:rPr/>
              <w:t>，（等次分值选择：</w:t>
            </w:r>
            <w:r>
              <w:rPr/>
              <w:t>0.0;</w:t>
            </w:r>
            <w:r>
              <w:rPr/>
              <w:t>3.0;</w:t>
            </w:r>
            <w:r>
              <w:rPr/>
              <w:t>7.0;</w:t>
            </w:r>
            <w:r>
              <w:rPr/>
              <w:t>10.0;</w:t>
            </w:r>
            <w:r>
              <w:rPr/>
              <w:t>）</w:t>
            </w:r>
          </w:p>
        </w:tc>
        <w:tc>
          <w:tcPr>
            <w:tcW w:type="dxa" w:w="5076"/>
          </w:tcPr>
          <w:p>
            <w:pPr>
              <w:jc w:val="left"/>
            </w:pPr>
            <w:r>
              <w:rPr/>
              <w:t>根据供应商所提供课程计划的完整性、合理性及可行性进行评审： 1.结合课程特点和教育的实际，能制定完备、可行的课程建设方案，保障措施得力，操作性强，得10分； 2.结合课程特点和教育的实际，能制定较完备、可行的课程建设方案，保障措施较得力，操作性较强，得7分； 3.不能结合课程特点和教育的实际，制定的课程建设方案一般，保障措施基本得力，操作性有所欠缺，得3分； 4.无具体的方案，或内容不切合实际，内容有明显错漏，得0分。</w:t>
            </w:r>
          </w:p>
        </w:tc>
      </w:tr>
      <w:tr>
        <w:tc>
          <w:tcPr>
            <w:tcW w:type="dxa" w:w="922"/>
            <w:gridSpan w:val="2"/>
            <w:vMerge/>
          </w:tcPr>
          <w:p/>
        </w:tc>
        <w:tc>
          <w:tcPr>
            <w:tcW w:type="dxa" w:w="2307"/>
          </w:tcPr>
          <w:p>
            <w:pPr>
              <w:jc w:val="left"/>
            </w:pPr>
            <w:r>
              <w:rPr/>
              <w:t>服务特色及创新 (5.0分)</w:t>
            </w:r>
            <w:r>
              <w:rPr/>
              <w:t>，（等次分值选择：</w:t>
            </w:r>
            <w:r>
              <w:rPr/>
              <w:t>0.0;</w:t>
            </w:r>
            <w:r>
              <w:rPr/>
              <w:t>1.0;</w:t>
            </w:r>
            <w:r>
              <w:rPr/>
              <w:t>3.0;</w:t>
            </w:r>
            <w:r>
              <w:rPr/>
              <w:t>5.0;</w:t>
            </w:r>
            <w:r>
              <w:rPr/>
              <w:t>）</w:t>
            </w:r>
          </w:p>
        </w:tc>
        <w:tc>
          <w:tcPr>
            <w:tcW w:type="dxa" w:w="5076"/>
          </w:tcPr>
          <w:p>
            <w:pPr>
              <w:jc w:val="left"/>
            </w:pPr>
            <w:r>
              <w:rPr/>
              <w:t>根据供应商在培训方式、增值服务等方面具有的特色与创新能力进行综合评审：  1.供应商能够根据项目的特色提出创新的、有特色的培训教学方法、增加培训实效的新举措、新办法，得5分； 2.供应商提出的培训教学方法、培训实效方式基本可行，但思路不够清晰，得3分； 3.供应商能提出创新办法，但存在明显不合理的地方，得1分； 4.供应商没有提出创新办法，内容出现严重偏差，得0分。</w:t>
            </w:r>
          </w:p>
        </w:tc>
      </w:tr>
      <w:tr>
        <w:tc>
          <w:tcPr>
            <w:tcW w:type="dxa" w:w="922"/>
            <w:gridSpan w:val="2"/>
            <w:vMerge w:val="restart"/>
          </w:tcPr>
          <w:p>
            <w:pPr>
              <w:jc w:val="center"/>
            </w:pPr>
            <w:r>
              <w:rPr/>
              <w:t>商务部分</w:t>
            </w:r>
          </w:p>
        </w:tc>
        <w:tc>
          <w:tcPr>
            <w:tcW w:type="dxa" w:w="2307"/>
          </w:tcPr>
          <w:p>
            <w:pPr>
              <w:jc w:val="left"/>
            </w:pPr>
            <w:r>
              <w:rPr/>
              <w:t>同类项目经验 (16.0分)</w:t>
            </w:r>
          </w:p>
        </w:tc>
        <w:tc>
          <w:tcPr>
            <w:tcW w:type="dxa" w:w="5076"/>
          </w:tcPr>
          <w:p>
            <w:pPr>
              <w:jc w:val="left"/>
            </w:pPr>
            <w:r>
              <w:rPr/>
              <w:t>自2021年1月1日（以合同签订时间为准）以来，有承担过类似项目经验的，每提供一个得2分，最高16分；无则得0分。 注：需提供合同复印件加盖公司公章。</w:t>
            </w:r>
          </w:p>
        </w:tc>
      </w:tr>
      <w:tr>
        <w:tc>
          <w:tcPr>
            <w:tcW w:type="dxa" w:w="922"/>
            <w:gridSpan w:val="2"/>
            <w:vMerge/>
          </w:tcPr>
          <w:p/>
        </w:tc>
        <w:tc>
          <w:tcPr>
            <w:tcW w:type="dxa" w:w="2307"/>
          </w:tcPr>
          <w:p>
            <w:pPr>
              <w:jc w:val="left"/>
            </w:pPr>
            <w:r>
              <w:rPr/>
              <w:t>客户评价 (6.0分)</w:t>
            </w:r>
          </w:p>
        </w:tc>
        <w:tc>
          <w:tcPr>
            <w:tcW w:type="dxa" w:w="5076"/>
          </w:tcPr>
          <w:p>
            <w:pPr>
              <w:jc w:val="left"/>
            </w:pPr>
            <w:r>
              <w:rPr/>
              <w:t>在上述有效同类项目业绩中，供应商提供用户评价材料，每提供一份得1分；满分6分。 注：供应商须提供用户盖章的评价材料复印件并加盖公章，评价材料必须达到90分或带有“满意”或“好评”或“优秀”等相关正面评价字眼，同一个用户不可累积计分，未提供或提供不符合要求不得分。</w:t>
            </w:r>
          </w:p>
        </w:tc>
      </w:tr>
      <w:tr>
        <w:tc>
          <w:tcPr>
            <w:tcW w:type="dxa" w:w="922"/>
            <w:gridSpan w:val="2"/>
            <w:vMerge/>
          </w:tcPr>
          <w:p/>
        </w:tc>
        <w:tc>
          <w:tcPr>
            <w:tcW w:type="dxa" w:w="2307"/>
          </w:tcPr>
          <w:p>
            <w:pPr>
              <w:jc w:val="left"/>
            </w:pPr>
            <w:r>
              <w:rPr/>
              <w:t>项目负责人情况 (6.0分)</w:t>
            </w:r>
          </w:p>
        </w:tc>
        <w:tc>
          <w:tcPr>
            <w:tcW w:type="dxa" w:w="5076"/>
          </w:tcPr>
          <w:p>
            <w:pPr>
              <w:jc w:val="left"/>
            </w:pPr>
            <w:r>
              <w:rPr/>
              <w:t>项目负责人具有： 1. 具有教育部门颁发的硕士或以上学士学位证书； 2. 具有中职或以上职称； 3. 具有3年或以上行业工作经验； 全部满足得6分，一项不满足扣2分，扣完为止。 注：须提供学历证书、资质、经验等证明材料及以上人员在供应商服务的外部证明材料复印件，如投标截止日之前六个月以内任意一个月的代缴个税税单或参加社会保险的《投保单》或《社会保险参保人员证明》等。不提供或提供不全的不得分。</w:t>
            </w:r>
          </w:p>
        </w:tc>
      </w:tr>
      <w:tr>
        <w:tc>
          <w:tcPr>
            <w:tcW w:type="dxa" w:w="922"/>
            <w:gridSpan w:val="2"/>
            <w:vMerge/>
          </w:tcPr>
          <w:p/>
        </w:tc>
        <w:tc>
          <w:tcPr>
            <w:tcW w:type="dxa" w:w="2307"/>
          </w:tcPr>
          <w:p>
            <w:pPr>
              <w:jc w:val="left"/>
            </w:pPr>
            <w:r>
              <w:rPr/>
              <w:t>项目团队人员情况（项目负责人除外） (7.0分)</w:t>
            </w:r>
          </w:p>
        </w:tc>
        <w:tc>
          <w:tcPr>
            <w:tcW w:type="dxa" w:w="5076"/>
          </w:tcPr>
          <w:p>
            <w:pPr>
              <w:jc w:val="left"/>
            </w:pPr>
            <w:r>
              <w:rPr/>
              <w:t>1.服务团队具有3年或以上工作经验的人数不少于5人，得4分，否则不得分； 2.项目团队人员中，具有中级或以上职称，每人得1分，最多得3分； 本项最高得7分。 注：须提供经验证明、资质等证明材料及以上人员在供应商服务的外部证明材料复印件，如投标截止日之前六个月以内任意一个月的代缴个税税单或参加社会保险的《投保单》或《社会保险参保人员证明》等。不提供或提供不全的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jc w:val="center"/>
            </w:pPr>
            <w:r>
              <w:rPr/>
              <w:t>综合信用分</w:t>
            </w:r>
          </w:p>
        </w:tc>
        <w:tc>
          <w:tcPr>
            <w:tcW w:type="dxa" w:w="2307"/>
          </w:tcPr>
          <w:p>
            <w:pPr>
              <w:jc w:val="left"/>
            </w:pPr>
            <w:r>
              <w:rPr/>
              <w:t>综合信用评价 (5.0分)</w:t>
            </w:r>
          </w:p>
        </w:tc>
        <w:tc>
          <w:tcPr>
            <w:tcW w:type="dxa" w:w="5076"/>
          </w:tcPr>
          <w:p>
            <w:pPr>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color w:val="000000"/>
          <w:sz w:val="27"/>
        </w:rPr>
        <w:t>合同文本</w:t>
      </w:r>
    </w:p>
    <w:p>
      <w:pPr>
        <w:ind w:firstLine="480"/>
        <w:jc w:val="center"/>
      </w:pPr>
      <w:r>
        <w:rPr>
          <w:b/>
          <w:sz w:val="21"/>
        </w:rPr>
        <w:t xml:space="preserve"> </w:t>
      </w:r>
    </w:p>
    <w:p>
      <w:pPr>
        <w:ind w:firstLine="480"/>
        <w:jc w:val="center"/>
      </w:pPr>
      <w:r>
        <w:rPr>
          <w:b/>
          <w:sz w:val="21"/>
        </w:rPr>
        <w:t xml:space="preserve"> </w:t>
      </w:r>
    </w:p>
    <w:p>
      <w:pPr>
        <w:ind w:firstLine="480"/>
        <w:jc w:val="center"/>
      </w:pPr>
      <w:r>
        <w:rPr>
          <w:b/>
          <w:color w:val="000000"/>
          <w:sz w:val="44"/>
        </w:rPr>
        <w:t>广州开放大学2024年成人高等教育资源建设服务采购</w:t>
      </w:r>
    </w:p>
    <w:p>
      <w:pPr>
        <w:ind w:firstLine="480"/>
        <w:jc w:val="center"/>
      </w:pPr>
      <w:r>
        <w:rPr>
          <w:sz w:val="21"/>
        </w:rPr>
        <w:t xml:space="preserve"> </w:t>
      </w:r>
    </w:p>
    <w:p>
      <w:pPr>
        <w:ind w:firstLine="480"/>
        <w:jc w:val="center"/>
      </w:pPr>
      <w:r>
        <w:rPr>
          <w:sz w:val="21"/>
        </w:rPr>
        <w:t xml:space="preserve"> </w:t>
      </w:r>
    </w:p>
    <w:p>
      <w:pPr>
        <w:ind w:firstLine="480"/>
        <w:jc w:val="center"/>
      </w:pPr>
    </w:p>
    <w:p>
      <w:pPr>
        <w:ind w:firstLine="480"/>
        <w:jc w:val="center"/>
      </w:pPr>
    </w:p>
    <w:p>
      <w:pPr>
        <w:ind w:firstLine="480"/>
        <w:jc w:val="center"/>
      </w:pPr>
    </w:p>
    <w:p>
      <w:pPr>
        <w:ind w:firstLine="480"/>
        <w:jc w:val="center"/>
      </w:pPr>
    </w:p>
    <w:p>
      <w:pPr>
        <w:ind w:firstLine="480"/>
        <w:jc w:val="center"/>
      </w:pPr>
      <w:r>
        <w:rPr>
          <w:b/>
          <w:color w:val="000000"/>
          <w:sz w:val="44"/>
        </w:rPr>
        <w:t>合同书</w:t>
      </w:r>
    </w:p>
    <w:p>
      <w:pPr>
        <w:ind w:firstLine="480"/>
        <w:jc w:val="center"/>
      </w:pPr>
      <w:r>
        <w:rPr>
          <w:sz w:val="21"/>
        </w:rPr>
        <w:t xml:space="preserve"> </w:t>
      </w:r>
    </w:p>
    <w:p>
      <w:pPr>
        <w:ind w:firstLine="480"/>
        <w:jc w:val="center"/>
      </w:pPr>
      <w:r>
        <w:rPr>
          <w:sz w:val="21"/>
        </w:rPr>
        <w:t xml:space="preserve"> </w:t>
      </w:r>
    </w:p>
    <w:p>
      <w:pPr>
        <w:ind w:firstLine="480"/>
        <w:jc w:val="center"/>
      </w:pPr>
    </w:p>
    <w:p>
      <w:pPr>
        <w:ind w:firstLine="480"/>
        <w:jc w:val="center"/>
      </w:pPr>
    </w:p>
    <w:p>
      <w:pPr>
        <w:ind w:firstLine="480"/>
        <w:jc w:val="center"/>
      </w:pPr>
    </w:p>
    <w:p>
      <w:pPr>
        <w:ind w:firstLine="480"/>
        <w:jc w:val="center"/>
      </w:pPr>
    </w:p>
    <w:p>
      <w:pPr>
        <w:ind w:firstLine="480"/>
        <w:jc w:val="both"/>
      </w:pPr>
      <w:r>
        <w:rPr>
          <w:b/>
          <w:color w:val="000000"/>
          <w:sz w:val="20"/>
        </w:rPr>
        <w:t>项目名称：</w:t>
      </w:r>
      <w:r>
        <w:rPr>
          <w:b/>
          <w:color w:val="000000"/>
          <w:sz w:val="20"/>
          <w:u w:val="single"/>
        </w:rPr>
        <w:t xml:space="preserve">                          </w:t>
      </w:r>
    </w:p>
    <w:p>
      <w:pPr>
        <w:ind w:firstLine="480"/>
        <w:jc w:val="both"/>
      </w:pPr>
      <w:r>
        <w:rPr>
          <w:b/>
          <w:color w:val="000000"/>
          <w:sz w:val="20"/>
        </w:rPr>
        <w:t>合同编号：</w:t>
      </w:r>
      <w:r>
        <w:rPr>
          <w:b/>
          <w:color w:val="000000"/>
          <w:sz w:val="20"/>
          <w:u w:val="single"/>
        </w:rPr>
        <w:t xml:space="preserve">                          </w:t>
      </w:r>
    </w:p>
    <w:p>
      <w:pPr>
        <w:ind w:firstLine="480"/>
        <w:jc w:val="both"/>
      </w:pPr>
      <w:r>
        <w:rPr>
          <w:b/>
          <w:color w:val="000000"/>
          <w:sz w:val="20"/>
        </w:rPr>
        <w:t>签约地点：</w:t>
      </w:r>
      <w:r>
        <w:rPr>
          <w:b/>
          <w:color w:val="000000"/>
          <w:sz w:val="20"/>
          <w:u w:val="single"/>
        </w:rPr>
        <w:t xml:space="preserve">                          </w:t>
      </w:r>
    </w:p>
    <w:p>
      <w:pPr>
        <w:ind w:firstLine="480"/>
        <w:jc w:val="both"/>
      </w:pPr>
      <w:r>
        <w:rPr>
          <w:b/>
          <w:color w:val="000000"/>
          <w:sz w:val="20"/>
        </w:rPr>
        <w:t>签订日期：       年    月     日</w:t>
      </w:r>
    </w:p>
    <w:p/>
    <w:p>
      <w:pPr>
        <w:jc w:val="left"/>
      </w:pPr>
    </w:p>
    <w:p>
      <w:pPr>
        <w:jc w:val="both"/>
      </w:pPr>
      <w:r>
        <w:rPr>
          <w:b/>
          <w:color w:val="000000"/>
          <w:sz w:val="21"/>
        </w:rPr>
        <w:t>甲    方：广州开放大学</w:t>
      </w:r>
    </w:p>
    <w:p>
      <w:pPr>
        <w:jc w:val="both"/>
      </w:pPr>
      <w:r>
        <w:rPr>
          <w:b/>
          <w:color w:val="000000"/>
          <w:sz w:val="21"/>
        </w:rPr>
        <w:t>电    话：           　   传  真：           地  址：</w:t>
      </w:r>
    </w:p>
    <w:p>
      <w:pPr>
        <w:jc w:val="both"/>
      </w:pPr>
      <w:r>
        <w:rPr>
          <w:b/>
          <w:color w:val="000000"/>
          <w:sz w:val="21"/>
        </w:rPr>
        <w:t xml:space="preserve">乙    方：                 </w:t>
      </w:r>
      <w:r>
        <w:br/>
      </w:r>
      <w:r>
        <w:rPr>
          <w:b/>
          <w:color w:val="000000"/>
          <w:sz w:val="21"/>
        </w:rPr>
        <w:t xml:space="preserve">电    话：                传  真：           地  址：  </w:t>
      </w:r>
    </w:p>
    <w:p>
      <w:pPr>
        <w:jc w:val="both"/>
      </w:pPr>
    </w:p>
    <w:p>
      <w:pPr>
        <w:ind w:firstLine="420"/>
        <w:jc w:val="both"/>
      </w:pPr>
      <w:r>
        <w:rPr>
          <w:color w:val="000000"/>
          <w:sz w:val="21"/>
        </w:rPr>
        <w:t>根据</w:t>
      </w:r>
      <w:r>
        <w:rPr>
          <w:color w:val="000000"/>
          <w:sz w:val="21"/>
          <w:u w:val="single"/>
        </w:rPr>
        <w:t xml:space="preserve"> 广州开放大学2024年成人高等教育资源建设服务采购  </w:t>
      </w:r>
      <w:r>
        <w:rPr>
          <w:color w:val="000000"/>
          <w:sz w:val="21"/>
        </w:rPr>
        <w:t>的采购结果，按照《中华人民共和国政府采购法》、《中华人民共和国政府采购法实施条例》、《中华人民共和国民法典》第三编　合同的规定，经双方协商，本着平等互利和诚实信用的原则，一致同意签订本合同如下。</w:t>
      </w:r>
    </w:p>
    <w:p>
      <w:pPr>
        <w:numPr>
          <w:ilvl w:val="0"/>
          <w:numId w:val="1"/>
        </w:numPr>
        <w:jc w:val="both"/>
      </w:pPr>
      <w:r>
        <w:rPr>
          <w:b/>
          <w:color w:val="000000"/>
          <w:sz w:val="21"/>
        </w:rPr>
        <w:t>一、合同金额</w:t>
      </w:r>
    </w:p>
    <w:p>
      <w:pPr>
        <w:ind w:firstLine="420"/>
        <w:jc w:val="both"/>
      </w:pPr>
      <w:r>
        <w:rPr>
          <w:color w:val="000000"/>
          <w:sz w:val="21"/>
        </w:rPr>
        <w:t>合同金额为（大写）：</w:t>
      </w:r>
      <w:r>
        <w:rPr>
          <w:color w:val="000000"/>
          <w:sz w:val="21"/>
          <w:u w:val="single"/>
        </w:rPr>
        <w:t xml:space="preserve">            </w:t>
      </w:r>
      <w:r>
        <w:rPr>
          <w:color w:val="000000"/>
          <w:sz w:val="21"/>
        </w:rPr>
        <w:t>元（￥</w:t>
      </w:r>
      <w:r>
        <w:rPr>
          <w:color w:val="000000"/>
          <w:sz w:val="21"/>
          <w:u w:val="single"/>
        </w:rPr>
        <w:t xml:space="preserve">           </w:t>
      </w:r>
      <w:r>
        <w:rPr>
          <w:color w:val="000000"/>
          <w:sz w:val="21"/>
        </w:rPr>
        <w:t xml:space="preserve"> 元）人民币。</w:t>
      </w:r>
    </w:p>
    <w:p>
      <w:pPr>
        <w:numPr>
          <w:ilvl w:val="0"/>
          <w:numId w:val="1"/>
        </w:numPr>
        <w:jc w:val="both"/>
      </w:pPr>
      <w:r>
        <w:rPr>
          <w:b/>
          <w:color w:val="000000"/>
          <w:sz w:val="21"/>
        </w:rPr>
        <w:t>二、服务范围</w:t>
      </w:r>
    </w:p>
    <w:p>
      <w:pPr>
        <w:jc w:val="both"/>
      </w:pPr>
      <w:r>
        <w:rPr>
          <w:color w:val="000000"/>
          <w:sz w:val="21"/>
        </w:rPr>
        <w:t>　　甲方聘请乙方提供以下服务：</w:t>
      </w:r>
    </w:p>
    <w:p>
      <w:pPr>
        <w:jc w:val="both"/>
      </w:pPr>
      <w:r>
        <w:rPr>
          <w:color w:val="000000"/>
          <w:sz w:val="21"/>
        </w:rPr>
        <w:t>　　拟采购工商企业管理、行政管理及现代物业管理三个专业共计20门核心课程的资源建设服务。</w:t>
      </w:r>
    </w:p>
    <w:p>
      <w:pPr>
        <w:numPr>
          <w:ilvl w:val="0"/>
          <w:numId w:val="1"/>
        </w:numPr>
        <w:jc w:val="both"/>
      </w:pPr>
      <w:r>
        <w:rPr>
          <w:b/>
          <w:color w:val="000000"/>
          <w:sz w:val="21"/>
        </w:rPr>
        <w:t>三、甲方乙方的权利和义务</w:t>
      </w:r>
    </w:p>
    <w:tbl>
      <w:tblPr>
        <w:tblW w:w="0" w:type="auto"/>
        <w:tblBorders>
          <w:top w:val="none" w:color="000000" w:sz="4"/>
          <w:left w:val="none" w:color="000000" w:sz="4"/>
          <w:bottom w:val="none" w:color="000000" w:sz="4"/>
          <w:right w:val="none" w:color="000000" w:sz="4"/>
          <w:insideH w:val="none"/>
          <w:insideV w:val="none"/>
        </w:tblBorders>
      </w:tblPr>
      <w:tblGrid>
        <w:gridCol w:w="593"/>
        <w:gridCol w:w="763"/>
        <w:gridCol w:w="5763"/>
        <w:gridCol w:w="593"/>
        <w:gridCol w:w="593"/>
      </w:tblGrid>
      <w:tr>
        <w:tc>
          <w:tcPr>
            <w:tcW w:type="dxa" w:w="593"/>
            <w:tcBorders>
              <w:top w:val="single" w:color="000000" w:sz="4"/>
              <w:left w:val="single" w:color="000000" w:sz="4"/>
              <w:bottom w:val="single" w:color="000000" w:sz="4"/>
              <w:right w:val="single" w:color="000000" w:sz="4"/>
            </w:tcBorders>
          </w:tcPr>
          <w:p>
            <w:pPr>
              <w:jc w:val="center"/>
            </w:pPr>
            <w:r>
              <w:rPr>
                <w:b/>
                <w:color w:val="000000"/>
                <w:sz w:val="21"/>
              </w:rPr>
              <w:t>序号</w:t>
            </w:r>
          </w:p>
        </w:tc>
        <w:tc>
          <w:tcPr>
            <w:tcW w:type="dxa" w:w="763"/>
            <w:tcBorders>
              <w:top w:val="single" w:color="000000" w:sz="4"/>
              <w:left w:val="none" w:color="000000" w:sz="4"/>
              <w:bottom w:val="single" w:color="000000" w:sz="4"/>
              <w:right w:val="single" w:color="000000" w:sz="4"/>
            </w:tcBorders>
          </w:tcPr>
          <w:p>
            <w:pPr>
              <w:jc w:val="center"/>
            </w:pPr>
            <w:r>
              <w:rPr>
                <w:b/>
                <w:color w:val="000000"/>
                <w:sz w:val="21"/>
              </w:rPr>
              <w:t>服务名称</w:t>
            </w:r>
          </w:p>
        </w:tc>
        <w:tc>
          <w:tcPr>
            <w:tcW w:type="dxa" w:w="5763"/>
            <w:tcBorders>
              <w:top w:val="single" w:color="000000" w:sz="4"/>
              <w:left w:val="none" w:color="000000" w:sz="4"/>
              <w:bottom w:val="single" w:color="000000" w:sz="4"/>
              <w:right w:val="single" w:color="000000" w:sz="4"/>
            </w:tcBorders>
          </w:tcPr>
          <w:p>
            <w:pPr>
              <w:jc w:val="center"/>
            </w:pPr>
            <w:r>
              <w:rPr>
                <w:b/>
                <w:color w:val="000000"/>
                <w:sz w:val="21"/>
              </w:rPr>
              <w:t>服务要求</w:t>
            </w:r>
          </w:p>
        </w:tc>
        <w:tc>
          <w:tcPr>
            <w:tcW w:type="dxa" w:w="593"/>
            <w:tcBorders>
              <w:top w:val="single" w:color="000000" w:sz="4"/>
              <w:left w:val="none" w:color="000000" w:sz="4"/>
              <w:bottom w:val="single" w:color="000000" w:sz="4"/>
              <w:right w:val="single" w:color="000000" w:sz="4"/>
            </w:tcBorders>
          </w:tcPr>
          <w:p>
            <w:pPr>
              <w:jc w:val="center"/>
            </w:pPr>
            <w:r>
              <w:rPr>
                <w:b/>
                <w:color w:val="000000"/>
                <w:sz w:val="21"/>
              </w:rPr>
              <w:t>单位</w:t>
            </w:r>
          </w:p>
        </w:tc>
        <w:tc>
          <w:tcPr>
            <w:tcW w:type="dxa" w:w="593"/>
            <w:tcBorders>
              <w:top w:val="single" w:color="000000" w:sz="4"/>
              <w:left w:val="none" w:color="000000" w:sz="4"/>
              <w:bottom w:val="single" w:color="000000" w:sz="4"/>
              <w:right w:val="single" w:color="000000" w:sz="4"/>
            </w:tcBorders>
          </w:tcPr>
          <w:p>
            <w:pPr>
              <w:jc w:val="center"/>
            </w:pPr>
            <w:r>
              <w:rPr>
                <w:b/>
                <w:color w:val="000000"/>
                <w:sz w:val="21"/>
              </w:rPr>
              <w:t>数量</w:t>
            </w:r>
          </w:p>
        </w:tc>
      </w:tr>
      <w:tr>
        <w:tc>
          <w:tcPr>
            <w:tcW w:type="dxa" w:w="593"/>
            <w:tcBorders>
              <w:top w:val="none" w:color="000000" w:sz="4"/>
              <w:left w:val="single" w:color="000000" w:sz="4"/>
              <w:bottom w:val="single" w:color="000000" w:sz="4"/>
              <w:right w:val="single" w:color="000000" w:sz="4"/>
            </w:tcBorders>
          </w:tcPr>
          <w:p>
            <w:pPr>
              <w:jc w:val="center"/>
            </w:pPr>
            <w:r>
              <w:rPr>
                <w:color w:val="000000"/>
                <w:sz w:val="21"/>
              </w:rPr>
              <w:t>1</w:t>
            </w:r>
          </w:p>
        </w:tc>
        <w:tc>
          <w:tcPr>
            <w:tcW w:type="dxa" w:w="763"/>
            <w:tcBorders>
              <w:top w:val="none" w:color="000000" w:sz="4"/>
              <w:left w:val="none" w:color="000000" w:sz="4"/>
              <w:bottom w:val="single" w:color="000000" w:sz="4"/>
              <w:right w:val="single" w:color="000000" w:sz="4"/>
            </w:tcBorders>
          </w:tcPr>
          <w:p>
            <w:pPr>
              <w:jc w:val="both"/>
            </w:pPr>
            <w:r>
              <w:rPr>
                <w:color w:val="000000"/>
                <w:sz w:val="21"/>
              </w:rPr>
              <w:t>课程整体规划设计</w:t>
            </w:r>
          </w:p>
        </w:tc>
        <w:tc>
          <w:tcPr>
            <w:tcW w:type="dxa" w:w="5763"/>
            <w:tcBorders>
              <w:top w:val="none" w:color="000000" w:sz="4"/>
              <w:left w:val="none" w:color="000000" w:sz="4"/>
              <w:bottom w:val="single" w:color="000000" w:sz="4"/>
              <w:right w:val="single" w:color="000000" w:sz="4"/>
            </w:tcBorders>
          </w:tcPr>
          <w:p>
            <w:pPr>
              <w:jc w:val="left"/>
            </w:pPr>
            <w:r>
              <w:rPr>
                <w:color w:val="000000"/>
              </w:rPr>
              <w:t>一、课程内容：</w:t>
            </w:r>
          </w:p>
          <w:p>
            <w:pPr>
              <w:jc w:val="left"/>
            </w:pPr>
            <w:r>
              <w:rPr>
                <w:color w:val="000000"/>
              </w:rPr>
              <w:t>建设新形态、高水平精品在线开放课程共计20门：</w:t>
            </w:r>
          </w:p>
          <w:p>
            <w:pPr>
              <w:jc w:val="left"/>
            </w:pPr>
            <w:r>
              <w:rPr>
                <w:color w:val="000000"/>
              </w:rPr>
              <w:t>1.</w:t>
            </w:r>
            <w:r>
              <w:rPr>
                <w:color w:val="000000"/>
              </w:rPr>
              <w:t>《市场营销学》90课时（理论）</w:t>
            </w:r>
          </w:p>
          <w:p>
            <w:pPr>
              <w:jc w:val="left"/>
            </w:pPr>
            <w:r>
              <w:rPr>
                <w:color w:val="000000"/>
              </w:rPr>
              <w:t>2.</w:t>
            </w:r>
            <w:r>
              <w:rPr>
                <w:color w:val="000000"/>
              </w:rPr>
              <w:t>《工商企业管理概论》90课时（理论）</w:t>
            </w:r>
          </w:p>
          <w:p>
            <w:pPr>
              <w:jc w:val="left"/>
            </w:pPr>
            <w:r>
              <w:rPr>
                <w:color w:val="000000"/>
              </w:rPr>
              <w:t>3.</w:t>
            </w:r>
            <w:r>
              <w:rPr>
                <w:color w:val="000000"/>
              </w:rPr>
              <w:t>《统计学原理》72课时（理论）</w:t>
            </w:r>
          </w:p>
          <w:p>
            <w:pPr>
              <w:jc w:val="left"/>
            </w:pPr>
            <w:r>
              <w:rPr>
                <w:color w:val="000000"/>
              </w:rPr>
              <w:t>4.</w:t>
            </w:r>
            <w:r>
              <w:rPr>
                <w:color w:val="000000"/>
              </w:rPr>
              <w:t>《经济法律基础》72课时（理论）</w:t>
            </w:r>
          </w:p>
          <w:p>
            <w:pPr>
              <w:jc w:val="left"/>
            </w:pPr>
            <w:r>
              <w:rPr>
                <w:color w:val="000000"/>
              </w:rPr>
              <w:t>5.</w:t>
            </w:r>
            <w:r>
              <w:rPr>
                <w:color w:val="000000"/>
              </w:rPr>
              <w:t>《创业设计》54课时（理论）</w:t>
            </w:r>
          </w:p>
          <w:p>
            <w:pPr>
              <w:jc w:val="left"/>
            </w:pPr>
            <w:r>
              <w:rPr>
                <w:color w:val="000000"/>
              </w:rPr>
              <w:t>6.</w:t>
            </w:r>
            <w:r>
              <w:rPr>
                <w:color w:val="000000"/>
              </w:rPr>
              <w:t>《西方经济学》36课时（理论）</w:t>
            </w:r>
          </w:p>
          <w:p>
            <w:pPr>
              <w:jc w:val="left"/>
            </w:pPr>
            <w:r>
              <w:rPr>
                <w:color w:val="000000"/>
              </w:rPr>
              <w:t>7.</w:t>
            </w:r>
            <w:r>
              <w:rPr>
                <w:color w:val="000000"/>
              </w:rPr>
              <w:t>《政治学原理》72课时（理论）</w:t>
            </w:r>
          </w:p>
          <w:p>
            <w:pPr>
              <w:jc w:val="left"/>
            </w:pPr>
            <w:r>
              <w:rPr>
                <w:color w:val="000000"/>
              </w:rPr>
              <w:t>8.</w:t>
            </w:r>
            <w:r>
              <w:rPr>
                <w:color w:val="000000"/>
              </w:rPr>
              <w:t>《行政组织学》72课时（理论）</w:t>
            </w:r>
          </w:p>
          <w:p>
            <w:pPr>
              <w:jc w:val="left"/>
            </w:pPr>
            <w:r>
              <w:rPr>
                <w:color w:val="000000"/>
              </w:rPr>
              <w:t>9.</w:t>
            </w:r>
            <w:r>
              <w:rPr>
                <w:color w:val="000000"/>
              </w:rPr>
              <w:t>《监督学》72课时（理论）</w:t>
            </w:r>
          </w:p>
          <w:p>
            <w:pPr>
              <w:jc w:val="left"/>
            </w:pPr>
            <w:r>
              <w:rPr>
                <w:color w:val="000000"/>
              </w:rPr>
              <w:t>10.</w:t>
            </w:r>
            <w:r>
              <w:rPr>
                <w:color w:val="000000"/>
              </w:rPr>
              <w:t>《公共行政学》90课时（理论）</w:t>
            </w:r>
          </w:p>
          <w:p>
            <w:pPr>
              <w:jc w:val="left"/>
            </w:pPr>
            <w:r>
              <w:rPr>
                <w:color w:val="000000"/>
              </w:rPr>
              <w:t>11.</w:t>
            </w:r>
            <w:r>
              <w:rPr>
                <w:color w:val="000000"/>
              </w:rPr>
              <w:t>《办公室管理》54课时（理论）</w:t>
            </w:r>
          </w:p>
          <w:p>
            <w:pPr>
              <w:jc w:val="left"/>
            </w:pPr>
            <w:r>
              <w:rPr>
                <w:color w:val="000000"/>
              </w:rPr>
              <w:t>12.</w:t>
            </w:r>
            <w:r>
              <w:rPr>
                <w:color w:val="000000"/>
              </w:rPr>
              <w:t>《行政公文写作与处理》54课时（理论）</w:t>
            </w:r>
          </w:p>
          <w:p>
            <w:pPr>
              <w:jc w:val="left"/>
            </w:pPr>
            <w:r>
              <w:rPr>
                <w:color w:val="000000"/>
              </w:rPr>
              <w:t>13.</w:t>
            </w:r>
            <w:r>
              <w:rPr>
                <w:color w:val="000000"/>
              </w:rPr>
              <w:t>《社会调查研究与方法》72课时（理论）</w:t>
            </w:r>
          </w:p>
          <w:p>
            <w:pPr>
              <w:jc w:val="left"/>
            </w:pPr>
            <w:r>
              <w:rPr>
                <w:color w:val="000000"/>
              </w:rPr>
              <w:t>14.</w:t>
            </w:r>
            <w:r>
              <w:rPr>
                <w:color w:val="000000"/>
              </w:rPr>
              <w:t>《社区服务与管理》72课时（理论）</w:t>
            </w:r>
          </w:p>
          <w:p>
            <w:pPr>
              <w:jc w:val="left"/>
            </w:pPr>
            <w:r>
              <w:rPr>
                <w:color w:val="000000"/>
              </w:rPr>
              <w:t>15.</w:t>
            </w:r>
            <w:r>
              <w:rPr>
                <w:color w:val="000000"/>
              </w:rPr>
              <w:t>《物业信息管理》90课时（理论）</w:t>
            </w:r>
          </w:p>
          <w:p>
            <w:pPr>
              <w:jc w:val="left"/>
            </w:pPr>
            <w:r>
              <w:rPr>
                <w:color w:val="000000"/>
              </w:rPr>
              <w:t>16.</w:t>
            </w:r>
            <w:r>
              <w:rPr>
                <w:color w:val="000000"/>
              </w:rPr>
              <w:t>《物业管理财税基础》90课时（理论）</w:t>
            </w:r>
          </w:p>
          <w:p>
            <w:pPr>
              <w:jc w:val="left"/>
            </w:pPr>
            <w:r>
              <w:rPr>
                <w:color w:val="000000"/>
              </w:rPr>
              <w:t>17.</w:t>
            </w:r>
            <w:r>
              <w:rPr>
                <w:color w:val="000000"/>
              </w:rPr>
              <w:t>《物业设备设施管理》90课时（理论）</w:t>
            </w:r>
          </w:p>
          <w:p>
            <w:pPr>
              <w:jc w:val="left"/>
            </w:pPr>
            <w:r>
              <w:rPr>
                <w:color w:val="000000"/>
              </w:rPr>
              <w:t>18.</w:t>
            </w:r>
            <w:r>
              <w:rPr>
                <w:color w:val="000000"/>
              </w:rPr>
              <w:t>《房地产营销管理》72课时（理论）</w:t>
            </w:r>
          </w:p>
          <w:p>
            <w:pPr>
              <w:jc w:val="left"/>
            </w:pPr>
            <w:r>
              <w:rPr>
                <w:color w:val="000000"/>
              </w:rPr>
              <w:t>19.</w:t>
            </w:r>
            <w:r>
              <w:rPr>
                <w:color w:val="000000"/>
              </w:rPr>
              <w:t>《房屋构造与维护管理》90课时（理论）</w:t>
            </w:r>
          </w:p>
          <w:p>
            <w:pPr>
              <w:jc w:val="left"/>
            </w:pPr>
            <w:r>
              <w:rPr>
                <w:color w:val="000000"/>
              </w:rPr>
              <w:t>20.</w:t>
            </w:r>
            <w:r>
              <w:rPr>
                <w:color w:val="000000"/>
              </w:rPr>
              <w:t>《物业管理实务》54课时（理论)</w:t>
            </w:r>
          </w:p>
          <w:p>
            <w:pPr>
              <w:jc w:val="left"/>
            </w:pPr>
            <w:r>
              <w:rPr>
                <w:color w:val="000000"/>
              </w:rPr>
              <w:t>二、课程标准：</w:t>
            </w:r>
          </w:p>
          <w:p>
            <w:pPr>
              <w:jc w:val="left"/>
            </w:pPr>
            <w:r>
              <w:rPr>
                <w:color w:val="000000"/>
              </w:rPr>
              <w:t>每一门课程都包含：</w:t>
            </w:r>
          </w:p>
          <w:p>
            <w:pPr>
              <w:jc w:val="left"/>
            </w:pPr>
            <w:r>
              <w:rPr>
                <w:color w:val="000000"/>
              </w:rPr>
              <w:t>1.</w:t>
            </w:r>
            <w:r>
              <w:rPr>
                <w:color w:val="000000"/>
              </w:rPr>
              <w:t>课程标准：课程目标，课程内容、实施建议、考核要求；</w:t>
            </w:r>
          </w:p>
          <w:p>
            <w:pPr>
              <w:jc w:val="left"/>
            </w:pPr>
            <w:r>
              <w:rPr>
                <w:color w:val="000000"/>
              </w:rPr>
              <w:t>2.</w:t>
            </w:r>
            <w:r>
              <w:rPr>
                <w:color w:val="000000"/>
              </w:rPr>
              <w:t>教学设计:①学习目标：反映学生知识与能力、过程与方法、情感态度与价值观的要求，明确、具体且可操作性强；②学习内容:学习内容包括理论知识和实践知识要求，与人文素养养成紧密相关；③方法手段:教学方法体现以学生为中心的教学理念和数字化资源，有效支持学习活动的开展，与教学内容相符合；④学习评价:学习评价方式方法合理，易于操作，能有效解决实际教学问题，注重学业成果展示；</w:t>
            </w:r>
          </w:p>
          <w:p>
            <w:pPr>
              <w:jc w:val="left"/>
            </w:pPr>
            <w:r>
              <w:rPr>
                <w:color w:val="000000"/>
              </w:rPr>
              <w:t>3.</w:t>
            </w:r>
            <w:r>
              <w:rPr>
                <w:color w:val="000000"/>
              </w:rPr>
              <w:t>课程课件：PPT形式，所用图片素材要求清晰、美观、新颖；</w:t>
            </w:r>
          </w:p>
          <w:p>
            <w:pPr>
              <w:jc w:val="left"/>
            </w:pPr>
            <w:r>
              <w:rPr>
                <w:color w:val="000000"/>
              </w:rPr>
              <w:t>4.</w:t>
            </w:r>
            <w:r>
              <w:rPr>
                <w:color w:val="000000"/>
              </w:rPr>
              <w:t>电子教案：每两个课时为1次教学活动，每次教学活动教学设计1份，梳理教学知识点；</w:t>
            </w:r>
          </w:p>
          <w:p>
            <w:pPr>
              <w:jc w:val="left"/>
            </w:pPr>
            <w:r>
              <w:rPr>
                <w:color w:val="000000"/>
              </w:rPr>
              <w:t>5.</w:t>
            </w:r>
            <w:r>
              <w:rPr>
                <w:color w:val="000000"/>
              </w:rPr>
              <w:t>习题库：针对单个技能点的练习题以及验证学习效果的综合型考题；</w:t>
            </w:r>
          </w:p>
          <w:p>
            <w:pPr>
              <w:jc w:val="left"/>
            </w:pPr>
            <w:r>
              <w:rPr>
                <w:color w:val="000000"/>
              </w:rPr>
              <w:t>6.</w:t>
            </w:r>
            <w:r>
              <w:rPr>
                <w:color w:val="000000"/>
              </w:rPr>
              <w:t>案例库：案例根据课程属性设置案例形式；</w:t>
            </w:r>
          </w:p>
          <w:p>
            <w:pPr>
              <w:jc w:val="left"/>
            </w:pPr>
            <w:r>
              <w:rPr>
                <w:color w:val="000000"/>
              </w:rPr>
              <w:t>7.</w:t>
            </w:r>
            <w:r>
              <w:rPr>
                <w:color w:val="000000"/>
              </w:rPr>
              <w:t>微课视频：教学视频充分展示教学过程及重难点和创新点，能清晰展现学与教的过程；教学视频声音清楚，画面清晰，图像稳定，声音与画面同步，画面切换自然；</w:t>
            </w:r>
          </w:p>
          <w:p>
            <w:pPr>
              <w:jc w:val="left"/>
            </w:pPr>
            <w:r>
              <w:rPr>
                <w:color w:val="000000"/>
              </w:rPr>
              <w:t>8.</w:t>
            </w:r>
            <w:r>
              <w:rPr>
                <w:color w:val="000000"/>
              </w:rPr>
              <w:t>动态资源素材搜集与设计：根据课程内容进行素材设计，如画面素材、声音素材、字幕、图片素材，视频素材等等；（不能有侵权）；</w:t>
            </w:r>
          </w:p>
          <w:p>
            <w:pPr>
              <w:jc w:val="left"/>
            </w:pPr>
            <w:r>
              <w:rPr>
                <w:color w:val="000000"/>
              </w:rPr>
              <w:t>9.</w:t>
            </w:r>
            <w:r>
              <w:rPr>
                <w:color w:val="000000"/>
              </w:rPr>
              <w:t>教学资源:符合学生特点和教学内容要求，表现生动形象，时代性强，有较强的教育作用和启发引导作用，有利于学生自主学习。</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门</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20</w:t>
            </w:r>
          </w:p>
        </w:tc>
      </w:tr>
      <w:tr>
        <w:tc>
          <w:tcPr>
            <w:tcW w:type="dxa" w:w="593"/>
            <w:tcBorders>
              <w:top w:val="none" w:color="000000" w:sz="4"/>
              <w:left w:val="single" w:color="000000" w:sz="4"/>
              <w:bottom w:val="single" w:color="000000" w:sz="4"/>
              <w:right w:val="single" w:color="000000" w:sz="4"/>
            </w:tcBorders>
          </w:tcPr>
          <w:p>
            <w:pPr>
              <w:jc w:val="center"/>
            </w:pPr>
            <w:r>
              <w:rPr>
                <w:color w:val="000000"/>
                <w:sz w:val="21"/>
              </w:rPr>
              <w:t>2</w:t>
            </w:r>
          </w:p>
        </w:tc>
        <w:tc>
          <w:tcPr>
            <w:tcW w:type="dxa" w:w="763"/>
            <w:tcBorders>
              <w:top w:val="none" w:color="000000" w:sz="4"/>
              <w:left w:val="none" w:color="000000" w:sz="4"/>
              <w:bottom w:val="single" w:color="000000" w:sz="4"/>
              <w:right w:val="single" w:color="000000" w:sz="4"/>
            </w:tcBorders>
          </w:tcPr>
          <w:p>
            <w:pPr>
              <w:jc w:val="both"/>
            </w:pPr>
            <w:r>
              <w:rPr>
                <w:color w:val="000000"/>
                <w:sz w:val="21"/>
              </w:rPr>
              <w:t>PPT</w:t>
            </w:r>
            <w:r>
              <w:rPr>
                <w:color w:val="000000"/>
                <w:sz w:val="21"/>
              </w:rPr>
              <w:t>资源建设</w:t>
            </w:r>
          </w:p>
        </w:tc>
        <w:tc>
          <w:tcPr>
            <w:tcW w:type="dxa" w:w="5763"/>
            <w:tcBorders>
              <w:top w:val="none" w:color="000000" w:sz="4"/>
              <w:left w:val="none" w:color="000000" w:sz="4"/>
              <w:bottom w:val="single" w:color="000000" w:sz="4"/>
              <w:right w:val="single" w:color="000000" w:sz="4"/>
            </w:tcBorders>
          </w:tcPr>
          <w:p>
            <w:pPr>
              <w:jc w:val="left"/>
            </w:pPr>
            <w:r>
              <w:rPr>
                <w:color w:val="000000"/>
              </w:rPr>
              <w:t>1.</w:t>
            </w:r>
            <w:r>
              <w:rPr>
                <w:color w:val="000000"/>
              </w:rPr>
              <w:t>设计符合课程风格的课件模板和视觉效果，重构素材样式，增加切页效果、动画样式等；</w:t>
            </w:r>
          </w:p>
          <w:p>
            <w:pPr>
              <w:jc w:val="left"/>
            </w:pPr>
            <w:r>
              <w:rPr>
                <w:color w:val="000000"/>
              </w:rPr>
              <w:t>2.</w:t>
            </w:r>
            <w:r>
              <w:rPr>
                <w:color w:val="000000"/>
              </w:rPr>
              <w:t>建设量：每门课程PPT建设总量不少于200页。</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批</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20</w:t>
            </w:r>
          </w:p>
        </w:tc>
      </w:tr>
      <w:tr>
        <w:tc>
          <w:tcPr>
            <w:tcW w:type="dxa" w:w="593"/>
            <w:tcBorders>
              <w:top w:val="none" w:color="000000" w:sz="4"/>
              <w:left w:val="single" w:color="000000" w:sz="4"/>
              <w:bottom w:val="single" w:color="000000" w:sz="4"/>
              <w:right w:val="single" w:color="000000" w:sz="4"/>
            </w:tcBorders>
          </w:tcPr>
          <w:p>
            <w:pPr>
              <w:jc w:val="center"/>
            </w:pPr>
            <w:r>
              <w:rPr>
                <w:color w:val="000000"/>
                <w:sz w:val="21"/>
              </w:rPr>
              <w:t>3</w:t>
            </w:r>
          </w:p>
        </w:tc>
        <w:tc>
          <w:tcPr>
            <w:tcW w:type="dxa" w:w="763"/>
            <w:tcBorders>
              <w:top w:val="none" w:color="000000" w:sz="4"/>
              <w:left w:val="none" w:color="000000" w:sz="4"/>
              <w:bottom w:val="single" w:color="000000" w:sz="4"/>
              <w:right w:val="single" w:color="000000" w:sz="4"/>
            </w:tcBorders>
          </w:tcPr>
          <w:p>
            <w:pPr>
              <w:jc w:val="both"/>
            </w:pPr>
            <w:r>
              <w:rPr>
                <w:color w:val="000000"/>
                <w:sz w:val="21"/>
              </w:rPr>
              <w:t>习题库、试卷建设</w:t>
            </w:r>
          </w:p>
        </w:tc>
        <w:tc>
          <w:tcPr>
            <w:tcW w:type="dxa" w:w="5763"/>
            <w:tcBorders>
              <w:top w:val="none" w:color="000000" w:sz="4"/>
              <w:left w:val="none" w:color="000000" w:sz="4"/>
              <w:bottom w:val="single" w:color="000000" w:sz="4"/>
              <w:right w:val="single" w:color="000000" w:sz="4"/>
            </w:tcBorders>
          </w:tcPr>
          <w:p>
            <w:pPr>
              <w:jc w:val="left"/>
            </w:pPr>
            <w:r>
              <w:rPr>
                <w:color w:val="000000"/>
              </w:rPr>
              <w:t>1.</w:t>
            </w:r>
            <w:r>
              <w:rPr>
                <w:color w:val="000000"/>
              </w:rPr>
              <w:t>根据课程建设要求，与建设老师沟通设计题型、题量、形考任务等；题型包括选择题、填空题、简答题等；将所建设题库、形考试卷上传至平台，并设置好评分规则、题目反馈等；</w:t>
            </w:r>
          </w:p>
          <w:p>
            <w:pPr>
              <w:ind w:firstLine="420"/>
              <w:jc w:val="both"/>
            </w:pPr>
            <w:r>
              <w:rPr>
                <w:color w:val="000000"/>
                <w:sz w:val="21"/>
              </w:rPr>
              <w:t>2.</w:t>
            </w:r>
            <w:r>
              <w:rPr>
                <w:color w:val="000000"/>
                <w:sz w:val="21"/>
              </w:rPr>
              <w:t>建设量：每门课程习题库建设总量不少于200道，共20门课程，总数不少于4000道；每门课试卷建设不少于5套，共20门课程，总数不少于100套。</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门</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20</w:t>
            </w:r>
          </w:p>
        </w:tc>
      </w:tr>
      <w:tr>
        <w:tc>
          <w:tcPr>
            <w:tcW w:type="dxa" w:w="593"/>
            <w:tcBorders>
              <w:top w:val="none" w:color="000000" w:sz="4"/>
              <w:left w:val="single" w:color="000000" w:sz="4"/>
              <w:bottom w:val="single" w:color="000000" w:sz="4"/>
              <w:right w:val="single" w:color="000000" w:sz="4"/>
            </w:tcBorders>
          </w:tcPr>
          <w:p>
            <w:pPr>
              <w:jc w:val="center"/>
            </w:pPr>
            <w:r>
              <w:rPr>
                <w:color w:val="000000"/>
                <w:sz w:val="21"/>
              </w:rPr>
              <w:t>4</w:t>
            </w:r>
          </w:p>
        </w:tc>
        <w:tc>
          <w:tcPr>
            <w:tcW w:type="dxa" w:w="763"/>
            <w:tcBorders>
              <w:top w:val="none" w:color="000000" w:sz="4"/>
              <w:left w:val="none" w:color="000000" w:sz="4"/>
              <w:bottom w:val="single" w:color="000000" w:sz="4"/>
              <w:right w:val="single" w:color="000000" w:sz="4"/>
            </w:tcBorders>
          </w:tcPr>
          <w:p>
            <w:pPr>
              <w:jc w:val="both"/>
            </w:pPr>
            <w:r>
              <w:rPr>
                <w:color w:val="000000"/>
                <w:sz w:val="21"/>
              </w:rPr>
              <w:t>案例库、讨论、问答建设</w:t>
            </w:r>
          </w:p>
        </w:tc>
        <w:tc>
          <w:tcPr>
            <w:tcW w:type="dxa" w:w="5763"/>
            <w:tcBorders>
              <w:top w:val="none" w:color="000000" w:sz="4"/>
              <w:left w:val="none" w:color="000000" w:sz="4"/>
              <w:bottom w:val="single" w:color="000000" w:sz="4"/>
              <w:right w:val="single" w:color="000000" w:sz="4"/>
            </w:tcBorders>
          </w:tcPr>
          <w:p>
            <w:pPr>
              <w:jc w:val="left"/>
            </w:pPr>
            <w:r>
              <w:rPr>
                <w:color w:val="000000"/>
                <w:sz w:val="21"/>
              </w:rPr>
              <w:t>根据课程建设要求，建设足够的案例、讨论、问答类资源，案例根据课程属性设置形式，讨论包含讨论主题和讨论范围、讨论样例，问答包含问题和参考答案，每门课程不少于20条。总数不少于400条。</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条</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400</w:t>
            </w:r>
          </w:p>
        </w:tc>
      </w:tr>
      <w:tr>
        <w:tc>
          <w:tcPr>
            <w:tcW w:type="dxa" w:w="593"/>
            <w:tcBorders>
              <w:top w:val="none" w:color="000000" w:sz="4"/>
              <w:left w:val="single" w:color="000000" w:sz="4"/>
              <w:bottom w:val="single" w:color="000000" w:sz="4"/>
              <w:right w:val="single" w:color="000000" w:sz="4"/>
            </w:tcBorders>
          </w:tcPr>
          <w:p>
            <w:pPr>
              <w:jc w:val="center"/>
            </w:pPr>
            <w:r>
              <w:rPr>
                <w:color w:val="000000"/>
                <w:sz w:val="21"/>
              </w:rPr>
              <w:t>5</w:t>
            </w:r>
          </w:p>
        </w:tc>
        <w:tc>
          <w:tcPr>
            <w:tcW w:type="dxa" w:w="763"/>
            <w:tcBorders>
              <w:top w:val="none" w:color="000000" w:sz="4"/>
              <w:left w:val="none" w:color="000000" w:sz="4"/>
              <w:bottom w:val="single" w:color="000000" w:sz="4"/>
              <w:right w:val="single" w:color="000000" w:sz="4"/>
            </w:tcBorders>
          </w:tcPr>
          <w:p>
            <w:pPr>
              <w:jc w:val="both"/>
            </w:pPr>
            <w:r>
              <w:rPr>
                <w:color w:val="000000"/>
                <w:sz w:val="21"/>
              </w:rPr>
              <w:t>脚本设计与素材搜集</w:t>
            </w:r>
          </w:p>
        </w:tc>
        <w:tc>
          <w:tcPr>
            <w:tcW w:type="dxa" w:w="5763"/>
            <w:tcBorders>
              <w:top w:val="none" w:color="000000" w:sz="4"/>
              <w:left w:val="none" w:color="000000" w:sz="4"/>
              <w:bottom w:val="single" w:color="000000" w:sz="4"/>
              <w:right w:val="single" w:color="000000" w:sz="4"/>
            </w:tcBorders>
          </w:tcPr>
          <w:p>
            <w:pPr>
              <w:ind w:firstLine="420"/>
              <w:jc w:val="left"/>
            </w:pPr>
            <w:r>
              <w:rPr>
                <w:color w:val="000000"/>
                <w:sz w:val="21"/>
              </w:rPr>
              <w:t>1.</w:t>
            </w:r>
            <w:r>
              <w:rPr>
                <w:color w:val="000000"/>
                <w:sz w:val="21"/>
              </w:rPr>
              <w:t>根据课程内容要求安排专业教务、教研、编辑、编导、设计、摄像、后期制作人员各不少于1位作为团队成员，总团队成员不少于20人；要求提供至少1位经验丰富的硕士研究生及以上学历的编辑人员作为项目整体负责人；</w:t>
            </w:r>
          </w:p>
          <w:p>
            <w:pPr>
              <w:ind w:firstLine="420"/>
              <w:jc w:val="left"/>
            </w:pPr>
            <w:r>
              <w:rPr>
                <w:color w:val="000000"/>
                <w:sz w:val="21"/>
              </w:rPr>
              <w:t>2.</w:t>
            </w:r>
            <w:r>
              <w:rPr>
                <w:color w:val="000000"/>
                <w:sz w:val="21"/>
              </w:rPr>
              <w:t>根据课程内容进行脚本设计，如时长、画面内容编写、声音、字幕、备注等设计；</w:t>
            </w:r>
          </w:p>
          <w:p>
            <w:pPr>
              <w:ind w:firstLine="420"/>
              <w:jc w:val="left"/>
            </w:pPr>
            <w:r>
              <w:rPr>
                <w:color w:val="000000"/>
                <w:sz w:val="21"/>
              </w:rPr>
              <w:t>3.</w:t>
            </w:r>
            <w:r>
              <w:rPr>
                <w:color w:val="000000"/>
                <w:sz w:val="21"/>
              </w:rPr>
              <w:t>每个视频配一个制作脚本。</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批</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20</w:t>
            </w:r>
          </w:p>
        </w:tc>
      </w:tr>
      <w:tr>
        <w:tc>
          <w:tcPr>
            <w:tcW w:type="dxa" w:w="593"/>
            <w:tcBorders>
              <w:top w:val="none" w:color="000000" w:sz="4"/>
              <w:left w:val="single" w:color="000000" w:sz="4"/>
              <w:bottom w:val="single" w:color="000000" w:sz="4"/>
              <w:right w:val="single" w:color="000000" w:sz="4"/>
            </w:tcBorders>
          </w:tcPr>
          <w:p>
            <w:pPr>
              <w:jc w:val="center"/>
            </w:pPr>
            <w:r>
              <w:rPr>
                <w:color w:val="000000"/>
                <w:sz w:val="21"/>
              </w:rPr>
              <w:t>6</w:t>
            </w:r>
          </w:p>
        </w:tc>
        <w:tc>
          <w:tcPr>
            <w:tcW w:type="dxa" w:w="763"/>
            <w:tcBorders>
              <w:top w:val="none" w:color="000000" w:sz="4"/>
              <w:left w:val="none" w:color="000000" w:sz="4"/>
              <w:bottom w:val="single" w:color="000000" w:sz="4"/>
              <w:right w:val="single" w:color="000000" w:sz="4"/>
            </w:tcBorders>
          </w:tcPr>
          <w:p>
            <w:pPr>
              <w:jc w:val="both"/>
            </w:pPr>
            <w:r>
              <w:rPr>
                <w:color w:val="000000"/>
                <w:sz w:val="21"/>
              </w:rPr>
              <w:t>视频制作</w:t>
            </w:r>
          </w:p>
        </w:tc>
        <w:tc>
          <w:tcPr>
            <w:tcW w:type="dxa" w:w="5763"/>
            <w:tcBorders>
              <w:top w:val="none" w:color="000000" w:sz="4"/>
              <w:left w:val="none" w:color="000000" w:sz="4"/>
              <w:bottom w:val="single" w:color="000000" w:sz="4"/>
              <w:right w:val="single" w:color="000000" w:sz="4"/>
            </w:tcBorders>
          </w:tcPr>
          <w:p>
            <w:pPr>
              <w:jc w:val="left"/>
            </w:pPr>
            <w:r>
              <w:rPr>
                <w:color w:val="000000"/>
                <w:sz w:val="21"/>
              </w:rPr>
              <w:t>一、制作类型（具体的录制形式根据课程内容需求确定）</w:t>
            </w:r>
          </w:p>
          <w:p>
            <w:pPr>
              <w:jc w:val="left"/>
            </w:pPr>
            <w:r>
              <w:rPr>
                <w:color w:val="000000"/>
                <w:sz w:val="21"/>
              </w:rPr>
              <w:t>教师可根据课程所需选择任意形式的视频。每门课程不少于350分钟,20门课程视频制作建设总量不少于7000分钟，具体如下：</w:t>
            </w:r>
          </w:p>
          <w:p>
            <w:pPr>
              <w:jc w:val="left"/>
            </w:pPr>
            <w:r>
              <w:rPr>
                <w:color w:val="000000"/>
                <w:sz w:val="21"/>
              </w:rPr>
              <w:t>1.</w:t>
            </w:r>
            <w:r>
              <w:rPr>
                <w:color w:val="000000"/>
                <w:sz w:val="21"/>
              </w:rPr>
              <w:t>说课模式：以宣传片的方式对课程进行介绍，时间3-5分钟；两到三机位专业高清摄像拍摄，1920*1080分辨率，16：9画面要求，拍摄画面包括老师讲述、素材拍摄；独立片头片尾设计、四个画面穿插剪辑、特效、PPT动态动画、字幕、背景音乐等；体现授课目的、授课步骤及授课方法；体现教学课程的重点与难点；写出设计拍摄脚本、准备拍摄初稿PPT；</w:t>
            </w:r>
          </w:p>
          <w:p>
            <w:pPr>
              <w:jc w:val="left"/>
            </w:pPr>
            <w:r>
              <w:rPr>
                <w:color w:val="000000"/>
                <w:sz w:val="21"/>
              </w:rPr>
              <w:t>2.</w:t>
            </w:r>
            <w:r>
              <w:rPr>
                <w:color w:val="000000"/>
                <w:sz w:val="21"/>
              </w:rPr>
              <w:t>录屏模式：对软件操作课程进行电脑屏幕录制，时间5-10分钟；一机位专业高清摄像拍摄收音，专业录屏软件录制；独立片头片尾设计、软件操作特写设计、动画人物形象设计、重点讲解特效制作、字幕、背景音乐等；体现授课目的、授课步骤及授课方法；体现教学课程的重点与难点；写出设计拍摄脚本、准备拍摄初稿PPT；</w:t>
            </w:r>
          </w:p>
          <w:p>
            <w:pPr>
              <w:jc w:val="left"/>
            </w:pPr>
            <w:r>
              <w:rPr>
                <w:color w:val="000000"/>
                <w:sz w:val="21"/>
              </w:rPr>
              <w:t>3.</w:t>
            </w:r>
            <w:r>
              <w:rPr>
                <w:color w:val="000000"/>
                <w:sz w:val="21"/>
              </w:rPr>
              <w:t>二维动画：对真实场景、原理、流程等进行仿真式绘制，时间3-5分钟；一机位专业高清摄像拍摄收音；独立片头片尾设计、动画人物形象设计、动画场景设计、动画制作、特效、字幕、背景音乐等；可插入通用类、教学类等动画样本；</w:t>
            </w:r>
          </w:p>
          <w:p>
            <w:pPr>
              <w:jc w:val="left"/>
            </w:pPr>
            <w:r>
              <w:rPr>
                <w:color w:val="000000"/>
                <w:sz w:val="21"/>
              </w:rPr>
              <w:t>二、制作要求</w:t>
            </w:r>
          </w:p>
          <w:p>
            <w:pPr>
              <w:jc w:val="left"/>
            </w:pPr>
            <w:r>
              <w:rPr>
                <w:color w:val="000000"/>
                <w:sz w:val="21"/>
              </w:rPr>
              <w:t>1.</w:t>
            </w:r>
            <w:r>
              <w:rPr>
                <w:color w:val="000000"/>
                <w:sz w:val="21"/>
              </w:rPr>
              <w:t>录制要求</w:t>
            </w:r>
          </w:p>
          <w:p>
            <w:pPr>
              <w:jc w:val="left"/>
            </w:pPr>
            <w:r>
              <w:rPr>
                <w:color w:val="000000"/>
                <w:sz w:val="21"/>
              </w:rPr>
              <w:t>录制场地可以是录播室、演播室、教室、或礼堂等场地，录制现场光线充足、环境安静、整洁，避免在镜头中出现有广告嫌疑或与课程无关的标识等内容。现场是否安排学生互动可根据录制需求自行决定；</w:t>
            </w:r>
          </w:p>
          <w:p>
            <w:pPr>
              <w:jc w:val="left"/>
            </w:pPr>
            <w:r>
              <w:rPr>
                <w:color w:val="000000"/>
                <w:sz w:val="21"/>
              </w:rPr>
              <w:t>拍摄方式：根据课程内容，可采用多机位拍摄，机器设备应满足完整记录全部教学活动的要求；</w:t>
            </w:r>
          </w:p>
          <w:p>
            <w:pPr>
              <w:jc w:val="left"/>
            </w:pPr>
            <w:r>
              <w:rPr>
                <w:color w:val="000000"/>
                <w:sz w:val="21"/>
              </w:rPr>
              <w:t>录像设备：摄像机要求不低于专业级数字设备，在同一门课程中标清和高清设备不得混用，推荐使用高清数字设备；</w:t>
            </w:r>
          </w:p>
          <w:p>
            <w:pPr>
              <w:jc w:val="left"/>
            </w:pPr>
            <w:r>
              <w:rPr>
                <w:color w:val="000000"/>
                <w:sz w:val="21"/>
              </w:rPr>
              <w:t>录音设备：使用若干个专业级话筒，保证教师和学生发言的录音质量；</w:t>
            </w:r>
          </w:p>
          <w:p>
            <w:pPr>
              <w:jc w:val="left"/>
            </w:pPr>
            <w:r>
              <w:rPr>
                <w:color w:val="000000"/>
                <w:sz w:val="21"/>
              </w:rPr>
              <w:t>后期制作设备：采用相应的非线性编辑系统；</w:t>
            </w:r>
          </w:p>
          <w:p>
            <w:pPr>
              <w:jc w:val="left"/>
            </w:pPr>
            <w:r>
              <w:rPr>
                <w:color w:val="000000"/>
                <w:sz w:val="21"/>
              </w:rPr>
              <w:t>视频中使用的多媒体课件、图片等材料中不能出现企业名称、设备生产厂家等具有广告嫌疑的或与课程无关的标识等内容。</w:t>
            </w:r>
          </w:p>
          <w:p>
            <w:pPr>
              <w:jc w:val="left"/>
            </w:pPr>
            <w:r>
              <w:rPr>
                <w:color w:val="000000"/>
                <w:sz w:val="21"/>
              </w:rPr>
              <w:t>2.</w:t>
            </w:r>
            <w:r>
              <w:rPr>
                <w:color w:val="000000"/>
                <w:sz w:val="21"/>
              </w:rPr>
              <w:t>片头、片尾要求</w:t>
            </w:r>
          </w:p>
          <w:p>
            <w:pPr>
              <w:jc w:val="left"/>
            </w:pPr>
            <w:r>
              <w:rPr>
                <w:color w:val="000000"/>
                <w:sz w:val="21"/>
              </w:rPr>
              <w:t>片头不超过10秒，应包括:学校名称、单位、学校LOGO、课程名称、主讲教师姓名、专业技术职务等信息，片头应使用AE渲染。片尾包括版权人（版权统一为学校）、录制人（课程负责人）、录制时间等信息，片头片尾不超过15秒钟。</w:t>
            </w:r>
          </w:p>
          <w:p>
            <w:pPr>
              <w:jc w:val="left"/>
            </w:pPr>
            <w:r>
              <w:rPr>
                <w:color w:val="000000"/>
                <w:sz w:val="21"/>
              </w:rPr>
              <w:t>3.</w:t>
            </w:r>
            <w:r>
              <w:rPr>
                <w:color w:val="000000"/>
                <w:sz w:val="21"/>
              </w:rPr>
              <w:t>品质要求</w:t>
            </w:r>
          </w:p>
          <w:p>
            <w:pPr>
              <w:jc w:val="left"/>
            </w:pPr>
            <w:r>
              <w:rPr>
                <w:color w:val="000000"/>
                <w:sz w:val="21"/>
              </w:rPr>
              <w:t>前期拍摄分辨率不低于1920×1080，建议采用4k的分辨率拍摄；</w:t>
            </w:r>
          </w:p>
          <w:p>
            <w:pPr>
              <w:jc w:val="left"/>
            </w:pPr>
            <w:r>
              <w:rPr>
                <w:color w:val="000000"/>
                <w:sz w:val="21"/>
              </w:rPr>
              <w:t>（视频压缩采用H.264/AVC（MPEG-4Part10）编码、使用二次编码、视频帧率为不低于25帧/秒，逐行扫描，分辨率不低于1920×1080（16:9）；</w:t>
            </w:r>
          </w:p>
          <w:p>
            <w:pPr>
              <w:jc w:val="left"/>
            </w:pPr>
            <w:r>
              <w:rPr>
                <w:color w:val="000000"/>
                <w:sz w:val="21"/>
              </w:rPr>
              <w:t>视频比特率不低于1024Kbps（可动态码率），最低码率不得低于2048Kbps。</w:t>
            </w:r>
          </w:p>
          <w:p>
            <w:pPr>
              <w:jc w:val="left"/>
            </w:pPr>
            <w:r>
              <w:rPr>
                <w:color w:val="000000"/>
                <w:sz w:val="21"/>
              </w:rPr>
              <w:t>4.</w:t>
            </w:r>
            <w:r>
              <w:rPr>
                <w:color w:val="000000"/>
                <w:sz w:val="21"/>
              </w:rPr>
              <w:t>音频要求</w:t>
            </w:r>
          </w:p>
          <w:p>
            <w:pPr>
              <w:jc w:val="left"/>
            </w:pPr>
            <w:r>
              <w:rPr>
                <w:color w:val="000000"/>
                <w:sz w:val="21"/>
              </w:rPr>
              <w:t>音频信号记录于第1声道，音乐、音效、同期声记录于第2声道，若有其他文字解说记录于第3声道（如录音设备无第3声道,则录于第2声道）；</w:t>
            </w:r>
          </w:p>
          <w:p>
            <w:pPr>
              <w:jc w:val="left"/>
            </w:pPr>
            <w:r>
              <w:rPr>
                <w:color w:val="000000"/>
                <w:sz w:val="21"/>
              </w:rPr>
              <w:t>-2db</w:t>
            </w:r>
            <w:r>
              <w:rPr>
                <w:color w:val="000000"/>
                <w:sz w:val="21"/>
              </w:rPr>
              <w:t>～-8db声音无明显失真、放音过冲、过弱；</w:t>
            </w:r>
          </w:p>
          <w:p>
            <w:pPr>
              <w:jc w:val="left"/>
            </w:pPr>
            <w:r>
              <w:rPr>
                <w:color w:val="000000"/>
                <w:sz w:val="21"/>
              </w:rPr>
              <w:t>音频信噪比不低于48db；</w:t>
            </w:r>
          </w:p>
          <w:p>
            <w:pPr>
              <w:jc w:val="left"/>
            </w:pPr>
            <w:r>
              <w:rPr>
                <w:color w:val="000000"/>
                <w:sz w:val="21"/>
              </w:rPr>
              <w:t>声音和画面要求同步，无交流声或其他杂音等缺陷；</w:t>
            </w:r>
          </w:p>
          <w:p>
            <w:pPr>
              <w:jc w:val="left"/>
            </w:pPr>
            <w:r>
              <w:rPr>
                <w:color w:val="000000"/>
                <w:sz w:val="21"/>
              </w:rPr>
              <w:t>伴音清晰、饱满、圆润，无失真、噪声杂音干扰、音量忽大忽小现象。解说声与现场声无明显比例失调，解说声与背景音乐无明显比例失调；</w:t>
            </w:r>
          </w:p>
          <w:p>
            <w:pPr>
              <w:jc w:val="left"/>
            </w:pPr>
            <w:r>
              <w:rPr>
                <w:color w:val="000000"/>
                <w:sz w:val="21"/>
              </w:rPr>
              <w:t>音频采样率应不低于1288Kbps。</w:t>
            </w:r>
          </w:p>
          <w:p>
            <w:pPr>
              <w:jc w:val="left"/>
            </w:pPr>
            <w:r>
              <w:rPr>
                <w:color w:val="000000"/>
                <w:sz w:val="21"/>
              </w:rPr>
              <w:t>5.</w:t>
            </w:r>
            <w:r>
              <w:rPr>
                <w:color w:val="000000"/>
                <w:sz w:val="21"/>
              </w:rPr>
              <w:t>字幕要求</w:t>
            </w:r>
          </w:p>
          <w:p>
            <w:pPr>
              <w:jc w:val="left"/>
            </w:pPr>
            <w:r>
              <w:rPr>
                <w:color w:val="000000"/>
                <w:sz w:val="21"/>
              </w:rPr>
              <w:t>独立的SRT格式的唱词文件；</w:t>
            </w:r>
          </w:p>
          <w:p>
            <w:pPr>
              <w:jc w:val="left"/>
            </w:pPr>
            <w:r>
              <w:rPr>
                <w:color w:val="000000"/>
                <w:sz w:val="21"/>
              </w:rPr>
              <w:t>每屏只有一行唱词，并保持每屏唱词出现位置一致；</w:t>
            </w:r>
          </w:p>
          <w:p>
            <w:pPr>
              <w:jc w:val="left"/>
            </w:pPr>
            <w:r>
              <w:rPr>
                <w:color w:val="000000"/>
                <w:sz w:val="21"/>
              </w:rPr>
              <w:t>字幕清晰美观，能正确有效地传达信息。字幕尽可能少，在节目中的停留时间以能看清楚为准；</w:t>
            </w:r>
          </w:p>
          <w:p>
            <w:pPr>
              <w:jc w:val="left"/>
            </w:pPr>
            <w:r>
              <w:rPr>
                <w:color w:val="000000"/>
                <w:sz w:val="21"/>
              </w:rPr>
              <w:t>字幕要使用符合国家标准的规范字，不出现繁体字、异体字(国家规定的除外)、错别字；字幕的字体、大小、色彩搭配、摆放位置、停留时间、出入屏方式力求与其他要素（画面、解说词、音乐）配合适当，不能破坏原有画面；</w:t>
            </w:r>
          </w:p>
          <w:p>
            <w:pPr>
              <w:jc w:val="left"/>
            </w:pPr>
            <w:r>
              <w:rPr>
                <w:color w:val="000000"/>
                <w:sz w:val="21"/>
              </w:rPr>
              <w:t>字幕应采用AI技术识别。</w:t>
            </w:r>
          </w:p>
          <w:p>
            <w:pPr>
              <w:jc w:val="left"/>
            </w:pPr>
            <w:r>
              <w:rPr>
                <w:color w:val="000000"/>
                <w:sz w:val="21"/>
              </w:rPr>
              <w:t>6.</w:t>
            </w:r>
            <w:r>
              <w:rPr>
                <w:color w:val="000000"/>
                <w:sz w:val="21"/>
              </w:rPr>
              <w:t>画面要求</w:t>
            </w:r>
          </w:p>
          <w:p>
            <w:pPr>
              <w:jc w:val="left"/>
            </w:pPr>
            <w:r>
              <w:rPr>
                <w:color w:val="000000"/>
                <w:sz w:val="21"/>
              </w:rPr>
              <w:t>视频类素材每帧图像颜色数不低于256色或灰度级不低于128级。彩色视频素材每帧图像颜色均为真彩；</w:t>
            </w:r>
          </w:p>
          <w:p>
            <w:pPr>
              <w:jc w:val="left"/>
            </w:pPr>
            <w:r>
              <w:rPr>
                <w:color w:val="000000"/>
                <w:sz w:val="21"/>
              </w:rPr>
              <w:t>视频图像清晰，播放时没有明显的噪点，播放流畅。图像信噪比不低于55dB，无明显杂波。全片图像同步性能稳定，无失步现象，CTL同步控制信号必须连续：图像无抖动跳跃，色彩无突变，编辑点图像稳定；</w:t>
            </w:r>
          </w:p>
          <w:p>
            <w:pPr>
              <w:jc w:val="left"/>
            </w:pPr>
            <w:r>
              <w:rPr>
                <w:color w:val="000000"/>
                <w:sz w:val="21"/>
              </w:rPr>
              <w:t>白平衡正确，无明显偏色，多机拍摄的镜头衔接处无明显色差。视频全讯号幅度为1Vp-p，最大不超过1.1Vp-p。其中，消隐电平为0V时，白电平幅度0.7Vp-p，同步信号-0.3V，色同步信号幅度0.3Vp-p（以消隐线上下对称），全片一致；</w:t>
            </w:r>
          </w:p>
          <w:p>
            <w:pPr>
              <w:jc w:val="left"/>
            </w:pPr>
            <w:r>
              <w:rPr>
                <w:color w:val="000000"/>
                <w:sz w:val="21"/>
              </w:rPr>
              <w:t>音频与视频图像有良好的同步，音频部分应符合音频素材的质量要求。</w:t>
            </w:r>
          </w:p>
          <w:p>
            <w:pPr>
              <w:jc w:val="left"/>
            </w:pPr>
            <w:r>
              <w:rPr>
                <w:color w:val="000000"/>
                <w:sz w:val="21"/>
              </w:rPr>
              <w:t>7.</w:t>
            </w:r>
            <w:r>
              <w:rPr>
                <w:color w:val="000000"/>
                <w:sz w:val="21"/>
              </w:rPr>
              <w:t>内容要求</w:t>
            </w:r>
          </w:p>
          <w:p>
            <w:pPr>
              <w:jc w:val="left"/>
            </w:pPr>
            <w:r>
              <w:rPr>
                <w:color w:val="000000"/>
                <w:sz w:val="21"/>
              </w:rPr>
              <w:t>视频内容符合我国法律法规，尊重各民族的风俗习惯，版权不存在争议；</w:t>
            </w:r>
          </w:p>
          <w:p>
            <w:pPr>
              <w:jc w:val="left"/>
            </w:pPr>
            <w:r>
              <w:rPr>
                <w:color w:val="000000"/>
                <w:sz w:val="21"/>
              </w:rPr>
              <w:t>若其中包含少数民族或外国语言文字信息，应遵循其原内容完整性，使用原语言进行处理。</w:t>
            </w:r>
          </w:p>
          <w:p>
            <w:pPr>
              <w:jc w:val="left"/>
            </w:pPr>
            <w:r>
              <w:rPr>
                <w:color w:val="000000"/>
                <w:sz w:val="21"/>
              </w:rPr>
              <w:t>8.</w:t>
            </w:r>
            <w:r>
              <w:rPr>
                <w:color w:val="000000"/>
                <w:sz w:val="21"/>
              </w:rPr>
              <w:t>时长要求</w:t>
            </w:r>
          </w:p>
          <w:p>
            <w:pPr>
              <w:jc w:val="left"/>
            </w:pPr>
            <w:r>
              <w:rPr>
                <w:color w:val="000000"/>
                <w:sz w:val="21"/>
              </w:rPr>
              <w:t>每门课程不少于350分钟。</w:t>
            </w:r>
          </w:p>
          <w:p>
            <w:pPr>
              <w:jc w:val="left"/>
            </w:pPr>
            <w:r>
              <w:rPr>
                <w:color w:val="000000"/>
                <w:sz w:val="21"/>
              </w:rPr>
              <w:t>三、前期准备要求</w:t>
            </w:r>
          </w:p>
          <w:p>
            <w:pPr>
              <w:jc w:val="left"/>
            </w:pPr>
            <w:r>
              <w:rPr>
                <w:color w:val="000000"/>
                <w:sz w:val="21"/>
              </w:rPr>
              <w:t>1.</w:t>
            </w:r>
            <w:r>
              <w:rPr>
                <w:color w:val="000000"/>
                <w:sz w:val="21"/>
              </w:rPr>
              <w:t>拍摄制作团队经验丰富，含专业的编导、平面设计、摄像、灯光、化妆、剪辑、动画制作及审片人员，并且以满足教学要求为目标提供多种拍摄模式。</w:t>
            </w:r>
          </w:p>
          <w:p>
            <w:pPr>
              <w:jc w:val="left"/>
            </w:pPr>
            <w:r>
              <w:rPr>
                <w:color w:val="000000"/>
                <w:sz w:val="21"/>
              </w:rPr>
              <w:t>2.</w:t>
            </w:r>
            <w:r>
              <w:rPr>
                <w:color w:val="000000"/>
                <w:sz w:val="21"/>
              </w:rPr>
              <w:t>课程视频执行团队（拍摄、制作团队），至少包含教务专员、课程顾问（编导）、摄像师、现场灯光师、后期制作及效果包装、审核专员；</w:t>
            </w:r>
          </w:p>
          <w:p>
            <w:pPr>
              <w:jc w:val="left"/>
            </w:pPr>
            <w:r>
              <w:rPr>
                <w:color w:val="000000"/>
                <w:sz w:val="21"/>
              </w:rPr>
              <w:t>教务专员，负责学校、教师、制作团队之间的沟通与协调；</w:t>
            </w:r>
          </w:p>
          <w:p>
            <w:pPr>
              <w:jc w:val="left"/>
            </w:pPr>
            <w:r>
              <w:rPr>
                <w:color w:val="000000"/>
                <w:sz w:val="21"/>
              </w:rPr>
              <w:t>课程顾问（具有三年实际课程咨询、设计经验）；负责现场拍摄、制作监控与管理，课程内容设计、章节及知识点碎片化建议，为课程建设团队制作课程脚本提供专业咨询；</w:t>
            </w:r>
          </w:p>
          <w:p>
            <w:pPr>
              <w:jc w:val="left"/>
            </w:pPr>
            <w:r>
              <w:rPr>
                <w:color w:val="000000"/>
                <w:sz w:val="21"/>
              </w:rPr>
              <w:t>摄像师，（三年课程视频或宣传片拍摄经验），负责主机位、侧机位拍摄；</w:t>
            </w:r>
          </w:p>
          <w:p>
            <w:pPr>
              <w:jc w:val="left"/>
            </w:pPr>
            <w:r>
              <w:rPr>
                <w:color w:val="000000"/>
                <w:sz w:val="21"/>
              </w:rPr>
              <w:t>现场灯光师（三年拍摄现场灯光经验），负责现场灯光设计及场记；</w:t>
            </w:r>
          </w:p>
          <w:p>
            <w:pPr>
              <w:jc w:val="left"/>
            </w:pPr>
            <w:r>
              <w:rPr>
                <w:color w:val="000000"/>
                <w:sz w:val="21"/>
              </w:rPr>
              <w:t>后期制作及效果包装（三年以上宣传片剪辑经验，两年以上课程资源剪辑经验），负责课程所涉及动画设计及制作；</w:t>
            </w:r>
          </w:p>
          <w:p>
            <w:pPr>
              <w:jc w:val="left"/>
            </w:pPr>
            <w:r>
              <w:rPr>
                <w:color w:val="000000"/>
                <w:sz w:val="21"/>
              </w:rPr>
              <w:t>审核专员，负责制作完成的课程内容及课程展现形式的审核。</w:t>
            </w:r>
          </w:p>
          <w:p>
            <w:pPr>
              <w:jc w:val="left"/>
            </w:pPr>
            <w:r>
              <w:rPr>
                <w:color w:val="000000"/>
                <w:sz w:val="21"/>
              </w:rPr>
              <w:t>3.</w:t>
            </w:r>
            <w:r>
              <w:rPr>
                <w:color w:val="000000"/>
                <w:sz w:val="21"/>
              </w:rPr>
              <w:t>拍摄模式：画面以中近景为主，样式根据具体课程内容设计。后期提供非线编处理；成品统一采用单一MP4格式视频；</w:t>
            </w:r>
          </w:p>
          <w:p>
            <w:pPr>
              <w:jc w:val="left"/>
            </w:pPr>
            <w:r>
              <w:rPr>
                <w:color w:val="000000"/>
                <w:sz w:val="21"/>
              </w:rPr>
              <w:t>4.</w:t>
            </w:r>
            <w:r>
              <w:rPr>
                <w:color w:val="000000"/>
                <w:sz w:val="21"/>
              </w:rPr>
              <w:t>录像设备：现场使用摄像机要求品牌及型号一致，要求使用专业级高清数字设备，并保证设备能正常完成拍摄任务；</w:t>
            </w:r>
          </w:p>
          <w:p>
            <w:pPr>
              <w:jc w:val="left"/>
            </w:pPr>
            <w:r>
              <w:rPr>
                <w:color w:val="000000"/>
                <w:sz w:val="21"/>
              </w:rPr>
              <w:t>5.</w:t>
            </w:r>
            <w:r>
              <w:rPr>
                <w:color w:val="000000"/>
                <w:sz w:val="21"/>
              </w:rPr>
              <w:t>收音设备：使用2个无线领夹麦克风，保证教师和学生发言的录音质量；</w:t>
            </w:r>
          </w:p>
          <w:p>
            <w:pPr>
              <w:jc w:val="left"/>
            </w:pPr>
            <w:r>
              <w:rPr>
                <w:color w:val="000000"/>
                <w:sz w:val="21"/>
              </w:rPr>
              <w:t>6.</w:t>
            </w:r>
            <w:r>
              <w:rPr>
                <w:color w:val="000000"/>
                <w:sz w:val="21"/>
              </w:rPr>
              <w:t>监听设备：监听耳机2副；</w:t>
            </w:r>
          </w:p>
          <w:p>
            <w:pPr>
              <w:jc w:val="left"/>
            </w:pPr>
            <w:r>
              <w:rPr>
                <w:color w:val="000000"/>
                <w:sz w:val="21"/>
              </w:rPr>
              <w:t>7.</w:t>
            </w:r>
            <w:r>
              <w:rPr>
                <w:color w:val="000000"/>
                <w:sz w:val="21"/>
              </w:rPr>
              <w:t>存储设备：设备及有效容量应能保证正常完成拍摄任务；</w:t>
            </w:r>
          </w:p>
          <w:p>
            <w:pPr>
              <w:jc w:val="left"/>
            </w:pPr>
            <w:r>
              <w:rPr>
                <w:color w:val="000000"/>
                <w:sz w:val="21"/>
              </w:rPr>
              <w:t>8.</w:t>
            </w:r>
            <w:r>
              <w:rPr>
                <w:color w:val="000000"/>
                <w:sz w:val="21"/>
              </w:rPr>
              <w:t>后期制作设备：使用相应的非线性编辑系统。</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分钟</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7000</w:t>
            </w:r>
          </w:p>
        </w:tc>
      </w:tr>
      <w:tr>
        <w:tc>
          <w:tcPr>
            <w:tcW w:type="dxa" w:w="593"/>
            <w:tcBorders>
              <w:top w:val="none" w:color="000000" w:sz="4"/>
              <w:left w:val="single" w:color="000000" w:sz="4"/>
              <w:bottom w:val="single" w:color="000000" w:sz="4"/>
              <w:right w:val="single" w:color="000000" w:sz="4"/>
            </w:tcBorders>
          </w:tcPr>
          <w:p>
            <w:pPr>
              <w:jc w:val="center"/>
            </w:pPr>
            <w:r>
              <w:rPr>
                <w:color w:val="000000"/>
                <w:sz w:val="21"/>
              </w:rPr>
              <w:t>7</w:t>
            </w:r>
          </w:p>
        </w:tc>
        <w:tc>
          <w:tcPr>
            <w:tcW w:type="dxa" w:w="763"/>
            <w:tcBorders>
              <w:top w:val="none" w:color="000000" w:sz="4"/>
              <w:left w:val="none" w:color="000000" w:sz="4"/>
              <w:bottom w:val="single" w:color="000000" w:sz="4"/>
              <w:right w:val="single" w:color="000000" w:sz="4"/>
            </w:tcBorders>
          </w:tcPr>
          <w:p>
            <w:pPr>
              <w:jc w:val="both"/>
            </w:pPr>
            <w:r>
              <w:rPr>
                <w:color w:val="000000"/>
                <w:sz w:val="21"/>
              </w:rPr>
              <w:t>版权保护服务</w:t>
            </w:r>
          </w:p>
        </w:tc>
        <w:tc>
          <w:tcPr>
            <w:tcW w:type="dxa" w:w="5763"/>
            <w:tcBorders>
              <w:top w:val="none" w:color="000000" w:sz="4"/>
              <w:left w:val="none" w:color="000000" w:sz="4"/>
              <w:bottom w:val="single" w:color="000000" w:sz="4"/>
              <w:right w:val="single" w:color="000000" w:sz="4"/>
            </w:tcBorders>
          </w:tcPr>
          <w:p>
            <w:pPr>
              <w:jc w:val="left"/>
            </w:pPr>
            <w:r>
              <w:rPr>
                <w:color w:val="000000"/>
                <w:sz w:val="21"/>
              </w:rPr>
              <w:t>1.</w:t>
            </w:r>
            <w:r>
              <w:rPr>
                <w:color w:val="000000"/>
                <w:sz w:val="21"/>
              </w:rPr>
              <w:t>保护教师的智力成果、知识产权，形成长期性不可更改性的数字化资源，防止知识成果被窃取，从而有利于教师创新动力、原创性的迸发；利用区块链的特点，帮助存储教师上传的课件文档，形成透明的版权电子档案；能够实现信息均衡化，使得知识共建共享，从而促进教育公平的发展；</w:t>
            </w:r>
          </w:p>
          <w:p>
            <w:pPr>
              <w:jc w:val="left"/>
            </w:pPr>
            <w:r>
              <w:rPr>
                <w:color w:val="000000"/>
                <w:sz w:val="21"/>
              </w:rPr>
              <w:t>2.</w:t>
            </w:r>
            <w:r>
              <w:rPr>
                <w:color w:val="000000"/>
                <w:sz w:val="21"/>
              </w:rPr>
              <w:t>本项目建设的关键核心资源要求可以提供区块链链上存储，并可随时进行验证，提供同类型资源上链存储证书截图，包含存证时间、哈希值等关键信息。</w:t>
            </w:r>
          </w:p>
          <w:p>
            <w:pPr>
              <w:jc w:val="left"/>
            </w:pPr>
            <w:r>
              <w:rPr>
                <w:color w:val="000000"/>
                <w:sz w:val="21"/>
              </w:rPr>
              <w:t>3.</w:t>
            </w:r>
            <w:r>
              <w:rPr>
                <w:color w:val="000000"/>
                <w:sz w:val="21"/>
              </w:rPr>
              <w:t>为确保能够实现项目建设成果化，方便课程内容后续作为数字化出版的有力支撑，需提供乙方参与并已完成数字出版的教材不少于3份（提供具有ISBN号的数字出版证书）。</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套</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20</w:t>
            </w:r>
          </w:p>
        </w:tc>
      </w:tr>
      <w:tr>
        <w:tc>
          <w:tcPr>
            <w:tcW w:type="dxa" w:w="593"/>
            <w:tcBorders>
              <w:top w:val="none" w:color="000000" w:sz="4"/>
              <w:left w:val="single" w:color="000000" w:sz="4"/>
              <w:bottom w:val="single" w:color="000000" w:sz="4"/>
              <w:right w:val="single" w:color="000000" w:sz="4"/>
            </w:tcBorders>
          </w:tcPr>
          <w:p>
            <w:pPr>
              <w:jc w:val="center"/>
            </w:pPr>
            <w:r>
              <w:rPr>
                <w:color w:val="000000"/>
                <w:sz w:val="21"/>
              </w:rPr>
              <w:t>8</w:t>
            </w:r>
          </w:p>
        </w:tc>
        <w:tc>
          <w:tcPr>
            <w:tcW w:type="dxa" w:w="763"/>
            <w:tcBorders>
              <w:top w:val="none" w:color="000000" w:sz="4"/>
              <w:left w:val="none" w:color="000000" w:sz="4"/>
              <w:bottom w:val="single" w:color="000000" w:sz="4"/>
              <w:right w:val="single" w:color="000000" w:sz="4"/>
            </w:tcBorders>
          </w:tcPr>
          <w:p>
            <w:pPr>
              <w:jc w:val="both"/>
            </w:pPr>
            <w:r>
              <w:rPr>
                <w:color w:val="000000"/>
                <w:sz w:val="21"/>
              </w:rPr>
              <w:t>课程整体视觉设计</w:t>
            </w:r>
          </w:p>
        </w:tc>
        <w:tc>
          <w:tcPr>
            <w:tcW w:type="dxa" w:w="5763"/>
            <w:tcBorders>
              <w:top w:val="none" w:color="000000" w:sz="4"/>
              <w:left w:val="none" w:color="000000" w:sz="4"/>
              <w:bottom w:val="single" w:color="000000" w:sz="4"/>
              <w:right w:val="single" w:color="000000" w:sz="4"/>
            </w:tcBorders>
          </w:tcPr>
          <w:p>
            <w:pPr>
              <w:jc w:val="both"/>
            </w:pPr>
            <w:r>
              <w:rPr>
                <w:color w:val="000000"/>
                <w:sz w:val="21"/>
              </w:rPr>
              <w:t>1.</w:t>
            </w:r>
            <w:r>
              <w:rPr>
                <w:color w:val="000000"/>
                <w:sz w:val="21"/>
              </w:rPr>
              <w:t>对整门课程进行整体视觉设计；</w:t>
            </w:r>
          </w:p>
          <w:p>
            <w:pPr>
              <w:jc w:val="both"/>
            </w:pPr>
            <w:r>
              <w:rPr>
                <w:color w:val="000000"/>
                <w:sz w:val="21"/>
              </w:rPr>
              <w:t>2.</w:t>
            </w:r>
            <w:r>
              <w:rPr>
                <w:color w:val="000000"/>
                <w:sz w:val="21"/>
              </w:rPr>
              <w:t>对电子教材及教学大纲进行教学视觉设计；</w:t>
            </w:r>
          </w:p>
          <w:p>
            <w:pPr>
              <w:jc w:val="both"/>
            </w:pPr>
            <w:r>
              <w:rPr>
                <w:color w:val="000000"/>
                <w:sz w:val="21"/>
              </w:rPr>
              <w:t>3.</w:t>
            </w:r>
            <w:r>
              <w:rPr>
                <w:color w:val="000000"/>
                <w:sz w:val="21"/>
              </w:rPr>
              <w:t>对课程标准及各类文档进行视觉设计；</w:t>
            </w:r>
          </w:p>
          <w:p>
            <w:pPr>
              <w:jc w:val="both"/>
            </w:pPr>
            <w:r>
              <w:rPr>
                <w:color w:val="000000"/>
                <w:sz w:val="21"/>
              </w:rPr>
              <w:t>4.</w:t>
            </w:r>
            <w:r>
              <w:rPr>
                <w:color w:val="000000"/>
                <w:sz w:val="21"/>
              </w:rPr>
              <w:t>对教案及课件行视觉设计。</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套</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20</w:t>
            </w:r>
          </w:p>
        </w:tc>
      </w:tr>
      <w:tr>
        <w:tc>
          <w:tcPr>
            <w:tcW w:type="dxa" w:w="593"/>
            <w:tcBorders>
              <w:top w:val="none" w:color="000000" w:sz="4"/>
              <w:left w:val="single" w:color="000000" w:sz="4"/>
              <w:bottom w:val="single" w:color="000000" w:sz="4"/>
              <w:right w:val="single" w:color="000000" w:sz="4"/>
            </w:tcBorders>
          </w:tcPr>
          <w:p>
            <w:pPr>
              <w:jc w:val="center"/>
            </w:pPr>
            <w:r>
              <w:rPr>
                <w:color w:val="000000"/>
                <w:sz w:val="21"/>
              </w:rPr>
              <w:t>9</w:t>
            </w:r>
          </w:p>
        </w:tc>
        <w:tc>
          <w:tcPr>
            <w:tcW w:type="dxa" w:w="763"/>
            <w:tcBorders>
              <w:top w:val="none" w:color="000000" w:sz="4"/>
              <w:left w:val="none" w:color="000000" w:sz="4"/>
              <w:bottom w:val="single" w:color="000000" w:sz="4"/>
              <w:right w:val="single" w:color="000000" w:sz="4"/>
            </w:tcBorders>
          </w:tcPr>
          <w:p>
            <w:pPr>
              <w:jc w:val="both"/>
            </w:pPr>
            <w:r>
              <w:rPr>
                <w:color w:val="000000"/>
                <w:sz w:val="21"/>
              </w:rPr>
              <w:t>课程编辑与审核</w:t>
            </w:r>
          </w:p>
        </w:tc>
        <w:tc>
          <w:tcPr>
            <w:tcW w:type="dxa" w:w="5763"/>
            <w:tcBorders>
              <w:top w:val="none" w:color="000000" w:sz="4"/>
              <w:left w:val="none" w:color="000000" w:sz="4"/>
              <w:bottom w:val="single" w:color="000000" w:sz="4"/>
              <w:right w:val="single" w:color="000000" w:sz="4"/>
            </w:tcBorders>
          </w:tcPr>
          <w:p>
            <w:pPr>
              <w:jc w:val="both"/>
            </w:pPr>
            <w:r>
              <w:rPr>
                <w:color w:val="000000"/>
                <w:sz w:val="21"/>
              </w:rPr>
              <w:t>一、整体编辑规范</w:t>
            </w:r>
          </w:p>
          <w:p>
            <w:pPr>
              <w:jc w:val="both"/>
            </w:pPr>
            <w:r>
              <w:rPr>
                <w:color w:val="000000"/>
                <w:sz w:val="21"/>
              </w:rPr>
              <w:t>1.</w:t>
            </w:r>
            <w:r>
              <w:rPr>
                <w:color w:val="000000"/>
                <w:sz w:val="21"/>
              </w:rPr>
              <w:t>编辑要对教师发来的文件进行校对与审核；</w:t>
            </w:r>
          </w:p>
          <w:p>
            <w:pPr>
              <w:jc w:val="both"/>
            </w:pPr>
            <w:r>
              <w:rPr>
                <w:color w:val="000000"/>
                <w:sz w:val="21"/>
              </w:rPr>
              <w:t>2.</w:t>
            </w:r>
            <w:r>
              <w:rPr>
                <w:color w:val="000000"/>
                <w:sz w:val="21"/>
              </w:rPr>
              <w:t>编辑要对教师文稿中的行文措辞、知识点描述、内容结构，中心思想、学术真伪、理论价值内容进行细致化的整理和修改。</w:t>
            </w:r>
          </w:p>
          <w:p>
            <w:pPr>
              <w:jc w:val="both"/>
            </w:pPr>
            <w:r>
              <w:rPr>
                <w:color w:val="000000"/>
                <w:sz w:val="21"/>
              </w:rPr>
              <w:t>二、审核内容及要求</w:t>
            </w:r>
          </w:p>
          <w:p>
            <w:pPr>
              <w:jc w:val="both"/>
            </w:pPr>
            <w:r>
              <w:rPr>
                <w:color w:val="000000"/>
                <w:sz w:val="21"/>
              </w:rPr>
              <w:t>1.</w:t>
            </w:r>
            <w:r>
              <w:rPr>
                <w:color w:val="000000"/>
                <w:sz w:val="21"/>
              </w:rPr>
              <w:t>文稿：层次和标题、注释、名词术语、物理量及其单位的名称和符号、标点符号、其他符号、外文字母的标注及正邪体的用法、数字用法、公式、插表、插图等；</w:t>
            </w:r>
          </w:p>
          <w:p>
            <w:pPr>
              <w:jc w:val="both"/>
            </w:pPr>
            <w:r>
              <w:rPr>
                <w:color w:val="000000"/>
                <w:sz w:val="21"/>
              </w:rPr>
              <w:t>2.</w:t>
            </w:r>
            <w:r>
              <w:rPr>
                <w:color w:val="000000"/>
                <w:sz w:val="21"/>
              </w:rPr>
              <w:t>图稿：一般图、线条图、照片图等；</w:t>
            </w:r>
          </w:p>
          <w:p>
            <w:pPr>
              <w:jc w:val="both"/>
            </w:pPr>
            <w:r>
              <w:rPr>
                <w:color w:val="000000"/>
                <w:sz w:val="21"/>
              </w:rPr>
              <w:t>3.</w:t>
            </w:r>
            <w:r>
              <w:rPr>
                <w:color w:val="000000"/>
                <w:sz w:val="21"/>
              </w:rPr>
              <w:t>视频：按照验收标准审核视频中画面及字幕中的文字、排版等；</w:t>
            </w:r>
          </w:p>
          <w:p>
            <w:pPr>
              <w:jc w:val="both"/>
            </w:pPr>
            <w:r>
              <w:rPr>
                <w:color w:val="000000"/>
                <w:sz w:val="21"/>
              </w:rPr>
              <w:t>4.</w:t>
            </w:r>
            <w:r>
              <w:rPr>
                <w:color w:val="000000"/>
                <w:sz w:val="21"/>
              </w:rPr>
              <w:t>要求审核后的课程稿件、内容、视频，能达到国家出版标准、广播电视制作标准或者行业通用标准等一般标准。</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套</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20</w:t>
            </w:r>
          </w:p>
        </w:tc>
      </w:tr>
      <w:tr>
        <w:tc>
          <w:tcPr>
            <w:tcW w:type="dxa" w:w="593"/>
            <w:tcBorders>
              <w:top w:val="none" w:color="000000" w:sz="4"/>
              <w:left w:val="single" w:color="000000" w:sz="4"/>
              <w:bottom w:val="single" w:color="000000" w:sz="4"/>
              <w:right w:val="single" w:color="000000" w:sz="4"/>
            </w:tcBorders>
          </w:tcPr>
          <w:p>
            <w:pPr>
              <w:jc w:val="center"/>
            </w:pPr>
            <w:r>
              <w:rPr>
                <w:color w:val="000000"/>
                <w:sz w:val="21"/>
              </w:rPr>
              <w:t>10</w:t>
            </w:r>
          </w:p>
        </w:tc>
        <w:tc>
          <w:tcPr>
            <w:tcW w:type="dxa" w:w="763"/>
            <w:tcBorders>
              <w:top w:val="none" w:color="000000" w:sz="4"/>
              <w:left w:val="none" w:color="000000" w:sz="4"/>
              <w:bottom w:val="single" w:color="000000" w:sz="4"/>
              <w:right w:val="single" w:color="000000" w:sz="4"/>
            </w:tcBorders>
          </w:tcPr>
          <w:p>
            <w:pPr>
              <w:jc w:val="both"/>
            </w:pPr>
            <w:r>
              <w:rPr>
                <w:color w:val="000000"/>
                <w:sz w:val="21"/>
              </w:rPr>
              <w:t>课程呈现及服务培训</w:t>
            </w:r>
          </w:p>
        </w:tc>
        <w:tc>
          <w:tcPr>
            <w:tcW w:type="dxa" w:w="5763"/>
            <w:tcBorders>
              <w:top w:val="none" w:color="000000" w:sz="4"/>
              <w:left w:val="none" w:color="000000" w:sz="4"/>
              <w:bottom w:val="single" w:color="000000" w:sz="4"/>
              <w:right w:val="single" w:color="000000" w:sz="4"/>
            </w:tcBorders>
          </w:tcPr>
          <w:p>
            <w:pPr>
              <w:jc w:val="left"/>
            </w:pPr>
            <w:r>
              <w:rPr>
                <w:color w:val="000000"/>
                <w:sz w:val="21"/>
              </w:rPr>
              <w:t>一、课程上线服务</w:t>
            </w:r>
          </w:p>
          <w:p>
            <w:pPr>
              <w:jc w:val="left"/>
            </w:pPr>
            <w:r>
              <w:rPr>
                <w:color w:val="000000"/>
                <w:sz w:val="21"/>
              </w:rPr>
              <w:t>1.</w:t>
            </w:r>
            <w:r>
              <w:rPr>
                <w:color w:val="000000"/>
                <w:sz w:val="21"/>
              </w:rPr>
              <w:t>乙方能将本项目课程建设的资源上传、部署至广州开放大学已有的系统平台，保证课程建设的所有资源与系统平台兼容、匹配，且保证能正常在线播放、展示、备课、考核等教学工作；</w:t>
            </w:r>
          </w:p>
          <w:p>
            <w:pPr>
              <w:jc w:val="left"/>
            </w:pPr>
            <w:r>
              <w:rPr>
                <w:color w:val="000000"/>
                <w:sz w:val="21"/>
              </w:rPr>
              <w:t>2.</w:t>
            </w:r>
            <w:r>
              <w:rPr>
                <w:color w:val="000000"/>
                <w:sz w:val="21"/>
              </w:rPr>
              <w:t>课程视频最终成品后，应在5个工作日内协助课程团队在学校现有的平台完成上线事宜并提供平台相关证明，并保证课程视频资源与系统平台完全建工匹配，播放流畅。</w:t>
            </w:r>
          </w:p>
          <w:p>
            <w:pPr>
              <w:jc w:val="left"/>
            </w:pPr>
            <w:r>
              <w:rPr>
                <w:color w:val="000000"/>
                <w:sz w:val="21"/>
              </w:rPr>
              <w:t>二、课程呈现要求</w:t>
            </w:r>
          </w:p>
          <w:p>
            <w:pPr>
              <w:jc w:val="left"/>
            </w:pPr>
            <w:r>
              <w:rPr>
                <w:color w:val="000000"/>
                <w:sz w:val="21"/>
              </w:rPr>
              <w:t>1.</w:t>
            </w:r>
            <w:r>
              <w:rPr>
                <w:color w:val="000000"/>
                <w:sz w:val="21"/>
              </w:rPr>
              <w:t>课程能实现平台备课：教师在基于现有的公共课程资源的基础上添加管理自己的私有资源，形成自己独有的课程资源内容；教师针对课程资源节点建立私有讨论话题，并可对私有讨论话题进行编辑，删除等操作。平台还提供部分公共讨论话题供教师使用；教师可以在备课过程中查看该课程资源节点下学生提问的问题列表。方便教师了解学生问题集中点，从而更好的根据问题集中点来安排自己的教学授课计划；</w:t>
            </w:r>
          </w:p>
          <w:p>
            <w:pPr>
              <w:jc w:val="left"/>
            </w:pPr>
            <w:r>
              <w:rPr>
                <w:color w:val="000000"/>
                <w:sz w:val="21"/>
              </w:rPr>
              <w:t>2.</w:t>
            </w:r>
            <w:r>
              <w:rPr>
                <w:color w:val="000000"/>
                <w:sz w:val="21"/>
              </w:rPr>
              <w:t>使课程能呈现于课堂,教学互动：主要指信息技术的应用运用，借助信息化教学平台，可进行通知发送、课堂点名、讨论问答等活动；教师在授课过程中发布课内讨论，讨论话题支持备课提前设置或授课过程中现场录入。在教师发布课程讨论后，将实时展示学生参与讨论的回复信息（以滚屏形式展示学生回复的内容）。教师实时结束讨论，在结束讨论后学生将无法进行讨论回复；教师发布课内讨论互动后学生将接收到讨论的话题并进行作答，且可实时查看其他同学的讨论回复（以滚屏形式展示学生回复的内容）；</w:t>
            </w:r>
          </w:p>
          <w:p>
            <w:pPr>
              <w:jc w:val="left"/>
            </w:pPr>
            <w:r>
              <w:rPr>
                <w:color w:val="000000"/>
                <w:sz w:val="21"/>
              </w:rPr>
              <w:t>3.</w:t>
            </w:r>
            <w:r>
              <w:rPr>
                <w:color w:val="000000"/>
                <w:sz w:val="21"/>
              </w:rPr>
              <w:t>课程能用于多种学习形式：学生可按照教师发布的任务要求学习，也可线上自主学习，能够满足线上线下复合学习方式的建立；</w:t>
            </w:r>
          </w:p>
          <w:p>
            <w:pPr>
              <w:jc w:val="left"/>
            </w:pPr>
            <w:r>
              <w:rPr>
                <w:color w:val="000000"/>
                <w:sz w:val="21"/>
              </w:rPr>
              <w:t>4.</w:t>
            </w:r>
            <w:r>
              <w:rPr>
                <w:color w:val="000000"/>
                <w:sz w:val="21"/>
              </w:rPr>
              <w:t>课程建设要求能实现在线考核、自动批改评分：系统平台提供部分公共试题。教师也可以使用试卷添加功能添加自己独有的课程试题库。试题类型要求支持：单选，多选，判断，填空，简答。系统要提供部分公共试卷库。教师也可以使用手动组卷、智能组卷功能组建自己独有的试卷库。教师：给教学班级发布考核，进行考核，自动批改、成绩查看，试卷批阅等操作。学生：进行考核任务的作答；</w:t>
            </w:r>
          </w:p>
          <w:p>
            <w:pPr>
              <w:jc w:val="left"/>
            </w:pPr>
            <w:r>
              <w:rPr>
                <w:color w:val="000000"/>
                <w:sz w:val="21"/>
              </w:rPr>
              <w:t>5.</w:t>
            </w:r>
            <w:r>
              <w:rPr>
                <w:color w:val="000000"/>
                <w:sz w:val="21"/>
              </w:rPr>
              <w:t>可实现教师对学生学习过程的监控，教师可批改作业和实现分数统计。学生完成课程学习并通过网上考试，可生成电子凭证或证书；</w:t>
            </w:r>
          </w:p>
          <w:p>
            <w:pPr>
              <w:jc w:val="left"/>
            </w:pPr>
            <w:r>
              <w:rPr>
                <w:color w:val="000000"/>
                <w:sz w:val="21"/>
              </w:rPr>
              <w:t>6.</w:t>
            </w:r>
            <w:r>
              <w:rPr>
                <w:color w:val="000000"/>
                <w:sz w:val="21"/>
              </w:rPr>
              <w:t>乙方须建立完善的长期技术支持和售后服务管理体系，成立服务队伍，为配合用户提供全方位的技术支持工作，具体要求如下：</w:t>
            </w:r>
          </w:p>
          <w:p>
            <w:pPr>
              <w:jc w:val="left"/>
            </w:pPr>
            <w:r>
              <w:rPr>
                <w:color w:val="000000"/>
                <w:sz w:val="21"/>
              </w:rPr>
              <w:t>1</w:t>
            </w:r>
            <w:r>
              <w:rPr>
                <w:color w:val="000000"/>
                <w:sz w:val="21"/>
              </w:rPr>
              <w:t>）在建设周期中，乙方应提供不少于2次现场培训，培训内容包括但不限于：资源库建设和使用培训、不同模式视频拍摄要求培训、视频后期服务培训等；</w:t>
            </w:r>
          </w:p>
          <w:p>
            <w:pPr>
              <w:jc w:val="left"/>
            </w:pPr>
            <w:r>
              <w:rPr>
                <w:color w:val="000000"/>
                <w:sz w:val="21"/>
              </w:rPr>
              <w:t>2</w:t>
            </w:r>
            <w:r>
              <w:rPr>
                <w:color w:val="000000"/>
                <w:sz w:val="21"/>
              </w:rPr>
              <w:t>）本项目应提供免费维保服务至少2年。</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年</w:t>
            </w:r>
          </w:p>
        </w:tc>
        <w:tc>
          <w:tcPr>
            <w:tcW w:type="dxa" w:w="593"/>
            <w:tcBorders>
              <w:top w:val="none" w:color="000000" w:sz="4"/>
              <w:left w:val="none" w:color="000000" w:sz="4"/>
              <w:bottom w:val="single" w:color="000000" w:sz="4"/>
              <w:right w:val="single" w:color="000000" w:sz="4"/>
            </w:tcBorders>
          </w:tcPr>
          <w:p>
            <w:pPr>
              <w:jc w:val="center"/>
            </w:pPr>
            <w:r>
              <w:rPr>
                <w:color w:val="000000"/>
                <w:sz w:val="21"/>
              </w:rPr>
              <w:t>2</w:t>
            </w:r>
          </w:p>
        </w:tc>
      </w:tr>
    </w:tbl>
    <w:p>
      <w:pPr>
        <w:jc w:val="both"/>
      </w:pPr>
    </w:p>
    <w:p>
      <w:pPr>
        <w:numPr>
          <w:ilvl w:val="0"/>
          <w:numId w:val="1"/>
        </w:numPr>
        <w:jc w:val="both"/>
      </w:pPr>
      <w:r>
        <w:rPr>
          <w:b/>
          <w:color w:val="000000"/>
          <w:sz w:val="21"/>
        </w:rPr>
        <w:t>四、服务期间（项目完成期限）</w:t>
      </w:r>
    </w:p>
    <w:p>
      <w:pPr>
        <w:ind w:firstLine="435"/>
        <w:jc w:val="both"/>
      </w:pPr>
      <w:r>
        <w:rPr>
          <w:color w:val="000000"/>
          <w:sz w:val="21"/>
        </w:rPr>
        <w:t>委托服务期间自______年______月至______年______月止。</w:t>
      </w:r>
    </w:p>
    <w:p>
      <w:pPr>
        <w:numPr>
          <w:ilvl w:val="0"/>
          <w:numId w:val="1"/>
        </w:numPr>
        <w:jc w:val="both"/>
      </w:pPr>
      <w:r>
        <w:rPr>
          <w:b/>
          <w:color w:val="000000"/>
          <w:sz w:val="21"/>
        </w:rPr>
        <w:t>五、付款方式</w:t>
      </w:r>
    </w:p>
    <w:p>
      <w:pPr>
        <w:jc w:val="both"/>
      </w:pPr>
      <w:r>
        <w:rPr>
          <w:color w:val="000000"/>
          <w:sz w:val="21"/>
        </w:rPr>
        <w:t>（一）合同签署生效后5个工作日内，甲方支付合同总价的50%给乙方作为合同预付款。</w:t>
      </w:r>
    </w:p>
    <w:p>
      <w:pPr>
        <w:jc w:val="both"/>
      </w:pPr>
      <w:r>
        <w:rPr>
          <w:color w:val="000000"/>
          <w:sz w:val="21"/>
        </w:rPr>
        <w:t>（二）项目经甲方初步验收合格后5个工作日内，甲方支付合同总价的50%给乙方。</w:t>
      </w:r>
    </w:p>
    <w:p>
      <w:pPr>
        <w:jc w:val="both"/>
      </w:pPr>
      <w:r>
        <w:rPr>
          <w:color w:val="000000"/>
          <w:sz w:val="21"/>
        </w:rPr>
        <w:t>1.</w:t>
      </w:r>
      <w:r>
        <w:rPr>
          <w:color w:val="000000"/>
          <w:sz w:val="21"/>
        </w:rPr>
        <w:t>乙方凭以下有效文件与甲方结算：</w:t>
      </w:r>
    </w:p>
    <w:p>
      <w:pPr>
        <w:jc w:val="both"/>
      </w:pPr>
      <w:r>
        <w:rPr>
          <w:color w:val="000000"/>
          <w:sz w:val="21"/>
        </w:rPr>
        <w:t>1</w:t>
      </w:r>
      <w:r>
        <w:rPr>
          <w:color w:val="000000"/>
          <w:sz w:val="21"/>
        </w:rPr>
        <w:t>）合同；</w:t>
      </w:r>
    </w:p>
    <w:p>
      <w:pPr>
        <w:jc w:val="both"/>
      </w:pPr>
      <w:r>
        <w:rPr>
          <w:color w:val="000000"/>
          <w:sz w:val="21"/>
        </w:rPr>
        <w:t>2</w:t>
      </w:r>
      <w:r>
        <w:rPr>
          <w:color w:val="000000"/>
          <w:sz w:val="21"/>
        </w:rPr>
        <w:t>）乙方开具的正式发票；</w:t>
      </w:r>
    </w:p>
    <w:p>
      <w:pPr>
        <w:jc w:val="both"/>
      </w:pPr>
      <w:r>
        <w:rPr>
          <w:color w:val="000000"/>
          <w:sz w:val="21"/>
        </w:rPr>
        <w:t>3</w:t>
      </w:r>
      <w:r>
        <w:rPr>
          <w:color w:val="000000"/>
          <w:sz w:val="21"/>
        </w:rPr>
        <w:t>）成交通知书；</w:t>
      </w:r>
    </w:p>
    <w:p>
      <w:pPr>
        <w:jc w:val="both"/>
      </w:pPr>
      <w:r>
        <w:rPr>
          <w:color w:val="000000"/>
          <w:sz w:val="21"/>
        </w:rPr>
        <w:t>4</w:t>
      </w:r>
      <w:r>
        <w:rPr>
          <w:color w:val="000000"/>
          <w:sz w:val="21"/>
        </w:rPr>
        <w:t>）验收报告（加盖甲方公章）。</w:t>
      </w:r>
    </w:p>
    <w:p>
      <w:pPr>
        <w:jc w:val="both"/>
      </w:pPr>
      <w:r>
        <w:rPr>
          <w:color w:val="000000"/>
          <w:sz w:val="21"/>
        </w:rPr>
        <w:t>2.</w:t>
      </w:r>
      <w:r>
        <w:rPr>
          <w:color w:val="000000"/>
          <w:sz w:val="21"/>
        </w:rPr>
        <w:t>甲方支付以乙方无违约为前提，若乙方违约，甲方有权在应付款项中作相应扣除。甲方在约定的付款时间内向主管部门完成支付材料提交即视为完成支付手续。由于资金支付流程导致付款迟延的，不视为甲方违约。</w:t>
      </w:r>
    </w:p>
    <w:p>
      <w:pPr>
        <w:numPr>
          <w:ilvl w:val="0"/>
          <w:numId w:val="1"/>
        </w:numPr>
        <w:jc w:val="both"/>
      </w:pPr>
      <w:r>
        <w:rPr>
          <w:b/>
          <w:color w:val="000000"/>
          <w:sz w:val="21"/>
        </w:rPr>
        <w:t>六、知识产权产权归属</w:t>
      </w:r>
    </w:p>
    <w:p>
      <w:pPr>
        <w:ind w:firstLine="420"/>
        <w:jc w:val="both"/>
      </w:pPr>
      <w:r>
        <w:rPr>
          <w:color w:val="000000"/>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numPr>
          <w:ilvl w:val="0"/>
          <w:numId w:val="1"/>
        </w:numPr>
        <w:jc w:val="both"/>
      </w:pPr>
      <w:r>
        <w:rPr>
          <w:b/>
          <w:color w:val="000000"/>
          <w:sz w:val="21"/>
        </w:rPr>
        <w:t>七、保密</w:t>
      </w:r>
    </w:p>
    <w:p>
      <w:pPr>
        <w:ind w:firstLine="420"/>
        <w:jc w:val="both"/>
      </w:pPr>
      <w:r>
        <w:rPr>
          <w:color w:val="000000"/>
          <w:sz w:val="21"/>
        </w:rPr>
        <w:t xml:space="preserve">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  </w:t>
      </w:r>
    </w:p>
    <w:p>
      <w:pPr>
        <w:ind w:firstLine="420"/>
        <w:jc w:val="both"/>
      </w:pPr>
      <w:r>
        <w:rPr>
          <w:color w:val="000000"/>
          <w:sz w:val="21"/>
        </w:rPr>
        <w:t>1</w:t>
      </w:r>
      <w:r>
        <w:rPr>
          <w:color w:val="000000"/>
          <w:sz w:val="21"/>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ind w:firstLine="420"/>
        <w:jc w:val="both"/>
      </w:pPr>
      <w:r>
        <w:rPr>
          <w:color w:val="000000"/>
          <w:sz w:val="21"/>
        </w:rPr>
        <w:t>2</w:t>
      </w:r>
      <w:r>
        <w:rPr>
          <w:color w:val="000000"/>
          <w:sz w:val="21"/>
        </w:rPr>
        <w:t>）除了合同本身之外，上款所列举的任何物件均是甲方的财产。乙方应当在完成合同后应将这些物件及全部复制件还给甲方，甲方同意由乙方持有的除外。</w:t>
      </w:r>
    </w:p>
    <w:p>
      <w:pPr>
        <w:numPr>
          <w:ilvl w:val="0"/>
          <w:numId w:val="1"/>
        </w:numPr>
        <w:jc w:val="both"/>
      </w:pPr>
      <w:r>
        <w:rPr>
          <w:b/>
          <w:color w:val="000000"/>
          <w:sz w:val="21"/>
        </w:rPr>
        <w:t>八、违约责任与赔偿损失</w:t>
      </w:r>
    </w:p>
    <w:p>
      <w:pPr>
        <w:jc w:val="both"/>
      </w:pPr>
      <w:r>
        <w:rPr>
          <w:color w:val="000000"/>
          <w:sz w:val="21"/>
        </w:rPr>
        <w:t>1)</w:t>
      </w:r>
      <w:r>
        <w:rPr>
          <w:color w:val="000000"/>
          <w:sz w:val="21"/>
        </w:rPr>
        <w:t>乙方提供的服务不符合采购文件、投标文件或本合同规定的，甲方有权拒收，并且乙方须向甲方方支付本合同总价5%的违约金。</w:t>
      </w:r>
    </w:p>
    <w:p>
      <w:pPr>
        <w:jc w:val="both"/>
      </w:pPr>
      <w:r>
        <w:rPr>
          <w:color w:val="000000"/>
          <w:sz w:val="21"/>
        </w:rPr>
        <w:t>2)</w:t>
      </w:r>
      <w:r>
        <w:rPr>
          <w:color w:val="000000"/>
          <w:sz w:val="21"/>
        </w:rPr>
        <w:t>乙方未能按本合同规定的交货时间提供服务，从逾期之日起每日按本合同总价3‰的数额向甲方支付违约金；逾期半个月以上的，甲方有权终止合同，由此造成的甲方经济损失由乙方承担。</w:t>
      </w:r>
    </w:p>
    <w:p>
      <w:pPr>
        <w:jc w:val="both"/>
      </w:pPr>
      <w:r>
        <w:rPr>
          <w:color w:val="000000"/>
          <w:sz w:val="21"/>
        </w:rPr>
        <w:t>3)</w:t>
      </w:r>
      <w:r>
        <w:rPr>
          <w:color w:val="000000"/>
          <w:sz w:val="21"/>
        </w:rPr>
        <w:t>甲方无正当理由拒收接受服务，到期拒付服务款项的，甲方向乙方偿付本合同总的5%的违约金。甲方逾期付款，则每日按本合同总价的3‰向乙方偿付违约金。</w:t>
      </w:r>
    </w:p>
    <w:p>
      <w:pPr>
        <w:jc w:val="both"/>
      </w:pPr>
      <w:r>
        <w:rPr>
          <w:color w:val="000000"/>
          <w:sz w:val="21"/>
        </w:rPr>
        <w:t>4)</w:t>
      </w:r>
      <w:r>
        <w:rPr>
          <w:color w:val="000000"/>
          <w:sz w:val="21"/>
        </w:rPr>
        <w:t>其它违约责任按《中华人民共和国民法典》第三编　合同处理。</w:t>
      </w:r>
    </w:p>
    <w:p>
      <w:pPr>
        <w:numPr>
          <w:ilvl w:val="0"/>
          <w:numId w:val="1"/>
        </w:numPr>
        <w:jc w:val="both"/>
      </w:pPr>
      <w:r>
        <w:rPr>
          <w:b/>
          <w:color w:val="000000"/>
          <w:sz w:val="21"/>
        </w:rPr>
        <w:t>九、争端的解决</w:t>
      </w:r>
    </w:p>
    <w:p>
      <w:pPr>
        <w:ind w:firstLine="420"/>
        <w:jc w:val="both"/>
      </w:pPr>
      <w:r>
        <w:rPr>
          <w:color w:val="000000"/>
          <w:sz w:val="21"/>
        </w:rPr>
        <w:t>合同执行过程中发生的任何争议，如双方不能通过友好协商解决，按相关法律法规处理。</w:t>
      </w:r>
    </w:p>
    <w:p>
      <w:pPr>
        <w:numPr>
          <w:ilvl w:val="0"/>
          <w:numId w:val="1"/>
        </w:numPr>
        <w:jc w:val="both"/>
      </w:pPr>
      <w:r>
        <w:rPr>
          <w:b/>
          <w:color w:val="000000"/>
          <w:sz w:val="21"/>
        </w:rPr>
        <w:t>十、不可抗力</w:t>
      </w:r>
    </w:p>
    <w:p>
      <w:pPr>
        <w:ind w:firstLine="412"/>
        <w:jc w:val="both"/>
      </w:pPr>
      <w:r>
        <w:rPr>
          <w:color w:val="000000"/>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numPr>
          <w:ilvl w:val="0"/>
          <w:numId w:val="1"/>
        </w:numPr>
        <w:jc w:val="both"/>
      </w:pPr>
      <w:r>
        <w:rPr>
          <w:b/>
          <w:color w:val="000000"/>
          <w:sz w:val="21"/>
        </w:rPr>
        <w:t>十一、税费</w:t>
      </w:r>
    </w:p>
    <w:p>
      <w:pPr>
        <w:ind w:firstLine="412"/>
        <w:jc w:val="both"/>
      </w:pPr>
      <w:r>
        <w:rPr>
          <w:color w:val="000000"/>
          <w:sz w:val="21"/>
        </w:rPr>
        <w:t>在中国境内、外发生的与本合同执行有关的一切税费均由乙方负担。</w:t>
      </w:r>
    </w:p>
    <w:p>
      <w:pPr>
        <w:numPr>
          <w:ilvl w:val="0"/>
          <w:numId w:val="1"/>
        </w:numPr>
        <w:jc w:val="both"/>
      </w:pPr>
      <w:r>
        <w:rPr>
          <w:b/>
          <w:color w:val="000000"/>
          <w:sz w:val="21"/>
        </w:rPr>
        <w:t>十二、其它</w:t>
      </w:r>
    </w:p>
    <w:p>
      <w:pPr>
        <w:jc w:val="both"/>
      </w:pPr>
      <w:r>
        <w:rPr>
          <w:color w:val="000000"/>
          <w:sz w:val="21"/>
        </w:rPr>
        <w:t>1)</w:t>
      </w:r>
      <w:r>
        <w:rPr>
          <w:color w:val="000000"/>
          <w:sz w:val="21"/>
        </w:rPr>
        <w:t>本合同所有附件、采购文件、投标文件、中标通知书通知书均为合同的有效组成部分，与本合同具有同等法律效力。</w:t>
      </w:r>
    </w:p>
    <w:p>
      <w:pPr>
        <w:jc w:val="both"/>
      </w:pPr>
      <w:r>
        <w:rPr>
          <w:color w:val="000000"/>
          <w:sz w:val="21"/>
        </w:rPr>
        <w:t>2)</w:t>
      </w:r>
      <w:r>
        <w:rPr>
          <w:color w:val="000000"/>
          <w:sz w:val="21"/>
        </w:rPr>
        <w:t>在执行本合同的过程中，所有经双方签署确认的文件（包括会议纪要、补充协议、往来信函）即成为本合同的有效组成部分。</w:t>
      </w:r>
    </w:p>
    <w:p>
      <w:pPr>
        <w:jc w:val="both"/>
      </w:pPr>
      <w:r>
        <w:rPr>
          <w:color w:val="000000"/>
          <w:sz w:val="21"/>
        </w:rPr>
        <w:t>3)</w:t>
      </w:r>
      <w:r>
        <w:rPr>
          <w:color w:val="000000"/>
          <w:sz w:val="21"/>
        </w:rPr>
        <w:t>如一方地址、电话、传真号码有变更，应在变更当日内书面通知对方，否则，应承担相应责任。</w:t>
      </w:r>
    </w:p>
    <w:p>
      <w:pPr>
        <w:jc w:val="both"/>
      </w:pPr>
      <w:r>
        <w:rPr>
          <w:color w:val="000000"/>
          <w:sz w:val="21"/>
        </w:rPr>
        <w:t>4)</w:t>
      </w:r>
      <w:r>
        <w:rPr>
          <w:color w:val="000000"/>
          <w:sz w:val="21"/>
        </w:rPr>
        <w:t>除甲方事先书面同意外，乙方不得部分或全部转让其应履行的合同项下的义务。</w:t>
      </w:r>
    </w:p>
    <w:p>
      <w:pPr>
        <w:numPr>
          <w:ilvl w:val="0"/>
          <w:numId w:val="1"/>
        </w:numPr>
        <w:jc w:val="both"/>
      </w:pPr>
      <w:r>
        <w:rPr>
          <w:b/>
          <w:color w:val="000000"/>
          <w:sz w:val="21"/>
        </w:rPr>
        <w:t>十三、合同生效</w:t>
      </w:r>
    </w:p>
    <w:p>
      <w:pPr>
        <w:jc w:val="both"/>
      </w:pPr>
      <w:r>
        <w:rPr>
          <w:color w:val="000000"/>
          <w:sz w:val="21"/>
        </w:rPr>
        <w:t>1</w:t>
      </w:r>
      <w:r>
        <w:rPr>
          <w:color w:val="000000"/>
          <w:sz w:val="21"/>
        </w:rPr>
        <w:t>）本合同在甲乙双方法人代表或其授权代表签字盖章后生效。</w:t>
      </w:r>
    </w:p>
    <w:p>
      <w:pPr>
        <w:jc w:val="both"/>
      </w:pPr>
      <w:r>
        <w:rPr>
          <w:color w:val="000000"/>
          <w:sz w:val="21"/>
        </w:rPr>
        <w:t>2</w:t>
      </w:r>
      <w:r>
        <w:rPr>
          <w:color w:val="000000"/>
          <w:sz w:val="21"/>
        </w:rPr>
        <w:t>）合同一式</w:t>
      </w:r>
      <w:r>
        <w:rPr>
          <w:color w:val="000000"/>
          <w:sz w:val="21"/>
          <w:u w:val="single"/>
        </w:rPr>
        <w:t xml:space="preserve">   </w:t>
      </w:r>
      <w:r>
        <w:rPr>
          <w:color w:val="000000"/>
          <w:sz w:val="21"/>
        </w:rPr>
        <w:t>份，其中甲方</w:t>
      </w:r>
      <w:r>
        <w:rPr>
          <w:color w:val="000000"/>
          <w:sz w:val="21"/>
          <w:u w:val="single"/>
        </w:rPr>
        <w:t xml:space="preserve">   </w:t>
      </w:r>
      <w:r>
        <w:rPr>
          <w:color w:val="000000"/>
          <w:sz w:val="21"/>
        </w:rPr>
        <w:t>份，乙方</w:t>
      </w:r>
      <w:r>
        <w:rPr>
          <w:color w:val="000000"/>
          <w:sz w:val="21"/>
          <w:u w:val="single"/>
        </w:rPr>
        <w:t xml:space="preserve">   </w:t>
      </w:r>
      <w:r>
        <w:rPr>
          <w:color w:val="000000"/>
          <w:sz w:val="21"/>
        </w:rPr>
        <w:t>份，监管部门壹份，采购代理机构壹份。</w:t>
      </w:r>
    </w:p>
    <w:p>
      <w:pPr>
        <w:jc w:val="both"/>
      </w:pPr>
    </w:p>
    <w:p>
      <w:pPr>
        <w:jc w:val="both"/>
      </w:pPr>
    </w:p>
    <w:p>
      <w:pPr>
        <w:jc w:val="both"/>
      </w:pPr>
    </w:p>
    <w:p>
      <w:pPr>
        <w:jc w:val="both"/>
      </w:pPr>
      <w:r>
        <w:rPr>
          <w:color w:val="000000"/>
          <w:sz w:val="21"/>
        </w:rPr>
        <w:t>甲方（盖章）：                          乙方（盖章）：</w:t>
      </w:r>
    </w:p>
    <w:p>
      <w:pPr>
        <w:jc w:val="both"/>
      </w:pPr>
      <w:r>
        <w:rPr>
          <w:color w:val="000000"/>
          <w:sz w:val="21"/>
        </w:rPr>
        <w:t>法定代表/授权代表（签字）：             法定代表/授权代表（签字）：</w:t>
      </w:r>
    </w:p>
    <w:p>
      <w:pPr>
        <w:jc w:val="both"/>
      </w:pPr>
      <w:r>
        <w:rPr>
          <w:color w:val="000000"/>
          <w:sz w:val="21"/>
        </w:rPr>
        <w:t>日期：                                 日期：</w:t>
      </w:r>
    </w:p>
    <w:p>
      <w:pPr>
        <w:jc w:val="both"/>
      </w:pPr>
      <w:r>
        <w:rPr>
          <w:color w:val="000000"/>
          <w:sz w:val="21"/>
        </w:rPr>
        <w:t>邮政编码：                             邮政编码：</w:t>
      </w:r>
    </w:p>
    <w:p>
      <w:pPr>
        <w:jc w:val="both"/>
      </w:pPr>
      <w:r>
        <w:rPr>
          <w:color w:val="000000"/>
          <w:sz w:val="21"/>
        </w:rPr>
        <w:t>开户名称：                             开户名称：</w:t>
      </w:r>
    </w:p>
    <w:p>
      <w:pPr>
        <w:jc w:val="both"/>
      </w:pPr>
      <w:r>
        <w:rPr>
          <w:color w:val="000000"/>
          <w:sz w:val="21"/>
        </w:rPr>
        <w:t>开户银行：                             开户银行：</w:t>
      </w:r>
    </w:p>
    <w:p>
      <w:pPr>
        <w:jc w:val="both"/>
      </w:pPr>
      <w:r>
        <w:rPr>
          <w:color w:val="000000"/>
          <w:sz w:val="21"/>
        </w:rPr>
        <w:t>开户账号：                             开户账号:</w:t>
      </w:r>
    </w:p>
    <w:p>
      <w:pPr>
        <w:jc w:val="left"/>
      </w:pPr>
    </w:p>
    <w:p>
      <w:pPr>
        <w:jc w:val="left"/>
      </w:pPr>
      <w:r>
        <w:rPr>
          <w:color w:val="000000"/>
          <w:sz w:val="21"/>
        </w:rPr>
        <w:t>注： 此为合同草案，可根据磋商情况进行变更！</w:t>
      </w:r>
    </w:p>
    <w:p/>
    <w:p>
      <w:r>
        <w:rPr/>
        <w:t xml:space="preserve"> </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440101-2024-00803</w:t>
      </w:r>
    </w:p>
    <w:p>
      <w:pPr>
        <w:jc w:val="center"/>
      </w:pPr>
      <w:r>
        <w:rPr>
          <w:b/>
          <w:sz w:val="24"/>
        </w:rPr>
        <w:t>采购项目编号：</w:t>
      </w:r>
      <w:r>
        <w:rPr>
          <w:b/>
          <w:sz w:val="24"/>
        </w:rPr>
        <w:t>440101-2024-00803</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广东志正招标有限公司</w:t>
      </w:r>
    </w:p>
    <w:p>
      <w:pPr>
        <w:ind w:firstLine="480"/>
      </w:pPr>
      <w:r>
        <w:rPr/>
        <w:t>你方组织的</w:t>
      </w:r>
      <w:r>
        <w:rPr>
          <w:u w:val="single"/>
        </w:rPr>
        <w:t>“</w:t>
      </w:r>
      <w:r>
        <w:rPr>
          <w:u w:val="single"/>
        </w:rPr>
        <w:t>广州开放大学2024年成人高等教育资源建设服务采购</w:t>
      </w:r>
      <w:r>
        <w:rPr>
          <w:u w:val="single"/>
        </w:rPr>
        <w:t>”</w:t>
      </w:r>
      <w:r>
        <w:rPr/>
        <w:t>项目的竞争性磋商[采购项目编号为：</w:t>
      </w:r>
      <w:r>
        <w:rPr>
          <w:u w:val="single"/>
        </w:rPr>
        <w:t>440101-2024-00803</w:t>
      </w:r>
      <w:r>
        <w:rPr/>
        <w:t>]，我方愿参与响应。</w:t>
      </w:r>
    </w:p>
    <w:p>
      <w:pPr>
        <w:ind w:firstLine="480"/>
      </w:pPr>
      <w:r>
        <w:rPr/>
        <w:t>我方确认收到贵方提供的</w:t>
      </w:r>
      <w:r>
        <w:rPr>
          <w:u w:val="single"/>
        </w:rPr>
        <w:t>“</w:t>
      </w:r>
      <w:r>
        <w:rPr>
          <w:u w:val="single"/>
        </w:rPr>
        <w:t>广州开放大学2024年成人高等教育资源建设服务采购</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（四）我方理解贵方不一定接受最低磋商价或任何贵方可能收到的响应。</w:t>
      </w:r>
    </w:p>
    <w:p>
      <w:pPr>
        <w:ind w:firstLine="480"/>
      </w:pPr>
      <w:r>
        <w:rPr/>
        <w:t>（五）我方如果成交，将保证履行磋商文件及其澄清、修改文件（如果有）中的全部责任和义务，按质、按量、按期完成《采购需求》及《合同书》中的全部任务。</w:t>
      </w:r>
    </w:p>
    <w:p>
      <w:pPr>
        <w:ind w:firstLine="480"/>
      </w:pPr>
      <w:r>
        <w:rPr/>
        <w:t>（六）我方作为法律、财务和运作上独立于采购人、采购代理机构的供应商，在此保证所提交的所有文件和全部说明是真实的和正确的。</w:t>
      </w:r>
    </w:p>
    <w:p>
      <w:pPr>
        <w:ind w:firstLine="480"/>
      </w:pPr>
      <w:r>
        <w:rPr/>
        <w:t>（七）我方磋商报价已包含应向知识产权所有权人支付的所有相关税费，并保证采购人在中国使用我方提供的货物或服务时，如有第三方提出侵犯其知识产权主张的，责任由我方承担。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（八）我方接受采购人委托向贵方支付代理服务费，项目总报价已包含代理服务费，如果被确定为成交供应商，承诺向贵方足额支付。（若采购人支付代理服务费，则此条不适用）</w:t>
      </w:r>
    </w:p>
    <w:p>
      <w:pPr>
        <w:ind w:firstLine="480"/>
      </w:pPr>
      <w:r>
        <w:rPr/>
        <w:t>（九）我方与其他供应商不存在法定代表人或单位负责人为同一人或者存在直接控股、管理关系。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（十二）我方承诺遵守《中华人民共和国劳动合同法》有关规定和《中华人民共和国妇女权益保障法》中关于“劳动和社会保障权益”的有关要求。</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jc w:val="center"/>
      </w:pPr>
      <w:r>
        <w:rPr>
          <w:b/>
          <w:sz w:val="15"/>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现任我单位_____________职务_____________为法定代表人，特此证明。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广东志正招标有限公司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广州开放大学2024年成人高等教育资源建设服务采购</w:t>
      </w:r>
      <w:r>
        <w:rPr/>
        <w:t>”项目采购[采购项目编号为</w:t>
      </w:r>
      <w:r>
        <w:rPr/>
        <w:t>440101-2024-00803</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一、提供以下相关证照的扫描件之一：1.企业法人提供企业法人营业执照；2.事业法人提供事业法人登记证；3.其他组织提供其他组织的营业执照或执业许可证；4.自然人提供居民身份证等；</w:t>
      </w:r>
    </w:p>
    <w:p>
      <w:pPr>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广州开放大学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广东志正招标有限公司</w:t>
      </w:r>
    </w:p>
    <w:p>
      <w:pPr>
        <w:ind w:firstLine="480"/>
      </w:pPr>
      <w:r>
        <w:rPr/>
        <w:t>我单位参加贵公司组织的</w:t>
      </w:r>
      <w:r>
        <w:rPr/>
        <w:t>广州开放大学2024年成人高等教育资源建设服务采购</w:t>
      </w:r>
      <w:r>
        <w:rPr/>
        <w:t>（采购项目编号：</w:t>
      </w:r>
      <w:r>
        <w:rPr/>
        <w:t>440101-2024-00803</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