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440114-2024-00136</w:t>
      </w:r>
    </w:p>
    <w:p>
      <w:pPr>
        <w:jc w:val="center"/>
      </w:pPr>
      <w:r>
        <w:rPr>
          <w:b/>
          <w:sz w:val="24"/>
        </w:rPr>
        <w:t>采购项目编号：</w:t>
      </w:r>
      <w:r>
        <w:rPr>
          <w:b/>
          <w:sz w:val="24"/>
        </w:rPr>
        <w:t>440114-2024-00136</w:t>
      </w:r>
    </w:p>
    <w:p>
      <w:pPr>
        <w:jc w:val="center"/>
      </w:pPr>
      <w:r>
        <w:rPr>
          <w:b/>
          <w:sz w:val="24"/>
        </w:rPr>
        <w:t>项目名称：</w:t>
      </w:r>
      <w:r>
        <w:rPr>
          <w:b/>
          <w:sz w:val="24"/>
        </w:rPr>
        <w:t>2024-2026年度花都区老年人照护需求综合评估项目</w:t>
      </w:r>
    </w:p>
    <w:p>
      <w:pPr>
        <w:jc w:val="center"/>
      </w:pPr>
      <w:r>
        <w:rPr>
          <w:b/>
          <w:sz w:val="24"/>
        </w:rPr>
        <w:t>采购人：</w:t>
      </w:r>
      <w:r>
        <w:rPr>
          <w:b/>
          <w:sz w:val="24"/>
        </w:rPr>
        <w:t>广州市花都区民政局</w:t>
      </w:r>
    </w:p>
    <w:p>
      <w:pPr>
        <w:jc w:val="center"/>
      </w:pPr>
      <w:r>
        <w:rPr>
          <w:b/>
          <w:sz w:val="24"/>
        </w:rPr>
        <w:t>采购代理机构：</w:t>
      </w:r>
      <w:r>
        <w:rPr>
          <w:b/>
          <w:sz w:val="24"/>
        </w:rPr>
        <w:t>广东志正招标有限公司</w:t>
      </w:r>
    </w:p>
    <w:p>
      <w:pPr>
        <w:ind w:firstLine="480"/>
      </w:pPr>
    </w:p>
    <w:p>
      <w:r>
        <w:rPr/>
        <w:t xml:space="preserve"> </w:t>
      </w:r>
    </w:p>
    <w:p/>
    <w:p>
      <w:pPr>
        <w:jc w:val="center"/>
      </w:pPr>
      <w:r>
        <w:rPr>
          <w:b/>
          <w:sz w:val="36"/>
        </w:rPr>
        <w:t>第一章投标邀请</w:t>
      </w:r>
    </w:p>
    <w:p>
      <w:pPr>
        <w:ind w:firstLine="480"/>
      </w:pPr>
      <w:r>
        <w:rPr/>
        <w:t>广东志正招标有限公司</w:t>
      </w:r>
      <w:r>
        <w:rPr/>
        <w:t>受</w:t>
      </w:r>
      <w:r>
        <w:rPr/>
        <w:t>广州市花都区民政局</w:t>
      </w:r>
      <w:r>
        <w:rPr/>
        <w:t>的委托，采用</w:t>
      </w:r>
      <w:r>
        <w:rPr/>
        <w:t>公开招标</w:t>
      </w:r>
      <w:r>
        <w:rPr/>
        <w:t>方式组织采购</w:t>
      </w:r>
      <w:r>
        <w:rPr/>
        <w:t>2024-2026年度花都区老年人照护需求综合评估项目</w:t>
      </w:r>
      <w:r>
        <w:rPr/>
        <w:t>。欢迎符合资格条件的国内供应商参加投标。</w:t>
      </w:r>
    </w:p>
    <w:p>
      <w:r>
        <w:rPr>
          <w:b/>
          <w:sz w:val="28"/>
        </w:rPr>
        <w:t>一.项目概述</w:t>
      </w:r>
    </w:p>
    <w:p>
      <w:r>
        <w:rPr>
          <w:b/>
          <w:sz w:val="24"/>
        </w:rPr>
        <w:t>1.名称与编号</w:t>
      </w:r>
    </w:p>
    <w:p>
      <w:pPr>
        <w:ind w:firstLine="480"/>
      </w:pPr>
      <w:r>
        <w:rPr/>
        <w:t>项目名称：</w:t>
      </w:r>
      <w:r>
        <w:rPr/>
        <w:t>2024-2026年度花都区老年人照护需求综合评估项目</w:t>
      </w:r>
    </w:p>
    <w:p>
      <w:pPr>
        <w:ind w:firstLine="480"/>
      </w:pPr>
      <w:r>
        <w:rPr/>
        <w:t>采购计划编号：</w:t>
      </w:r>
      <w:r>
        <w:rPr/>
        <w:t>440114-2024-00136</w:t>
      </w:r>
    </w:p>
    <w:p>
      <w:pPr>
        <w:ind w:firstLine="480"/>
      </w:pPr>
      <w:r>
        <w:rPr/>
        <w:t>采购项目编号：</w:t>
      </w:r>
      <w:r>
        <w:rPr/>
        <w:t>440114-2024-00136</w:t>
      </w:r>
    </w:p>
    <w:p>
      <w:pPr>
        <w:ind w:firstLine="480"/>
      </w:pPr>
      <w:r>
        <w:rPr/>
        <w:t>采购方式：</w:t>
      </w:r>
      <w:r>
        <w:rPr/>
        <w:t>公开招标</w:t>
      </w:r>
    </w:p>
    <w:p>
      <w:pPr>
        <w:ind w:firstLine="480"/>
      </w:pPr>
      <w:r>
        <w:rPr/>
        <w:t>预算金额：</w:t>
      </w:r>
      <w:r>
        <w:rPr/>
        <w:t>1,155,000.00</w:t>
      </w:r>
      <w:r>
        <w:rPr/>
        <w:t>元</w:t>
      </w:r>
    </w:p>
    <w:p>
      <w:r>
        <w:rPr>
          <w:b/>
          <w:sz w:val="24"/>
        </w:rPr>
        <w:t>2.项目内容及需求情况（采购项目技术规格、参数及要求）</w:t>
      </w:r>
    </w:p>
    <w:p>
      <w:pPr>
        <w:ind w:firstLine="480"/>
      </w:pPr>
    </w:p>
    <w:p/>
    <w:p>
      <w:r>
        <w:rPr/>
        <w:t>采购包1(2024-2026年度花都区老年人照护需求综合评估项目):</w:t>
      </w:r>
    </w:p>
    <w:p>
      <w:r>
        <w:rPr/>
        <w:t>采购包预算金额：1,155,000.00元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养老服务</w:t>
            </w:r>
          </w:p>
        </w:tc>
        <w:tc>
          <w:tcPr>
            <w:tcW w:type="dxa" w:w="2052"/>
          </w:tcPr>
          <w:p>
            <w:r>
              <w:rPr/>
              <w:t>2024-2026年度花都区老年人照护需求综合评估项目</w:t>
            </w:r>
          </w:p>
        </w:tc>
        <w:tc>
          <w:tcPr>
            <w:tcW w:type="dxa" w:w="977"/>
          </w:tcPr>
          <w:p>
            <w:r>
              <w:rPr/>
              <w:t>3.00(年)</w:t>
            </w:r>
          </w:p>
        </w:tc>
        <w:tc>
          <w:tcPr>
            <w:tcW w:type="dxa" w:w="977"/>
          </w:tcPr>
          <w:p>
            <w:r>
              <w:rPr/>
              <w:t>详见第二章</w:t>
            </w:r>
          </w:p>
        </w:tc>
        <w:tc>
          <w:tcPr>
            <w:tcW w:type="dxa" w:w="977"/>
          </w:tcPr>
          <w:p>
            <w:r>
              <w:rPr/>
              <w:t>1,155,000.00</w:t>
            </w:r>
          </w:p>
        </w:tc>
        <w:tc>
          <w:tcPr>
            <w:tcW w:type="dxa" w:w="977"/>
          </w:tcPr>
          <w:p>
            <w:r>
              <w:rPr/>
              <w:t>否</w:t>
            </w:r>
          </w:p>
        </w:tc>
      </w:tr>
    </w:tbl>
    <w:p/>
    <w:p>
      <w:r>
        <w:rPr/>
        <w:t>本采购包不接受联合体投标</w:t>
      </w:r>
    </w:p>
    <w:p/>
    <w:p>
      <w:r>
        <w:rPr/>
        <w:t>合同履行期限：3年,服务期内合同一年一签，验收合格续签下一年度合同。</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2）有依法缴纳税收和社会保障资金的良好记录：有依法缴纳税收和社会保障资金的良好记录，提供签署及盖章合格的投标函。</w:t>
      </w:r>
    </w:p>
    <w:p/>
    <w:p>
      <w:r>
        <w:rPr/>
        <w:t>3）具有良好的商业信誉和健全的财务会计制度：具有良好的商业信誉和健全的财务会计制度，提供签署及盖章合格的投标函。</w:t>
      </w:r>
    </w:p>
    <w:p/>
    <w:p>
      <w:r>
        <w:rPr/>
        <w:t>4）履行合同所必需的设备和专业技术能力：具有履行合同所必需的设备和专业技术能力，提供签署及盖章合格的投标函。</w:t>
      </w:r>
    </w:p>
    <w:p/>
    <w:p>
      <w:r>
        <w:rPr/>
        <w:t>5）参加采购活动前3年内，在经营活动中没有重大违法记录：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p/>
    <w:p>
      <w:r>
        <w:rPr>
          <w:b/>
          <w:sz w:val="24"/>
        </w:rPr>
        <w:t>2.落实政府采购政策需满足的资格要求：</w:t>
      </w:r>
    </w:p>
    <w:p>
      <w:pPr>
        <w:ind w:firstLine="480"/>
      </w:pPr>
    </w:p>
    <w:p>
      <w:pPr>
        <w:jc w:val="left"/>
      </w:pPr>
    </w:p>
    <w:p/>
    <w:p/>
    <w:p>
      <w:r>
        <w:rPr>
          <w:b/>
          <w:sz w:val="24"/>
        </w:rPr>
        <w:t>3.本项目特定的资格要求：</w:t>
      </w:r>
    </w:p>
    <w:p>
      <w:pPr>
        <w:ind w:firstLine="480"/>
      </w:pPr>
    </w:p>
    <w:p/>
    <w:p>
      <w:r>
        <w:rPr/>
        <w:t>采购包1（2024-2026年度花都区老年人照护需求综合评估项目）：</w:t>
      </w:r>
    </w:p>
    <w:p/>
    <w:p>
      <w:r>
        <w:rPr/>
        <w:t>1)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p/>
    <w:p>
      <w:r>
        <w:rPr/>
        <w:t>2)不得参与同一采购项目竞争的供应商（提供签署及盖章合格的投标函）：不得参与同一采购项目竞争的供应商（提供签署及盖章合格的投标函）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p/>
    <w:p>
      <w:r>
        <w:rPr/>
        <w:t>3)本项目不接受联合体投标。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广东志正招标有限公司（https://www.zztender.com/）</w:t>
      </w:r>
      <w:r>
        <w:rPr/>
        <w:t>。</w:t>
      </w:r>
    </w:p>
    <w:p>
      <w:r>
        <w:rPr>
          <w:b/>
          <w:sz w:val="28"/>
        </w:rPr>
        <w:t>六.本项目联系方式：</w:t>
      </w:r>
    </w:p>
    <w:p>
      <w:r>
        <w:rPr>
          <w:b/>
          <w:sz w:val="24"/>
        </w:rPr>
        <w:t>1.采购人信息</w:t>
      </w:r>
    </w:p>
    <w:p>
      <w:pPr>
        <w:ind w:firstLine="480"/>
      </w:pPr>
      <w:r>
        <w:rPr/>
        <w:t>名称：</w:t>
      </w:r>
      <w:r>
        <w:rPr/>
        <w:t>广州市花都区民政局</w:t>
      </w:r>
    </w:p>
    <w:p>
      <w:pPr>
        <w:ind w:firstLine="480"/>
      </w:pPr>
      <w:r>
        <w:rPr/>
        <w:t>地址：</w:t>
      </w:r>
      <w:r>
        <w:rPr/>
        <w:t>广州市花都区公益路35号</w:t>
      </w:r>
    </w:p>
    <w:p>
      <w:pPr>
        <w:ind w:firstLine="480"/>
      </w:pPr>
      <w:r>
        <w:rPr/>
        <w:t>联系方式：</w:t>
      </w:r>
      <w:r>
        <w:rPr/>
        <w:t>020-36897236</w:t>
      </w:r>
    </w:p>
    <w:p>
      <w:r>
        <w:rPr>
          <w:b/>
          <w:sz w:val="24"/>
        </w:rPr>
        <w:t>2.采购代理机构信息</w:t>
      </w:r>
    </w:p>
    <w:p>
      <w:pPr>
        <w:ind w:firstLine="480"/>
      </w:pPr>
      <w:r>
        <w:rPr/>
        <w:t>名称：</w:t>
      </w:r>
      <w:r>
        <w:rPr/>
        <w:t>广东志正招标有限公司</w:t>
      </w:r>
    </w:p>
    <w:p>
      <w:pPr>
        <w:ind w:firstLine="480"/>
      </w:pPr>
      <w:r>
        <w:rPr/>
        <w:t>地址：</w:t>
      </w:r>
      <w:r>
        <w:rPr/>
        <w:t>广东省广州市天河区龙怡路117号501、503、504、505、506房</w:t>
      </w:r>
    </w:p>
    <w:p>
      <w:pPr>
        <w:ind w:firstLine="480"/>
      </w:pPr>
      <w:r>
        <w:rPr/>
        <w:t>联系方式：</w:t>
      </w:r>
      <w:r>
        <w:rPr/>
        <w:t>020-87554238</w:t>
      </w:r>
    </w:p>
    <w:p>
      <w:r>
        <w:rPr>
          <w:b/>
          <w:sz w:val="24"/>
        </w:rPr>
        <w:t>3.项目联系方式</w:t>
      </w:r>
    </w:p>
    <w:p>
      <w:pPr>
        <w:ind w:firstLine="480"/>
      </w:pPr>
      <w:r>
        <w:rPr/>
        <w:t>项目联系人：</w:t>
      </w:r>
      <w:r>
        <w:rPr/>
        <w:t>梁小姐、潘先生</w:t>
      </w:r>
    </w:p>
    <w:p>
      <w:pPr>
        <w:ind w:firstLine="480"/>
      </w:pPr>
      <w:r>
        <w:rPr/>
        <w:t>电话：</w:t>
      </w:r>
      <w:r>
        <w:rPr/>
        <w:t>020-87554238</w:t>
      </w:r>
    </w:p>
    <w:p>
      <w:r>
        <w:rPr>
          <w:b/>
          <w:sz w:val="24"/>
        </w:rPr>
        <w:t>4.技术支持联系方式</w:t>
      </w:r>
    </w:p>
    <w:p>
      <w:pPr>
        <w:ind w:firstLine="480"/>
      </w:pPr>
      <w:r>
        <w:rPr/>
        <w:t>云平台联系方式：020-88696588</w:t>
      </w:r>
    </w:p>
    <w:p>
      <w:r>
        <w:rPr/>
        <w:t>采购代理机构：</w:t>
      </w:r>
      <w:r>
        <w:rPr/>
        <w:t>广东志正招标有限公司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color w:val="000000"/>
          <w:sz w:val="24"/>
        </w:rPr>
        <w:t>说明：</w:t>
      </w:r>
    </w:p>
    <w:p>
      <w:pPr>
        <w:jc w:val="both"/>
      </w:pPr>
      <w:r>
        <w:rPr>
          <w:color w:val="000000"/>
          <w:sz w:val="21"/>
        </w:rPr>
        <w:t>（一）投标人须对本项目为单位（有划分包组的，则以包组为单位）的标的物进行整体投标，任何只对其中一部分内容进行的投标都被视为无效投标。</w:t>
      </w:r>
    </w:p>
    <w:p>
      <w:pPr>
        <w:jc w:val="both"/>
      </w:pPr>
      <w:r>
        <w:rPr>
          <w:color w:val="000000"/>
          <w:sz w:val="21"/>
        </w:rPr>
        <w:t>（二）本招标文件中，凡标有“★”的地方，投标人要特别加以注意，必须对此作出一一响应。若有一项带“★”的指标未响应或不满足，将导致其废标或投标无效。</w:t>
      </w:r>
    </w:p>
    <w:p>
      <w:pPr>
        <w:jc w:val="both"/>
      </w:pPr>
      <w:r>
        <w:rPr>
          <w:color w:val="000000"/>
          <w:sz w:val="21"/>
        </w:rPr>
        <w:t>（三）根据《政府采购促进中小企业发展管理办法》的规定，本项目属于“按照本办法规定预留采购份额无法确保充分供应、充分竞争，或者存在可能影响政府采购目标实现的情形”的情形，故不属于专门面向中小企业采购的项目。</w:t>
      </w:r>
    </w:p>
    <w:p>
      <w:pPr>
        <w:jc w:val="both"/>
      </w:pPr>
      <w:r>
        <w:rPr>
          <w:color w:val="000000"/>
          <w:sz w:val="21"/>
        </w:rPr>
        <w:t>（四）本项目对应的中小企业划分标准所属行业为：</w:t>
      </w:r>
      <w:r>
        <w:rPr>
          <w:b/>
          <w:color w:val="000000"/>
          <w:sz w:val="21"/>
          <w:u w:val="single"/>
        </w:rPr>
        <w:t xml:space="preserve">其他未列明行业    </w:t>
      </w:r>
      <w:r>
        <w:rPr>
          <w:color w:val="000000"/>
          <w:sz w:val="21"/>
        </w:rPr>
        <w:t>。</w:t>
      </w:r>
    </w:p>
    <w:p>
      <w:pPr>
        <w:jc w:val="both"/>
      </w:pPr>
      <w:r>
        <w:rPr>
          <w:b/>
          <w:color w:val="000000"/>
          <w:sz w:val="21"/>
        </w:rPr>
        <w:t>（五）项目名称</w:t>
      </w:r>
    </w:p>
    <w:p>
      <w:pPr>
        <w:jc w:val="left"/>
      </w:pPr>
      <w:r>
        <w:rPr>
          <w:color w:val="000000"/>
          <w:sz w:val="21"/>
        </w:rPr>
        <w:t>2024-2026</w:t>
      </w:r>
      <w:r>
        <w:rPr>
          <w:color w:val="000000"/>
          <w:sz w:val="21"/>
        </w:rPr>
        <w:t>年度花都区老年人照护需求综合评估项目</w:t>
      </w:r>
    </w:p>
    <w:p>
      <w:pPr>
        <w:jc w:val="both"/>
      </w:pPr>
      <w:r>
        <w:rPr>
          <w:b/>
          <w:color w:val="000000"/>
          <w:sz w:val="21"/>
        </w:rPr>
        <w:t>（六）服务期</w:t>
      </w:r>
    </w:p>
    <w:p>
      <w:pPr>
        <w:jc w:val="both"/>
      </w:pPr>
      <w:r>
        <w:rPr>
          <w:color w:val="000000"/>
          <w:sz w:val="21"/>
        </w:rPr>
        <w:t>3</w:t>
      </w:r>
      <w:r>
        <w:rPr>
          <w:color w:val="000000"/>
          <w:sz w:val="21"/>
        </w:rPr>
        <w:t>年,服务期内合同一年一签，验收合格续签下一年度合同。</w:t>
      </w:r>
    </w:p>
    <w:p>
      <w:pPr>
        <w:jc w:val="both"/>
      </w:pPr>
      <w:r>
        <w:rPr>
          <w:b/>
          <w:color w:val="000000"/>
          <w:sz w:val="21"/>
        </w:rPr>
        <w:t>（七）项目报价</w:t>
      </w:r>
    </w:p>
    <w:tbl>
      <w:tblPr>
        <w:tblW w:w="0" w:type="auto"/>
        <w:tblBorders>
          <w:top w:val="none" w:color="000000" w:sz="4"/>
          <w:left w:val="none" w:color="000000" w:sz="4"/>
          <w:bottom w:val="none" w:color="000000" w:sz="4"/>
          <w:right w:val="none" w:color="000000" w:sz="4"/>
          <w:insideH w:val="none"/>
          <w:insideV w:val="none"/>
        </w:tblBorders>
      </w:tblPr>
      <w:tblGrid>
        <w:gridCol w:w="2601"/>
        <w:gridCol w:w="3356"/>
        <w:gridCol w:w="2349"/>
      </w:tblGrid>
      <w:tr>
        <w:tc>
          <w:tcPr>
            <w:tcW w:type="dxa" w:w="2601"/>
            <w:tcBorders>
              <w:top w:val="single" w:color="000000" w:sz="4"/>
              <w:left w:val="single" w:color="000000" w:sz="4"/>
              <w:bottom w:val="single" w:color="000000" w:sz="4"/>
              <w:right w:val="single" w:color="000000" w:sz="4"/>
            </w:tcBorders>
          </w:tcPr>
          <w:p>
            <w:pPr>
              <w:jc w:val="center"/>
            </w:pPr>
            <w:r>
              <w:rPr>
                <w:b/>
                <w:color w:val="000000"/>
                <w:sz w:val="21"/>
              </w:rPr>
              <w:t>项目名称</w:t>
            </w:r>
          </w:p>
        </w:tc>
        <w:tc>
          <w:tcPr>
            <w:tcW w:type="dxa" w:w="3356"/>
            <w:tcBorders>
              <w:top w:val="single" w:color="000000" w:sz="4"/>
              <w:left w:val="none" w:color="000000" w:sz="4"/>
              <w:bottom w:val="single" w:color="000000" w:sz="4"/>
              <w:right w:val="single" w:color="000000" w:sz="4"/>
            </w:tcBorders>
          </w:tcPr>
          <w:p>
            <w:pPr>
              <w:jc w:val="center"/>
            </w:pPr>
            <w:r>
              <w:rPr>
                <w:b/>
                <w:color w:val="000000"/>
                <w:sz w:val="21"/>
              </w:rPr>
              <w:t>最高单价（人民币）</w:t>
            </w:r>
          </w:p>
        </w:tc>
        <w:tc>
          <w:tcPr>
            <w:tcW w:type="dxa" w:w="2349"/>
            <w:tcBorders>
              <w:top w:val="single" w:color="000000" w:sz="4"/>
              <w:left w:val="none" w:color="000000" w:sz="4"/>
              <w:bottom w:val="single" w:color="000000" w:sz="4"/>
              <w:right w:val="single" w:color="000000" w:sz="4"/>
            </w:tcBorders>
          </w:tcPr>
          <w:p>
            <w:pPr>
              <w:jc w:val="center"/>
            </w:pPr>
            <w:r>
              <w:rPr>
                <w:b/>
                <w:color w:val="000000"/>
                <w:sz w:val="21"/>
              </w:rPr>
              <w:t>采购预算</w:t>
            </w:r>
          </w:p>
        </w:tc>
      </w:tr>
      <w:tr>
        <w:tc>
          <w:tcPr>
            <w:tcW w:type="dxa" w:w="2601"/>
            <w:tcBorders>
              <w:top w:val="none" w:color="000000" w:sz="4"/>
              <w:left w:val="single" w:color="000000" w:sz="4"/>
              <w:bottom w:val="single" w:color="000000" w:sz="4"/>
              <w:right w:val="single" w:color="000000" w:sz="4"/>
            </w:tcBorders>
          </w:tcPr>
          <w:p>
            <w:pPr>
              <w:jc w:val="center"/>
            </w:pPr>
            <w:r>
              <w:rPr>
                <w:color w:val="000000"/>
                <w:sz w:val="21"/>
              </w:rPr>
              <w:t>2024-2026</w:t>
            </w:r>
            <w:r>
              <w:rPr>
                <w:color w:val="000000"/>
                <w:sz w:val="21"/>
              </w:rPr>
              <w:t>年度花都区老年人照护需求综合评估项目</w:t>
            </w:r>
          </w:p>
        </w:tc>
        <w:tc>
          <w:tcPr>
            <w:tcW w:type="dxa" w:w="3356"/>
            <w:tcBorders>
              <w:top w:val="none" w:color="000000" w:sz="4"/>
              <w:left w:val="none" w:color="000000" w:sz="4"/>
              <w:bottom w:val="single" w:color="000000" w:sz="4"/>
              <w:right w:val="single" w:color="000000" w:sz="4"/>
            </w:tcBorders>
          </w:tcPr>
          <w:p>
            <w:pPr>
              <w:jc w:val="center"/>
            </w:pPr>
            <w:r>
              <w:rPr>
                <w:color w:val="000000"/>
                <w:sz w:val="21"/>
              </w:rPr>
              <w:t>集中评估150元/人/次</w:t>
            </w:r>
            <w:r>
              <w:br/>
            </w:r>
            <w:r>
              <w:rPr>
                <w:color w:val="000000"/>
                <w:sz w:val="21"/>
              </w:rPr>
              <w:t>上门评估200元/人/次</w:t>
            </w:r>
          </w:p>
        </w:tc>
        <w:tc>
          <w:tcPr>
            <w:tcW w:type="dxa" w:w="2349"/>
            <w:tcBorders>
              <w:top w:val="none" w:color="000000" w:sz="4"/>
              <w:left w:val="none" w:color="000000" w:sz="4"/>
              <w:bottom w:val="single" w:color="000000" w:sz="4"/>
              <w:right w:val="single" w:color="000000" w:sz="4"/>
            </w:tcBorders>
          </w:tcPr>
          <w:p>
            <w:pPr>
              <w:jc w:val="center"/>
            </w:pPr>
            <w:r>
              <w:rPr>
                <w:color w:val="000000"/>
                <w:sz w:val="21"/>
              </w:rPr>
              <w:t>每年38.5万元，三年共115.5万元。</w:t>
            </w:r>
          </w:p>
        </w:tc>
      </w:tr>
    </w:tbl>
    <w:p>
      <w:pPr>
        <w:ind w:firstLine="422"/>
        <w:jc w:val="both"/>
      </w:pPr>
      <w:r>
        <w:rPr>
          <w:b/>
          <w:color w:val="000000"/>
          <w:sz w:val="21"/>
        </w:rPr>
        <w:t>特别注意事项：</w:t>
      </w:r>
    </w:p>
    <w:p>
      <w:pPr>
        <w:ind w:firstLine="422"/>
        <w:jc w:val="both"/>
      </w:pPr>
      <w:r>
        <w:rPr>
          <w:b/>
          <w:color w:val="000000"/>
          <w:sz w:val="21"/>
        </w:rPr>
        <w:t>1.</w:t>
      </w:r>
      <w:r>
        <w:rPr>
          <w:b/>
          <w:color w:val="000000"/>
          <w:sz w:val="21"/>
        </w:rPr>
        <w:t>本项目费用应包括所有因为评估工作等产生的费用开支，包括但不限于人员经费、服务支持经费、专业支持经费、办公经费及由项目开展而产生的其他所有费用。</w:t>
      </w:r>
    </w:p>
    <w:p>
      <w:pPr>
        <w:ind w:firstLine="422"/>
        <w:jc w:val="both"/>
      </w:pPr>
      <w:r>
        <w:rPr>
          <w:b/>
          <w:color w:val="000000"/>
          <w:sz w:val="21"/>
        </w:rPr>
        <w:t>2.</w:t>
      </w:r>
      <w:r>
        <w:rPr>
          <w:b/>
          <w:color w:val="000000"/>
          <w:sz w:val="21"/>
        </w:rPr>
        <w:t>采购预算为预估总额，结算总额以实际评估方式和评估人次数为准。</w:t>
      </w:r>
    </w:p>
    <w:p>
      <w:pPr>
        <w:ind w:firstLine="422"/>
        <w:jc w:val="both"/>
      </w:pPr>
      <w:r>
        <w:rPr>
          <w:b/>
          <w:color w:val="000000"/>
          <w:sz w:val="21"/>
        </w:rPr>
        <w:t>3.</w:t>
      </w:r>
      <w:r>
        <w:rPr>
          <w:b/>
          <w:color w:val="000000"/>
          <w:sz w:val="21"/>
        </w:rPr>
        <w:t>本项目报价形式为下浮率报价。</w:t>
      </w:r>
      <w:r>
        <w:rPr>
          <w:color w:val="000000"/>
          <w:sz w:val="21"/>
        </w:rPr>
        <w:t>例如：投标人报价下浮率为10%，</w:t>
      </w:r>
      <w:r>
        <w:rPr>
          <w:color w:val="000000"/>
          <w:sz w:val="21"/>
        </w:rPr>
        <w:t>集中评估投标单价为：150元/人/次*（1-10%）=135元/人/次，上门评估</w:t>
      </w:r>
      <w:r>
        <w:rPr>
          <w:color w:val="000000"/>
          <w:sz w:val="21"/>
        </w:rPr>
        <w:t>投标单价为：</w:t>
      </w:r>
      <w:r>
        <w:rPr>
          <w:color w:val="000000"/>
          <w:sz w:val="21"/>
        </w:rPr>
        <w:t>200</w:t>
      </w:r>
      <w:r>
        <w:rPr>
          <w:color w:val="000000"/>
          <w:sz w:val="21"/>
        </w:rPr>
        <w:t>元/人/次*（1-10%）=180元/人/次。</w:t>
      </w:r>
    </w:p>
    <w:p>
      <w:pPr>
        <w:ind w:firstLine="422"/>
        <w:jc w:val="both"/>
      </w:pPr>
      <w:r>
        <w:rPr>
          <w:b/>
          <w:color w:val="000000"/>
          <w:sz w:val="21"/>
        </w:rPr>
        <w:t>二、项目需求</w:t>
      </w:r>
    </w:p>
    <w:p>
      <w:pPr>
        <w:ind w:firstLine="422"/>
        <w:jc w:val="both"/>
      </w:pPr>
      <w:r>
        <w:rPr>
          <w:b/>
          <w:color w:val="000000"/>
          <w:sz w:val="21"/>
        </w:rPr>
        <w:t>（一）服务范围：广州市花都区</w:t>
      </w:r>
    </w:p>
    <w:p>
      <w:pPr>
        <w:ind w:firstLine="422"/>
        <w:jc w:val="both"/>
      </w:pPr>
      <w:r>
        <w:rPr>
          <w:b/>
          <w:color w:val="000000"/>
          <w:sz w:val="21"/>
        </w:rPr>
        <w:t>（二）服务对象</w:t>
      </w:r>
    </w:p>
    <w:p>
      <w:pPr>
        <w:ind w:firstLine="420"/>
        <w:jc w:val="both"/>
      </w:pPr>
      <w:r>
        <w:rPr>
          <w:color w:val="000000"/>
          <w:sz w:val="21"/>
        </w:rPr>
        <w:t>服务量约2000人次/年，3年共6000人次，为申请政府资助居家养老服务、助餐配餐服务、家庭养老床位建设和服务、居家适老化改造、“平安通”服务、轮候入住公办养老机构等养老服务的老年人。</w:t>
      </w:r>
    </w:p>
    <w:p>
      <w:pPr>
        <w:ind w:firstLine="422"/>
        <w:jc w:val="both"/>
      </w:pPr>
      <w:r>
        <w:rPr>
          <w:b/>
          <w:color w:val="000000"/>
          <w:sz w:val="21"/>
        </w:rPr>
        <w:t>（三）服务内容</w:t>
      </w:r>
    </w:p>
    <w:p>
      <w:pPr>
        <w:ind w:firstLine="420"/>
        <w:jc w:val="both"/>
      </w:pPr>
      <w:r>
        <w:rPr>
          <w:color w:val="000000"/>
          <w:sz w:val="21"/>
        </w:rPr>
        <w:t>投标人需按照《广州市老年人照护需求综合评估规范》的要求，通过全市统一的标准，对有需求的老年人能力程度、健康状况、社会支持情况等方面进行评估，科学确定老年人服务需求和照顾等级，作为申请政府资助居家养老服务、助餐配餐服务、家庭养老床位建设和服务、居家适老化改造、“平安通”服务、轮候入住公办养老机构等养老服务的依据。本项目评估主要分为二类人群：一是需要动态评估的人群，现正在享受养老服务和服务资助且照护需求评估报告有效期到期的老年人群体；二是新增评估人群，预计新申请养老服务和服务资助需要进行照护需求评估的老年人群体。投标人需以书面的形式反馈阶段性工作情况，包括：每月工作小结、工作半年情况报告、评估工作总体情况报告、花都区老年人照护需求分析报告，按照实际评估数量的老年人照护需求综合评估报告等。</w:t>
      </w:r>
    </w:p>
    <w:p>
      <w:pPr>
        <w:ind w:firstLine="422"/>
        <w:jc w:val="both"/>
      </w:pPr>
      <w:r>
        <w:rPr>
          <w:b/>
          <w:color w:val="000000"/>
          <w:sz w:val="21"/>
        </w:rPr>
        <w:t>（四）服务方式</w:t>
      </w:r>
    </w:p>
    <w:p>
      <w:pPr>
        <w:jc w:val="both"/>
      </w:pPr>
      <w:r>
        <w:rPr>
          <w:sz w:val="24"/>
        </w:rPr>
        <w:t xml:space="preserve"> </w:t>
      </w:r>
      <w:r>
        <w:rPr>
          <w:color w:val="000000"/>
          <w:sz w:val="21"/>
        </w:rPr>
        <w:t>采用集中评估（到评估点评估）和上门评估两种方式为老年人进行评估。</w:t>
      </w:r>
    </w:p>
    <w:p>
      <w:pPr>
        <w:ind w:firstLine="422"/>
        <w:jc w:val="both"/>
      </w:pPr>
      <w:r>
        <w:rPr>
          <w:b/>
          <w:color w:val="000000"/>
          <w:sz w:val="21"/>
        </w:rPr>
        <w:t>三、承接服务单位及人员要求</w:t>
      </w:r>
    </w:p>
    <w:p>
      <w:pPr>
        <w:ind w:firstLine="422"/>
        <w:jc w:val="both"/>
      </w:pPr>
      <w:r>
        <w:rPr>
          <w:b/>
          <w:color w:val="000000"/>
          <w:sz w:val="21"/>
        </w:rPr>
        <w:t>（一）承接服务单位要求</w:t>
      </w:r>
    </w:p>
    <w:p>
      <w:pPr>
        <w:ind w:firstLine="420"/>
        <w:jc w:val="both"/>
      </w:pPr>
      <w:r>
        <w:rPr>
          <w:color w:val="000000"/>
          <w:sz w:val="21"/>
        </w:rPr>
        <w:t>1.</w:t>
      </w:r>
      <w:r>
        <w:rPr>
          <w:color w:val="000000"/>
          <w:sz w:val="21"/>
        </w:rPr>
        <w:t>投标人应为依法独立登记的社会组织或企事业单位，具有固定的工作人员、专职的评估质控员、办公场所、良好的财务资金状况，具备完善的人事管理、财务管理、档案管理、评估业务管理、质量控制管理等制度。</w:t>
      </w:r>
    </w:p>
    <w:p>
      <w:pPr>
        <w:ind w:firstLine="420"/>
        <w:jc w:val="both"/>
      </w:pPr>
      <w:r>
        <w:rPr>
          <w:color w:val="000000"/>
          <w:sz w:val="21"/>
        </w:rPr>
        <w:t>★</w:t>
      </w:r>
      <w:r>
        <w:rPr>
          <w:color w:val="000000"/>
          <w:sz w:val="21"/>
        </w:rPr>
        <w:t>2.</w:t>
      </w:r>
      <w:r>
        <w:rPr>
          <w:color w:val="000000"/>
          <w:sz w:val="21"/>
        </w:rPr>
        <w:t>投标人须为本项目配备专职项目管理人员，配备具有财会专业教育背景或持有财会职业资格证书的人员管理财务。投标人必须保持评估团队人员的稳定性，评估团队人员名单及资格需向采购单位报备，评估团队主要负责人调整需经采购单位同意。投标人承诺在服务期内必须保证投入的评估员数量不能减少，服务期中如有人事变动问题，必须保证能达到投标时承诺投入的人员。</w:t>
      </w:r>
      <w:r>
        <w:rPr>
          <w:b/>
          <w:color w:val="000000"/>
          <w:sz w:val="21"/>
        </w:rPr>
        <w:t>（投标人提供承诺函，格式自拟，加盖投标人公章）</w:t>
      </w:r>
    </w:p>
    <w:p>
      <w:pPr>
        <w:ind w:firstLine="420"/>
        <w:jc w:val="both"/>
      </w:pPr>
      <w:r>
        <w:rPr>
          <w:color w:val="000000"/>
          <w:sz w:val="21"/>
        </w:rPr>
        <w:t>3.</w:t>
      </w:r>
      <w:r>
        <w:rPr>
          <w:color w:val="000000"/>
          <w:sz w:val="21"/>
        </w:rPr>
        <w:t>能按照合同等约定履行提供服务的义务，认真组织实施项目，按时完成项目任务，保证服务数量、质量和效果，主动接受有关部门、服务对象及社会监督，严禁投标人将评估业务分包或转包给其它单位或个人实施。</w:t>
      </w:r>
    </w:p>
    <w:p>
      <w:pPr>
        <w:ind w:firstLine="420"/>
        <w:jc w:val="both"/>
      </w:pPr>
      <w:r>
        <w:rPr>
          <w:color w:val="000000"/>
          <w:sz w:val="21"/>
        </w:rPr>
        <w:t>4.</w:t>
      </w:r>
      <w:r>
        <w:rPr>
          <w:color w:val="000000"/>
          <w:sz w:val="21"/>
        </w:rPr>
        <w:t>严格按照合同等约定使用评估设施设备，严禁擅自改变服务设施设备功能和用途，主动接受政府部门管理和指导。</w:t>
      </w:r>
    </w:p>
    <w:p>
      <w:pPr>
        <w:ind w:firstLine="420"/>
        <w:jc w:val="both"/>
      </w:pPr>
      <w:r>
        <w:rPr>
          <w:color w:val="000000"/>
          <w:sz w:val="21"/>
        </w:rPr>
        <w:t>5.</w:t>
      </w:r>
      <w:r>
        <w:rPr>
          <w:color w:val="000000"/>
          <w:sz w:val="21"/>
        </w:rPr>
        <w:t>应配有开展评估工作所需的工具，能提供上门评估服务。</w:t>
      </w:r>
    </w:p>
    <w:p>
      <w:pPr>
        <w:ind w:firstLine="420"/>
        <w:jc w:val="both"/>
      </w:pPr>
      <w:r>
        <w:rPr>
          <w:color w:val="000000"/>
          <w:sz w:val="21"/>
        </w:rPr>
        <w:t>6.</w:t>
      </w:r>
      <w:r>
        <w:rPr>
          <w:color w:val="000000"/>
          <w:sz w:val="21"/>
        </w:rPr>
        <w:t>能有效管理老年人照护需求综合评估的相关文件和档案真实完整记录并及时更新服务对象信息，保护个人信息安全，建档率达 100%。</w:t>
      </w:r>
    </w:p>
    <w:p>
      <w:pPr>
        <w:ind w:firstLine="420"/>
        <w:jc w:val="both"/>
      </w:pPr>
      <w:r>
        <w:rPr>
          <w:color w:val="000000"/>
          <w:sz w:val="21"/>
        </w:rPr>
        <w:t>7.</w:t>
      </w:r>
      <w:r>
        <w:rPr>
          <w:color w:val="000000"/>
          <w:sz w:val="21"/>
        </w:rPr>
        <w:t>具有合理、详细的项目经费使用计划和预算明细，严格遵守相关财政财务规定，加强自身监督，确保政府购买服务项目资金规范管理和使用，并按要求及时向政府部门提供资金的使用情况、项目执行情况、成果总结等材料。</w:t>
      </w:r>
    </w:p>
    <w:p>
      <w:pPr>
        <w:ind w:firstLine="420"/>
        <w:jc w:val="both"/>
      </w:pPr>
      <w:r>
        <w:rPr>
          <w:color w:val="000000"/>
          <w:sz w:val="21"/>
        </w:rPr>
        <w:t>8.</w:t>
      </w:r>
      <w:r>
        <w:rPr>
          <w:color w:val="000000"/>
          <w:sz w:val="21"/>
        </w:rPr>
        <w:t>建立防范服务风险制度，为工作人员购买人身意外保险。</w:t>
      </w:r>
    </w:p>
    <w:p>
      <w:pPr>
        <w:ind w:firstLine="420"/>
        <w:jc w:val="both"/>
      </w:pPr>
      <w:r>
        <w:rPr>
          <w:color w:val="000000"/>
          <w:sz w:val="21"/>
        </w:rPr>
        <w:t>9.</w:t>
      </w:r>
      <w:r>
        <w:rPr>
          <w:color w:val="000000"/>
          <w:sz w:val="21"/>
        </w:rPr>
        <w:t>建立完善的规章制度和工作流程，包括财务、人事、运营公共安全、卫生、资产、服务等方面的管理制度和应急措施。</w:t>
      </w:r>
    </w:p>
    <w:p>
      <w:pPr>
        <w:ind w:firstLine="420"/>
        <w:jc w:val="both"/>
      </w:pPr>
      <w:r>
        <w:rPr>
          <w:color w:val="000000"/>
          <w:sz w:val="21"/>
        </w:rPr>
        <w:t>10.</w:t>
      </w:r>
      <w:r>
        <w:rPr>
          <w:color w:val="000000"/>
          <w:sz w:val="21"/>
        </w:rPr>
        <w:t>投标人不得同时承担依评估结论而开展的服务工作。</w:t>
      </w:r>
    </w:p>
    <w:p>
      <w:pPr>
        <w:ind w:firstLine="422"/>
        <w:jc w:val="both"/>
      </w:pPr>
      <w:r>
        <w:rPr>
          <w:b/>
          <w:color w:val="000000"/>
          <w:sz w:val="21"/>
        </w:rPr>
        <w:t>（二）人员要求</w:t>
      </w:r>
    </w:p>
    <w:p>
      <w:pPr>
        <w:ind w:firstLine="420"/>
        <w:jc w:val="both"/>
      </w:pPr>
      <w:r>
        <w:rPr>
          <w:color w:val="000000"/>
          <w:sz w:val="21"/>
        </w:rPr>
        <w:t>评估人员需包括评估员和评估质控员。</w:t>
      </w:r>
    </w:p>
    <w:p>
      <w:pPr>
        <w:ind w:firstLine="420"/>
        <w:jc w:val="both"/>
      </w:pPr>
      <w:r>
        <w:rPr>
          <w:color w:val="000000"/>
          <w:sz w:val="21"/>
        </w:rPr>
        <w:t>1.</w:t>
      </w:r>
      <w:r>
        <w:rPr>
          <w:color w:val="000000"/>
          <w:sz w:val="21"/>
        </w:rPr>
        <w:t>投标人的评估员负责现场评估工作，同时应符合以下条件：</w:t>
      </w:r>
    </w:p>
    <w:p>
      <w:pPr>
        <w:ind w:firstLine="420"/>
        <w:jc w:val="both"/>
      </w:pPr>
      <w:r>
        <w:rPr>
          <w:color w:val="000000"/>
          <w:sz w:val="21"/>
        </w:rPr>
        <w:t>（1）具有良好的职业道德和职业操守，在工作中能够做好客观公正、廉洁自律、遵纪守法；</w:t>
      </w:r>
    </w:p>
    <w:p>
      <w:pPr>
        <w:ind w:firstLine="420"/>
        <w:jc w:val="both"/>
      </w:pPr>
      <w:r>
        <w:rPr>
          <w:color w:val="000000"/>
          <w:sz w:val="21"/>
        </w:rPr>
        <w:t>（2）具备临床医学、护理、康复、精神心理、公共卫生等执业资格或康复治疗师、养老护理员、社会工作者等相应资质，且具有2年以上相关工作经历；</w:t>
      </w:r>
    </w:p>
    <w:p>
      <w:pPr>
        <w:ind w:firstLine="420"/>
        <w:jc w:val="both"/>
      </w:pPr>
      <w:r>
        <w:rPr>
          <w:color w:val="000000"/>
          <w:sz w:val="21"/>
        </w:rPr>
        <w:t>（3）身体健康，且有较强的沟通能力；</w:t>
      </w:r>
    </w:p>
    <w:p>
      <w:pPr>
        <w:ind w:firstLine="420"/>
        <w:jc w:val="both"/>
      </w:pPr>
      <w:r>
        <w:rPr>
          <w:color w:val="000000"/>
          <w:sz w:val="21"/>
        </w:rPr>
        <w:t>（4）熟悉评估政策，并掌握相关老年人照护需求综合评估规范，且具备相应的评估能力；</w:t>
      </w:r>
    </w:p>
    <w:p>
      <w:pPr>
        <w:ind w:firstLine="420"/>
        <w:jc w:val="both"/>
      </w:pPr>
      <w:r>
        <w:rPr>
          <w:color w:val="000000"/>
          <w:sz w:val="21"/>
        </w:rPr>
        <w:t>2.</w:t>
      </w:r>
      <w:r>
        <w:rPr>
          <w:color w:val="000000"/>
          <w:sz w:val="21"/>
        </w:rPr>
        <w:t>评估质控员为投标人人员，负责指导评估工作开展并确认评估结论，同时应符合如下条件：</w:t>
      </w:r>
    </w:p>
    <w:p>
      <w:pPr>
        <w:ind w:firstLine="420"/>
        <w:jc w:val="both"/>
      </w:pPr>
      <w:r>
        <w:rPr>
          <w:color w:val="000000"/>
          <w:sz w:val="21"/>
        </w:rPr>
        <w:t>（1）具有良好的职业道德和职业操守，在工作中能够做到客观公正、廉洁自律、遵纪守法；</w:t>
      </w:r>
    </w:p>
    <w:p>
      <w:pPr>
        <w:ind w:firstLine="420"/>
        <w:jc w:val="both"/>
      </w:pPr>
      <w:r>
        <w:rPr>
          <w:color w:val="000000"/>
          <w:sz w:val="21"/>
        </w:rPr>
        <w:t>（2）具备医学或护理背景及2年以上评估工作经验。</w:t>
      </w:r>
    </w:p>
    <w:p>
      <w:pPr>
        <w:ind w:firstLine="420"/>
        <w:jc w:val="both"/>
      </w:pPr>
      <w:r>
        <w:rPr>
          <w:color w:val="000000"/>
          <w:sz w:val="21"/>
        </w:rPr>
        <w:t>3.</w:t>
      </w:r>
      <w:r>
        <w:rPr>
          <w:color w:val="000000"/>
          <w:sz w:val="21"/>
        </w:rPr>
        <w:t>评估员上岗前需参加专业培训，经考试合格后持证上岗。</w:t>
      </w:r>
    </w:p>
    <w:p>
      <w:pPr>
        <w:ind w:firstLine="420"/>
        <w:jc w:val="both"/>
      </w:pPr>
      <w:r>
        <w:rPr>
          <w:color w:val="000000"/>
          <w:sz w:val="21"/>
        </w:rPr>
        <w:t>4.</w:t>
      </w:r>
      <w:r>
        <w:rPr>
          <w:color w:val="000000"/>
          <w:sz w:val="21"/>
        </w:rPr>
        <w:t>评估员应当规范着装，佩戴自己身份标识的证件；态度和蔼，使用礼貌用语。</w:t>
      </w:r>
    </w:p>
    <w:p>
      <w:pPr>
        <w:ind w:firstLine="420"/>
        <w:jc w:val="both"/>
      </w:pPr>
      <w:r>
        <w:rPr>
          <w:color w:val="000000"/>
          <w:sz w:val="21"/>
        </w:rPr>
        <w:t>5.</w:t>
      </w:r>
      <w:r>
        <w:rPr>
          <w:color w:val="000000"/>
          <w:sz w:val="21"/>
        </w:rPr>
        <w:t>评估时应使用恰当的评估工具箱，箱内应当配有评估老年人相应能力方面的工具。</w:t>
      </w:r>
    </w:p>
    <w:p>
      <w:pPr>
        <w:ind w:firstLine="420"/>
        <w:jc w:val="both"/>
      </w:pPr>
      <w:r>
        <w:rPr>
          <w:color w:val="000000"/>
          <w:sz w:val="21"/>
        </w:rPr>
        <w:t>6.</w:t>
      </w:r>
      <w:r>
        <w:rPr>
          <w:color w:val="000000"/>
          <w:sz w:val="21"/>
        </w:rPr>
        <w:t>投标人及其评估人员有下列情形之一的应当回避：一是与被评估的服务项目或该项目的承接机构有利害关系的；二是曾在承接该项目的机构任职，离职不满两年的；三是与评估的服务项目或者承接该项目的机构有其他关系，可能影响评估结果公正的。</w:t>
      </w:r>
    </w:p>
    <w:p>
      <w:pPr>
        <w:jc w:val="both"/>
      </w:pPr>
      <w:r>
        <w:rPr>
          <w:sz w:val="24"/>
        </w:rPr>
        <w:t xml:space="preserve">  </w:t>
      </w:r>
      <w:r>
        <w:rPr>
          <w:b/>
          <w:sz w:val="24"/>
        </w:rPr>
        <w:t xml:space="preserve"> </w:t>
      </w:r>
      <w:r>
        <w:rPr>
          <w:b/>
          <w:color w:val="000000"/>
          <w:sz w:val="21"/>
        </w:rPr>
        <w:t>（三）服务要求</w:t>
      </w:r>
    </w:p>
    <w:p>
      <w:pPr>
        <w:ind w:firstLine="360"/>
        <w:jc w:val="both"/>
      </w:pPr>
      <w:r>
        <w:rPr>
          <w:color w:val="000000"/>
          <w:sz w:val="21"/>
        </w:rPr>
        <w:t>投标人应确保评估结论的准确性和公正性，评估结论在公示期内申请人有异议的，由投标人复核处理，复核所产生费用由投标人承担。</w:t>
      </w:r>
    </w:p>
    <w:p>
      <w:pPr>
        <w:ind w:firstLine="422"/>
        <w:jc w:val="both"/>
      </w:pPr>
      <w:r>
        <w:rPr>
          <w:b/>
          <w:color w:val="000000"/>
          <w:sz w:val="21"/>
        </w:rPr>
        <w:t>四、评估实施</w:t>
      </w:r>
    </w:p>
    <w:p>
      <w:pPr>
        <w:ind w:firstLine="422"/>
        <w:jc w:val="both"/>
      </w:pPr>
      <w:r>
        <w:rPr>
          <w:b/>
          <w:color w:val="000000"/>
          <w:sz w:val="21"/>
        </w:rPr>
        <w:t>（一）评估规范</w:t>
      </w:r>
    </w:p>
    <w:p>
      <w:pPr>
        <w:ind w:firstLine="420"/>
        <w:jc w:val="both"/>
      </w:pPr>
      <w:r>
        <w:rPr>
          <w:color w:val="000000"/>
          <w:sz w:val="21"/>
        </w:rPr>
        <w:t xml:space="preserve"> 1.</w:t>
      </w:r>
      <w:r>
        <w:rPr>
          <w:color w:val="000000"/>
          <w:sz w:val="21"/>
        </w:rPr>
        <w:t>投标人应当严格按照评估规范，组织实施综合评估。每次评估由2名评估员同时进行。其中1名应具备临床医学、护理、康复、精神心理、公共卫生等合法执业资格。评估员按照统一评估规范进行评估、如实记录评估信息，并提交评估质控员确认评估结论。评估对象或其监护人、申请人应当场对评估情况进行签名确认。</w:t>
      </w:r>
    </w:p>
    <w:p>
      <w:pPr>
        <w:ind w:firstLine="420"/>
        <w:jc w:val="both"/>
      </w:pPr>
      <w:r>
        <w:rPr>
          <w:color w:val="000000"/>
          <w:sz w:val="21"/>
        </w:rPr>
        <w:t>2.</w:t>
      </w:r>
      <w:r>
        <w:rPr>
          <w:color w:val="000000"/>
          <w:sz w:val="21"/>
        </w:rPr>
        <w:t>现场评估过程中，评估疑似精神、认知、智力障碍等人员时其监护人、申请人或相关第三人之一应当在场，并由评估人员进行全过程影像记录。</w:t>
      </w:r>
    </w:p>
    <w:p>
      <w:pPr>
        <w:ind w:firstLine="420"/>
        <w:jc w:val="both"/>
      </w:pPr>
      <w:r>
        <w:rPr>
          <w:color w:val="000000"/>
          <w:sz w:val="21"/>
        </w:rPr>
        <w:t>3.</w:t>
      </w:r>
      <w:r>
        <w:rPr>
          <w:color w:val="000000"/>
          <w:sz w:val="21"/>
        </w:rPr>
        <w:t>评估质控员为投标人派出人员，应对评估员作出的评估内容及评估结论进行复核确认。确认通过的，由投标人在评估报告上加盖公章，上传至相关信息平台;确认不通过的，及时退回给评估员重新评估。</w:t>
      </w:r>
    </w:p>
    <w:p>
      <w:pPr>
        <w:ind w:firstLine="420"/>
        <w:jc w:val="both"/>
      </w:pPr>
      <w:r>
        <w:rPr>
          <w:color w:val="000000"/>
          <w:sz w:val="21"/>
        </w:rPr>
        <w:t>4.</w:t>
      </w:r>
      <w:r>
        <w:rPr>
          <w:color w:val="000000"/>
          <w:sz w:val="21"/>
        </w:rPr>
        <w:t>评估行为应客观公正，独立开展，任何组织和个人不得干预。投标人对评估结论负责。</w:t>
      </w:r>
    </w:p>
    <w:p>
      <w:pPr>
        <w:ind w:firstLine="422"/>
        <w:jc w:val="both"/>
      </w:pPr>
      <w:r>
        <w:rPr>
          <w:b/>
          <w:color w:val="000000"/>
          <w:sz w:val="21"/>
        </w:rPr>
        <w:t>（二）评估流程</w:t>
      </w:r>
    </w:p>
    <w:p>
      <w:pPr>
        <w:ind w:firstLine="420"/>
        <w:jc w:val="both"/>
      </w:pPr>
      <w:r>
        <w:rPr>
          <w:color w:val="000000"/>
          <w:sz w:val="21"/>
        </w:rPr>
        <w:t>1.</w:t>
      </w:r>
      <w:r>
        <w:rPr>
          <w:color w:val="000000"/>
          <w:sz w:val="21"/>
        </w:rPr>
        <w:t>评估申请。申请享受养老服务，可由其本人(或其监护人、代理人或代理机构)通过“穗好办”或街(镇)政务服务中心提出申请，同时提交《老年人照护需求等级评估申请表》。街(镇)政务服务中心应于当日通过一体化平台将申请材料上传至相关信息平台，依法共享至各部门评估信息平台。</w:t>
      </w:r>
    </w:p>
    <w:p>
      <w:pPr>
        <w:ind w:firstLine="420"/>
        <w:jc w:val="both"/>
      </w:pPr>
      <w:r>
        <w:rPr>
          <w:color w:val="000000"/>
          <w:sz w:val="21"/>
        </w:rPr>
        <w:t>2.</w:t>
      </w:r>
      <w:r>
        <w:rPr>
          <w:color w:val="000000"/>
          <w:sz w:val="21"/>
        </w:rPr>
        <w:t>受理审核。投标人在 3个工作日内通过相关信息平台受理审核评估申请。申请人提供材料不完整或不符合受理条件的，通过原渠道一次性告知其需要补充的全部材料或不符合受理的具体原因。</w:t>
      </w:r>
    </w:p>
    <w:p>
      <w:pPr>
        <w:ind w:firstLine="420"/>
        <w:jc w:val="both"/>
      </w:pPr>
      <w:r>
        <w:rPr>
          <w:color w:val="000000"/>
          <w:sz w:val="21"/>
        </w:rPr>
        <w:t>3.</w:t>
      </w:r>
      <w:r>
        <w:rPr>
          <w:color w:val="000000"/>
          <w:sz w:val="21"/>
        </w:rPr>
        <w:t>现场评估。投标人自受理之日起5个工作日内组织评估员开展现场评估。评估员根据评估标准客观、公正采集评估信息，形成评估记录，并由评估对象或其监护人或代理人、评估形成评估记录，并由评估对象或其监护人或代理人、评估员双方签名确认。</w:t>
      </w:r>
    </w:p>
    <w:p>
      <w:pPr>
        <w:ind w:firstLine="420"/>
        <w:jc w:val="both"/>
      </w:pPr>
      <w:r>
        <w:rPr>
          <w:color w:val="000000"/>
          <w:sz w:val="21"/>
        </w:rPr>
        <w:t>4.</w:t>
      </w:r>
      <w:r>
        <w:rPr>
          <w:color w:val="000000"/>
          <w:sz w:val="21"/>
        </w:rPr>
        <w:t>复核与结论。评估质控员应对评估内容及评估结论进行复核。投标人在现场评估后5个工作日内作出评估结论。</w:t>
      </w:r>
    </w:p>
    <w:p>
      <w:pPr>
        <w:ind w:firstLine="420"/>
        <w:jc w:val="both"/>
      </w:pPr>
      <w:r>
        <w:rPr>
          <w:color w:val="000000"/>
          <w:sz w:val="21"/>
        </w:rPr>
        <w:t>5.</w:t>
      </w:r>
      <w:r>
        <w:rPr>
          <w:color w:val="000000"/>
          <w:sz w:val="21"/>
        </w:rPr>
        <w:t>公示与送达。评估结论应公示3个工作日，公示期内有异议的，由原投标人复核处理，公示无异议后作出评估结论并于5个工作日内送达申请人。</w:t>
      </w:r>
    </w:p>
    <w:p>
      <w:pPr>
        <w:ind w:firstLine="420"/>
        <w:jc w:val="both"/>
      </w:pPr>
      <w:r>
        <w:rPr>
          <w:color w:val="000000"/>
          <w:sz w:val="21"/>
        </w:rPr>
        <w:t>6.</w:t>
      </w:r>
      <w:r>
        <w:rPr>
          <w:color w:val="000000"/>
          <w:sz w:val="21"/>
        </w:rPr>
        <w:t>异议复评。申请人对评估结论有异议的，自收到评估结论7个工作日内享受待遇前通过“穗好办”或街(镇)政务服务中心提出申请。卫生健康部门受理复评的，组织评估专家在10个工作日内完成复评，并将评估结论送达申请人和原投标人复评结论为本次评估的最终结论。</w:t>
      </w:r>
    </w:p>
    <w:p>
      <w:pPr>
        <w:ind w:firstLine="422"/>
        <w:jc w:val="both"/>
      </w:pPr>
      <w:r>
        <w:rPr>
          <w:b/>
          <w:color w:val="000000"/>
          <w:sz w:val="21"/>
        </w:rPr>
        <w:t>（三）监督管理</w:t>
      </w:r>
    </w:p>
    <w:p>
      <w:pPr>
        <w:ind w:firstLine="420"/>
        <w:jc w:val="both"/>
      </w:pPr>
      <w:r>
        <w:rPr>
          <w:color w:val="000000"/>
          <w:sz w:val="21"/>
        </w:rPr>
        <w:t>评估服务需接受监督管理。投标人存在捏造数据、弄虚作假、徇私舞弊行为并查证属实的，由服务购买方中止其政府购买服务合同，该机构在2年内不得参与我市政府购买老年人照护需求综合评估项目，并列入居家社区养老服务供应商“黑名单”。</w:t>
      </w:r>
    </w:p>
    <w:p>
      <w:pPr>
        <w:ind w:firstLine="422"/>
        <w:jc w:val="both"/>
      </w:pPr>
      <w:r>
        <w:rPr>
          <w:b/>
          <w:color w:val="000000"/>
          <w:sz w:val="21"/>
        </w:rPr>
        <w:t>五、保密原则</w:t>
      </w:r>
    </w:p>
    <w:p>
      <w:pPr>
        <w:ind w:firstLine="420"/>
        <w:jc w:val="both"/>
      </w:pPr>
      <w:r>
        <w:rPr>
          <w:color w:val="000000"/>
          <w:sz w:val="21"/>
        </w:rPr>
        <w:t>★</w:t>
      </w:r>
      <w:r>
        <w:rPr>
          <w:color w:val="000000"/>
          <w:sz w:val="21"/>
        </w:rPr>
        <w:t>1.</w:t>
      </w:r>
      <w:r>
        <w:rPr>
          <w:color w:val="000000"/>
          <w:sz w:val="21"/>
        </w:rPr>
        <w:t>投标人须对本项目涉及的评估相关信息进行保密，未经区民政局书面许可，不得对外披露，不得以任何形式提供给第三方，不得在参与本项目工作之外使用这些保密信息。</w:t>
      </w:r>
      <w:r>
        <w:rPr>
          <w:b/>
          <w:color w:val="000000"/>
          <w:sz w:val="21"/>
        </w:rPr>
        <w:t>（投标人提供承诺函，格式自拟，加盖投标人公章）</w:t>
      </w:r>
    </w:p>
    <w:p>
      <w:pPr>
        <w:ind w:firstLine="420"/>
        <w:jc w:val="both"/>
      </w:pPr>
      <w:r>
        <w:rPr>
          <w:color w:val="000000"/>
          <w:sz w:val="21"/>
        </w:rPr>
        <w:t>2.</w:t>
      </w:r>
      <w:r>
        <w:rPr>
          <w:color w:val="000000"/>
          <w:sz w:val="21"/>
        </w:rPr>
        <w:t>投标人在本项目终止后需将项目过程中的所有纸质版、电子版资料移交给区民政局，不得保留以任何形式存储的评估信息数据，不得利用该项目的保密信息数据为其他的单位（包括自办单位）或项目服务。</w:t>
      </w:r>
    </w:p>
    <w:p>
      <w:pPr>
        <w:ind w:firstLine="422"/>
        <w:jc w:val="both"/>
      </w:pPr>
      <w:r>
        <w:rPr>
          <w:b/>
          <w:color w:val="000000"/>
          <w:sz w:val="21"/>
        </w:rPr>
        <w:t>六、项目验收</w:t>
      </w:r>
    </w:p>
    <w:p>
      <w:pPr>
        <w:ind w:firstLine="420"/>
        <w:jc w:val="both"/>
      </w:pPr>
      <w:r>
        <w:rPr>
          <w:color w:val="000000"/>
          <w:sz w:val="21"/>
        </w:rPr>
        <w:t>验收表如下：100分为满分，60分为合格，不满60分为不合格。验收不合格的，由投标人落实整改，整改后重新组织验收。整改后验收仍不合格的，采购方有权单方解除合同，无需支付服务费用并可向服务承接单位追讨损失。</w:t>
      </w:r>
    </w:p>
    <w:p>
      <w:pPr>
        <w:ind w:firstLine="422"/>
        <w:jc w:val="center"/>
      </w:pPr>
    </w:p>
    <w:p>
      <w:pPr>
        <w:ind w:firstLine="422"/>
        <w:jc w:val="center"/>
      </w:pPr>
    </w:p>
    <w:p>
      <w:pPr>
        <w:ind w:firstLine="422"/>
        <w:jc w:val="center"/>
      </w:pPr>
      <w:r>
        <w:rPr>
          <w:b/>
          <w:color w:val="000000"/>
          <w:sz w:val="21"/>
        </w:rPr>
        <w:t>附件2：《项目验收表》</w:t>
      </w:r>
    </w:p>
    <w:tbl>
      <w:tblPr>
        <w:tblW w:w="0" w:type="auto"/>
        <w:tblBorders>
          <w:top w:val="none" w:color="000000" w:sz="4"/>
          <w:left w:val="none" w:color="000000" w:sz="4"/>
          <w:bottom w:val="none" w:color="000000" w:sz="4"/>
          <w:right w:val="none" w:color="000000" w:sz="4"/>
          <w:insideH w:val="none"/>
          <w:insideV w:val="none"/>
        </w:tblBorders>
      </w:tblPr>
      <w:tblGrid>
        <w:gridCol w:w="685"/>
        <w:gridCol w:w="1199"/>
        <w:gridCol w:w="4110"/>
        <w:gridCol w:w="685"/>
        <w:gridCol w:w="942"/>
        <w:gridCol w:w="685"/>
      </w:tblGrid>
      <w:tr>
        <w:tc>
          <w:tcPr>
            <w:tcW w:type="dxa" w:w="685"/>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1199"/>
            <w:tcBorders>
              <w:top w:val="single" w:color="000000" w:sz="4"/>
              <w:left w:val="none" w:color="000000" w:sz="4"/>
              <w:bottom w:val="single" w:color="000000" w:sz="4"/>
              <w:right w:val="single" w:color="000000" w:sz="4"/>
            </w:tcBorders>
          </w:tcPr>
          <w:p>
            <w:pPr>
              <w:jc w:val="center"/>
            </w:pPr>
            <w:r>
              <w:rPr>
                <w:b/>
                <w:color w:val="000000"/>
                <w:sz w:val="21"/>
              </w:rPr>
              <w:t>评审项目</w:t>
            </w:r>
          </w:p>
        </w:tc>
        <w:tc>
          <w:tcPr>
            <w:tcW w:type="dxa" w:w="4110"/>
            <w:tcBorders>
              <w:top w:val="single" w:color="000000" w:sz="4"/>
              <w:left w:val="none" w:color="000000" w:sz="4"/>
              <w:bottom w:val="single" w:color="000000" w:sz="4"/>
              <w:right w:val="single" w:color="000000" w:sz="4"/>
            </w:tcBorders>
          </w:tcPr>
          <w:p>
            <w:pPr>
              <w:jc w:val="center"/>
            </w:pPr>
            <w:r>
              <w:rPr>
                <w:b/>
                <w:color w:val="000000"/>
                <w:sz w:val="21"/>
              </w:rPr>
              <w:t>评审内容</w:t>
            </w:r>
          </w:p>
        </w:tc>
        <w:tc>
          <w:tcPr>
            <w:tcW w:type="dxa" w:w="685"/>
            <w:tcBorders>
              <w:top w:val="single" w:color="000000" w:sz="4"/>
              <w:left w:val="none" w:color="000000" w:sz="4"/>
              <w:bottom w:val="single" w:color="000000" w:sz="4"/>
              <w:right w:val="single" w:color="000000" w:sz="4"/>
            </w:tcBorders>
          </w:tcPr>
          <w:p>
            <w:pPr>
              <w:jc w:val="center"/>
            </w:pPr>
            <w:r>
              <w:rPr>
                <w:b/>
                <w:color w:val="000000"/>
                <w:sz w:val="21"/>
              </w:rPr>
              <w:t>分值</w:t>
            </w:r>
          </w:p>
        </w:tc>
        <w:tc>
          <w:tcPr>
            <w:tcW w:type="dxa" w:w="942"/>
            <w:tcBorders>
              <w:top w:val="single" w:color="000000" w:sz="4"/>
              <w:left w:val="none" w:color="000000" w:sz="4"/>
              <w:bottom w:val="single" w:color="000000" w:sz="4"/>
              <w:right w:val="single" w:color="000000" w:sz="4"/>
            </w:tcBorders>
          </w:tcPr>
          <w:p>
            <w:pPr>
              <w:jc w:val="center"/>
            </w:pPr>
            <w:r>
              <w:rPr>
                <w:b/>
                <w:color w:val="000000"/>
                <w:sz w:val="21"/>
              </w:rPr>
              <w:t>操作办法</w:t>
            </w:r>
          </w:p>
        </w:tc>
        <w:tc>
          <w:tcPr>
            <w:tcW w:type="dxa" w:w="685"/>
            <w:tcBorders>
              <w:top w:val="single" w:color="000000" w:sz="4"/>
              <w:left w:val="none" w:color="000000" w:sz="4"/>
              <w:bottom w:val="single" w:color="000000" w:sz="4"/>
              <w:right w:val="single" w:color="000000" w:sz="4"/>
            </w:tcBorders>
          </w:tcPr>
          <w:p>
            <w:pPr>
              <w:jc w:val="center"/>
            </w:pPr>
            <w:r>
              <w:rPr>
                <w:b/>
                <w:color w:val="000000"/>
                <w:sz w:val="21"/>
              </w:rPr>
              <w:t>得分</w:t>
            </w:r>
          </w:p>
        </w:tc>
      </w:tr>
      <w:tr>
        <w:tc>
          <w:tcPr>
            <w:tcW w:type="dxa" w:w="685"/>
            <w:vMerge w:val="restart"/>
            <w:tcBorders>
              <w:top w:val="none" w:color="000000" w:sz="4"/>
              <w:left w:val="single" w:color="000000" w:sz="4"/>
              <w:bottom w:val="single" w:color="000000" w:sz="4"/>
              <w:right w:val="single" w:color="000000" w:sz="4"/>
            </w:tcBorders>
          </w:tcPr>
          <w:p>
            <w:pPr>
              <w:jc w:val="center"/>
            </w:pPr>
            <w:r>
              <w:rPr>
                <w:color w:val="000000"/>
                <w:sz w:val="21"/>
              </w:rPr>
              <w:t>1</w:t>
            </w:r>
          </w:p>
        </w:tc>
        <w:tc>
          <w:tcPr>
            <w:tcW w:type="dxa" w:w="1199"/>
            <w:vMerge w:val="restart"/>
            <w:tcBorders>
              <w:top w:val="none" w:color="000000" w:sz="4"/>
              <w:left w:val="none" w:color="000000" w:sz="4"/>
              <w:bottom w:val="single" w:color="000000" w:sz="4"/>
              <w:right w:val="single" w:color="000000" w:sz="4"/>
            </w:tcBorders>
          </w:tcPr>
          <w:p>
            <w:pPr>
              <w:jc w:val="center"/>
            </w:pPr>
            <w:r>
              <w:rPr>
                <w:color w:val="000000"/>
                <w:sz w:val="21"/>
              </w:rPr>
              <w:t>人员配置（15分）</w:t>
            </w:r>
          </w:p>
        </w:tc>
        <w:tc>
          <w:tcPr>
            <w:tcW w:type="dxa" w:w="4110"/>
            <w:tcBorders>
              <w:top w:val="none" w:color="000000" w:sz="4"/>
              <w:left w:val="none" w:color="000000" w:sz="4"/>
              <w:bottom w:val="single" w:color="000000" w:sz="4"/>
              <w:right w:val="single" w:color="000000" w:sz="4"/>
            </w:tcBorders>
          </w:tcPr>
          <w:p>
            <w:pPr>
              <w:jc w:val="both"/>
            </w:pPr>
            <w:r>
              <w:rPr>
                <w:color w:val="000000"/>
                <w:sz w:val="21"/>
              </w:rPr>
              <w:t>按要求配备工作人员，工作人员具备专业技术条件。每次评估由2名评估员同时进行，其中1名应具备临床医学、护理、康复、精神心理、公共卫生等合法执业资格。</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资料查阅，回访</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vMerge/>
            <w:tcBorders>
              <w:top w:val="none" w:color="000000" w:sz="4"/>
              <w:left w:val="single" w:color="000000" w:sz="4"/>
              <w:bottom w:val="single" w:color="000000" w:sz="4"/>
              <w:right w:val="single" w:color="000000" w:sz="4"/>
            </w:tcBorders>
          </w:tcPr>
          <w:p/>
        </w:tc>
        <w:tc>
          <w:tcPr>
            <w:tcW w:type="dxa" w:w="1199"/>
            <w:vMerge/>
            <w:tcBorders>
              <w:top w:val="none" w:color="000000" w:sz="4"/>
              <w:left w:val="none" w:color="000000" w:sz="4"/>
              <w:bottom w:val="single" w:color="000000" w:sz="4"/>
              <w:right w:val="single" w:color="000000" w:sz="4"/>
            </w:tcBorders>
          </w:tcPr>
          <w:p/>
        </w:tc>
        <w:tc>
          <w:tcPr>
            <w:tcW w:type="dxa" w:w="4110"/>
            <w:tcBorders>
              <w:top w:val="none" w:color="000000" w:sz="4"/>
              <w:left w:val="none" w:color="000000" w:sz="4"/>
              <w:bottom w:val="single" w:color="000000" w:sz="4"/>
              <w:right w:val="single" w:color="000000" w:sz="4"/>
            </w:tcBorders>
          </w:tcPr>
          <w:p>
            <w:pPr>
              <w:jc w:val="both"/>
            </w:pPr>
            <w:r>
              <w:rPr>
                <w:color w:val="000000"/>
                <w:sz w:val="21"/>
              </w:rPr>
              <w:t>评估人员能够按流程顺利完成评估，熟悉评估量表及评估工具的使用。</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5</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现场检查</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tcBorders>
              <w:top w:val="none" w:color="000000" w:sz="4"/>
              <w:left w:val="single" w:color="000000" w:sz="4"/>
              <w:bottom w:val="single" w:color="000000" w:sz="4"/>
              <w:right w:val="single" w:color="000000" w:sz="4"/>
            </w:tcBorders>
          </w:tcPr>
          <w:p>
            <w:pPr>
              <w:jc w:val="center"/>
            </w:pPr>
            <w:r>
              <w:rPr>
                <w:color w:val="000000"/>
                <w:sz w:val="21"/>
              </w:rPr>
              <w:t>2</w:t>
            </w:r>
          </w:p>
        </w:tc>
        <w:tc>
          <w:tcPr>
            <w:tcW w:type="dxa" w:w="1199"/>
            <w:tcBorders>
              <w:top w:val="none" w:color="000000" w:sz="4"/>
              <w:left w:val="none" w:color="000000" w:sz="4"/>
              <w:bottom w:val="single" w:color="000000" w:sz="4"/>
              <w:right w:val="single" w:color="000000" w:sz="4"/>
            </w:tcBorders>
          </w:tcPr>
          <w:p>
            <w:pPr>
              <w:jc w:val="center"/>
            </w:pPr>
            <w:r>
              <w:rPr>
                <w:color w:val="000000"/>
                <w:sz w:val="21"/>
              </w:rPr>
              <w:t>管理机制（5分）</w:t>
            </w:r>
          </w:p>
        </w:tc>
        <w:tc>
          <w:tcPr>
            <w:tcW w:type="dxa" w:w="4110"/>
            <w:tcBorders>
              <w:top w:val="none" w:color="000000" w:sz="4"/>
              <w:left w:val="none" w:color="000000" w:sz="4"/>
              <w:bottom w:val="single" w:color="000000" w:sz="4"/>
              <w:right w:val="single" w:color="000000" w:sz="4"/>
            </w:tcBorders>
          </w:tcPr>
          <w:p>
            <w:pPr>
              <w:jc w:val="both"/>
            </w:pPr>
            <w:r>
              <w:rPr>
                <w:color w:val="000000"/>
                <w:sz w:val="21"/>
              </w:rPr>
              <w:t>建立内部质量管理制度健全，流程规范。</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5</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vMerge w:val="restart"/>
            <w:tcBorders>
              <w:top w:val="none" w:color="000000" w:sz="4"/>
              <w:left w:val="single" w:color="000000" w:sz="4"/>
              <w:bottom w:val="single" w:color="000000" w:sz="4"/>
              <w:right w:val="single" w:color="000000" w:sz="4"/>
            </w:tcBorders>
          </w:tcPr>
          <w:p>
            <w:pPr>
              <w:jc w:val="center"/>
            </w:pPr>
            <w:r>
              <w:rPr>
                <w:color w:val="000000"/>
                <w:sz w:val="21"/>
              </w:rPr>
              <w:t>3</w:t>
            </w:r>
          </w:p>
        </w:tc>
        <w:tc>
          <w:tcPr>
            <w:tcW w:type="dxa" w:w="1199"/>
            <w:vMerge w:val="restart"/>
            <w:tcBorders>
              <w:top w:val="none" w:color="000000" w:sz="4"/>
              <w:left w:val="none" w:color="000000" w:sz="4"/>
              <w:bottom w:val="single" w:color="000000" w:sz="4"/>
              <w:right w:val="single" w:color="000000" w:sz="4"/>
            </w:tcBorders>
          </w:tcPr>
          <w:p>
            <w:pPr>
              <w:jc w:val="center"/>
            </w:pPr>
            <w:r>
              <w:rPr>
                <w:color w:val="000000"/>
                <w:sz w:val="21"/>
              </w:rPr>
              <w:t>完成率</w:t>
            </w:r>
          </w:p>
          <w:p>
            <w:pPr>
              <w:jc w:val="center"/>
            </w:pPr>
            <w:r>
              <w:rPr>
                <w:color w:val="000000"/>
                <w:sz w:val="21"/>
              </w:rPr>
              <w:t>（20分）</w:t>
            </w:r>
          </w:p>
        </w:tc>
        <w:tc>
          <w:tcPr>
            <w:tcW w:type="dxa" w:w="4110"/>
            <w:tcBorders>
              <w:top w:val="none" w:color="000000" w:sz="4"/>
              <w:left w:val="none" w:color="000000" w:sz="4"/>
              <w:bottom w:val="single" w:color="000000" w:sz="4"/>
              <w:right w:val="single" w:color="000000" w:sz="4"/>
            </w:tcBorders>
          </w:tcPr>
          <w:p>
            <w:pPr>
              <w:jc w:val="both"/>
            </w:pPr>
            <w:r>
              <w:rPr>
                <w:color w:val="000000"/>
                <w:sz w:val="21"/>
              </w:rPr>
              <w:t>评估完成率达到100%，没有出现少、漏对象的行为。</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vMerge/>
            <w:tcBorders>
              <w:top w:val="none" w:color="000000" w:sz="4"/>
              <w:left w:val="single" w:color="000000" w:sz="4"/>
              <w:bottom w:val="single" w:color="000000" w:sz="4"/>
              <w:right w:val="single" w:color="000000" w:sz="4"/>
            </w:tcBorders>
          </w:tcPr>
          <w:p/>
        </w:tc>
        <w:tc>
          <w:tcPr>
            <w:tcW w:type="dxa" w:w="1199"/>
            <w:vMerge/>
            <w:tcBorders>
              <w:top w:val="none" w:color="000000" w:sz="4"/>
              <w:left w:val="none" w:color="000000" w:sz="4"/>
              <w:bottom w:val="single" w:color="000000" w:sz="4"/>
              <w:right w:val="single" w:color="000000" w:sz="4"/>
            </w:tcBorders>
          </w:tcPr>
          <w:p/>
        </w:tc>
        <w:tc>
          <w:tcPr>
            <w:tcW w:type="dxa" w:w="4110"/>
            <w:tcBorders>
              <w:top w:val="none" w:color="000000" w:sz="4"/>
              <w:left w:val="none" w:color="000000" w:sz="4"/>
              <w:bottom w:val="single" w:color="000000" w:sz="4"/>
              <w:right w:val="single" w:color="000000" w:sz="4"/>
            </w:tcBorders>
          </w:tcPr>
          <w:p>
            <w:pPr>
              <w:jc w:val="both"/>
            </w:pPr>
            <w:r>
              <w:rPr>
                <w:color w:val="000000"/>
                <w:sz w:val="21"/>
              </w:rPr>
              <w:t>评估员遵照标准规定的参数和程序进行专业评判，并完整编写《老年人照护需求等级评定报告表》，没有缺项、漏项。</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资料查阅、回访</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tcBorders>
              <w:top w:val="none" w:color="000000" w:sz="4"/>
              <w:left w:val="single" w:color="000000" w:sz="4"/>
              <w:bottom w:val="single" w:color="000000" w:sz="4"/>
              <w:right w:val="single" w:color="000000" w:sz="4"/>
            </w:tcBorders>
          </w:tcPr>
          <w:p>
            <w:pPr>
              <w:jc w:val="center"/>
            </w:pPr>
            <w:r>
              <w:rPr>
                <w:color w:val="000000"/>
                <w:sz w:val="21"/>
              </w:rPr>
              <w:t>4</w:t>
            </w:r>
          </w:p>
        </w:tc>
        <w:tc>
          <w:tcPr>
            <w:tcW w:type="dxa" w:w="1199"/>
            <w:tcBorders>
              <w:top w:val="none" w:color="000000" w:sz="4"/>
              <w:left w:val="none" w:color="000000" w:sz="4"/>
              <w:bottom w:val="single" w:color="000000" w:sz="4"/>
              <w:right w:val="single" w:color="000000" w:sz="4"/>
            </w:tcBorders>
          </w:tcPr>
          <w:p>
            <w:pPr>
              <w:jc w:val="center"/>
            </w:pPr>
            <w:r>
              <w:rPr>
                <w:color w:val="000000"/>
                <w:sz w:val="21"/>
              </w:rPr>
              <w:t>评估建档</w:t>
            </w:r>
          </w:p>
          <w:p>
            <w:pPr>
              <w:jc w:val="center"/>
            </w:pPr>
            <w:r>
              <w:rPr>
                <w:color w:val="000000"/>
                <w:sz w:val="21"/>
              </w:rPr>
              <w:t>（10分）</w:t>
            </w:r>
          </w:p>
        </w:tc>
        <w:tc>
          <w:tcPr>
            <w:tcW w:type="dxa" w:w="4110"/>
            <w:tcBorders>
              <w:top w:val="none" w:color="000000" w:sz="4"/>
              <w:left w:val="none" w:color="000000" w:sz="4"/>
              <w:bottom w:val="single" w:color="000000" w:sz="4"/>
              <w:right w:val="single" w:color="000000" w:sz="4"/>
            </w:tcBorders>
          </w:tcPr>
          <w:p>
            <w:pPr>
              <w:jc w:val="both"/>
            </w:pPr>
            <w:r>
              <w:rPr>
                <w:color w:val="000000"/>
                <w:sz w:val="21"/>
              </w:rPr>
              <w:t>建立老年人照护需求评估档案，妥善保管评定表、评定报告等资料，建档率达100%，并制作电子化文档。</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vMerge w:val="restart"/>
            <w:tcBorders>
              <w:top w:val="none" w:color="000000" w:sz="4"/>
              <w:left w:val="single" w:color="000000" w:sz="4"/>
              <w:bottom w:val="single" w:color="000000" w:sz="4"/>
              <w:right w:val="single" w:color="000000" w:sz="4"/>
            </w:tcBorders>
          </w:tcPr>
          <w:p>
            <w:pPr>
              <w:jc w:val="center"/>
            </w:pPr>
            <w:r>
              <w:rPr>
                <w:color w:val="000000"/>
                <w:sz w:val="21"/>
              </w:rPr>
              <w:t>5</w:t>
            </w:r>
          </w:p>
        </w:tc>
        <w:tc>
          <w:tcPr>
            <w:tcW w:type="dxa" w:w="1199"/>
            <w:vMerge w:val="restart"/>
            <w:tcBorders>
              <w:top w:val="none" w:color="000000" w:sz="4"/>
              <w:left w:val="none" w:color="000000" w:sz="4"/>
              <w:bottom w:val="single" w:color="000000" w:sz="4"/>
              <w:right w:val="single" w:color="000000" w:sz="4"/>
            </w:tcBorders>
          </w:tcPr>
          <w:p>
            <w:pPr>
              <w:jc w:val="center"/>
            </w:pPr>
            <w:r>
              <w:rPr>
                <w:color w:val="000000"/>
                <w:sz w:val="21"/>
              </w:rPr>
              <w:t>满意度</w:t>
            </w:r>
          </w:p>
          <w:p>
            <w:pPr>
              <w:jc w:val="center"/>
            </w:pPr>
            <w:r>
              <w:rPr>
                <w:color w:val="000000"/>
                <w:sz w:val="21"/>
              </w:rPr>
              <w:t>（20分）</w:t>
            </w:r>
          </w:p>
        </w:tc>
        <w:tc>
          <w:tcPr>
            <w:tcW w:type="dxa" w:w="4110"/>
            <w:tcBorders>
              <w:top w:val="none" w:color="000000" w:sz="4"/>
              <w:left w:val="none" w:color="000000" w:sz="4"/>
              <w:bottom w:val="single" w:color="000000" w:sz="4"/>
              <w:right w:val="single" w:color="000000" w:sz="4"/>
            </w:tcBorders>
          </w:tcPr>
          <w:p>
            <w:pPr>
              <w:jc w:val="both"/>
            </w:pPr>
            <w:r>
              <w:rPr>
                <w:color w:val="000000"/>
                <w:sz w:val="21"/>
              </w:rPr>
              <w:t>工作人员行为规范，尊重评估对象，评估满意度达到80%以上。（抽样）</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评估回访</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vMerge/>
            <w:tcBorders>
              <w:top w:val="none" w:color="000000" w:sz="4"/>
              <w:left w:val="single" w:color="000000" w:sz="4"/>
              <w:bottom w:val="single" w:color="000000" w:sz="4"/>
              <w:right w:val="single" w:color="000000" w:sz="4"/>
            </w:tcBorders>
          </w:tcPr>
          <w:p/>
        </w:tc>
        <w:tc>
          <w:tcPr>
            <w:tcW w:type="dxa" w:w="1199"/>
            <w:vMerge/>
            <w:tcBorders>
              <w:top w:val="none" w:color="000000" w:sz="4"/>
              <w:left w:val="none" w:color="000000" w:sz="4"/>
              <w:bottom w:val="single" w:color="000000" w:sz="4"/>
              <w:right w:val="single" w:color="000000" w:sz="4"/>
            </w:tcBorders>
          </w:tcPr>
          <w:p/>
        </w:tc>
        <w:tc>
          <w:tcPr>
            <w:tcW w:type="dxa" w:w="4110"/>
            <w:tcBorders>
              <w:top w:val="none" w:color="000000" w:sz="4"/>
              <w:left w:val="none" w:color="000000" w:sz="4"/>
              <w:bottom w:val="single" w:color="000000" w:sz="4"/>
              <w:right w:val="single" w:color="000000" w:sz="4"/>
            </w:tcBorders>
          </w:tcPr>
          <w:p>
            <w:pPr>
              <w:jc w:val="both"/>
            </w:pPr>
            <w:r>
              <w:rPr>
                <w:color w:val="000000"/>
                <w:sz w:val="21"/>
              </w:rPr>
              <w:t>项目开展过程中没有受到被评估对象的投诉。</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vMerge w:val="restart"/>
            <w:tcBorders>
              <w:top w:val="none" w:color="000000" w:sz="4"/>
              <w:left w:val="single" w:color="000000" w:sz="4"/>
              <w:bottom w:val="single" w:color="000000" w:sz="4"/>
              <w:right w:val="single" w:color="000000" w:sz="4"/>
            </w:tcBorders>
          </w:tcPr>
          <w:p>
            <w:pPr>
              <w:jc w:val="center"/>
            </w:pPr>
            <w:r>
              <w:rPr>
                <w:color w:val="000000"/>
                <w:sz w:val="21"/>
              </w:rPr>
              <w:t>6</w:t>
            </w:r>
          </w:p>
        </w:tc>
        <w:tc>
          <w:tcPr>
            <w:tcW w:type="dxa" w:w="1199"/>
            <w:vMerge w:val="restart"/>
            <w:tcBorders>
              <w:top w:val="none" w:color="000000" w:sz="4"/>
              <w:left w:val="none" w:color="000000" w:sz="4"/>
              <w:bottom w:val="single" w:color="000000" w:sz="4"/>
              <w:right w:val="single" w:color="000000" w:sz="4"/>
            </w:tcBorders>
          </w:tcPr>
          <w:p>
            <w:pPr>
              <w:jc w:val="center"/>
            </w:pPr>
            <w:r>
              <w:rPr>
                <w:color w:val="000000"/>
                <w:sz w:val="21"/>
              </w:rPr>
              <w:t>质量控制（30分）</w:t>
            </w:r>
          </w:p>
        </w:tc>
        <w:tc>
          <w:tcPr>
            <w:tcW w:type="dxa" w:w="4110"/>
            <w:tcBorders>
              <w:top w:val="none" w:color="000000" w:sz="4"/>
              <w:left w:val="none" w:color="000000" w:sz="4"/>
              <w:bottom w:val="single" w:color="000000" w:sz="4"/>
              <w:right w:val="single" w:color="000000" w:sz="4"/>
            </w:tcBorders>
          </w:tcPr>
          <w:p>
            <w:pPr>
              <w:jc w:val="both"/>
            </w:pPr>
            <w:r>
              <w:rPr>
                <w:color w:val="000000"/>
                <w:sz w:val="21"/>
              </w:rPr>
              <w:t>评估报告清晰，内容完善，对评估对象情况描述准确，对制定服务方案参考价值高。</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20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vMerge/>
            <w:tcBorders>
              <w:top w:val="none" w:color="000000" w:sz="4"/>
              <w:left w:val="single" w:color="000000" w:sz="4"/>
              <w:bottom w:val="single" w:color="000000" w:sz="4"/>
              <w:right w:val="single" w:color="000000" w:sz="4"/>
            </w:tcBorders>
          </w:tcPr>
          <w:p/>
        </w:tc>
        <w:tc>
          <w:tcPr>
            <w:tcW w:type="dxa" w:w="1199"/>
            <w:vMerge/>
            <w:tcBorders>
              <w:top w:val="none" w:color="000000" w:sz="4"/>
              <w:left w:val="none" w:color="000000" w:sz="4"/>
              <w:bottom w:val="single" w:color="000000" w:sz="4"/>
              <w:right w:val="single" w:color="000000" w:sz="4"/>
            </w:tcBorders>
          </w:tcPr>
          <w:p/>
        </w:tc>
        <w:tc>
          <w:tcPr>
            <w:tcW w:type="dxa" w:w="4110"/>
            <w:tcBorders>
              <w:top w:val="none" w:color="000000" w:sz="4"/>
              <w:left w:val="none" w:color="000000" w:sz="4"/>
              <w:bottom w:val="single" w:color="000000" w:sz="4"/>
              <w:right w:val="single" w:color="000000" w:sz="4"/>
            </w:tcBorders>
          </w:tcPr>
          <w:p>
            <w:pPr>
              <w:jc w:val="both"/>
            </w:pPr>
            <w:r>
              <w:rPr>
                <w:color w:val="000000"/>
                <w:sz w:val="21"/>
              </w:rPr>
              <w:t>评估对象对评估报告满意，复核申请率低于10%。</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w:t>
            </w:r>
          </w:p>
        </w:tc>
        <w:tc>
          <w:tcPr>
            <w:tcW w:type="dxa" w:w="685"/>
            <w:tcBorders>
              <w:top w:val="none" w:color="000000" w:sz="4"/>
              <w:left w:val="none" w:color="000000" w:sz="4"/>
              <w:bottom w:val="single" w:color="000000" w:sz="4"/>
              <w:right w:val="single" w:color="000000" w:sz="4"/>
            </w:tcBorders>
          </w:tcPr>
          <w:p>
            <w:pPr>
              <w:jc w:val="center"/>
            </w:pPr>
          </w:p>
        </w:tc>
      </w:tr>
    </w:tbl>
    <w:p>
      <w:pPr>
        <w:ind w:firstLine="422"/>
        <w:jc w:val="both"/>
      </w:pPr>
      <w:r>
        <w:rPr>
          <w:b/>
          <w:color w:val="000000"/>
          <w:sz w:val="21"/>
        </w:rPr>
        <w:t>七、付款方式</w:t>
      </w:r>
    </w:p>
    <w:p>
      <w:pPr>
        <w:ind w:firstLine="420"/>
        <w:jc w:val="both"/>
      </w:pPr>
      <w:r>
        <w:rPr>
          <w:color w:val="000000"/>
          <w:sz w:val="21"/>
        </w:rPr>
        <w:t>（一）中标人按照本合同约定开展老年人照护需求综合评估工作满6个月后，向采购人提供合同、正式发票、工作半年情况报告、已完成评估的人员清单，采购人于收到相关资料后进行履约验收，验收合格的，采购人签署书面验收合格凭证，采购人自签署书面验收合格凭证后15个工作日内按照6个月内实际完成评估人次数及评估方式支付相应款项。</w:t>
      </w:r>
    </w:p>
    <w:p>
      <w:pPr>
        <w:ind w:firstLine="420"/>
        <w:jc w:val="both"/>
      </w:pPr>
      <w:r>
        <w:rPr>
          <w:color w:val="000000"/>
          <w:sz w:val="21"/>
        </w:rPr>
        <w:t>（二）中标人完成本合同约定的全部工作任务后60个工作日内向采购人提供合同、正式发票、全部评估报告原件、评估工作情况报告、数据以及花都区老年人照护需求分析报告，采购人于收到相关资料后进行项目验收，验收合格的，采购人签署书面验收合格凭证，采购人自签署书面验收合格凭证后15个工作日内按照实际评估人次数及评估方式支付尾款。</w:t>
      </w:r>
    </w:p>
    <w:p>
      <w:pPr>
        <w:ind w:firstLine="420"/>
        <w:jc w:val="both"/>
      </w:pPr>
      <w:r>
        <w:rPr>
          <w:color w:val="000000"/>
          <w:sz w:val="21"/>
        </w:rPr>
        <w:t>（三）投标人凭本项目合同、正式发票等所有相关材料与花都区民政局结算，材料中收款方、出具发票方、合同乙方均必须与投标人名称一致。</w:t>
      </w:r>
    </w:p>
    <w:p>
      <w:pPr>
        <w:ind w:firstLine="420"/>
        <w:jc w:val="both"/>
      </w:pPr>
      <w:r>
        <w:rPr>
          <w:color w:val="000000"/>
          <w:sz w:val="21"/>
        </w:rPr>
        <w:t>（四）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ind w:firstLine="422"/>
        <w:jc w:val="both"/>
      </w:pPr>
      <w:r>
        <w:rPr>
          <w:b/>
          <w:color w:val="000000"/>
          <w:sz w:val="21"/>
        </w:rPr>
        <w:t>八、其他</w:t>
      </w:r>
    </w:p>
    <w:p>
      <w:pPr>
        <w:ind w:firstLine="420"/>
        <w:jc w:val="both"/>
      </w:pPr>
      <w:r>
        <w:rPr>
          <w:color w:val="000000"/>
          <w:sz w:val="21"/>
        </w:rPr>
        <w:t>如上级业务部门对评估规范、内容、要求等进行调整，则按最新政策要求执行。</w:t>
      </w:r>
    </w:p>
    <w:p/>
    <w:p>
      <w:pPr>
        <w:ind w:firstLine="480"/>
      </w:pPr>
    </w:p>
    <w:p/>
    <w:p>
      <w:r>
        <w:rPr/>
        <w:t>采购包1（2024-2026年度花都区老年人照护需求综合评估项目）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3年,服务期内合同一年一签，验收合格续签下一年度合同。</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一）中标人按照本合同约定开展老年人照护需求综合评估工作满6个月后，向采购人提供合同、正式发票、工作半年情况报告、已完成评估的人员清单，采购人于收到相关资料后进行履约验收，验收合格的，采购人签署书面验收合格凭证，采购人自签署书面验收合格凭证后15个工作日内按照6个月内实际完成评估人次数及评估方式支付相应款项。 （二）中标人完成本合同约定的全部工作任务后60个工作日内向采购人提供合同、正式发票、全部评估报告原件、评估工作情况报告、数据以及花都区老年人照护需求分析报告，采购人于收到相关资料后进行项目验收，验收合格的，采购人签署书面验收合格凭证，采购人自签署书面验收合格凭证后15个工作日内按照实际评估人次数及评估方式支付尾款。 （三）投标人凭本项目合同、正式发票等所有相关材料与花都区民政局结算，材料中收款方、出具发票方、合同乙方均必须与投标人名称一致。 （四）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项目按照附件2《项目验收表》进行验收：100分为满分，60分为合格，不满60分为不合格。验收不合格的，由投标人落实整改，整改后重新组织验收。整改后验收仍不合格的，采购方有权单方解除合同，无需支付服务费用并可向服务承接单位追讨损失。</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养老服务</w:t>
            </w:r>
          </w:p>
        </w:tc>
        <w:tc>
          <w:tcPr>
            <w:tcW w:type="dxa" w:w="831"/>
          </w:tcPr>
          <w:p>
            <w:pPr>
              <w:jc w:val="left"/>
            </w:pPr>
            <w:r>
              <w:rPr/>
              <w:t>2024-2026年度花都区老年人照护需求综合评估项目</w:t>
            </w:r>
          </w:p>
        </w:tc>
        <w:tc>
          <w:tcPr>
            <w:tcW w:type="dxa" w:w="831"/>
          </w:tcPr>
          <w:p>
            <w:pPr>
              <w:jc w:val="left"/>
            </w:pPr>
            <w:r>
              <w:rPr/>
              <w:t>年</w:t>
            </w:r>
          </w:p>
        </w:tc>
        <w:tc>
          <w:tcPr>
            <w:tcW w:type="dxa" w:w="831"/>
          </w:tcPr>
          <w:p>
            <w:pPr>
              <w:jc w:val="right"/>
            </w:pPr>
            <w:r>
              <w:rPr/>
              <w:t>3.00</w:t>
            </w:r>
          </w:p>
        </w:tc>
        <w:tc>
          <w:tcPr>
            <w:tcW w:type="dxa" w:w="831"/>
          </w:tcPr>
          <w:p>
            <w:pPr>
              <w:jc w:val="right"/>
            </w:pPr>
            <w:r>
              <w:rPr/>
              <w:t>385,000.00</w:t>
            </w:r>
          </w:p>
        </w:tc>
        <w:tc>
          <w:tcPr>
            <w:tcW w:type="dxa" w:w="831"/>
          </w:tcPr>
          <w:p>
            <w:pPr>
              <w:jc w:val="right"/>
            </w:pPr>
            <w:r>
              <w:rPr/>
              <w:t>1,155,000.00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2024-2026年度花都区老年人照护需求综合评估项目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22"/>
              <w:jc w:val="both"/>
            </w:pPr>
            <w:r>
              <w:rPr>
                <w:b/>
                <w:color w:val="000000"/>
                <w:sz w:val="21"/>
              </w:rPr>
              <w:t>详见“第二章 采购需求”</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1.采购代理机构：本项目是指广东志正招标有限公司，负责整个采购活动的组织，依法负责编制和发布招标文件，对招标文件拥有最终的解释权，不以任何身份出任评标委员会成员。</w:t>
      </w:r>
    </w:p>
    <w:p>
      <w:pPr>
        <w:ind w:firstLine="480"/>
      </w:pPr>
      <w:r>
        <w:rPr/>
        <w:t>2.采购人：本项目是指</w:t>
      </w:r>
      <w:r>
        <w:rPr/>
        <w:t>广州市花都区民政局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采购包1：下浮率</w:t>
            </w:r>
          </w:p>
        </w:tc>
      </w:tr>
      <w:tr>
        <w:tc>
          <w:tcPr>
            <w:tcW w:type="dxa" w:w="1051"/>
          </w:tcPr>
          <w:p>
            <w:r>
              <w:rPr/>
              <w:t>6</w:t>
            </w:r>
          </w:p>
        </w:tc>
        <w:tc>
          <w:tcPr>
            <w:tcW w:type="dxa" w:w="2252"/>
          </w:tcPr>
          <w:p>
            <w:r>
              <w:rPr/>
              <w:t>报价要求</w:t>
            </w:r>
          </w:p>
        </w:tc>
        <w:tc>
          <w:tcPr>
            <w:tcW w:type="dxa" w:w="5004"/>
          </w:tcPr>
          <w:p/>
          <w:p>
            <w:r>
              <w:rPr/>
              <w:t>采购包1：0%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采购机构代理服务收费标准：采购机构代理服务收费标准：中标人须向采购代理机构按如下标准和规定缴纳代理服务费： （1）以项目总预算金额作为招标代理服务费的计算基数； （2）招标代理服务费采用差额定率累进法进行计算，按照以下标准计取：100万元以下的部分，按照1.5%计取；100-500万按照0.8%计取。 （3）增值税另行计入招标代理服务费中。</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其他，一、综合信用得分，（一）本项目商务部分评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 二、履约评价，采购人负责对成交供应商的履约行为进行评价。采购人在合同备案后可通过广东政府采购智慧云平台-诚信管理-评价管理进行评价。评价结果会影响供应商的综合信用得分。 三、关于提供前期服务的供应商，为采购项目提供整体设计、规范编制或者项目管理、监理、检测等服务的供应商，不得再参加该采购项目的其他采购活动。 其他说明，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广东志正招标有限公司（https://www.zztender.com/）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内控部</w:t>
      </w:r>
    </w:p>
    <w:p>
      <w:pPr>
        <w:ind w:firstLine="480"/>
      </w:pPr>
      <w:r>
        <w:rPr/>
        <w:t>电话：</w:t>
      </w:r>
      <w:r>
        <w:rPr/>
        <w:t>02087512543</w:t>
      </w:r>
    </w:p>
    <w:p>
      <w:pPr>
        <w:ind w:firstLine="480"/>
      </w:pPr>
      <w:r>
        <w:rPr/>
        <w:t>传真：</w:t>
      </w:r>
      <w:r>
        <w:rPr/>
        <w:t>87554028</w:t>
      </w:r>
    </w:p>
    <w:p>
      <w:pPr>
        <w:ind w:firstLine="480"/>
      </w:pPr>
      <w:r>
        <w:rPr/>
        <w:t>邮箱：</w:t>
      </w:r>
      <w:r>
        <w:rPr/>
        <w:t>nkb@zztender.com</w:t>
      </w:r>
    </w:p>
    <w:p>
      <w:pPr>
        <w:ind w:firstLine="480"/>
      </w:pPr>
      <w:r>
        <w:rPr/>
        <w:t>地址：</w:t>
      </w:r>
      <w:r>
        <w:rPr/>
        <w:t>广东省广州市天河区龙怡路117号银汇大厦5楼</w:t>
      </w:r>
    </w:p>
    <w:p>
      <w:pPr>
        <w:ind w:firstLine="480"/>
      </w:pPr>
      <w:r>
        <w:rPr/>
        <w:t>邮编：</w:t>
      </w:r>
      <w:r>
        <w:rPr/>
        <w:t>510640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政府采购监督管理机构名称：广州市花都区财政局政府采购科</w:t>
      </w:r>
    </w:p>
    <w:p>
      <w:r>
        <w:rPr/>
        <w:t>地  址：广州市花都区新华街迎宾大道18号</w:t>
      </w:r>
    </w:p>
    <w:p>
      <w:r>
        <w:rPr/>
        <w:t>电  话：020-36993727</w:t>
      </w:r>
    </w:p>
    <w:p>
      <w:r>
        <w:rPr/>
        <w:t>邮  编：510800</w:t>
      </w:r>
    </w:p>
    <w:p>
      <w:r>
        <w:rPr/>
        <w:t>传  真：020-36993710</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(2024-2026年度花都区老年人照护需求综合评估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广东志正招标有限公司</w:t>
      </w:r>
      <w:r>
        <w:rPr/>
        <w:t>统一对外发布。</w:t>
      </w:r>
    </w:p>
    <w:p>
      <w:pPr>
        <w:ind w:firstLine="480"/>
      </w:pPr>
      <w:r>
        <w:rPr/>
        <w:t>（2）对</w:t>
      </w:r>
      <w:r>
        <w:rPr/>
        <w:t>广东志正招标有限公司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采购包1（2024-2026年度花都区老年人照护需求综合评估项目）：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采购包1（2024-2026年度花都区老年人照护需求综合评估项目）：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有依法缴纳税收和社会保障资金的良好记录，提供签署及盖章合格的投标函。</w:t>
            </w:r>
          </w:p>
        </w:tc>
      </w:tr>
      <w:tr>
        <w:tc>
          <w:tcPr>
            <w:tcW w:type="dxa" w:w="890"/>
          </w:tcPr>
          <w:p>
            <w:r>
              <w:rPr/>
              <w:t>3</w:t>
            </w:r>
          </w:p>
        </w:tc>
        <w:tc>
          <w:tcPr>
            <w:tcW w:type="dxa" w:w="3178"/>
          </w:tcPr>
          <w:p>
            <w:r>
              <w:rPr/>
              <w:t>具有良好的商业信誉和健全的财务会计制度</w:t>
            </w:r>
          </w:p>
        </w:tc>
        <w:tc>
          <w:tcPr>
            <w:tcW w:type="dxa" w:w="4238"/>
          </w:tcPr>
          <w:p>
            <w:r>
              <w:rPr/>
              <w:t>具有良好的商业信誉和健全的财务会计制度，提供签署及盖章合格的投标函。</w:t>
            </w:r>
          </w:p>
        </w:tc>
      </w:tr>
      <w:tr>
        <w:tc>
          <w:tcPr>
            <w:tcW w:type="dxa" w:w="890"/>
          </w:tcPr>
          <w:p>
            <w:r>
              <w:rPr/>
              <w:t>4</w:t>
            </w:r>
          </w:p>
        </w:tc>
        <w:tc>
          <w:tcPr>
            <w:tcW w:type="dxa" w:w="3178"/>
          </w:tcPr>
          <w:p>
            <w:r>
              <w:rPr/>
              <w:t>履行合同所必需的设备和专业技术能力</w:t>
            </w:r>
          </w:p>
        </w:tc>
        <w:tc>
          <w:tcPr>
            <w:tcW w:type="dxa" w:w="4238"/>
          </w:tcPr>
          <w:p>
            <w:r>
              <w:rPr/>
              <w:t>具有履行合同所必需的设备和专业技术能力，提供签署及盖章合格的投标函。</w:t>
            </w:r>
          </w:p>
        </w:tc>
      </w:tr>
      <w:tr>
        <w:tc>
          <w:tcPr>
            <w:tcW w:type="dxa" w:w="890"/>
          </w:tcPr>
          <w:p>
            <w:r>
              <w:rPr/>
              <w:t>5</w:t>
            </w:r>
          </w:p>
        </w:tc>
        <w:tc>
          <w:tcPr>
            <w:tcW w:type="dxa" w:w="3178"/>
          </w:tcPr>
          <w:p>
            <w:r>
              <w:rPr/>
              <w:t>参加采购活动前3年内，在经营活动中没有重大违法记录</w:t>
            </w:r>
          </w:p>
        </w:tc>
        <w:tc>
          <w:tcPr>
            <w:tcW w:type="dxa" w:w="4238"/>
          </w:tcPr>
          <w:p>
            <w:r>
              <w:rPr/>
              <w:t>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tc>
      </w:tr>
      <w:tr>
        <w:tc>
          <w:tcPr>
            <w:tcW w:type="dxa" w:w="890"/>
          </w:tcPr>
          <w:p>
            <w:r>
              <w:rPr/>
              <w:t>6</w:t>
            </w:r>
          </w:p>
        </w:tc>
        <w:tc>
          <w:tcPr>
            <w:tcW w:type="dxa" w:w="3178"/>
          </w:tcPr>
          <w:p>
            <w:r>
              <w:rPr/>
              <w:t>信用记录</w:t>
            </w:r>
          </w:p>
        </w:tc>
        <w:tc>
          <w:tcPr>
            <w:tcW w:type="dxa" w:w="4238"/>
          </w:tcPr>
          <w:p>
            <w:r>
              <w:rPr/>
              <w:t>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tc>
      </w:tr>
      <w:tr>
        <w:tc>
          <w:tcPr>
            <w:tcW w:type="dxa" w:w="890"/>
          </w:tcPr>
          <w:p>
            <w:r>
              <w:rPr/>
              <w:t>7</w:t>
            </w:r>
          </w:p>
        </w:tc>
        <w:tc>
          <w:tcPr>
            <w:tcW w:type="dxa" w:w="3178"/>
          </w:tcPr>
          <w:p>
            <w:r>
              <w:rPr/>
              <w:t>供应商必须符合法律、行政法规规定的其他条件</w:t>
            </w:r>
          </w:p>
        </w:tc>
        <w:tc>
          <w:tcPr>
            <w:tcW w:type="dxa" w:w="4238"/>
          </w:tcPr>
          <w:p>
            <w:r>
              <w:rPr/>
              <w:t>不得参与同一采购项目竞争的供应商（提供签署及盖章合格的投标函）：不得参与同一采购项目竞争的供应商（提供签署及盖章合格的投标函）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tc>
      </w:tr>
      <w:tr>
        <w:tc>
          <w:tcPr>
            <w:tcW w:type="dxa" w:w="890"/>
          </w:tcPr>
          <w:p>
            <w:r>
              <w:rPr/>
              <w:t>8</w:t>
            </w:r>
          </w:p>
        </w:tc>
        <w:tc>
          <w:tcPr>
            <w:tcW w:type="dxa" w:w="3178"/>
          </w:tcPr>
          <w:p>
            <w:r>
              <w:rPr/>
              <w:t>其他</w:t>
            </w:r>
          </w:p>
        </w:tc>
        <w:tc>
          <w:tcPr>
            <w:tcW w:type="dxa" w:w="4238"/>
          </w:tcPr>
          <w:p>
            <w:r>
              <w:rPr/>
              <w:t>本项目不接受联合体投标。</w:t>
            </w:r>
          </w:p>
        </w:tc>
      </w:tr>
    </w:tbl>
    <w:p/>
    <w:p>
      <w:pPr>
        <w:ind w:firstLine="480"/>
      </w:pPr>
      <w:r>
        <w:rPr/>
        <w:t>表二符合性审查表：</w:t>
      </w:r>
    </w:p>
    <w:p>
      <w:pPr>
        <w:ind w:firstLine="480"/>
      </w:pPr>
    </w:p>
    <w:p/>
    <w:p>
      <w:r>
        <w:rPr/>
        <w:t>采购包1（2024-2026年度花都区老年人照护需求综合评估项目）：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投标文件按照招标文件规定要求签署、盖章，包含：①投标函；②法定代表人证明书或法定代表人授权书；③开标一览表；④分项报价表</w:t>
            </w:r>
          </w:p>
        </w:tc>
      </w:tr>
      <w:tr>
        <w:tc>
          <w:tcPr>
            <w:tcW w:type="dxa" w:w="890"/>
          </w:tcPr>
          <w:p>
            <w:r>
              <w:rPr/>
              <w:t>3</w:t>
            </w:r>
          </w:p>
        </w:tc>
        <w:tc>
          <w:tcPr>
            <w:tcW w:type="dxa" w:w="3178"/>
          </w:tcPr>
          <w:p>
            <w:r>
              <w:rPr/>
              <w:t>投标报价</w:t>
            </w:r>
          </w:p>
        </w:tc>
        <w:tc>
          <w:tcPr>
            <w:tcW w:type="dxa" w:w="4238"/>
          </w:tcPr>
          <w:p>
            <w:r>
              <w:rPr/>
              <w:t>投标报价符合招标文件要求的</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采购包1(2024-2026年度花都区老年人照护需求综合评估项目):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技术部分60.0分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项目整体工作计划1  (10.0分)</w:t>
            </w:r>
            <w:r>
              <w:rPr/>
              <w:t>，（等次分值选择：</w:t>
            </w:r>
            <w:r>
              <w:rPr/>
              <w:t>0.0;</w:t>
            </w:r>
            <w:r>
              <w:rPr/>
              <w:t>1.0;</w:t>
            </w:r>
            <w:r>
              <w:rPr/>
              <w:t>3.0;</w:t>
            </w:r>
            <w:r>
              <w:rPr/>
              <w:t>7.0;</w:t>
            </w:r>
            <w:r>
              <w:rPr/>
              <w:t>10.0;</w:t>
            </w:r>
            <w:r>
              <w:rPr/>
              <w:t>）</w:t>
            </w:r>
          </w:p>
        </w:tc>
        <w:tc>
          <w:tcPr>
            <w:tcW w:type="dxa" w:w="5076"/>
          </w:tcPr>
          <w:p>
            <w:pPr>
              <w:jc w:val="left"/>
            </w:pPr>
            <w:r>
              <w:rPr/>
              <w:t>根据投标人针对本项目提供的整体工作计划（包括：统筹指导工作目标和评估工作目标等）进行综合评审： 1.具有清晰明确的统筹指导工作目标和评估工作目标，目标切合项目需求并能突出项目的重点，能够充分体现以评促建的工作方向，得10分； 2.具有较清晰明确的统筹指导工作目标和评估工作目标，目标切合项目需求并能突出项目的重点，能够较大程度体现以评促建的工作方向，得7分；  3.统筹指导工作目标和评估工作目标清晰度不高，目标基本能够切合项目需求突出重点，能够充分体现以评促建的工作方向，得3分；  4.具有统筹指导工作目标和评估工作目标不够清晰，目标基本能够切合项目但不能突出重点，不能够充分体现以评促建的工作方向，得1分。 5.不提供上述内容或其他情形不得分。</w:t>
            </w:r>
          </w:p>
        </w:tc>
      </w:tr>
      <w:tr>
        <w:tc>
          <w:tcPr>
            <w:tcW w:type="dxa" w:w="922"/>
            <w:gridSpan w:val="2"/>
            <w:vMerge/>
          </w:tcPr>
          <w:p/>
        </w:tc>
        <w:tc>
          <w:tcPr>
            <w:tcW w:type="dxa" w:w="2307"/>
          </w:tcPr>
          <w:p>
            <w:pPr>
              <w:jc w:val="left"/>
            </w:pPr>
            <w:r>
              <w:rPr/>
              <w:t>项目整体工作计划2  (10.0分)</w:t>
            </w:r>
            <w:r>
              <w:rPr/>
              <w:t>，（等次分值选择：</w:t>
            </w:r>
            <w:r>
              <w:rPr/>
              <w:t>0.0;</w:t>
            </w:r>
            <w:r>
              <w:rPr/>
              <w:t>1.0;</w:t>
            </w:r>
            <w:r>
              <w:rPr/>
              <w:t>3.0;</w:t>
            </w:r>
            <w:r>
              <w:rPr/>
              <w:t>7.0;</w:t>
            </w:r>
            <w:r>
              <w:rPr/>
              <w:t>10.0;</w:t>
            </w:r>
            <w:r>
              <w:rPr/>
              <w:t>）</w:t>
            </w:r>
          </w:p>
        </w:tc>
        <w:tc>
          <w:tcPr>
            <w:tcW w:type="dxa" w:w="5076"/>
          </w:tcPr>
          <w:p>
            <w:pPr>
              <w:jc w:val="left"/>
            </w:pPr>
            <w:r>
              <w:rPr/>
              <w:t>根据投标人针对本项目提供的整体工作计划（包括：项目工作实施计划和工作计划合理性和操作性等）进行综合评审： 1.具有完整详细的项目工作实施计划，工作计划合理和具有可操作性，且符合该项目评估监管对象和单位的整体需求，得10分；  2.具有较完整详细的项目工作实施计划，工作计划相对合理具有可操作性，且符合该项目评估监管对象和单位的整体需求得，7分；  3.项目工作实施计划完整度详细度不高，工作计划相对合理具有可操作性，基本符合该项目评估监管对象和单位的整体需求，得3分；  4.项目工作实施计划完整度详细度欠缺，工作计划相对合理但可操作性不强，不大符合该项目评估监管对象和单位的整体需求，得1分。 5.不提供上述内容或其他情形不得分。</w:t>
            </w:r>
          </w:p>
        </w:tc>
      </w:tr>
      <w:tr>
        <w:tc>
          <w:tcPr>
            <w:tcW w:type="dxa" w:w="922"/>
            <w:gridSpan w:val="2"/>
            <w:vMerge/>
          </w:tcPr>
          <w:p/>
        </w:tc>
        <w:tc>
          <w:tcPr>
            <w:tcW w:type="dxa" w:w="2307"/>
          </w:tcPr>
          <w:p>
            <w:pPr>
              <w:jc w:val="left"/>
            </w:pPr>
            <w:r>
              <w:rPr/>
              <w:t>项目整体工作计划3  (10.0分)</w:t>
            </w:r>
            <w:r>
              <w:rPr/>
              <w:t>，（等次分值选择：</w:t>
            </w:r>
            <w:r>
              <w:rPr/>
              <w:t>0.0;</w:t>
            </w:r>
            <w:r>
              <w:rPr/>
              <w:t>1.0;</w:t>
            </w:r>
            <w:r>
              <w:rPr/>
              <w:t>3.0;</w:t>
            </w:r>
            <w:r>
              <w:rPr/>
              <w:t>7.0;</w:t>
            </w:r>
            <w:r>
              <w:rPr/>
              <w:t>10.0;</w:t>
            </w:r>
            <w:r>
              <w:rPr/>
              <w:t>）</w:t>
            </w:r>
          </w:p>
        </w:tc>
        <w:tc>
          <w:tcPr>
            <w:tcW w:type="dxa" w:w="5076"/>
          </w:tcPr>
          <w:p>
            <w:pPr>
              <w:jc w:val="left"/>
            </w:pPr>
            <w:r>
              <w:rPr/>
              <w:t>根据投标人针对本项目提供的整体工作计划（包括：统筹指导工作方法和评估方法合理性和操作性等）进行综合评审： 1.统筹指导工作方法和评估方法非常详细具体，可操作性与创新性强，得10分；  2.统筹指导工作方法和评估方法较详细具体、可操作性与创新性较强，得7分；  3.统筹指导工作方法和评估方法不够完善、可操作性与创新性不高，得3分；  4.统筹指导工作方法和评估方法不完善、可操作性与创新性较欠缺，得1分； 5.不提供上述内容或其他情形不得分。</w:t>
            </w:r>
          </w:p>
        </w:tc>
      </w:tr>
      <w:tr>
        <w:tc>
          <w:tcPr>
            <w:tcW w:type="dxa" w:w="922"/>
            <w:gridSpan w:val="2"/>
            <w:vMerge/>
          </w:tcPr>
          <w:p/>
        </w:tc>
        <w:tc>
          <w:tcPr>
            <w:tcW w:type="dxa" w:w="2307"/>
          </w:tcPr>
          <w:p>
            <w:pPr>
              <w:jc w:val="left"/>
            </w:pPr>
            <w:r>
              <w:rPr/>
              <w:t>项目经费使用计划方案 (8.0分)</w:t>
            </w:r>
            <w:r>
              <w:rPr/>
              <w:t>，（等次分值选择：</w:t>
            </w:r>
            <w:r>
              <w:rPr/>
              <w:t>0.0;</w:t>
            </w:r>
            <w:r>
              <w:rPr/>
              <w:t>2.0;</w:t>
            </w:r>
            <w:r>
              <w:rPr/>
              <w:t>4.0;</w:t>
            </w:r>
            <w:r>
              <w:rPr/>
              <w:t>6.0;</w:t>
            </w:r>
            <w:r>
              <w:rPr/>
              <w:t>8.0;</w:t>
            </w:r>
            <w:r>
              <w:rPr/>
              <w:t>）</w:t>
            </w:r>
          </w:p>
        </w:tc>
        <w:tc>
          <w:tcPr>
            <w:tcW w:type="dxa" w:w="5076"/>
          </w:tcPr>
          <w:p>
            <w:pPr>
              <w:jc w:val="left"/>
            </w:pPr>
            <w:r>
              <w:rPr/>
              <w:t>根据投标人针对本项目提供的项目经费使用计划方案进行综合评审： 1.详细健全的项目经费使用计划和预算明细，对工作中各项可能的支出考虑全面细致，得8分；  2.较详细健全的项目经费使用计划和预算明细，对工作中各项可能的支出考虑全面细致，得6分；  3.经费使用计划和预算明细详细度、健全度不够完善，对工作中各项可能的支出考虑不够全面细致，得4分；  4.经费使用计划和预算明细详细度、健全度欠缺，没有对工作中各项可能的支出考虑，得2分； 5.不提供方案或其他情形不得分。</w:t>
            </w:r>
          </w:p>
        </w:tc>
      </w:tr>
      <w:tr>
        <w:tc>
          <w:tcPr>
            <w:tcW w:type="dxa" w:w="922"/>
            <w:gridSpan w:val="2"/>
            <w:vMerge/>
          </w:tcPr>
          <w:p/>
        </w:tc>
        <w:tc>
          <w:tcPr>
            <w:tcW w:type="dxa" w:w="2307"/>
          </w:tcPr>
          <w:p>
            <w:pPr>
              <w:jc w:val="left"/>
            </w:pPr>
            <w:r>
              <w:rPr/>
              <w:t>质量保证措施 (8.0分)</w:t>
            </w:r>
            <w:r>
              <w:rPr/>
              <w:t>，（等次分值选择：</w:t>
            </w:r>
            <w:r>
              <w:rPr/>
              <w:t>0.0;</w:t>
            </w:r>
            <w:r>
              <w:rPr/>
              <w:t>2.0;</w:t>
            </w:r>
            <w:r>
              <w:rPr/>
              <w:t>5.0;</w:t>
            </w:r>
            <w:r>
              <w:rPr/>
              <w:t>8.0;</w:t>
            </w:r>
            <w:r>
              <w:rPr/>
              <w:t>）</w:t>
            </w:r>
          </w:p>
        </w:tc>
        <w:tc>
          <w:tcPr>
            <w:tcW w:type="dxa" w:w="5076"/>
          </w:tcPr>
          <w:p>
            <w:pPr>
              <w:jc w:val="left"/>
            </w:pPr>
            <w:r>
              <w:rPr/>
              <w:t>根据投标人针对本项目提供的质量保证措施进行综合评审： 1.具有非常完整详细的质量保证措施，条理清晰，切实可行，得8分；  2.具有较完整详细的质量保证措施，条理清晰，切实可行得5分；  3.具有质量保证措施，条理清晰，但可行性不高得2分；  4.不提供上述内容或其他情形不得分。</w:t>
            </w:r>
          </w:p>
        </w:tc>
      </w:tr>
      <w:tr>
        <w:tc>
          <w:tcPr>
            <w:tcW w:type="dxa" w:w="922"/>
            <w:gridSpan w:val="2"/>
            <w:vMerge/>
          </w:tcPr>
          <w:p/>
        </w:tc>
        <w:tc>
          <w:tcPr>
            <w:tcW w:type="dxa" w:w="2307"/>
          </w:tcPr>
          <w:p>
            <w:pPr>
              <w:jc w:val="left"/>
            </w:pPr>
            <w:r>
              <w:rPr/>
              <w:t>应急方案 (8.0分)</w:t>
            </w:r>
            <w:r>
              <w:rPr/>
              <w:t>，（等次分值选择：</w:t>
            </w:r>
            <w:r>
              <w:rPr/>
              <w:t>0.0;</w:t>
            </w:r>
            <w:r>
              <w:rPr/>
              <w:t>2.0;</w:t>
            </w:r>
            <w:r>
              <w:rPr/>
              <w:t>5.0;</w:t>
            </w:r>
            <w:r>
              <w:rPr/>
              <w:t>8.0;</w:t>
            </w:r>
            <w:r>
              <w:rPr/>
              <w:t>）</w:t>
            </w:r>
          </w:p>
        </w:tc>
        <w:tc>
          <w:tcPr>
            <w:tcW w:type="dxa" w:w="5076"/>
          </w:tcPr>
          <w:p>
            <w:pPr>
              <w:jc w:val="left"/>
            </w:pPr>
            <w:r>
              <w:rPr/>
              <w:t>根据投标人针对本项目提供的应急方案进行综合评审： 1.能够根据评估项目的特点提出相应的应急方案，有针对性，合理可行，得8分；  2.能够根据评估项目的特点提出相应的应急方案，有一定的针对性，合理可行，得5分；  3.能够根据评估项目的特点提出相应的应急方案，有一定的针对性，但可行性不高，得2分；  4.不提供方案或其他情形不得分。</w:t>
            </w:r>
          </w:p>
        </w:tc>
      </w:tr>
      <w:tr>
        <w:tc>
          <w:tcPr>
            <w:tcW w:type="dxa" w:w="922"/>
            <w:gridSpan w:val="2"/>
            <w:vMerge/>
          </w:tcPr>
          <w:p/>
        </w:tc>
        <w:tc>
          <w:tcPr>
            <w:tcW w:type="dxa" w:w="2307"/>
          </w:tcPr>
          <w:p>
            <w:pPr>
              <w:jc w:val="left"/>
            </w:pPr>
            <w:r>
              <w:rPr/>
              <w:t>合理化建议 (6.0分)</w:t>
            </w:r>
            <w:r>
              <w:rPr/>
              <w:t>，（等次分值选择：</w:t>
            </w:r>
            <w:r>
              <w:rPr/>
              <w:t>0.0;</w:t>
            </w:r>
            <w:r>
              <w:rPr/>
              <w:t>2.0;</w:t>
            </w:r>
            <w:r>
              <w:rPr/>
              <w:t>4.0;</w:t>
            </w:r>
            <w:r>
              <w:rPr/>
              <w:t>6.0;</w:t>
            </w:r>
            <w:r>
              <w:rPr/>
              <w:t>）</w:t>
            </w:r>
          </w:p>
        </w:tc>
        <w:tc>
          <w:tcPr>
            <w:tcW w:type="dxa" w:w="5076"/>
          </w:tcPr>
          <w:p>
            <w:pPr>
              <w:jc w:val="left"/>
            </w:pPr>
            <w:r>
              <w:rPr/>
              <w:t>根据投标人针对本项目提供的合理化建议进行综合评审： 1.对项目的理解与认识全面，能够就评估内容、方法等提出合理化建议，得6分；  2.对项目的理解与认识较全面，基本能够就评估内容、方法等提出合理化建议，得4分； 3.对项目的理解与认识不够全面不能够就评估内容、方法等提出建议，得2分； 4.不提供上述内容或其他情形不得分。</w:t>
            </w:r>
          </w:p>
        </w:tc>
      </w:tr>
      <w:tr>
        <w:tc>
          <w:tcPr>
            <w:tcW w:type="dxa" w:w="922"/>
            <w:gridSpan w:val="2"/>
            <w:vMerge w:val="restart"/>
          </w:tcPr>
          <w:p>
            <w:pPr>
              <w:jc w:val="center"/>
            </w:pPr>
            <w:r>
              <w:rPr/>
              <w:t>商务部分</w:t>
            </w:r>
          </w:p>
        </w:tc>
        <w:tc>
          <w:tcPr>
            <w:tcW w:type="dxa" w:w="2307"/>
          </w:tcPr>
          <w:p>
            <w:pPr>
              <w:jc w:val="left"/>
            </w:pPr>
            <w:r>
              <w:rPr/>
              <w:t>同类项目业绩 (6.0分)</w:t>
            </w:r>
          </w:p>
        </w:tc>
        <w:tc>
          <w:tcPr>
            <w:tcW w:type="dxa" w:w="5076"/>
          </w:tcPr>
          <w:p>
            <w:pPr>
              <w:jc w:val="left"/>
            </w:pPr>
            <w:r>
              <w:rPr/>
              <w:t>提供2021年1月1日以来签订的（以合同签订时间为准）同类项目业绩情况进行评审：每提供一个合同业绩得1分，最高得6分。 注：须提供合同关键页，材料不全或者不提供的不得分。（合同关键页至少包括：合同首尾页、委托内容页、签字盖章页等）。</w:t>
            </w:r>
          </w:p>
        </w:tc>
      </w:tr>
      <w:tr>
        <w:tc>
          <w:tcPr>
            <w:tcW w:type="dxa" w:w="922"/>
            <w:gridSpan w:val="2"/>
            <w:vMerge/>
          </w:tcPr>
          <w:p/>
        </w:tc>
        <w:tc>
          <w:tcPr>
            <w:tcW w:type="dxa" w:w="2307"/>
          </w:tcPr>
          <w:p>
            <w:pPr>
              <w:jc w:val="left"/>
            </w:pPr>
            <w:r>
              <w:rPr/>
              <w:t>客户评价情况 (6.0分)</w:t>
            </w:r>
          </w:p>
        </w:tc>
        <w:tc>
          <w:tcPr>
            <w:tcW w:type="dxa" w:w="5076"/>
          </w:tcPr>
          <w:p>
            <w:pPr>
              <w:jc w:val="left"/>
            </w:pPr>
            <w:r>
              <w:rPr/>
              <w:t>投标人承接相关项目，得到客户“满意”或“非常满意”或相当于类似评价的，每个评分得1分，本项最高得6分，不提供不得分。 注：须提供用户单位评价证明加盖用户单位公章，非上述“同类项目业绩”对应的评价不得分。</w:t>
            </w:r>
          </w:p>
        </w:tc>
      </w:tr>
      <w:tr>
        <w:tc>
          <w:tcPr>
            <w:tcW w:type="dxa" w:w="922"/>
            <w:gridSpan w:val="2"/>
            <w:vMerge/>
          </w:tcPr>
          <w:p/>
        </w:tc>
        <w:tc>
          <w:tcPr>
            <w:tcW w:type="dxa" w:w="2307"/>
          </w:tcPr>
          <w:p>
            <w:pPr>
              <w:jc w:val="left"/>
            </w:pPr>
            <w:r>
              <w:rPr/>
              <w:t>投入本项目的评估专家团队的配置 (8.0分)</w:t>
            </w:r>
          </w:p>
        </w:tc>
        <w:tc>
          <w:tcPr>
            <w:tcW w:type="dxa" w:w="5076"/>
          </w:tcPr>
          <w:p>
            <w:pPr>
              <w:jc w:val="left"/>
            </w:pPr>
            <w:r>
              <w:rPr/>
              <w:t>配备与本项目相关专家团队（不含项目负责人），具有中级或以上职称的，每提供一人得2分。最高得8分。  注：需同时提供职称证明、劳动合同及在本公司任职的外部证明材料（如加盖政府有关部门印章（或含有电子章）的打印日期在本项目投标截止日之前六个月以内任意一个月的《投保单》或《社会保险参保人员证明》，或单位代缴个人所得税税单等）等证明材料。</w:t>
            </w:r>
          </w:p>
        </w:tc>
      </w:tr>
      <w:tr>
        <w:tc>
          <w:tcPr>
            <w:tcW w:type="dxa" w:w="922"/>
            <w:gridSpan w:val="2"/>
            <w:vMerge/>
          </w:tcPr>
          <w:p/>
        </w:tc>
        <w:tc>
          <w:tcPr>
            <w:tcW w:type="dxa" w:w="2307"/>
          </w:tcPr>
          <w:p>
            <w:pPr>
              <w:jc w:val="left"/>
            </w:pPr>
            <w:r>
              <w:rPr/>
              <w:t>项目主要负责人情况 (5.0分)</w:t>
            </w:r>
          </w:p>
        </w:tc>
        <w:tc>
          <w:tcPr>
            <w:tcW w:type="dxa" w:w="5076"/>
          </w:tcPr>
          <w:p>
            <w:pPr>
              <w:jc w:val="left"/>
            </w:pPr>
            <w:r>
              <w:rPr/>
              <w:t>1、项目主要负责人具有丰富的评估工作经验，评估工作经验5年或以上（含5年）的得3分；4年或以上（含4年）的得2分；3年或以上（含3年）的得1分；2年或以上（含2年）的得0.5分；其余不得分。  2、项目负责人具有中级或以上职称，得2分。 注：需提供相关工作经验证明材料、职称证明、劳动合同及在本公司任职的外部证明材料（如加盖政府有关部门印章（或含有电子章）的打印日期在本项目投标截止日之前六个月以内任意一个月的《投保单》或《社会保险参保人员证明》，或单位代缴个人所得税税单等）。</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
      <w:pPr>
        <w:jc w:val="center"/>
      </w:pPr>
      <w:r>
        <w:rPr>
          <w:b/>
          <w:color w:val="000000"/>
          <w:sz w:val="27"/>
        </w:rPr>
        <w:t>合同文本</w:t>
      </w:r>
    </w:p>
    <w:p>
      <w:pPr>
        <w:jc w:val="both"/>
      </w:pPr>
    </w:p>
    <w:p>
      <w:pPr>
        <w:jc w:val="both"/>
      </w:pPr>
    </w:p>
    <w:p>
      <w:pPr>
        <w:jc w:val="both"/>
      </w:pPr>
    </w:p>
    <w:p>
      <w:pPr>
        <w:jc w:val="both"/>
      </w:pPr>
    </w:p>
    <w:p>
      <w:pPr>
        <w:jc w:val="both"/>
      </w:pPr>
    </w:p>
    <w:p>
      <w:pPr>
        <w:jc w:val="center"/>
      </w:pPr>
      <w:r>
        <w:rPr>
          <w:b/>
          <w:color w:val="000000"/>
          <w:sz w:val="44"/>
        </w:rPr>
        <w:t>2024-2026</w:t>
      </w:r>
      <w:r>
        <w:rPr>
          <w:b/>
          <w:color w:val="000000"/>
          <w:sz w:val="44"/>
        </w:rPr>
        <w:t>年度花都区老年人照护需求综合评估项目</w:t>
      </w:r>
    </w:p>
    <w:p>
      <w:pPr>
        <w:jc w:val="center"/>
      </w:pPr>
    </w:p>
    <w:p>
      <w:pPr>
        <w:jc w:val="center"/>
      </w:pPr>
    </w:p>
    <w:p>
      <w:pPr>
        <w:jc w:val="center"/>
      </w:pPr>
      <w:r>
        <w:rPr>
          <w:b/>
          <w:color w:val="000000"/>
          <w:sz w:val="72"/>
        </w:rPr>
        <w:t>框架合同书</w:t>
      </w:r>
    </w:p>
    <w:p>
      <w:pPr>
        <w:jc w:val="center"/>
      </w:pPr>
      <w:r>
        <w:rPr>
          <w:b/>
          <w:color w:val="000000"/>
          <w:sz w:val="72"/>
        </w:rPr>
        <w:t>（样本）</w:t>
      </w:r>
    </w:p>
    <w:p>
      <w:pPr>
        <w:jc w:val="center"/>
      </w:pPr>
    </w:p>
    <w:p>
      <w:pPr>
        <w:jc w:val="both"/>
      </w:pPr>
    </w:p>
    <w:p>
      <w:pPr>
        <w:jc w:val="both"/>
      </w:pPr>
    </w:p>
    <w:p>
      <w:pPr>
        <w:jc w:val="both"/>
      </w:pPr>
    </w:p>
    <w:p>
      <w:pPr>
        <w:jc w:val="both"/>
      </w:pPr>
    </w:p>
    <w:p>
      <w:pPr>
        <w:jc w:val="both"/>
      </w:pPr>
    </w:p>
    <w:p>
      <w:pPr>
        <w:jc w:val="both"/>
      </w:pPr>
    </w:p>
    <w:p>
      <w:pPr>
        <w:jc w:val="both"/>
      </w:pPr>
    </w:p>
    <w:p>
      <w:pPr>
        <w:ind w:firstLine="420"/>
        <w:jc w:val="both"/>
      </w:pPr>
    </w:p>
    <w:p>
      <w:pPr>
        <w:ind w:firstLine="420"/>
        <w:jc w:val="both"/>
      </w:pPr>
    </w:p>
    <w:p>
      <w:pPr>
        <w:ind w:firstLine="420"/>
        <w:jc w:val="both"/>
      </w:pPr>
    </w:p>
    <w:p>
      <w:pPr>
        <w:jc w:val="both"/>
      </w:pPr>
    </w:p>
    <w:p>
      <w:pPr>
        <w:jc w:val="both"/>
      </w:pPr>
    </w:p>
    <w:p>
      <w:pPr>
        <w:jc w:val="both"/>
      </w:pPr>
      <w:r>
        <w:rPr>
          <w:b/>
          <w:color w:val="000000"/>
          <w:sz w:val="21"/>
        </w:rPr>
        <w:t>甲    方：</w:t>
      </w:r>
      <w:r>
        <w:rPr>
          <w:b/>
          <w:color w:val="000000"/>
          <w:sz w:val="21"/>
          <w:u w:val="single"/>
        </w:rPr>
        <w:t xml:space="preserve">                    </w:t>
      </w:r>
    </w:p>
    <w:p>
      <w:pPr>
        <w:jc w:val="both"/>
      </w:pPr>
      <w:r>
        <w:rPr>
          <w:color w:val="000000"/>
          <w:sz w:val="21"/>
        </w:rPr>
        <w:t>电    话：</w:t>
      </w:r>
      <w:r>
        <w:rPr>
          <w:b/>
          <w:color w:val="000000"/>
          <w:sz w:val="21"/>
          <w:u w:val="single"/>
        </w:rPr>
        <w:t xml:space="preserve">                    </w:t>
      </w:r>
      <w:r>
        <w:rPr>
          <w:color w:val="000000"/>
          <w:sz w:val="21"/>
        </w:rPr>
        <w:t xml:space="preserve">  </w:t>
      </w:r>
    </w:p>
    <w:p>
      <w:pPr>
        <w:jc w:val="both"/>
      </w:pPr>
      <w:r>
        <w:rPr>
          <w:color w:val="000000"/>
          <w:sz w:val="21"/>
        </w:rPr>
        <w:t>传    真：</w:t>
      </w:r>
      <w:r>
        <w:rPr>
          <w:b/>
          <w:color w:val="000000"/>
          <w:sz w:val="21"/>
          <w:u w:val="single"/>
        </w:rPr>
        <w:t xml:space="preserve">                    </w:t>
      </w:r>
      <w:r>
        <w:rPr>
          <w:color w:val="000000"/>
          <w:sz w:val="21"/>
        </w:rPr>
        <w:t xml:space="preserve">  </w:t>
      </w:r>
    </w:p>
    <w:p>
      <w:pPr>
        <w:jc w:val="both"/>
      </w:pPr>
      <w:r>
        <w:rPr>
          <w:color w:val="000000"/>
          <w:sz w:val="21"/>
        </w:rPr>
        <w:t>地    址：</w:t>
      </w:r>
      <w:r>
        <w:rPr>
          <w:b/>
          <w:color w:val="000000"/>
          <w:sz w:val="21"/>
          <w:u w:val="single"/>
        </w:rPr>
        <w:t xml:space="preserve">                    </w:t>
      </w:r>
    </w:p>
    <w:p>
      <w:pPr>
        <w:ind w:firstLine="420"/>
        <w:jc w:val="both"/>
      </w:pPr>
    </w:p>
    <w:p>
      <w:pPr>
        <w:jc w:val="both"/>
      </w:pPr>
      <w:r>
        <w:rPr>
          <w:b/>
          <w:color w:val="000000"/>
          <w:sz w:val="21"/>
        </w:rPr>
        <w:t>乙    方：</w:t>
      </w:r>
      <w:r>
        <w:rPr>
          <w:b/>
          <w:color w:val="000000"/>
          <w:sz w:val="21"/>
          <w:u w:val="single"/>
        </w:rPr>
        <w:t xml:space="preserve">                    </w:t>
      </w:r>
      <w:r>
        <w:br/>
      </w:r>
      <w:r>
        <w:rPr>
          <w:color w:val="000000"/>
          <w:sz w:val="21"/>
        </w:rPr>
        <w:t>电    话：</w:t>
      </w:r>
      <w:r>
        <w:rPr>
          <w:b/>
          <w:color w:val="000000"/>
          <w:sz w:val="21"/>
          <w:u w:val="single"/>
        </w:rPr>
        <w:t xml:space="preserve">                    </w:t>
      </w:r>
      <w:r>
        <w:rPr>
          <w:color w:val="000000"/>
          <w:sz w:val="21"/>
        </w:rPr>
        <w:t xml:space="preserve">             </w:t>
      </w:r>
    </w:p>
    <w:p>
      <w:pPr>
        <w:jc w:val="both"/>
      </w:pPr>
      <w:r>
        <w:rPr>
          <w:color w:val="000000"/>
          <w:sz w:val="21"/>
        </w:rPr>
        <w:t>传    真：</w:t>
      </w:r>
      <w:r>
        <w:rPr>
          <w:b/>
          <w:color w:val="000000"/>
          <w:sz w:val="21"/>
          <w:u w:val="single"/>
        </w:rPr>
        <w:t xml:space="preserve">                    </w:t>
      </w:r>
      <w:r>
        <w:rPr>
          <w:color w:val="000000"/>
          <w:sz w:val="21"/>
        </w:rPr>
        <w:t xml:space="preserve">     </w:t>
      </w:r>
    </w:p>
    <w:p>
      <w:pPr>
        <w:jc w:val="both"/>
      </w:pPr>
      <w:r>
        <w:rPr>
          <w:color w:val="000000"/>
          <w:sz w:val="21"/>
        </w:rPr>
        <w:t>地    址：</w:t>
      </w:r>
      <w:r>
        <w:rPr>
          <w:b/>
          <w:color w:val="000000"/>
          <w:sz w:val="21"/>
          <w:u w:val="single"/>
        </w:rPr>
        <w:t xml:space="preserve">                     </w:t>
      </w:r>
    </w:p>
    <w:p>
      <w:pPr>
        <w:ind w:firstLine="420"/>
        <w:jc w:val="both"/>
      </w:pPr>
    </w:p>
    <w:p>
      <w:pPr>
        <w:ind w:firstLine="420"/>
        <w:jc w:val="both"/>
      </w:pPr>
      <w:r>
        <w:rPr>
          <w:color w:val="000000"/>
          <w:sz w:val="21"/>
        </w:rPr>
        <w:t>根据</w:t>
      </w:r>
      <w:r>
        <w:rPr>
          <w:color w:val="000000"/>
          <w:sz w:val="21"/>
          <w:u w:val="single"/>
        </w:rPr>
        <w:t xml:space="preserve"> 2024-2026年度花都区老年人照护需求综合评估 （项目编号：       ）</w:t>
      </w:r>
      <w:r>
        <w:rPr>
          <w:color w:val="000000"/>
          <w:sz w:val="21"/>
        </w:rPr>
        <w:t xml:space="preserve"> 的采购结果，甲方确定乙方成为本项目的中标供应商，按照《中华人民共和国政府采购法》、《中华人民共和国政府采购法实施条例》、《中华人民共和国民法典》第三编　合同等有关规定，经双方协商，本着平等互利、诚实守信的原则达成协议如下：</w:t>
      </w:r>
    </w:p>
    <w:p>
      <w:pPr>
        <w:ind w:firstLine="422"/>
        <w:jc w:val="left"/>
      </w:pPr>
      <w:r>
        <w:rPr>
          <w:b/>
          <w:color w:val="000000"/>
          <w:sz w:val="21"/>
        </w:rPr>
        <w:t>一、合同概述：</w:t>
      </w:r>
    </w:p>
    <w:p>
      <w:pPr>
        <w:ind w:firstLine="420"/>
        <w:jc w:val="left"/>
      </w:pPr>
      <w:r>
        <w:rPr>
          <w:color w:val="000000"/>
          <w:sz w:val="21"/>
        </w:rPr>
        <w:t>本合同为</w:t>
      </w:r>
      <w:r>
        <w:rPr>
          <w:color w:val="000000"/>
          <w:sz w:val="21"/>
          <w:u w:val="single"/>
        </w:rPr>
        <w:t>三年</w:t>
      </w:r>
      <w:r>
        <w:rPr>
          <w:color w:val="000000"/>
          <w:sz w:val="21"/>
        </w:rPr>
        <w:t>框架协议合同，是甲乙双方就</w:t>
      </w:r>
      <w:r>
        <w:rPr>
          <w:color w:val="000000"/>
          <w:sz w:val="21"/>
          <w:u w:val="single"/>
        </w:rPr>
        <w:t>2024-2026年度老年人照护需求综合评估项目</w:t>
      </w:r>
      <w:r>
        <w:rPr>
          <w:color w:val="000000"/>
          <w:sz w:val="21"/>
        </w:rPr>
        <w:t>采购相关事宜达成的合作意向，具体服务内容和相关要求、支付方式及双方权利义务等相关细节详见甲乙双方签署的年度服务购买合同。</w:t>
      </w:r>
    </w:p>
    <w:p>
      <w:pPr>
        <w:ind w:firstLine="420"/>
        <w:jc w:val="both"/>
      </w:pPr>
      <w:r>
        <w:rPr>
          <w:color w:val="000000"/>
          <w:sz w:val="21"/>
        </w:rPr>
        <w:t>1.1</w:t>
      </w:r>
      <w:r>
        <w:rPr>
          <w:color w:val="000000"/>
          <w:sz w:val="21"/>
        </w:rPr>
        <w:t>本合同金额为（大写）：</w:t>
      </w:r>
      <w:r>
        <w:rPr>
          <w:color w:val="000000"/>
          <w:sz w:val="21"/>
          <w:u w:val="single"/>
        </w:rPr>
        <w:t xml:space="preserve">      </w:t>
      </w:r>
      <w:r>
        <w:rPr>
          <w:b/>
          <w:color w:val="000000"/>
          <w:sz w:val="21"/>
          <w:u w:val="single"/>
        </w:rPr>
        <w:t>元</w:t>
      </w:r>
      <w:r>
        <w:rPr>
          <w:color w:val="000000"/>
          <w:sz w:val="21"/>
        </w:rPr>
        <w:t>（  万  仟  元整），合同期限</w:t>
      </w:r>
      <w:r>
        <w:rPr>
          <w:color w:val="000000"/>
          <w:sz w:val="21"/>
          <w:u w:val="single"/>
        </w:rPr>
        <w:t>三年</w:t>
      </w:r>
      <w:r>
        <w:rPr>
          <w:color w:val="000000"/>
          <w:sz w:val="21"/>
        </w:rPr>
        <w:t>。每年金额为（大写）：</w:t>
      </w:r>
      <w:r>
        <w:rPr>
          <w:b/>
          <w:color w:val="000000"/>
          <w:sz w:val="21"/>
          <w:u w:val="single"/>
        </w:rPr>
        <w:t xml:space="preserve">   元</w:t>
      </w:r>
      <w:r>
        <w:rPr>
          <w:color w:val="000000"/>
          <w:sz w:val="21"/>
        </w:rPr>
        <w:t>（   万   仟元整）。</w:t>
      </w:r>
      <w:r>
        <w:rPr>
          <w:color w:val="000000"/>
          <w:sz w:val="21"/>
        </w:rPr>
        <w:t>本</w:t>
      </w:r>
      <w:r>
        <w:rPr>
          <w:color w:val="000000"/>
          <w:sz w:val="21"/>
        </w:rPr>
        <w:t>合同约定每年合同金额</w:t>
      </w:r>
      <w:r>
        <w:rPr>
          <w:color w:val="000000"/>
          <w:sz w:val="21"/>
          <w:u w:val="single"/>
        </w:rPr>
        <w:t xml:space="preserve">   </w:t>
      </w:r>
      <w:r>
        <w:rPr>
          <w:color w:val="000000"/>
          <w:sz w:val="21"/>
        </w:rPr>
        <w:t>元</w:t>
      </w:r>
      <w:r>
        <w:rPr>
          <w:color w:val="000000"/>
          <w:sz w:val="21"/>
        </w:rPr>
        <w:t>为预估</w:t>
      </w:r>
      <w:r>
        <w:rPr>
          <w:color w:val="000000"/>
          <w:sz w:val="21"/>
        </w:rPr>
        <w:t>金额</w:t>
      </w:r>
      <w:r>
        <w:rPr>
          <w:color w:val="000000"/>
          <w:sz w:val="21"/>
        </w:rPr>
        <w:t>，甲方将按照实际评估人</w:t>
      </w:r>
      <w:r>
        <w:rPr>
          <w:color w:val="000000"/>
          <w:sz w:val="21"/>
        </w:rPr>
        <w:t>次数</w:t>
      </w:r>
      <w:r>
        <w:rPr>
          <w:color w:val="000000"/>
          <w:sz w:val="21"/>
        </w:rPr>
        <w:t>及</w:t>
      </w:r>
      <w:r>
        <w:rPr>
          <w:color w:val="000000"/>
          <w:sz w:val="21"/>
        </w:rPr>
        <w:t>评估</w:t>
      </w:r>
      <w:r>
        <w:rPr>
          <w:color w:val="000000"/>
          <w:sz w:val="21"/>
        </w:rPr>
        <w:t>方式支付</w:t>
      </w:r>
      <w:r>
        <w:rPr>
          <w:color w:val="000000"/>
          <w:sz w:val="21"/>
        </w:rPr>
        <w:t>相关款项</w:t>
      </w:r>
      <w:r>
        <w:rPr>
          <w:color w:val="000000"/>
          <w:sz w:val="21"/>
        </w:rPr>
        <w:t>，</w:t>
      </w:r>
      <w:r>
        <w:rPr>
          <w:color w:val="000000"/>
          <w:sz w:val="21"/>
        </w:rPr>
        <w:t>每年合同</w:t>
      </w:r>
      <w:r>
        <w:rPr>
          <w:color w:val="000000"/>
          <w:sz w:val="21"/>
        </w:rPr>
        <w:t>金额不超过</w:t>
      </w:r>
      <w:r>
        <w:rPr>
          <w:sz w:val="24"/>
          <w:u w:val="single"/>
        </w:rPr>
        <w:t xml:space="preserve">   </w:t>
      </w:r>
      <w:r>
        <w:rPr>
          <w:color w:val="000000"/>
          <w:sz w:val="21"/>
        </w:rPr>
        <w:t>元，乙方对此不存在任何异议。</w:t>
      </w:r>
    </w:p>
    <w:p>
      <w:pPr>
        <w:ind w:firstLine="420"/>
        <w:jc w:val="left"/>
      </w:pPr>
      <w:r>
        <w:rPr>
          <w:color w:val="000000"/>
          <w:sz w:val="21"/>
        </w:rPr>
        <w:t>1.2</w:t>
      </w:r>
      <w:r>
        <w:rPr>
          <w:color w:val="000000"/>
          <w:sz w:val="21"/>
        </w:rPr>
        <w:t>合同期限：</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rPr>
        <w:t>日起至</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rPr>
        <w:t>日</w:t>
      </w:r>
    </w:p>
    <w:p>
      <w:pPr>
        <w:ind w:firstLine="420"/>
        <w:jc w:val="left"/>
      </w:pPr>
      <w:r>
        <w:rPr>
          <w:color w:val="000000"/>
          <w:sz w:val="21"/>
        </w:rPr>
        <w:t>1.3</w:t>
      </w:r>
      <w:r>
        <w:rPr>
          <w:color w:val="000000"/>
          <w:sz w:val="21"/>
        </w:rPr>
        <w:t>每年项目末期验收结果在合格以上（包括合格、良好、优秀等级），即可按照流程进行下一年的服务合同续签；如评估结果为“不合格”或出现重大问题需要整改的，乙方需按照甲方和第三方评估机构整改要求进行整改，经第三方评估合格后再进行下一年度服务合同续签工作，整改后仍不合格的，甲方可中止此合同。</w:t>
      </w:r>
    </w:p>
    <w:p>
      <w:pPr>
        <w:ind w:firstLine="422"/>
        <w:jc w:val="both"/>
      </w:pPr>
      <w:r>
        <w:rPr>
          <w:b/>
          <w:color w:val="000000"/>
          <w:sz w:val="21"/>
        </w:rPr>
        <w:t>二、</w:t>
      </w:r>
      <w:r>
        <w:rPr>
          <w:b/>
          <w:color w:val="000000"/>
          <w:sz w:val="21"/>
        </w:rPr>
        <w:t>协议生效、变更、终止：</w:t>
      </w:r>
    </w:p>
    <w:p>
      <w:pPr>
        <w:ind w:firstLine="420"/>
        <w:jc w:val="left"/>
      </w:pPr>
      <w:r>
        <w:rPr>
          <w:color w:val="000000"/>
          <w:sz w:val="21"/>
        </w:rPr>
        <w:t>2.1</w:t>
      </w:r>
      <w:r>
        <w:rPr>
          <w:color w:val="000000"/>
          <w:sz w:val="21"/>
        </w:rPr>
        <w:t>本协议自签订并盖章之日起生效。</w:t>
      </w:r>
    </w:p>
    <w:p>
      <w:pPr>
        <w:ind w:firstLine="420"/>
        <w:jc w:val="left"/>
      </w:pPr>
      <w:r>
        <w:rPr>
          <w:color w:val="000000"/>
          <w:sz w:val="21"/>
        </w:rPr>
        <w:t>2.2</w:t>
      </w:r>
      <w:r>
        <w:rPr>
          <w:color w:val="000000"/>
          <w:sz w:val="21"/>
        </w:rPr>
        <w:t xml:space="preserve">因不可抗力及其他不可预见和不可避免因素致使本协议不能履行时，双方协商同意后终止本协议，双方均不承担法律责任。 </w:t>
      </w:r>
    </w:p>
    <w:p>
      <w:pPr>
        <w:ind w:firstLine="420"/>
        <w:jc w:val="left"/>
      </w:pPr>
      <w:r>
        <w:rPr>
          <w:color w:val="000000"/>
          <w:sz w:val="21"/>
        </w:rPr>
        <w:t>2.3</w:t>
      </w:r>
      <w:r>
        <w:rPr>
          <w:color w:val="000000"/>
          <w:sz w:val="21"/>
        </w:rPr>
        <w:t>本协议的所有后续有关附件或具体合同均为本协议组成的一部分，与本协议具有同等法律效力。</w:t>
      </w:r>
    </w:p>
    <w:p>
      <w:pPr>
        <w:ind w:firstLine="420"/>
        <w:jc w:val="left"/>
      </w:pPr>
      <w:r>
        <w:rPr>
          <w:color w:val="000000"/>
          <w:sz w:val="21"/>
        </w:rPr>
        <w:t>2.4</w:t>
      </w:r>
      <w:r>
        <w:rPr>
          <w:color w:val="000000"/>
          <w:sz w:val="21"/>
        </w:rPr>
        <w:t>对本协议要进行变更、补充的，需要签订书面补充协议，补充协议签字盖章后生效。</w:t>
      </w:r>
    </w:p>
    <w:p>
      <w:pPr>
        <w:ind w:firstLine="420"/>
        <w:jc w:val="left"/>
      </w:pPr>
      <w:r>
        <w:rPr>
          <w:color w:val="000000"/>
          <w:sz w:val="21"/>
        </w:rPr>
        <w:t>2.5</w:t>
      </w:r>
      <w:r>
        <w:rPr>
          <w:color w:val="000000"/>
          <w:sz w:val="21"/>
        </w:rPr>
        <w:t>本协议可因以下任何原因终止：</w:t>
      </w:r>
    </w:p>
    <w:p>
      <w:pPr>
        <w:ind w:firstLine="420"/>
        <w:jc w:val="left"/>
      </w:pPr>
      <w:r>
        <w:rPr>
          <w:color w:val="000000"/>
          <w:sz w:val="21"/>
        </w:rPr>
        <w:t>2.5.1</w:t>
      </w:r>
      <w:r>
        <w:rPr>
          <w:color w:val="000000"/>
          <w:sz w:val="21"/>
        </w:rPr>
        <w:t>本协议期限届满；</w:t>
      </w:r>
    </w:p>
    <w:p>
      <w:pPr>
        <w:ind w:firstLine="420"/>
        <w:jc w:val="left"/>
      </w:pPr>
      <w:r>
        <w:rPr>
          <w:color w:val="000000"/>
          <w:sz w:val="21"/>
        </w:rPr>
        <w:t>2.5.2</w:t>
      </w:r>
      <w:r>
        <w:rPr>
          <w:color w:val="000000"/>
          <w:sz w:val="21"/>
        </w:rPr>
        <w:t>经双方协商一致提前终止本协议；</w:t>
      </w:r>
    </w:p>
    <w:p>
      <w:pPr>
        <w:ind w:firstLine="420"/>
        <w:jc w:val="left"/>
      </w:pPr>
      <w:r>
        <w:rPr>
          <w:color w:val="000000"/>
          <w:sz w:val="21"/>
        </w:rPr>
        <w:t>2.5.3</w:t>
      </w:r>
      <w:r>
        <w:rPr>
          <w:color w:val="000000"/>
          <w:sz w:val="21"/>
        </w:rPr>
        <w:t>一方不履行或不完全履行其所负的义务而构成严重违约行为的，或者经对方催告后30个工作日内仍不履行的，守约方可以书面通知的方式解除或终止本协议，并按照协议及后续具体合同的约定要求违约方承担违约责任。</w:t>
      </w:r>
    </w:p>
    <w:p>
      <w:pPr>
        <w:ind w:firstLine="420"/>
        <w:jc w:val="left"/>
      </w:pPr>
      <w:r>
        <w:rPr>
          <w:color w:val="000000"/>
          <w:sz w:val="21"/>
        </w:rPr>
        <w:t>2.6</w:t>
      </w:r>
      <w:r>
        <w:rPr>
          <w:color w:val="000000"/>
          <w:sz w:val="21"/>
        </w:rPr>
        <w:t>本协议一式4份，甲、乙双方各执2份。</w:t>
      </w:r>
    </w:p>
    <w:p>
      <w:pPr>
        <w:ind w:firstLine="420"/>
        <w:jc w:val="left"/>
      </w:pPr>
    </w:p>
    <w:p>
      <w:pPr>
        <w:ind w:firstLine="420"/>
        <w:jc w:val="left"/>
      </w:pPr>
    </w:p>
    <w:p>
      <w:pPr>
        <w:ind w:firstLine="420"/>
        <w:jc w:val="left"/>
      </w:pPr>
      <w:r>
        <w:rPr>
          <w:sz w:val="24"/>
        </w:rPr>
        <w:t xml:space="preserve"> </w:t>
      </w:r>
    </w:p>
    <w:p>
      <w:pPr>
        <w:jc w:val="both"/>
      </w:pPr>
      <w:r>
        <w:rPr>
          <w:color w:val="000000"/>
          <w:sz w:val="21"/>
        </w:rPr>
        <w:t>甲方（盖章）：                   乙方（盖章）：</w:t>
      </w:r>
    </w:p>
    <w:p>
      <w:pPr>
        <w:jc w:val="both"/>
      </w:pPr>
      <w:r>
        <w:rPr>
          <w:color w:val="000000"/>
          <w:sz w:val="21"/>
        </w:rPr>
        <w:t>法定代表/授权代表（签字）：      法定代表/授权代表（签字）：</w:t>
      </w:r>
    </w:p>
    <w:p>
      <w:pPr>
        <w:jc w:val="both"/>
      </w:pPr>
      <w:r>
        <w:rPr>
          <w:color w:val="000000"/>
          <w:sz w:val="21"/>
        </w:rPr>
        <w:t>日期：                          日期：</w:t>
      </w:r>
    </w:p>
    <w:p>
      <w:pPr>
        <w:ind w:firstLine="480"/>
        <w:jc w:val="center"/>
      </w:pPr>
    </w:p>
    <w:p>
      <w:pPr>
        <w:ind w:firstLine="480"/>
        <w:jc w:val="center"/>
      </w:pPr>
      <w:r>
        <w:rPr>
          <w:b/>
          <w:sz w:val="24"/>
        </w:rPr>
        <w:t xml:space="preserve"> </w:t>
      </w:r>
    </w:p>
    <w:p/>
    <w:p>
      <w:pPr>
        <w:jc w:val="left"/>
      </w:pPr>
    </w:p>
    <w:p>
      <w:pPr>
        <w:jc w:val="center"/>
      </w:pPr>
    </w:p>
    <w:p>
      <w:pPr>
        <w:jc w:val="center"/>
      </w:pPr>
    </w:p>
    <w:p>
      <w:pPr>
        <w:jc w:val="center"/>
      </w:pPr>
    </w:p>
    <w:p>
      <w:pPr>
        <w:jc w:val="center"/>
      </w:pPr>
    </w:p>
    <w:p>
      <w:pPr>
        <w:jc w:val="center"/>
      </w:pPr>
      <w:r>
        <w:rPr>
          <w:b/>
          <w:color w:val="000000"/>
          <w:sz w:val="52"/>
        </w:rPr>
        <w:t>2024</w:t>
      </w:r>
      <w:r>
        <w:rPr>
          <w:b/>
          <w:color w:val="000000"/>
          <w:sz w:val="52"/>
        </w:rPr>
        <w:t>年度花都区老年人照护需求</w:t>
      </w:r>
    </w:p>
    <w:p>
      <w:pPr>
        <w:jc w:val="center"/>
      </w:pPr>
      <w:r>
        <w:rPr>
          <w:b/>
          <w:color w:val="000000"/>
          <w:sz w:val="52"/>
        </w:rPr>
        <w:t>综合评估项目</w:t>
      </w:r>
    </w:p>
    <w:p>
      <w:pPr>
        <w:jc w:val="center"/>
      </w:pPr>
    </w:p>
    <w:p>
      <w:pPr>
        <w:jc w:val="center"/>
      </w:pPr>
    </w:p>
    <w:p>
      <w:pPr>
        <w:jc w:val="center"/>
      </w:pPr>
      <w:r>
        <w:rPr>
          <w:b/>
          <w:color w:val="000000"/>
          <w:sz w:val="72"/>
        </w:rPr>
        <w:t>合同书</w:t>
      </w:r>
    </w:p>
    <w:p>
      <w:pPr>
        <w:jc w:val="center"/>
      </w:pPr>
      <w:r>
        <w:rPr>
          <w:b/>
          <w:color w:val="000000"/>
          <w:sz w:val="52"/>
        </w:rPr>
        <w:t>（样本）</w:t>
      </w:r>
    </w:p>
    <w:p>
      <w:pPr>
        <w:jc w:val="center"/>
      </w:pPr>
    </w:p>
    <w:p>
      <w:pPr>
        <w:jc w:val="both"/>
      </w:pPr>
    </w:p>
    <w:p>
      <w:pPr>
        <w:jc w:val="both"/>
      </w:pPr>
    </w:p>
    <w:p>
      <w:pPr>
        <w:jc w:val="both"/>
      </w:pPr>
    </w:p>
    <w:p>
      <w:pPr>
        <w:jc w:val="both"/>
      </w:pPr>
    </w:p>
    <w:p/>
    <w:p>
      <w:pPr>
        <w:jc w:val="both"/>
      </w:pPr>
      <w:r>
        <w:rPr>
          <w:b/>
          <w:color w:val="000000"/>
          <w:sz w:val="21"/>
        </w:rPr>
        <w:t>甲    方（单位名称）：</w:t>
      </w:r>
    </w:p>
    <w:p>
      <w:pPr>
        <w:jc w:val="both"/>
      </w:pPr>
      <w:r>
        <w:rPr>
          <w:color w:val="000000"/>
          <w:sz w:val="21"/>
        </w:rPr>
        <w:t>法人代表：</w:t>
      </w:r>
      <w:r>
        <w:rPr>
          <w:color w:val="000000"/>
          <w:sz w:val="21"/>
          <w:u w:val="single"/>
        </w:rPr>
        <w:t xml:space="preserve">                       </w:t>
      </w:r>
    </w:p>
    <w:p>
      <w:pPr>
        <w:jc w:val="both"/>
      </w:pPr>
      <w:r>
        <w:rPr>
          <w:color w:val="000000"/>
          <w:sz w:val="21"/>
        </w:rPr>
        <w:t xml:space="preserve">联系人： </w:t>
      </w:r>
      <w:r>
        <w:rPr>
          <w:color w:val="000000"/>
          <w:sz w:val="21"/>
          <w:u w:val="single"/>
        </w:rPr>
        <w:t xml:space="preserve">                        </w:t>
      </w:r>
    </w:p>
    <w:p>
      <w:pPr>
        <w:jc w:val="both"/>
      </w:pPr>
      <w:r>
        <w:rPr>
          <w:color w:val="000000"/>
          <w:sz w:val="21"/>
        </w:rPr>
        <w:t>联系电话：</w:t>
      </w:r>
      <w:r>
        <w:rPr>
          <w:color w:val="000000"/>
          <w:sz w:val="21"/>
          <w:u w:val="single"/>
        </w:rPr>
        <w:t xml:space="preserve">                       </w:t>
      </w:r>
      <w:r>
        <w:rPr>
          <w:color w:val="000000"/>
          <w:sz w:val="21"/>
        </w:rPr>
        <w:t xml:space="preserve">    </w:t>
      </w:r>
    </w:p>
    <w:p>
      <w:pPr>
        <w:jc w:val="both"/>
      </w:pPr>
      <w:r>
        <w:rPr>
          <w:color w:val="000000"/>
          <w:sz w:val="21"/>
        </w:rPr>
        <w:t>地    址：</w:t>
      </w:r>
      <w:r>
        <w:rPr>
          <w:color w:val="000000"/>
          <w:sz w:val="21"/>
          <w:u w:val="single"/>
        </w:rPr>
        <w:t xml:space="preserve">                       </w:t>
      </w:r>
    </w:p>
    <w:p>
      <w:pPr>
        <w:jc w:val="both"/>
      </w:pPr>
    </w:p>
    <w:p>
      <w:pPr>
        <w:jc w:val="both"/>
      </w:pPr>
      <w:r>
        <w:rPr>
          <w:b/>
          <w:color w:val="000000"/>
          <w:sz w:val="21"/>
        </w:rPr>
        <w:t>乙    方（第三方评估机构）：</w:t>
      </w:r>
    </w:p>
    <w:p>
      <w:pPr>
        <w:jc w:val="both"/>
      </w:pPr>
      <w:r>
        <w:rPr>
          <w:color w:val="000000"/>
          <w:sz w:val="21"/>
        </w:rPr>
        <w:t>法人代表：</w:t>
      </w:r>
      <w:r>
        <w:rPr>
          <w:color w:val="000000"/>
          <w:sz w:val="21"/>
          <w:u w:val="single"/>
        </w:rPr>
        <w:t xml:space="preserve">                       </w:t>
      </w:r>
    </w:p>
    <w:p>
      <w:pPr>
        <w:jc w:val="both"/>
      </w:pPr>
      <w:r>
        <w:rPr>
          <w:color w:val="000000"/>
          <w:sz w:val="21"/>
        </w:rPr>
        <w:t>机构电话：</w:t>
      </w:r>
      <w:r>
        <w:rPr>
          <w:color w:val="000000"/>
          <w:sz w:val="21"/>
          <w:u w:val="single"/>
        </w:rPr>
        <w:t xml:space="preserve">                       </w:t>
      </w:r>
    </w:p>
    <w:p>
      <w:pPr>
        <w:jc w:val="both"/>
      </w:pPr>
      <w:r>
        <w:rPr>
          <w:color w:val="000000"/>
          <w:sz w:val="21"/>
        </w:rPr>
        <w:t>联系人：</w:t>
      </w:r>
      <w:r>
        <w:rPr>
          <w:color w:val="000000"/>
          <w:sz w:val="21"/>
          <w:u w:val="single"/>
        </w:rPr>
        <w:t xml:space="preserve">                         </w:t>
      </w:r>
    </w:p>
    <w:p>
      <w:pPr>
        <w:jc w:val="both"/>
      </w:pPr>
      <w:r>
        <w:rPr>
          <w:color w:val="000000"/>
          <w:sz w:val="21"/>
        </w:rPr>
        <w:t>联系电话：</w:t>
      </w:r>
      <w:r>
        <w:rPr>
          <w:color w:val="000000"/>
          <w:sz w:val="21"/>
          <w:u w:val="single"/>
        </w:rPr>
        <w:t xml:space="preserve">                       </w:t>
      </w:r>
    </w:p>
    <w:p>
      <w:pPr>
        <w:jc w:val="both"/>
      </w:pPr>
      <w:r>
        <w:rPr>
          <w:color w:val="000000"/>
          <w:sz w:val="21"/>
        </w:rPr>
        <w:t>地    址：</w:t>
      </w:r>
      <w:r>
        <w:rPr>
          <w:color w:val="000000"/>
          <w:sz w:val="21"/>
          <w:u w:val="single"/>
        </w:rPr>
        <w:t xml:space="preserve">                       </w:t>
      </w:r>
    </w:p>
    <w:p>
      <w:pPr>
        <w:jc w:val="both"/>
      </w:pPr>
    </w:p>
    <w:p>
      <w:pPr>
        <w:ind w:firstLine="420"/>
        <w:jc w:val="both"/>
      </w:pPr>
      <w:r>
        <w:rPr>
          <w:color w:val="000000"/>
          <w:sz w:val="21"/>
        </w:rPr>
        <w:t>为推进我区养老服务专业化建设，提升服务质量，根据《中华人民共和国政府采购法》《中华人民共和国民法典》第三编　合同《政府向社会组织购买服务暂行办法》《广州市居家社区养老服务管理办法》《广州市老年人照护需求综合评估管理办法（试行）》等有关规定，甲、乙双方在平等、自愿、协商一致的基础上，就甲方向乙方购买的2024年度花都区老年人照护需求综合评估项目签订本合同如下：</w:t>
      </w:r>
    </w:p>
    <w:p>
      <w:pPr>
        <w:jc w:val="both"/>
      </w:pPr>
    </w:p>
    <w:p>
      <w:pPr>
        <w:ind w:firstLine="422"/>
        <w:jc w:val="center"/>
      </w:pPr>
      <w:r>
        <w:rPr>
          <w:b/>
          <w:color w:val="000000"/>
          <w:sz w:val="21"/>
        </w:rPr>
        <w:t>一、合同金额及支付方式</w:t>
      </w:r>
    </w:p>
    <w:p>
      <w:pPr>
        <w:ind w:firstLine="422"/>
        <w:jc w:val="both"/>
      </w:pPr>
      <w:r>
        <w:rPr>
          <w:b/>
          <w:color w:val="000000"/>
          <w:sz w:val="21"/>
        </w:rPr>
        <w:t>1.1</w:t>
      </w:r>
      <w:r>
        <w:rPr>
          <w:b/>
          <w:color w:val="000000"/>
          <w:sz w:val="21"/>
        </w:rPr>
        <w:t>评估方式</w:t>
      </w:r>
    </w:p>
    <w:p>
      <w:pPr>
        <w:ind w:firstLine="420"/>
        <w:jc w:val="both"/>
      </w:pPr>
      <w:r>
        <w:rPr>
          <w:color w:val="000000"/>
          <w:sz w:val="21"/>
        </w:rPr>
        <w:t>按照全市统一的老年人照护需求综合评估标准，采用上门评估和集中评估两种方式。对行动不便、失能、高龄等老年人提供上门评估服务；对行动自如的老年人提供集中评估，集中评估点可以设置在村（居）委会、老年人活动站点、星光老年之家等，便于老年人就近参与评估。评估方式（上门评估或集中评估）需由评估申请人、评估申请人家属、居住地镇（街）社会事务办（科）、综合养老服务中心工作人员等其中之一签名确定，确认表应附于评估报告之内。</w:t>
      </w:r>
    </w:p>
    <w:p>
      <w:pPr>
        <w:ind w:firstLine="422"/>
        <w:jc w:val="both"/>
      </w:pPr>
      <w:r>
        <w:rPr>
          <w:b/>
          <w:color w:val="000000"/>
          <w:sz w:val="21"/>
        </w:rPr>
        <w:t>1.2</w:t>
      </w:r>
      <w:r>
        <w:rPr>
          <w:b/>
          <w:color w:val="000000"/>
          <w:sz w:val="21"/>
        </w:rPr>
        <w:t>评估总量</w:t>
      </w:r>
    </w:p>
    <w:p>
      <w:pPr>
        <w:ind w:firstLine="420"/>
        <w:jc w:val="both"/>
      </w:pPr>
      <w:r>
        <w:rPr>
          <w:color w:val="000000"/>
          <w:sz w:val="21"/>
        </w:rPr>
        <w:t>评估据实结算，预计总评估量为2000人次。</w:t>
      </w:r>
    </w:p>
    <w:p>
      <w:pPr>
        <w:ind w:firstLine="422"/>
        <w:jc w:val="both"/>
      </w:pPr>
      <w:r>
        <w:rPr>
          <w:b/>
          <w:color w:val="000000"/>
          <w:sz w:val="21"/>
        </w:rPr>
        <w:t>1.3</w:t>
      </w:r>
      <w:r>
        <w:rPr>
          <w:b/>
          <w:color w:val="000000"/>
          <w:sz w:val="21"/>
        </w:rPr>
        <w:t>评估费用</w:t>
      </w:r>
    </w:p>
    <w:p>
      <w:pPr>
        <w:ind w:firstLine="420"/>
        <w:jc w:val="both"/>
      </w:pPr>
      <w:r>
        <w:rPr>
          <w:color w:val="000000"/>
          <w:sz w:val="21"/>
        </w:rPr>
        <w:t>上门评估费用</w:t>
      </w:r>
      <w:r>
        <w:rPr>
          <w:color w:val="000000"/>
          <w:sz w:val="21"/>
          <w:u w:val="single"/>
        </w:rPr>
        <w:t xml:space="preserve">   </w:t>
      </w:r>
      <w:r>
        <w:rPr>
          <w:color w:val="000000"/>
          <w:sz w:val="21"/>
        </w:rPr>
        <w:t>元/人/次，集中评估费用</w:t>
      </w:r>
      <w:r>
        <w:rPr>
          <w:color w:val="000000"/>
          <w:sz w:val="21"/>
          <w:u w:val="single"/>
        </w:rPr>
        <w:t xml:space="preserve">   </w:t>
      </w:r>
      <w:r>
        <w:rPr>
          <w:color w:val="000000"/>
          <w:sz w:val="21"/>
        </w:rPr>
        <w:t>元/人/次。</w:t>
      </w:r>
    </w:p>
    <w:p>
      <w:pPr>
        <w:ind w:firstLine="422"/>
        <w:jc w:val="both"/>
      </w:pPr>
      <w:r>
        <w:rPr>
          <w:b/>
          <w:color w:val="000000"/>
          <w:sz w:val="21"/>
        </w:rPr>
        <w:t>1.4</w:t>
      </w:r>
      <w:r>
        <w:rPr>
          <w:b/>
          <w:color w:val="000000"/>
          <w:sz w:val="21"/>
        </w:rPr>
        <w:t>合同金额</w:t>
      </w:r>
    </w:p>
    <w:p>
      <w:pPr>
        <w:ind w:firstLine="420"/>
        <w:jc w:val="both"/>
      </w:pPr>
      <w:r>
        <w:rPr>
          <w:color w:val="000000"/>
          <w:sz w:val="21"/>
        </w:rPr>
        <w:t>本合同费用总金额为（大写）</w:t>
      </w:r>
      <w:r>
        <w:rPr>
          <w:color w:val="000000"/>
          <w:sz w:val="21"/>
          <w:u w:val="single"/>
        </w:rPr>
        <w:t xml:space="preserve">¥         </w:t>
      </w:r>
      <w:r>
        <w:rPr>
          <w:color w:val="000000"/>
          <w:sz w:val="21"/>
        </w:rPr>
        <w:t>（</w:t>
      </w:r>
      <w:r>
        <w:rPr>
          <w:color w:val="000000"/>
          <w:sz w:val="21"/>
          <w:u w:val="single"/>
        </w:rPr>
        <w:t xml:space="preserve">  </w:t>
      </w:r>
      <w:r>
        <w:rPr>
          <w:color w:val="000000"/>
          <w:sz w:val="21"/>
        </w:rPr>
        <w:t>万</w:t>
      </w:r>
      <w:r>
        <w:rPr>
          <w:color w:val="000000"/>
          <w:sz w:val="21"/>
          <w:u w:val="single"/>
        </w:rPr>
        <w:t xml:space="preserve">  </w:t>
      </w:r>
      <w:r>
        <w:rPr>
          <w:color w:val="000000"/>
          <w:sz w:val="21"/>
        </w:rPr>
        <w:t>仟元整），</w:t>
      </w:r>
      <w:r>
        <w:rPr>
          <w:color w:val="000000"/>
          <w:sz w:val="21"/>
        </w:rPr>
        <w:t>该费用</w:t>
      </w:r>
      <w:r>
        <w:rPr>
          <w:color w:val="000000"/>
          <w:sz w:val="21"/>
        </w:rPr>
        <w:t>包括</w:t>
      </w:r>
      <w:r>
        <w:rPr>
          <w:color w:val="000000"/>
          <w:sz w:val="21"/>
        </w:rPr>
        <w:t>但不限于</w:t>
      </w:r>
      <w:r>
        <w:rPr>
          <w:color w:val="000000"/>
          <w:sz w:val="21"/>
        </w:rPr>
        <w:t>评估服务费、人工费、管理费、技术支持费、办公经费、税费等一切与本项目相关的费用</w:t>
      </w:r>
      <w:r>
        <w:rPr>
          <w:color w:val="000000"/>
          <w:sz w:val="21"/>
        </w:rPr>
        <w:t>，甲方不再另行向乙方支付其他费用，经甲、乙双方协商另行签订补充协议约定的除外</w:t>
      </w:r>
      <w:r>
        <w:rPr>
          <w:color w:val="000000"/>
          <w:sz w:val="21"/>
        </w:rPr>
        <w:t>。</w:t>
      </w:r>
    </w:p>
    <w:p>
      <w:pPr>
        <w:ind w:firstLine="422"/>
        <w:jc w:val="both"/>
      </w:pPr>
      <w:r>
        <w:rPr>
          <w:b/>
          <w:color w:val="000000"/>
          <w:sz w:val="21"/>
        </w:rPr>
        <w:t>1.5</w:t>
      </w:r>
      <w:r>
        <w:rPr>
          <w:b/>
          <w:color w:val="000000"/>
          <w:sz w:val="21"/>
        </w:rPr>
        <w:t>支付方式</w:t>
      </w:r>
    </w:p>
    <w:p>
      <w:pPr>
        <w:ind w:firstLine="420"/>
        <w:jc w:val="both"/>
      </w:pPr>
      <w:r>
        <w:rPr>
          <w:color w:val="000000"/>
          <w:sz w:val="21"/>
        </w:rPr>
        <w:t>1</w:t>
      </w:r>
      <w:r>
        <w:rPr>
          <w:color w:val="000000"/>
          <w:sz w:val="21"/>
        </w:rPr>
        <w:t>.5.1</w:t>
      </w:r>
      <w:r>
        <w:rPr>
          <w:color w:val="000000"/>
          <w:sz w:val="21"/>
        </w:rPr>
        <w:t>甲方按照下列方式支付本合同款项</w:t>
      </w:r>
      <w:r>
        <w:rPr>
          <w:color w:val="000000"/>
          <w:sz w:val="21"/>
        </w:rPr>
        <w:t>：</w:t>
      </w:r>
    </w:p>
    <w:p>
      <w:pPr>
        <w:ind w:firstLine="420"/>
        <w:jc w:val="both"/>
      </w:pPr>
      <w:r>
        <w:rPr>
          <w:color w:val="000000"/>
          <w:sz w:val="21"/>
        </w:rPr>
        <w:t>（1）乙方按照本合同约定开展老年人照护需求综合评估工作满6个月后，向甲方提供合同、正式发票、工作半年情况报告、已完成评估的人员清单，甲方于收到相关资料后进行履约验收，验收合格的，甲方签署书面验收合格凭证，甲方自签署书面验收合格凭证后15个工作日内按照6个月内实际完成评估人次数及评估方式支付相应款项。</w:t>
      </w:r>
    </w:p>
    <w:p>
      <w:pPr>
        <w:ind w:firstLine="420"/>
        <w:jc w:val="both"/>
      </w:pPr>
      <w:r>
        <w:rPr>
          <w:color w:val="000000"/>
          <w:sz w:val="21"/>
        </w:rPr>
        <w:t>（2）乙方完成本合同约定的全部工作任务后60个工作日内向甲方提供合同、正式发票、全部评估报告原件、评估工作情况报告、数据以及花都区老年人照护需求分析报告，甲方于收到相关资料后进行项目验收，验收合格的，甲方签署书面验收合格凭证，甲方自签署书面验收合格凭证后15个工作日内按照实际评估人次数及评估方式支付尾款。1.5.2</w:t>
      </w:r>
      <w:r>
        <w:rPr>
          <w:color w:val="000000"/>
          <w:sz w:val="21"/>
        </w:rPr>
        <w:t>乙方清楚本</w:t>
      </w:r>
      <w:r>
        <w:rPr>
          <w:color w:val="000000"/>
          <w:sz w:val="21"/>
        </w:rPr>
        <w:t>合同总金额</w:t>
      </w:r>
      <w:r>
        <w:rPr>
          <w:color w:val="000000"/>
          <w:sz w:val="21"/>
          <w:u w:val="single"/>
        </w:rPr>
        <w:t xml:space="preserve">    </w:t>
      </w:r>
      <w:r>
        <w:rPr>
          <w:color w:val="000000"/>
          <w:sz w:val="21"/>
        </w:rPr>
        <w:t>元</w:t>
      </w:r>
      <w:r>
        <w:rPr>
          <w:color w:val="000000"/>
          <w:sz w:val="21"/>
        </w:rPr>
        <w:t>为预估合同款项，甲方将按照实际评估人</w:t>
      </w:r>
      <w:r>
        <w:rPr>
          <w:color w:val="000000"/>
          <w:sz w:val="21"/>
        </w:rPr>
        <w:t>次数</w:t>
      </w:r>
      <w:r>
        <w:rPr>
          <w:color w:val="000000"/>
          <w:sz w:val="21"/>
        </w:rPr>
        <w:t>及</w:t>
      </w:r>
      <w:r>
        <w:rPr>
          <w:color w:val="000000"/>
          <w:sz w:val="21"/>
        </w:rPr>
        <w:t>评估</w:t>
      </w:r>
      <w:r>
        <w:rPr>
          <w:color w:val="000000"/>
          <w:sz w:val="21"/>
        </w:rPr>
        <w:t>方式支付尾款，本合同总金额不超过</w:t>
      </w:r>
      <w:r>
        <w:rPr>
          <w:sz w:val="24"/>
          <w:u w:val="single"/>
        </w:rPr>
        <w:t xml:space="preserve">     </w:t>
      </w:r>
      <w:r>
        <w:rPr>
          <w:color w:val="000000"/>
          <w:sz w:val="21"/>
        </w:rPr>
        <w:t>元，乙方对此不存在任何异议。</w:t>
      </w:r>
    </w:p>
    <w:p>
      <w:pPr>
        <w:ind w:firstLine="420"/>
        <w:jc w:val="both"/>
      </w:pPr>
      <w:r>
        <w:rPr>
          <w:color w:val="000000"/>
          <w:sz w:val="21"/>
        </w:rPr>
        <w:t>1.5.3</w:t>
      </w:r>
      <w:r>
        <w:rPr>
          <w:color w:val="000000"/>
          <w:sz w:val="21"/>
        </w:rPr>
        <w:t>乙方应严格按照《广州市居家社区养老服务管理办法》、《广州市老年人照护需求综合评估管理办法》及区财政规定使用项目经费，甲方或其他有关主管部门有权委托第三方对乙方使用经费情况进行财务审计、财务评估。</w:t>
      </w:r>
    </w:p>
    <w:p>
      <w:pPr>
        <w:ind w:firstLine="420"/>
        <w:jc w:val="both"/>
      </w:pPr>
      <w:r>
        <w:rPr>
          <w:color w:val="000000"/>
          <w:sz w:val="21"/>
        </w:rPr>
        <w:t>1.5.4</w:t>
      </w:r>
      <w:r>
        <w:rPr>
          <w:color w:val="000000"/>
          <w:sz w:val="21"/>
        </w:rPr>
        <w:t>乙方在前款规定的付款时间为甲方提出办理财政支付申请手续的时间（不含政府财政支付部门审核的时间），在规定时间内提出支付申请手续后即视甲方已按期支付，</w:t>
      </w:r>
      <w:r>
        <w:rPr>
          <w:color w:val="000000"/>
          <w:sz w:val="21"/>
        </w:rPr>
        <w:t>实际支付时间以财政支付时间为准，</w:t>
      </w:r>
      <w:r>
        <w:rPr>
          <w:color w:val="000000"/>
          <w:sz w:val="21"/>
        </w:rPr>
        <w:t>乙方不得以任何理由要求甲方直接支付相关款项，或者以款项未到账</w:t>
      </w:r>
      <w:r>
        <w:rPr>
          <w:color w:val="000000"/>
          <w:sz w:val="21"/>
        </w:rPr>
        <w:t>为由追究</w:t>
      </w:r>
      <w:r>
        <w:rPr>
          <w:color w:val="000000"/>
          <w:sz w:val="21"/>
        </w:rPr>
        <w:t>甲方逾期支付</w:t>
      </w:r>
      <w:r>
        <w:rPr>
          <w:color w:val="000000"/>
          <w:sz w:val="21"/>
        </w:rPr>
        <w:t>的违约</w:t>
      </w:r>
      <w:r>
        <w:rPr>
          <w:color w:val="000000"/>
          <w:sz w:val="21"/>
        </w:rPr>
        <w:t>责任或拒绝提供服务。</w:t>
      </w:r>
    </w:p>
    <w:p>
      <w:pPr>
        <w:ind w:firstLine="420"/>
        <w:jc w:val="both"/>
      </w:pPr>
      <w:r>
        <w:rPr>
          <w:color w:val="000000"/>
          <w:sz w:val="21"/>
        </w:rPr>
        <w:t>1.5.5</w:t>
      </w:r>
      <w:r>
        <w:rPr>
          <w:color w:val="000000"/>
          <w:sz w:val="21"/>
        </w:rPr>
        <w:t>甲方的付款义务以乙方提供等额、合法、有效的发票为前提，如乙方延迟提供的，甲方的付款时间相应顺延且不承担任何违约责任。</w:t>
      </w:r>
    </w:p>
    <w:p>
      <w:pPr>
        <w:ind w:firstLine="420"/>
        <w:jc w:val="both"/>
      </w:pPr>
      <w:r>
        <w:rPr>
          <w:color w:val="000000"/>
          <w:sz w:val="21"/>
        </w:rPr>
        <w:t>1.5.6</w:t>
      </w:r>
      <w:r>
        <w:rPr>
          <w:color w:val="000000"/>
          <w:sz w:val="21"/>
        </w:rPr>
        <w:t>甲方以银行转账方式向乙方支付本合同款项，乙方指定收款账号信息如下：</w:t>
      </w:r>
    </w:p>
    <w:p>
      <w:pPr>
        <w:ind w:firstLine="420"/>
        <w:jc w:val="both"/>
      </w:pPr>
      <w:r>
        <w:rPr>
          <w:color w:val="000000"/>
          <w:sz w:val="21"/>
        </w:rPr>
        <w:t>收款单位名称：</w:t>
      </w:r>
    </w:p>
    <w:p>
      <w:pPr>
        <w:ind w:firstLine="420"/>
        <w:jc w:val="both"/>
      </w:pPr>
      <w:r>
        <w:rPr>
          <w:color w:val="000000"/>
          <w:sz w:val="21"/>
        </w:rPr>
        <w:t>开户银行：</w:t>
      </w:r>
    </w:p>
    <w:p>
      <w:pPr>
        <w:ind w:firstLine="420"/>
        <w:jc w:val="both"/>
      </w:pPr>
      <w:r>
        <w:rPr>
          <w:color w:val="000000"/>
          <w:sz w:val="21"/>
        </w:rPr>
        <w:t>账号：</w:t>
      </w:r>
    </w:p>
    <w:p>
      <w:pPr>
        <w:ind w:firstLine="420"/>
        <w:jc w:val="both"/>
      </w:pPr>
      <w:r>
        <w:rPr>
          <w:color w:val="000000"/>
          <w:sz w:val="21"/>
        </w:rPr>
        <w:t>如乙方指定收款账号变更的，乙方应提前3日以书面形式告知甲方。否则，由此产生的损失由乙方承担。</w:t>
      </w:r>
    </w:p>
    <w:p>
      <w:pPr>
        <w:ind w:firstLine="420"/>
        <w:jc w:val="both"/>
      </w:pPr>
    </w:p>
    <w:p>
      <w:pPr>
        <w:ind w:firstLine="422"/>
        <w:jc w:val="center"/>
      </w:pPr>
      <w:r>
        <w:rPr>
          <w:b/>
          <w:color w:val="000000"/>
          <w:sz w:val="21"/>
        </w:rPr>
        <w:t>二、项目内容</w:t>
      </w:r>
    </w:p>
    <w:p>
      <w:pPr>
        <w:ind w:firstLine="422"/>
        <w:jc w:val="both"/>
      </w:pPr>
      <w:r>
        <w:rPr>
          <w:b/>
          <w:color w:val="000000"/>
          <w:sz w:val="21"/>
        </w:rPr>
        <w:t>2.1</w:t>
      </w:r>
      <w:r>
        <w:rPr>
          <w:b/>
          <w:color w:val="000000"/>
          <w:sz w:val="21"/>
        </w:rPr>
        <w:t>评估内容</w:t>
      </w:r>
    </w:p>
    <w:p>
      <w:pPr>
        <w:ind w:firstLine="420"/>
        <w:jc w:val="both"/>
      </w:pPr>
      <w:r>
        <w:rPr>
          <w:color w:val="000000"/>
          <w:sz w:val="21"/>
        </w:rPr>
        <w:t>按照《广州市老年人照护需求综合评估规范》的要求，通过全市统一的标准，对有需求的老年人能力程度、健康状况、社会支持情况等方面进行评估，科学确定老年人服务需求和照顾等级，并出具老年人照护需求等级评定报告，作为申请政府资助居家养老服务、助餐配餐服务、家庭养老床位建设和服务、居家适老化改造、“平安通”服务、轮候入住公办养老机构等养老服务的依据。</w:t>
      </w:r>
    </w:p>
    <w:p>
      <w:pPr>
        <w:ind w:firstLine="420"/>
        <w:jc w:val="both"/>
      </w:pPr>
      <w:r>
        <w:rPr>
          <w:color w:val="000000"/>
          <w:sz w:val="21"/>
        </w:rPr>
        <w:t xml:space="preserve">如上级业务部门对评估规范、内容、要求等进行调整，则按最新政策要求执行。               </w:t>
      </w:r>
    </w:p>
    <w:p>
      <w:pPr>
        <w:ind w:firstLine="422"/>
        <w:jc w:val="both"/>
      </w:pPr>
      <w:r>
        <w:rPr>
          <w:b/>
          <w:color w:val="000000"/>
          <w:sz w:val="21"/>
        </w:rPr>
        <w:t>2.2</w:t>
      </w:r>
      <w:r>
        <w:rPr>
          <w:b/>
          <w:color w:val="000000"/>
          <w:sz w:val="21"/>
        </w:rPr>
        <w:t>评估范围</w:t>
      </w:r>
    </w:p>
    <w:p>
      <w:pPr>
        <w:ind w:firstLine="420"/>
        <w:jc w:val="both"/>
      </w:pPr>
      <w:r>
        <w:rPr>
          <w:color w:val="000000"/>
          <w:sz w:val="21"/>
        </w:rPr>
        <w:t>2.2.1</w:t>
      </w:r>
      <w:r>
        <w:rPr>
          <w:color w:val="000000"/>
          <w:sz w:val="21"/>
        </w:rPr>
        <w:t>服务范围：</w:t>
      </w:r>
      <w:r>
        <w:rPr>
          <w:color w:val="000000"/>
          <w:sz w:val="21"/>
          <w:u w:val="single"/>
        </w:rPr>
        <w:t>60周岁及以上花都区户籍老年人</w:t>
      </w:r>
    </w:p>
    <w:p>
      <w:pPr>
        <w:ind w:firstLine="420"/>
        <w:jc w:val="both"/>
      </w:pPr>
      <w:r>
        <w:rPr>
          <w:color w:val="000000"/>
          <w:sz w:val="21"/>
        </w:rPr>
        <w:t>2.2.2</w:t>
      </w:r>
      <w:r>
        <w:rPr>
          <w:color w:val="000000"/>
          <w:sz w:val="21"/>
        </w:rPr>
        <w:t>服务对象：</w:t>
      </w:r>
    </w:p>
    <w:p>
      <w:pPr>
        <w:ind w:firstLine="420"/>
        <w:jc w:val="both"/>
      </w:pPr>
      <w:r>
        <w:rPr>
          <w:color w:val="000000"/>
          <w:sz w:val="21"/>
        </w:rPr>
        <w:t>申请政府资助居家养老服务、助餐配餐服务、家庭养老床位建设和服务、居家适老化改造、“平安通”服务、轮候入住公办养老机构等养老服务的老年人。</w:t>
      </w:r>
    </w:p>
    <w:p>
      <w:pPr>
        <w:ind w:firstLine="422"/>
        <w:jc w:val="both"/>
      </w:pPr>
      <w:r>
        <w:rPr>
          <w:b/>
          <w:color w:val="000000"/>
          <w:sz w:val="21"/>
        </w:rPr>
        <w:t>2.3</w:t>
      </w:r>
      <w:r>
        <w:rPr>
          <w:b/>
          <w:color w:val="000000"/>
          <w:sz w:val="21"/>
        </w:rPr>
        <w:t>评估成果</w:t>
      </w:r>
    </w:p>
    <w:p>
      <w:pPr>
        <w:ind w:firstLine="420"/>
        <w:jc w:val="both"/>
      </w:pPr>
      <w:r>
        <w:rPr>
          <w:color w:val="000000"/>
          <w:sz w:val="21"/>
        </w:rPr>
        <w:t>（1）每月工作小结共</w:t>
      </w:r>
      <w:r>
        <w:rPr>
          <w:color w:val="000000"/>
          <w:sz w:val="21"/>
          <w:u w:val="single"/>
        </w:rPr>
        <w:t>12</w:t>
      </w:r>
      <w:r>
        <w:rPr>
          <w:color w:val="000000"/>
          <w:sz w:val="21"/>
        </w:rPr>
        <w:t>份，乙方于每月25日前提交；</w:t>
      </w:r>
    </w:p>
    <w:p>
      <w:pPr>
        <w:ind w:firstLine="420"/>
        <w:jc w:val="both"/>
      </w:pPr>
      <w:r>
        <w:rPr>
          <w:color w:val="000000"/>
          <w:sz w:val="21"/>
        </w:rPr>
        <w:t>（2）工作半年情况报告</w:t>
      </w:r>
      <w:r>
        <w:rPr>
          <w:color w:val="000000"/>
          <w:sz w:val="21"/>
          <w:u w:val="single"/>
        </w:rPr>
        <w:t>1</w:t>
      </w:r>
      <w:r>
        <w:rPr>
          <w:color w:val="000000"/>
          <w:sz w:val="21"/>
        </w:rPr>
        <w:t>份，</w:t>
      </w:r>
      <w:r>
        <w:rPr>
          <w:color w:val="000000"/>
          <w:sz w:val="21"/>
        </w:rPr>
        <w:t>乙方于每半年届满</w:t>
      </w:r>
      <w:r>
        <w:rPr>
          <w:color w:val="000000"/>
          <w:sz w:val="21"/>
        </w:rPr>
        <w:t>后</w:t>
      </w:r>
      <w:r>
        <w:rPr>
          <w:color w:val="000000"/>
          <w:sz w:val="21"/>
        </w:rPr>
        <w:t>5</w:t>
      </w:r>
      <w:r>
        <w:rPr>
          <w:color w:val="000000"/>
          <w:sz w:val="21"/>
        </w:rPr>
        <w:t>个工作日内提交</w:t>
      </w:r>
      <w:r>
        <w:rPr>
          <w:color w:val="000000"/>
          <w:sz w:val="21"/>
        </w:rPr>
        <w:t>；</w:t>
      </w:r>
    </w:p>
    <w:p>
      <w:pPr>
        <w:ind w:firstLine="420"/>
        <w:jc w:val="both"/>
      </w:pPr>
      <w:r>
        <w:rPr>
          <w:color w:val="000000"/>
          <w:sz w:val="21"/>
        </w:rPr>
        <w:t>（3）评估工作总体情况报告、花都区老年人照护需求分析报告各</w:t>
      </w:r>
      <w:r>
        <w:rPr>
          <w:color w:val="000000"/>
          <w:sz w:val="21"/>
          <w:u w:val="single"/>
        </w:rPr>
        <w:t>1</w:t>
      </w:r>
      <w:r>
        <w:rPr>
          <w:color w:val="000000"/>
          <w:sz w:val="21"/>
        </w:rPr>
        <w:t>份，乙方于合同期满后10</w:t>
      </w:r>
      <w:r>
        <w:rPr>
          <w:color w:val="000000"/>
          <w:sz w:val="21"/>
        </w:rPr>
        <w:t>个工作日内提交</w:t>
      </w:r>
      <w:r>
        <w:rPr>
          <w:color w:val="000000"/>
          <w:sz w:val="21"/>
        </w:rPr>
        <w:t>；</w:t>
      </w:r>
    </w:p>
    <w:p>
      <w:pPr>
        <w:ind w:firstLine="420"/>
        <w:jc w:val="both"/>
      </w:pPr>
      <w:r>
        <w:rPr>
          <w:color w:val="000000"/>
          <w:sz w:val="21"/>
        </w:rPr>
        <w:t>（4）老年人照护需求综合评估报告每人</w:t>
      </w:r>
      <w:r>
        <w:rPr>
          <w:color w:val="000000"/>
          <w:sz w:val="21"/>
          <w:u w:val="single"/>
        </w:rPr>
        <w:t>1</w:t>
      </w:r>
      <w:r>
        <w:rPr>
          <w:color w:val="000000"/>
          <w:sz w:val="21"/>
        </w:rPr>
        <w:t>份，乙方于合同期满后10</w:t>
      </w:r>
      <w:r>
        <w:rPr>
          <w:color w:val="000000"/>
          <w:sz w:val="21"/>
        </w:rPr>
        <w:t>个工作日内</w:t>
      </w:r>
      <w:r>
        <w:rPr>
          <w:color w:val="000000"/>
          <w:sz w:val="21"/>
        </w:rPr>
        <w:t>按实际评估人数提供。</w:t>
      </w:r>
    </w:p>
    <w:p>
      <w:pPr>
        <w:ind w:firstLine="422"/>
        <w:jc w:val="both"/>
      </w:pPr>
      <w:r>
        <w:rPr>
          <w:b/>
          <w:color w:val="000000"/>
          <w:sz w:val="21"/>
        </w:rPr>
        <w:t>2.4</w:t>
      </w:r>
      <w:r>
        <w:rPr>
          <w:b/>
          <w:color w:val="000000"/>
          <w:sz w:val="21"/>
        </w:rPr>
        <w:t>人员要求</w:t>
      </w:r>
    </w:p>
    <w:p>
      <w:pPr>
        <w:ind w:firstLine="420"/>
        <w:jc w:val="both"/>
      </w:pPr>
      <w:r>
        <w:rPr>
          <w:color w:val="000000"/>
          <w:sz w:val="21"/>
        </w:rPr>
        <w:t>2.4.1</w:t>
      </w:r>
      <w:r>
        <w:rPr>
          <w:color w:val="000000"/>
          <w:sz w:val="21"/>
        </w:rPr>
        <w:t>评估机构须为本项目配备专职项目管理人员，配备具有财会专业教育背景或持有财会职业资格证书的人员管理财务。</w:t>
      </w:r>
      <w:r>
        <w:rPr>
          <w:color w:val="000000"/>
          <w:sz w:val="21"/>
        </w:rPr>
        <w:t>评估机构必须保持评估团队人员的稳定性，评估团队人员名单及资格需向采购单位报备，评估团队主要负责人调整需经采购单位同意。</w:t>
      </w:r>
      <w:r>
        <w:rPr>
          <w:color w:val="000000"/>
          <w:sz w:val="21"/>
        </w:rPr>
        <w:t>评估机构承诺在服务期内必须保证投入的评估员数量不能减少，服务期中如有人事变动问题，必须保证能达到投标时承诺投入的人员。</w:t>
      </w:r>
    </w:p>
    <w:p>
      <w:pPr>
        <w:ind w:firstLine="420"/>
        <w:jc w:val="both"/>
      </w:pPr>
      <w:r>
        <w:rPr>
          <w:color w:val="000000"/>
          <w:sz w:val="21"/>
        </w:rPr>
        <w:t>2.4.2</w:t>
      </w:r>
      <w:r>
        <w:rPr>
          <w:color w:val="000000"/>
          <w:sz w:val="21"/>
        </w:rPr>
        <w:t>评估人员需包括评估员和评估质控员。</w:t>
      </w:r>
    </w:p>
    <w:p>
      <w:pPr>
        <w:ind w:firstLine="420"/>
        <w:jc w:val="both"/>
      </w:pPr>
      <w:r>
        <w:rPr>
          <w:color w:val="000000"/>
          <w:sz w:val="21"/>
        </w:rPr>
        <w:t>（1）评估机构的评估员负责现场评估工作，同时应符合以下条件：</w:t>
      </w:r>
    </w:p>
    <w:p>
      <w:pPr>
        <w:ind w:firstLine="420"/>
        <w:jc w:val="both"/>
      </w:pPr>
      <w:r>
        <w:rPr>
          <w:color w:val="000000"/>
          <w:sz w:val="21"/>
        </w:rPr>
        <w:t>具有良好的职业道德和职业操守，在工作中能够做好客观公正、廉洁自律、遵纪守法；</w:t>
      </w:r>
    </w:p>
    <w:p>
      <w:pPr>
        <w:ind w:firstLine="420"/>
        <w:jc w:val="both"/>
      </w:pPr>
      <w:r>
        <w:rPr>
          <w:color w:val="000000"/>
          <w:sz w:val="21"/>
        </w:rPr>
        <w:t>具备临床医学、护理、康复、精神心理、公共卫生等执业资格或康复治疗师、养老护理员、社会工作者等相应资质，且具有2年以上相关工作经历；</w:t>
      </w:r>
    </w:p>
    <w:p>
      <w:pPr>
        <w:ind w:firstLine="420"/>
        <w:jc w:val="both"/>
      </w:pPr>
      <w:r>
        <w:rPr>
          <w:color w:val="000000"/>
          <w:sz w:val="21"/>
        </w:rPr>
        <w:t>身体健康，且有较强的沟通能力；</w:t>
      </w:r>
    </w:p>
    <w:p>
      <w:pPr>
        <w:ind w:firstLine="420"/>
        <w:jc w:val="both"/>
      </w:pPr>
      <w:r>
        <w:rPr>
          <w:color w:val="000000"/>
          <w:sz w:val="21"/>
        </w:rPr>
        <w:t>熟悉评估政策，并掌握相关老年人照护需求综合评估规范，且具备相应的评估能力。</w:t>
      </w:r>
    </w:p>
    <w:p>
      <w:pPr>
        <w:ind w:firstLine="420"/>
        <w:jc w:val="both"/>
      </w:pPr>
      <w:r>
        <w:rPr>
          <w:color w:val="000000"/>
          <w:sz w:val="21"/>
        </w:rPr>
        <w:t>（2）评估质控员为评估机构人员，负责指导评估工作开展并确认评估结论，同时应符合如下条件：</w:t>
      </w:r>
    </w:p>
    <w:p>
      <w:pPr>
        <w:ind w:firstLine="420"/>
        <w:jc w:val="both"/>
      </w:pPr>
      <w:r>
        <w:rPr>
          <w:color w:val="000000"/>
          <w:sz w:val="21"/>
        </w:rPr>
        <w:t>具有良好的职业道德和职业操守，在工作中能够做到客观公正、廉洁自律、遵纪守法；</w:t>
      </w:r>
    </w:p>
    <w:p>
      <w:pPr>
        <w:ind w:firstLine="420"/>
        <w:jc w:val="both"/>
      </w:pPr>
      <w:r>
        <w:rPr>
          <w:color w:val="000000"/>
          <w:sz w:val="21"/>
        </w:rPr>
        <w:t>具备医学或护理背景及2年以上评估工作经验。</w:t>
      </w:r>
    </w:p>
    <w:p>
      <w:pPr>
        <w:ind w:firstLine="420"/>
        <w:jc w:val="both"/>
      </w:pPr>
      <w:r>
        <w:rPr>
          <w:color w:val="000000"/>
          <w:sz w:val="21"/>
        </w:rPr>
        <w:t>2.4.3</w:t>
      </w:r>
      <w:r>
        <w:rPr>
          <w:color w:val="000000"/>
          <w:sz w:val="21"/>
        </w:rPr>
        <w:t>评估员上岗前需参加专业培训，经考试合格后持证上岗。</w:t>
      </w:r>
    </w:p>
    <w:p>
      <w:pPr>
        <w:ind w:firstLine="420"/>
        <w:jc w:val="both"/>
      </w:pPr>
      <w:r>
        <w:rPr>
          <w:color w:val="000000"/>
          <w:sz w:val="21"/>
        </w:rPr>
        <w:t>2.4.4</w:t>
      </w:r>
      <w:r>
        <w:rPr>
          <w:color w:val="000000"/>
          <w:sz w:val="21"/>
        </w:rPr>
        <w:t>评估员应当规范着装，佩戴自己身份标识的证件；态度和蔼，使用礼貌用语。</w:t>
      </w:r>
    </w:p>
    <w:p>
      <w:pPr>
        <w:ind w:firstLine="420"/>
        <w:jc w:val="both"/>
      </w:pPr>
      <w:r>
        <w:rPr>
          <w:color w:val="000000"/>
          <w:sz w:val="21"/>
        </w:rPr>
        <w:t>2.4.5</w:t>
      </w:r>
      <w:r>
        <w:rPr>
          <w:color w:val="000000"/>
          <w:sz w:val="21"/>
        </w:rPr>
        <w:t>评估时应使用恰当的评估工具箱，箱内应当配有评估老年人相应能力方面的工具。</w:t>
      </w:r>
    </w:p>
    <w:p>
      <w:pPr>
        <w:ind w:firstLine="420"/>
        <w:jc w:val="both"/>
      </w:pPr>
      <w:r>
        <w:rPr>
          <w:color w:val="000000"/>
          <w:sz w:val="21"/>
        </w:rPr>
        <w:t>2.4.6</w:t>
      </w:r>
      <w:r>
        <w:rPr>
          <w:color w:val="000000"/>
          <w:sz w:val="21"/>
        </w:rPr>
        <w:t>评估机构及其评估人员有下列情形之一的应当回避：一是与被评估的服务项目或该项目的承接机构有利害关系的；二是曾在承接该项目的机构任职，离职不满两年的；三是与评估的服务项目或者承接该项目的机构有其他关系，可能影响评估结果公正的。</w:t>
      </w:r>
    </w:p>
    <w:p>
      <w:pPr>
        <w:ind w:firstLine="422"/>
        <w:jc w:val="both"/>
      </w:pPr>
      <w:r>
        <w:rPr>
          <w:b/>
          <w:color w:val="000000"/>
          <w:sz w:val="21"/>
        </w:rPr>
        <w:t>2.5</w:t>
      </w:r>
      <w:r>
        <w:rPr>
          <w:b/>
          <w:color w:val="000000"/>
          <w:sz w:val="21"/>
        </w:rPr>
        <w:t>评估要求</w:t>
      </w:r>
    </w:p>
    <w:p>
      <w:pPr>
        <w:ind w:firstLine="420"/>
        <w:jc w:val="both"/>
      </w:pPr>
      <w:r>
        <w:rPr>
          <w:color w:val="000000"/>
          <w:sz w:val="21"/>
        </w:rPr>
        <w:t>2.5.1</w:t>
      </w:r>
      <w:r>
        <w:rPr>
          <w:color w:val="000000"/>
          <w:sz w:val="21"/>
        </w:rPr>
        <w:t>乙方应自觉接受民政部门的管理和指导。</w:t>
      </w:r>
    </w:p>
    <w:p>
      <w:pPr>
        <w:ind w:firstLine="420"/>
        <w:jc w:val="both"/>
      </w:pPr>
      <w:r>
        <w:rPr>
          <w:color w:val="000000"/>
          <w:sz w:val="21"/>
        </w:rPr>
        <w:t>2.5.2</w:t>
      </w:r>
      <w:r>
        <w:rPr>
          <w:color w:val="000000"/>
          <w:sz w:val="21"/>
        </w:rPr>
        <w:t>乙方应做好内部监督工作，严禁出现捏造数据、弄虚作假、徇私舞弊的行为。</w:t>
      </w:r>
    </w:p>
    <w:p>
      <w:pPr>
        <w:ind w:firstLine="420"/>
        <w:jc w:val="both"/>
      </w:pPr>
      <w:r>
        <w:rPr>
          <w:color w:val="000000"/>
          <w:sz w:val="21"/>
        </w:rPr>
        <w:t>2.5.3</w:t>
      </w:r>
      <w:r>
        <w:rPr>
          <w:color w:val="000000"/>
          <w:sz w:val="21"/>
        </w:rPr>
        <w:t>乙方能有效管理评估项目的相关文件和档案，真实完整记录并及时更新文档信息，保护信息安全。</w:t>
      </w:r>
    </w:p>
    <w:p>
      <w:pPr>
        <w:ind w:firstLine="420"/>
        <w:jc w:val="both"/>
      </w:pPr>
      <w:r>
        <w:rPr>
          <w:color w:val="000000"/>
          <w:sz w:val="21"/>
        </w:rPr>
        <w:t xml:space="preserve">   2.5.4</w:t>
      </w:r>
      <w:r>
        <w:rPr>
          <w:color w:val="000000"/>
          <w:sz w:val="21"/>
        </w:rPr>
        <w:t>乙方应不断健全规章制度，完善组织架构，组建专业的服务团队，保证评估人员具备对应评估项目的专业或从业资质。</w:t>
      </w:r>
    </w:p>
    <w:p>
      <w:pPr>
        <w:ind w:firstLine="420"/>
        <w:jc w:val="both"/>
      </w:pPr>
      <w:r>
        <w:rPr>
          <w:color w:val="000000"/>
          <w:sz w:val="21"/>
        </w:rPr>
        <w:t>2.5.5</w:t>
      </w:r>
      <w:r>
        <w:rPr>
          <w:color w:val="000000"/>
          <w:sz w:val="21"/>
        </w:rPr>
        <w:t>评估机构应确保评估结论的准确性和公正性，评估结论在公示期内申请人有异议的，由评估机构复核处理，复核所产生费用由评估机构承担。评估结论在公示期外，评估申请人对评估结论有异议向卫生健康部门申请复评的，乙方应主动配合，并向卫生健康部门提供首次评估资料。卫生健康部门的复评结论为最终结论，复评结论与首次评估结论一致的，评估费用由评估申请人负担，复评结论与首次评估结论不一致的，评估费用由乙方承担。</w:t>
      </w:r>
    </w:p>
    <w:p>
      <w:pPr>
        <w:ind w:firstLine="420"/>
        <w:jc w:val="both"/>
      </w:pPr>
      <w:r>
        <w:rPr>
          <w:color w:val="000000"/>
          <w:sz w:val="21"/>
        </w:rPr>
        <w:t>2.5.6</w:t>
      </w:r>
      <w:r>
        <w:rPr>
          <w:color w:val="000000"/>
          <w:sz w:val="21"/>
        </w:rPr>
        <w:t>评估机构应当严格按照评估规范，组织实施综合评估。每次评估由2名评估员同时进行。其中1名应具备临床医学、护理、康复、精神心理、公共卫生等合法执业资格。评估员按照统一评估规范进行评估、如实记录评估信息，并提交评估质控员确认评估结论。评估对象或其监护人、申请人应当场对评估情况进行签名确认。</w:t>
      </w:r>
    </w:p>
    <w:p>
      <w:pPr>
        <w:ind w:firstLine="420"/>
        <w:jc w:val="both"/>
      </w:pPr>
      <w:r>
        <w:rPr>
          <w:color w:val="000000"/>
          <w:sz w:val="21"/>
        </w:rPr>
        <w:t>现场评估过程中，评估疑似精神、认知、智力障碍等人员时其监护人、申请人或相关第三人之一应当在场，并由评估人员进行全过程影像记录。</w:t>
      </w:r>
    </w:p>
    <w:p>
      <w:pPr>
        <w:ind w:firstLine="420"/>
        <w:jc w:val="both"/>
      </w:pPr>
      <w:r>
        <w:rPr>
          <w:color w:val="000000"/>
          <w:sz w:val="21"/>
        </w:rPr>
        <w:t>2.5.7</w:t>
      </w:r>
      <w:r>
        <w:rPr>
          <w:color w:val="000000"/>
          <w:sz w:val="21"/>
        </w:rPr>
        <w:t>评估质控员为评估机构派出人员，应对评估员作出的评估内容及评估结论进行复核确认。确认通过的，由评估机构在评估报告上加盖公章，上传至相关信息平台;确认不通过的，及时退回给评估员重新评估。</w:t>
      </w:r>
    </w:p>
    <w:p>
      <w:pPr>
        <w:ind w:firstLine="420"/>
        <w:jc w:val="both"/>
      </w:pPr>
      <w:r>
        <w:rPr>
          <w:color w:val="000000"/>
          <w:sz w:val="21"/>
        </w:rPr>
        <w:t>2.5.8</w:t>
      </w:r>
      <w:r>
        <w:rPr>
          <w:color w:val="000000"/>
          <w:sz w:val="21"/>
        </w:rPr>
        <w:t>评估行为应客观公正，独立开展，任何组织和个人不得干预。评估机构对评估结论负责。</w:t>
      </w:r>
    </w:p>
    <w:p>
      <w:pPr>
        <w:ind w:firstLine="420"/>
        <w:jc w:val="both"/>
      </w:pPr>
    </w:p>
    <w:p>
      <w:pPr>
        <w:ind w:firstLine="422"/>
        <w:jc w:val="center"/>
      </w:pPr>
      <w:r>
        <w:rPr>
          <w:b/>
          <w:color w:val="000000"/>
          <w:sz w:val="21"/>
        </w:rPr>
        <w:t>三、双方权利和义务</w:t>
      </w:r>
    </w:p>
    <w:p>
      <w:pPr>
        <w:ind w:firstLine="422"/>
        <w:jc w:val="both"/>
      </w:pPr>
      <w:r>
        <w:rPr>
          <w:b/>
          <w:color w:val="000000"/>
          <w:sz w:val="21"/>
        </w:rPr>
        <w:t>3.1</w:t>
      </w:r>
      <w:r>
        <w:rPr>
          <w:b/>
          <w:color w:val="000000"/>
          <w:sz w:val="21"/>
        </w:rPr>
        <w:t>甲方权利和义务</w:t>
      </w:r>
    </w:p>
    <w:p>
      <w:pPr>
        <w:ind w:firstLine="420"/>
        <w:jc w:val="both"/>
      </w:pPr>
      <w:r>
        <w:rPr>
          <w:color w:val="000000"/>
          <w:sz w:val="21"/>
        </w:rPr>
        <w:t>3.1.1</w:t>
      </w:r>
      <w:r>
        <w:rPr>
          <w:color w:val="000000"/>
          <w:sz w:val="21"/>
        </w:rPr>
        <w:t>甲方有权按照本合同及相关附件的约定，对项目的工作时间、过程、完成情况进行监督检查，并审核项目评估报告的完成质量。</w:t>
      </w:r>
    </w:p>
    <w:p>
      <w:pPr>
        <w:ind w:firstLine="420"/>
        <w:jc w:val="both"/>
      </w:pPr>
      <w:r>
        <w:rPr>
          <w:color w:val="000000"/>
          <w:sz w:val="21"/>
        </w:rPr>
        <w:t>3.1.2</w:t>
      </w:r>
      <w:r>
        <w:rPr>
          <w:color w:val="000000"/>
          <w:sz w:val="21"/>
        </w:rPr>
        <w:t>甲方有权按照本合同及相关附件的约定，要求乙方提供与该项目相关的资料。</w:t>
      </w:r>
    </w:p>
    <w:p>
      <w:pPr>
        <w:ind w:firstLine="420"/>
        <w:jc w:val="both"/>
      </w:pPr>
      <w:r>
        <w:rPr>
          <w:color w:val="000000"/>
          <w:sz w:val="21"/>
        </w:rPr>
        <w:t>3.1.3</w:t>
      </w:r>
      <w:r>
        <w:rPr>
          <w:color w:val="000000"/>
          <w:sz w:val="21"/>
        </w:rPr>
        <w:t>甲方应对乙方的工作开展给予充分支持，配合乙方收集项目开展所需资料。</w:t>
      </w:r>
    </w:p>
    <w:p>
      <w:pPr>
        <w:ind w:firstLine="420"/>
        <w:jc w:val="both"/>
      </w:pPr>
      <w:r>
        <w:rPr>
          <w:color w:val="000000"/>
          <w:sz w:val="21"/>
        </w:rPr>
        <w:t>3.1.4</w:t>
      </w:r>
      <w:r>
        <w:rPr>
          <w:color w:val="000000"/>
          <w:sz w:val="21"/>
        </w:rPr>
        <w:t>根据合同约定向乙方支付费用。</w:t>
      </w:r>
    </w:p>
    <w:p>
      <w:pPr>
        <w:ind w:firstLine="422"/>
        <w:jc w:val="both"/>
      </w:pPr>
      <w:r>
        <w:rPr>
          <w:b/>
          <w:color w:val="000000"/>
          <w:sz w:val="21"/>
        </w:rPr>
        <w:t>3.2</w:t>
      </w:r>
      <w:r>
        <w:rPr>
          <w:b/>
          <w:color w:val="000000"/>
          <w:sz w:val="21"/>
        </w:rPr>
        <w:t>乙方权利和义务</w:t>
      </w:r>
    </w:p>
    <w:p>
      <w:pPr>
        <w:ind w:firstLine="420"/>
        <w:jc w:val="both"/>
      </w:pPr>
      <w:r>
        <w:rPr>
          <w:color w:val="000000"/>
          <w:sz w:val="21"/>
        </w:rPr>
        <w:t>3.2.1</w:t>
      </w:r>
      <w:r>
        <w:rPr>
          <w:color w:val="000000"/>
          <w:sz w:val="21"/>
        </w:rPr>
        <w:t>可要求甲方按合同约定支付费用。</w:t>
      </w:r>
    </w:p>
    <w:p>
      <w:pPr>
        <w:ind w:firstLine="420"/>
        <w:jc w:val="both"/>
      </w:pPr>
      <w:r>
        <w:rPr>
          <w:color w:val="000000"/>
          <w:sz w:val="21"/>
        </w:rPr>
        <w:t>3.2.2</w:t>
      </w:r>
      <w:r>
        <w:rPr>
          <w:color w:val="000000"/>
          <w:sz w:val="21"/>
        </w:rPr>
        <w:t>可从甲方处获得必要的工作支持。</w:t>
      </w:r>
    </w:p>
    <w:p>
      <w:pPr>
        <w:ind w:firstLine="420"/>
        <w:jc w:val="both"/>
      </w:pPr>
      <w:r>
        <w:rPr>
          <w:color w:val="000000"/>
          <w:sz w:val="21"/>
        </w:rPr>
        <w:t>3.2.3</w:t>
      </w:r>
      <w:r>
        <w:rPr>
          <w:color w:val="000000"/>
          <w:sz w:val="21"/>
        </w:rPr>
        <w:t>乙方须配备足够的、具有专业或从业资质的工作人员开展工作，</w:t>
      </w:r>
      <w:r>
        <w:rPr>
          <w:color w:val="000000"/>
          <w:sz w:val="21"/>
        </w:rPr>
        <w:t>如甲方发现乙方配备人员不符合本合同约定的，甲方有权要求乙方更换。</w:t>
      </w:r>
      <w:r>
        <w:rPr>
          <w:color w:val="000000"/>
          <w:sz w:val="21"/>
        </w:rPr>
        <w:t>除受不可抗力影响或甲方主动调整评估工作安排，超时评估人数不得高于评估总人数的10%，否则，甲方有权扣除高于评估总人数10%部分的超时评估人员评估费用的一半。</w:t>
      </w:r>
    </w:p>
    <w:p>
      <w:pPr>
        <w:ind w:firstLine="420"/>
        <w:jc w:val="both"/>
      </w:pPr>
      <w:r>
        <w:rPr>
          <w:color w:val="000000"/>
          <w:sz w:val="21"/>
        </w:rPr>
        <w:t>3.2.4</w:t>
      </w:r>
      <w:r>
        <w:rPr>
          <w:color w:val="000000"/>
          <w:sz w:val="21"/>
        </w:rPr>
        <w:t>乙方应不断健全规章制度，完善组织架构，组建专业的服务团队，保证评估人员具备对应评估项目的专业或从业资质，并做好内部监督工作，坚持恪守诚信原则，严格遵守评估程序，做到客观、公正、准确，保证评估结果真实有效，不得出现弄虚作假、有意隐瞒等行为，更不能出具虚假报告、数据，骗取财政资金。</w:t>
      </w:r>
    </w:p>
    <w:p>
      <w:pPr>
        <w:ind w:firstLine="420"/>
        <w:jc w:val="both"/>
      </w:pPr>
      <w:r>
        <w:rPr>
          <w:color w:val="000000"/>
          <w:sz w:val="21"/>
        </w:rPr>
        <w:t>3.2.5</w:t>
      </w:r>
      <w:r>
        <w:rPr>
          <w:color w:val="000000"/>
          <w:sz w:val="21"/>
        </w:rPr>
        <w:t>项目开展过程中，乙方应积极与甲方沟通联络，向甲方反映工作成效，自觉接受民政部门的管理和指导，配合甲方的监督检查。</w:t>
      </w:r>
    </w:p>
    <w:p>
      <w:pPr>
        <w:ind w:firstLine="420"/>
        <w:jc w:val="both"/>
      </w:pPr>
      <w:r>
        <w:rPr>
          <w:color w:val="000000"/>
          <w:sz w:val="21"/>
        </w:rPr>
        <w:t>3.2.6</w:t>
      </w:r>
      <w:r>
        <w:rPr>
          <w:color w:val="000000"/>
          <w:sz w:val="21"/>
        </w:rPr>
        <w:t>乙方统一纳入广州市为老服务综合信息管理平台管理，使用广州市老年人照护需求综合评估系统和全市统一的评定规范进行评估。评估工作一律依托评估系统，严禁私自使用纸质评估量表等行为。</w:t>
      </w:r>
    </w:p>
    <w:p>
      <w:pPr>
        <w:ind w:firstLine="420"/>
        <w:jc w:val="both"/>
      </w:pPr>
      <w:r>
        <w:rPr>
          <w:color w:val="000000"/>
          <w:sz w:val="21"/>
        </w:rPr>
        <w:t>3.2.7</w:t>
      </w:r>
      <w:r>
        <w:rPr>
          <w:color w:val="000000"/>
          <w:sz w:val="21"/>
        </w:rPr>
        <w:t>乙方按照合同等约定使用评估设施设备，严禁擅自改变服务设施设备功能和用途，主动接受甲方的管理和指导。配有开展评估工作所需的工具，能在全市范围提供上门评估服务。</w:t>
      </w:r>
    </w:p>
    <w:p>
      <w:pPr>
        <w:ind w:firstLine="420"/>
        <w:jc w:val="both"/>
      </w:pPr>
      <w:r>
        <w:rPr>
          <w:color w:val="000000"/>
          <w:sz w:val="21"/>
        </w:rPr>
        <w:t>3.2.8</w:t>
      </w:r>
      <w:r>
        <w:rPr>
          <w:color w:val="000000"/>
          <w:sz w:val="21"/>
        </w:rPr>
        <w:t>每次评估工单完成时，乙方应对公民个人收费、对养老服务机构收费、对申请的政府评估补贴出具发票或等额标准票据，票据上加盖单位财务专用章。</w:t>
      </w:r>
    </w:p>
    <w:p>
      <w:pPr>
        <w:ind w:firstLine="420"/>
        <w:jc w:val="both"/>
      </w:pPr>
      <w:r>
        <w:rPr>
          <w:color w:val="000000"/>
          <w:sz w:val="21"/>
        </w:rPr>
        <w:t>3.2.9</w:t>
      </w:r>
      <w:r>
        <w:rPr>
          <w:color w:val="000000"/>
          <w:sz w:val="21"/>
        </w:rPr>
        <w:t>乙方须严格按有关约定和相关财务管理规定管理好项目经费，专款专用，并接受甲方的监督。如乙方未能在合同期内完成全部项目内容，合同结束后，应将相应款项返还甲方。</w:t>
      </w:r>
    </w:p>
    <w:p>
      <w:pPr>
        <w:ind w:firstLine="420"/>
        <w:jc w:val="both"/>
      </w:pPr>
      <w:r>
        <w:rPr>
          <w:color w:val="000000"/>
          <w:sz w:val="21"/>
        </w:rPr>
        <w:t>3.2.10</w:t>
      </w:r>
      <w:r>
        <w:rPr>
          <w:color w:val="000000"/>
          <w:sz w:val="21"/>
        </w:rPr>
        <w:t>乙方在评估过程中发现评估对象存在欺瞒、作假行为的，应当及时向甲方反映情况。</w:t>
      </w:r>
    </w:p>
    <w:p>
      <w:pPr>
        <w:ind w:firstLine="420"/>
        <w:jc w:val="both"/>
      </w:pPr>
      <w:r>
        <w:rPr>
          <w:color w:val="000000"/>
          <w:sz w:val="21"/>
        </w:rPr>
        <w:t>3.2.11</w:t>
      </w:r>
      <w:r>
        <w:rPr>
          <w:color w:val="000000"/>
          <w:sz w:val="21"/>
        </w:rPr>
        <w:t>本合同期内或合同结束，乙方暂停或终止服务的，应当配合甲方进行服务交接工作，将与项目有关的资料（纸质版、电子版）按照档案管理的要求进行规范整理后，全部移交甲方。</w:t>
      </w:r>
    </w:p>
    <w:p>
      <w:pPr>
        <w:ind w:firstLine="420"/>
        <w:jc w:val="both"/>
      </w:pPr>
      <w:r>
        <w:rPr>
          <w:color w:val="000000"/>
          <w:sz w:val="21"/>
        </w:rPr>
        <w:t>3.2.12</w:t>
      </w:r>
      <w:r>
        <w:rPr>
          <w:color w:val="000000"/>
          <w:sz w:val="21"/>
        </w:rPr>
        <w:t>乙方应建立完善的规章制度和工作流程，包括但不限于财务、人事、运营、公共安全、卫生、资产、服务等方面的管理制度和应急措施。</w:t>
      </w:r>
    </w:p>
    <w:p>
      <w:pPr>
        <w:ind w:firstLine="420"/>
        <w:jc w:val="both"/>
      </w:pPr>
      <w:r>
        <w:rPr>
          <w:color w:val="000000"/>
          <w:sz w:val="21"/>
        </w:rPr>
        <w:t>3.2.13</w:t>
      </w:r>
      <w:r>
        <w:rPr>
          <w:color w:val="000000"/>
          <w:sz w:val="21"/>
        </w:rPr>
        <w:t>本合同项目下全部成果的所有权归甲方所有。乙方应能有效管理评估项目的相关文件和档案，真实完整记录和及时更新文档信息，并对本项目涉及评估对象的个人和评估相关信息进行保密，未经评估对象及其法定监护人，以及甲方的书面许可，不得对外披露。不得以任何形式提供给第三方，不得在参与本项目工作之外使用这些保密信息。乙方在本项目终止后不得保留以任何形式存储评估对象的任何信息数据，不得利用该项目之保密信息为其他单位（包括自办单位）或项目服务。</w:t>
      </w:r>
    </w:p>
    <w:p>
      <w:pPr>
        <w:ind w:firstLine="420"/>
        <w:jc w:val="both"/>
      </w:pPr>
      <w:r>
        <w:rPr>
          <w:color w:val="000000"/>
          <w:sz w:val="21"/>
        </w:rPr>
        <w:t>3.2.14</w:t>
      </w:r>
      <w:r>
        <w:rPr>
          <w:color w:val="000000"/>
          <w:sz w:val="21"/>
        </w:rPr>
        <w:t>乙方在履行合同过程中，不得将该合同项目委托给第三方或与第三方合伙经营。</w:t>
      </w:r>
    </w:p>
    <w:p>
      <w:pPr>
        <w:ind w:firstLine="420"/>
        <w:jc w:val="both"/>
      </w:pPr>
      <w:r>
        <w:rPr>
          <w:color w:val="000000"/>
          <w:sz w:val="21"/>
        </w:rPr>
        <w:t>3.2.15</w:t>
      </w:r>
      <w:r>
        <w:rPr>
          <w:color w:val="000000"/>
          <w:sz w:val="21"/>
        </w:rPr>
        <w:t>乙方应落实评估员的监管制度，要求评估员遵守职业道德，规范着装，文明用语，佩证或挂牌入户工作。如评估员存在以下行为：串通评估对象出具虚假评估报告、篡改评估结论、非法向他人提供评估对象信息等，乙方应立即书面报告甲方并进行整改，对情节严重或经批评教育仍不悔改的评估员进行解聘处理。</w:t>
      </w:r>
    </w:p>
    <w:p>
      <w:pPr>
        <w:ind w:firstLine="420"/>
        <w:jc w:val="both"/>
      </w:pPr>
      <w:r>
        <w:rPr>
          <w:color w:val="000000"/>
          <w:sz w:val="21"/>
        </w:rPr>
        <w:t>3.2.16</w:t>
      </w:r>
      <w:r>
        <w:rPr>
          <w:color w:val="000000"/>
          <w:sz w:val="21"/>
        </w:rPr>
        <w:t>乙方在评估期间，必须本着对甲方和服务对象负责的态度，不得宣传或推销本机构的产品和业务。</w:t>
      </w:r>
    </w:p>
    <w:p>
      <w:pPr>
        <w:ind w:firstLine="420"/>
        <w:jc w:val="both"/>
      </w:pPr>
      <w:r>
        <w:rPr>
          <w:color w:val="000000"/>
          <w:sz w:val="21"/>
        </w:rPr>
        <w:t>3.2.17</w:t>
      </w:r>
      <w:r>
        <w:rPr>
          <w:color w:val="000000"/>
          <w:sz w:val="21"/>
        </w:rPr>
        <w:t>乙方在评估期间应注意人身</w:t>
      </w:r>
      <w:r>
        <w:rPr>
          <w:color w:val="000000"/>
          <w:sz w:val="21"/>
        </w:rPr>
        <w:t>以及财产</w:t>
      </w:r>
      <w:r>
        <w:rPr>
          <w:color w:val="000000"/>
          <w:sz w:val="21"/>
        </w:rPr>
        <w:t>安全，自驾车或乘坐公共交通工具应遵守道路交通法规和公共秩序，评估过程中应避免冲突，在合同履行期间，若乙方及乙方员工（包括临时聘用的人员）</w:t>
      </w:r>
      <w:r>
        <w:rPr>
          <w:color w:val="000000"/>
          <w:sz w:val="21"/>
        </w:rPr>
        <w:t>导致甲方、乙方、第三方</w:t>
      </w:r>
      <w:r>
        <w:rPr>
          <w:color w:val="000000"/>
          <w:sz w:val="21"/>
        </w:rPr>
        <w:t>人身损害或</w:t>
      </w:r>
      <w:r>
        <w:rPr>
          <w:color w:val="000000"/>
          <w:sz w:val="21"/>
        </w:rPr>
        <w:t>财产</w:t>
      </w:r>
      <w:r>
        <w:rPr>
          <w:color w:val="000000"/>
          <w:sz w:val="21"/>
        </w:rPr>
        <w:t>损害</w:t>
      </w:r>
      <w:r>
        <w:rPr>
          <w:color w:val="000000"/>
          <w:sz w:val="21"/>
        </w:rPr>
        <w:t>的</w:t>
      </w:r>
      <w:r>
        <w:rPr>
          <w:color w:val="000000"/>
          <w:sz w:val="21"/>
        </w:rPr>
        <w:t>，</w:t>
      </w:r>
      <w:r>
        <w:rPr>
          <w:color w:val="000000"/>
          <w:sz w:val="21"/>
        </w:rPr>
        <w:t>由此产生的一切法律责任由乙方自行承担。造成甲方损失的，乙方负责足额赔偿。</w:t>
      </w:r>
    </w:p>
    <w:p>
      <w:pPr>
        <w:ind w:firstLine="420"/>
        <w:jc w:val="both"/>
      </w:pPr>
      <w:r>
        <w:rPr>
          <w:color w:val="000000"/>
          <w:sz w:val="21"/>
        </w:rPr>
        <w:t>3.2.18</w:t>
      </w:r>
      <w:r>
        <w:rPr>
          <w:color w:val="000000"/>
          <w:sz w:val="21"/>
        </w:rPr>
        <w:t>乙方在合同生效期间需按政策向老年人及其家属做好相关政策的解释工作，因乙方解释未到位产生的群众信访及其他问题，乙方须及时进行解决并承担相关责任。</w:t>
      </w:r>
    </w:p>
    <w:p>
      <w:pPr>
        <w:ind w:firstLine="420"/>
        <w:jc w:val="both"/>
      </w:pPr>
      <w:r>
        <w:rPr>
          <w:color w:val="000000"/>
          <w:sz w:val="21"/>
        </w:rPr>
        <w:t>3.2.19</w:t>
      </w:r>
      <w:r>
        <w:rPr>
          <w:color w:val="000000"/>
          <w:sz w:val="21"/>
        </w:rPr>
        <w:t>乙方在合同期限内不得承接我区的政府购买居家养老服务项目或老年人照护需求综合评估第三方质量评价项目。</w:t>
      </w:r>
    </w:p>
    <w:p>
      <w:pPr>
        <w:ind w:firstLine="420"/>
        <w:jc w:val="both"/>
      </w:pPr>
    </w:p>
    <w:p>
      <w:pPr>
        <w:ind w:firstLine="422"/>
        <w:jc w:val="both"/>
      </w:pPr>
      <w:r>
        <w:rPr>
          <w:b/>
          <w:color w:val="000000"/>
          <w:sz w:val="21"/>
        </w:rPr>
        <w:t>四、项目验收</w:t>
      </w:r>
    </w:p>
    <w:p>
      <w:pPr>
        <w:ind w:firstLine="420"/>
        <w:jc w:val="both"/>
      </w:pPr>
      <w:r>
        <w:rPr>
          <w:color w:val="000000"/>
          <w:sz w:val="21"/>
        </w:rPr>
        <w:t>4.1</w:t>
      </w:r>
      <w:r>
        <w:rPr>
          <w:color w:val="000000"/>
          <w:sz w:val="21"/>
        </w:rPr>
        <w:t>验收表如下：100分为满分，60分为合格，不满60分为不合格。</w:t>
      </w:r>
    </w:p>
    <w:p>
      <w:pPr>
        <w:ind w:firstLine="422"/>
        <w:jc w:val="center"/>
      </w:pPr>
      <w:r>
        <w:rPr>
          <w:b/>
          <w:color w:val="000000"/>
          <w:sz w:val="21"/>
        </w:rPr>
        <w:t>项目验收表</w:t>
      </w:r>
    </w:p>
    <w:tbl>
      <w:tblPr>
        <w:tblW w:w="0" w:type="auto"/>
        <w:tblBorders>
          <w:top w:val="none" w:color="000000" w:sz="4"/>
          <w:left w:val="none" w:color="000000" w:sz="4"/>
          <w:bottom w:val="none" w:color="000000" w:sz="4"/>
          <w:right w:val="none" w:color="000000" w:sz="4"/>
          <w:insideH w:val="none"/>
          <w:insideV w:val="none"/>
        </w:tblBorders>
      </w:tblPr>
      <w:tblGrid>
        <w:gridCol w:w="685"/>
        <w:gridCol w:w="1199"/>
        <w:gridCol w:w="4110"/>
        <w:gridCol w:w="685"/>
        <w:gridCol w:w="942"/>
        <w:gridCol w:w="685"/>
      </w:tblGrid>
      <w:tr>
        <w:tc>
          <w:tcPr>
            <w:tcW w:type="dxa" w:w="685"/>
            <w:tcBorders>
              <w:top w:val="single" w:color="000000" w:sz="4"/>
              <w:left w:val="single" w:color="000000" w:sz="4"/>
              <w:bottom w:val="single" w:color="000000" w:sz="4"/>
              <w:right w:val="single" w:color="000000" w:sz="4"/>
            </w:tcBorders>
          </w:tcPr>
          <w:p>
            <w:pPr>
              <w:jc w:val="center"/>
            </w:pPr>
            <w:r>
              <w:rPr>
                <w:color w:val="000000"/>
                <w:sz w:val="21"/>
              </w:rPr>
              <w:t>序号</w:t>
            </w:r>
          </w:p>
        </w:tc>
        <w:tc>
          <w:tcPr>
            <w:tcW w:type="dxa" w:w="1199"/>
            <w:tcBorders>
              <w:top w:val="single" w:color="000000" w:sz="4"/>
              <w:left w:val="none" w:color="000000" w:sz="4"/>
              <w:bottom w:val="single" w:color="000000" w:sz="4"/>
              <w:right w:val="single" w:color="000000" w:sz="4"/>
            </w:tcBorders>
          </w:tcPr>
          <w:p>
            <w:pPr>
              <w:jc w:val="center"/>
            </w:pPr>
            <w:r>
              <w:rPr>
                <w:color w:val="000000"/>
                <w:sz w:val="21"/>
              </w:rPr>
              <w:t>评审项目</w:t>
            </w:r>
          </w:p>
        </w:tc>
        <w:tc>
          <w:tcPr>
            <w:tcW w:type="dxa" w:w="4110"/>
            <w:tcBorders>
              <w:top w:val="single" w:color="000000" w:sz="4"/>
              <w:left w:val="none" w:color="000000" w:sz="4"/>
              <w:bottom w:val="single" w:color="000000" w:sz="4"/>
              <w:right w:val="single" w:color="000000" w:sz="4"/>
            </w:tcBorders>
          </w:tcPr>
          <w:p>
            <w:pPr>
              <w:jc w:val="center"/>
            </w:pPr>
            <w:r>
              <w:rPr>
                <w:color w:val="000000"/>
                <w:sz w:val="21"/>
              </w:rPr>
              <w:t>评审内容</w:t>
            </w:r>
          </w:p>
        </w:tc>
        <w:tc>
          <w:tcPr>
            <w:tcW w:type="dxa" w:w="685"/>
            <w:tcBorders>
              <w:top w:val="single" w:color="000000" w:sz="4"/>
              <w:left w:val="none" w:color="000000" w:sz="4"/>
              <w:bottom w:val="single" w:color="000000" w:sz="4"/>
              <w:right w:val="single" w:color="000000" w:sz="4"/>
            </w:tcBorders>
          </w:tcPr>
          <w:p>
            <w:pPr>
              <w:jc w:val="center"/>
            </w:pPr>
            <w:r>
              <w:rPr>
                <w:color w:val="000000"/>
                <w:sz w:val="21"/>
              </w:rPr>
              <w:t>分值</w:t>
            </w:r>
          </w:p>
        </w:tc>
        <w:tc>
          <w:tcPr>
            <w:tcW w:type="dxa" w:w="942"/>
            <w:tcBorders>
              <w:top w:val="single" w:color="000000" w:sz="4"/>
              <w:left w:val="none" w:color="000000" w:sz="4"/>
              <w:bottom w:val="single" w:color="000000" w:sz="4"/>
              <w:right w:val="single" w:color="000000" w:sz="4"/>
            </w:tcBorders>
          </w:tcPr>
          <w:p>
            <w:pPr>
              <w:jc w:val="center"/>
            </w:pPr>
            <w:r>
              <w:rPr>
                <w:color w:val="000000"/>
                <w:sz w:val="21"/>
              </w:rPr>
              <w:t>操作办法</w:t>
            </w:r>
          </w:p>
        </w:tc>
        <w:tc>
          <w:tcPr>
            <w:tcW w:type="dxa" w:w="685"/>
            <w:tcBorders>
              <w:top w:val="single" w:color="000000" w:sz="4"/>
              <w:left w:val="none" w:color="000000" w:sz="4"/>
              <w:bottom w:val="single" w:color="000000" w:sz="4"/>
              <w:right w:val="single" w:color="000000" w:sz="4"/>
            </w:tcBorders>
          </w:tcPr>
          <w:p>
            <w:pPr>
              <w:jc w:val="center"/>
            </w:pPr>
            <w:r>
              <w:rPr>
                <w:color w:val="000000"/>
                <w:sz w:val="21"/>
              </w:rPr>
              <w:t>得分</w:t>
            </w:r>
          </w:p>
        </w:tc>
      </w:tr>
      <w:tr>
        <w:tc>
          <w:tcPr>
            <w:tcW w:type="dxa" w:w="685"/>
            <w:vMerge w:val="restart"/>
            <w:tcBorders>
              <w:top w:val="none" w:color="000000" w:sz="4"/>
              <w:left w:val="single" w:color="000000" w:sz="4"/>
              <w:bottom w:val="single" w:color="000000" w:sz="4"/>
              <w:right w:val="single" w:color="000000" w:sz="4"/>
            </w:tcBorders>
          </w:tcPr>
          <w:p>
            <w:pPr>
              <w:jc w:val="center"/>
            </w:pPr>
            <w:r>
              <w:rPr>
                <w:color w:val="000000"/>
                <w:sz w:val="21"/>
              </w:rPr>
              <w:t>1</w:t>
            </w:r>
          </w:p>
        </w:tc>
        <w:tc>
          <w:tcPr>
            <w:tcW w:type="dxa" w:w="1199"/>
            <w:vMerge w:val="restart"/>
            <w:tcBorders>
              <w:top w:val="none" w:color="000000" w:sz="4"/>
              <w:left w:val="none" w:color="000000" w:sz="4"/>
              <w:bottom w:val="single" w:color="000000" w:sz="4"/>
              <w:right w:val="single" w:color="000000" w:sz="4"/>
            </w:tcBorders>
          </w:tcPr>
          <w:p>
            <w:pPr>
              <w:jc w:val="center"/>
            </w:pPr>
            <w:r>
              <w:rPr>
                <w:color w:val="000000"/>
                <w:sz w:val="21"/>
              </w:rPr>
              <w:t>人员配置（15分）</w:t>
            </w:r>
          </w:p>
        </w:tc>
        <w:tc>
          <w:tcPr>
            <w:tcW w:type="dxa" w:w="4110"/>
            <w:tcBorders>
              <w:top w:val="none" w:color="000000" w:sz="4"/>
              <w:left w:val="none" w:color="000000" w:sz="4"/>
              <w:bottom w:val="single" w:color="000000" w:sz="4"/>
              <w:right w:val="single" w:color="000000" w:sz="4"/>
            </w:tcBorders>
          </w:tcPr>
          <w:p>
            <w:pPr>
              <w:jc w:val="both"/>
            </w:pPr>
            <w:r>
              <w:rPr>
                <w:color w:val="000000"/>
                <w:sz w:val="21"/>
              </w:rPr>
              <w:t>按要求配备工作人员，工作人员具备专业技术条件。每次评估由2名评估员同时进行，其中1名应具备临床医学、护理、康复、精神心理、公共卫生等合法执业资格。</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资料查阅，回访</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vMerge/>
            <w:tcBorders>
              <w:top w:val="none" w:color="000000" w:sz="4"/>
              <w:left w:val="single" w:color="000000" w:sz="4"/>
              <w:bottom w:val="single" w:color="000000" w:sz="4"/>
              <w:right w:val="single" w:color="000000" w:sz="4"/>
            </w:tcBorders>
          </w:tcPr>
          <w:p/>
        </w:tc>
        <w:tc>
          <w:tcPr>
            <w:tcW w:type="dxa" w:w="1199"/>
            <w:vMerge/>
            <w:tcBorders>
              <w:top w:val="none" w:color="000000" w:sz="4"/>
              <w:left w:val="none" w:color="000000" w:sz="4"/>
              <w:bottom w:val="single" w:color="000000" w:sz="4"/>
              <w:right w:val="single" w:color="000000" w:sz="4"/>
            </w:tcBorders>
          </w:tcPr>
          <w:p/>
        </w:tc>
        <w:tc>
          <w:tcPr>
            <w:tcW w:type="dxa" w:w="4110"/>
            <w:tcBorders>
              <w:top w:val="none" w:color="000000" w:sz="4"/>
              <w:left w:val="none" w:color="000000" w:sz="4"/>
              <w:bottom w:val="single" w:color="000000" w:sz="4"/>
              <w:right w:val="single" w:color="000000" w:sz="4"/>
            </w:tcBorders>
          </w:tcPr>
          <w:p>
            <w:pPr>
              <w:jc w:val="both"/>
            </w:pPr>
            <w:r>
              <w:rPr>
                <w:color w:val="000000"/>
                <w:sz w:val="21"/>
              </w:rPr>
              <w:t>评估人员能够按流程顺利完成评估，熟悉评估量表及评估工具的使用。</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5</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现场检查</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tcBorders>
              <w:top w:val="none" w:color="000000" w:sz="4"/>
              <w:left w:val="single" w:color="000000" w:sz="4"/>
              <w:bottom w:val="single" w:color="000000" w:sz="4"/>
              <w:right w:val="single" w:color="000000" w:sz="4"/>
            </w:tcBorders>
          </w:tcPr>
          <w:p>
            <w:pPr>
              <w:jc w:val="center"/>
            </w:pPr>
            <w:r>
              <w:rPr>
                <w:color w:val="000000"/>
                <w:sz w:val="21"/>
              </w:rPr>
              <w:t>2</w:t>
            </w:r>
          </w:p>
        </w:tc>
        <w:tc>
          <w:tcPr>
            <w:tcW w:type="dxa" w:w="1199"/>
            <w:tcBorders>
              <w:top w:val="none" w:color="000000" w:sz="4"/>
              <w:left w:val="none" w:color="000000" w:sz="4"/>
              <w:bottom w:val="single" w:color="000000" w:sz="4"/>
              <w:right w:val="single" w:color="000000" w:sz="4"/>
            </w:tcBorders>
          </w:tcPr>
          <w:p>
            <w:pPr>
              <w:jc w:val="center"/>
            </w:pPr>
            <w:r>
              <w:rPr>
                <w:color w:val="000000"/>
                <w:sz w:val="21"/>
              </w:rPr>
              <w:t>管理机制（5分）</w:t>
            </w:r>
          </w:p>
        </w:tc>
        <w:tc>
          <w:tcPr>
            <w:tcW w:type="dxa" w:w="4110"/>
            <w:tcBorders>
              <w:top w:val="none" w:color="000000" w:sz="4"/>
              <w:left w:val="none" w:color="000000" w:sz="4"/>
              <w:bottom w:val="single" w:color="000000" w:sz="4"/>
              <w:right w:val="single" w:color="000000" w:sz="4"/>
            </w:tcBorders>
          </w:tcPr>
          <w:p>
            <w:pPr>
              <w:jc w:val="both"/>
            </w:pPr>
            <w:r>
              <w:rPr>
                <w:color w:val="000000"/>
                <w:sz w:val="21"/>
              </w:rPr>
              <w:t>建立内部质量管理制度健全，流程规范。</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5</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vMerge w:val="restart"/>
            <w:tcBorders>
              <w:top w:val="none" w:color="000000" w:sz="4"/>
              <w:left w:val="single" w:color="000000" w:sz="4"/>
              <w:bottom w:val="single" w:color="000000" w:sz="4"/>
              <w:right w:val="single" w:color="000000" w:sz="4"/>
            </w:tcBorders>
          </w:tcPr>
          <w:p>
            <w:pPr>
              <w:jc w:val="center"/>
            </w:pPr>
            <w:r>
              <w:rPr>
                <w:color w:val="000000"/>
                <w:sz w:val="21"/>
              </w:rPr>
              <w:t>3</w:t>
            </w:r>
          </w:p>
        </w:tc>
        <w:tc>
          <w:tcPr>
            <w:tcW w:type="dxa" w:w="1199"/>
            <w:vMerge w:val="restart"/>
            <w:tcBorders>
              <w:top w:val="none" w:color="000000" w:sz="4"/>
              <w:left w:val="none" w:color="000000" w:sz="4"/>
              <w:bottom w:val="single" w:color="000000" w:sz="4"/>
              <w:right w:val="single" w:color="000000" w:sz="4"/>
            </w:tcBorders>
          </w:tcPr>
          <w:p>
            <w:pPr>
              <w:jc w:val="center"/>
            </w:pPr>
            <w:r>
              <w:rPr>
                <w:color w:val="000000"/>
                <w:sz w:val="21"/>
              </w:rPr>
              <w:t>完成率</w:t>
            </w:r>
          </w:p>
          <w:p>
            <w:pPr>
              <w:jc w:val="center"/>
            </w:pPr>
            <w:r>
              <w:rPr>
                <w:color w:val="000000"/>
                <w:sz w:val="21"/>
              </w:rPr>
              <w:t>（20分）</w:t>
            </w:r>
          </w:p>
        </w:tc>
        <w:tc>
          <w:tcPr>
            <w:tcW w:type="dxa" w:w="4110"/>
            <w:tcBorders>
              <w:top w:val="none" w:color="000000" w:sz="4"/>
              <w:left w:val="none" w:color="000000" w:sz="4"/>
              <w:bottom w:val="single" w:color="000000" w:sz="4"/>
              <w:right w:val="single" w:color="000000" w:sz="4"/>
            </w:tcBorders>
          </w:tcPr>
          <w:p>
            <w:pPr>
              <w:jc w:val="both"/>
            </w:pPr>
            <w:r>
              <w:rPr>
                <w:color w:val="000000"/>
                <w:sz w:val="21"/>
              </w:rPr>
              <w:t>评估完成率达到100%，没有出现少、漏对象的行为。</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vMerge/>
            <w:tcBorders>
              <w:top w:val="none" w:color="000000" w:sz="4"/>
              <w:left w:val="single" w:color="000000" w:sz="4"/>
              <w:bottom w:val="single" w:color="000000" w:sz="4"/>
              <w:right w:val="single" w:color="000000" w:sz="4"/>
            </w:tcBorders>
          </w:tcPr>
          <w:p/>
        </w:tc>
        <w:tc>
          <w:tcPr>
            <w:tcW w:type="dxa" w:w="1199"/>
            <w:vMerge/>
            <w:tcBorders>
              <w:top w:val="none" w:color="000000" w:sz="4"/>
              <w:left w:val="none" w:color="000000" w:sz="4"/>
              <w:bottom w:val="single" w:color="000000" w:sz="4"/>
              <w:right w:val="single" w:color="000000" w:sz="4"/>
            </w:tcBorders>
          </w:tcPr>
          <w:p/>
        </w:tc>
        <w:tc>
          <w:tcPr>
            <w:tcW w:type="dxa" w:w="4110"/>
            <w:tcBorders>
              <w:top w:val="none" w:color="000000" w:sz="4"/>
              <w:left w:val="none" w:color="000000" w:sz="4"/>
              <w:bottom w:val="single" w:color="000000" w:sz="4"/>
              <w:right w:val="single" w:color="000000" w:sz="4"/>
            </w:tcBorders>
          </w:tcPr>
          <w:p>
            <w:pPr>
              <w:jc w:val="both"/>
            </w:pPr>
            <w:r>
              <w:rPr>
                <w:color w:val="000000"/>
                <w:sz w:val="21"/>
              </w:rPr>
              <w:t>评估员遵照标准规定的参数和程序进行专业评判，并完整编写《老年人照护需求等级评定报告表》，没有缺项、漏项。</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资料查阅、回访</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tcBorders>
              <w:top w:val="none" w:color="000000" w:sz="4"/>
              <w:left w:val="single" w:color="000000" w:sz="4"/>
              <w:bottom w:val="single" w:color="000000" w:sz="4"/>
              <w:right w:val="single" w:color="000000" w:sz="4"/>
            </w:tcBorders>
          </w:tcPr>
          <w:p>
            <w:pPr>
              <w:jc w:val="center"/>
            </w:pPr>
            <w:r>
              <w:rPr>
                <w:color w:val="000000"/>
                <w:sz w:val="21"/>
              </w:rPr>
              <w:t>4</w:t>
            </w:r>
          </w:p>
        </w:tc>
        <w:tc>
          <w:tcPr>
            <w:tcW w:type="dxa" w:w="1199"/>
            <w:tcBorders>
              <w:top w:val="none" w:color="000000" w:sz="4"/>
              <w:left w:val="none" w:color="000000" w:sz="4"/>
              <w:bottom w:val="single" w:color="000000" w:sz="4"/>
              <w:right w:val="single" w:color="000000" w:sz="4"/>
            </w:tcBorders>
          </w:tcPr>
          <w:p>
            <w:pPr>
              <w:jc w:val="center"/>
            </w:pPr>
            <w:r>
              <w:rPr>
                <w:color w:val="000000"/>
                <w:sz w:val="21"/>
              </w:rPr>
              <w:t>评估建档</w:t>
            </w:r>
          </w:p>
          <w:p>
            <w:pPr>
              <w:jc w:val="center"/>
            </w:pPr>
            <w:r>
              <w:rPr>
                <w:color w:val="000000"/>
                <w:sz w:val="21"/>
              </w:rPr>
              <w:t>（10分）</w:t>
            </w:r>
          </w:p>
        </w:tc>
        <w:tc>
          <w:tcPr>
            <w:tcW w:type="dxa" w:w="4110"/>
            <w:tcBorders>
              <w:top w:val="none" w:color="000000" w:sz="4"/>
              <w:left w:val="none" w:color="000000" w:sz="4"/>
              <w:bottom w:val="single" w:color="000000" w:sz="4"/>
              <w:right w:val="single" w:color="000000" w:sz="4"/>
            </w:tcBorders>
          </w:tcPr>
          <w:p>
            <w:pPr>
              <w:jc w:val="both"/>
            </w:pPr>
            <w:r>
              <w:rPr>
                <w:color w:val="000000"/>
                <w:sz w:val="21"/>
              </w:rPr>
              <w:t>建立老年人照护需求评估档案，妥善保管评定表、评定报告等资料，建档率达100%，并制作电子化文档。</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vMerge w:val="restart"/>
            <w:tcBorders>
              <w:top w:val="none" w:color="000000" w:sz="4"/>
              <w:left w:val="single" w:color="000000" w:sz="4"/>
              <w:bottom w:val="single" w:color="000000" w:sz="4"/>
              <w:right w:val="single" w:color="000000" w:sz="4"/>
            </w:tcBorders>
          </w:tcPr>
          <w:p>
            <w:pPr>
              <w:jc w:val="center"/>
            </w:pPr>
            <w:r>
              <w:rPr>
                <w:color w:val="000000"/>
                <w:sz w:val="21"/>
              </w:rPr>
              <w:t>5</w:t>
            </w:r>
          </w:p>
        </w:tc>
        <w:tc>
          <w:tcPr>
            <w:tcW w:type="dxa" w:w="1199"/>
            <w:vMerge w:val="restart"/>
            <w:tcBorders>
              <w:top w:val="none" w:color="000000" w:sz="4"/>
              <w:left w:val="none" w:color="000000" w:sz="4"/>
              <w:bottom w:val="single" w:color="000000" w:sz="4"/>
              <w:right w:val="single" w:color="000000" w:sz="4"/>
            </w:tcBorders>
          </w:tcPr>
          <w:p>
            <w:pPr>
              <w:jc w:val="center"/>
            </w:pPr>
            <w:r>
              <w:rPr>
                <w:color w:val="000000"/>
                <w:sz w:val="21"/>
              </w:rPr>
              <w:t>满意度</w:t>
            </w:r>
          </w:p>
          <w:p>
            <w:pPr>
              <w:jc w:val="center"/>
            </w:pPr>
            <w:r>
              <w:rPr>
                <w:color w:val="000000"/>
                <w:sz w:val="21"/>
              </w:rPr>
              <w:t>（20分）</w:t>
            </w:r>
          </w:p>
        </w:tc>
        <w:tc>
          <w:tcPr>
            <w:tcW w:type="dxa" w:w="4110"/>
            <w:tcBorders>
              <w:top w:val="none" w:color="000000" w:sz="4"/>
              <w:left w:val="none" w:color="000000" w:sz="4"/>
              <w:bottom w:val="single" w:color="000000" w:sz="4"/>
              <w:right w:val="single" w:color="000000" w:sz="4"/>
            </w:tcBorders>
          </w:tcPr>
          <w:p>
            <w:pPr>
              <w:jc w:val="both"/>
            </w:pPr>
            <w:r>
              <w:rPr>
                <w:color w:val="000000"/>
                <w:sz w:val="21"/>
              </w:rPr>
              <w:t>工作人员行为规范，尊重评估对象，评估满意度达到80%以上。（抽样）</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评估回访</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vMerge/>
            <w:tcBorders>
              <w:top w:val="none" w:color="000000" w:sz="4"/>
              <w:left w:val="single" w:color="000000" w:sz="4"/>
              <w:bottom w:val="single" w:color="000000" w:sz="4"/>
              <w:right w:val="single" w:color="000000" w:sz="4"/>
            </w:tcBorders>
          </w:tcPr>
          <w:p/>
        </w:tc>
        <w:tc>
          <w:tcPr>
            <w:tcW w:type="dxa" w:w="1199"/>
            <w:vMerge/>
            <w:tcBorders>
              <w:top w:val="none" w:color="000000" w:sz="4"/>
              <w:left w:val="none" w:color="000000" w:sz="4"/>
              <w:bottom w:val="single" w:color="000000" w:sz="4"/>
              <w:right w:val="single" w:color="000000" w:sz="4"/>
            </w:tcBorders>
          </w:tcPr>
          <w:p/>
        </w:tc>
        <w:tc>
          <w:tcPr>
            <w:tcW w:type="dxa" w:w="4110"/>
            <w:tcBorders>
              <w:top w:val="none" w:color="000000" w:sz="4"/>
              <w:left w:val="none" w:color="000000" w:sz="4"/>
              <w:bottom w:val="single" w:color="000000" w:sz="4"/>
              <w:right w:val="single" w:color="000000" w:sz="4"/>
            </w:tcBorders>
          </w:tcPr>
          <w:p>
            <w:pPr>
              <w:jc w:val="both"/>
            </w:pPr>
            <w:r>
              <w:rPr>
                <w:color w:val="000000"/>
                <w:sz w:val="21"/>
              </w:rPr>
              <w:t>项目开展过程中没有受到被评估对象的投诉。</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vMerge w:val="restart"/>
            <w:tcBorders>
              <w:top w:val="none" w:color="000000" w:sz="4"/>
              <w:left w:val="single" w:color="000000" w:sz="4"/>
              <w:bottom w:val="single" w:color="000000" w:sz="4"/>
              <w:right w:val="single" w:color="000000" w:sz="4"/>
            </w:tcBorders>
          </w:tcPr>
          <w:p>
            <w:pPr>
              <w:jc w:val="center"/>
            </w:pPr>
            <w:r>
              <w:rPr>
                <w:color w:val="000000"/>
                <w:sz w:val="21"/>
              </w:rPr>
              <w:t>6</w:t>
            </w:r>
          </w:p>
        </w:tc>
        <w:tc>
          <w:tcPr>
            <w:tcW w:type="dxa" w:w="1199"/>
            <w:vMerge w:val="restart"/>
            <w:tcBorders>
              <w:top w:val="none" w:color="000000" w:sz="4"/>
              <w:left w:val="none" w:color="000000" w:sz="4"/>
              <w:bottom w:val="single" w:color="000000" w:sz="4"/>
              <w:right w:val="single" w:color="000000" w:sz="4"/>
            </w:tcBorders>
          </w:tcPr>
          <w:p>
            <w:pPr>
              <w:jc w:val="center"/>
            </w:pPr>
            <w:r>
              <w:rPr>
                <w:color w:val="000000"/>
                <w:sz w:val="21"/>
              </w:rPr>
              <w:t>质量控制（30分）</w:t>
            </w:r>
          </w:p>
        </w:tc>
        <w:tc>
          <w:tcPr>
            <w:tcW w:type="dxa" w:w="4110"/>
            <w:tcBorders>
              <w:top w:val="none" w:color="000000" w:sz="4"/>
              <w:left w:val="none" w:color="000000" w:sz="4"/>
              <w:bottom w:val="single" w:color="000000" w:sz="4"/>
              <w:right w:val="single" w:color="000000" w:sz="4"/>
            </w:tcBorders>
          </w:tcPr>
          <w:p>
            <w:pPr>
              <w:jc w:val="both"/>
            </w:pPr>
            <w:r>
              <w:rPr>
                <w:color w:val="000000"/>
                <w:sz w:val="21"/>
              </w:rPr>
              <w:t>评估报告清晰，内容完善，对评估对象情况描述准确，对制定服务方案参考价值高。</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20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w:t>
            </w:r>
          </w:p>
        </w:tc>
        <w:tc>
          <w:tcPr>
            <w:tcW w:type="dxa" w:w="685"/>
            <w:tcBorders>
              <w:top w:val="none" w:color="000000" w:sz="4"/>
              <w:left w:val="none" w:color="000000" w:sz="4"/>
              <w:bottom w:val="single" w:color="000000" w:sz="4"/>
              <w:right w:val="single" w:color="000000" w:sz="4"/>
            </w:tcBorders>
          </w:tcPr>
          <w:p>
            <w:pPr>
              <w:jc w:val="center"/>
            </w:pPr>
          </w:p>
        </w:tc>
      </w:tr>
      <w:tr>
        <w:tc>
          <w:tcPr>
            <w:tcW w:type="dxa" w:w="685"/>
            <w:vMerge/>
            <w:tcBorders>
              <w:top w:val="none" w:color="000000" w:sz="4"/>
              <w:left w:val="single" w:color="000000" w:sz="4"/>
              <w:bottom w:val="single" w:color="000000" w:sz="4"/>
              <w:right w:val="single" w:color="000000" w:sz="4"/>
            </w:tcBorders>
          </w:tcPr>
          <w:p/>
        </w:tc>
        <w:tc>
          <w:tcPr>
            <w:tcW w:type="dxa" w:w="1199"/>
            <w:vMerge/>
            <w:tcBorders>
              <w:top w:val="none" w:color="000000" w:sz="4"/>
              <w:left w:val="none" w:color="000000" w:sz="4"/>
              <w:bottom w:val="single" w:color="000000" w:sz="4"/>
              <w:right w:val="single" w:color="000000" w:sz="4"/>
            </w:tcBorders>
          </w:tcPr>
          <w:p/>
        </w:tc>
        <w:tc>
          <w:tcPr>
            <w:tcW w:type="dxa" w:w="4110"/>
            <w:tcBorders>
              <w:top w:val="none" w:color="000000" w:sz="4"/>
              <w:left w:val="none" w:color="000000" w:sz="4"/>
              <w:bottom w:val="single" w:color="000000" w:sz="4"/>
              <w:right w:val="single" w:color="000000" w:sz="4"/>
            </w:tcBorders>
          </w:tcPr>
          <w:p>
            <w:pPr>
              <w:jc w:val="both"/>
            </w:pPr>
            <w:r>
              <w:rPr>
                <w:color w:val="000000"/>
                <w:sz w:val="21"/>
              </w:rPr>
              <w:t>评估对象对评估报告满意，复核申请率低于10%。</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942"/>
            <w:tcBorders>
              <w:top w:val="none" w:color="000000" w:sz="4"/>
              <w:left w:val="none" w:color="000000" w:sz="4"/>
              <w:bottom w:val="single" w:color="000000" w:sz="4"/>
              <w:right w:val="single" w:color="000000" w:sz="4"/>
            </w:tcBorders>
          </w:tcPr>
          <w:p>
            <w:pPr>
              <w:jc w:val="center"/>
            </w:pPr>
            <w:r>
              <w:rPr>
                <w:color w:val="000000"/>
                <w:sz w:val="21"/>
              </w:rPr>
              <w:t>资料查阅</w:t>
            </w:r>
          </w:p>
        </w:tc>
        <w:tc>
          <w:tcPr>
            <w:tcW w:type="dxa" w:w="685"/>
            <w:tcBorders>
              <w:top w:val="none" w:color="000000" w:sz="4"/>
              <w:left w:val="none" w:color="000000" w:sz="4"/>
              <w:bottom w:val="single" w:color="000000" w:sz="4"/>
              <w:right w:val="single" w:color="000000" w:sz="4"/>
            </w:tcBorders>
          </w:tcPr>
          <w:p>
            <w:pPr>
              <w:jc w:val="center"/>
            </w:pPr>
          </w:p>
        </w:tc>
      </w:tr>
    </w:tbl>
    <w:p>
      <w:pPr>
        <w:ind w:firstLine="420"/>
        <w:jc w:val="both"/>
      </w:pPr>
      <w:r>
        <w:rPr>
          <w:color w:val="000000"/>
          <w:sz w:val="21"/>
        </w:rPr>
        <w:t xml:space="preserve"> </w:t>
      </w:r>
    </w:p>
    <w:p>
      <w:pPr>
        <w:ind w:firstLine="420"/>
        <w:jc w:val="both"/>
      </w:pPr>
      <w:r>
        <w:rPr>
          <w:color w:val="000000"/>
          <w:sz w:val="21"/>
        </w:rPr>
        <w:t>4.2</w:t>
      </w:r>
      <w:r>
        <w:rPr>
          <w:color w:val="000000"/>
          <w:sz w:val="21"/>
        </w:rPr>
        <w:t>甲方根据项目成果验收表对评估人数、评估方式、评估质量进行验收，验收合格</w:t>
      </w:r>
      <w:r>
        <w:rPr>
          <w:color w:val="000000"/>
          <w:sz w:val="21"/>
        </w:rPr>
        <w:t>的签署书面验收合格凭证并</w:t>
      </w:r>
      <w:r>
        <w:rPr>
          <w:color w:val="000000"/>
          <w:sz w:val="21"/>
        </w:rPr>
        <w:t>拨付相应资金</w:t>
      </w:r>
      <w:r>
        <w:rPr>
          <w:color w:val="000000"/>
          <w:sz w:val="21"/>
        </w:rPr>
        <w:t>；</w:t>
      </w:r>
      <w:r>
        <w:rPr>
          <w:color w:val="000000"/>
          <w:sz w:val="21"/>
        </w:rPr>
        <w:t>验收不合格的，由评估机构落实整改，整改后重新组织验收。整改后验收仍不合格的，采购方有权单方解除合同，无需支付服务费用并可向服务承接单位追讨损失。</w:t>
      </w:r>
    </w:p>
    <w:p>
      <w:pPr>
        <w:ind w:firstLine="420"/>
        <w:jc w:val="both"/>
      </w:pPr>
    </w:p>
    <w:p>
      <w:pPr>
        <w:ind w:firstLine="422"/>
        <w:jc w:val="center"/>
      </w:pPr>
      <w:r>
        <w:rPr>
          <w:b/>
          <w:color w:val="000000"/>
          <w:sz w:val="21"/>
        </w:rPr>
        <w:t>五、合同变更与解除</w:t>
      </w:r>
    </w:p>
    <w:p>
      <w:pPr>
        <w:ind w:firstLine="422"/>
        <w:jc w:val="both"/>
      </w:pPr>
      <w:r>
        <w:rPr>
          <w:b/>
          <w:color w:val="000000"/>
          <w:sz w:val="21"/>
        </w:rPr>
        <w:t>5.1</w:t>
      </w:r>
      <w:r>
        <w:rPr>
          <w:b/>
          <w:color w:val="000000"/>
          <w:sz w:val="21"/>
        </w:rPr>
        <w:t>合同的变更</w:t>
      </w:r>
    </w:p>
    <w:p>
      <w:pPr>
        <w:ind w:firstLine="420"/>
        <w:jc w:val="both"/>
      </w:pPr>
      <w:r>
        <w:rPr>
          <w:color w:val="000000"/>
          <w:sz w:val="21"/>
        </w:rPr>
        <w:t>因本合同所涉及的政策调整或评估项目需求发生变化的，甲方有权提出合同的变更，并以书面形式通知乙方，甲方书面通知乙方后，乙方根据甲方的变化，在单价不变的前提下，签署补充协议。</w:t>
      </w:r>
    </w:p>
    <w:p>
      <w:pPr>
        <w:ind w:firstLine="422"/>
        <w:jc w:val="both"/>
      </w:pPr>
      <w:r>
        <w:rPr>
          <w:b/>
          <w:color w:val="000000"/>
          <w:sz w:val="21"/>
        </w:rPr>
        <w:t>5.2</w:t>
      </w:r>
      <w:r>
        <w:rPr>
          <w:b/>
          <w:color w:val="000000"/>
          <w:sz w:val="21"/>
        </w:rPr>
        <w:t>合同的解除</w:t>
      </w:r>
    </w:p>
    <w:p>
      <w:pPr>
        <w:ind w:firstLine="420"/>
        <w:jc w:val="both"/>
      </w:pPr>
      <w:r>
        <w:rPr>
          <w:color w:val="000000"/>
          <w:sz w:val="21"/>
        </w:rPr>
        <w:t>5.2.1</w:t>
      </w:r>
      <w:r>
        <w:rPr>
          <w:color w:val="000000"/>
          <w:sz w:val="21"/>
        </w:rPr>
        <w:t>在合同履行过程中，具有以下情形的，甲方有权单方面解除合同，并无需承担违约责任：</w:t>
      </w:r>
    </w:p>
    <w:p>
      <w:pPr>
        <w:ind w:firstLine="420"/>
        <w:jc w:val="both"/>
      </w:pPr>
      <w:r>
        <w:rPr>
          <w:color w:val="000000"/>
          <w:sz w:val="21"/>
        </w:rPr>
        <w:t>（1）因本合同所涉及的政策调整引起的合同内容变化；</w:t>
      </w:r>
    </w:p>
    <w:p>
      <w:pPr>
        <w:ind w:firstLine="420"/>
        <w:jc w:val="both"/>
      </w:pPr>
      <w:r>
        <w:rPr>
          <w:color w:val="000000"/>
          <w:sz w:val="21"/>
        </w:rPr>
        <w:t>（2）经甲方查证，乙方有捏造数据、弄虚作假、徇私舞弊或挤占、挪用、滥用该合同款项等违约、违规、违法行为并查证属实的；</w:t>
      </w:r>
    </w:p>
    <w:p>
      <w:pPr>
        <w:ind w:firstLine="420"/>
        <w:jc w:val="both"/>
      </w:pPr>
      <w:r>
        <w:rPr>
          <w:color w:val="000000"/>
          <w:sz w:val="21"/>
        </w:rPr>
        <w:t>（3）经甲方考核验收，乙方未能按合同要求完成评估项目，甲方督促整改后仍不采取积极措施改进的。</w:t>
      </w:r>
    </w:p>
    <w:p>
      <w:pPr>
        <w:ind w:firstLine="420"/>
        <w:jc w:val="both"/>
      </w:pPr>
      <w:r>
        <w:rPr>
          <w:color w:val="000000"/>
          <w:sz w:val="21"/>
        </w:rPr>
        <w:t>（4）乙方将本合同服务项目转包给第三方或与第三方合伙经营的；</w:t>
      </w:r>
    </w:p>
    <w:p>
      <w:pPr>
        <w:ind w:firstLine="420"/>
        <w:jc w:val="both"/>
      </w:pPr>
      <w:r>
        <w:rPr>
          <w:color w:val="000000"/>
          <w:sz w:val="21"/>
        </w:rPr>
        <w:t>（5）乙方有严重侵害评估对象合法权益行为的。</w:t>
      </w:r>
    </w:p>
    <w:p>
      <w:pPr>
        <w:ind w:firstLine="420"/>
        <w:jc w:val="both"/>
      </w:pPr>
      <w:r>
        <w:rPr>
          <w:color w:val="000000"/>
          <w:sz w:val="21"/>
        </w:rPr>
        <w:t>5.2.2</w:t>
      </w:r>
      <w:r>
        <w:rPr>
          <w:color w:val="000000"/>
          <w:sz w:val="21"/>
        </w:rPr>
        <w:t>在合同履行过程中，甲方具有以下情形的，乙方有权单方面解除合同，并无需承担违约责任：</w:t>
      </w:r>
    </w:p>
    <w:p>
      <w:pPr>
        <w:ind w:firstLine="420"/>
        <w:jc w:val="both"/>
      </w:pPr>
      <w:r>
        <w:rPr>
          <w:color w:val="000000"/>
          <w:sz w:val="21"/>
        </w:rPr>
        <w:t>（1）因甲方自身原因造成项目工作无法开展的；</w:t>
      </w:r>
    </w:p>
    <w:p>
      <w:pPr>
        <w:ind w:firstLine="420"/>
        <w:jc w:val="both"/>
      </w:pPr>
      <w:r>
        <w:rPr>
          <w:color w:val="000000"/>
          <w:sz w:val="21"/>
        </w:rPr>
        <w:t>（2）甲方无故克扣、拖欠该合同款项达</w:t>
      </w:r>
      <w:r>
        <w:rPr>
          <w:color w:val="000000"/>
          <w:sz w:val="21"/>
          <w:u w:val="single"/>
        </w:rPr>
        <w:t>60工作</w:t>
      </w:r>
      <w:r>
        <w:rPr>
          <w:color w:val="000000"/>
          <w:sz w:val="21"/>
        </w:rPr>
        <w:t>日的。</w:t>
      </w:r>
    </w:p>
    <w:p>
      <w:pPr>
        <w:ind w:firstLine="422"/>
        <w:jc w:val="both"/>
      </w:pPr>
      <w:r>
        <w:rPr>
          <w:b/>
          <w:color w:val="000000"/>
          <w:sz w:val="21"/>
        </w:rPr>
        <w:t>5.3</w:t>
      </w:r>
      <w:r>
        <w:rPr>
          <w:b/>
          <w:color w:val="000000"/>
          <w:sz w:val="21"/>
        </w:rPr>
        <w:t>协商解除</w:t>
      </w:r>
    </w:p>
    <w:p>
      <w:pPr>
        <w:ind w:firstLine="420"/>
        <w:jc w:val="both"/>
      </w:pPr>
      <w:r>
        <w:rPr>
          <w:color w:val="000000"/>
          <w:sz w:val="21"/>
        </w:rPr>
        <w:t>（1）因政府政策原因导致双方无法继续履行合同的，双方可协商解除该合同，甲方根据乙方实际提供的服务量结算费用；</w:t>
      </w:r>
    </w:p>
    <w:p>
      <w:pPr>
        <w:ind w:firstLine="420"/>
        <w:jc w:val="both"/>
      </w:pPr>
      <w:r>
        <w:rPr>
          <w:color w:val="000000"/>
          <w:sz w:val="21"/>
        </w:rPr>
        <w:t>（2）本同合期满，双方各自完成合同规定的事项，合同自然解除。</w:t>
      </w:r>
    </w:p>
    <w:p>
      <w:pPr>
        <w:ind w:firstLine="420"/>
        <w:jc w:val="both"/>
      </w:pPr>
    </w:p>
    <w:p>
      <w:pPr>
        <w:ind w:firstLine="422"/>
        <w:jc w:val="center"/>
      </w:pPr>
      <w:r>
        <w:rPr>
          <w:b/>
          <w:color w:val="000000"/>
          <w:sz w:val="21"/>
        </w:rPr>
        <w:t>六、违约责任</w:t>
      </w:r>
    </w:p>
    <w:p>
      <w:pPr>
        <w:ind w:firstLine="420"/>
        <w:jc w:val="both"/>
      </w:pPr>
      <w:r>
        <w:rPr>
          <w:color w:val="000000"/>
          <w:sz w:val="21"/>
        </w:rPr>
        <w:t>6.1</w:t>
      </w:r>
      <w:r>
        <w:rPr>
          <w:color w:val="000000"/>
          <w:sz w:val="21"/>
        </w:rPr>
        <w:t>本合同履行过程中发生的任何争议，由甲、乙双方协商解决，协商不成的，任何一方可以向广州市花都区人民法院提起诉讼。</w:t>
      </w:r>
      <w:r>
        <w:rPr>
          <w:color w:val="000000"/>
          <w:sz w:val="21"/>
        </w:rPr>
        <w:t>守约方因追究违约方违约责任所支付的包括但不限于律师费、诉讼费、保全费、公证费等一切费用均由违约方承担。</w:t>
      </w:r>
    </w:p>
    <w:p>
      <w:pPr>
        <w:ind w:firstLine="420"/>
        <w:jc w:val="both"/>
      </w:pPr>
      <w:r>
        <w:rPr>
          <w:color w:val="000000"/>
          <w:sz w:val="21"/>
        </w:rPr>
        <w:t>6.2</w:t>
      </w:r>
      <w:r>
        <w:rPr>
          <w:color w:val="000000"/>
          <w:sz w:val="21"/>
        </w:rPr>
        <w:t>在履行合同过程中，乙方违反本合同的约定，所开展的工作未达到合同要求或未能通过上级检查或第三方评估的，甲方提出书面限期整改通知，乙方应当按照书面意见进行整改。乙方未按要求整改的，或乙方被投诉，经核实有效而未及时采取措施改进的，甲方有权</w:t>
      </w:r>
      <w:r>
        <w:rPr>
          <w:color w:val="000000"/>
          <w:sz w:val="21"/>
        </w:rPr>
        <w:t>解除本合同并按照本合同总金额的</w:t>
      </w:r>
      <w:r>
        <w:rPr>
          <w:color w:val="000000"/>
          <w:sz w:val="21"/>
        </w:rPr>
        <w:t>30%</w:t>
      </w:r>
      <w:r>
        <w:rPr>
          <w:color w:val="000000"/>
          <w:sz w:val="21"/>
        </w:rPr>
        <w:t>收取违约金，造成甲方损失的，乙方负责足额赔偿。</w:t>
      </w:r>
    </w:p>
    <w:p>
      <w:pPr>
        <w:ind w:firstLine="420"/>
        <w:jc w:val="both"/>
      </w:pPr>
      <w:r>
        <w:rPr>
          <w:color w:val="000000"/>
          <w:sz w:val="21"/>
        </w:rPr>
        <w:t>6.3</w:t>
      </w:r>
      <w:r>
        <w:rPr>
          <w:color w:val="000000"/>
          <w:sz w:val="21"/>
        </w:rPr>
        <w:t>由于乙方原因造成该合同项目成果不符合约定要求，或未通过书面甲方验收合格的，甲方有权要求乙方按本合同项目下费用总额的</w:t>
      </w:r>
      <w:r>
        <w:rPr>
          <w:color w:val="000000"/>
          <w:sz w:val="21"/>
          <w:u w:val="single"/>
        </w:rPr>
        <w:t xml:space="preserve"> 30% </w:t>
      </w:r>
      <w:r>
        <w:rPr>
          <w:color w:val="000000"/>
          <w:sz w:val="21"/>
        </w:rPr>
        <w:t>支付违约金，若违约金不足以补偿甲方损失的，乙方按实际损失向甲方赔偿。</w:t>
      </w:r>
    </w:p>
    <w:p>
      <w:pPr>
        <w:ind w:firstLine="420"/>
        <w:jc w:val="both"/>
      </w:pPr>
      <w:r>
        <w:rPr>
          <w:color w:val="000000"/>
          <w:sz w:val="21"/>
        </w:rPr>
        <w:t>6.4</w:t>
      </w:r>
      <w:r>
        <w:rPr>
          <w:color w:val="000000"/>
          <w:sz w:val="21"/>
        </w:rPr>
        <w:t>因广州市财政体制改革或其他不可抗力导致项目中断或变化，不属于违约范畴。</w:t>
      </w:r>
    </w:p>
    <w:p>
      <w:pPr>
        <w:ind w:firstLine="420"/>
        <w:jc w:val="both"/>
      </w:pPr>
      <w:r>
        <w:rPr>
          <w:color w:val="000000"/>
          <w:sz w:val="21"/>
        </w:rPr>
        <w:t>6.5</w:t>
      </w:r>
      <w:r>
        <w:rPr>
          <w:color w:val="000000"/>
          <w:sz w:val="21"/>
        </w:rPr>
        <w:t>乙方逾期履行本合同约定义务的，每逾期一天，甲方有权每日按照本合同总金额的</w:t>
      </w:r>
      <w:r>
        <w:rPr>
          <w:color w:val="000000"/>
          <w:sz w:val="21"/>
        </w:rPr>
        <w:t>5</w:t>
      </w:r>
      <w:r>
        <w:rPr>
          <w:color w:val="000000"/>
          <w:sz w:val="21"/>
        </w:rPr>
        <w:t>‰</w:t>
      </w:r>
      <w:r>
        <w:rPr>
          <w:color w:val="000000"/>
          <w:sz w:val="21"/>
        </w:rPr>
        <w:t>收取违约金；逾期达</w:t>
      </w:r>
      <w:r>
        <w:rPr>
          <w:color w:val="000000"/>
          <w:sz w:val="21"/>
        </w:rPr>
        <w:t>15</w:t>
      </w:r>
      <w:r>
        <w:rPr>
          <w:color w:val="000000"/>
          <w:sz w:val="21"/>
        </w:rPr>
        <w:t>天以上的，</w:t>
      </w:r>
      <w:r>
        <w:rPr>
          <w:color w:val="000000"/>
          <w:sz w:val="21"/>
        </w:rPr>
        <w:t>甲方有权</w:t>
      </w:r>
      <w:r>
        <w:rPr>
          <w:color w:val="000000"/>
          <w:sz w:val="21"/>
        </w:rPr>
        <w:t>解除本合同并按照本合同总金额的</w:t>
      </w:r>
      <w:r>
        <w:rPr>
          <w:color w:val="000000"/>
          <w:sz w:val="21"/>
        </w:rPr>
        <w:t>30%</w:t>
      </w:r>
      <w:r>
        <w:rPr>
          <w:color w:val="000000"/>
          <w:sz w:val="21"/>
        </w:rPr>
        <w:t>收取违约金，造成甲方损失的，乙方负责足额赔偿。</w:t>
      </w:r>
    </w:p>
    <w:p>
      <w:pPr>
        <w:ind w:firstLine="420"/>
        <w:jc w:val="both"/>
      </w:pPr>
      <w:r>
        <w:rPr>
          <w:color w:val="000000"/>
          <w:sz w:val="21"/>
        </w:rPr>
        <w:t>6.6</w:t>
      </w:r>
      <w:r>
        <w:rPr>
          <w:color w:val="000000"/>
          <w:sz w:val="21"/>
        </w:rPr>
        <w:t>如</w:t>
      </w:r>
      <w:r>
        <w:rPr>
          <w:color w:val="000000"/>
          <w:sz w:val="21"/>
        </w:rPr>
        <w:t>乙方将本合同服务项目转包给第三方或与第三方合伙经营的</w:t>
      </w:r>
      <w:r>
        <w:rPr>
          <w:color w:val="000000"/>
          <w:sz w:val="21"/>
        </w:rPr>
        <w:t>，</w:t>
      </w:r>
      <w:r>
        <w:rPr>
          <w:color w:val="000000"/>
          <w:sz w:val="21"/>
        </w:rPr>
        <w:t>甲方有权解除本合同并按照本合同总金额的30%收取违约金，造成甲方损失的，乙方负责足额赔偿</w:t>
      </w:r>
      <w:r>
        <w:rPr>
          <w:color w:val="000000"/>
          <w:sz w:val="21"/>
        </w:rPr>
        <w:t>。</w:t>
      </w:r>
    </w:p>
    <w:p>
      <w:pPr>
        <w:ind w:firstLine="420"/>
        <w:jc w:val="both"/>
      </w:pPr>
      <w:r>
        <w:rPr>
          <w:color w:val="000000"/>
          <w:sz w:val="21"/>
        </w:rPr>
        <w:t>6.7</w:t>
      </w:r>
      <w:r>
        <w:rPr>
          <w:color w:val="000000"/>
          <w:sz w:val="21"/>
        </w:rPr>
        <w:t>如乙方存在</w:t>
      </w:r>
      <w:r>
        <w:rPr>
          <w:color w:val="000000"/>
          <w:sz w:val="21"/>
        </w:rPr>
        <w:t>捏造数据、弄虚作假、徇私舞弊或挤占、挪用、滥用该合同款项等违约、违规、违法行为并查证属实的</w:t>
      </w:r>
      <w:r>
        <w:rPr>
          <w:color w:val="000000"/>
          <w:sz w:val="21"/>
        </w:rPr>
        <w:t>或者</w:t>
      </w:r>
      <w:r>
        <w:rPr>
          <w:color w:val="000000"/>
          <w:sz w:val="21"/>
        </w:rPr>
        <w:t>有严重侵害评估对象合法权益行为的</w:t>
      </w:r>
      <w:r>
        <w:rPr>
          <w:color w:val="000000"/>
          <w:sz w:val="21"/>
        </w:rPr>
        <w:t>，由此产生的一切法律责任由乙方自行承担，且</w:t>
      </w:r>
      <w:r>
        <w:rPr>
          <w:color w:val="000000"/>
          <w:sz w:val="21"/>
        </w:rPr>
        <w:t>甲方有权解除本合同并按照本合同总金额的30%收取违约金，造成甲方损失的，乙方负责足额赔偿</w:t>
      </w:r>
      <w:r>
        <w:rPr>
          <w:color w:val="000000"/>
          <w:sz w:val="21"/>
        </w:rPr>
        <w:t>。</w:t>
      </w:r>
    </w:p>
    <w:p>
      <w:pPr>
        <w:ind w:firstLine="420"/>
        <w:jc w:val="both"/>
      </w:pPr>
      <w:r>
        <w:rPr>
          <w:color w:val="000000"/>
          <w:sz w:val="21"/>
        </w:rPr>
        <w:t>6.8</w:t>
      </w:r>
      <w:r>
        <w:rPr>
          <w:color w:val="000000"/>
          <w:sz w:val="21"/>
        </w:rPr>
        <w:t>如乙方提交的成果文件侵犯了第三方的合法权益（包括但不限于知识产权），由此产生的一切法律责任由乙方自行承担，且甲方有权解除本合同并按照本合同总金额的30%收取违约金，造成甲方损失的，乙方负责足额赔偿。</w:t>
      </w:r>
    </w:p>
    <w:p>
      <w:pPr>
        <w:ind w:firstLine="420"/>
        <w:jc w:val="both"/>
      </w:pPr>
      <w:r>
        <w:rPr>
          <w:color w:val="000000"/>
          <w:sz w:val="21"/>
        </w:rPr>
        <w:t>6</w:t>
      </w:r>
      <w:r>
        <w:rPr>
          <w:color w:val="000000"/>
          <w:sz w:val="21"/>
        </w:rPr>
        <w:t>.9</w:t>
      </w:r>
      <w:r>
        <w:rPr>
          <w:color w:val="000000"/>
          <w:sz w:val="21"/>
        </w:rPr>
        <w:t>如乙方未经甲方书面同意，将在本合同履行过程中获悉的材料文件、信息等泄露给第三方的，</w:t>
      </w:r>
      <w:r>
        <w:rPr>
          <w:color w:val="000000"/>
          <w:sz w:val="21"/>
        </w:rPr>
        <w:t>由此产生的一切法律责任由乙方自行承担，且甲方有权解除本合同并按照本合同总金额的30%收取违约金，造成甲方损失的，乙方负责足额赔偿。</w:t>
      </w:r>
    </w:p>
    <w:p>
      <w:pPr>
        <w:ind w:firstLine="420"/>
        <w:jc w:val="both"/>
      </w:pPr>
      <w:r>
        <w:rPr>
          <w:color w:val="000000"/>
          <w:sz w:val="21"/>
        </w:rPr>
        <w:t>6.10</w:t>
      </w:r>
      <w:r>
        <w:rPr>
          <w:color w:val="000000"/>
          <w:sz w:val="21"/>
        </w:rPr>
        <w:t>在本项目运营服务中，由于乙方的违法违规或不当行为及过失所造成的损失及法律责任，由乙方承担；乙方与其他第三方发生的一切纠纷及责任，由乙方自行承担，与甲方无关。</w:t>
      </w:r>
    </w:p>
    <w:p>
      <w:pPr>
        <w:ind w:firstLine="420"/>
        <w:jc w:val="both"/>
      </w:pPr>
    </w:p>
    <w:p>
      <w:pPr>
        <w:ind w:firstLine="422"/>
        <w:jc w:val="center"/>
      </w:pPr>
      <w:r>
        <w:rPr>
          <w:b/>
          <w:color w:val="000000"/>
          <w:sz w:val="21"/>
        </w:rPr>
        <w:t>七、当事人协商一致的其他内容</w:t>
      </w:r>
    </w:p>
    <w:p>
      <w:pPr>
        <w:ind w:firstLine="420"/>
        <w:jc w:val="both"/>
      </w:pPr>
      <w:r>
        <w:rPr>
          <w:color w:val="000000"/>
          <w:sz w:val="21"/>
        </w:rPr>
        <w:t>7.1</w:t>
      </w:r>
      <w:r>
        <w:rPr>
          <w:color w:val="000000"/>
          <w:sz w:val="21"/>
        </w:rPr>
        <w:t>本项目合同结束后，甲方在购买老年人照护需求综合评估服务项目的过渡期间，乙方需配合甲方完成较为紧急的评估任务，甲方按乙方实际的评估情况支付相应资</w:t>
      </w:r>
      <w:r>
        <w:rPr>
          <w:color w:val="000000"/>
          <w:sz w:val="21"/>
        </w:rPr>
        <w:t>金</w:t>
      </w:r>
      <w:r>
        <w:rPr>
          <w:color w:val="000000"/>
          <w:sz w:val="21"/>
        </w:rPr>
        <w:t>，</w:t>
      </w:r>
      <w:r>
        <w:rPr>
          <w:color w:val="000000"/>
          <w:sz w:val="21"/>
        </w:rPr>
        <w:t>具体事宜由甲、乙双方协商另行签订协议确定。</w:t>
      </w:r>
      <w:r>
        <w:rPr>
          <w:sz w:val="24"/>
        </w:rPr>
        <w:t xml:space="preserve"> </w:t>
      </w:r>
    </w:p>
    <w:p>
      <w:pPr>
        <w:ind w:firstLine="420"/>
        <w:jc w:val="both"/>
      </w:pPr>
      <w:r>
        <w:rPr>
          <w:sz w:val="24"/>
        </w:rPr>
        <w:t xml:space="preserve">                                                                                                                                                                                                                                                                                                                                                                                                                                                                                                                                                                                                                                                                                                       </w:t>
      </w:r>
    </w:p>
    <w:p>
      <w:pPr>
        <w:ind w:firstLine="422"/>
        <w:jc w:val="center"/>
      </w:pPr>
      <w:r>
        <w:rPr>
          <w:b/>
          <w:color w:val="000000"/>
          <w:sz w:val="21"/>
        </w:rPr>
        <w:t>八、合同生效及附件</w:t>
      </w:r>
    </w:p>
    <w:p>
      <w:pPr>
        <w:ind w:firstLine="420"/>
        <w:jc w:val="both"/>
      </w:pPr>
      <w:r>
        <w:rPr>
          <w:color w:val="000000"/>
          <w:sz w:val="21"/>
        </w:rPr>
        <w:t>8.1</w:t>
      </w:r>
      <w:r>
        <w:rPr>
          <w:color w:val="000000"/>
          <w:sz w:val="21"/>
        </w:rPr>
        <w:t>本合同壹式</w:t>
      </w:r>
      <w:r>
        <w:rPr>
          <w:color w:val="000000"/>
          <w:sz w:val="21"/>
          <w:u w:val="single"/>
        </w:rPr>
        <w:t>叁</w:t>
      </w:r>
      <w:r>
        <w:rPr>
          <w:color w:val="000000"/>
          <w:sz w:val="21"/>
        </w:rPr>
        <w:t>份，其中甲方执</w:t>
      </w:r>
      <w:r>
        <w:rPr>
          <w:color w:val="000000"/>
          <w:sz w:val="21"/>
          <w:u w:val="single"/>
        </w:rPr>
        <w:t>贰</w:t>
      </w:r>
      <w:r>
        <w:rPr>
          <w:color w:val="000000"/>
          <w:sz w:val="21"/>
        </w:rPr>
        <w:t>份，乙方执</w:t>
      </w:r>
      <w:r>
        <w:rPr>
          <w:color w:val="000000"/>
          <w:sz w:val="21"/>
          <w:u w:val="single"/>
        </w:rPr>
        <w:t>壹</w:t>
      </w:r>
      <w:r>
        <w:rPr>
          <w:color w:val="000000"/>
          <w:sz w:val="21"/>
        </w:rPr>
        <w:t>份,</w:t>
      </w:r>
      <w:r>
        <w:rPr>
          <w:color w:val="000000"/>
          <w:sz w:val="21"/>
        </w:rPr>
        <w:t>每份均具有同等法律效力</w:t>
      </w:r>
      <w:r>
        <w:rPr>
          <w:color w:val="000000"/>
          <w:sz w:val="21"/>
        </w:rPr>
        <w:t>。</w:t>
      </w:r>
    </w:p>
    <w:p>
      <w:pPr>
        <w:ind w:firstLine="420"/>
        <w:jc w:val="both"/>
      </w:pPr>
      <w:r>
        <w:rPr>
          <w:color w:val="000000"/>
          <w:sz w:val="21"/>
        </w:rPr>
        <w:t>8.2</w:t>
      </w:r>
      <w:r>
        <w:rPr>
          <w:color w:val="000000"/>
          <w:sz w:val="21"/>
        </w:rPr>
        <w:t>合同期限为12个月，自</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rPr>
        <w:t>日起至</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rPr>
        <w:t>日止。</w:t>
      </w:r>
    </w:p>
    <w:p>
      <w:pPr>
        <w:ind w:firstLine="420"/>
        <w:jc w:val="both"/>
      </w:pPr>
      <w:r>
        <w:rPr>
          <w:color w:val="000000"/>
          <w:sz w:val="21"/>
        </w:rPr>
        <w:t>8.3</w:t>
      </w:r>
      <w:r>
        <w:rPr>
          <w:color w:val="000000"/>
          <w:sz w:val="21"/>
        </w:rPr>
        <w:t>下列文件为合同附件，与合同具有同等法律效力：</w:t>
      </w:r>
    </w:p>
    <w:p>
      <w:pPr>
        <w:ind w:firstLine="420"/>
        <w:jc w:val="both"/>
      </w:pPr>
      <w:r>
        <w:rPr>
          <w:color w:val="000000"/>
          <w:sz w:val="21"/>
        </w:rPr>
        <w:t>（1）加盖乙方公章的乙方合法注册登记文件复印件;</w:t>
      </w:r>
    </w:p>
    <w:p>
      <w:pPr>
        <w:ind w:firstLine="420"/>
        <w:jc w:val="both"/>
      </w:pPr>
      <w:r>
        <w:rPr>
          <w:color w:val="000000"/>
          <w:sz w:val="21"/>
        </w:rPr>
        <w:t>（2）加盖甲方公章的项目成果验收指标。</w:t>
      </w:r>
    </w:p>
    <w:p>
      <w:pPr>
        <w:ind w:firstLine="420"/>
        <w:jc w:val="both"/>
      </w:pPr>
      <w:r>
        <w:rPr>
          <w:color w:val="000000"/>
          <w:sz w:val="21"/>
        </w:rPr>
        <w:t>8.4</w:t>
      </w:r>
      <w:r>
        <w:rPr>
          <w:color w:val="000000"/>
          <w:sz w:val="21"/>
        </w:rPr>
        <w:t>本合同</w:t>
      </w:r>
      <w:r>
        <w:rPr>
          <w:color w:val="000000"/>
          <w:sz w:val="21"/>
        </w:rPr>
        <w:t>自</w:t>
      </w:r>
      <w:r>
        <w:rPr>
          <w:color w:val="000000"/>
          <w:sz w:val="21"/>
        </w:rPr>
        <w:t>甲</w:t>
      </w:r>
      <w:r>
        <w:rPr>
          <w:color w:val="000000"/>
          <w:sz w:val="21"/>
        </w:rPr>
        <w:t>、</w:t>
      </w:r>
      <w:r>
        <w:rPr>
          <w:color w:val="000000"/>
          <w:sz w:val="21"/>
        </w:rPr>
        <w:t>乙双方</w:t>
      </w:r>
      <w:r>
        <w:rPr>
          <w:color w:val="000000"/>
          <w:sz w:val="21"/>
        </w:rPr>
        <w:t>签</w:t>
      </w:r>
      <w:r>
        <w:rPr>
          <w:color w:val="000000"/>
          <w:sz w:val="21"/>
        </w:rPr>
        <w:t>章之日起生效</w:t>
      </w:r>
      <w:r>
        <w:rPr>
          <w:color w:val="000000"/>
          <w:sz w:val="21"/>
        </w:rPr>
        <w:t>。</w:t>
      </w:r>
    </w:p>
    <w:p>
      <w:pPr>
        <w:ind w:firstLine="420"/>
        <w:jc w:val="both"/>
      </w:pPr>
      <w:r>
        <w:rPr>
          <w:color w:val="000000"/>
          <w:sz w:val="21"/>
        </w:rPr>
        <w:t>8</w:t>
      </w:r>
      <w:r>
        <w:rPr>
          <w:color w:val="000000"/>
          <w:sz w:val="21"/>
        </w:rPr>
        <w:t>.</w:t>
      </w:r>
      <w:r>
        <w:rPr>
          <w:color w:val="000000"/>
          <w:sz w:val="21"/>
        </w:rPr>
        <w:t>5</w:t>
      </w:r>
      <w:r>
        <w:rPr>
          <w:color w:val="000000"/>
          <w:sz w:val="21"/>
        </w:rPr>
        <w:t>本合同未尽事宜，</w:t>
      </w:r>
      <w:r>
        <w:rPr>
          <w:color w:val="000000"/>
          <w:sz w:val="21"/>
        </w:rPr>
        <w:t>经</w:t>
      </w:r>
      <w:r>
        <w:rPr>
          <w:color w:val="000000"/>
          <w:sz w:val="21"/>
        </w:rPr>
        <w:t>甲、乙</w:t>
      </w:r>
      <w:r>
        <w:rPr>
          <w:color w:val="000000"/>
          <w:sz w:val="21"/>
        </w:rPr>
        <w:t>双方</w:t>
      </w:r>
      <w:r>
        <w:rPr>
          <w:color w:val="000000"/>
          <w:sz w:val="21"/>
        </w:rPr>
        <w:t>协商可另行签订补充协议确认</w:t>
      </w:r>
      <w:r>
        <w:rPr>
          <w:color w:val="000000"/>
          <w:sz w:val="21"/>
        </w:rPr>
        <w:t>，</w:t>
      </w:r>
      <w:r>
        <w:rPr>
          <w:color w:val="000000"/>
          <w:sz w:val="21"/>
        </w:rPr>
        <w:t>补充协议</w:t>
      </w:r>
      <w:r>
        <w:rPr>
          <w:color w:val="000000"/>
          <w:sz w:val="21"/>
        </w:rPr>
        <w:t>作为本合同不可分割的一部分</w:t>
      </w:r>
      <w:r>
        <w:rPr>
          <w:color w:val="000000"/>
          <w:sz w:val="21"/>
        </w:rPr>
        <w:t>，与本合同具有同等法律效力</w:t>
      </w:r>
      <w:r>
        <w:rPr>
          <w:color w:val="000000"/>
          <w:sz w:val="21"/>
        </w:rPr>
        <w:t>。</w:t>
      </w:r>
    </w:p>
    <w:p>
      <w:pPr>
        <w:ind w:firstLine="420"/>
        <w:jc w:val="both"/>
      </w:pPr>
      <w:r>
        <w:rPr>
          <w:color w:val="000000"/>
          <w:sz w:val="21"/>
        </w:rPr>
        <w:t>8.6</w:t>
      </w:r>
      <w:r>
        <w:rPr>
          <w:color w:val="000000"/>
          <w:sz w:val="21"/>
        </w:rPr>
        <w:t>双方确认本合同约定的地址是有效送达地址，任何一方变更地址须书面通知对方，否则，一方按照约定地址向对方送达通知、函等文件的，视为有效送达。</w:t>
      </w:r>
    </w:p>
    <w:p>
      <w:pPr>
        <w:ind w:firstLine="420"/>
        <w:jc w:val="both"/>
      </w:pPr>
      <w:r>
        <w:rPr>
          <w:color w:val="000000"/>
          <w:sz w:val="21"/>
        </w:rPr>
        <w:t>（本文以下无正文）</w:t>
      </w:r>
    </w:p>
    <w:p>
      <w:pPr>
        <w:ind w:firstLine="420"/>
        <w:jc w:val="both"/>
      </w:pPr>
    </w:p>
    <w:p>
      <w:pPr>
        <w:ind w:firstLine="420"/>
        <w:jc w:val="both"/>
      </w:pPr>
      <w:r>
        <w:rPr>
          <w:color w:val="000000"/>
          <w:sz w:val="21"/>
        </w:rPr>
        <w:t>甲方（公章）：</w:t>
      </w:r>
    </w:p>
    <w:p>
      <w:pPr>
        <w:ind w:firstLine="420"/>
        <w:jc w:val="both"/>
      </w:pPr>
      <w:r>
        <w:rPr>
          <w:color w:val="000000"/>
          <w:sz w:val="21"/>
        </w:rPr>
        <w:t>法定代表人或授权代表（签字）：</w:t>
      </w:r>
    </w:p>
    <w:p>
      <w:pPr>
        <w:ind w:firstLine="420"/>
        <w:jc w:val="both"/>
      </w:pPr>
      <w:r>
        <w:rPr>
          <w:color w:val="000000"/>
          <w:sz w:val="21"/>
        </w:rPr>
        <w:t>日期：     年       月      日</w:t>
      </w:r>
    </w:p>
    <w:p>
      <w:pPr>
        <w:ind w:firstLine="420"/>
        <w:jc w:val="both"/>
      </w:pPr>
    </w:p>
    <w:p>
      <w:pPr>
        <w:ind w:firstLine="420"/>
        <w:jc w:val="both"/>
      </w:pPr>
      <w:r>
        <w:rPr>
          <w:color w:val="000000"/>
          <w:sz w:val="21"/>
        </w:rPr>
        <w:t>乙方（公章）：</w:t>
      </w:r>
    </w:p>
    <w:p>
      <w:pPr>
        <w:ind w:firstLine="420"/>
        <w:jc w:val="both"/>
      </w:pPr>
      <w:r>
        <w:rPr>
          <w:color w:val="000000"/>
          <w:sz w:val="21"/>
        </w:rPr>
        <w:t>法定代表人或授权代表（签字）：</w:t>
      </w:r>
    </w:p>
    <w:p>
      <w:pPr>
        <w:ind w:firstLine="420"/>
        <w:jc w:val="both"/>
      </w:pPr>
      <w:r>
        <w:rPr>
          <w:color w:val="000000"/>
          <w:sz w:val="21"/>
        </w:rPr>
        <w:t>日期：     年       月      日</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440114-2024-00136</w:t>
      </w:r>
    </w:p>
    <w:p>
      <w:pPr>
        <w:jc w:val="center"/>
      </w:pPr>
      <w:r>
        <w:rPr>
          <w:b/>
          <w:sz w:val="24"/>
        </w:rPr>
        <w:t>采购项目编号：</w:t>
      </w:r>
      <w:r>
        <w:rPr>
          <w:b/>
          <w:sz w:val="24"/>
        </w:rPr>
        <w:t>440114-2024-00136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广东志正招标有限公司</w:t>
      </w:r>
    </w:p>
    <w:p>
      <w:pPr>
        <w:ind w:firstLine="480"/>
      </w:pPr>
      <w:r>
        <w:rPr/>
        <w:t>你方组织的</w:t>
      </w:r>
      <w:r>
        <w:rPr>
          <w:u w:val="single"/>
        </w:rPr>
        <w:t>“</w:t>
      </w:r>
      <w:r>
        <w:rPr>
          <w:u w:val="single"/>
        </w:rPr>
        <w:t>2024-2026年度花都区老年人照护需求综合评估项目</w:t>
      </w:r>
      <w:r>
        <w:rPr>
          <w:u w:val="single"/>
        </w:rPr>
        <w:t>”</w:t>
      </w:r>
      <w:r>
        <w:rPr/>
        <w:t>项目的招标[采购项目编号为：</w:t>
      </w:r>
      <w:r>
        <w:rPr>
          <w:u w:val="single"/>
        </w:rPr>
        <w:t>440114-2024-00136</w:t>
      </w:r>
      <w:r>
        <w:rPr/>
        <w:t>]，我方愿参与投标。</w:t>
      </w:r>
    </w:p>
    <w:p>
      <w:pPr>
        <w:ind w:firstLine="480"/>
      </w:pPr>
      <w:r>
        <w:rPr/>
        <w:t>我方确认收到贵方提供的</w:t>
      </w:r>
      <w:r>
        <w:rPr>
          <w:u w:val="single"/>
        </w:rPr>
        <w:t>“</w:t>
      </w:r>
      <w:r>
        <w:rPr>
          <w:u w:val="single"/>
        </w:rPr>
        <w:t>2024-2026年度花都区老年人照护需求综合评估项目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广东志正招标有限公司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2024-2026年度花都区老年人照护需求综合评估项目</w:t>
      </w:r>
      <w:r>
        <w:rPr/>
        <w:t>”项目采购[采购项目编号为</w:t>
      </w:r>
      <w:r>
        <w:rPr/>
        <w:t>440114-2024-00136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广州市花都区民政局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广东志正招标有限公司</w:t>
      </w:r>
    </w:p>
    <w:p>
      <w:pPr>
        <w:ind w:firstLine="480"/>
      </w:pPr>
      <w:r>
        <w:rPr/>
        <w:t>如果我方在贵采购代理机构组织的</w:t>
      </w:r>
      <w:r>
        <w:rPr/>
        <w:t>2024-2026年度花都区老年人照护需求综合评估项目</w:t>
      </w:r>
      <w:r>
        <w:rPr/>
        <w:t>招标中获中标（采购项目编号：</w:t>
      </w:r>
      <w:r>
        <w:rPr/>
        <w:t>440114-2024-00136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