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440001-2023-31358</w:t>
      </w:r>
    </w:p>
    <w:p>
      <w:pPr>
        <w:jc w:val="center"/>
      </w:pPr>
      <w:r>
        <w:rPr>
          <w:b/>
          <w:sz w:val="24"/>
        </w:rPr>
        <w:t>采购项目编号：</w:t>
      </w:r>
      <w:r>
        <w:rPr>
          <w:b/>
          <w:sz w:val="24"/>
        </w:rPr>
        <w:t>440001-2023-31358</w:t>
      </w:r>
    </w:p>
    <w:p>
      <w:pPr>
        <w:jc w:val="center"/>
      </w:pPr>
      <w:r>
        <w:rPr>
          <w:b/>
          <w:sz w:val="24"/>
        </w:rPr>
        <w:t>项目名称：</w:t>
      </w:r>
      <w:r>
        <w:rPr>
          <w:b/>
          <w:sz w:val="24"/>
        </w:rPr>
        <w:t>广东金融学院2023-2025年交通车租车服务项目</w:t>
      </w:r>
    </w:p>
    <w:p>
      <w:pPr>
        <w:jc w:val="center"/>
      </w:pPr>
      <w:r>
        <w:rPr>
          <w:b/>
          <w:sz w:val="24"/>
        </w:rPr>
        <w:t>采购人：</w:t>
      </w:r>
      <w:r>
        <w:rPr>
          <w:b/>
          <w:sz w:val="24"/>
        </w:rPr>
        <w:t>广东金融学院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广东金融学院</w:t>
      </w:r>
      <w:r>
        <w:rPr/>
        <w:t>的委托，采用</w:t>
      </w:r>
      <w:r>
        <w:rPr/>
        <w:t>公开招标</w:t>
      </w:r>
      <w:r>
        <w:rPr/>
        <w:t>方式组织采购</w:t>
      </w:r>
      <w:r>
        <w:rPr/>
        <w:t>广东金融学院2023-2025年交通车租车服务项目</w:t>
      </w:r>
      <w:r>
        <w:rPr/>
        <w:t>。欢迎符合资格条件的国内供应商参加投标。</w:t>
      </w:r>
    </w:p>
    <w:p>
      <w:r>
        <w:rPr>
          <w:b/>
          <w:sz w:val="28"/>
        </w:rPr>
        <w:t>一.项目概述</w:t>
      </w:r>
    </w:p>
    <w:p>
      <w:r>
        <w:rPr>
          <w:b/>
          <w:sz w:val="24"/>
        </w:rPr>
        <w:t>1.名称与编号</w:t>
      </w:r>
    </w:p>
    <w:p>
      <w:pPr>
        <w:ind w:firstLine="480"/>
      </w:pPr>
      <w:r>
        <w:rPr/>
        <w:t>项目名称：</w:t>
      </w:r>
      <w:r>
        <w:rPr/>
        <w:t>广东金融学院2023-2025年交通车租车服务项目</w:t>
      </w:r>
    </w:p>
    <w:p>
      <w:pPr>
        <w:ind w:firstLine="480"/>
      </w:pPr>
      <w:r>
        <w:rPr/>
        <w:t>采购计划编号：</w:t>
      </w:r>
      <w:r>
        <w:rPr/>
        <w:t>440001-2023-31358</w:t>
      </w:r>
    </w:p>
    <w:p>
      <w:pPr>
        <w:ind w:firstLine="480"/>
      </w:pPr>
      <w:r>
        <w:rPr/>
        <w:t>采购项目编号：</w:t>
      </w:r>
      <w:r>
        <w:rPr/>
        <w:t>440001-2023-31358</w:t>
      </w:r>
    </w:p>
    <w:p>
      <w:pPr>
        <w:ind w:firstLine="480"/>
      </w:pPr>
      <w:r>
        <w:rPr/>
        <w:t>采购方式：</w:t>
      </w:r>
      <w:r>
        <w:rPr/>
        <w:t>公开招标</w:t>
      </w:r>
    </w:p>
    <w:p>
      <w:pPr>
        <w:ind w:firstLine="480"/>
      </w:pPr>
      <w:r>
        <w:rPr/>
        <w:t>预算金额：</w:t>
      </w:r>
      <w:r>
        <w:rPr/>
        <w:t>4,500,000.00</w:t>
      </w:r>
      <w:r>
        <w:rPr/>
        <w:t>元</w:t>
      </w:r>
    </w:p>
    <w:p>
      <w:r>
        <w:rPr>
          <w:b/>
          <w:sz w:val="24"/>
        </w:rPr>
        <w:t>2.项目内容及需求情况（采购项目技术规格、参数及要求）</w:t>
      </w:r>
    </w:p>
    <w:p>
      <w:pPr>
        <w:ind w:firstLine="480"/>
      </w:pPr>
    </w:p>
    <w:p/>
    <w:p>
      <w:r>
        <w:rPr/>
        <w:t>采购包1(广东金融学院2023-2025年交通车租车服务项目):</w:t>
      </w:r>
    </w:p>
    <w:p>
      <w:r>
        <w:rPr/>
        <w:t>采购包预算金额：4,500,000.00元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广东金融学院2023-2025年交通车租车服务项目</w:t>
            </w:r>
          </w:p>
        </w:tc>
        <w:tc>
          <w:tcPr>
            <w:tcW w:type="dxa" w:w="977"/>
          </w:tcPr>
          <w:p>
            <w:r>
              <w:rPr/>
              <w:t>1.00(项)</w:t>
            </w:r>
          </w:p>
        </w:tc>
        <w:tc>
          <w:tcPr>
            <w:tcW w:type="dxa" w:w="977"/>
          </w:tcPr>
          <w:p>
            <w:r>
              <w:rPr/>
              <w:t>详见第二章</w:t>
            </w:r>
          </w:p>
        </w:tc>
        <w:tc>
          <w:tcPr>
            <w:tcW w:type="dxa" w:w="977"/>
          </w:tcPr>
          <w:p>
            <w:r>
              <w:rPr/>
              <w:t>4,500,000.00</w:t>
            </w:r>
          </w:p>
        </w:tc>
        <w:tc>
          <w:tcPr>
            <w:tcW w:type="dxa" w:w="977"/>
          </w:tcPr>
          <w:p>
            <w:r>
              <w:rPr/>
              <w:t>否</w:t>
            </w:r>
          </w:p>
        </w:tc>
      </w:tr>
    </w:tbl>
    <w:p/>
    <w:p>
      <w:r>
        <w:rPr/>
        <w:t>本采购包不接受联合体投标</w:t>
      </w:r>
    </w:p>
    <w:p/>
    <w:p>
      <w:r>
        <w:rPr/>
        <w:t>合同履行期限：2年，具体以合同签订为准。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采购包1（广东金融学院2023-2025年交通车租车服务项目）：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3)投标人具有交通运输主管部门核发的相关有效的道路运输经营许可证。</w:t>
      </w:r>
    </w:p>
    <w:p/>
    <w:p>
      <w:r>
        <w:rPr/>
        <w:t>4)本采购包不接受联合体投标。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广东金融学院</w:t>
      </w:r>
    </w:p>
    <w:p>
      <w:pPr>
        <w:ind w:firstLine="480"/>
      </w:pPr>
      <w:r>
        <w:rPr/>
        <w:t>地址：</w:t>
      </w:r>
      <w:r>
        <w:rPr/>
        <w:t>广州市天河区沙河龙洞广东金融学院</w:t>
      </w:r>
    </w:p>
    <w:p>
      <w:pPr>
        <w:ind w:firstLine="480"/>
      </w:pPr>
      <w:r>
        <w:rPr/>
        <w:t>联系方式：</w:t>
      </w:r>
      <w:r>
        <w:rPr/>
        <w:t>王老师/020-87053916</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梁小姐、潘先生</w:t>
      </w:r>
    </w:p>
    <w:p>
      <w:pPr>
        <w:ind w:firstLine="480"/>
      </w:pPr>
      <w:r>
        <w:rPr/>
        <w:t>电话：</w:t>
      </w:r>
      <w:r>
        <w:rPr/>
        <w:t>020-87554238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b/>
          <w:color w:val="000000"/>
          <w:sz w:val="21"/>
        </w:rPr>
        <w:t>说明：</w:t>
      </w:r>
      <w:r>
        <w:br/>
      </w:r>
      <w:r>
        <w:rPr>
          <w:color w:val="000000"/>
          <w:sz w:val="21"/>
        </w:rPr>
        <w:t>1.</w:t>
      </w:r>
      <w:r>
        <w:rPr>
          <w:color w:val="000000"/>
          <w:sz w:val="21"/>
        </w:rPr>
        <w:t>投标人须对本项目为单位（有划分包组的，则以包组为单位）的所有标的物进行整体投标，任何只对其中一部分内容进行的投标都被视为无效投标。</w:t>
      </w:r>
      <w:r>
        <w:br/>
      </w:r>
      <w:r>
        <w:rPr>
          <w:color w:val="000000"/>
          <w:sz w:val="21"/>
        </w:rPr>
        <w:t>2.本招标文件中，凡标有“★”的地方，投标人要特别加以注意，必须对此作出一一响应。若有一项带“★”的指标未响应或不满足，将导致其废标或投标无效。</w:t>
      </w:r>
      <w:r>
        <w:br/>
      </w:r>
      <w:r>
        <w:rPr>
          <w:color w:val="000000"/>
          <w:sz w:val="21"/>
        </w:rPr>
        <w:t>3.中小企业声明函中，本项目对应的中小企业划分标准所属行业为：</w:t>
      </w:r>
      <w:r>
        <w:rPr>
          <w:b/>
          <w:color w:val="000000"/>
          <w:sz w:val="21"/>
          <w:u w:val="single"/>
        </w:rPr>
        <w:t>交通运输业</w:t>
      </w:r>
      <w:r>
        <w:rPr>
          <w:color w:val="000000"/>
          <w:sz w:val="21"/>
        </w:rPr>
        <w:t>；</w:t>
      </w:r>
    </w:p>
    <w:p>
      <w:pPr>
        <w:ind w:firstLine="480"/>
        <w:jc w:val="both"/>
      </w:pPr>
    </w:p>
    <w:p>
      <w:pPr>
        <w:jc w:val="both"/>
      </w:pPr>
      <w:r>
        <w:rPr>
          <w:b/>
          <w:color w:val="000000"/>
          <w:sz w:val="21"/>
        </w:rPr>
        <w:t>一、项目概况</w:t>
      </w:r>
    </w:p>
    <w:p>
      <w:pPr>
        <w:ind w:firstLine="420"/>
        <w:jc w:val="both"/>
      </w:pPr>
      <w:r>
        <w:rPr>
          <w:color w:val="000000"/>
          <w:sz w:val="21"/>
        </w:rPr>
        <w:t>为满足学校教学和行政的需要，解决校本部、肇庆校区和清远校区之间的通勤，以及清远校区应急医疗用车的需求。每天租赁大客车用于一校三地的通勤，另租赁一部7座商务车全天候放在清远校区作应急医疗等情况使用，合同履行期限2年，具体以合同签订为准（寒暑假假期除外），租车服务费用按月结算，以实际使用的天数（清远线按趟数）结算，其中往返一次为一趟。</w:t>
      </w:r>
    </w:p>
    <w:p>
      <w:pPr>
        <w:jc w:val="both"/>
      </w:pPr>
      <w:r>
        <w:rPr>
          <w:b/>
          <w:color w:val="000000"/>
          <w:sz w:val="21"/>
        </w:rPr>
        <w:t>二、项目服务内容</w:t>
      </w:r>
    </w:p>
    <w:p>
      <w:pPr>
        <w:ind w:firstLine="422"/>
        <w:jc w:val="both"/>
      </w:pPr>
      <w:r>
        <w:rPr>
          <w:b/>
          <w:color w:val="000000"/>
          <w:sz w:val="21"/>
        </w:rPr>
        <w:t>（1）服务内容</w:t>
      </w:r>
    </w:p>
    <w:p>
      <w:pPr>
        <w:jc w:val="both"/>
      </w:pPr>
      <w:r>
        <w:rPr>
          <w:color w:val="000000"/>
          <w:sz w:val="21"/>
        </w:rPr>
        <w:t>1</w:t>
      </w:r>
      <w:r>
        <w:rPr>
          <w:color w:val="000000"/>
          <w:sz w:val="21"/>
        </w:rPr>
        <w:t>、广东金融学院广州市辖区上下班交通车。大致行程：广州市内往返40公里内；</w:t>
      </w:r>
    </w:p>
    <w:p>
      <w:pPr>
        <w:jc w:val="both"/>
      </w:pPr>
      <w:r>
        <w:rPr>
          <w:color w:val="000000"/>
          <w:sz w:val="21"/>
        </w:rPr>
        <w:t>2</w:t>
      </w:r>
      <w:r>
        <w:rPr>
          <w:color w:val="000000"/>
          <w:sz w:val="21"/>
        </w:rPr>
        <w:t>、广东金融学院广州校本部和肇庆校区交通车1辆，肇庆校区往返240公里内。</w:t>
      </w:r>
    </w:p>
    <w:p>
      <w:pPr>
        <w:jc w:val="both"/>
      </w:pPr>
      <w:r>
        <w:rPr>
          <w:color w:val="000000"/>
          <w:sz w:val="21"/>
        </w:rPr>
        <w:t>3</w:t>
      </w:r>
      <w:r>
        <w:rPr>
          <w:color w:val="000000"/>
          <w:sz w:val="21"/>
        </w:rPr>
        <w:t>、广东金融学院广州校本部和清远校区交通车2辆或3辆，清远校区往返200公里内。</w:t>
      </w:r>
    </w:p>
    <w:p>
      <w:pPr>
        <w:jc w:val="both"/>
      </w:pPr>
      <w:r>
        <w:rPr>
          <w:color w:val="000000"/>
          <w:sz w:val="21"/>
        </w:rPr>
        <w:t>4</w:t>
      </w:r>
      <w:r>
        <w:rPr>
          <w:color w:val="000000"/>
          <w:sz w:val="21"/>
        </w:rPr>
        <w:t>、广东金融学院清远校区值班车1辆，大致行程：清远市内单次往返50公里内，每天不限次数。</w:t>
      </w:r>
    </w:p>
    <w:p>
      <w:pPr>
        <w:jc w:val="both"/>
      </w:pPr>
      <w:r>
        <w:rPr>
          <w:color w:val="000000"/>
          <w:sz w:val="21"/>
        </w:rPr>
        <w:t>5</w:t>
      </w:r>
      <w:r>
        <w:rPr>
          <w:color w:val="000000"/>
          <w:sz w:val="21"/>
        </w:rPr>
        <w:t>、按照采购人指定的路线、停靠站、时间接送教职工上下班以及清远校区24小时值班等。（具体内容详见附件1）</w:t>
      </w:r>
    </w:p>
    <w:p/>
    <w:p/>
    <w:p>
      <w:pPr>
        <w:jc w:val="left"/>
      </w:pPr>
    </w:p>
    <w:p>
      <w:pPr>
        <w:ind w:firstLine="422"/>
        <w:jc w:val="both"/>
      </w:pPr>
      <w:r>
        <w:rPr>
          <w:b/>
          <w:color w:val="000000"/>
          <w:sz w:val="21"/>
        </w:rPr>
        <w:t>附件1：</w:t>
      </w:r>
    </w:p>
    <w:tbl>
      <w:tblPr>
        <w:tblW w:w="0" w:type="auto"/>
        <w:tblBorders>
          <w:top w:val="none" w:color="000000" w:sz="4"/>
          <w:left w:val="none" w:color="000000" w:sz="4"/>
          <w:bottom w:val="none" w:color="000000" w:sz="4"/>
          <w:right w:val="none" w:color="000000" w:sz="4"/>
          <w:insideH w:val="none"/>
          <w:insideV w:val="none"/>
        </w:tblBorders>
      </w:tblPr>
      <w:tblGrid>
        <w:gridCol w:w="903"/>
        <w:gridCol w:w="0"/>
        <w:gridCol w:w="316"/>
        <w:gridCol w:w="316"/>
        <w:gridCol w:w="316"/>
        <w:gridCol w:w="316"/>
        <w:gridCol w:w="632"/>
        <w:gridCol w:w="632"/>
        <w:gridCol w:w="316"/>
        <w:gridCol w:w="316"/>
        <w:gridCol w:w="0"/>
        <w:gridCol w:w="632"/>
        <w:gridCol w:w="632"/>
        <w:gridCol w:w="0"/>
        <w:gridCol w:w="316"/>
        <w:gridCol w:w="316"/>
        <w:gridCol w:w="632"/>
        <w:gridCol w:w="813"/>
        <w:gridCol w:w="451"/>
        <w:gridCol w:w="451"/>
        <w:gridCol w:w="0"/>
      </w:tblGrid>
      <w:tr>
        <w:tc>
          <w:tcPr>
            <w:tcW w:type="dxa" w:w="903"/>
            <w:gridSpan w:val="2"/>
            <w:tcBorders>
              <w:top w:val="single" w:color="000000" w:sz="4"/>
              <w:left w:val="single" w:color="000000" w:sz="4"/>
              <w:bottom w:val="single" w:color="000000" w:sz="4"/>
              <w:right w:val="single" w:color="000000" w:sz="4"/>
            </w:tcBorders>
          </w:tcPr>
          <w:p>
            <w:pPr>
              <w:jc w:val="center"/>
            </w:pPr>
            <w:r>
              <w:rPr>
                <w:b/>
                <w:sz w:val="21"/>
              </w:rPr>
              <w:t xml:space="preserve"> </w:t>
            </w:r>
            <w:r>
              <w:rPr>
                <w:b/>
                <w:color w:val="000000"/>
                <w:sz w:val="21"/>
              </w:rPr>
              <w:t>项目</w:t>
            </w:r>
          </w:p>
          <w:p>
            <w:pPr>
              <w:jc w:val="both"/>
            </w:pPr>
            <w:r>
              <w:rPr>
                <w:b/>
                <w:color w:val="000000"/>
                <w:sz w:val="21"/>
              </w:rPr>
              <w:t>线路</w:t>
            </w:r>
          </w:p>
        </w:tc>
        <w:tc>
          <w:tcPr>
            <w:tcW w:type="dxa" w:w="632"/>
            <w:gridSpan w:val="2"/>
            <w:tcBorders>
              <w:top w:val="single" w:color="000000" w:sz="4"/>
              <w:left w:val="none" w:color="000000" w:sz="4"/>
              <w:bottom w:val="single" w:color="000000" w:sz="4"/>
              <w:right w:val="single" w:color="000000" w:sz="4"/>
            </w:tcBorders>
          </w:tcPr>
          <w:p>
            <w:pPr>
              <w:jc w:val="center"/>
            </w:pPr>
            <w:r>
              <w:rPr>
                <w:b/>
                <w:color w:val="000000"/>
                <w:sz w:val="21"/>
              </w:rPr>
              <w:t>荔湾线</w:t>
            </w:r>
          </w:p>
        </w:tc>
        <w:tc>
          <w:tcPr>
            <w:tcW w:type="dxa" w:w="632"/>
            <w:gridSpan w:val="2"/>
            <w:tcBorders>
              <w:top w:val="single" w:color="000000" w:sz="4"/>
              <w:left w:val="none" w:color="000000" w:sz="4"/>
              <w:bottom w:val="single" w:color="000000" w:sz="4"/>
              <w:right w:val="single" w:color="000000" w:sz="4"/>
            </w:tcBorders>
          </w:tcPr>
          <w:p>
            <w:pPr>
              <w:jc w:val="center"/>
            </w:pPr>
            <w:r>
              <w:rPr>
                <w:b/>
                <w:color w:val="000000"/>
                <w:sz w:val="21"/>
              </w:rPr>
              <w:t>海珠线</w:t>
            </w:r>
          </w:p>
        </w:tc>
        <w:tc>
          <w:tcPr>
            <w:tcW w:type="dxa" w:w="632"/>
            <w:tcBorders>
              <w:top w:val="single" w:color="000000" w:sz="4"/>
              <w:left w:val="none" w:color="000000" w:sz="4"/>
              <w:bottom w:val="single" w:color="000000" w:sz="4"/>
              <w:right w:val="single" w:color="000000" w:sz="4"/>
            </w:tcBorders>
          </w:tcPr>
          <w:p>
            <w:pPr>
              <w:jc w:val="center"/>
            </w:pPr>
            <w:r>
              <w:rPr>
                <w:b/>
                <w:color w:val="000000"/>
                <w:sz w:val="21"/>
              </w:rPr>
              <w:t>骏景线</w:t>
            </w:r>
          </w:p>
        </w:tc>
        <w:tc>
          <w:tcPr>
            <w:tcW w:type="dxa" w:w="632"/>
            <w:tcBorders>
              <w:top w:val="single" w:color="000000" w:sz="4"/>
              <w:left w:val="none" w:color="000000" w:sz="4"/>
              <w:bottom w:val="single" w:color="000000" w:sz="4"/>
              <w:right w:val="single" w:color="000000" w:sz="4"/>
            </w:tcBorders>
          </w:tcPr>
          <w:p>
            <w:pPr>
              <w:jc w:val="center"/>
            </w:pPr>
            <w:r>
              <w:rPr>
                <w:b/>
                <w:color w:val="000000"/>
                <w:sz w:val="21"/>
              </w:rPr>
              <w:t>金碧华府</w:t>
            </w:r>
          </w:p>
        </w:tc>
        <w:tc>
          <w:tcPr>
            <w:tcW w:type="dxa" w:w="632"/>
            <w:gridSpan w:val="2"/>
            <w:tcBorders>
              <w:top w:val="single" w:color="000000" w:sz="4"/>
              <w:left w:val="none" w:color="000000" w:sz="4"/>
              <w:bottom w:val="single" w:color="000000" w:sz="4"/>
              <w:right w:val="single" w:color="000000" w:sz="4"/>
            </w:tcBorders>
          </w:tcPr>
          <w:p>
            <w:pPr>
              <w:jc w:val="center"/>
            </w:pPr>
            <w:r>
              <w:rPr>
                <w:b/>
                <w:color w:val="000000"/>
                <w:sz w:val="21"/>
              </w:rPr>
              <w:t>龙口西</w:t>
            </w:r>
          </w:p>
        </w:tc>
        <w:tc>
          <w:tcPr>
            <w:tcW w:type="dxa" w:w="632"/>
            <w:gridSpan w:val="2"/>
            <w:tcBorders>
              <w:top w:val="single" w:color="000000" w:sz="4"/>
              <w:left w:val="none" w:color="000000" w:sz="4"/>
              <w:bottom w:val="single" w:color="000000" w:sz="4"/>
              <w:right w:val="single" w:color="000000" w:sz="4"/>
            </w:tcBorders>
          </w:tcPr>
          <w:p>
            <w:pPr>
              <w:jc w:val="center"/>
            </w:pPr>
            <w:r>
              <w:rPr>
                <w:b/>
                <w:color w:val="000000"/>
                <w:sz w:val="21"/>
              </w:rPr>
              <w:t>省行线</w:t>
            </w:r>
          </w:p>
        </w:tc>
        <w:tc>
          <w:tcPr>
            <w:tcW w:type="dxa" w:w="632"/>
            <w:gridSpan w:val="2"/>
            <w:tcBorders>
              <w:top w:val="single" w:color="000000" w:sz="4"/>
              <w:left w:val="none" w:color="000000" w:sz="4"/>
              <w:bottom w:val="single" w:color="000000" w:sz="4"/>
              <w:right w:val="single" w:color="000000" w:sz="4"/>
            </w:tcBorders>
          </w:tcPr>
          <w:p>
            <w:pPr>
              <w:jc w:val="center"/>
            </w:pPr>
            <w:r>
              <w:rPr>
                <w:b/>
                <w:color w:val="000000"/>
                <w:sz w:val="21"/>
              </w:rPr>
              <w:t>开创线</w:t>
            </w:r>
          </w:p>
        </w:tc>
        <w:tc>
          <w:tcPr>
            <w:tcW w:type="dxa" w:w="632"/>
            <w:gridSpan w:val="2"/>
            <w:tcBorders>
              <w:top w:val="single" w:color="000000" w:sz="4"/>
              <w:left w:val="none" w:color="000000" w:sz="4"/>
              <w:bottom w:val="single" w:color="000000" w:sz="4"/>
              <w:right w:val="single" w:color="000000" w:sz="4"/>
            </w:tcBorders>
          </w:tcPr>
          <w:p>
            <w:pPr>
              <w:jc w:val="center"/>
            </w:pPr>
            <w:r>
              <w:rPr>
                <w:b/>
                <w:color w:val="000000"/>
                <w:sz w:val="21"/>
              </w:rPr>
              <w:t>肇庆线</w:t>
            </w:r>
          </w:p>
        </w:tc>
        <w:tc>
          <w:tcPr>
            <w:tcW w:type="dxa" w:w="632"/>
            <w:tcBorders>
              <w:top w:val="single" w:color="000000" w:sz="4"/>
              <w:left w:val="none" w:color="000000" w:sz="4"/>
              <w:bottom w:val="single" w:color="000000" w:sz="4"/>
              <w:right w:val="single" w:color="000000" w:sz="4"/>
            </w:tcBorders>
          </w:tcPr>
          <w:p>
            <w:pPr>
              <w:jc w:val="center"/>
            </w:pPr>
            <w:r>
              <w:rPr>
                <w:b/>
                <w:color w:val="000000"/>
                <w:sz w:val="21"/>
              </w:rPr>
              <w:t>清远线</w:t>
            </w:r>
          </w:p>
        </w:tc>
        <w:tc>
          <w:tcPr>
            <w:tcW w:type="dxa" w:w="813"/>
            <w:tcBorders>
              <w:top w:val="single" w:color="000000" w:sz="4"/>
              <w:left w:val="none" w:color="000000" w:sz="4"/>
              <w:bottom w:val="single" w:color="000000" w:sz="4"/>
              <w:right w:val="single" w:color="000000" w:sz="4"/>
            </w:tcBorders>
          </w:tcPr>
          <w:p>
            <w:pPr>
              <w:jc w:val="center"/>
            </w:pPr>
            <w:r>
              <w:rPr>
                <w:b/>
                <w:color w:val="000000"/>
                <w:sz w:val="21"/>
              </w:rPr>
              <w:t>清远线</w:t>
            </w:r>
          </w:p>
        </w:tc>
        <w:tc>
          <w:tcPr>
            <w:tcW w:type="dxa" w:w="902"/>
            <w:gridSpan w:val="2"/>
            <w:tcBorders>
              <w:top w:val="single" w:color="000000" w:sz="4"/>
              <w:left w:val="none" w:color="000000" w:sz="4"/>
              <w:bottom w:val="single" w:color="000000" w:sz="4"/>
              <w:right w:val="single" w:color="000000" w:sz="4"/>
            </w:tcBorders>
          </w:tcPr>
          <w:p>
            <w:pPr>
              <w:jc w:val="center"/>
            </w:pPr>
            <w:r>
              <w:rPr>
                <w:b/>
                <w:color w:val="000000"/>
                <w:sz w:val="21"/>
              </w:rPr>
              <w:t>清远值班</w:t>
            </w:r>
          </w:p>
        </w:tc>
        <w:tc>
          <w:tcPr>
            <w:tcW w:type="dxa" w:w="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903"/>
            <w:gridSpan w:val="2"/>
            <w:tcBorders>
              <w:top w:val="none" w:color="000000" w:sz="4"/>
              <w:left w:val="single" w:color="000000" w:sz="4"/>
              <w:bottom w:val="single" w:color="000000" w:sz="4"/>
              <w:right w:val="single" w:color="000000" w:sz="4"/>
            </w:tcBorders>
          </w:tcPr>
          <w:p>
            <w:pPr>
              <w:jc w:val="center"/>
            </w:pPr>
            <w:r>
              <w:rPr>
                <w:b/>
                <w:color w:val="000000"/>
                <w:sz w:val="21"/>
              </w:rPr>
              <w:t>车型</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中巴</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大客</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大客</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大客</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中巴</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中巴</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大客</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大客</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中巴</w:t>
            </w:r>
          </w:p>
        </w:tc>
        <w:tc>
          <w:tcPr>
            <w:tcW w:type="dxa" w:w="813"/>
            <w:tcBorders>
              <w:top w:val="none" w:color="000000" w:sz="4"/>
              <w:left w:val="none" w:color="000000" w:sz="4"/>
              <w:bottom w:val="single" w:color="000000" w:sz="4"/>
              <w:right w:val="single" w:color="000000" w:sz="4"/>
            </w:tcBorders>
          </w:tcPr>
          <w:p>
            <w:pPr>
              <w:jc w:val="center"/>
            </w:pPr>
            <w:r>
              <w:rPr>
                <w:color w:val="000000"/>
                <w:sz w:val="21"/>
              </w:rPr>
              <w:t>大客</w:t>
            </w:r>
          </w:p>
        </w:tc>
        <w:tc>
          <w:tcPr>
            <w:tcW w:type="dxa" w:w="902"/>
            <w:gridSpan w:val="2"/>
            <w:tcBorders>
              <w:top w:val="none" w:color="000000" w:sz="4"/>
              <w:left w:val="none" w:color="000000" w:sz="4"/>
              <w:bottom w:val="single" w:color="000000" w:sz="4"/>
              <w:right w:val="single" w:color="000000" w:sz="4"/>
            </w:tcBorders>
          </w:tcPr>
          <w:p>
            <w:pPr>
              <w:jc w:val="center"/>
            </w:pPr>
            <w:r>
              <w:rPr>
                <w:color w:val="000000"/>
                <w:sz w:val="21"/>
              </w:rPr>
              <w:t>商务</w:t>
            </w:r>
          </w:p>
        </w:tc>
        <w:tc>
          <w:tcPr>
            <w:tcW w:type="dxa" w:w="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903"/>
            <w:gridSpan w:val="2"/>
            <w:tcBorders>
              <w:top w:val="none" w:color="000000" w:sz="4"/>
              <w:left w:val="single" w:color="000000" w:sz="4"/>
              <w:bottom w:val="single" w:color="000000" w:sz="4"/>
              <w:right w:val="single" w:color="000000" w:sz="4"/>
            </w:tcBorders>
          </w:tcPr>
          <w:p>
            <w:pPr>
              <w:jc w:val="center"/>
            </w:pPr>
            <w:r>
              <w:rPr>
                <w:b/>
                <w:color w:val="000000"/>
                <w:sz w:val="21"/>
              </w:rPr>
              <w:t>座位数</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23</w:t>
            </w:r>
            <w:r>
              <w:rPr>
                <w:color w:val="000000"/>
                <w:sz w:val="21"/>
              </w:rPr>
              <w:t>座</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45</w:t>
            </w:r>
            <w:r>
              <w:rPr>
                <w:color w:val="000000"/>
                <w:sz w:val="21"/>
              </w:rPr>
              <w:t>座</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45</w:t>
            </w:r>
            <w:r>
              <w:rPr>
                <w:color w:val="000000"/>
                <w:sz w:val="21"/>
              </w:rPr>
              <w:t>座</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33</w:t>
            </w:r>
            <w:r>
              <w:rPr>
                <w:color w:val="000000"/>
                <w:sz w:val="21"/>
              </w:rPr>
              <w:t>座</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23</w:t>
            </w:r>
            <w:r>
              <w:rPr>
                <w:color w:val="000000"/>
                <w:sz w:val="21"/>
              </w:rPr>
              <w:t>座</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23</w:t>
            </w:r>
            <w:r>
              <w:rPr>
                <w:color w:val="000000"/>
                <w:sz w:val="21"/>
              </w:rPr>
              <w:t>座</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45</w:t>
            </w:r>
            <w:r>
              <w:rPr>
                <w:color w:val="000000"/>
                <w:sz w:val="21"/>
              </w:rPr>
              <w:t>座</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33</w:t>
            </w:r>
            <w:r>
              <w:rPr>
                <w:color w:val="000000"/>
                <w:sz w:val="21"/>
              </w:rPr>
              <w:t>座</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23</w:t>
            </w:r>
            <w:r>
              <w:rPr>
                <w:color w:val="000000"/>
                <w:sz w:val="21"/>
              </w:rPr>
              <w:t>座</w:t>
            </w:r>
          </w:p>
        </w:tc>
        <w:tc>
          <w:tcPr>
            <w:tcW w:type="dxa" w:w="813"/>
            <w:tcBorders>
              <w:top w:val="none" w:color="000000" w:sz="4"/>
              <w:left w:val="none" w:color="000000" w:sz="4"/>
              <w:bottom w:val="single" w:color="000000" w:sz="4"/>
              <w:right w:val="single" w:color="000000" w:sz="4"/>
            </w:tcBorders>
          </w:tcPr>
          <w:p>
            <w:pPr>
              <w:jc w:val="center"/>
            </w:pPr>
            <w:r>
              <w:rPr>
                <w:color w:val="000000"/>
                <w:sz w:val="21"/>
              </w:rPr>
              <w:t>50</w:t>
            </w:r>
            <w:r>
              <w:rPr>
                <w:color w:val="000000"/>
                <w:sz w:val="21"/>
              </w:rPr>
              <w:t>座</w:t>
            </w:r>
          </w:p>
        </w:tc>
        <w:tc>
          <w:tcPr>
            <w:tcW w:type="dxa" w:w="902"/>
            <w:gridSpan w:val="2"/>
            <w:tcBorders>
              <w:top w:val="none" w:color="000000" w:sz="4"/>
              <w:left w:val="none" w:color="000000" w:sz="4"/>
              <w:bottom w:val="single" w:color="000000" w:sz="4"/>
              <w:right w:val="single" w:color="000000" w:sz="4"/>
            </w:tcBorders>
          </w:tcPr>
          <w:p>
            <w:pPr>
              <w:jc w:val="center"/>
            </w:pPr>
            <w:r>
              <w:rPr>
                <w:color w:val="000000"/>
                <w:sz w:val="21"/>
              </w:rPr>
              <w:t>7</w:t>
            </w:r>
            <w:r>
              <w:rPr>
                <w:color w:val="000000"/>
                <w:sz w:val="21"/>
              </w:rPr>
              <w:t>座</w:t>
            </w:r>
          </w:p>
        </w:tc>
        <w:tc>
          <w:tcPr>
            <w:tcW w:type="dxa" w:w="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903"/>
            <w:gridSpan w:val="2"/>
            <w:tcBorders>
              <w:top w:val="none" w:color="000000" w:sz="4"/>
              <w:left w:val="single" w:color="000000" w:sz="4"/>
              <w:bottom w:val="single" w:color="000000" w:sz="4"/>
              <w:right w:val="single" w:color="000000" w:sz="4"/>
            </w:tcBorders>
          </w:tcPr>
          <w:p>
            <w:pPr>
              <w:jc w:val="center"/>
            </w:pPr>
            <w:r>
              <w:rPr>
                <w:b/>
                <w:color w:val="000000"/>
                <w:sz w:val="21"/>
              </w:rPr>
              <w:t>单向里程</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21</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20</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20</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19</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16</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20</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25</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116</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100</w:t>
            </w:r>
          </w:p>
        </w:tc>
        <w:tc>
          <w:tcPr>
            <w:tcW w:type="dxa" w:w="813"/>
            <w:tcBorders>
              <w:top w:val="none" w:color="000000" w:sz="4"/>
              <w:left w:val="none" w:color="000000" w:sz="4"/>
              <w:bottom w:val="single" w:color="000000" w:sz="4"/>
              <w:right w:val="single" w:color="000000" w:sz="4"/>
            </w:tcBorders>
          </w:tcPr>
          <w:p>
            <w:pPr>
              <w:jc w:val="center"/>
            </w:pPr>
            <w:r>
              <w:rPr>
                <w:color w:val="000000"/>
                <w:sz w:val="21"/>
              </w:rPr>
              <w:t>100</w:t>
            </w:r>
          </w:p>
        </w:tc>
        <w:tc>
          <w:tcPr>
            <w:tcW w:type="dxa" w:w="902"/>
            <w:gridSpan w:val="2"/>
            <w:tcBorders>
              <w:top w:val="none" w:color="000000" w:sz="4"/>
              <w:left w:val="none" w:color="000000" w:sz="4"/>
              <w:bottom w:val="single" w:color="000000" w:sz="4"/>
              <w:right w:val="single" w:color="000000" w:sz="4"/>
            </w:tcBorders>
          </w:tcPr>
          <w:p>
            <w:pPr>
              <w:jc w:val="center"/>
            </w:pPr>
            <w:r>
              <w:rPr>
                <w:color w:val="000000"/>
                <w:sz w:val="21"/>
              </w:rPr>
              <w:t>市内</w:t>
            </w:r>
          </w:p>
        </w:tc>
        <w:tc>
          <w:tcPr>
            <w:tcW w:type="dxa" w:w="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903"/>
            <w:gridSpan w:val="2"/>
            <w:tcBorders>
              <w:top w:val="none" w:color="000000" w:sz="4"/>
              <w:left w:val="single" w:color="000000" w:sz="4"/>
              <w:bottom w:val="single" w:color="000000" w:sz="4"/>
              <w:right w:val="single" w:color="000000" w:sz="4"/>
            </w:tcBorders>
          </w:tcPr>
          <w:p>
            <w:pPr>
              <w:jc w:val="center"/>
            </w:pPr>
            <w:r>
              <w:rPr>
                <w:color w:val="000000"/>
                <w:sz w:val="21"/>
              </w:rPr>
              <w:t>基准价（元/辆/趟或天）</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650</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810</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810</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760</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650</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650</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810</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1425</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1235</w:t>
            </w:r>
          </w:p>
        </w:tc>
        <w:tc>
          <w:tcPr>
            <w:tcW w:type="dxa" w:w="813"/>
            <w:tcBorders>
              <w:top w:val="none" w:color="000000" w:sz="4"/>
              <w:left w:val="none" w:color="000000" w:sz="4"/>
              <w:bottom w:val="single" w:color="000000" w:sz="4"/>
              <w:right w:val="single" w:color="000000" w:sz="4"/>
            </w:tcBorders>
          </w:tcPr>
          <w:p>
            <w:pPr>
              <w:jc w:val="center"/>
            </w:pPr>
            <w:r>
              <w:rPr>
                <w:color w:val="000000"/>
                <w:sz w:val="21"/>
              </w:rPr>
              <w:t>1472</w:t>
            </w:r>
          </w:p>
        </w:tc>
        <w:tc>
          <w:tcPr>
            <w:tcW w:type="dxa" w:w="902"/>
            <w:gridSpan w:val="2"/>
            <w:tcBorders>
              <w:top w:val="none" w:color="000000" w:sz="4"/>
              <w:left w:val="none" w:color="000000" w:sz="4"/>
              <w:bottom w:val="single" w:color="000000" w:sz="4"/>
              <w:right w:val="single" w:color="000000" w:sz="4"/>
            </w:tcBorders>
          </w:tcPr>
          <w:p>
            <w:pPr>
              <w:jc w:val="center"/>
            </w:pPr>
            <w:r>
              <w:rPr>
                <w:color w:val="000000"/>
                <w:sz w:val="21"/>
              </w:rPr>
              <w:t>522</w:t>
            </w:r>
          </w:p>
        </w:tc>
        <w:tc>
          <w:tcPr>
            <w:tcW w:type="dxa" w:w="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903"/>
            <w:gridSpan w:val="2"/>
            <w:tcBorders>
              <w:top w:val="none" w:color="000000" w:sz="4"/>
              <w:left w:val="single" w:color="000000" w:sz="4"/>
              <w:bottom w:val="single" w:color="000000" w:sz="4"/>
              <w:right w:val="single" w:color="000000" w:sz="4"/>
            </w:tcBorders>
          </w:tcPr>
          <w:p>
            <w:pPr>
              <w:jc w:val="both"/>
            </w:pPr>
            <w:r>
              <w:rPr>
                <w:color w:val="000000"/>
                <w:sz w:val="21"/>
              </w:rPr>
              <w:t>合同期（天或周）</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400</w:t>
            </w:r>
            <w:r>
              <w:rPr>
                <w:color w:val="000000"/>
                <w:sz w:val="21"/>
              </w:rPr>
              <w:t>天</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80</w:t>
            </w:r>
            <w:r>
              <w:rPr>
                <w:color w:val="000000"/>
                <w:sz w:val="21"/>
              </w:rPr>
              <w:t>周</w:t>
            </w:r>
          </w:p>
        </w:tc>
        <w:tc>
          <w:tcPr>
            <w:tcW w:type="dxa" w:w="813"/>
            <w:tcBorders>
              <w:top w:val="none" w:color="000000" w:sz="4"/>
              <w:left w:val="none" w:color="000000" w:sz="4"/>
              <w:bottom w:val="single" w:color="000000" w:sz="4"/>
              <w:right w:val="single" w:color="000000" w:sz="4"/>
            </w:tcBorders>
          </w:tcPr>
          <w:p>
            <w:pPr>
              <w:jc w:val="center"/>
            </w:pPr>
            <w:r>
              <w:rPr>
                <w:color w:val="000000"/>
                <w:sz w:val="21"/>
              </w:rPr>
              <w:t>80</w:t>
            </w:r>
            <w:r>
              <w:rPr>
                <w:color w:val="000000"/>
                <w:sz w:val="21"/>
              </w:rPr>
              <w:t>周</w:t>
            </w:r>
          </w:p>
        </w:tc>
        <w:tc>
          <w:tcPr>
            <w:tcW w:type="dxa" w:w="902"/>
            <w:gridSpan w:val="2"/>
            <w:tcBorders>
              <w:top w:val="none" w:color="000000" w:sz="4"/>
              <w:left w:val="none" w:color="000000" w:sz="4"/>
              <w:bottom w:val="single" w:color="000000" w:sz="4"/>
              <w:right w:val="single" w:color="000000" w:sz="4"/>
            </w:tcBorders>
          </w:tcPr>
          <w:p>
            <w:pPr>
              <w:jc w:val="center"/>
            </w:pPr>
            <w:r>
              <w:rPr>
                <w:color w:val="000000"/>
                <w:sz w:val="21"/>
              </w:rPr>
              <w:t>560</w:t>
            </w:r>
            <w:r>
              <w:rPr>
                <w:color w:val="000000"/>
                <w:sz w:val="21"/>
              </w:rPr>
              <w:t>天</w:t>
            </w:r>
          </w:p>
        </w:tc>
        <w:tc>
          <w:tcPr>
            <w:tcW w:type="dxa" w:w="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903"/>
            <w:gridSpan w:val="2"/>
            <w:tcBorders>
              <w:top w:val="none" w:color="000000" w:sz="4"/>
              <w:left w:val="single" w:color="000000" w:sz="4"/>
              <w:bottom w:val="single" w:color="000000" w:sz="4"/>
              <w:right w:val="single" w:color="000000" w:sz="4"/>
            </w:tcBorders>
          </w:tcPr>
          <w:p>
            <w:pPr>
              <w:jc w:val="both"/>
            </w:pPr>
            <w:r>
              <w:rPr>
                <w:color w:val="000000"/>
                <w:sz w:val="21"/>
              </w:rPr>
              <w:t>租车数目</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4</w:t>
            </w:r>
            <w:r>
              <w:rPr>
                <w:color w:val="000000"/>
                <w:sz w:val="21"/>
              </w:rPr>
              <w:t>趟</w:t>
            </w:r>
          </w:p>
        </w:tc>
        <w:tc>
          <w:tcPr>
            <w:tcW w:type="dxa" w:w="813"/>
            <w:tcBorders>
              <w:top w:val="none" w:color="000000" w:sz="4"/>
              <w:left w:val="none" w:color="000000" w:sz="4"/>
              <w:bottom w:val="single" w:color="000000" w:sz="4"/>
              <w:right w:val="single" w:color="000000" w:sz="4"/>
            </w:tcBorders>
          </w:tcPr>
          <w:p>
            <w:pPr>
              <w:jc w:val="center"/>
            </w:pPr>
            <w:r>
              <w:rPr>
                <w:color w:val="000000"/>
                <w:sz w:val="21"/>
              </w:rPr>
              <w:t>10</w:t>
            </w:r>
            <w:r>
              <w:rPr>
                <w:color w:val="000000"/>
                <w:sz w:val="21"/>
              </w:rPr>
              <w:t>趟</w:t>
            </w:r>
          </w:p>
        </w:tc>
        <w:tc>
          <w:tcPr>
            <w:tcW w:type="dxa" w:w="902"/>
            <w:gridSpan w:val="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tc>
        <w:tc>
          <w:tcPr>
            <w:tcW w:type="dxa" w:w="0"/>
            <w:tcBorders>
              <w:top w:val="none" w:color="000000" w:sz="4"/>
              <w:left w:val="none" w:color="000000" w:sz="4"/>
              <w:bottom w:val="single" w:color="000000" w:sz="4"/>
              <w:right w:val="none" w:color="000000" w:sz="4"/>
            </w:tcBorders>
          </w:tcPr>
          <w:p>
            <w:pPr>
              <w:jc w:val="both"/>
            </w:pPr>
            <w:r>
              <w:rPr>
                <w:sz w:val="21"/>
              </w:rPr>
              <w:t xml:space="preserve"> </w:t>
            </w:r>
          </w:p>
        </w:tc>
      </w:tr>
      <w:tr>
        <w:tc>
          <w:tcPr>
            <w:tcW w:type="dxa" w:w="903"/>
            <w:tcBorders>
              <w:top w:val="none" w:color="000000" w:sz="4"/>
              <w:left w:val="single" w:color="000000" w:sz="4"/>
              <w:bottom w:val="single" w:color="000000" w:sz="4"/>
              <w:right w:val="single" w:color="000000" w:sz="4"/>
            </w:tcBorders>
          </w:tcPr>
          <w:p>
            <w:pPr>
              <w:jc w:val="center"/>
            </w:pPr>
            <w:r>
              <w:rPr>
                <w:b/>
                <w:color w:val="000000"/>
                <w:sz w:val="21"/>
              </w:rPr>
              <w:t>上班出发点</w:t>
            </w:r>
          </w:p>
        </w:tc>
        <w:tc>
          <w:tcPr>
            <w:tcW w:type="dxa" w:w="316"/>
            <w:gridSpan w:val="2"/>
            <w:tcBorders>
              <w:top w:val="none" w:color="000000" w:sz="4"/>
              <w:left w:val="none" w:color="000000" w:sz="4"/>
              <w:bottom w:val="single" w:color="000000" w:sz="4"/>
              <w:right w:val="single" w:color="000000" w:sz="4"/>
            </w:tcBorders>
          </w:tcPr>
          <w:p>
            <w:pPr>
              <w:jc w:val="center"/>
            </w:pPr>
            <w:r>
              <w:rPr>
                <w:color w:val="000000"/>
                <w:sz w:val="21"/>
              </w:rPr>
              <w:t>荔湾北路岭南美术学院</w:t>
            </w:r>
          </w:p>
          <w:p>
            <w:pPr>
              <w:jc w:val="center"/>
            </w:pPr>
            <w:r>
              <w:rPr>
                <w:color w:val="000000"/>
                <w:sz w:val="21"/>
              </w:rPr>
              <w:t>门口</w:t>
            </w:r>
          </w:p>
        </w:tc>
        <w:tc>
          <w:tcPr>
            <w:tcW w:type="dxa" w:w="632"/>
            <w:gridSpan w:val="2"/>
            <w:tcBorders>
              <w:top w:val="none" w:color="000000" w:sz="4"/>
              <w:left w:val="none" w:color="000000" w:sz="4"/>
              <w:bottom w:val="single" w:color="000000" w:sz="4"/>
              <w:right w:val="single" w:color="000000" w:sz="4"/>
            </w:tcBorders>
          </w:tcPr>
          <w:p>
            <w:pPr>
              <w:jc w:val="center"/>
            </w:pPr>
            <w:r>
              <w:rPr>
                <w:color w:val="000000"/>
                <w:sz w:val="21"/>
              </w:rPr>
              <w:t>新港西路江南新苑门口</w:t>
            </w:r>
          </w:p>
        </w:tc>
        <w:tc>
          <w:tcPr>
            <w:tcW w:type="dxa" w:w="948"/>
            <w:gridSpan w:val="2"/>
            <w:tcBorders>
              <w:top w:val="none" w:color="000000" w:sz="4"/>
              <w:left w:val="none" w:color="000000" w:sz="4"/>
              <w:bottom w:val="single" w:color="000000" w:sz="4"/>
              <w:right w:val="single" w:color="000000" w:sz="4"/>
            </w:tcBorders>
          </w:tcPr>
          <w:p>
            <w:pPr>
              <w:jc w:val="center"/>
            </w:pPr>
            <w:r>
              <w:rPr>
                <w:color w:val="000000"/>
                <w:sz w:val="21"/>
              </w:rPr>
              <w:t>中山大道骏景小区门口</w:t>
            </w:r>
          </w:p>
        </w:tc>
        <w:tc>
          <w:tcPr>
            <w:tcW w:type="dxa" w:w="948"/>
            <w:gridSpan w:val="2"/>
            <w:tcBorders>
              <w:top w:val="none" w:color="000000" w:sz="4"/>
              <w:left w:val="none" w:color="000000" w:sz="4"/>
              <w:bottom w:val="single" w:color="000000" w:sz="4"/>
              <w:right w:val="single" w:color="000000" w:sz="4"/>
            </w:tcBorders>
          </w:tcPr>
          <w:p>
            <w:pPr>
              <w:jc w:val="center"/>
            </w:pPr>
            <w:r>
              <w:rPr>
                <w:color w:val="000000"/>
                <w:sz w:val="21"/>
              </w:rPr>
              <w:t>南国花园正门囗</w:t>
            </w:r>
          </w:p>
        </w:tc>
        <w:tc>
          <w:tcPr>
            <w:tcW w:type="dxa" w:w="316"/>
            <w:gridSpan w:val="2"/>
            <w:tcBorders>
              <w:top w:val="none" w:color="000000" w:sz="4"/>
              <w:left w:val="none" w:color="000000" w:sz="4"/>
              <w:bottom w:val="single" w:color="000000" w:sz="4"/>
              <w:right w:val="single" w:color="000000" w:sz="4"/>
            </w:tcBorders>
          </w:tcPr>
          <w:p>
            <w:pPr>
              <w:jc w:val="center"/>
            </w:pPr>
            <w:r>
              <w:rPr>
                <w:color w:val="000000"/>
                <w:sz w:val="21"/>
              </w:rPr>
              <w:t>天河北路光大银行对面</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沿江路省行门口</w:t>
            </w:r>
          </w:p>
        </w:tc>
        <w:tc>
          <w:tcPr>
            <w:tcW w:type="dxa" w:w="632"/>
            <w:tcBorders>
              <w:top w:val="none" w:color="000000" w:sz="4"/>
              <w:left w:val="none" w:color="000000" w:sz="4"/>
              <w:bottom w:val="single" w:color="000000" w:sz="4"/>
              <w:right w:val="single" w:color="000000" w:sz="4"/>
            </w:tcBorders>
          </w:tcPr>
          <w:p>
            <w:pPr>
              <w:jc w:val="center"/>
            </w:pPr>
            <w:r>
              <w:rPr>
                <w:color w:val="000000"/>
                <w:sz w:val="21"/>
              </w:rPr>
              <w:t>萝岗东荟城</w:t>
            </w:r>
          </w:p>
        </w:tc>
        <w:tc>
          <w:tcPr>
            <w:tcW w:type="dxa" w:w="316"/>
            <w:gridSpan w:val="2"/>
            <w:tcBorders>
              <w:top w:val="none" w:color="000000" w:sz="4"/>
              <w:left w:val="none" w:color="000000" w:sz="4"/>
              <w:bottom w:val="single" w:color="000000" w:sz="4"/>
              <w:right w:val="single" w:color="000000" w:sz="4"/>
            </w:tcBorders>
          </w:tcPr>
          <w:p>
            <w:pPr>
              <w:jc w:val="center"/>
            </w:pPr>
            <w:r>
              <w:rPr>
                <w:color w:val="000000"/>
                <w:sz w:val="21"/>
              </w:rPr>
              <w:t>校本部</w:t>
            </w:r>
          </w:p>
        </w:tc>
        <w:tc>
          <w:tcPr>
            <w:tcW w:type="dxa" w:w="948"/>
            <w:gridSpan w:val="2"/>
            <w:tcBorders>
              <w:top w:val="none" w:color="000000" w:sz="4"/>
              <w:left w:val="none" w:color="000000" w:sz="4"/>
              <w:bottom w:val="single" w:color="000000" w:sz="4"/>
              <w:right w:val="single" w:color="000000" w:sz="4"/>
            </w:tcBorders>
          </w:tcPr>
          <w:p>
            <w:pPr>
              <w:jc w:val="center"/>
            </w:pPr>
            <w:r>
              <w:rPr>
                <w:color w:val="000000"/>
                <w:sz w:val="21"/>
              </w:rPr>
              <w:t>校本部</w:t>
            </w:r>
          </w:p>
        </w:tc>
        <w:tc>
          <w:tcPr>
            <w:tcW w:type="dxa" w:w="1264"/>
            <w:gridSpan w:val="2"/>
            <w:tcBorders>
              <w:top w:val="none" w:color="000000" w:sz="4"/>
              <w:left w:val="none" w:color="000000" w:sz="4"/>
              <w:bottom w:val="single" w:color="000000" w:sz="4"/>
              <w:right w:val="single" w:color="000000" w:sz="4"/>
            </w:tcBorders>
          </w:tcPr>
          <w:p>
            <w:pPr>
              <w:jc w:val="center"/>
            </w:pPr>
            <w:r>
              <w:rPr>
                <w:color w:val="000000"/>
                <w:sz w:val="21"/>
              </w:rPr>
              <w:t>校本部</w:t>
            </w:r>
          </w:p>
        </w:tc>
        <w:tc>
          <w:tcPr>
            <w:tcW w:type="dxa" w:w="451"/>
            <w:gridSpan w:val="2"/>
            <w:tcBorders>
              <w:top w:val="none" w:color="000000" w:sz="4"/>
              <w:left w:val="none" w:color="000000" w:sz="4"/>
              <w:bottom w:val="single" w:color="000000" w:sz="4"/>
              <w:right w:val="single" w:color="000000" w:sz="4"/>
            </w:tcBorders>
          </w:tcPr>
          <w:p>
            <w:pPr>
              <w:jc w:val="center"/>
            </w:pPr>
            <w:r>
              <w:rPr>
                <w:color w:val="000000"/>
                <w:sz w:val="21"/>
              </w:rPr>
              <w:t>清远市内24小时值班运行</w:t>
            </w:r>
          </w:p>
        </w:tc>
      </w:tr>
      <w:tr>
        <w:tc>
          <w:tcPr>
            <w:tcW w:type="dxa" w:w="903"/>
            <w:tcBorders>
              <w:top w:val="none" w:color="000000" w:sz="4"/>
              <w:left w:val="single" w:color="000000" w:sz="4"/>
              <w:bottom w:val="single" w:color="000000" w:sz="4"/>
              <w:right w:val="single" w:color="000000" w:sz="4"/>
            </w:tcBorders>
          </w:tcPr>
          <w:p>
            <w:pPr>
              <w:jc w:val="center"/>
            </w:pPr>
            <w:r>
              <w:rPr>
                <w:b/>
                <w:color w:val="000000"/>
                <w:sz w:val="21"/>
              </w:rPr>
              <w:t>下班出发地点</w:t>
            </w:r>
          </w:p>
        </w:tc>
        <w:tc>
          <w:tcPr>
            <w:tcW w:type="dxa" w:w="6952"/>
            <w:gridSpan w:val="18"/>
            <w:tcBorders>
              <w:top w:val="none" w:color="000000" w:sz="4"/>
              <w:left w:val="none" w:color="000000" w:sz="4"/>
              <w:bottom w:val="single" w:color="000000" w:sz="4"/>
              <w:right w:val="single" w:color="000000" w:sz="4"/>
            </w:tcBorders>
          </w:tcPr>
          <w:p>
            <w:pPr>
              <w:jc w:val="center"/>
            </w:pPr>
            <w:r>
              <w:rPr>
                <w:color w:val="000000"/>
                <w:sz w:val="21"/>
              </w:rPr>
              <w:t>学院门口</w:t>
            </w:r>
          </w:p>
        </w:tc>
        <w:tc>
          <w:tcPr>
            <w:tcW w:type="dxa" w:w="451"/>
            <w:gridSpan w:val="2"/>
            <w:tcBorders>
              <w:top w:val="none" w:color="000000" w:sz="4"/>
              <w:left w:val="none" w:color="000000" w:sz="4"/>
              <w:bottom w:val="single" w:color="000000" w:sz="4"/>
              <w:right w:val="single" w:color="000000" w:sz="4"/>
            </w:tcBorders>
          </w:tcPr>
          <w:p>
            <w:pPr>
              <w:jc w:val="center"/>
            </w:pPr>
            <w:r>
              <w:rPr>
                <w:color w:val="000000"/>
                <w:sz w:val="21"/>
              </w:rPr>
              <w:t>/</w:t>
            </w:r>
          </w:p>
        </w:tc>
      </w:tr>
      <w:tr>
        <w:tc>
          <w:tcPr>
            <w:tcW w:type="dxa" w:w="903"/>
            <w:tcBorders>
              <w:top w:val="none" w:color="000000" w:sz="4"/>
              <w:left w:val="single" w:color="000000" w:sz="4"/>
              <w:bottom w:val="single" w:color="000000" w:sz="4"/>
              <w:right w:val="single" w:color="000000" w:sz="4"/>
            </w:tcBorders>
          </w:tcPr>
          <w:p>
            <w:pPr>
              <w:jc w:val="center"/>
            </w:pPr>
            <w:r>
              <w:rPr>
                <w:b/>
                <w:color w:val="000000"/>
                <w:sz w:val="21"/>
              </w:rPr>
              <w:t>发车时间</w:t>
            </w:r>
          </w:p>
        </w:tc>
        <w:tc>
          <w:tcPr>
            <w:tcW w:type="dxa" w:w="7403"/>
            <w:gridSpan w:val="2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、校本部上班：7:00点从市内各上车点出发；下班：16:45分从校内出发。</w:t>
            </w:r>
          </w:p>
          <w:p>
            <w:pPr>
              <w:jc w:val="both"/>
            </w:pPr>
            <w:r>
              <w:rPr>
                <w:color w:val="000000"/>
                <w:sz w:val="21"/>
              </w:rPr>
              <w:t>2</w:t>
            </w:r>
            <w:r>
              <w:rPr>
                <w:color w:val="000000"/>
                <w:sz w:val="21"/>
              </w:rPr>
              <w:t>、肇庆校区交通车：8:00点从广州校本部学院内大门口出发；下班：16:40分从校区出发。</w:t>
            </w:r>
          </w:p>
          <w:p>
            <w:pPr>
              <w:jc w:val="both"/>
            </w:pPr>
            <w:r>
              <w:rPr>
                <w:color w:val="000000"/>
                <w:sz w:val="21"/>
              </w:rPr>
              <w:t>3</w:t>
            </w:r>
            <w:r>
              <w:rPr>
                <w:color w:val="000000"/>
                <w:sz w:val="21"/>
              </w:rPr>
              <w:t>、清远校区交通车：8:00点从广州校本部学院内大门口出发；下班：16:40分从校区出发。4.清远校区值班车24小时待命，每天不限次数在清远市内运行，采购人提供司机住宿床位。</w:t>
            </w:r>
          </w:p>
        </w:tc>
      </w:tr>
      <w:tr>
        <w:tc>
          <w:tcPr>
            <w:tcW w:type="dxa" w:w="903"/>
            <w:tcBorders>
              <w:top w:val="none" w:color="000000" w:sz="4"/>
              <w:left w:val="single" w:color="000000" w:sz="4"/>
              <w:bottom w:val="single" w:color="000000" w:sz="4"/>
              <w:right w:val="single" w:color="000000" w:sz="4"/>
            </w:tcBorders>
          </w:tcPr>
          <w:p>
            <w:pPr>
              <w:jc w:val="center"/>
            </w:pPr>
            <w:r>
              <w:rPr>
                <w:b/>
                <w:color w:val="000000"/>
                <w:sz w:val="21"/>
              </w:rPr>
              <w:t>备注</w:t>
            </w:r>
          </w:p>
        </w:tc>
        <w:tc>
          <w:tcPr>
            <w:tcW w:type="dxa" w:w="7403"/>
            <w:gridSpan w:val="20"/>
            <w:tcBorders>
              <w:top w:val="none" w:color="000000" w:sz="4"/>
              <w:left w:val="none" w:color="000000" w:sz="4"/>
              <w:bottom w:val="single" w:color="000000" w:sz="4"/>
              <w:right w:val="single" w:color="000000" w:sz="4"/>
            </w:tcBorders>
          </w:tcPr>
          <w:p>
            <w:pPr>
              <w:jc w:val="both"/>
            </w:pPr>
            <w:r>
              <w:rPr>
                <w:color w:val="000000"/>
                <w:sz w:val="21"/>
              </w:rPr>
              <w:t>租车服务费用按月结算，以实际使用的天数（清远线按趟数）结算，其中往返一次为一趟。</w:t>
            </w:r>
          </w:p>
        </w:tc>
      </w:tr>
      <w:tr>
        <w:tc>
          <w:tcPr>
            <w:tcW w:type="dxa" w:w="903"/>
            <w:tcBorders>
              <w:top w:val="none" w:color="000000" w:sz="4"/>
              <w:left w:val="none" w:color="000000" w:sz="4"/>
              <w:bottom w:val="none" w:color="000000" w:sz="4"/>
              <w:right w:val="none" w:color="000000" w:sz="4"/>
            </w:tcBorders>
          </w:tcPr>
          <w:p>
            <w:r>
              <w:rPr/>
              <w:t xml:space="preserve"> </w:t>
            </w:r>
          </w:p>
        </w:tc>
        <w:tc>
          <w:tcPr>
            <w:tcW w:type="dxa" w:w="0"/>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632"/>
            <w:tcBorders>
              <w:top w:val="none" w:color="000000" w:sz="4"/>
              <w:left w:val="none" w:color="000000" w:sz="4"/>
              <w:bottom w:val="none" w:color="000000" w:sz="4"/>
              <w:right w:val="none" w:color="000000" w:sz="4"/>
            </w:tcBorders>
          </w:tcPr>
          <w:p>
            <w:r>
              <w:rPr/>
              <w:t xml:space="preserve"> </w:t>
            </w:r>
          </w:p>
        </w:tc>
        <w:tc>
          <w:tcPr>
            <w:tcW w:type="dxa" w:w="632"/>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0"/>
            <w:tcBorders>
              <w:top w:val="none" w:color="000000" w:sz="4"/>
              <w:left w:val="none" w:color="000000" w:sz="4"/>
              <w:bottom w:val="none" w:color="000000" w:sz="4"/>
              <w:right w:val="none" w:color="000000" w:sz="4"/>
            </w:tcBorders>
          </w:tcPr>
          <w:p>
            <w:r>
              <w:rPr/>
              <w:t xml:space="preserve"> </w:t>
            </w:r>
          </w:p>
        </w:tc>
        <w:tc>
          <w:tcPr>
            <w:tcW w:type="dxa" w:w="632"/>
            <w:tcBorders>
              <w:top w:val="none" w:color="000000" w:sz="4"/>
              <w:left w:val="none" w:color="000000" w:sz="4"/>
              <w:bottom w:val="none" w:color="000000" w:sz="4"/>
              <w:right w:val="none" w:color="000000" w:sz="4"/>
            </w:tcBorders>
          </w:tcPr>
          <w:p>
            <w:r>
              <w:rPr/>
              <w:t xml:space="preserve"> </w:t>
            </w:r>
          </w:p>
        </w:tc>
        <w:tc>
          <w:tcPr>
            <w:tcW w:type="dxa" w:w="632"/>
            <w:tcBorders>
              <w:top w:val="none" w:color="000000" w:sz="4"/>
              <w:left w:val="none" w:color="000000" w:sz="4"/>
              <w:bottom w:val="none" w:color="000000" w:sz="4"/>
              <w:right w:val="none" w:color="000000" w:sz="4"/>
            </w:tcBorders>
          </w:tcPr>
          <w:p>
            <w:r>
              <w:rPr/>
              <w:t xml:space="preserve"> </w:t>
            </w:r>
          </w:p>
        </w:tc>
        <w:tc>
          <w:tcPr>
            <w:tcW w:type="dxa" w:w="0"/>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316"/>
            <w:tcBorders>
              <w:top w:val="none" w:color="000000" w:sz="4"/>
              <w:left w:val="none" w:color="000000" w:sz="4"/>
              <w:bottom w:val="none" w:color="000000" w:sz="4"/>
              <w:right w:val="none" w:color="000000" w:sz="4"/>
            </w:tcBorders>
          </w:tcPr>
          <w:p>
            <w:r>
              <w:rPr/>
              <w:t xml:space="preserve"> </w:t>
            </w:r>
          </w:p>
        </w:tc>
        <w:tc>
          <w:tcPr>
            <w:tcW w:type="dxa" w:w="632"/>
            <w:tcBorders>
              <w:top w:val="none" w:color="000000" w:sz="4"/>
              <w:left w:val="none" w:color="000000" w:sz="4"/>
              <w:bottom w:val="none" w:color="000000" w:sz="4"/>
              <w:right w:val="none" w:color="000000" w:sz="4"/>
            </w:tcBorders>
          </w:tcPr>
          <w:p>
            <w:r>
              <w:rPr/>
              <w:t xml:space="preserve"> </w:t>
            </w:r>
          </w:p>
        </w:tc>
        <w:tc>
          <w:tcPr>
            <w:tcW w:type="dxa" w:w="813"/>
            <w:tcBorders>
              <w:top w:val="none" w:color="000000" w:sz="4"/>
              <w:left w:val="none" w:color="000000" w:sz="4"/>
              <w:bottom w:val="none" w:color="000000" w:sz="4"/>
              <w:right w:val="none" w:color="000000" w:sz="4"/>
            </w:tcBorders>
          </w:tcPr>
          <w:p>
            <w:r>
              <w:rPr/>
              <w:t xml:space="preserve"> </w:t>
            </w:r>
          </w:p>
        </w:tc>
        <w:tc>
          <w:tcPr>
            <w:tcW w:type="dxa" w:w="451"/>
            <w:tcBorders>
              <w:top w:val="none" w:color="000000" w:sz="4"/>
              <w:left w:val="none" w:color="000000" w:sz="4"/>
              <w:bottom w:val="none" w:color="000000" w:sz="4"/>
              <w:right w:val="none" w:color="000000" w:sz="4"/>
            </w:tcBorders>
          </w:tcPr>
          <w:p>
            <w:r>
              <w:rPr/>
              <w:t xml:space="preserve"> </w:t>
            </w:r>
          </w:p>
        </w:tc>
        <w:tc>
          <w:tcPr>
            <w:tcW w:type="dxa" w:w="451"/>
            <w:tcBorders>
              <w:top w:val="none" w:color="000000" w:sz="4"/>
              <w:left w:val="none" w:color="000000" w:sz="4"/>
              <w:bottom w:val="none" w:color="000000" w:sz="4"/>
              <w:right w:val="none" w:color="000000" w:sz="4"/>
            </w:tcBorders>
          </w:tcPr>
          <w:p>
            <w:r>
              <w:rPr/>
              <w:t xml:space="preserve"> </w:t>
            </w:r>
          </w:p>
        </w:tc>
        <w:tc>
          <w:tcPr>
            <w:tcW w:type="dxa" w:w="0"/>
            <w:tcBorders>
              <w:top w:val="none" w:color="000000" w:sz="4"/>
              <w:left w:val="none" w:color="000000" w:sz="4"/>
              <w:bottom w:val="none" w:color="000000" w:sz="4"/>
              <w:right w:val="none" w:color="000000" w:sz="4"/>
            </w:tcBorders>
          </w:tcPr>
          <w:p>
            <w:r>
              <w:rPr/>
              <w:t xml:space="preserve"> </w:t>
            </w:r>
          </w:p>
        </w:tc>
      </w:tr>
    </w:tbl>
    <w:p>
      <w:pPr>
        <w:jc w:val="both"/>
      </w:pPr>
    </w:p>
    <w:p>
      <w:pPr>
        <w:ind w:firstLine="422"/>
        <w:jc w:val="both"/>
      </w:pPr>
      <w:r>
        <w:rPr>
          <w:b/>
          <w:color w:val="000000"/>
          <w:sz w:val="21"/>
        </w:rPr>
        <w:t>（二）校本部与清远校区通勤车方案</w:t>
      </w:r>
    </w:p>
    <w:tbl>
      <w:tblPr>
        <w:tblW w:w="0" w:type="auto"/>
        <w:tblBorders>
          <w:top w:val="none" w:color="000000" w:sz="4"/>
          <w:left w:val="none" w:color="000000" w:sz="4"/>
          <w:bottom w:val="none" w:color="000000" w:sz="4"/>
          <w:right w:val="none" w:color="000000" w:sz="4"/>
          <w:insideH w:val="none"/>
          <w:insideV w:val="none"/>
        </w:tblBorders>
      </w:tblPr>
      <w:tblGrid>
        <w:gridCol w:w="771"/>
        <w:gridCol w:w="942"/>
        <w:gridCol w:w="1370"/>
        <w:gridCol w:w="1028"/>
        <w:gridCol w:w="1370"/>
        <w:gridCol w:w="856"/>
        <w:gridCol w:w="1370"/>
        <w:gridCol w:w="599"/>
      </w:tblGrid>
      <w:tr>
        <w:tc>
          <w:tcPr>
            <w:tcW w:type="dxa" w:w="771"/>
            <w:tcBorders>
              <w:top w:val="single" w:color="000000" w:sz="4"/>
              <w:left w:val="single" w:color="000000" w:sz="4"/>
              <w:bottom w:val="single" w:color="000000" w:sz="4"/>
              <w:right w:val="single" w:color="000000" w:sz="4"/>
            </w:tcBorders>
          </w:tcPr>
          <w:p>
            <w:pPr>
              <w:jc w:val="center"/>
            </w:pPr>
          </w:p>
        </w:tc>
        <w:tc>
          <w:tcPr>
            <w:tcW w:type="dxa" w:w="942"/>
            <w:tcBorders>
              <w:top w:val="single" w:color="000000" w:sz="4"/>
              <w:left w:val="none" w:color="000000" w:sz="4"/>
              <w:bottom w:val="single" w:color="000000" w:sz="4"/>
              <w:right w:val="single" w:color="000000" w:sz="4"/>
            </w:tcBorders>
          </w:tcPr>
          <w:p>
            <w:pPr>
              <w:jc w:val="center"/>
            </w:pPr>
            <w:r>
              <w:rPr>
                <w:color w:val="000000"/>
                <w:sz w:val="21"/>
              </w:rPr>
              <w:t>周日</w:t>
            </w:r>
          </w:p>
        </w:tc>
        <w:tc>
          <w:tcPr>
            <w:tcW w:type="dxa" w:w="1370"/>
            <w:tcBorders>
              <w:top w:val="single" w:color="000000" w:sz="4"/>
              <w:left w:val="none" w:color="000000" w:sz="4"/>
              <w:bottom w:val="single" w:color="000000" w:sz="4"/>
              <w:right w:val="single" w:color="000000" w:sz="4"/>
            </w:tcBorders>
          </w:tcPr>
          <w:p>
            <w:pPr>
              <w:jc w:val="center"/>
            </w:pPr>
            <w:r>
              <w:rPr>
                <w:color w:val="000000"/>
                <w:sz w:val="21"/>
              </w:rPr>
              <w:t>一</w:t>
            </w:r>
          </w:p>
        </w:tc>
        <w:tc>
          <w:tcPr>
            <w:tcW w:type="dxa" w:w="1028"/>
            <w:tcBorders>
              <w:top w:val="single" w:color="000000" w:sz="4"/>
              <w:left w:val="none" w:color="000000" w:sz="4"/>
              <w:bottom w:val="single" w:color="000000" w:sz="4"/>
              <w:right w:val="single" w:color="000000" w:sz="4"/>
            </w:tcBorders>
          </w:tcPr>
          <w:p>
            <w:pPr>
              <w:jc w:val="center"/>
            </w:pPr>
            <w:r>
              <w:rPr>
                <w:color w:val="000000"/>
                <w:sz w:val="21"/>
              </w:rPr>
              <w:t>二</w:t>
            </w:r>
          </w:p>
        </w:tc>
        <w:tc>
          <w:tcPr>
            <w:tcW w:type="dxa" w:w="1370"/>
            <w:tcBorders>
              <w:top w:val="single" w:color="000000" w:sz="4"/>
              <w:left w:val="none" w:color="000000" w:sz="4"/>
              <w:bottom w:val="single" w:color="000000" w:sz="4"/>
              <w:right w:val="single" w:color="000000" w:sz="4"/>
            </w:tcBorders>
          </w:tcPr>
          <w:p>
            <w:pPr>
              <w:jc w:val="center"/>
            </w:pPr>
            <w:r>
              <w:rPr>
                <w:color w:val="000000"/>
                <w:sz w:val="21"/>
              </w:rPr>
              <w:t>三</w:t>
            </w:r>
          </w:p>
        </w:tc>
        <w:tc>
          <w:tcPr>
            <w:tcW w:type="dxa" w:w="856"/>
            <w:tcBorders>
              <w:top w:val="single" w:color="000000" w:sz="4"/>
              <w:left w:val="none" w:color="000000" w:sz="4"/>
              <w:bottom w:val="single" w:color="000000" w:sz="4"/>
              <w:right w:val="single" w:color="000000" w:sz="4"/>
            </w:tcBorders>
          </w:tcPr>
          <w:p>
            <w:pPr>
              <w:jc w:val="center"/>
            </w:pPr>
            <w:r>
              <w:rPr>
                <w:color w:val="000000"/>
                <w:sz w:val="21"/>
              </w:rPr>
              <w:t>四</w:t>
            </w:r>
          </w:p>
        </w:tc>
        <w:tc>
          <w:tcPr>
            <w:tcW w:type="dxa" w:w="1370"/>
            <w:tcBorders>
              <w:top w:val="single" w:color="000000" w:sz="4"/>
              <w:left w:val="none" w:color="000000" w:sz="4"/>
              <w:bottom w:val="single" w:color="000000" w:sz="4"/>
              <w:right w:val="single" w:color="000000" w:sz="4"/>
            </w:tcBorders>
          </w:tcPr>
          <w:p>
            <w:pPr>
              <w:jc w:val="center"/>
            </w:pPr>
            <w:r>
              <w:rPr>
                <w:color w:val="000000"/>
                <w:sz w:val="21"/>
              </w:rPr>
              <w:t>五</w:t>
            </w:r>
          </w:p>
        </w:tc>
        <w:tc>
          <w:tcPr>
            <w:tcW w:type="dxa" w:w="599"/>
            <w:tcBorders>
              <w:top w:val="single" w:color="000000" w:sz="4"/>
              <w:left w:val="none" w:color="000000" w:sz="4"/>
              <w:bottom w:val="single" w:color="000000" w:sz="4"/>
              <w:right w:val="single" w:color="000000" w:sz="4"/>
            </w:tcBorders>
          </w:tcPr>
          <w:p>
            <w:pPr>
              <w:jc w:val="center"/>
            </w:pPr>
            <w:r>
              <w:rPr>
                <w:color w:val="000000"/>
                <w:sz w:val="21"/>
              </w:rPr>
              <w:t>周六</w:t>
            </w:r>
          </w:p>
        </w:tc>
      </w:tr>
      <w:tr>
        <w:tc>
          <w:tcPr>
            <w:tcW w:type="dxa" w:w="771"/>
            <w:tcBorders>
              <w:top w:val="none" w:color="000000" w:sz="4"/>
              <w:left w:val="single" w:color="000000" w:sz="4"/>
              <w:bottom w:val="single" w:color="000000" w:sz="4"/>
              <w:right w:val="single" w:color="000000" w:sz="4"/>
            </w:tcBorders>
          </w:tcPr>
          <w:p>
            <w:pPr>
              <w:jc w:val="center"/>
            </w:pPr>
            <w:r>
              <w:rPr>
                <w:color w:val="000000"/>
                <w:sz w:val="21"/>
              </w:rPr>
              <w:t>往返</w:t>
            </w:r>
          </w:p>
        </w:tc>
        <w:tc>
          <w:tcPr>
            <w:tcW w:type="dxa" w:w="94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辆</w:t>
            </w:r>
          </w:p>
          <w:p>
            <w:pPr>
              <w:jc w:val="center"/>
            </w:pPr>
            <w:r>
              <w:rPr>
                <w:color w:val="000000"/>
                <w:sz w:val="21"/>
              </w:rPr>
              <w:t>50</w:t>
            </w:r>
            <w:r>
              <w:rPr>
                <w:color w:val="000000"/>
                <w:sz w:val="21"/>
              </w:rPr>
              <w:t>人</w:t>
            </w:r>
          </w:p>
        </w:tc>
        <w:tc>
          <w:tcPr>
            <w:tcW w:type="dxa" w:w="1370"/>
            <w:tcBorders>
              <w:top w:val="none" w:color="000000" w:sz="4"/>
              <w:left w:val="none" w:color="000000" w:sz="4"/>
              <w:bottom w:val="single" w:color="000000" w:sz="4"/>
              <w:right w:val="single" w:color="000000" w:sz="4"/>
            </w:tcBorders>
          </w:tcPr>
          <w:p>
            <w:pPr>
              <w:jc w:val="center"/>
            </w:pPr>
            <w:r>
              <w:rPr>
                <w:color w:val="000000"/>
                <w:sz w:val="21"/>
              </w:rPr>
              <w:t>2</w:t>
            </w:r>
            <w:r>
              <w:rPr>
                <w:color w:val="000000"/>
                <w:sz w:val="21"/>
              </w:rPr>
              <w:t>或3辆</w:t>
            </w:r>
          </w:p>
          <w:p>
            <w:pPr>
              <w:jc w:val="center"/>
            </w:pPr>
            <w:r>
              <w:rPr>
                <w:color w:val="000000"/>
                <w:sz w:val="21"/>
              </w:rPr>
              <w:t>100</w:t>
            </w:r>
            <w:r>
              <w:rPr>
                <w:color w:val="000000"/>
                <w:sz w:val="21"/>
              </w:rPr>
              <w:t>或150人</w:t>
            </w:r>
          </w:p>
        </w:tc>
        <w:tc>
          <w:tcPr>
            <w:tcW w:type="dxa" w:w="1028"/>
            <w:tcBorders>
              <w:top w:val="none" w:color="000000" w:sz="4"/>
              <w:left w:val="none" w:color="000000" w:sz="4"/>
              <w:bottom w:val="single" w:color="000000" w:sz="4"/>
              <w:right w:val="single" w:color="000000" w:sz="4"/>
            </w:tcBorders>
          </w:tcPr>
          <w:p>
            <w:pPr>
              <w:jc w:val="center"/>
            </w:pPr>
            <w:r>
              <w:rPr>
                <w:color w:val="000000"/>
                <w:sz w:val="21"/>
              </w:rPr>
              <w:t>2</w:t>
            </w:r>
            <w:r>
              <w:rPr>
                <w:color w:val="000000"/>
                <w:sz w:val="21"/>
              </w:rPr>
              <w:t>辆</w:t>
            </w:r>
          </w:p>
          <w:p>
            <w:pPr>
              <w:jc w:val="center"/>
            </w:pPr>
            <w:r>
              <w:rPr>
                <w:color w:val="000000"/>
                <w:sz w:val="21"/>
              </w:rPr>
              <w:t>100</w:t>
            </w:r>
            <w:r>
              <w:rPr>
                <w:color w:val="000000"/>
                <w:sz w:val="21"/>
              </w:rPr>
              <w:t>人</w:t>
            </w:r>
          </w:p>
        </w:tc>
        <w:tc>
          <w:tcPr>
            <w:tcW w:type="dxa" w:w="1370"/>
            <w:tcBorders>
              <w:top w:val="none" w:color="000000" w:sz="4"/>
              <w:left w:val="none" w:color="000000" w:sz="4"/>
              <w:bottom w:val="single" w:color="000000" w:sz="4"/>
              <w:right w:val="single" w:color="000000" w:sz="4"/>
            </w:tcBorders>
          </w:tcPr>
          <w:p>
            <w:pPr>
              <w:jc w:val="center"/>
            </w:pPr>
            <w:r>
              <w:rPr>
                <w:color w:val="000000"/>
                <w:sz w:val="21"/>
              </w:rPr>
              <w:t>2</w:t>
            </w:r>
            <w:r>
              <w:rPr>
                <w:color w:val="000000"/>
                <w:sz w:val="21"/>
              </w:rPr>
              <w:t>或3辆</w:t>
            </w:r>
          </w:p>
          <w:p>
            <w:pPr>
              <w:jc w:val="center"/>
            </w:pPr>
            <w:r>
              <w:rPr>
                <w:color w:val="000000"/>
                <w:sz w:val="21"/>
              </w:rPr>
              <w:t>100</w:t>
            </w:r>
            <w:r>
              <w:rPr>
                <w:color w:val="000000"/>
                <w:sz w:val="21"/>
              </w:rPr>
              <w:t>或150人</w:t>
            </w:r>
          </w:p>
        </w:tc>
        <w:tc>
          <w:tcPr>
            <w:tcW w:type="dxa" w:w="856"/>
            <w:tcBorders>
              <w:top w:val="none" w:color="000000" w:sz="4"/>
              <w:left w:val="none" w:color="000000" w:sz="4"/>
              <w:bottom w:val="single" w:color="000000" w:sz="4"/>
              <w:right w:val="single" w:color="000000" w:sz="4"/>
            </w:tcBorders>
          </w:tcPr>
          <w:p>
            <w:pPr>
              <w:jc w:val="center"/>
            </w:pPr>
            <w:r>
              <w:rPr>
                <w:color w:val="000000"/>
                <w:sz w:val="21"/>
              </w:rPr>
              <w:t>2</w:t>
            </w:r>
            <w:r>
              <w:rPr>
                <w:color w:val="000000"/>
                <w:sz w:val="21"/>
              </w:rPr>
              <w:t>辆</w:t>
            </w:r>
          </w:p>
          <w:p>
            <w:pPr>
              <w:jc w:val="center"/>
            </w:pPr>
            <w:r>
              <w:rPr>
                <w:color w:val="000000"/>
                <w:sz w:val="21"/>
              </w:rPr>
              <w:t>100</w:t>
            </w:r>
            <w:r>
              <w:rPr>
                <w:color w:val="000000"/>
                <w:sz w:val="21"/>
              </w:rPr>
              <w:t>人</w:t>
            </w:r>
          </w:p>
        </w:tc>
        <w:tc>
          <w:tcPr>
            <w:tcW w:type="dxa" w:w="1370"/>
            <w:tcBorders>
              <w:top w:val="none" w:color="000000" w:sz="4"/>
              <w:left w:val="none" w:color="000000" w:sz="4"/>
              <w:bottom w:val="single" w:color="000000" w:sz="4"/>
              <w:right w:val="single" w:color="000000" w:sz="4"/>
            </w:tcBorders>
          </w:tcPr>
          <w:p>
            <w:pPr>
              <w:jc w:val="center"/>
            </w:pPr>
            <w:r>
              <w:rPr>
                <w:color w:val="000000"/>
                <w:sz w:val="21"/>
              </w:rPr>
              <w:t>2</w:t>
            </w:r>
            <w:r>
              <w:rPr>
                <w:color w:val="000000"/>
                <w:sz w:val="21"/>
              </w:rPr>
              <w:t>或3辆</w:t>
            </w:r>
          </w:p>
          <w:p>
            <w:pPr>
              <w:jc w:val="center"/>
            </w:pPr>
            <w:r>
              <w:rPr>
                <w:color w:val="000000"/>
                <w:sz w:val="21"/>
              </w:rPr>
              <w:t>100</w:t>
            </w:r>
            <w:r>
              <w:rPr>
                <w:color w:val="000000"/>
                <w:sz w:val="21"/>
              </w:rPr>
              <w:t>或150人</w:t>
            </w:r>
          </w:p>
        </w:tc>
        <w:tc>
          <w:tcPr>
            <w:tcW w:type="dxa" w:w="599"/>
            <w:tcBorders>
              <w:top w:val="none" w:color="000000" w:sz="4"/>
              <w:left w:val="none" w:color="000000" w:sz="4"/>
              <w:bottom w:val="single" w:color="000000" w:sz="4"/>
              <w:right w:val="single" w:color="000000" w:sz="4"/>
            </w:tcBorders>
          </w:tcPr>
          <w:p>
            <w:pPr>
              <w:jc w:val="center"/>
            </w:pPr>
          </w:p>
        </w:tc>
      </w:tr>
      <w:tr>
        <w:tc>
          <w:tcPr>
            <w:tcW w:type="dxa" w:w="8306"/>
            <w:gridSpan w:val="8"/>
            <w:tcBorders>
              <w:top w:val="none" w:color="000000" w:sz="4"/>
              <w:left w:val="single" w:color="000000" w:sz="4"/>
              <w:bottom w:val="single" w:color="000000" w:sz="4"/>
              <w:right w:val="single" w:color="000000" w:sz="4"/>
            </w:tcBorders>
          </w:tcPr>
          <w:p>
            <w:pPr>
              <w:jc w:val="center"/>
            </w:pPr>
            <w:r>
              <w:rPr>
                <w:b/>
                <w:color w:val="000000"/>
                <w:sz w:val="21"/>
              </w:rPr>
              <w:t>每周可以运输550人或700人来回</w:t>
            </w:r>
          </w:p>
        </w:tc>
      </w:tr>
    </w:tbl>
    <w:p>
      <w:pPr>
        <w:ind w:firstLine="420"/>
        <w:jc w:val="both"/>
      </w:pPr>
      <w:r>
        <w:rPr>
          <w:color w:val="000000"/>
          <w:sz w:val="21"/>
        </w:rPr>
        <w:t>1</w:t>
      </w:r>
      <w:r>
        <w:rPr>
          <w:color w:val="000000"/>
          <w:sz w:val="21"/>
        </w:rPr>
        <w:t>、周日晚上安排1趟中巴。根据乘坐人员情况周一、周三、周五可安排两趟或三趟车往返本部与清远校区；</w:t>
      </w:r>
    </w:p>
    <w:p>
      <w:pPr>
        <w:ind w:firstLine="420"/>
        <w:jc w:val="both"/>
      </w:pPr>
      <w:r>
        <w:rPr>
          <w:color w:val="000000"/>
          <w:sz w:val="21"/>
        </w:rPr>
        <w:t>2</w:t>
      </w:r>
      <w:r>
        <w:rPr>
          <w:color w:val="000000"/>
          <w:sz w:val="21"/>
        </w:rPr>
        <w:t>、根据乘坐人员情况，灵活调整早上发出及从清远校区返回校本部的车辆数量及时间；</w:t>
      </w:r>
    </w:p>
    <w:p>
      <w:pPr>
        <w:ind w:firstLine="420"/>
        <w:jc w:val="both"/>
      </w:pPr>
      <w:r>
        <w:rPr>
          <w:color w:val="000000"/>
          <w:sz w:val="21"/>
        </w:rPr>
        <w:t>3</w:t>
      </w:r>
      <w:r>
        <w:rPr>
          <w:color w:val="000000"/>
          <w:sz w:val="21"/>
        </w:rPr>
        <w:t>、合同履行期限2年，具体以合同签订为准。</w:t>
      </w:r>
    </w:p>
    <w:p>
      <w:pPr>
        <w:ind w:firstLine="422"/>
        <w:jc w:val="both"/>
      </w:pPr>
      <w:r>
        <w:rPr>
          <w:b/>
          <w:color w:val="000000"/>
          <w:sz w:val="21"/>
        </w:rPr>
        <w:t>（三）清远校区医疗应急等保障用车</w:t>
      </w:r>
    </w:p>
    <w:p>
      <w:pPr>
        <w:ind w:firstLine="420"/>
        <w:jc w:val="both"/>
      </w:pPr>
      <w:r>
        <w:rPr>
          <w:color w:val="000000"/>
          <w:sz w:val="21"/>
        </w:rPr>
        <w:t>租用一台七座商务车作为校区医疗应急等保障用车（包司机全天24小时值班），在清远市内使用，每学期寒暑假除外。</w:t>
      </w:r>
    </w:p>
    <w:p/>
    <w:p>
      <w:pPr>
        <w:ind w:firstLine="480"/>
      </w:pPr>
    </w:p>
    <w:p/>
    <w:p>
      <w:r>
        <w:rPr/>
        <w:t>采购包1（广东金融学院2023-2025年交通车租车服务项目）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2年，具体以合同签订为准。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采购人须每天对中标人提供的车辆和司机进行核实登记并签字确认。中标人则每月提供车辆使用情况统计表（包括车辆信息、司机信息、租用天数、线路、服务质量等），经采购人签字确认后与每日车辆情况确认表、中标人违约情况汇总表等一并作为结算依据。 2. 租车服务费用按月结算，以实际使用的天数（清远线按趟数）结算，其中往返一次为一趟。按月以双方签字盖章确认的车辆使用统计表、违约金等作为结算依据，投标人开出正式税务发票，采购人自收到正式发票之日起15天内以银行转账的方式支付上月的租车服务费用。</w:t>
            </w:r>
          </w:p>
        </w:tc>
      </w:tr>
      <w:tr>
        <w:tc>
          <w:tcPr>
            <w:tcW w:type="dxa" w:w="4153"/>
          </w:tcPr>
          <w:p>
            <w:r>
              <w:rPr/>
              <w:t>验收要求</w:t>
            </w:r>
          </w:p>
        </w:tc>
        <w:tc>
          <w:tcPr>
            <w:tcW w:type="dxa" w:w="4153"/>
          </w:tcPr>
          <w:p/>
          <w:p/>
          <w:p/>
          <w:p>
            <w:r>
              <w:rPr/>
              <w:t>1期：采购人业务管理部门每月对中标人提供的车辆使用情况统计表进行核实确认。合同两年一签，由采购人组成验收小组，按照国家、学校有关规定及合同中对中标人提供的服务车辆、车辆保险、司机及服务质量等进行验收。</w:t>
            </w:r>
          </w:p>
        </w:tc>
      </w:tr>
      <w:tr>
        <w:tc>
          <w:tcPr>
            <w:tcW w:type="dxa" w:w="4153"/>
          </w:tcPr>
          <w:p>
            <w:r>
              <w:rPr/>
              <w:t>履约保证金</w:t>
            </w:r>
          </w:p>
        </w:tc>
        <w:tc>
          <w:tcPr>
            <w:tcW w:type="dxa" w:w="4153"/>
          </w:tcPr>
          <w:p/>
          <w:p/>
          <w:p/>
          <w:p/>
          <w:p>
            <w:r>
              <w:rPr/>
              <w:t>收取比例：5%,说明：合同执行期间，投标人须向采购人缴纳履约保证金，自中标通知书发出之日起15个工作日内向采购人缴纳履约保证金，金额为预算总额的5%。如有相关违约责任，投标人需支付相关违约金。如违约金累计发生数超过履约保证金，则采购人有权单方面与中标人解除该合同，并不予退回中标人履约保证金。合同期满或提前终止时，除本合同另有约定外，若中标人已全面履行本合同约定的责任和义务并已缴清所有应交款项的，中标人可凭保证金收据无息退回履约保证金，采购人于接到申请后15个工作日内将履约保证金无息退回中标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广东金融学院2023-2025年交通车租车服务项目</w:t>
            </w:r>
          </w:p>
        </w:tc>
        <w:tc>
          <w:tcPr>
            <w:tcW w:type="dxa" w:w="831"/>
          </w:tcPr>
          <w:p>
            <w:pPr>
              <w:jc w:val="left"/>
            </w:pPr>
            <w:r>
              <w:rPr/>
              <w:t>项</w:t>
            </w:r>
          </w:p>
        </w:tc>
        <w:tc>
          <w:tcPr>
            <w:tcW w:type="dxa" w:w="831"/>
          </w:tcPr>
          <w:p>
            <w:pPr>
              <w:jc w:val="right"/>
            </w:pPr>
            <w:r>
              <w:rPr/>
              <w:t>1.00</w:t>
            </w:r>
          </w:p>
        </w:tc>
        <w:tc>
          <w:tcPr>
            <w:tcW w:type="dxa" w:w="831"/>
          </w:tcPr>
          <w:p>
            <w:pPr>
              <w:jc w:val="right"/>
            </w:pPr>
            <w:r>
              <w:rPr/>
              <w:t>4,500,000.00</w:t>
            </w:r>
          </w:p>
        </w:tc>
        <w:tc>
          <w:tcPr>
            <w:tcW w:type="dxa" w:w="831"/>
          </w:tcPr>
          <w:p>
            <w:pPr>
              <w:jc w:val="right"/>
            </w:pPr>
            <w:r>
              <w:rPr/>
              <w:t>4,500,000.00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广东金融学院2023-2025年交通车租车服务项目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rPr>
              <w:t>项目服务要求</w:t>
            </w:r>
          </w:p>
          <w:p>
            <w:r>
              <w:rPr/>
              <w:t>1．投标人必须服从采购人的管理和协调，按照采购人上下班线路的要求定点、定时、定线路运行</w:t>
            </w:r>
            <w:r>
              <w:rPr>
                <w:b/>
              </w:rPr>
              <w:t>（详见附件1）</w:t>
            </w:r>
            <w:r>
              <w:rPr/>
              <w:t>，配合采购人做好租车服务工作。</w:t>
            </w:r>
          </w:p>
          <w:p>
            <w:r>
              <w:rPr/>
              <w:t>2．车容车貌整洁卫生，车内空调、窗帘等设施齐全，性能良好，使用正常。做好疫情常规防控措施，每月提供车辆卫生消毒记录备案。投标人提供的车辆必须符合国家、行业技术要求，并且不低于采购人座位数要求的冷气巴士，其使用年限不得超过6年（须提供汽车行驶证及交管部门颁发有效期内，计算日期含2023年9月1日），须提供车辆的行驶证复印件等证明资料。车况良好，应符合安全行驶有关规定要求，并按交通道路管理局规定购买所有车辆相关保险。</w:t>
            </w:r>
          </w:p>
          <w:p>
            <w:r>
              <w:rPr/>
              <w:t>3．投标人提供的车辆必须符合国家规定环保及安全等要求，车辆在使用期间如确需维修或保养，或需要年审、季审、接受定期检审或经采购人认可的合理因素而造成需要暂停运行，投标人必须调派经采购人确认的同等条件的车辆供采购人使用。</w:t>
            </w:r>
          </w:p>
          <w:p>
            <w:r>
              <w:rPr/>
              <w:t>4．服务车辆车内加装电子除菌清新器，座椅套、车内窗帘布每两周进行清洗，每天清洗车辆外表，车辆配置应急药箱。</w:t>
            </w:r>
          </w:p>
          <w:p>
            <w:r>
              <w:rPr/>
              <w:t>5．投标人提供的车辆必须在规定时间准时到达起点站，若因故未能及时到达起点站，应立即做好应对措施，且必须保证所有乘客的安全，由此所发生费用由投标人负责；如车辆途中故障排除超过20分钟，投标人不能在20分钟内安排应急车辆到达现场时，采购人有权安排乘客按照4人一车的标准，转乘其他交通工具前往目的地，由此所发生的费用由投标人负责。故障及特殊原因需更换车辆，需取得采购人书面同意，否则视为违约责任。</w:t>
            </w:r>
          </w:p>
          <w:p>
            <w:r>
              <w:rPr/>
              <w:t>6．如教学需要临时增加车辆，投标人必须有能力满足要求，结算标准和方式按该租赁车辆的标准和方式进行。</w:t>
            </w:r>
          </w:p>
          <w:p>
            <w:r>
              <w:rPr/>
              <w:t>7．投标人驾驶员必须遵守交通规则，安全、文明驾驶，并自行处理租赁车辆的相关问题，如造成交通事故或乘客损伤，或因此产生机动车相关司法纠纷，由投标人承担全部责任，给采购人造成损失的，采购人有权向投标人要求赔偿。</w:t>
            </w:r>
          </w:p>
          <w:p>
            <w:r>
              <w:rPr/>
              <w:t>8.在合同履行期间，投标人拟派驻的班车司机为所在公司在职人员（年龄为55岁（含55周岁）以下），提供近半年的社保证明，具有五年以上（含五年）准驾车型（A1证）的驾驶资格及驾驶经验，且责任心强、身体健康、遵纪守法，无不良嗜好。派驻清远校区值班车司机须相对固定，年龄为58周岁以下，责任心强、身体健康、遵纪守法，无不良嗜好，并具有五年以上（含五年）准驾车型（B1证以上）的驾驶资格及驾驶经验。如临时更换司机，需提前取得采购人同意，且应符合以上相关要求。</w:t>
            </w:r>
          </w:p>
          <w:p>
            <w:r>
              <w:rPr/>
              <w:t>9．所有司机在本项目上岗前，须向采购人提交一个月内二甲以上医院出具的合格的体检证明及符合各服务属地疾控防疫要求的相关证明，费用自理。</w:t>
            </w:r>
          </w:p>
          <w:p>
            <w:r>
              <w:rPr/>
              <w:t>10．采购人有权根据需要适当调整用车天数和用车数量，各线路在不增加里程的基础上，对行车路线、上、下落点和时间做出调整，投标人不得另行收费；在服务现场的采购人的乘车人员必须服从投标人人员的指导。在特殊情况下（如修路、塞车等）采购人有权改变原定线路，投标人应配合采购人的线路暂时更改，其所造成的路桥费用由采购人负责。</w:t>
            </w:r>
          </w:p>
          <w:p>
            <w:r>
              <w:rPr/>
              <w:t>11．合同执行期间，投标人须向采购人提供的服务车辆购买车上人员责任险（承运人责任险），保险费率标准不低于广州市赔付标准，且车上人员责任险（承运人责任险）座均保额须（不低于）40万元/人/年。</w:t>
            </w:r>
          </w:p>
        </w:tc>
      </w:tr>
      <w:tr>
        <w:tc>
          <w:tcPr>
            <w:tcW w:type="dxa" w:w="2076"/>
          </w:tcPr>
          <w:p/>
        </w:tc>
        <w:tc>
          <w:tcPr>
            <w:tcW w:type="dxa" w:w="415"/>
          </w:tcPr>
          <w:p>
            <w:r>
              <w:rPr/>
              <w:t>2</w:t>
            </w:r>
          </w:p>
        </w:tc>
        <w:tc>
          <w:tcPr>
            <w:tcW w:type="dxa" w:w="5814"/>
          </w:tcPr>
          <w:p>
            <w:pPr>
              <w:jc w:val="both"/>
            </w:pPr>
            <w:r>
              <w:rPr>
                <w:b/>
              </w:rPr>
              <w:t>项目费用</w:t>
            </w:r>
          </w:p>
          <w:p>
            <w:r>
              <w:rPr/>
              <w:t>费用全包，根据实际发生数按月结算。承包范围内服务车辆所发生的一切费用【包含车辆相关保险、年审、轮胎、维修保养、路桥费、年票、税费、租赁费、供养、税金、营运费、管理费、司机工资福利及餐费、燃油费、车辆购置费、利润、停车费、购置足额车上人员责任险（承运人责任险）【人均保额须在40万元/人/年及以上，及乘客意外事故险、第三者商业责任险（每车300万元/车/年）、车辆保洁用品等一切费用】，均由投标人自行负责。</w:t>
            </w:r>
          </w:p>
        </w:tc>
      </w:tr>
      <w:tr>
        <w:tc>
          <w:tcPr>
            <w:tcW w:type="dxa" w:w="2076"/>
          </w:tcPr>
          <w:p/>
        </w:tc>
        <w:tc>
          <w:tcPr>
            <w:tcW w:type="dxa" w:w="415"/>
          </w:tcPr>
          <w:p>
            <w:r>
              <w:rPr/>
              <w:t>3</w:t>
            </w:r>
          </w:p>
        </w:tc>
        <w:tc>
          <w:tcPr>
            <w:tcW w:type="dxa" w:w="5814"/>
          </w:tcPr>
          <w:p>
            <w:pPr>
              <w:jc w:val="both"/>
            </w:pPr>
            <w:r>
              <w:rPr>
                <w:b/>
              </w:rPr>
              <w:t>报价要求</w:t>
            </w:r>
          </w:p>
          <w:p>
            <w:r>
              <w:rPr/>
              <w:t>1.本项目报价折扣率，根据提供的采购清单进行报价。范围为0﹤投标折扣率≤100%，且固定唯一，不能为区间值。根据中标人的折扣率报价、实际车辆天/趟数进行结算。</w:t>
            </w:r>
          </w:p>
          <w:p>
            <w:r>
              <w:rPr/>
              <w:t>2.本项目的租车报价已经包含服务车辆所发生的一切费用及其他不可预见的费用，采购人不再额外支付其它费用。</w:t>
            </w:r>
          </w:p>
          <w:p>
            <w:r>
              <w:rPr/>
              <w:t>3.投标人应注意下浮率与折扣率的区别。</w:t>
            </w:r>
          </w:p>
          <w:p>
            <w:r>
              <w:rPr/>
              <w:t>例如：某商品原价100元，现折扣率90%，实际价格=100*90%=90元；</w:t>
            </w:r>
          </w:p>
          <w:p>
            <w:r>
              <w:rPr/>
              <w:t>某商品原价100元，现下浮率20%，实际价格=100*（1-20%）=80元。</w:t>
            </w:r>
          </w:p>
        </w:tc>
      </w:tr>
      <w:tr>
        <w:tc>
          <w:tcPr>
            <w:tcW w:type="dxa" w:w="2076"/>
          </w:tcPr>
          <w:p/>
        </w:tc>
        <w:tc>
          <w:tcPr>
            <w:tcW w:type="dxa" w:w="415"/>
          </w:tcPr>
          <w:p>
            <w:r>
              <w:rPr/>
              <w:t>4</w:t>
            </w:r>
          </w:p>
        </w:tc>
        <w:tc>
          <w:tcPr>
            <w:tcW w:type="dxa" w:w="5814"/>
          </w:tcPr>
          <w:p>
            <w:pPr>
              <w:jc w:val="both"/>
            </w:pPr>
            <w:r>
              <w:rPr>
                <w:b/>
              </w:rPr>
              <w:t>违约责任</w:t>
            </w:r>
          </w:p>
          <w:p>
            <w:r>
              <w:rPr/>
              <w:t>1.合同执行期间，中标人提供的车辆须无条件服从采购人的调度，如因采购人上下课时间有调整的，中标人须按调整后的接送时间完成接送服务，否则按当日所有车辆合计金额的30%支付违约金。</w:t>
            </w:r>
          </w:p>
          <w:p>
            <w:r>
              <w:rPr/>
              <w:t>2.合同执行期间，必须按规定时间准时发车，否则中标人需支付违约金500元/车次。</w:t>
            </w:r>
          </w:p>
          <w:p>
            <w:r>
              <w:rPr/>
              <w:t>3.合同执行期间，中标人未经采购人书面同意，不得随意更（替）换投标文件中承诺投入的车辆，否则每更换一次，中标人需支付违约金3000元。</w:t>
            </w:r>
          </w:p>
          <w:p>
            <w:r>
              <w:rPr/>
              <w:t>4.合同执行期间，中标人未经采购人书面同意，不得更（替）换投标文件中承诺投入的司机，否则每更换一次，中标人需支付违约金1000元。</w:t>
            </w:r>
          </w:p>
          <w:p>
            <w:r>
              <w:rPr/>
              <w:t>5.违约金在当月交通车租车服务费中扣减。</w:t>
            </w:r>
          </w:p>
          <w:p>
            <w:r>
              <w:rPr/>
              <w:t>6. 如因中标人的原因未能及时签订合同导致无法按时提供租车服务的，给采购人造成的一切损失，均由中标人承担，且采购人有权不予退还履约保证金。若中标人擅自单方面解除合同，给采购人造成的损失均由中标人承担，且采购人有权不予退还履约保证金并有权追究中标人法律责任和经济责任。</w:t>
            </w:r>
          </w:p>
          <w:p>
            <w:r>
              <w:rPr/>
              <w:t>7.合同成立后，若中标人不按合同履行职责导致对采购人安全生产、名誉、形象等造成影响，采购人有权终止合同，履约保证金不予退还。</w:t>
            </w:r>
          </w:p>
          <w:p>
            <w:r>
              <w:rPr>
                <w:b/>
              </w:rPr>
              <w:t>8. ★中标人应保证固定服务车辆和服务司机，因故需要变更的，更（替）换服务车辆和服务司机不得低于投标文件所报的标准，且须经采购人书面同意；车辆在使用期间如需维修或保养，接受定期检审或其他经采购人认可的合理因素、确实需要调整车辆的，中标人必须调派同等条件或以上的车辆，并提前向采购人申请，经采购人书面同意后方可调整。中标后不得分包、转包，不得部分或全部转让其履行的合同义务。在服务过程中，如采购人发现中标人有分包、转包情况，或提供服务的车辆与投标承诺的车辆不相符，或委派司机与投标承诺的人员不相符，采购人有权终止合同，不予退还履约保证金并有权追究其法律责任和经济责任 (须提供加盖中标人公章的承诺函)。</w:t>
            </w:r>
          </w:p>
          <w:p>
            <w:r>
              <w:rPr/>
              <w:t>9.中标人不履行合同义务或者履行合同义务不符合约定的，均构成违约，应当承担继续履行、采取补救措施或者赔偿损失等违约责任。违约方在履行义务或者采取补救措施后，守约方还有其他损失的，应当赔偿守约方的损失。</w:t>
            </w:r>
          </w:p>
        </w:tc>
      </w:tr>
      <w:tr>
        <w:tc>
          <w:tcPr>
            <w:tcW w:type="dxa" w:w="2076"/>
          </w:tcPr>
          <w:p/>
        </w:tc>
        <w:tc>
          <w:tcPr>
            <w:tcW w:type="dxa" w:w="415"/>
          </w:tcPr>
          <w:p>
            <w:r>
              <w:rPr/>
              <w:t>5</w:t>
            </w:r>
          </w:p>
        </w:tc>
        <w:tc>
          <w:tcPr>
            <w:tcW w:type="dxa" w:w="5814"/>
          </w:tcPr>
          <w:p>
            <w:pPr>
              <w:jc w:val="both"/>
            </w:pPr>
            <w:r>
              <w:rPr>
                <w:b/>
              </w:rPr>
              <w:t>双方的权利和义务</w:t>
            </w:r>
          </w:p>
          <w:p>
            <w:r>
              <w:rPr/>
              <w:t>（一）采购人的权利和义务</w:t>
            </w:r>
          </w:p>
          <w:p>
            <w:r>
              <w:rPr/>
              <w:t>1．采购人有权随时检查中标人的服务履行情况，并向中标人提供整改要求。</w:t>
            </w:r>
          </w:p>
          <w:p>
            <w:r>
              <w:rPr/>
              <w:t>（1）当发生服务违约时，则采购人有权要求中标人赔偿。</w:t>
            </w:r>
          </w:p>
          <w:p>
            <w:r>
              <w:rPr/>
              <w:t>（2）在中标人提供服务时，如对采购人的设施造成了损坏，采购人有权要求中标人赔偿。</w:t>
            </w:r>
          </w:p>
          <w:p>
            <w:r>
              <w:rPr/>
              <w:t>（3）采购人应按合同规定向中标人支付服务费用。</w:t>
            </w:r>
          </w:p>
          <w:p>
            <w:r>
              <w:rPr/>
              <w:t>（二）中标人的权利和义务</w:t>
            </w:r>
          </w:p>
          <w:p>
            <w:r>
              <w:rPr/>
              <w:t>（1）中标人应按招标文件的要求、投标文件的承诺和和合同维护细则要求执行进行服务，发生任何服务的变更均须向采购人提出交书面报审报告。</w:t>
            </w:r>
          </w:p>
          <w:p>
            <w:r>
              <w:rPr/>
              <w:t>（2）中标人有权要求采购人按时支付服务费用。如采购人不按时支付中标人有权要求采购人支付滞纳金。</w:t>
            </w:r>
          </w:p>
          <w:p>
            <w:r>
              <w:rPr/>
              <w:t>（3）中标人在提供服务时如损坏了采购人的设施，中标人应照价赔偿或更换同等设施。若因设施的损坏而引起其它损失的，中标人应赔偿采购人的全部损失。</w:t>
            </w:r>
          </w:p>
          <w:p>
            <w:r>
              <w:rPr/>
              <w:t>（4）未经采购人书面同意，中标人不得转让本合同义务。</w:t>
            </w:r>
          </w:p>
          <w:p>
            <w:r>
              <w:rPr/>
              <w:t>（5）签订合同时中标人需提供车上人员责任险（承运人责任险）(赔保额不少于40万元/人/年）。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广东金融学院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采购机构代理服务收费标准：中标人须向采购代理机构按如下标准和规定缴纳招标代理服务费（不含税价）： （1）以预算总金额作为招标代理服务费的计算基数； （2）招标代理服务费采用差额定率累进法进行计算，按照以下标准计算计取： 100万元以下的部分，按照1.5%计取； 100-500万元的部分，按照0.8%计取。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便利化措施，投标文件的递交与开标 ： 1.各投标人可以通过“中国邮政”、“EMS”、“顺丰快递”等快递方式，按照采购文件要求在规定的投标截止时间前将《投标文件》及相关样品（如有）送达到开标地点，快递单上应清晰写明如下信息：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需现场陈述的项目，请投标人派代表参与。 2. 通过快递方式递交《投标文件》及相关样品（如有）的，递交时间为送达我司由我司前台人员签收的时间，请投标人预留邮寄所需的时间。建议投标人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人自行承担相应责任与后果，我司不承担责任。  4. 投标人未参加现场开标的，视同认可开标结果。  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金融学院2023-2025年交通车租车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采购包1（广东金融学院2023-2025年交通车租车服务项目）：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采购包1（广东金融学院2023-2025年交通车租车服务项目）：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投标人具有交通运输主管部门核发的相关有效的道路运输经营许可证。</w:t>
            </w:r>
          </w:p>
        </w:tc>
      </w:tr>
      <w:tr>
        <w:tc>
          <w:tcPr>
            <w:tcW w:type="dxa" w:w="890"/>
          </w:tcPr>
          <w:p>
            <w:r>
              <w:rPr/>
              <w:t>9</w:t>
            </w:r>
          </w:p>
        </w:tc>
        <w:tc>
          <w:tcPr>
            <w:tcW w:type="dxa" w:w="3178"/>
          </w:tcPr>
          <w:p>
            <w:r>
              <w:rPr/>
              <w:t>其他</w:t>
            </w:r>
          </w:p>
        </w:tc>
        <w:tc>
          <w:tcPr>
            <w:tcW w:type="dxa" w:w="4238"/>
          </w:tcPr>
          <w:p>
            <w:r>
              <w:rPr/>
              <w:t>本采购包不接受联合体投标。</w:t>
            </w:r>
          </w:p>
        </w:tc>
      </w:tr>
    </w:tbl>
    <w:p/>
    <w:p>
      <w:pPr>
        <w:ind w:firstLine="480"/>
      </w:pPr>
      <w:r>
        <w:rPr/>
        <w:t>表二符合性审查表：</w:t>
      </w:r>
    </w:p>
    <w:p>
      <w:pPr>
        <w:ind w:firstLine="480"/>
      </w:pPr>
    </w:p>
    <w:p/>
    <w:p>
      <w:r>
        <w:rPr/>
        <w:t>采购包1（广东金融学院2023-2025年交通车租车服务项目）：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投标文件按照招标文件规定要求签署、盖章，包含：①投标函；②法定代表人证明书或法定代表人授权书；③开标一览表；④分项报价表（如有）</w:t>
            </w:r>
          </w:p>
        </w:tc>
      </w:tr>
      <w:tr>
        <w:tc>
          <w:tcPr>
            <w:tcW w:type="dxa" w:w="890"/>
          </w:tcPr>
          <w:p>
            <w:r>
              <w:rPr/>
              <w:t>3</w:t>
            </w:r>
          </w:p>
        </w:tc>
        <w:tc>
          <w:tcPr>
            <w:tcW w:type="dxa" w:w="3178"/>
          </w:tcPr>
          <w:p>
            <w:r>
              <w:rPr/>
              <w:t>投标报价</w:t>
            </w:r>
          </w:p>
        </w:tc>
        <w:tc>
          <w:tcPr>
            <w:tcW w:type="dxa" w:w="4238"/>
          </w:tcPr>
          <w:p>
            <w:r>
              <w:rPr/>
              <w:t>投标报价符合招标文件要求的。</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采购包1(广东金融学院2023-2025年交通车租车服务项目):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制度保障及车辆管理措施 (5.0分)</w:t>
            </w:r>
            <w:r>
              <w:rPr/>
              <w:t>，（等次分值选择：</w:t>
            </w:r>
            <w:r>
              <w:rPr/>
              <w:t>0.0;</w:t>
            </w:r>
            <w:r>
              <w:rPr/>
              <w:t>1.0;</w:t>
            </w:r>
            <w:r>
              <w:rPr/>
              <w:t>2.0;</w:t>
            </w:r>
            <w:r>
              <w:rPr/>
              <w:t>3.0;</w:t>
            </w:r>
            <w:r>
              <w:rPr/>
              <w:t>5.0;</w:t>
            </w:r>
            <w:r>
              <w:rPr/>
              <w:t>）</w:t>
            </w:r>
          </w:p>
        </w:tc>
        <w:tc>
          <w:tcPr>
            <w:tcW w:type="dxa" w:w="5076"/>
          </w:tcPr>
          <w:p>
            <w:pPr>
              <w:jc w:val="left"/>
            </w:pPr>
            <w:r>
              <w:rPr/>
              <w:t>根据投标人提供的制度保障措施（包括但不限于车辆安全检查管理、实施规范服务、优质服务的各项规章制度等）进行评审： 1.制度保障措施完善合理、具有针对性、切合实际、可操作性强，得5分； 2.制度保障措施较完善合理、具有针对性、较切合实际、可操作性较强，得3分； 3.制度保障措施基本完善合理、具有一定针对性、基本切合实际、可操作性欠缺，得2分； 4.制度保障措施不完善合理、不具有针对性、不切合实际、不具有可操作性，得1分； 5.未体现上述内容的不得分。</w:t>
            </w:r>
          </w:p>
        </w:tc>
      </w:tr>
      <w:tr>
        <w:tc>
          <w:tcPr>
            <w:tcW w:type="dxa" w:w="922"/>
            <w:gridSpan w:val="2"/>
            <w:vMerge/>
          </w:tcPr>
          <w:p/>
        </w:tc>
        <w:tc>
          <w:tcPr>
            <w:tcW w:type="dxa" w:w="2307"/>
          </w:tcPr>
          <w:p>
            <w:pPr>
              <w:jc w:val="left"/>
            </w:pPr>
            <w:r>
              <w:rPr/>
              <w:t>车辆保障措施 (5.0分)</w:t>
            </w:r>
            <w:r>
              <w:rPr/>
              <w:t>，（等次分值选择：</w:t>
            </w:r>
            <w:r>
              <w:rPr/>
              <w:t>0.0;</w:t>
            </w:r>
            <w:r>
              <w:rPr/>
              <w:t>1.0;</w:t>
            </w:r>
            <w:r>
              <w:rPr/>
              <w:t>2.0;</w:t>
            </w:r>
            <w:r>
              <w:rPr/>
              <w:t>3.0;</w:t>
            </w:r>
            <w:r>
              <w:rPr/>
              <w:t>5.0;</w:t>
            </w:r>
            <w:r>
              <w:rPr/>
              <w:t>）</w:t>
            </w:r>
          </w:p>
        </w:tc>
        <w:tc>
          <w:tcPr>
            <w:tcW w:type="dxa" w:w="5076"/>
          </w:tcPr>
          <w:p>
            <w:pPr>
              <w:jc w:val="left"/>
            </w:pPr>
            <w:r>
              <w:rPr/>
              <w:t>根据投标人提供的车辆保障措施方案（包括但不限于车内设施齐全、车辆空调系统良好、车辆清洗消毒、自检等）进行评审： 1.车辆保障措施内容完善合理，切合实际，可操作性强，得5分； 2.车辆保障措施内容较完善合理，较切合实际，可操作性较强，得3分； 3.车辆保障措施内容基本完善合理，基本切合实际，可操作性欠缺，得2分； 4.车辆保障措施内容不完善合理，不切合实际，可操作性低，得1分； 5.未体现上述内容的不得分。</w:t>
            </w:r>
          </w:p>
        </w:tc>
      </w:tr>
      <w:tr>
        <w:tc>
          <w:tcPr>
            <w:tcW w:type="dxa" w:w="922"/>
            <w:gridSpan w:val="2"/>
            <w:vMerge/>
          </w:tcPr>
          <w:p/>
        </w:tc>
        <w:tc>
          <w:tcPr>
            <w:tcW w:type="dxa" w:w="2307"/>
          </w:tcPr>
          <w:p>
            <w:pPr>
              <w:jc w:val="left"/>
            </w:pPr>
            <w:r>
              <w:rPr/>
              <w:t>运营服务方案 (5.0分)</w:t>
            </w:r>
            <w:r>
              <w:rPr/>
              <w:t>，（等次分值选择：</w:t>
            </w:r>
            <w:r>
              <w:rPr/>
              <w:t>0.0;</w:t>
            </w:r>
            <w:r>
              <w:rPr/>
              <w:t>1.0;</w:t>
            </w:r>
            <w:r>
              <w:rPr/>
              <w:t>3.0;</w:t>
            </w:r>
            <w:r>
              <w:rPr/>
              <w:t>5.0;</w:t>
            </w:r>
            <w:r>
              <w:rPr/>
              <w:t>）</w:t>
            </w:r>
          </w:p>
        </w:tc>
        <w:tc>
          <w:tcPr>
            <w:tcW w:type="dxa" w:w="5076"/>
          </w:tcPr>
          <w:p>
            <w:pPr>
              <w:jc w:val="left"/>
            </w:pPr>
            <w:r>
              <w:rPr/>
              <w:t>根据投标人提供运营服务方案（包括但不限于车辆出发到达准点、售后服务反馈改进、司机仪容仪表、文明礼仪规范等）进行评审： 1.运营服务方案完善齐全合理，可操作性强，得5分； 2.运营服务方案较完善齐全合理，可操作性较强，得3分； 3.运营服务方案一般，基本满足要求，得1分； 4.有提供运营服务方案，但不齐全，得0分。</w:t>
            </w:r>
          </w:p>
        </w:tc>
      </w:tr>
      <w:tr>
        <w:tc>
          <w:tcPr>
            <w:tcW w:type="dxa" w:w="922"/>
            <w:gridSpan w:val="2"/>
            <w:vMerge/>
          </w:tcPr>
          <w:p/>
        </w:tc>
        <w:tc>
          <w:tcPr>
            <w:tcW w:type="dxa" w:w="2307"/>
          </w:tcPr>
          <w:p>
            <w:pPr>
              <w:jc w:val="left"/>
            </w:pPr>
            <w:r>
              <w:rPr/>
              <w:t>应急方案 (5.0分)</w:t>
            </w:r>
            <w:r>
              <w:rPr/>
              <w:t>，（等次分值选择：</w:t>
            </w:r>
            <w:r>
              <w:rPr/>
              <w:t>0.0;</w:t>
            </w:r>
            <w:r>
              <w:rPr/>
              <w:t>1.0;</w:t>
            </w:r>
            <w:r>
              <w:rPr/>
              <w:t>2.0;</w:t>
            </w:r>
            <w:r>
              <w:rPr/>
              <w:t>3.0;</w:t>
            </w:r>
            <w:r>
              <w:rPr/>
              <w:t>5.0;</w:t>
            </w:r>
            <w:r>
              <w:rPr/>
              <w:t>）</w:t>
            </w:r>
          </w:p>
        </w:tc>
        <w:tc>
          <w:tcPr>
            <w:tcW w:type="dxa" w:w="5076"/>
          </w:tcPr>
          <w:p>
            <w:pPr>
              <w:jc w:val="left"/>
            </w:pPr>
            <w:r>
              <w:rPr/>
              <w:t>根据投标人提供的突发情况的应急方案（包括但不限于对于应急情况采取应急措施的响应时间、对于应急情况的到达现场处理时间、对于不同应急情况的处理方式、对于不同应急情况的对接人员等）进行评审： 1.方案内容完善合理，切合实际，可操作性强，得5分； 2.方案内容较完善合理，较切合实际，可操作性较强，得3分； 3.方案内容基本完善合理，基本切合实际，可操作性欠缺，得2分； 4.方案内容不完善合理，不切合实际，可操作性低，得1分； 5.未体现上述内容的不得分。</w:t>
            </w:r>
          </w:p>
        </w:tc>
      </w:tr>
      <w:tr>
        <w:tc>
          <w:tcPr>
            <w:tcW w:type="dxa" w:w="922"/>
            <w:gridSpan w:val="2"/>
            <w:vMerge/>
          </w:tcPr>
          <w:p/>
        </w:tc>
        <w:tc>
          <w:tcPr>
            <w:tcW w:type="dxa" w:w="2307"/>
          </w:tcPr>
          <w:p>
            <w:pPr>
              <w:jc w:val="left"/>
            </w:pPr>
            <w:r>
              <w:rPr/>
              <w:t>车辆保险方案 (10.0分)</w:t>
            </w:r>
          </w:p>
        </w:tc>
        <w:tc>
          <w:tcPr>
            <w:tcW w:type="dxa" w:w="5076"/>
          </w:tcPr>
          <w:p>
            <w:pPr>
              <w:jc w:val="left"/>
            </w:pPr>
            <w:r>
              <w:rPr/>
              <w:t>1、根据投标人提供（拟投入12辆租用车）购买车上人员责任险（承运人责任险）的承诺进行评分： 全部车辆每个座位车上人员责任险（承运人责任险）赔偿额80万元或以上，得8分； 全部车辆每个座位车上人员责任险（承运人责任险）赔偿额60万元（含）-80万，得6分； 全部车辆每个座位车上人员责任险（承运人责任险）赔偿额40万元（含）-60万元,得4分。 2、第三者责任险：   每车/年≥400万，得2分；   每车/年≥300万，得1分。 注：1.提供承诺函，格式自拟； 2.如未按投标承诺提供，按虚假应标处理。</w:t>
            </w:r>
          </w:p>
        </w:tc>
      </w:tr>
      <w:tr>
        <w:tc>
          <w:tcPr>
            <w:tcW w:type="dxa" w:w="922"/>
            <w:gridSpan w:val="2"/>
            <w:vMerge/>
          </w:tcPr>
          <w:p/>
        </w:tc>
        <w:tc>
          <w:tcPr>
            <w:tcW w:type="dxa" w:w="2307"/>
          </w:tcPr>
          <w:p>
            <w:pPr>
              <w:jc w:val="left"/>
            </w:pPr>
            <w:r>
              <w:rPr/>
              <w:t>投标人持有车辆情况 (10.0分)</w:t>
            </w:r>
          </w:p>
        </w:tc>
        <w:tc>
          <w:tcPr>
            <w:tcW w:type="dxa" w:w="5076"/>
          </w:tcPr>
          <w:p>
            <w:pPr>
              <w:jc w:val="left"/>
            </w:pPr>
            <w:r>
              <w:rPr/>
              <w:t>投标人为采购人提供的车辆15辆（含）以上的得10分; 14-10 辆的得7分； 9-5 辆的得4分； 5辆以下的得0分。 注：1.须提供上述车辆的行驶证并加盖投标人公章； 2.车辆行驶证名称须与投标人名称一致。</w:t>
            </w:r>
          </w:p>
        </w:tc>
      </w:tr>
      <w:tr>
        <w:tc>
          <w:tcPr>
            <w:tcW w:type="dxa" w:w="922"/>
            <w:gridSpan w:val="2"/>
            <w:vMerge w:val="restart"/>
          </w:tcPr>
          <w:p>
            <w:pPr>
              <w:jc w:val="center"/>
            </w:pPr>
            <w:r>
              <w:rPr/>
              <w:t>商务部分</w:t>
            </w:r>
          </w:p>
        </w:tc>
        <w:tc>
          <w:tcPr>
            <w:tcW w:type="dxa" w:w="2307"/>
          </w:tcPr>
          <w:p>
            <w:pPr>
              <w:jc w:val="left"/>
            </w:pPr>
            <w:r>
              <w:rPr/>
              <w:t>同类项目业绩 (9.0分)</w:t>
            </w:r>
          </w:p>
        </w:tc>
        <w:tc>
          <w:tcPr>
            <w:tcW w:type="dxa" w:w="5076"/>
          </w:tcPr>
          <w:p>
            <w:pPr>
              <w:jc w:val="left"/>
            </w:pPr>
            <w:r>
              <w:rPr/>
              <w:t>2020年1月1日以来（以合同签订时间为准）提供汽车租赁服务经验，每提供一项得1分，最高得9分。 注：1.提供合同复印件＋中标通知书/成交通知书，否则不得分。同一个项目分多年度签订合同的，按一项计分。 2.若签订合同在履约期间提前终止，不得计算得分。</w:t>
            </w:r>
          </w:p>
        </w:tc>
      </w:tr>
      <w:tr>
        <w:tc>
          <w:tcPr>
            <w:tcW w:type="dxa" w:w="922"/>
            <w:gridSpan w:val="2"/>
            <w:vMerge/>
          </w:tcPr>
          <w:p/>
        </w:tc>
        <w:tc>
          <w:tcPr>
            <w:tcW w:type="dxa" w:w="2307"/>
          </w:tcPr>
          <w:p>
            <w:pPr>
              <w:jc w:val="left"/>
            </w:pPr>
            <w:r>
              <w:rPr/>
              <w:t>投标人综合实力 (6.0分)</w:t>
            </w:r>
          </w:p>
        </w:tc>
        <w:tc>
          <w:tcPr>
            <w:tcW w:type="dxa" w:w="5076"/>
          </w:tcPr>
          <w:p>
            <w:pPr>
              <w:jc w:val="left"/>
            </w:pPr>
            <w:r>
              <w:rPr/>
              <w:t>投标人具有有效期内的质量管理体系认证证书、环境管理体系认证证书、职业健康安全管理体系认证证书，提供一个得2分，本项最高得6分。 注：须提供有效期内的认证证书复印件并同时提供网上查询打印页 (网址以http://cxcnca.cn网站公布为准),如网上无法查询或与公开信息不一致的，投标人必须提供发证机构出具的证明函。</w:t>
            </w:r>
          </w:p>
        </w:tc>
      </w:tr>
      <w:tr>
        <w:tc>
          <w:tcPr>
            <w:tcW w:type="dxa" w:w="922"/>
            <w:gridSpan w:val="2"/>
            <w:vMerge/>
          </w:tcPr>
          <w:p/>
        </w:tc>
        <w:tc>
          <w:tcPr>
            <w:tcW w:type="dxa" w:w="2307"/>
          </w:tcPr>
          <w:p>
            <w:pPr>
              <w:jc w:val="left"/>
            </w:pPr>
            <w:r>
              <w:rPr/>
              <w:t>车龄情况 (15.0分)</w:t>
            </w:r>
          </w:p>
        </w:tc>
        <w:tc>
          <w:tcPr>
            <w:tcW w:type="dxa" w:w="5076"/>
          </w:tcPr>
          <w:p>
            <w:pPr>
              <w:jc w:val="left"/>
            </w:pPr>
            <w:r>
              <w:rPr/>
              <w:t>考核各供应商针对本项目所拟安派车辆的车龄情况： 车龄（在3年以内的），每台得1.5分； 车龄（在4年以内的），每台得1分； 车龄（在5年以内的），每台得0.5分。 车龄（6年）及以上不得分。 本项目最高得15分。 注：须提供汽车行驶证及交管部门颁发有效期内（计算日期含2023年9月1日）的道路运输证；</w:t>
            </w:r>
          </w:p>
        </w:tc>
      </w:tr>
      <w:tr>
        <w:tc>
          <w:tcPr>
            <w:tcW w:type="dxa" w:w="922"/>
            <w:gridSpan w:val="2"/>
            <w:vMerge/>
          </w:tcPr>
          <w:p/>
        </w:tc>
        <w:tc>
          <w:tcPr>
            <w:tcW w:type="dxa" w:w="2307"/>
          </w:tcPr>
          <w:p>
            <w:pPr>
              <w:jc w:val="left"/>
            </w:pPr>
            <w:r>
              <w:rPr/>
              <w:t>拟派驻的班车司机 (10.0分)</w:t>
            </w:r>
          </w:p>
        </w:tc>
        <w:tc>
          <w:tcPr>
            <w:tcW w:type="dxa" w:w="5076"/>
          </w:tcPr>
          <w:p>
            <w:pPr>
              <w:jc w:val="left"/>
            </w:pPr>
            <w:r>
              <w:rPr/>
              <w:t>1、投标人拟派驻的所有班车司机具有五年以上（含五年）准驾车型（A1证）的驾驶资格及驾驶经验 全部司机年龄为50岁或以下，得8分； 全部司机年龄为53岁或以下，得4分； 全部司机年龄为55岁或以下，得2分。 2、常驻清远校区司机需满足58岁或以下，具有五年以上（含五年）准驾车型（B1证）的驾驶资格及驾驶经验，得2分。 注：1.提供承诺函，格式自拟； 2.提供司机身份证、驾驶证及投标人为其购买的近6个月中任意一个月的社保证明材料复印件并加盖公章； 3.以上司机年龄承诺计算时间以2023年9月1日为准。 4.如未按投标承诺提供，按虚假应标处理。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ind w:firstLine="480"/>
        <w:jc w:val="center"/>
      </w:pPr>
      <w:r>
        <w:rPr>
          <w:b/>
          <w:color w:val="000000"/>
          <w:sz w:val="28"/>
        </w:rPr>
        <w:t>广东金融学院2023-2025年交通车租车服务项目</w:t>
      </w:r>
    </w:p>
    <w:p>
      <w:pPr>
        <w:ind w:firstLine="480"/>
        <w:jc w:val="center"/>
      </w:pPr>
    </w:p>
    <w:p>
      <w:pPr>
        <w:ind w:firstLine="480"/>
        <w:jc w:val="center"/>
      </w:pPr>
    </w:p>
    <w:p>
      <w:pPr>
        <w:ind w:firstLine="480"/>
        <w:jc w:val="center"/>
      </w:pPr>
    </w:p>
    <w:p>
      <w:pPr>
        <w:ind w:firstLine="480"/>
        <w:jc w:val="center"/>
      </w:pPr>
      <w:r>
        <w:br/>
      </w:r>
      <w:r>
        <w:rPr>
          <w:b/>
          <w:color w:val="000000"/>
          <w:sz w:val="28"/>
        </w:rPr>
        <w:t>合同书</w:t>
      </w:r>
    </w:p>
    <w:p>
      <w:pPr>
        <w:ind w:firstLine="480"/>
        <w:jc w:val="center"/>
      </w:pPr>
    </w:p>
    <w:p>
      <w:pPr>
        <w:ind w:firstLine="480"/>
        <w:jc w:val="center"/>
      </w:pPr>
    </w:p>
    <w:p>
      <w:pPr>
        <w:ind w:firstLine="480"/>
        <w:jc w:val="center"/>
      </w:pPr>
    </w:p>
    <w:p>
      <w:pPr>
        <w:ind w:firstLine="480"/>
        <w:jc w:val="center"/>
      </w:pPr>
    </w:p>
    <w:p>
      <w:pPr>
        <w:ind w:firstLine="480"/>
        <w:jc w:val="center"/>
      </w:pPr>
      <w:r>
        <w:br/>
      </w:r>
      <w:r>
        <w:rPr>
          <w:b/>
        </w:rPr>
        <w:t>项目名称：</w:t>
      </w:r>
      <w:r>
        <w:rPr>
          <w:b/>
          <w:u w:val="single"/>
        </w:rPr>
        <w:t xml:space="preserve">               </w:t>
      </w:r>
      <w:r>
        <w:br/>
      </w:r>
      <w:r>
        <w:rPr>
          <w:b/>
        </w:rPr>
        <w:t xml:space="preserve">合同编号： </w:t>
      </w:r>
      <w:r>
        <w:rPr>
          <w:b/>
          <w:u w:val="single"/>
        </w:rPr>
        <w:t xml:space="preserve">              </w:t>
      </w:r>
    </w:p>
    <w:p>
      <w:pPr>
        <w:jc w:val="center"/>
      </w:pPr>
      <w:r>
        <w:rPr>
          <w:b/>
        </w:rPr>
        <w:t>签约地点：</w:t>
      </w:r>
      <w:r>
        <w:rPr>
          <w:b/>
          <w:u w:val="single"/>
        </w:rPr>
        <w:t xml:space="preserve">              </w:t>
      </w:r>
      <w:r>
        <w:rPr>
          <w:b/>
        </w:rPr>
        <w:t xml:space="preserve">    </w:t>
      </w:r>
    </w:p>
    <w:p>
      <w:pPr>
        <w:jc w:val="center"/>
      </w:pPr>
      <w:r>
        <w:rPr>
          <w:b/>
        </w:rPr>
        <w:t xml:space="preserve"> 签订日期：        年         月       日</w:t>
      </w:r>
    </w:p>
    <w:p>
      <w:pPr>
        <w:jc w:val="center"/>
      </w:pPr>
      <w:r>
        <w:rPr>
          <w:color w:val="222222"/>
          <w:sz w:val="27"/>
        </w:rPr>
        <w:t xml:space="preserve"> </w:t>
      </w:r>
    </w:p>
    <w:p>
      <w:r>
        <w:rPr>
          <w:color w:val="222222"/>
          <w:sz w:val="27"/>
        </w:rPr>
        <w:t xml:space="preserve"> </w:t>
      </w:r>
    </w:p>
    <w:p>
      <w:r>
        <w:rPr>
          <w:color w:val="222222"/>
          <w:sz w:val="27"/>
        </w:rPr>
        <w:t xml:space="preserve"> </w:t>
      </w:r>
    </w:p>
    <w:p>
      <w:r>
        <w:rPr/>
        <w:t xml:space="preserve"> </w:t>
      </w:r>
    </w:p>
    <w:p>
      <w:r>
        <w:rPr/>
        <w:t xml:space="preserve"> </w:t>
      </w:r>
    </w:p>
    <w:p>
      <w:r>
        <w:rPr/>
        <w:t xml:space="preserve"> </w:t>
      </w:r>
    </w:p>
    <w:p>
      <w:r>
        <w:rPr/>
        <w:t xml:space="preserve"> </w:t>
      </w:r>
    </w:p>
    <w:p>
      <w:r>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t>甲    方</w:t>
      </w:r>
      <w:r>
        <w:rPr>
          <w:u w:val="single"/>
        </w:rPr>
        <w:t xml:space="preserve">：广东金融学院 </w:t>
      </w:r>
      <w:r>
        <w:br/>
      </w:r>
      <w:r>
        <w:rPr/>
        <w:t>电    话：           　   传  真：           地  址：</w:t>
      </w:r>
      <w:r>
        <w:br/>
      </w:r>
      <w:r>
        <w:rPr/>
        <w:t xml:space="preserve">乙    方：                  </w:t>
      </w:r>
      <w:r>
        <w:br/>
      </w:r>
      <w:r>
        <w:rPr/>
        <w:t xml:space="preserve">电    话：                传  真：           地  址：   </w:t>
      </w:r>
    </w:p>
    <w:p>
      <w:pPr>
        <w:ind w:firstLine="480"/>
        <w:jc w:val="both"/>
      </w:pPr>
      <w:r>
        <w:rPr>
          <w:color w:val="000000"/>
          <w:sz w:val="21"/>
        </w:rPr>
        <w:t xml:space="preserve">根据 </w:t>
      </w:r>
      <w:r>
        <w:rPr>
          <w:color w:val="000000"/>
          <w:sz w:val="21"/>
          <w:u w:val="single"/>
        </w:rPr>
        <w:t>广东金融学院2023-2025年交通车租车服务项目</w:t>
      </w:r>
      <w:r>
        <w:rPr>
          <w:color w:val="000000"/>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numPr>
          <w:ilvl w:val="0"/>
          <w:numId w:val="1"/>
        </w:numPr>
        <w:jc w:val="both"/>
      </w:pPr>
      <w:r>
        <w:rPr>
          <w:b/>
          <w:color w:val="000000"/>
          <w:sz w:val="21"/>
        </w:rPr>
        <w:t>一、合同金额</w:t>
      </w:r>
    </w:p>
    <w:p>
      <w:pPr>
        <w:ind w:firstLine="420"/>
        <w:jc w:val="both"/>
      </w:pPr>
      <w:r>
        <w:rPr>
          <w:color w:val="000000"/>
          <w:sz w:val="21"/>
        </w:rPr>
        <w:t>合同金额为（大写）：</w:t>
      </w:r>
      <w:r>
        <w:rPr>
          <w:color w:val="000000"/>
          <w:sz w:val="21"/>
          <w:u w:val="single"/>
        </w:rPr>
        <w:t xml:space="preserve">            </w:t>
      </w:r>
      <w:r>
        <w:rPr>
          <w:color w:val="000000"/>
          <w:sz w:val="21"/>
        </w:rPr>
        <w:t>元（￥</w:t>
      </w:r>
      <w:r>
        <w:rPr>
          <w:color w:val="000000"/>
          <w:sz w:val="21"/>
          <w:u w:val="single"/>
        </w:rPr>
        <w:t xml:space="preserve">            </w:t>
      </w:r>
      <w:r>
        <w:rPr>
          <w:color w:val="000000"/>
          <w:sz w:val="21"/>
        </w:rPr>
        <w:t>元）人民币。</w:t>
      </w:r>
    </w:p>
    <w:p>
      <w:pPr>
        <w:numPr>
          <w:ilvl w:val="0"/>
          <w:numId w:val="1"/>
        </w:numPr>
        <w:jc w:val="both"/>
      </w:pPr>
      <w:r>
        <w:rPr>
          <w:b/>
          <w:color w:val="000000"/>
          <w:sz w:val="21"/>
        </w:rPr>
        <w:t>二、服务范围</w:t>
      </w:r>
    </w:p>
    <w:p>
      <w:pPr>
        <w:jc w:val="both"/>
      </w:pPr>
      <w:r>
        <w:rPr>
          <w:color w:val="000000"/>
          <w:sz w:val="21"/>
        </w:rPr>
        <w:t>　　甲方聘请乙方提供以下服务：</w:t>
      </w:r>
    </w:p>
    <w:p>
      <w:pPr>
        <w:jc w:val="both"/>
      </w:pPr>
      <w:r>
        <w:rPr>
          <w:color w:val="000000"/>
          <w:sz w:val="21"/>
        </w:rPr>
        <w:t>　为广东金融学院2023-2025年交通车提供租车服务项目。</w:t>
      </w:r>
    </w:p>
    <w:p>
      <w:pPr>
        <w:numPr>
          <w:ilvl w:val="0"/>
          <w:numId w:val="1"/>
        </w:numPr>
        <w:jc w:val="both"/>
      </w:pPr>
      <w:r>
        <w:rPr>
          <w:b/>
          <w:color w:val="000000"/>
          <w:sz w:val="21"/>
        </w:rPr>
        <w:t>三、甲方乙方的权利和义务</w:t>
      </w:r>
    </w:p>
    <w:p>
      <w:pPr>
        <w:ind w:firstLine="422"/>
        <w:jc w:val="both"/>
      </w:pPr>
      <w:r>
        <w:rPr>
          <w:b/>
          <w:color w:val="000000"/>
          <w:sz w:val="21"/>
        </w:rPr>
        <w:t>项目服务要求</w:t>
      </w:r>
    </w:p>
    <w:p>
      <w:pPr>
        <w:ind w:firstLine="420"/>
        <w:jc w:val="both"/>
      </w:pPr>
      <w:r>
        <w:rPr>
          <w:color w:val="000000"/>
          <w:sz w:val="21"/>
        </w:rPr>
        <w:t>1</w:t>
      </w:r>
      <w:r>
        <w:rPr>
          <w:color w:val="000000"/>
          <w:sz w:val="21"/>
        </w:rPr>
        <w:t>．乙方必须服从甲方的管理和协调，按照甲方上下班线路的要求定点、定时、定线路运行</w:t>
      </w:r>
      <w:r>
        <w:rPr>
          <w:color w:val="000000"/>
          <w:sz w:val="21"/>
        </w:rPr>
        <w:t>（详见附件1）</w:t>
      </w:r>
      <w:r>
        <w:rPr>
          <w:color w:val="000000"/>
          <w:sz w:val="21"/>
        </w:rPr>
        <w:t>，配合甲方做好租车服务工作。</w:t>
      </w:r>
    </w:p>
    <w:p>
      <w:pPr>
        <w:ind w:firstLine="420"/>
        <w:jc w:val="both"/>
      </w:pPr>
      <w:r>
        <w:rPr>
          <w:color w:val="000000"/>
          <w:sz w:val="21"/>
        </w:rPr>
        <w:t>2</w:t>
      </w:r>
      <w:r>
        <w:rPr>
          <w:color w:val="000000"/>
          <w:sz w:val="21"/>
        </w:rPr>
        <w:t>．车容车貌整洁卫生，车内空调、窗帘等设施齐全，性能良好，使用正常。做好疫情常规防控措施，每月提供车辆卫生消毒记录备案。乙方提供的车辆必须符合国家、行业技术要求，并且不低于甲方座位数要求的冷气巴士，其使用年限不得超过6年（须提供汽车行驶证及交管部门颁发有效期内，计算日期含2023年9月1日），须提供车辆的行驶证复印件等证明资料。车况良好，应符合安全行驶有关规定要求，并按交通道路管理局规定购买所有车辆相关保险。</w:t>
      </w:r>
    </w:p>
    <w:p>
      <w:pPr>
        <w:ind w:firstLine="420"/>
        <w:jc w:val="both"/>
      </w:pPr>
      <w:r>
        <w:rPr>
          <w:color w:val="000000"/>
          <w:sz w:val="21"/>
        </w:rPr>
        <w:t>3</w:t>
      </w:r>
      <w:r>
        <w:rPr>
          <w:color w:val="000000"/>
          <w:sz w:val="21"/>
        </w:rPr>
        <w:t>．乙方提供的车辆必须符合国家规定环保及安全等要求，车辆在使用期间如确需维修或保养，或需要年审、季审、接受定期检审或经甲方认可的合理因素而造成需要暂停运行，乙方必须调派经甲方确认的同等条件的车辆供甲方使用。</w:t>
      </w:r>
    </w:p>
    <w:p>
      <w:pPr>
        <w:ind w:firstLine="420"/>
        <w:jc w:val="both"/>
      </w:pPr>
      <w:r>
        <w:rPr>
          <w:color w:val="000000"/>
          <w:sz w:val="21"/>
        </w:rPr>
        <w:t>4</w:t>
      </w:r>
      <w:r>
        <w:rPr>
          <w:color w:val="000000"/>
          <w:sz w:val="21"/>
        </w:rPr>
        <w:t>．服务车辆车内加装电子除菌清新器，座椅套、车内窗帘布每两周进行清洗，每天清洗车辆外表，车辆配置应急药箱。</w:t>
      </w:r>
    </w:p>
    <w:p>
      <w:pPr>
        <w:ind w:firstLine="420"/>
        <w:jc w:val="both"/>
      </w:pPr>
      <w:r>
        <w:rPr>
          <w:color w:val="000000"/>
          <w:sz w:val="21"/>
        </w:rPr>
        <w:t>5</w:t>
      </w:r>
      <w:r>
        <w:rPr>
          <w:color w:val="000000"/>
          <w:sz w:val="21"/>
        </w:rPr>
        <w:t>．乙方提供的车辆必须在规定时间准时到达起点站，若因故未能及时到达起点站，应立即做好应对措施，且必须保证所有乘客的安全，由此所发生费用由乙方负责；如车辆途中故障排除超过20分钟，乙方不能在20分钟内安排应急车辆到达现场时，甲方有权安排乘客按照4人一车的标准，转乘其他交通工具前往目的地，由此所发生的费用由乙方负责。故障及特殊原因需更换车辆，需取得甲方书面同意，否则视为违约责任。</w:t>
      </w:r>
    </w:p>
    <w:p>
      <w:pPr>
        <w:ind w:firstLine="420"/>
        <w:jc w:val="both"/>
      </w:pPr>
      <w:r>
        <w:rPr>
          <w:color w:val="000000"/>
          <w:sz w:val="21"/>
        </w:rPr>
        <w:t>6</w:t>
      </w:r>
      <w:r>
        <w:rPr>
          <w:color w:val="000000"/>
          <w:sz w:val="21"/>
        </w:rPr>
        <w:t>．如教学需要临时增加车辆，乙方必须有能力满足要求，结算标准和方式按该租赁车辆的标准和方式进行。</w:t>
      </w:r>
    </w:p>
    <w:p>
      <w:pPr>
        <w:ind w:firstLine="420"/>
        <w:jc w:val="both"/>
      </w:pPr>
      <w:r>
        <w:rPr>
          <w:color w:val="000000"/>
          <w:sz w:val="21"/>
        </w:rPr>
        <w:t>7</w:t>
      </w:r>
      <w:r>
        <w:rPr>
          <w:color w:val="000000"/>
          <w:sz w:val="21"/>
        </w:rPr>
        <w:t>．乙方驾驶员必须遵守交通规则，安全、文明驾驶，并自行处理租赁车辆的相关问题，如造成交通事故或乘客损伤，或因此产生机动车相关司法纠纷，由乙方承担全部责任，给甲方造成损失的，甲方有权向乙方要求赔偿。</w:t>
      </w:r>
    </w:p>
    <w:p>
      <w:pPr>
        <w:ind w:firstLine="420"/>
        <w:jc w:val="both"/>
      </w:pPr>
      <w:r>
        <w:rPr>
          <w:color w:val="000000"/>
          <w:sz w:val="21"/>
        </w:rPr>
        <w:t>8.</w:t>
      </w:r>
      <w:r>
        <w:rPr>
          <w:color w:val="000000"/>
          <w:sz w:val="21"/>
        </w:rPr>
        <w:t>在合同履行期间，乙方拟派驻的班车司机为所在公司在职人员（年龄为55岁（含55周岁）以下），提供近半年的社保证明，具有五年以上（含五年）准驾车型（A1证）的驾驶资格及驾驶经验，且责任心强、身体健康、遵纪守法，无不良嗜好。派驻清远校区值班车司机须相对固定，年龄为58周岁以下，责任心强、身体健康、遵纪守法，无不良嗜好，并具有五年以上（含五年）准驾车型（B1证以上）的驾驶资格及驾驶经验。如临时更换司机，需提前取得甲方同意，且应符合以上相关要求。</w:t>
      </w:r>
    </w:p>
    <w:p>
      <w:pPr>
        <w:ind w:firstLine="420"/>
        <w:jc w:val="both"/>
      </w:pPr>
      <w:r>
        <w:rPr>
          <w:color w:val="000000"/>
          <w:sz w:val="21"/>
        </w:rPr>
        <w:t>9</w:t>
      </w:r>
      <w:r>
        <w:rPr>
          <w:color w:val="000000"/>
          <w:sz w:val="21"/>
        </w:rPr>
        <w:t>．所有司机在本项目上岗前，须向甲方提交一个月内二甲以上医院出具的合格的体检证明及符合各服务属地疾控防疫要求的相关证明，费用自理。</w:t>
      </w:r>
    </w:p>
    <w:p>
      <w:pPr>
        <w:ind w:firstLine="420"/>
        <w:jc w:val="both"/>
      </w:pPr>
      <w:r>
        <w:rPr>
          <w:color w:val="000000"/>
          <w:sz w:val="21"/>
        </w:rPr>
        <w:t>10</w:t>
      </w:r>
      <w:r>
        <w:rPr>
          <w:color w:val="000000"/>
          <w:sz w:val="21"/>
        </w:rPr>
        <w:t>．甲方有权根据需要适当调整用车天数和用车数量，各线路在不增加里程的基础上，对行车路线、上、下落点和时间做出调整，乙方不得另行收费；在服务现场的甲方的乘车人员必须服从乙方人员的指导。在特殊情况下（如修路、塞车等）甲方有权改变原定线路，乙方应配合甲方的线路暂时更改，其所造成的路桥费用由甲方负责。</w:t>
      </w:r>
    </w:p>
    <w:p>
      <w:pPr>
        <w:ind w:firstLine="420"/>
        <w:jc w:val="both"/>
      </w:pPr>
      <w:r>
        <w:rPr>
          <w:color w:val="000000"/>
          <w:sz w:val="21"/>
        </w:rPr>
        <w:t>11</w:t>
      </w:r>
      <w:r>
        <w:rPr>
          <w:color w:val="000000"/>
          <w:sz w:val="21"/>
        </w:rPr>
        <w:t>．合同执行期间，乙方须向甲方提供的服务车辆购买车上人员责任险（承运人责任险），保险费率标准不低于广州市赔付标准，且车上人员责任险（承运人责任险）座均保额须（不低于）40万元/人/年。</w:t>
      </w:r>
    </w:p>
    <w:p>
      <w:pPr>
        <w:numPr>
          <w:ilvl w:val="0"/>
          <w:numId w:val="1"/>
        </w:numPr>
        <w:jc w:val="both"/>
      </w:pPr>
      <w:r>
        <w:rPr>
          <w:b/>
          <w:color w:val="000000"/>
          <w:sz w:val="21"/>
        </w:rPr>
        <w:t>四、服务期间（项目完成期限）</w:t>
      </w:r>
    </w:p>
    <w:p>
      <w:pPr>
        <w:ind w:firstLine="435"/>
        <w:jc w:val="both"/>
      </w:pPr>
      <w:r>
        <w:rPr>
          <w:color w:val="000000"/>
          <w:sz w:val="21"/>
        </w:rPr>
        <w:t>委托服务期间自______年______月至______年______月止。</w:t>
      </w:r>
    </w:p>
    <w:p>
      <w:pPr>
        <w:numPr>
          <w:ilvl w:val="0"/>
          <w:numId w:val="1"/>
        </w:numPr>
        <w:jc w:val="both"/>
      </w:pPr>
      <w:r>
        <w:rPr>
          <w:b/>
          <w:color w:val="000000"/>
          <w:sz w:val="21"/>
        </w:rPr>
        <w:t>五、付款方式</w:t>
      </w:r>
    </w:p>
    <w:p>
      <w:pPr>
        <w:jc w:val="both"/>
      </w:pPr>
      <w:r>
        <w:rPr>
          <w:b/>
          <w:color w:val="000000"/>
          <w:sz w:val="21"/>
        </w:rPr>
        <w:t>（一）支付方式</w:t>
      </w:r>
    </w:p>
    <w:p>
      <w:pPr>
        <w:ind w:firstLine="420"/>
        <w:jc w:val="both"/>
      </w:pPr>
      <w:r>
        <w:rPr>
          <w:color w:val="000000"/>
          <w:sz w:val="21"/>
        </w:rPr>
        <w:t>1.</w:t>
      </w:r>
      <w:r>
        <w:rPr>
          <w:color w:val="000000"/>
          <w:sz w:val="21"/>
        </w:rPr>
        <w:t>甲方须每天对供应商提供的车辆和司机进行核实登记并签字确认。乙方则每月提供车辆使用情况统计表（包括车辆信息、司机信息、租用天数、线路、服务质量等），经甲方签字确认后与每日车辆情况确认表、乙方违约情况汇总表等一并作为结算依据。</w:t>
      </w:r>
    </w:p>
    <w:p>
      <w:pPr>
        <w:ind w:firstLine="420"/>
        <w:jc w:val="both"/>
      </w:pPr>
      <w:r>
        <w:rPr>
          <w:color w:val="000000"/>
          <w:sz w:val="21"/>
        </w:rPr>
        <w:t>2.</w:t>
      </w:r>
      <w:r>
        <w:rPr>
          <w:color w:val="000000"/>
          <w:sz w:val="21"/>
        </w:rPr>
        <w:t>租车服务费用按月结算，以实际使用的天数（清远线按趟数）结算，其中往返一次为一趟。按月以双方签字盖章确认的车辆使用统计表、违约金等作为结算依据，乙方开出正式税务发票，甲方自收到正式发票之日起15天内以银行转账的方式支付上月的租车服务费用。</w:t>
      </w:r>
    </w:p>
    <w:p>
      <w:pPr>
        <w:jc w:val="both"/>
      </w:pPr>
      <w:r>
        <w:rPr>
          <w:b/>
          <w:color w:val="000000"/>
          <w:sz w:val="21"/>
        </w:rPr>
        <w:t>（二）履约保证金</w:t>
      </w:r>
    </w:p>
    <w:p>
      <w:pPr>
        <w:ind w:firstLine="420"/>
        <w:jc w:val="both"/>
      </w:pPr>
      <w:r>
        <w:rPr>
          <w:color w:val="000000"/>
          <w:sz w:val="21"/>
        </w:rPr>
        <w:t>合同执行期间，乙方须向甲方缴纳履约保证金，自中标通知书发出之日起15个工作日内向甲方缴纳履约保证金，金额为预算总额的5%。如有相关违约责任，乙方需支付相关违约金。如违约金累计发生数超过履约保证金，则甲方有权单方面与成交乙方解除该合同，并不予退回成交乙方履约保证金。合同期满或提前终止时，除本合同另有约定外，若乙方已全面履行本合同约定的责任和义务并已缴清所有应交款项的，乙方可凭保证金收据无息退回履约保证金。甲方于接到申请后15个工作日内将履约保证金无息退回乙方。</w:t>
      </w:r>
    </w:p>
    <w:p>
      <w:pPr>
        <w:numPr>
          <w:ilvl w:val="0"/>
          <w:numId w:val="1"/>
        </w:numPr>
        <w:jc w:val="both"/>
      </w:pPr>
      <w:r>
        <w:rPr>
          <w:b/>
          <w:color w:val="000000"/>
          <w:sz w:val="21"/>
        </w:rPr>
        <w:t>六、知识产权产权归属</w:t>
      </w:r>
    </w:p>
    <w:p>
      <w:pPr>
        <w:ind w:firstLine="420"/>
        <w:jc w:val="both"/>
      </w:pPr>
      <w:r>
        <w:rPr>
          <w:color w:val="000000"/>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numPr>
          <w:ilvl w:val="0"/>
          <w:numId w:val="1"/>
        </w:numPr>
        <w:jc w:val="both"/>
      </w:pPr>
      <w:r>
        <w:rPr>
          <w:b/>
          <w:color w:val="000000"/>
          <w:sz w:val="21"/>
        </w:rPr>
        <w:t>七、保密</w:t>
      </w:r>
    </w:p>
    <w:p>
      <w:pPr>
        <w:ind w:firstLine="420"/>
        <w:jc w:val="both"/>
      </w:pPr>
      <w:r>
        <w:rPr>
          <w:color w:val="000000"/>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ind w:firstLine="420"/>
        <w:jc w:val="both"/>
      </w:pPr>
      <w:r>
        <w:rPr>
          <w:color w:val="000000"/>
          <w:sz w:val="21"/>
        </w:rPr>
        <w:t>1</w:t>
      </w:r>
      <w:r>
        <w:rPr>
          <w:color w:val="000000"/>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color w:val="000000"/>
          <w:sz w:val="21"/>
        </w:rPr>
        <w:t>2</w:t>
      </w:r>
      <w:r>
        <w:rPr>
          <w:color w:val="000000"/>
          <w:sz w:val="21"/>
        </w:rPr>
        <w:t>）除了合同本身之外，上款所列举的任何物件均是甲方的财产。乙方应当在完成合同后应将这些物件及全部复制件还给甲方，甲方同意由乙方持有的除外。</w:t>
      </w:r>
    </w:p>
    <w:p>
      <w:pPr>
        <w:numPr>
          <w:ilvl w:val="0"/>
          <w:numId w:val="1"/>
        </w:numPr>
        <w:jc w:val="both"/>
      </w:pPr>
      <w:r>
        <w:rPr>
          <w:b/>
          <w:color w:val="000000"/>
          <w:sz w:val="21"/>
        </w:rPr>
        <w:t>八、违约责任与赔偿损失</w:t>
      </w:r>
    </w:p>
    <w:p>
      <w:pPr>
        <w:jc w:val="both"/>
      </w:pPr>
      <w:r>
        <w:rPr>
          <w:color w:val="000000"/>
          <w:sz w:val="21"/>
        </w:rPr>
        <w:t>1)</w:t>
      </w:r>
      <w:r>
        <w:rPr>
          <w:color w:val="000000"/>
          <w:sz w:val="21"/>
        </w:rPr>
        <w:t>乙方提供的服务不符合采购文件、投标文件或本合同规定的，甲方有权拒收，并且乙方须向甲方方支付本合同总价5%的违约金。</w:t>
      </w:r>
    </w:p>
    <w:p>
      <w:pPr>
        <w:jc w:val="both"/>
      </w:pPr>
      <w:r>
        <w:rPr>
          <w:color w:val="000000"/>
          <w:sz w:val="21"/>
        </w:rPr>
        <w:t>2)</w:t>
      </w:r>
      <w:r>
        <w:rPr>
          <w:color w:val="000000"/>
          <w:sz w:val="21"/>
        </w:rPr>
        <w:t>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甲方无正当理由拒收接受服务，到期拒付服务款项的，甲方向乙方偿付本合同总的5%的违约金。甲方逾期付款，则每日按本合同总价的3‰向乙方偿付违约金。</w:t>
      </w:r>
    </w:p>
    <w:p>
      <w:pPr>
        <w:jc w:val="both"/>
      </w:pPr>
      <w:r>
        <w:rPr>
          <w:color w:val="000000"/>
          <w:sz w:val="21"/>
        </w:rPr>
        <w:t>4)</w:t>
      </w:r>
      <w:r>
        <w:rPr>
          <w:color w:val="000000"/>
          <w:sz w:val="21"/>
        </w:rPr>
        <w:t>其它违约责任按《中华人民共和国民法典》第三编　合同处理。</w:t>
      </w:r>
    </w:p>
    <w:p>
      <w:pPr>
        <w:numPr>
          <w:ilvl w:val="0"/>
          <w:numId w:val="1"/>
        </w:numPr>
        <w:jc w:val="both"/>
      </w:pPr>
      <w:r>
        <w:rPr>
          <w:b/>
          <w:color w:val="000000"/>
          <w:sz w:val="21"/>
        </w:rPr>
        <w:t>九、争端的解决</w:t>
      </w:r>
    </w:p>
    <w:p>
      <w:pPr>
        <w:ind w:firstLine="420"/>
        <w:jc w:val="both"/>
      </w:pPr>
      <w:r>
        <w:rPr>
          <w:color w:val="000000"/>
          <w:sz w:val="21"/>
        </w:rPr>
        <w:t>合同执行过程中发生的任何争议，如双方不能通过友好协商解决，按相关法律法规处理。</w:t>
      </w:r>
    </w:p>
    <w:p>
      <w:pPr>
        <w:numPr>
          <w:ilvl w:val="0"/>
          <w:numId w:val="1"/>
        </w:numPr>
        <w:jc w:val="both"/>
      </w:pPr>
      <w:r>
        <w:rPr>
          <w:b/>
          <w:color w:val="000000"/>
          <w:sz w:val="21"/>
        </w:rPr>
        <w:t>十、不可抗力</w:t>
      </w:r>
    </w:p>
    <w:p>
      <w:pPr>
        <w:ind w:firstLine="412"/>
        <w:jc w:val="both"/>
      </w:pPr>
      <w:r>
        <w:rPr>
          <w:color w:val="000000"/>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numPr>
          <w:ilvl w:val="0"/>
          <w:numId w:val="1"/>
        </w:numPr>
        <w:jc w:val="both"/>
      </w:pPr>
      <w:r>
        <w:rPr>
          <w:b/>
          <w:color w:val="000000"/>
          <w:sz w:val="21"/>
        </w:rPr>
        <w:t>十一、税费</w:t>
      </w:r>
    </w:p>
    <w:p>
      <w:pPr>
        <w:ind w:firstLine="412"/>
        <w:jc w:val="both"/>
      </w:pPr>
      <w:r>
        <w:rPr>
          <w:color w:val="000000"/>
          <w:sz w:val="21"/>
        </w:rPr>
        <w:t>在中国境内、外发生的与本合同执行有关的一切税费均由乙方负担。</w:t>
      </w:r>
    </w:p>
    <w:p>
      <w:pPr>
        <w:numPr>
          <w:ilvl w:val="0"/>
          <w:numId w:val="1"/>
        </w:numPr>
        <w:jc w:val="both"/>
      </w:pPr>
      <w:r>
        <w:rPr>
          <w:b/>
          <w:color w:val="000000"/>
          <w:sz w:val="21"/>
        </w:rPr>
        <w:t>十二、其它</w:t>
      </w:r>
    </w:p>
    <w:p>
      <w:pPr>
        <w:jc w:val="both"/>
      </w:pPr>
      <w:r>
        <w:rPr>
          <w:color w:val="000000"/>
          <w:sz w:val="21"/>
        </w:rPr>
        <w:t>1)</w:t>
      </w:r>
      <w:r>
        <w:rPr>
          <w:color w:val="000000"/>
          <w:sz w:val="21"/>
        </w:rPr>
        <w:t>本合同所有附件、采购文件、投标文件、中标通知书通知书均为合同的有效组成部分，与本合同具有同等法律效力。</w:t>
      </w:r>
    </w:p>
    <w:p>
      <w:pPr>
        <w:jc w:val="both"/>
      </w:pPr>
      <w:r>
        <w:rPr>
          <w:color w:val="000000"/>
          <w:sz w:val="21"/>
        </w:rPr>
        <w:t>2)</w:t>
      </w:r>
      <w:r>
        <w:rPr>
          <w:color w:val="000000"/>
          <w:sz w:val="21"/>
        </w:rPr>
        <w:t>在执行本合同的过程中，所有经双方签署确认的文件（包括会议纪要、补充协议、往来信函）即成为本合同的有效组成部分。</w:t>
      </w:r>
    </w:p>
    <w:p>
      <w:pPr>
        <w:jc w:val="both"/>
      </w:pPr>
      <w:r>
        <w:rPr>
          <w:color w:val="000000"/>
          <w:sz w:val="21"/>
        </w:rPr>
        <w:t>3)</w:t>
      </w:r>
      <w:r>
        <w:rPr>
          <w:color w:val="000000"/>
          <w:sz w:val="21"/>
        </w:rPr>
        <w:t>如一方地址、电话、传真号码有变更，应在变更当日内书面通知对方，否则，应承担相应责任。</w:t>
      </w:r>
    </w:p>
    <w:p>
      <w:pPr>
        <w:jc w:val="both"/>
      </w:pPr>
      <w:r>
        <w:rPr>
          <w:color w:val="000000"/>
          <w:sz w:val="21"/>
        </w:rPr>
        <w:t>4)</w:t>
      </w:r>
      <w:r>
        <w:rPr>
          <w:color w:val="000000"/>
          <w:sz w:val="21"/>
        </w:rPr>
        <w:t>除甲方事先书面同意外，乙方不得部分或全部转让其应履行的合同项下的义务。</w:t>
      </w:r>
    </w:p>
    <w:p>
      <w:pPr>
        <w:numPr>
          <w:ilvl w:val="0"/>
          <w:numId w:val="1"/>
        </w:numPr>
        <w:jc w:val="both"/>
      </w:pPr>
      <w:r>
        <w:rPr>
          <w:b/>
          <w:color w:val="000000"/>
          <w:sz w:val="21"/>
        </w:rPr>
        <w:t>十三、合同生效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）合同一式份，其中甲方份，乙方份，监管部门壹份，采购代理机构壹份。</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p>
    <w:p>
      <w:pPr>
        <w:jc w:val="both"/>
      </w:pPr>
    </w:p>
    <w:p>
      <w:pPr>
        <w:jc w:val="both"/>
      </w:pPr>
    </w:p>
    <w:p>
      <w:r>
        <w:rPr/>
        <w:t>甲方（盖章）：                                        乙方（盖章）：</w:t>
      </w:r>
    </w:p>
    <w:p>
      <w:r>
        <w:rPr/>
        <w:t>法定代表/授权代表（签字）：                  法定代表/授权代表（签字）：</w:t>
      </w:r>
    </w:p>
    <w:p>
      <w:r>
        <w:rPr/>
        <w:t>日期：                                                     日期：</w:t>
      </w:r>
    </w:p>
    <w:p>
      <w:r>
        <w:rPr/>
        <w:t>邮政编码：                                              邮政编码：</w:t>
      </w:r>
    </w:p>
    <w:p>
      <w:r>
        <w:rPr/>
        <w:t>开户名称：                                              开户名称：</w:t>
      </w:r>
    </w:p>
    <w:p>
      <w:r>
        <w:rPr/>
        <w:t>开户银行：                                              开户银行：</w:t>
      </w:r>
    </w:p>
    <w:p>
      <w:r>
        <w:rPr/>
        <w:t>开户账号：                                              开户账号: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440001-2023-31358</w:t>
      </w:r>
    </w:p>
    <w:p>
      <w:pPr>
        <w:jc w:val="center"/>
      </w:pPr>
      <w:r>
        <w:rPr>
          <w:b/>
          <w:sz w:val="24"/>
        </w:rPr>
        <w:t>采购项目编号：</w:t>
      </w:r>
      <w:r>
        <w:rPr>
          <w:b/>
          <w:sz w:val="24"/>
        </w:rPr>
        <w:t>440001-2023-31358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广东金融学院2023-2025年交通车租车服务项目</w:t>
      </w:r>
      <w:r>
        <w:rPr>
          <w:u w:val="single"/>
        </w:rPr>
        <w:t>”</w:t>
      </w:r>
      <w:r>
        <w:rPr/>
        <w:t>项目的招标[采购项目编号为：</w:t>
      </w:r>
      <w:r>
        <w:rPr>
          <w:u w:val="single"/>
        </w:rPr>
        <w:t>440001-2023-31358</w:t>
      </w:r>
      <w:r>
        <w:rPr/>
        <w:t>]，我方愿参与投标。</w:t>
      </w:r>
    </w:p>
    <w:p>
      <w:pPr>
        <w:ind w:firstLine="480"/>
      </w:pPr>
      <w:r>
        <w:rPr/>
        <w:t>我方确认收到贵方提供的</w:t>
      </w:r>
      <w:r>
        <w:rPr>
          <w:u w:val="single"/>
        </w:rPr>
        <w:t>“</w:t>
      </w:r>
      <w:r>
        <w:rPr>
          <w:u w:val="single"/>
        </w:rPr>
        <w:t>广东金融学院2023-2025年交通车租车服务项目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广东金融学院2023-2025年交通车租车服务项目</w:t>
      </w:r>
      <w:r>
        <w:rPr/>
        <w:t>”项目采购[采购项目编号为</w:t>
      </w:r>
      <w:r>
        <w:rPr/>
        <w:t>440001-2023-31358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广东金融学院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广东金融学院2023-2025年交通车租车服务项目</w:t>
      </w:r>
      <w:r>
        <w:rPr/>
        <w:t>招标中获中标（采购项目编号：</w:t>
      </w:r>
      <w:r>
        <w:rPr/>
        <w:t>440001-2023-31358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广东金融学院2023-2025年交通车租车服务项目</w:t>
      </w:r>
      <w:r>
        <w:rPr/>
        <w:t>”项目（采购项目编号：</w:t>
      </w:r>
      <w:r>
        <w:rPr/>
        <w:t>440001-2023-31358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