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440001-2023-17270</w:t>
      </w:r>
    </w:p>
    <w:p>
      <w:pPr>
        <w:jc w:val="center"/>
      </w:pPr>
      <w:r>
        <w:rPr>
          <w:b/>
          <w:sz w:val="24"/>
        </w:rPr>
        <w:t>采购项目编号：</w:t>
      </w:r>
      <w:r>
        <w:rPr>
          <w:b/>
          <w:sz w:val="24"/>
        </w:rPr>
        <w:t>440001-2023-17270</w:t>
      </w:r>
    </w:p>
    <w:p>
      <w:pPr>
        <w:jc w:val="center"/>
      </w:pPr>
      <w:r>
        <w:rPr>
          <w:b/>
          <w:sz w:val="24"/>
        </w:rPr>
        <w:t>项目名称：</w:t>
      </w:r>
      <w:r>
        <w:rPr>
          <w:b/>
          <w:sz w:val="24"/>
        </w:rPr>
        <w:t>广东省城市技师学院2023年度校医合作服务采购项目</w:t>
      </w:r>
    </w:p>
    <w:p>
      <w:pPr>
        <w:jc w:val="center"/>
      </w:pPr>
      <w:r>
        <w:rPr>
          <w:b/>
          <w:sz w:val="24"/>
        </w:rPr>
        <w:t>采购人：</w:t>
      </w:r>
      <w:r>
        <w:rPr>
          <w:b/>
          <w:sz w:val="24"/>
        </w:rPr>
        <w:t>广东省城市技师学院</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广东省城市技师学院</w:t>
      </w:r>
      <w:r>
        <w:rPr/>
        <w:t>的委托，采用</w:t>
      </w:r>
      <w:r>
        <w:rPr/>
        <w:t>公开招标</w:t>
      </w:r>
      <w:r>
        <w:rPr/>
        <w:t>方式组织采购</w:t>
      </w:r>
      <w:r>
        <w:rPr/>
        <w:t>广东省城市技师学院2023年度校医合作服务采购项目</w:t>
      </w:r>
      <w:r>
        <w:rPr/>
        <w:t>。欢迎符合资格条件的国内供应商参加投标。</w:t>
      </w:r>
    </w:p>
    <w:p>
      <w:r>
        <w:rPr>
          <w:b/>
          <w:sz w:val="28"/>
        </w:rPr>
        <w:t>一.项目概述</w:t>
      </w:r>
    </w:p>
    <w:p>
      <w:r>
        <w:rPr>
          <w:b/>
          <w:sz w:val="24"/>
        </w:rPr>
        <w:t>1.名称与编号</w:t>
      </w:r>
    </w:p>
    <w:p>
      <w:pPr>
        <w:ind w:firstLine="480"/>
      </w:pPr>
      <w:r>
        <w:rPr/>
        <w:t>项目名称：</w:t>
      </w:r>
      <w:r>
        <w:rPr/>
        <w:t>广东省城市技师学院2023年度校医合作服务采购项目</w:t>
      </w:r>
    </w:p>
    <w:p>
      <w:pPr>
        <w:ind w:firstLine="480"/>
      </w:pPr>
      <w:r>
        <w:rPr/>
        <w:t>采购计划编号：</w:t>
      </w:r>
      <w:r>
        <w:rPr/>
        <w:t>440001-2023-17270</w:t>
      </w:r>
    </w:p>
    <w:p>
      <w:pPr>
        <w:ind w:firstLine="480"/>
      </w:pPr>
      <w:r>
        <w:rPr/>
        <w:t>采购项目编号：</w:t>
      </w:r>
      <w:r>
        <w:rPr/>
        <w:t>440001-2023-17270</w:t>
      </w:r>
    </w:p>
    <w:p>
      <w:pPr>
        <w:ind w:firstLine="480"/>
      </w:pPr>
      <w:r>
        <w:rPr/>
        <w:t>采购方式：</w:t>
      </w:r>
      <w:r>
        <w:rPr/>
        <w:t>公开招标</w:t>
      </w:r>
    </w:p>
    <w:p>
      <w:pPr>
        <w:ind w:firstLine="480"/>
      </w:pPr>
      <w:r>
        <w:rPr/>
        <w:t>预算金额：</w:t>
      </w:r>
      <w:r>
        <w:rPr/>
        <w:t>2,394,000.00</w:t>
      </w:r>
      <w:r>
        <w:rPr/>
        <w:t>元</w:t>
      </w:r>
    </w:p>
    <w:p>
      <w:r>
        <w:rPr>
          <w:b/>
          <w:sz w:val="24"/>
        </w:rPr>
        <w:t>2.项目内容及需求情况（采购项目技术规格、参数及要求）</w:t>
      </w:r>
    </w:p>
    <w:p>
      <w:pPr>
        <w:ind w:firstLine="480"/>
      </w:pPr>
    </w:p>
    <w:p/>
    <w:p>
      <w:r>
        <w:rPr/>
        <w:t>采购包1(广东省城市技师学院天鹿校区、长福北校区、长福南校区和华美校区2023年度校医外包服务):</w:t>
      </w:r>
    </w:p>
    <w:p>
      <w:r>
        <w:rPr/>
        <w:t>采购包预算金额：2,128,000.00元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其他医疗卫生服务</w:t>
            </w:r>
          </w:p>
        </w:tc>
        <w:tc>
          <w:tcPr>
            <w:tcW w:type="dxa" w:w="2136"/>
          </w:tcPr>
          <w:p>
            <w:r>
              <w:rPr/>
              <w:t>广东省城市技师学院天鹿校区、长福北校区、长福南校区和华美校区2023年度校医外包服务</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合同履行期限：2023年6月1日至2024年7月31日。</w:t>
      </w:r>
    </w:p>
    <w:p/>
    <w:p>
      <w:r>
        <w:rPr/>
        <w:t>采购包2(广东省城市技师学院佛山校区2023年度校医外包服务):</w:t>
      </w:r>
    </w:p>
    <w:p>
      <w:r>
        <w:rPr/>
        <w:t>采购包预算金额：266,000.00元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其他医疗卫生服务</w:t>
            </w:r>
          </w:p>
        </w:tc>
        <w:tc>
          <w:tcPr>
            <w:tcW w:type="dxa" w:w="2136"/>
          </w:tcPr>
          <w:p>
            <w:r>
              <w:rPr/>
              <w:t>广东省城市技师学院佛山校区2023年度校医外包服务</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合同履行期限：2023年6月1日至2024年7月31日。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Pr>
        <w:jc w:val="left"/>
      </w:pPr>
    </w:p>
    <w:p/>
    <w:p/>
    <w:p>
      <w:r>
        <w:rPr>
          <w:b/>
          <w:sz w:val="24"/>
        </w:rPr>
        <w:t>3.本项目特定的资格要求：</w:t>
      </w:r>
    </w:p>
    <w:p>
      <w:pPr>
        <w:ind w:firstLine="480"/>
      </w:pPr>
    </w:p>
    <w:p/>
    <w:p>
      <w:r>
        <w:rPr/>
        <w:t>采购包1（广东省城市技师学院天鹿校区、长福北校区、长福南校区和华美校区2023年度校医外包服务）：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3)投标人须持有有效医疗机构执业许可证。</w:t>
      </w:r>
    </w:p>
    <w:p/>
    <w:p>
      <w:r>
        <w:rPr/>
        <w:t>采购包2（广东省城市技师学院佛山校区2023年度校医外包服务）：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3)投标人须持有有效医疗机构执业许可证。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p>
    <w:p>
      <w:r>
        <w:rPr>
          <w:b/>
          <w:sz w:val="28"/>
        </w:rPr>
        <w:t>六.本项目联系方式：</w:t>
      </w:r>
    </w:p>
    <w:p>
      <w:r>
        <w:rPr>
          <w:b/>
          <w:sz w:val="24"/>
        </w:rPr>
        <w:t>1.采购人信息</w:t>
      </w:r>
    </w:p>
    <w:p>
      <w:pPr>
        <w:ind w:firstLine="480"/>
      </w:pPr>
      <w:r>
        <w:rPr/>
        <w:t>名称：</w:t>
      </w:r>
      <w:r>
        <w:rPr/>
        <w:t>广东省城市技师学院</w:t>
      </w:r>
    </w:p>
    <w:p>
      <w:pPr>
        <w:ind w:firstLine="480"/>
      </w:pPr>
      <w:r>
        <w:rPr/>
        <w:t>地址：</w:t>
      </w:r>
      <w:r>
        <w:rPr/>
        <w:t>广东省广州市黄埔区天鹿南路289号</w:t>
      </w:r>
    </w:p>
    <w:p>
      <w:pPr>
        <w:ind w:firstLine="480"/>
      </w:pPr>
      <w:r>
        <w:rPr/>
        <w:t>联系方式：</w:t>
      </w:r>
      <w:r>
        <w:rPr/>
        <w:t>庞老师/020-28203109</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020-87554238</w:t>
      </w:r>
    </w:p>
    <w:p>
      <w:r>
        <w:rPr>
          <w:b/>
          <w:sz w:val="24"/>
        </w:rPr>
        <w:t>3.项目联系方式</w:t>
      </w:r>
    </w:p>
    <w:p>
      <w:pPr>
        <w:ind w:firstLine="480"/>
      </w:pPr>
      <w:r>
        <w:rPr/>
        <w:t>项目联系人：</w:t>
      </w:r>
      <w:r>
        <w:rPr/>
        <w:t>梁小姐、潘先生</w:t>
      </w:r>
    </w:p>
    <w:p>
      <w:pPr>
        <w:ind w:firstLine="480"/>
      </w:pPr>
      <w:r>
        <w:rPr/>
        <w:t>电话：</w:t>
      </w:r>
      <w:r>
        <w:rPr/>
        <w:t>020-87554238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t>说明：</w:t>
      </w:r>
      <w:r>
        <w:br/>
      </w:r>
      <w:r>
        <w:rPr/>
        <w:t>1.投标人须对本项目为单位（有划分包组的，则以包组为单位）的所有标的物进行整体投标，任何只对其中一部分内容进行的投标都被视为无效投标。</w:t>
      </w:r>
      <w:r>
        <w:br/>
      </w:r>
      <w:r>
        <w:rPr/>
        <w:t>2.本招标文件中，凡标有“★”的地方，投标人要特别加以注意，必须对此作出一一响应。若有一项带“★”的指标未响应或不满足，将导致其废标或投标无效。</w:t>
      </w:r>
      <w:r>
        <w:br/>
      </w:r>
      <w:r>
        <w:rPr/>
        <w:t xml:space="preserve">3.中小企业声明函中，本项目 </w:t>
      </w:r>
      <w:r>
        <w:rPr>
          <w:b/>
          <w:u w:val="single"/>
        </w:rPr>
        <w:t xml:space="preserve"> 广东省城市技师学院2023年度校医合作服务采购项目 </w:t>
      </w:r>
      <w:r>
        <w:rPr/>
        <w:t>，属于</w:t>
      </w:r>
      <w:r>
        <w:rPr>
          <w:b/>
          <w:u w:val="single"/>
        </w:rPr>
        <w:t xml:space="preserve">  其他未列明行业</w:t>
      </w:r>
      <w:r>
        <w:rPr/>
        <w:t xml:space="preserve"> 行业；</w:t>
      </w:r>
    </w:p>
    <w:p>
      <w:pPr>
        <w:ind w:firstLine="480"/>
        <w:jc w:val="both"/>
      </w:pPr>
      <w:r>
        <w:rPr>
          <w:b/>
          <w:sz w:val="21"/>
        </w:rPr>
        <w:t>一、采购内容</w:t>
      </w:r>
    </w:p>
    <w:tbl>
      <w:tblPr>
        <w:tblW w:w="0" w:type="auto"/>
        <w:tblBorders>
          <w:top w:val="single"/>
          <w:left w:val="single"/>
          <w:bottom w:val="single"/>
          <w:right w:val="single"/>
          <w:insideH w:val="single"/>
          <w:insideV w:val="single"/>
        </w:tblBorders>
      </w:tblPr>
      <w:tblGrid>
        <w:gridCol w:w="923"/>
        <w:gridCol w:w="4447"/>
        <w:gridCol w:w="2936"/>
      </w:tblGrid>
      <w:tr>
        <w:tc>
          <w:tcPr>
            <w:tcW w:type="dxa" w:w="92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47"/>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2936"/>
            <w:tcBorders>
              <w:top w:val="single" w:color="000000" w:sz="4"/>
              <w:left w:val="none" w:color="000000" w:sz="4"/>
              <w:bottom w:val="single" w:color="000000" w:sz="4"/>
              <w:right w:val="single" w:color="000000" w:sz="4"/>
            </w:tcBorders>
            <w:vAlign w:val="top"/>
          </w:tcPr>
          <w:p>
            <w:pPr>
              <w:jc w:val="center"/>
            </w:pPr>
            <w:r>
              <w:rPr>
                <w:sz w:val="21"/>
              </w:rPr>
              <w:t>最高限价</w:t>
            </w:r>
          </w:p>
        </w:tc>
      </w:tr>
      <w:tr>
        <w:tc>
          <w:tcPr>
            <w:tcW w:type="dxa" w:w="923"/>
            <w:tcBorders>
              <w:top w:val="none" w:color="000000" w:sz="4"/>
              <w:left w:val="single" w:color="000000" w:sz="4"/>
              <w:bottom w:val="single" w:color="000000" w:sz="4"/>
              <w:right w:val="single" w:color="000000" w:sz="4"/>
            </w:tcBorders>
          </w:tcPr>
          <w:p>
            <w:pPr>
              <w:jc w:val="center"/>
            </w:pPr>
            <w:r>
              <w:rPr>
                <w:sz w:val="21"/>
              </w:rPr>
              <w:t>采购包1</w:t>
            </w:r>
          </w:p>
        </w:tc>
        <w:tc>
          <w:tcPr>
            <w:tcW w:type="dxa" w:w="4447"/>
            <w:tcBorders>
              <w:top w:val="none" w:color="000000" w:sz="4"/>
              <w:left w:val="none" w:color="000000" w:sz="4"/>
              <w:bottom w:val="single" w:color="000000" w:sz="4"/>
              <w:right w:val="single" w:color="000000" w:sz="4"/>
            </w:tcBorders>
          </w:tcPr>
          <w:p>
            <w:pPr>
              <w:jc w:val="center"/>
            </w:pPr>
            <w:r>
              <w:rPr>
                <w:sz w:val="21"/>
              </w:rPr>
              <w:t>广东省城市技师学院天鹿校区、长福北校区、长福南校区和华美校区2023年度校医外包服务</w:t>
            </w:r>
          </w:p>
        </w:tc>
        <w:tc>
          <w:tcPr>
            <w:tcW w:type="dxa" w:w="2936"/>
            <w:tcBorders>
              <w:top w:val="none" w:color="000000" w:sz="4"/>
              <w:left w:val="none" w:color="000000" w:sz="4"/>
              <w:bottom w:val="single" w:color="000000" w:sz="4"/>
              <w:right w:val="single" w:color="000000" w:sz="4"/>
            </w:tcBorders>
          </w:tcPr>
          <w:p>
            <w:pPr>
              <w:jc w:val="center"/>
            </w:pPr>
            <w:r>
              <w:rPr>
                <w:sz w:val="21"/>
              </w:rPr>
              <w:t>人民币：2,128,000.00元</w:t>
            </w:r>
          </w:p>
        </w:tc>
      </w:tr>
      <w:tr>
        <w:tc>
          <w:tcPr>
            <w:tcW w:type="dxa" w:w="923"/>
            <w:tcBorders>
              <w:top w:val="none" w:color="000000" w:sz="4"/>
              <w:left w:val="single" w:color="000000" w:sz="4"/>
              <w:bottom w:val="single" w:color="000000" w:sz="4"/>
              <w:right w:val="single" w:color="000000" w:sz="4"/>
            </w:tcBorders>
          </w:tcPr>
          <w:p>
            <w:pPr>
              <w:jc w:val="center"/>
            </w:pPr>
            <w:r>
              <w:rPr>
                <w:sz w:val="21"/>
              </w:rPr>
              <w:t>采购包2</w:t>
            </w:r>
          </w:p>
        </w:tc>
        <w:tc>
          <w:tcPr>
            <w:tcW w:type="dxa" w:w="4447"/>
            <w:tcBorders>
              <w:top w:val="none" w:color="000000" w:sz="4"/>
              <w:left w:val="none" w:color="000000" w:sz="4"/>
              <w:bottom w:val="single" w:color="000000" w:sz="4"/>
              <w:right w:val="single" w:color="000000" w:sz="4"/>
            </w:tcBorders>
          </w:tcPr>
          <w:p>
            <w:pPr>
              <w:jc w:val="center"/>
            </w:pPr>
            <w:r>
              <w:rPr>
                <w:sz w:val="21"/>
              </w:rPr>
              <w:t>广东省城市技师学院佛山校区2023年度校医外包服务</w:t>
            </w:r>
          </w:p>
        </w:tc>
        <w:tc>
          <w:tcPr>
            <w:tcW w:type="dxa" w:w="2936"/>
            <w:tcBorders>
              <w:top w:val="none" w:color="000000" w:sz="4"/>
              <w:left w:val="none" w:color="000000" w:sz="4"/>
              <w:bottom w:val="single" w:color="000000" w:sz="4"/>
              <w:right w:val="single" w:color="000000" w:sz="4"/>
            </w:tcBorders>
          </w:tcPr>
          <w:p>
            <w:pPr>
              <w:jc w:val="center"/>
            </w:pPr>
            <w:r>
              <w:rPr>
                <w:sz w:val="21"/>
              </w:rPr>
              <w:t>人民币266,000.00元</w:t>
            </w:r>
          </w:p>
        </w:tc>
      </w:tr>
    </w:tbl>
    <w:p>
      <w:pPr>
        <w:ind w:firstLine="480"/>
        <w:jc w:val="both"/>
      </w:pPr>
      <w:r>
        <w:rPr/>
        <w:t xml:space="preserve"> </w:t>
      </w:r>
    </w:p>
    <w:p>
      <w:pPr>
        <w:ind w:firstLine="480"/>
        <w:jc w:val="both"/>
      </w:pPr>
      <w:r>
        <w:rPr>
          <w:b/>
          <w:sz w:val="21"/>
        </w:rPr>
        <w:t>二、附件：</w:t>
      </w:r>
    </w:p>
    <w:p>
      <w:pPr>
        <w:jc w:val="center"/>
      </w:pPr>
      <w:r>
        <w:rPr>
          <w:b/>
          <w:sz w:val="21"/>
        </w:rPr>
        <w:t>《医疗服务考核表》</w:t>
      </w:r>
    </w:p>
    <w:tbl>
      <w:tblPr>
        <w:tblW w:w="0" w:type="auto"/>
        <w:tblBorders>
          <w:top w:val="single"/>
          <w:left w:val="single"/>
          <w:bottom w:val="single"/>
          <w:right w:val="single"/>
          <w:insideH w:val="single"/>
          <w:insideV w:val="single"/>
        </w:tblBorders>
      </w:tblPr>
      <w:tblGrid>
        <w:gridCol w:w="1240"/>
        <w:gridCol w:w="1240"/>
        <w:gridCol w:w="1240"/>
        <w:gridCol w:w="4153"/>
        <w:gridCol w:w="434"/>
      </w:tblGrid>
      <w:tr>
        <w:tc>
          <w:tcPr>
            <w:tcW w:type="dxa" w:w="2480"/>
            <w:gridSpan w:val="2"/>
            <w:tcBorders>
              <w:top w:val="single" w:color="000000" w:sz="4"/>
              <w:left w:val="single" w:color="000000" w:sz="4"/>
              <w:bottom w:val="single" w:color="000000" w:sz="4"/>
              <w:right w:val="single" w:color="000000" w:sz="4"/>
            </w:tcBorders>
          </w:tcPr>
          <w:p>
            <w:pPr>
              <w:jc w:val="center"/>
            </w:pPr>
            <w:r>
              <w:rPr>
                <w:b/>
                <w:sz w:val="21"/>
              </w:rPr>
              <w:t>项目</w:t>
            </w:r>
          </w:p>
        </w:tc>
        <w:tc>
          <w:tcPr>
            <w:tcW w:type="dxa" w:w="1240"/>
            <w:tcBorders>
              <w:top w:val="single" w:color="000000" w:sz="4"/>
              <w:left w:val="none" w:color="000000" w:sz="4"/>
              <w:bottom w:val="single" w:color="000000" w:sz="4"/>
              <w:right w:val="single" w:color="000000" w:sz="4"/>
            </w:tcBorders>
          </w:tcPr>
          <w:p>
            <w:pPr>
              <w:jc w:val="center"/>
            </w:pPr>
            <w:r>
              <w:rPr>
                <w:b/>
                <w:sz w:val="21"/>
              </w:rPr>
              <w:t>考核指标</w:t>
            </w:r>
          </w:p>
        </w:tc>
        <w:tc>
          <w:tcPr>
            <w:tcW w:type="dxa" w:w="4153"/>
            <w:tcBorders>
              <w:top w:val="single" w:color="000000" w:sz="4"/>
              <w:left w:val="none" w:color="000000" w:sz="4"/>
              <w:bottom w:val="single" w:color="000000" w:sz="4"/>
              <w:right w:val="single" w:color="000000" w:sz="4"/>
            </w:tcBorders>
          </w:tcPr>
          <w:p>
            <w:pPr>
              <w:jc w:val="center"/>
            </w:pPr>
            <w:r>
              <w:rPr>
                <w:b/>
                <w:sz w:val="21"/>
              </w:rPr>
              <w:t>考核内容</w:t>
            </w:r>
          </w:p>
        </w:tc>
        <w:tc>
          <w:tcPr>
            <w:tcW w:type="dxa" w:w="434"/>
            <w:tcBorders>
              <w:top w:val="single" w:color="000000" w:sz="4"/>
              <w:left w:val="none" w:color="000000" w:sz="4"/>
              <w:bottom w:val="single" w:color="000000" w:sz="4"/>
              <w:right w:val="single" w:color="000000" w:sz="4"/>
            </w:tcBorders>
          </w:tcPr>
          <w:p>
            <w:pPr>
              <w:jc w:val="center"/>
            </w:pPr>
            <w:r>
              <w:rPr>
                <w:b/>
                <w:sz w:val="21"/>
              </w:rPr>
              <w:t>分值</w:t>
            </w:r>
          </w:p>
        </w:tc>
      </w:tr>
      <w:tr>
        <w:tc>
          <w:tcPr>
            <w:tcW w:type="dxa" w:w="2480"/>
            <w:gridSpan w:val="2"/>
            <w:tcBorders>
              <w:top w:val="none" w:color="000000" w:sz="4"/>
              <w:left w:val="single" w:color="000000" w:sz="4"/>
              <w:bottom w:val="single" w:color="000000" w:sz="4"/>
              <w:right w:val="single" w:color="000000" w:sz="4"/>
            </w:tcBorders>
          </w:tcPr>
          <w:p>
            <w:pPr>
              <w:jc w:val="center"/>
            </w:pPr>
            <w:r>
              <w:rPr>
                <w:b/>
                <w:sz w:val="21"/>
              </w:rPr>
              <w:t>医疗机构考核</w:t>
            </w:r>
          </w:p>
        </w:tc>
        <w:tc>
          <w:tcPr>
            <w:tcW w:type="dxa" w:w="1240"/>
            <w:tcBorders>
              <w:top w:val="none" w:color="000000" w:sz="4"/>
              <w:left w:val="none" w:color="000000" w:sz="4"/>
              <w:bottom w:val="single" w:color="000000" w:sz="4"/>
              <w:right w:val="single" w:color="000000" w:sz="4"/>
            </w:tcBorders>
          </w:tcPr>
          <w:p>
            <w:pPr>
              <w:jc w:val="center"/>
            </w:pPr>
            <w:r>
              <w:rPr>
                <w:b/>
                <w:sz w:val="21"/>
              </w:rPr>
              <w:t>团队人员</w:t>
            </w:r>
          </w:p>
        </w:tc>
        <w:tc>
          <w:tcPr>
            <w:tcW w:type="dxa" w:w="4153"/>
            <w:tcBorders>
              <w:top w:val="none" w:color="000000" w:sz="4"/>
              <w:left w:val="none" w:color="000000" w:sz="4"/>
              <w:bottom w:val="single" w:color="000000" w:sz="4"/>
              <w:right w:val="single" w:color="000000" w:sz="4"/>
            </w:tcBorders>
          </w:tcPr>
          <w:p>
            <w:pPr>
              <w:jc w:val="left"/>
            </w:pPr>
            <w:r>
              <w:rPr>
                <w:sz w:val="21"/>
              </w:rPr>
              <w:t>*1.</w:t>
            </w:r>
            <w:r>
              <w:rPr>
                <w:sz w:val="21"/>
              </w:rPr>
              <w:t>人员是否齐备、到位</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val="restart"/>
            <w:tcBorders>
              <w:top w:val="none" w:color="000000" w:sz="4"/>
              <w:left w:val="single" w:color="000000" w:sz="4"/>
              <w:bottom w:val="single" w:color="000000" w:sz="4"/>
              <w:right w:val="single" w:color="000000" w:sz="4"/>
            </w:tcBorders>
          </w:tcPr>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1"/>
              </w:rPr>
              <w:t>住校人员考核</w:t>
            </w: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职业思想品德</w:t>
            </w:r>
          </w:p>
        </w:tc>
        <w:tc>
          <w:tcPr>
            <w:tcW w:type="dxa" w:w="1240"/>
            <w:tcBorders>
              <w:top w:val="none" w:color="000000" w:sz="4"/>
              <w:left w:val="none" w:color="000000" w:sz="4"/>
              <w:bottom w:val="single" w:color="000000" w:sz="4"/>
              <w:right w:val="single" w:color="000000" w:sz="4"/>
            </w:tcBorders>
          </w:tcPr>
          <w:p>
            <w:pPr>
              <w:jc w:val="center"/>
            </w:pPr>
            <w:r>
              <w:rPr>
                <w:b/>
                <w:sz w:val="21"/>
              </w:rPr>
              <w:t>仪表仪态</w:t>
            </w:r>
          </w:p>
        </w:tc>
        <w:tc>
          <w:tcPr>
            <w:tcW w:type="dxa" w:w="4153"/>
            <w:tcBorders>
              <w:top w:val="none" w:color="000000" w:sz="4"/>
              <w:left w:val="none" w:color="000000" w:sz="4"/>
              <w:bottom w:val="single" w:color="000000" w:sz="4"/>
              <w:right w:val="single" w:color="000000" w:sz="4"/>
            </w:tcBorders>
          </w:tcPr>
          <w:p>
            <w:pPr>
              <w:jc w:val="left"/>
            </w:pPr>
            <w:r>
              <w:rPr>
                <w:sz w:val="21"/>
              </w:rPr>
              <w:t>2.</w:t>
            </w:r>
            <w:r>
              <w:rPr>
                <w:sz w:val="21"/>
              </w:rPr>
              <w:t>衣装得体，整洁干净，不穿超短、过于暴露衣物，不穿奇装异服等不符合校园的服饰，不留指甲。</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Pr>
          <w:p>
            <w:pPr>
              <w:jc w:val="center"/>
            </w:pPr>
            <w:r>
              <w:rPr>
                <w:b/>
                <w:sz w:val="21"/>
              </w:rPr>
              <w:t>团队协作</w:t>
            </w:r>
          </w:p>
        </w:tc>
        <w:tc>
          <w:tcPr>
            <w:tcW w:type="dxa" w:w="4153"/>
            <w:tcBorders>
              <w:top w:val="none" w:color="000000" w:sz="4"/>
              <w:left w:val="none" w:color="000000" w:sz="4"/>
              <w:bottom w:val="single" w:color="000000" w:sz="4"/>
              <w:right w:val="single" w:color="000000" w:sz="4"/>
            </w:tcBorders>
          </w:tcPr>
          <w:p>
            <w:pPr>
              <w:jc w:val="left"/>
            </w:pPr>
            <w:r>
              <w:rPr>
                <w:sz w:val="21"/>
              </w:rPr>
              <w:t>3.</w:t>
            </w:r>
            <w:r>
              <w:rPr>
                <w:sz w:val="21"/>
              </w:rPr>
              <w:t>积极主动配合各部门工作，集体意识强，团队成员之间能充分沟通，协作，有礼貌友善友好。</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遵纪守法</w:t>
            </w: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遵守学校规章制度，法律法规</w:t>
            </w:r>
          </w:p>
        </w:tc>
        <w:tc>
          <w:tcPr>
            <w:tcW w:type="dxa" w:w="4153"/>
            <w:tcBorders>
              <w:top w:val="none" w:color="000000" w:sz="4"/>
              <w:left w:val="none" w:color="000000" w:sz="4"/>
              <w:bottom w:val="single" w:color="000000" w:sz="4"/>
              <w:right w:val="single" w:color="000000" w:sz="4"/>
            </w:tcBorders>
          </w:tcPr>
          <w:p>
            <w:pPr>
              <w:jc w:val="left"/>
            </w:pPr>
            <w:r>
              <w:rPr>
                <w:sz w:val="21"/>
              </w:rPr>
              <w:t>4.</w:t>
            </w:r>
            <w:r>
              <w:rPr>
                <w:sz w:val="21"/>
              </w:rPr>
              <w:t>严格遵守校内各项规章制度，按时上班，不迟到，不早退</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5.</w:t>
            </w:r>
            <w:r>
              <w:rPr>
                <w:sz w:val="21"/>
              </w:rPr>
              <w:t>严格遵守国家法律法规与卫生部门的有关规定，遵守职业道德，并相互监督执行。</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val="restart"/>
            <w:tcBorders>
              <w:top w:val="none" w:color="000000" w:sz="4"/>
              <w:left w:val="none" w:color="000000" w:sz="4"/>
              <w:bottom w:val="single" w:color="000000" w:sz="4"/>
              <w:right w:val="single" w:color="000000" w:sz="4"/>
            </w:tcBorders>
          </w:tcPr>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1"/>
              </w:rPr>
              <w:t>日常工作</w:t>
            </w:r>
          </w:p>
        </w:tc>
        <w:tc>
          <w:tcPr>
            <w:tcW w:type="dxa" w:w="1240"/>
            <w:vMerge w:val="restart"/>
            <w:tcBorders>
              <w:top w:val="none" w:color="000000" w:sz="4"/>
              <w:left w:val="none" w:color="000000" w:sz="4"/>
              <w:bottom w:val="single" w:color="000000" w:sz="4"/>
              <w:right w:val="single" w:color="000000" w:sz="4"/>
            </w:tcBorders>
          </w:tcPr>
          <w:p>
            <w:pPr>
              <w:jc w:val="center"/>
            </w:pPr>
          </w:p>
          <w:p>
            <w:pPr>
              <w:jc w:val="both"/>
            </w:pPr>
          </w:p>
          <w:p>
            <w:pPr>
              <w:jc w:val="center"/>
            </w:pPr>
            <w:r>
              <w:rPr>
                <w:b/>
                <w:sz w:val="21"/>
              </w:rPr>
              <w:t>岗位职责</w:t>
            </w:r>
          </w:p>
        </w:tc>
        <w:tc>
          <w:tcPr>
            <w:tcW w:type="dxa" w:w="4153"/>
            <w:tcBorders>
              <w:top w:val="none" w:color="000000" w:sz="4"/>
              <w:left w:val="none" w:color="000000" w:sz="4"/>
              <w:bottom w:val="single" w:color="000000" w:sz="4"/>
              <w:right w:val="single" w:color="000000" w:sz="4"/>
            </w:tcBorders>
          </w:tcPr>
          <w:p>
            <w:pPr>
              <w:jc w:val="left"/>
            </w:pPr>
            <w:r>
              <w:rPr>
                <w:sz w:val="21"/>
              </w:rPr>
              <w:t>6.</w:t>
            </w:r>
            <w:r>
              <w:rPr>
                <w:sz w:val="21"/>
              </w:rPr>
              <w:t>明确自己的岗位职责、工作范畴。认真做好学院的疾病预防、治疗、护理等基础医疗工作。</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7.</w:t>
            </w:r>
            <w:r>
              <w:rPr>
                <w:sz w:val="21"/>
              </w:rPr>
              <w:t>日常就诊认真负责、无不当处置、无有效投拆。</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*8.</w:t>
            </w:r>
            <w:r>
              <w:rPr>
                <w:sz w:val="21"/>
              </w:rPr>
              <w:t>对疑似传染病或确诊病例要及时上报，做到一例一汇报，登记齐全，进行病因追踪和统计，采取防范措施，同时对传染病例所在的班级学生及教师进行传染病防控宣传和指导，对病例所在课室和宿舍进行消杀指导。做好查验复课工作。</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*9.</w:t>
            </w:r>
            <w:r>
              <w:rPr>
                <w:sz w:val="21"/>
              </w:rPr>
              <w:t>接到通知后对师生突发重大伤害或疾病做到及时到现场进行急救。</w:t>
            </w:r>
          </w:p>
        </w:tc>
        <w:tc>
          <w:tcPr>
            <w:tcW w:type="dxa" w:w="434"/>
            <w:tcBorders>
              <w:top w:val="none" w:color="000000" w:sz="4"/>
              <w:left w:val="none" w:color="000000" w:sz="4"/>
              <w:bottom w:val="single" w:color="000000" w:sz="4"/>
              <w:right w:val="single" w:color="000000" w:sz="4"/>
            </w:tcBorders>
          </w:tcPr>
          <w:p>
            <w:pPr>
              <w:jc w:val="center"/>
            </w:pPr>
          </w:p>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10.</w:t>
            </w:r>
            <w:r>
              <w:rPr>
                <w:sz w:val="21"/>
              </w:rPr>
              <w:t>校内各项大型活动和演练的医疗保障认真负责，及时位。</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11.</w:t>
            </w:r>
            <w:r>
              <w:rPr>
                <w:sz w:val="21"/>
              </w:rPr>
              <w:t>对就诊病例情况进行登记，做好医务日记记录等医务室相关工作记录，及时、完整。档案归类登记工作有条理,档案内容齐全。</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卫生室管理</w:t>
            </w:r>
          </w:p>
        </w:tc>
        <w:tc>
          <w:tcPr>
            <w:tcW w:type="dxa" w:w="4153"/>
            <w:tcBorders>
              <w:top w:val="none" w:color="000000" w:sz="4"/>
              <w:left w:val="none" w:color="000000" w:sz="4"/>
              <w:bottom w:val="single" w:color="000000" w:sz="4"/>
              <w:right w:val="single" w:color="000000" w:sz="4"/>
            </w:tcBorders>
          </w:tcPr>
          <w:p>
            <w:pPr>
              <w:jc w:val="left"/>
            </w:pPr>
            <w:r>
              <w:rPr>
                <w:sz w:val="21"/>
              </w:rPr>
              <w:t>12.</w:t>
            </w:r>
            <w:r>
              <w:rPr>
                <w:sz w:val="21"/>
              </w:rPr>
              <w:t>做好校医室清洁和消杀工作，并做好登记。</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13.</w:t>
            </w:r>
            <w:r>
              <w:rPr>
                <w:sz w:val="21"/>
              </w:rPr>
              <w:t>室内整洁舒适、物品放置有序、保管妥善，做好医疗器械和药品的管理。</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Pr>
          <w:p>
            <w:pPr>
              <w:jc w:val="center"/>
            </w:pPr>
            <w:r>
              <w:rPr>
                <w:b/>
                <w:sz w:val="21"/>
              </w:rPr>
              <w:t>药品药物管理</w:t>
            </w:r>
          </w:p>
        </w:tc>
        <w:tc>
          <w:tcPr>
            <w:tcW w:type="dxa" w:w="4153"/>
            <w:tcBorders>
              <w:top w:val="none" w:color="000000" w:sz="4"/>
              <w:left w:val="none" w:color="000000" w:sz="4"/>
              <w:bottom w:val="single" w:color="000000" w:sz="4"/>
              <w:right w:val="single" w:color="000000" w:sz="4"/>
            </w:tcBorders>
          </w:tcPr>
          <w:p>
            <w:pPr>
              <w:jc w:val="left"/>
            </w:pPr>
            <w:r>
              <w:rPr>
                <w:sz w:val="21"/>
              </w:rPr>
              <w:t>*14.</w:t>
            </w:r>
            <w:r>
              <w:rPr>
                <w:sz w:val="21"/>
              </w:rPr>
              <w:t>药品确定在保质期内，无过期药，外用换药器械按医疗常规进行消毒，一次性物品在有效期内，对所有药品要明码标价。按照广东省卫生及物价部门规定的有关医疗收费标准收费</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bl>
    <w:p>
      <w:pPr>
        <w:jc w:val="both"/>
      </w:pPr>
      <w:r>
        <w:rPr>
          <w:b/>
          <w:sz w:val="21"/>
        </w:rPr>
        <w:t>说明：</w:t>
      </w:r>
    </w:p>
    <w:p>
      <w:pPr>
        <w:jc w:val="both"/>
      </w:pPr>
      <w:r>
        <w:rPr>
          <w:sz w:val="21"/>
        </w:rPr>
        <w:t>1</w:t>
      </w:r>
      <w:r>
        <w:rPr>
          <w:sz w:val="21"/>
        </w:rPr>
        <w:t>、该考核表总分≥90分为合格，低于90分需根据要求进行相应整改。带“*”号为必要项，违反一项直接判定为不及格。</w:t>
      </w:r>
    </w:p>
    <w:p>
      <w:pPr>
        <w:jc w:val="both"/>
      </w:pPr>
      <w:r>
        <w:rPr>
          <w:sz w:val="21"/>
        </w:rPr>
        <w:t>2</w:t>
      </w:r>
      <w:r>
        <w:rPr>
          <w:sz w:val="21"/>
        </w:rPr>
        <w:t>、一个季度考核一次，考核时间为下一季度第一个月的3号前。</w:t>
      </w:r>
    </w:p>
    <w:p>
      <w:pPr>
        <w:jc w:val="both"/>
      </w:pPr>
      <w:r>
        <w:rPr>
          <w:sz w:val="21"/>
        </w:rPr>
        <w:t>3</w:t>
      </w:r>
      <w:r>
        <w:rPr>
          <w:sz w:val="21"/>
        </w:rPr>
        <w:t>、考核与费用挂钩，考核合格当季度服务费全款支付，考核不合格扣除当季度应支付服务费的20%。</w:t>
      </w:r>
    </w:p>
    <w:p>
      <w:pPr>
        <w:ind w:firstLine="480"/>
        <w:jc w:val="both"/>
      </w:pPr>
      <w:r>
        <w:rPr/>
        <w:t xml:space="preserve"> </w:t>
      </w:r>
    </w:p>
    <w:p/>
    <w:p>
      <w:pPr>
        <w:ind w:firstLine="480"/>
      </w:pPr>
    </w:p>
    <w:p/>
    <w:p>
      <w:r>
        <w:rPr/>
        <w:t>采购包1（广东省城市技师学院天鹿校区、长福北校区、长福南校区和华美校区2023年度校医外包服务）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医疗服务期限为14个月，即自2023年6月1日起至2024年7月31日止。</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如中标人为非中小企业：服务费用按季度进行结算，每3个月为一季度。采购人在每季度结束且收到中标人提供合法发票后15日内支付上季度服务费。本项目服务合同结束后，经采购人验收合格后，采购人在合同结束次月且收到中标人发票后15 日内结算支付剩余费用。 2、如中标人属于中小企业（投标文件提交《中小企业声明函》作为判断的依据），则本项目付款方式按规定调整为：合同签订后（且中标人已按规定向采购人缴存履约保证金 ）5个工作日内，采购人向中标人支付合同总价30%的预付款（该预付款采购人将在前三期支付款中全部平均扣回，若前三期扣回款项不足以全额抵扣已支付合同总价30%的预付款，则延期至第四期支付款中扣回，以此类推，直至全部预付款项扣完为止。）；剩余的医疗服务费按以上方式按季结算。 采购人支付前中标人必须提供给采购人等额合法有效的发票，如中标人延迟提供发票的，采购人有权顺延支付，且不承担违约责任。</w:t>
            </w:r>
          </w:p>
        </w:tc>
      </w:tr>
      <w:tr>
        <w:tc>
          <w:tcPr>
            <w:tcW w:type="dxa" w:w="4153"/>
          </w:tcPr>
          <w:p>
            <w:r>
              <w:rPr/>
              <w:t>验收要求</w:t>
            </w:r>
          </w:p>
        </w:tc>
        <w:tc>
          <w:tcPr>
            <w:tcW w:type="dxa" w:w="4153"/>
          </w:tcPr>
          <w:p/>
          <w:p/>
          <w:p/>
          <w:p>
            <w:r>
              <w:rPr/>
              <w:t>1期：1、季度履约验收：项目验收要求依据采购人相关验收程序制订验收标准，包括但不限于履约情况和评价情况。每季度结算时，中标人按照采购文件中的采购需求及合同约定，向采购人提供验收材料，采购人根据验收材料对当月服务项目进行履约验收。中标人根据采购人验收意见办理当季度结算手续。验收意见明确要求整改的，由中标人整改并经审核通过后，再办理结算手续。 2、整体验收：全部服务完成后，中标人向采购人提交书面的验收申请，采购人收到验收申请后3天内完成项目验收。采购人对以下内容进行验收：（1）项目服务质量情况。根据采购文件和合同规定，中标人应该完成的工作质量，实际完成的工作质量；（2）工作效率履约情况。在规定时间内的完成情况，有无任务拖延滞后情况；（3）项目经费结算情况。按照合同约定应当结算的数额和实际结算是否一致，结算数据是否真实、准确，有无虚报、错报和多报情况；（4）服务验收要求依据附件《医疗服务考核表》及相关说明。</w:t>
            </w:r>
          </w:p>
        </w:tc>
      </w:tr>
      <w:tr>
        <w:tc>
          <w:tcPr>
            <w:tcW w:type="dxa" w:w="4153"/>
          </w:tcPr>
          <w:p>
            <w:r>
              <w:rPr/>
              <w:t>履约保证金</w:t>
            </w:r>
          </w:p>
        </w:tc>
        <w:tc>
          <w:tcPr>
            <w:tcW w:type="dxa" w:w="4153"/>
          </w:tcPr>
          <w:p/>
          <w:p/>
          <w:p/>
          <w:p/>
          <w:p>
            <w:r>
              <w:rPr/>
              <w:t>收取比例：10%,说明：1.缴存金额：成交后，中标人须向采购人缴存履约保证金，为合同价的10%。如中标人属于中小企业（投标文件提交《中小企业声明函》作为判断的依据），则履约保证金为合同价的5%。 2.缴存时间：合同签订后的5个工作日内，中标人须将投标承诺的履约保证金一次性转入采购人指定账户，否则视为中标人放弃中标资格。 3.履约保证金可用于赔偿因中标人原因造成采购人的损失或因中标人违约而支付给采购人的违约金。若履约保证金不足以赔偿采购人的损失，中标人须追加赔偿金，以足额赔偿采购人的损失。发生赔偿后，中标人须按采购人规定补足履约保证金。 4.合同期间，中标人若违反相关协议以及本项目采购需求中违约责任的相关条款，采购人有权从履约保证金中抵扣采购人损失直至全额没收履约保证金。 5.合同终止时，中标人若无违反采购人相应的规定（参见用户需求书“违约责任”中的相关条款），及时完成各项退场交接及清算工作，采购人按合同约定扣除应由中标人支付的各类款项和违约金后，经中标人申请，在1个月内向中标人无息退回剩余的履约保证金。 6.履约保证金在验收合格履约期满后，中标人向采购人申请退还履约保证金，采购人于接到申请后15个工作日内将履约保证金无息退回中标人。</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违约责任与赔偿损失：</w:t>
            </w:r>
          </w:p>
        </w:tc>
        <w:tc>
          <w:tcPr>
            <w:tcW w:type="dxa" w:w="2076"/>
          </w:tcPr>
          <w:p>
            <w:pPr>
              <w:jc w:val="left"/>
            </w:pPr>
            <w:r>
              <w:rPr/>
              <w:t>1) 投标人提供的服务不符合采购文件、投标文件或本合同规定的，采购人有权拒收，并且投标人须向采购人方支付本合同总价5%的违约金。 2) 投标人未能按本合同约定的时间提供服务，从逾期之日起每日按本合同总价3‰的数额向采购人支付违约金；逾期半个月以上的，采购人有权单方解除合同，由此造成的采购人经济损失由投标人承担。 3) 采购人无正当理由拒收接受服务，到期拒付服务款项的，采购人向投标人偿付本合同总的5%的违约金。采购人逾期付款，则每日按本合同总价的3‰向投标人偿付违约金。 4) 其它违约责任按《中华人民共和国民法典》第三编　合同处理。</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其他医疗卫生服务</w:t>
            </w:r>
          </w:p>
        </w:tc>
        <w:tc>
          <w:tcPr>
            <w:tcW w:type="dxa" w:w="933"/>
          </w:tcPr>
          <w:p>
            <w:pPr>
              <w:jc w:val="left"/>
            </w:pPr>
            <w:r>
              <w:rPr/>
              <w:t>广东省城市技师学院天鹿校区、长福北校区、长福南校区和华美校区2023年度校医外包服务</w:t>
            </w:r>
          </w:p>
        </w:tc>
        <w:tc>
          <w:tcPr>
            <w:tcW w:type="dxa" w:w="933"/>
          </w:tcPr>
          <w:p>
            <w:pPr>
              <w:jc w:val="left"/>
            </w:pPr>
            <w:r>
              <w:rPr/>
              <w:t>项</w:t>
            </w:r>
          </w:p>
        </w:tc>
        <w:tc>
          <w:tcPr>
            <w:tcW w:type="dxa" w:w="933"/>
          </w:tcPr>
          <w:p>
            <w:pPr>
              <w:jc w:val="right"/>
            </w:pPr>
            <w:r>
              <w:rPr/>
              <w:t>1.00</w:t>
            </w:r>
          </w:p>
        </w:tc>
        <w:tc>
          <w:tcPr>
            <w:tcW w:type="dxa" w:w="933"/>
          </w:tcPr>
          <w:p>
            <w:pPr>
              <w:jc w:val="right"/>
            </w:pPr>
            <w:r>
              <w:rPr/>
              <w:t>2,128,000.00</w:t>
            </w:r>
          </w:p>
        </w:tc>
        <w:tc>
          <w:tcPr>
            <w:tcW w:type="dxa" w:w="933"/>
          </w:tcPr>
          <w:p>
            <w:pPr>
              <w:jc w:val="right"/>
            </w:pPr>
            <w:r>
              <w:rPr/>
              <w:t>2,128,000.00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广东省城市技师学院天鹿校区、长福北校区、长福南校区和华美校区2023年度校医外包服务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（一）人数需求：</w:t>
            </w:r>
          </w:p>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Borders>
                    <w:top w:val="single" w:color="000000" w:sz="4"/>
                    <w:left w:val="single" w:color="000000" w:sz="4"/>
                    <w:bottom w:val="single" w:color="000000" w:sz="4"/>
                    <w:right w:val="single" w:color="000000" w:sz="4"/>
                  </w:tcBorders>
                  <w:vAlign w:val="top"/>
                </w:tcPr>
                <w:p>
                  <w:pPr>
                    <w:jc w:val="center"/>
                  </w:pPr>
                  <w:r>
                    <w:rPr>
                      <w:b/>
                      <w:sz w:val="21"/>
                    </w:rPr>
                    <w:t>校区</w:t>
                  </w:r>
                </w:p>
              </w:tc>
              <w:tc>
                <w:tcPr>
                  <w:tcW w:type="dxa" w:w="1399"/>
                  <w:tcBorders>
                    <w:top w:val="single" w:color="000000" w:sz="4"/>
                    <w:left w:val="none" w:color="000000" w:sz="4"/>
                    <w:bottom w:val="single" w:color="000000" w:sz="4"/>
                    <w:right w:val="single" w:color="000000" w:sz="4"/>
                  </w:tcBorders>
                  <w:vAlign w:val="top"/>
                </w:tcPr>
                <w:p>
                  <w:pPr>
                    <w:jc w:val="center"/>
                  </w:pPr>
                  <w:r>
                    <w:rPr>
                      <w:b/>
                      <w:sz w:val="21"/>
                    </w:rPr>
                    <w:t>医生人数</w:t>
                  </w:r>
                </w:p>
              </w:tc>
              <w:tc>
                <w:tcPr>
                  <w:tcW w:type="dxa" w:w="1399"/>
                  <w:tcBorders>
                    <w:top w:val="single" w:color="000000" w:sz="4"/>
                    <w:left w:val="none" w:color="000000" w:sz="4"/>
                    <w:bottom w:val="single" w:color="000000" w:sz="4"/>
                    <w:right w:val="single" w:color="000000" w:sz="4"/>
                  </w:tcBorders>
                  <w:vAlign w:val="top"/>
                </w:tcPr>
                <w:p>
                  <w:pPr>
                    <w:jc w:val="center"/>
                  </w:pPr>
                  <w:r>
                    <w:rPr>
                      <w:b/>
                      <w:sz w:val="21"/>
                    </w:rPr>
                    <w:t>护士人数</w:t>
                  </w:r>
                </w:p>
              </w:tc>
              <w:tc>
                <w:tcPr>
                  <w:tcW w:type="dxa" w:w="1399"/>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天鹿校区</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2</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3</w:t>
                  </w:r>
                </w:p>
              </w:tc>
              <w:tc>
                <w:tcPr>
                  <w:tcW w:type="dxa" w:w="1399"/>
                  <w:tcBorders>
                    <w:top w:val="none" w:color="000000" w:sz="4"/>
                    <w:left w:val="none" w:color="000000" w:sz="4"/>
                    <w:bottom w:val="single" w:color="000000" w:sz="4"/>
                    <w:right w:val="single" w:color="000000" w:sz="4"/>
                  </w:tcBorders>
                  <w:vAlign w:val="top"/>
                </w:tcPr>
                <w:p>
                  <w:pPr>
                    <w:jc w:val="center"/>
                  </w:pP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华美校区</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2</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3</w:t>
                  </w:r>
                </w:p>
              </w:tc>
              <w:tc>
                <w:tcPr>
                  <w:tcW w:type="dxa" w:w="1399"/>
                  <w:tcBorders>
                    <w:top w:val="none" w:color="000000" w:sz="4"/>
                    <w:left w:val="none" w:color="000000" w:sz="4"/>
                    <w:bottom w:val="single" w:color="000000" w:sz="4"/>
                    <w:right w:val="single" w:color="000000" w:sz="4"/>
                  </w:tcBorders>
                  <w:vAlign w:val="top"/>
                </w:tcPr>
                <w:p>
                  <w:pPr>
                    <w:jc w:val="center"/>
                  </w:pP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长福北校区</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2</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1</w:t>
                  </w:r>
                </w:p>
              </w:tc>
              <w:tc>
                <w:tcPr>
                  <w:tcW w:type="dxa" w:w="1399"/>
                  <w:tcBorders>
                    <w:top w:val="none" w:color="000000" w:sz="4"/>
                    <w:left w:val="none" w:color="000000" w:sz="4"/>
                    <w:bottom w:val="single" w:color="000000" w:sz="4"/>
                    <w:right w:val="single" w:color="000000" w:sz="4"/>
                  </w:tcBorders>
                  <w:vAlign w:val="top"/>
                </w:tcPr>
                <w:p>
                  <w:pPr>
                    <w:jc w:val="center"/>
                  </w:pP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长福南校区</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2</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1</w:t>
                  </w:r>
                </w:p>
              </w:tc>
              <w:tc>
                <w:tcPr>
                  <w:tcW w:type="dxa" w:w="1399"/>
                  <w:tcBorders>
                    <w:top w:val="none" w:color="000000" w:sz="4"/>
                    <w:left w:val="none" w:color="000000" w:sz="4"/>
                    <w:bottom w:val="single" w:color="000000" w:sz="4"/>
                    <w:right w:val="single" w:color="000000" w:sz="4"/>
                  </w:tcBorders>
                  <w:vAlign w:val="top"/>
                </w:tcPr>
                <w:p>
                  <w:pPr>
                    <w:jc w:val="center"/>
                  </w:pPr>
                </w:p>
              </w:tc>
            </w:tr>
            <w:tr>
              <w:tc>
                <w:tcPr>
                  <w:tcW w:type="dxa" w:w="1399"/>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8</w:t>
                  </w:r>
                </w:p>
              </w:tc>
              <w:tc>
                <w:tcPr>
                  <w:tcW w:type="dxa" w:w="1399"/>
                  <w:tcBorders>
                    <w:top w:val="none" w:color="000000" w:sz="4"/>
                    <w:left w:val="none" w:color="000000" w:sz="4"/>
                    <w:bottom w:val="single" w:color="000000" w:sz="4"/>
                    <w:right w:val="single" w:color="000000" w:sz="4"/>
                  </w:tcBorders>
                  <w:vAlign w:val="top"/>
                </w:tcPr>
                <w:p>
                  <w:pPr>
                    <w:jc w:val="center"/>
                  </w:pPr>
                  <w:r>
                    <w:rPr>
                      <w:sz w:val="21"/>
                    </w:rPr>
                    <w:t>8</w:t>
                  </w:r>
                </w:p>
              </w:tc>
              <w:tc>
                <w:tcPr>
                  <w:tcW w:type="dxa" w:w="1399"/>
                  <w:tcBorders>
                    <w:top w:val="none" w:color="000000" w:sz="4"/>
                    <w:left w:val="none" w:color="000000" w:sz="4"/>
                    <w:bottom w:val="single" w:color="000000" w:sz="4"/>
                    <w:right w:val="single" w:color="000000" w:sz="4"/>
                  </w:tcBorders>
                  <w:vAlign w:val="top"/>
                </w:tcPr>
                <w:p>
                  <w:pPr>
                    <w:jc w:val="center"/>
                  </w:pPr>
                </w:p>
              </w:tc>
            </w:tr>
          </w:tbl>
          <w:p>
            <w:pPr>
              <w:jc w:val="both"/>
            </w:pPr>
            <w:r>
              <w:rPr>
                <w:b/>
                <w:sz w:val="21"/>
              </w:rPr>
              <w:t>（二）人员要求：</w:t>
            </w:r>
          </w:p>
          <w:p>
            <w:pPr>
              <w:jc w:val="both"/>
            </w:pPr>
            <w:r>
              <w:rPr>
                <w:sz w:val="21"/>
              </w:rPr>
              <w:t>（1）驻校医生、护士必须有相关专业毕业证、资格证和执业证，每个校区至少配备1名执业医师，执业医师执业范围要求内科或全科；护士专业要求是护理专业；不具有执业医师的派驻医生最低要求是有医学院校医疗系相关专业的毕业证。</w:t>
            </w:r>
          </w:p>
          <w:p>
            <w:pPr>
              <w:jc w:val="both"/>
            </w:pPr>
            <w:r>
              <w:rPr>
                <w:sz w:val="21"/>
              </w:rPr>
              <w:t>（2）驻校医生护士必须身体健康，责任心强，具备良好的医德医风，具有基本的计算机办公软件操作能力。</w:t>
            </w:r>
          </w:p>
          <w:p>
            <w:pPr>
              <w:jc w:val="both"/>
            </w:pPr>
            <w:r>
              <w:rPr>
                <w:sz w:val="21"/>
              </w:rPr>
              <w:t>（3）男性年龄要求55岁以下，女性年龄要求50岁以下。</w:t>
            </w:r>
          </w:p>
          <w:p>
            <w:pPr>
              <w:jc w:val="both"/>
            </w:pPr>
            <w:r>
              <w:rPr>
                <w:b/>
                <w:sz w:val="21"/>
              </w:rPr>
              <w:t>（三）服务要求</w:t>
            </w:r>
          </w:p>
          <w:p>
            <w:pPr>
              <w:jc w:val="both"/>
            </w:pPr>
            <w:r>
              <w:rPr>
                <w:sz w:val="21"/>
              </w:rPr>
              <w:t>1</w:t>
            </w:r>
            <w:r>
              <w:rPr>
                <w:sz w:val="21"/>
              </w:rPr>
              <w:t>、保证24小时常驻校内医护人员不少于两人（每班一名医生、一名护士当值），寒暑假期间可视学校工作要求经采购人同意后进行值班时间的调整和安排），为采购人的学生及教职工提供医疗服务工作，包括接诊、转诊、药品供应、配药、分发，医务室内务清洁卫生及管理，留观人员监测等。</w:t>
            </w:r>
          </w:p>
          <w:p>
            <w:pPr>
              <w:jc w:val="both"/>
            </w:pPr>
            <w:r>
              <w:rPr>
                <w:sz w:val="21"/>
              </w:rPr>
              <w:t>2</w:t>
            </w:r>
            <w:r>
              <w:rPr>
                <w:sz w:val="21"/>
              </w:rPr>
              <w:t>、协助配合医务室资质的申报、年审等工作。</w:t>
            </w:r>
          </w:p>
          <w:p>
            <w:pPr>
              <w:jc w:val="both"/>
            </w:pPr>
            <w:r>
              <w:rPr>
                <w:sz w:val="21"/>
              </w:rPr>
              <w:t>3</w:t>
            </w:r>
            <w:r>
              <w:rPr>
                <w:sz w:val="21"/>
              </w:rPr>
              <w:t>、负责校内患病师生按规定进行医疗跟踪管理（如体温检测、健康监测等）。</w:t>
            </w:r>
          </w:p>
          <w:p>
            <w:pPr>
              <w:jc w:val="both"/>
            </w:pPr>
            <w:r>
              <w:rPr>
                <w:sz w:val="21"/>
              </w:rPr>
              <w:t>4</w:t>
            </w:r>
            <w:r>
              <w:rPr>
                <w:sz w:val="21"/>
              </w:rPr>
              <w:t>、参与制定采购人师生门急诊就医流程及相关管理细则，并悬挂校区医务室醒目处。</w:t>
            </w:r>
          </w:p>
          <w:p>
            <w:pPr>
              <w:jc w:val="both"/>
            </w:pPr>
            <w:r>
              <w:rPr>
                <w:sz w:val="21"/>
              </w:rPr>
              <w:t>5</w:t>
            </w:r>
            <w:r>
              <w:rPr>
                <w:sz w:val="21"/>
              </w:rPr>
              <w:t>、严格执行广东省物价局、广东省卫健委规定收费标准，严格执行卫生部门的规定，合理检查、合理治疗、合理用药，确保医疗质量和服务质量。</w:t>
            </w:r>
          </w:p>
          <w:p>
            <w:pPr>
              <w:jc w:val="both"/>
            </w:pPr>
            <w:r>
              <w:rPr>
                <w:b/>
                <w:sz w:val="21"/>
              </w:rPr>
              <w:t>★</w:t>
            </w:r>
            <w:r>
              <w:rPr>
                <w:b/>
                <w:sz w:val="21"/>
              </w:rPr>
              <w:t>6</w:t>
            </w:r>
            <w:r>
              <w:rPr>
                <w:b/>
                <w:sz w:val="21"/>
              </w:rPr>
              <w:t>、负责提供学校举办大型活动（如开学、军训、大型文艺演出等）的医疗保障服务，并安排救护车在现场。（投标人须提供承诺函，格式自拟）</w:t>
            </w:r>
          </w:p>
          <w:p>
            <w:pPr>
              <w:jc w:val="both"/>
            </w:pPr>
            <w:r>
              <w:rPr>
                <w:sz w:val="21"/>
              </w:rPr>
              <w:t>7</w:t>
            </w:r>
            <w:r>
              <w:rPr>
                <w:sz w:val="21"/>
              </w:rPr>
              <w:t>、负责医疗价格公开、公示，设置价格公示牌，为学校四校区师生提供免挂号费就诊服务。学生及教职工在医务室就诊产生的医疗费用由投标人直接向学生及教职工本人收取，但投标人应严格按照广东省卫生及物价部门规定的有关医疗收费标准收费。如发现有与病情无关超范围治疗、超范围用药，或者存在有据可查的不合理收费，经核实后投标人对不合理部分、超范围部分退款，并按照相关规定处罚。</w:t>
            </w:r>
          </w:p>
          <w:p>
            <w:pPr>
              <w:jc w:val="both"/>
            </w:pPr>
            <w:r>
              <w:rPr>
                <w:sz w:val="21"/>
              </w:rPr>
              <w:t>8</w:t>
            </w:r>
            <w:r>
              <w:rPr>
                <w:sz w:val="21"/>
              </w:rPr>
              <w:t>、针对医务室无法处理的急危重病人，当值医护人员必须及时拨打120协助救护。</w:t>
            </w:r>
          </w:p>
          <w:p>
            <w:pPr>
              <w:jc w:val="both"/>
            </w:pPr>
            <w:r>
              <w:rPr>
                <w:sz w:val="21"/>
              </w:rPr>
              <w:t>9</w:t>
            </w:r>
            <w:r>
              <w:rPr>
                <w:sz w:val="21"/>
              </w:rPr>
              <w:t>、投标人负责做好医疗垃圾处理，并做好台账备查。</w:t>
            </w:r>
          </w:p>
          <w:p>
            <w:pPr>
              <w:jc w:val="both"/>
            </w:pPr>
            <w:r>
              <w:rPr>
                <w:sz w:val="21"/>
              </w:rPr>
              <w:t>10</w:t>
            </w:r>
            <w:r>
              <w:rPr>
                <w:sz w:val="21"/>
              </w:rPr>
              <w:t>、投标人负责采购人建立新生健康保健卡，并负责采购人全员健康档案的管理。</w:t>
            </w:r>
          </w:p>
          <w:p>
            <w:pPr>
              <w:jc w:val="both"/>
            </w:pPr>
            <w:r>
              <w:rPr>
                <w:sz w:val="21"/>
              </w:rPr>
              <w:t>11</w:t>
            </w:r>
            <w:r>
              <w:rPr>
                <w:sz w:val="21"/>
              </w:rPr>
              <w:t>、投标人每学期开学前必须对驻校医护人员进行校医相关业务培训及现场急救技术培训，培训时长不少于一周，同时在急诊科室学习至少一周，并向学校提供培训计划、培训内容等资料。</w:t>
            </w:r>
          </w:p>
          <w:p>
            <w:pPr>
              <w:jc w:val="both"/>
            </w:pPr>
            <w:r>
              <w:rPr>
                <w:sz w:val="21"/>
              </w:rPr>
              <w:t>12</w:t>
            </w:r>
            <w:r>
              <w:rPr>
                <w:sz w:val="21"/>
              </w:rPr>
              <w:t>、指导及协助采购人做好健康教育，以及流行病传染病防控管理工作。</w:t>
            </w:r>
          </w:p>
          <w:p>
            <w:pPr>
              <w:jc w:val="both"/>
            </w:pPr>
            <w:r>
              <w:rPr>
                <w:sz w:val="21"/>
              </w:rPr>
              <w:t>13</w:t>
            </w:r>
            <w:r>
              <w:rPr>
                <w:sz w:val="21"/>
              </w:rPr>
              <w:t>、投标人负责人及驻校医护人员纳入学院应急预案医疗救护组成员，一旦启动应急响应，投标人应全力协助采购人安排协调调度人员参加应急医疗救护。</w:t>
            </w:r>
          </w:p>
          <w:p>
            <w:pPr>
              <w:jc w:val="both"/>
            </w:pPr>
            <w:r>
              <w:rPr>
                <w:sz w:val="21"/>
              </w:rPr>
              <w:t>14</w:t>
            </w:r>
            <w:r>
              <w:rPr>
                <w:sz w:val="21"/>
              </w:rPr>
              <w:t>、驻校医护人员必须严格遵守国家和地方政府的法律法规，遵守医生的职业道德，热情地为本校学生及教职工服务，严格遵守校规校纪和学校的统一安排，驻校期间中标人派驻的医护人员如有违法违规行为，所有的责任全部由投标人负责。</w:t>
            </w:r>
          </w:p>
          <w:p>
            <w:pPr>
              <w:jc w:val="left"/>
            </w:pPr>
            <w:r>
              <w:rPr>
                <w:sz w:val="21"/>
              </w:rPr>
              <w:t>15</w:t>
            </w:r>
            <w:r>
              <w:rPr>
                <w:sz w:val="21"/>
              </w:rPr>
              <w:t>、投标人及投标人指派的医护人员均应接受采购人和上级有关部门的监督和管理，重视师生投诉，提高医疗服务质量，尽量保持驻校医务人员的稳定，派驻医务护人员进入校区必须先向相关校区负责部门报备，如有更换人员须提前1个月报相关校区负责部门批准后方可更换。采购人有权根据服务质量调查结果要求中标人更换医生或采取有效措施予以纠正，中标人须无条件配合。在合理期限内如中标人仍未采取有效措施或拒绝采取措</w:t>
            </w:r>
            <w:r>
              <w:rPr>
                <w:sz w:val="21"/>
              </w:rPr>
              <w:t>施纠正的，采购人有权依据附件《医疗服务考核表》内容，考核结果进行合同款项的支付扣减。</w:t>
            </w:r>
          </w:p>
          <w:p>
            <w:pPr>
              <w:jc w:val="both"/>
            </w:pPr>
            <w:r>
              <w:rPr>
                <w:sz w:val="21"/>
              </w:rPr>
              <w:t>16</w:t>
            </w:r>
            <w:r>
              <w:rPr>
                <w:sz w:val="21"/>
              </w:rPr>
              <w:t>、投标人安排驻校的医护人员在日常工作中必须如实、规范填写《医疗日志》、《交接班记录表》等相关记录并保存归档，以随时接受采购人相关部门及上级管理部门的监督检查。</w:t>
            </w:r>
          </w:p>
          <w:p>
            <w:pPr>
              <w:jc w:val="both"/>
            </w:pPr>
            <w:r>
              <w:rPr>
                <w:sz w:val="21"/>
              </w:rPr>
              <w:t>17</w:t>
            </w:r>
            <w:r>
              <w:rPr>
                <w:sz w:val="21"/>
              </w:rPr>
              <w:t>、根据《突发公共卫生事件应急条例》和《中华人民共和国传染病防治法》等法规规定，投标人为重大食物中毒和重大流行传染病报告人，如发现本校重大食物中毒和发生传染病大流行，必须及时报告采购人有关部门、法人代表和上级疾控部门。</w:t>
            </w:r>
          </w:p>
          <w:p>
            <w:pPr>
              <w:jc w:val="both"/>
            </w:pPr>
            <w:r>
              <w:rPr>
                <w:sz w:val="21"/>
              </w:rPr>
              <w:t>18</w:t>
            </w:r>
            <w:r>
              <w:rPr>
                <w:sz w:val="21"/>
              </w:rPr>
              <w:t>、投标人须积极配合采购人的对其机构及驻校医护人员的医疗服务综合考评。</w:t>
            </w:r>
          </w:p>
          <w:p>
            <w:pPr>
              <w:jc w:val="both"/>
            </w:pPr>
            <w:r>
              <w:rPr>
                <w:b/>
                <w:sz w:val="21"/>
              </w:rPr>
              <w:t>（四）采购人拟提供的条件</w:t>
            </w:r>
          </w:p>
          <w:p>
            <w:pPr>
              <w:jc w:val="both"/>
            </w:pPr>
            <w:r>
              <w:rPr>
                <w:sz w:val="21"/>
              </w:rPr>
              <w:t>1</w:t>
            </w:r>
            <w:r>
              <w:rPr>
                <w:sz w:val="21"/>
              </w:rPr>
              <w:t>、采购人为投标人免费无偿提供符合医务室要求、建筑框架完善、面积约 60 平方米的房间（包括水电费及基础办公设施），免费提供医务人员值班工作用房。</w:t>
            </w:r>
          </w:p>
          <w:p>
            <w:pPr>
              <w:jc w:val="both"/>
            </w:pPr>
            <w:r>
              <w:rPr>
                <w:sz w:val="21"/>
              </w:rPr>
              <w:t>2</w:t>
            </w:r>
            <w:r>
              <w:rPr>
                <w:sz w:val="21"/>
              </w:rPr>
              <w:t>、采购人为投标人免费无偿提供基本的办公室设备、基本的医疗设备，包括：电脑、听诊器、血压计、诊疗床、担架、屏风、简易呼吸球囊、紫外线灯、可移动紫外线车。</w:t>
            </w:r>
          </w:p>
          <w:p>
            <w:pPr>
              <w:jc w:val="both"/>
            </w:pPr>
            <w:r>
              <w:rPr>
                <w:sz w:val="21"/>
              </w:rPr>
              <w:t>3</w:t>
            </w:r>
            <w:r>
              <w:rPr>
                <w:sz w:val="21"/>
              </w:rPr>
              <w:t>、投标人派驻医生可享受与采购人教职工同样的餐厅就餐待遇，但用餐费用由投标人负责。</w:t>
            </w:r>
          </w:p>
          <w:p>
            <w:pPr>
              <w:jc w:val="both"/>
            </w:pPr>
            <w:r>
              <w:rPr>
                <w:sz w:val="21"/>
              </w:rPr>
              <w:t>4</w:t>
            </w:r>
            <w:r>
              <w:rPr>
                <w:sz w:val="21"/>
              </w:rPr>
              <w:t>、配合投标人处理日常医疗、日常体检、突发事件处理和健康宣教和学生医保定点等工作。</w:t>
            </w:r>
          </w:p>
          <w:p>
            <w:pPr>
              <w:jc w:val="both"/>
            </w:pPr>
            <w:r>
              <w:rPr>
                <w:sz w:val="21"/>
              </w:rPr>
              <w:t>5</w:t>
            </w:r>
            <w:r>
              <w:rPr>
                <w:sz w:val="21"/>
              </w:rPr>
              <w:t>、指定投标人为本合同有效期内采购人唯一医务室合作单位。</w:t>
            </w:r>
          </w:p>
          <w:p>
            <w:pPr>
              <w:jc w:val="both"/>
            </w:pPr>
            <w:r>
              <w:rPr>
                <w:sz w:val="21"/>
              </w:rPr>
              <w:t>6</w:t>
            </w:r>
            <w:r>
              <w:rPr>
                <w:sz w:val="21"/>
              </w:rPr>
              <w:t>、在具体的医疗操作和医疗安排上，采购人给投标人相对的自主权，原则上在不损害采购人及教职员工与学生合法权益及利益的前提下，采购人不干涉投标人的合法医疗安排。</w:t>
            </w:r>
          </w:p>
          <w:p>
            <w:pPr>
              <w:jc w:val="both"/>
            </w:pPr>
            <w:r>
              <w:rPr>
                <w:sz w:val="21"/>
              </w:rPr>
              <w:t>7</w:t>
            </w:r>
            <w:r>
              <w:rPr>
                <w:sz w:val="21"/>
              </w:rPr>
              <w:t>、在合约期内采购人派出专职人员负责医疗服务工作的协调和监管。</w:t>
            </w:r>
          </w:p>
          <w:p>
            <w:pPr>
              <w:jc w:val="both"/>
            </w:pPr>
            <w:r>
              <w:rPr>
                <w:b/>
                <w:sz w:val="21"/>
              </w:rPr>
              <w:t>（五）其他服务要求</w:t>
            </w:r>
          </w:p>
          <w:p>
            <w:pPr>
              <w:jc w:val="both"/>
            </w:pPr>
            <w:r>
              <w:rPr>
                <w:sz w:val="21"/>
              </w:rPr>
              <w:t>1</w:t>
            </w:r>
            <w:r>
              <w:rPr>
                <w:sz w:val="21"/>
              </w:rPr>
              <w:t>）投标人应根据相关规定，招聘和安排适合的医护人员到学校担任校医，提供学校医疗卫生和急救必须的服务，并严格遵守《中华人民共和国执业医师法》、《护士条例》等相关法律法规。确保派驻校医的服务达到《学校卫生工作条例》和《国家学校体育卫生条件试行基本标准》、《广东省学校及幼托机构内设医疗机构和保健室卫生监督管理工作指引》的要求，满足学校卫生工作的正常运转需求。</w:t>
            </w:r>
          </w:p>
          <w:p>
            <w:pPr>
              <w:jc w:val="both"/>
            </w:pPr>
            <w:r>
              <w:rPr>
                <w:sz w:val="21"/>
              </w:rPr>
              <w:t>2</w:t>
            </w:r>
            <w:r>
              <w:rPr>
                <w:sz w:val="21"/>
              </w:rPr>
              <w:t>）投标人应当组建医疗应急保障小组：组建医疗应急保障小组确保医疗处置程序的合理与合法性。</w:t>
            </w:r>
          </w:p>
          <w:p>
            <w:pPr>
              <w:jc w:val="both"/>
            </w:pPr>
            <w:r>
              <w:rPr>
                <w:sz w:val="21"/>
              </w:rPr>
              <w:t>3</w:t>
            </w:r>
            <w:r>
              <w:rPr>
                <w:sz w:val="21"/>
              </w:rPr>
              <w:t>）投标人对校医实行统一管理，负责对校医日常工作的指导和监督，负责向前述医护人员和相关人员发放工资报酬、福利待遇，承担作为用人单位的其他法定义务（包括但不限于：社会保险、住房公积金等）。为学校提供24小时门（急）诊服务(包括开学期间的一切节假日、公休日)，工作期间不得擅离岗位。</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采购包2（广东省城市技师学院佛山校区2023年度校医外包服务）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医疗服务期限为14个月，即自2023年6月1日起至2024年7月31日止；到期如需续约，双方应在服务期满前1个月进行协商，另行订立协议或订立补充协议。</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如中标人为非中小企业：服务费用按季度进行结算，每3个月为一季度。采购人在每季度结束且收到中标人提供合法发票后15日内支付上季度服务费。本项目服务合同结束后，经采购人验收合格后，采购人在合同结束次月且收到中标人发票后15 日内结算支付剩余费用。 2、如中标人属于中小企业（投标文件提交《中小企业声明函》作为判断的依据），则本项目付款方式按规定调整为：合同签订后（且中标人已按规定向采购人缴存履约保证金 ）5个工作日内，采购人向中标人支付合同总价30%的预付款（该预付款采购人将在前三期支付款中全部平均扣回，若前三期扣回款项不足以全额抵扣已支付合同总价30%的预付款，则延期至第四期支付款中扣回，以此类推，直至全部预付款项扣完为止。）；剩余的医疗服务费按以上方式按季结算。 采购人支付前中标人必须提供给采购人等额合法有效的发票，如中标人延迟提供发票的，采购人有权顺延支付，且不承担违约责任。</w:t>
            </w:r>
          </w:p>
        </w:tc>
      </w:tr>
      <w:tr>
        <w:tc>
          <w:tcPr>
            <w:tcW w:type="dxa" w:w="4153"/>
          </w:tcPr>
          <w:p>
            <w:r>
              <w:rPr/>
              <w:t>验收要求</w:t>
            </w:r>
          </w:p>
        </w:tc>
        <w:tc>
          <w:tcPr>
            <w:tcW w:type="dxa" w:w="4153"/>
          </w:tcPr>
          <w:p/>
          <w:p/>
          <w:p/>
          <w:p>
            <w:r>
              <w:rPr/>
              <w:t>1期：1、季度履约验收：项目验收要求依据采购人相关验收程序制订验收标准，包括但不限于履约情况和评价情况。每季度结算时，中标人按照采购文件中的采购需求及合同约定，向采购人提供验收材料，采购人根据验收材料对当月服务项目进行履约验收。中标人根据采购人验收意见办理当季度结算手续。验收意见明确要求整改的，由中标人整改并经审核通过后，再办理结算手续。 2、整体验收：全部服务完成后，中标人向采购人提交书面的验收申请，采购人收到验收申请后3天内完成项目验收。采购人对以下内容进行验收：（1）项目服务质量情况。根据采购文件和合同规定，中标人应该完成的工作质量，实际完成的工作质量；（2）工作效率履约情况。在规定时间内的完成情况，有无任务拖延滞后情况；（3）项目经费结算情况。按照合同约定应当结算的数额和实际结算是否一致，结算数据是否真实、准确，有无虚报、错报和多报情况；（4）服务验收要求依据附件《医疗服务考核表》及相关说明。</w:t>
            </w:r>
          </w:p>
        </w:tc>
      </w:tr>
      <w:tr>
        <w:tc>
          <w:tcPr>
            <w:tcW w:type="dxa" w:w="4153"/>
          </w:tcPr>
          <w:p>
            <w:r>
              <w:rPr/>
              <w:t>履约保证金</w:t>
            </w:r>
          </w:p>
        </w:tc>
        <w:tc>
          <w:tcPr>
            <w:tcW w:type="dxa" w:w="4153"/>
          </w:tcPr>
          <w:p/>
          <w:p/>
          <w:p/>
          <w:p/>
          <w:p>
            <w:r>
              <w:rPr/>
              <w:t>收取比例：10%,说明：1.缴存金额：成交后，中标人须向采购人缴存履约保证金，为合同价的10%。如中标人属于中小企业（投标文件提交《中小企业声明函》作为判断的依据），则履约保证金为合同价的5%。 2.缴存时间：合同签订后的5个工作日内，中标人须将投标承诺的履约保证金一次性转入采购人指定账户，否则视为中标人放弃中标资格。 3.履约保证金可用于赔偿因中标人原因造成采购人的损失或因中标人违约而支付给采购人的违约金。若履约保证金不足以赔偿采购人的损失，中标人须追加赔偿金，以足额赔偿采购人的损失。发生赔偿后，中标人须按采购人规定补足履约保证金。 4.合同期间，中标人若违反相关协议以及本项目采购需求中违约责任的相关条款，采购人有权从履约保证金中抵扣采购人损失直至全额没收履约保证金。 5.合同终止时，中标人若无违反采购人相应的规定（参见用户需求书“违约责任”中的相关条款），及时完成各项退场交接及清算工作，采购人按合同约定扣除应由中标人支付的各类款项和违约金后，经中标人申请，在1个月内向中标人无息退回剩余的履约保证金。 6.履约保证金在验收合格履约期满后，中标人向采购人申请退还履约保证金，采购人于接到申请后15个工作日内将履约保证金无息退回中标人。</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违约责任与赔偿损失：</w:t>
            </w:r>
          </w:p>
        </w:tc>
        <w:tc>
          <w:tcPr>
            <w:tcW w:type="dxa" w:w="2076"/>
          </w:tcPr>
          <w:p>
            <w:pPr>
              <w:jc w:val="left"/>
            </w:pPr>
            <w:r>
              <w:rPr/>
              <w:t>1) 投标人提供的服务不符合采购文件、投标文件或本合同规定的，采购人有权拒收，并且投标人须向采购人方支付本合同总价5%的违约金。 2) 投标人未能按本合同约定的时间提供服务，从逾期之日起每日按本合同总价3‰的数额向采购人支付违约金；逾期半个月以上的，采购人有权单方解除合同，由此造成的采购人经济损失由投标人承担。 3) 采购人无正当理由拒收接受服务，到期拒付服务款项的，采购人向投标人偿付本合同总的5%的违约金。采购人逾期付款，则每日按本合同总价的3‰向投标人偿付违约金。 4) 其它违约责任按《中华人民共和国民法典》第三编　合同处理。</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其他医疗卫生服务</w:t>
            </w:r>
          </w:p>
        </w:tc>
        <w:tc>
          <w:tcPr>
            <w:tcW w:type="dxa" w:w="933"/>
          </w:tcPr>
          <w:p>
            <w:pPr>
              <w:jc w:val="left"/>
            </w:pPr>
            <w:r>
              <w:rPr/>
              <w:t>广东省城市技师学院佛山校区2023年度校医外包服务</w:t>
            </w:r>
          </w:p>
        </w:tc>
        <w:tc>
          <w:tcPr>
            <w:tcW w:type="dxa" w:w="933"/>
          </w:tcPr>
          <w:p>
            <w:pPr>
              <w:jc w:val="left"/>
            </w:pPr>
            <w:r>
              <w:rPr/>
              <w:t>项</w:t>
            </w:r>
          </w:p>
        </w:tc>
        <w:tc>
          <w:tcPr>
            <w:tcW w:type="dxa" w:w="933"/>
          </w:tcPr>
          <w:p>
            <w:pPr>
              <w:jc w:val="right"/>
            </w:pPr>
            <w:r>
              <w:rPr/>
              <w:t>1.00</w:t>
            </w:r>
          </w:p>
        </w:tc>
        <w:tc>
          <w:tcPr>
            <w:tcW w:type="dxa" w:w="933"/>
          </w:tcPr>
          <w:p>
            <w:pPr>
              <w:jc w:val="right"/>
            </w:pPr>
            <w:r>
              <w:rPr/>
              <w:t>266,000.00</w:t>
            </w:r>
          </w:p>
        </w:tc>
        <w:tc>
          <w:tcPr>
            <w:tcW w:type="dxa" w:w="933"/>
          </w:tcPr>
          <w:p>
            <w:pPr>
              <w:jc w:val="right"/>
            </w:pPr>
            <w:r>
              <w:rPr/>
              <w:t>266,000.00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广东省城市技师学院佛山校区2023年度校医外包服务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（一）人数需求：</w:t>
            </w:r>
          </w:p>
          <w:tbl>
            <w:tblPr>
              <w:tblBorders>
                <w:top w:val="none" w:color="000000" w:sz="4"/>
                <w:left w:val="none" w:color="000000" w:sz="4"/>
                <w:bottom w:val="none" w:color="000000" w:sz="4"/>
                <w:right w:val="none" w:color="000000" w:sz="4"/>
                <w:insideH w:val="none"/>
                <w:insideV w:val="none"/>
              </w:tblBorders>
            </w:tblPr>
            <w:tblGrid>
              <w:gridCol w:w="1470"/>
              <w:gridCol w:w="1470"/>
              <w:gridCol w:w="1470"/>
              <w:gridCol w:w="1187"/>
            </w:tblGrid>
            <w:tr>
              <w:tc>
                <w:tcPr>
                  <w:tcW w:type="dxa" w:w="1470"/>
                  <w:tcBorders>
                    <w:top w:val="single" w:color="000000" w:sz="4"/>
                    <w:left w:val="single" w:color="000000" w:sz="4"/>
                    <w:bottom w:val="single" w:color="000000" w:sz="4"/>
                    <w:right w:val="single" w:color="000000" w:sz="4"/>
                  </w:tcBorders>
                  <w:vAlign w:val="top"/>
                </w:tcPr>
                <w:p>
                  <w:pPr>
                    <w:jc w:val="center"/>
                  </w:pPr>
                  <w:r>
                    <w:rPr>
                      <w:b/>
                      <w:sz w:val="21"/>
                    </w:rPr>
                    <w:t>校区</w:t>
                  </w:r>
                </w:p>
              </w:tc>
              <w:tc>
                <w:tcPr>
                  <w:tcW w:type="dxa" w:w="1470"/>
                  <w:tcBorders>
                    <w:top w:val="single" w:color="000000" w:sz="4"/>
                    <w:left w:val="none" w:color="000000" w:sz="4"/>
                    <w:bottom w:val="single" w:color="000000" w:sz="4"/>
                    <w:right w:val="single" w:color="000000" w:sz="4"/>
                  </w:tcBorders>
                  <w:vAlign w:val="top"/>
                </w:tcPr>
                <w:p>
                  <w:pPr>
                    <w:jc w:val="center"/>
                  </w:pPr>
                  <w:r>
                    <w:rPr>
                      <w:b/>
                      <w:sz w:val="21"/>
                    </w:rPr>
                    <w:t>执业医生人数</w:t>
                  </w:r>
                </w:p>
              </w:tc>
              <w:tc>
                <w:tcPr>
                  <w:tcW w:type="dxa" w:w="1470"/>
                  <w:tcBorders>
                    <w:top w:val="single" w:color="000000" w:sz="4"/>
                    <w:left w:val="none" w:color="000000" w:sz="4"/>
                    <w:bottom w:val="single" w:color="000000" w:sz="4"/>
                    <w:right w:val="single" w:color="000000" w:sz="4"/>
                  </w:tcBorders>
                  <w:vAlign w:val="top"/>
                </w:tcPr>
                <w:p>
                  <w:pPr>
                    <w:jc w:val="center"/>
                  </w:pPr>
                  <w:r>
                    <w:rPr>
                      <w:b/>
                      <w:sz w:val="21"/>
                    </w:rPr>
                    <w:t>护士人数</w:t>
                  </w:r>
                </w:p>
              </w:tc>
              <w:tc>
                <w:tcPr>
                  <w:tcW w:type="dxa" w:w="1187"/>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1470"/>
                  <w:tcBorders>
                    <w:top w:val="none" w:color="000000" w:sz="4"/>
                    <w:left w:val="single" w:color="000000" w:sz="4"/>
                    <w:bottom w:val="single" w:color="000000" w:sz="4"/>
                    <w:right w:val="single" w:color="000000" w:sz="4"/>
                  </w:tcBorders>
                  <w:vAlign w:val="top"/>
                </w:tcPr>
                <w:p>
                  <w:pPr>
                    <w:jc w:val="center"/>
                  </w:pPr>
                  <w:r>
                    <w:rPr>
                      <w:sz w:val="21"/>
                    </w:rPr>
                    <w:t>佛山校区</w:t>
                  </w:r>
                </w:p>
              </w:tc>
              <w:tc>
                <w:tcPr>
                  <w:tcW w:type="dxa" w:w="1470"/>
                  <w:tcBorders>
                    <w:top w:val="none" w:color="000000" w:sz="4"/>
                    <w:left w:val="none" w:color="000000" w:sz="4"/>
                    <w:bottom w:val="single" w:color="000000" w:sz="4"/>
                    <w:right w:val="single" w:color="000000" w:sz="4"/>
                  </w:tcBorders>
                  <w:vAlign w:val="top"/>
                </w:tcPr>
                <w:p>
                  <w:pPr>
                    <w:jc w:val="center"/>
                  </w:pPr>
                  <w:r>
                    <w:rPr>
                      <w:sz w:val="21"/>
                    </w:rPr>
                    <w:t>1</w:t>
                  </w:r>
                </w:p>
              </w:tc>
              <w:tc>
                <w:tcPr>
                  <w:tcW w:type="dxa" w:w="1470"/>
                  <w:tcBorders>
                    <w:top w:val="none" w:color="000000" w:sz="4"/>
                    <w:left w:val="none" w:color="000000" w:sz="4"/>
                    <w:bottom w:val="single" w:color="000000" w:sz="4"/>
                    <w:right w:val="single" w:color="000000" w:sz="4"/>
                  </w:tcBorders>
                  <w:vAlign w:val="top"/>
                </w:tcPr>
                <w:p>
                  <w:pPr>
                    <w:jc w:val="center"/>
                  </w:pPr>
                  <w:r>
                    <w:rPr>
                      <w:sz w:val="21"/>
                    </w:rPr>
                    <w:t>1</w:t>
                  </w:r>
                </w:p>
              </w:tc>
              <w:tc>
                <w:tcPr>
                  <w:tcW w:type="dxa" w:w="1187"/>
                  <w:tcBorders>
                    <w:top w:val="none" w:color="000000" w:sz="4"/>
                    <w:left w:val="none" w:color="000000" w:sz="4"/>
                    <w:bottom w:val="single" w:color="000000" w:sz="4"/>
                    <w:right w:val="single" w:color="000000" w:sz="4"/>
                  </w:tcBorders>
                  <w:vAlign w:val="top"/>
                </w:tcPr>
                <w:p>
                  <w:pPr>
                    <w:jc w:val="center"/>
                  </w:pPr>
                </w:p>
              </w:tc>
            </w:tr>
          </w:tbl>
          <w:p>
            <w:pPr>
              <w:jc w:val="both"/>
            </w:pPr>
            <w:r>
              <w:rPr>
                <w:b/>
                <w:sz w:val="21"/>
              </w:rPr>
              <w:t>（二）人员要求：</w:t>
            </w:r>
          </w:p>
          <w:p>
            <w:pPr>
              <w:jc w:val="both"/>
            </w:pPr>
            <w:r>
              <w:rPr>
                <w:sz w:val="21"/>
              </w:rPr>
              <w:t>（1）驻校医生、护士必须有相关专业毕业证、资格证和执业证，执业医师执业范围要求内科或全科；护士专业要求是护理专业。</w:t>
            </w:r>
          </w:p>
          <w:p>
            <w:pPr>
              <w:jc w:val="both"/>
            </w:pPr>
            <w:r>
              <w:rPr>
                <w:sz w:val="21"/>
              </w:rPr>
              <w:t>（2）驻校医生护士必须身体健康，责任心强，具备良好的医德医风，具有基本的计算机办公软件操作能力。</w:t>
            </w:r>
          </w:p>
          <w:p>
            <w:pPr>
              <w:jc w:val="both"/>
            </w:pPr>
            <w:r>
              <w:rPr>
                <w:sz w:val="21"/>
              </w:rPr>
              <w:t>（3）男性年龄要求55岁以下，女性年龄要求50岁以下。</w:t>
            </w:r>
          </w:p>
          <w:p>
            <w:pPr>
              <w:jc w:val="both"/>
            </w:pPr>
            <w:r>
              <w:rPr>
                <w:b/>
                <w:sz w:val="21"/>
              </w:rPr>
              <w:t>（三）提供服务要求</w:t>
            </w:r>
          </w:p>
          <w:p>
            <w:pPr>
              <w:jc w:val="both"/>
            </w:pPr>
            <w:r>
              <w:rPr>
                <w:sz w:val="21"/>
              </w:rPr>
              <w:t>1</w:t>
            </w:r>
            <w:r>
              <w:rPr>
                <w:sz w:val="21"/>
              </w:rPr>
              <w:t>、负责保证常驻校内医护人员不少于一人（寒暑假期间可视学校工作要求调整），周一到周五晚16:00--次日8:00，周六日及法定节假日全天，为采购人学生及教职工提供医疗服务工作，包括接诊、转诊、药品供应、配药、分发，医务室内务清洁卫生及管理，留观人员监测等。</w:t>
            </w:r>
          </w:p>
          <w:p>
            <w:pPr>
              <w:jc w:val="both"/>
            </w:pPr>
            <w:r>
              <w:rPr>
                <w:sz w:val="21"/>
              </w:rPr>
              <w:t>2</w:t>
            </w:r>
            <w:r>
              <w:rPr>
                <w:sz w:val="21"/>
              </w:rPr>
              <w:t>、投标人需要配合协助医务室资质的申报、年审等工作。</w:t>
            </w:r>
          </w:p>
          <w:p>
            <w:pPr>
              <w:jc w:val="both"/>
            </w:pPr>
            <w:r>
              <w:rPr>
                <w:sz w:val="21"/>
              </w:rPr>
              <w:t>3</w:t>
            </w:r>
            <w:r>
              <w:rPr>
                <w:sz w:val="21"/>
              </w:rPr>
              <w:t>、负责校内患病师生按规定进行医疗跟踪管理（如体温检测、健康监测等）。</w:t>
            </w:r>
          </w:p>
          <w:p>
            <w:pPr>
              <w:jc w:val="both"/>
            </w:pPr>
            <w:r>
              <w:rPr>
                <w:sz w:val="21"/>
              </w:rPr>
              <w:t>4</w:t>
            </w:r>
            <w:r>
              <w:rPr>
                <w:sz w:val="21"/>
              </w:rPr>
              <w:t>、参与制定采购人师生门急诊就医流程及相关管理细则，并悬挂校区医务室醒目处。</w:t>
            </w:r>
          </w:p>
          <w:p>
            <w:pPr>
              <w:jc w:val="both"/>
            </w:pPr>
            <w:r>
              <w:rPr>
                <w:sz w:val="21"/>
              </w:rPr>
              <w:t>5</w:t>
            </w:r>
            <w:r>
              <w:rPr>
                <w:sz w:val="21"/>
              </w:rPr>
              <w:t>、负责医疗价格公开、公示，设置价格公示牌，为学校师生提供免挂号费就诊服务。学生及教职工在医务室就诊产生的医疗费用由投标人直接向学生及教职工本人收取，但投标人应严格按照广东省卫生及物价部门规定的有关医疗收费标准收费。如发现有与病情无关超范围治疗、超范围用药，或者存在有据可查的不合理收费，经核实后投标人对不合理部分、超范围部分退款，并按照附件《医疗服务考核表》对应内容进行考核予以相关规定处罚。</w:t>
            </w:r>
          </w:p>
          <w:p>
            <w:pPr>
              <w:jc w:val="both"/>
            </w:pPr>
            <w:r>
              <w:rPr>
                <w:sz w:val="21"/>
              </w:rPr>
              <w:t>6</w:t>
            </w:r>
            <w:r>
              <w:rPr>
                <w:sz w:val="21"/>
              </w:rPr>
              <w:t>、严格执行广东省物价局、广东省卫健委规定收费标准，严格执行卫生部门的规定，合理检查、合理治疗、合理用药，确保医疗质量和服务质量。</w:t>
            </w:r>
          </w:p>
          <w:p>
            <w:pPr>
              <w:jc w:val="both"/>
            </w:pPr>
            <w:r>
              <w:rPr>
                <w:sz w:val="21"/>
              </w:rPr>
              <w:t>7</w:t>
            </w:r>
            <w:r>
              <w:rPr>
                <w:sz w:val="21"/>
              </w:rPr>
              <w:t>、针对医务室无法处理的病人，当值医护人员协助联系中标人出车救护（自愿为原则，有偿服务，明码标价）；遇中标人无法处理的急危重病人，拨打120协助救护。</w:t>
            </w:r>
          </w:p>
          <w:p>
            <w:pPr>
              <w:jc w:val="both"/>
            </w:pPr>
            <w:r>
              <w:rPr>
                <w:b/>
                <w:sz w:val="21"/>
              </w:rPr>
              <w:t>★</w:t>
            </w:r>
            <w:r>
              <w:rPr>
                <w:b/>
                <w:sz w:val="21"/>
              </w:rPr>
              <w:t>8</w:t>
            </w:r>
            <w:r>
              <w:rPr>
                <w:b/>
                <w:sz w:val="21"/>
              </w:rPr>
              <w:t>、负责提供学校举办大型活动（如开学、军训、大型文艺演出等）的医疗保障服务，并安排救护车在现场。（投标人须提供承诺函，格式自拟）</w:t>
            </w:r>
          </w:p>
          <w:p>
            <w:pPr>
              <w:jc w:val="both"/>
            </w:pPr>
            <w:r>
              <w:rPr>
                <w:sz w:val="21"/>
              </w:rPr>
              <w:t>9</w:t>
            </w:r>
            <w:r>
              <w:rPr>
                <w:sz w:val="21"/>
              </w:rPr>
              <w:t>、投标人负责做好医疗垃圾处理，并做好台账备查。</w:t>
            </w:r>
          </w:p>
          <w:p>
            <w:pPr>
              <w:jc w:val="both"/>
            </w:pPr>
            <w:r>
              <w:rPr>
                <w:sz w:val="21"/>
              </w:rPr>
              <w:t>10</w:t>
            </w:r>
            <w:r>
              <w:rPr>
                <w:sz w:val="21"/>
              </w:rPr>
              <w:t>、投标人负责采购人新生健康保健卡建立，并负责采购人全员健康档案的管理。</w:t>
            </w:r>
          </w:p>
          <w:p>
            <w:pPr>
              <w:jc w:val="both"/>
            </w:pPr>
            <w:r>
              <w:rPr>
                <w:sz w:val="21"/>
              </w:rPr>
              <w:t>11</w:t>
            </w:r>
            <w:r>
              <w:rPr>
                <w:sz w:val="21"/>
              </w:rPr>
              <w:t>、投标人每学期开学前必须对驻校医护人员进行校医相关业务培训及现场急救技术培训，培训时长不少于一周，同时在急诊科室学习至少一周，并向学校提供培训计划、培训内容等资料。</w:t>
            </w:r>
          </w:p>
          <w:p>
            <w:pPr>
              <w:jc w:val="both"/>
            </w:pPr>
            <w:r>
              <w:rPr>
                <w:sz w:val="21"/>
              </w:rPr>
              <w:t>12</w:t>
            </w:r>
            <w:r>
              <w:rPr>
                <w:sz w:val="21"/>
              </w:rPr>
              <w:t>、指导及协助采购人做好健康教育，以及流行病传染病防控管理工作。</w:t>
            </w:r>
          </w:p>
          <w:p>
            <w:pPr>
              <w:jc w:val="both"/>
            </w:pPr>
            <w:r>
              <w:rPr>
                <w:sz w:val="21"/>
              </w:rPr>
              <w:t>13</w:t>
            </w:r>
            <w:r>
              <w:rPr>
                <w:sz w:val="21"/>
              </w:rPr>
              <w:t>、投标人负责人及驻校医护人员纳入学院应急预案医疗救护组成员，一旦启动应急响应，投标人应全力协助采购人安排协调调度人员参加应急医疗救护。</w:t>
            </w:r>
          </w:p>
          <w:p>
            <w:pPr>
              <w:jc w:val="both"/>
            </w:pPr>
            <w:r>
              <w:rPr>
                <w:sz w:val="21"/>
              </w:rPr>
              <w:t>14</w:t>
            </w:r>
            <w:r>
              <w:rPr>
                <w:sz w:val="21"/>
              </w:rPr>
              <w:t>、投标人必须遵守国家和地方政府的法律法规，遵守医生的职业道德，热情地为本校师生服务，严格遵守校规校纪和学校的统一安排，违法违规责任全部由投标人负责。</w:t>
            </w:r>
          </w:p>
          <w:p>
            <w:pPr>
              <w:jc w:val="both"/>
            </w:pPr>
            <w:r>
              <w:rPr>
                <w:sz w:val="21"/>
              </w:rPr>
              <w:t>15</w:t>
            </w:r>
            <w:r>
              <w:rPr>
                <w:sz w:val="21"/>
              </w:rPr>
              <w:t>、投标人及投标人指派的医护人员均应接受采购人和上级有关部门的监督和管理，重视师生投诉，提高医疗服务质量，尽量保持驻校区医务人员的相对稳定，派驻医务人员进入校区必须先向相关校区负责部门报备，更换人员须提前1个月报相关校区负责部门批准。采购人有权根据服务质量调查结果要求投标人更换医生或采取有效措施纠正，校方要求更换的，中标方须无条件执行。在合理期限内如投标人仍未采取有效措施或拒绝采取措施纠正，采购人有权决定单方解除本协议的履行。</w:t>
            </w:r>
          </w:p>
          <w:p>
            <w:pPr>
              <w:jc w:val="both"/>
            </w:pPr>
            <w:r>
              <w:rPr>
                <w:sz w:val="21"/>
              </w:rPr>
              <w:t>16</w:t>
            </w:r>
            <w:r>
              <w:rPr>
                <w:sz w:val="21"/>
              </w:rPr>
              <w:t>、投标人安排驻校的医护人员在日常工作中必须如实、规范填写《医疗日志》、《交接班记录表》等相关记录并保存归档，以随时接受采购人相关部门及上级管理部门的监督检查。</w:t>
            </w:r>
          </w:p>
          <w:p>
            <w:pPr>
              <w:jc w:val="both"/>
            </w:pPr>
            <w:r>
              <w:rPr>
                <w:sz w:val="21"/>
              </w:rPr>
              <w:t>17</w:t>
            </w:r>
            <w:r>
              <w:rPr>
                <w:sz w:val="21"/>
              </w:rPr>
              <w:t>、根据《突发公共卫生事件应急条例》和《中华人民共和国传染病防治法》等法规规定，投标人为重大食物中毒和重大流行传染病报告人，如发现本校重大食物中毒和发生传染病大流行，必须及时报告采购人法人代表和上级预防部门。</w:t>
            </w:r>
          </w:p>
          <w:p>
            <w:pPr>
              <w:jc w:val="both"/>
            </w:pPr>
            <w:r>
              <w:rPr>
                <w:sz w:val="21"/>
              </w:rPr>
              <w:t>18</w:t>
            </w:r>
            <w:r>
              <w:rPr>
                <w:sz w:val="21"/>
              </w:rPr>
              <w:t>、投标人须积极配合采购人的对其机构及驻校医护人员的医疗服务综合考评。</w:t>
            </w:r>
          </w:p>
          <w:p>
            <w:r>
              <w:rPr>
                <w:b/>
              </w:rPr>
              <w:t>（四）采购人拟提供的条件</w:t>
            </w:r>
          </w:p>
          <w:p>
            <w:pPr>
              <w:jc w:val="both"/>
            </w:pPr>
            <w:r>
              <w:rPr>
                <w:sz w:val="21"/>
              </w:rPr>
              <w:t>1</w:t>
            </w:r>
            <w:r>
              <w:rPr>
                <w:sz w:val="21"/>
              </w:rPr>
              <w:t>、采购人为投标人免费无偿提供医务室（包括水电费及基本办公设施），免费提供医务人员值班工作用房。</w:t>
            </w:r>
          </w:p>
          <w:p>
            <w:pPr>
              <w:jc w:val="both"/>
            </w:pPr>
            <w:r>
              <w:rPr>
                <w:sz w:val="21"/>
              </w:rPr>
              <w:t>2</w:t>
            </w:r>
            <w:r>
              <w:rPr>
                <w:sz w:val="21"/>
              </w:rPr>
              <w:t>、采购人为投标人免费无偿提供基本的办公室设备、基本的医疗设备，包括：电脑、听诊器、血压计、诊疗床、担架、屏风、简易呼吸球囊、紫外线灯、可移动紫外线车。</w:t>
            </w:r>
          </w:p>
          <w:p>
            <w:pPr>
              <w:jc w:val="both"/>
            </w:pPr>
            <w:r>
              <w:rPr>
                <w:sz w:val="21"/>
              </w:rPr>
              <w:t>3</w:t>
            </w:r>
            <w:r>
              <w:rPr>
                <w:sz w:val="21"/>
              </w:rPr>
              <w:t>、投标人派驻医生可享受与采购人教职工同样的餐厅就餐待遇，但用餐费用由投标人负责。</w:t>
            </w:r>
          </w:p>
          <w:p>
            <w:pPr>
              <w:jc w:val="both"/>
            </w:pPr>
            <w:r>
              <w:rPr>
                <w:sz w:val="21"/>
              </w:rPr>
              <w:t>4</w:t>
            </w:r>
            <w:r>
              <w:rPr>
                <w:sz w:val="21"/>
              </w:rPr>
              <w:t>、配合投标人处理日常医疗、日常体检、突发事件处理和健康宣教和学生医保定点等工作。</w:t>
            </w:r>
          </w:p>
          <w:p>
            <w:pPr>
              <w:jc w:val="both"/>
            </w:pPr>
            <w:r>
              <w:rPr>
                <w:sz w:val="21"/>
              </w:rPr>
              <w:t>5</w:t>
            </w:r>
            <w:r>
              <w:rPr>
                <w:sz w:val="21"/>
              </w:rPr>
              <w:t>、在具体的医疗操作和医疗安排上，采购人给投标人相对的自主权，原则上在不损害采购人及教职员工与学生合法权益及利益的前提下，采购人不干涉投标人合法的医疗安排。</w:t>
            </w:r>
          </w:p>
          <w:p>
            <w:pPr>
              <w:jc w:val="both"/>
            </w:pPr>
            <w:r>
              <w:rPr>
                <w:sz w:val="21"/>
              </w:rPr>
              <w:t>6</w:t>
            </w:r>
            <w:r>
              <w:rPr>
                <w:sz w:val="21"/>
              </w:rPr>
              <w:t>、符合合同约定时，按期支付合同服务费。</w:t>
            </w:r>
          </w:p>
          <w:p>
            <w:pPr>
              <w:jc w:val="both"/>
            </w:pPr>
            <w:r>
              <w:rPr>
                <w:b/>
                <w:sz w:val="21"/>
              </w:rPr>
              <w:t>（五）其他服务要求</w:t>
            </w:r>
          </w:p>
          <w:p>
            <w:pPr>
              <w:jc w:val="both"/>
            </w:pPr>
            <w:r>
              <w:rPr>
                <w:sz w:val="21"/>
              </w:rPr>
              <w:t>1</w:t>
            </w:r>
            <w:r>
              <w:rPr>
                <w:sz w:val="21"/>
              </w:rPr>
              <w:t>）投标人应根据相关规定，招聘和安排适合的医护人员到学校担任校医，提供学校医疗卫生和急救必须的服务，并严格遵守《中华人民共和国执业医师法》、《护士条例》等相关法律法规。确保派驻校医的服务达到《学校卫生工作条例》和《国家学校体育卫生条件试行基本标准》、《广东省学校及幼托机构内设医疗机构和保健室卫生监督管理工作指引》的要求，满足学校卫生工作的正常运转需求。</w:t>
            </w:r>
          </w:p>
          <w:p>
            <w:pPr>
              <w:jc w:val="both"/>
            </w:pPr>
            <w:r>
              <w:rPr>
                <w:sz w:val="21"/>
              </w:rPr>
              <w:t>2</w:t>
            </w:r>
            <w:r>
              <w:rPr>
                <w:sz w:val="21"/>
              </w:rPr>
              <w:t>）投标人应当组建医疗应急保障小组：组建医疗应急保障小组确保医疗处置程序的合理与合法性。</w:t>
            </w:r>
          </w:p>
          <w:p>
            <w:pPr>
              <w:jc w:val="both"/>
            </w:pPr>
            <w:r>
              <w:rPr>
                <w:sz w:val="21"/>
              </w:rPr>
              <w:t>3</w:t>
            </w:r>
            <w:r>
              <w:rPr>
                <w:sz w:val="21"/>
              </w:rPr>
              <w:t>）投标人对校医实行统一管理，负责对校医日常工作的指导和监督，负责向前述医护人员和相关人员发放工资报酬、福利待遇，承担作为用人单位的其他法定义务（包括但不限于：社会保险、住房公积金等）。为学校提供24小时门（急）诊服务(包括开学期间的一切节假日、公休日)，工作期间不得擅离岗位。</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广东省城市技师学院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采购机构代理服务收费标准：各包组中标人须向采购代理机构按如下标准和规定下浮20%分别缴纳招标代理服务费（不含税）： （1）以项目各采购包的预算金额作为招标代理服务费的计算基数； （2）招标代理服务费采用差额定率累进法进行计算，按照以下标准计取： 100万元以下的部分，按照1.5%计取； 100-500万元的部分，按照0.8%计取。 如单个包组代理服务费不足人民币4,000.00元的，按人民币4,000.00元收取。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新型冠状病毒感染肺炎疫情防控期间的便利化措施，（本招标文件其他条款与本条不一致的，以本条为准），投标文件的递交与开标 1. 疫情防控期间，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罗小姐 3）注明采购项目编号、包组号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疫情防控期间，我司暂停中标（成交）通知书、服务费（标书款）发票现场领取，中标（成交）通知书、我司将通过快递方式送达给中标（成交）人，服务费（标书款）发票以邮件方式发送电子发票。 采购合同送达 疫情防控期间，我司提倡中标（成交）人优先采用邮寄方式将签订的合同及时送达我司。 1）收件地址：广州市天河区龙怡路117号银汇大厦5楼 2）收件人：广东志正招标有限公司前台 罗小姐 3）注明采购项目编号、包组号</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东省城市技师学院天鹿校区、长福北校区、长福南校区和华美校区2023年度校医外包服务)：综合评分法,是指投标文件满足招标文件全部实质性要求，且按照评审因素的量化指标评审得分最高的投标人为中标候选人的评标方法。（最低报价不是中标的唯一依据。）</w:t>
      </w:r>
    </w:p>
    <w:p/>
    <w:p>
      <w:r>
        <w:rPr/>
        <w:t>采购包2(广东省城市技师学院佛山校区2023年度校医外包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采购包1（广东省城市技师学院天鹿校区、长福北校区、长福南校区和华美校区2023年度校医外包服务）：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采购包2（广东省城市技师学院佛山校区2023年度校医外包服务）：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采购包1（广东省城市技师学院天鹿校区、长福北校区、长福南校区和华美校区2023年度校医外包服务）：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投标人须持有有效医疗机构执业许可证。</w:t>
            </w:r>
          </w:p>
        </w:tc>
      </w:tr>
    </w:tbl>
    <w:p/>
    <w:p>
      <w:r>
        <w:rPr/>
        <w:t>采购包2（广东省城市技师学院佛山校区2023年度校医外包服务）：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投标人须持有有效医疗机构执业许可证。</w:t>
            </w:r>
          </w:p>
        </w:tc>
      </w:tr>
    </w:tbl>
    <w:p/>
    <w:p>
      <w:pPr>
        <w:ind w:firstLine="480"/>
      </w:pPr>
      <w:r>
        <w:rPr/>
        <w:t>表二符合性审查表：</w:t>
      </w:r>
    </w:p>
    <w:p>
      <w:pPr>
        <w:ind w:firstLine="480"/>
      </w:pPr>
    </w:p>
    <w:p/>
    <w:p>
      <w:r>
        <w:rPr/>
        <w:t>采购包1（广东省城市技师学院天鹿校区、长福北校区、长福南校区和华美校区2023年度校医外包服务）：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投标报价没有超出预算金额或最高限价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t>采购包2（广东省城市技师学院佛山校区2023年度校医外包服务）：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投标报价没有超出预算金额或最高限价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采购包1(广东省城市技师学院天鹿校区、长福北校区、长福南校区和华美校区2023年度校医外包服务):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总体实施方案  (10.0分)</w:t>
            </w:r>
            <w:r>
              <w:rPr/>
              <w:t>，（等次分值选择：</w:t>
            </w:r>
            <w:r>
              <w:rPr/>
              <w:t>0.0;</w:t>
            </w:r>
            <w:r>
              <w:rPr/>
              <w:t>3.0;</w:t>
            </w:r>
            <w:r>
              <w:rPr/>
              <w:t>7.0;</w:t>
            </w:r>
            <w:r>
              <w:rPr/>
              <w:t>10.0;</w:t>
            </w:r>
            <w:r>
              <w:rPr/>
              <w:t>）</w:t>
            </w:r>
          </w:p>
        </w:tc>
        <w:tc>
          <w:tcPr>
            <w:tcW w:type="dxa" w:w="5076"/>
          </w:tcPr>
          <w:p>
            <w:pPr>
              <w:jc w:val="left"/>
            </w:pPr>
            <w:r>
              <w:rPr/>
              <w:t>根据投标人的总体实施方案进行评审： 1、对项目理解深入透彻，服务方案整体框架清晰，阐述内容主次分明，方案可操作性、可行性强，得 10分；  2、对项目理解较为深入，服务方案整体框架较清晰，阐述内容主 次较为分明，方案具有一定的可操作性、可行性较强，得7分； 3、对项目 理解基本深入，服务方案整体框架基本清晰，阐述内容主次基本分明，方 案具有基本的可操作性、可行性一般，得3分； 4、不提供上述内容或其他情形，得0分。</w:t>
            </w:r>
          </w:p>
        </w:tc>
      </w:tr>
      <w:tr>
        <w:tc>
          <w:tcPr>
            <w:tcW w:type="dxa" w:w="922"/>
            <w:gridSpan w:val="2"/>
            <w:vMerge/>
          </w:tcPr>
          <w:p/>
        </w:tc>
        <w:tc>
          <w:tcPr>
            <w:tcW w:type="dxa" w:w="2307"/>
          </w:tcPr>
          <w:p>
            <w:pPr>
              <w:jc w:val="left"/>
            </w:pPr>
            <w:r>
              <w:rPr/>
              <w:t>医疗保障机制和应急预案 (10.0分)</w:t>
            </w:r>
            <w:r>
              <w:rPr/>
              <w:t>，（等次分值选择：</w:t>
            </w:r>
            <w:r>
              <w:rPr/>
              <w:t>0.0;</w:t>
            </w:r>
            <w:r>
              <w:rPr/>
              <w:t>3.0;</w:t>
            </w:r>
            <w:r>
              <w:rPr/>
              <w:t>7.0;</w:t>
            </w:r>
            <w:r>
              <w:rPr/>
              <w:t>10.0;</w:t>
            </w:r>
            <w:r>
              <w:rPr/>
              <w:t>）</w:t>
            </w:r>
          </w:p>
        </w:tc>
        <w:tc>
          <w:tcPr>
            <w:tcW w:type="dxa" w:w="5076"/>
          </w:tcPr>
          <w:p>
            <w:pPr>
              <w:jc w:val="left"/>
            </w:pPr>
            <w:r>
              <w:rPr/>
              <w:t>根据投标人提供的校园活动专项医疗保障方案和应急预案（包括但不限急救、救护、转运设备和车辆，以及车辆的到达时间等）进行评审： 1、医疗保障机制和应急预案 完善，内容具体详细，针对性及操作性强，得10分； 2、医疗保障机制和 应急预案较完善，内容完整，针对性及操作性较强，得7分；  3、医疗保障 机制和应急预案内容基本完整，具有一定针对性及操作性，得3分； 4、不提供上述内容或其他情形，得0分。</w:t>
            </w:r>
          </w:p>
        </w:tc>
      </w:tr>
      <w:tr>
        <w:tc>
          <w:tcPr>
            <w:tcW w:type="dxa" w:w="922"/>
            <w:gridSpan w:val="2"/>
            <w:vMerge/>
          </w:tcPr>
          <w:p/>
        </w:tc>
        <w:tc>
          <w:tcPr>
            <w:tcW w:type="dxa" w:w="2307"/>
          </w:tcPr>
          <w:p>
            <w:pPr>
              <w:jc w:val="left"/>
            </w:pPr>
            <w:r>
              <w:rPr/>
              <w:t>关于派驻医护人员的管理制度  (10.0分)</w:t>
            </w:r>
            <w:r>
              <w:rPr/>
              <w:t>，（等次分值选择：</w:t>
            </w:r>
            <w:r>
              <w:rPr/>
              <w:t>0.0;</w:t>
            </w:r>
            <w:r>
              <w:rPr/>
              <w:t>3.0;</w:t>
            </w:r>
            <w:r>
              <w:rPr/>
              <w:t>7.0;</w:t>
            </w:r>
            <w:r>
              <w:rPr/>
              <w:t>10.0;</w:t>
            </w:r>
            <w:r>
              <w:rPr/>
              <w:t>）</w:t>
            </w:r>
          </w:p>
        </w:tc>
        <w:tc>
          <w:tcPr>
            <w:tcW w:type="dxa" w:w="5076"/>
          </w:tcPr>
          <w:p>
            <w:pPr>
              <w:jc w:val="left"/>
            </w:pPr>
            <w:r>
              <w:rPr/>
              <w:t>根据投标人提供的管理制度（包括但不限于派驻医护人员的服务内容 、服务流程、管理架构、档案管理、值班细则）进行评审：  1、制度完善 、实操性强、合理可行，得10分；  2、制度较完善、较有实操性、较合理 较可行，得7分； 3、制度不够完善、不够有实操性、不够合理不够可行， 得3分； 4、不提供上述内容或其他情形，得0分。</w:t>
            </w:r>
          </w:p>
        </w:tc>
      </w:tr>
      <w:tr>
        <w:tc>
          <w:tcPr>
            <w:tcW w:type="dxa" w:w="922"/>
            <w:gridSpan w:val="2"/>
            <w:vMerge/>
          </w:tcPr>
          <w:p/>
        </w:tc>
        <w:tc>
          <w:tcPr>
            <w:tcW w:type="dxa" w:w="2307"/>
          </w:tcPr>
          <w:p>
            <w:pPr>
              <w:jc w:val="left"/>
            </w:pPr>
            <w:r>
              <w:rPr/>
              <w:t>校医的培训和管理 (10.0分)</w:t>
            </w:r>
            <w:r>
              <w:rPr/>
              <w:t>，（等次分值选择：</w:t>
            </w:r>
            <w:r>
              <w:rPr/>
              <w:t>0.0;</w:t>
            </w:r>
            <w:r>
              <w:rPr/>
              <w:t>3.0;</w:t>
            </w:r>
            <w:r>
              <w:rPr/>
              <w:t>7.0;</w:t>
            </w:r>
            <w:r>
              <w:rPr/>
              <w:t>10.0;</w:t>
            </w:r>
            <w:r>
              <w:rPr/>
              <w:t>）</w:t>
            </w:r>
          </w:p>
        </w:tc>
        <w:tc>
          <w:tcPr>
            <w:tcW w:type="dxa" w:w="5076"/>
          </w:tcPr>
          <w:p>
            <w:pPr>
              <w:jc w:val="left"/>
            </w:pPr>
            <w:r>
              <w:rPr/>
              <w:t>根据投标人对工作人员培训及管理的响应情况进行评审： 1、培训计划、管理方案合理清晰，可行性高的，得10分； 2、培训计划、管理方案比较合理，可行性一般的，得7分； 3、培训计划、管理方案较一般，可行性低的，得3分； 4、不提供上述内容或其他情形，得0分。</w:t>
            </w:r>
          </w:p>
        </w:tc>
      </w:tr>
      <w:tr>
        <w:tc>
          <w:tcPr>
            <w:tcW w:type="dxa" w:w="922"/>
            <w:gridSpan w:val="2"/>
            <w:vMerge/>
          </w:tcPr>
          <w:p/>
        </w:tc>
        <w:tc>
          <w:tcPr>
            <w:tcW w:type="dxa" w:w="2307"/>
          </w:tcPr>
          <w:p>
            <w:pPr>
              <w:jc w:val="left"/>
            </w:pPr>
            <w:r>
              <w:rPr/>
              <w:t>质量保证措施  (10.0分)</w:t>
            </w:r>
            <w:r>
              <w:rPr/>
              <w:t>，（等次分值选择：</w:t>
            </w:r>
            <w:r>
              <w:rPr/>
              <w:t>0.0;</w:t>
            </w:r>
            <w:r>
              <w:rPr/>
              <w:t>3.0;</w:t>
            </w:r>
            <w:r>
              <w:rPr/>
              <w:t>7.0;</w:t>
            </w:r>
            <w:r>
              <w:rPr/>
              <w:t>10.0;</w:t>
            </w:r>
            <w:r>
              <w:rPr/>
              <w:t>）</w:t>
            </w:r>
          </w:p>
        </w:tc>
        <w:tc>
          <w:tcPr>
            <w:tcW w:type="dxa" w:w="5076"/>
          </w:tcPr>
          <w:p>
            <w:pPr>
              <w:jc w:val="left"/>
            </w:pPr>
            <w:r>
              <w:rPr/>
              <w:t>根据投标人提供的服务质量保证措施（包括但不限于按采购人要求设定人员、服务考核标准； 监督检查标准）进行评审： 1、质量保证体系及措施完善，有针对性，方法有效、可行，有专业团队和经验，得10分； 2、质量保证体系及措施较完善，方法较有效、可 行，得7分； 3、质量保证体系及措施一般，方法可行性欠缺，得3分；  4、不提供上述内容或其他情形，得0分。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投标人提供2020年至今的同类项目业绩，每提供一项得1分，最高得 5分；【分支机构投标的，总公司（总所）业绩不可纳入评审】 注：提供合同复印件，不提供者或专家无法认定的不得分。</w:t>
            </w:r>
          </w:p>
        </w:tc>
      </w:tr>
      <w:tr>
        <w:tc>
          <w:tcPr>
            <w:tcW w:type="dxa" w:w="922"/>
            <w:gridSpan w:val="2"/>
            <w:vMerge/>
          </w:tcPr>
          <w:p/>
        </w:tc>
        <w:tc>
          <w:tcPr>
            <w:tcW w:type="dxa" w:w="2307"/>
          </w:tcPr>
          <w:p>
            <w:pPr>
              <w:jc w:val="left"/>
            </w:pPr>
            <w:r>
              <w:rPr/>
              <w:t>客户服务评价 (5.0分)</w:t>
            </w:r>
          </w:p>
        </w:tc>
        <w:tc>
          <w:tcPr>
            <w:tcW w:type="dxa" w:w="5076"/>
          </w:tcPr>
          <w:p>
            <w:pPr>
              <w:jc w:val="left"/>
            </w:pPr>
            <w:r>
              <w:rPr/>
              <w:t>投标人提供2020年1月1日至今上述同类业绩对应的客户服务评价表 （需加盖客户公章），客户服务评价为满意或优秀或90分（含）以上，每提供一项得1分，最高得5分。 注：须提供加盖客户公章的评价表复印件， 不提供者或专家无法认定的不得分。</w:t>
            </w:r>
          </w:p>
        </w:tc>
      </w:tr>
      <w:tr>
        <w:tc>
          <w:tcPr>
            <w:tcW w:type="dxa" w:w="922"/>
            <w:gridSpan w:val="2"/>
            <w:vMerge/>
          </w:tcPr>
          <w:p/>
        </w:tc>
        <w:tc>
          <w:tcPr>
            <w:tcW w:type="dxa" w:w="2307"/>
          </w:tcPr>
          <w:p>
            <w:pPr>
              <w:jc w:val="left"/>
            </w:pPr>
            <w:r>
              <w:rPr/>
              <w:t>采购需求响应情况 (8.0分)</w:t>
            </w:r>
          </w:p>
        </w:tc>
        <w:tc>
          <w:tcPr>
            <w:tcW w:type="dxa" w:w="5076"/>
          </w:tcPr>
          <w:p>
            <w:pPr>
              <w:jc w:val="left"/>
            </w:pPr>
            <w:r>
              <w:rPr/>
              <w:t>1、投标人完全满足且优于“采购需求”的，得8分； 2、投标人完全满足“采购需求”的，得5分；  3、投标人部分“采购需求”不响应或有负偏离的，得1分。 注：以投标人响应文件中的《技术和服务要求响应表》中的投标人填写的“偏离程度”为准，未填写或未响应的视为负偏离。</w:t>
            </w:r>
          </w:p>
        </w:tc>
      </w:tr>
      <w:tr>
        <w:tc>
          <w:tcPr>
            <w:tcW w:type="dxa" w:w="922"/>
            <w:gridSpan w:val="2"/>
            <w:vMerge/>
          </w:tcPr>
          <w:p/>
        </w:tc>
        <w:tc>
          <w:tcPr>
            <w:tcW w:type="dxa" w:w="2307"/>
          </w:tcPr>
          <w:p>
            <w:pPr>
              <w:jc w:val="left"/>
            </w:pPr>
            <w:r>
              <w:rPr/>
              <w:t>企业信誉 (2.0分)</w:t>
            </w:r>
          </w:p>
        </w:tc>
        <w:tc>
          <w:tcPr>
            <w:tcW w:type="dxa" w:w="5076"/>
          </w:tcPr>
          <w:p>
            <w:pPr>
              <w:jc w:val="left"/>
            </w:pPr>
            <w:r>
              <w:rPr/>
              <w:t>投标人获得行业协会或政府职能部门颁发的荣誉证书的，每个得1分，满分2分。 注：提供相关荣誉证书复印件加盖投标人公章。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采购包2(广东省城市技师学院佛山校区2023年度校医外包服务):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总体实施方案  (10.0分)</w:t>
            </w:r>
            <w:r>
              <w:rPr/>
              <w:t>，（等次分值选择：</w:t>
            </w:r>
            <w:r>
              <w:rPr/>
              <w:t>0.0;</w:t>
            </w:r>
            <w:r>
              <w:rPr/>
              <w:t>3.0;</w:t>
            </w:r>
            <w:r>
              <w:rPr/>
              <w:t>7.0;</w:t>
            </w:r>
            <w:r>
              <w:rPr/>
              <w:t>10.0;</w:t>
            </w:r>
            <w:r>
              <w:rPr/>
              <w:t>）</w:t>
            </w:r>
          </w:p>
        </w:tc>
        <w:tc>
          <w:tcPr>
            <w:tcW w:type="dxa" w:w="5076"/>
          </w:tcPr>
          <w:p>
            <w:pPr>
              <w:jc w:val="left"/>
            </w:pPr>
            <w:r>
              <w:rPr/>
              <w:t>根据投标人的总体实施方案进行评审： 1、对项目理解深入透彻，服务方案整体框架清晰，阐述内容主次分明，方案可操作性、可行性强，得 10分；  2、对项目理解较为深入，服务方案整体框架较清晰，阐述内容主 次较为分明，方案具有一定的可操作性、可行性较强，得7分； 3、对项目 理解基本深入，服务方案整体框架基本清晰，阐述内容主次基本分明，方 案具有基本的可操作性、可行性一般，得3分； 4、不提供上述内容或其他情形，得0分。</w:t>
            </w:r>
          </w:p>
        </w:tc>
      </w:tr>
      <w:tr>
        <w:tc>
          <w:tcPr>
            <w:tcW w:type="dxa" w:w="922"/>
            <w:gridSpan w:val="2"/>
            <w:vMerge/>
          </w:tcPr>
          <w:p/>
        </w:tc>
        <w:tc>
          <w:tcPr>
            <w:tcW w:type="dxa" w:w="2307"/>
          </w:tcPr>
          <w:p>
            <w:pPr>
              <w:jc w:val="left"/>
            </w:pPr>
            <w:r>
              <w:rPr/>
              <w:t>医疗保障机制和应急预案 (10.0分)</w:t>
            </w:r>
            <w:r>
              <w:rPr/>
              <w:t>，（等次分值选择：</w:t>
            </w:r>
            <w:r>
              <w:rPr/>
              <w:t>0.0;</w:t>
            </w:r>
            <w:r>
              <w:rPr/>
              <w:t>3.0;</w:t>
            </w:r>
            <w:r>
              <w:rPr/>
              <w:t>7.0;</w:t>
            </w:r>
            <w:r>
              <w:rPr/>
              <w:t>10.0;</w:t>
            </w:r>
            <w:r>
              <w:rPr/>
              <w:t>）</w:t>
            </w:r>
          </w:p>
        </w:tc>
        <w:tc>
          <w:tcPr>
            <w:tcW w:type="dxa" w:w="5076"/>
          </w:tcPr>
          <w:p>
            <w:pPr>
              <w:jc w:val="left"/>
            </w:pPr>
            <w:r>
              <w:rPr/>
              <w:t>根据投标人提供的校园活动专项医疗保障方案和应急预案（包括但不限急救、救护、转运设备和车辆，以及车辆的到达时间等）进行评审： 1、医疗保障机制和应急预案 完善，内容具体详细，针对性及操作性强，得10分； 2、医疗保障机制和 应急预案较完善，内容完整，针对性及操作性较强，得7分；  3、医疗保障 机制和应急预案内容基本完整，具有一定针对性及操作性，得3分； 4、不提供上述内容或其他情形，得0分。</w:t>
            </w:r>
          </w:p>
        </w:tc>
      </w:tr>
      <w:tr>
        <w:tc>
          <w:tcPr>
            <w:tcW w:type="dxa" w:w="922"/>
            <w:gridSpan w:val="2"/>
            <w:vMerge/>
          </w:tcPr>
          <w:p/>
        </w:tc>
        <w:tc>
          <w:tcPr>
            <w:tcW w:type="dxa" w:w="2307"/>
          </w:tcPr>
          <w:p>
            <w:pPr>
              <w:jc w:val="left"/>
            </w:pPr>
            <w:r>
              <w:rPr/>
              <w:t>关于派驻医护人员的管理制度  (10.0分)</w:t>
            </w:r>
            <w:r>
              <w:rPr/>
              <w:t>，（等次分值选择：</w:t>
            </w:r>
            <w:r>
              <w:rPr/>
              <w:t>0.0;</w:t>
            </w:r>
            <w:r>
              <w:rPr/>
              <w:t>3.0;</w:t>
            </w:r>
            <w:r>
              <w:rPr/>
              <w:t>7.0;</w:t>
            </w:r>
            <w:r>
              <w:rPr/>
              <w:t>10.0;</w:t>
            </w:r>
            <w:r>
              <w:rPr/>
              <w:t>）</w:t>
            </w:r>
          </w:p>
        </w:tc>
        <w:tc>
          <w:tcPr>
            <w:tcW w:type="dxa" w:w="5076"/>
          </w:tcPr>
          <w:p>
            <w:pPr>
              <w:jc w:val="left"/>
            </w:pPr>
            <w:r>
              <w:rPr/>
              <w:t>根据投标人提供的管理制度（包括但不限于派驻医护人员的服务内容 、服务流程、管理架构、档案管理、值班细则）进行评审：  1、制度完善 、实操性强、合理可行，得10分；  2、制度较完善、较有实操性、较合理 较可行，得7分； 3、制度不够完善、不够有实操性、不够合理不够可行， 得3分； 4、不提供上述内容或其他情形，得0分。</w:t>
            </w:r>
          </w:p>
        </w:tc>
      </w:tr>
      <w:tr>
        <w:tc>
          <w:tcPr>
            <w:tcW w:type="dxa" w:w="922"/>
            <w:gridSpan w:val="2"/>
            <w:vMerge/>
          </w:tcPr>
          <w:p/>
        </w:tc>
        <w:tc>
          <w:tcPr>
            <w:tcW w:type="dxa" w:w="2307"/>
          </w:tcPr>
          <w:p>
            <w:pPr>
              <w:jc w:val="left"/>
            </w:pPr>
            <w:r>
              <w:rPr/>
              <w:t>校医的培训和管理 (10.0分)</w:t>
            </w:r>
            <w:r>
              <w:rPr/>
              <w:t>，（等次分值选择：</w:t>
            </w:r>
            <w:r>
              <w:rPr/>
              <w:t>0.0;</w:t>
            </w:r>
            <w:r>
              <w:rPr/>
              <w:t>3.0;</w:t>
            </w:r>
            <w:r>
              <w:rPr/>
              <w:t>7.0;</w:t>
            </w:r>
            <w:r>
              <w:rPr/>
              <w:t>10.0;</w:t>
            </w:r>
            <w:r>
              <w:rPr/>
              <w:t>）</w:t>
            </w:r>
          </w:p>
        </w:tc>
        <w:tc>
          <w:tcPr>
            <w:tcW w:type="dxa" w:w="5076"/>
          </w:tcPr>
          <w:p>
            <w:pPr>
              <w:jc w:val="left"/>
            </w:pPr>
            <w:r>
              <w:rPr/>
              <w:t>根据投标人对工作人员培训及管理的响应情况进行评审： 1、培训计划、管理方案合理清晰，可行性高的，得10分； 2、培训计划、管理方案比较合理，可行性一般的，得7分； 3、培训计划、管理方案较一般，可行性低的，得3分； 4、不提供上述内容或其他情形，得0分。</w:t>
            </w:r>
          </w:p>
        </w:tc>
      </w:tr>
      <w:tr>
        <w:tc>
          <w:tcPr>
            <w:tcW w:type="dxa" w:w="922"/>
            <w:gridSpan w:val="2"/>
            <w:vMerge/>
          </w:tcPr>
          <w:p/>
        </w:tc>
        <w:tc>
          <w:tcPr>
            <w:tcW w:type="dxa" w:w="2307"/>
          </w:tcPr>
          <w:p>
            <w:pPr>
              <w:jc w:val="left"/>
            </w:pPr>
            <w:r>
              <w:rPr/>
              <w:t>质量保证措施  (10.0分)</w:t>
            </w:r>
            <w:r>
              <w:rPr/>
              <w:t>，（等次分值选择：</w:t>
            </w:r>
            <w:r>
              <w:rPr/>
              <w:t>0.0;</w:t>
            </w:r>
            <w:r>
              <w:rPr/>
              <w:t>3.0;</w:t>
            </w:r>
            <w:r>
              <w:rPr/>
              <w:t>7.0;</w:t>
            </w:r>
            <w:r>
              <w:rPr/>
              <w:t>10.0;</w:t>
            </w:r>
            <w:r>
              <w:rPr/>
              <w:t>）</w:t>
            </w:r>
          </w:p>
        </w:tc>
        <w:tc>
          <w:tcPr>
            <w:tcW w:type="dxa" w:w="5076"/>
          </w:tcPr>
          <w:p>
            <w:pPr>
              <w:jc w:val="left"/>
            </w:pPr>
            <w:r>
              <w:rPr/>
              <w:t>根据投标人提供的服务质量保证措施（包括但不限于按采购人要求设定人员、服务考核标准； 监督检查标准）进行评审： 1、质量保证体系及措施完善，有针对性，方法有效、可行，有专业团队和经验，得10分； 2、质量保证体系及措施较完善，方法较有效、可 行，得7分； 3、质量保证体系及措施一般，方法可行性欠缺，得3分；  4、不提供上述内容或其他情形，得0分。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投标人提供2020年至今的同类项目业绩，每提供一项得1分，最高得 5分；【分支机构投标的，总公司（总所）业绩不可纳入评审】 注：提供合同复印件，不提供者或专家无法认定的不得分。</w:t>
            </w:r>
          </w:p>
        </w:tc>
      </w:tr>
      <w:tr>
        <w:tc>
          <w:tcPr>
            <w:tcW w:type="dxa" w:w="922"/>
            <w:gridSpan w:val="2"/>
            <w:vMerge/>
          </w:tcPr>
          <w:p/>
        </w:tc>
        <w:tc>
          <w:tcPr>
            <w:tcW w:type="dxa" w:w="2307"/>
          </w:tcPr>
          <w:p>
            <w:pPr>
              <w:jc w:val="left"/>
            </w:pPr>
            <w:r>
              <w:rPr/>
              <w:t>客户服务评价 (5.0分)</w:t>
            </w:r>
          </w:p>
        </w:tc>
        <w:tc>
          <w:tcPr>
            <w:tcW w:type="dxa" w:w="5076"/>
          </w:tcPr>
          <w:p>
            <w:pPr>
              <w:jc w:val="left"/>
            </w:pPr>
            <w:r>
              <w:rPr/>
              <w:t>投标人提供2020年1月1日至今上述同类业绩对应的客户服务评价表 （需加盖客户公章），客户服务评价为满意或优秀或90分（含）以上，每提供一项得1分，最高得5分。 注：须提供加盖客户公章的评价表复印件， 不提供者或专家无法认定的不得分。</w:t>
            </w:r>
          </w:p>
        </w:tc>
      </w:tr>
      <w:tr>
        <w:tc>
          <w:tcPr>
            <w:tcW w:type="dxa" w:w="922"/>
            <w:gridSpan w:val="2"/>
            <w:vMerge/>
          </w:tcPr>
          <w:p/>
        </w:tc>
        <w:tc>
          <w:tcPr>
            <w:tcW w:type="dxa" w:w="2307"/>
          </w:tcPr>
          <w:p>
            <w:pPr>
              <w:jc w:val="left"/>
            </w:pPr>
            <w:r>
              <w:rPr/>
              <w:t>采购需求响应情况 (8.0分)</w:t>
            </w:r>
          </w:p>
        </w:tc>
        <w:tc>
          <w:tcPr>
            <w:tcW w:type="dxa" w:w="5076"/>
          </w:tcPr>
          <w:p>
            <w:pPr>
              <w:jc w:val="left"/>
            </w:pPr>
            <w:r>
              <w:rPr/>
              <w:t>1、投标人完全满足且优于“采购需求”的，得8分； 2、投标人完全满足“采购需求”的，得5分；  3、投标人部分“采购需求”不响应或有负偏离的，得1分。 注：以投标人响应文件中的《技术和服务要求响应表》中的投标人填写的“偏离程度”为准，未填写或未响应的视为负偏离。</w:t>
            </w:r>
          </w:p>
        </w:tc>
      </w:tr>
      <w:tr>
        <w:tc>
          <w:tcPr>
            <w:tcW w:type="dxa" w:w="922"/>
            <w:gridSpan w:val="2"/>
            <w:vMerge/>
          </w:tcPr>
          <w:p/>
        </w:tc>
        <w:tc>
          <w:tcPr>
            <w:tcW w:type="dxa" w:w="2307"/>
          </w:tcPr>
          <w:p>
            <w:pPr>
              <w:jc w:val="left"/>
            </w:pPr>
            <w:r>
              <w:rPr/>
              <w:t>企业信誉 (2.0分)</w:t>
            </w:r>
          </w:p>
        </w:tc>
        <w:tc>
          <w:tcPr>
            <w:tcW w:type="dxa" w:w="5076"/>
          </w:tcPr>
          <w:p>
            <w:pPr>
              <w:jc w:val="left"/>
            </w:pPr>
            <w:r>
              <w:rPr/>
              <w:t>投标人获得行业协会或政府职能部门颁发的荣誉证书的，每个得1分，满分2分。 注：提供相关荣誉证书复印件加盖投标人公章。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ind w:firstLine="480"/>
        <w:jc w:val="center"/>
      </w:pPr>
      <w:r>
        <w:rPr>
          <w:b/>
        </w:rPr>
        <w:t>广东省城市技师学院2023年度校医合作服务采购项目</w:t>
      </w:r>
    </w:p>
    <w:p>
      <w:pPr>
        <w:ind w:firstLine="480"/>
        <w:jc w:val="center"/>
      </w:pPr>
    </w:p>
    <w:p>
      <w:pPr>
        <w:ind w:firstLine="480"/>
        <w:jc w:val="center"/>
      </w:pPr>
    </w:p>
    <w:p>
      <w:pPr>
        <w:ind w:firstLine="480"/>
        <w:jc w:val="center"/>
      </w:pPr>
      <w:r>
        <w:rPr>
          <w:b/>
        </w:rPr>
        <w:t>合同书</w:t>
      </w:r>
    </w:p>
    <w:p>
      <w:pPr>
        <w:ind w:firstLine="480"/>
        <w:jc w:val="center"/>
      </w:pPr>
    </w:p>
    <w:p>
      <w:pPr>
        <w:ind w:firstLine="480"/>
        <w:jc w:val="center"/>
      </w:pPr>
    </w:p>
    <w:p>
      <w:pPr>
        <w:ind w:firstLine="480"/>
        <w:jc w:val="center"/>
      </w:pPr>
    </w:p>
    <w:p>
      <w:pPr>
        <w:ind w:firstLine="480"/>
        <w:jc w:val="center"/>
      </w:pPr>
    </w:p>
    <w:p>
      <w:pPr>
        <w:ind w:firstLine="480"/>
        <w:jc w:val="center"/>
      </w:pPr>
      <w:r>
        <w:br/>
      </w:r>
      <w:r>
        <w:rPr>
          <w:b/>
        </w:rPr>
        <w:t>项目名称：</w:t>
      </w:r>
      <w:r>
        <w:rPr>
          <w:b/>
          <w:u w:val="single"/>
        </w:rPr>
        <w:t xml:space="preserve">               </w:t>
      </w:r>
      <w:r>
        <w:br/>
      </w:r>
      <w:r>
        <w:rPr>
          <w:b/>
        </w:rPr>
        <w:t>合同编号：</w:t>
      </w:r>
      <w:r>
        <w:rPr>
          <w:b/>
          <w:u w:val="single"/>
        </w:rPr>
        <w:t xml:space="preserve">               </w:t>
      </w:r>
      <w:r>
        <w:br/>
      </w:r>
      <w:r>
        <w:rPr>
          <w:b/>
        </w:rPr>
        <w:t>采购包号：</w:t>
      </w:r>
      <w:r>
        <w:rPr>
          <w:b/>
          <w:u w:val="single"/>
        </w:rPr>
        <w:t xml:space="preserve">               </w:t>
      </w:r>
      <w:r>
        <w:br/>
      </w:r>
      <w:r>
        <w:rPr>
          <w:b/>
        </w:rPr>
        <w:t>签约地点：</w:t>
      </w:r>
      <w:r>
        <w:rPr>
          <w:b/>
          <w:u w:val="single"/>
        </w:rPr>
        <w:t xml:space="preserve">               </w:t>
      </w:r>
      <w:r>
        <w:br/>
      </w:r>
      <w:r>
        <w:rPr>
          <w:b/>
        </w:rPr>
        <w:t>签订日期：       年    月     日</w:t>
      </w:r>
    </w:p>
    <w:p>
      <w:r>
        <w:rPr>
          <w:color w:val="222222"/>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left"/>
      </w:pPr>
      <w:r>
        <w:rPr>
          <w:b/>
          <w:sz w:val="21"/>
        </w:rPr>
        <w:t>甲    方：</w:t>
      </w:r>
      <w:r>
        <w:rPr>
          <w:b/>
          <w:sz w:val="21"/>
          <w:u w:val="single"/>
        </w:rPr>
        <w:t>广东省城市技师学院</w:t>
      </w:r>
    </w:p>
    <w:p>
      <w:pPr>
        <w:jc w:val="both"/>
      </w:pPr>
      <w:r>
        <w:rPr>
          <w:sz w:val="21"/>
        </w:rPr>
        <w:t>电    话：           　   传  真：           地  址：</w:t>
      </w:r>
    </w:p>
    <w:p>
      <w:pPr>
        <w:jc w:val="both"/>
      </w:pPr>
      <w:r>
        <w:rPr>
          <w:b/>
          <w:sz w:val="21"/>
        </w:rPr>
        <w:t>乙    方：</w:t>
      </w:r>
      <w:r>
        <w:rPr>
          <w:b/>
          <w:sz w:val="21"/>
          <w:u w:val="single"/>
        </w:rPr>
        <w:t xml:space="preserve">                 </w:t>
      </w:r>
      <w:r>
        <w:br/>
      </w:r>
      <w:r>
        <w:rPr>
          <w:sz w:val="21"/>
        </w:rPr>
        <w:t xml:space="preserve">电    话：                传  真：           地  址：  </w:t>
      </w:r>
    </w:p>
    <w:p>
      <w:pPr>
        <w:jc w:val="both"/>
      </w:pPr>
    </w:p>
    <w:p>
      <w:pPr>
        <w:ind w:firstLine="420"/>
        <w:jc w:val="both"/>
      </w:pPr>
      <w:r>
        <w:rPr>
          <w:sz w:val="21"/>
        </w:rPr>
        <w:t>根据</w:t>
      </w:r>
      <w:r>
        <w:rPr>
          <w:sz w:val="21"/>
          <w:u w:val="single"/>
        </w:rPr>
        <w:t xml:space="preserve"> 广东省城市技师学院2023年度校医合作服务采购项目  </w:t>
      </w:r>
      <w:r>
        <w:rPr>
          <w:sz w:val="21"/>
        </w:rPr>
        <w:t>的采购结果，按照《中华人民共和国政府采购法》、《中华人民共和国政府采购法实施条例》、《中华人民共和国民法典》第三编　合同的规定，</w:t>
      </w:r>
      <w:r>
        <w:rPr>
          <w:sz w:val="21"/>
        </w:rPr>
        <w:t>经双方协商，</w:t>
      </w:r>
      <w:r>
        <w:rPr>
          <w:sz w:val="21"/>
        </w:rPr>
        <w:t>本着平等互利和诚实信用的原则，</w:t>
      </w:r>
      <w:r>
        <w:rPr>
          <w:sz w:val="21"/>
        </w:rPr>
        <w:t>一致同意签订本合同如下</w:t>
      </w:r>
      <w:r>
        <w:rPr>
          <w:sz w:val="21"/>
        </w:rPr>
        <w:t>。</w:t>
      </w:r>
    </w:p>
    <w:p>
      <w:pPr>
        <w:numPr>
          <w:ilvl w:val="0"/>
          <w:numId w:val="1"/>
        </w:numPr>
        <w:jc w:val="both"/>
      </w:pPr>
      <w:r>
        <w:rPr>
          <w:b/>
          <w:sz w:val="21"/>
        </w:rPr>
        <w:t>一、合同金额</w:t>
      </w:r>
    </w:p>
    <w:p>
      <w:pPr>
        <w:ind w:firstLine="420"/>
        <w:jc w:val="both"/>
      </w:pPr>
      <w:r>
        <w:rPr>
          <w:sz w:val="21"/>
        </w:rPr>
        <w:t>合同金额为（大写）：</w:t>
      </w:r>
      <w:r>
        <w:rPr>
          <w:b/>
          <w:sz w:val="21"/>
          <w:u w:val="single"/>
        </w:rPr>
        <w:t xml:space="preserve">            </w:t>
      </w:r>
      <w:r>
        <w:rPr>
          <w:sz w:val="21"/>
        </w:rPr>
        <w:t>元（￥</w:t>
      </w:r>
      <w:r>
        <w:rPr>
          <w:b/>
          <w:sz w:val="21"/>
          <w:u w:val="single"/>
        </w:rPr>
        <w:t xml:space="preserve">            </w:t>
      </w:r>
      <w:r>
        <w:rPr>
          <w:sz w:val="21"/>
        </w:rPr>
        <w:t>元）人民币。</w:t>
      </w:r>
    </w:p>
    <w:p>
      <w:pPr>
        <w:ind w:firstLine="420"/>
      </w:pPr>
      <w:r>
        <w:rPr>
          <w:sz w:val="21"/>
        </w:rPr>
        <w:t>（合同金额包括提供服务本身费用、人员相关费用、培训辅导、全额含税发票、必要的保险费用、押金、各项税费及合同实施过程中不可预见费用等）</w:t>
      </w:r>
    </w:p>
    <w:p>
      <w:pPr>
        <w:numPr>
          <w:ilvl w:val="0"/>
          <w:numId w:val="1"/>
        </w:numPr>
        <w:jc w:val="both"/>
      </w:pPr>
      <w:r>
        <w:rPr>
          <w:b/>
          <w:sz w:val="21"/>
        </w:rPr>
        <w:t>二、服务范围</w:t>
      </w:r>
    </w:p>
    <w:p>
      <w:pPr>
        <w:ind w:firstLine="420"/>
        <w:jc w:val="both"/>
      </w:pPr>
      <w:r>
        <w:rPr>
          <w:sz w:val="21"/>
        </w:rPr>
        <w:t>甲方委托乙方按照采购文件中第二章采购需求的要求提供以下校医服务，并接受甲方监督及考核，包括：</w:t>
      </w:r>
    </w:p>
    <w:p>
      <w:pPr>
        <w:ind w:firstLine="422"/>
      </w:pPr>
      <w:r>
        <w:rPr>
          <w:b/>
          <w:sz w:val="21"/>
        </w:rPr>
        <w:t>采购包1适用：</w:t>
      </w:r>
    </w:p>
    <w:p>
      <w:pPr>
        <w:ind w:firstLine="422"/>
        <w:jc w:val="both"/>
      </w:pPr>
      <w:r>
        <w:rPr>
          <w:b/>
          <w:sz w:val="21"/>
        </w:rPr>
        <w:t>（一）人数需求：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vAlign w:val="top"/>
          </w:tcPr>
          <w:p>
            <w:pPr>
              <w:ind w:firstLine="422"/>
              <w:jc w:val="center"/>
            </w:pPr>
            <w:r>
              <w:rPr>
                <w:b/>
                <w:sz w:val="21"/>
              </w:rPr>
              <w:t>校区</w:t>
            </w:r>
          </w:p>
        </w:tc>
        <w:tc>
          <w:tcPr>
            <w:tcW w:type="dxa" w:w="2076"/>
            <w:tcBorders>
              <w:top w:val="single" w:color="000000" w:sz="4"/>
              <w:left w:val="none" w:color="000000" w:sz="4"/>
              <w:bottom w:val="single" w:color="000000" w:sz="4"/>
              <w:right w:val="single" w:color="000000" w:sz="4"/>
            </w:tcBorders>
            <w:vAlign w:val="top"/>
          </w:tcPr>
          <w:p>
            <w:pPr>
              <w:ind w:firstLine="422"/>
              <w:jc w:val="center"/>
            </w:pPr>
            <w:r>
              <w:rPr>
                <w:b/>
                <w:sz w:val="21"/>
              </w:rPr>
              <w:t>医生人数</w:t>
            </w:r>
          </w:p>
        </w:tc>
        <w:tc>
          <w:tcPr>
            <w:tcW w:type="dxa" w:w="2076"/>
            <w:tcBorders>
              <w:top w:val="single" w:color="000000" w:sz="4"/>
              <w:left w:val="none" w:color="000000" w:sz="4"/>
              <w:bottom w:val="single" w:color="000000" w:sz="4"/>
              <w:right w:val="single" w:color="000000" w:sz="4"/>
            </w:tcBorders>
            <w:vAlign w:val="top"/>
          </w:tcPr>
          <w:p>
            <w:pPr>
              <w:ind w:firstLine="422"/>
              <w:jc w:val="center"/>
            </w:pPr>
            <w:r>
              <w:rPr>
                <w:b/>
                <w:sz w:val="21"/>
              </w:rPr>
              <w:t>护士人数</w:t>
            </w:r>
          </w:p>
        </w:tc>
        <w:tc>
          <w:tcPr>
            <w:tcW w:type="dxa" w:w="2076"/>
            <w:tcBorders>
              <w:top w:val="single" w:color="000000" w:sz="4"/>
              <w:left w:val="none" w:color="000000" w:sz="4"/>
              <w:bottom w:val="single" w:color="000000" w:sz="4"/>
              <w:right w:val="single" w:color="000000" w:sz="4"/>
            </w:tcBorders>
            <w:vAlign w:val="top"/>
          </w:tcPr>
          <w:p>
            <w:pPr>
              <w:ind w:firstLine="422"/>
              <w:jc w:val="center"/>
            </w:pPr>
            <w:r>
              <w:rPr>
                <w:b/>
                <w:sz w:val="21"/>
              </w:rPr>
              <w:t>备注</w:t>
            </w:r>
          </w:p>
        </w:tc>
      </w:tr>
      <w:tr>
        <w:tc>
          <w:tcPr>
            <w:tcW w:type="dxa" w:w="2076"/>
            <w:tcBorders>
              <w:top w:val="none" w:color="000000" w:sz="4"/>
              <w:left w:val="single" w:color="000000" w:sz="4"/>
              <w:bottom w:val="single" w:color="000000" w:sz="4"/>
              <w:right w:val="single" w:color="000000" w:sz="4"/>
            </w:tcBorders>
            <w:vAlign w:val="top"/>
          </w:tcPr>
          <w:p>
            <w:pPr>
              <w:ind w:firstLine="420"/>
              <w:jc w:val="center"/>
            </w:pPr>
            <w:r>
              <w:rPr>
                <w:sz w:val="21"/>
              </w:rPr>
              <w:t>天鹿校区</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2</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3</w:t>
            </w:r>
          </w:p>
        </w:tc>
        <w:tc>
          <w:tcPr>
            <w:tcW w:type="dxa" w:w="2076"/>
            <w:tcBorders>
              <w:top w:val="none" w:color="000000" w:sz="4"/>
              <w:left w:val="none" w:color="000000" w:sz="4"/>
              <w:bottom w:val="single" w:color="000000" w:sz="4"/>
              <w:right w:val="single" w:color="000000" w:sz="4"/>
            </w:tcBorders>
            <w:vAlign w:val="top"/>
          </w:tcPr>
          <w:p>
            <w:pPr>
              <w:ind w:firstLine="420"/>
              <w:jc w:val="center"/>
            </w:pPr>
          </w:p>
        </w:tc>
      </w:tr>
      <w:tr>
        <w:tc>
          <w:tcPr>
            <w:tcW w:type="dxa" w:w="2076"/>
            <w:tcBorders>
              <w:top w:val="none" w:color="000000" w:sz="4"/>
              <w:left w:val="single" w:color="000000" w:sz="4"/>
              <w:bottom w:val="single" w:color="000000" w:sz="4"/>
              <w:right w:val="single" w:color="000000" w:sz="4"/>
            </w:tcBorders>
            <w:vAlign w:val="top"/>
          </w:tcPr>
          <w:p>
            <w:pPr>
              <w:ind w:firstLine="420"/>
              <w:jc w:val="center"/>
            </w:pPr>
            <w:r>
              <w:rPr>
                <w:sz w:val="21"/>
              </w:rPr>
              <w:t>华美校区</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2</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3</w:t>
            </w:r>
          </w:p>
        </w:tc>
        <w:tc>
          <w:tcPr>
            <w:tcW w:type="dxa" w:w="2076"/>
            <w:tcBorders>
              <w:top w:val="none" w:color="000000" w:sz="4"/>
              <w:left w:val="none" w:color="000000" w:sz="4"/>
              <w:bottom w:val="single" w:color="000000" w:sz="4"/>
              <w:right w:val="single" w:color="000000" w:sz="4"/>
            </w:tcBorders>
            <w:vAlign w:val="top"/>
          </w:tcPr>
          <w:p>
            <w:pPr>
              <w:ind w:firstLine="420"/>
              <w:jc w:val="center"/>
            </w:pPr>
          </w:p>
        </w:tc>
      </w:tr>
      <w:tr>
        <w:tc>
          <w:tcPr>
            <w:tcW w:type="dxa" w:w="2076"/>
            <w:tcBorders>
              <w:top w:val="none" w:color="000000" w:sz="4"/>
              <w:left w:val="single" w:color="000000" w:sz="4"/>
              <w:bottom w:val="single" w:color="000000" w:sz="4"/>
              <w:right w:val="single" w:color="000000" w:sz="4"/>
            </w:tcBorders>
            <w:vAlign w:val="top"/>
          </w:tcPr>
          <w:p>
            <w:pPr>
              <w:ind w:firstLine="420"/>
              <w:jc w:val="center"/>
            </w:pPr>
            <w:r>
              <w:rPr>
                <w:sz w:val="21"/>
              </w:rPr>
              <w:t>长福北校区</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2</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1</w:t>
            </w:r>
          </w:p>
        </w:tc>
        <w:tc>
          <w:tcPr>
            <w:tcW w:type="dxa" w:w="2076"/>
            <w:tcBorders>
              <w:top w:val="none" w:color="000000" w:sz="4"/>
              <w:left w:val="none" w:color="000000" w:sz="4"/>
              <w:bottom w:val="single" w:color="000000" w:sz="4"/>
              <w:right w:val="single" w:color="000000" w:sz="4"/>
            </w:tcBorders>
            <w:vAlign w:val="top"/>
          </w:tcPr>
          <w:p>
            <w:pPr>
              <w:ind w:firstLine="420"/>
              <w:jc w:val="center"/>
            </w:pPr>
          </w:p>
        </w:tc>
      </w:tr>
      <w:tr>
        <w:tc>
          <w:tcPr>
            <w:tcW w:type="dxa" w:w="2076"/>
            <w:tcBorders>
              <w:top w:val="none" w:color="000000" w:sz="4"/>
              <w:left w:val="single" w:color="000000" w:sz="4"/>
              <w:bottom w:val="single" w:color="000000" w:sz="4"/>
              <w:right w:val="single" w:color="000000" w:sz="4"/>
            </w:tcBorders>
            <w:vAlign w:val="top"/>
          </w:tcPr>
          <w:p>
            <w:pPr>
              <w:ind w:firstLine="420"/>
              <w:jc w:val="center"/>
            </w:pPr>
            <w:r>
              <w:rPr>
                <w:sz w:val="21"/>
              </w:rPr>
              <w:t>长福南校区</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2</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1</w:t>
            </w:r>
          </w:p>
        </w:tc>
        <w:tc>
          <w:tcPr>
            <w:tcW w:type="dxa" w:w="2076"/>
            <w:tcBorders>
              <w:top w:val="none" w:color="000000" w:sz="4"/>
              <w:left w:val="none" w:color="000000" w:sz="4"/>
              <w:bottom w:val="single" w:color="000000" w:sz="4"/>
              <w:right w:val="single" w:color="000000" w:sz="4"/>
            </w:tcBorders>
            <w:vAlign w:val="top"/>
          </w:tcPr>
          <w:p>
            <w:pPr>
              <w:ind w:firstLine="420"/>
              <w:jc w:val="center"/>
            </w:pPr>
          </w:p>
        </w:tc>
      </w:tr>
      <w:tr>
        <w:tc>
          <w:tcPr>
            <w:tcW w:type="dxa" w:w="2076"/>
            <w:tcBorders>
              <w:top w:val="none" w:color="000000" w:sz="4"/>
              <w:left w:val="single" w:color="000000" w:sz="4"/>
              <w:bottom w:val="single" w:color="000000" w:sz="4"/>
              <w:right w:val="single" w:color="000000" w:sz="4"/>
            </w:tcBorders>
            <w:vAlign w:val="top"/>
          </w:tcPr>
          <w:p>
            <w:pPr>
              <w:ind w:firstLine="420"/>
              <w:jc w:val="center"/>
            </w:pPr>
            <w:r>
              <w:rPr>
                <w:sz w:val="21"/>
              </w:rPr>
              <w:t>合计</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8</w:t>
            </w:r>
          </w:p>
        </w:tc>
        <w:tc>
          <w:tcPr>
            <w:tcW w:type="dxa" w:w="2076"/>
            <w:tcBorders>
              <w:top w:val="none" w:color="000000" w:sz="4"/>
              <w:left w:val="none" w:color="000000" w:sz="4"/>
              <w:bottom w:val="single" w:color="000000" w:sz="4"/>
              <w:right w:val="single" w:color="000000" w:sz="4"/>
            </w:tcBorders>
            <w:vAlign w:val="top"/>
          </w:tcPr>
          <w:p>
            <w:pPr>
              <w:ind w:firstLine="420"/>
              <w:jc w:val="center"/>
            </w:pPr>
            <w:r>
              <w:rPr>
                <w:sz w:val="21"/>
              </w:rPr>
              <w:t>8</w:t>
            </w:r>
          </w:p>
        </w:tc>
        <w:tc>
          <w:tcPr>
            <w:tcW w:type="dxa" w:w="2076"/>
            <w:tcBorders>
              <w:top w:val="none" w:color="000000" w:sz="4"/>
              <w:left w:val="none" w:color="000000" w:sz="4"/>
              <w:bottom w:val="single" w:color="000000" w:sz="4"/>
              <w:right w:val="single" w:color="000000" w:sz="4"/>
            </w:tcBorders>
            <w:vAlign w:val="top"/>
          </w:tcPr>
          <w:p>
            <w:pPr>
              <w:ind w:firstLine="420"/>
              <w:jc w:val="center"/>
            </w:pPr>
          </w:p>
        </w:tc>
      </w:tr>
    </w:tbl>
    <w:p>
      <w:pPr>
        <w:ind w:firstLine="422"/>
        <w:jc w:val="both"/>
      </w:pPr>
      <w:r>
        <w:rPr>
          <w:b/>
          <w:sz w:val="21"/>
        </w:rPr>
        <w:t>（二）人员要求：</w:t>
      </w:r>
    </w:p>
    <w:p>
      <w:pPr>
        <w:ind w:firstLine="420"/>
        <w:jc w:val="both"/>
      </w:pPr>
      <w:r>
        <w:rPr>
          <w:sz w:val="21"/>
        </w:rPr>
        <w:t>1.</w:t>
      </w:r>
      <w:r>
        <w:rPr>
          <w:sz w:val="21"/>
        </w:rPr>
        <w:t>驻校医生、护士必须有相关专业毕业证、资格证和执业证，每个校区至少配备1名执业医师，执业医师执业范围要求内科或全科；护士专业要求是护理专业；不具有执业医师的派驻医生最低要求是有医学院校医疗系相关专业的毕业证。</w:t>
      </w:r>
    </w:p>
    <w:p>
      <w:pPr>
        <w:ind w:firstLine="420"/>
        <w:jc w:val="both"/>
      </w:pPr>
      <w:r>
        <w:rPr>
          <w:sz w:val="21"/>
        </w:rPr>
        <w:t>2.</w:t>
      </w:r>
      <w:r>
        <w:rPr>
          <w:sz w:val="21"/>
        </w:rPr>
        <w:t>驻校医生护士必须身体健康，责任心强，具备良好的医德医风，具有基本的计算机办公软件操作能力。</w:t>
      </w:r>
    </w:p>
    <w:p>
      <w:pPr>
        <w:ind w:firstLine="420"/>
        <w:jc w:val="both"/>
      </w:pPr>
      <w:r>
        <w:rPr>
          <w:sz w:val="21"/>
        </w:rPr>
        <w:t>3.</w:t>
      </w:r>
      <w:r>
        <w:rPr>
          <w:sz w:val="21"/>
        </w:rPr>
        <w:t>男性年龄要求55岁以下，女性年龄要求50岁以下。</w:t>
      </w:r>
    </w:p>
    <w:p>
      <w:pPr>
        <w:ind w:firstLine="422"/>
        <w:jc w:val="both"/>
      </w:pPr>
      <w:r>
        <w:rPr>
          <w:b/>
          <w:sz w:val="21"/>
        </w:rPr>
        <w:t>（三）服务要求</w:t>
      </w:r>
    </w:p>
    <w:p>
      <w:pPr>
        <w:ind w:firstLine="420"/>
        <w:jc w:val="both"/>
      </w:pPr>
      <w:r>
        <w:rPr>
          <w:sz w:val="21"/>
        </w:rPr>
        <w:t>1.</w:t>
      </w:r>
      <w:r>
        <w:rPr>
          <w:sz w:val="21"/>
        </w:rPr>
        <w:t>保证24小时常驻校内医护人员不少于两人（每班一名医生、一名护士当值），寒暑假期间可视学校工作要求经甲方同意后进行值班时间的调整和安排），为甲方的学生及教职工提供医疗服务工作，包括接诊、转诊、药品供应、配药、分发，医务室内务清洁卫生及管理，留观人员监测等。</w:t>
      </w:r>
    </w:p>
    <w:p>
      <w:pPr>
        <w:ind w:firstLine="420"/>
        <w:jc w:val="both"/>
      </w:pPr>
      <w:r>
        <w:rPr>
          <w:sz w:val="21"/>
        </w:rPr>
        <w:t>2.</w:t>
      </w:r>
      <w:r>
        <w:rPr>
          <w:sz w:val="21"/>
        </w:rPr>
        <w:t>协助配合医务室资质的申报、年审等工作。</w:t>
      </w:r>
    </w:p>
    <w:p>
      <w:pPr>
        <w:ind w:firstLine="420"/>
        <w:jc w:val="both"/>
      </w:pPr>
      <w:r>
        <w:rPr>
          <w:sz w:val="21"/>
        </w:rPr>
        <w:t>3.</w:t>
      </w:r>
      <w:r>
        <w:rPr>
          <w:sz w:val="21"/>
        </w:rPr>
        <w:t>负责校内患病师生按规定进行医疗跟踪管理（如体温检测、健康监测等）。</w:t>
      </w:r>
    </w:p>
    <w:p>
      <w:pPr>
        <w:ind w:firstLine="420"/>
        <w:jc w:val="both"/>
      </w:pPr>
      <w:r>
        <w:rPr>
          <w:sz w:val="21"/>
        </w:rPr>
        <w:t>4.</w:t>
      </w:r>
      <w:r>
        <w:rPr>
          <w:sz w:val="21"/>
        </w:rPr>
        <w:t>参与制定甲方师生门急诊就医流程及相关管理细则，并悬挂校区医务室醒目处。</w:t>
      </w:r>
    </w:p>
    <w:p>
      <w:pPr>
        <w:ind w:firstLine="420"/>
        <w:jc w:val="both"/>
      </w:pPr>
      <w:r>
        <w:rPr>
          <w:sz w:val="21"/>
        </w:rPr>
        <w:t>5.</w:t>
      </w:r>
      <w:r>
        <w:rPr>
          <w:sz w:val="21"/>
        </w:rPr>
        <w:t>严格执行广东省物价局、广东省卫健委规定收费标准，严格执行卫生部门的规定，合理检查、合理治疗、合理用药，确保医疗质量和服务质量。</w:t>
      </w:r>
    </w:p>
    <w:p>
      <w:pPr>
        <w:ind w:firstLine="420"/>
        <w:jc w:val="both"/>
      </w:pPr>
      <w:r>
        <w:rPr>
          <w:sz w:val="21"/>
        </w:rPr>
        <w:t>6.</w:t>
      </w:r>
      <w:r>
        <w:rPr>
          <w:sz w:val="21"/>
        </w:rPr>
        <w:t>负责提供学校举办大型活动（如开学、军训、大型文艺演出等）的医疗保障服务，并安排救护车在现场。</w:t>
      </w:r>
    </w:p>
    <w:p>
      <w:pPr>
        <w:ind w:firstLine="420"/>
        <w:jc w:val="both"/>
      </w:pPr>
      <w:r>
        <w:rPr>
          <w:sz w:val="21"/>
        </w:rPr>
        <w:t>7.</w:t>
      </w:r>
      <w:r>
        <w:rPr>
          <w:sz w:val="21"/>
        </w:rPr>
        <w:t>负责医疗价格公开、公示，设置价格公示牌，为学校四校区师生提供免挂号费就诊服务。学生及教职工在医务室就诊产生的医疗费用由乙方直接向学生及教职工本人收取，但乙方应严格按照广东省卫生及物价部门规定的有关医疗收费标准收费。如发现有与病情无关超范围治疗、超范围用药，或者存在有据可查的不合理收费，经核实后乙方对不合理部分、超范围部分退款，并按照相关规定处罚。</w:t>
      </w:r>
    </w:p>
    <w:p>
      <w:pPr>
        <w:ind w:firstLine="420"/>
        <w:jc w:val="both"/>
      </w:pPr>
      <w:r>
        <w:rPr>
          <w:sz w:val="21"/>
        </w:rPr>
        <w:t>8.</w:t>
      </w:r>
      <w:r>
        <w:rPr>
          <w:sz w:val="21"/>
        </w:rPr>
        <w:t>针对医务室无法处理的急危重病人，当值医护人员必须及时拨打120协助救护。</w:t>
      </w:r>
    </w:p>
    <w:p>
      <w:pPr>
        <w:ind w:firstLine="420"/>
        <w:jc w:val="both"/>
      </w:pPr>
      <w:r>
        <w:rPr>
          <w:sz w:val="21"/>
        </w:rPr>
        <w:t>9.</w:t>
      </w:r>
      <w:r>
        <w:rPr>
          <w:sz w:val="21"/>
        </w:rPr>
        <w:t>乙方负责做好医疗垃圾处理，并做好台账备查。</w:t>
      </w:r>
    </w:p>
    <w:p>
      <w:pPr>
        <w:ind w:firstLine="420"/>
        <w:jc w:val="both"/>
      </w:pPr>
      <w:r>
        <w:rPr>
          <w:sz w:val="21"/>
        </w:rPr>
        <w:t>10.</w:t>
      </w:r>
      <w:r>
        <w:rPr>
          <w:sz w:val="21"/>
        </w:rPr>
        <w:t>乙方负责甲方建立新生健康保健卡，并负责甲方全员健康档案的管理。</w:t>
      </w:r>
    </w:p>
    <w:p>
      <w:pPr>
        <w:ind w:firstLine="420"/>
        <w:jc w:val="both"/>
      </w:pPr>
      <w:r>
        <w:rPr>
          <w:sz w:val="21"/>
        </w:rPr>
        <w:t>11.</w:t>
      </w:r>
      <w:r>
        <w:rPr>
          <w:sz w:val="21"/>
        </w:rPr>
        <w:t>乙方每学期开学前必须对驻校医护人员进行校医相关业务培训及现场急救技术培训，培训时长不少于一周，同时在急诊科室学习至少一周，并向学校提供培训计划、培训内容等资料。</w:t>
      </w:r>
    </w:p>
    <w:p>
      <w:pPr>
        <w:ind w:firstLine="420"/>
        <w:jc w:val="both"/>
      </w:pPr>
      <w:r>
        <w:rPr>
          <w:sz w:val="21"/>
        </w:rPr>
        <w:t>12.</w:t>
      </w:r>
      <w:r>
        <w:rPr>
          <w:sz w:val="21"/>
        </w:rPr>
        <w:t>指导及协助甲方做好健康教育，以及流行病传染病防控管理工作。</w:t>
      </w:r>
    </w:p>
    <w:p>
      <w:pPr>
        <w:ind w:firstLine="420"/>
        <w:jc w:val="both"/>
      </w:pPr>
      <w:r>
        <w:rPr>
          <w:sz w:val="21"/>
        </w:rPr>
        <w:t>13.</w:t>
      </w:r>
      <w:r>
        <w:rPr>
          <w:sz w:val="21"/>
        </w:rPr>
        <w:t>乙方负责人及驻校医护人员纳入学院应急预案医疗救护组成员，一旦启动应急响应，乙方应全力协助甲方安排协调调度人员参加应急医疗救护。</w:t>
      </w:r>
    </w:p>
    <w:p>
      <w:pPr>
        <w:ind w:firstLine="420"/>
        <w:jc w:val="both"/>
      </w:pPr>
      <w:r>
        <w:rPr>
          <w:sz w:val="21"/>
        </w:rPr>
        <w:t>14.</w:t>
      </w:r>
      <w:r>
        <w:rPr>
          <w:sz w:val="21"/>
        </w:rPr>
        <w:t>驻校医护人员必须严格遵守国家和地方政府的法律法规，遵守医生的职业道德，热情地为本校学生及教职工服务，严格遵守校规校纪和学校的统一安排，驻校期间乙方派驻的医护人员如有违法违规行为，所有的责任全部由乙方负责。</w:t>
      </w:r>
    </w:p>
    <w:p>
      <w:pPr>
        <w:ind w:firstLine="420"/>
        <w:jc w:val="left"/>
      </w:pPr>
      <w:r>
        <w:rPr>
          <w:sz w:val="21"/>
        </w:rPr>
        <w:t>15.</w:t>
      </w:r>
      <w:r>
        <w:rPr>
          <w:sz w:val="21"/>
        </w:rPr>
        <w:t>乙方及乙方指派的医护人员均应接受甲方和上级有关部门的监督和管理，重视师生投诉，提高医疗服务质量，尽量保持驻校医务人员的稳定，派驻医务护人员进入校区必须先向相关校区负责部门报备，如有更换人员须提前1个月报相关校区负责部门批准后方可更换。甲方有权根据服务质量调查结果要求乙方更换医生或采取有效措施予以纠正，乙方须无条件配合。在合理期限内如乙方仍未采取有效措施或拒绝采取措施纠正的，甲方有权依据附件《医疗服务考核表》内容，考核结果进行合同款项的支付扣减。</w:t>
      </w:r>
    </w:p>
    <w:p>
      <w:pPr>
        <w:ind w:firstLine="420"/>
        <w:jc w:val="both"/>
      </w:pPr>
      <w:r>
        <w:rPr>
          <w:sz w:val="21"/>
        </w:rPr>
        <w:t>16.</w:t>
      </w:r>
      <w:r>
        <w:rPr>
          <w:sz w:val="21"/>
        </w:rPr>
        <w:t>乙方安排驻校的医护人员在日常工作中必须如实、规范填写《医疗日志》、《交接班记录表》等相关记录并保存归档，以随时接受甲方相关部门及上级管理部门的监督检查。</w:t>
      </w:r>
    </w:p>
    <w:p>
      <w:pPr>
        <w:ind w:firstLine="420"/>
        <w:jc w:val="both"/>
      </w:pPr>
      <w:r>
        <w:rPr>
          <w:sz w:val="21"/>
        </w:rPr>
        <w:t>17.</w:t>
      </w:r>
      <w:r>
        <w:rPr>
          <w:sz w:val="21"/>
        </w:rPr>
        <w:t>根据《突发公共卫生事件应急条例》和《中华人民共和国传染病防治法》等法规规定，乙方为重大食物中毒和重大流行传染病报告人，如发现本校重大食物中毒和发生传染病大流行，必须及时报告甲方有关部门、法人代表和上级疾控部门。</w:t>
      </w:r>
    </w:p>
    <w:p>
      <w:pPr>
        <w:ind w:firstLine="420"/>
        <w:jc w:val="both"/>
      </w:pPr>
      <w:r>
        <w:rPr>
          <w:sz w:val="21"/>
        </w:rPr>
        <w:t>18.</w:t>
      </w:r>
      <w:r>
        <w:rPr>
          <w:sz w:val="21"/>
        </w:rPr>
        <w:t>乙方须积极配合甲方的对其机构及驻校医护人员的医疗服务综合考评。</w:t>
      </w:r>
    </w:p>
    <w:p>
      <w:pPr>
        <w:ind w:firstLine="422"/>
        <w:jc w:val="both"/>
      </w:pPr>
      <w:r>
        <w:rPr>
          <w:b/>
          <w:sz w:val="21"/>
        </w:rPr>
        <w:t>（四）其他服务要求</w:t>
      </w:r>
    </w:p>
    <w:p>
      <w:pPr>
        <w:ind w:firstLine="420"/>
        <w:jc w:val="both"/>
      </w:pPr>
      <w:r>
        <w:rPr>
          <w:sz w:val="21"/>
        </w:rPr>
        <w:t>1.</w:t>
      </w:r>
      <w:r>
        <w:rPr>
          <w:sz w:val="21"/>
        </w:rPr>
        <w:t>乙方应根据相关规定，招聘和安排适合的医护人员到学校担任校医，提供学校医疗卫生和急救必须的服务，并严格遵守《中华人民共和国执业医师法》、《护士条例》等相关法律法规。确保派驻校医的服务达到《学校卫生工作条例》和《国家学校体育卫生条件试行基本标准》、《广东省学校及幼托机构内设医疗机构和保健室卫生监督管理工作指引》的要求，满足学校卫生工作的正常运转需求。</w:t>
      </w:r>
    </w:p>
    <w:p>
      <w:pPr>
        <w:ind w:firstLine="420"/>
        <w:jc w:val="both"/>
      </w:pPr>
      <w:r>
        <w:rPr>
          <w:sz w:val="21"/>
        </w:rPr>
        <w:t>2.</w:t>
      </w:r>
      <w:r>
        <w:rPr>
          <w:sz w:val="21"/>
        </w:rPr>
        <w:t>乙方应当组建医疗应急保障小组：组建医疗应急保障小组确保医疗处置程序的合理与合法性。</w:t>
      </w:r>
    </w:p>
    <w:p>
      <w:pPr>
        <w:ind w:firstLine="420"/>
      </w:pPr>
      <w:r>
        <w:rPr>
          <w:sz w:val="21"/>
        </w:rPr>
        <w:t>3.</w:t>
      </w:r>
      <w:r>
        <w:rPr>
          <w:sz w:val="21"/>
        </w:rPr>
        <w:t>乙方对校医实行统一管理，负责对校医日常工作的指导和监督，负责向前述医护人员和相关人员发放工资报酬、福利待遇，承担作为用人单位的其他法定义务（包括但不限于：社会保险、住房公积金等）。为学校提供24小时门（急）诊服务(包括开学期间的一切节假日、公休日)，工作期间不得擅离岗位。</w:t>
      </w:r>
    </w:p>
    <w:p>
      <w:pPr>
        <w:ind w:firstLine="422"/>
      </w:pPr>
      <w:r>
        <w:rPr>
          <w:b/>
          <w:sz w:val="21"/>
        </w:rPr>
        <w:t>采购包2适用：</w:t>
      </w:r>
    </w:p>
    <w:p>
      <w:pPr>
        <w:ind w:firstLine="422"/>
        <w:jc w:val="both"/>
      </w:pPr>
      <w:r>
        <w:rPr>
          <w:b/>
          <w:sz w:val="21"/>
        </w:rPr>
        <w:t>（一）人数需求：</w:t>
      </w:r>
    </w:p>
    <w:tbl>
      <w:tblPr>
        <w:tblW w:w="0" w:type="auto"/>
        <w:tblBorders>
          <w:top w:val="none" w:color="000000" w:sz="4"/>
          <w:left w:val="none" w:color="000000" w:sz="4"/>
          <w:bottom w:val="none" w:color="000000" w:sz="4"/>
          <w:right w:val="none" w:color="000000" w:sz="4"/>
          <w:insideH w:val="none"/>
          <w:insideV w:val="none"/>
        </w:tblBorders>
      </w:tblPr>
      <w:tblGrid>
        <w:gridCol w:w="2181"/>
        <w:gridCol w:w="2181"/>
        <w:gridCol w:w="2181"/>
        <w:gridCol w:w="1762"/>
      </w:tblGrid>
      <w:tr>
        <w:tc>
          <w:tcPr>
            <w:tcW w:type="dxa" w:w="2181"/>
            <w:tcBorders>
              <w:top w:val="single" w:color="000000" w:sz="4"/>
              <w:left w:val="single" w:color="000000" w:sz="4"/>
              <w:bottom w:val="single" w:color="000000" w:sz="4"/>
              <w:right w:val="single" w:color="000000" w:sz="4"/>
            </w:tcBorders>
            <w:vAlign w:val="top"/>
          </w:tcPr>
          <w:p>
            <w:pPr>
              <w:ind w:firstLine="422"/>
              <w:jc w:val="center"/>
            </w:pPr>
            <w:r>
              <w:rPr>
                <w:b/>
                <w:sz w:val="21"/>
              </w:rPr>
              <w:t>校区</w:t>
            </w:r>
          </w:p>
        </w:tc>
        <w:tc>
          <w:tcPr>
            <w:tcW w:type="dxa" w:w="2181"/>
            <w:tcBorders>
              <w:top w:val="single" w:color="000000" w:sz="4"/>
              <w:left w:val="none" w:color="000000" w:sz="4"/>
              <w:bottom w:val="single" w:color="000000" w:sz="4"/>
              <w:right w:val="single" w:color="000000" w:sz="4"/>
            </w:tcBorders>
            <w:vAlign w:val="top"/>
          </w:tcPr>
          <w:p>
            <w:pPr>
              <w:ind w:firstLine="422"/>
              <w:jc w:val="center"/>
            </w:pPr>
            <w:r>
              <w:rPr>
                <w:b/>
                <w:sz w:val="21"/>
              </w:rPr>
              <w:t>执业医生人数</w:t>
            </w:r>
          </w:p>
        </w:tc>
        <w:tc>
          <w:tcPr>
            <w:tcW w:type="dxa" w:w="2181"/>
            <w:tcBorders>
              <w:top w:val="single" w:color="000000" w:sz="4"/>
              <w:left w:val="none" w:color="000000" w:sz="4"/>
              <w:bottom w:val="single" w:color="000000" w:sz="4"/>
              <w:right w:val="single" w:color="000000" w:sz="4"/>
            </w:tcBorders>
            <w:vAlign w:val="top"/>
          </w:tcPr>
          <w:p>
            <w:pPr>
              <w:ind w:firstLine="422"/>
              <w:jc w:val="center"/>
            </w:pPr>
            <w:r>
              <w:rPr>
                <w:b/>
                <w:sz w:val="21"/>
              </w:rPr>
              <w:t>护士人数</w:t>
            </w:r>
          </w:p>
        </w:tc>
        <w:tc>
          <w:tcPr>
            <w:tcW w:type="dxa" w:w="1762"/>
            <w:tcBorders>
              <w:top w:val="single" w:color="000000" w:sz="4"/>
              <w:left w:val="none" w:color="000000" w:sz="4"/>
              <w:bottom w:val="single" w:color="000000" w:sz="4"/>
              <w:right w:val="single" w:color="000000" w:sz="4"/>
            </w:tcBorders>
            <w:vAlign w:val="top"/>
          </w:tcPr>
          <w:p>
            <w:pPr>
              <w:ind w:firstLine="422"/>
              <w:jc w:val="center"/>
            </w:pPr>
            <w:r>
              <w:rPr>
                <w:b/>
                <w:sz w:val="21"/>
              </w:rPr>
              <w:t>备注</w:t>
            </w:r>
          </w:p>
        </w:tc>
      </w:tr>
      <w:tr>
        <w:tc>
          <w:tcPr>
            <w:tcW w:type="dxa" w:w="2181"/>
            <w:tcBorders>
              <w:top w:val="none" w:color="000000" w:sz="4"/>
              <w:left w:val="single" w:color="000000" w:sz="4"/>
              <w:bottom w:val="single" w:color="000000" w:sz="4"/>
              <w:right w:val="single" w:color="000000" w:sz="4"/>
            </w:tcBorders>
            <w:vAlign w:val="top"/>
          </w:tcPr>
          <w:p>
            <w:pPr>
              <w:ind w:firstLine="420"/>
              <w:jc w:val="center"/>
            </w:pPr>
            <w:r>
              <w:rPr>
                <w:sz w:val="21"/>
              </w:rPr>
              <w:t>佛山校区</w:t>
            </w:r>
          </w:p>
        </w:tc>
        <w:tc>
          <w:tcPr>
            <w:tcW w:type="dxa" w:w="2181"/>
            <w:tcBorders>
              <w:top w:val="none" w:color="000000" w:sz="4"/>
              <w:left w:val="none" w:color="000000" w:sz="4"/>
              <w:bottom w:val="single" w:color="000000" w:sz="4"/>
              <w:right w:val="single" w:color="000000" w:sz="4"/>
            </w:tcBorders>
            <w:vAlign w:val="top"/>
          </w:tcPr>
          <w:p>
            <w:pPr>
              <w:ind w:firstLine="420"/>
              <w:jc w:val="center"/>
            </w:pPr>
            <w:r>
              <w:rPr>
                <w:sz w:val="21"/>
              </w:rPr>
              <w:t>1</w:t>
            </w:r>
          </w:p>
        </w:tc>
        <w:tc>
          <w:tcPr>
            <w:tcW w:type="dxa" w:w="2181"/>
            <w:tcBorders>
              <w:top w:val="none" w:color="000000" w:sz="4"/>
              <w:left w:val="none" w:color="000000" w:sz="4"/>
              <w:bottom w:val="single" w:color="000000" w:sz="4"/>
              <w:right w:val="single" w:color="000000" w:sz="4"/>
            </w:tcBorders>
            <w:vAlign w:val="top"/>
          </w:tcPr>
          <w:p>
            <w:pPr>
              <w:ind w:firstLine="420"/>
              <w:jc w:val="center"/>
            </w:pPr>
            <w:r>
              <w:rPr>
                <w:sz w:val="21"/>
              </w:rPr>
              <w:t>1</w:t>
            </w:r>
          </w:p>
        </w:tc>
        <w:tc>
          <w:tcPr>
            <w:tcW w:type="dxa" w:w="1762"/>
            <w:tcBorders>
              <w:top w:val="none" w:color="000000" w:sz="4"/>
              <w:left w:val="none" w:color="000000" w:sz="4"/>
              <w:bottom w:val="single" w:color="000000" w:sz="4"/>
              <w:right w:val="single" w:color="000000" w:sz="4"/>
            </w:tcBorders>
            <w:vAlign w:val="top"/>
          </w:tcPr>
          <w:p>
            <w:pPr>
              <w:ind w:firstLine="420"/>
              <w:jc w:val="center"/>
            </w:pPr>
          </w:p>
        </w:tc>
      </w:tr>
    </w:tbl>
    <w:p>
      <w:pPr>
        <w:ind w:firstLine="422"/>
        <w:jc w:val="both"/>
      </w:pPr>
      <w:r>
        <w:rPr>
          <w:b/>
          <w:sz w:val="21"/>
        </w:rPr>
        <w:t>（二）人员要求：</w:t>
      </w:r>
    </w:p>
    <w:p>
      <w:pPr>
        <w:ind w:firstLine="420"/>
        <w:jc w:val="both"/>
      </w:pPr>
      <w:r>
        <w:rPr>
          <w:sz w:val="21"/>
        </w:rPr>
        <w:t>1.</w:t>
      </w:r>
      <w:r>
        <w:rPr>
          <w:sz w:val="21"/>
        </w:rPr>
        <w:t>驻校医生、护士必须有相关专业毕业证、资格证和执业证，执业医师执业范围要求内科或全科；护士专业要求是护理专业。</w:t>
      </w:r>
    </w:p>
    <w:p>
      <w:pPr>
        <w:ind w:firstLine="420"/>
        <w:jc w:val="both"/>
      </w:pPr>
      <w:r>
        <w:rPr>
          <w:sz w:val="21"/>
        </w:rPr>
        <w:t>2.</w:t>
      </w:r>
      <w:r>
        <w:rPr>
          <w:sz w:val="21"/>
        </w:rPr>
        <w:t>驻校医生护士必须身体健康，责任心强，具备良好的医德医风，具有基本的计算机办公软件操作能力。</w:t>
      </w:r>
    </w:p>
    <w:p>
      <w:pPr>
        <w:ind w:firstLine="420"/>
        <w:jc w:val="both"/>
      </w:pPr>
      <w:r>
        <w:rPr>
          <w:sz w:val="21"/>
        </w:rPr>
        <w:t>3.</w:t>
      </w:r>
      <w:r>
        <w:rPr>
          <w:sz w:val="21"/>
        </w:rPr>
        <w:t>男性年龄要求55岁以下，女性年龄要求50岁以下。</w:t>
      </w:r>
    </w:p>
    <w:p>
      <w:pPr>
        <w:ind w:firstLine="422"/>
        <w:jc w:val="both"/>
      </w:pPr>
      <w:r>
        <w:rPr>
          <w:b/>
          <w:sz w:val="21"/>
        </w:rPr>
        <w:t>（三）提供服务要求</w:t>
      </w:r>
    </w:p>
    <w:p>
      <w:pPr>
        <w:ind w:firstLine="420"/>
        <w:jc w:val="both"/>
      </w:pPr>
      <w:r>
        <w:rPr>
          <w:sz w:val="21"/>
        </w:rPr>
        <w:t>1.</w:t>
      </w:r>
      <w:r>
        <w:rPr>
          <w:sz w:val="21"/>
        </w:rPr>
        <w:t>负责保证常驻校内医护人员不少于一人（寒暑假期间可视学校工作要求调整），周一到周五晚16:00--次日8:00，周六日及法定节假日全天，为甲方学生及教职工提供医疗服务工作，包括接诊、转诊、药品供应、配药、分发，医务室内务清洁卫生及管理，留观人员监测等。</w:t>
      </w:r>
    </w:p>
    <w:p>
      <w:pPr>
        <w:ind w:firstLine="420"/>
        <w:jc w:val="both"/>
      </w:pPr>
      <w:r>
        <w:rPr>
          <w:sz w:val="21"/>
        </w:rPr>
        <w:t>2.</w:t>
      </w:r>
      <w:r>
        <w:rPr>
          <w:sz w:val="21"/>
        </w:rPr>
        <w:t>乙方需要配合协助医务室资质的申报、年审等工作。</w:t>
      </w:r>
    </w:p>
    <w:p>
      <w:pPr>
        <w:ind w:firstLine="420"/>
        <w:jc w:val="both"/>
      </w:pPr>
      <w:r>
        <w:rPr>
          <w:sz w:val="21"/>
        </w:rPr>
        <w:t>3.</w:t>
      </w:r>
      <w:r>
        <w:rPr>
          <w:sz w:val="21"/>
        </w:rPr>
        <w:t>负责校内患病师生按规定进行医疗跟踪管理（如体温检测、健康监测等）。</w:t>
      </w:r>
    </w:p>
    <w:p>
      <w:pPr>
        <w:ind w:firstLine="420"/>
        <w:jc w:val="both"/>
      </w:pPr>
      <w:r>
        <w:rPr>
          <w:sz w:val="21"/>
        </w:rPr>
        <w:t>4.</w:t>
      </w:r>
      <w:r>
        <w:rPr>
          <w:sz w:val="21"/>
        </w:rPr>
        <w:t>参与制定甲方师生门急诊就医流程及相关管理细则，并悬挂校区医务室醒目处。</w:t>
      </w:r>
    </w:p>
    <w:p>
      <w:pPr>
        <w:ind w:firstLine="420"/>
        <w:jc w:val="both"/>
      </w:pPr>
      <w:r>
        <w:rPr>
          <w:sz w:val="21"/>
        </w:rPr>
        <w:t>5.</w:t>
      </w:r>
      <w:r>
        <w:rPr>
          <w:sz w:val="21"/>
        </w:rPr>
        <w:t>负责医疗价格公开、公示，设置价格公示牌，为学校师生提供免挂号费就诊服务。学生及教职工在医务室就诊产生的医疗费用由乙方直接向学生及教职工本人收取，但乙方应严格按照广东省卫生及物价部门规定的有关医疗收费标准收费。如发现有与病情无关超范围治疗、超范围用药，或者存在有据可查的不合理收费，经核实后乙方对不合理部分、超范围部分退款，并按照附件《医疗服务考核表》对应内容进行考核予以相关规定处罚。</w:t>
      </w:r>
    </w:p>
    <w:p>
      <w:pPr>
        <w:ind w:firstLine="420"/>
        <w:jc w:val="both"/>
      </w:pPr>
      <w:r>
        <w:rPr>
          <w:sz w:val="21"/>
        </w:rPr>
        <w:t>6.</w:t>
      </w:r>
      <w:r>
        <w:rPr>
          <w:sz w:val="21"/>
        </w:rPr>
        <w:t>严格执行广东省物价局、广东省卫健委规定收费标准，严格执行卫生部门的规定，合理检查、合理治疗、合理用药，确保医疗质量和服务质量。</w:t>
      </w:r>
    </w:p>
    <w:p>
      <w:pPr>
        <w:ind w:firstLine="420"/>
        <w:jc w:val="both"/>
      </w:pPr>
      <w:r>
        <w:rPr>
          <w:sz w:val="21"/>
        </w:rPr>
        <w:t>7.</w:t>
      </w:r>
      <w:r>
        <w:rPr>
          <w:sz w:val="21"/>
        </w:rPr>
        <w:t>针对医务室无法处理的病人，当值医护人员协助联系乙方出车救护（自愿为原则，有偿服务，明码标价）；遇乙方无法处理的急危重病人，拨打120协助救护。</w:t>
      </w:r>
    </w:p>
    <w:p>
      <w:pPr>
        <w:ind w:firstLine="420"/>
        <w:jc w:val="both"/>
      </w:pPr>
      <w:r>
        <w:rPr>
          <w:sz w:val="21"/>
        </w:rPr>
        <w:t>8.</w:t>
      </w:r>
      <w:r>
        <w:rPr>
          <w:sz w:val="21"/>
        </w:rPr>
        <w:t>负责提供学校举办大型活动（如开学、军训、大型文艺演出等）的医疗保障服务，并安排救护车在现场。</w:t>
      </w:r>
    </w:p>
    <w:p>
      <w:pPr>
        <w:ind w:firstLine="420"/>
        <w:jc w:val="both"/>
      </w:pPr>
      <w:r>
        <w:rPr>
          <w:sz w:val="21"/>
        </w:rPr>
        <w:t>9.</w:t>
      </w:r>
      <w:r>
        <w:rPr>
          <w:sz w:val="21"/>
        </w:rPr>
        <w:t>乙方负责做好医疗垃圾处理，并做好台账备查。</w:t>
      </w:r>
    </w:p>
    <w:p>
      <w:pPr>
        <w:ind w:firstLine="420"/>
        <w:jc w:val="both"/>
      </w:pPr>
      <w:r>
        <w:rPr>
          <w:sz w:val="21"/>
        </w:rPr>
        <w:t>10.</w:t>
      </w:r>
      <w:r>
        <w:rPr>
          <w:sz w:val="21"/>
        </w:rPr>
        <w:t>乙方负责甲方新生健康保健卡建立，并负责甲方全员健康档案的管理。</w:t>
      </w:r>
    </w:p>
    <w:p>
      <w:pPr>
        <w:ind w:firstLine="420"/>
        <w:jc w:val="both"/>
      </w:pPr>
      <w:r>
        <w:rPr>
          <w:sz w:val="21"/>
        </w:rPr>
        <w:t>11.</w:t>
      </w:r>
      <w:r>
        <w:rPr>
          <w:sz w:val="21"/>
        </w:rPr>
        <w:t>乙方每学期开学前必须对驻校医护人员进行校医相关业务培训及现场急救技术培训，培训时长不少于一周，同时在急诊科室学习至少一周，并向学校提供培训计划、培训内容等资料。</w:t>
      </w:r>
    </w:p>
    <w:p>
      <w:pPr>
        <w:ind w:firstLine="420"/>
        <w:jc w:val="both"/>
      </w:pPr>
      <w:r>
        <w:rPr>
          <w:sz w:val="21"/>
        </w:rPr>
        <w:t>12.</w:t>
      </w:r>
      <w:r>
        <w:rPr>
          <w:sz w:val="21"/>
        </w:rPr>
        <w:t>指导及协助甲方做好健康教育，以及流行病传染病防控管理工作。</w:t>
      </w:r>
    </w:p>
    <w:p>
      <w:pPr>
        <w:ind w:firstLine="420"/>
        <w:jc w:val="both"/>
      </w:pPr>
      <w:r>
        <w:rPr>
          <w:sz w:val="21"/>
        </w:rPr>
        <w:t>13.</w:t>
      </w:r>
      <w:r>
        <w:rPr>
          <w:sz w:val="21"/>
        </w:rPr>
        <w:t>乙方负责人及驻校医护人员纳入学院应急预案医疗救护组成员，一旦启动应急响应，乙方应全力协助甲方安排协调调度人员参加应急医疗救护。</w:t>
      </w:r>
    </w:p>
    <w:p>
      <w:pPr>
        <w:ind w:firstLine="420"/>
        <w:jc w:val="both"/>
      </w:pPr>
      <w:r>
        <w:rPr>
          <w:sz w:val="21"/>
        </w:rPr>
        <w:t>14.</w:t>
      </w:r>
      <w:r>
        <w:rPr>
          <w:sz w:val="21"/>
        </w:rPr>
        <w:t>乙方必须遵守国家和地方政府的法律法规，遵守医生的职业道德，热情地为本校师生服务，严格遵守校规校纪和学校的统一安排，违法违规责任全部由乙方负责。</w:t>
      </w:r>
    </w:p>
    <w:p>
      <w:pPr>
        <w:ind w:firstLine="420"/>
        <w:jc w:val="both"/>
      </w:pPr>
      <w:r>
        <w:rPr>
          <w:sz w:val="21"/>
        </w:rPr>
        <w:t>15.</w:t>
      </w:r>
      <w:r>
        <w:rPr>
          <w:sz w:val="21"/>
        </w:rPr>
        <w:t>乙方及乙方指派的医护人员均应接受甲方和上级有关部门的监督和管理，重视师生投诉，提高医疗服务质量，尽量保持驻校区医务人员的相对稳定，派驻医务人员进入校区必须先向相关校区负责部门报备，更换人员须提前1个月报相关校区负责部门批准。甲方有权根据服务质量调查结果要求乙方更换医生或采取有效措施纠正，校方要求更换的，中标方须无条件执行。在合理期限内如乙方仍未采取有效措施或拒绝采取措施纠正，甲方有权决定单方解除本协议的履行。</w:t>
      </w:r>
    </w:p>
    <w:p>
      <w:pPr>
        <w:ind w:firstLine="420"/>
        <w:jc w:val="both"/>
      </w:pPr>
      <w:r>
        <w:rPr>
          <w:sz w:val="21"/>
        </w:rPr>
        <w:t>16.</w:t>
      </w:r>
      <w:r>
        <w:rPr>
          <w:sz w:val="21"/>
        </w:rPr>
        <w:t>乙方安排驻校的医护人员在日常工作中必须如实、规范填写《医疗日志》、《交接班记录表》等相关记录并保存归档，以随时接受甲方相关部门及上级管理部门的监督检查。</w:t>
      </w:r>
    </w:p>
    <w:p>
      <w:pPr>
        <w:ind w:firstLine="420"/>
        <w:jc w:val="both"/>
      </w:pPr>
      <w:r>
        <w:rPr>
          <w:sz w:val="21"/>
        </w:rPr>
        <w:t>17.</w:t>
      </w:r>
      <w:r>
        <w:rPr>
          <w:sz w:val="21"/>
        </w:rPr>
        <w:t>根据《突发公共卫生事件应急条例》和《中华人民共和国传染病防治法》等法规规定，乙方为重大食物中毒和重大流行传染病报告人，如发现本校重大食物中毒和发生传染病大流行，必须及时报告甲方法人代表和上级预防部门。</w:t>
      </w:r>
    </w:p>
    <w:p>
      <w:pPr>
        <w:ind w:firstLine="420"/>
        <w:jc w:val="both"/>
      </w:pPr>
      <w:r>
        <w:rPr>
          <w:sz w:val="21"/>
        </w:rPr>
        <w:t>18</w:t>
      </w:r>
      <w:r>
        <w:rPr>
          <w:sz w:val="21"/>
        </w:rPr>
        <w:t>、乙方须积极配合甲方的对其机构及驻校医护人员的医疗服务综合考评。</w:t>
      </w:r>
    </w:p>
    <w:p>
      <w:pPr>
        <w:ind w:firstLine="422"/>
        <w:jc w:val="both"/>
      </w:pPr>
      <w:r>
        <w:rPr>
          <w:b/>
          <w:sz w:val="21"/>
        </w:rPr>
        <w:t>（五）其他服务要求</w:t>
      </w:r>
    </w:p>
    <w:p>
      <w:pPr>
        <w:ind w:firstLine="420"/>
        <w:jc w:val="both"/>
      </w:pPr>
      <w:r>
        <w:rPr>
          <w:sz w:val="21"/>
        </w:rPr>
        <w:t>1.</w:t>
      </w:r>
      <w:r>
        <w:rPr>
          <w:sz w:val="21"/>
        </w:rPr>
        <w:t>乙方应根据相关规定，招聘和安排适合的医护人员到学校担任校医，提供学校医疗卫生和急救必须的服务，并严格遵守《中华人民共和国执业医师法》、《护士条例》等相关法律法规。确保派驻校医的服务达到《学校卫生工作条例》和《国家学校体育卫生条件试行基本标准》、《广东省学校及幼托机构内设医疗机构和保健室卫生监督管理工作指引》的要求，满足学校卫生工作的正常运转需求。</w:t>
      </w:r>
    </w:p>
    <w:p>
      <w:pPr>
        <w:ind w:firstLine="420"/>
        <w:jc w:val="both"/>
      </w:pPr>
      <w:r>
        <w:rPr>
          <w:sz w:val="21"/>
        </w:rPr>
        <w:t>2.</w:t>
      </w:r>
      <w:r>
        <w:rPr>
          <w:sz w:val="21"/>
        </w:rPr>
        <w:t>乙方应当组建医疗应急保障小组：组建医疗应急保障小组确保医疗处置程序的合理与合法性。</w:t>
      </w:r>
    </w:p>
    <w:p>
      <w:r>
        <w:rPr>
          <w:b/>
          <w:sz w:val="21"/>
        </w:rPr>
        <w:t xml:space="preserve">    3.乙方对校医实行统一管理，负责对校医日常工作的指导和监督，负责向前述医护人员和相关人员发放工资报酬、福利待遇，承担作为用人单位的其他法定义务（包括但不限于：社会保险、住房公积金等）。为学校提供24小时门（急）诊服务(包括开学期间的一切节假日、公休日)，工作期间不得擅离岗位。</w:t>
      </w:r>
    </w:p>
    <w:p>
      <w:pPr>
        <w:numPr>
          <w:ilvl w:val="0"/>
          <w:numId w:val="1"/>
        </w:numPr>
        <w:jc w:val="both"/>
      </w:pPr>
      <w:r>
        <w:rPr>
          <w:b/>
          <w:sz w:val="21"/>
        </w:rPr>
        <w:t>三、甲方拟提供的条件</w:t>
      </w:r>
    </w:p>
    <w:p>
      <w:pPr>
        <w:ind w:firstLine="405"/>
        <w:jc w:val="both"/>
      </w:pPr>
      <w:r>
        <w:rPr>
          <w:b/>
          <w:sz w:val="21"/>
        </w:rPr>
        <w:t>采购包1适用：</w:t>
      </w:r>
    </w:p>
    <w:p>
      <w:pPr>
        <w:ind w:firstLine="420"/>
        <w:jc w:val="both"/>
      </w:pPr>
      <w:r>
        <w:rPr>
          <w:sz w:val="21"/>
        </w:rPr>
        <w:t>1.</w:t>
      </w:r>
      <w:r>
        <w:rPr>
          <w:sz w:val="21"/>
        </w:rPr>
        <w:t>甲方为乙方免费无偿提供符合医务室要求、建筑框架完善、面积约 60 平方米的房间（包括水电费及基础办公设施），免费提供医务人员值班工作用房。</w:t>
      </w:r>
    </w:p>
    <w:p>
      <w:pPr>
        <w:ind w:firstLine="420"/>
        <w:jc w:val="both"/>
      </w:pPr>
      <w:r>
        <w:rPr>
          <w:sz w:val="21"/>
        </w:rPr>
        <w:t>2.</w:t>
      </w:r>
      <w:r>
        <w:rPr>
          <w:sz w:val="21"/>
        </w:rPr>
        <w:t>甲方为乙方免费无偿提供基本的办公室设备、基本的医疗设备，包括：电脑、听诊器、血压计、诊疗床、担架、屏风、简易呼吸球囊、紫外线灯、可移动紫外线车。</w:t>
      </w:r>
    </w:p>
    <w:p>
      <w:pPr>
        <w:ind w:firstLine="420"/>
        <w:jc w:val="both"/>
      </w:pPr>
      <w:r>
        <w:rPr>
          <w:sz w:val="21"/>
        </w:rPr>
        <w:t>3.</w:t>
      </w:r>
      <w:r>
        <w:rPr>
          <w:sz w:val="21"/>
        </w:rPr>
        <w:t>乙方派驻医生可享受与甲方教职工同样的餐厅就餐待遇，但用餐费用由乙方负责。</w:t>
      </w:r>
    </w:p>
    <w:p>
      <w:pPr>
        <w:ind w:firstLine="420"/>
        <w:jc w:val="both"/>
      </w:pPr>
      <w:r>
        <w:rPr>
          <w:sz w:val="21"/>
        </w:rPr>
        <w:t>4.</w:t>
      </w:r>
      <w:r>
        <w:rPr>
          <w:sz w:val="21"/>
        </w:rPr>
        <w:t>配合乙方处理日常医疗、日常体检、突发事件处理和健康宣教和学生医保定点等工作。</w:t>
      </w:r>
    </w:p>
    <w:p>
      <w:pPr>
        <w:ind w:firstLine="420"/>
        <w:jc w:val="both"/>
      </w:pPr>
      <w:r>
        <w:rPr>
          <w:sz w:val="21"/>
        </w:rPr>
        <w:t>5.</w:t>
      </w:r>
      <w:r>
        <w:rPr>
          <w:sz w:val="21"/>
        </w:rPr>
        <w:t>指定乙方为本合同有效期内甲方唯一医务室合作单位。</w:t>
      </w:r>
    </w:p>
    <w:p>
      <w:pPr>
        <w:ind w:firstLine="420"/>
        <w:jc w:val="both"/>
      </w:pPr>
      <w:r>
        <w:rPr>
          <w:sz w:val="21"/>
        </w:rPr>
        <w:t>6.</w:t>
      </w:r>
      <w:r>
        <w:rPr>
          <w:sz w:val="21"/>
        </w:rPr>
        <w:t>在具体的医疗操作和医疗安排上，甲方给乙方相对的自主权，原则上在不损害甲方及教职员工与学生合法权益及利益的前提下，甲方不干涉乙方的合法医疗安排。</w:t>
      </w:r>
    </w:p>
    <w:p>
      <w:pPr>
        <w:ind w:firstLine="420"/>
        <w:jc w:val="both"/>
      </w:pPr>
      <w:r>
        <w:rPr>
          <w:sz w:val="21"/>
        </w:rPr>
        <w:t>7.</w:t>
      </w:r>
      <w:r>
        <w:rPr>
          <w:sz w:val="21"/>
        </w:rPr>
        <w:t>在合约期内甲方派出专职人员负责医疗服务工作的协调和监管。</w:t>
      </w:r>
    </w:p>
    <w:p>
      <w:r>
        <w:rPr>
          <w:b/>
          <w:sz w:val="21"/>
        </w:rPr>
        <w:t xml:space="preserve">  采购包2适用：</w:t>
      </w:r>
    </w:p>
    <w:p>
      <w:pPr>
        <w:ind w:firstLine="420"/>
        <w:jc w:val="both"/>
      </w:pPr>
      <w:r>
        <w:rPr>
          <w:sz w:val="21"/>
        </w:rPr>
        <w:t>1.</w:t>
      </w:r>
      <w:r>
        <w:rPr>
          <w:sz w:val="21"/>
        </w:rPr>
        <w:t>甲方为乙方免费无偿提供医务室（包括水电费及基本办公设施），免费提供医务人员值班工作用房。</w:t>
      </w:r>
    </w:p>
    <w:p>
      <w:pPr>
        <w:ind w:firstLine="420"/>
        <w:jc w:val="both"/>
      </w:pPr>
      <w:r>
        <w:rPr>
          <w:sz w:val="21"/>
        </w:rPr>
        <w:t>2.</w:t>
      </w:r>
      <w:r>
        <w:rPr>
          <w:sz w:val="21"/>
        </w:rPr>
        <w:t>甲方为乙方免费无偿提供基本的办公室设备、基本的医疗设备，包括：电脑、听诊器、血压计、诊疗床、担架、屏风、简易呼吸球囊、紫外线灯、可移动紫外线车。</w:t>
      </w:r>
    </w:p>
    <w:p>
      <w:pPr>
        <w:ind w:firstLine="420"/>
        <w:jc w:val="both"/>
      </w:pPr>
      <w:r>
        <w:rPr>
          <w:sz w:val="21"/>
        </w:rPr>
        <w:t>3.</w:t>
      </w:r>
      <w:r>
        <w:rPr>
          <w:sz w:val="21"/>
        </w:rPr>
        <w:t>乙方派驻医生可享受与甲方教职工同样的餐厅就餐待遇，但用餐费用由乙方负责。</w:t>
      </w:r>
    </w:p>
    <w:p>
      <w:pPr>
        <w:ind w:firstLine="420"/>
        <w:jc w:val="both"/>
      </w:pPr>
      <w:r>
        <w:rPr>
          <w:sz w:val="21"/>
        </w:rPr>
        <w:t>4.</w:t>
      </w:r>
      <w:r>
        <w:rPr>
          <w:sz w:val="21"/>
        </w:rPr>
        <w:t>配合乙方处理日常医疗、日常体检、突发事件处理和健康宣教和学生医保定点等工作。</w:t>
      </w:r>
    </w:p>
    <w:p>
      <w:pPr>
        <w:ind w:firstLine="420"/>
        <w:jc w:val="both"/>
      </w:pPr>
      <w:r>
        <w:rPr>
          <w:sz w:val="21"/>
        </w:rPr>
        <w:t>5.</w:t>
      </w:r>
      <w:r>
        <w:rPr>
          <w:sz w:val="21"/>
        </w:rPr>
        <w:t>在具体的医疗操作和医疗安排上，甲方给乙方相对的自主权，原则上在不损害甲方及教职员工与学生合法权益及利益的前提下，甲方不干涉乙方合法的医疗安排。</w:t>
      </w:r>
    </w:p>
    <w:p>
      <w:pPr>
        <w:ind w:firstLine="420"/>
        <w:jc w:val="both"/>
      </w:pPr>
      <w:r>
        <w:rPr>
          <w:sz w:val="21"/>
        </w:rPr>
        <w:t>6.</w:t>
      </w:r>
      <w:r>
        <w:rPr>
          <w:sz w:val="21"/>
        </w:rPr>
        <w:t>符合合同约定时，按期支付合同服务费。</w:t>
      </w:r>
    </w:p>
    <w:p>
      <w:pPr>
        <w:numPr>
          <w:ilvl w:val="0"/>
          <w:numId w:val="1"/>
        </w:numPr>
        <w:jc w:val="both"/>
      </w:pPr>
      <w:r>
        <w:rPr>
          <w:b/>
          <w:sz w:val="21"/>
        </w:rPr>
        <w:t>四、服务期间（项目完成期限）</w:t>
      </w:r>
    </w:p>
    <w:p>
      <w:pPr>
        <w:ind w:firstLine="420"/>
      </w:pPr>
      <w:r>
        <w:rPr>
          <w:sz w:val="21"/>
        </w:rPr>
        <w:t>医疗服务期限为14个月，即自2023年6月1日起至2024年7月31日止。</w:t>
      </w:r>
    </w:p>
    <w:p>
      <w:pPr>
        <w:numPr>
          <w:ilvl w:val="0"/>
          <w:numId w:val="1"/>
        </w:numPr>
        <w:jc w:val="both"/>
      </w:pPr>
      <w:r>
        <w:rPr>
          <w:b/>
          <w:sz w:val="21"/>
        </w:rPr>
        <w:t>五、付款方式</w:t>
      </w:r>
    </w:p>
    <w:p>
      <w:pPr>
        <w:ind w:firstLine="420"/>
      </w:pPr>
      <w:r>
        <w:rPr>
          <w:sz w:val="21"/>
        </w:rPr>
        <w:t>1.</w:t>
      </w:r>
      <w:r>
        <w:rPr>
          <w:sz w:val="21"/>
        </w:rPr>
        <w:t>如乙方为非中小企业：服务费用按季度进行结算，每3个月为一季度。甲方在每季度结束且收到乙方提供合法发票后15日内支付上季度服务费。本项目服务合同结束后，经甲方验收合格后，甲方在合同结束次月且收到乙方发票后15 日内结算支付剩余费用。</w:t>
      </w:r>
    </w:p>
    <w:p>
      <w:pPr>
        <w:ind w:firstLine="420"/>
      </w:pPr>
      <w:r>
        <w:rPr>
          <w:sz w:val="21"/>
        </w:rPr>
        <w:t>2.</w:t>
      </w:r>
      <w:r>
        <w:rPr>
          <w:sz w:val="21"/>
        </w:rPr>
        <w:t>如乙方属于中小企业，则本项目付款方式按规定调整为：合同签订后（且乙方已按规定向甲方缴存履约保证金 ）5个工作日内，乙方应向甲方提交书面的付款申请，甲方在收到乙方的付款申请后进行审核，审核确认后，甲方在5个工作日内向乙方支付合同总价30%的预付款（该预付款甲方将在前三期支付款中全部平均扣回，若前三期扣回款项不足以全额抵扣已支付合同总价30%的预付款，则延期至第四期支付款中扣回，以此类推，直至全部预付款项扣完为止）；剩余的医疗服务费按以上方式按季结算。</w:t>
      </w:r>
    </w:p>
    <w:p>
      <w:pPr>
        <w:ind w:firstLine="420"/>
      </w:pPr>
      <w:r>
        <w:rPr>
          <w:sz w:val="21"/>
        </w:rPr>
        <w:t>3.</w:t>
      </w:r>
      <w:r>
        <w:rPr>
          <w:sz w:val="21"/>
        </w:rPr>
        <w:t>甲方支付前乙方必须提供给甲方等额合法有效的发票，如乙方延迟提供发票的，甲方有权顺延支付，且不承担违约责任。</w:t>
      </w:r>
    </w:p>
    <w:p>
      <w:pPr>
        <w:ind w:firstLine="420"/>
        <w:jc w:val="both"/>
      </w:pPr>
      <w:r>
        <w:rPr>
          <w:sz w:val="21"/>
        </w:rPr>
        <w:t>4.</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ind w:firstLine="420"/>
        <w:jc w:val="both"/>
      </w:pPr>
      <w:r>
        <w:rPr>
          <w:sz w:val="21"/>
        </w:rPr>
        <w:t>5.</w:t>
      </w:r>
      <w:r>
        <w:rPr>
          <w:sz w:val="21"/>
        </w:rPr>
        <w:t>乙方账户信息：</w:t>
      </w:r>
    </w:p>
    <w:p>
      <w:pPr>
        <w:ind w:firstLine="420"/>
        <w:jc w:val="both"/>
      </w:pPr>
      <w:r>
        <w:rPr>
          <w:sz w:val="21"/>
        </w:rPr>
        <w:t>开户名称：</w:t>
      </w:r>
    </w:p>
    <w:p>
      <w:pPr>
        <w:ind w:firstLine="420"/>
        <w:jc w:val="both"/>
      </w:pPr>
      <w:r>
        <w:rPr>
          <w:sz w:val="21"/>
        </w:rPr>
        <w:t>开户行：</w:t>
      </w:r>
    </w:p>
    <w:p>
      <w:pPr>
        <w:ind w:firstLine="420"/>
        <w:jc w:val="both"/>
      </w:pPr>
      <w:r>
        <w:rPr>
          <w:sz w:val="21"/>
        </w:rPr>
        <w:t>银行账号：</w:t>
      </w:r>
    </w:p>
    <w:p>
      <w:pPr>
        <w:numPr>
          <w:ilvl w:val="0"/>
          <w:numId w:val="1"/>
        </w:numPr>
        <w:jc w:val="both"/>
      </w:pPr>
      <w:r>
        <w:rPr>
          <w:b/>
          <w:sz w:val="21"/>
        </w:rPr>
        <w:t>六、验收</w:t>
      </w:r>
    </w:p>
    <w:p>
      <w:pPr>
        <w:jc w:val="both"/>
      </w:pPr>
      <w:r>
        <w:rPr>
          <w:sz w:val="21"/>
        </w:rPr>
        <w:t>1.</w:t>
      </w:r>
      <w:r>
        <w:rPr>
          <w:sz w:val="21"/>
        </w:rPr>
        <w:t>季度履约验收：项目验收要求依据甲方相关验收程序制订验收标准，包括但不限于履约情况和评价情况。每季度结算时，乙方按照采购文件中的采购需求及合同约定，向甲方提供验收材料，甲方根据验收材料对当月服务项目进行履约验收。乙方根据甲方验收意见办理当季度结算手续。验收意见明确要求整改的，由乙方整改并经审核通过后，再办理结算手续。</w:t>
      </w:r>
    </w:p>
    <w:p>
      <w:pPr>
        <w:jc w:val="both"/>
      </w:pPr>
      <w:r>
        <w:rPr>
          <w:b/>
          <w:sz w:val="21"/>
        </w:rPr>
        <w:t>2.</w:t>
      </w:r>
      <w:r>
        <w:rPr>
          <w:b/>
          <w:sz w:val="21"/>
        </w:rPr>
        <w:t>整体验收：全部服务完成后，乙方向甲方提交书面的验收申请，甲方收到验收申请后3天内完成项目验收。甲方对以下内容进行验收：（1）项目服务质量情况。根据采购文件和合同规定，乙方应该完成的工作质量，实际完成的工作质量；（2）工作效率履约情况。在规定时间内的完成情况，有无任务拖延滞后情况；（3）项目经费结算情况。按照合同约定应当结算的数额和实际结算是否一致，结算数据是否真实、准确，有无虚报、错报和多报情况；（4）服务验收要求依据附件《医疗服务考核表》及相关说明。</w:t>
      </w:r>
    </w:p>
    <w:p>
      <w:pPr>
        <w:numPr>
          <w:ilvl w:val="0"/>
          <w:numId w:val="1"/>
        </w:numPr>
        <w:jc w:val="both"/>
      </w:pPr>
      <w:r>
        <w:rPr>
          <w:b/>
          <w:sz w:val="21"/>
        </w:rPr>
        <w:t>七、合同终止和解除</w:t>
      </w:r>
    </w:p>
    <w:p>
      <w:pPr>
        <w:ind w:firstLine="420"/>
        <w:jc w:val="both"/>
      </w:pPr>
      <w:r>
        <w:rPr>
          <w:sz w:val="21"/>
        </w:rPr>
        <w:t>1.</w:t>
      </w:r>
      <w:r>
        <w:rPr>
          <w:sz w:val="21"/>
        </w:rPr>
        <w:t>合同期限内，除本合同另有约定外，任何一方违约，经过另一方书面通知后在合理期限内仍未采取有效措施纠正违约行为或拒绝纠正违约行为的，另一方有权提出解除本合同。</w:t>
      </w:r>
    </w:p>
    <w:p>
      <w:pPr>
        <w:ind w:firstLine="420"/>
        <w:jc w:val="both"/>
      </w:pPr>
      <w:r>
        <w:rPr>
          <w:sz w:val="21"/>
        </w:rPr>
        <w:t>2.</w:t>
      </w:r>
      <w:r>
        <w:rPr>
          <w:sz w:val="21"/>
        </w:rPr>
        <w:t>乙方派驻人员因工作失误造成的医疗纠纷等，由乙方自行承担全部责任，如因乙方派驻人员故意或重大过失导致甲方财产损失，乙方应承担全部的损失赔偿责任，甲方有权单方解除合同。</w:t>
      </w:r>
    </w:p>
    <w:p>
      <w:pPr>
        <w:ind w:firstLine="420"/>
        <w:jc w:val="both"/>
      </w:pPr>
      <w:r>
        <w:rPr>
          <w:sz w:val="21"/>
        </w:rPr>
        <w:t>3.</w:t>
      </w:r>
      <w:r>
        <w:rPr>
          <w:sz w:val="21"/>
        </w:rPr>
        <w:t>由于甲方职工或学生故意或重大过失造成乙方派驻人员受伤或财产损失的，甲方应承担全部的经济损失赔偿责任，乙方有权单方提出解除合同。</w:t>
      </w:r>
    </w:p>
    <w:p>
      <w:pPr>
        <w:ind w:firstLine="420"/>
        <w:jc w:val="both"/>
      </w:pPr>
      <w:r>
        <w:rPr>
          <w:sz w:val="21"/>
        </w:rPr>
        <w:t>4.</w:t>
      </w:r>
      <w:r>
        <w:rPr>
          <w:sz w:val="21"/>
        </w:rPr>
        <w:t>除合同约定情形外，任何一方因自身原因单方面提出解除合同的，必须提前一个月时间，以书面形式通知另一方，若因通知期不足，由此造成对另一方的不良影响， 提出解除合同一方需承担全部责任。</w:t>
      </w:r>
    </w:p>
    <w:p>
      <w:pPr>
        <w:numPr>
          <w:ilvl w:val="0"/>
          <w:numId w:val="1"/>
        </w:numPr>
        <w:jc w:val="both"/>
      </w:pPr>
      <w:r>
        <w:rPr>
          <w:b/>
          <w:sz w:val="21"/>
        </w:rPr>
        <w:t>八、保密</w:t>
      </w:r>
    </w:p>
    <w:p>
      <w:pPr>
        <w:ind w:firstLine="420"/>
        <w:jc w:val="both"/>
      </w:pPr>
      <w:r>
        <w:rPr>
          <w:sz w:val="21"/>
        </w:rPr>
        <w:t>1.</w:t>
      </w:r>
      <w:r>
        <w:rPr>
          <w:sz w:val="21"/>
        </w:rPr>
        <w:t xml:space="preserve">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  </w:t>
      </w:r>
    </w:p>
    <w:p>
      <w:pPr>
        <w:ind w:firstLine="420"/>
        <w:jc w:val="both"/>
      </w:pPr>
      <w:r>
        <w:rPr>
          <w:sz w:val="21"/>
        </w:rPr>
        <w:t>2.</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ind w:firstLine="420"/>
        <w:jc w:val="both"/>
      </w:pPr>
      <w:r>
        <w:rPr>
          <w:sz w:val="21"/>
        </w:rPr>
        <w:t>3.</w:t>
      </w:r>
      <w:r>
        <w:rPr>
          <w:sz w:val="21"/>
        </w:rPr>
        <w:t>除了合同本身之外，上款所列举的任何物件均是甲方的财产。乙方应当在完成合同后应将这些物件及全部复制件还给甲方，甲方同意由乙方持有的除外。</w:t>
      </w:r>
    </w:p>
    <w:p>
      <w:pPr>
        <w:numPr>
          <w:ilvl w:val="0"/>
          <w:numId w:val="1"/>
        </w:numPr>
        <w:jc w:val="both"/>
      </w:pPr>
      <w:r>
        <w:rPr>
          <w:b/>
          <w:sz w:val="21"/>
        </w:rPr>
        <w:t>九、违约责任与赔偿损失</w:t>
      </w:r>
    </w:p>
    <w:p>
      <w:pPr>
        <w:ind w:firstLine="420"/>
        <w:jc w:val="both"/>
      </w:pPr>
      <w:r>
        <w:rPr>
          <w:sz w:val="21"/>
        </w:rPr>
        <w:t>1.</w:t>
      </w:r>
      <w:r>
        <w:rPr>
          <w:sz w:val="21"/>
        </w:rPr>
        <w:t>乙方提供的服务不符合采购文件、投标文件或本合同规定的，甲方有权拒收，并且乙方须向甲方方支付本合同总价5%的违约金。</w:t>
      </w:r>
    </w:p>
    <w:p>
      <w:pPr>
        <w:ind w:firstLine="420"/>
        <w:jc w:val="both"/>
      </w:pPr>
      <w:r>
        <w:rPr>
          <w:sz w:val="21"/>
        </w:rPr>
        <w:t>2.</w:t>
      </w:r>
      <w:r>
        <w:rPr>
          <w:sz w:val="21"/>
        </w:rPr>
        <w:t>乙方未能按本合同约定的时间提供服务，从逾期之日起每日按本合同总价3‰的数额向甲方支付违约金；逾期半个月以上的，甲方有权单方解除合同，由此造成的甲方经济损失由乙方承担。</w:t>
      </w:r>
    </w:p>
    <w:p>
      <w:pPr>
        <w:ind w:firstLine="420"/>
        <w:jc w:val="both"/>
      </w:pPr>
      <w:r>
        <w:rPr>
          <w:sz w:val="21"/>
        </w:rPr>
        <w:t>3.</w:t>
      </w:r>
      <w:r>
        <w:rPr>
          <w:sz w:val="21"/>
        </w:rPr>
        <w:t>甲方无正当理由拒收接受服务，到期拒付服务款项的，甲方向乙方偿付本合同总的5%的违约金。甲方逾期付款，则每日按本合同总价的3‰向乙方偿付违约金。</w:t>
      </w:r>
    </w:p>
    <w:p>
      <w:pPr>
        <w:ind w:firstLine="420"/>
        <w:jc w:val="both"/>
      </w:pPr>
      <w:r>
        <w:rPr>
          <w:sz w:val="21"/>
        </w:rPr>
        <w:t>4.</w:t>
      </w:r>
      <w:r>
        <w:rPr>
          <w:sz w:val="21"/>
        </w:rPr>
        <w:t>其它违约责任按</w:t>
      </w:r>
      <w:r>
        <w:rPr>
          <w:sz w:val="21"/>
        </w:rPr>
        <w:t>《中华人民共和国民法典》第三编　合同处理。</w:t>
      </w:r>
    </w:p>
    <w:p>
      <w:pPr>
        <w:numPr>
          <w:ilvl w:val="0"/>
          <w:numId w:val="1"/>
        </w:numPr>
        <w:jc w:val="both"/>
      </w:pPr>
      <w:r>
        <w:rPr>
          <w:b/>
          <w:sz w:val="21"/>
        </w:rPr>
        <w:t>十、争端的解决</w:t>
      </w:r>
    </w:p>
    <w:p>
      <w:pPr>
        <w:ind w:firstLine="420"/>
      </w:pPr>
      <w:r>
        <w:rPr>
          <w:sz w:val="21"/>
        </w:rPr>
        <w:t>合同执行过程中发生的任何争议，如双方不能通过友好协商解决，</w:t>
      </w:r>
      <w:r>
        <w:rPr>
          <w:sz w:val="21"/>
        </w:rPr>
        <w:t>任何一方均有权提交甲方所在地有管辖权的人民法院诉讼解决</w:t>
      </w:r>
      <w:r>
        <w:rPr>
          <w:sz w:val="21"/>
        </w:rPr>
        <w:t>。</w:t>
      </w:r>
    </w:p>
    <w:p>
      <w:pPr>
        <w:numPr>
          <w:ilvl w:val="0"/>
          <w:numId w:val="1"/>
        </w:numPr>
        <w:jc w:val="both"/>
      </w:pPr>
      <w:r>
        <w:rPr>
          <w:b/>
          <w:sz w:val="21"/>
        </w:rPr>
        <w:t>十一、不可抗力</w:t>
      </w:r>
    </w:p>
    <w:p>
      <w:pPr>
        <w:ind w:firstLine="42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numPr>
          <w:ilvl w:val="0"/>
          <w:numId w:val="1"/>
        </w:numPr>
        <w:jc w:val="both"/>
      </w:pPr>
      <w:r>
        <w:rPr>
          <w:b/>
          <w:sz w:val="21"/>
        </w:rPr>
        <w:t>十二、税费</w:t>
      </w:r>
    </w:p>
    <w:p>
      <w:pPr>
        <w:ind w:firstLine="420"/>
        <w:jc w:val="both"/>
      </w:pPr>
      <w:r>
        <w:rPr>
          <w:sz w:val="21"/>
        </w:rPr>
        <w:t>在中国境内、外发生的与本合同执行有关的一切税费均由乙方负担。</w:t>
      </w:r>
    </w:p>
    <w:p>
      <w:pPr>
        <w:numPr>
          <w:ilvl w:val="0"/>
          <w:numId w:val="1"/>
        </w:numPr>
        <w:jc w:val="both"/>
      </w:pPr>
      <w:r>
        <w:rPr>
          <w:b/>
          <w:sz w:val="21"/>
        </w:rPr>
        <w:t>十三、其它</w:t>
      </w:r>
    </w:p>
    <w:p>
      <w:pPr>
        <w:ind w:firstLine="420"/>
        <w:jc w:val="both"/>
      </w:pPr>
      <w:r>
        <w:rPr>
          <w:sz w:val="21"/>
        </w:rPr>
        <w:t>1.</w:t>
      </w:r>
      <w:r>
        <w:rPr>
          <w:sz w:val="21"/>
        </w:rPr>
        <w:t>本合同所有附件、采购文件、投标文件、中标通知书通知书均为合同的有效组成部分，与本合同具有同等法律效力。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w:t>
      </w:r>
      <w:r>
        <w:rPr>
          <w:sz w:val="21"/>
        </w:rPr>
        <w:t>如一方地址、电话、传真号码有变更，应在变更当日内书面通知对方，否则，应承担相应责任。</w:t>
      </w:r>
    </w:p>
    <w:p>
      <w:pPr>
        <w:ind w:firstLine="420"/>
        <w:jc w:val="both"/>
      </w:pPr>
      <w:r>
        <w:rPr>
          <w:sz w:val="21"/>
        </w:rPr>
        <w:t>4.</w:t>
      </w:r>
      <w:r>
        <w:rPr>
          <w:sz w:val="21"/>
        </w:rPr>
        <w:t>除甲方事先书面同意外，乙方不得部分或全部转让其应履行的合同项下的义务。</w:t>
      </w:r>
    </w:p>
    <w:p>
      <w:pPr>
        <w:numPr>
          <w:ilvl w:val="0"/>
          <w:numId w:val="1"/>
        </w:numPr>
        <w:jc w:val="both"/>
      </w:pPr>
      <w:r>
        <w:rPr>
          <w:b/>
          <w:sz w:val="21"/>
        </w:rPr>
        <w:t>十四、合同生效</w:t>
      </w:r>
    </w:p>
    <w:p>
      <w:pPr>
        <w:ind w:firstLine="420"/>
        <w:jc w:val="both"/>
      </w:pPr>
      <w:r>
        <w:rPr>
          <w:sz w:val="21"/>
        </w:rPr>
        <w:t>1.</w:t>
      </w:r>
      <w:r>
        <w:rPr>
          <w:sz w:val="21"/>
        </w:rPr>
        <w:t>本合同在甲乙双方法人代表或其授权代表签字盖章后生效。</w:t>
      </w:r>
    </w:p>
    <w:p>
      <w:pPr>
        <w:ind w:firstLine="420"/>
        <w:jc w:val="both"/>
      </w:pPr>
      <w:r>
        <w:rPr>
          <w:sz w:val="21"/>
        </w:rPr>
        <w:t>2.</w:t>
      </w:r>
      <w:r>
        <w:rPr>
          <w:sz w:val="21"/>
        </w:rPr>
        <w:t>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份，监管部门壹份，采购代理机构</w:t>
      </w:r>
      <w:r>
        <w:rPr>
          <w:sz w:val="21"/>
          <w:u w:val="single"/>
        </w:rPr>
        <w:t>壹</w:t>
      </w:r>
      <w:r>
        <w:rPr>
          <w:sz w:val="21"/>
        </w:rPr>
        <w:t>份。</w:t>
      </w:r>
    </w:p>
    <w:p>
      <w:pPr>
        <w:jc w:val="both"/>
      </w:pPr>
    </w:p>
    <w:p>
      <w:pPr>
        <w:jc w:val="both"/>
      </w:pPr>
    </w:p>
    <w:p>
      <w:pPr>
        <w:jc w:val="both"/>
      </w:pPr>
      <w:r>
        <w:rPr>
          <w:sz w:val="21"/>
        </w:rPr>
        <w:t>甲方（盖章）：                          乙方（盖章）：</w:t>
      </w:r>
    </w:p>
    <w:p>
      <w:pPr>
        <w:jc w:val="both"/>
      </w:pPr>
      <w:r>
        <w:rPr>
          <w:sz w:val="21"/>
        </w:rPr>
        <w:t>法定代表/授权代表（签字）：             法定代表/授权代表（签字）：</w:t>
      </w:r>
    </w:p>
    <w:p>
      <w:pPr>
        <w:jc w:val="both"/>
      </w:pPr>
      <w:r>
        <w:rPr>
          <w:sz w:val="21"/>
        </w:rPr>
        <w:t>日期：                                 日期：</w:t>
      </w:r>
    </w:p>
    <w:p>
      <w:pPr>
        <w:jc w:val="both"/>
      </w:pPr>
      <w:r>
        <w:rPr>
          <w:sz w:val="21"/>
        </w:rPr>
        <w:t>邮政编码：                             邮政编码：</w:t>
      </w:r>
    </w:p>
    <w:p>
      <w:pPr>
        <w:jc w:val="both"/>
      </w:pPr>
      <w:r>
        <w:rPr>
          <w:sz w:val="21"/>
        </w:rPr>
        <w:t>开户名称：                             开户名称：</w:t>
      </w:r>
    </w:p>
    <w:p>
      <w:pPr>
        <w:jc w:val="both"/>
      </w:pPr>
      <w:r>
        <w:rPr>
          <w:sz w:val="21"/>
        </w:rPr>
        <w:t>开户银行：                             开户银行：</w:t>
      </w:r>
    </w:p>
    <w:p>
      <w:pPr>
        <w:jc w:val="both"/>
      </w:pPr>
      <w:r>
        <w:rPr>
          <w:sz w:val="21"/>
        </w:rPr>
        <w:t>开户账号：                             开户账号:</w:t>
      </w:r>
    </w:p>
    <w:p>
      <w:pPr>
        <w:jc w:val="both"/>
      </w:pPr>
      <w:r>
        <w:rPr/>
        <w:t xml:space="preserve"> </w:t>
      </w:r>
    </w:p>
    <w:p>
      <w:pPr>
        <w:jc w:val="both"/>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1"/>
        </w:rPr>
        <w:t>附件《医疗服务考核表》</w:t>
      </w:r>
    </w:p>
    <w:tbl>
      <w:tblPr>
        <w:tblW w:w="0" w:type="auto"/>
        <w:tblBorders>
          <w:top w:val="single"/>
          <w:left w:val="single"/>
          <w:bottom w:val="single"/>
          <w:right w:val="single"/>
          <w:insideH w:val="single"/>
          <w:insideV w:val="single"/>
        </w:tblBorders>
      </w:tblPr>
      <w:tblGrid>
        <w:gridCol w:w="1240"/>
        <w:gridCol w:w="1240"/>
        <w:gridCol w:w="1240"/>
        <w:gridCol w:w="4153"/>
        <w:gridCol w:w="434"/>
      </w:tblGrid>
      <w:tr>
        <w:tc>
          <w:tcPr>
            <w:tcW w:type="dxa" w:w="2480"/>
            <w:gridSpan w:val="2"/>
            <w:tcBorders>
              <w:top w:val="single" w:color="000000" w:sz="4"/>
              <w:left w:val="single" w:color="000000" w:sz="4"/>
              <w:bottom w:val="single" w:color="000000" w:sz="4"/>
              <w:right w:val="single" w:color="000000" w:sz="4"/>
            </w:tcBorders>
          </w:tcPr>
          <w:p>
            <w:pPr>
              <w:jc w:val="center"/>
            </w:pPr>
            <w:r>
              <w:rPr>
                <w:b/>
                <w:sz w:val="21"/>
              </w:rPr>
              <w:t>项目</w:t>
            </w:r>
          </w:p>
        </w:tc>
        <w:tc>
          <w:tcPr>
            <w:tcW w:type="dxa" w:w="1240"/>
            <w:tcBorders>
              <w:top w:val="single" w:color="000000" w:sz="4"/>
              <w:left w:val="none" w:color="000000" w:sz="4"/>
              <w:bottom w:val="single" w:color="000000" w:sz="4"/>
              <w:right w:val="single" w:color="000000" w:sz="4"/>
            </w:tcBorders>
          </w:tcPr>
          <w:p>
            <w:pPr>
              <w:jc w:val="center"/>
            </w:pPr>
            <w:r>
              <w:rPr>
                <w:b/>
                <w:sz w:val="21"/>
              </w:rPr>
              <w:t>考核指标</w:t>
            </w:r>
          </w:p>
        </w:tc>
        <w:tc>
          <w:tcPr>
            <w:tcW w:type="dxa" w:w="4153"/>
            <w:tcBorders>
              <w:top w:val="single" w:color="000000" w:sz="4"/>
              <w:left w:val="none" w:color="000000" w:sz="4"/>
              <w:bottom w:val="single" w:color="000000" w:sz="4"/>
              <w:right w:val="single" w:color="000000" w:sz="4"/>
            </w:tcBorders>
          </w:tcPr>
          <w:p>
            <w:pPr>
              <w:jc w:val="center"/>
            </w:pPr>
            <w:r>
              <w:rPr>
                <w:b/>
                <w:sz w:val="21"/>
              </w:rPr>
              <w:t>考核内容</w:t>
            </w:r>
          </w:p>
        </w:tc>
        <w:tc>
          <w:tcPr>
            <w:tcW w:type="dxa" w:w="434"/>
            <w:tcBorders>
              <w:top w:val="single" w:color="000000" w:sz="4"/>
              <w:left w:val="none" w:color="000000" w:sz="4"/>
              <w:bottom w:val="single" w:color="000000" w:sz="4"/>
              <w:right w:val="single" w:color="000000" w:sz="4"/>
            </w:tcBorders>
          </w:tcPr>
          <w:p>
            <w:pPr>
              <w:jc w:val="center"/>
            </w:pPr>
            <w:r>
              <w:rPr>
                <w:b/>
                <w:sz w:val="21"/>
              </w:rPr>
              <w:t>分值</w:t>
            </w:r>
          </w:p>
        </w:tc>
      </w:tr>
      <w:tr>
        <w:tc>
          <w:tcPr>
            <w:tcW w:type="dxa" w:w="2480"/>
            <w:gridSpan w:val="2"/>
            <w:tcBorders>
              <w:top w:val="none" w:color="000000" w:sz="4"/>
              <w:left w:val="single" w:color="000000" w:sz="4"/>
              <w:bottom w:val="single" w:color="000000" w:sz="4"/>
              <w:right w:val="single" w:color="000000" w:sz="4"/>
            </w:tcBorders>
          </w:tcPr>
          <w:p>
            <w:pPr>
              <w:jc w:val="center"/>
            </w:pPr>
            <w:r>
              <w:rPr>
                <w:b/>
                <w:sz w:val="21"/>
              </w:rPr>
              <w:t>医疗机构考核</w:t>
            </w:r>
          </w:p>
        </w:tc>
        <w:tc>
          <w:tcPr>
            <w:tcW w:type="dxa" w:w="1240"/>
            <w:tcBorders>
              <w:top w:val="none" w:color="000000" w:sz="4"/>
              <w:left w:val="none" w:color="000000" w:sz="4"/>
              <w:bottom w:val="single" w:color="000000" w:sz="4"/>
              <w:right w:val="single" w:color="000000" w:sz="4"/>
            </w:tcBorders>
          </w:tcPr>
          <w:p>
            <w:pPr>
              <w:jc w:val="center"/>
            </w:pPr>
            <w:r>
              <w:rPr>
                <w:b/>
                <w:sz w:val="21"/>
              </w:rPr>
              <w:t>团队人员</w:t>
            </w:r>
          </w:p>
        </w:tc>
        <w:tc>
          <w:tcPr>
            <w:tcW w:type="dxa" w:w="4153"/>
            <w:tcBorders>
              <w:top w:val="none" w:color="000000" w:sz="4"/>
              <w:left w:val="none" w:color="000000" w:sz="4"/>
              <w:bottom w:val="single" w:color="000000" w:sz="4"/>
              <w:right w:val="single" w:color="000000" w:sz="4"/>
            </w:tcBorders>
          </w:tcPr>
          <w:p>
            <w:pPr>
              <w:jc w:val="left"/>
            </w:pPr>
            <w:r>
              <w:rPr>
                <w:sz w:val="21"/>
              </w:rPr>
              <w:t>*1.</w:t>
            </w:r>
            <w:r>
              <w:rPr>
                <w:sz w:val="21"/>
              </w:rPr>
              <w:t>人员是否齐备、到位</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val="restart"/>
            <w:tcBorders>
              <w:top w:val="none" w:color="000000" w:sz="4"/>
              <w:left w:val="single" w:color="000000" w:sz="4"/>
              <w:bottom w:val="single" w:color="000000" w:sz="4"/>
              <w:right w:val="single" w:color="000000" w:sz="4"/>
            </w:tcBorders>
          </w:tcPr>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1"/>
              </w:rPr>
              <w:t>住校人员考核</w:t>
            </w: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职业思想品德</w:t>
            </w:r>
          </w:p>
        </w:tc>
        <w:tc>
          <w:tcPr>
            <w:tcW w:type="dxa" w:w="1240"/>
            <w:tcBorders>
              <w:top w:val="none" w:color="000000" w:sz="4"/>
              <w:left w:val="none" w:color="000000" w:sz="4"/>
              <w:bottom w:val="single" w:color="000000" w:sz="4"/>
              <w:right w:val="single" w:color="000000" w:sz="4"/>
            </w:tcBorders>
          </w:tcPr>
          <w:p>
            <w:pPr>
              <w:jc w:val="center"/>
            </w:pPr>
            <w:r>
              <w:rPr>
                <w:b/>
                <w:sz w:val="21"/>
              </w:rPr>
              <w:t>仪表仪态</w:t>
            </w:r>
          </w:p>
        </w:tc>
        <w:tc>
          <w:tcPr>
            <w:tcW w:type="dxa" w:w="4153"/>
            <w:tcBorders>
              <w:top w:val="none" w:color="000000" w:sz="4"/>
              <w:left w:val="none" w:color="000000" w:sz="4"/>
              <w:bottom w:val="single" w:color="000000" w:sz="4"/>
              <w:right w:val="single" w:color="000000" w:sz="4"/>
            </w:tcBorders>
          </w:tcPr>
          <w:p>
            <w:pPr>
              <w:jc w:val="left"/>
            </w:pPr>
            <w:r>
              <w:rPr>
                <w:sz w:val="21"/>
              </w:rPr>
              <w:t>2.</w:t>
            </w:r>
            <w:r>
              <w:rPr>
                <w:sz w:val="21"/>
              </w:rPr>
              <w:t>衣装得体，整洁干净，不穿超短、过于暴露衣物，不穿奇装异服等不符合校园的服饰，不留指甲。</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Pr>
          <w:p>
            <w:pPr>
              <w:jc w:val="center"/>
            </w:pPr>
            <w:r>
              <w:rPr>
                <w:b/>
                <w:sz w:val="21"/>
              </w:rPr>
              <w:t>团队协作</w:t>
            </w:r>
          </w:p>
        </w:tc>
        <w:tc>
          <w:tcPr>
            <w:tcW w:type="dxa" w:w="4153"/>
            <w:tcBorders>
              <w:top w:val="none" w:color="000000" w:sz="4"/>
              <w:left w:val="none" w:color="000000" w:sz="4"/>
              <w:bottom w:val="single" w:color="000000" w:sz="4"/>
              <w:right w:val="single" w:color="000000" w:sz="4"/>
            </w:tcBorders>
          </w:tcPr>
          <w:p>
            <w:pPr>
              <w:jc w:val="left"/>
            </w:pPr>
            <w:r>
              <w:rPr>
                <w:sz w:val="21"/>
              </w:rPr>
              <w:t>3.</w:t>
            </w:r>
            <w:r>
              <w:rPr>
                <w:sz w:val="21"/>
              </w:rPr>
              <w:t>积极主动配合各部门工作，集体意识强，团队成员之间能充分沟通，协作，有礼貌友善友好。</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遵纪守法</w:t>
            </w: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遵守学校规章制度，法律法规</w:t>
            </w:r>
          </w:p>
        </w:tc>
        <w:tc>
          <w:tcPr>
            <w:tcW w:type="dxa" w:w="4153"/>
            <w:tcBorders>
              <w:top w:val="none" w:color="000000" w:sz="4"/>
              <w:left w:val="none" w:color="000000" w:sz="4"/>
              <w:bottom w:val="single" w:color="000000" w:sz="4"/>
              <w:right w:val="single" w:color="000000" w:sz="4"/>
            </w:tcBorders>
          </w:tcPr>
          <w:p>
            <w:pPr>
              <w:jc w:val="left"/>
            </w:pPr>
            <w:r>
              <w:rPr>
                <w:sz w:val="21"/>
              </w:rPr>
              <w:t>4.</w:t>
            </w:r>
            <w:r>
              <w:rPr>
                <w:sz w:val="21"/>
              </w:rPr>
              <w:t>严格遵守校内各项规章制度，按时上班，不迟到，不早退</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5.</w:t>
            </w:r>
            <w:r>
              <w:rPr>
                <w:sz w:val="21"/>
              </w:rPr>
              <w:t>严格遵守国家法律法规与卫生部门的有关规定，遵守职业道德，并相互监督执行。</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val="restart"/>
            <w:tcBorders>
              <w:top w:val="none" w:color="000000" w:sz="4"/>
              <w:left w:val="none" w:color="000000" w:sz="4"/>
              <w:bottom w:val="single" w:color="000000" w:sz="4"/>
              <w:right w:val="single" w:color="000000" w:sz="4"/>
            </w:tcBorders>
          </w:tcPr>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1"/>
              </w:rPr>
              <w:t>日常工作</w:t>
            </w:r>
          </w:p>
        </w:tc>
        <w:tc>
          <w:tcPr>
            <w:tcW w:type="dxa" w:w="1240"/>
            <w:vMerge w:val="restart"/>
            <w:tcBorders>
              <w:top w:val="none" w:color="000000" w:sz="4"/>
              <w:left w:val="none" w:color="000000" w:sz="4"/>
              <w:bottom w:val="single" w:color="000000" w:sz="4"/>
              <w:right w:val="single" w:color="000000" w:sz="4"/>
            </w:tcBorders>
          </w:tcPr>
          <w:p>
            <w:pPr>
              <w:jc w:val="center"/>
            </w:pPr>
          </w:p>
          <w:p>
            <w:pPr>
              <w:jc w:val="both"/>
            </w:pPr>
          </w:p>
          <w:p>
            <w:pPr>
              <w:jc w:val="center"/>
            </w:pPr>
            <w:r>
              <w:rPr>
                <w:b/>
                <w:sz w:val="21"/>
              </w:rPr>
              <w:t>岗位职责</w:t>
            </w:r>
          </w:p>
        </w:tc>
        <w:tc>
          <w:tcPr>
            <w:tcW w:type="dxa" w:w="4153"/>
            <w:tcBorders>
              <w:top w:val="none" w:color="000000" w:sz="4"/>
              <w:left w:val="none" w:color="000000" w:sz="4"/>
              <w:bottom w:val="single" w:color="000000" w:sz="4"/>
              <w:right w:val="single" w:color="000000" w:sz="4"/>
            </w:tcBorders>
          </w:tcPr>
          <w:p>
            <w:pPr>
              <w:jc w:val="left"/>
            </w:pPr>
            <w:r>
              <w:rPr>
                <w:sz w:val="21"/>
              </w:rPr>
              <w:t>6.</w:t>
            </w:r>
            <w:r>
              <w:rPr>
                <w:sz w:val="21"/>
              </w:rPr>
              <w:t>明确自己的岗位职责、工作范畴。认真做好学院的疾病预防、治疗、护理等基础医疗工作。</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7.</w:t>
            </w:r>
            <w:r>
              <w:rPr>
                <w:sz w:val="21"/>
              </w:rPr>
              <w:t>日常就诊认真负责、无不当处置、无有效投拆。</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*8.</w:t>
            </w:r>
            <w:r>
              <w:rPr>
                <w:sz w:val="21"/>
              </w:rPr>
              <w:t>对疑似传染病或确诊病例要及时上报，做到一例一汇报，登记齐全，进行病因追踪和统计，采取防范措施，同时对传染病例所在的班级学生及教师进行传染病防控宣传和指导，对病例所在课室和宿舍进行消杀指导。做好查验复课工作。</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*9.</w:t>
            </w:r>
            <w:r>
              <w:rPr>
                <w:sz w:val="21"/>
              </w:rPr>
              <w:t>接到通知后对师生突发重大伤害或疾病做到及时到现场进行急救。</w:t>
            </w:r>
          </w:p>
        </w:tc>
        <w:tc>
          <w:tcPr>
            <w:tcW w:type="dxa" w:w="434"/>
            <w:tcBorders>
              <w:top w:val="none" w:color="000000" w:sz="4"/>
              <w:left w:val="none" w:color="000000" w:sz="4"/>
              <w:bottom w:val="single" w:color="000000" w:sz="4"/>
              <w:right w:val="single" w:color="000000" w:sz="4"/>
            </w:tcBorders>
          </w:tcPr>
          <w:p>
            <w:pPr>
              <w:jc w:val="center"/>
            </w:pPr>
          </w:p>
          <w:p>
            <w:pPr>
              <w:jc w:val="center"/>
            </w:pPr>
            <w:r>
              <w:rPr>
                <w:sz w:val="21"/>
              </w:rPr>
              <w:t>10</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10.</w:t>
            </w:r>
            <w:r>
              <w:rPr>
                <w:sz w:val="21"/>
              </w:rPr>
              <w:t>校内各项大型活动和演练的医疗保障认真负责，及时位。</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11.</w:t>
            </w:r>
            <w:r>
              <w:rPr>
                <w:sz w:val="21"/>
              </w:rPr>
              <w:t>对就诊病例情况进行登记，做好医务日记记录等医务室相关工作记录，及时、完整。档案归类登记工作有条理,档案内容齐全。</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val="restart"/>
            <w:tcBorders>
              <w:top w:val="none" w:color="000000" w:sz="4"/>
              <w:left w:val="none" w:color="000000" w:sz="4"/>
              <w:bottom w:val="single" w:color="000000" w:sz="4"/>
              <w:right w:val="single" w:color="000000" w:sz="4"/>
            </w:tcBorders>
          </w:tcPr>
          <w:p>
            <w:pPr>
              <w:jc w:val="center"/>
            </w:pPr>
            <w:r>
              <w:rPr>
                <w:b/>
                <w:sz w:val="21"/>
              </w:rPr>
              <w:t>卫生室管理</w:t>
            </w:r>
          </w:p>
        </w:tc>
        <w:tc>
          <w:tcPr>
            <w:tcW w:type="dxa" w:w="4153"/>
            <w:tcBorders>
              <w:top w:val="none" w:color="000000" w:sz="4"/>
              <w:left w:val="none" w:color="000000" w:sz="4"/>
              <w:bottom w:val="single" w:color="000000" w:sz="4"/>
              <w:right w:val="single" w:color="000000" w:sz="4"/>
            </w:tcBorders>
          </w:tcPr>
          <w:p>
            <w:pPr>
              <w:jc w:val="left"/>
            </w:pPr>
            <w:r>
              <w:rPr>
                <w:sz w:val="21"/>
              </w:rPr>
              <w:t>12.</w:t>
            </w:r>
            <w:r>
              <w:rPr>
                <w:sz w:val="21"/>
              </w:rPr>
              <w:t>做好校医室清洁和消杀工作，并做好登记。</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4153"/>
            <w:tcBorders>
              <w:top w:val="none" w:color="000000" w:sz="4"/>
              <w:left w:val="none" w:color="000000" w:sz="4"/>
              <w:bottom w:val="single" w:color="000000" w:sz="4"/>
              <w:right w:val="single" w:color="000000" w:sz="4"/>
            </w:tcBorders>
          </w:tcPr>
          <w:p>
            <w:pPr>
              <w:jc w:val="left"/>
            </w:pPr>
            <w:r>
              <w:rPr>
                <w:sz w:val="21"/>
              </w:rPr>
              <w:t>13.</w:t>
            </w:r>
            <w:r>
              <w:rPr>
                <w:sz w:val="21"/>
              </w:rPr>
              <w:t>室内整洁舒适、物品放置有序、保管妥善，做好医疗器械和药品的管理。</w:t>
            </w:r>
          </w:p>
        </w:tc>
        <w:tc>
          <w:tcPr>
            <w:tcW w:type="dxa" w:w="434"/>
            <w:tcBorders>
              <w:top w:val="none" w:color="000000" w:sz="4"/>
              <w:left w:val="none" w:color="000000" w:sz="4"/>
              <w:bottom w:val="single" w:color="000000" w:sz="4"/>
              <w:right w:val="single" w:color="000000" w:sz="4"/>
            </w:tcBorders>
          </w:tcPr>
          <w:p>
            <w:pPr>
              <w:jc w:val="center"/>
            </w:pPr>
            <w:r>
              <w:rPr>
                <w:sz w:val="21"/>
              </w:rPr>
              <w:t>5</w:t>
            </w:r>
          </w:p>
        </w:tc>
      </w:tr>
      <w:tr>
        <w:tc>
          <w:tcPr>
            <w:tcW w:type="dxa" w:w="1240"/>
            <w:vMerge/>
            <w:tcBorders>
              <w:top w:val="none" w:color="000000" w:sz="4"/>
              <w:left w:val="single" w:color="000000" w:sz="4"/>
              <w:bottom w:val="single" w:color="000000" w:sz="4"/>
              <w:right w:val="single" w:color="000000" w:sz="4"/>
            </w:tcBorders>
          </w:tcPr>
          <w:p/>
        </w:tc>
        <w:tc>
          <w:tcPr>
            <w:tcW w:type="dxa" w:w="1240"/>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Pr>
          <w:p>
            <w:pPr>
              <w:jc w:val="center"/>
            </w:pPr>
            <w:r>
              <w:rPr>
                <w:b/>
                <w:sz w:val="21"/>
              </w:rPr>
              <w:t>药品药物管理</w:t>
            </w:r>
          </w:p>
        </w:tc>
        <w:tc>
          <w:tcPr>
            <w:tcW w:type="dxa" w:w="4153"/>
            <w:tcBorders>
              <w:top w:val="none" w:color="000000" w:sz="4"/>
              <w:left w:val="none" w:color="000000" w:sz="4"/>
              <w:bottom w:val="single" w:color="000000" w:sz="4"/>
              <w:right w:val="single" w:color="000000" w:sz="4"/>
            </w:tcBorders>
          </w:tcPr>
          <w:p>
            <w:pPr>
              <w:jc w:val="left"/>
            </w:pPr>
            <w:r>
              <w:rPr>
                <w:sz w:val="21"/>
              </w:rPr>
              <w:t>*14.</w:t>
            </w:r>
            <w:r>
              <w:rPr>
                <w:sz w:val="21"/>
              </w:rPr>
              <w:t>药品确定在保质期内，无过期药，外用换药器械按医疗常规进行消毒，一次性物品在有效期内，对所有药品要明码标价。按照广东省卫生及物价部门规定的有关医疗收费标准收费</w:t>
            </w:r>
          </w:p>
        </w:tc>
        <w:tc>
          <w:tcPr>
            <w:tcW w:type="dxa" w:w="434"/>
            <w:tcBorders>
              <w:top w:val="none" w:color="000000" w:sz="4"/>
              <w:left w:val="none" w:color="000000" w:sz="4"/>
              <w:bottom w:val="single" w:color="000000" w:sz="4"/>
              <w:right w:val="single" w:color="000000" w:sz="4"/>
            </w:tcBorders>
          </w:tcPr>
          <w:p>
            <w:pPr>
              <w:jc w:val="center"/>
            </w:pPr>
            <w:r>
              <w:rPr>
                <w:sz w:val="21"/>
              </w:rPr>
              <w:t>10</w:t>
            </w:r>
          </w:p>
        </w:tc>
      </w:tr>
    </w:tbl>
    <w:p>
      <w:pPr>
        <w:jc w:val="both"/>
      </w:pPr>
      <w:r>
        <w:rPr>
          <w:b/>
          <w:sz w:val="21"/>
        </w:rPr>
        <w:t>说明：</w:t>
      </w:r>
    </w:p>
    <w:p>
      <w:pPr>
        <w:jc w:val="both"/>
      </w:pPr>
      <w:r>
        <w:rPr>
          <w:sz w:val="21"/>
        </w:rPr>
        <w:t>1</w:t>
      </w:r>
      <w:r>
        <w:rPr>
          <w:sz w:val="21"/>
        </w:rPr>
        <w:t>、该考核表总分≥90分为合格，低于90分需根据要求进行相应整改。带“*”号为必要项，违反一项直接判定为不及格。</w:t>
      </w:r>
    </w:p>
    <w:p>
      <w:pPr>
        <w:jc w:val="both"/>
      </w:pPr>
      <w:r>
        <w:rPr>
          <w:sz w:val="21"/>
        </w:rPr>
        <w:t>2</w:t>
      </w:r>
      <w:r>
        <w:rPr>
          <w:sz w:val="21"/>
        </w:rPr>
        <w:t>、一个季度考核一次，考核时间为下一季度第一个月的3号前。</w:t>
      </w:r>
    </w:p>
    <w:p>
      <w:pPr>
        <w:jc w:val="both"/>
      </w:pPr>
      <w:r>
        <w:rPr>
          <w:sz w:val="21"/>
        </w:rPr>
        <w:t>3</w:t>
      </w:r>
      <w:r>
        <w:rPr>
          <w:sz w:val="21"/>
        </w:rPr>
        <w:t>、考核与费用挂钩，考核合格当季度服务费全款支付，考核不合格扣除当季度应支付服务费的20%。</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440001-2023-17270</w:t>
      </w:r>
    </w:p>
    <w:p>
      <w:pPr>
        <w:jc w:val="center"/>
      </w:pPr>
      <w:r>
        <w:rPr>
          <w:b/>
          <w:sz w:val="24"/>
        </w:rPr>
        <w:t>采购项目编号：</w:t>
      </w:r>
      <w:r>
        <w:rPr>
          <w:b/>
          <w:sz w:val="24"/>
        </w:rPr>
        <w:t>440001-2023-17270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广东省城市技师学院2023年度校医合作服务采购项目</w:t>
      </w:r>
      <w:r>
        <w:rPr>
          <w:u w:val="single"/>
        </w:rPr>
        <w:t>”</w:t>
      </w:r>
      <w:r>
        <w:rPr/>
        <w:t>项目的招标[采购项目编号为：</w:t>
      </w:r>
      <w:r>
        <w:rPr>
          <w:u w:val="single"/>
        </w:rPr>
        <w:t>440001-2023-17270</w:t>
      </w:r>
      <w:r>
        <w:rPr/>
        <w:t>]，我方愿参与投标。</w:t>
      </w:r>
    </w:p>
    <w:p>
      <w:pPr>
        <w:ind w:firstLine="480"/>
      </w:pPr>
      <w:r>
        <w:rPr/>
        <w:t>我方确认收到贵方提供的</w:t>
      </w:r>
      <w:r>
        <w:rPr>
          <w:u w:val="single"/>
        </w:rPr>
        <w:t>“</w:t>
      </w:r>
      <w:r>
        <w:rPr>
          <w:u w:val="single"/>
        </w:rPr>
        <w:t>广东省城市技师学院2023年度校医合作服务采购项目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广东省城市技师学院2023年度校医合作服务采购项目</w:t>
      </w:r>
      <w:r>
        <w:rPr/>
        <w:t>”项目采购[采购项目编号为</w:t>
      </w:r>
      <w:r>
        <w:rPr/>
        <w:t>440001-2023-17270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广东省城市技师学院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广东省城市技师学院2023年度校医合作服务采购项目</w:t>
      </w:r>
      <w:r>
        <w:rPr/>
        <w:t>招标中获中标（采购项目编号：</w:t>
      </w:r>
      <w:r>
        <w:rPr/>
        <w:t>440001-2023-17270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w:t>
      </w:r>
    </w:p>
    <w:p>
      <w:pPr>
        <w:ind w:firstLine="480"/>
      </w:pPr>
      <w:r>
        <w:rPr/>
        <w:t>我单位已登记并准备参与“</w:t>
      </w:r>
      <w:r>
        <w:rPr/>
        <w:t>广东省城市技师学院2023年度校医合作服务采购项目</w:t>
      </w:r>
      <w:r>
        <w:rPr/>
        <w:t>”项目（采购项目编号：</w:t>
      </w:r>
      <w:r>
        <w:rPr/>
        <w:t>440001-2023-17270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