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440112-2023-01417</w:t>
      </w:r>
    </w:p>
    <w:p>
      <w:pPr>
        <w:jc w:val="center"/>
      </w:pPr>
      <w:r>
        <w:rPr>
          <w:b/>
          <w:sz w:val="24"/>
        </w:rPr>
        <w:t>采购项目编号：</w:t>
      </w:r>
      <w:r>
        <w:rPr>
          <w:b/>
          <w:sz w:val="24"/>
        </w:rPr>
        <w:t>440112-2023-01417</w:t>
      </w:r>
    </w:p>
    <w:p>
      <w:pPr>
        <w:jc w:val="center"/>
      </w:pPr>
      <w:r>
        <w:rPr>
          <w:b/>
          <w:sz w:val="24"/>
        </w:rPr>
        <w:t>项目名称：</w:t>
      </w:r>
      <w:r>
        <w:rPr>
          <w:b/>
          <w:sz w:val="24"/>
        </w:rPr>
        <w:t>鱼珠街社工服务站（家庭综合服务中心）运营服务采购项目</w:t>
      </w:r>
    </w:p>
    <w:p>
      <w:pPr>
        <w:jc w:val="center"/>
      </w:pPr>
      <w:r>
        <w:rPr>
          <w:b/>
          <w:sz w:val="24"/>
        </w:rPr>
        <w:t>采购人：</w:t>
      </w:r>
      <w:r>
        <w:rPr>
          <w:b/>
          <w:sz w:val="24"/>
        </w:rPr>
        <w:t>广州市黄埔区人民政府鱼珠街道办事处</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广州市黄埔区人民政府鱼珠街道办事处</w:t>
      </w:r>
      <w:r>
        <w:rPr/>
        <w:t>的委托，采用</w:t>
      </w:r>
      <w:r>
        <w:rPr/>
        <w:t>公开招标</w:t>
      </w:r>
      <w:r>
        <w:rPr/>
        <w:t>方式组织采购</w:t>
      </w:r>
      <w:r>
        <w:rPr/>
        <w:t>鱼珠街社工服务站（家庭综合服务中心）运营服务采购项目</w:t>
      </w:r>
      <w:r>
        <w:rPr/>
        <w:t>。欢迎符合资格条件的国内供应商参加投标。</w:t>
      </w:r>
    </w:p>
    <w:p>
      <w:r>
        <w:rPr>
          <w:b/>
          <w:sz w:val="28"/>
        </w:rPr>
        <w:t>一.项目概述</w:t>
      </w:r>
    </w:p>
    <w:p>
      <w:r>
        <w:rPr>
          <w:b/>
          <w:sz w:val="24"/>
        </w:rPr>
        <w:t>1.名称与编号</w:t>
      </w:r>
    </w:p>
    <w:p>
      <w:pPr>
        <w:ind w:firstLine="480"/>
      </w:pPr>
      <w:r>
        <w:rPr/>
        <w:t>项目名称：</w:t>
      </w:r>
      <w:r>
        <w:rPr/>
        <w:t>鱼珠街社工服务站（家庭综合服务中心）运营服务采购项目</w:t>
      </w:r>
    </w:p>
    <w:p>
      <w:pPr>
        <w:ind w:firstLine="480"/>
      </w:pPr>
      <w:r>
        <w:rPr/>
        <w:t>采购计划编号：</w:t>
      </w:r>
      <w:r>
        <w:rPr/>
        <w:t>440112-2023-01417</w:t>
      </w:r>
    </w:p>
    <w:p>
      <w:pPr>
        <w:ind w:firstLine="480"/>
      </w:pPr>
      <w:r>
        <w:rPr/>
        <w:t>采购项目编号：</w:t>
      </w:r>
      <w:r>
        <w:rPr/>
        <w:t>440112-2023-01417</w:t>
      </w:r>
    </w:p>
    <w:p>
      <w:pPr>
        <w:ind w:firstLine="480"/>
      </w:pPr>
      <w:r>
        <w:rPr/>
        <w:t>采购方式：</w:t>
      </w:r>
      <w:r>
        <w:rPr/>
        <w:t>公开招标</w:t>
      </w:r>
    </w:p>
    <w:p>
      <w:pPr>
        <w:ind w:firstLine="480"/>
      </w:pPr>
      <w:r>
        <w:rPr/>
        <w:t>预算金额：</w:t>
      </w:r>
      <w:r>
        <w:rPr/>
        <w:t>7,200,000.00</w:t>
      </w:r>
      <w:r>
        <w:rPr/>
        <w:t>元</w:t>
      </w:r>
    </w:p>
    <w:p>
      <w:r>
        <w:rPr>
          <w:b/>
          <w:sz w:val="24"/>
        </w:rPr>
        <w:t>2.项目内容及需求情况（采购项目技术规格、参数及要求）</w:t>
      </w:r>
    </w:p>
    <w:p>
      <w:pPr>
        <w:ind w:firstLine="480"/>
      </w:pPr>
    </w:p>
    <w:p/>
    <w:p>
      <w:r>
        <w:rPr/>
        <w:t>采购包1(鱼珠街社工服务站（家庭综合服务中心）运营服务):</w:t>
      </w:r>
    </w:p>
    <w:p>
      <w:r>
        <w:rPr/>
        <w:t>采购包预算金额：7,200,000.00元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其他社会服务</w:t>
            </w:r>
          </w:p>
        </w:tc>
        <w:tc>
          <w:tcPr>
            <w:tcW w:type="dxa" w:w="2136"/>
          </w:tcPr>
          <w:p>
            <w:r>
              <w:rPr/>
              <w:t>鱼珠街社工服务站（家庭综合服务中心）运营服务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合同履行期限：服务期限三年，自2023年7月1日至2026年6月30日止。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最新的投标人营业执照（或事业单位法人证书，或社会团体法人登记证书，或执业许可证）副本复印件；若以不具有独立承担民事责任能力的分支机构投标，须取得具有法人资格的总公司的授权书，并提供总公司营业执照副本复印件；如投标人为自然人的需提供自然人身份证明。</w:t>
      </w:r>
    </w:p>
    <w:p/>
    <w:p>
      <w:r>
        <w:rPr/>
        <w:t>2）有依法缴纳税收和社会保障资金的良好记录：提供签署及盖章合格的投标函。</w:t>
      </w:r>
    </w:p>
    <w:p/>
    <w:p>
      <w:r>
        <w:rPr/>
        <w:t>3）具有良好的商业信誉和健全的财务会计制度：提供签署及盖章合格的投标函。</w:t>
      </w:r>
    </w:p>
    <w:p/>
    <w:p>
      <w:r>
        <w:rPr/>
        <w:t>4）履行合同所必需的设备和专业技术能力：提供签署及盖章合格的投标函。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采购包1（鱼珠街社工服务站（家庭综合服务中心）运营服务）：</w:t>
      </w:r>
    </w:p>
    <w:p/>
    <w:p>
      <w:r>
        <w:rPr/>
        <w:t>1)供应商未被列入“信用中国”网站(www.creditchina.gov.cn)“失信被执行人或重大税收违法失信主体或政府采购严重违法失信行为记录名单”； 不处于中国政府采购网(www.ccgp.gov.cn)“政府采购严重违法失信行为记录名单”中的禁止参加政府采购活动期间。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3)投标机构符合国家有关政事分开、政社分开的要求。（出具无现职国家公务员兼职的承诺函，格式自拟。）</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广东志正招标有限公司（www.zztender.com/）</w:t>
      </w:r>
      <w:r>
        <w:rPr/>
        <w:t>。</w:t>
      </w:r>
    </w:p>
    <w:p>
      <w:r>
        <w:rPr>
          <w:b/>
          <w:sz w:val="28"/>
        </w:rPr>
        <w:t>六.本项目联系方式：</w:t>
      </w:r>
    </w:p>
    <w:p>
      <w:r>
        <w:rPr>
          <w:b/>
          <w:sz w:val="24"/>
        </w:rPr>
        <w:t>1.采购人信息</w:t>
      </w:r>
    </w:p>
    <w:p>
      <w:pPr>
        <w:ind w:firstLine="480"/>
      </w:pPr>
      <w:r>
        <w:rPr/>
        <w:t>名称：</w:t>
      </w:r>
      <w:r>
        <w:rPr/>
        <w:t>广州市黄埔区人民政府鱼珠街道办事处</w:t>
      </w:r>
    </w:p>
    <w:p>
      <w:pPr>
        <w:ind w:firstLine="480"/>
      </w:pPr>
      <w:r>
        <w:rPr/>
        <w:t>地址：</w:t>
      </w:r>
      <w:r>
        <w:rPr/>
        <w:t>广州市黄埔区中山大道东 214 号</w:t>
      </w:r>
    </w:p>
    <w:p>
      <w:pPr>
        <w:ind w:firstLine="480"/>
      </w:pPr>
      <w:r>
        <w:rPr/>
        <w:t>联系方式：</w:t>
      </w:r>
      <w:r>
        <w:rPr/>
        <w:t>020-82289570</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02087554618</w:t>
      </w:r>
    </w:p>
    <w:p>
      <w:r>
        <w:rPr>
          <w:b/>
          <w:sz w:val="24"/>
        </w:rPr>
        <w:t>3.项目联系方式</w:t>
      </w:r>
    </w:p>
    <w:p>
      <w:pPr>
        <w:ind w:firstLine="480"/>
      </w:pPr>
      <w:r>
        <w:rPr/>
        <w:t>项目联系人：</w:t>
      </w:r>
      <w:r>
        <w:rPr/>
        <w:t>叶小姐、吴小姐</w:t>
      </w:r>
    </w:p>
    <w:p>
      <w:pPr>
        <w:ind w:firstLine="480"/>
      </w:pPr>
      <w:r>
        <w:rPr/>
        <w:t>电话：</w:t>
      </w:r>
      <w:r>
        <w:rPr/>
        <w:t>02087554618</w:t>
      </w:r>
    </w:p>
    <w:p>
      <w:r>
        <w:rPr>
          <w:b/>
          <w:sz w:val="24"/>
        </w:rPr>
        <w:t>4.技术支持联系方式</w:t>
      </w:r>
    </w:p>
    <w:p>
      <w:pPr>
        <w:ind w:firstLine="480"/>
      </w:pPr>
      <w:r>
        <w:rPr/>
        <w:t>云平台联系方式：020-88696588</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2"/>
        <w:jc w:val="both"/>
      </w:pPr>
      <w:r>
        <w:rPr>
          <w:b/>
          <w:sz w:val="21"/>
        </w:rPr>
        <w:t>说明：</w:t>
      </w:r>
    </w:p>
    <w:p>
      <w:pPr>
        <w:jc w:val="both"/>
      </w:pPr>
      <w:r>
        <w:rPr>
          <w:sz w:val="21"/>
        </w:rPr>
        <w:t>1.投标人须对本项目为单位的所有标的物进行整体投标，任何只对其中一部分内容进行的投标都被视为无效投标。</w:t>
      </w:r>
    </w:p>
    <w:p>
      <w:pPr>
        <w:jc w:val="both"/>
      </w:pPr>
      <w:r>
        <w:rPr>
          <w:sz w:val="21"/>
        </w:rPr>
        <w:t>2.本招标文件中，凡标有“★”的地方，投标人要特别加以注意，必须对此作出一一响应。若有一项带“★”的指标未响应或不满足，将导致其废标或投标无效。</w:t>
      </w:r>
    </w:p>
    <w:p>
      <w:pPr>
        <w:jc w:val="both"/>
      </w:pPr>
      <w:r>
        <w:rPr>
          <w:sz w:val="21"/>
        </w:rPr>
        <w:t>3.中小企业声明函中，本项目</w:t>
      </w:r>
      <w:r>
        <w:rPr>
          <w:sz w:val="21"/>
          <w:u w:val="single"/>
        </w:rPr>
        <w:t>鱼珠街社工服务站（家庭综合服务中心）运营服务采购项目</w:t>
      </w:r>
      <w:r>
        <w:rPr>
          <w:sz w:val="21"/>
        </w:rPr>
        <w:t>属于</w:t>
      </w:r>
      <w:r>
        <w:rPr>
          <w:b/>
          <w:sz w:val="21"/>
        </w:rPr>
        <w:t>为</w:t>
      </w:r>
      <w:r>
        <w:rPr>
          <w:b/>
          <w:sz w:val="21"/>
        </w:rPr>
        <w:t>其他未列明行业</w:t>
      </w:r>
      <w:r>
        <w:rPr>
          <w:b/>
          <w:sz w:val="21"/>
        </w:rPr>
        <w:t>。</w:t>
      </w:r>
    </w:p>
    <w:p>
      <w:pPr>
        <w:jc w:val="both"/>
      </w:pPr>
      <w:r>
        <w:rPr>
          <w:sz w:val="21"/>
        </w:rPr>
        <w:t>4.本项目属于不专门面向中小微企业预留采购份额的项目，原因和情形为：</w:t>
      </w:r>
    </w:p>
    <w:p>
      <w:pPr>
        <w:ind w:firstLine="420"/>
        <w:jc w:val="both"/>
      </w:pPr>
      <w:r>
        <w:rPr>
          <w:sz w:val="21"/>
        </w:rPr>
        <w:t>法律法规和国家有关政策明确规定优先或者应当面向事业单位、社会组织等非企业主体采购的；</w:t>
      </w:r>
    </w:p>
    <w:p>
      <w:pPr>
        <w:ind w:firstLine="420"/>
        <w:jc w:val="both"/>
      </w:pPr>
      <w:r>
        <w:rPr>
          <w:sz w:val="21"/>
        </w:rPr>
        <w:t>因确需使用不可替代的专利、专有技术，基础设施限制，或者提供特定公共服务等原因，只能从中小企业之外的供应商处采购的。</w:t>
      </w:r>
    </w:p>
    <w:p>
      <w:pPr>
        <w:jc w:val="both"/>
      </w:pPr>
      <w:r>
        <w:rPr>
          <w:sz w:val="21"/>
        </w:rPr>
        <w:t>5.</w:t>
      </w:r>
      <w:r>
        <w:rPr>
          <w:sz w:val="21"/>
        </w:rPr>
        <w:t>★中标人应按照《中华人民共和国劳动法》的相关规定发放工资，服务人员工资不得低于广州市企业职工最低工资标准（工资不含按国家规定供应商必须支付的社会保险及其他应付费用）。</w:t>
      </w:r>
    </w:p>
    <w:p>
      <w:pPr>
        <w:jc w:val="both"/>
      </w:pPr>
      <w:r>
        <w:rPr>
          <w:sz w:val="21"/>
        </w:rPr>
        <w:t>6.</w:t>
      </w:r>
      <w:r>
        <w:rPr>
          <w:sz w:val="21"/>
        </w:rPr>
        <w:t>★中标人应按照《中华人民共和国社会保险法》和《住房公积金管理条例》的相关规定，支付国家规定必须购买的社会保险费用和缴存住房公积金。</w:t>
      </w:r>
    </w:p>
    <w:p>
      <w:pPr>
        <w:ind w:firstLine="422"/>
        <w:jc w:val="both"/>
      </w:pPr>
    </w:p>
    <w:p>
      <w:pPr>
        <w:ind w:firstLine="422"/>
        <w:jc w:val="both"/>
      </w:pPr>
      <w:r>
        <w:rPr>
          <w:b/>
          <w:sz w:val="21"/>
        </w:rPr>
        <w:t>（一）项目概述</w:t>
      </w:r>
    </w:p>
    <w:p>
      <w:pPr>
        <w:ind w:firstLine="420"/>
        <w:jc w:val="both"/>
      </w:pPr>
      <w:r>
        <w:rPr>
          <w:sz w:val="21"/>
        </w:rPr>
        <w:t>1、项目名称</w:t>
      </w:r>
    </w:p>
    <w:p>
      <w:pPr>
        <w:ind w:firstLine="420"/>
        <w:jc w:val="both"/>
      </w:pPr>
      <w:r>
        <w:rPr>
          <w:sz w:val="21"/>
        </w:rPr>
        <w:t>鱼珠街社工服务站（家庭综合服务中心）运营服务采购项目</w:t>
      </w:r>
    </w:p>
    <w:p>
      <w:pPr>
        <w:ind w:firstLine="420"/>
        <w:jc w:val="both"/>
      </w:pPr>
      <w:r>
        <w:rPr>
          <w:sz w:val="21"/>
        </w:rPr>
        <w:t>2、项目概况</w:t>
      </w:r>
    </w:p>
    <w:p>
      <w:pPr>
        <w:ind w:firstLine="420"/>
        <w:jc w:val="both"/>
      </w:pPr>
      <w:r>
        <w:rPr>
          <w:sz w:val="21"/>
        </w:rPr>
        <w:t>本项目属于服务类，为鱼珠街社工服务站（家庭综合服务中心）运营服务采购项目，项目采购金额为</w:t>
      </w:r>
      <w:r>
        <w:rPr>
          <w:sz w:val="21"/>
        </w:rPr>
        <w:t>720万元。资金来源：财政拨款。</w:t>
      </w:r>
    </w:p>
    <w:p>
      <w:pPr>
        <w:ind w:firstLine="420"/>
        <w:jc w:val="both"/>
      </w:pPr>
      <w:r>
        <w:rPr>
          <w:sz w:val="21"/>
        </w:rPr>
        <w:t>3、概要</w:t>
      </w:r>
    </w:p>
    <w:p>
      <w:pPr>
        <w:ind w:firstLine="420"/>
        <w:jc w:val="both"/>
      </w:pPr>
      <w:r>
        <w:rPr>
          <w:sz w:val="21"/>
        </w:rPr>
        <w:t>（</w:t>
      </w:r>
      <w:r>
        <w:rPr>
          <w:sz w:val="21"/>
        </w:rPr>
        <w:t>1）根据《“广州兜底民生服务社会工作双百工程”实施方案》、《广州市人民政府办公厅关于印发广州市社工服务站（家庭综合服务中心）管理办法的通知》穗府办规〔2018〕13号要求，鱼珠街社工服务站（家庭综合服务中心）2023—2026年度的</w:t>
      </w:r>
      <w:r>
        <w:rPr>
          <w:sz w:val="21"/>
        </w:rPr>
        <w:t>运作模式采用政府购买服务进行，现通过政府采购的公开招标形式向社工类社会组织进行招标采购。</w:t>
      </w:r>
    </w:p>
    <w:p>
      <w:pPr>
        <w:ind w:firstLine="420"/>
        <w:jc w:val="both"/>
      </w:pPr>
      <w:r>
        <w:rPr>
          <w:sz w:val="21"/>
        </w:rPr>
        <w:t>（</w:t>
      </w:r>
      <w:r>
        <w:rPr>
          <w:sz w:val="21"/>
        </w:rPr>
        <w:t>2）鱼珠街基本情况。</w:t>
      </w:r>
    </w:p>
    <w:p>
      <w:pPr>
        <w:ind w:firstLine="420"/>
        <w:jc w:val="both"/>
      </w:pPr>
      <w:r>
        <w:rPr>
          <w:sz w:val="21"/>
        </w:rPr>
        <w:t>鱼珠街位于黄埔区西南部，东起荔香路，西至深涌河，南濒珠江，北到珠江稀土有限公司，街道行政管理面积</w:t>
      </w:r>
      <w:r>
        <w:rPr>
          <w:sz w:val="21"/>
        </w:rPr>
        <w:t>9.11平方公里，有耕地22公顷，山林地73.33公顷。辖内有中华人民共和国广州海事局、广州黄埔海事处、广东省鱼珠林产集团有限公司、广东珠江稀土有限公司、广东太古可口可乐有限公司、广东鱼珠物流基地有限公司、广州本田汽车有限公司、东风本田发动机有限公司等43家中央、省、市单位（企业）。辖内有7所幼儿园（锦田幼儿园、岭南幼儿园、国光学校附属幼儿园、茅岗幼儿园、金碧世纪实验幼儿园、荔香花园幼儿园、鱼木幼儿园）、4所小学（恒威实验小学、茅岗小学、鱼珠小学、国光小学）、2所中学（初中123中和高中86中）。另外，辖区内有1所二甲医院以及3所社区卫生医院。</w:t>
      </w:r>
    </w:p>
    <w:p>
      <w:pPr>
        <w:ind w:firstLine="420"/>
        <w:jc w:val="both"/>
      </w:pPr>
      <w:r>
        <w:rPr>
          <w:sz w:val="21"/>
        </w:rPr>
        <w:t>辖区管辖九个社区，社区名称分别是茅岗、鱼木、鱼珠、九沙、蟹山、瓦壶岗、天虹、莺岗、金碧。总人口</w:t>
      </w:r>
      <w:r>
        <w:rPr>
          <w:sz w:val="21"/>
        </w:rPr>
        <w:t>67335人，其中，本地户籍32091人，流动人口35244人。</w:t>
      </w:r>
    </w:p>
    <w:p>
      <w:pPr>
        <w:ind w:firstLine="420"/>
        <w:jc w:val="both"/>
      </w:pPr>
      <w:r>
        <w:rPr>
          <w:sz w:val="21"/>
        </w:rPr>
        <w:t>4、服务时间及工时要求</w:t>
      </w:r>
    </w:p>
    <w:tbl>
      <w:tblPr>
        <w:tblW w:w="0" w:type="auto"/>
        <w:tblBorders>
          <w:top w:val="none" w:color="000000" w:sz="4"/>
          <w:left w:val="none" w:color="000000" w:sz="4"/>
          <w:bottom w:val="none" w:color="000000" w:sz="4"/>
          <w:right w:val="none" w:color="000000" w:sz="4"/>
          <w:insideH w:val="none"/>
          <w:insideV w:val="none"/>
        </w:tblBorders>
      </w:tblPr>
      <w:tblGrid>
        <w:gridCol w:w="2325"/>
        <w:gridCol w:w="2567"/>
        <w:gridCol w:w="1478"/>
        <w:gridCol w:w="1935"/>
      </w:tblGrid>
      <w:tr>
        <w:tc>
          <w:tcPr>
            <w:tcW w:type="dxa" w:w="2325"/>
            <w:tcBorders>
              <w:top w:val="single" w:color="000000" w:sz="4"/>
              <w:left w:val="single" w:color="000000" w:sz="4"/>
              <w:bottom w:val="single" w:color="000000" w:sz="4"/>
              <w:right w:val="single" w:color="000000" w:sz="4"/>
            </w:tcBorders>
            <w:vAlign w:val="top"/>
          </w:tcPr>
          <w:p>
            <w:pPr>
              <w:jc w:val="center"/>
            </w:pPr>
            <w:r>
              <w:rPr>
                <w:b/>
                <w:sz w:val="21"/>
              </w:rPr>
              <w:t>服务内容</w:t>
            </w:r>
          </w:p>
        </w:tc>
        <w:tc>
          <w:tcPr>
            <w:tcW w:type="dxa" w:w="2567"/>
            <w:tcBorders>
              <w:top w:val="single" w:color="000000" w:sz="4"/>
              <w:left w:val="none" w:color="000000" w:sz="4"/>
              <w:bottom w:val="single" w:color="000000" w:sz="4"/>
              <w:right w:val="single" w:color="000000" w:sz="4"/>
            </w:tcBorders>
            <w:vAlign w:val="top"/>
          </w:tcPr>
          <w:p>
            <w:pPr>
              <w:jc w:val="center"/>
            </w:pPr>
            <w:r>
              <w:rPr>
                <w:b/>
                <w:sz w:val="21"/>
              </w:rPr>
              <w:t>服务时间</w:t>
            </w:r>
          </w:p>
        </w:tc>
        <w:tc>
          <w:tcPr>
            <w:tcW w:type="dxa" w:w="1478"/>
            <w:tcBorders>
              <w:top w:val="single" w:color="000000" w:sz="4"/>
              <w:left w:val="none" w:color="000000" w:sz="4"/>
              <w:bottom w:val="single" w:color="000000" w:sz="4"/>
              <w:right w:val="single" w:color="000000" w:sz="4"/>
            </w:tcBorders>
            <w:vAlign w:val="top"/>
          </w:tcPr>
          <w:p>
            <w:pPr>
              <w:jc w:val="center"/>
            </w:pPr>
            <w:r>
              <w:rPr>
                <w:b/>
                <w:sz w:val="21"/>
              </w:rPr>
              <w:t>采购预算</w:t>
            </w:r>
          </w:p>
        </w:tc>
        <w:tc>
          <w:tcPr>
            <w:tcW w:type="dxa" w:w="1935"/>
            <w:tcBorders>
              <w:top w:val="single" w:color="000000" w:sz="4"/>
              <w:left w:val="none" w:color="000000" w:sz="4"/>
              <w:bottom w:val="single" w:color="000000" w:sz="4"/>
              <w:right w:val="single" w:color="000000" w:sz="4"/>
            </w:tcBorders>
            <w:vAlign w:val="top"/>
          </w:tcPr>
          <w:p>
            <w:pPr>
              <w:jc w:val="center"/>
            </w:pPr>
            <w:r>
              <w:rPr>
                <w:b/>
                <w:sz w:val="21"/>
              </w:rPr>
              <w:t>最低服务工时量</w:t>
            </w:r>
          </w:p>
        </w:tc>
      </w:tr>
      <w:tr>
        <w:tc>
          <w:tcPr>
            <w:tcW w:type="dxa" w:w="2325"/>
            <w:tcBorders>
              <w:top w:val="none" w:color="000000" w:sz="4"/>
              <w:left w:val="single" w:color="000000" w:sz="4"/>
              <w:bottom w:val="single" w:color="000000" w:sz="4"/>
              <w:right w:val="single" w:color="000000" w:sz="4"/>
            </w:tcBorders>
            <w:vAlign w:val="top"/>
          </w:tcPr>
          <w:p>
            <w:pPr>
              <w:jc w:val="center"/>
            </w:pPr>
            <w:r>
              <w:rPr>
                <w:sz w:val="21"/>
              </w:rPr>
              <w:t>鱼珠街社工服务站（家庭综合服务中心）运营服务采购项目</w:t>
            </w:r>
          </w:p>
        </w:tc>
        <w:tc>
          <w:tcPr>
            <w:tcW w:type="dxa" w:w="2567"/>
            <w:tcBorders>
              <w:top w:val="none" w:color="000000" w:sz="4"/>
              <w:left w:val="none" w:color="000000" w:sz="4"/>
              <w:bottom w:val="single" w:color="000000" w:sz="4"/>
              <w:right w:val="single" w:color="000000" w:sz="4"/>
            </w:tcBorders>
            <w:vAlign w:val="top"/>
          </w:tcPr>
          <w:p>
            <w:pPr>
              <w:jc w:val="center"/>
            </w:pPr>
            <w:r>
              <w:rPr>
                <w:sz w:val="21"/>
              </w:rPr>
              <w:t>服务期限三年，自2023年7月1日至2026年6月30日止。</w:t>
            </w:r>
          </w:p>
        </w:tc>
        <w:tc>
          <w:tcPr>
            <w:tcW w:type="dxa" w:w="1478"/>
            <w:tcBorders>
              <w:top w:val="none" w:color="000000" w:sz="4"/>
              <w:left w:val="none" w:color="000000" w:sz="4"/>
              <w:bottom w:val="single" w:color="000000" w:sz="4"/>
              <w:right w:val="single" w:color="000000" w:sz="4"/>
            </w:tcBorders>
            <w:vAlign w:val="top"/>
          </w:tcPr>
          <w:p>
            <w:pPr>
              <w:jc w:val="center"/>
            </w:pPr>
            <w:r>
              <w:rPr>
                <w:sz w:val="21"/>
              </w:rPr>
              <w:t>人民币720万元</w:t>
            </w:r>
          </w:p>
        </w:tc>
        <w:tc>
          <w:tcPr>
            <w:tcW w:type="dxa" w:w="1935"/>
            <w:tcBorders>
              <w:top w:val="none" w:color="000000" w:sz="4"/>
              <w:left w:val="none" w:color="000000" w:sz="4"/>
              <w:bottom w:val="single" w:color="000000" w:sz="4"/>
              <w:right w:val="single" w:color="000000" w:sz="4"/>
            </w:tcBorders>
            <w:vAlign w:val="top"/>
          </w:tcPr>
          <w:p>
            <w:pPr>
              <w:jc w:val="center"/>
            </w:pPr>
            <w:r>
              <w:rPr>
                <w:sz w:val="21"/>
              </w:rPr>
              <w:t>35244小时/年</w:t>
            </w:r>
          </w:p>
          <w:p>
            <w:pPr>
              <w:jc w:val="center"/>
            </w:pPr>
            <w:r>
              <w:rPr>
                <w:sz w:val="21"/>
              </w:rPr>
              <w:t>105732小时/三年</w:t>
            </w:r>
          </w:p>
        </w:tc>
      </w:tr>
    </w:tbl>
    <w:p>
      <w:pPr>
        <w:ind w:firstLine="422"/>
        <w:jc w:val="both"/>
      </w:pPr>
      <w:r>
        <w:rPr>
          <w:b/>
          <w:sz w:val="21"/>
        </w:rPr>
        <w:t>注：</w:t>
      </w:r>
      <w:r>
        <w:rPr>
          <w:b/>
          <w:sz w:val="21"/>
        </w:rPr>
        <w:t>1.年度直接专业服务工时，指的是项目20名社工一年直接提供专业服务的工作时间，项目年度直接专业服务工时=年度服务总工时-年度间接服务工时，即年度直接专业服务工时=39200-3956=35244小时。</w:t>
      </w:r>
    </w:p>
    <w:p>
      <w:pPr>
        <w:ind w:firstLine="422"/>
        <w:jc w:val="both"/>
      </w:pPr>
      <w:r>
        <w:rPr>
          <w:b/>
          <w:sz w:val="21"/>
        </w:rPr>
        <w:t>2.关于项目的服务时间和购买服务经费标准，另有新的文件规定的，按照有关规定执行。</w:t>
      </w:r>
    </w:p>
    <w:p>
      <w:pPr>
        <w:jc w:val="both"/>
      </w:pPr>
      <w:r>
        <w:rPr>
          <w:b/>
          <w:sz w:val="21"/>
        </w:rPr>
        <w:t>（</w:t>
      </w:r>
      <w:r>
        <w:rPr>
          <w:b/>
          <w:sz w:val="21"/>
        </w:rPr>
        <w:t>二</w:t>
      </w:r>
      <w:r>
        <w:rPr>
          <w:b/>
          <w:sz w:val="21"/>
        </w:rPr>
        <w:t>）</w:t>
      </w:r>
      <w:r>
        <w:rPr>
          <w:b/>
          <w:sz w:val="21"/>
        </w:rPr>
        <w:t>投标报价</w:t>
      </w:r>
      <w:r>
        <w:rPr>
          <w:b/>
          <w:sz w:val="21"/>
        </w:rPr>
        <w:t>（招标文件中其他条款与本条款不一致的，以本条款为准）</w:t>
      </w:r>
    </w:p>
    <w:p>
      <w:pPr>
        <w:ind w:firstLine="420"/>
        <w:jc w:val="both"/>
      </w:pPr>
      <w:r>
        <w:rPr>
          <w:sz w:val="21"/>
        </w:rPr>
        <w:t>本项目为固定总价项目，供应商按照项目预算（即人民币</w:t>
      </w:r>
      <w:r>
        <w:rPr>
          <w:sz w:val="21"/>
        </w:rPr>
        <w:t>720万元/三年）在云平台系统上进行填写。</w:t>
      </w:r>
      <w:r>
        <w:rPr>
          <w:b/>
          <w:sz w:val="21"/>
        </w:rPr>
        <w:t>投标人须在投标文件中按以下格式进行服务工时量报价，价格评审时以投标人所报</w:t>
      </w:r>
      <w:r>
        <w:rPr>
          <w:b/>
          <w:sz w:val="21"/>
        </w:rPr>
        <w:t>服务工时量进行价格评审</w:t>
      </w:r>
      <w:r>
        <w:rPr>
          <w:b/>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3132"/>
        <w:gridCol w:w="3024"/>
        <w:gridCol w:w="2150"/>
      </w:tblGrid>
      <w:tr>
        <w:tc>
          <w:tcPr>
            <w:tcW w:type="dxa" w:w="3132"/>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3024"/>
            <w:tcBorders>
              <w:top w:val="single" w:color="000000" w:sz="4"/>
              <w:left w:val="none" w:color="000000" w:sz="4"/>
              <w:bottom w:val="single" w:color="000000" w:sz="4"/>
              <w:right w:val="single" w:color="000000" w:sz="4"/>
            </w:tcBorders>
            <w:vAlign w:val="top"/>
          </w:tcPr>
          <w:p>
            <w:pPr>
              <w:jc w:val="center"/>
            </w:pPr>
            <w:r>
              <w:rPr>
                <w:b/>
                <w:sz w:val="21"/>
              </w:rPr>
              <w:t>服务工时量报价</w:t>
            </w:r>
          </w:p>
        </w:tc>
        <w:tc>
          <w:tcPr>
            <w:tcW w:type="dxa" w:w="2150"/>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3132"/>
            <w:tcBorders>
              <w:top w:val="none" w:color="000000" w:sz="4"/>
              <w:left w:val="single" w:color="000000" w:sz="4"/>
              <w:bottom w:val="single" w:color="000000" w:sz="4"/>
              <w:right w:val="single" w:color="000000" w:sz="4"/>
            </w:tcBorders>
            <w:vAlign w:val="top"/>
          </w:tcPr>
          <w:p>
            <w:pPr>
              <w:jc w:val="center"/>
            </w:pPr>
            <w:r>
              <w:rPr>
                <w:sz w:val="21"/>
              </w:rPr>
              <w:t>鱼珠街社工服务站（家庭综合服务中心）运营服务采购项目</w:t>
            </w:r>
          </w:p>
        </w:tc>
        <w:tc>
          <w:tcPr>
            <w:tcW w:type="dxa" w:w="3024"/>
            <w:tcBorders>
              <w:top w:val="none" w:color="000000" w:sz="4"/>
              <w:left w:val="none" w:color="000000" w:sz="4"/>
              <w:bottom w:val="single" w:color="000000" w:sz="4"/>
              <w:right w:val="single" w:color="000000" w:sz="4"/>
            </w:tcBorders>
            <w:vAlign w:val="top"/>
          </w:tcPr>
          <w:p>
            <w:pPr>
              <w:jc w:val="center"/>
            </w:pPr>
            <w:r>
              <w:rPr>
                <w:sz w:val="21"/>
              </w:rPr>
              <w:t>小写：</w:t>
            </w:r>
            <w:r>
              <w:rPr>
                <w:sz w:val="21"/>
                <w:u w:val="single"/>
              </w:rPr>
              <w:t xml:space="preserve">          </w:t>
            </w:r>
            <w:r>
              <w:rPr>
                <w:sz w:val="21"/>
              </w:rPr>
              <w:t>小时/年</w:t>
            </w:r>
          </w:p>
          <w:p>
            <w:pPr>
              <w:jc w:val="center"/>
            </w:pPr>
            <w:r>
              <w:rPr>
                <w:sz w:val="21"/>
              </w:rPr>
              <w:t>大写：</w:t>
            </w:r>
            <w:r>
              <w:rPr>
                <w:sz w:val="21"/>
                <w:u w:val="single"/>
              </w:rPr>
              <w:t xml:space="preserve">           </w:t>
            </w:r>
            <w:r>
              <w:rPr>
                <w:sz w:val="21"/>
              </w:rPr>
              <w:t>小时/年</w:t>
            </w:r>
          </w:p>
        </w:tc>
        <w:tc>
          <w:tcPr>
            <w:tcW w:type="dxa" w:w="2150"/>
            <w:tcBorders>
              <w:top w:val="none" w:color="000000" w:sz="4"/>
              <w:left w:val="none" w:color="000000" w:sz="4"/>
              <w:bottom w:val="single" w:color="000000" w:sz="4"/>
              <w:right w:val="single" w:color="000000" w:sz="4"/>
            </w:tcBorders>
            <w:vAlign w:val="top"/>
          </w:tcPr>
          <w:p>
            <w:pPr>
              <w:jc w:val="center"/>
            </w:pPr>
            <w:r>
              <w:rPr>
                <w:b/>
                <w:sz w:val="21"/>
              </w:rPr>
              <w:t>不得低于35244小时/年</w:t>
            </w:r>
          </w:p>
        </w:tc>
      </w:tr>
    </w:tbl>
    <w:p>
      <w:pPr>
        <w:ind w:firstLine="420"/>
        <w:jc w:val="both"/>
      </w:pPr>
      <w:r>
        <w:rPr>
          <w:sz w:val="21"/>
        </w:rPr>
        <w:t>注：</w:t>
      </w:r>
      <w:r>
        <w:rPr>
          <w:sz w:val="21"/>
        </w:rPr>
        <w:t>1、未按上述要求进行报价导致无法计算其价格得分的，视为无效投标。</w:t>
      </w:r>
    </w:p>
    <w:p>
      <w:pPr>
        <w:ind w:firstLine="420"/>
        <w:jc w:val="both"/>
      </w:pPr>
      <w:r>
        <w:rPr>
          <w:sz w:val="21"/>
        </w:rPr>
        <w:t>2、服务工时量报价不得低于35244小时/年，否则视为无效投标。</w:t>
      </w:r>
    </w:p>
    <w:p>
      <w:pPr>
        <w:ind w:firstLine="420"/>
        <w:jc w:val="both"/>
      </w:pPr>
      <w:r>
        <w:rPr>
          <w:sz w:val="21"/>
        </w:rPr>
        <w:t>3、</w:t>
      </w:r>
      <w:r>
        <w:rPr>
          <w:sz w:val="21"/>
        </w:rPr>
        <w:t>评标委员会认为</w:t>
      </w:r>
      <w:r>
        <w:rPr>
          <w:sz w:val="21"/>
        </w:rPr>
        <w:t>工时明显超出合理范围的</w:t>
      </w:r>
      <w:r>
        <w:rPr>
          <w:sz w:val="21"/>
        </w:rPr>
        <w:t>，有可能影响产品质量或者不能诚信履约的，应当要求其在评标现场合理的时间内提供书面说明，必要时提交相关证明材料；投标人不能证明其报价合理性的，评标委员会应当将其作为无效投标处理。</w:t>
      </w:r>
    </w:p>
    <w:p>
      <w:pPr>
        <w:jc w:val="both"/>
      </w:pPr>
      <w:r>
        <w:rPr>
          <w:b/>
          <w:sz w:val="21"/>
        </w:rPr>
        <w:t>（三）价格评审（招标文件中其他条款与本条款不一致的，以本条款为准）</w:t>
      </w:r>
    </w:p>
    <w:p>
      <w:pPr>
        <w:ind w:firstLine="420"/>
        <w:jc w:val="both"/>
      </w:pPr>
      <w:r>
        <w:rPr>
          <w:sz w:val="21"/>
        </w:rPr>
        <w:t>以各投标人所报一年服务工时量进行价格评分，价格分统一采用采用量多优先法计算，即满足招标文件要求且服务工时量最高的投标报价为评标基准工时，其价格分为满分。其他投标人服务总工时分统一按照下列公式计算：</w:t>
      </w:r>
    </w:p>
    <w:p>
      <w:pPr>
        <w:ind w:firstLine="420"/>
        <w:jc w:val="both"/>
      </w:pPr>
      <w:r>
        <w:rPr>
          <w:sz w:val="21"/>
        </w:rPr>
        <w:t>投标服务工时量得分=[投标服务工时量/评标基准工时]×价格分值。</w:t>
      </w:r>
    </w:p>
    <w:p>
      <w:pPr>
        <w:ind w:firstLine="420"/>
        <w:jc w:val="both"/>
      </w:pPr>
      <w:r>
        <w:rPr>
          <w:sz w:val="21"/>
        </w:rPr>
        <w:t>因落实政府采购政策进行工时调整的，以调整后的评标基准工时和投标服务工时为准。</w:t>
      </w:r>
    </w:p>
    <w:p/>
    <w:p>
      <w:pPr>
        <w:ind w:firstLine="480"/>
      </w:pPr>
    </w:p>
    <w:p/>
    <w:p>
      <w:r>
        <w:rPr/>
        <w:t>采购包1（鱼珠街社工服务站（家庭综合服务中心）运营服务）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服务期限三年，自2023年7月1日至2026年6月30日止。</w:t>
            </w:r>
          </w:p>
        </w:tc>
      </w:tr>
      <w:tr>
        <w:tc>
          <w:tcPr>
            <w:tcW w:type="dxa" w:w="4153"/>
          </w:tcPr>
          <w:p>
            <w:r>
              <w:rPr/>
              <w:t>标的提供的地点</w:t>
            </w:r>
          </w:p>
        </w:tc>
        <w:tc>
          <w:tcPr>
            <w:tcW w:type="dxa" w:w="4153"/>
          </w:tcPr>
          <w:p/>
          <w:p>
            <w:r>
              <w:rPr/>
              <w:t>广州市黄埔区人民政府鱼珠街道</w:t>
            </w:r>
          </w:p>
        </w:tc>
      </w:tr>
      <w:tr>
        <w:tc>
          <w:tcPr>
            <w:tcW w:type="dxa" w:w="4153"/>
          </w:tcPr>
          <w:p>
            <w:r>
              <w:rPr/>
              <w:t>付款方式</w:t>
            </w:r>
          </w:p>
        </w:tc>
        <w:tc>
          <w:tcPr>
            <w:tcW w:type="dxa" w:w="4153"/>
          </w:tcPr>
          <w:p/>
          <w:p/>
          <w:p>
            <w:r>
              <w:rPr/>
              <w:t>1期：支付比例55%,1、在合同签订生效之日起30个工作日内，拨付年度项目经费总额的55%；</w:t>
            </w:r>
          </w:p>
          <w:p/>
          <w:p>
            <w:r>
              <w:rPr/>
              <w:t>2期：支付比例40%,2、年度中期评估为合格以上的，拨付年度项目经费总额的40%；</w:t>
            </w:r>
          </w:p>
          <w:p/>
          <w:p>
            <w:r>
              <w:rPr/>
              <w:t>3期：支付比例5%,3、年度末期评估为合格以上的，拨付年度项目经费总额的5%。 4、本合同的款项均以人民币方式支付，支付的所需文件、时间和金额如下： （一）合同； （二）验收报告（加盖采购人公章）； （三）中标通知书。 合同签订后相应服务在经广州市黄埔区民政局审核，中标人在采购人指定时间内全部完成后，采购人在收到中标人提供的正式全额发票后5个工作日内办理支付手续。</w:t>
            </w:r>
          </w:p>
        </w:tc>
      </w:tr>
      <w:tr>
        <w:tc>
          <w:tcPr>
            <w:tcW w:type="dxa" w:w="4153"/>
          </w:tcPr>
          <w:p>
            <w:r>
              <w:rPr/>
              <w:t>验收要求</w:t>
            </w:r>
          </w:p>
        </w:tc>
        <w:tc>
          <w:tcPr>
            <w:tcW w:type="dxa" w:w="4153"/>
          </w:tcPr>
          <w:p/>
          <w:p/>
          <w:p/>
          <w:p>
            <w:r>
              <w:rPr/>
              <w:t>1期：（一）由黄埔区民政局根据市相关文件和要求，委托第三方对服务项目开展监督、检查、评估工作。评估包括中期评估、末期评估。评估由第三方评估机构、镇人民政府（街道办事处）、区民政局三方共同实施。 （二）评估分为专业服务评估和财务评估，专业服务评估是指对项目管理、服务开展过程、服务质量等进行评估，财务评估是指对项目经费使用及管理情况等进行评估。服务及财务评估结果“合格”及以上等级的，方可按照合同予以拨款、续约。评估结果为“不合格”的，项目剩余经费不予拨付并终止合同，并相应追回有关资金。</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其他社会服务</w:t>
            </w:r>
          </w:p>
        </w:tc>
        <w:tc>
          <w:tcPr>
            <w:tcW w:type="dxa" w:w="933"/>
          </w:tcPr>
          <w:p>
            <w:pPr>
              <w:jc w:val="left"/>
            </w:pPr>
            <w:r>
              <w:rPr/>
              <w:t>鱼珠街社工服务站（家庭综合服务中心）运营服务</w:t>
            </w:r>
          </w:p>
        </w:tc>
        <w:tc>
          <w:tcPr>
            <w:tcW w:type="dxa" w:w="933"/>
          </w:tcPr>
          <w:p>
            <w:pPr>
              <w:jc w:val="left"/>
            </w:pPr>
            <w:r>
              <w:rPr/>
              <w:t>项</w:t>
            </w:r>
          </w:p>
        </w:tc>
        <w:tc>
          <w:tcPr>
            <w:tcW w:type="dxa" w:w="933"/>
          </w:tcPr>
          <w:p>
            <w:pPr>
              <w:jc w:val="right"/>
            </w:pPr>
            <w:r>
              <w:rPr/>
              <w:t>1.00</w:t>
            </w:r>
          </w:p>
        </w:tc>
        <w:tc>
          <w:tcPr>
            <w:tcW w:type="dxa" w:w="933"/>
          </w:tcPr>
          <w:p>
            <w:pPr>
              <w:jc w:val="right"/>
            </w:pPr>
            <w:r>
              <w:rPr/>
              <w:t>7,200,000.00</w:t>
            </w:r>
          </w:p>
        </w:tc>
        <w:tc>
          <w:tcPr>
            <w:tcW w:type="dxa" w:w="933"/>
          </w:tcPr>
          <w:p>
            <w:pPr>
              <w:jc w:val="right"/>
            </w:pPr>
            <w:r>
              <w:rPr/>
              <w:t>7,200,000.00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鱼珠街社工服务站（家庭综合服务中心）运营服务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22"/>
              <w:jc w:val="both"/>
            </w:pPr>
            <w:r>
              <w:rPr>
                <w:b/>
                <w:sz w:val="21"/>
              </w:rPr>
              <w:t>一</w:t>
            </w:r>
            <w:r>
              <w:rPr>
                <w:b/>
                <w:sz w:val="21"/>
              </w:rPr>
              <w:t>、服务相关要求</w:t>
            </w:r>
          </w:p>
          <w:p>
            <w:pPr>
              <w:ind w:firstLine="422"/>
              <w:jc w:val="both"/>
            </w:pPr>
            <w:r>
              <w:rPr>
                <w:b/>
                <w:sz w:val="21"/>
              </w:rPr>
              <w:t>（一）服务范围：</w:t>
            </w:r>
            <w:r>
              <w:rPr>
                <w:sz w:val="21"/>
              </w:rPr>
              <w:t>广州市黄埔区鱼珠街道管辖范围。</w:t>
            </w:r>
          </w:p>
          <w:p>
            <w:pPr>
              <w:ind w:firstLine="422"/>
              <w:jc w:val="both"/>
            </w:pPr>
            <w:r>
              <w:rPr>
                <w:b/>
                <w:sz w:val="21"/>
              </w:rPr>
              <w:t>（二）服务对象：</w:t>
            </w:r>
            <w:r>
              <w:rPr>
                <w:sz w:val="21"/>
              </w:rPr>
              <w:t>居住在鱼珠街道辖区内有需要的家庭和个人。</w:t>
            </w:r>
          </w:p>
          <w:p>
            <w:pPr>
              <w:ind w:firstLine="422"/>
              <w:jc w:val="both"/>
            </w:pPr>
            <w:r>
              <w:rPr>
                <w:b/>
                <w:sz w:val="21"/>
              </w:rPr>
              <w:t>（三）服务目标</w:t>
            </w:r>
          </w:p>
          <w:p>
            <w:pPr>
              <w:ind w:firstLine="420"/>
              <w:jc w:val="both"/>
            </w:pPr>
            <w:r>
              <w:rPr>
                <w:sz w:val="21"/>
              </w:rPr>
              <w:t>1.项目总体规划目标：以党建引领为核心，以辖区居民需求为导向，以社区正向发展为服务重心，</w:t>
            </w:r>
            <w:r>
              <w:rPr>
                <w:sz w:val="21"/>
              </w:rPr>
              <w:t>运用社会工作专业方法，紧密围绕鱼珠街道工作重点，</w:t>
            </w:r>
            <w:r>
              <w:rPr>
                <w:sz w:val="21"/>
              </w:rPr>
              <w:t>积极联动</w:t>
            </w:r>
            <w:r>
              <w:rPr>
                <w:sz w:val="21"/>
              </w:rPr>
              <w:t>街道科室部门和</w:t>
            </w:r>
            <w:r>
              <w:rPr>
                <w:sz w:val="21"/>
              </w:rPr>
              <w:t>辖区合作单位</w:t>
            </w:r>
            <w:r>
              <w:rPr>
                <w:sz w:val="21"/>
              </w:rPr>
              <w:t>，</w:t>
            </w:r>
            <w:r>
              <w:rPr>
                <w:sz w:val="21"/>
              </w:rPr>
              <w:t>调动社会资源及发掘居民骨干人群</w:t>
            </w:r>
            <w:r>
              <w:rPr>
                <w:sz w:val="21"/>
              </w:rPr>
              <w:t>，</w:t>
            </w:r>
            <w:r>
              <w:rPr>
                <w:sz w:val="21"/>
              </w:rPr>
              <w:t>发挥社区党组织及党员力量，关注社区不同居民群体需求，提供优质社工服务</w:t>
            </w:r>
            <w:r>
              <w:rPr>
                <w:sz w:val="21"/>
              </w:rPr>
              <w:t>，</w:t>
            </w:r>
            <w:r>
              <w:rPr>
                <w:sz w:val="21"/>
              </w:rPr>
              <w:t>满足个人及家庭多样性和差异性的需要。通过</w:t>
            </w:r>
            <w:r>
              <w:rPr>
                <w:sz w:val="21"/>
              </w:rPr>
              <w:t>社工服务站（家庭综合服务中心）</w:t>
            </w:r>
            <w:r>
              <w:rPr>
                <w:sz w:val="21"/>
              </w:rPr>
              <w:t>专业服务的开展，</w:t>
            </w:r>
            <w:r>
              <w:rPr>
                <w:sz w:val="21"/>
              </w:rPr>
              <w:t>倡导五社联动，搭建社区支持网络和社区参与平台，培育社区自治组织，促进居民共同参与社区事务，</w:t>
            </w:r>
            <w:r>
              <w:rPr>
                <w:sz w:val="21"/>
              </w:rPr>
              <w:t>打造共建共治共享的社会治理新格局，建设幸福新鱼珠。</w:t>
            </w:r>
          </w:p>
          <w:p>
            <w:pPr>
              <w:ind w:firstLine="420"/>
              <w:jc w:val="both"/>
            </w:pPr>
            <w:r>
              <w:rPr>
                <w:sz w:val="21"/>
              </w:rPr>
              <w:t>2.项目年度阶段性服务目标：</w:t>
            </w:r>
          </w:p>
          <w:p>
            <w:pPr>
              <w:ind w:firstLine="420"/>
              <w:jc w:val="both"/>
            </w:pPr>
            <w:r>
              <w:rPr>
                <w:sz w:val="21"/>
              </w:rPr>
              <w:t>（</w:t>
            </w:r>
            <w:r>
              <w:rPr>
                <w:sz w:val="21"/>
              </w:rPr>
              <w:t>1）第一阶段（第一年）服务目标：</w:t>
            </w:r>
            <w:r>
              <w:rPr>
                <w:sz w:val="21"/>
              </w:rPr>
              <w:t>以党建引领为核心，关注社区弱势社群，整合社区内外资源，搭建社区资源网络与服务平台；落实五社联动，搭建社区支持网络及社区参与平台，促进居民共同参与社区事务；借以专业服务手法，激发社区互助意识，倡导社区互助行动，推动社区共建发展。</w:t>
            </w:r>
          </w:p>
          <w:p>
            <w:pPr>
              <w:ind w:firstLine="420"/>
              <w:jc w:val="both"/>
            </w:pPr>
            <w:r>
              <w:rPr>
                <w:sz w:val="21"/>
              </w:rPr>
              <w:t>（</w:t>
            </w:r>
            <w:r>
              <w:rPr>
                <w:sz w:val="21"/>
              </w:rPr>
              <w:t>2）第二阶段（第二年）服务目标：</w:t>
            </w:r>
            <w:r>
              <w:rPr>
                <w:sz w:val="21"/>
              </w:rPr>
              <w:t>加强党建引领服务开展，巩固服务成效并逐渐深化。强化困境群体的社区支持网络，丰富个人、家庭及各类组织社区参与的多元化平台。整合社区资源，发展党员、居民志愿团队，推动各社区志愿者队伍及社区社会组织发展的成熟化，探索建立社区居民参与社区治理的机制，打造多元主体共治的社区协商联动平台。</w:t>
            </w:r>
          </w:p>
          <w:p>
            <w:pPr>
              <w:ind w:firstLine="420"/>
              <w:jc w:val="both"/>
            </w:pPr>
            <w:r>
              <w:rPr>
                <w:sz w:val="21"/>
              </w:rPr>
              <w:t>（</w:t>
            </w:r>
            <w:r>
              <w:rPr>
                <w:sz w:val="21"/>
              </w:rPr>
              <w:t>3）第三阶段（第三年）服务目标：</w:t>
            </w:r>
            <w:r>
              <w:rPr>
                <w:sz w:val="21"/>
              </w:rPr>
              <w:t>进一步活化社工站慈善平台，探索可持续发展的公益慈善模式，助力社区困难帮扶、社区治理等问题解决。在前两年服务基础上，形成鱼珠街五社联动社区治理服务模式，深度参与到社区共建共治的行列，形成持续性服务机制，打造共建共享的社区治理新格局。</w:t>
            </w:r>
          </w:p>
          <w:p>
            <w:pPr>
              <w:ind w:firstLine="420"/>
              <w:jc w:val="both"/>
            </w:pPr>
            <w:r>
              <w:rPr>
                <w:sz w:val="21"/>
              </w:rPr>
              <w:t>3.拟服务目标群体情况：</w:t>
            </w:r>
          </w:p>
          <w:p>
            <w:pPr>
              <w:jc w:val="center"/>
            </w:pPr>
            <w:r>
              <w:rPr>
                <w:b/>
                <w:sz w:val="21"/>
              </w:rPr>
              <w:t>服务目标群体情况列表</w:t>
            </w:r>
          </w:p>
          <w:tbl>
            <w:tblPr>
              <w:tblInd w:type="dxa" w:w="120"/>
              <w:tblBorders>
                <w:top w:val="none" w:color="000000" w:sz="4"/>
                <w:left w:val="none" w:color="000000" w:sz="4"/>
                <w:bottom w:val="none" w:color="000000" w:sz="4"/>
                <w:right w:val="none" w:color="000000" w:sz="4"/>
                <w:insideH w:val="none"/>
                <w:insideV w:val="none"/>
              </w:tblBorders>
            </w:tblPr>
            <w:tblGrid>
              <w:gridCol w:w="1063"/>
              <w:gridCol w:w="1089"/>
              <w:gridCol w:w="2128"/>
              <w:gridCol w:w="1316"/>
            </w:tblGrid>
            <w:tr>
              <w:tc>
                <w:tcPr>
                  <w:tcW w:type="dxa" w:w="1063"/>
                  <w:tcBorders>
                    <w:top w:val="single" w:color="000000" w:sz="4"/>
                    <w:left w:val="single" w:color="000000" w:sz="4"/>
                    <w:bottom w:val="single" w:color="000000" w:sz="4"/>
                    <w:right w:val="single" w:color="000000" w:sz="4"/>
                  </w:tcBorders>
                  <w:shd w:fill="FFFFFF"/>
                  <w:vAlign w:val="top"/>
                </w:tcPr>
                <w:p>
                  <w:pPr>
                    <w:jc w:val="center"/>
                  </w:pPr>
                  <w:r>
                    <w:rPr>
                      <w:b/>
                      <w:sz w:val="21"/>
                    </w:rPr>
                    <w:t>项目服务目标</w:t>
                  </w:r>
                </w:p>
              </w:tc>
              <w:tc>
                <w:tcPr>
                  <w:tcW w:type="dxa" w:w="1089"/>
                  <w:tcBorders>
                    <w:top w:val="single" w:color="000000" w:sz="4"/>
                    <w:left w:val="none" w:color="000000" w:sz="4"/>
                    <w:bottom w:val="single" w:color="000000" w:sz="4"/>
                    <w:right w:val="single" w:color="000000" w:sz="4"/>
                  </w:tcBorders>
                  <w:shd w:fill="FFFFFF"/>
                  <w:vAlign w:val="top"/>
                </w:tcPr>
                <w:p>
                  <w:pPr>
                    <w:jc w:val="center"/>
                  </w:pPr>
                  <w:r>
                    <w:rPr>
                      <w:b/>
                      <w:sz w:val="21"/>
                    </w:rPr>
                    <w:t>服务对象</w:t>
                  </w:r>
                </w:p>
              </w:tc>
              <w:tc>
                <w:tcPr>
                  <w:tcW w:type="dxa" w:w="2128"/>
                  <w:tcBorders>
                    <w:top w:val="single" w:color="000000" w:sz="4"/>
                    <w:left w:val="none" w:color="000000" w:sz="4"/>
                    <w:bottom w:val="single" w:color="000000" w:sz="4"/>
                    <w:right w:val="single" w:color="000000" w:sz="4"/>
                  </w:tcBorders>
                  <w:shd w:fill="FFFFFF"/>
                  <w:vAlign w:val="top"/>
                </w:tcPr>
                <w:p>
                  <w:pPr>
                    <w:jc w:val="center"/>
                  </w:pPr>
                  <w:r>
                    <w:rPr>
                      <w:b/>
                      <w:sz w:val="21"/>
                    </w:rPr>
                    <w:t>潜在服务数量</w:t>
                  </w:r>
                </w:p>
              </w:tc>
              <w:tc>
                <w:tcPr>
                  <w:tcW w:type="dxa" w:w="1316"/>
                  <w:tcBorders>
                    <w:top w:val="single" w:color="000000" w:sz="4"/>
                    <w:left w:val="none" w:color="000000" w:sz="4"/>
                    <w:bottom w:val="single" w:color="000000" w:sz="4"/>
                    <w:right w:val="single" w:color="000000" w:sz="4"/>
                  </w:tcBorders>
                  <w:shd w:fill="FFFFFF"/>
                  <w:vAlign w:val="top"/>
                </w:tcPr>
                <w:p>
                  <w:pPr>
                    <w:jc w:val="center"/>
                  </w:pPr>
                  <w:r>
                    <w:rPr>
                      <w:b/>
                      <w:sz w:val="21"/>
                    </w:rPr>
                    <w:t>每年可覆盖服务数量或比例</w:t>
                  </w:r>
                </w:p>
              </w:tc>
            </w:tr>
            <w:tr>
              <w:tc>
                <w:tcPr>
                  <w:tcW w:type="dxa" w:w="1063"/>
                  <w:vMerge w:val="restart"/>
                  <w:tcBorders>
                    <w:top w:val="none" w:color="000000" w:sz="4"/>
                    <w:left w:val="single" w:color="000000" w:sz="4"/>
                    <w:bottom w:val="single" w:color="000000" w:sz="4"/>
                    <w:right w:val="single" w:color="000000" w:sz="4"/>
                  </w:tcBorders>
                  <w:shd w:fill="FFFFFF"/>
                  <w:vAlign w:val="top"/>
                </w:tcPr>
                <w:p>
                  <w:pPr>
                    <w:jc w:val="center"/>
                  </w:pPr>
                  <w:r>
                    <w:rPr>
                      <w:sz w:val="21"/>
                    </w:rPr>
                    <w:t>优先照顾性个体及家庭服务目标</w:t>
                  </w:r>
                </w:p>
              </w:tc>
              <w:tc>
                <w:tcPr>
                  <w:tcW w:type="dxa" w:w="1089"/>
                  <w:vMerge w:val="restart"/>
                  <w:tcBorders>
                    <w:top w:val="none" w:color="000000" w:sz="4"/>
                    <w:left w:val="none" w:color="000000" w:sz="4"/>
                    <w:bottom w:val="single" w:color="000000" w:sz="4"/>
                    <w:right w:val="single" w:color="000000" w:sz="4"/>
                  </w:tcBorders>
                  <w:shd w:fill="FFFFFF"/>
                  <w:vAlign w:val="top"/>
                </w:tcPr>
                <w:p>
                  <w:pPr>
                    <w:jc w:val="center"/>
                  </w:pPr>
                  <w:r>
                    <w:rPr>
                      <w:sz w:val="21"/>
                    </w:rPr>
                    <w:t>困境青少年群体及家庭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单亲困境青少年6个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低保家庭青少年 11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残障青少年 11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val="restart"/>
                  <w:tcBorders>
                    <w:top w:val="none" w:color="000000" w:sz="4"/>
                    <w:left w:val="none" w:color="000000" w:sz="4"/>
                    <w:bottom w:val="single" w:color="000000" w:sz="4"/>
                    <w:right w:val="single" w:color="000000" w:sz="4"/>
                  </w:tcBorders>
                  <w:shd w:fill="FFFFFF"/>
                  <w:vAlign w:val="top"/>
                </w:tcPr>
                <w:p>
                  <w:pPr>
                    <w:jc w:val="center"/>
                  </w:pPr>
                  <w:r>
                    <w:rPr>
                      <w:sz w:val="21"/>
                    </w:rPr>
                    <w:t>困境长者群体及家庭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孤寡长者</w:t>
                  </w:r>
                  <w:r>
                    <w:rPr>
                      <w:sz w:val="21"/>
                    </w:rPr>
                    <w:t>4</w:t>
                  </w:r>
                  <w:r>
                    <w:rPr>
                      <w:sz w:val="21"/>
                    </w:rPr>
                    <w:t>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独居长者</w:t>
                  </w:r>
                  <w:r>
                    <w:rPr>
                      <w:sz w:val="21"/>
                    </w:rPr>
                    <w:t>31</w:t>
                  </w:r>
                  <w:r>
                    <w:rPr>
                      <w:sz w:val="21"/>
                    </w:rPr>
                    <w:t>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低保低收长者</w:t>
                  </w:r>
                  <w:r>
                    <w:rPr>
                      <w:sz w:val="21"/>
                    </w:rPr>
                    <w:t>10</w:t>
                  </w:r>
                  <w:r>
                    <w:rPr>
                      <w:sz w:val="21"/>
                    </w:rPr>
                    <w:t xml:space="preserve">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高龄长者</w:t>
                  </w:r>
                  <w:r>
                    <w:rPr>
                      <w:sz w:val="21"/>
                    </w:rPr>
                    <w:t>14</w:t>
                  </w:r>
                  <w:r>
                    <w:rPr>
                      <w:sz w:val="21"/>
                    </w:rPr>
                    <w:t>个</w:t>
                  </w:r>
                </w:p>
              </w:tc>
              <w:tc>
                <w:tcPr>
                  <w:tcW w:type="dxa" w:w="1316"/>
                  <w:vMerge w:val="restart"/>
                  <w:tcBorders>
                    <w:top w:val="none" w:color="000000" w:sz="4"/>
                    <w:left w:val="none" w:color="000000" w:sz="4"/>
                    <w:bottom w:val="single" w:color="000000" w:sz="4"/>
                    <w:right w:val="single" w:color="000000" w:sz="4"/>
                  </w:tcBorders>
                  <w:shd w:fill="FFFFFF"/>
                  <w:vAlign w:val="top"/>
                </w:tcPr>
                <w:p>
                  <w:pPr>
                    <w:jc w:val="center"/>
                  </w:pPr>
                  <w:r>
                    <w:rPr>
                      <w:sz w:val="21"/>
                    </w:rPr>
                    <w:t>项目服务期内覆盖100%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残障长者</w:t>
                  </w:r>
                  <w:r>
                    <w:rPr>
                      <w:sz w:val="21"/>
                    </w:rPr>
                    <w:t>12</w:t>
                  </w:r>
                  <w:r>
                    <w:rPr>
                      <w:sz w:val="21"/>
                    </w:rPr>
                    <w:t>个</w:t>
                  </w:r>
                </w:p>
              </w:tc>
            </w:tr>
            <w:tr>
              <w:tc>
                <w:tcPr>
                  <w:tcW w:type="dxa" w:w="1063"/>
                  <w:vMerge/>
                  <w:tcBorders>
                    <w:top w:val="none" w:color="000000" w:sz="4"/>
                    <w:left w:val="single" w:color="000000" w:sz="4"/>
                    <w:bottom w:val="single" w:color="000000" w:sz="4"/>
                    <w:right w:val="single" w:color="000000" w:sz="4"/>
                  </w:tcBorders>
                </w:tcPr>
                <w:p/>
              </w:tc>
              <w:tc>
                <w:tcPr>
                  <w:tcW w:type="dxa" w:w="1089"/>
                  <w:vMerge w:val="restart"/>
                  <w:tcBorders>
                    <w:top w:val="none" w:color="000000" w:sz="4"/>
                    <w:left w:val="none" w:color="000000" w:sz="4"/>
                    <w:bottom w:val="single" w:color="000000" w:sz="4"/>
                    <w:right w:val="single" w:color="000000" w:sz="4"/>
                  </w:tcBorders>
                  <w:shd w:fill="FFFFFF"/>
                  <w:vAlign w:val="top"/>
                </w:tcPr>
                <w:p>
                  <w:pPr>
                    <w:jc w:val="center"/>
                  </w:pPr>
                  <w:r>
                    <w:rPr>
                      <w:sz w:val="21"/>
                    </w:rPr>
                    <w:t>困境儿童、妇女及家庭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残障儿童家庭</w:t>
                  </w:r>
                  <w:r>
                    <w:rPr>
                      <w:sz w:val="21"/>
                    </w:rPr>
                    <w:t>12</w:t>
                  </w:r>
                  <w:r>
                    <w:rPr>
                      <w:sz w:val="21"/>
                    </w:rPr>
                    <w:t xml:space="preserve">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低保低收儿童及家庭</w:t>
                  </w:r>
                  <w:r>
                    <w:rPr>
                      <w:sz w:val="21"/>
                    </w:rPr>
                    <w:t>5</w:t>
                  </w:r>
                  <w:r>
                    <w:rPr>
                      <w:sz w:val="21"/>
                    </w:rPr>
                    <w:t xml:space="preserve">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失独家庭 1</w:t>
                  </w:r>
                  <w:r>
                    <w:rPr>
                      <w:sz w:val="21"/>
                    </w:rPr>
                    <w:t>5</w:t>
                  </w:r>
                  <w:r>
                    <w:rPr>
                      <w:sz w:val="21"/>
                    </w:rPr>
                    <w:t xml:space="preserve">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单亲母亲家庭</w:t>
                  </w:r>
                  <w:r>
                    <w:rPr>
                      <w:sz w:val="21"/>
                    </w:rPr>
                    <w:t>10</w:t>
                  </w:r>
                  <w:r>
                    <w:rPr>
                      <w:sz w:val="21"/>
                    </w:rPr>
                    <w:t xml:space="preserve">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vMerge/>
                  <w:tcBorders>
                    <w:top w:val="none" w:color="000000" w:sz="4"/>
                    <w:left w:val="none" w:color="000000" w:sz="4"/>
                    <w:bottom w:val="single" w:color="000000" w:sz="4"/>
                    <w:right w:val="single" w:color="000000" w:sz="4"/>
                  </w:tcBorders>
                </w:tcP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其他困境家庭</w:t>
                  </w:r>
                  <w:r>
                    <w:rPr>
                      <w:sz w:val="21"/>
                    </w:rPr>
                    <w:t>24</w:t>
                  </w:r>
                  <w:r>
                    <w:rPr>
                      <w:sz w:val="21"/>
                    </w:rPr>
                    <w:t xml:space="preserve">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其他困境人士及家庭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其他困境人士及家庭</w:t>
                  </w:r>
                </w:p>
                <w:p>
                  <w:pPr>
                    <w:jc w:val="center"/>
                  </w:pPr>
                  <w:r>
                    <w:rPr>
                      <w:sz w:val="21"/>
                    </w:rPr>
                    <w:t>（包括失独、下岗失业、社区矫正人员、吸毒人员、服刑人员家庭等） 60个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val="restart"/>
                  <w:tcBorders>
                    <w:top w:val="none" w:color="000000" w:sz="4"/>
                    <w:left w:val="single" w:color="000000" w:sz="4"/>
                    <w:bottom w:val="single" w:color="000000" w:sz="4"/>
                    <w:right w:val="single" w:color="000000" w:sz="4"/>
                  </w:tcBorders>
                  <w:shd w:fill="FFFFFF"/>
                  <w:vAlign w:val="top"/>
                </w:tcPr>
                <w:p>
                  <w:pPr>
                    <w:jc w:val="center"/>
                  </w:pPr>
                  <w:r>
                    <w:rPr>
                      <w:sz w:val="21"/>
                    </w:rPr>
                    <w:t>一般性个体及</w:t>
                  </w:r>
                </w:p>
                <w:p>
                  <w:pPr>
                    <w:jc w:val="center"/>
                  </w:pPr>
                  <w:r>
                    <w:rPr>
                      <w:sz w:val="21"/>
                    </w:rPr>
                    <w:t>家庭服务目标</w:t>
                  </w: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一般性青少年及家庭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相关的青少年及家庭 1</w:t>
                  </w:r>
                  <w:r>
                    <w:rPr>
                      <w:sz w:val="21"/>
                    </w:rPr>
                    <w:t>500</w:t>
                  </w:r>
                  <w:r>
                    <w:rPr>
                      <w:sz w:val="21"/>
                    </w:rPr>
                    <w:t>个</w:t>
                  </w:r>
                </w:p>
              </w:tc>
              <w:tc>
                <w:tcPr>
                  <w:tcW w:type="dxa" w:w="1316"/>
                  <w:vMerge w:val="restart"/>
                  <w:tcBorders>
                    <w:top w:val="none" w:color="000000" w:sz="4"/>
                    <w:left w:val="none" w:color="000000" w:sz="4"/>
                    <w:bottom w:val="single" w:color="000000" w:sz="4"/>
                    <w:right w:val="single" w:color="000000" w:sz="4"/>
                  </w:tcBorders>
                  <w:shd w:fill="FFFFFF"/>
                  <w:vAlign w:val="top"/>
                </w:tcPr>
                <w:p>
                  <w:pPr>
                    <w:jc w:val="center"/>
                  </w:pPr>
                  <w:r>
                    <w:rPr>
                      <w:sz w:val="21"/>
                    </w:rPr>
                    <w:t>项目服务期内覆盖80%</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一般性长者及家庭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相关的长者及家庭 1</w:t>
                  </w:r>
                  <w:r>
                    <w:rPr>
                      <w:sz w:val="21"/>
                    </w:rPr>
                    <w:t>500</w:t>
                  </w:r>
                  <w:r>
                    <w:rPr>
                      <w:sz w:val="21"/>
                    </w:rPr>
                    <w:t xml:space="preserve"> 个</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一般性儿童及家庭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相关的儿童及家庭 1</w:t>
                  </w:r>
                  <w:r>
                    <w:rPr>
                      <w:sz w:val="21"/>
                    </w:rPr>
                    <w:t>500</w:t>
                  </w:r>
                  <w:r>
                    <w:rPr>
                      <w:sz w:val="21"/>
                    </w:rPr>
                    <w:t xml:space="preserve"> 个</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一般性妇女及家庭</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相关的妇女及家庭 1</w:t>
                  </w:r>
                  <w:r>
                    <w:rPr>
                      <w:sz w:val="21"/>
                    </w:rPr>
                    <w:t>500</w:t>
                  </w:r>
                  <w:r>
                    <w:rPr>
                      <w:sz w:val="21"/>
                    </w:rPr>
                    <w:t>个</w:t>
                  </w:r>
                </w:p>
              </w:tc>
            </w:tr>
            <w:tr>
              <w:tc>
                <w:tcPr>
                  <w:tcW w:type="dxa" w:w="1063"/>
                  <w:vMerge w:val="restart"/>
                  <w:tcBorders>
                    <w:top w:val="none" w:color="000000" w:sz="4"/>
                    <w:left w:val="single" w:color="000000" w:sz="4"/>
                    <w:bottom w:val="single" w:color="000000" w:sz="4"/>
                    <w:right w:val="single" w:color="000000" w:sz="4"/>
                  </w:tcBorders>
                  <w:shd w:fill="FFFFFF"/>
                  <w:vAlign w:val="top"/>
                </w:tcPr>
                <w:p>
                  <w:pPr>
                    <w:jc w:val="center"/>
                  </w:pPr>
                  <w:r>
                    <w:rPr>
                      <w:sz w:val="21"/>
                    </w:rPr>
                    <w:t>社区志愿者</w:t>
                  </w:r>
                </w:p>
                <w:p>
                  <w:pPr>
                    <w:jc w:val="center"/>
                  </w:pPr>
                  <w:r>
                    <w:rPr>
                      <w:sz w:val="21"/>
                    </w:rPr>
                    <w:t>（义工）服务</w:t>
                  </w: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培育社区志愿者（义工）骨干</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培育社区志愿者（义工）骨干20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培育社区志愿者（义工）</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培育社区志愿者（义工）</w:t>
                  </w:r>
                </w:p>
                <w:p>
                  <w:pPr>
                    <w:jc w:val="center"/>
                  </w:pPr>
                  <w:r>
                    <w:rPr>
                      <w:sz w:val="21"/>
                    </w:rPr>
                    <w:t>100个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培育社区志愿者（义工）队伍</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培育社区志愿者（义工）队伍</w:t>
                  </w:r>
                </w:p>
                <w:p>
                  <w:pPr>
                    <w:jc w:val="center"/>
                  </w:pPr>
                  <w:r>
                    <w:rPr>
                      <w:sz w:val="21"/>
                    </w:rPr>
                    <w:t>2</w:t>
                  </w:r>
                  <w:r>
                    <w:rPr>
                      <w:sz w:val="21"/>
                    </w:rPr>
                    <w:t>支</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val="restart"/>
                  <w:tcBorders>
                    <w:top w:val="none" w:color="000000" w:sz="4"/>
                    <w:left w:val="single" w:color="000000" w:sz="4"/>
                    <w:bottom w:val="single" w:color="000000" w:sz="4"/>
                    <w:right w:val="single" w:color="000000" w:sz="4"/>
                  </w:tcBorders>
                  <w:shd w:fill="FFFFFF"/>
                  <w:vAlign w:val="top"/>
                </w:tcPr>
                <w:p>
                  <w:pPr>
                    <w:jc w:val="center"/>
                  </w:pPr>
                  <w:r>
                    <w:rPr>
                      <w:sz w:val="21"/>
                    </w:rPr>
                    <w:t>社区发展服务</w:t>
                  </w:r>
                </w:p>
                <w:p>
                  <w:pPr>
                    <w:jc w:val="center"/>
                  </w:pPr>
                  <w:r>
                    <w:rPr>
                      <w:sz w:val="21"/>
                    </w:rPr>
                    <w:t>目标</w:t>
                  </w: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应急性公共服务</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协助相关政府部门介入应急性公共服务 2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r>
              <w:tc>
                <w:tcPr>
                  <w:tcW w:type="dxa" w:w="1063"/>
                  <w:vMerge/>
                  <w:tcBorders>
                    <w:top w:val="none" w:color="000000" w:sz="4"/>
                    <w:left w:val="single" w:color="000000" w:sz="4"/>
                    <w:bottom w:val="single" w:color="000000" w:sz="4"/>
                    <w:right w:val="single" w:color="000000" w:sz="4"/>
                  </w:tcBorders>
                </w:tcPr>
                <w:p/>
              </w:tc>
              <w:tc>
                <w:tcPr>
                  <w:tcW w:type="dxa" w:w="1089"/>
                  <w:tcBorders>
                    <w:top w:val="none" w:color="000000" w:sz="4"/>
                    <w:left w:val="none" w:color="000000" w:sz="4"/>
                    <w:bottom w:val="single" w:color="000000" w:sz="4"/>
                    <w:right w:val="single" w:color="000000" w:sz="4"/>
                  </w:tcBorders>
                  <w:shd w:fill="FFFFFF"/>
                  <w:vAlign w:val="top"/>
                </w:tcPr>
                <w:p>
                  <w:pPr>
                    <w:jc w:val="center"/>
                  </w:pPr>
                  <w:r>
                    <w:rPr>
                      <w:sz w:val="21"/>
                    </w:rPr>
                    <w:t>其他公共服务问题</w:t>
                  </w:r>
                </w:p>
              </w:tc>
              <w:tc>
                <w:tcPr>
                  <w:tcW w:type="dxa" w:w="2128"/>
                  <w:tcBorders>
                    <w:top w:val="none" w:color="000000" w:sz="4"/>
                    <w:left w:val="none" w:color="000000" w:sz="4"/>
                    <w:bottom w:val="single" w:color="000000" w:sz="4"/>
                    <w:right w:val="single" w:color="000000" w:sz="4"/>
                  </w:tcBorders>
                  <w:shd w:fill="FFFFFF"/>
                  <w:vAlign w:val="top"/>
                </w:tcPr>
                <w:p>
                  <w:pPr>
                    <w:jc w:val="center"/>
                  </w:pPr>
                  <w:r>
                    <w:rPr>
                      <w:sz w:val="21"/>
                    </w:rPr>
                    <w:t>其他公共服务问题 2 个</w:t>
                  </w:r>
                </w:p>
              </w:tc>
              <w:tc>
                <w:tcPr>
                  <w:tcW w:type="dxa" w:w="1316"/>
                  <w:tcBorders>
                    <w:top w:val="none" w:color="000000" w:sz="4"/>
                    <w:left w:val="none" w:color="000000" w:sz="4"/>
                    <w:bottom w:val="single" w:color="000000" w:sz="4"/>
                    <w:right w:val="single" w:color="000000" w:sz="4"/>
                  </w:tcBorders>
                  <w:shd w:fill="FFFFFF"/>
                  <w:vAlign w:val="top"/>
                </w:tcPr>
                <w:p>
                  <w:pPr>
                    <w:jc w:val="center"/>
                  </w:pPr>
                  <w:r>
                    <w:rPr>
                      <w:sz w:val="21"/>
                    </w:rPr>
                    <w:t>100%</w:t>
                  </w:r>
                </w:p>
              </w:tc>
            </w:tr>
          </w:tbl>
          <w:p>
            <w:pPr>
              <w:ind w:firstLine="422"/>
              <w:jc w:val="both"/>
            </w:pPr>
            <w:r>
              <w:rPr>
                <w:b/>
                <w:sz w:val="21"/>
              </w:rPr>
              <w:t>（四）功能定位</w:t>
            </w:r>
          </w:p>
          <w:p>
            <w:pPr>
              <w:ind w:firstLine="420"/>
              <w:jc w:val="both"/>
            </w:pPr>
            <w:r>
              <w:rPr>
                <w:sz w:val="21"/>
              </w:rPr>
              <w:t>社工服务站（</w:t>
            </w:r>
            <w:r>
              <w:rPr>
                <w:sz w:val="21"/>
              </w:rPr>
              <w:t>家庭综合服务中心）是通过政府购买社会工作服务的方式，在街（镇）设置的专业社会工作服务平台。</w:t>
            </w:r>
            <w:r>
              <w:rPr>
                <w:sz w:val="21"/>
              </w:rPr>
              <w:t>社工服务站（</w:t>
            </w:r>
            <w:r>
              <w:rPr>
                <w:sz w:val="21"/>
              </w:rPr>
              <w:t>家庭综合服务中心）接受市、</w:t>
            </w:r>
            <w:r>
              <w:rPr>
                <w:sz w:val="21"/>
              </w:rPr>
              <w:t>区民政局的业务指导，由社会工作服务机构承接运营，以服务困境群体为主，以家庭为本，以社区为基础，为有需要的社区居民提供预防性、支持性、补救性、照护性、发展性的家庭综合服务和其他相关的社会服务，为政府部门在管理公共服务、应对社区问题、缓解社区矛盾、提升社区参与、促进社区发展等方面提供协助和支持。</w:t>
            </w:r>
          </w:p>
          <w:p>
            <w:pPr>
              <w:ind w:firstLine="420"/>
              <w:jc w:val="both"/>
            </w:pPr>
            <w:r>
              <w:rPr>
                <w:sz w:val="21"/>
              </w:rPr>
              <w:t>1.预防性服务功能。针对一般个体、家庭和群体等服务对象，</w:t>
            </w:r>
            <w:r>
              <w:rPr>
                <w:sz w:val="21"/>
              </w:rPr>
              <w:t>社工服务站（家庭综合服务中心）</w:t>
            </w:r>
            <w:r>
              <w:rPr>
                <w:sz w:val="21"/>
              </w:rPr>
              <w:t>应以预防服务对象面临的各种潜在风险和困难为目标，为服务对象提供社会支援、社会参与、社会融入、兴趣发展、文娱康乐、教育培训、人际拓展等事前预防性服务，以预防服务对象陷入困境状态。</w:t>
            </w:r>
          </w:p>
          <w:p>
            <w:pPr>
              <w:ind w:firstLine="420"/>
              <w:jc w:val="both"/>
            </w:pPr>
            <w:r>
              <w:rPr>
                <w:sz w:val="21"/>
              </w:rPr>
              <w:t>2.支持性服务功能。针对陷入轻微困境的个体、家庭、群体等服务对象，</w:t>
            </w:r>
            <w:r>
              <w:rPr>
                <w:sz w:val="21"/>
              </w:rPr>
              <w:t>社工服务站（家庭综合服务中心）</w:t>
            </w:r>
            <w:r>
              <w:rPr>
                <w:sz w:val="21"/>
              </w:rPr>
              <w:t>应以增强其应对所处困境的能力为目标，为服务对象提供社会援助、情绪支持、资源链接、认知拓展、能力提升、压力释放等援助性和支持性服务，以协助缓解其面临的困难和压力，使其更好应对所处困境。</w:t>
            </w:r>
          </w:p>
          <w:p>
            <w:pPr>
              <w:ind w:firstLine="420"/>
              <w:jc w:val="both"/>
            </w:pPr>
            <w:r>
              <w:rPr>
                <w:sz w:val="21"/>
              </w:rPr>
              <w:t>3.补救性服务功能。针对陷入严重困境的个体、家庭、群体等服务对象，</w:t>
            </w:r>
            <w:r>
              <w:rPr>
                <w:sz w:val="21"/>
              </w:rPr>
              <w:t>社工服务站（家庭综合服务中心）</w:t>
            </w:r>
            <w:r>
              <w:rPr>
                <w:sz w:val="21"/>
              </w:rPr>
              <w:t>应以帮助服务对象改善境况或缓解危机为目标，为服务对象提供心理辅导、障碍矫治、社会救助、危机干预、权益维护等服务，以争取改善服务对象的受损状况和困难处境。</w:t>
            </w:r>
          </w:p>
          <w:p>
            <w:pPr>
              <w:ind w:firstLine="420"/>
              <w:jc w:val="both"/>
            </w:pPr>
            <w:r>
              <w:rPr>
                <w:sz w:val="21"/>
              </w:rPr>
              <w:t>4.照护性服务功能。针对低保、低收、三无、五保、残疾人等社会救助对象，应协助有关部门提供临时托管、安全保护、生活救济等照护服务，帮助救助对象暂时舒缓面临的困境和压力；针对遭遇突发性危机的个体、家庭或群体，应协助有关部门提供紧急救助、临时庇护、临时照顾等照护服务，保障服务对象权益免受更大伤害。</w:t>
            </w:r>
          </w:p>
          <w:p>
            <w:pPr>
              <w:ind w:firstLine="420"/>
              <w:jc w:val="both"/>
            </w:pPr>
            <w:r>
              <w:rPr>
                <w:sz w:val="21"/>
              </w:rPr>
              <w:t>5.发展性服务功能。针对社区发展中存在的公共服务需求和问题，积极协助政府部门开展国家法律政策宣传、公益倡导、公民教育等，提升社区居民的法治意识、公民意识、参与公共事务能力等。倡导社区公益服务，培育义工、慈善、互助等社区公益服务组织和骨干，推动社区管理服务参与，促进社区公共服务治理；整合社区资源，构建社区支持网络，促进社区和谐健康发展，满足社区居民的多元化发展需求。</w:t>
            </w:r>
          </w:p>
          <w:p>
            <w:pPr>
              <w:ind w:firstLine="422"/>
              <w:jc w:val="both"/>
            </w:pPr>
            <w:r>
              <w:rPr>
                <w:b/>
                <w:sz w:val="21"/>
              </w:rPr>
              <w:t>（五）专业方法运用及要求。</w:t>
            </w:r>
          </w:p>
          <w:p>
            <w:pPr>
              <w:ind w:firstLine="420"/>
              <w:jc w:val="both"/>
            </w:pPr>
            <w:r>
              <w:rPr>
                <w:sz w:val="21"/>
              </w:rPr>
              <w:t>1.专业方法。项目服务团队应运用社会工作个案、小组和社区服务等专业服务方法为有需要的个人、家庭和社区单位提供适切服务，回应服务对象需求。</w:t>
            </w:r>
          </w:p>
          <w:p>
            <w:pPr>
              <w:ind w:firstLine="420"/>
              <w:jc w:val="both"/>
            </w:pPr>
            <w:r>
              <w:rPr>
                <w:sz w:val="21"/>
              </w:rPr>
              <w:t>（</w:t>
            </w:r>
            <w:r>
              <w:rPr>
                <w:sz w:val="21"/>
              </w:rPr>
              <w:t>1）个案工作：指社会工作者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咨询个案是指可在短时间内通过提供1-2次的政策、就业、法律等咨询性服务，能有效满足个体或家庭服务需求的个案服务；专业个案是指无法仅靠简短的咨询服务解决服务对象的困难，需要通过提供较长时间的跟进辅导、情绪支持、心理减压、资源链接等专业服务和支持的个案服务，一般至少需要3次以上的跟踪服务。</w:t>
            </w:r>
          </w:p>
          <w:p>
            <w:pPr>
              <w:ind w:firstLine="420"/>
              <w:jc w:val="both"/>
            </w:pPr>
            <w:r>
              <w:rPr>
                <w:sz w:val="21"/>
              </w:rPr>
              <w:t>（</w:t>
            </w:r>
            <w:r>
              <w:rPr>
                <w:sz w:val="21"/>
              </w:rPr>
              <w:t>2）小组工作：指以团体或小群体为服务对象，并通过小组或团体的活动为其成员提供支持性、发展性或预防性等服务的方法。其目的是促进团体或小组及其成员的发展，使个人能借助集体支持和资源，提升自身应对困难的能力，改善其社会处境。小组服务通过协调个人与个人、个人与团体和团体与团体之间的社会关系，发挥团体或组织的社会正向功能，促进组员的进步与健康发展。小组服务应按照阶段性发展状况安排服务活动次数,活动次数一般不少于3 次，每次参与小组活动的人数至少为3人及以上。</w:t>
            </w:r>
          </w:p>
          <w:p>
            <w:pPr>
              <w:ind w:firstLine="420"/>
              <w:jc w:val="both"/>
            </w:pPr>
            <w:r>
              <w:rPr>
                <w:sz w:val="21"/>
              </w:rPr>
              <w:t>（</w:t>
            </w:r>
            <w:r>
              <w:rPr>
                <w:sz w:val="21"/>
              </w:rPr>
              <w:t>3）社区工作：指以促进整个社区发展为目标的社会工作服务方法，是在党和政府的领导下，社工机构依靠社区力量，整合社会资源，促进社区进步和发展的宏观层面的社会服务。其主要是强化社区功能，提升社区参与，优化社区关系，缓解社区问题，促进社区政治、经济、文化、环境协调和健康发展，不断提高社区成员的生活水平和生活质量的过程。社区工作的内容包括社区公共问题介入、社区文化倡导、社区志愿者（义工）服务、社区组织和社区领袖培育等。</w:t>
            </w:r>
          </w:p>
          <w:p>
            <w:pPr>
              <w:ind w:firstLine="420"/>
              <w:jc w:val="both"/>
            </w:pPr>
            <w:r>
              <w:rPr>
                <w:sz w:val="21"/>
              </w:rPr>
              <w:t>2.项目服务指标要求。</w:t>
            </w:r>
          </w:p>
          <w:p>
            <w:pPr>
              <w:ind w:firstLine="420"/>
              <w:jc w:val="both"/>
            </w:pPr>
            <w:r>
              <w:rPr>
                <w:sz w:val="21"/>
              </w:rPr>
              <w:t>社工服务站（家庭</w:t>
            </w:r>
            <w:r>
              <w:rPr>
                <w:sz w:val="21"/>
              </w:rPr>
              <w:t>综合服务中心）</w:t>
            </w:r>
            <w:r>
              <w:rPr>
                <w:sz w:val="21"/>
              </w:rPr>
              <w:t>每年应至少完成</w:t>
            </w:r>
            <w:r>
              <w:rPr>
                <w:sz w:val="21"/>
              </w:rPr>
              <w:t>90个专业个案服务；提供小组服务至少30 个，服务不少于</w:t>
            </w:r>
            <w:r>
              <w:rPr>
                <w:sz w:val="21"/>
              </w:rPr>
              <w:t>270</w:t>
            </w:r>
            <w:r>
              <w:rPr>
                <w:sz w:val="21"/>
              </w:rPr>
              <w:t>人次；入户或电话探访（不得少于</w:t>
            </w:r>
            <w:r>
              <w:rPr>
                <w:sz w:val="21"/>
              </w:rPr>
              <w:t>16</w:t>
            </w:r>
            <w:r>
              <w:rPr>
                <w:sz w:val="21"/>
              </w:rPr>
              <w:t>00 户）；组织社区活动至少22 次，服务不少于1100 人</w:t>
            </w:r>
            <w:r>
              <w:rPr>
                <w:sz w:val="21"/>
              </w:rPr>
              <w:t>次；协助街道介入和解决的社区公共问题至少</w:t>
            </w:r>
            <w:r>
              <w:rPr>
                <w:sz w:val="21"/>
              </w:rPr>
              <w:t>2 个、组织社区服务需求调研至少2 次（形成调研报告至少2 篇）。</w:t>
            </w:r>
          </w:p>
          <w:p>
            <w:pPr>
              <w:ind w:firstLine="422"/>
              <w:jc w:val="both"/>
            </w:pPr>
            <w:r>
              <w:rPr>
                <w:b/>
                <w:sz w:val="21"/>
              </w:rPr>
              <w:t>（六）服务时间</w:t>
            </w:r>
          </w:p>
          <w:p>
            <w:pPr>
              <w:ind w:firstLine="420"/>
              <w:jc w:val="both"/>
            </w:pPr>
            <w:r>
              <w:rPr>
                <w:sz w:val="21"/>
              </w:rPr>
              <w:t>服务期限三年，自</w:t>
            </w:r>
            <w:r>
              <w:rPr>
                <w:sz w:val="21"/>
              </w:rPr>
              <w:t>2023年7月1日至2026年6月30日止。</w:t>
            </w:r>
          </w:p>
          <w:p>
            <w:pPr>
              <w:ind w:firstLine="422"/>
              <w:jc w:val="both"/>
            </w:pPr>
            <w:r>
              <w:rPr>
                <w:b/>
                <w:sz w:val="21"/>
              </w:rPr>
              <w:t>（七）服务内容</w:t>
            </w:r>
          </w:p>
          <w:p>
            <w:pPr>
              <w:ind w:firstLine="420"/>
              <w:jc w:val="both"/>
            </w:pPr>
            <w:r>
              <w:rPr>
                <w:sz w:val="21"/>
              </w:rPr>
              <w:t>根据最新颁布的《广州市社工服务站（家庭综合服务中心）管理办法》的要求，鱼珠街</w:t>
            </w:r>
            <w:r>
              <w:rPr>
                <w:sz w:val="21"/>
              </w:rPr>
              <w:t>社工服务站（</w:t>
            </w:r>
            <w:r>
              <w:rPr>
                <w:sz w:val="21"/>
              </w:rPr>
              <w:t>家庭综合服务中心</w:t>
            </w:r>
            <w:r>
              <w:rPr>
                <w:sz w:val="21"/>
              </w:rPr>
              <w:t>）</w:t>
            </w:r>
            <w:r>
              <w:rPr>
                <w:sz w:val="21"/>
              </w:rPr>
              <w:t>将按照</w:t>
            </w:r>
            <w:r>
              <w:rPr>
                <w:sz w:val="21"/>
              </w:rPr>
              <w:t>“113X”的模式设置服务项目。即：“1”个核心项目——强化党建引领社会工作服务，“1”个重点项目——突出辖区居民群众最迫切、最需要、最直接的社会工作服务，“3”个基础项目——夯实家庭、长者、青少年社会工作服务，“X”个特色项目——探索拓展多领域的社会工作服务。具体内容将根据实际情况，在每年签订协议时进行重新审定，必要时会对“113X”对应内容进行修订。</w:t>
            </w:r>
          </w:p>
          <w:p>
            <w:pPr>
              <w:ind w:firstLine="420"/>
              <w:jc w:val="both"/>
            </w:pPr>
            <w:r>
              <w:rPr>
                <w:sz w:val="21"/>
              </w:rPr>
              <w:t>基于当前街道情况，我们确立以下服务内容：</w:t>
            </w:r>
          </w:p>
          <w:p>
            <w:pPr>
              <w:ind w:firstLine="420"/>
              <w:jc w:val="both"/>
            </w:pPr>
            <w:r>
              <w:rPr>
                <w:sz w:val="21"/>
              </w:rPr>
              <w:t>1.必选的重点服务：一是面向低保、低收等困境家庭的服务，依据该类家庭的需要，提供的资源链接、紧急援助、危机干预、心理减压、情绪支持、社区支持网络构建等必要服务。二是困境长者的服务，是指面向独居、孤寡、困难独生子女家庭长者和“三无”长者等陷入经济或生活困难的长者群体及家庭的服务，依据困境长者的需求，提供的精神慰藉、紧急援助、危机干预、心理情绪支持、人际支持拓展等必要服务。三是面向其他陷入困境群体提供的必要援助和支持服务，依据其他陷入困境的群体需求，提供的紧急援助、危机介入、资源链接、心理情绪支持等必要服务。四是志愿者（义工）服务，围绕社区人群的社会化参与和发展性需要，着力培育社区志愿者（义工）骨干，发展志愿者（义工）队伍和组织，搭建志愿者（义工）活动支持网络和平台，以社工带动志愿者（义工），凝聚社区志愿者（义工）骨干，推动社区志愿者（义工）服务力量持续壮大发展，通过开展倡导、招募、培训、管理、组织等一系列服务活动，建立多样化的社区志愿者（义工）队伍和志愿者（义工）组织，推动志愿者（义工）队伍的组织化、规模化和规范化运作，形成地区志愿者（义工）自运营组织，真正实现授权社区发展社区，培育与发展社区志愿者（义工）文化理念，倡导志愿者（义工）参与服务精神。</w:t>
            </w:r>
          </w:p>
          <w:p>
            <w:pPr>
              <w:ind w:firstLine="420"/>
              <w:jc w:val="both"/>
            </w:pPr>
            <w:r>
              <w:rPr>
                <w:sz w:val="21"/>
              </w:rPr>
              <w:t>2.自选的一般性服务：一般性服务是指以社区的一般性非经济困难群体的需求为导向，提供的预防性、发展性、支援性等服务。</w:t>
            </w:r>
          </w:p>
          <w:p>
            <w:pPr>
              <w:ind w:firstLine="420"/>
              <w:jc w:val="both"/>
            </w:pPr>
            <w:r>
              <w:rPr>
                <w:sz w:val="21"/>
              </w:rPr>
              <w:t>一般性青少年服务：围绕一般性青少年心理健康、品德教育、个体能力发展、抗逆力与效能感提升、人际交往、社会参与等多样化的发展需求，整合利用社区、家庭、学校和社会资源，为有需要的青少年（特别是边缘青少年、困境青少年）搭建成长发展的社会支持网络和平台，适时提供包括个案跟进、行为矫正、人际拓展、能力提升、兴趣发展、专题培训等多元化服务。</w:t>
            </w:r>
          </w:p>
          <w:p>
            <w:pPr>
              <w:ind w:firstLine="420"/>
              <w:jc w:val="both"/>
            </w:pPr>
            <w:r>
              <w:rPr>
                <w:sz w:val="21"/>
              </w:rPr>
              <w:t>一般性长者服务：以社区一般性长者的实际需求为导向，依托和整合社区、家庭、单位等社会资源，从健康管理与维护、心理健康与精神慰藉、生活照顾、文体康乐、人际互助、兴趣发展、社会参与等多个层面，为有需要的长者提供预防性、支援性、治疗性等多样化服务，力求在社区内实现</w:t>
            </w:r>
            <w:r>
              <w:rPr>
                <w:sz w:val="21"/>
              </w:rPr>
              <w:t>“老有所依、老有所乐、老有所学、老有所为”的晚年生活理想，提升长者生活品质。</w:t>
            </w:r>
          </w:p>
          <w:p>
            <w:pPr>
              <w:ind w:firstLine="420"/>
              <w:jc w:val="both"/>
            </w:pPr>
            <w:r>
              <w:rPr>
                <w:sz w:val="21"/>
              </w:rPr>
              <w:t>一般性家庭服务（含妇女儿童服务）：倡导和谐、平等、包容、参与的家庭文化，围绕夫妻关系、亲子关系、家庭互动、家庭功能、家庭结构等方面的服务需求，挖掘家庭成员的共同参与能力和优势，培育守望相助的家庭和邻里氛围，为社区内的家庭（特别是单亲家庭、困难家庭、外来人员家庭等）提供必要的支持和援助，提供包括个案咨询、资源连接、义工帮扶、定期探访、问题评估等专业服务。</w:t>
            </w:r>
          </w:p>
          <w:p>
            <w:pPr>
              <w:jc w:val="both"/>
            </w:pPr>
            <w:r>
              <w:rPr>
                <w:sz w:val="21"/>
              </w:rPr>
              <w:t>社区发展服务：围绕社区发展和公共服务问题及需求，整合社区内外资源，发掘并培育社区中的公益服务组织、文化组织和公共服务组织等，提升社区居民的参与；着力社区倡导、社区教育、社区研究等服务，充分发挥第三方角色，协助在地政府部门提升社区服务水平，完善社区服务网络体系。配合镇（街）参与疫情防控、应急救灾、突发事件处置等公共应急服务，发挥</w:t>
            </w:r>
            <w:r>
              <w:rPr>
                <w:sz w:val="21"/>
              </w:rPr>
              <w:t>“红棉守护热线”作用，提供心理疏导、情绪支持、保障支持等服务，协助处理困难群众和特殊群体面临的紧急困难。</w:t>
            </w:r>
          </w:p>
        </w:tc>
      </w:tr>
      <w:tr>
        <w:tc>
          <w:tcPr>
            <w:tcW w:type="dxa" w:w="2076"/>
          </w:tcPr>
          <w:p/>
        </w:tc>
        <w:tc>
          <w:tcPr>
            <w:tcW w:type="dxa" w:w="415"/>
          </w:tcPr>
          <w:p>
            <w:r>
              <w:rPr/>
              <w:t>2</w:t>
            </w:r>
          </w:p>
        </w:tc>
        <w:tc>
          <w:tcPr>
            <w:tcW w:type="dxa" w:w="5814"/>
          </w:tcPr>
          <w:p>
            <w:pPr>
              <w:ind w:firstLine="422"/>
              <w:jc w:val="both"/>
            </w:pPr>
            <w:r>
              <w:rPr>
                <w:b/>
                <w:sz w:val="21"/>
              </w:rPr>
              <w:t>二</w:t>
            </w:r>
            <w:r>
              <w:rPr>
                <w:b/>
                <w:sz w:val="21"/>
              </w:rPr>
              <w:t>、项目服务的人员及成效要求</w:t>
            </w:r>
          </w:p>
          <w:p>
            <w:pPr>
              <w:ind w:firstLine="422"/>
              <w:jc w:val="both"/>
            </w:pPr>
            <w:r>
              <w:rPr>
                <w:b/>
                <w:sz w:val="21"/>
              </w:rPr>
              <w:t>（一）项目的人员配置要求</w:t>
            </w:r>
          </w:p>
          <w:p>
            <w:pPr>
              <w:ind w:firstLine="420"/>
              <w:jc w:val="both"/>
            </w:pPr>
            <w:r>
              <w:rPr>
                <w:sz w:val="21"/>
              </w:rPr>
              <w:t>投标人需承诺，社工服务站（家庭综合服务中心）一般需配备以社工为主的工作人员</w:t>
            </w:r>
            <w:r>
              <w:rPr>
                <w:sz w:val="21"/>
              </w:rPr>
              <w:t>20名，工作人员总数的2/3以上为社会工作从业人员、1/2以上为社会工作专业人员。其中中心主任1名（具有高校社会工作专业本科以上学历，且具有中级社会工作师资格证，并具有5年以上社会服务经验）；专业人员至少14名（需为社会工作、心理学或社会学等相近专业学历，其中至少有10名具有国家助理社会工作师资格证或社工师资格证；第一年持证社工比例应当不低于1/2，第三年持证社工比例应当不低于2/3）。以上人员配置均需提供相应资格证明、劳动合同以及近三个月社保证明。</w:t>
            </w:r>
          </w:p>
          <w:p>
            <w:pPr>
              <w:ind w:firstLine="422"/>
              <w:jc w:val="both"/>
            </w:pPr>
            <w:r>
              <w:rPr>
                <w:b/>
                <w:sz w:val="21"/>
              </w:rPr>
              <w:t>（二）主要服务领域的服务成效要求</w:t>
            </w:r>
          </w:p>
          <w:p>
            <w:pPr>
              <w:ind w:firstLine="420"/>
              <w:jc w:val="both"/>
            </w:pPr>
            <w:r>
              <w:rPr>
                <w:sz w:val="21"/>
              </w:rPr>
              <w:t>1.重点领域的服务成效要求。</w:t>
            </w:r>
          </w:p>
          <w:p>
            <w:pPr>
              <w:ind w:firstLine="420"/>
              <w:jc w:val="both"/>
            </w:pPr>
            <w:r>
              <w:rPr>
                <w:sz w:val="21"/>
              </w:rPr>
              <w:t>重点服务主要指面向各类困境群体的服务，困境群体包括：低保低收经济困难人群及家庭、残障人士及家庭、独居孤寡长者及家庭、认知行为偏差儿童和青少年、单亲母亲及家庭等各类处于困境的人群及家庭。</w:t>
            </w:r>
          </w:p>
          <w:p>
            <w:pPr>
              <w:ind w:firstLine="420"/>
              <w:jc w:val="both"/>
            </w:pPr>
            <w:r>
              <w:rPr>
                <w:sz w:val="21"/>
              </w:rPr>
              <w:t>（</w:t>
            </w:r>
            <w:r>
              <w:rPr>
                <w:sz w:val="21"/>
              </w:rPr>
              <w:t>1）低保、低收等困境家庭的服务：鱼珠街低保、低</w:t>
            </w:r>
            <w:r>
              <w:rPr>
                <w:sz w:val="21"/>
              </w:rPr>
              <w:t>边</w:t>
            </w:r>
            <w:r>
              <w:rPr>
                <w:sz w:val="21"/>
              </w:rPr>
              <w:t>家庭</w:t>
            </w:r>
            <w:r>
              <w:rPr>
                <w:sz w:val="21"/>
              </w:rPr>
              <w:t>24</w:t>
            </w:r>
            <w:r>
              <w:rPr>
                <w:sz w:val="21"/>
              </w:rPr>
              <w:t>户，</w:t>
            </w:r>
            <w:r>
              <w:rPr>
                <w:sz w:val="21"/>
              </w:rPr>
              <w:t>特困</w:t>
            </w:r>
            <w:r>
              <w:rPr>
                <w:sz w:val="21"/>
              </w:rPr>
              <w:t>10人，</w:t>
            </w:r>
            <w:r>
              <w:rPr>
                <w:sz w:val="21"/>
              </w:rPr>
              <w:t>单亲家庭</w:t>
            </w:r>
            <w:r>
              <w:rPr>
                <w:sz w:val="21"/>
              </w:rPr>
              <w:t>10</w:t>
            </w:r>
            <w:r>
              <w:rPr>
                <w:sz w:val="21"/>
              </w:rPr>
              <w:t>户，项目服务期内要求</w:t>
            </w:r>
            <w:r>
              <w:rPr>
                <w:sz w:val="21"/>
              </w:rPr>
              <w:t>100%全覆盖。为困境家庭提供社会资源链接、扶贫帮困、就业援助等服务，至少80%的困境家庭受益而使其成员生活处境得到改善，服务对象满意度不低于80%。</w:t>
            </w:r>
          </w:p>
          <w:p>
            <w:pPr>
              <w:ind w:firstLine="420"/>
              <w:jc w:val="both"/>
            </w:pPr>
            <w:r>
              <w:rPr>
                <w:sz w:val="21"/>
              </w:rPr>
              <w:t>（</w:t>
            </w:r>
            <w:r>
              <w:rPr>
                <w:sz w:val="21"/>
              </w:rPr>
              <w:t>2）困境长者的服务：指面向独居、孤寡和“三无”长者等陷入生活困境，需要给予必要援助和照顾的长者群体及家庭的服务。鱼珠街有孤寡长者4 人，独居长者</w:t>
            </w:r>
            <w:r>
              <w:rPr>
                <w:sz w:val="21"/>
              </w:rPr>
              <w:t>31</w:t>
            </w:r>
            <w:r>
              <w:rPr>
                <w:sz w:val="21"/>
              </w:rPr>
              <w:t xml:space="preserve"> </w:t>
            </w:r>
            <w:r>
              <w:rPr>
                <w:sz w:val="21"/>
              </w:rPr>
              <w:t>人，残障长者</w:t>
            </w:r>
            <w:r>
              <w:rPr>
                <w:sz w:val="21"/>
              </w:rPr>
              <w:t>12</w:t>
            </w:r>
            <w:r>
              <w:rPr>
                <w:sz w:val="21"/>
              </w:rPr>
              <w:t xml:space="preserve"> </w:t>
            </w:r>
            <w:r>
              <w:rPr>
                <w:sz w:val="21"/>
              </w:rPr>
              <w:t>人，</w:t>
            </w:r>
            <w:r>
              <w:rPr>
                <w:sz w:val="21"/>
              </w:rPr>
              <w:t>80 岁高龄长者</w:t>
            </w:r>
            <w:r>
              <w:rPr>
                <w:sz w:val="21"/>
              </w:rPr>
              <w:t>1019</w:t>
            </w:r>
            <w:r>
              <w:rPr>
                <w:sz w:val="21"/>
              </w:rPr>
              <w:t xml:space="preserve"> </w:t>
            </w:r>
            <w:r>
              <w:rPr>
                <w:sz w:val="21"/>
              </w:rPr>
              <w:t>人。为困境长者提供社会资源链接、扶贫帮困、公益关爱等服务，每年服务的困境长者不少于</w:t>
            </w:r>
            <w:r>
              <w:rPr>
                <w:sz w:val="21"/>
              </w:rPr>
              <w:t>200 个，至少60%的服务对象受益而使其生活处境得到改善，服务对象满意度不低于80%。</w:t>
            </w:r>
          </w:p>
          <w:p>
            <w:pPr>
              <w:ind w:firstLine="420"/>
              <w:jc w:val="both"/>
            </w:pPr>
            <w:r>
              <w:rPr>
                <w:sz w:val="21"/>
              </w:rPr>
              <w:t>（</w:t>
            </w:r>
            <w:r>
              <w:rPr>
                <w:sz w:val="21"/>
              </w:rPr>
              <w:t>3）其他困境群体的服务：有需要的困境群体（包括失独、下岗失业、社区矫正人员、吸毒人员、服刑人员家庭等）服务数量60 个，一年项目服务期内，所有困境群体全覆盖。为相关困境群体提供社会资源链接、个案帮扶、小组互助等服务，年度所有服务对象中至少60%的服务对象因服务受益而使其生活处境得到改善，服务对象满意度不低于80%。</w:t>
            </w:r>
          </w:p>
          <w:p>
            <w:pPr>
              <w:ind w:firstLine="420"/>
              <w:jc w:val="both"/>
            </w:pPr>
            <w:r>
              <w:rPr>
                <w:sz w:val="21"/>
              </w:rPr>
              <w:t>（</w:t>
            </w:r>
            <w:r>
              <w:rPr>
                <w:sz w:val="21"/>
              </w:rPr>
              <w:t>4）义工服务：每年培育发展的志愿者（义工）骨干不少于20 人；每年培育发展的新登记志愿者（义工）不少于100 人；每年培育发展的新增志愿者（义工）队伍不少于</w:t>
            </w:r>
            <w:r>
              <w:rPr>
                <w:sz w:val="21"/>
              </w:rPr>
              <w:t>2</w:t>
            </w:r>
            <w:r>
              <w:rPr>
                <w:sz w:val="21"/>
              </w:rPr>
              <w:t>个</w:t>
            </w:r>
            <w:r>
              <w:rPr>
                <w:sz w:val="21"/>
              </w:rPr>
              <w:t>。每年开展的志愿者（义工）服务活动不少于</w:t>
            </w:r>
            <w:r>
              <w:rPr>
                <w:sz w:val="21"/>
              </w:rPr>
              <w:t>6 次，服务低保低收、独居孤寡、残障等困境人士不少于100 个，服务对象满意度不低于80%。</w:t>
            </w:r>
          </w:p>
          <w:p>
            <w:pPr>
              <w:ind w:firstLine="420"/>
              <w:jc w:val="both"/>
            </w:pPr>
            <w:r>
              <w:rPr>
                <w:sz w:val="21"/>
              </w:rPr>
              <w:t>2.一般性服务领域的成效要求</w:t>
            </w:r>
          </w:p>
          <w:p>
            <w:pPr>
              <w:ind w:firstLine="420"/>
              <w:jc w:val="both"/>
            </w:pPr>
            <w:r>
              <w:rPr>
                <w:sz w:val="21"/>
              </w:rPr>
              <w:t>（</w:t>
            </w:r>
            <w:r>
              <w:rPr>
                <w:sz w:val="21"/>
              </w:rPr>
              <w:t>1）一般性家庭的服务：针对一般性家庭的服务，每年至少应服务500个家庭，能促进60%的家庭在夫妻婚姻、亲子教育、婆媳关系、社区参与等方面的状况改善，服务对象满意度不低于80%。</w:t>
            </w:r>
          </w:p>
          <w:p>
            <w:pPr>
              <w:ind w:firstLine="420"/>
              <w:jc w:val="both"/>
            </w:pPr>
            <w:r>
              <w:rPr>
                <w:sz w:val="21"/>
              </w:rPr>
              <w:t>（</w:t>
            </w:r>
            <w:r>
              <w:rPr>
                <w:sz w:val="21"/>
              </w:rPr>
              <w:t>2）一般性单个人群的服务：包括一般性青少年群体、长者群体、妇女群体、儿童群体、新广州人群体等，每年每个</w:t>
            </w:r>
            <w:r>
              <w:rPr>
                <w:sz w:val="21"/>
              </w:rPr>
              <w:t>社工服务站（家庭综合服务中心）</w:t>
            </w:r>
            <w:r>
              <w:rPr>
                <w:sz w:val="21"/>
              </w:rPr>
              <w:t>至少应服务</w:t>
            </w:r>
            <w:r>
              <w:rPr>
                <w:sz w:val="21"/>
              </w:rPr>
              <w:t>500 个相关人群及家庭，能促进60%的服务对象在社会适应能力、社会认知、社会参与等方面的状况得到改善，服务对象满意度不低于80%。</w:t>
            </w:r>
          </w:p>
          <w:p>
            <w:pPr>
              <w:ind w:firstLine="420"/>
              <w:jc w:val="both"/>
            </w:pPr>
            <w:r>
              <w:rPr>
                <w:sz w:val="21"/>
              </w:rPr>
              <w:t>（</w:t>
            </w:r>
            <w:r>
              <w:rPr>
                <w:sz w:val="21"/>
              </w:rPr>
              <w:t>3）社区发展服务：每年依据实际情况，应协助街（镇）介入各类涉及社区发展的公共问题、专案等不少于2 个，使相关问题得到缓解或妥善解决，购买方或服务对象满意度均不低于60%。</w:t>
            </w:r>
          </w:p>
          <w:p>
            <w:pPr>
              <w:ind w:firstLine="420"/>
              <w:jc w:val="both"/>
            </w:pPr>
            <w:r>
              <w:rPr>
                <w:sz w:val="21"/>
              </w:rPr>
              <w:t>备注：关于项目的人员配置、服务成效，另有新的文件规定的，按照有关规定执行。</w:t>
            </w:r>
          </w:p>
        </w:tc>
      </w:tr>
      <w:tr>
        <w:tc>
          <w:tcPr>
            <w:tcW w:type="dxa" w:w="2076"/>
          </w:tcPr>
          <w:p/>
        </w:tc>
        <w:tc>
          <w:tcPr>
            <w:tcW w:type="dxa" w:w="415"/>
          </w:tcPr>
          <w:p>
            <w:r>
              <w:rPr/>
              <w:t>3</w:t>
            </w:r>
          </w:p>
        </w:tc>
        <w:tc>
          <w:tcPr>
            <w:tcW w:type="dxa" w:w="5814"/>
          </w:tcPr>
          <w:p>
            <w:pPr>
              <w:ind w:firstLine="422"/>
              <w:jc w:val="both"/>
            </w:pPr>
            <w:r>
              <w:rPr>
                <w:b/>
                <w:sz w:val="21"/>
              </w:rPr>
              <w:t>三</w:t>
            </w:r>
            <w:r>
              <w:rPr>
                <w:b/>
                <w:sz w:val="21"/>
              </w:rPr>
              <w:t>、项目经费预算</w:t>
            </w:r>
          </w:p>
          <w:p>
            <w:pPr>
              <w:ind w:firstLine="420"/>
              <w:jc w:val="both"/>
            </w:pPr>
            <w:r>
              <w:rPr>
                <w:sz w:val="21"/>
              </w:rPr>
              <w:t>（一）本项目经费为额定经费，总计</w:t>
            </w:r>
            <w:r>
              <w:rPr>
                <w:sz w:val="21"/>
              </w:rPr>
              <w:t>720</w:t>
            </w:r>
            <w:r>
              <w:rPr>
                <w:sz w:val="21"/>
              </w:rPr>
              <w:t>万元人民币。含人员经费、专业支持经费、专业服务和活动经费、日常办公经费、总部管理费用等，及由项目开展而产生的其他费用。关于本项目的购买经费标准另有新规定的，按照有关规定执行。</w:t>
            </w:r>
          </w:p>
          <w:p>
            <w:pPr>
              <w:ind w:firstLine="420"/>
              <w:jc w:val="both"/>
            </w:pPr>
            <w:r>
              <w:rPr>
                <w:sz w:val="21"/>
              </w:rPr>
              <w:t>（二）项目经费根据合同约定的方式分期拨付，依照广州市家庭综合服务中心管理有关规定执行。</w:t>
            </w:r>
          </w:p>
        </w:tc>
      </w:tr>
      <w:tr>
        <w:tc>
          <w:tcPr>
            <w:tcW w:type="dxa" w:w="2076"/>
          </w:tcPr>
          <w:p/>
        </w:tc>
        <w:tc>
          <w:tcPr>
            <w:tcW w:type="dxa" w:w="415"/>
          </w:tcPr>
          <w:p>
            <w:r>
              <w:rPr/>
              <w:t>4</w:t>
            </w:r>
          </w:p>
        </w:tc>
        <w:tc>
          <w:tcPr>
            <w:tcW w:type="dxa" w:w="5814"/>
          </w:tcPr>
          <w:p>
            <w:pPr>
              <w:ind w:firstLine="422"/>
              <w:jc w:val="both"/>
            </w:pPr>
            <w:r>
              <w:rPr>
                <w:b/>
                <w:sz w:val="21"/>
              </w:rPr>
              <w:t>四</w:t>
            </w:r>
            <w:r>
              <w:rPr>
                <w:b/>
                <w:sz w:val="21"/>
              </w:rPr>
              <w:t>、应标机构要求</w:t>
            </w:r>
          </w:p>
          <w:p>
            <w:pPr>
              <w:ind w:firstLine="420"/>
              <w:jc w:val="both"/>
            </w:pPr>
            <w:r>
              <w:rPr>
                <w:sz w:val="21"/>
              </w:rPr>
              <w:t>（一）应标机构为具有合法有效的独立法人资格的从事非营利社会服务活动的社会公益组织，机构机制健全，内部管理和监督机制完善。</w:t>
            </w:r>
          </w:p>
          <w:p>
            <w:pPr>
              <w:ind w:firstLine="420"/>
              <w:jc w:val="both"/>
            </w:pPr>
            <w:r>
              <w:rPr>
                <w:sz w:val="21"/>
              </w:rPr>
              <w:t>（二）具有独立的财务管理、财务核算和资产管理制度。</w:t>
            </w:r>
          </w:p>
          <w:p>
            <w:pPr>
              <w:ind w:firstLine="420"/>
              <w:jc w:val="both"/>
            </w:pPr>
            <w:r>
              <w:rPr>
                <w:sz w:val="21"/>
              </w:rPr>
              <w:t>（三）有依法缴纳税收和社会保障资金的良好记录；前三年内无重大违法记录，通过年检或按要求履行年度报告义务，信用状况良好，未被列入经营异常名录或者严重违法社会组织名单。</w:t>
            </w:r>
          </w:p>
          <w:p>
            <w:pPr>
              <w:ind w:firstLine="420"/>
              <w:jc w:val="both"/>
            </w:pPr>
            <w:r>
              <w:rPr>
                <w:sz w:val="21"/>
              </w:rPr>
              <w:t>（四）应标机构有一支</w:t>
            </w:r>
            <w:r>
              <w:rPr>
                <w:sz w:val="21"/>
              </w:rPr>
              <w:t>具备相关实力</w:t>
            </w:r>
            <w:r>
              <w:rPr>
                <w:sz w:val="21"/>
              </w:rPr>
              <w:t>的社会工作专业专职队伍，具有高素质的社会工作人才库，以及拥有丰富的社会工作实务经验和广阔的视野。应有承接家庭综合服务中心等社会工作项目经验。</w:t>
            </w:r>
          </w:p>
          <w:p>
            <w:pPr>
              <w:ind w:firstLine="420"/>
              <w:jc w:val="both"/>
            </w:pPr>
            <w:r>
              <w:rPr>
                <w:sz w:val="21"/>
              </w:rPr>
              <w:t>（五）应标机构能遵从广州市关于家庭综合服务中心的运营管理要求和有关规定，规范、有效利用资金，为社区居民最大程度提供综合性社会服务。</w:t>
            </w:r>
          </w:p>
          <w:p>
            <w:pPr>
              <w:ind w:firstLine="420"/>
              <w:jc w:val="both"/>
            </w:pPr>
            <w:r>
              <w:rPr>
                <w:sz w:val="21"/>
              </w:rPr>
              <w:t>（六）应标机构能在遵守广州市家庭综合服务中心建设管理的相关规定的基础上，根据街道实际需要，设计特色项目，树立街道服务品牌。</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广州市黄埔区人民政府鱼珠街道办事处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采购机构代理服务收费标准：中标人须向采购代理机构按如下标准和规定缴纳招标代理服务费（不含税）： （1）以项目预算金额作为招标代理服务费的计算基数； （2）招标代理服务费采用差额定率累进法进行计算，按照以下标准计取： 100万元以下的部分，按照1.5%计取； 100-500万元的部分，按照0.8%计取； 500-1000万元的部分，按照0.45%计取； 1000-5000万元的部分，按照0.25%计取。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便利化措施（本招标文件其他条款与本条不一致的，以本条为准），投标文件的递交与开标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罗小姐 3）注明采购项目编号、包组号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中标（成交）通知书、服务费（标书款）发票可以现场领取，也可以由我司通过快递方式送达给中标（成交）人，服务费（标书款）发票以邮件方式发送电子发票。 采购合同送达 我司提倡中标（成交）人优先采用邮寄方式将签订的合同及时送达我司。 1）收件地址：广州市天河区龙怡路117号银汇大厦5楼 2）收件人：广东志正招标有限公司前台 罗小姐 3）注明采购项目编号、包组号</w:t>
            </w:r>
          </w:p>
        </w:tc>
      </w:tr>
      <w:tr>
        <w:tc>
          <w:tcPr>
            <w:tcW w:type="dxa" w:w="1051"/>
          </w:tcPr>
          <w:p>
            <w:r>
              <w:rPr/>
              <w:t>19</w:t>
            </w:r>
          </w:p>
        </w:tc>
        <w:tc>
          <w:tcPr>
            <w:tcW w:type="dxa" w:w="2252"/>
          </w:tcPr>
          <w:p>
            <w:r>
              <w:rPr/>
              <w:t>开标解密时长</w:t>
            </w:r>
          </w:p>
        </w:tc>
        <w:tc>
          <w:tcPr>
            <w:tcW w:type="dxa" w:w="5004"/>
          </w:tcPr>
          <w:p>
            <w:r>
              <w:rPr/>
              <w:t>说明：具体情况根据开标时现场代理机构人员设置为准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广东志正招标有限公司（www.zztender.com/）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政府采购监督管理机构名称：广州市黄埔区财政局债务和采购管理处</w:t>
      </w:r>
    </w:p>
    <w:p>
      <w:r>
        <w:rPr/>
        <w:t>地  址：广州市黄埔区香雪三路1号行政中心E座123室</w:t>
      </w:r>
    </w:p>
    <w:p>
      <w:r>
        <w:rPr/>
        <w:t>电  话：020-82376610</w:t>
      </w:r>
    </w:p>
    <w:p>
      <w:r>
        <w:rPr/>
        <w:t>邮  编：510700</w:t>
      </w:r>
    </w:p>
    <w:p>
      <w:r>
        <w:rPr/>
        <w:t>传  真：020-82118411</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鱼珠街社工服务站（家庭综合服务中心）运营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采购包1（鱼珠街社工服务站（家庭综合服务中心）运营服务）：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采购包1（鱼珠街社工服务站（家庭综合服务中心）运营服务）：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最新的投标人营业执照（或事业单位法人证书，或社会团体法人登记证书，或执业许可证）副本复印件；若以不具有独立承担民事责任能力的分支机构投标，须取得具有法人资格的总公司的授权书，并提供总公司营业执照副本复印件；如投标人为自然人的需提供自然人身份证明。</w:t>
            </w:r>
          </w:p>
        </w:tc>
      </w:tr>
      <w:tr>
        <w:tc>
          <w:tcPr>
            <w:tcW w:type="dxa" w:w="890"/>
          </w:tcPr>
          <w:p>
            <w:r>
              <w:rPr/>
              <w:t>2</w:t>
            </w:r>
          </w:p>
        </w:tc>
        <w:tc>
          <w:tcPr>
            <w:tcW w:type="dxa" w:w="3178"/>
          </w:tcPr>
          <w:p>
            <w:r>
              <w:rPr/>
              <w:t>有依法缴纳税收和社会保障资金的良好记录</w:t>
            </w:r>
          </w:p>
        </w:tc>
        <w:tc>
          <w:tcPr>
            <w:tcW w:type="dxa" w:w="4238"/>
          </w:tcPr>
          <w:p>
            <w:r>
              <w:rPr/>
              <w:t>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供应商未被列入“信用中国”网站(www.creditchina.gov.cn)“失信被执行人或重大税收违法失信主体或政府采购严重违法失信行为记录名单”； 不处于中国政府采购网(www.ccgp.gov.cn)“政府采购严重违法失信行为记录名单”中的禁止参加政府采购活动期间。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投标机构符合国家有关政事分开、政社分开的要求。</w:t>
            </w:r>
          </w:p>
        </w:tc>
        <w:tc>
          <w:tcPr>
            <w:tcW w:type="dxa" w:w="4238"/>
          </w:tcPr>
          <w:p>
            <w:r>
              <w:rPr/>
              <w:t>投标机构符合国家有关政事分开、政社分开的要求。（出具无现职国家公务员兼职的承诺函，格式自拟。）</w:t>
            </w:r>
          </w:p>
        </w:tc>
      </w:tr>
    </w:tbl>
    <w:p/>
    <w:p>
      <w:pPr>
        <w:ind w:firstLine="480"/>
      </w:pPr>
      <w:r>
        <w:rPr/>
        <w:t>表二符合性审查表：</w:t>
      </w:r>
    </w:p>
    <w:p>
      <w:pPr>
        <w:ind w:firstLine="480"/>
      </w:pPr>
    </w:p>
    <w:p/>
    <w:p>
      <w:r>
        <w:rPr/>
        <w:t>采购包1（鱼珠街社工服务站（家庭综合服务中心）运营服务）：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符合招标文件规定的投标有效期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w:t>
            </w:r>
          </w:p>
        </w:tc>
      </w:tr>
      <w:tr>
        <w:tc>
          <w:tcPr>
            <w:tcW w:type="dxa" w:w="890"/>
          </w:tcPr>
          <w:p>
            <w:r>
              <w:rPr/>
              <w:t>3</w:t>
            </w:r>
          </w:p>
        </w:tc>
        <w:tc>
          <w:tcPr>
            <w:tcW w:type="dxa" w:w="3178"/>
          </w:tcPr>
          <w:p>
            <w:r>
              <w:rPr/>
              <w:t>投标报价</w:t>
            </w:r>
          </w:p>
        </w:tc>
        <w:tc>
          <w:tcPr>
            <w:tcW w:type="dxa" w:w="4238"/>
          </w:tcPr>
          <w:p>
            <w:r>
              <w:rPr/>
              <w:t>服务工时量报价未超出有效范围</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采购包1(鱼珠街社工服务站（家庭综合服务中心）运营服务):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投标机构技术响应程度 (5.0分)</w:t>
            </w:r>
            <w:r>
              <w:rPr/>
              <w:t>，（等次分值选择：</w:t>
            </w:r>
            <w:r>
              <w:rPr/>
              <w:t>0.0;</w:t>
            </w:r>
            <w:r>
              <w:rPr/>
              <w:t>1.0;</w:t>
            </w:r>
            <w:r>
              <w:rPr/>
              <w:t>3.0;</w:t>
            </w:r>
            <w:r>
              <w:rPr/>
              <w:t>4.0;</w:t>
            </w:r>
            <w:r>
              <w:rPr/>
              <w:t>5.0;</w:t>
            </w:r>
            <w:r>
              <w:rPr/>
              <w:t>）</w:t>
            </w:r>
          </w:p>
        </w:tc>
        <w:tc>
          <w:tcPr>
            <w:tcW w:type="dxa" w:w="5076"/>
          </w:tcPr>
          <w:p>
            <w:pPr>
              <w:jc w:val="left"/>
            </w:pPr>
            <w:r>
              <w:rPr/>
              <w:t>对采购人的需求、团队专业要求等专业服务技术要求响应程度： 投标文件技术部分完整、响应内容全面，响应程度高，得5分； 投标文件技术部分完整、响应内容较全面，响应程度较高，得4分； 投标文件技术部分较完整、响应内容不清晰，响应程度一般，得3分； 投标文件技术部分不完整、响应内容不全面，响应程度较差；得1分； 未体现上述内容的不得分。</w:t>
            </w:r>
          </w:p>
        </w:tc>
      </w:tr>
      <w:tr>
        <w:tc>
          <w:tcPr>
            <w:tcW w:type="dxa" w:w="922"/>
            <w:gridSpan w:val="2"/>
            <w:vMerge/>
          </w:tcPr>
          <w:p/>
        </w:tc>
        <w:tc>
          <w:tcPr>
            <w:tcW w:type="dxa" w:w="2307"/>
          </w:tcPr>
          <w:p>
            <w:pPr>
              <w:jc w:val="left"/>
            </w:pPr>
            <w:r>
              <w:rPr/>
              <w:t>投标机构的项目实施能力 (8.0分)</w:t>
            </w:r>
          </w:p>
        </w:tc>
        <w:tc>
          <w:tcPr>
            <w:tcW w:type="dxa" w:w="5076"/>
          </w:tcPr>
          <w:p>
            <w:pPr>
              <w:jc w:val="left"/>
            </w:pPr>
            <w:r>
              <w:rPr/>
              <w:t>为本项目配备的主要管理人员资质符合要求，具备较好的专业服务能力： 1、配备的项目负责人： 拥有6年及以上社工服务经验，且持有国家《社会工作工师》（高级），得2分； 具有3年-6年（不含）社工服务项目管理经验，且获持有国家《社会工作工师》（中级），得1分； 具有2年-3年（不含）社工服务项目管理经验，且获持有国家《社会工作师》（助理级）的，得0.5分；  社工服务项目管理经验未满2年或未有相关职业资格证书的，得0分。 2、配备的各服务领域主管： 具有8年及以上社工服务经验，且持有国家《社会工作工师》（高级），每名得1分； 具有5年-8年（不含）社工服务经验，持有国家《社会工作工师》（中级），每名得1分；  具有3年-5年（不含）社工服务经验，持有国家《助理社会工作工师》（助理级），每名得0.5分；  社工服务经验未满3年或未有相关职业资格证书的，得0分。 注：本项累计最高得8分。提交主要管理人员名单、职业证书、身份证、聘用合同、投标截止前连续三个月参加社保证明复印件)（单个人员缺少任一证明资料的均不得分）。</w:t>
            </w:r>
          </w:p>
        </w:tc>
      </w:tr>
      <w:tr>
        <w:tc>
          <w:tcPr>
            <w:tcW w:type="dxa" w:w="922"/>
            <w:gridSpan w:val="2"/>
            <w:vMerge/>
          </w:tcPr>
          <w:p/>
        </w:tc>
        <w:tc>
          <w:tcPr>
            <w:tcW w:type="dxa" w:w="2307"/>
          </w:tcPr>
          <w:p>
            <w:pPr>
              <w:jc w:val="left"/>
            </w:pPr>
            <w:r>
              <w:rPr/>
              <w:t>项目服务需求及服务目标的辨识能力要求 (8.0分)</w:t>
            </w:r>
            <w:r>
              <w:rPr/>
              <w:t>，（等次分值选择：</w:t>
            </w:r>
            <w:r>
              <w:rPr/>
              <w:t>0.0;</w:t>
            </w:r>
            <w:r>
              <w:rPr/>
              <w:t>2.0;</w:t>
            </w:r>
            <w:r>
              <w:rPr/>
              <w:t>5.0;</w:t>
            </w:r>
            <w:r>
              <w:rPr/>
              <w:t>8.0;</w:t>
            </w:r>
            <w:r>
              <w:rPr/>
              <w:t>）</w:t>
            </w:r>
          </w:p>
        </w:tc>
        <w:tc>
          <w:tcPr>
            <w:tcW w:type="dxa" w:w="5076"/>
          </w:tcPr>
          <w:p>
            <w:pPr>
              <w:jc w:val="left"/>
            </w:pPr>
            <w:r>
              <w:rPr/>
              <w:t>投标机构的项目服务计划能够评估和辨识项目所在地社区的不同服务对象，亦能清晰区分重点服务对象和一般服务对象及其问题和需求，并有针对性地设置可行的服务目标： 项目服务计划能够精准识别在地困难群众和特殊群体，并能全面清晰区分不同服务对象的需求，且设置的服务目标合理可行，得8分。 项目服务计划能够识别在地困难群众和特殊群体，对需求把握较为清晰，且设置的服务目标较为合理可行，得5分。 项目服务计划能够识别部分在地困难群众和特殊群体，对需求进行了一定程度的分析，设置的服务目标具有一定的合理可行性，得2分。 项目服务计划基本没有区分不同种类困难群众和特殊群体或设置的服务目标不合理可行的，得0分。 无提供不得分。</w:t>
            </w:r>
          </w:p>
        </w:tc>
      </w:tr>
      <w:tr>
        <w:tc>
          <w:tcPr>
            <w:tcW w:type="dxa" w:w="922"/>
            <w:gridSpan w:val="2"/>
            <w:vMerge/>
          </w:tcPr>
          <w:p/>
        </w:tc>
        <w:tc>
          <w:tcPr>
            <w:tcW w:type="dxa" w:w="2307"/>
          </w:tcPr>
          <w:p>
            <w:pPr>
              <w:jc w:val="left"/>
            </w:pPr>
            <w:r>
              <w:rPr/>
              <w:t>项目计划的可行性要求1 (4.0分)</w:t>
            </w:r>
            <w:r>
              <w:rPr/>
              <w:t>，（等次分值选择：</w:t>
            </w:r>
            <w:r>
              <w:rPr/>
              <w:t>0.0;</w:t>
            </w:r>
            <w:r>
              <w:rPr/>
              <w:t>2.0;</w:t>
            </w:r>
            <w:r>
              <w:rPr/>
              <w:t>4.0;</w:t>
            </w:r>
            <w:r>
              <w:rPr/>
              <w:t>）</w:t>
            </w:r>
          </w:p>
        </w:tc>
        <w:tc>
          <w:tcPr>
            <w:tcW w:type="dxa" w:w="5076"/>
          </w:tcPr>
          <w:p>
            <w:pPr>
              <w:jc w:val="left"/>
            </w:pPr>
            <w:r>
              <w:rPr/>
              <w:t>针对社区各类兜底性服务对象的重点需求，能够设计合理、可行的项目服务计划，且各项目服务计划内容符合采购需求的要求，得4分。 针对社区各类兜底性服务对象的重点需求，能够设计较合理、可行的项目服务计划，且各项目服务计划内容符合采购需求的要求，得2分。 项目服务计划不合理不可行或不能符合采购需求的服务要求的得0分。 无提供不得分。</w:t>
            </w:r>
          </w:p>
        </w:tc>
      </w:tr>
      <w:tr>
        <w:tc>
          <w:tcPr>
            <w:tcW w:type="dxa" w:w="922"/>
            <w:gridSpan w:val="2"/>
            <w:vMerge/>
          </w:tcPr>
          <w:p/>
        </w:tc>
        <w:tc>
          <w:tcPr>
            <w:tcW w:type="dxa" w:w="2307"/>
          </w:tcPr>
          <w:p>
            <w:pPr>
              <w:jc w:val="left"/>
            </w:pPr>
            <w:r>
              <w:rPr/>
              <w:t>项目计划的可行性要求2 (1.0分)</w:t>
            </w:r>
            <w:r>
              <w:rPr/>
              <w:t>，（等次分值选择：</w:t>
            </w:r>
            <w:r>
              <w:rPr/>
              <w:t>0.0;</w:t>
            </w:r>
            <w:r>
              <w:rPr/>
              <w:t>1.0;</w:t>
            </w:r>
            <w:r>
              <w:rPr/>
              <w:t>）</w:t>
            </w:r>
          </w:p>
        </w:tc>
        <w:tc>
          <w:tcPr>
            <w:tcW w:type="dxa" w:w="5076"/>
          </w:tcPr>
          <w:p>
            <w:pPr>
              <w:jc w:val="left"/>
            </w:pPr>
            <w:r>
              <w:rPr/>
              <w:t>针对社区的发展性需要，能够设计合理、可行的志愿者服务计划，服务计划应明确在志愿者、志愿者骨干及其组织培育等方面的策略和方案，且服务内容设计符合采购需求的服务要求，得1分。 计划不合理不可行或不能符合采购需求的服务要求，得0分。 无提供不得分。</w:t>
            </w:r>
          </w:p>
        </w:tc>
      </w:tr>
      <w:tr>
        <w:tc>
          <w:tcPr>
            <w:tcW w:type="dxa" w:w="922"/>
            <w:gridSpan w:val="2"/>
            <w:vMerge/>
          </w:tcPr>
          <w:p/>
        </w:tc>
        <w:tc>
          <w:tcPr>
            <w:tcW w:type="dxa" w:w="2307"/>
          </w:tcPr>
          <w:p>
            <w:pPr>
              <w:jc w:val="left"/>
            </w:pPr>
            <w:r>
              <w:rPr/>
              <w:t>项目计划的可行性要求3 (1.0分)</w:t>
            </w:r>
            <w:r>
              <w:rPr/>
              <w:t>，（等次分值选择：</w:t>
            </w:r>
            <w:r>
              <w:rPr/>
              <w:t>0.0;</w:t>
            </w:r>
            <w:r>
              <w:rPr/>
              <w:t>1.0;</w:t>
            </w:r>
            <w:r>
              <w:rPr/>
              <w:t>）</w:t>
            </w:r>
          </w:p>
        </w:tc>
        <w:tc>
          <w:tcPr>
            <w:tcW w:type="dxa" w:w="5076"/>
          </w:tcPr>
          <w:p>
            <w:pPr>
              <w:jc w:val="left"/>
            </w:pPr>
            <w:r>
              <w:rPr/>
              <w:t>针对社区的疫情防控、应急救灾、突发事件等公共服务需要，依据实际情况设计系统的社区公益服务计划，明确在社区组织培育、社区问题介入等方面的合理、可行的服务方案，且服务设计符合采购需求的服务要求，得1分。 计划不合理不可行或不能符合采购需求的服务要求，得0分。 无提供不得分。</w:t>
            </w:r>
          </w:p>
        </w:tc>
      </w:tr>
      <w:tr>
        <w:tc>
          <w:tcPr>
            <w:tcW w:type="dxa" w:w="922"/>
            <w:gridSpan w:val="2"/>
            <w:vMerge/>
          </w:tcPr>
          <w:p/>
        </w:tc>
        <w:tc>
          <w:tcPr>
            <w:tcW w:type="dxa" w:w="2307"/>
          </w:tcPr>
          <w:p>
            <w:pPr>
              <w:jc w:val="left"/>
            </w:pPr>
            <w:r>
              <w:rPr/>
              <w:t>项目经费预算保障计划要求 (5.0分)</w:t>
            </w:r>
            <w:r>
              <w:rPr/>
              <w:t>，（等次分值选择：</w:t>
            </w:r>
            <w:r>
              <w:rPr/>
              <w:t>0.0;</w:t>
            </w:r>
            <w:r>
              <w:rPr/>
              <w:t>1.0;</w:t>
            </w:r>
            <w:r>
              <w:rPr/>
              <w:t>3.0;</w:t>
            </w:r>
            <w:r>
              <w:rPr/>
              <w:t>5.0;</w:t>
            </w:r>
            <w:r>
              <w:rPr/>
              <w:t>）</w:t>
            </w:r>
          </w:p>
        </w:tc>
        <w:tc>
          <w:tcPr>
            <w:tcW w:type="dxa" w:w="5076"/>
          </w:tcPr>
          <w:p>
            <w:pPr>
              <w:jc w:val="left"/>
            </w:pPr>
            <w:r>
              <w:rPr/>
              <w:t>具有合理、详细的项目经费使用计划和预算明细，对工作中各项可能的支出考虑全面细致，符合政府购买服务的相关规定，能够确保项目顺利实施： 项目经费预算科目清晰，全面考虑了工作中的各项可能性支出，预算明细合理且符合政府购买服务相关规定，得5分。 项目经费预算科目清晰，较全面考虑了工作中的主要性支出，预算明细较合理且符合政府购买服务相关规定，得3分； 项目经费预算科目清晰，但对工作中的各项主要支出考虑不够全面，预算明细基本合理，得1分； 无项目经费预算或项目经费预算科目不清晰的，均得0分； 无提供不得分。</w:t>
            </w:r>
          </w:p>
        </w:tc>
      </w:tr>
      <w:tr>
        <w:tc>
          <w:tcPr>
            <w:tcW w:type="dxa" w:w="922"/>
            <w:gridSpan w:val="2"/>
            <w:vMerge/>
          </w:tcPr>
          <w:p/>
        </w:tc>
        <w:tc>
          <w:tcPr>
            <w:tcW w:type="dxa" w:w="2307"/>
          </w:tcPr>
          <w:p>
            <w:pPr>
              <w:jc w:val="left"/>
            </w:pPr>
            <w:r>
              <w:rPr/>
              <w:t>项目计划实施的制度保障要求 (4.0分)</w:t>
            </w:r>
            <w:r>
              <w:rPr/>
              <w:t>，（等次分值选择：</w:t>
            </w:r>
            <w:r>
              <w:rPr/>
              <w:t>0.0;</w:t>
            </w:r>
            <w:r>
              <w:rPr/>
              <w:t>1.0;</w:t>
            </w:r>
            <w:r>
              <w:rPr/>
              <w:t>2.0;</w:t>
            </w:r>
            <w:r>
              <w:rPr/>
              <w:t>4.0;</w:t>
            </w:r>
            <w:r>
              <w:rPr/>
              <w:t>）</w:t>
            </w:r>
          </w:p>
        </w:tc>
        <w:tc>
          <w:tcPr>
            <w:tcW w:type="dxa" w:w="5076"/>
          </w:tcPr>
          <w:p>
            <w:pPr>
              <w:jc w:val="left"/>
            </w:pPr>
            <w:r>
              <w:rPr/>
              <w:t>有针对项目计划制定合理、可行的制度，包括员工管理、服务质量管理、绩效考核、应急安全保障制度等，保障计划安全有效实施： 有系统的服务保障制度，且制度合法，具有较强的合理性和可执行性，得4分。 有系统的服务保障制度，且制度合法，具有一定的合理性和可执行性，得2分。 有系统的服务保障制度，但可执行性较低的，得1分。 无相关服务保障制度的，得0分。</w:t>
            </w:r>
          </w:p>
        </w:tc>
      </w:tr>
      <w:tr>
        <w:tc>
          <w:tcPr>
            <w:tcW w:type="dxa" w:w="922"/>
            <w:gridSpan w:val="2"/>
            <w:vMerge/>
          </w:tcPr>
          <w:p/>
        </w:tc>
        <w:tc>
          <w:tcPr>
            <w:tcW w:type="dxa" w:w="2307"/>
          </w:tcPr>
          <w:p>
            <w:pPr>
              <w:jc w:val="left"/>
            </w:pPr>
            <w:r>
              <w:rPr/>
              <w:t>项目服务计划实施的专业方法要求1 (3.0分)</w:t>
            </w:r>
          </w:p>
        </w:tc>
        <w:tc>
          <w:tcPr>
            <w:tcW w:type="dxa" w:w="5076"/>
          </w:tcPr>
          <w:p>
            <w:pPr>
              <w:jc w:val="left"/>
            </w:pPr>
            <w:r>
              <w:rPr/>
              <w:t>有较丰富的个案服务经验，能采用适切的服务方法，满足个体及家庭的个性化、特殊化服务需求： 有个案服务经验，机构的个案服务案例获得省级及以上政府部门或省级及以上行业组织评选的优秀案例或入选公开出版发行的专业书刊（教材）的，得3分。 有个案服务经验，机构的个案服务案例获得市级政府部门或市级行业组织评选的优秀案例，得2分。 有个案服务经验和典型服务案例，获得区级政府部门或区级行业组织评选的优秀案例但未获奖，得1分。 没有个案服务经验或个案服务案例证明资料不全的，得0分。 注：同时提供①获奖或入选书刊的服务案例记录复印件；②获奖的证书（或文件）、或入选书刊的截图（或照片资料或稿费单据）复印件。不提供不得分。</w:t>
            </w:r>
          </w:p>
        </w:tc>
      </w:tr>
      <w:tr>
        <w:tc>
          <w:tcPr>
            <w:tcW w:type="dxa" w:w="922"/>
            <w:gridSpan w:val="2"/>
            <w:vMerge/>
          </w:tcPr>
          <w:p/>
        </w:tc>
        <w:tc>
          <w:tcPr>
            <w:tcW w:type="dxa" w:w="2307"/>
          </w:tcPr>
          <w:p>
            <w:pPr>
              <w:jc w:val="left"/>
            </w:pPr>
            <w:r>
              <w:rPr/>
              <w:t>项目服务计划实施的专业方法要求2 (3.0分)</w:t>
            </w:r>
          </w:p>
        </w:tc>
        <w:tc>
          <w:tcPr>
            <w:tcW w:type="dxa" w:w="5076"/>
          </w:tcPr>
          <w:p>
            <w:pPr>
              <w:jc w:val="left"/>
            </w:pPr>
            <w:r>
              <w:rPr/>
              <w:t>有较丰富的小组服务经验，能采用适切的小组服务方法，满足服务对象的特定需求： 有小组服务经验，且有获得省级及以上政府部门、省级及以上行业组织评选的优秀案例或入选公开出版发行的专业书刊（教材）的，得3分； 有小组服务经验，且获得市级政府部门或市级行业组织评选的优秀服务案例的，得2分。 有小组服务经验，且获得区级政府部门或区级行业组织评选的优秀服务案例的，得1分。 没有小组服务经验或服务案例证明资料不全的，得0分。 注：同时提供①获奖或入选书刊的小组服务案例记录复印件；②获奖的证书（或文件）、或入选书刊的截图（或照片资料或稿费单据）复印件。不提供不得分。</w:t>
            </w:r>
          </w:p>
        </w:tc>
      </w:tr>
      <w:tr>
        <w:tc>
          <w:tcPr>
            <w:tcW w:type="dxa" w:w="922"/>
            <w:gridSpan w:val="2"/>
            <w:vMerge/>
          </w:tcPr>
          <w:p/>
        </w:tc>
        <w:tc>
          <w:tcPr>
            <w:tcW w:type="dxa" w:w="2307"/>
          </w:tcPr>
          <w:p>
            <w:pPr>
              <w:jc w:val="left"/>
            </w:pPr>
            <w:r>
              <w:rPr/>
              <w:t>项目服务计划实施的专业方法要求3 (3.0分)</w:t>
            </w:r>
          </w:p>
        </w:tc>
        <w:tc>
          <w:tcPr>
            <w:tcW w:type="dxa" w:w="5076"/>
          </w:tcPr>
          <w:p>
            <w:pPr>
              <w:jc w:val="left"/>
            </w:pPr>
            <w:r>
              <w:rPr/>
              <w:t>有较丰富的社区服务经验，能采用适切的文化互动、教育培训、公共参与、公益倡导等社区服务方法，满足多元化群体的服务需求： 有社区服务经验，且有获得省级及以上政府部门或省级及以上行业组织评选的优秀服务案例或入选公开出版发行的专业书刊（教材）的，得3分； 有社区服务经验，且有获得市级政府部门或市级行业组织评选的优秀服务案例的，得2分。 有社区服务经验，且有获得区级政府部门或区级行业组织评选的优秀服务案例的，得1分。 没有专业小组服务经验或服务案例证明资料不全的，得0分。 注：同时提供①获奖典型或入选书刊的社区服务案例记录复印件；②获奖的证书（或文件）、或入选书刊的截图（或照片资料或稿费单据）复印件。不提供不得分。</w:t>
            </w:r>
          </w:p>
        </w:tc>
      </w:tr>
      <w:tr>
        <w:tc>
          <w:tcPr>
            <w:tcW w:type="dxa" w:w="922"/>
            <w:gridSpan w:val="2"/>
            <w:vMerge/>
          </w:tcPr>
          <w:p/>
        </w:tc>
        <w:tc>
          <w:tcPr>
            <w:tcW w:type="dxa" w:w="2307"/>
          </w:tcPr>
          <w:p>
            <w:pPr>
              <w:jc w:val="left"/>
            </w:pPr>
            <w:r>
              <w:rPr/>
              <w:t>项目服务设计的其他要求1 (2.0分)</w:t>
            </w:r>
          </w:p>
        </w:tc>
        <w:tc>
          <w:tcPr>
            <w:tcW w:type="dxa" w:w="5076"/>
          </w:tcPr>
          <w:p>
            <w:pPr>
              <w:jc w:val="left"/>
            </w:pPr>
            <w:r>
              <w:rPr/>
              <w:t>投标人有长期关注各类群体开展针对性服务项目：投标人有关注各类群体制定针对性服务项目，每个服务项目得0.5分，本项最高得2分。 注：提交机构针对各类群体开展服务项目等相关证明材料，无有效证明资料的得0分。</w:t>
            </w:r>
          </w:p>
        </w:tc>
      </w:tr>
      <w:tr>
        <w:tc>
          <w:tcPr>
            <w:tcW w:type="dxa" w:w="922"/>
            <w:gridSpan w:val="2"/>
            <w:vMerge/>
          </w:tcPr>
          <w:p/>
        </w:tc>
        <w:tc>
          <w:tcPr>
            <w:tcW w:type="dxa" w:w="2307"/>
          </w:tcPr>
          <w:p>
            <w:pPr>
              <w:jc w:val="left"/>
            </w:pPr>
            <w:r>
              <w:rPr/>
              <w:t>项目服务设计的其他要求2 (3.0分)</w:t>
            </w:r>
            <w:r>
              <w:rPr/>
              <w:t>，（等次分值选择：</w:t>
            </w:r>
            <w:r>
              <w:rPr/>
              <w:t>0.0;</w:t>
            </w:r>
            <w:r>
              <w:rPr/>
              <w:t>0.5;</w:t>
            </w:r>
            <w:r>
              <w:rPr/>
              <w:t>1.5;</w:t>
            </w:r>
            <w:r>
              <w:rPr/>
              <w:t>3.0;</w:t>
            </w:r>
            <w:r>
              <w:rPr/>
              <w:t>）</w:t>
            </w:r>
          </w:p>
        </w:tc>
        <w:tc>
          <w:tcPr>
            <w:tcW w:type="dxa" w:w="5076"/>
          </w:tcPr>
          <w:p>
            <w:pPr>
              <w:jc w:val="left"/>
            </w:pPr>
            <w:r>
              <w:rPr/>
              <w:t>投标人能依据项目所在地社区的需求设立特色服务或创新服务情况。（出具特色或创新服务计划书或方案，不提供不得分）： 1）根据项目所在地街道的招标服务要求，投标人提供相应特色服务内容、计划及目标，经专家评定具有很强的可操作性和可执行性，得3分； 2）根据项目所在地街道的招标服务要求，投标人提供相应特色服务内容、计划及目标，经专家评定具有较强的可操作性和可执行性，得1.5分； 3）根据项目所在地街道的招标服务要求，投标人提供相应特色服务内容、计划及目标，经专家评定可操作性和可执行性欠缺，得0.5分； 4）根据项目所在地街道的招标服务要求，投标人提供相应特色服务内容、计划及目标，经专家评定不具有操作性或可执行性，得0分。</w:t>
            </w:r>
          </w:p>
        </w:tc>
      </w:tr>
      <w:tr>
        <w:tc>
          <w:tcPr>
            <w:tcW w:type="dxa" w:w="922"/>
            <w:gridSpan w:val="2"/>
            <w:vMerge w:val="restart"/>
          </w:tcPr>
          <w:p>
            <w:pPr>
              <w:jc w:val="center"/>
            </w:pPr>
            <w:r>
              <w:rPr/>
              <w:t>商务部分</w:t>
            </w:r>
          </w:p>
        </w:tc>
        <w:tc>
          <w:tcPr>
            <w:tcW w:type="dxa" w:w="2307"/>
          </w:tcPr>
          <w:p>
            <w:pPr>
              <w:jc w:val="left"/>
            </w:pPr>
            <w:r>
              <w:rPr/>
              <w:t>有健全规范的财务管理执行能力1 (2.0分)</w:t>
            </w:r>
          </w:p>
        </w:tc>
        <w:tc>
          <w:tcPr>
            <w:tcW w:type="dxa" w:w="5076"/>
          </w:tcPr>
          <w:p>
            <w:pPr>
              <w:jc w:val="left"/>
            </w:pPr>
            <w:r>
              <w:rPr/>
              <w:t>投标机构设立独立的财务管理部门或工作机构，得2分。 注：出具相关的文件或证明资料，不提供不得分。</w:t>
            </w:r>
          </w:p>
        </w:tc>
      </w:tr>
      <w:tr>
        <w:tc>
          <w:tcPr>
            <w:tcW w:type="dxa" w:w="922"/>
            <w:gridSpan w:val="2"/>
            <w:vMerge/>
          </w:tcPr>
          <w:p/>
        </w:tc>
        <w:tc>
          <w:tcPr>
            <w:tcW w:type="dxa" w:w="2307"/>
          </w:tcPr>
          <w:p>
            <w:pPr>
              <w:jc w:val="left"/>
            </w:pPr>
            <w:r>
              <w:rPr/>
              <w:t>有健全规范的财务管理执行能力2 (2.0分)</w:t>
            </w:r>
          </w:p>
        </w:tc>
        <w:tc>
          <w:tcPr>
            <w:tcW w:type="dxa" w:w="5076"/>
          </w:tcPr>
          <w:p>
            <w:pPr>
              <w:jc w:val="left"/>
            </w:pPr>
            <w:r>
              <w:rPr/>
              <w:t>持有财会从业资格证的会计、出纳人员，且专职的每人得1分，兼职的得每人得0.5分，累计最高得2分。（但会计和出纳同为一人兼任的或无从业资格证的得0分） 注：同时出具财务人员职业资格证、劳动（或聘用）合同及身份证复印件，不提供不得分。</w:t>
            </w:r>
          </w:p>
        </w:tc>
      </w:tr>
      <w:tr>
        <w:tc>
          <w:tcPr>
            <w:tcW w:type="dxa" w:w="922"/>
            <w:gridSpan w:val="2"/>
            <w:vMerge/>
          </w:tcPr>
          <w:p/>
        </w:tc>
        <w:tc>
          <w:tcPr>
            <w:tcW w:type="dxa" w:w="2307"/>
          </w:tcPr>
          <w:p>
            <w:pPr>
              <w:jc w:val="left"/>
            </w:pPr>
            <w:r>
              <w:rPr/>
              <w:t>有健全规范的财务管理执行能力3 (4.0分)</w:t>
            </w:r>
          </w:p>
        </w:tc>
        <w:tc>
          <w:tcPr>
            <w:tcW w:type="dxa" w:w="5076"/>
          </w:tcPr>
          <w:p>
            <w:pPr>
              <w:jc w:val="left"/>
            </w:pPr>
            <w:r>
              <w:rPr/>
              <w:t>有财务管理制度、会计核算制度、资产管理制度、年度财务报告或审计报告，每项得1分，累计最高得4分。（提交近2020年至2022年至少2个年份的机构财务报告或审计报告，缺少财务报告或审计报告的该项得分为0分。成立不足3年的，提供成立之日至今的财务报告或审计报告。） 注：出具相关的制度文件及财务（或审计）报告复印件，不提供不得分。</w:t>
            </w:r>
          </w:p>
        </w:tc>
      </w:tr>
      <w:tr>
        <w:tc>
          <w:tcPr>
            <w:tcW w:type="dxa" w:w="922"/>
            <w:gridSpan w:val="2"/>
            <w:vMerge/>
          </w:tcPr>
          <w:p/>
        </w:tc>
        <w:tc>
          <w:tcPr>
            <w:tcW w:type="dxa" w:w="2307"/>
          </w:tcPr>
          <w:p>
            <w:pPr>
              <w:jc w:val="left"/>
            </w:pPr>
            <w:r>
              <w:rPr/>
              <w:t>投标机构近3年来的社会资源整合能力情况1 (2.0分)</w:t>
            </w:r>
          </w:p>
        </w:tc>
        <w:tc>
          <w:tcPr>
            <w:tcW w:type="dxa" w:w="5076"/>
          </w:tcPr>
          <w:p>
            <w:pPr>
              <w:jc w:val="left"/>
            </w:pPr>
            <w:r>
              <w:rPr/>
              <w:t>2020年1月1日以来，投标机构注重对外合作，有较多的服务合作伙伴，每个合作伙伴得0.4分，此项最高累计得2分。（无合作协议的得0分） 注：提交相关合作协议复印件；不提供不得分。</w:t>
            </w:r>
          </w:p>
        </w:tc>
      </w:tr>
      <w:tr>
        <w:tc>
          <w:tcPr>
            <w:tcW w:type="dxa" w:w="922"/>
            <w:gridSpan w:val="2"/>
            <w:vMerge/>
          </w:tcPr>
          <w:p/>
        </w:tc>
        <w:tc>
          <w:tcPr>
            <w:tcW w:type="dxa" w:w="2307"/>
          </w:tcPr>
          <w:p>
            <w:pPr>
              <w:jc w:val="left"/>
            </w:pPr>
            <w:r>
              <w:rPr/>
              <w:t>投标机构近3年来的社会资源整合能力情况2 (3.0分)</w:t>
            </w:r>
          </w:p>
        </w:tc>
        <w:tc>
          <w:tcPr>
            <w:tcW w:type="dxa" w:w="5076"/>
          </w:tcPr>
          <w:p>
            <w:pPr>
              <w:jc w:val="left"/>
            </w:pPr>
            <w:r>
              <w:rPr/>
              <w:t>2020年1月1日以来，投标机构通过服务或策划项目获得的各类社会资金支持的： 支持资金在1万（含）—5万元（不含）以内的，每个项目得0.5分； 支持资金在5万（含）—10万元（不含）的，每个项目得1分； 支持资金达10万元（含）以上的，每个项目得1.5分； 本项最高累计得3分。 （1万元以下的得0分；无有效资助证明资料的得0分） 注：提交通过服务或项目争取到的社会资金支持，并能提交相关资助合同（或协议）、资助资金发票等证明等材料复印件，以上材料必须同时提供，缺少一项该项评分为0分。</w:t>
            </w:r>
          </w:p>
        </w:tc>
      </w:tr>
      <w:tr>
        <w:tc>
          <w:tcPr>
            <w:tcW w:type="dxa" w:w="922"/>
            <w:gridSpan w:val="2"/>
            <w:vMerge/>
          </w:tcPr>
          <w:p/>
        </w:tc>
        <w:tc>
          <w:tcPr>
            <w:tcW w:type="dxa" w:w="2307"/>
          </w:tcPr>
          <w:p>
            <w:pPr>
              <w:jc w:val="left"/>
            </w:pPr>
            <w:r>
              <w:rPr/>
              <w:t>投标机构近3年来的社会资源整合能力情况3 (3.0分)</w:t>
            </w:r>
          </w:p>
        </w:tc>
        <w:tc>
          <w:tcPr>
            <w:tcW w:type="dxa" w:w="5076"/>
          </w:tcPr>
          <w:p>
            <w:pPr>
              <w:jc w:val="left"/>
            </w:pPr>
            <w:r>
              <w:rPr/>
              <w:t>投标机构培育、承办的公益慈善基金或社区基金募集社会资金满5万元（含）以上的，得1分；满5万元（不含）-10万元（含）的，得1.5分；满10万元（不含）-15万元（含）的，得2分；满15万元（不含）以上的，得3分。（5万元以下或未成立慈善基金的得0分；无有效资助证明资料的得0分） 注：提交设立基金的相关证明文件复印件，不提供不得分。</w:t>
            </w:r>
          </w:p>
        </w:tc>
      </w:tr>
      <w:tr>
        <w:tc>
          <w:tcPr>
            <w:tcW w:type="dxa" w:w="922"/>
            <w:gridSpan w:val="2"/>
            <w:vMerge/>
          </w:tcPr>
          <w:p/>
        </w:tc>
        <w:tc>
          <w:tcPr>
            <w:tcW w:type="dxa" w:w="2307"/>
          </w:tcPr>
          <w:p>
            <w:pPr>
              <w:jc w:val="left"/>
            </w:pPr>
            <w:r>
              <w:rPr/>
              <w:t>投标机构近3年来的行业公信力和诚信度 (10.0分)</w:t>
            </w:r>
          </w:p>
        </w:tc>
        <w:tc>
          <w:tcPr>
            <w:tcW w:type="dxa" w:w="5076"/>
          </w:tcPr>
          <w:p>
            <w:pPr>
              <w:jc w:val="left"/>
            </w:pPr>
            <w:r>
              <w:rPr/>
              <w:t>投标机构2020年以来未有违法、违规问题发生，未被社工、服务对象、购买方等投诉或举报情况，并能出具社会工作服务投诉监督受理委员会相关证明的，得10分。 投标机构2020年以来因有违规问题发生，被社工、服务对象、购买方等投诉或举报在1-2次，并能妥善整改和处理的，出具社会工作服务投诉监督受理委员会相关证明的，得5分。 投标机构2020年以来因有违规问题发生，被社工、服务对象、购买方等投诉或举报在3次及以上，得0分。 注：社会工作服务投诉监督受理委员会出具的相关证明，无社会工作服务投诉监督受理委员会相关证明的，得0分</w:t>
            </w:r>
          </w:p>
        </w:tc>
      </w:tr>
      <w:tr>
        <w:tc>
          <w:tcPr>
            <w:tcW w:type="dxa" w:w="922"/>
            <w:gridSpan w:val="2"/>
            <w:vMerge/>
          </w:tcPr>
          <w:p/>
        </w:tc>
        <w:tc>
          <w:tcPr>
            <w:tcW w:type="dxa" w:w="2307"/>
          </w:tcPr>
          <w:p>
            <w:pPr>
              <w:jc w:val="left"/>
            </w:pPr>
            <w:r>
              <w:rPr/>
              <w:t>投标机构承接社工站购买服务项目经验 (7.0分)</w:t>
            </w:r>
          </w:p>
        </w:tc>
        <w:tc>
          <w:tcPr>
            <w:tcW w:type="dxa" w:w="5076"/>
          </w:tcPr>
          <w:p>
            <w:pPr>
              <w:jc w:val="left"/>
            </w:pPr>
            <w:r>
              <w:rPr/>
              <w:t>投标机构2020年以来，承办完成的社工站购买服务项目的数量，每结项完成1个项目得0.5分，本项累计最高得7分。 ①提交相关结项项目的名单列表； ②所列单个项目的结项评估报告或结项验收合格证明资料； ③业绩情况属实的承诺函。 以上①-③项材料缺一不可，否则得0分。</w:t>
            </w:r>
          </w:p>
        </w:tc>
      </w:tr>
      <w:tr>
        <w:tc>
          <w:tcPr>
            <w:tcW w:type="dxa" w:w="922"/>
            <w:gridSpan w:val="2"/>
            <w:vMerge/>
          </w:tcPr>
          <w:p/>
        </w:tc>
        <w:tc>
          <w:tcPr>
            <w:tcW w:type="dxa" w:w="2307"/>
          </w:tcPr>
          <w:p>
            <w:pPr>
              <w:jc w:val="left"/>
            </w:pPr>
            <w:r>
              <w:rPr/>
              <w:t>投标机构近3年内承接社工站购买服务项目评价情况 (7.0分)</w:t>
            </w:r>
          </w:p>
        </w:tc>
        <w:tc>
          <w:tcPr>
            <w:tcW w:type="dxa" w:w="5076"/>
          </w:tcPr>
          <w:p>
            <w:pPr>
              <w:jc w:val="left"/>
            </w:pPr>
            <w:r>
              <w:rPr/>
              <w:t>投标机构2020年以来所承接的社工站购买服务项目： 结项项目评估为优秀的，每个项目得0.5分； 评估为良好的，每个项目得0.4分； 评估为合格的，每个项目得0.2分； 评估为不合格的，每个项目得0分。 本项累计得分最高为7分。 注：提交所列单个项目的结项评估报告或结项验收合格证明资料，无提供证材料的得0分。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评标委员会对入围的投标人的服务工时进行修正得出评标服务工时。价格分统一采用采用量多优先法计算，即满足招标文件要求且服务工时量最高的投标报价为评标基准工时，其价格分为满分。其他投标人服务总工时分统一按照下列公式计算： 投标服务工时量得分=[投标服务工时量/评标基准工时]×价格分值。 因落实政府采购政策进行工时调整的，以调整后的评标基准工时和投标服务工时为准。</w:t>
            </w:r>
          </w:p>
        </w:tc>
      </w:tr>
    </w:tbl>
    <w:p/>
    <w:p>
      <w:r>
        <w:rPr>
          <w:b/>
          <w:sz w:val="24"/>
        </w:rPr>
        <w:t>4.汇总、排序</w:t>
      </w:r>
    </w:p>
    <w:p>
      <w:pPr>
        <w:ind w:firstLine="480"/>
      </w:pPr>
    </w:p>
    <w:p/>
    <w:p>
      <w:r>
        <w:rPr/>
        <w:t>采购包1：</w:t>
      </w:r>
    </w:p>
    <w:p/>
    <w:p>
      <w:r>
        <w:rPr/>
        <w:t>评标结果按评审后总得分由高到低顺序排列。总得分相同的按投标报价由低到高顺序（即服务工时量报价由高到低）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p>
    <w:p>
      <w:pPr>
        <w:jc w:val="center"/>
      </w:pPr>
    </w:p>
    <w:p>
      <w:pPr>
        <w:jc w:val="center"/>
      </w:pPr>
      <w:r>
        <w:rPr>
          <w:b/>
          <w:sz w:val="44"/>
        </w:rPr>
        <w:t>鱼珠街社工服务站（家庭综合服务中心）运营服务采购项目</w:t>
      </w:r>
    </w:p>
    <w:p>
      <w:pPr>
        <w:jc w:val="center"/>
      </w:pPr>
    </w:p>
    <w:p>
      <w:pPr>
        <w:jc w:val="center"/>
      </w:pPr>
    </w:p>
    <w:p>
      <w:pPr>
        <w:jc w:val="center"/>
      </w:pPr>
      <w:r>
        <w:rPr>
          <w:b/>
          <w:sz w:val="72"/>
        </w:rPr>
        <w:t>合同书</w:t>
      </w:r>
    </w:p>
    <w:p>
      <w:pPr>
        <w:jc w:val="center"/>
      </w:pPr>
    </w:p>
    <w:p>
      <w:pPr>
        <w:jc w:val="center"/>
      </w:pPr>
    </w:p>
    <w:p>
      <w:pPr>
        <w:jc w:val="both"/>
      </w:pPr>
      <w:r>
        <w:rPr>
          <w:b/>
          <w:sz w:val="28"/>
        </w:rPr>
        <w:t>项目名称：</w:t>
      </w:r>
      <w:r>
        <w:rPr>
          <w:b/>
          <w:sz w:val="21"/>
          <w:u w:val="single"/>
        </w:rPr>
        <w:t xml:space="preserve">                           </w:t>
      </w:r>
    </w:p>
    <w:p>
      <w:pPr>
        <w:jc w:val="both"/>
      </w:pPr>
      <w:r>
        <w:rPr>
          <w:b/>
          <w:sz w:val="28"/>
        </w:rPr>
        <w:t>合同编号：</w:t>
      </w:r>
      <w:r>
        <w:rPr>
          <w:b/>
          <w:sz w:val="21"/>
          <w:u w:val="single"/>
        </w:rPr>
        <w:t xml:space="preserve">                           </w:t>
      </w:r>
    </w:p>
    <w:p>
      <w:pPr>
        <w:jc w:val="both"/>
      </w:pPr>
      <w:r>
        <w:rPr>
          <w:b/>
          <w:sz w:val="28"/>
        </w:rPr>
        <w:t>签约地点：</w:t>
      </w:r>
      <w:r>
        <w:rPr>
          <w:b/>
          <w:sz w:val="21"/>
          <w:u w:val="single"/>
        </w:rPr>
        <w:t xml:space="preserve">                           </w:t>
      </w:r>
    </w:p>
    <w:p>
      <w:pPr>
        <w:jc w:val="both"/>
      </w:pPr>
      <w:r>
        <w:rPr>
          <w:b/>
          <w:sz w:val="28"/>
        </w:rPr>
        <w:t>签订日期：</w:t>
      </w:r>
      <w:r>
        <w:rPr>
          <w:b/>
          <w:sz w:val="28"/>
        </w:rPr>
        <w:t xml:space="preserve">      </w:t>
      </w:r>
      <w:r>
        <w:rPr>
          <w:b/>
          <w:sz w:val="28"/>
        </w:rPr>
        <w:t>年</w:t>
      </w:r>
      <w:r>
        <w:rPr>
          <w:b/>
          <w:sz w:val="28"/>
        </w:rPr>
        <w:t xml:space="preserve">   </w:t>
      </w:r>
      <w:r>
        <w:rPr>
          <w:b/>
          <w:sz w:val="28"/>
        </w:rPr>
        <w:t>月</w:t>
      </w:r>
      <w:r>
        <w:rPr>
          <w:b/>
          <w:sz w:val="28"/>
        </w:rPr>
        <w:t xml:space="preserve">    </w:t>
      </w:r>
      <w:r>
        <w:rPr>
          <w:b/>
          <w:sz w:val="28"/>
        </w:rPr>
        <w:t>日</w:t>
      </w:r>
    </w:p>
    <w:p>
      <w:pPr>
        <w:jc w:val="both"/>
      </w:pPr>
    </w:p>
    <w:p>
      <w:pPr>
        <w:jc w:val="both"/>
      </w:pPr>
    </w:p>
    <w:p>
      <w:pPr>
        <w:jc w:val="both"/>
      </w:pPr>
    </w:p>
    <w:p>
      <w:pPr>
        <w:jc w:val="both"/>
      </w:pPr>
    </w:p>
    <w:p>
      <w:r>
        <w:rPr>
          <w:b/>
          <w:sz w:val="21"/>
        </w:rPr>
        <w:t>甲</w:t>
      </w:r>
      <w:r>
        <w:rPr>
          <w:b/>
          <w:sz w:val="21"/>
        </w:rPr>
        <w:t xml:space="preserve">   </w:t>
      </w:r>
      <w:r>
        <w:rPr>
          <w:b/>
          <w:sz w:val="21"/>
        </w:rPr>
        <w:t>方：</w:t>
      </w:r>
      <w:r>
        <w:rPr>
          <w:b/>
          <w:u w:val="single"/>
        </w:rPr>
        <w:t xml:space="preserve">                </w:t>
      </w:r>
      <w:r>
        <w:rPr>
          <w:b/>
          <w:u w:val="single"/>
        </w:rPr>
        <w:t xml:space="preserve"> </w:t>
      </w:r>
    </w:p>
    <w:p>
      <w:r>
        <w:rPr/>
        <w:t xml:space="preserve"> </w:t>
      </w:r>
    </w:p>
    <w:p>
      <w:pPr>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jc w:val="both"/>
      </w:pPr>
      <w:r>
        <w:rPr>
          <w:b/>
          <w:sz w:val="21"/>
        </w:rPr>
        <w:t>乙</w:t>
      </w:r>
      <w:r>
        <w:rPr>
          <w:b/>
          <w:sz w:val="21"/>
        </w:rPr>
        <w:t xml:space="preserve">   </w:t>
      </w:r>
      <w:r>
        <w:rPr>
          <w:b/>
          <w:sz w:val="21"/>
        </w:rPr>
        <w:t>方：</w:t>
      </w:r>
      <w:r>
        <w:rPr>
          <w:b/>
          <w:sz w:val="21"/>
          <w:u w:val="single"/>
        </w:rPr>
        <w:t xml:space="preserve">                  </w:t>
      </w:r>
    </w:p>
    <w:p>
      <w:pPr>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jc w:val="both"/>
      </w:pPr>
    </w:p>
    <w:p>
      <w:pPr>
        <w:ind w:firstLine="420"/>
        <w:jc w:val="both"/>
      </w:pPr>
      <w:r>
        <w:rPr>
          <w:sz w:val="21"/>
        </w:rPr>
        <w:t>根据</w:t>
      </w:r>
      <w:r>
        <w:rPr>
          <w:sz w:val="21"/>
          <w:u w:val="single"/>
        </w:rPr>
        <w:t xml:space="preserve"> </w:t>
      </w:r>
      <w:r>
        <w:rPr>
          <w:sz w:val="21"/>
          <w:u w:val="single"/>
        </w:rPr>
        <w:t>鱼珠街社工服务站（家庭综合服务中心）运营服务采购项目</w:t>
      </w:r>
      <w:r>
        <w:rPr>
          <w:sz w:val="21"/>
        </w:rPr>
        <w:t>的采购结果，按照《中华人民共和国政府采购法》、《中华人民共和国政府采购法实施条</w:t>
      </w:r>
      <w:r>
        <w:rPr>
          <w:sz w:val="21"/>
        </w:rPr>
        <w:t>例》、《中华人民共和国民法典》第三编　合同的规定，</w:t>
      </w:r>
      <w:r>
        <w:rPr>
          <w:sz w:val="21"/>
        </w:rPr>
        <w:t>经双方协商，</w:t>
      </w:r>
      <w:r>
        <w:rPr>
          <w:sz w:val="21"/>
        </w:rPr>
        <w:t>本着平等互利和诚实信用的原</w:t>
      </w:r>
      <w:r>
        <w:rPr>
          <w:sz w:val="21"/>
        </w:rPr>
        <w:t>则，</w:t>
      </w:r>
      <w:r>
        <w:rPr>
          <w:sz w:val="21"/>
        </w:rPr>
        <w:t>一致同意签订本合同如下</w:t>
      </w:r>
      <w:r>
        <w:rPr>
          <w:sz w:val="21"/>
        </w:rPr>
        <w:t>。</w:t>
      </w:r>
    </w:p>
    <w:p>
      <w:pPr>
        <w:jc w:val="both"/>
      </w:pPr>
      <w:r>
        <w:rPr>
          <w:b/>
          <w:sz w:val="21"/>
        </w:rPr>
        <w:t>一、</w:t>
      </w:r>
      <w:r>
        <w:rPr>
          <w:b/>
          <w:sz w:val="21"/>
        </w:rPr>
        <w:t>合同金额</w:t>
      </w:r>
    </w:p>
    <w:p>
      <w:pPr>
        <w:ind w:firstLine="420"/>
        <w:jc w:val="both"/>
      </w:pPr>
      <w:r>
        <w:rPr>
          <w:sz w:val="21"/>
        </w:rPr>
        <w:t>合同金额为（大写）：</w:t>
      </w:r>
      <w:r>
        <w:rPr>
          <w:b/>
          <w:sz w:val="21"/>
          <w:u w:val="single"/>
        </w:rPr>
        <w:t xml:space="preserve">             </w:t>
      </w:r>
      <w:r>
        <w:rPr>
          <w:sz w:val="21"/>
        </w:rPr>
        <w:t>元（￥</w:t>
      </w:r>
      <w:r>
        <w:rPr>
          <w:b/>
          <w:sz w:val="21"/>
          <w:u w:val="single"/>
        </w:rPr>
        <w:t xml:space="preserve">             </w:t>
      </w:r>
      <w:r>
        <w:rPr>
          <w:sz w:val="21"/>
        </w:rPr>
        <w:t>元）人民币。</w:t>
      </w:r>
    </w:p>
    <w:p>
      <w:pPr>
        <w:jc w:val="both"/>
      </w:pPr>
      <w:r>
        <w:rPr>
          <w:b/>
          <w:sz w:val="21"/>
        </w:rPr>
        <w:t>二、</w:t>
      </w:r>
      <w:r>
        <w:rPr>
          <w:b/>
          <w:sz w:val="21"/>
        </w:rPr>
        <w:t>服务范围</w:t>
      </w:r>
    </w:p>
    <w:p>
      <w:pPr>
        <w:jc w:val="both"/>
      </w:pPr>
      <w:r>
        <w:rPr>
          <w:sz w:val="21"/>
        </w:rPr>
        <w:t>　　甲方聘请乙方提供以下服务：</w:t>
      </w:r>
    </w:p>
    <w:p>
      <w:pPr>
        <w:ind w:firstLine="420"/>
        <w:jc w:val="both"/>
      </w:pPr>
      <w:r>
        <w:rPr>
          <w:sz w:val="21"/>
        </w:rPr>
        <w:t>鱼珠街社工服务站（家庭综合服务中心）运营服务</w:t>
      </w:r>
    </w:p>
    <w:p>
      <w:pPr>
        <w:jc w:val="both"/>
      </w:pPr>
      <w:r>
        <w:rPr>
          <w:b/>
          <w:sz w:val="21"/>
        </w:rPr>
        <w:t>三、</w:t>
      </w:r>
      <w:r>
        <w:rPr>
          <w:b/>
          <w:sz w:val="21"/>
        </w:rPr>
        <w:t>甲方乙方的权利和义务</w:t>
      </w:r>
    </w:p>
    <w:p>
      <w:pPr>
        <w:numPr>
          <w:ilvl w:val="0"/>
          <w:numId w:val="1"/>
        </w:numPr>
        <w:jc w:val="both"/>
      </w:pPr>
      <w:r>
        <w:rPr>
          <w:sz w:val="21"/>
        </w:rPr>
        <w:t>甲方的权利和义务</w:t>
      </w:r>
    </w:p>
    <w:p>
      <w:pPr>
        <w:ind w:firstLine="420"/>
        <w:jc w:val="both"/>
      </w:pPr>
      <w:r>
        <w:rPr>
          <w:sz w:val="21"/>
        </w:rPr>
        <w:t>1、</w:t>
      </w:r>
      <w:r>
        <w:rPr>
          <w:sz w:val="21"/>
        </w:rPr>
        <w:t>作为政府购买社会工作专业服务的购买方和项目实施主体，负责社工服务站购买服务项目的统筹协调和监督管理工作，对乙方服务计划实施日常监督管理，定期或不定期抽查监督乙方的资金使用情况，并提出指导意见。</w:t>
      </w:r>
    </w:p>
    <w:p>
      <w:pPr>
        <w:ind w:firstLine="420"/>
        <w:jc w:val="both"/>
      </w:pPr>
      <w:r>
        <w:rPr>
          <w:sz w:val="21"/>
        </w:rPr>
        <w:t>2、</w:t>
      </w:r>
      <w:r>
        <w:rPr>
          <w:sz w:val="21"/>
        </w:rPr>
        <w:t>按照《广州市社工服务站（家庭综合服务中心）管理办法》（穗府办规〔</w:t>
      </w:r>
      <w:r>
        <w:rPr>
          <w:sz w:val="21"/>
        </w:rPr>
        <w:t>2018〕13号）等文件的要求，完成本街社工站购买服务项目场地安排、室内装修、设备配置等工作，达到可以投入使用并开展服务运营的条件。</w:t>
      </w:r>
    </w:p>
    <w:p>
      <w:pPr>
        <w:ind w:firstLine="420"/>
        <w:jc w:val="both"/>
      </w:pPr>
      <w:r>
        <w:rPr>
          <w:sz w:val="21"/>
        </w:rPr>
        <w:t>3、</w:t>
      </w:r>
      <w:r>
        <w:rPr>
          <w:sz w:val="21"/>
        </w:rPr>
        <w:t>对乙方开展服务提供必要的协助及便利，包括：业务指导和特定技术支持；有关情况及相关资料的提供；乙方社工及工作人员出入有关部门及场所的便利等。</w:t>
      </w:r>
    </w:p>
    <w:p>
      <w:pPr>
        <w:ind w:firstLine="420"/>
        <w:jc w:val="both"/>
      </w:pPr>
      <w:r>
        <w:rPr>
          <w:sz w:val="21"/>
        </w:rPr>
        <w:t>4、</w:t>
      </w:r>
      <w:r>
        <w:rPr>
          <w:sz w:val="21"/>
        </w:rPr>
        <w:t>安排专门人员负责跟进社工服务站购买服务项目相关事宜。</w:t>
      </w:r>
    </w:p>
    <w:p>
      <w:pPr>
        <w:ind w:firstLine="420"/>
        <w:jc w:val="both"/>
      </w:pPr>
      <w:r>
        <w:rPr>
          <w:sz w:val="21"/>
        </w:rPr>
        <w:t>5、</w:t>
      </w:r>
      <w:r>
        <w:rPr>
          <w:sz w:val="21"/>
        </w:rPr>
        <w:t>协助街道社工服务站购买服务项目及时申请和拨付经费。</w:t>
      </w:r>
    </w:p>
    <w:p>
      <w:pPr>
        <w:ind w:firstLine="420"/>
        <w:jc w:val="both"/>
      </w:pPr>
      <w:r>
        <w:rPr>
          <w:sz w:val="21"/>
        </w:rPr>
        <w:t>6、</w:t>
      </w:r>
      <w:r>
        <w:rPr>
          <w:sz w:val="21"/>
        </w:rPr>
        <w:t>在保证服务对象权益不受侵犯的前提下，有权查阅乙方在协议服务期间形成的电子和纸质档案。</w:t>
      </w:r>
    </w:p>
    <w:p>
      <w:pPr>
        <w:ind w:firstLine="420"/>
        <w:jc w:val="both"/>
      </w:pPr>
      <w:r>
        <w:rPr>
          <w:sz w:val="21"/>
        </w:rPr>
        <w:t>7、</w:t>
      </w:r>
      <w:r>
        <w:rPr>
          <w:sz w:val="21"/>
        </w:rPr>
        <w:t>负责乙方在开展本项目工作过程中与区、街、社区及有关部门的协调工作。</w:t>
      </w:r>
    </w:p>
    <w:p>
      <w:pPr>
        <w:numPr>
          <w:ilvl w:val="0"/>
          <w:numId w:val="1"/>
        </w:numPr>
        <w:jc w:val="both"/>
      </w:pPr>
      <w:r>
        <w:rPr>
          <w:sz w:val="21"/>
        </w:rPr>
        <w:t>乙方的权利和义务</w:t>
      </w:r>
    </w:p>
    <w:p>
      <w:pPr>
        <w:ind w:firstLine="420"/>
        <w:jc w:val="both"/>
      </w:pPr>
      <w:r>
        <w:rPr>
          <w:sz w:val="21"/>
        </w:rPr>
        <w:t>1、</w:t>
      </w:r>
      <w:r>
        <w:rPr>
          <w:sz w:val="21"/>
        </w:rPr>
        <w:t>严格按照本协议约定标准和相关文件要求负责本街社工站购买服务项目日常运营管理，并按照《广州市社工服务站（家庭综合服务中心）管理办法》（穗府办规〔</w:t>
      </w:r>
      <w:r>
        <w:rPr>
          <w:sz w:val="21"/>
        </w:rPr>
        <w:t>2018〕13号）、《广州市社工服务站服务清单指引（试行）》（穗民〔2019〕314号）,完善对社工站购买服务项目的人事、运营、服务、财务等方面管理。严格按有关规定管理使用好政府购买服务经费，专款专用，并接受甲方、</w:t>
      </w:r>
      <w:r>
        <w:rPr>
          <w:sz w:val="21"/>
        </w:rPr>
        <w:t>黄埔</w:t>
      </w:r>
      <w:r>
        <w:rPr>
          <w:sz w:val="21"/>
        </w:rPr>
        <w:t>区民政局及有关管理部门的监督。</w:t>
      </w:r>
    </w:p>
    <w:p>
      <w:pPr>
        <w:ind w:firstLine="420"/>
        <w:jc w:val="both"/>
      </w:pPr>
      <w:r>
        <w:rPr>
          <w:sz w:val="21"/>
        </w:rPr>
        <w:t>2、</w:t>
      </w:r>
      <w:r>
        <w:rPr>
          <w:sz w:val="21"/>
        </w:rPr>
        <w:t>接受甲方、</w:t>
      </w:r>
      <w:r>
        <w:rPr>
          <w:sz w:val="21"/>
        </w:rPr>
        <w:t>黄埔</w:t>
      </w:r>
      <w:r>
        <w:rPr>
          <w:sz w:val="21"/>
        </w:rPr>
        <w:t>区民政局及有关主管部门的监督，根据甲方的要求，配合做好查阅机构专业服务工作记录和财务管理资料的查阅工作。及时跟进落实反馈甲方在日常督查、评估中提出的意见和建议。</w:t>
      </w:r>
    </w:p>
    <w:p>
      <w:pPr>
        <w:ind w:firstLine="420"/>
        <w:jc w:val="both"/>
      </w:pPr>
      <w:r>
        <w:rPr>
          <w:sz w:val="21"/>
        </w:rPr>
        <w:t>3、</w:t>
      </w:r>
      <w:r>
        <w:rPr>
          <w:sz w:val="21"/>
        </w:rPr>
        <w:t>根据《广州市社工服务站（家庭综合服务中心）管理办法》（穗府办规〔</w:t>
      </w:r>
      <w:r>
        <w:rPr>
          <w:sz w:val="21"/>
        </w:rPr>
        <w:t>2018〕13号）要求，配齐社工站购买服务项目工作人员，街道社工站购买服务项目的主任必须专职于该中心，不得同时兼任两个或以上社会服务购买项目主任。</w:t>
      </w:r>
    </w:p>
    <w:p>
      <w:pPr>
        <w:ind w:firstLine="420"/>
        <w:jc w:val="both"/>
      </w:pPr>
      <w:r>
        <w:rPr>
          <w:sz w:val="21"/>
        </w:rPr>
        <w:t>4、</w:t>
      </w:r>
      <w:r>
        <w:rPr>
          <w:sz w:val="21"/>
        </w:rPr>
        <w:t>乙方须配备足够的、具有专业资质的工作人员开展服务。乙方的工作人员应严格遵守服务机构的规章制度，尊重服务对象，运用专业知识和技巧开展服务；乙方应按照市的要求，做好和加强街道社工服务站人员及其他相关人员的培训和督导，若有新的政府文件要求，则按照新的文件标准执行。</w:t>
      </w:r>
    </w:p>
    <w:p>
      <w:pPr>
        <w:ind w:firstLine="420"/>
        <w:jc w:val="both"/>
      </w:pPr>
      <w:r>
        <w:rPr>
          <w:sz w:val="21"/>
        </w:rPr>
        <w:t>5、</w:t>
      </w:r>
      <w:r>
        <w:rPr>
          <w:sz w:val="21"/>
        </w:rPr>
        <w:t>乙方应妥善使用并管理甲方提供的场地、服务设施、设备，如有损坏，乙方应照价赔偿。乙方应按时缴纳场地的水费、电费、清洁费、电话费等社工站购买服务项目的日常运作费用、活动开展经费、公共场地意外责任保险及设施设备维护等费用。</w:t>
      </w:r>
    </w:p>
    <w:p>
      <w:pPr>
        <w:ind w:firstLine="420"/>
        <w:jc w:val="both"/>
      </w:pPr>
      <w:r>
        <w:rPr>
          <w:sz w:val="21"/>
        </w:rPr>
        <w:t>6、</w:t>
      </w:r>
      <w:r>
        <w:rPr>
          <w:sz w:val="21"/>
        </w:rPr>
        <w:t>整合各方力量积极链接辖内外资源，为群众开展服务。</w:t>
      </w:r>
    </w:p>
    <w:p>
      <w:pPr>
        <w:ind w:firstLine="420"/>
        <w:jc w:val="both"/>
      </w:pPr>
      <w:r>
        <w:rPr>
          <w:sz w:val="21"/>
        </w:rPr>
        <w:t>7、</w:t>
      </w:r>
      <w:r>
        <w:rPr>
          <w:sz w:val="21"/>
        </w:rPr>
        <w:t>乙方应定期向甲方反映服务开展情况，在项目评估前提供翔实的自评报告，配合甲方及其他政府部门的监督与检查，严禁出现弄虚作假、伪造服务记录的行为；乙方应配合甲方以及其他政府部门对乙方运营情况的抽查监督，并按甲方要求对相应项目资金的使用情况定期公示。</w:t>
      </w:r>
    </w:p>
    <w:p>
      <w:pPr>
        <w:ind w:firstLine="420"/>
        <w:jc w:val="both"/>
      </w:pPr>
      <w:r>
        <w:rPr>
          <w:sz w:val="21"/>
        </w:rPr>
        <w:t>8、</w:t>
      </w:r>
      <w:r>
        <w:rPr>
          <w:sz w:val="21"/>
        </w:rPr>
        <w:t>在本项目运营服务过程中，由于乙方的违法违规或不当行为及过失所造成的损失及有关责任，由乙方承担；乙方与其他第三方发生的一切纠纷及责任，由乙方自行承担，与甲方无关。</w:t>
      </w:r>
    </w:p>
    <w:p>
      <w:pPr>
        <w:ind w:firstLine="420"/>
        <w:jc w:val="both"/>
      </w:pPr>
      <w:r>
        <w:rPr>
          <w:sz w:val="21"/>
        </w:rPr>
        <w:t>9、</w:t>
      </w:r>
      <w:r>
        <w:rPr>
          <w:sz w:val="21"/>
        </w:rPr>
        <w:t>开展街道社工站购买服务项目服务需求调研，设定年度服务计划，开展相应服务。根据各领域服务情况，整理服务对象资料，建立服务对象数据库。每季度</w:t>
      </w:r>
      <w:r>
        <w:rPr>
          <w:sz w:val="21"/>
        </w:rPr>
        <w:t>10号前向甲方提交工作人员配置、服务开展、资金使用情况等资料。</w:t>
      </w:r>
    </w:p>
    <w:p>
      <w:pPr>
        <w:ind w:firstLine="420"/>
        <w:jc w:val="both"/>
      </w:pPr>
      <w:r>
        <w:rPr>
          <w:sz w:val="21"/>
        </w:rPr>
        <w:t>10、</w:t>
      </w:r>
      <w:r>
        <w:rPr>
          <w:sz w:val="21"/>
        </w:rPr>
        <w:t>根据街道年度重点工作部署，开展各项符合街道实际的项目。</w:t>
      </w:r>
    </w:p>
    <w:p>
      <w:pPr>
        <w:ind w:firstLine="420"/>
        <w:jc w:val="both"/>
      </w:pPr>
      <w:r>
        <w:rPr>
          <w:sz w:val="21"/>
        </w:rPr>
        <w:t>11、</w:t>
      </w:r>
      <w:r>
        <w:rPr>
          <w:sz w:val="21"/>
        </w:rPr>
        <w:t>加强社工站购买服务项目安全管理，做好服务安全、场地安全（设施、设备）、意识形态领域的安全监管与隐患排查整治，落实安全管理主体责任，开展职业安全教育，杜绝重特大事故发生。</w:t>
      </w:r>
    </w:p>
    <w:p>
      <w:pPr>
        <w:ind w:firstLine="420"/>
        <w:jc w:val="both"/>
      </w:pPr>
      <w:r>
        <w:rPr>
          <w:sz w:val="21"/>
        </w:rPr>
        <w:t>12、</w:t>
      </w:r>
      <w:r>
        <w:rPr>
          <w:sz w:val="21"/>
        </w:rPr>
        <w:t>未经甲方书面同意，乙方不得将服务项目分包、转包给其他服务供应机构实际承担。</w:t>
      </w:r>
    </w:p>
    <w:p>
      <w:pPr>
        <w:ind w:firstLine="420"/>
        <w:jc w:val="both"/>
      </w:pPr>
      <w:r>
        <w:rPr>
          <w:sz w:val="21"/>
        </w:rPr>
        <w:t>13、</w:t>
      </w:r>
      <w:r>
        <w:rPr>
          <w:sz w:val="21"/>
        </w:rPr>
        <w:t>完成民政部门要求配合的各项工作。</w:t>
      </w:r>
    </w:p>
    <w:p>
      <w:pPr>
        <w:jc w:val="both"/>
      </w:pPr>
      <w:r>
        <w:rPr>
          <w:b/>
          <w:sz w:val="21"/>
        </w:rPr>
        <w:t>四、</w:t>
      </w:r>
      <w:r>
        <w:rPr>
          <w:b/>
          <w:sz w:val="21"/>
        </w:rPr>
        <w:t>服务期间（项目完成期限）</w:t>
      </w:r>
    </w:p>
    <w:p>
      <w:pPr>
        <w:ind w:firstLine="435"/>
        <w:jc w:val="both"/>
      </w:pPr>
      <w:r>
        <w:rPr>
          <w:sz w:val="21"/>
        </w:rPr>
        <w:t>委托服务期间自</w:t>
      </w:r>
      <w:r>
        <w:rPr>
          <w:sz w:val="21"/>
        </w:rPr>
        <w:t>______年______月至______年______月止。</w:t>
      </w:r>
    </w:p>
    <w:p>
      <w:pPr>
        <w:jc w:val="both"/>
      </w:pPr>
      <w:r>
        <w:rPr>
          <w:b/>
          <w:sz w:val="21"/>
        </w:rPr>
        <w:t>五、</w:t>
      </w:r>
      <w:r>
        <w:rPr>
          <w:b/>
          <w:sz w:val="21"/>
        </w:rPr>
        <w:t>付款方式</w:t>
      </w:r>
    </w:p>
    <w:p>
      <w:pPr>
        <w:ind w:firstLine="422"/>
        <w:jc w:val="both"/>
      </w:pPr>
      <w:r>
        <w:rPr>
          <w:b/>
          <w:sz w:val="21"/>
        </w:rPr>
        <w:t>（一）支付方式</w:t>
      </w:r>
    </w:p>
    <w:p>
      <w:pPr>
        <w:ind w:firstLine="420"/>
        <w:jc w:val="both"/>
      </w:pPr>
      <w:r>
        <w:rPr>
          <w:sz w:val="21"/>
        </w:rPr>
        <w:t>1期：55%</w:t>
      </w:r>
    </w:p>
    <w:p>
      <w:pPr>
        <w:ind w:firstLine="420"/>
        <w:jc w:val="both"/>
      </w:pPr>
      <w:r>
        <w:rPr>
          <w:sz w:val="21"/>
        </w:rPr>
        <w:t>1、在合同签订生效之日起30个工作日内，拨付年度项目经费总额的55%；</w:t>
      </w:r>
    </w:p>
    <w:p>
      <w:pPr>
        <w:ind w:firstLine="420"/>
        <w:jc w:val="both"/>
      </w:pPr>
      <w:r>
        <w:rPr>
          <w:sz w:val="21"/>
        </w:rPr>
        <w:t>2期：40%</w:t>
      </w:r>
    </w:p>
    <w:p>
      <w:pPr>
        <w:ind w:firstLine="420"/>
        <w:jc w:val="both"/>
      </w:pPr>
      <w:r>
        <w:rPr>
          <w:sz w:val="21"/>
        </w:rPr>
        <w:t>2、年度中期评估为合格以上的，拨付年度项目经费总额的40%；</w:t>
      </w:r>
    </w:p>
    <w:p>
      <w:pPr>
        <w:ind w:firstLine="420"/>
        <w:jc w:val="both"/>
      </w:pPr>
      <w:r>
        <w:rPr>
          <w:sz w:val="21"/>
        </w:rPr>
        <w:t>3期：5%</w:t>
      </w:r>
    </w:p>
    <w:p>
      <w:pPr>
        <w:ind w:firstLine="420"/>
        <w:jc w:val="both"/>
      </w:pPr>
      <w:r>
        <w:rPr>
          <w:sz w:val="21"/>
        </w:rPr>
        <w:t>3、年度末期评估为合格以上的，拨付年度项目经费总额的5%。</w:t>
      </w:r>
    </w:p>
    <w:p>
      <w:pPr>
        <w:ind w:firstLine="420"/>
        <w:jc w:val="both"/>
      </w:pPr>
      <w:r>
        <w:rPr>
          <w:sz w:val="21"/>
        </w:rPr>
        <w:t>4、本合同的款项均以人民币方式支付，支付的所需文件、时间和金额如下：</w:t>
      </w:r>
    </w:p>
    <w:p>
      <w:pPr>
        <w:ind w:firstLine="420"/>
        <w:jc w:val="both"/>
      </w:pPr>
      <w:r>
        <w:rPr>
          <w:sz w:val="21"/>
        </w:rPr>
        <w:t>（一）合同；</w:t>
      </w:r>
    </w:p>
    <w:p>
      <w:pPr>
        <w:ind w:firstLine="420"/>
        <w:jc w:val="both"/>
      </w:pPr>
      <w:r>
        <w:rPr>
          <w:sz w:val="21"/>
        </w:rPr>
        <w:t>（二）验收报告（加盖采购人公章）；</w:t>
      </w:r>
    </w:p>
    <w:p>
      <w:pPr>
        <w:ind w:firstLine="420"/>
        <w:jc w:val="both"/>
      </w:pPr>
      <w:r>
        <w:rPr>
          <w:sz w:val="21"/>
        </w:rPr>
        <w:t>（三）中标通知书。</w:t>
      </w:r>
    </w:p>
    <w:p>
      <w:pPr>
        <w:ind w:firstLine="420"/>
        <w:jc w:val="both"/>
      </w:pPr>
      <w:r>
        <w:rPr>
          <w:sz w:val="21"/>
        </w:rPr>
        <w:t>合同签订后相应服务在经广州市黄埔区民政局审核，中标人在采购人指定时间内全部完成后，采购人在收到中标人提供的正式全额发票后</w:t>
      </w:r>
      <w:r>
        <w:rPr>
          <w:sz w:val="21"/>
        </w:rPr>
        <w:t>5个工作日内办理支付手续。</w:t>
      </w:r>
    </w:p>
    <w:p>
      <w:pPr>
        <w:ind w:firstLine="422"/>
        <w:jc w:val="both"/>
      </w:pPr>
      <w:r>
        <w:rPr>
          <w:b/>
          <w:sz w:val="21"/>
        </w:rPr>
        <w:t>（</w:t>
      </w:r>
      <w:r>
        <w:rPr>
          <w:b/>
          <w:sz w:val="21"/>
        </w:rPr>
        <w:t>二</w:t>
      </w:r>
      <w:r>
        <w:rPr>
          <w:b/>
          <w:sz w:val="21"/>
        </w:rPr>
        <w:t>）</w:t>
      </w:r>
      <w:r>
        <w:rPr>
          <w:b/>
          <w:sz w:val="21"/>
        </w:rPr>
        <w:t>乙方账户信息：</w:t>
      </w:r>
    </w:p>
    <w:p>
      <w:pPr>
        <w:jc w:val="both"/>
      </w:pPr>
      <w:r>
        <w:rPr>
          <w:sz w:val="21"/>
        </w:rPr>
        <w:t>开户名称：</w:t>
      </w:r>
    </w:p>
    <w:p>
      <w:pPr>
        <w:jc w:val="both"/>
      </w:pPr>
      <w:r>
        <w:rPr>
          <w:sz w:val="21"/>
        </w:rPr>
        <w:t>开户行：</w:t>
      </w:r>
    </w:p>
    <w:p>
      <w:pPr>
        <w:jc w:val="both"/>
      </w:pPr>
      <w:r>
        <w:rPr>
          <w:sz w:val="21"/>
        </w:rPr>
        <w:t>银行账号：</w:t>
      </w:r>
    </w:p>
    <w:p>
      <w:pPr>
        <w:jc w:val="both"/>
      </w:pPr>
      <w:r>
        <w:rPr>
          <w:b/>
          <w:sz w:val="21"/>
        </w:rPr>
        <w:t>六、</w:t>
      </w:r>
      <w:r>
        <w:rPr>
          <w:b/>
          <w:sz w:val="21"/>
        </w:rPr>
        <w:t>知识产权产权归属</w:t>
      </w:r>
    </w:p>
    <w:p>
      <w:pPr>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jc w:val="both"/>
      </w:pPr>
      <w:r>
        <w:rPr>
          <w:b/>
          <w:sz w:val="21"/>
        </w:rPr>
        <w:t>七、</w:t>
      </w:r>
      <w:r>
        <w:rPr>
          <w:b/>
          <w:sz w:val="21"/>
        </w:rPr>
        <w:t>保密</w:t>
      </w:r>
    </w:p>
    <w:p>
      <w:pPr>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ind w:firstLine="420"/>
        <w:jc w:val="both"/>
      </w:pPr>
      <w:r>
        <w:rPr>
          <w:sz w:val="21"/>
        </w:rPr>
        <w:t>2）除了合同本身之外，上款所列举的任何物件均是甲方的财产。乙方应当在完成合同后应将这些物件及全部复制件还给甲方，甲方同意由乙方持有的除外。</w:t>
      </w:r>
    </w:p>
    <w:p>
      <w:pPr>
        <w:jc w:val="both"/>
      </w:pPr>
      <w:r>
        <w:rPr>
          <w:b/>
          <w:sz w:val="21"/>
        </w:rPr>
        <w:t>八、</w:t>
      </w:r>
      <w:r>
        <w:rPr>
          <w:b/>
          <w:sz w:val="21"/>
        </w:rPr>
        <w:t>违约责任与赔偿损失</w:t>
      </w:r>
    </w:p>
    <w:p>
      <w:pPr>
        <w:ind w:firstLine="420"/>
        <w:jc w:val="both"/>
      </w:pPr>
      <w:r>
        <w:rPr>
          <w:sz w:val="21"/>
        </w:rPr>
        <w:t>1) 乙方提供的服务不符合采购文件、投标文件或本合同规定的，甲方有权拒收，并且乙方须向甲方方支付本合同总价5%的违约金。</w:t>
      </w:r>
    </w:p>
    <w:p>
      <w:pPr>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ind w:firstLine="420"/>
        <w:jc w:val="both"/>
      </w:pPr>
      <w:r>
        <w:rPr>
          <w:sz w:val="21"/>
        </w:rPr>
        <w:t>3) 甲方无正当理由拒收接受服务，到期拒付服务款项的，甲方向乙方偿付本合同总的5%的违约金。甲方逾期付款，则每日按本合同总价的3‰向乙方偿付违约金。</w:t>
      </w:r>
    </w:p>
    <w:p>
      <w:pPr>
        <w:ind w:firstLine="420"/>
        <w:jc w:val="both"/>
      </w:pPr>
      <w:r>
        <w:rPr>
          <w:sz w:val="21"/>
        </w:rPr>
        <w:t>4) 其它违约责任按</w:t>
      </w:r>
      <w:r>
        <w:rPr>
          <w:sz w:val="21"/>
        </w:rPr>
        <w:t>《中华人民共和国民法典》第三编　合同</w:t>
      </w:r>
      <w:r>
        <w:rPr>
          <w:sz w:val="21"/>
        </w:rPr>
        <w:t>处理。</w:t>
      </w:r>
    </w:p>
    <w:p>
      <w:pPr>
        <w:jc w:val="both"/>
      </w:pPr>
      <w:r>
        <w:rPr>
          <w:b/>
          <w:sz w:val="21"/>
        </w:rPr>
        <w:t>九、</w:t>
      </w:r>
      <w:r>
        <w:rPr>
          <w:b/>
          <w:sz w:val="21"/>
        </w:rPr>
        <w:t>争端的解决</w:t>
      </w:r>
    </w:p>
    <w:p>
      <w:pPr>
        <w:ind w:firstLine="420"/>
        <w:jc w:val="both"/>
      </w:pPr>
      <w:r>
        <w:rPr>
          <w:sz w:val="21"/>
        </w:rPr>
        <w:t>合同执行过程中发生的任何争议，如双方不能通过友好协商解决，按相关法律法规处理。</w:t>
      </w:r>
    </w:p>
    <w:p>
      <w:pPr>
        <w:jc w:val="both"/>
      </w:pPr>
      <w:r>
        <w:rPr>
          <w:b/>
          <w:sz w:val="21"/>
        </w:rPr>
        <w:t>十、</w:t>
      </w:r>
      <w:r>
        <w:rPr>
          <w:b/>
          <w:sz w:val="21"/>
        </w:rPr>
        <w:t>不可抗力</w:t>
      </w:r>
    </w:p>
    <w:p>
      <w:pPr>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十一、</w:t>
      </w:r>
      <w:r>
        <w:rPr>
          <w:b/>
          <w:sz w:val="21"/>
        </w:rPr>
        <w:t>税费</w:t>
      </w:r>
    </w:p>
    <w:p>
      <w:pPr>
        <w:ind w:firstLine="411"/>
        <w:jc w:val="both"/>
      </w:pPr>
      <w:r>
        <w:rPr>
          <w:sz w:val="21"/>
        </w:rPr>
        <w:t>在中国境内、外发生的与本合同执行有关的一切税费均由乙方负担。</w:t>
      </w:r>
    </w:p>
    <w:p>
      <w:pPr>
        <w:jc w:val="both"/>
      </w:pPr>
      <w:r>
        <w:rPr>
          <w:b/>
          <w:sz w:val="21"/>
        </w:rPr>
        <w:t>十二、</w:t>
      </w:r>
      <w:r>
        <w:rPr>
          <w:b/>
          <w:sz w:val="21"/>
        </w:rPr>
        <w:t>其它</w:t>
      </w:r>
    </w:p>
    <w:p>
      <w:pPr>
        <w:ind w:firstLine="420"/>
        <w:jc w:val="both"/>
      </w:pPr>
      <w:r>
        <w:rPr>
          <w:sz w:val="21"/>
        </w:rPr>
        <w:t>1) 本合同所有附件、采购文件、投标文件、中标通知书通知书均为合同的有效组成部分，与本合同具有同等法律效力。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 如一方地址、电话、传真号码有变更，应在变更当日内书面通知对方，否则，应承担相应责任。</w:t>
      </w:r>
    </w:p>
    <w:p>
      <w:pPr>
        <w:ind w:firstLine="420"/>
        <w:jc w:val="both"/>
      </w:pPr>
      <w:r>
        <w:rPr>
          <w:sz w:val="21"/>
        </w:rPr>
        <w:t>4) 除甲方事先书面同意外，乙方不得部分或全部转让其应履行的合同项下的义务。</w:t>
      </w:r>
    </w:p>
    <w:p>
      <w:pPr>
        <w:jc w:val="both"/>
      </w:pPr>
      <w:r>
        <w:rPr>
          <w:b/>
          <w:sz w:val="21"/>
        </w:rPr>
        <w:t>十三、</w:t>
      </w:r>
      <w:r>
        <w:rPr>
          <w:b/>
          <w:sz w:val="21"/>
        </w:rPr>
        <w:t>合同生效</w:t>
      </w:r>
    </w:p>
    <w:p>
      <w:pPr>
        <w:ind w:firstLine="420"/>
        <w:jc w:val="both"/>
      </w:pPr>
      <w:r>
        <w:rPr>
          <w:sz w:val="21"/>
        </w:rPr>
        <w:t>1）本合同在甲乙双方法人代表或其授权代表签字盖章后生效。</w:t>
      </w:r>
    </w:p>
    <w:p>
      <w:pPr>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份，监管部门壹份，采购代理机构</w:t>
      </w:r>
      <w:r>
        <w:rPr>
          <w:sz w:val="21"/>
          <w:u w:val="single"/>
        </w:rPr>
        <w:t>壹</w:t>
      </w:r>
      <w:r>
        <w:rPr>
          <w:sz w:val="21"/>
        </w:rPr>
        <w:t>份。</w:t>
      </w:r>
    </w:p>
    <w:p>
      <w:pPr>
        <w:jc w:val="both"/>
      </w:pPr>
    </w:p>
    <w:p>
      <w:pPr>
        <w:jc w:val="both"/>
      </w:pPr>
    </w:p>
    <w:p>
      <w:pPr>
        <w:jc w:val="both"/>
      </w:pPr>
    </w:p>
    <w:p>
      <w:pPr>
        <w:jc w:val="both"/>
      </w:pPr>
      <w:r>
        <w:rPr>
          <w:sz w:val="21"/>
        </w:rPr>
        <w:t>甲方（盖章）：</w:t>
      </w:r>
      <w:r>
        <w:rPr>
          <w:sz w:val="21"/>
        </w:rPr>
        <w:t xml:space="preserve">                         </w:t>
      </w:r>
      <w:r>
        <w:rPr>
          <w:sz w:val="21"/>
        </w:rPr>
        <w:t>乙方（盖章）：</w:t>
      </w:r>
    </w:p>
    <w:p>
      <w:pPr>
        <w:jc w:val="both"/>
      </w:pPr>
      <w:r>
        <w:rPr>
          <w:sz w:val="21"/>
        </w:rPr>
        <w:t>法定代表</w:t>
      </w:r>
      <w:r>
        <w:rPr>
          <w:sz w:val="21"/>
        </w:rPr>
        <w:t>/授权代表（签字）：             法定代表/授权代表（签字）：</w:t>
      </w:r>
    </w:p>
    <w:p>
      <w:pPr>
        <w:jc w:val="both"/>
      </w:pPr>
      <w:r>
        <w:rPr>
          <w:sz w:val="21"/>
        </w:rPr>
        <w:t>日期：</w:t>
      </w:r>
      <w:r>
        <w:rPr>
          <w:sz w:val="21"/>
        </w:rPr>
        <w:t xml:space="preserve">                        </w:t>
      </w:r>
      <w:r>
        <w:rPr>
          <w:sz w:val="21"/>
        </w:rPr>
        <w:t>日期：</w:t>
      </w:r>
    </w:p>
    <w:p>
      <w:pPr>
        <w:jc w:val="both"/>
      </w:pPr>
      <w:r>
        <w:rPr>
          <w:sz w:val="21"/>
        </w:rPr>
        <w:t>邮政编码：</w:t>
      </w:r>
      <w:r>
        <w:rPr>
          <w:sz w:val="21"/>
        </w:rPr>
        <w:t xml:space="preserve">                    </w:t>
      </w:r>
      <w:r>
        <w:rPr>
          <w:sz w:val="21"/>
        </w:rPr>
        <w:t>邮政编码：</w:t>
      </w:r>
    </w:p>
    <w:p>
      <w:pPr>
        <w:jc w:val="both"/>
      </w:pPr>
      <w:r>
        <w:rPr>
          <w:sz w:val="21"/>
        </w:rPr>
        <w:t>开户名称：</w:t>
      </w:r>
      <w:r>
        <w:rPr>
          <w:sz w:val="21"/>
        </w:rPr>
        <w:t xml:space="preserve">                     </w:t>
      </w:r>
      <w:r>
        <w:rPr>
          <w:sz w:val="21"/>
        </w:rPr>
        <w:t>开户名称：</w:t>
      </w:r>
    </w:p>
    <w:p>
      <w:pPr>
        <w:jc w:val="both"/>
      </w:pPr>
      <w:r>
        <w:rPr>
          <w:sz w:val="21"/>
        </w:rPr>
        <w:t>开户银行：</w:t>
      </w:r>
      <w:r>
        <w:rPr>
          <w:sz w:val="21"/>
        </w:rPr>
        <w:t xml:space="preserve">                    </w:t>
      </w:r>
      <w:r>
        <w:rPr>
          <w:sz w:val="21"/>
        </w:rPr>
        <w:t>开户银行：</w:t>
      </w:r>
    </w:p>
    <w:p>
      <w:pPr>
        <w:jc w:val="both"/>
      </w:pPr>
      <w:r>
        <w:rPr>
          <w:sz w:val="21"/>
        </w:rPr>
        <w:t>开户账号：</w:t>
      </w:r>
      <w:r>
        <w:rPr>
          <w:sz w:val="21"/>
        </w:rPr>
        <w:t xml:space="preserve">                    </w:t>
      </w:r>
      <w:r>
        <w:rPr>
          <w:sz w:val="21"/>
        </w:rPr>
        <w:t>开户账号</w:t>
      </w:r>
      <w:r>
        <w:rPr>
          <w:sz w:val="21"/>
        </w:rPr>
        <w:t>:</w:t>
      </w:r>
      <w:r>
        <w:rPr>
          <w:b/>
          <w:sz w:val="21"/>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440112-2023-01417</w:t>
      </w:r>
    </w:p>
    <w:p>
      <w:pPr>
        <w:jc w:val="center"/>
      </w:pPr>
      <w:r>
        <w:rPr>
          <w:b/>
          <w:sz w:val="24"/>
        </w:rPr>
        <w:t>采购项目编号：</w:t>
      </w:r>
      <w:r>
        <w:rPr>
          <w:b/>
          <w:sz w:val="24"/>
        </w:rPr>
        <w:t>440112-2023-01417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鱼珠街社工服务站（家庭综合服务中心）运营服务采购项目</w:t>
      </w:r>
      <w:r>
        <w:rPr>
          <w:u w:val="single"/>
        </w:rPr>
        <w:t>”</w:t>
      </w:r>
      <w:r>
        <w:rPr/>
        <w:t>项目的招标[采购项目编号为：</w:t>
      </w:r>
      <w:r>
        <w:rPr>
          <w:u w:val="single"/>
        </w:rPr>
        <w:t>440112-2023-01417</w:t>
      </w:r>
      <w:r>
        <w:rPr/>
        <w:t>]，我方愿参与投标。</w:t>
      </w:r>
    </w:p>
    <w:p>
      <w:pPr>
        <w:ind w:firstLine="480"/>
      </w:pPr>
      <w:r>
        <w:rPr/>
        <w:t>我方确认收到贵方提供的</w:t>
      </w:r>
      <w:r>
        <w:rPr>
          <w:u w:val="single"/>
        </w:rPr>
        <w:t>“</w:t>
      </w:r>
      <w:r>
        <w:rPr>
          <w:u w:val="single"/>
        </w:rPr>
        <w:t>鱼珠街社工服务站（家庭综合服务中心）运营服务采购项目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鱼珠街社工服务站（家庭综合服务中心）运营服务采购项目</w:t>
      </w:r>
      <w:r>
        <w:rPr/>
        <w:t>”项目采购[采购项目编号为</w:t>
      </w:r>
      <w:r>
        <w:rPr/>
        <w:t>440112-2023-01417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广州市黄埔区人民政府鱼珠街道办事处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鱼珠街社工服务站（家庭综合服务中心）运营服务采购项目</w:t>
      </w:r>
      <w:r>
        <w:rPr/>
        <w:t>招标中获中标（采购项目编号：</w:t>
      </w:r>
      <w:r>
        <w:rPr/>
        <w:t>440112-2023-01417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